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A878" w14:textId="77777777" w:rsidR="00645841" w:rsidRPr="00DD4E66" w:rsidRDefault="00645841" w:rsidP="0079657F">
      <w:pPr>
        <w:tabs>
          <w:tab w:val="left" w:pos="567"/>
        </w:tabs>
        <w:jc w:val="center"/>
        <w:outlineLvl w:val="0"/>
        <w:rPr>
          <w:rFonts w:eastAsia="Times New Roman"/>
          <w:b/>
          <w:sz w:val="22"/>
          <w:lang w:val="en-US" w:eastAsia="lt-LT" w:bidi="lt-LT"/>
        </w:rPr>
      </w:pPr>
    </w:p>
    <w:p w14:paraId="2555E946" w14:textId="77777777" w:rsidR="00645841" w:rsidRPr="00532388" w:rsidRDefault="00645841" w:rsidP="0079657F">
      <w:pPr>
        <w:tabs>
          <w:tab w:val="left" w:pos="567"/>
        </w:tabs>
        <w:jc w:val="center"/>
        <w:outlineLvl w:val="0"/>
        <w:rPr>
          <w:rFonts w:eastAsia="Times New Roman"/>
          <w:b/>
          <w:sz w:val="22"/>
          <w:lang w:val="lt-LT" w:eastAsia="lt-LT" w:bidi="lt-LT"/>
        </w:rPr>
      </w:pPr>
    </w:p>
    <w:p w14:paraId="6BE2E88F" w14:textId="77777777" w:rsidR="00645841" w:rsidRPr="00532388" w:rsidRDefault="00645841" w:rsidP="0079657F">
      <w:pPr>
        <w:tabs>
          <w:tab w:val="left" w:pos="567"/>
        </w:tabs>
        <w:jc w:val="center"/>
        <w:outlineLvl w:val="0"/>
        <w:rPr>
          <w:rFonts w:eastAsia="Times New Roman"/>
          <w:b/>
          <w:sz w:val="22"/>
          <w:lang w:val="lt-LT" w:eastAsia="lt-LT" w:bidi="lt-LT"/>
        </w:rPr>
      </w:pPr>
    </w:p>
    <w:p w14:paraId="7B00B6BF" w14:textId="77777777" w:rsidR="00645841" w:rsidRPr="00532388" w:rsidRDefault="00645841" w:rsidP="0079657F">
      <w:pPr>
        <w:tabs>
          <w:tab w:val="left" w:pos="567"/>
        </w:tabs>
        <w:jc w:val="center"/>
        <w:outlineLvl w:val="0"/>
        <w:rPr>
          <w:rFonts w:eastAsia="Times New Roman"/>
          <w:b/>
          <w:sz w:val="22"/>
          <w:lang w:val="lt-LT" w:eastAsia="lt-LT" w:bidi="lt-LT"/>
        </w:rPr>
      </w:pPr>
    </w:p>
    <w:p w14:paraId="656FC6E1" w14:textId="77777777" w:rsidR="00645841" w:rsidRPr="00532388" w:rsidRDefault="00645841" w:rsidP="0079657F">
      <w:pPr>
        <w:tabs>
          <w:tab w:val="left" w:pos="567"/>
        </w:tabs>
        <w:jc w:val="center"/>
        <w:outlineLvl w:val="0"/>
        <w:rPr>
          <w:rFonts w:eastAsia="Times New Roman"/>
          <w:b/>
          <w:sz w:val="22"/>
          <w:lang w:val="lt-LT" w:eastAsia="lt-LT" w:bidi="lt-LT"/>
        </w:rPr>
      </w:pPr>
    </w:p>
    <w:p w14:paraId="0C2D8B92" w14:textId="77777777" w:rsidR="00645841" w:rsidRPr="00532388" w:rsidRDefault="00645841" w:rsidP="0079657F">
      <w:pPr>
        <w:tabs>
          <w:tab w:val="left" w:pos="567"/>
        </w:tabs>
        <w:jc w:val="center"/>
        <w:outlineLvl w:val="0"/>
        <w:rPr>
          <w:rFonts w:eastAsia="Times New Roman"/>
          <w:b/>
          <w:sz w:val="22"/>
          <w:lang w:val="lt-LT" w:eastAsia="lt-LT" w:bidi="lt-LT"/>
        </w:rPr>
      </w:pPr>
    </w:p>
    <w:p w14:paraId="4A500DBF" w14:textId="77777777" w:rsidR="00645841" w:rsidRPr="00532388" w:rsidRDefault="00645841" w:rsidP="0079657F">
      <w:pPr>
        <w:tabs>
          <w:tab w:val="left" w:pos="567"/>
        </w:tabs>
        <w:jc w:val="center"/>
        <w:outlineLvl w:val="0"/>
        <w:rPr>
          <w:rFonts w:eastAsia="Times New Roman"/>
          <w:b/>
          <w:sz w:val="22"/>
          <w:lang w:val="lt-LT" w:eastAsia="lt-LT" w:bidi="lt-LT"/>
        </w:rPr>
      </w:pPr>
    </w:p>
    <w:p w14:paraId="7C2C2A94" w14:textId="77777777" w:rsidR="00645841" w:rsidRPr="00532388" w:rsidRDefault="00645841" w:rsidP="0079657F">
      <w:pPr>
        <w:tabs>
          <w:tab w:val="left" w:pos="567"/>
        </w:tabs>
        <w:jc w:val="center"/>
        <w:outlineLvl w:val="0"/>
        <w:rPr>
          <w:rFonts w:eastAsia="Times New Roman"/>
          <w:b/>
          <w:sz w:val="22"/>
          <w:lang w:val="lt-LT" w:eastAsia="lt-LT" w:bidi="lt-LT"/>
        </w:rPr>
      </w:pPr>
    </w:p>
    <w:p w14:paraId="456A79EF" w14:textId="77777777" w:rsidR="00645841" w:rsidRPr="00532388" w:rsidRDefault="00645841" w:rsidP="0079657F">
      <w:pPr>
        <w:tabs>
          <w:tab w:val="left" w:pos="567"/>
        </w:tabs>
        <w:jc w:val="center"/>
        <w:outlineLvl w:val="0"/>
        <w:rPr>
          <w:rFonts w:eastAsia="Times New Roman"/>
          <w:b/>
          <w:sz w:val="22"/>
          <w:lang w:val="lt-LT" w:eastAsia="lt-LT" w:bidi="lt-LT"/>
        </w:rPr>
      </w:pPr>
    </w:p>
    <w:p w14:paraId="20D49D91" w14:textId="77777777" w:rsidR="00645841" w:rsidRPr="00532388" w:rsidRDefault="00645841" w:rsidP="0079657F">
      <w:pPr>
        <w:tabs>
          <w:tab w:val="left" w:pos="567"/>
        </w:tabs>
        <w:jc w:val="center"/>
        <w:outlineLvl w:val="0"/>
        <w:rPr>
          <w:rFonts w:eastAsia="Times New Roman"/>
          <w:b/>
          <w:sz w:val="22"/>
          <w:lang w:val="lt-LT" w:eastAsia="lt-LT" w:bidi="lt-LT"/>
        </w:rPr>
      </w:pPr>
    </w:p>
    <w:p w14:paraId="17AD920E" w14:textId="77777777" w:rsidR="00645841" w:rsidRPr="00532388" w:rsidRDefault="00645841" w:rsidP="0079657F">
      <w:pPr>
        <w:tabs>
          <w:tab w:val="left" w:pos="567"/>
        </w:tabs>
        <w:jc w:val="center"/>
        <w:outlineLvl w:val="0"/>
        <w:rPr>
          <w:rFonts w:eastAsia="Times New Roman"/>
          <w:b/>
          <w:sz w:val="22"/>
          <w:lang w:val="lt-LT" w:eastAsia="lt-LT" w:bidi="lt-LT"/>
        </w:rPr>
      </w:pPr>
    </w:p>
    <w:p w14:paraId="78C8D669" w14:textId="77777777" w:rsidR="00645841" w:rsidRPr="00532388" w:rsidRDefault="00645841" w:rsidP="0079657F">
      <w:pPr>
        <w:tabs>
          <w:tab w:val="left" w:pos="567"/>
        </w:tabs>
        <w:jc w:val="center"/>
        <w:outlineLvl w:val="0"/>
        <w:rPr>
          <w:rFonts w:eastAsia="Times New Roman"/>
          <w:b/>
          <w:sz w:val="22"/>
          <w:lang w:val="lt-LT" w:eastAsia="lt-LT" w:bidi="lt-LT"/>
        </w:rPr>
      </w:pPr>
    </w:p>
    <w:p w14:paraId="4BD6643E" w14:textId="77777777" w:rsidR="00645841" w:rsidRPr="00532388" w:rsidRDefault="00645841" w:rsidP="0079657F">
      <w:pPr>
        <w:tabs>
          <w:tab w:val="left" w:pos="567"/>
        </w:tabs>
        <w:jc w:val="center"/>
        <w:outlineLvl w:val="0"/>
        <w:rPr>
          <w:rFonts w:eastAsia="Times New Roman"/>
          <w:b/>
          <w:sz w:val="22"/>
          <w:lang w:val="lt-LT" w:eastAsia="lt-LT" w:bidi="lt-LT"/>
        </w:rPr>
      </w:pPr>
    </w:p>
    <w:p w14:paraId="7AD08027" w14:textId="77777777" w:rsidR="00645841" w:rsidRPr="00532388" w:rsidRDefault="00645841" w:rsidP="0079657F">
      <w:pPr>
        <w:tabs>
          <w:tab w:val="left" w:pos="567"/>
        </w:tabs>
        <w:jc w:val="center"/>
        <w:outlineLvl w:val="0"/>
        <w:rPr>
          <w:rFonts w:eastAsia="Times New Roman"/>
          <w:b/>
          <w:sz w:val="22"/>
          <w:lang w:val="lt-LT" w:eastAsia="lt-LT" w:bidi="lt-LT"/>
        </w:rPr>
      </w:pPr>
    </w:p>
    <w:p w14:paraId="2BD14C02" w14:textId="77777777" w:rsidR="00645841" w:rsidRPr="00532388" w:rsidRDefault="00645841" w:rsidP="0079657F">
      <w:pPr>
        <w:tabs>
          <w:tab w:val="left" w:pos="567"/>
        </w:tabs>
        <w:jc w:val="center"/>
        <w:outlineLvl w:val="0"/>
        <w:rPr>
          <w:rFonts w:eastAsia="Times New Roman"/>
          <w:b/>
          <w:sz w:val="22"/>
          <w:lang w:val="lt-LT" w:eastAsia="lt-LT" w:bidi="lt-LT"/>
        </w:rPr>
      </w:pPr>
    </w:p>
    <w:p w14:paraId="175DBBAD" w14:textId="77777777" w:rsidR="00645841" w:rsidRPr="00532388" w:rsidRDefault="00645841" w:rsidP="0079657F">
      <w:pPr>
        <w:tabs>
          <w:tab w:val="left" w:pos="567"/>
        </w:tabs>
        <w:jc w:val="center"/>
        <w:outlineLvl w:val="0"/>
        <w:rPr>
          <w:rFonts w:eastAsia="Times New Roman"/>
          <w:b/>
          <w:sz w:val="22"/>
          <w:lang w:val="lt-LT" w:eastAsia="lt-LT" w:bidi="lt-LT"/>
        </w:rPr>
      </w:pPr>
    </w:p>
    <w:p w14:paraId="01F59240" w14:textId="77777777" w:rsidR="00645841" w:rsidRPr="00532388" w:rsidRDefault="00645841" w:rsidP="0079657F">
      <w:pPr>
        <w:tabs>
          <w:tab w:val="left" w:pos="567"/>
        </w:tabs>
        <w:jc w:val="center"/>
        <w:outlineLvl w:val="0"/>
        <w:rPr>
          <w:rFonts w:eastAsia="Times New Roman"/>
          <w:b/>
          <w:sz w:val="22"/>
          <w:lang w:val="lt-LT" w:eastAsia="lt-LT" w:bidi="lt-LT"/>
        </w:rPr>
      </w:pPr>
    </w:p>
    <w:p w14:paraId="44F84FC8" w14:textId="77777777" w:rsidR="00645841" w:rsidRPr="00532388" w:rsidRDefault="00645841" w:rsidP="0079657F">
      <w:pPr>
        <w:tabs>
          <w:tab w:val="left" w:pos="567"/>
        </w:tabs>
        <w:jc w:val="center"/>
        <w:outlineLvl w:val="0"/>
        <w:rPr>
          <w:rFonts w:eastAsia="Times New Roman"/>
          <w:b/>
          <w:sz w:val="22"/>
          <w:lang w:val="lt-LT" w:eastAsia="lt-LT" w:bidi="lt-LT"/>
        </w:rPr>
      </w:pPr>
    </w:p>
    <w:p w14:paraId="05197DC9" w14:textId="77777777" w:rsidR="00645841" w:rsidRPr="00532388" w:rsidRDefault="00645841" w:rsidP="0079657F">
      <w:pPr>
        <w:tabs>
          <w:tab w:val="left" w:pos="567"/>
        </w:tabs>
        <w:jc w:val="center"/>
        <w:outlineLvl w:val="0"/>
        <w:rPr>
          <w:rFonts w:eastAsia="Times New Roman"/>
          <w:b/>
          <w:sz w:val="22"/>
          <w:lang w:val="lt-LT" w:eastAsia="lt-LT" w:bidi="lt-LT"/>
        </w:rPr>
      </w:pPr>
    </w:p>
    <w:p w14:paraId="3DFB2F22" w14:textId="77777777" w:rsidR="00645841" w:rsidRPr="00532388" w:rsidRDefault="00645841" w:rsidP="0079657F">
      <w:pPr>
        <w:tabs>
          <w:tab w:val="left" w:pos="567"/>
        </w:tabs>
        <w:jc w:val="center"/>
        <w:outlineLvl w:val="0"/>
        <w:rPr>
          <w:rFonts w:eastAsia="Times New Roman"/>
          <w:b/>
          <w:sz w:val="22"/>
          <w:lang w:val="lt-LT" w:eastAsia="lt-LT" w:bidi="lt-LT"/>
        </w:rPr>
      </w:pPr>
    </w:p>
    <w:p w14:paraId="684BFE25" w14:textId="77777777" w:rsidR="00645841" w:rsidRPr="00532388" w:rsidRDefault="00645841" w:rsidP="0079657F">
      <w:pPr>
        <w:tabs>
          <w:tab w:val="left" w:pos="567"/>
        </w:tabs>
        <w:jc w:val="center"/>
        <w:outlineLvl w:val="0"/>
        <w:rPr>
          <w:rFonts w:eastAsia="Times New Roman"/>
          <w:b/>
          <w:sz w:val="22"/>
          <w:lang w:val="lt-LT" w:eastAsia="lt-LT" w:bidi="lt-LT"/>
        </w:rPr>
      </w:pPr>
    </w:p>
    <w:p w14:paraId="4661C6A1" w14:textId="77777777" w:rsidR="00645841" w:rsidRPr="00532388" w:rsidRDefault="00645841" w:rsidP="0079657F">
      <w:pPr>
        <w:tabs>
          <w:tab w:val="left" w:pos="567"/>
        </w:tabs>
        <w:jc w:val="center"/>
        <w:outlineLvl w:val="0"/>
        <w:rPr>
          <w:rFonts w:eastAsia="Times New Roman"/>
          <w:b/>
          <w:sz w:val="22"/>
          <w:lang w:val="lt-LT" w:eastAsia="lt-LT" w:bidi="lt-LT"/>
        </w:rPr>
      </w:pPr>
    </w:p>
    <w:p w14:paraId="300DEBA0" w14:textId="77777777" w:rsidR="00C326F9" w:rsidRDefault="00C326F9" w:rsidP="0079657F">
      <w:pPr>
        <w:tabs>
          <w:tab w:val="left" w:pos="567"/>
        </w:tabs>
        <w:jc w:val="center"/>
        <w:outlineLvl w:val="0"/>
        <w:rPr>
          <w:rFonts w:eastAsia="Times New Roman"/>
          <w:b/>
          <w:sz w:val="22"/>
          <w:lang w:val="lt-LT" w:eastAsia="lt-LT" w:bidi="lt-LT"/>
        </w:rPr>
      </w:pPr>
    </w:p>
    <w:p w14:paraId="21152A80" w14:textId="77777777" w:rsidR="00645841" w:rsidRPr="00532388" w:rsidRDefault="00645841" w:rsidP="0079657F">
      <w:pPr>
        <w:tabs>
          <w:tab w:val="left" w:pos="567"/>
        </w:tabs>
        <w:jc w:val="center"/>
        <w:outlineLvl w:val="0"/>
        <w:rPr>
          <w:rFonts w:eastAsia="Times New Roman"/>
          <w:sz w:val="22"/>
          <w:lang w:val="lt-LT" w:eastAsia="lt-LT" w:bidi="lt-LT"/>
        </w:rPr>
      </w:pPr>
      <w:r w:rsidRPr="00532388">
        <w:rPr>
          <w:rFonts w:eastAsia="Times New Roman"/>
          <w:b/>
          <w:sz w:val="22"/>
          <w:lang w:val="lt-LT" w:eastAsia="lt-LT" w:bidi="lt-LT"/>
        </w:rPr>
        <w:t>I PRIEDAS</w:t>
      </w:r>
    </w:p>
    <w:p w14:paraId="440C2E04" w14:textId="77777777" w:rsidR="00645841" w:rsidRPr="00532388" w:rsidRDefault="00645841" w:rsidP="0079657F">
      <w:pPr>
        <w:tabs>
          <w:tab w:val="left" w:pos="567"/>
        </w:tabs>
        <w:jc w:val="center"/>
        <w:outlineLvl w:val="0"/>
        <w:rPr>
          <w:rFonts w:eastAsia="Times New Roman"/>
          <w:sz w:val="22"/>
          <w:lang w:val="lt-LT" w:eastAsia="lt-LT" w:bidi="lt-LT"/>
        </w:rPr>
      </w:pPr>
    </w:p>
    <w:p w14:paraId="224E2E2A" w14:textId="77777777" w:rsidR="00645841" w:rsidRPr="00532388" w:rsidRDefault="00645841" w:rsidP="0079657F">
      <w:pPr>
        <w:tabs>
          <w:tab w:val="left" w:pos="567"/>
        </w:tabs>
        <w:jc w:val="center"/>
        <w:outlineLvl w:val="0"/>
        <w:rPr>
          <w:rFonts w:eastAsia="Times New Roman"/>
          <w:sz w:val="22"/>
          <w:lang w:val="lt-LT" w:eastAsia="lt-LT" w:bidi="lt-LT"/>
        </w:rPr>
      </w:pPr>
      <w:r w:rsidRPr="00532388">
        <w:rPr>
          <w:rFonts w:eastAsia="Times New Roman"/>
          <w:b/>
          <w:sz w:val="22"/>
          <w:lang w:val="lt-LT" w:eastAsia="lt-LT" w:bidi="lt-LT"/>
        </w:rPr>
        <w:t>PREPARATO CHARAKTERISTIKŲ SANTRAUKA</w:t>
      </w:r>
    </w:p>
    <w:p w14:paraId="2C4DCB8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3F853AA7"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527FF3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1A77E0EA" w14:textId="77777777" w:rsidR="00645841" w:rsidRPr="00532388" w:rsidRDefault="00645841" w:rsidP="0079657F">
      <w:pPr>
        <w:autoSpaceDE w:val="0"/>
        <w:autoSpaceDN w:val="0"/>
        <w:adjustRightInd w:val="0"/>
        <w:rPr>
          <w:rFonts w:eastAsia="TimesNewRoman,Bold"/>
          <w:b/>
          <w:bCs/>
          <w:sz w:val="22"/>
          <w:szCs w:val="22"/>
          <w:lang w:val="lt-LT" w:eastAsia="en-US"/>
        </w:rPr>
      </w:pPr>
    </w:p>
    <w:p w14:paraId="03FC405C"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F3DCA9B" w14:textId="77777777" w:rsidR="00645841" w:rsidRPr="00532388" w:rsidRDefault="00645841" w:rsidP="0079657F">
      <w:pPr>
        <w:autoSpaceDE w:val="0"/>
        <w:autoSpaceDN w:val="0"/>
        <w:adjustRightInd w:val="0"/>
        <w:rPr>
          <w:rFonts w:eastAsia="TimesNewRoman,Bold"/>
          <w:b/>
          <w:bCs/>
          <w:sz w:val="22"/>
          <w:szCs w:val="22"/>
          <w:lang w:val="lt-LT" w:eastAsia="en-US"/>
        </w:rPr>
      </w:pPr>
    </w:p>
    <w:p w14:paraId="00929D90" w14:textId="77777777" w:rsidR="00645841" w:rsidRPr="00532388" w:rsidRDefault="00645841" w:rsidP="0079657F">
      <w:pPr>
        <w:autoSpaceDE w:val="0"/>
        <w:autoSpaceDN w:val="0"/>
        <w:adjustRightInd w:val="0"/>
        <w:rPr>
          <w:rFonts w:eastAsia="TimesNewRoman,Bold"/>
          <w:b/>
          <w:bCs/>
          <w:sz w:val="22"/>
          <w:szCs w:val="22"/>
          <w:lang w:val="lt-LT" w:eastAsia="en-US"/>
        </w:rPr>
      </w:pPr>
    </w:p>
    <w:p w14:paraId="13B35D87"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317D112" w14:textId="77777777" w:rsidR="00645841" w:rsidRPr="00532388" w:rsidRDefault="00645841" w:rsidP="0079657F">
      <w:pPr>
        <w:autoSpaceDE w:val="0"/>
        <w:autoSpaceDN w:val="0"/>
        <w:adjustRightInd w:val="0"/>
        <w:rPr>
          <w:rFonts w:eastAsia="TimesNewRoman,Bold"/>
          <w:b/>
          <w:bCs/>
          <w:sz w:val="22"/>
          <w:szCs w:val="22"/>
          <w:lang w:val="lt-LT" w:eastAsia="en-US"/>
        </w:rPr>
      </w:pPr>
    </w:p>
    <w:p w14:paraId="23BC7A64" w14:textId="77777777" w:rsidR="00645841" w:rsidRPr="00532388" w:rsidRDefault="00645841" w:rsidP="0079657F">
      <w:pPr>
        <w:autoSpaceDE w:val="0"/>
        <w:autoSpaceDN w:val="0"/>
        <w:adjustRightInd w:val="0"/>
        <w:rPr>
          <w:rFonts w:eastAsia="TimesNewRoman,Bold"/>
          <w:b/>
          <w:bCs/>
          <w:sz w:val="22"/>
          <w:szCs w:val="22"/>
          <w:lang w:val="lt-LT" w:eastAsia="en-US"/>
        </w:rPr>
      </w:pPr>
    </w:p>
    <w:p w14:paraId="10B01E34" w14:textId="77777777" w:rsidR="00645841" w:rsidRPr="00532388" w:rsidRDefault="00645841" w:rsidP="0079657F">
      <w:pPr>
        <w:autoSpaceDE w:val="0"/>
        <w:autoSpaceDN w:val="0"/>
        <w:adjustRightInd w:val="0"/>
        <w:rPr>
          <w:rFonts w:eastAsia="TimesNewRoman,Bold"/>
          <w:b/>
          <w:bCs/>
          <w:sz w:val="22"/>
          <w:szCs w:val="22"/>
          <w:lang w:val="lt-LT" w:eastAsia="en-US"/>
        </w:rPr>
      </w:pPr>
    </w:p>
    <w:p w14:paraId="4F837C7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024BD22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31CAF179" w14:textId="77777777" w:rsidR="00645841" w:rsidRPr="00532388" w:rsidRDefault="00645841" w:rsidP="0079657F">
      <w:pPr>
        <w:autoSpaceDE w:val="0"/>
        <w:autoSpaceDN w:val="0"/>
        <w:adjustRightInd w:val="0"/>
        <w:rPr>
          <w:rFonts w:eastAsia="TimesNewRoman,Bold"/>
          <w:b/>
          <w:bCs/>
          <w:sz w:val="22"/>
          <w:szCs w:val="22"/>
          <w:lang w:val="lt-LT" w:eastAsia="en-US"/>
        </w:rPr>
      </w:pPr>
    </w:p>
    <w:p w14:paraId="519E82BA" w14:textId="77777777" w:rsidR="00645841" w:rsidRPr="00532388" w:rsidRDefault="00645841" w:rsidP="0079657F">
      <w:pPr>
        <w:autoSpaceDE w:val="0"/>
        <w:autoSpaceDN w:val="0"/>
        <w:adjustRightInd w:val="0"/>
        <w:rPr>
          <w:rFonts w:eastAsia="TimesNewRoman,Bold"/>
          <w:b/>
          <w:bCs/>
          <w:sz w:val="22"/>
          <w:szCs w:val="22"/>
          <w:lang w:val="lt-LT" w:eastAsia="en-US"/>
        </w:rPr>
      </w:pPr>
    </w:p>
    <w:p w14:paraId="490A0D42" w14:textId="77777777" w:rsidR="00645841" w:rsidRPr="00532388" w:rsidRDefault="00645841" w:rsidP="0079657F">
      <w:pPr>
        <w:autoSpaceDE w:val="0"/>
        <w:autoSpaceDN w:val="0"/>
        <w:adjustRightInd w:val="0"/>
        <w:rPr>
          <w:rFonts w:eastAsia="TimesNewRoman,Bold"/>
          <w:b/>
          <w:bCs/>
          <w:sz w:val="22"/>
          <w:szCs w:val="22"/>
          <w:lang w:val="lt-LT" w:eastAsia="en-US"/>
        </w:rPr>
      </w:pPr>
    </w:p>
    <w:p w14:paraId="21AB883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4C94E398" w14:textId="77777777" w:rsidR="00645841" w:rsidRPr="00532388" w:rsidRDefault="00645841" w:rsidP="0079657F">
      <w:pPr>
        <w:autoSpaceDE w:val="0"/>
        <w:autoSpaceDN w:val="0"/>
        <w:adjustRightInd w:val="0"/>
        <w:rPr>
          <w:rFonts w:eastAsia="TimesNewRoman,Bold"/>
          <w:b/>
          <w:bCs/>
          <w:sz w:val="22"/>
          <w:szCs w:val="22"/>
          <w:lang w:val="lt-LT" w:eastAsia="en-US"/>
        </w:rPr>
      </w:pPr>
    </w:p>
    <w:p w14:paraId="06EC1A9C" w14:textId="77777777" w:rsidR="00645841" w:rsidRPr="00532388" w:rsidRDefault="00645841" w:rsidP="0079657F">
      <w:pPr>
        <w:autoSpaceDE w:val="0"/>
        <w:autoSpaceDN w:val="0"/>
        <w:adjustRightInd w:val="0"/>
        <w:rPr>
          <w:rFonts w:eastAsia="TimesNewRoman,Bold"/>
          <w:b/>
          <w:bCs/>
          <w:sz w:val="22"/>
          <w:szCs w:val="22"/>
          <w:lang w:val="lt-LT" w:eastAsia="en-US"/>
        </w:rPr>
      </w:pPr>
    </w:p>
    <w:p w14:paraId="2AC584BA"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68193E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41512C9" w14:textId="77777777" w:rsidR="00645841" w:rsidRPr="00532388" w:rsidRDefault="00645841" w:rsidP="0079657F">
      <w:pPr>
        <w:autoSpaceDE w:val="0"/>
        <w:autoSpaceDN w:val="0"/>
        <w:adjustRightInd w:val="0"/>
        <w:rPr>
          <w:rFonts w:eastAsia="TimesNewRoman,Bold"/>
          <w:b/>
          <w:bCs/>
          <w:sz w:val="22"/>
          <w:szCs w:val="22"/>
          <w:lang w:val="lt-LT" w:eastAsia="en-US"/>
        </w:rPr>
      </w:pPr>
    </w:p>
    <w:p w14:paraId="177E96A4"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E65E17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5586EAB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33E85F81"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4A4A197"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AD813D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E7F08C8"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A80D877" w14:textId="77777777" w:rsidR="00645841" w:rsidRPr="00532388" w:rsidRDefault="00645841" w:rsidP="0079657F">
      <w:pPr>
        <w:autoSpaceDE w:val="0"/>
        <w:autoSpaceDN w:val="0"/>
        <w:adjustRightInd w:val="0"/>
        <w:rPr>
          <w:rFonts w:eastAsia="TimesNewRoman,Bold"/>
          <w:b/>
          <w:bCs/>
          <w:sz w:val="22"/>
          <w:szCs w:val="22"/>
          <w:lang w:val="lt-LT" w:eastAsia="en-US"/>
        </w:rPr>
      </w:pPr>
    </w:p>
    <w:p w14:paraId="6BFD3827" w14:textId="77777777" w:rsidR="00645841" w:rsidRPr="00532388" w:rsidRDefault="00645841" w:rsidP="0079657F">
      <w:pPr>
        <w:keepNext/>
        <w:numPr>
          <w:ilvl w:val="0"/>
          <w:numId w:val="1"/>
        </w:numPr>
        <w:tabs>
          <w:tab w:val="left" w:pos="567"/>
        </w:tabs>
        <w:suppressAutoHyphens/>
        <w:spacing w:line="260" w:lineRule="exact"/>
        <w:rPr>
          <w:rFonts w:eastAsia="Times New Roman"/>
          <w:noProof/>
          <w:sz w:val="22"/>
          <w:szCs w:val="22"/>
          <w:lang w:val="lt-LT" w:eastAsia="lt-LT" w:bidi="lt-LT"/>
        </w:rPr>
      </w:pPr>
      <w:r w:rsidRPr="00532388">
        <w:rPr>
          <w:rFonts w:eastAsia="Times New Roman"/>
          <w:b/>
          <w:noProof/>
          <w:sz w:val="22"/>
          <w:lang w:val="lt-LT" w:eastAsia="lt-LT" w:bidi="lt-LT"/>
        </w:rPr>
        <w:t>VAISTINIO PREPARATO PAVADINIMAS</w:t>
      </w:r>
    </w:p>
    <w:p w14:paraId="6C6011B9" w14:textId="77777777" w:rsidR="00645841" w:rsidRPr="00532388" w:rsidRDefault="00645841" w:rsidP="0079657F">
      <w:pPr>
        <w:autoSpaceDE w:val="0"/>
        <w:autoSpaceDN w:val="0"/>
        <w:adjustRightInd w:val="0"/>
        <w:rPr>
          <w:rFonts w:eastAsia="TimesNewRoman"/>
          <w:sz w:val="22"/>
          <w:szCs w:val="22"/>
          <w:lang w:val="lt-LT" w:eastAsia="en-US"/>
        </w:rPr>
      </w:pPr>
    </w:p>
    <w:p w14:paraId="3C94D33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 Teva 400 mg plėvele dengtos tabletės</w:t>
      </w:r>
    </w:p>
    <w:p w14:paraId="34783D00" w14:textId="77777777" w:rsidR="00645841" w:rsidRPr="00532388" w:rsidRDefault="00645841" w:rsidP="0079657F">
      <w:pPr>
        <w:autoSpaceDE w:val="0"/>
        <w:autoSpaceDN w:val="0"/>
        <w:adjustRightInd w:val="0"/>
        <w:rPr>
          <w:rFonts w:eastAsia="TimesNewRoman,Bold"/>
          <w:b/>
          <w:bCs/>
          <w:sz w:val="22"/>
          <w:szCs w:val="22"/>
          <w:lang w:val="lt-LT" w:eastAsia="en-US"/>
        </w:rPr>
      </w:pPr>
    </w:p>
    <w:p w14:paraId="03C8F62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4F98F9A2" w14:textId="77777777" w:rsidR="00645841" w:rsidRPr="00532388" w:rsidRDefault="00645841" w:rsidP="0079657F">
      <w:pPr>
        <w:keepNext/>
        <w:numPr>
          <w:ilvl w:val="0"/>
          <w:numId w:val="1"/>
        </w:numPr>
        <w:tabs>
          <w:tab w:val="left" w:pos="567"/>
        </w:tabs>
        <w:suppressAutoHyphens/>
        <w:spacing w:line="260" w:lineRule="exact"/>
        <w:rPr>
          <w:rFonts w:eastAsia="Times New Roman"/>
          <w:noProof/>
          <w:sz w:val="22"/>
          <w:szCs w:val="22"/>
          <w:lang w:val="lt-LT" w:eastAsia="lt-LT" w:bidi="lt-LT"/>
        </w:rPr>
      </w:pPr>
      <w:r w:rsidRPr="00532388">
        <w:rPr>
          <w:rFonts w:eastAsia="Times New Roman"/>
          <w:b/>
          <w:noProof/>
          <w:sz w:val="22"/>
          <w:lang w:val="lt-LT" w:eastAsia="lt-LT" w:bidi="lt-LT"/>
        </w:rPr>
        <w:t>KOKYBINĖ IR KIEKYBINĖ SUDĖTIS</w:t>
      </w:r>
    </w:p>
    <w:p w14:paraId="3AAD9B29" w14:textId="77777777" w:rsidR="00645841" w:rsidRPr="00532388" w:rsidRDefault="00645841" w:rsidP="0079657F">
      <w:pPr>
        <w:autoSpaceDE w:val="0"/>
        <w:autoSpaceDN w:val="0"/>
        <w:adjustRightInd w:val="0"/>
        <w:rPr>
          <w:rFonts w:eastAsia="TimesNewRoman"/>
          <w:sz w:val="22"/>
          <w:szCs w:val="22"/>
          <w:lang w:val="lt-LT" w:eastAsia="en-US"/>
        </w:rPr>
      </w:pPr>
    </w:p>
    <w:p w14:paraId="31264F88"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Kiekvienoje plėvele dengtoje tabletėje yra 400</w:t>
      </w:r>
      <w:r w:rsidR="00B45700" w:rsidRPr="00532388">
        <w:rPr>
          <w:rFonts w:eastAsia="TimesNewRoman"/>
          <w:sz w:val="22"/>
          <w:szCs w:val="22"/>
          <w:lang w:val="lt-LT" w:eastAsia="en-US"/>
        </w:rPr>
        <w:t> </w:t>
      </w:r>
      <w:r w:rsidR="008A7818" w:rsidRPr="00532388">
        <w:rPr>
          <w:rFonts w:eastAsia="TimesNewRoman"/>
          <w:sz w:val="22"/>
          <w:szCs w:val="22"/>
          <w:lang w:val="lt-LT" w:eastAsia="en-US"/>
        </w:rPr>
        <w:t>mg darunavir</w:t>
      </w:r>
      <w:r w:rsidRPr="00532388">
        <w:rPr>
          <w:rFonts w:eastAsia="TimesNewRoman"/>
          <w:sz w:val="22"/>
          <w:szCs w:val="22"/>
          <w:lang w:val="lt-LT" w:eastAsia="en-US"/>
        </w:rPr>
        <w:t>o.</w:t>
      </w:r>
    </w:p>
    <w:p w14:paraId="25C5F3DE" w14:textId="77777777" w:rsidR="00645841" w:rsidRPr="00532388" w:rsidRDefault="00645841" w:rsidP="0079657F">
      <w:pPr>
        <w:autoSpaceDE w:val="0"/>
        <w:autoSpaceDN w:val="0"/>
        <w:adjustRightInd w:val="0"/>
        <w:rPr>
          <w:rFonts w:eastAsia="TimesNewRoman"/>
          <w:sz w:val="22"/>
          <w:szCs w:val="22"/>
          <w:lang w:val="lt-LT" w:eastAsia="en-US"/>
        </w:rPr>
      </w:pPr>
    </w:p>
    <w:p w14:paraId="36294EDC"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Visos pagalbinės medžiagos išvardytos 6.1 skyriuje.</w:t>
      </w:r>
    </w:p>
    <w:p w14:paraId="69C3252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E749A09" w14:textId="77777777" w:rsidR="00645841" w:rsidRPr="00532388" w:rsidRDefault="00645841" w:rsidP="0079657F">
      <w:pPr>
        <w:autoSpaceDE w:val="0"/>
        <w:autoSpaceDN w:val="0"/>
        <w:adjustRightInd w:val="0"/>
        <w:rPr>
          <w:rFonts w:eastAsia="TimesNewRoman,Bold"/>
          <w:b/>
          <w:bCs/>
          <w:sz w:val="22"/>
          <w:szCs w:val="22"/>
          <w:lang w:val="lt-LT" w:eastAsia="en-US"/>
        </w:rPr>
      </w:pPr>
    </w:p>
    <w:p w14:paraId="5A4641CE" w14:textId="77777777" w:rsidR="00645841" w:rsidRPr="00532388" w:rsidRDefault="00645841" w:rsidP="0079657F">
      <w:pPr>
        <w:keepNext/>
        <w:numPr>
          <w:ilvl w:val="0"/>
          <w:numId w:val="1"/>
        </w:numPr>
        <w:tabs>
          <w:tab w:val="left" w:pos="567"/>
        </w:tabs>
        <w:suppressAutoHyphens/>
        <w:spacing w:line="260" w:lineRule="exact"/>
        <w:rPr>
          <w:rFonts w:eastAsia="Times New Roman"/>
          <w:caps/>
          <w:noProof/>
          <w:sz w:val="22"/>
          <w:szCs w:val="22"/>
          <w:lang w:val="lt-LT" w:eastAsia="lt-LT" w:bidi="lt-LT"/>
        </w:rPr>
      </w:pPr>
      <w:r w:rsidRPr="00532388">
        <w:rPr>
          <w:rFonts w:eastAsia="Times New Roman"/>
          <w:b/>
          <w:noProof/>
          <w:sz w:val="22"/>
          <w:lang w:val="lt-LT" w:eastAsia="lt-LT" w:bidi="lt-LT"/>
        </w:rPr>
        <w:t>FARMACINĖ FORMA</w:t>
      </w:r>
    </w:p>
    <w:p w14:paraId="54576376" w14:textId="77777777" w:rsidR="00645841" w:rsidRPr="00532388" w:rsidRDefault="00645841" w:rsidP="0079657F">
      <w:pPr>
        <w:autoSpaceDE w:val="0"/>
        <w:autoSpaceDN w:val="0"/>
        <w:adjustRightInd w:val="0"/>
        <w:rPr>
          <w:rFonts w:eastAsia="TimesNewRoman"/>
          <w:sz w:val="22"/>
          <w:szCs w:val="22"/>
          <w:lang w:val="lt-LT" w:eastAsia="en-US"/>
        </w:rPr>
      </w:pPr>
    </w:p>
    <w:p w14:paraId="378F87B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Plėvele dengta tabletė</w:t>
      </w:r>
    </w:p>
    <w:p w14:paraId="1856A697" w14:textId="77777777" w:rsidR="00AB1548" w:rsidRDefault="00AB1548" w:rsidP="0079657F">
      <w:pPr>
        <w:autoSpaceDE w:val="0"/>
        <w:autoSpaceDN w:val="0"/>
        <w:adjustRightInd w:val="0"/>
        <w:rPr>
          <w:rFonts w:eastAsia="TimesNewRoman"/>
          <w:sz w:val="22"/>
          <w:szCs w:val="22"/>
          <w:lang w:val="lt-LT" w:eastAsia="en-US"/>
        </w:rPr>
      </w:pPr>
    </w:p>
    <w:p w14:paraId="4F41B54A" w14:textId="77777777" w:rsidR="00645841" w:rsidRPr="00532388" w:rsidRDefault="00E06B45"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 Teva 400 mg yra</w:t>
      </w:r>
      <w:r w:rsidR="00645841" w:rsidRPr="00532388">
        <w:rPr>
          <w:rFonts w:eastAsia="TimesNewRoman"/>
          <w:sz w:val="22"/>
          <w:szCs w:val="22"/>
          <w:lang w:val="lt-LT" w:eastAsia="en-US"/>
        </w:rPr>
        <w:t xml:space="preserve"> oranžinė ovali maždaug 18,6</w:t>
      </w:r>
      <w:r w:rsidR="00335A73" w:rsidRPr="00532388">
        <w:rPr>
          <w:rFonts w:eastAsia="TimesNewRoman"/>
          <w:sz w:val="22"/>
          <w:szCs w:val="22"/>
          <w:lang w:val="lt-LT" w:eastAsia="en-US"/>
        </w:rPr>
        <w:t>-19,1 mm</w:t>
      </w:r>
      <w:r w:rsidRPr="00532388">
        <w:rPr>
          <w:rFonts w:eastAsia="TimesNewRoman"/>
          <w:sz w:val="22"/>
          <w:szCs w:val="22"/>
          <w:lang w:val="lt-LT" w:eastAsia="en-US"/>
        </w:rPr>
        <w:t xml:space="preserve"> </w:t>
      </w:r>
      <w:r w:rsidR="00645841" w:rsidRPr="00532388">
        <w:rPr>
          <w:rFonts w:eastAsia="TimesNewRoman"/>
          <w:sz w:val="22"/>
          <w:szCs w:val="22"/>
          <w:lang w:val="lt-LT" w:eastAsia="en-US"/>
        </w:rPr>
        <w:t>x</w:t>
      </w:r>
      <w:r w:rsidRPr="00532388">
        <w:rPr>
          <w:rFonts w:eastAsia="TimesNewRoman"/>
          <w:sz w:val="22"/>
          <w:szCs w:val="22"/>
          <w:lang w:val="lt-LT" w:eastAsia="en-US"/>
        </w:rPr>
        <w:t xml:space="preserve"> </w:t>
      </w:r>
      <w:r w:rsidR="00645841" w:rsidRPr="00532388">
        <w:rPr>
          <w:rFonts w:eastAsia="TimesNewRoman"/>
          <w:sz w:val="22"/>
          <w:szCs w:val="22"/>
          <w:lang w:val="lt-LT" w:eastAsia="en-US"/>
        </w:rPr>
        <w:t>9,1-9,6 mm dydžio plėvele dengta tabletė, kurios vienoje pusėje pažymėta „400“, o kita pusė lygi.</w:t>
      </w:r>
    </w:p>
    <w:p w14:paraId="26D4A7D5" w14:textId="77777777" w:rsidR="00645841" w:rsidRPr="00532388" w:rsidRDefault="00645841" w:rsidP="0079657F">
      <w:pPr>
        <w:autoSpaceDE w:val="0"/>
        <w:autoSpaceDN w:val="0"/>
        <w:adjustRightInd w:val="0"/>
        <w:rPr>
          <w:rFonts w:eastAsia="TimesNewRoman"/>
          <w:sz w:val="22"/>
          <w:szCs w:val="22"/>
          <w:lang w:val="lt-LT" w:eastAsia="en-US"/>
        </w:rPr>
      </w:pPr>
    </w:p>
    <w:p w14:paraId="473768F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33C21290" w14:textId="77777777" w:rsidR="00645841" w:rsidRPr="00532388" w:rsidRDefault="00645841" w:rsidP="0079657F">
      <w:pPr>
        <w:keepNext/>
        <w:numPr>
          <w:ilvl w:val="0"/>
          <w:numId w:val="1"/>
        </w:numPr>
        <w:tabs>
          <w:tab w:val="left" w:pos="567"/>
        </w:tabs>
        <w:suppressAutoHyphens/>
        <w:spacing w:line="260" w:lineRule="exact"/>
        <w:rPr>
          <w:rFonts w:eastAsia="Times New Roman"/>
          <w:caps/>
          <w:noProof/>
          <w:sz w:val="22"/>
          <w:szCs w:val="22"/>
          <w:lang w:val="lt-LT" w:eastAsia="lt-LT" w:bidi="lt-LT"/>
        </w:rPr>
      </w:pPr>
      <w:r w:rsidRPr="00532388">
        <w:rPr>
          <w:rFonts w:eastAsia="Times New Roman"/>
          <w:b/>
          <w:noProof/>
          <w:sz w:val="22"/>
          <w:lang w:val="lt-LT" w:eastAsia="lt-LT" w:bidi="lt-LT"/>
        </w:rPr>
        <w:t>KLINIKINĖ INFORMACIJA</w:t>
      </w:r>
    </w:p>
    <w:p w14:paraId="374EE173" w14:textId="77777777" w:rsidR="00645841" w:rsidRPr="00532388" w:rsidRDefault="00645841" w:rsidP="0079657F">
      <w:pPr>
        <w:keepNext/>
        <w:tabs>
          <w:tab w:val="left" w:pos="567"/>
        </w:tabs>
        <w:rPr>
          <w:rFonts w:eastAsia="Times New Roman"/>
          <w:noProof/>
          <w:sz w:val="22"/>
          <w:szCs w:val="22"/>
          <w:lang w:val="lt-LT" w:eastAsia="lt-LT" w:bidi="lt-LT"/>
        </w:rPr>
      </w:pPr>
    </w:p>
    <w:p w14:paraId="682BC906" w14:textId="77777777" w:rsidR="00645841" w:rsidRPr="00532388" w:rsidRDefault="00645841" w:rsidP="0079657F">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t>Terapinės indikacijos</w:t>
      </w:r>
    </w:p>
    <w:p w14:paraId="72CBD99F" w14:textId="77777777" w:rsidR="00645841" w:rsidRPr="00532388" w:rsidRDefault="00645841" w:rsidP="0079657F">
      <w:pPr>
        <w:autoSpaceDE w:val="0"/>
        <w:autoSpaceDN w:val="0"/>
        <w:adjustRightInd w:val="0"/>
        <w:rPr>
          <w:rFonts w:eastAsia="TimesNewRoman"/>
          <w:sz w:val="22"/>
          <w:szCs w:val="22"/>
          <w:lang w:val="lt-LT" w:eastAsia="en-US"/>
        </w:rPr>
      </w:pPr>
    </w:p>
    <w:p w14:paraId="11689EED"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Pacientų, kuriems diagnozuota žmogaus imunodeficito viruso (ŽIV-1) infekcija, gydymas</w:t>
      </w:r>
      <w:r w:rsidR="009306EC">
        <w:rPr>
          <w:rFonts w:eastAsia="TimesNewRoman"/>
          <w:sz w:val="22"/>
          <w:szCs w:val="22"/>
          <w:lang w:val="lt-LT" w:eastAsia="en-US"/>
        </w:rPr>
        <w:t xml:space="preserve"> </w:t>
      </w:r>
      <w:r w:rsidR="009306EC" w:rsidRPr="00532388">
        <w:rPr>
          <w:rFonts w:eastAsia="TimesNewRoman"/>
          <w:sz w:val="22"/>
          <w:szCs w:val="22"/>
          <w:lang w:val="lt-LT" w:eastAsia="en-US"/>
        </w:rPr>
        <w:t>Darunavir Teva</w:t>
      </w:r>
      <w:r w:rsidRPr="00532388">
        <w:rPr>
          <w:rFonts w:eastAsia="TimesNewRoman"/>
          <w:sz w:val="22"/>
          <w:szCs w:val="22"/>
          <w:lang w:val="lt-LT" w:eastAsia="en-US"/>
        </w:rPr>
        <w:t xml:space="preserve"> kartu su maža ritonaviro doze ir derinyje su kitais antiretrovirusiniais vaistiniais preparatais.</w:t>
      </w:r>
    </w:p>
    <w:p w14:paraId="75A5AECE" w14:textId="77777777" w:rsidR="00645841" w:rsidRPr="00532388" w:rsidRDefault="00645841" w:rsidP="0079657F">
      <w:pPr>
        <w:autoSpaceDE w:val="0"/>
        <w:autoSpaceDN w:val="0"/>
        <w:adjustRightInd w:val="0"/>
        <w:rPr>
          <w:rFonts w:eastAsia="TimesNewRoman"/>
          <w:sz w:val="22"/>
          <w:szCs w:val="22"/>
          <w:lang w:val="lt-LT" w:eastAsia="en-US"/>
        </w:rPr>
      </w:pPr>
    </w:p>
    <w:p w14:paraId="70300454"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Suaugusių pacientų žmogaus imunodeficito viruso (ŽIV-1) infekcijos gydymas </w:t>
      </w:r>
      <w:r w:rsidR="009306EC" w:rsidRPr="00532388">
        <w:rPr>
          <w:rFonts w:eastAsia="TimesNewRoman"/>
          <w:sz w:val="22"/>
          <w:szCs w:val="22"/>
          <w:lang w:val="lt-LT" w:eastAsia="en-US"/>
        </w:rPr>
        <w:t xml:space="preserve">Darunavir Teva </w:t>
      </w:r>
      <w:r w:rsidRPr="00532388">
        <w:rPr>
          <w:rFonts w:eastAsia="TimesNewRoman"/>
          <w:sz w:val="22"/>
          <w:szCs w:val="22"/>
          <w:lang w:val="lt-LT" w:eastAsia="en-US"/>
        </w:rPr>
        <w:t>kartu su</w:t>
      </w:r>
      <w:r w:rsidR="00C225EE" w:rsidRPr="00532388">
        <w:rPr>
          <w:rFonts w:eastAsia="TimesNewRoman"/>
          <w:sz w:val="22"/>
          <w:szCs w:val="22"/>
          <w:lang w:val="lt-LT" w:eastAsia="en-US"/>
        </w:rPr>
        <w:t xml:space="preserve"> </w:t>
      </w:r>
      <w:r w:rsidRPr="00532388">
        <w:rPr>
          <w:rFonts w:eastAsia="TimesNewRoman"/>
          <w:sz w:val="22"/>
          <w:szCs w:val="22"/>
          <w:lang w:val="lt-LT" w:eastAsia="en-US"/>
        </w:rPr>
        <w:t>kobicistatu ir derinyje su kitais antiretrovirusiniais vaistiniais preparatais (žr. 4.2 skyrių).</w:t>
      </w:r>
    </w:p>
    <w:p w14:paraId="7D22EF24" w14:textId="77777777" w:rsidR="00645841" w:rsidRPr="00532388" w:rsidRDefault="00645841" w:rsidP="0079657F">
      <w:pPr>
        <w:autoSpaceDE w:val="0"/>
        <w:autoSpaceDN w:val="0"/>
        <w:adjustRightInd w:val="0"/>
        <w:rPr>
          <w:rFonts w:eastAsia="TimesNewRoman"/>
          <w:sz w:val="22"/>
          <w:szCs w:val="22"/>
          <w:lang w:val="lt-LT" w:eastAsia="en-US"/>
        </w:rPr>
      </w:pPr>
    </w:p>
    <w:p w14:paraId="403D362F"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 Teva 400</w:t>
      </w:r>
      <w:r w:rsidR="00C225EE" w:rsidRPr="00532388">
        <w:rPr>
          <w:rFonts w:eastAsia="TimesNewRoman"/>
          <w:sz w:val="22"/>
          <w:szCs w:val="22"/>
          <w:lang w:val="lt-LT" w:eastAsia="en-US"/>
        </w:rPr>
        <w:t> </w:t>
      </w:r>
      <w:r w:rsidRPr="00532388">
        <w:rPr>
          <w:rFonts w:eastAsia="TimesNewRoman"/>
          <w:sz w:val="22"/>
          <w:szCs w:val="22"/>
          <w:lang w:val="lt-LT" w:eastAsia="en-US"/>
        </w:rPr>
        <w:t>mg galima vartoti pagal tinkamą dozavimo planą ŽIV-1 infekcijai gydyti suaugusie</w:t>
      </w:r>
      <w:r w:rsidR="009306EC">
        <w:rPr>
          <w:rFonts w:eastAsia="TimesNewRoman"/>
          <w:sz w:val="22"/>
          <w:szCs w:val="22"/>
          <w:lang w:val="lt-LT" w:eastAsia="en-US"/>
        </w:rPr>
        <w:t>sie</w:t>
      </w:r>
      <w:r w:rsidRPr="00532388">
        <w:rPr>
          <w:rFonts w:eastAsia="TimesNewRoman"/>
          <w:sz w:val="22"/>
          <w:szCs w:val="22"/>
          <w:lang w:val="lt-LT" w:eastAsia="en-US"/>
        </w:rPr>
        <w:t>ms ir vaikams nuo 3 metų, sveriantiems ne mažiau kaip 40</w:t>
      </w:r>
      <w:r w:rsidR="00C225EE" w:rsidRPr="00532388">
        <w:rPr>
          <w:rFonts w:eastAsia="TimesNewRoman"/>
          <w:sz w:val="22"/>
          <w:szCs w:val="22"/>
          <w:lang w:val="lt-LT" w:eastAsia="en-US"/>
        </w:rPr>
        <w:t> </w:t>
      </w:r>
      <w:r w:rsidRPr="00532388">
        <w:rPr>
          <w:rFonts w:eastAsia="TimesNewRoman"/>
          <w:sz w:val="22"/>
          <w:szCs w:val="22"/>
          <w:lang w:val="lt-LT" w:eastAsia="en-US"/>
        </w:rPr>
        <w:t>kg:</w:t>
      </w:r>
    </w:p>
    <w:p w14:paraId="07547787" w14:textId="77777777" w:rsidR="00645841" w:rsidRPr="00532388" w:rsidRDefault="00645841" w:rsidP="0079657F">
      <w:pPr>
        <w:pStyle w:val="Sraopastraipa"/>
        <w:numPr>
          <w:ilvl w:val="0"/>
          <w:numId w:val="2"/>
        </w:numPr>
        <w:autoSpaceDE w:val="0"/>
        <w:autoSpaceDN w:val="0"/>
        <w:adjustRightInd w:val="0"/>
        <w:ind w:left="567" w:hanging="567"/>
        <w:rPr>
          <w:rFonts w:eastAsia="TimesNewRoman"/>
          <w:sz w:val="22"/>
          <w:szCs w:val="22"/>
          <w:lang w:val="lt-LT" w:eastAsia="en-US"/>
        </w:rPr>
      </w:pPr>
      <w:r w:rsidRPr="00532388">
        <w:rPr>
          <w:rFonts w:eastAsia="TimesNewRoman"/>
          <w:sz w:val="22"/>
          <w:szCs w:val="22"/>
          <w:lang w:val="lt-LT" w:eastAsia="en-US"/>
        </w:rPr>
        <w:t>jeigu jiems netaikytas antiretrovirusinis gydymas (ARG) (žr. 4.2 skyrių);</w:t>
      </w:r>
    </w:p>
    <w:p w14:paraId="4E7A3056" w14:textId="77777777" w:rsidR="00645841" w:rsidRPr="00532388" w:rsidRDefault="00645841" w:rsidP="0079657F">
      <w:pPr>
        <w:pStyle w:val="Sraopastraipa"/>
        <w:numPr>
          <w:ilvl w:val="0"/>
          <w:numId w:val="2"/>
        </w:numPr>
        <w:autoSpaceDE w:val="0"/>
        <w:autoSpaceDN w:val="0"/>
        <w:adjustRightInd w:val="0"/>
        <w:ind w:left="567" w:hanging="567"/>
        <w:rPr>
          <w:rFonts w:eastAsia="TimesNewRoman"/>
          <w:sz w:val="22"/>
          <w:szCs w:val="22"/>
          <w:lang w:val="lt-LT" w:eastAsia="en-US"/>
        </w:rPr>
      </w:pPr>
      <w:r w:rsidRPr="00532388">
        <w:rPr>
          <w:rFonts w:eastAsia="TimesNewRoman"/>
          <w:sz w:val="22"/>
          <w:szCs w:val="22"/>
          <w:lang w:val="lt-LT" w:eastAsia="en-US"/>
        </w:rPr>
        <w:t xml:space="preserve">antiretrovirusinį gydymą (ARG) gavusiems pacientams, kurių organizme nėra su atsparumu </w:t>
      </w:r>
      <w:r w:rsidR="00E06B45" w:rsidRPr="00532388">
        <w:rPr>
          <w:rFonts w:eastAsia="TimesNewRoman"/>
          <w:sz w:val="22"/>
          <w:szCs w:val="22"/>
          <w:lang w:val="lt-LT" w:eastAsia="en-US"/>
        </w:rPr>
        <w:t>d</w:t>
      </w:r>
      <w:r w:rsidRPr="00532388">
        <w:rPr>
          <w:rFonts w:eastAsia="TimesNewRoman"/>
          <w:sz w:val="22"/>
          <w:szCs w:val="22"/>
          <w:lang w:val="lt-LT" w:eastAsia="en-US"/>
        </w:rPr>
        <w:t>arunavirui susijusių mutacijų (DRV-ASM) ir kurių plazmoje ŽIV-1 RNR kiekis &lt;</w:t>
      </w:r>
      <w:r w:rsidR="009306EC">
        <w:rPr>
          <w:rFonts w:eastAsia="TimesNewRoman"/>
          <w:sz w:val="22"/>
          <w:szCs w:val="22"/>
          <w:lang w:val="lt-LT" w:eastAsia="en-US"/>
        </w:rPr>
        <w:t> </w:t>
      </w:r>
      <w:r w:rsidRPr="00532388">
        <w:rPr>
          <w:rFonts w:eastAsia="TimesNewRoman"/>
          <w:sz w:val="22"/>
          <w:szCs w:val="22"/>
          <w:lang w:val="lt-LT" w:eastAsia="en-US"/>
        </w:rPr>
        <w:t>100</w:t>
      </w:r>
      <w:r w:rsidR="009306EC">
        <w:rPr>
          <w:rFonts w:eastAsia="TimesNewRoman"/>
          <w:sz w:val="22"/>
          <w:szCs w:val="22"/>
          <w:lang w:val="lt-LT" w:eastAsia="en-US"/>
        </w:rPr>
        <w:t> </w:t>
      </w:r>
      <w:r w:rsidRPr="00532388">
        <w:rPr>
          <w:rFonts w:eastAsia="TimesNewRoman"/>
          <w:sz w:val="22"/>
          <w:szCs w:val="22"/>
          <w:lang w:val="lt-LT" w:eastAsia="en-US"/>
        </w:rPr>
        <w:t>000</w:t>
      </w:r>
      <w:r w:rsidR="009306EC">
        <w:rPr>
          <w:rFonts w:eastAsia="TimesNewRoman"/>
          <w:sz w:val="22"/>
          <w:szCs w:val="22"/>
          <w:lang w:val="lt-LT" w:eastAsia="en-US"/>
        </w:rPr>
        <w:t> </w:t>
      </w:r>
      <w:r w:rsidRPr="00532388">
        <w:rPr>
          <w:rFonts w:eastAsia="TimesNewRoman"/>
          <w:sz w:val="22"/>
          <w:szCs w:val="22"/>
          <w:lang w:val="lt-LT" w:eastAsia="en-US"/>
        </w:rPr>
        <w:t>kopijų/ml ir CD4+ ląstelių kiekis ≥</w:t>
      </w:r>
      <w:r w:rsidR="009306EC">
        <w:rPr>
          <w:rFonts w:eastAsia="TimesNewRoman"/>
          <w:sz w:val="22"/>
          <w:szCs w:val="22"/>
          <w:lang w:val="lt-LT" w:eastAsia="en-US"/>
        </w:rPr>
        <w:t> </w:t>
      </w:r>
      <w:r w:rsidRPr="00532388">
        <w:rPr>
          <w:rFonts w:eastAsia="TimesNewRoman"/>
          <w:sz w:val="22"/>
          <w:szCs w:val="22"/>
          <w:lang w:val="lt-LT" w:eastAsia="en-US"/>
        </w:rPr>
        <w:t>100</w:t>
      </w:r>
      <w:r w:rsidR="009306EC">
        <w:rPr>
          <w:rFonts w:eastAsia="TimesNewRoman"/>
          <w:sz w:val="22"/>
          <w:szCs w:val="22"/>
          <w:lang w:val="lt-LT" w:eastAsia="en-US"/>
        </w:rPr>
        <w:t> </w:t>
      </w:r>
      <w:r w:rsidRPr="00532388">
        <w:rPr>
          <w:rFonts w:eastAsia="TimesNewRoman"/>
          <w:sz w:val="22"/>
          <w:szCs w:val="22"/>
          <w:lang w:val="lt-LT" w:eastAsia="en-US"/>
        </w:rPr>
        <w:t>ląstelių</w:t>
      </w:r>
      <w:r w:rsidR="009306EC">
        <w:rPr>
          <w:rFonts w:eastAsia="TimesNewRoman"/>
          <w:sz w:val="22"/>
          <w:szCs w:val="22"/>
          <w:lang w:val="lt-LT" w:eastAsia="en-US"/>
        </w:rPr>
        <w:t> </w:t>
      </w:r>
      <w:r w:rsidRPr="00532388">
        <w:rPr>
          <w:rFonts w:eastAsia="TimesNewRoman"/>
          <w:sz w:val="22"/>
          <w:szCs w:val="22"/>
          <w:lang w:val="lt-LT" w:eastAsia="en-US"/>
        </w:rPr>
        <w:t>x</w:t>
      </w:r>
      <w:r w:rsidR="009306EC">
        <w:rPr>
          <w:rFonts w:eastAsia="TimesNewRoman"/>
          <w:sz w:val="22"/>
          <w:szCs w:val="22"/>
          <w:lang w:val="lt-LT" w:eastAsia="en-US"/>
        </w:rPr>
        <w:t> </w:t>
      </w:r>
      <w:r w:rsidRPr="00532388">
        <w:rPr>
          <w:rFonts w:eastAsia="TimesNewRoman"/>
          <w:sz w:val="22"/>
          <w:szCs w:val="22"/>
          <w:lang w:val="lt-LT" w:eastAsia="en-US"/>
        </w:rPr>
        <w:t>10</w:t>
      </w:r>
      <w:r w:rsidRPr="00532388">
        <w:rPr>
          <w:rFonts w:eastAsia="TimesNewRoman"/>
          <w:sz w:val="22"/>
          <w:szCs w:val="22"/>
          <w:vertAlign w:val="superscript"/>
          <w:lang w:val="lt-LT" w:eastAsia="en-US"/>
        </w:rPr>
        <w:t>6</w:t>
      </w:r>
      <w:r w:rsidRPr="00532388">
        <w:rPr>
          <w:rFonts w:eastAsia="TimesNewRoman"/>
          <w:sz w:val="22"/>
          <w:szCs w:val="22"/>
          <w:lang w:val="lt-LT" w:eastAsia="en-US"/>
        </w:rPr>
        <w:t>/l. Sprendžiant, ar pradėti tokių ARG gavusių pacientų gydymą Darunavir Teva, šis vaistinis preparatas turi būti skiriamas, atsižvelgiant į genotipinio tyrimo rezultatus (žr. 4.2, 4.3, 4.4 ir 5.1 skyrius).</w:t>
      </w:r>
    </w:p>
    <w:p w14:paraId="409D3938" w14:textId="77777777" w:rsidR="00645841" w:rsidRPr="00532388" w:rsidRDefault="00645841" w:rsidP="0079657F">
      <w:pPr>
        <w:pStyle w:val="Sraopastraipa"/>
        <w:autoSpaceDE w:val="0"/>
        <w:autoSpaceDN w:val="0"/>
        <w:adjustRightInd w:val="0"/>
        <w:ind w:left="567"/>
        <w:rPr>
          <w:rFonts w:eastAsia="TimesNewRoman"/>
          <w:sz w:val="22"/>
          <w:szCs w:val="22"/>
          <w:lang w:val="lt-LT" w:eastAsia="en-US"/>
        </w:rPr>
      </w:pPr>
    </w:p>
    <w:p w14:paraId="6AA8FB59" w14:textId="77777777" w:rsidR="00645841" w:rsidRPr="00532388" w:rsidRDefault="00645841" w:rsidP="0079657F">
      <w:pPr>
        <w:keepNext/>
        <w:numPr>
          <w:ilvl w:val="1"/>
          <w:numId w:val="1"/>
        </w:numPr>
        <w:tabs>
          <w:tab w:val="left" w:pos="567"/>
        </w:tabs>
        <w:spacing w:line="260" w:lineRule="exact"/>
        <w:outlineLvl w:val="0"/>
        <w:rPr>
          <w:rFonts w:eastAsia="Times New Roman"/>
          <w:b/>
          <w:noProof/>
          <w:sz w:val="22"/>
          <w:szCs w:val="22"/>
          <w:lang w:val="lt-LT" w:eastAsia="lt-LT" w:bidi="lt-LT"/>
        </w:rPr>
      </w:pPr>
      <w:r w:rsidRPr="00532388">
        <w:rPr>
          <w:rFonts w:eastAsia="Times New Roman"/>
          <w:b/>
          <w:noProof/>
          <w:sz w:val="22"/>
          <w:lang w:val="lt-LT" w:eastAsia="lt-LT" w:bidi="lt-LT"/>
        </w:rPr>
        <w:lastRenderedPageBreak/>
        <w:t>Dozavimas ir vartojimo metodas</w:t>
      </w:r>
    </w:p>
    <w:p w14:paraId="6FBF75A6" w14:textId="77777777" w:rsidR="00645841" w:rsidRPr="00532388" w:rsidRDefault="00645841" w:rsidP="0079657F">
      <w:pPr>
        <w:keepNext/>
        <w:tabs>
          <w:tab w:val="left" w:pos="567"/>
        </w:tabs>
        <w:rPr>
          <w:rFonts w:eastAsia="Times New Roman"/>
          <w:sz w:val="22"/>
          <w:szCs w:val="22"/>
          <w:lang w:val="lt-LT" w:eastAsia="lt-LT" w:bidi="lt-LT"/>
        </w:rPr>
      </w:pPr>
    </w:p>
    <w:p w14:paraId="1F1145DC"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Gydymą turi pradėti ŽIV infekcijos gydymo patirties turintis sveikatos priežiūros specialistas. Pradėjus gydymą Darunavir Teva, pacientams reikia patarti, kad nekeistų dozavimo, vaisto formos ir nenutrauktų gydymo nepasitarę su sveikatos priežiūros specialistu.</w:t>
      </w:r>
    </w:p>
    <w:p w14:paraId="74B1D9C4" w14:textId="77777777" w:rsidR="00645841" w:rsidRPr="00532388" w:rsidRDefault="00645841" w:rsidP="0079657F">
      <w:pPr>
        <w:autoSpaceDE w:val="0"/>
        <w:autoSpaceDN w:val="0"/>
        <w:adjustRightInd w:val="0"/>
        <w:rPr>
          <w:rFonts w:eastAsia="TimesNewRoman"/>
          <w:sz w:val="22"/>
          <w:szCs w:val="22"/>
          <w:u w:val="single"/>
          <w:lang w:val="lt-LT" w:eastAsia="en-US"/>
        </w:rPr>
      </w:pPr>
    </w:p>
    <w:p w14:paraId="65FC3407" w14:textId="77777777" w:rsidR="00645841" w:rsidRPr="00532388" w:rsidRDefault="00E06B45"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w:t>
      </w:r>
      <w:r w:rsidR="00645841" w:rsidRPr="00532388">
        <w:rPr>
          <w:rFonts w:eastAsia="TimesNewRoman"/>
          <w:sz w:val="22"/>
          <w:szCs w:val="22"/>
          <w:lang w:val="lt-LT" w:eastAsia="en-US"/>
        </w:rPr>
        <w:t>o sąveikos pobūdis priklauso nuo to, ar ritonaviras, ar kobicistatas yra vartojami kaip farmakokinetik</w:t>
      </w:r>
      <w:r w:rsidRPr="00532388">
        <w:rPr>
          <w:rFonts w:eastAsia="TimesNewRoman"/>
          <w:sz w:val="22"/>
          <w:szCs w:val="22"/>
          <w:lang w:val="lt-LT" w:eastAsia="en-US"/>
        </w:rPr>
        <w:t>ą</w:t>
      </w:r>
      <w:r w:rsidR="00645841" w:rsidRPr="00532388">
        <w:rPr>
          <w:rFonts w:eastAsia="TimesNewRoman"/>
          <w:sz w:val="22"/>
          <w:szCs w:val="22"/>
          <w:lang w:val="lt-LT" w:eastAsia="en-US"/>
        </w:rPr>
        <w:t xml:space="preserve"> stiprinantys</w:t>
      </w:r>
      <w:r w:rsidRPr="00532388">
        <w:rPr>
          <w:rFonts w:eastAsia="TimesNewRoman"/>
          <w:sz w:val="22"/>
          <w:szCs w:val="22"/>
          <w:lang w:val="lt-LT" w:eastAsia="en-US"/>
        </w:rPr>
        <w:t xml:space="preserve"> veiksniai. Todėl darunavir</w:t>
      </w:r>
      <w:r w:rsidR="00645841" w:rsidRPr="00532388">
        <w:rPr>
          <w:rFonts w:eastAsia="TimesNewRoman"/>
          <w:sz w:val="22"/>
          <w:szCs w:val="22"/>
          <w:lang w:val="lt-LT" w:eastAsia="en-US"/>
        </w:rPr>
        <w:t>o kontraindikacijos ir kitų vaistinių preparatų vartojimo kartu rekomendacijos gali skirtis</w:t>
      </w:r>
      <w:r w:rsidRPr="00532388">
        <w:rPr>
          <w:rFonts w:eastAsia="TimesNewRoman"/>
          <w:sz w:val="22"/>
          <w:szCs w:val="22"/>
          <w:lang w:val="lt-LT" w:eastAsia="en-US"/>
        </w:rPr>
        <w:t>,</w:t>
      </w:r>
      <w:r w:rsidR="00645841" w:rsidRPr="00532388">
        <w:rPr>
          <w:rFonts w:eastAsia="TimesNewRoman"/>
          <w:sz w:val="22"/>
          <w:szCs w:val="22"/>
          <w:lang w:val="lt-LT" w:eastAsia="en-US"/>
        </w:rPr>
        <w:t xml:space="preserve"> priklausomai nuo to, ar ši medžiaga sustiprinama ritonaviru, ar kobicistatu (žr. 4.3, 4.4 ir 4.5 skyrius).</w:t>
      </w:r>
    </w:p>
    <w:p w14:paraId="1764EC41" w14:textId="77777777" w:rsidR="00645841" w:rsidRPr="00532388" w:rsidRDefault="00645841" w:rsidP="0079657F">
      <w:pPr>
        <w:autoSpaceDE w:val="0"/>
        <w:autoSpaceDN w:val="0"/>
        <w:adjustRightInd w:val="0"/>
        <w:rPr>
          <w:rFonts w:eastAsia="TimesNewRoman"/>
          <w:sz w:val="22"/>
          <w:szCs w:val="22"/>
          <w:lang w:val="lt-LT" w:eastAsia="en-US"/>
        </w:rPr>
      </w:pPr>
    </w:p>
    <w:p w14:paraId="15C828D2" w14:textId="77777777" w:rsidR="00C225EE" w:rsidRPr="00532388" w:rsidRDefault="00C225EE"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Dozavimas</w:t>
      </w:r>
    </w:p>
    <w:p w14:paraId="3AD2C466" w14:textId="77777777" w:rsidR="00C225EE" w:rsidRPr="00532388" w:rsidRDefault="00C225EE" w:rsidP="0079657F">
      <w:pPr>
        <w:autoSpaceDE w:val="0"/>
        <w:autoSpaceDN w:val="0"/>
        <w:adjustRightInd w:val="0"/>
        <w:rPr>
          <w:rFonts w:eastAsia="TimesNewRoman"/>
          <w:sz w:val="22"/>
          <w:szCs w:val="22"/>
          <w:lang w:val="lt-LT" w:eastAsia="en-US"/>
        </w:rPr>
      </w:pPr>
    </w:p>
    <w:p w14:paraId="42C55B2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 Teva visada reikia vartoti per burną kartu su kobicistatu arba maža ritonaviro, stiprinančio farmakokinetiką, doze ir taip pat kartu su kitais antiretrovirusiniais vaistiniais preparatais. Todėl prieš pradedant gydyti Darunavir Teva, reikia susipažinti su kobicistato arba atitinkamai su ritonaviro </w:t>
      </w:r>
      <w:r w:rsidR="00981930" w:rsidRPr="00532388">
        <w:rPr>
          <w:rFonts w:eastAsia="TimesNewRoman"/>
          <w:sz w:val="22"/>
          <w:szCs w:val="22"/>
          <w:lang w:val="lt-LT" w:eastAsia="en-US"/>
        </w:rPr>
        <w:t>p</w:t>
      </w:r>
      <w:r w:rsidRPr="00532388">
        <w:rPr>
          <w:rFonts w:eastAsia="TimesNewRoman"/>
          <w:sz w:val="22"/>
          <w:szCs w:val="22"/>
          <w:lang w:val="lt-LT" w:eastAsia="en-US"/>
        </w:rPr>
        <w:t xml:space="preserve">reparato charakteristikų santrauka. Kobicistatas nėra skirtas vartoti du kartus per parą arba vartoti vaikų populiacijai. </w:t>
      </w:r>
    </w:p>
    <w:p w14:paraId="2847397E" w14:textId="77777777" w:rsidR="00645841" w:rsidRPr="00532388" w:rsidRDefault="00645841" w:rsidP="0079657F">
      <w:pPr>
        <w:rPr>
          <w:rFonts w:eastAsia="TimesNewRoman"/>
          <w:sz w:val="22"/>
          <w:szCs w:val="22"/>
          <w:lang w:val="lt-LT" w:eastAsia="en-US"/>
        </w:rPr>
      </w:pPr>
    </w:p>
    <w:p w14:paraId="4F756B71" w14:textId="77777777" w:rsidR="00645841" w:rsidRPr="00532388" w:rsidRDefault="00DA674D" w:rsidP="0079657F">
      <w:pPr>
        <w:autoSpaceDE w:val="0"/>
        <w:autoSpaceDN w:val="0"/>
        <w:adjustRightInd w:val="0"/>
        <w:rPr>
          <w:i/>
          <w:iCs/>
          <w:sz w:val="22"/>
          <w:szCs w:val="22"/>
          <w:lang w:val="lt-LT" w:eastAsia="en-US"/>
        </w:rPr>
      </w:pPr>
      <w:r w:rsidRPr="00532388">
        <w:rPr>
          <w:i/>
          <w:iCs/>
          <w:sz w:val="22"/>
          <w:szCs w:val="22"/>
          <w:lang w:val="lt-LT" w:eastAsia="en-US"/>
        </w:rPr>
        <w:t>Suaugusieji p</w:t>
      </w:r>
      <w:r w:rsidR="00645841" w:rsidRPr="00532388">
        <w:rPr>
          <w:i/>
          <w:iCs/>
          <w:sz w:val="22"/>
          <w:szCs w:val="22"/>
          <w:lang w:val="lt-LT" w:eastAsia="en-US"/>
        </w:rPr>
        <w:t>acientai, kuriems nebuvo taikytas ARG</w:t>
      </w:r>
    </w:p>
    <w:p w14:paraId="66A7B1A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Rekomenduojamas dozavimo planas yra 800 mg dozė vieną kartą per parą kartu su 150 mg kobicistato vieną kartą per parą arba 100 mg ritonaviro doze vieną kartą per parą valgant. Darunavir Teva 400 mg tabletės gali būti vartojamos vienkartinei 800 mg paros dozei sudaryti.</w:t>
      </w:r>
    </w:p>
    <w:p w14:paraId="4A5656B0" w14:textId="77777777" w:rsidR="00645841" w:rsidRPr="00532388" w:rsidRDefault="00645841" w:rsidP="0079657F">
      <w:pPr>
        <w:autoSpaceDE w:val="0"/>
        <w:autoSpaceDN w:val="0"/>
        <w:adjustRightInd w:val="0"/>
        <w:rPr>
          <w:i/>
          <w:iCs/>
          <w:sz w:val="22"/>
          <w:szCs w:val="22"/>
          <w:lang w:val="lt-LT" w:eastAsia="en-US"/>
        </w:rPr>
      </w:pPr>
    </w:p>
    <w:p w14:paraId="6D4878AC"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Suaugusieji pacientai, kuriems buvo taikytas ARG</w:t>
      </w:r>
    </w:p>
    <w:p w14:paraId="104A5D6B"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Rekomenduojami tokie dozavimo planai</w:t>
      </w:r>
      <w:r w:rsidR="00981930" w:rsidRPr="00532388">
        <w:rPr>
          <w:rFonts w:eastAsia="TimesNewRoman"/>
          <w:sz w:val="22"/>
          <w:szCs w:val="22"/>
          <w:lang w:val="lt-LT" w:eastAsia="en-US"/>
        </w:rPr>
        <w:t>:</w:t>
      </w:r>
    </w:p>
    <w:p w14:paraId="0FEE79F6"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 xml:space="preserve">Pacientams, kuriems buvo taikytas ARG, nėra su mutacijomis susijusio </w:t>
      </w:r>
      <w:r w:rsidR="00DA674D" w:rsidRPr="00532388">
        <w:rPr>
          <w:sz w:val="22"/>
          <w:szCs w:val="22"/>
          <w:lang w:val="lt-LT" w:eastAsia="en-US"/>
        </w:rPr>
        <w:t>atsparumo darunavir</w:t>
      </w:r>
      <w:r w:rsidRPr="00532388">
        <w:rPr>
          <w:sz w:val="22"/>
          <w:szCs w:val="22"/>
          <w:lang w:val="lt-LT" w:eastAsia="en-US"/>
        </w:rPr>
        <w:t>ui (DRV-ASM)* ir kurių ŽIV-1 RNR kiekis plazmoje &lt; 100 000 kopijų/ml, o CD4+ ląstelių kiekis ≥ 100 ląstelių x 10</w:t>
      </w:r>
      <w:r w:rsidRPr="00532388">
        <w:rPr>
          <w:sz w:val="22"/>
          <w:szCs w:val="22"/>
          <w:vertAlign w:val="superscript"/>
          <w:lang w:val="lt-LT" w:eastAsia="en-US"/>
        </w:rPr>
        <w:t>6</w:t>
      </w:r>
      <w:r w:rsidRPr="00532388">
        <w:rPr>
          <w:sz w:val="22"/>
          <w:szCs w:val="22"/>
          <w:lang w:val="lt-LT" w:eastAsia="en-US"/>
        </w:rPr>
        <w:t xml:space="preserve">/l (žr. 4.1 skyrių), galima taikyti dozavimo planą, pagal kurį reikia vartoti 800 mg dozę vieną kartą per parą kartu su 150 mg kobicistato vieną kartą per parą arba 100 mg ritonaviro vieną kartą per parą valgant. </w:t>
      </w:r>
      <w:r w:rsidRPr="00532388">
        <w:rPr>
          <w:rFonts w:eastAsia="TimesNewRoman"/>
          <w:sz w:val="22"/>
          <w:szCs w:val="22"/>
          <w:lang w:val="lt-LT" w:eastAsia="en-US"/>
        </w:rPr>
        <w:t>Darunavir Teva</w:t>
      </w:r>
      <w:r w:rsidRPr="00532388">
        <w:rPr>
          <w:sz w:val="22"/>
          <w:szCs w:val="22"/>
          <w:lang w:val="lt-LT" w:eastAsia="en-US"/>
        </w:rPr>
        <w:t xml:space="preserve"> 400 mg tabletės gali būti vartojamos vienkartinei 800 mg paros dozei sudaryti.</w:t>
      </w:r>
    </w:p>
    <w:p w14:paraId="4AC98CA9"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 xml:space="preserve">Visiems kitiems ARG gavusiems pacientams, kuriems nėra ŽIV-1 genotipinių mėginių duomenų, rekomenduojamas dozavimas yra 600 mg vaistinio preparato du kartus per parą kartu su 100 mg ritonaviro du kartus per parą valgant. Žr. </w:t>
      </w:r>
      <w:r w:rsidRPr="00532388">
        <w:rPr>
          <w:rFonts w:eastAsia="TimesNewRoman"/>
          <w:sz w:val="22"/>
          <w:szCs w:val="22"/>
          <w:lang w:val="lt-LT" w:eastAsia="en-US"/>
        </w:rPr>
        <w:t>Darunavir Teva</w:t>
      </w:r>
      <w:r w:rsidRPr="00532388">
        <w:rPr>
          <w:sz w:val="22"/>
          <w:szCs w:val="22"/>
          <w:lang w:val="lt-LT" w:eastAsia="en-US"/>
        </w:rPr>
        <w:t xml:space="preserve"> </w:t>
      </w:r>
      <w:r w:rsidR="00C225EE" w:rsidRPr="00532388">
        <w:rPr>
          <w:sz w:val="22"/>
          <w:szCs w:val="22"/>
          <w:lang w:val="lt-LT" w:eastAsia="en-US"/>
        </w:rPr>
        <w:t>600 </w:t>
      </w:r>
      <w:r w:rsidRPr="00532388">
        <w:rPr>
          <w:sz w:val="22"/>
          <w:szCs w:val="22"/>
          <w:lang w:val="lt-LT" w:eastAsia="en-US"/>
        </w:rPr>
        <w:t>mg tablečių preparato charakteristikų santrauk</w:t>
      </w:r>
      <w:r w:rsidR="00981930" w:rsidRPr="00532388">
        <w:rPr>
          <w:sz w:val="22"/>
          <w:szCs w:val="22"/>
          <w:lang w:val="lt-LT" w:eastAsia="en-US"/>
        </w:rPr>
        <w:t>ą</w:t>
      </w:r>
      <w:r w:rsidRPr="00532388">
        <w:rPr>
          <w:sz w:val="22"/>
          <w:szCs w:val="22"/>
          <w:lang w:val="lt-LT" w:eastAsia="en-US"/>
        </w:rPr>
        <w:t>.</w:t>
      </w:r>
    </w:p>
    <w:p w14:paraId="31261560" w14:textId="77777777" w:rsidR="00645841" w:rsidRPr="00532388" w:rsidRDefault="00645841" w:rsidP="0079657F">
      <w:pPr>
        <w:pStyle w:val="BT-EMEASMCA"/>
        <w:numPr>
          <w:ilvl w:val="0"/>
          <w:numId w:val="0"/>
        </w:numPr>
        <w:rPr>
          <w:sz w:val="20"/>
          <w:lang w:val="lt-LT" w:eastAsia="en-US"/>
        </w:rPr>
      </w:pPr>
      <w:r w:rsidRPr="00532388">
        <w:rPr>
          <w:sz w:val="20"/>
          <w:lang w:val="lt-LT" w:eastAsia="en-US"/>
        </w:rPr>
        <w:t>*DRV-ASM: V11I, V32I, L33F, I47V, I50V, I54M, I54L, T74P, L76V, I84V ir L89V.</w:t>
      </w:r>
    </w:p>
    <w:p w14:paraId="1D0EBF85" w14:textId="77777777" w:rsidR="00645841" w:rsidRPr="00532388" w:rsidRDefault="00645841" w:rsidP="0079657F">
      <w:pPr>
        <w:autoSpaceDE w:val="0"/>
        <w:autoSpaceDN w:val="0"/>
        <w:adjustRightInd w:val="0"/>
        <w:rPr>
          <w:i/>
          <w:iCs/>
          <w:sz w:val="22"/>
          <w:szCs w:val="22"/>
          <w:lang w:val="lt-LT" w:eastAsia="en-US"/>
        </w:rPr>
      </w:pPr>
    </w:p>
    <w:p w14:paraId="59D61B45"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Vaikų populiacijos pacientai, kuriems nebuvo taikytas ARG (nuo 3 iki 17 metų, kurie sveria mažiausiai 40</w:t>
      </w:r>
      <w:r w:rsidR="00B45700" w:rsidRPr="00532388">
        <w:rPr>
          <w:i/>
          <w:iCs/>
          <w:sz w:val="22"/>
          <w:szCs w:val="22"/>
          <w:lang w:val="lt-LT" w:eastAsia="en-US"/>
        </w:rPr>
        <w:t> </w:t>
      </w:r>
      <w:r w:rsidRPr="00532388">
        <w:rPr>
          <w:i/>
          <w:iCs/>
          <w:sz w:val="22"/>
          <w:szCs w:val="22"/>
          <w:lang w:val="lt-LT" w:eastAsia="en-US"/>
        </w:rPr>
        <w:t>kilogramų)</w:t>
      </w:r>
    </w:p>
    <w:p w14:paraId="05E10AA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Rekomenduojamoji Darunavir Teva dozė yra 800 mg vieną kartą per parą, vartojama kartu su 100 mg ritonaviro doze vieną kartą per parą valgant. Kobicistato dozė, kuri turi būti vartojama kartu su Darunavir Teva, jaunesniems nei 18 metų amžiaus vaikams nenustatyta.</w:t>
      </w:r>
    </w:p>
    <w:p w14:paraId="25614676" w14:textId="77777777" w:rsidR="00645841" w:rsidRPr="00532388" w:rsidRDefault="00645841" w:rsidP="0079657F">
      <w:pPr>
        <w:autoSpaceDE w:val="0"/>
        <w:autoSpaceDN w:val="0"/>
        <w:adjustRightInd w:val="0"/>
        <w:rPr>
          <w:i/>
          <w:iCs/>
          <w:sz w:val="22"/>
          <w:szCs w:val="22"/>
          <w:lang w:val="lt-LT" w:eastAsia="en-US"/>
        </w:rPr>
      </w:pPr>
    </w:p>
    <w:p w14:paraId="1FD8E866"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Vaikų populiacijos pacientai, kuriems buvo taikytas ARG (nuo 3 iki 17 metų, kurie sveria mažiausiai 40</w:t>
      </w:r>
      <w:r w:rsidR="00B45700" w:rsidRPr="00532388">
        <w:rPr>
          <w:i/>
          <w:iCs/>
          <w:sz w:val="22"/>
          <w:szCs w:val="22"/>
          <w:lang w:val="lt-LT" w:eastAsia="en-US"/>
        </w:rPr>
        <w:t> </w:t>
      </w:r>
      <w:r w:rsidRPr="00532388">
        <w:rPr>
          <w:i/>
          <w:iCs/>
          <w:sz w:val="22"/>
          <w:szCs w:val="22"/>
          <w:lang w:val="lt-LT" w:eastAsia="en-US"/>
        </w:rPr>
        <w:t>kilogramų)</w:t>
      </w:r>
    </w:p>
    <w:p w14:paraId="5F58482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Kobicistato dozė, kuri turi būti vartojama kartu su Darunavir Teva, jaunesniems nei 18 metų amžiaus</w:t>
      </w:r>
      <w:r w:rsidR="00C225EE" w:rsidRPr="00532388">
        <w:rPr>
          <w:rFonts w:eastAsia="TimesNewRoman"/>
          <w:sz w:val="22"/>
          <w:szCs w:val="22"/>
          <w:lang w:val="lt-LT" w:eastAsia="en-US"/>
        </w:rPr>
        <w:t xml:space="preserve"> </w:t>
      </w:r>
      <w:r w:rsidRPr="00532388">
        <w:rPr>
          <w:rFonts w:eastAsia="TimesNewRoman"/>
          <w:sz w:val="22"/>
          <w:szCs w:val="22"/>
          <w:lang w:val="lt-LT" w:eastAsia="en-US"/>
        </w:rPr>
        <w:t>vaikams nenustatyta.</w:t>
      </w:r>
    </w:p>
    <w:p w14:paraId="58D3E0DF" w14:textId="77777777" w:rsidR="00645841" w:rsidRPr="00532388" w:rsidRDefault="00645841" w:rsidP="0079657F">
      <w:pPr>
        <w:autoSpaceDE w:val="0"/>
        <w:autoSpaceDN w:val="0"/>
        <w:adjustRightInd w:val="0"/>
        <w:rPr>
          <w:rFonts w:eastAsia="TimesNewRoman"/>
          <w:sz w:val="22"/>
          <w:szCs w:val="22"/>
          <w:lang w:val="lt-LT" w:eastAsia="en-US"/>
        </w:rPr>
      </w:pPr>
    </w:p>
    <w:p w14:paraId="53669E68"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Rekomenduojami tokie dozavimo planai</w:t>
      </w:r>
      <w:r w:rsidR="00745115" w:rsidRPr="00532388">
        <w:rPr>
          <w:rFonts w:eastAsia="TimesNewRoman"/>
          <w:sz w:val="22"/>
          <w:szCs w:val="22"/>
          <w:lang w:val="lt-LT" w:eastAsia="en-US"/>
        </w:rPr>
        <w:t>:</w:t>
      </w:r>
    </w:p>
    <w:p w14:paraId="22D7DBFE" w14:textId="77777777" w:rsidR="00645841" w:rsidRPr="00532388" w:rsidRDefault="00645841" w:rsidP="0079657F">
      <w:pPr>
        <w:pStyle w:val="BT-EMEASMCA"/>
        <w:autoSpaceDE w:val="0"/>
        <w:autoSpaceDN w:val="0"/>
        <w:adjustRightInd w:val="0"/>
        <w:ind w:left="567" w:hanging="567"/>
        <w:rPr>
          <w:rFonts w:eastAsia="TimesNewRoman"/>
          <w:sz w:val="22"/>
          <w:szCs w:val="22"/>
          <w:lang w:val="lt-LT" w:eastAsia="en-US"/>
        </w:rPr>
      </w:pPr>
      <w:r w:rsidRPr="00532388">
        <w:rPr>
          <w:sz w:val="22"/>
          <w:szCs w:val="22"/>
          <w:lang w:val="lt-LT" w:eastAsia="en-US"/>
        </w:rPr>
        <w:t>Pacientams, kuriems buvo taikytas ARG ir neturintiems DRV-ASM*, kurių plazmoje yra &lt;</w:t>
      </w:r>
      <w:r w:rsidR="00A564AF">
        <w:rPr>
          <w:sz w:val="22"/>
          <w:szCs w:val="22"/>
          <w:lang w:val="lt-LT" w:eastAsia="en-US"/>
        </w:rPr>
        <w:t> </w:t>
      </w:r>
      <w:r w:rsidRPr="00532388">
        <w:rPr>
          <w:sz w:val="22"/>
          <w:szCs w:val="22"/>
          <w:lang w:val="lt-LT" w:eastAsia="en-US"/>
        </w:rPr>
        <w:t>100 000 ŽIV-1 RNR kopijų/ml ir CD4+ ląstelių kiekis yra ≥ 100 ląstelių x 10</w:t>
      </w:r>
      <w:r w:rsidRPr="00532388">
        <w:rPr>
          <w:sz w:val="22"/>
          <w:szCs w:val="22"/>
          <w:vertAlign w:val="superscript"/>
          <w:lang w:val="lt-LT" w:eastAsia="en-US"/>
        </w:rPr>
        <w:t>6</w:t>
      </w:r>
      <w:r w:rsidRPr="00532388">
        <w:rPr>
          <w:sz w:val="22"/>
          <w:szCs w:val="22"/>
          <w:lang w:val="lt-LT" w:eastAsia="en-US"/>
        </w:rPr>
        <w:t>/l (žr.</w:t>
      </w:r>
      <w:r w:rsidRPr="00532388">
        <w:rPr>
          <w:rFonts w:eastAsia="TimesNewRoman"/>
          <w:sz w:val="22"/>
          <w:szCs w:val="22"/>
          <w:lang w:val="lt-LT" w:eastAsia="en-US"/>
        </w:rPr>
        <w:t>4.1 skyrių) galima gydyti pagal planą vartojant 800 mg dozę vieną kartą per parą kartu su 100 mg ritonaviro vieną kartą per parą valgant. Darunavir Teva 400</w:t>
      </w:r>
      <w:r w:rsidR="00C225EE" w:rsidRPr="00532388">
        <w:rPr>
          <w:rFonts w:eastAsia="TimesNewRoman"/>
          <w:sz w:val="22"/>
          <w:szCs w:val="22"/>
          <w:lang w:val="lt-LT" w:eastAsia="en-US"/>
        </w:rPr>
        <w:t> </w:t>
      </w:r>
      <w:r w:rsidRPr="00532388">
        <w:rPr>
          <w:rFonts w:eastAsia="TimesNewRoman"/>
          <w:sz w:val="22"/>
          <w:szCs w:val="22"/>
          <w:lang w:val="lt-LT" w:eastAsia="en-US"/>
        </w:rPr>
        <w:t>mg tabletes galima vartoti norint gydyti pagal 800 mg vieną kartą per parą planą.</w:t>
      </w:r>
    </w:p>
    <w:p w14:paraId="4E1F5B71"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 xml:space="preserve">Visiems kitiems pacientams, kuriems buvo taikytas gydymas ARG arba nėra ŽIV-1 genotipavimo duomenų, rekomenduojamas dozavimo planas, kuris parašytas </w:t>
      </w:r>
      <w:r w:rsidRPr="00532388">
        <w:rPr>
          <w:rFonts w:eastAsia="TimesNewRoman"/>
          <w:sz w:val="22"/>
          <w:szCs w:val="22"/>
          <w:lang w:val="lt-LT" w:eastAsia="en-US"/>
        </w:rPr>
        <w:t xml:space="preserve">Darunavir Teva </w:t>
      </w:r>
      <w:r w:rsidRPr="00532388">
        <w:rPr>
          <w:sz w:val="22"/>
          <w:szCs w:val="22"/>
          <w:lang w:val="lt-LT" w:eastAsia="en-US"/>
        </w:rPr>
        <w:t xml:space="preserve">600 mg tablečių </w:t>
      </w:r>
      <w:r w:rsidR="004C5E5E">
        <w:rPr>
          <w:sz w:val="22"/>
          <w:szCs w:val="22"/>
          <w:lang w:val="lt-LT" w:eastAsia="en-US"/>
        </w:rPr>
        <w:t>p</w:t>
      </w:r>
      <w:r w:rsidRPr="00532388">
        <w:rPr>
          <w:sz w:val="22"/>
          <w:szCs w:val="22"/>
          <w:lang w:val="lt-LT" w:eastAsia="en-US"/>
        </w:rPr>
        <w:t>reparato charakteristikų santrauko</w:t>
      </w:r>
      <w:r w:rsidR="00C225EE" w:rsidRPr="00532388">
        <w:rPr>
          <w:sz w:val="22"/>
          <w:szCs w:val="22"/>
          <w:lang w:val="lt-LT" w:eastAsia="en-US"/>
        </w:rPr>
        <w:t>j</w:t>
      </w:r>
      <w:r w:rsidRPr="00532388">
        <w:rPr>
          <w:sz w:val="22"/>
          <w:szCs w:val="22"/>
          <w:lang w:val="lt-LT" w:eastAsia="en-US"/>
        </w:rPr>
        <w:t>e.</w:t>
      </w:r>
    </w:p>
    <w:p w14:paraId="2403D26C" w14:textId="77777777" w:rsidR="00645841" w:rsidRPr="00532388" w:rsidRDefault="00645841" w:rsidP="0079657F">
      <w:pPr>
        <w:autoSpaceDE w:val="0"/>
        <w:autoSpaceDN w:val="0"/>
        <w:adjustRightInd w:val="0"/>
        <w:rPr>
          <w:rFonts w:eastAsia="TimesNewRoman"/>
          <w:sz w:val="20"/>
          <w:lang w:val="lt-LT" w:eastAsia="en-US"/>
        </w:rPr>
      </w:pPr>
      <w:r w:rsidRPr="00532388">
        <w:rPr>
          <w:rFonts w:eastAsia="TimesNewRoman"/>
          <w:sz w:val="20"/>
          <w:lang w:val="lt-LT" w:eastAsia="en-US"/>
        </w:rPr>
        <w:t>* DRV-ASM: V11I, V32I, L33F, I47V, I50V, I54M, I54L, T74P, L76V, I84V ir L89V.</w:t>
      </w:r>
    </w:p>
    <w:p w14:paraId="41AC40F1" w14:textId="77777777" w:rsidR="00645841" w:rsidRPr="00532388" w:rsidRDefault="00645841" w:rsidP="0079657F">
      <w:pPr>
        <w:autoSpaceDE w:val="0"/>
        <w:autoSpaceDN w:val="0"/>
        <w:adjustRightInd w:val="0"/>
        <w:rPr>
          <w:i/>
          <w:iCs/>
          <w:sz w:val="22"/>
          <w:szCs w:val="22"/>
          <w:lang w:val="lt-LT" w:eastAsia="en-US"/>
        </w:rPr>
      </w:pPr>
    </w:p>
    <w:p w14:paraId="084430E0"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Patarimas praleidus dozę</w:t>
      </w:r>
    </w:p>
    <w:p w14:paraId="3B13B44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Jei Darunavir Teva ir (ar) kobicistato arba ritonaviro dozė buvo praleista ir dar nepraėjo 12 valandų nuo įprastinio dozės vartojimo laiko, pacientams reikia patarti paskirtą Darunavir Teva ir kobicistato arba ritonaviro dozę suvartoti kartu su maistu kaip įmanoma greičiau. Jei nuo įprastinio dozės vartojimo praėjo daugiau nei 12 valandų, pacientas šią dozę turi praleisti ir toliau vaist</w:t>
      </w:r>
      <w:r w:rsidR="004C5E5E">
        <w:rPr>
          <w:rFonts w:eastAsia="TimesNewRoman"/>
          <w:sz w:val="22"/>
          <w:szCs w:val="22"/>
          <w:lang w:val="lt-LT" w:eastAsia="en-US"/>
        </w:rPr>
        <w:t>inį preparatą</w:t>
      </w:r>
      <w:r w:rsidRPr="00532388">
        <w:rPr>
          <w:rFonts w:eastAsia="TimesNewRoman"/>
          <w:sz w:val="22"/>
          <w:szCs w:val="22"/>
          <w:lang w:val="lt-LT" w:eastAsia="en-US"/>
        </w:rPr>
        <w:t xml:space="preserve"> gerti įprastiniu laiku. </w:t>
      </w:r>
    </w:p>
    <w:p w14:paraId="7DF6E1E6" w14:textId="77777777" w:rsidR="00645841" w:rsidRPr="00532388" w:rsidRDefault="00645841" w:rsidP="0079657F">
      <w:pPr>
        <w:autoSpaceDE w:val="0"/>
        <w:autoSpaceDN w:val="0"/>
        <w:adjustRightInd w:val="0"/>
        <w:rPr>
          <w:rFonts w:eastAsia="TimesNewRoman"/>
          <w:sz w:val="22"/>
          <w:szCs w:val="22"/>
          <w:lang w:val="lt-LT" w:eastAsia="en-US"/>
        </w:rPr>
      </w:pPr>
    </w:p>
    <w:p w14:paraId="03452EEB"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Ši rekomendacija yra paremta duomenimis apie </w:t>
      </w:r>
      <w:r w:rsidR="00C225EE" w:rsidRPr="00532388">
        <w:rPr>
          <w:rFonts w:eastAsia="TimesNewRoman"/>
          <w:sz w:val="22"/>
          <w:szCs w:val="22"/>
          <w:lang w:val="lt-LT" w:eastAsia="en-US"/>
        </w:rPr>
        <w:t>darunavir</w:t>
      </w:r>
      <w:r w:rsidRPr="00532388">
        <w:rPr>
          <w:rFonts w:eastAsia="TimesNewRoman"/>
          <w:sz w:val="22"/>
          <w:szCs w:val="22"/>
          <w:lang w:val="lt-LT" w:eastAsia="en-US"/>
        </w:rPr>
        <w:t>o, vartoto kartu su kobicistatu arba ritonaviru, pusinės eliminacijos periodą ir rekomenduojamą intervalą tarp vaistinio preparato dozių maž</w:t>
      </w:r>
      <w:r w:rsidR="00C225EE" w:rsidRPr="00532388">
        <w:rPr>
          <w:rFonts w:eastAsia="TimesNewRoman"/>
          <w:sz w:val="22"/>
          <w:szCs w:val="22"/>
          <w:lang w:val="lt-LT" w:eastAsia="en-US"/>
        </w:rPr>
        <w:t>daug 24 </w:t>
      </w:r>
      <w:r w:rsidRPr="00532388">
        <w:rPr>
          <w:rFonts w:eastAsia="TimesNewRoman"/>
          <w:sz w:val="22"/>
          <w:szCs w:val="22"/>
          <w:lang w:val="lt-LT" w:eastAsia="en-US"/>
        </w:rPr>
        <w:t>val.</w:t>
      </w:r>
    </w:p>
    <w:p w14:paraId="10259250" w14:textId="77777777" w:rsidR="00645841" w:rsidRPr="00532388" w:rsidRDefault="00645841" w:rsidP="0079657F">
      <w:pPr>
        <w:autoSpaceDE w:val="0"/>
        <w:autoSpaceDN w:val="0"/>
        <w:adjustRightInd w:val="0"/>
        <w:rPr>
          <w:rFonts w:eastAsia="TimesNewRoman"/>
          <w:i/>
          <w:iCs/>
          <w:sz w:val="22"/>
          <w:szCs w:val="22"/>
          <w:lang w:val="lt-LT" w:eastAsia="en-US"/>
        </w:rPr>
      </w:pPr>
    </w:p>
    <w:p w14:paraId="0C6ACF99" w14:textId="77777777" w:rsidR="00645841" w:rsidRPr="00532388" w:rsidRDefault="00645841" w:rsidP="0079657F">
      <w:pPr>
        <w:autoSpaceDE w:val="0"/>
        <w:autoSpaceDN w:val="0"/>
        <w:adjustRightInd w:val="0"/>
        <w:rPr>
          <w:rFonts w:eastAsia="TimesNewRoman"/>
          <w:i/>
          <w:sz w:val="22"/>
          <w:szCs w:val="22"/>
          <w:lang w:val="lt-LT" w:eastAsia="en-US"/>
        </w:rPr>
      </w:pPr>
      <w:r w:rsidRPr="00532388">
        <w:rPr>
          <w:rFonts w:eastAsia="TimesNewRoman"/>
          <w:i/>
          <w:sz w:val="22"/>
          <w:szCs w:val="22"/>
          <w:lang w:val="lt-LT" w:eastAsia="en-US"/>
        </w:rPr>
        <w:t>Ypatingos populiacijos</w:t>
      </w:r>
    </w:p>
    <w:p w14:paraId="78AAE477" w14:textId="77777777" w:rsidR="00645841" w:rsidRPr="00532388" w:rsidRDefault="00645841" w:rsidP="0079657F">
      <w:pPr>
        <w:autoSpaceDE w:val="0"/>
        <w:autoSpaceDN w:val="0"/>
        <w:adjustRightInd w:val="0"/>
        <w:rPr>
          <w:rFonts w:eastAsia="TimesNewRoman"/>
          <w:i/>
          <w:iCs/>
          <w:sz w:val="22"/>
          <w:szCs w:val="22"/>
          <w:lang w:val="lt-LT" w:eastAsia="en-US"/>
        </w:rPr>
      </w:pPr>
    </w:p>
    <w:p w14:paraId="4F0B98CC"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Senyviems pacientams</w:t>
      </w:r>
    </w:p>
    <w:p w14:paraId="0AF1B5C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Duomenys apie šios grupės pacientus yra riboti, todėl šios grupės pacientams Darunavir Teva vartoti reikia atsargiai (žr. 4.4 ir 5.2 skyrius).</w:t>
      </w:r>
    </w:p>
    <w:p w14:paraId="75D7942B" w14:textId="77777777" w:rsidR="00645841" w:rsidRPr="00532388" w:rsidRDefault="00645841" w:rsidP="0079657F">
      <w:pPr>
        <w:autoSpaceDE w:val="0"/>
        <w:autoSpaceDN w:val="0"/>
        <w:adjustRightInd w:val="0"/>
        <w:rPr>
          <w:rFonts w:eastAsia="TimesNewRoman"/>
          <w:i/>
          <w:iCs/>
          <w:sz w:val="22"/>
          <w:szCs w:val="22"/>
          <w:lang w:val="lt-LT" w:eastAsia="en-US"/>
        </w:rPr>
      </w:pPr>
    </w:p>
    <w:p w14:paraId="6A5C1FA4"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Kepenų funkcijos sutrikimas</w:t>
      </w:r>
    </w:p>
    <w:p w14:paraId="6B36D7AD"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Darunaviras metabolizuojamas kepenų fermentinėje sistemoje. Pacientams, kurie serga lengvu (A klasės pagal </w:t>
      </w:r>
      <w:r w:rsidRPr="00532388">
        <w:rPr>
          <w:rFonts w:eastAsia="TimesNewRoman"/>
          <w:i/>
          <w:iCs/>
          <w:sz w:val="22"/>
          <w:szCs w:val="22"/>
          <w:lang w:val="lt-LT" w:eastAsia="en-US"/>
        </w:rPr>
        <w:t>Child-Pugh</w:t>
      </w:r>
      <w:r w:rsidRPr="00532388">
        <w:rPr>
          <w:rFonts w:eastAsia="TimesNewRoman"/>
          <w:sz w:val="22"/>
          <w:szCs w:val="22"/>
          <w:lang w:val="lt-LT" w:eastAsia="en-US"/>
        </w:rPr>
        <w:t xml:space="preserve">) arba vidutinio sunkumo (B klasės pagal </w:t>
      </w:r>
      <w:r w:rsidRPr="00532388">
        <w:rPr>
          <w:rFonts w:eastAsia="TimesNewRoman"/>
          <w:i/>
          <w:iCs/>
          <w:sz w:val="22"/>
          <w:szCs w:val="22"/>
          <w:lang w:val="lt-LT" w:eastAsia="en-US"/>
        </w:rPr>
        <w:t>Child-Pugh</w:t>
      </w:r>
      <w:r w:rsidRPr="00532388">
        <w:rPr>
          <w:rFonts w:eastAsia="TimesNewRoman"/>
          <w:sz w:val="22"/>
          <w:szCs w:val="22"/>
          <w:lang w:val="lt-LT" w:eastAsia="en-US"/>
        </w:rPr>
        <w:t xml:space="preserve">) kepenų funkcijos sutrikimu, vaistinio preparato dozės keisti nereikia, tačiau šiems pacientams Darunavir Teva vartoti reikia atsargiai. Duomenų apie vaistinio preparato farmakokinetiką ligonių, kurie serga sunkiu kepenų funkcijos sutrikimu, organizme nėra. Esant sunkiam kepenų funkcijos sutrikimui, darunaviro ekspozicija organizme galėtų didėti, o vaistinio preparato saugumo savybės pablogėti. Dėl šių ypatumų Darunavir Teva draudžiama skirti pacientams, kurie serga sunkiu (C klasės pagal </w:t>
      </w:r>
      <w:r w:rsidRPr="00532388">
        <w:rPr>
          <w:rFonts w:eastAsia="TimesNewRoman"/>
          <w:i/>
          <w:iCs/>
          <w:sz w:val="22"/>
          <w:szCs w:val="22"/>
          <w:lang w:val="lt-LT" w:eastAsia="en-US"/>
        </w:rPr>
        <w:t>Child-Pugh</w:t>
      </w:r>
      <w:r w:rsidRPr="00532388">
        <w:rPr>
          <w:rFonts w:eastAsia="TimesNewRoman"/>
          <w:sz w:val="22"/>
          <w:szCs w:val="22"/>
          <w:lang w:val="lt-LT" w:eastAsia="en-US"/>
        </w:rPr>
        <w:t>) kepenų funkcijos sutrikimu (žr. 4.3, 4.4 ir 5.2 skyrius).</w:t>
      </w:r>
    </w:p>
    <w:p w14:paraId="31FD06C7" w14:textId="77777777" w:rsidR="00645841" w:rsidRPr="00532388" w:rsidRDefault="00645841" w:rsidP="0079657F">
      <w:pPr>
        <w:autoSpaceDE w:val="0"/>
        <w:autoSpaceDN w:val="0"/>
        <w:adjustRightInd w:val="0"/>
        <w:rPr>
          <w:rFonts w:eastAsia="TimesNewRoman"/>
          <w:i/>
          <w:iCs/>
          <w:sz w:val="22"/>
          <w:szCs w:val="22"/>
          <w:lang w:val="lt-LT" w:eastAsia="en-US"/>
        </w:rPr>
      </w:pPr>
    </w:p>
    <w:p w14:paraId="52F9CEBE"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Inkstų funkcijos sutrikimas</w:t>
      </w:r>
    </w:p>
    <w:p w14:paraId="547D2FAE"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Pacientams, kurių inkstų veikla sutrikusi, darunaviro ir ritonaviro dozės keisti nereikia (žr. 4.4 ir 5.2 skyrius). Kobicistato vartojimas pacientams, kuriems atliekama dializė, netirtas, todėl jokių darunaviro ir kobicistato vartojimo rekomendacijų šiems pacientams pateikti negalima.</w:t>
      </w:r>
    </w:p>
    <w:p w14:paraId="619B0C30" w14:textId="77777777" w:rsidR="00645841" w:rsidRPr="00532388" w:rsidRDefault="00645841" w:rsidP="0079657F">
      <w:pPr>
        <w:autoSpaceDE w:val="0"/>
        <w:autoSpaceDN w:val="0"/>
        <w:adjustRightInd w:val="0"/>
        <w:rPr>
          <w:rFonts w:eastAsia="TimesNewRoman"/>
          <w:sz w:val="22"/>
          <w:szCs w:val="22"/>
          <w:lang w:val="lt-LT" w:eastAsia="en-US"/>
        </w:rPr>
      </w:pPr>
    </w:p>
    <w:p w14:paraId="142F6F72"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Dėl kreatinino sekrecijos inkstų kanalėliuose slopinimo kobicistatas gali šiek tiek padidinti kreatinino koncentraciją serume ir šiek tiek mažinti kreatinino klirensą. </w:t>
      </w:r>
      <w:r w:rsidRPr="00532388">
        <w:rPr>
          <w:rFonts w:eastAsia="TimesNewRoman"/>
          <w:sz w:val="22"/>
          <w:szCs w:val="22"/>
          <w:lang w:val="lt-LT" w:eastAsia="en-US"/>
        </w:rPr>
        <w:lastRenderedPageBreak/>
        <w:t>Todėl gali būti klaidinga naudoti kreatinino klirensą ka</w:t>
      </w:r>
      <w:r w:rsidR="00745115" w:rsidRPr="00532388">
        <w:rPr>
          <w:rFonts w:eastAsia="TimesNewRoman"/>
          <w:sz w:val="22"/>
          <w:szCs w:val="22"/>
          <w:lang w:val="lt-LT" w:eastAsia="en-US"/>
        </w:rPr>
        <w:t>ip šalinimo per inkstus rodmenį</w:t>
      </w:r>
      <w:r w:rsidRPr="00532388">
        <w:rPr>
          <w:rFonts w:eastAsia="TimesNewRoman"/>
          <w:sz w:val="22"/>
          <w:szCs w:val="22"/>
          <w:lang w:val="lt-LT" w:eastAsia="en-US"/>
        </w:rPr>
        <w:t>. Todėl kobicistato, kaip darunaviro farmakokinetikos stiprinančio vaistinio preparato, nereikėtų skirti pacientams, kurių kreatinino klirensas yra mažesnis nei 70 ml/min., jeigu kartu vartojama vaistinių preparatų</w:t>
      </w:r>
      <w:r w:rsidR="00745115" w:rsidRPr="00532388">
        <w:rPr>
          <w:rFonts w:eastAsia="TimesNewRoman"/>
          <w:sz w:val="22"/>
          <w:szCs w:val="22"/>
          <w:lang w:val="lt-LT" w:eastAsia="en-US"/>
        </w:rPr>
        <w:t>,</w:t>
      </w:r>
      <w:r w:rsidRPr="00532388">
        <w:rPr>
          <w:rFonts w:eastAsia="TimesNewRoman"/>
          <w:sz w:val="22"/>
          <w:szCs w:val="22"/>
          <w:lang w:val="lt-LT" w:eastAsia="en-US"/>
        </w:rPr>
        <w:t xml:space="preserve"> kurių dozę reikia koreguoti pagal kreatinino klirensą, pvz., emtricitabino, lamivudino, tenofoviro dizoproksilio fumarato ar adefoviro dipovoksilio.</w:t>
      </w:r>
    </w:p>
    <w:p w14:paraId="7AD3325D"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Informacijos apie kobicistato vartojimą reikėtų žr. kobicistato Preparato charakteristikų santraukoje.</w:t>
      </w:r>
    </w:p>
    <w:p w14:paraId="134024B5" w14:textId="77777777" w:rsidR="00645841" w:rsidRPr="00532388" w:rsidRDefault="00645841" w:rsidP="0079657F">
      <w:pPr>
        <w:autoSpaceDE w:val="0"/>
        <w:autoSpaceDN w:val="0"/>
        <w:adjustRightInd w:val="0"/>
        <w:rPr>
          <w:rFonts w:eastAsia="TimesNewRoman"/>
          <w:sz w:val="22"/>
          <w:szCs w:val="22"/>
          <w:lang w:val="lt-LT" w:eastAsia="en-US"/>
        </w:rPr>
      </w:pPr>
    </w:p>
    <w:p w14:paraId="1ECCDE3E"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Vaikų populiacija</w:t>
      </w:r>
    </w:p>
    <w:p w14:paraId="3476A3A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w:t>
      </w:r>
      <w:r w:rsidR="00745115" w:rsidRPr="00532388">
        <w:rPr>
          <w:rFonts w:eastAsia="TimesNewRoman"/>
          <w:sz w:val="22"/>
          <w:szCs w:val="22"/>
          <w:lang w:val="lt-LT" w:eastAsia="en-US"/>
        </w:rPr>
        <w:t>o</w:t>
      </w:r>
      <w:r w:rsidRPr="00532388">
        <w:rPr>
          <w:rFonts w:eastAsia="TimesNewRoman"/>
          <w:sz w:val="22"/>
          <w:szCs w:val="22"/>
          <w:lang w:val="lt-LT" w:eastAsia="en-US"/>
        </w:rPr>
        <w:t xml:space="preserve"> negalima vartoti jaunesniems kaip 3 metų arba mažesn</w:t>
      </w:r>
      <w:r w:rsidR="00B45700" w:rsidRPr="00532388">
        <w:rPr>
          <w:rFonts w:eastAsia="TimesNewRoman"/>
          <w:sz w:val="22"/>
          <w:szCs w:val="22"/>
          <w:lang w:val="lt-LT" w:eastAsia="en-US"/>
        </w:rPr>
        <w:t xml:space="preserve">io </w:t>
      </w:r>
      <w:r w:rsidRPr="00532388">
        <w:rPr>
          <w:rFonts w:eastAsia="TimesNewRoman"/>
          <w:sz w:val="22"/>
          <w:szCs w:val="22"/>
          <w:lang w:val="lt-LT" w:eastAsia="en-US"/>
        </w:rPr>
        <w:t>kaip 15 kg svorio</w:t>
      </w:r>
      <w:r w:rsidR="00B45700" w:rsidRPr="00532388">
        <w:rPr>
          <w:rFonts w:eastAsia="TimesNewRoman"/>
          <w:sz w:val="22"/>
          <w:szCs w:val="22"/>
          <w:lang w:val="lt-LT" w:eastAsia="en-US"/>
        </w:rPr>
        <w:t xml:space="preserve"> vaikų populiacijos pacientams </w:t>
      </w:r>
      <w:r w:rsidRPr="00532388">
        <w:rPr>
          <w:rFonts w:eastAsia="TimesNewRoman"/>
          <w:sz w:val="22"/>
          <w:szCs w:val="22"/>
          <w:lang w:val="lt-LT" w:eastAsia="en-US"/>
        </w:rPr>
        <w:t xml:space="preserve">(žr. </w:t>
      </w:r>
      <w:r w:rsidR="00B45700" w:rsidRPr="00532388">
        <w:rPr>
          <w:rFonts w:eastAsia="TimesNewRoman"/>
          <w:sz w:val="22"/>
          <w:szCs w:val="22"/>
          <w:lang w:val="lt-LT" w:eastAsia="en-US"/>
        </w:rPr>
        <w:t>4.4 ir 5.3</w:t>
      </w:r>
      <w:r w:rsidRPr="00532388">
        <w:rPr>
          <w:rFonts w:eastAsia="TimesNewRoman"/>
          <w:sz w:val="22"/>
          <w:szCs w:val="22"/>
          <w:lang w:val="lt-LT" w:eastAsia="en-US"/>
        </w:rPr>
        <w:t xml:space="preserve"> skyri</w:t>
      </w:r>
      <w:r w:rsidR="00B45700" w:rsidRPr="00532388">
        <w:rPr>
          <w:rFonts w:eastAsia="TimesNewRoman"/>
          <w:sz w:val="22"/>
          <w:szCs w:val="22"/>
          <w:lang w:val="lt-LT" w:eastAsia="en-US"/>
        </w:rPr>
        <w:t>us</w:t>
      </w:r>
      <w:r w:rsidRPr="00532388">
        <w:rPr>
          <w:rFonts w:eastAsia="TimesNewRoman"/>
          <w:sz w:val="22"/>
          <w:szCs w:val="22"/>
          <w:lang w:val="lt-LT" w:eastAsia="en-US"/>
        </w:rPr>
        <w:t xml:space="preserve">). </w:t>
      </w:r>
    </w:p>
    <w:p w14:paraId="46700652" w14:textId="77777777" w:rsidR="00645841" w:rsidRPr="00532388" w:rsidRDefault="00645841" w:rsidP="0079657F">
      <w:pPr>
        <w:autoSpaceDE w:val="0"/>
        <w:autoSpaceDN w:val="0"/>
        <w:adjustRightInd w:val="0"/>
        <w:rPr>
          <w:rFonts w:eastAsia="TimesNewRoman"/>
          <w:sz w:val="22"/>
          <w:szCs w:val="22"/>
          <w:u w:val="single"/>
          <w:lang w:val="lt-LT" w:eastAsia="en-US"/>
        </w:rPr>
      </w:pPr>
    </w:p>
    <w:p w14:paraId="52AF3F6B"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Vaikų populiacijos pacientai, kuriems nebuvo taikytas ARG (jaunesni kaip 3 metų arba kurių svoris mažesnis kaip 15</w:t>
      </w:r>
      <w:r w:rsidR="00B45700" w:rsidRPr="00532388">
        <w:rPr>
          <w:rFonts w:eastAsia="TimesNewRoman"/>
          <w:i/>
          <w:iCs/>
          <w:sz w:val="22"/>
          <w:szCs w:val="22"/>
          <w:lang w:val="lt-LT" w:eastAsia="en-US"/>
        </w:rPr>
        <w:t> </w:t>
      </w:r>
      <w:r w:rsidRPr="00532388">
        <w:rPr>
          <w:rFonts w:eastAsia="TimesNewRoman"/>
          <w:i/>
          <w:iCs/>
          <w:sz w:val="22"/>
          <w:szCs w:val="22"/>
          <w:lang w:val="lt-LT" w:eastAsia="en-US"/>
        </w:rPr>
        <w:t>kg)</w:t>
      </w:r>
    </w:p>
    <w:p w14:paraId="2820DE97"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Dozavimo rekomendacijų šios populiacijos pacientams pateikti negalima.</w:t>
      </w:r>
    </w:p>
    <w:p w14:paraId="1007FDDB" w14:textId="77777777" w:rsidR="00645841" w:rsidRPr="00532388" w:rsidRDefault="00645841" w:rsidP="0079657F">
      <w:pPr>
        <w:autoSpaceDE w:val="0"/>
        <w:autoSpaceDN w:val="0"/>
        <w:adjustRightInd w:val="0"/>
        <w:rPr>
          <w:rFonts w:eastAsia="TimesNewRoman"/>
          <w:sz w:val="22"/>
          <w:szCs w:val="22"/>
          <w:lang w:val="lt-LT" w:eastAsia="en-US"/>
        </w:rPr>
      </w:pPr>
    </w:p>
    <w:p w14:paraId="1DA27A7A"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Vaikų populiacijos pacientai (nuo 3 iki 17 met</w:t>
      </w:r>
      <w:r w:rsidR="00B45700" w:rsidRPr="00532388">
        <w:rPr>
          <w:i/>
          <w:iCs/>
          <w:sz w:val="22"/>
          <w:szCs w:val="22"/>
          <w:lang w:val="lt-LT" w:eastAsia="en-US"/>
        </w:rPr>
        <w:t>ų ir sveriantiems mažiausiai 40 </w:t>
      </w:r>
      <w:r w:rsidRPr="00532388">
        <w:rPr>
          <w:i/>
          <w:iCs/>
          <w:sz w:val="22"/>
          <w:szCs w:val="22"/>
          <w:lang w:val="lt-LT" w:eastAsia="en-US"/>
        </w:rPr>
        <w:t>kg), kuriems buvo</w:t>
      </w:r>
      <w:r w:rsidR="00B45700" w:rsidRPr="00532388">
        <w:rPr>
          <w:i/>
          <w:iCs/>
          <w:sz w:val="22"/>
          <w:szCs w:val="22"/>
          <w:lang w:val="lt-LT" w:eastAsia="en-US"/>
        </w:rPr>
        <w:t xml:space="preserve"> </w:t>
      </w:r>
      <w:r w:rsidRPr="00532388">
        <w:rPr>
          <w:i/>
          <w:iCs/>
          <w:sz w:val="22"/>
          <w:szCs w:val="22"/>
          <w:lang w:val="lt-LT" w:eastAsia="en-US"/>
        </w:rPr>
        <w:t>taikytas ARG</w:t>
      </w:r>
    </w:p>
    <w:p w14:paraId="7D414B78"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Buvo nustatytos darunaviro ekspozicijos pirmiau negydytų nuo 12 iki 17 metų paauglių, sveriančių ne mažiau kaip 40</w:t>
      </w:r>
      <w:r w:rsidR="00B45700" w:rsidRPr="00532388">
        <w:rPr>
          <w:rFonts w:eastAsia="TimesNewRoman"/>
          <w:sz w:val="22"/>
          <w:szCs w:val="22"/>
          <w:lang w:val="lt-LT" w:eastAsia="en-US"/>
        </w:rPr>
        <w:t> </w:t>
      </w:r>
      <w:r w:rsidRPr="00532388">
        <w:rPr>
          <w:rFonts w:eastAsia="TimesNewRoman"/>
          <w:sz w:val="22"/>
          <w:szCs w:val="22"/>
          <w:lang w:val="lt-LT" w:eastAsia="en-US"/>
        </w:rPr>
        <w:t>kg, organizme vartojant darunaviro/ritonaviro 800 mg/100 mg dozę vieną kartą per parą ir nustatyta, kad jos yra gydomųjų ekspozicijų ribose, kurios buvo nustatytos suaugusiesiems, vartojantiems darunaviro/ ritonaviro 800 mg/100 mg dozę vieną kartą per parą. Dėl to, kadangi Darunavir Teva /ritonaviro 800 mg/100 mg dozė vieną kartą per parą taip pat yra registruota vartoti pirmiau gydytiems suaugusiesiems, neturintiems su mutacijomis (DRV-ASM)* susijusio atsparumo darunavirui ir kurių plazmoje yra &lt; 100 000 ŽIV-1 RNR kopijų/ml ir CD4+ ląstelių kiekis yra ≥</w:t>
      </w:r>
      <w:r w:rsidR="00A564AF">
        <w:rPr>
          <w:rFonts w:eastAsia="TimesNewRoman"/>
          <w:sz w:val="22"/>
          <w:szCs w:val="22"/>
          <w:lang w:val="lt-LT" w:eastAsia="en-US"/>
        </w:rPr>
        <w:t> </w:t>
      </w:r>
      <w:r w:rsidRPr="00532388">
        <w:rPr>
          <w:rFonts w:eastAsia="TimesNewRoman"/>
          <w:sz w:val="22"/>
          <w:szCs w:val="22"/>
          <w:lang w:val="lt-LT" w:eastAsia="en-US"/>
        </w:rPr>
        <w:t>100</w:t>
      </w:r>
      <w:r w:rsidR="00A564AF">
        <w:rPr>
          <w:rFonts w:eastAsia="TimesNewRoman"/>
          <w:sz w:val="22"/>
          <w:szCs w:val="22"/>
          <w:lang w:val="lt-LT" w:eastAsia="en-US"/>
        </w:rPr>
        <w:t> </w:t>
      </w:r>
      <w:r w:rsidRPr="00532388">
        <w:rPr>
          <w:rFonts w:eastAsia="TimesNewRoman"/>
          <w:sz w:val="22"/>
          <w:szCs w:val="22"/>
          <w:lang w:val="lt-LT" w:eastAsia="en-US"/>
        </w:rPr>
        <w:t>ląstelių x 10</w:t>
      </w:r>
      <w:r w:rsidRPr="00532388">
        <w:rPr>
          <w:rFonts w:eastAsia="TimesNewRoman"/>
          <w:sz w:val="22"/>
          <w:szCs w:val="22"/>
          <w:vertAlign w:val="superscript"/>
          <w:lang w:val="lt-LT" w:eastAsia="en-US"/>
        </w:rPr>
        <w:t>6</w:t>
      </w:r>
      <w:r w:rsidRPr="00532388">
        <w:rPr>
          <w:rFonts w:eastAsia="TimesNewRoman"/>
          <w:sz w:val="22"/>
          <w:szCs w:val="22"/>
          <w:lang w:val="lt-LT" w:eastAsia="en-US"/>
        </w:rPr>
        <w:t>/l, ta pati Darunavir Teva 800 mg vieną kartą per parą vartojimo indikacija tinka ir pirmiau gydytiems vaikams nuo 3 iki 17 metų, sveriantiems ne mažiau kaip 40</w:t>
      </w:r>
      <w:r w:rsidR="00B45700" w:rsidRPr="00532388">
        <w:rPr>
          <w:rFonts w:eastAsia="TimesNewRoman"/>
          <w:sz w:val="22"/>
          <w:szCs w:val="22"/>
          <w:lang w:val="lt-LT" w:eastAsia="en-US"/>
        </w:rPr>
        <w:t> </w:t>
      </w:r>
      <w:r w:rsidRPr="00532388">
        <w:rPr>
          <w:rFonts w:eastAsia="TimesNewRoman"/>
          <w:sz w:val="22"/>
          <w:szCs w:val="22"/>
          <w:lang w:val="lt-LT" w:eastAsia="en-US"/>
        </w:rPr>
        <w:t>kg. Darunaviro vartojamo kartu su kobicistatu dozė šiai pacientų populiacijai nenustatyta.</w:t>
      </w:r>
    </w:p>
    <w:p w14:paraId="4CF940CA" w14:textId="77777777" w:rsidR="00645841" w:rsidRPr="00532388" w:rsidRDefault="00645841" w:rsidP="0079657F">
      <w:pPr>
        <w:autoSpaceDE w:val="0"/>
        <w:autoSpaceDN w:val="0"/>
        <w:adjustRightInd w:val="0"/>
        <w:rPr>
          <w:rFonts w:eastAsia="TimesNewRoman"/>
          <w:sz w:val="18"/>
          <w:szCs w:val="18"/>
          <w:lang w:val="lt-LT" w:eastAsia="en-US"/>
        </w:rPr>
      </w:pPr>
      <w:r w:rsidRPr="00532388">
        <w:rPr>
          <w:rFonts w:eastAsia="TimesNewRoman"/>
          <w:sz w:val="22"/>
          <w:szCs w:val="22"/>
          <w:lang w:val="lt-LT" w:eastAsia="en-US"/>
        </w:rPr>
        <w:t xml:space="preserve">* </w:t>
      </w:r>
      <w:r w:rsidRPr="00532388">
        <w:rPr>
          <w:rFonts w:eastAsia="TimesNewRoman"/>
          <w:sz w:val="18"/>
          <w:szCs w:val="18"/>
          <w:lang w:val="lt-LT" w:eastAsia="en-US"/>
        </w:rPr>
        <w:t>DRV-ASM: V11I, V32I, L33F, I47V, I50V, I54M, I54L, T74P, L76V, I84V ir L89V.</w:t>
      </w:r>
    </w:p>
    <w:p w14:paraId="11376B83" w14:textId="77777777" w:rsidR="00645841" w:rsidRPr="00532388" w:rsidRDefault="00645841" w:rsidP="0079657F">
      <w:pPr>
        <w:autoSpaceDE w:val="0"/>
        <w:autoSpaceDN w:val="0"/>
        <w:adjustRightInd w:val="0"/>
        <w:rPr>
          <w:rFonts w:eastAsia="TimesNewRoman"/>
          <w:sz w:val="22"/>
          <w:szCs w:val="22"/>
          <w:lang w:val="lt-LT" w:eastAsia="en-US"/>
        </w:rPr>
      </w:pPr>
    </w:p>
    <w:p w14:paraId="16244A2C" w14:textId="77777777" w:rsidR="00B45700" w:rsidRPr="00532388" w:rsidRDefault="00B45700" w:rsidP="0079657F">
      <w:pPr>
        <w:pStyle w:val="BT-EMEASMCA"/>
        <w:numPr>
          <w:ilvl w:val="0"/>
          <w:numId w:val="0"/>
        </w:numPr>
        <w:rPr>
          <w:sz w:val="22"/>
          <w:szCs w:val="22"/>
          <w:lang w:val="lt-LT" w:eastAsia="en-US"/>
        </w:rPr>
      </w:pPr>
      <w:r w:rsidRPr="00532388">
        <w:rPr>
          <w:rFonts w:eastAsia="TimesNewRoman"/>
          <w:sz w:val="22"/>
          <w:szCs w:val="22"/>
          <w:lang w:val="lt-LT" w:eastAsia="en-US"/>
        </w:rPr>
        <w:t>Informacij</w:t>
      </w:r>
      <w:r w:rsidR="001379A4" w:rsidRPr="00532388">
        <w:rPr>
          <w:rFonts w:eastAsia="TimesNewRoman"/>
          <w:sz w:val="22"/>
          <w:szCs w:val="22"/>
          <w:lang w:val="lt-LT" w:eastAsia="en-US"/>
        </w:rPr>
        <w:t>ą</w:t>
      </w:r>
      <w:r w:rsidRPr="00532388">
        <w:rPr>
          <w:rFonts w:eastAsia="TimesNewRoman"/>
          <w:sz w:val="22"/>
          <w:szCs w:val="22"/>
          <w:lang w:val="lt-LT" w:eastAsia="en-US"/>
        </w:rPr>
        <w:t xml:space="preserve"> apie dozavimo rekomendacijas vaikams žr. Darunavir Teva </w:t>
      </w:r>
      <w:r w:rsidRPr="00532388">
        <w:rPr>
          <w:sz w:val="22"/>
          <w:szCs w:val="22"/>
          <w:lang w:val="lt-LT" w:eastAsia="en-US"/>
        </w:rPr>
        <w:t xml:space="preserve">600 mg tablečių </w:t>
      </w:r>
      <w:r w:rsidR="004C5E5E">
        <w:rPr>
          <w:sz w:val="22"/>
          <w:szCs w:val="22"/>
          <w:lang w:val="lt-LT" w:eastAsia="en-US"/>
        </w:rPr>
        <w:t>p</w:t>
      </w:r>
      <w:r w:rsidRPr="00532388">
        <w:rPr>
          <w:sz w:val="22"/>
          <w:szCs w:val="22"/>
          <w:lang w:val="lt-LT" w:eastAsia="en-US"/>
        </w:rPr>
        <w:t>reparato charakteristikų santraukoje.</w:t>
      </w:r>
    </w:p>
    <w:p w14:paraId="093E3BB3" w14:textId="77777777" w:rsidR="00B45700" w:rsidRPr="00532388" w:rsidRDefault="00B45700"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 Teva negalima vartoti mažesnio kaip 15 kg svorio vaikų populiacijos pacientams, nes dozė šios populiacijos pacientams nenustatyta dėl nepakankamo pacientų skaičiaus. Darunavir Teva negalima vartoti jaunesniems kaip 3 metų </w:t>
      </w:r>
      <w:r w:rsidR="004C5E5E">
        <w:rPr>
          <w:rFonts w:eastAsia="TimesNewRoman"/>
          <w:sz w:val="22"/>
          <w:szCs w:val="22"/>
          <w:lang w:val="lt-LT" w:eastAsia="en-US"/>
        </w:rPr>
        <w:t xml:space="preserve">vaikams </w:t>
      </w:r>
      <w:r w:rsidRPr="00532388">
        <w:rPr>
          <w:rFonts w:eastAsia="TimesNewRoman"/>
          <w:sz w:val="22"/>
          <w:szCs w:val="22"/>
          <w:lang w:val="lt-LT" w:eastAsia="en-US"/>
        </w:rPr>
        <w:t>dėl saugumo problemų.</w:t>
      </w:r>
    </w:p>
    <w:p w14:paraId="338500F8" w14:textId="77777777" w:rsidR="00645841" w:rsidRPr="00532388" w:rsidRDefault="00645841" w:rsidP="0079657F">
      <w:pPr>
        <w:autoSpaceDE w:val="0"/>
        <w:autoSpaceDN w:val="0"/>
        <w:adjustRightInd w:val="0"/>
        <w:rPr>
          <w:rFonts w:eastAsia="TimesNewRoman"/>
          <w:i/>
          <w:iCs/>
          <w:sz w:val="22"/>
          <w:szCs w:val="22"/>
          <w:lang w:val="lt-LT" w:eastAsia="en-US"/>
        </w:rPr>
      </w:pPr>
    </w:p>
    <w:p w14:paraId="1082F3C0"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Nėštumas ir pogimdyminis laikotarpis</w:t>
      </w:r>
    </w:p>
    <w:p w14:paraId="0ACDD56F"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Nėštumo ir pogimdyminiu laikotarpiu darunaviro/ritonaviro dozės keisti nereikia. Darunavir</w:t>
      </w:r>
      <w:r w:rsidR="00B45700" w:rsidRPr="00532388">
        <w:rPr>
          <w:rFonts w:eastAsia="TimesNewRoman"/>
          <w:sz w:val="22"/>
          <w:szCs w:val="22"/>
          <w:lang w:val="lt-LT" w:eastAsia="en-US"/>
        </w:rPr>
        <w:t>as</w:t>
      </w:r>
      <w:r w:rsidRPr="00532388">
        <w:rPr>
          <w:rFonts w:eastAsia="TimesNewRoman"/>
          <w:sz w:val="22"/>
          <w:szCs w:val="22"/>
          <w:lang w:val="lt-LT" w:eastAsia="en-US"/>
        </w:rPr>
        <w:t xml:space="preserve"> turi būti vartojamas nėštumo metu tik tada, kai galima nauda pateisina galimą riziką (žr. 4.4, 4.6 ir 5.2 skyrius).</w:t>
      </w:r>
    </w:p>
    <w:p w14:paraId="1581BE25" w14:textId="77777777" w:rsidR="00645841" w:rsidRPr="00532388" w:rsidRDefault="00645841" w:rsidP="0079657F">
      <w:pPr>
        <w:autoSpaceDE w:val="0"/>
        <w:autoSpaceDN w:val="0"/>
        <w:adjustRightInd w:val="0"/>
        <w:rPr>
          <w:rFonts w:eastAsia="TimesNewRoman"/>
          <w:sz w:val="22"/>
          <w:szCs w:val="22"/>
          <w:lang w:val="lt-LT" w:eastAsia="en-US"/>
        </w:rPr>
      </w:pPr>
    </w:p>
    <w:p w14:paraId="2D685B79"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Vartojimo metodas</w:t>
      </w:r>
    </w:p>
    <w:p w14:paraId="1789F61E"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Pacientams reikia patarti vartoti Darunavir Teva kartu su </w:t>
      </w:r>
      <w:r w:rsidR="0026057E" w:rsidRPr="00532388">
        <w:rPr>
          <w:rFonts w:eastAsia="TimesNewRoman"/>
          <w:sz w:val="22"/>
          <w:szCs w:val="22"/>
          <w:lang w:val="lt-LT" w:eastAsia="en-US"/>
        </w:rPr>
        <w:t xml:space="preserve">kobocistatu arba </w:t>
      </w:r>
      <w:r w:rsidRPr="00532388">
        <w:rPr>
          <w:rFonts w:eastAsia="TimesNewRoman"/>
          <w:sz w:val="22"/>
          <w:szCs w:val="22"/>
          <w:lang w:val="lt-LT" w:eastAsia="en-US"/>
        </w:rPr>
        <w:t>maža ritonaviro doze 30 minučių laikotarpiu po valgymo pabaigos. Maisto rūšis darunaviro ekspozicijos neveikia (žr. 4.4, 4.5 ir 5.2 skyrius).</w:t>
      </w:r>
    </w:p>
    <w:p w14:paraId="22B3A97A" w14:textId="77777777" w:rsidR="00645841" w:rsidRPr="00532388" w:rsidRDefault="00645841" w:rsidP="0079657F">
      <w:pPr>
        <w:autoSpaceDE w:val="0"/>
        <w:autoSpaceDN w:val="0"/>
        <w:adjustRightInd w:val="0"/>
        <w:rPr>
          <w:rFonts w:eastAsia="TimesNewRoman"/>
          <w:sz w:val="22"/>
          <w:szCs w:val="22"/>
          <w:lang w:val="lt-LT" w:eastAsia="en-US"/>
        </w:rPr>
      </w:pPr>
    </w:p>
    <w:p w14:paraId="61797939" w14:textId="77777777" w:rsidR="00645841" w:rsidRPr="00DD4E66" w:rsidRDefault="00645841" w:rsidP="0079657F">
      <w:pPr>
        <w:keepNext/>
        <w:numPr>
          <w:ilvl w:val="1"/>
          <w:numId w:val="9"/>
        </w:numPr>
        <w:tabs>
          <w:tab w:val="left" w:pos="567"/>
        </w:tabs>
        <w:outlineLvl w:val="0"/>
        <w:rPr>
          <w:sz w:val="22"/>
          <w:lang w:val="lt-LT"/>
        </w:rPr>
      </w:pPr>
      <w:r w:rsidRPr="00DD4E66">
        <w:rPr>
          <w:b/>
          <w:sz w:val="22"/>
          <w:lang w:val="lt-LT"/>
        </w:rPr>
        <w:t>Kontraindikacijos</w:t>
      </w:r>
    </w:p>
    <w:p w14:paraId="0C2C59A0" w14:textId="77777777" w:rsidR="00645841" w:rsidRPr="00532388" w:rsidRDefault="00645841" w:rsidP="0079657F">
      <w:pPr>
        <w:autoSpaceDE w:val="0"/>
        <w:autoSpaceDN w:val="0"/>
        <w:adjustRightInd w:val="0"/>
        <w:rPr>
          <w:rFonts w:eastAsia="TimesNewRoman"/>
          <w:sz w:val="22"/>
          <w:szCs w:val="22"/>
          <w:lang w:val="lt-LT" w:eastAsia="en-US"/>
        </w:rPr>
      </w:pPr>
    </w:p>
    <w:p w14:paraId="1C770168"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Padidėjęs jautrumas veikliajai arba bet kuriai 6.1 skyriuje nurodytai pagalbinei medžiagai.</w:t>
      </w:r>
    </w:p>
    <w:p w14:paraId="1C7DA1B0" w14:textId="77777777" w:rsidR="00E84A1A" w:rsidRPr="00532388" w:rsidRDefault="00E84A1A" w:rsidP="0079657F">
      <w:pPr>
        <w:autoSpaceDE w:val="0"/>
        <w:autoSpaceDN w:val="0"/>
        <w:adjustRightInd w:val="0"/>
        <w:rPr>
          <w:rFonts w:eastAsia="TimesNewRoman"/>
          <w:sz w:val="22"/>
          <w:szCs w:val="22"/>
          <w:lang w:val="lt-LT" w:eastAsia="en-US"/>
        </w:rPr>
      </w:pPr>
    </w:p>
    <w:p w14:paraId="1AB0AB8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Pacientai, kurie serga sunkiu (C klasės pagal </w:t>
      </w:r>
      <w:r w:rsidRPr="00532388">
        <w:rPr>
          <w:rFonts w:eastAsia="TimesNewRoman"/>
          <w:i/>
          <w:iCs/>
          <w:sz w:val="22"/>
          <w:szCs w:val="22"/>
          <w:lang w:val="lt-LT" w:eastAsia="en-US"/>
        </w:rPr>
        <w:t>Child-Pugh</w:t>
      </w:r>
      <w:r w:rsidRPr="00532388">
        <w:rPr>
          <w:rFonts w:eastAsia="TimesNewRoman"/>
          <w:sz w:val="22"/>
          <w:szCs w:val="22"/>
          <w:lang w:val="lt-LT" w:eastAsia="en-US"/>
        </w:rPr>
        <w:t>) kepenų funkcijos sutrikimu.</w:t>
      </w:r>
    </w:p>
    <w:p w14:paraId="06B1955E" w14:textId="77777777" w:rsidR="00E84A1A" w:rsidRPr="00532388" w:rsidRDefault="00E84A1A" w:rsidP="0079657F">
      <w:pPr>
        <w:autoSpaceDE w:val="0"/>
        <w:autoSpaceDN w:val="0"/>
        <w:adjustRightInd w:val="0"/>
        <w:rPr>
          <w:rFonts w:eastAsia="TimesNewRoman"/>
          <w:sz w:val="22"/>
          <w:szCs w:val="22"/>
          <w:lang w:val="lt-LT" w:eastAsia="en-US"/>
        </w:rPr>
      </w:pPr>
    </w:p>
    <w:p w14:paraId="65BBEE85"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Vartojimas kartu su bet kuriuo iš toliau nurodytų vaistų yra draudžiamas, atsižvelgiant į numanomą darunaviro, ritonaviro ir kobicistato koncentracijų plazmoje sumažėjimą ir galimą terapinio poveikio praradimą (žr. 4.4 ir 4.5 skyrius).</w:t>
      </w:r>
    </w:p>
    <w:p w14:paraId="75BA4712" w14:textId="77777777" w:rsidR="00645841" w:rsidRPr="00532388" w:rsidRDefault="00645841" w:rsidP="0079657F">
      <w:pPr>
        <w:autoSpaceDE w:val="0"/>
        <w:autoSpaceDN w:val="0"/>
        <w:adjustRightInd w:val="0"/>
        <w:rPr>
          <w:rFonts w:eastAsia="TimesNewRoman"/>
          <w:sz w:val="22"/>
          <w:szCs w:val="22"/>
          <w:lang w:val="lt-LT" w:eastAsia="en-US"/>
        </w:rPr>
      </w:pPr>
    </w:p>
    <w:p w14:paraId="064566D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Taikoma darunavirui, sustiprin</w:t>
      </w:r>
      <w:r w:rsidR="00E84A1A" w:rsidRPr="00532388">
        <w:rPr>
          <w:rFonts w:eastAsia="TimesNewRoman"/>
          <w:sz w:val="22"/>
          <w:szCs w:val="22"/>
          <w:lang w:val="lt-LT" w:eastAsia="en-US"/>
        </w:rPr>
        <w:t>tam ritonaviru arba kobicistatu:</w:t>
      </w:r>
    </w:p>
    <w:p w14:paraId="2F861B58"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Lopinaviro ir ritonaviro derinys (žr. 4.5 skyrių).</w:t>
      </w:r>
    </w:p>
    <w:p w14:paraId="46D3DA62"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Stiprūs CYP3A induktoriai, rifampicinas ir vaistažolių preparatai, kurių sudėtyje yra paprastųjų jonažolių (</w:t>
      </w:r>
      <w:r w:rsidRPr="00532388">
        <w:rPr>
          <w:i/>
          <w:iCs/>
          <w:sz w:val="22"/>
          <w:szCs w:val="22"/>
          <w:lang w:val="lt-LT" w:eastAsia="en-US"/>
        </w:rPr>
        <w:t>Hypericum perforatum</w:t>
      </w:r>
      <w:r w:rsidRPr="00532388">
        <w:rPr>
          <w:sz w:val="22"/>
          <w:szCs w:val="22"/>
          <w:lang w:val="lt-LT" w:eastAsia="en-US"/>
        </w:rPr>
        <w:t>). Tikėtina, kad dėl jų vartojimo kartu gali sumažėti darunaviro, ritonaviro ir kobicistato koncentracijos plazmoje, todėl gali išnykti terapinis poveikis ir išsivystyti atsparumas (žr. 4.4 ir 4.5 skyrius).</w:t>
      </w:r>
    </w:p>
    <w:p w14:paraId="486DAC28" w14:textId="77777777" w:rsidR="00645841" w:rsidRPr="00532388" w:rsidRDefault="00645841" w:rsidP="0079657F">
      <w:pPr>
        <w:pStyle w:val="BT-EMEASMCA"/>
        <w:numPr>
          <w:ilvl w:val="0"/>
          <w:numId w:val="0"/>
        </w:numPr>
        <w:rPr>
          <w:sz w:val="22"/>
          <w:szCs w:val="22"/>
          <w:lang w:val="lt-LT" w:eastAsia="en-US"/>
        </w:rPr>
      </w:pPr>
    </w:p>
    <w:p w14:paraId="32724A1B" w14:textId="77777777" w:rsidR="00645841" w:rsidRPr="00532388" w:rsidRDefault="00645841" w:rsidP="0079657F">
      <w:pPr>
        <w:pStyle w:val="BT-EMEASMCA"/>
        <w:numPr>
          <w:ilvl w:val="0"/>
          <w:numId w:val="0"/>
        </w:numPr>
        <w:rPr>
          <w:sz w:val="22"/>
          <w:szCs w:val="22"/>
          <w:lang w:val="lt-LT" w:eastAsia="en-US"/>
        </w:rPr>
      </w:pPr>
      <w:r w:rsidRPr="00532388">
        <w:rPr>
          <w:sz w:val="22"/>
          <w:szCs w:val="22"/>
          <w:lang w:val="lt-LT" w:eastAsia="en-US"/>
        </w:rPr>
        <w:t>Taikoma, kai darunaviras sustiprinamas kobicistatu, tačiau ne sustiprinimo ritonaviru atveju.</w:t>
      </w:r>
    </w:p>
    <w:p w14:paraId="6591C3E6"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Darunaviras, sustiprintas kobicistatu, yra jautresnis CYP3A indukcijai nei darunaviras sustiprintas ritonaviru. Vartojimas kartu su stipriais CYP3A induktoriais draudžiamas, nes tai gali sumažinti ekspoziciją kobici</w:t>
      </w:r>
      <w:r w:rsidR="00B468C7">
        <w:rPr>
          <w:sz w:val="22"/>
          <w:szCs w:val="22"/>
          <w:lang w:val="lt-LT" w:eastAsia="en-US"/>
        </w:rPr>
        <w:t>s</w:t>
      </w:r>
      <w:r w:rsidRPr="00532388">
        <w:rPr>
          <w:sz w:val="22"/>
          <w:szCs w:val="22"/>
          <w:lang w:val="lt-LT" w:eastAsia="en-US"/>
        </w:rPr>
        <w:t>tatu ir darunaviru ir dėl to gali išnykti gydomasis poveikis. Stipriems CYP3A induktoriams priklauso, pvz., karbamazepinas, fenobarbitalis ir fenitoinas (žr. 4.4 ir 4.5 skyrius).</w:t>
      </w:r>
    </w:p>
    <w:p w14:paraId="24154372" w14:textId="77777777" w:rsidR="00645841" w:rsidRPr="00532388" w:rsidRDefault="00645841" w:rsidP="0079657F">
      <w:pPr>
        <w:autoSpaceDE w:val="0"/>
        <w:autoSpaceDN w:val="0"/>
        <w:adjustRightInd w:val="0"/>
        <w:rPr>
          <w:rFonts w:eastAsia="TimesNewRoman"/>
          <w:sz w:val="22"/>
          <w:szCs w:val="22"/>
          <w:lang w:val="lt-LT" w:eastAsia="en-US"/>
        </w:rPr>
      </w:pPr>
    </w:p>
    <w:p w14:paraId="5EC92DAD"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sustiprintas ritonaviru arba kobicistatu, slopina veikliųjų medžiagų, kurių klirensas labai priklauso nuo CYP3A, eliminaciją ir dėl to padidėja kartu vartojamo vaistinio preparato ekspozicija. Todėl, gydymas kartu su tokiais vaistiniais preparatais, kurių koncentracijos plazmoje padidėjimas yra susijęs su sunkiais ir (arba) gyvybei pavojingais reiškiniais yra draudžiamas (taikoma darunavirui, sustiprintam ritonaviru arba kobicistatu). Tokios veikliosios medžiagos yra:</w:t>
      </w:r>
    </w:p>
    <w:p w14:paraId="66EA27B4"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alfuzozinas (alfa 1-adrenoreceptorių antagonistas);</w:t>
      </w:r>
    </w:p>
    <w:p w14:paraId="400206C6"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amjodaronas, bepridilis, dronedaronas, chinidinas, ranolazinas, sisteminiu būdu vartojamas lidokainas (antiaritminiai vaistiniai preparatai arba vaistai nuo krūtinės anginos)</w:t>
      </w:r>
      <w:r w:rsidR="0026057E" w:rsidRPr="00532388">
        <w:rPr>
          <w:sz w:val="22"/>
          <w:szCs w:val="22"/>
          <w:lang w:val="lt-LT" w:eastAsia="en-US"/>
        </w:rPr>
        <w:t>;</w:t>
      </w:r>
    </w:p>
    <w:p w14:paraId="28CAA05D"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astemizolas, terfenadinas (antihistamininiai vaistiniai preparatai)</w:t>
      </w:r>
      <w:r w:rsidR="0026057E" w:rsidRPr="00532388">
        <w:rPr>
          <w:sz w:val="22"/>
          <w:szCs w:val="22"/>
          <w:lang w:val="lt-LT" w:eastAsia="en-US"/>
        </w:rPr>
        <w:t>;</w:t>
      </w:r>
    </w:p>
    <w:p w14:paraId="0076DFBD"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 xml:space="preserve">kolchicinas, kai vartojamas pacientams, kuriems yra inkstų lėtinė liga ir (arba) kepenų nepakankamumas </w:t>
      </w:r>
      <w:r w:rsidR="0026057E" w:rsidRPr="00532388">
        <w:rPr>
          <w:sz w:val="22"/>
          <w:szCs w:val="22"/>
          <w:lang w:val="lt-LT" w:eastAsia="en-US"/>
        </w:rPr>
        <w:t>(nuo podagros) (žr. 4.5 skyrių);</w:t>
      </w:r>
    </w:p>
    <w:p w14:paraId="6B7201DE"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skalsių alkaloidai (pvz.: dihidroergotaminas, ergometrinas, ergotaminas, metilergonovinas)</w:t>
      </w:r>
      <w:r w:rsidR="0026057E" w:rsidRPr="00532388">
        <w:rPr>
          <w:sz w:val="22"/>
          <w:szCs w:val="22"/>
          <w:lang w:val="lt-LT" w:eastAsia="en-US"/>
        </w:rPr>
        <w:t>;</w:t>
      </w:r>
    </w:p>
    <w:p w14:paraId="0FBE81F0"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cisapridas (virškinimo trakto peristaltiką ska</w:t>
      </w:r>
      <w:r w:rsidR="0026057E" w:rsidRPr="00532388">
        <w:rPr>
          <w:sz w:val="22"/>
          <w:szCs w:val="22"/>
          <w:lang w:val="lt-LT" w:eastAsia="en-US"/>
        </w:rPr>
        <w:t>tinantys vaistiniai preparatai);</w:t>
      </w:r>
    </w:p>
    <w:p w14:paraId="1A8B7C94"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pimozidas, kvetiapinas, sertindolas (antipsichoziniai vaistiniai preparatai arba neuroleptikai) (žr. 4.5 skyrių)</w:t>
      </w:r>
      <w:r w:rsidR="0026057E" w:rsidRPr="00532388">
        <w:rPr>
          <w:sz w:val="22"/>
          <w:szCs w:val="22"/>
          <w:lang w:val="lt-LT" w:eastAsia="en-US"/>
        </w:rPr>
        <w:t>;</w:t>
      </w:r>
    </w:p>
    <w:p w14:paraId="7436E991"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triazolamas, geriamasis midazolamas (migdomieji ir raminamieji vaistiniai preparatai) (apie atsargumo priemones vartojant midazolamą parenteriniu būdu, žr. 4.5 skyriuje)</w:t>
      </w:r>
      <w:r w:rsidR="0026057E" w:rsidRPr="00532388">
        <w:rPr>
          <w:sz w:val="22"/>
          <w:szCs w:val="22"/>
          <w:lang w:val="lt-LT" w:eastAsia="en-US"/>
        </w:rPr>
        <w:t>;</w:t>
      </w:r>
    </w:p>
    <w:p w14:paraId="79AB5B87"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sildenafilis</w:t>
      </w:r>
      <w:r w:rsidR="00E84A1A" w:rsidRPr="00532388">
        <w:rPr>
          <w:sz w:val="22"/>
          <w:szCs w:val="22"/>
          <w:lang w:val="lt-LT" w:eastAsia="en-US"/>
        </w:rPr>
        <w:t>,</w:t>
      </w:r>
      <w:r w:rsidRPr="00532388">
        <w:rPr>
          <w:sz w:val="22"/>
          <w:szCs w:val="22"/>
          <w:lang w:val="lt-LT" w:eastAsia="en-US"/>
        </w:rPr>
        <w:t xml:space="preserve"> kai vartojamas plautinei arterinei hipertenzijai gydyti, avanafilis (FDE-5 </w:t>
      </w:r>
      <w:r w:rsidR="0026057E" w:rsidRPr="00532388">
        <w:rPr>
          <w:sz w:val="22"/>
          <w:szCs w:val="22"/>
          <w:lang w:val="lt-LT" w:eastAsia="en-US"/>
        </w:rPr>
        <w:t>inhibitoriai);</w:t>
      </w:r>
    </w:p>
    <w:p w14:paraId="3DE353FD"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simvastatinas ir lovastatinas (HMG-CoA reduktazės</w:t>
      </w:r>
      <w:r w:rsidR="0026057E" w:rsidRPr="00532388">
        <w:rPr>
          <w:sz w:val="22"/>
          <w:szCs w:val="22"/>
          <w:lang w:val="lt-LT" w:eastAsia="en-US"/>
        </w:rPr>
        <w:t xml:space="preserve"> inhibitoriai) (žr. 4.5 skyrių);</w:t>
      </w:r>
    </w:p>
    <w:p w14:paraId="5519D3D2" w14:textId="77777777" w:rsidR="00645841" w:rsidRPr="00532388" w:rsidRDefault="00645841" w:rsidP="0079657F">
      <w:pPr>
        <w:pStyle w:val="BT-EMEASMCA"/>
        <w:ind w:left="567" w:hanging="567"/>
        <w:rPr>
          <w:sz w:val="22"/>
          <w:szCs w:val="22"/>
          <w:u w:val="single"/>
          <w:lang w:val="lt-LT" w:eastAsia="en-US"/>
        </w:rPr>
      </w:pPr>
      <w:r w:rsidRPr="00532388">
        <w:rPr>
          <w:sz w:val="22"/>
          <w:szCs w:val="22"/>
          <w:lang w:val="lt-LT" w:eastAsia="en-US"/>
        </w:rPr>
        <w:lastRenderedPageBreak/>
        <w:t>tikagreloras (antitrombocitiniai vaistai) (žr. 4.5 skyrių).</w:t>
      </w:r>
    </w:p>
    <w:p w14:paraId="5AE000FF" w14:textId="77777777" w:rsidR="00645841" w:rsidRPr="00532388" w:rsidRDefault="00645841" w:rsidP="0079657F">
      <w:pPr>
        <w:autoSpaceDE w:val="0"/>
        <w:autoSpaceDN w:val="0"/>
        <w:adjustRightInd w:val="0"/>
        <w:ind w:left="567" w:hanging="567"/>
        <w:rPr>
          <w:rFonts w:eastAsia="TimesNewRoman"/>
          <w:sz w:val="22"/>
          <w:szCs w:val="22"/>
          <w:u w:val="single"/>
          <w:lang w:val="lt-LT" w:eastAsia="en-US"/>
        </w:rPr>
      </w:pPr>
    </w:p>
    <w:p w14:paraId="5E930B14" w14:textId="77777777" w:rsidR="00645841" w:rsidRPr="00532388" w:rsidRDefault="00645841" w:rsidP="0079657F">
      <w:pPr>
        <w:autoSpaceDE w:val="0"/>
        <w:autoSpaceDN w:val="0"/>
        <w:adjustRightInd w:val="0"/>
        <w:rPr>
          <w:rFonts w:eastAsia="TimesNewRoman,Bold"/>
          <w:b/>
          <w:bCs/>
          <w:sz w:val="22"/>
          <w:szCs w:val="22"/>
          <w:lang w:val="lt-LT" w:eastAsia="en-US"/>
        </w:rPr>
      </w:pPr>
      <w:r w:rsidRPr="00532388">
        <w:rPr>
          <w:rFonts w:eastAsia="TimesNewRoman,Bold"/>
          <w:b/>
          <w:bCs/>
          <w:sz w:val="22"/>
          <w:szCs w:val="22"/>
          <w:lang w:val="lt-LT" w:eastAsia="en-US"/>
        </w:rPr>
        <w:t>4.4 Specialūs įspėjimai ir atsargumo priemonės</w:t>
      </w:r>
    </w:p>
    <w:p w14:paraId="4A1CF34E" w14:textId="77777777" w:rsidR="00645841" w:rsidRPr="00532388" w:rsidRDefault="00645841" w:rsidP="0079657F">
      <w:pPr>
        <w:autoSpaceDE w:val="0"/>
        <w:autoSpaceDN w:val="0"/>
        <w:adjustRightInd w:val="0"/>
        <w:rPr>
          <w:rFonts w:eastAsia="TimesNewRoman"/>
          <w:sz w:val="22"/>
          <w:szCs w:val="22"/>
          <w:lang w:val="lt-LT" w:eastAsia="en-US"/>
        </w:rPr>
      </w:pPr>
    </w:p>
    <w:p w14:paraId="53AEC68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Nors įrodytas antiretrovirusinio gydymo virusų slopinimo veiksmingumas reikšmingai sumažinant kitų asmenų užkrėtimo virusais lytiniu keliu riziką, liekamosios rizikos paneigti negalima. Kad būtų išvengta kitų asmenų užkrėtimo virusais, reikia laikytis atsargumo priemonių pagal nacionalines rekomendacijas.</w:t>
      </w:r>
    </w:p>
    <w:p w14:paraId="73034F62" w14:textId="77777777" w:rsidR="00645841" w:rsidRPr="00532388" w:rsidRDefault="00645841" w:rsidP="0079657F">
      <w:pPr>
        <w:autoSpaceDE w:val="0"/>
        <w:autoSpaceDN w:val="0"/>
        <w:adjustRightInd w:val="0"/>
        <w:rPr>
          <w:rFonts w:eastAsia="TimesNewRoman"/>
          <w:sz w:val="22"/>
          <w:szCs w:val="22"/>
          <w:lang w:val="lt-LT" w:eastAsia="en-US"/>
        </w:rPr>
      </w:pPr>
    </w:p>
    <w:p w14:paraId="610945BB"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Patariama reguliariai įvertinti virusologinį atsaką. Jeigu virusologinis atsakas yra nepakankamas arba jo nėra, reikia atlikti atsparumo mėginius.</w:t>
      </w:r>
    </w:p>
    <w:p w14:paraId="3BC4FCC3" w14:textId="77777777" w:rsidR="00645841" w:rsidRPr="00532388" w:rsidRDefault="00645841" w:rsidP="0079657F">
      <w:pPr>
        <w:autoSpaceDE w:val="0"/>
        <w:autoSpaceDN w:val="0"/>
        <w:adjustRightInd w:val="0"/>
        <w:rPr>
          <w:rFonts w:eastAsia="TimesNewRoman"/>
          <w:sz w:val="22"/>
          <w:szCs w:val="22"/>
          <w:lang w:val="lt-LT" w:eastAsia="en-US"/>
        </w:rPr>
      </w:pPr>
    </w:p>
    <w:p w14:paraId="0F2198E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visada turi būti vartojamas per burną kartu su kobicistatu arba maža ritonaviro doze, stiprinančia farmakokinetiką, ir kartu su kitais antiretrovirusiniais vaistiniais preparatais (žr. 5.2 skyrių). Todėl prieš pradedant gydymą darunaviru reikia susipažinti atitinkamai su kobicistato arba ritonaviro Preparato charakteristikų santrauka.</w:t>
      </w:r>
    </w:p>
    <w:p w14:paraId="16F3F4D8" w14:textId="77777777" w:rsidR="00645841" w:rsidRPr="00532388" w:rsidRDefault="00645841" w:rsidP="0079657F">
      <w:pPr>
        <w:autoSpaceDE w:val="0"/>
        <w:autoSpaceDN w:val="0"/>
        <w:adjustRightInd w:val="0"/>
        <w:rPr>
          <w:rFonts w:eastAsia="TimesNewRoman"/>
          <w:sz w:val="22"/>
          <w:szCs w:val="22"/>
          <w:lang w:val="lt-LT" w:eastAsia="en-US"/>
        </w:rPr>
      </w:pPr>
    </w:p>
    <w:p w14:paraId="2804BFE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Ritonaviro dozės didinimas virš rekomenduojamos 4.2 skyriuje ryškiau neveikia darunaviro koncentracijos. Nerekomenduojama keisti kobicistato ar ritonaviro dozės.</w:t>
      </w:r>
    </w:p>
    <w:p w14:paraId="59432562" w14:textId="77777777" w:rsidR="00645841" w:rsidRPr="00532388" w:rsidRDefault="00645841" w:rsidP="0079657F">
      <w:pPr>
        <w:autoSpaceDE w:val="0"/>
        <w:autoSpaceDN w:val="0"/>
        <w:adjustRightInd w:val="0"/>
        <w:rPr>
          <w:rFonts w:eastAsia="TimesNewRoman"/>
          <w:sz w:val="22"/>
          <w:szCs w:val="22"/>
          <w:lang w:val="lt-LT" w:eastAsia="en-US"/>
        </w:rPr>
      </w:pPr>
    </w:p>
    <w:p w14:paraId="7FFE1556"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daugiausia jungiasi su plazmos alfa-1 rūgščiuoju glikoproteinu. Šis prisijungimas prie baltymo priklauso nuo koncentracijos ir nurodo jungimosi įsotinimą. Todėl negalima paneigti, kad vaistiniai preparatai, kurių didelė dalis susijungia su alfa-1 rūgščiuoju glikoproteinu, gali būti išstumti iš jungties su baltymu (žr. 4.5 skyrių).</w:t>
      </w:r>
    </w:p>
    <w:p w14:paraId="5185844B" w14:textId="77777777" w:rsidR="00645841" w:rsidRPr="00532388" w:rsidRDefault="00645841" w:rsidP="0079657F">
      <w:pPr>
        <w:autoSpaceDE w:val="0"/>
        <w:autoSpaceDN w:val="0"/>
        <w:adjustRightInd w:val="0"/>
        <w:rPr>
          <w:rFonts w:eastAsia="TimesNewRoman"/>
          <w:sz w:val="22"/>
          <w:szCs w:val="22"/>
          <w:lang w:val="lt-LT" w:eastAsia="en-US"/>
        </w:rPr>
      </w:pPr>
    </w:p>
    <w:p w14:paraId="0A311B6C"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Pacientai, kuriems taikytas ARG – dozavimas vieną kartą per parą</w:t>
      </w:r>
    </w:p>
    <w:p w14:paraId="18F5C07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 Teva kartu su kobicistatu ar maža ritonaviro doze vieną kartą per parą pacientams, kuriems taikytas ARG, negalima taikyti tiems pacientams, kuriems yra atsiradusi viena ar daugiau su atsparumu darunavirui susijusių mutacijų (DRV-ASM) arba ŽIV-1 RNR kiekis yra ≥ 100 000 kopijų/ml, arba CD4+ ląstelių kiekis yra &lt; 100 ląstelių x 10</w:t>
      </w:r>
      <w:r w:rsidRPr="00532388">
        <w:rPr>
          <w:rFonts w:eastAsia="TimesNewRoman"/>
          <w:sz w:val="22"/>
          <w:szCs w:val="22"/>
          <w:vertAlign w:val="superscript"/>
          <w:lang w:val="lt-LT" w:eastAsia="en-US"/>
        </w:rPr>
        <w:t>6</w:t>
      </w:r>
      <w:r w:rsidRPr="00532388">
        <w:rPr>
          <w:rFonts w:eastAsia="TimesNewRoman"/>
          <w:sz w:val="22"/>
          <w:szCs w:val="22"/>
          <w:lang w:val="lt-LT" w:eastAsia="en-US"/>
        </w:rPr>
        <w:t xml:space="preserve">/l (žr. 4.2 skyrių). Gydymas kartu su optimizuotu pagrindiniu planu (OPP), kitokiu nei gydymu ≥ 2 </w:t>
      </w:r>
      <w:r w:rsidR="00FF626E" w:rsidRPr="00532388">
        <w:rPr>
          <w:bCs/>
          <w:iCs/>
          <w:sz w:val="22"/>
          <w:szCs w:val="22"/>
          <w:lang w:val="lt-LT" w:eastAsia="en-US"/>
        </w:rPr>
        <w:t>nukleo(z/t)ido atbulinės transkriptazės inhibitoriais (</w:t>
      </w:r>
      <w:r w:rsidRPr="00532388">
        <w:rPr>
          <w:rFonts w:eastAsia="TimesNewRoman"/>
          <w:sz w:val="22"/>
          <w:szCs w:val="22"/>
          <w:lang w:val="lt-LT" w:eastAsia="en-US"/>
        </w:rPr>
        <w:t>NATI</w:t>
      </w:r>
      <w:r w:rsidR="00FF626E" w:rsidRPr="00532388">
        <w:rPr>
          <w:rFonts w:eastAsia="TimesNewRoman"/>
          <w:sz w:val="22"/>
          <w:szCs w:val="22"/>
          <w:lang w:val="lt-LT" w:eastAsia="en-US"/>
        </w:rPr>
        <w:t>)</w:t>
      </w:r>
      <w:r w:rsidRPr="00532388">
        <w:rPr>
          <w:rFonts w:eastAsia="TimesNewRoman"/>
          <w:sz w:val="22"/>
          <w:szCs w:val="22"/>
          <w:lang w:val="lt-LT" w:eastAsia="en-US"/>
        </w:rPr>
        <w:t>, šioje grupėje netirtas. Duomenys apie pacientus, užsikrėtusius kitokiais nei B tipo ŽIV-1, yra riboti (žr. 5.1 skyrių).</w:t>
      </w:r>
    </w:p>
    <w:p w14:paraId="26E5AB50" w14:textId="77777777" w:rsidR="00645841" w:rsidRPr="00532388" w:rsidRDefault="00645841" w:rsidP="0079657F">
      <w:pPr>
        <w:autoSpaceDE w:val="0"/>
        <w:autoSpaceDN w:val="0"/>
        <w:adjustRightInd w:val="0"/>
        <w:rPr>
          <w:rFonts w:eastAsia="TimesNewRoman"/>
          <w:sz w:val="22"/>
          <w:szCs w:val="22"/>
          <w:lang w:val="lt-LT" w:eastAsia="en-US"/>
        </w:rPr>
      </w:pPr>
    </w:p>
    <w:p w14:paraId="53E9EF3B"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Vaikų populiacija</w:t>
      </w:r>
    </w:p>
    <w:p w14:paraId="508B9C1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nerekomenduojama vartoti jaunesniems kaip 3 metų arba sveriantiems mažiau kaip 15</w:t>
      </w:r>
      <w:r w:rsidR="0026057E" w:rsidRPr="00532388">
        <w:rPr>
          <w:rFonts w:eastAsia="TimesNewRoman"/>
          <w:sz w:val="22"/>
          <w:szCs w:val="22"/>
          <w:lang w:val="lt-LT" w:eastAsia="en-US"/>
        </w:rPr>
        <w:t> </w:t>
      </w:r>
      <w:r w:rsidRPr="00532388">
        <w:rPr>
          <w:rFonts w:eastAsia="TimesNewRoman"/>
          <w:sz w:val="22"/>
          <w:szCs w:val="22"/>
          <w:lang w:val="lt-LT" w:eastAsia="en-US"/>
        </w:rPr>
        <w:t>kg</w:t>
      </w:r>
      <w:r w:rsidR="0026057E" w:rsidRPr="00532388">
        <w:rPr>
          <w:rFonts w:eastAsia="TimesNewRoman"/>
          <w:sz w:val="22"/>
          <w:szCs w:val="22"/>
          <w:lang w:val="lt-LT" w:eastAsia="en-US"/>
        </w:rPr>
        <w:t xml:space="preserve"> </w:t>
      </w:r>
      <w:r w:rsidRPr="00532388">
        <w:rPr>
          <w:rFonts w:eastAsia="TimesNewRoman"/>
          <w:sz w:val="22"/>
          <w:szCs w:val="22"/>
          <w:lang w:val="lt-LT" w:eastAsia="en-US"/>
        </w:rPr>
        <w:t>vaikams ir paaugliams (žr. 4.2 ir 5.3 skyrius).</w:t>
      </w:r>
    </w:p>
    <w:p w14:paraId="16F059FB" w14:textId="77777777" w:rsidR="00645841" w:rsidRPr="00532388" w:rsidRDefault="00645841" w:rsidP="0079657F">
      <w:pPr>
        <w:autoSpaceDE w:val="0"/>
        <w:autoSpaceDN w:val="0"/>
        <w:adjustRightInd w:val="0"/>
        <w:rPr>
          <w:rFonts w:eastAsia="TimesNewRoman"/>
          <w:sz w:val="22"/>
          <w:szCs w:val="22"/>
          <w:lang w:val="lt-LT" w:eastAsia="en-US"/>
        </w:rPr>
      </w:pPr>
    </w:p>
    <w:p w14:paraId="1DB89F11" w14:textId="77777777" w:rsidR="00645841" w:rsidRPr="00532388" w:rsidRDefault="00645841" w:rsidP="0079657F">
      <w:pPr>
        <w:autoSpaceDE w:val="0"/>
        <w:autoSpaceDN w:val="0"/>
        <w:adjustRightInd w:val="0"/>
        <w:rPr>
          <w:rFonts w:eastAsia="TimesNewRoman"/>
          <w:iCs/>
          <w:sz w:val="22"/>
          <w:szCs w:val="22"/>
          <w:u w:val="single"/>
          <w:lang w:val="lt-LT" w:eastAsia="en-US"/>
        </w:rPr>
      </w:pPr>
      <w:r w:rsidRPr="00532388">
        <w:rPr>
          <w:rFonts w:eastAsia="TimesNewRoman"/>
          <w:iCs/>
          <w:sz w:val="22"/>
          <w:szCs w:val="22"/>
          <w:u w:val="single"/>
          <w:lang w:val="lt-LT" w:eastAsia="en-US"/>
        </w:rPr>
        <w:t>Nėštumas</w:t>
      </w:r>
    </w:p>
    <w:p w14:paraId="4EBB2172"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nėštumo metu turi būti vartojama tik tada, kai galima nauda pateisina galimą riziką. Reikėtų atsargiai skirti nėščioms moterims, kurioms kartu reikia vartoti kitų vaistinių preparatų, nes tai gali dar sumažinti darunaviro ekspoziciją (žr. 4.5 ir 5.2 skyrius).</w:t>
      </w:r>
    </w:p>
    <w:p w14:paraId="7BFEFD2F" w14:textId="77777777" w:rsidR="00645841" w:rsidRPr="00532388" w:rsidRDefault="00645841" w:rsidP="0079657F">
      <w:pPr>
        <w:autoSpaceDE w:val="0"/>
        <w:autoSpaceDN w:val="0"/>
        <w:adjustRightInd w:val="0"/>
        <w:rPr>
          <w:rFonts w:eastAsia="TimesNewRoman"/>
          <w:sz w:val="22"/>
          <w:szCs w:val="22"/>
          <w:lang w:val="lt-LT" w:eastAsia="en-US"/>
        </w:rPr>
      </w:pPr>
    </w:p>
    <w:p w14:paraId="0043EE10"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Senyviems žmonėms</w:t>
      </w:r>
    </w:p>
    <w:p w14:paraId="49108433"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Duomenys apie 65 metų ir vyresnių ligonių gydymą darunaviru yra nepakankami, todėl vyresniems pacientams darunaviro reikia skirti atsargiai, nes jų kepenų funkcija dažniau būna susilpnėjusi, jie dažniau serga kitomis ligomis ir dažniau gydomi kitais vaistiniais preparatais (žr. 4.2 ir 5.2 skyrius).</w:t>
      </w:r>
    </w:p>
    <w:p w14:paraId="19AC6EB3" w14:textId="77777777" w:rsidR="00645841" w:rsidRPr="00532388" w:rsidRDefault="00645841" w:rsidP="0079657F">
      <w:pPr>
        <w:autoSpaceDE w:val="0"/>
        <w:autoSpaceDN w:val="0"/>
        <w:adjustRightInd w:val="0"/>
        <w:rPr>
          <w:rFonts w:eastAsia="TimesNewRoman"/>
          <w:sz w:val="22"/>
          <w:szCs w:val="22"/>
          <w:lang w:val="lt-LT" w:eastAsia="en-US"/>
        </w:rPr>
      </w:pPr>
    </w:p>
    <w:p w14:paraId="071F868C" w14:textId="77777777" w:rsidR="00645841" w:rsidRPr="00532388" w:rsidRDefault="00645841" w:rsidP="0079657F">
      <w:pPr>
        <w:autoSpaceDE w:val="0"/>
        <w:autoSpaceDN w:val="0"/>
        <w:adjustRightInd w:val="0"/>
        <w:rPr>
          <w:rFonts w:eastAsia="TimesNewRoman"/>
          <w:i/>
          <w:sz w:val="22"/>
          <w:szCs w:val="22"/>
          <w:lang w:val="lt-LT" w:eastAsia="en-US"/>
        </w:rPr>
      </w:pPr>
      <w:r w:rsidRPr="00532388">
        <w:rPr>
          <w:rFonts w:eastAsia="TimesNewRoman"/>
          <w:i/>
          <w:sz w:val="22"/>
          <w:szCs w:val="22"/>
          <w:lang w:val="lt-LT" w:eastAsia="en-US"/>
        </w:rPr>
        <w:t>Sunkios odos reakcijos</w:t>
      </w:r>
    </w:p>
    <w:p w14:paraId="5F796134" w14:textId="77777777" w:rsidR="00645841" w:rsidRPr="00532388" w:rsidRDefault="00332D6E" w:rsidP="0079657F">
      <w:pPr>
        <w:autoSpaceDE w:val="0"/>
        <w:autoSpaceDN w:val="0"/>
        <w:adjustRightInd w:val="0"/>
        <w:rPr>
          <w:rFonts w:eastAsia="TimesNewRoman"/>
          <w:sz w:val="22"/>
          <w:szCs w:val="22"/>
          <w:lang w:val="lt-LT" w:eastAsia="en-US"/>
        </w:rPr>
      </w:pPr>
      <w:r>
        <w:rPr>
          <w:rFonts w:eastAsia="TimesNewRoman"/>
          <w:sz w:val="22"/>
          <w:szCs w:val="22"/>
          <w:lang w:val="lt-LT" w:eastAsia="en-US"/>
        </w:rPr>
        <w:t>Darunaviro/ritonaviro deriniok</w:t>
      </w:r>
      <w:r w:rsidR="00645841" w:rsidRPr="00532388">
        <w:rPr>
          <w:rFonts w:eastAsia="TimesNewRoman"/>
          <w:sz w:val="22"/>
          <w:szCs w:val="22"/>
          <w:lang w:val="lt-LT" w:eastAsia="en-US"/>
        </w:rPr>
        <w:t xml:space="preserve">linikinio vystymo programos metu (n=3 063) sunkių odos reakcijų, kurios gali būti susijusios su karščiavimu ir (arba) transaminazių suaktyvėjimu, buvo nustatyta 0,4 % pacientų. Retais atvejais (&lt; 0,1 %) pasireiškė vaistų sukeltas bėrimas su eozinofilija ir sisteminiais simptomais (angl. </w:t>
      </w:r>
      <w:r w:rsidR="00645841" w:rsidRPr="00532388">
        <w:rPr>
          <w:rFonts w:eastAsia="TimesNewRoman"/>
          <w:i/>
          <w:sz w:val="22"/>
          <w:szCs w:val="22"/>
          <w:lang w:val="lt-LT" w:eastAsia="en-US"/>
        </w:rPr>
        <w:t xml:space="preserve">DRESS, </w:t>
      </w:r>
      <w:r w:rsidR="00645841" w:rsidRPr="00532388">
        <w:rPr>
          <w:rFonts w:eastAsia="TimesNewRoman"/>
          <w:i/>
          <w:iCs/>
          <w:sz w:val="22"/>
          <w:szCs w:val="22"/>
          <w:lang w:val="lt-LT" w:eastAsia="en-US"/>
        </w:rPr>
        <w:t>Drug Rash with Eosinophilia and Systemic Symptoms</w:t>
      </w:r>
      <w:r w:rsidR="00645841" w:rsidRPr="00532388">
        <w:rPr>
          <w:rFonts w:eastAsia="TimesNewRoman"/>
          <w:sz w:val="22"/>
          <w:szCs w:val="22"/>
          <w:lang w:val="lt-LT" w:eastAsia="en-US"/>
        </w:rPr>
        <w:t>) ir Stivenso ir Džonsono sindromas, o po vaistinio preparato registracijos gauta pranešimų apie toksinę epidermio nekrolizę ir ūminę generalizuotą egzanteminę pustuliozę. Jeigu atsiranda sunkios odos reakcijos požymių ar simptomų, darunaviro ir ritonaviro derinio vartojimas turi būti nedelsiant nutrauktas. Tokie požymiai arba simptomai gali būti (bet ne vien tik šie) sunkus išbėrimas arba išbėrimas, pasireiškiantis kartu su karščiavimu, bendru negalavimu, nuovargiu, raumenų ar sąnarių skausmais, pūslėmis, burnos pažaidomis, konjunktyvitu, hepatitu ir (arba) eozinofilija.</w:t>
      </w:r>
    </w:p>
    <w:p w14:paraId="4E92F882" w14:textId="77777777" w:rsidR="00645841" w:rsidRPr="00532388" w:rsidRDefault="00645841" w:rsidP="0079657F">
      <w:pPr>
        <w:autoSpaceDE w:val="0"/>
        <w:autoSpaceDN w:val="0"/>
        <w:adjustRightInd w:val="0"/>
        <w:rPr>
          <w:rFonts w:eastAsia="TimesNewRoman"/>
          <w:sz w:val="22"/>
          <w:szCs w:val="22"/>
          <w:lang w:val="lt-LT" w:eastAsia="en-US"/>
        </w:rPr>
      </w:pPr>
    </w:p>
    <w:p w14:paraId="77546D4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Išbėrimas dažniau pasireiškė anksčiau gydytiems pacientams, kuriems buvo taikyti gydymo režimai su darunaviru</w:t>
      </w:r>
      <w:r w:rsidR="00332D6E">
        <w:rPr>
          <w:rFonts w:eastAsia="TimesNewRoman"/>
          <w:sz w:val="22"/>
          <w:szCs w:val="22"/>
          <w:lang w:val="lt-LT" w:eastAsia="en-US"/>
        </w:rPr>
        <w:t>/ritonaviru</w:t>
      </w:r>
      <w:r w:rsidRPr="00532388">
        <w:rPr>
          <w:rFonts w:eastAsia="TimesNewRoman"/>
          <w:sz w:val="22"/>
          <w:szCs w:val="22"/>
          <w:lang w:val="lt-LT" w:eastAsia="en-US"/>
        </w:rPr>
        <w:t xml:space="preserve"> ir raltegraviru, palyginti su pacientais, kurie vartojo darunaviro</w:t>
      </w:r>
      <w:r w:rsidR="00332D6E">
        <w:rPr>
          <w:rFonts w:eastAsia="TimesNewRoman"/>
          <w:sz w:val="22"/>
          <w:szCs w:val="22"/>
          <w:lang w:val="lt-LT" w:eastAsia="en-US"/>
        </w:rPr>
        <w:t>/ritonaviro</w:t>
      </w:r>
      <w:r w:rsidRPr="00532388">
        <w:rPr>
          <w:rFonts w:eastAsia="TimesNewRoman"/>
          <w:sz w:val="22"/>
          <w:szCs w:val="22"/>
          <w:lang w:val="lt-LT" w:eastAsia="en-US"/>
        </w:rPr>
        <w:t xml:space="preserve"> be raltegraviro arba raltegravirą be darunaviro (žr. 4.8 skyrių).</w:t>
      </w:r>
    </w:p>
    <w:p w14:paraId="7CF19675" w14:textId="77777777" w:rsidR="00645841" w:rsidRPr="00532388" w:rsidRDefault="00645841" w:rsidP="0079657F">
      <w:pPr>
        <w:autoSpaceDE w:val="0"/>
        <w:autoSpaceDN w:val="0"/>
        <w:adjustRightInd w:val="0"/>
        <w:rPr>
          <w:rFonts w:eastAsia="TimesNewRoman"/>
          <w:sz w:val="22"/>
          <w:szCs w:val="22"/>
          <w:lang w:val="lt-LT" w:eastAsia="en-US"/>
        </w:rPr>
      </w:pPr>
    </w:p>
    <w:p w14:paraId="5B25F9F8"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struktūroje yra dalis sulfonamido. Pacientams, kuriems nustatyta alergija sulfonamidams, darunaviro vartoti reikia atsargiai.</w:t>
      </w:r>
    </w:p>
    <w:p w14:paraId="5AF3757C" w14:textId="77777777" w:rsidR="00645841" w:rsidRPr="00532388" w:rsidRDefault="00645841" w:rsidP="0079657F">
      <w:pPr>
        <w:autoSpaceDE w:val="0"/>
        <w:autoSpaceDN w:val="0"/>
        <w:adjustRightInd w:val="0"/>
        <w:rPr>
          <w:rFonts w:eastAsia="TimesNewRoman"/>
          <w:sz w:val="22"/>
          <w:szCs w:val="22"/>
          <w:lang w:val="lt-LT" w:eastAsia="en-US"/>
        </w:rPr>
      </w:pPr>
    </w:p>
    <w:p w14:paraId="48EF0072" w14:textId="77777777" w:rsidR="00645841" w:rsidRPr="00532388" w:rsidRDefault="00645841" w:rsidP="0079657F">
      <w:pPr>
        <w:autoSpaceDE w:val="0"/>
        <w:autoSpaceDN w:val="0"/>
        <w:adjustRightInd w:val="0"/>
        <w:rPr>
          <w:rFonts w:eastAsia="TimesNewRoman"/>
          <w:i/>
          <w:sz w:val="22"/>
          <w:szCs w:val="22"/>
          <w:lang w:val="lt-LT" w:eastAsia="en-US"/>
        </w:rPr>
      </w:pPr>
      <w:r w:rsidRPr="00532388">
        <w:rPr>
          <w:rFonts w:eastAsia="TimesNewRoman"/>
          <w:i/>
          <w:sz w:val="22"/>
          <w:szCs w:val="22"/>
          <w:lang w:val="lt-LT" w:eastAsia="en-US"/>
        </w:rPr>
        <w:t>Hepatotoksinis poveikis</w:t>
      </w:r>
    </w:p>
    <w:p w14:paraId="13F0EC8F"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Vartojant darunaviro, buvo pranešimų apie vaistinių preparatų sukeltą hepatitą (t. y. ūminis hepatitas, citolizinis hepatitas). Klinikinio vystymo programos metu (n=3 063) hepatitas buvo diagnozuotas 0,5 % pacientų, kuriems buvo taikytas sudėtinis antiretrovirusinis gydymas darunaviro ir ritonaviro deriniu. Pacientams, kurių kepenų funkcija buvo sutrikusi prieš pradedant gydymą, įskaitant sergantiesiems lėtiniu aktyviu hepatitu B ar C, kepenų funkcijos sutrikimų rizika yra didesnė, įskaitant sunkias kepenų nepageidaujamas reakcijas, kurios gali būti mirtinos. Jeigu kartu yra taikomas antivirusinis gydymas nuo hepatito B ar C, žr. </w:t>
      </w:r>
      <w:r w:rsidR="00C211AD">
        <w:rPr>
          <w:rFonts w:eastAsia="TimesNewRoman"/>
          <w:sz w:val="22"/>
          <w:szCs w:val="22"/>
          <w:lang w:val="lt-LT" w:eastAsia="en-US"/>
        </w:rPr>
        <w:t xml:space="preserve">atkreipkite dėmesį į </w:t>
      </w:r>
      <w:r w:rsidRPr="00532388">
        <w:rPr>
          <w:rFonts w:eastAsia="TimesNewRoman"/>
          <w:sz w:val="22"/>
          <w:szCs w:val="22"/>
          <w:lang w:val="lt-LT" w:eastAsia="en-US"/>
        </w:rPr>
        <w:t>atitinkamų vaistų Preparat</w:t>
      </w:r>
      <w:r w:rsidR="008A7818" w:rsidRPr="00532388">
        <w:rPr>
          <w:rFonts w:eastAsia="TimesNewRoman"/>
          <w:sz w:val="22"/>
          <w:szCs w:val="22"/>
          <w:lang w:val="lt-LT" w:eastAsia="en-US"/>
        </w:rPr>
        <w:t>o</w:t>
      </w:r>
      <w:r w:rsidRPr="00532388">
        <w:rPr>
          <w:rFonts w:eastAsia="TimesNewRoman"/>
          <w:sz w:val="22"/>
          <w:szCs w:val="22"/>
          <w:lang w:val="lt-LT" w:eastAsia="en-US"/>
        </w:rPr>
        <w:t xml:space="preserve"> charakteristikų santraukas.</w:t>
      </w:r>
    </w:p>
    <w:p w14:paraId="1CAFE6F1" w14:textId="77777777" w:rsidR="00645841" w:rsidRPr="00532388" w:rsidRDefault="00645841" w:rsidP="0079657F">
      <w:pPr>
        <w:autoSpaceDE w:val="0"/>
        <w:autoSpaceDN w:val="0"/>
        <w:adjustRightInd w:val="0"/>
        <w:rPr>
          <w:rFonts w:eastAsia="TimesNewRoman"/>
          <w:sz w:val="22"/>
          <w:szCs w:val="22"/>
          <w:lang w:val="lt-LT" w:eastAsia="en-US"/>
        </w:rPr>
      </w:pPr>
    </w:p>
    <w:p w14:paraId="233B7FD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Prieš pradedant gydymą darunaviro ir </w:t>
      </w:r>
      <w:r w:rsidR="00E779B9">
        <w:rPr>
          <w:rFonts w:eastAsia="TimesNewRoman"/>
          <w:sz w:val="22"/>
          <w:szCs w:val="22"/>
          <w:lang w:val="lt-LT" w:eastAsia="en-US"/>
        </w:rPr>
        <w:t xml:space="preserve">kobicistato arba mažų dozių </w:t>
      </w:r>
      <w:r w:rsidRPr="00532388">
        <w:rPr>
          <w:rFonts w:eastAsia="TimesNewRoman"/>
          <w:sz w:val="22"/>
          <w:szCs w:val="22"/>
          <w:lang w:val="lt-LT" w:eastAsia="en-US"/>
        </w:rPr>
        <w:t xml:space="preserve">ritonaviro deriniu, turi būti atlikti atitinkami laboratoriniai tyrimai ir pacientai turi būti stebimi gydymo metu. Reikia apsvarstyti būtinybę įdėmiau stebėti pacientų, kurie kartu serga lėtiniu hepatitu, kepenų ciroze arba kurių transaminazės prieš gydymą yra suaktyvėjusios, AST ir (arba) ALT, ypač keletą pirmų gydymo darunaviro </w:t>
      </w:r>
      <w:r w:rsidR="00E779B9">
        <w:rPr>
          <w:rFonts w:eastAsia="TimesNewRoman"/>
          <w:sz w:val="22"/>
          <w:szCs w:val="22"/>
          <w:lang w:val="lt-LT" w:eastAsia="en-US"/>
        </w:rPr>
        <w:t>su kobicistato a</w:t>
      </w:r>
      <w:r w:rsidRPr="00532388">
        <w:rPr>
          <w:rFonts w:eastAsia="TimesNewRoman"/>
          <w:sz w:val="22"/>
          <w:szCs w:val="22"/>
          <w:lang w:val="lt-LT" w:eastAsia="en-US"/>
        </w:rPr>
        <w:t>r ritonaviro deriniu mėnesių.</w:t>
      </w:r>
    </w:p>
    <w:p w14:paraId="3CA46892" w14:textId="77777777" w:rsidR="00645841" w:rsidRPr="00532388" w:rsidRDefault="00645841" w:rsidP="0079657F">
      <w:pPr>
        <w:autoSpaceDE w:val="0"/>
        <w:autoSpaceDN w:val="0"/>
        <w:adjustRightInd w:val="0"/>
        <w:rPr>
          <w:rFonts w:eastAsia="TimesNewRoman"/>
          <w:sz w:val="22"/>
          <w:szCs w:val="22"/>
          <w:lang w:val="lt-LT" w:eastAsia="en-US"/>
        </w:rPr>
      </w:pPr>
    </w:p>
    <w:p w14:paraId="0A4C807C"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Jeigu pacientui vartojant darunaviro </w:t>
      </w:r>
      <w:r w:rsidR="00E779B9">
        <w:rPr>
          <w:rFonts w:eastAsia="TimesNewRoman"/>
          <w:sz w:val="22"/>
          <w:szCs w:val="22"/>
          <w:lang w:val="lt-LT" w:eastAsia="en-US"/>
        </w:rPr>
        <w:t>su kobicistatu</w:t>
      </w:r>
      <w:r w:rsidR="00CF1C3A">
        <w:rPr>
          <w:rFonts w:eastAsia="TimesNewRoman"/>
          <w:sz w:val="22"/>
          <w:szCs w:val="22"/>
          <w:lang w:val="lt-LT" w:eastAsia="en-US"/>
        </w:rPr>
        <w:t xml:space="preserve"> ar maž</w:t>
      </w:r>
      <w:r w:rsidR="00E779B9">
        <w:rPr>
          <w:rFonts w:eastAsia="TimesNewRoman"/>
          <w:sz w:val="22"/>
          <w:szCs w:val="22"/>
          <w:lang w:val="lt-LT" w:eastAsia="en-US"/>
        </w:rPr>
        <w:t>ų dozių</w:t>
      </w:r>
      <w:r w:rsidRPr="00532388">
        <w:rPr>
          <w:rFonts w:eastAsia="TimesNewRoman"/>
          <w:sz w:val="22"/>
          <w:szCs w:val="22"/>
          <w:lang w:val="lt-LT" w:eastAsia="en-US"/>
        </w:rPr>
        <w:t xml:space="preserve"> ritonaviru atsiranda arba pasunkėja buvęs kepenų funkcijos sutrikimas (įskaitant kliniškai reikšmingą kepenų fermentų suaktyvėjimą ir [arba] tokius simptomus kaip nuovargis, anoreksija, pykinimas, gelta, tamsus šlapimas, kepenų skausmingumas, hepatomegaliją), reikia skubiai apsvarstyti būtinybę pertraukti arba nutraukti gydymą.</w:t>
      </w:r>
    </w:p>
    <w:p w14:paraId="33E9C78D" w14:textId="77777777" w:rsidR="00645841" w:rsidRPr="00532388" w:rsidRDefault="00645841" w:rsidP="0079657F">
      <w:pPr>
        <w:autoSpaceDE w:val="0"/>
        <w:autoSpaceDN w:val="0"/>
        <w:adjustRightInd w:val="0"/>
        <w:rPr>
          <w:rFonts w:eastAsia="TimesNewRoman"/>
          <w:sz w:val="22"/>
          <w:szCs w:val="22"/>
          <w:lang w:val="lt-LT" w:eastAsia="en-US"/>
        </w:rPr>
      </w:pPr>
    </w:p>
    <w:p w14:paraId="2A993009"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Gretutinės pacientų būklės</w:t>
      </w:r>
    </w:p>
    <w:p w14:paraId="51D48B81" w14:textId="77777777" w:rsidR="00645841" w:rsidRPr="00532388" w:rsidRDefault="00645841" w:rsidP="0079657F">
      <w:pPr>
        <w:autoSpaceDE w:val="0"/>
        <w:autoSpaceDN w:val="0"/>
        <w:adjustRightInd w:val="0"/>
        <w:rPr>
          <w:rFonts w:eastAsia="TimesNewRoman"/>
          <w:i/>
          <w:iCs/>
          <w:sz w:val="22"/>
          <w:szCs w:val="22"/>
          <w:lang w:val="lt-LT" w:eastAsia="en-US"/>
        </w:rPr>
      </w:pPr>
    </w:p>
    <w:p w14:paraId="61F8C394"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Kepenų funkcijos sutrikimas</w:t>
      </w:r>
    </w:p>
    <w:p w14:paraId="1F73FE4D"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Darunaviro veiksmingumas ir saugumas pacientams, kurie serga sunkiais gretutiniais kepenų funkcijos sutrikimais, nebuvo nustatytas, todėl sergantiems sunkiu kepenų </w:t>
      </w:r>
      <w:r w:rsidRPr="00532388">
        <w:rPr>
          <w:rFonts w:eastAsia="TimesNewRoman"/>
          <w:sz w:val="22"/>
          <w:szCs w:val="22"/>
          <w:lang w:val="lt-LT" w:eastAsia="en-US"/>
        </w:rPr>
        <w:lastRenderedPageBreak/>
        <w:t>funkcijos sutrikimu jo vartoti negalima. Dėl nesusijungusio darunaviro koncentracijos plazmoje padidėjimo pacientams, kurie serga lengvu ar vidutinio sunkumo kepenų funkcijos sutrikimu, darunovirą vartoti reikia atsargiai (žr. 4.2, 4.3 ir 5.2 skyrius).</w:t>
      </w:r>
    </w:p>
    <w:p w14:paraId="3FEF9B47" w14:textId="77777777" w:rsidR="00645841" w:rsidRPr="00532388" w:rsidRDefault="00645841" w:rsidP="0079657F">
      <w:pPr>
        <w:autoSpaceDE w:val="0"/>
        <w:autoSpaceDN w:val="0"/>
        <w:adjustRightInd w:val="0"/>
        <w:rPr>
          <w:rFonts w:eastAsia="TimesNewRoman"/>
          <w:i/>
          <w:iCs/>
          <w:sz w:val="22"/>
          <w:szCs w:val="22"/>
          <w:lang w:val="lt-LT" w:eastAsia="en-US"/>
        </w:rPr>
      </w:pPr>
    </w:p>
    <w:p w14:paraId="6624BB52"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Inkstų funkcijos sutrikimas</w:t>
      </w:r>
    </w:p>
    <w:p w14:paraId="2A333266"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Pacientams, kurių inkstų veikla sutrikusi, specialių atsargumo priemonių ar būtinybės keisti dozę nėra. Darunaviras ir ritonaviras būna stipriai susijungę su kraujo plazmos baltymais, todėl mažai tikėtina, kad daug jų pasišalintų atliekant hemodializę ar peritoninę dializę. Taigi dializuojamiems pacientams specialių atsargumo priemonių ar būtinybės keisti dozę nėra (žr. 4.2 ir 5.2 skyrius).</w:t>
      </w:r>
      <w:r w:rsidR="0026057E" w:rsidRPr="00532388">
        <w:rPr>
          <w:rFonts w:eastAsia="TimesNewRoman"/>
          <w:sz w:val="22"/>
          <w:szCs w:val="22"/>
          <w:lang w:val="lt-LT" w:eastAsia="en-US"/>
        </w:rPr>
        <w:t xml:space="preserve"> </w:t>
      </w:r>
      <w:r w:rsidRPr="00532388">
        <w:rPr>
          <w:rFonts w:eastAsia="TimesNewRoman"/>
          <w:sz w:val="22"/>
          <w:szCs w:val="22"/>
          <w:lang w:val="lt-LT" w:eastAsia="en-US"/>
        </w:rPr>
        <w:t>Kobicistato vartojimas pacientams, kuriems atliekama dializė, netirtas, todėl jokių darunaviro/kobicistato vartojimo rekomendacijų šiems pacientams pateikti negalima (žr. 4.2 skyrių).</w:t>
      </w:r>
    </w:p>
    <w:p w14:paraId="09214554" w14:textId="77777777" w:rsidR="00645841" w:rsidRPr="00532388" w:rsidRDefault="00645841" w:rsidP="0079657F">
      <w:pPr>
        <w:autoSpaceDE w:val="0"/>
        <w:autoSpaceDN w:val="0"/>
        <w:adjustRightInd w:val="0"/>
        <w:rPr>
          <w:rFonts w:eastAsia="TimesNewRoman"/>
          <w:sz w:val="22"/>
          <w:szCs w:val="22"/>
          <w:lang w:val="lt-LT" w:eastAsia="en-US"/>
        </w:rPr>
      </w:pPr>
    </w:p>
    <w:p w14:paraId="5C6D6BEC"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Kobicistatas dėl kreatinino sekrecijos inkstų kanalėliuose slopinimo mažina apskaičiuotąjį kreatinino klirensą. Į tai reikia atsižvelgti, jei skiriama darunaviro kartu su kobicistatu pacientams, kuriems pagal apskaičiuotąjį kreatinino klirensą koreguojamos kartu vartojamų vaistinių preparatų dozės (žr. 4.2 skyrių ir kobicistato PCS).</w:t>
      </w:r>
    </w:p>
    <w:p w14:paraId="6CD236B7" w14:textId="77777777" w:rsidR="00645841" w:rsidRPr="00532388" w:rsidRDefault="00645841" w:rsidP="0079657F">
      <w:pPr>
        <w:autoSpaceDE w:val="0"/>
        <w:autoSpaceDN w:val="0"/>
        <w:adjustRightInd w:val="0"/>
        <w:rPr>
          <w:rFonts w:eastAsia="TimesNewRoman"/>
          <w:sz w:val="22"/>
          <w:szCs w:val="22"/>
          <w:lang w:val="lt-LT" w:eastAsia="en-US"/>
        </w:rPr>
      </w:pPr>
    </w:p>
    <w:p w14:paraId="5789FF98"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sz w:val="22"/>
          <w:szCs w:val="22"/>
          <w:lang w:val="lt-LT" w:eastAsia="en-US"/>
        </w:rPr>
        <w:t>Šiuo metu nepakanka duomenų, kad būtų galima nustatyti, ar tenofoviro dizoproksilio fumarato ir kobicistato vartojimas kartu yra susijęs su didesne nepageidaujamų reakcijų inkstams rizika nei gydymo schemos, į kurias įeina tenofoviro dizoproksilio fumaratas be kobicistato.</w:t>
      </w:r>
    </w:p>
    <w:p w14:paraId="641F4076" w14:textId="77777777" w:rsidR="00645841" w:rsidRPr="00532388" w:rsidRDefault="00645841" w:rsidP="0079657F">
      <w:pPr>
        <w:autoSpaceDE w:val="0"/>
        <w:autoSpaceDN w:val="0"/>
        <w:adjustRightInd w:val="0"/>
        <w:rPr>
          <w:rFonts w:eastAsia="TimesNewRoman"/>
          <w:i/>
          <w:iCs/>
          <w:sz w:val="22"/>
          <w:szCs w:val="22"/>
          <w:lang w:val="lt-LT" w:eastAsia="en-US"/>
        </w:rPr>
      </w:pPr>
    </w:p>
    <w:p w14:paraId="1DF8CB55"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Hemofilija sergantys pacientai</w:t>
      </w:r>
    </w:p>
    <w:p w14:paraId="6C9D34E6"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Esama pranešimų apie sustiprėjusį kraujavimą, įskaitant savaimines odos hematomas ir hemartrozes, gydant proteazių inhibitoriais (PI) asmenis, sergančius A ir B tipo hemofilija. Kai kuriems pacientams papildomai buvo skiriama VIII faktoriaus. Daugiau kaip pusei pacientų gydymas PI buvo tęsiamas arba atnaujinamas, jeigu jis buvo nutrauktas. Manoma, kad tarp kraujavimo ir gydymo PI yra priežastinis ryšys, tačiau jo mechanizmas neišaiškintas. Hemofilija sergančius asmenis reikia įspėti apie sustiprėjusio kraujavimo galimybę.</w:t>
      </w:r>
    </w:p>
    <w:p w14:paraId="66033E29" w14:textId="77777777" w:rsidR="00645841" w:rsidRPr="00532388" w:rsidRDefault="00645841" w:rsidP="0079657F">
      <w:pPr>
        <w:autoSpaceDE w:val="0"/>
        <w:autoSpaceDN w:val="0"/>
        <w:adjustRightInd w:val="0"/>
        <w:rPr>
          <w:rFonts w:eastAsia="TimesNewRoman"/>
          <w:i/>
          <w:iCs/>
          <w:sz w:val="22"/>
          <w:szCs w:val="22"/>
          <w:lang w:val="lt-LT" w:eastAsia="en-US"/>
        </w:rPr>
      </w:pPr>
    </w:p>
    <w:p w14:paraId="2574863C" w14:textId="77777777" w:rsidR="00645841" w:rsidRPr="00532388" w:rsidRDefault="00645841" w:rsidP="0079657F">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Kūno svoris ir metabolizmo rodmenys</w:t>
      </w:r>
    </w:p>
    <w:p w14:paraId="024E6F63"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Gydymo antiretrovirusiniais preparatais metu gali padidėti svoris ir lipidų bei gliukozės koncentracijos kraujyje. Tokie pokyčiai iš dalies gali būti susiję su ligos kontroliavimu ir gyvenimo būdu. Buvo gauta įrodymų, kad kai kuriais atvejais lipidų pokyčiai yra su gydymu susijęs poveikis, bet kad svorio pokyčiai būtų susiję su tam tikru gydymu, tvirtų įrodymų nėra. Į nustatytas ŽIV gydymo gaires yra įtraukta nuoroda matuoti lipidų ir gliukozės koncentracijas kraujyje. Lipidų sutrikimus reikia gydyti, atsižvelgiant į klinikinę situaciją.</w:t>
      </w:r>
    </w:p>
    <w:p w14:paraId="1613D64D" w14:textId="77777777" w:rsidR="00645841" w:rsidRPr="00532388" w:rsidRDefault="00645841" w:rsidP="0079657F">
      <w:pPr>
        <w:autoSpaceDE w:val="0"/>
        <w:autoSpaceDN w:val="0"/>
        <w:adjustRightInd w:val="0"/>
        <w:rPr>
          <w:rFonts w:eastAsia="TimesNewRoman"/>
          <w:sz w:val="22"/>
          <w:szCs w:val="22"/>
          <w:lang w:val="lt-LT" w:eastAsia="en-US"/>
        </w:rPr>
      </w:pPr>
    </w:p>
    <w:p w14:paraId="1210F755"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Osteonekrozė</w:t>
      </w:r>
    </w:p>
    <w:p w14:paraId="2FED3A9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Nors manoma, kad osteonekrozės etiologija yra multifaktorinė (įskaitant kortikosteroidų, alkoholio vartojimą, sunkų imuninės sistemos slopinimą bei didesnį kūno masės indeksą),buvo pranešimų apie pacientams, sergantiems toli pažengusia ŽIV liga ir (arba) ilgai gavusiems sudėtinį antiretrovirusinį gydymą (SARG), išsivysčiusius osteonekrozės atvejus. Pacientams reikia patarti kreiptis į gydytoją atsiradus sąnarių skausmui, sustingimui ar pasunkėjus judesiams.</w:t>
      </w:r>
    </w:p>
    <w:p w14:paraId="3AEC997A" w14:textId="77777777" w:rsidR="00645841" w:rsidRPr="00532388" w:rsidRDefault="00645841" w:rsidP="0079657F">
      <w:pPr>
        <w:autoSpaceDE w:val="0"/>
        <w:autoSpaceDN w:val="0"/>
        <w:adjustRightInd w:val="0"/>
        <w:rPr>
          <w:rFonts w:eastAsia="TimesNewRoman"/>
          <w:sz w:val="22"/>
          <w:szCs w:val="22"/>
          <w:lang w:val="lt-LT" w:eastAsia="en-US"/>
        </w:rPr>
      </w:pPr>
    </w:p>
    <w:p w14:paraId="21C8BE21"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Imuniteto atsistatymo uždegiminis sindromas</w:t>
      </w:r>
    </w:p>
    <w:p w14:paraId="2D32C58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Pradėjus ŽIV infekuotų asmenų, kurių imunitetas labai nuslopintas, sudėtinį antiretrovirusinį gydymą (SARG), galima uždegiminė reakcija, susijusi su nesukeliančia</w:t>
      </w:r>
      <w:r w:rsidR="006726C0">
        <w:rPr>
          <w:rFonts w:eastAsia="TimesNewRoman"/>
          <w:sz w:val="22"/>
          <w:szCs w:val="22"/>
          <w:lang w:val="lt-LT" w:eastAsia="en-US"/>
        </w:rPr>
        <w:t>i</w:t>
      </w:r>
      <w:r w:rsidRPr="00532388">
        <w:rPr>
          <w:rFonts w:eastAsia="TimesNewRoman"/>
          <w:sz w:val="22"/>
          <w:szCs w:val="22"/>
          <w:lang w:val="lt-LT" w:eastAsia="en-US"/>
        </w:rPr>
        <w:t xml:space="preserve">s simptomų ar išlikusiais oportunistiniais patogenais, pasireiškianti sunkiomis klinikinėmis būklėmis ar pasunkėjusiais simptomais. Paprastai tokia reakcija pastebima pirmosiomis SARG savaitėmis ar mėnesiais. Būdingi pavyzdžiai yra citomegalovirusinis retinitas, išplitusi ir (arba) židininė mikobakterinė infekcija ir </w:t>
      </w:r>
      <w:r w:rsidRPr="00532388">
        <w:rPr>
          <w:rFonts w:eastAsia="TimesNewRoman"/>
          <w:i/>
          <w:iCs/>
          <w:sz w:val="22"/>
          <w:szCs w:val="22"/>
          <w:lang w:val="lt-LT" w:eastAsia="en-US"/>
        </w:rPr>
        <w:t xml:space="preserve">Pneumocystis jirovecii </w:t>
      </w:r>
      <w:r w:rsidRPr="00532388">
        <w:rPr>
          <w:rFonts w:eastAsia="TimesNewRoman"/>
          <w:sz w:val="22"/>
          <w:szCs w:val="22"/>
          <w:lang w:val="lt-LT" w:eastAsia="en-US"/>
        </w:rPr>
        <w:t xml:space="preserve">(anksčiau žinomas kaip </w:t>
      </w:r>
      <w:r w:rsidRPr="00532388">
        <w:rPr>
          <w:rFonts w:eastAsia="TimesNewRoman"/>
          <w:i/>
          <w:iCs/>
          <w:sz w:val="22"/>
          <w:szCs w:val="22"/>
          <w:lang w:val="lt-LT" w:eastAsia="en-US"/>
        </w:rPr>
        <w:t>Pneumocystis carinii</w:t>
      </w:r>
      <w:r w:rsidRPr="00532388">
        <w:rPr>
          <w:rFonts w:eastAsia="TimesNewRoman"/>
          <w:sz w:val="22"/>
          <w:szCs w:val="22"/>
          <w:lang w:val="lt-LT" w:eastAsia="en-US"/>
        </w:rPr>
        <w:t xml:space="preserve">) sukelta pneumonija. Būtina įvertinti bet kokius uždegimo simptomus ir, jei reikia, gydyti. Be to, klinikinių tyrimų metu vartojant darunaviro su maža ritonaviro doze, buvo stebimi paprastosios ar juostinės pūslelinės </w:t>
      </w:r>
      <w:r w:rsidR="00757C11">
        <w:rPr>
          <w:rFonts w:eastAsia="TimesNewRoman"/>
          <w:sz w:val="22"/>
          <w:szCs w:val="22"/>
          <w:lang w:val="lt-LT" w:eastAsia="en-US"/>
        </w:rPr>
        <w:t>su</w:t>
      </w:r>
      <w:r w:rsidRPr="00532388">
        <w:rPr>
          <w:rFonts w:eastAsia="TimesNewRoman"/>
          <w:sz w:val="22"/>
          <w:szCs w:val="22"/>
          <w:lang w:val="lt-LT" w:eastAsia="en-US"/>
        </w:rPr>
        <w:t>aktyvėjimo atvejai.</w:t>
      </w:r>
    </w:p>
    <w:p w14:paraId="0FD118E6" w14:textId="77777777" w:rsidR="00645841" w:rsidRPr="00532388" w:rsidRDefault="00645841" w:rsidP="0079657F">
      <w:pPr>
        <w:autoSpaceDE w:val="0"/>
        <w:autoSpaceDN w:val="0"/>
        <w:adjustRightInd w:val="0"/>
        <w:rPr>
          <w:rFonts w:eastAsia="TimesNewRoman"/>
          <w:sz w:val="22"/>
          <w:szCs w:val="22"/>
          <w:lang w:val="lt-LT" w:eastAsia="en-US"/>
        </w:rPr>
      </w:pPr>
    </w:p>
    <w:p w14:paraId="63B4FA42"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Buvo pranešta, kad autoimuniniai sutrikimai (pvz., Greivso liga) pasireiškia ir imuninės reaktyvacijos metu, tačiau jų pradžios laikas yra labiau kintamas ir šie reiškiniai galimi per daug mėnesių nuo gydymo pradžios (žr. 4.8 skyrių).</w:t>
      </w:r>
    </w:p>
    <w:p w14:paraId="30F1937D" w14:textId="77777777" w:rsidR="00645841" w:rsidRPr="00532388" w:rsidRDefault="00645841" w:rsidP="0079657F">
      <w:pPr>
        <w:autoSpaceDE w:val="0"/>
        <w:autoSpaceDN w:val="0"/>
        <w:adjustRightInd w:val="0"/>
        <w:rPr>
          <w:rFonts w:eastAsia="TimesNewRoman"/>
          <w:sz w:val="22"/>
          <w:szCs w:val="22"/>
          <w:lang w:val="lt-LT" w:eastAsia="en-US"/>
        </w:rPr>
      </w:pPr>
    </w:p>
    <w:p w14:paraId="3EB3F043"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Sąveika su kitais vaistiniais preparatais</w:t>
      </w:r>
    </w:p>
    <w:p w14:paraId="1815099E" w14:textId="77777777" w:rsidR="00645841" w:rsidRPr="00532388" w:rsidRDefault="00645841" w:rsidP="0079657F">
      <w:pPr>
        <w:autoSpaceDE w:val="0"/>
        <w:autoSpaceDN w:val="0"/>
        <w:adjustRightInd w:val="0"/>
        <w:rPr>
          <w:rFonts w:eastAsia="TimesNewRoman"/>
          <w:sz w:val="22"/>
          <w:szCs w:val="22"/>
          <w:u w:val="single"/>
          <w:lang w:val="lt-LT" w:eastAsia="en-US"/>
        </w:rPr>
      </w:pPr>
    </w:p>
    <w:p w14:paraId="7A1EAC9D" w14:textId="77777777" w:rsidR="00645841" w:rsidRPr="00532388" w:rsidRDefault="00645841" w:rsidP="0079657F">
      <w:pPr>
        <w:autoSpaceDE w:val="0"/>
        <w:autoSpaceDN w:val="0"/>
        <w:adjustRightInd w:val="0"/>
        <w:rPr>
          <w:i/>
          <w:iCs/>
          <w:sz w:val="22"/>
          <w:szCs w:val="22"/>
          <w:lang w:val="lt-LT" w:eastAsia="en-US"/>
        </w:rPr>
      </w:pPr>
      <w:r w:rsidRPr="00532388">
        <w:rPr>
          <w:i/>
          <w:iCs/>
          <w:sz w:val="22"/>
          <w:szCs w:val="22"/>
          <w:lang w:val="lt-LT" w:eastAsia="en-US"/>
        </w:rPr>
        <w:t>Farmakokinetikos stipriklis ir kiti tuo pačiu metu vartojami vaistiniai preparatai</w:t>
      </w:r>
    </w:p>
    <w:p w14:paraId="05D1086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sąveikos pobūdis priklauso nuo to, ar jis sustiprintas ritonaviru, ar kobicistatu:</w:t>
      </w:r>
    </w:p>
    <w:p w14:paraId="3F3C63E9" w14:textId="77777777" w:rsidR="00645841" w:rsidRPr="00532388" w:rsidRDefault="00645841" w:rsidP="0079657F">
      <w:pPr>
        <w:pStyle w:val="BT-EMEASMCA"/>
        <w:ind w:left="567" w:hanging="567"/>
        <w:rPr>
          <w:sz w:val="22"/>
          <w:szCs w:val="22"/>
          <w:lang w:val="lt-LT" w:eastAsia="en-US"/>
        </w:rPr>
      </w:pPr>
      <w:r w:rsidRPr="00532388">
        <w:rPr>
          <w:sz w:val="22"/>
          <w:szCs w:val="22"/>
          <w:lang w:val="lt-LT" w:eastAsia="en-US"/>
        </w:rPr>
        <w:t>darunaviras, sustiprintas kobicistatu, yra jautresnis CYP3A indukcijai: darunaviro ir kobicistato derinio ir stiprių CYP3A induktorių vartojimas kartu yra draudžiamas (žr. 4.3 skyrių), taip pat nerekomenduojama kartu vartoti silpnų ir vidutinio stiprumo CYP3A induktorių (žr. 4.5 skyrių). Darunaviro ir ritonaviro derinio ir darunaviro ir kobicistato derinio vartojimas kartu su lopinaviru ir ritonaviru, rifampicinu ir augaliniais vaistiniais preparatais, kurių sudėtyje yra paprastųjų jonažolių (</w:t>
      </w:r>
      <w:r w:rsidRPr="00532388">
        <w:rPr>
          <w:i/>
          <w:iCs/>
          <w:sz w:val="22"/>
          <w:szCs w:val="22"/>
          <w:lang w:val="lt-LT" w:eastAsia="en-US"/>
        </w:rPr>
        <w:t>Hypericum perforatum</w:t>
      </w:r>
      <w:r w:rsidRPr="00532388">
        <w:rPr>
          <w:sz w:val="22"/>
          <w:szCs w:val="22"/>
          <w:lang w:val="lt-LT" w:eastAsia="en-US"/>
        </w:rPr>
        <w:t>) draudžiamas (žr. 4.5 skyrių).</w:t>
      </w:r>
    </w:p>
    <w:p w14:paraId="0AD1AB3A" w14:textId="77777777" w:rsidR="00645841" w:rsidRPr="00532388" w:rsidRDefault="00645841" w:rsidP="0079657F">
      <w:pPr>
        <w:pStyle w:val="BT-EMEASMCA"/>
        <w:autoSpaceDE w:val="0"/>
        <w:autoSpaceDN w:val="0"/>
        <w:adjustRightInd w:val="0"/>
        <w:ind w:left="567" w:hanging="567"/>
        <w:rPr>
          <w:rFonts w:eastAsia="TimesNewRoman"/>
          <w:sz w:val="22"/>
          <w:szCs w:val="22"/>
          <w:lang w:val="lt-LT" w:eastAsia="en-US"/>
        </w:rPr>
      </w:pPr>
      <w:r w:rsidRPr="00532388">
        <w:rPr>
          <w:sz w:val="22"/>
          <w:szCs w:val="22"/>
          <w:lang w:val="lt-LT" w:eastAsia="en-US"/>
        </w:rPr>
        <w:t>Skirtingai nei ritonaviras, kobicistatas neturi indukuojančio poveikio fermentams ar pernašos baltymams (žr. 4.5 skyrių). Keičiant farmakologinį stipriklį ritonavirą į kobicistatą, pirmąsias dvi gydymo darunaviru ir kobicistatu savaites reikia laikytis atsargumo priemonių, ypač jeigu vartojant ritonaviro kaip farmakologinio stipriklio kartu vartojamų vaistinių preparatų dozes buvo titruojamos arba koreguo</w:t>
      </w:r>
      <w:r w:rsidRPr="00532388">
        <w:rPr>
          <w:rFonts w:eastAsia="TimesNewRoman"/>
          <w:sz w:val="22"/>
          <w:szCs w:val="22"/>
          <w:lang w:val="lt-LT" w:eastAsia="en-US"/>
        </w:rPr>
        <w:t>jamos. Tokiais atvejais gali reikėti sumažinti kartu vartojamo vaistinio preparato dozę.</w:t>
      </w:r>
    </w:p>
    <w:p w14:paraId="28A291C9" w14:textId="77777777" w:rsidR="00645841" w:rsidRPr="00532388" w:rsidRDefault="00645841" w:rsidP="0079657F">
      <w:pPr>
        <w:autoSpaceDE w:val="0"/>
        <w:autoSpaceDN w:val="0"/>
        <w:adjustRightInd w:val="0"/>
        <w:rPr>
          <w:rFonts w:eastAsia="TimesNewRoman"/>
          <w:sz w:val="22"/>
          <w:szCs w:val="22"/>
          <w:lang w:val="lt-LT" w:eastAsia="en-US"/>
        </w:rPr>
      </w:pPr>
    </w:p>
    <w:p w14:paraId="7FBF8AF5" w14:textId="77777777" w:rsidR="0026057E" w:rsidRPr="00532388" w:rsidRDefault="0026057E" w:rsidP="0079657F">
      <w:pPr>
        <w:autoSpaceDE w:val="0"/>
        <w:autoSpaceDN w:val="0"/>
        <w:adjustRightInd w:val="0"/>
        <w:rPr>
          <w:lang w:val="lt-LT" w:eastAsia="en-US"/>
        </w:rPr>
      </w:pPr>
      <w:r w:rsidRPr="00532388">
        <w:rPr>
          <w:rFonts w:eastAsia="TimesNewRoman"/>
          <w:sz w:val="22"/>
          <w:szCs w:val="22"/>
          <w:lang w:val="lt-LT" w:eastAsia="en-US"/>
        </w:rPr>
        <w:t>Efavirenzą vartojant kartu su 800/100 mg darunaviro/ritonaviro vieną kartą per parą, darunaviro C</w:t>
      </w:r>
      <w:r w:rsidRPr="00532388">
        <w:rPr>
          <w:rFonts w:eastAsia="TimesNewRoman"/>
          <w:sz w:val="14"/>
          <w:szCs w:val="14"/>
          <w:lang w:val="lt-LT" w:eastAsia="en-US"/>
        </w:rPr>
        <w:t xml:space="preserve">min </w:t>
      </w:r>
      <w:r w:rsidRPr="00532388">
        <w:rPr>
          <w:rFonts w:eastAsia="TimesNewRoman"/>
          <w:sz w:val="22"/>
          <w:szCs w:val="22"/>
          <w:lang w:val="lt-LT" w:eastAsia="en-US"/>
        </w:rPr>
        <w:t xml:space="preserve">gali būti suboptimali. Jeigu efavirenzas vartojamas kartu su darunaviru/ritonaviru, reikia taikyti gydymo 600/100 mg darunaviro/ritonaviro dozės du kartus per parą planą. Žr. Darunavir Teva 600 mg </w:t>
      </w:r>
      <w:r w:rsidR="002148DA">
        <w:rPr>
          <w:rFonts w:eastAsia="TimesNewRoman"/>
          <w:sz w:val="22"/>
          <w:szCs w:val="22"/>
          <w:lang w:val="lt-LT" w:eastAsia="en-US"/>
        </w:rPr>
        <w:t xml:space="preserve">plėvele dengtų </w:t>
      </w:r>
      <w:r w:rsidRPr="00532388">
        <w:rPr>
          <w:rFonts w:eastAsia="TimesNewRoman"/>
          <w:sz w:val="22"/>
          <w:szCs w:val="22"/>
          <w:lang w:val="lt-LT" w:eastAsia="en-US"/>
        </w:rPr>
        <w:t xml:space="preserve">tablečių </w:t>
      </w:r>
      <w:r w:rsidR="007F447B" w:rsidRPr="00532388">
        <w:rPr>
          <w:rFonts w:eastAsia="TimesNewRoman"/>
          <w:sz w:val="22"/>
          <w:szCs w:val="22"/>
          <w:lang w:val="lt-LT" w:eastAsia="en-US"/>
        </w:rPr>
        <w:t>PCS</w:t>
      </w:r>
      <w:r w:rsidRPr="00532388">
        <w:rPr>
          <w:rFonts w:eastAsia="TimesNewRoman"/>
          <w:sz w:val="22"/>
          <w:szCs w:val="22"/>
          <w:lang w:val="lt-LT" w:eastAsia="en-US"/>
        </w:rPr>
        <w:t xml:space="preserve"> (žr. 4.5 skyrių).</w:t>
      </w:r>
    </w:p>
    <w:p w14:paraId="7242C905" w14:textId="77777777" w:rsidR="0026057E" w:rsidRPr="00532388" w:rsidRDefault="0026057E" w:rsidP="0079657F">
      <w:pPr>
        <w:autoSpaceDE w:val="0"/>
        <w:autoSpaceDN w:val="0"/>
        <w:adjustRightInd w:val="0"/>
        <w:rPr>
          <w:rFonts w:eastAsia="TimesNewRoman"/>
          <w:sz w:val="22"/>
          <w:szCs w:val="22"/>
          <w:lang w:val="lt-LT" w:eastAsia="en-US"/>
        </w:rPr>
      </w:pPr>
    </w:p>
    <w:p w14:paraId="0726B3F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Pacientams, gydytiems kolchicinu ir stipriais CYP3A bei P-glikoproteino (P-gp) inhibitoriais, pasireiškė gyvybei pavojinga ir mirtina vaistų sąveika (žr. 4.3 ir 4.5 skyrius).</w:t>
      </w:r>
    </w:p>
    <w:p w14:paraId="72D1C00C" w14:textId="77777777" w:rsidR="00645841" w:rsidRPr="00532388" w:rsidRDefault="00645841" w:rsidP="0079657F">
      <w:pPr>
        <w:autoSpaceDE w:val="0"/>
        <w:autoSpaceDN w:val="0"/>
        <w:adjustRightInd w:val="0"/>
        <w:rPr>
          <w:rFonts w:eastAsia="TimesNewRoman"/>
          <w:sz w:val="22"/>
          <w:szCs w:val="22"/>
          <w:lang w:val="lt-LT" w:eastAsia="en-US"/>
        </w:rPr>
      </w:pPr>
    </w:p>
    <w:p w14:paraId="73C17F99" w14:textId="77777777" w:rsidR="00645841" w:rsidRPr="00532388" w:rsidRDefault="00645841" w:rsidP="0079657F">
      <w:pPr>
        <w:autoSpaceDE w:val="0"/>
        <w:autoSpaceDN w:val="0"/>
        <w:adjustRightInd w:val="0"/>
        <w:rPr>
          <w:rFonts w:eastAsia="TimesNewRoman,Bold"/>
          <w:b/>
          <w:bCs/>
          <w:sz w:val="22"/>
          <w:szCs w:val="22"/>
          <w:lang w:val="lt-LT" w:eastAsia="en-US"/>
        </w:rPr>
      </w:pPr>
      <w:r w:rsidRPr="00532388">
        <w:rPr>
          <w:rFonts w:eastAsia="TimesNewRoman,Bold"/>
          <w:b/>
          <w:bCs/>
          <w:sz w:val="22"/>
          <w:szCs w:val="22"/>
          <w:lang w:val="lt-LT" w:eastAsia="en-US"/>
        </w:rPr>
        <w:t>4.5 Sąveika su kitais vaistiniais preparatais ir kitokia sąveika</w:t>
      </w:r>
    </w:p>
    <w:p w14:paraId="6148F882" w14:textId="77777777" w:rsidR="00645841" w:rsidRPr="00532388" w:rsidRDefault="00645841" w:rsidP="0079657F">
      <w:pPr>
        <w:autoSpaceDE w:val="0"/>
        <w:autoSpaceDN w:val="0"/>
        <w:adjustRightInd w:val="0"/>
        <w:rPr>
          <w:rFonts w:eastAsia="TimesNewRoman"/>
          <w:sz w:val="22"/>
          <w:szCs w:val="22"/>
          <w:lang w:val="lt-LT" w:eastAsia="en-US"/>
        </w:rPr>
      </w:pPr>
    </w:p>
    <w:p w14:paraId="47726AAB"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sąveikos pobūdis gali skirtis priklausomai nuo to, ar ritonaviras, ar kobicistatas yra vartojamas farmakologin</w:t>
      </w:r>
      <w:r w:rsidR="007F447B" w:rsidRPr="00532388">
        <w:rPr>
          <w:rFonts w:eastAsia="TimesNewRoman"/>
          <w:sz w:val="22"/>
          <w:szCs w:val="22"/>
          <w:lang w:val="lt-LT" w:eastAsia="en-US"/>
        </w:rPr>
        <w:t>iam poveikiui sustiprinti</w:t>
      </w:r>
      <w:r w:rsidRPr="00532388">
        <w:rPr>
          <w:rFonts w:eastAsia="TimesNewRoman"/>
          <w:sz w:val="22"/>
          <w:szCs w:val="22"/>
          <w:lang w:val="lt-LT" w:eastAsia="en-US"/>
        </w:rPr>
        <w:t xml:space="preserve">. Darunaviro ir kitų vaistinių preparatų vartojimo kartu rekomendacijos gali skirtis priklausomai nuo to, ar darunaviras sustiprintas ritonaviru, ar kobicistatu (žr. 4.3 ir 4.4 skyrius), taip pat </w:t>
      </w:r>
      <w:r w:rsidRPr="00532388">
        <w:rPr>
          <w:rFonts w:eastAsia="TimesNewRoman"/>
          <w:sz w:val="22"/>
          <w:szCs w:val="22"/>
          <w:lang w:val="lt-LT" w:eastAsia="en-US"/>
        </w:rPr>
        <w:lastRenderedPageBreak/>
        <w:t>reikia laikytis atsargumo priemonių pirmą kartą keičiant ritonavirą, kaip farmakologinį stipriklį, kobicistatu (žr. 4.4 skyrių).</w:t>
      </w:r>
    </w:p>
    <w:p w14:paraId="0B72FAFD" w14:textId="77777777" w:rsidR="00645841" w:rsidRPr="00532388" w:rsidRDefault="00645841" w:rsidP="0079657F">
      <w:pPr>
        <w:autoSpaceDE w:val="0"/>
        <w:autoSpaceDN w:val="0"/>
        <w:adjustRightInd w:val="0"/>
        <w:rPr>
          <w:rFonts w:eastAsia="TimesNewRoman,Bold"/>
          <w:b/>
          <w:bCs/>
          <w:sz w:val="22"/>
          <w:szCs w:val="22"/>
          <w:lang w:val="lt-LT" w:eastAsia="en-US"/>
        </w:rPr>
      </w:pPr>
    </w:p>
    <w:p w14:paraId="55137FB8" w14:textId="77777777" w:rsidR="00645841" w:rsidRPr="00532388" w:rsidRDefault="00645841" w:rsidP="0079657F">
      <w:pPr>
        <w:autoSpaceDE w:val="0"/>
        <w:autoSpaceDN w:val="0"/>
        <w:adjustRightInd w:val="0"/>
        <w:rPr>
          <w:rFonts w:eastAsia="TimesNewRoman,Bold"/>
          <w:b/>
          <w:bCs/>
          <w:sz w:val="22"/>
          <w:szCs w:val="22"/>
          <w:u w:val="single"/>
          <w:lang w:val="lt-LT" w:eastAsia="en-US"/>
        </w:rPr>
      </w:pPr>
      <w:r w:rsidRPr="00532388">
        <w:rPr>
          <w:rFonts w:eastAsia="TimesNewRoman,Bold"/>
          <w:b/>
          <w:bCs/>
          <w:sz w:val="22"/>
          <w:szCs w:val="22"/>
          <w:u w:val="single"/>
          <w:lang w:val="lt-LT" w:eastAsia="en-US"/>
        </w:rPr>
        <w:t>Vaistiniai preparatai, veikiantys darunaviro ekspoziciją (ritonaviras, kaip farmakologinis</w:t>
      </w:r>
      <w:r w:rsidR="007F447B" w:rsidRPr="00532388">
        <w:rPr>
          <w:rFonts w:eastAsia="TimesNewRoman,Bold"/>
          <w:b/>
          <w:bCs/>
          <w:sz w:val="22"/>
          <w:szCs w:val="22"/>
          <w:u w:val="single"/>
          <w:lang w:val="lt-LT" w:eastAsia="en-US"/>
        </w:rPr>
        <w:t xml:space="preserve"> </w:t>
      </w:r>
      <w:r w:rsidRPr="00532388">
        <w:rPr>
          <w:rFonts w:eastAsia="TimesNewRoman,Bold"/>
          <w:b/>
          <w:bCs/>
          <w:sz w:val="22"/>
          <w:szCs w:val="22"/>
          <w:u w:val="single"/>
          <w:lang w:val="lt-LT" w:eastAsia="en-US"/>
        </w:rPr>
        <w:t>stipriklis)</w:t>
      </w:r>
    </w:p>
    <w:p w14:paraId="68179E7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ir ritonaviras yra metabolizuojami CYP3A. Tikėtina, kad vaistiniai preparatai, kurie sužadina CYP3A aktyvumą, gali padidinti darunaviro ir ritonaviro klirensą ir dėl to gali sumažėti šių junginių ir darunaviro koncentracijos kraujo plazmoje, todėl gali išnykti terapinis poveikis ir išsivystyti atsparumas (žr. 4.3 ir 4.4 skyrius). CYP3A induktoriai, kurių vartoti draudžiama, yra, pvz., rifampicinas, jonažolės ir lopinaviras.</w:t>
      </w:r>
    </w:p>
    <w:p w14:paraId="6D2644C4" w14:textId="77777777" w:rsidR="00645841" w:rsidRPr="00532388" w:rsidRDefault="00645841" w:rsidP="0079657F">
      <w:pPr>
        <w:autoSpaceDE w:val="0"/>
        <w:autoSpaceDN w:val="0"/>
        <w:adjustRightInd w:val="0"/>
        <w:rPr>
          <w:rFonts w:eastAsia="TimesNewRoman"/>
          <w:strike/>
          <w:sz w:val="22"/>
          <w:szCs w:val="22"/>
          <w:lang w:val="lt-LT" w:eastAsia="en-US"/>
        </w:rPr>
      </w:pPr>
    </w:p>
    <w:p w14:paraId="70290CBC"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Kartu vartojant darunavirą ir ritonavirą su kitais vaistiniais preparatais, kurie slopina CYP3A, gali sumažėti darunaviro ir ritonaviro klirensas ir dėl to gali padidėti darunaviro ir ritonaviro koncentracijos plazmoje. Nerekomenduojama kartu vartoti su stipriais CYP3A4 inhibitoriais ir reikia laikytis atsargumo priemonių. Šios sąveikos aprašytos žemiau esančioje sąveikos lentelėje (pvz.: vartojant su indinaviru, sisteminiais azolais, tokiais kaip ketokonazolas ir klotrimazolas).</w:t>
      </w:r>
    </w:p>
    <w:p w14:paraId="71DA7A1C" w14:textId="77777777" w:rsidR="00645841" w:rsidRPr="00532388" w:rsidRDefault="00645841" w:rsidP="0079657F">
      <w:pPr>
        <w:autoSpaceDE w:val="0"/>
        <w:autoSpaceDN w:val="0"/>
        <w:adjustRightInd w:val="0"/>
        <w:rPr>
          <w:rFonts w:eastAsia="TimesNewRoman"/>
          <w:sz w:val="22"/>
          <w:szCs w:val="22"/>
          <w:lang w:val="lt-LT" w:eastAsia="en-US"/>
        </w:rPr>
      </w:pPr>
    </w:p>
    <w:p w14:paraId="658B8113" w14:textId="77777777" w:rsidR="00645841" w:rsidRPr="00532388" w:rsidRDefault="00645841" w:rsidP="0079657F">
      <w:pPr>
        <w:autoSpaceDE w:val="0"/>
        <w:autoSpaceDN w:val="0"/>
        <w:adjustRightInd w:val="0"/>
        <w:rPr>
          <w:rFonts w:eastAsia="TimesNewRoman,Bold"/>
          <w:b/>
          <w:bCs/>
          <w:sz w:val="22"/>
          <w:szCs w:val="22"/>
          <w:u w:val="single"/>
          <w:lang w:val="lt-LT" w:eastAsia="en-US"/>
        </w:rPr>
      </w:pPr>
      <w:r w:rsidRPr="00532388">
        <w:rPr>
          <w:rFonts w:eastAsia="TimesNewRoman,Bold"/>
          <w:b/>
          <w:bCs/>
          <w:sz w:val="22"/>
          <w:szCs w:val="22"/>
          <w:u w:val="single"/>
          <w:lang w:val="lt-LT" w:eastAsia="en-US"/>
        </w:rPr>
        <w:t>Vaistiniai preparatai, veikiantys darunaviro ekspoziciją (kobicistatas, kaip farmakologinis stipriklis)</w:t>
      </w:r>
    </w:p>
    <w:p w14:paraId="33E3AE5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Darunaviras ir kobicistatas yra metabolizuojami CYP3A. Vartojant kartu su CYP3A induktoriais gali atsirasti mažesnė už gydomąją koncentraciją darunaviro ekspozicija kraujo plazmoje. Darunaviras, sustiprintas kobicistatu, yra jautresnis CYP3A indukcijai, nei darunaviras, sustiprintas ritonaviru: darunaviro/kobicistato vartojimas kartu su vaistiniais preparatais, kurie yra stiprūs CYP3A induktoriai (pvz.: jonažolėmis, rifampicinu, karbamazepinu, fenobarbitaliu ir fenitoinu), yra kontraindikuotinas (žr. 4.3 skyrių). </w:t>
      </w:r>
    </w:p>
    <w:p w14:paraId="40A308EE"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Darunaviro/kobici</w:t>
      </w:r>
      <w:r w:rsidR="00631150">
        <w:rPr>
          <w:rFonts w:eastAsia="TimesNewRoman"/>
          <w:sz w:val="22"/>
          <w:szCs w:val="22"/>
          <w:lang w:val="lt-LT" w:eastAsia="en-US"/>
        </w:rPr>
        <w:t>s</w:t>
      </w:r>
      <w:r w:rsidRPr="00532388">
        <w:rPr>
          <w:rFonts w:eastAsia="TimesNewRoman"/>
          <w:sz w:val="22"/>
          <w:szCs w:val="22"/>
          <w:lang w:val="lt-LT" w:eastAsia="en-US"/>
        </w:rPr>
        <w:t>tato vartojimas kartu su silpnais arba vidutinio stiprumo CYP3A induktoriais (pvz.: efavirenzu, etravirinu, nevirapinu, bocepreviru, telapreviru, flutikazonu ir bozentanu) nerekomenduojamas (žr. sąveikos lentelę žemiau).</w:t>
      </w:r>
    </w:p>
    <w:p w14:paraId="499A7272" w14:textId="77777777" w:rsidR="00645841" w:rsidRPr="00532388" w:rsidRDefault="00645841" w:rsidP="0079657F">
      <w:pPr>
        <w:autoSpaceDE w:val="0"/>
        <w:autoSpaceDN w:val="0"/>
        <w:adjustRightInd w:val="0"/>
        <w:rPr>
          <w:rFonts w:eastAsia="TimesNewRoman"/>
          <w:sz w:val="22"/>
          <w:szCs w:val="22"/>
          <w:lang w:val="lt-LT" w:eastAsia="en-US"/>
        </w:rPr>
      </w:pPr>
    </w:p>
    <w:p w14:paraId="45254D0A"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Vartojant kartu su stipriais CYP3A4 inhibitoriais, taikomos tokios pat rekomendacijos nepriklausomai nuo to, ar darunaviras yra sustiprintas ritonaviru, ar kobicistatu (žr. skyrių žemiau).</w:t>
      </w:r>
    </w:p>
    <w:p w14:paraId="4309595E" w14:textId="77777777" w:rsidR="00645841" w:rsidRPr="00532388" w:rsidRDefault="00645841" w:rsidP="0079657F">
      <w:pPr>
        <w:autoSpaceDE w:val="0"/>
        <w:autoSpaceDN w:val="0"/>
        <w:adjustRightInd w:val="0"/>
        <w:rPr>
          <w:rFonts w:eastAsia="TimesNewRoman,Bold"/>
          <w:b/>
          <w:bCs/>
          <w:sz w:val="22"/>
          <w:szCs w:val="22"/>
          <w:lang w:val="lt-LT" w:eastAsia="en-US"/>
        </w:rPr>
      </w:pPr>
    </w:p>
    <w:p w14:paraId="58B631BB" w14:textId="77777777" w:rsidR="00645841" w:rsidRPr="00532388" w:rsidRDefault="00645841" w:rsidP="0079657F">
      <w:pPr>
        <w:autoSpaceDE w:val="0"/>
        <w:autoSpaceDN w:val="0"/>
        <w:adjustRightInd w:val="0"/>
        <w:rPr>
          <w:rFonts w:eastAsia="TimesNewRoman,Bold"/>
          <w:b/>
          <w:bCs/>
          <w:sz w:val="22"/>
          <w:szCs w:val="22"/>
          <w:u w:val="single"/>
          <w:lang w:val="lt-LT" w:eastAsia="en-US"/>
        </w:rPr>
      </w:pPr>
      <w:r w:rsidRPr="00532388">
        <w:rPr>
          <w:rFonts w:eastAsia="TimesNewRoman,Bold"/>
          <w:b/>
          <w:bCs/>
          <w:sz w:val="22"/>
          <w:szCs w:val="22"/>
          <w:u w:val="single"/>
          <w:lang w:val="lt-LT" w:eastAsia="en-US"/>
        </w:rPr>
        <w:t>Vaistiniai preparatai, kurie gali turėti įtakos ritonaviru sustiprintam darunavirui</w:t>
      </w:r>
    </w:p>
    <w:p w14:paraId="609EB0D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ir ritonaviras yra CYP3A, CYP2D6 ir P-gp inhibitoriai. Vartojant darunavirą/ ritonavirą su vaistiniais preparatais, kuriuos daugiausia metabolizuoja CYP3A ir (arba) CYP2D6 arba perneša P - gp, gali padidėti šių vaistinių preparatų sisteminė ekspozicija, dėl to gali sustiprėti ar pailgėti jų</w:t>
      </w:r>
    </w:p>
    <w:p w14:paraId="42F2329E"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gydomasis poveikis ir nepageidaujamos reakcijos.</w:t>
      </w:r>
    </w:p>
    <w:p w14:paraId="608CB86E" w14:textId="77777777" w:rsidR="00645841" w:rsidRPr="00532388" w:rsidRDefault="00645841" w:rsidP="0079657F">
      <w:pPr>
        <w:autoSpaceDE w:val="0"/>
        <w:autoSpaceDN w:val="0"/>
        <w:adjustRightInd w:val="0"/>
        <w:rPr>
          <w:rFonts w:eastAsia="TimesNewRoman"/>
          <w:sz w:val="22"/>
          <w:szCs w:val="22"/>
          <w:lang w:val="lt-LT" w:eastAsia="en-US"/>
        </w:rPr>
      </w:pPr>
    </w:p>
    <w:p w14:paraId="118C366B" w14:textId="77777777" w:rsidR="007F447B"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Darunaviro kartu su maža ritonaviro doze negalima vartoti kartu su vaistiniais preparatais, kurių klirensas labai priklauso nuo CYP3A ir kurių sisteminės ekspozicijos padidėjimas yra susijęs su sunkiais ir (arba) gyvybei pavojingais reiškiniais (siauras terapinis indeksas) (žr. 4.3 skyrių). </w:t>
      </w:r>
    </w:p>
    <w:p w14:paraId="4B107446" w14:textId="77777777" w:rsidR="007F447B" w:rsidRPr="00532388" w:rsidRDefault="007F447B" w:rsidP="0079657F">
      <w:pPr>
        <w:autoSpaceDE w:val="0"/>
        <w:autoSpaceDN w:val="0"/>
        <w:adjustRightInd w:val="0"/>
        <w:rPr>
          <w:rFonts w:eastAsia="TimesNewRoman"/>
          <w:sz w:val="22"/>
          <w:szCs w:val="22"/>
          <w:lang w:val="lt-LT" w:eastAsia="en-US"/>
        </w:rPr>
      </w:pPr>
    </w:p>
    <w:p w14:paraId="51496D42"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Bendras stiprinamasis farmakokinetinis ritonaviro poveikis yra maždaug 14 kartų padidėjusi sisteminė darunaviro ekspozicija, išgėrus vienkartinę 600</w:t>
      </w:r>
      <w:r w:rsidR="003D7109" w:rsidRPr="00532388">
        <w:rPr>
          <w:rFonts w:eastAsia="TimesNewRoman"/>
          <w:sz w:val="22"/>
          <w:szCs w:val="22"/>
          <w:lang w:val="lt-LT" w:eastAsia="en-US"/>
        </w:rPr>
        <w:t> mg jo dozę kartu su 100 </w:t>
      </w:r>
      <w:r w:rsidRPr="00532388">
        <w:rPr>
          <w:rFonts w:eastAsia="TimesNewRoman"/>
          <w:sz w:val="22"/>
          <w:szCs w:val="22"/>
          <w:lang w:val="lt-LT" w:eastAsia="en-US"/>
        </w:rPr>
        <w:t>mg rit</w:t>
      </w:r>
      <w:r w:rsidR="003D7109" w:rsidRPr="00532388">
        <w:rPr>
          <w:rFonts w:eastAsia="TimesNewRoman"/>
          <w:sz w:val="22"/>
          <w:szCs w:val="22"/>
          <w:lang w:val="lt-LT" w:eastAsia="en-US"/>
        </w:rPr>
        <w:t>onaviro du kartus per parą. 150 </w:t>
      </w:r>
      <w:r w:rsidRPr="00532388">
        <w:rPr>
          <w:rFonts w:eastAsia="TimesNewRoman"/>
          <w:sz w:val="22"/>
          <w:szCs w:val="22"/>
          <w:lang w:val="lt-LT" w:eastAsia="en-US"/>
        </w:rPr>
        <w:t xml:space="preserve">mg </w:t>
      </w:r>
      <w:r w:rsidR="003D7109" w:rsidRPr="00532388">
        <w:rPr>
          <w:rFonts w:eastAsia="TimesNewRoman"/>
          <w:sz w:val="22"/>
          <w:szCs w:val="22"/>
          <w:lang w:val="lt-LT" w:eastAsia="en-US"/>
        </w:rPr>
        <w:t xml:space="preserve">kobicistatas, vartojamas su </w:t>
      </w:r>
      <w:r w:rsidR="003D7109" w:rsidRPr="00532388">
        <w:rPr>
          <w:rFonts w:eastAsia="TimesNewRoman"/>
          <w:sz w:val="22"/>
          <w:szCs w:val="22"/>
          <w:lang w:val="lt-LT" w:eastAsia="en-US"/>
        </w:rPr>
        <w:lastRenderedPageBreak/>
        <w:t>800 </w:t>
      </w:r>
      <w:r w:rsidRPr="00532388">
        <w:rPr>
          <w:rFonts w:eastAsia="TimesNewRoman"/>
          <w:sz w:val="22"/>
          <w:szCs w:val="22"/>
          <w:lang w:val="lt-LT" w:eastAsia="en-US"/>
        </w:rPr>
        <w:t>mg darunaviru vieną kartą per parą sustiprina darunaviro farmakokinetikos parametrus panašiu būdu, kaip ir ritonaviras (žr. 5.2 skyrių). Taigi darunavirą būtina vartoti tik kartu su farmakokinetikos stiprikliu (žr. 5.2 skyrių).</w:t>
      </w:r>
    </w:p>
    <w:p w14:paraId="08F14FED" w14:textId="77777777" w:rsidR="007F447B" w:rsidRPr="00532388" w:rsidRDefault="007F447B" w:rsidP="0079657F">
      <w:pPr>
        <w:autoSpaceDE w:val="0"/>
        <w:autoSpaceDN w:val="0"/>
        <w:adjustRightInd w:val="0"/>
        <w:rPr>
          <w:rFonts w:eastAsia="TimesNewRoman"/>
          <w:sz w:val="22"/>
          <w:szCs w:val="22"/>
          <w:lang w:val="lt-LT" w:eastAsia="en-US"/>
        </w:rPr>
      </w:pPr>
    </w:p>
    <w:p w14:paraId="2C93ED7F" w14:textId="77777777" w:rsidR="00645841" w:rsidRPr="00532388" w:rsidRDefault="00645841" w:rsidP="0079657F">
      <w:pPr>
        <w:autoSpaceDE w:val="0"/>
        <w:autoSpaceDN w:val="0"/>
        <w:adjustRightInd w:val="0"/>
        <w:rPr>
          <w:rFonts w:eastAsia="TimesNewRoman"/>
          <w:sz w:val="22"/>
          <w:szCs w:val="22"/>
          <w:lang w:val="lt-LT" w:eastAsia="en-US"/>
        </w:rPr>
      </w:pPr>
      <w:r w:rsidRPr="008C099E">
        <w:rPr>
          <w:rFonts w:eastAsia="TimesNewRoman"/>
          <w:sz w:val="22"/>
          <w:szCs w:val="22"/>
          <w:lang w:val="lt-LT" w:eastAsia="en-US"/>
        </w:rPr>
        <w:t>Klinikinio</w:t>
      </w:r>
      <w:r w:rsidRPr="00FD0DCF">
        <w:rPr>
          <w:rFonts w:eastAsia="TimesNewRoman"/>
          <w:sz w:val="22"/>
          <w:szCs w:val="22"/>
          <w:lang w:val="lt-LT" w:eastAsia="en-US"/>
        </w:rPr>
        <w:t xml:space="preserve"> tyrimo</w:t>
      </w:r>
      <w:r w:rsidRPr="00532388">
        <w:rPr>
          <w:rFonts w:eastAsia="TimesNewRoman"/>
          <w:sz w:val="22"/>
          <w:szCs w:val="22"/>
          <w:lang w:val="lt-LT" w:eastAsia="en-US"/>
        </w:rPr>
        <w:t xml:space="preserve"> metu vartojant kartu įvairius vaistinius preparatus, metabolizuojamus CYP2C9, CYP2C19 ir CYP2D6 citochromų, pavartojus darunaviro/ritonaviro buvo nustatytas CYP2C9 ir CYP2C19 citochromų aktyvumo padidėjimas ir CYP2D6 citochromo aktyvumo slopinimas, kuris gali būti dėl mažų ritonaviro dozių vartojimo. Kartu vartojant darunavirą, ritonavirą su kitais vaistiniais preparatais, kurie pirmiausia metabolizuojami CYP2D6 citochromo (pvz., flekainidas, propafenonas, metoprololis), kraujo serume gali padidėti šių vaistinių preparatų koncentracija, kuri gali padidinti arba pailginti jų terapinį poveikį ir nepageidaujamas reakcijas. Kartu vartojant darunavirą, ritonavirą ir kitus vaistinius preparatus, kurie pirmiausia metabolizuojami CYP2C9 citochromo (pvz., varfarinas) ir CYP2C19 citochromo (pvz., metadonas), gali sumažėti šių vaistinių preparatų sisteminė ekspozicija, kas gali sumažinti arba sutrumpinti jų terapinį poveikį.</w:t>
      </w:r>
    </w:p>
    <w:p w14:paraId="420AF608" w14:textId="77777777" w:rsidR="007F447B" w:rsidRPr="00532388" w:rsidRDefault="007F447B" w:rsidP="0079657F">
      <w:pPr>
        <w:autoSpaceDE w:val="0"/>
        <w:autoSpaceDN w:val="0"/>
        <w:adjustRightInd w:val="0"/>
        <w:rPr>
          <w:rFonts w:eastAsia="TimesNewRoman"/>
          <w:sz w:val="22"/>
          <w:szCs w:val="22"/>
          <w:lang w:val="lt-LT" w:eastAsia="en-US"/>
        </w:rPr>
      </w:pPr>
    </w:p>
    <w:p w14:paraId="398D6307"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Nors CYP2C8 citochromo poveikis buvo tiriamas tik </w:t>
      </w:r>
      <w:r w:rsidRPr="00532388">
        <w:rPr>
          <w:rFonts w:eastAsia="TimesNewRoman"/>
          <w:i/>
          <w:iCs/>
          <w:sz w:val="22"/>
          <w:szCs w:val="22"/>
          <w:lang w:val="lt-LT" w:eastAsia="en-US"/>
        </w:rPr>
        <w:t>in vitro</w:t>
      </w:r>
      <w:r w:rsidRPr="00532388">
        <w:rPr>
          <w:rFonts w:eastAsia="TimesNewRoman"/>
          <w:sz w:val="22"/>
          <w:szCs w:val="22"/>
          <w:lang w:val="lt-LT" w:eastAsia="en-US"/>
        </w:rPr>
        <w:t>, kartu vartojant darunavirą, ritonavirą ir kitus vaistinius preparatus, kurie pirmiausia metabolizuojami CYP2C8 citochromo (pvz., paklitakselis, roziglitazonas, repaglinidas), gali sumažėti šių vaistinių preparatų sisteminė ekspozicija, kas gali sumažinti arba sutrumpinti jų terapinį poveikį.</w:t>
      </w:r>
    </w:p>
    <w:p w14:paraId="001CE062" w14:textId="77777777" w:rsidR="007F447B" w:rsidRPr="00532388" w:rsidRDefault="007F447B" w:rsidP="0079657F">
      <w:pPr>
        <w:autoSpaceDE w:val="0"/>
        <w:autoSpaceDN w:val="0"/>
        <w:adjustRightInd w:val="0"/>
        <w:rPr>
          <w:rFonts w:eastAsia="TimesNewRoman"/>
          <w:sz w:val="22"/>
          <w:szCs w:val="22"/>
          <w:lang w:val="lt-LT" w:eastAsia="en-US"/>
        </w:rPr>
      </w:pPr>
    </w:p>
    <w:p w14:paraId="6ED8C519"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Ritonaviras slopina nešiklius P-glikoproteiną, OATP1B1 ir OATP1B3. Vartojantiems kartu vaistinius preparatus, kurie yra šių nešiklių substratai, gali padidėti šių derinių koncentracijos plazmoje (pvz., vartojant dabigatrano eteksilato, digoksino, statinų ir bozentano. Žr. sąveikų lentelę žemiau).</w:t>
      </w:r>
    </w:p>
    <w:p w14:paraId="0D0E4473" w14:textId="77777777" w:rsidR="00645841" w:rsidRPr="00532388" w:rsidRDefault="00645841" w:rsidP="0079657F">
      <w:pPr>
        <w:autoSpaceDE w:val="0"/>
        <w:autoSpaceDN w:val="0"/>
        <w:adjustRightInd w:val="0"/>
        <w:rPr>
          <w:rFonts w:eastAsia="TimesNewRoman,Bold"/>
          <w:b/>
          <w:bCs/>
          <w:sz w:val="22"/>
          <w:szCs w:val="22"/>
          <w:lang w:val="lt-LT" w:eastAsia="en-US"/>
        </w:rPr>
      </w:pPr>
    </w:p>
    <w:p w14:paraId="7764B515" w14:textId="77777777" w:rsidR="00645841" w:rsidRPr="00532388" w:rsidRDefault="00645841" w:rsidP="0079657F">
      <w:pPr>
        <w:autoSpaceDE w:val="0"/>
        <w:autoSpaceDN w:val="0"/>
        <w:adjustRightInd w:val="0"/>
        <w:rPr>
          <w:rFonts w:eastAsia="TimesNewRoman,Bold"/>
          <w:b/>
          <w:bCs/>
          <w:sz w:val="22"/>
          <w:szCs w:val="22"/>
          <w:u w:val="single"/>
          <w:lang w:val="lt-LT" w:eastAsia="en-US"/>
        </w:rPr>
      </w:pPr>
      <w:r w:rsidRPr="00532388">
        <w:rPr>
          <w:rFonts w:eastAsia="TimesNewRoman,Bold"/>
          <w:b/>
          <w:bCs/>
          <w:sz w:val="22"/>
          <w:szCs w:val="22"/>
          <w:u w:val="single"/>
          <w:lang w:val="lt-LT" w:eastAsia="en-US"/>
        </w:rPr>
        <w:t>Vaistiniai preparatai, kuriuos gali paveikti kobicistatu sustiprintas darunaviras</w:t>
      </w:r>
    </w:p>
    <w:p w14:paraId="6D83E78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sustiprinto ritonaviru, vartojimo rekomendacijos, susijusios su CYP3A4, CYP2D6, P-gp, OATP1B1 ir OATP1B3 substratais (žr. kontraindikacijas ir rekomendacijas, pateiktas ankstesniame skyriuje), yra tokios pat, kaip ir darunaviro, sustiprinto kobicistatu. 150 mg kobicistato, skiriamo kartu su 800 mg darunaviro kartą per parą, sustiprina darunaviro farmakokinetikos parametrus panašiai kaip ritonaviras (žr. 5.2 skyrių).</w:t>
      </w:r>
    </w:p>
    <w:p w14:paraId="785529E2" w14:textId="77777777" w:rsidR="007F447B" w:rsidRPr="00532388" w:rsidRDefault="007F447B" w:rsidP="0079657F">
      <w:pPr>
        <w:autoSpaceDE w:val="0"/>
        <w:autoSpaceDN w:val="0"/>
        <w:adjustRightInd w:val="0"/>
        <w:rPr>
          <w:rFonts w:eastAsia="TimesNewRoman"/>
          <w:sz w:val="22"/>
          <w:szCs w:val="22"/>
          <w:lang w:val="lt-LT" w:eastAsia="en-US"/>
        </w:rPr>
      </w:pPr>
    </w:p>
    <w:p w14:paraId="7634C433"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Priešingai nei ritonaviras, kobicistatas nėra CYP1A2, CYP2B6, CYP2C8, CYP2C9, CYP2C19 ar</w:t>
      </w:r>
    </w:p>
    <w:p w14:paraId="6157D787"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UGT1A1 induktorius. Daugiau informacijos apie kobicistato vartojimą žr. kobi</w:t>
      </w:r>
      <w:r w:rsidR="007F447B" w:rsidRPr="00532388">
        <w:rPr>
          <w:rFonts w:eastAsia="TimesNewRoman"/>
          <w:sz w:val="22"/>
          <w:szCs w:val="22"/>
          <w:lang w:val="lt-LT" w:eastAsia="en-US"/>
        </w:rPr>
        <w:t>cistato P</w:t>
      </w:r>
      <w:r w:rsidRPr="00532388">
        <w:rPr>
          <w:rFonts w:eastAsia="TimesNewRoman"/>
          <w:sz w:val="22"/>
          <w:szCs w:val="22"/>
          <w:lang w:val="lt-LT" w:eastAsia="en-US"/>
        </w:rPr>
        <w:t>reparato</w:t>
      </w:r>
    </w:p>
    <w:p w14:paraId="01F451C1"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charakteristikų santraukoje.</w:t>
      </w:r>
    </w:p>
    <w:p w14:paraId="14F10852" w14:textId="77777777" w:rsidR="00645841" w:rsidRPr="00532388" w:rsidRDefault="00645841" w:rsidP="0079657F">
      <w:pPr>
        <w:autoSpaceDE w:val="0"/>
        <w:autoSpaceDN w:val="0"/>
        <w:adjustRightInd w:val="0"/>
        <w:rPr>
          <w:rFonts w:eastAsia="TimesNewRoman"/>
          <w:sz w:val="22"/>
          <w:szCs w:val="22"/>
          <w:lang w:val="lt-LT" w:eastAsia="en-US"/>
        </w:rPr>
      </w:pPr>
    </w:p>
    <w:p w14:paraId="7DD8F5E6" w14:textId="77777777" w:rsidR="00645841" w:rsidRPr="00532388" w:rsidRDefault="00645841"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Vaistinių preparatų tarpusavio sąveikos lentelė</w:t>
      </w:r>
    </w:p>
    <w:p w14:paraId="075E6DAC" w14:textId="77777777" w:rsidR="007F447B" w:rsidRPr="00532388" w:rsidRDefault="007F447B"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Sąveikos tyrimai atlikti tik suaugusiesiems.</w:t>
      </w:r>
    </w:p>
    <w:p w14:paraId="4CA20F5D" w14:textId="77777777" w:rsidR="007F447B" w:rsidRPr="00532388" w:rsidRDefault="007F447B" w:rsidP="0079657F">
      <w:pPr>
        <w:autoSpaceDE w:val="0"/>
        <w:autoSpaceDN w:val="0"/>
        <w:adjustRightInd w:val="0"/>
        <w:rPr>
          <w:rFonts w:eastAsia="TimesNewRoman"/>
          <w:sz w:val="22"/>
          <w:szCs w:val="22"/>
          <w:u w:val="single"/>
          <w:lang w:val="lt-LT" w:eastAsia="en-US"/>
        </w:rPr>
      </w:pPr>
    </w:p>
    <w:p w14:paraId="00343F40" w14:textId="77777777" w:rsidR="00645841" w:rsidRPr="00532388" w:rsidRDefault="00645841"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Atlikta keletas sąveikos tyrimų (toliau esančioje lentelėje pažymėti </w:t>
      </w:r>
      <w:r w:rsidRPr="00532388">
        <w:rPr>
          <w:rFonts w:eastAsia="TimesNewRoman"/>
          <w:sz w:val="22"/>
          <w:szCs w:val="22"/>
          <w:vertAlign w:val="superscript"/>
          <w:lang w:val="lt-LT" w:eastAsia="en-US"/>
        </w:rPr>
        <w:t>#</w:t>
      </w:r>
      <w:r w:rsidRPr="00532388">
        <w:rPr>
          <w:rFonts w:eastAsia="TimesNewRoman"/>
          <w:sz w:val="22"/>
          <w:szCs w:val="22"/>
          <w:lang w:val="lt-LT" w:eastAsia="en-US"/>
        </w:rPr>
        <w:t>), kurių metu buvo vartotos mažesnės už rekomenduojamas darunaviro dozės arba jis buvo skiriamas pagal skirtingus dozavimo planus (žr. 4.2 skyrių). Taigi kartu vartojamų vaistinių preparatų poveikis gali būti nepakankamai įvertintas ir gali prireikti klinikinio saugumo stebėjimo.</w:t>
      </w:r>
    </w:p>
    <w:p w14:paraId="6F6B3345" w14:textId="77777777" w:rsidR="007F447B" w:rsidRPr="00532388" w:rsidRDefault="007F447B" w:rsidP="0079657F">
      <w:pPr>
        <w:autoSpaceDE w:val="0"/>
        <w:autoSpaceDN w:val="0"/>
        <w:adjustRightInd w:val="0"/>
        <w:rPr>
          <w:rFonts w:eastAsia="TimesNewRoman"/>
          <w:sz w:val="22"/>
          <w:szCs w:val="22"/>
          <w:lang w:val="lt-LT" w:eastAsia="en-US"/>
        </w:rPr>
      </w:pPr>
    </w:p>
    <w:p w14:paraId="7E9AC0AC" w14:textId="77777777" w:rsidR="00B0349C" w:rsidRPr="00532388" w:rsidRDefault="00B0349C"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Darunaviro sąveikos pobūdis priklauso nuo to, ar ritonaviras, ar kobicistatas yra vartojamas kaip farmakokinetikos stipriklis. Darunaviro ir kitų vaistinių preparatų vartojimo kartu rekomendacijos gali skirtis priklausomai nuo to, ar derinys sustiprintas ritonaviru, ar kobicistatu. Jokių darunaviro, sustiprinto kobicistatu, sąveikos tyrimų, kurie pateikti lentelėje, neatlikta. Taikomos tokios pat rekomendacijos, nebent būtų nurodyta kitaip. Daugiau informacijos dėl kobicistato vartojimo žr. kobicistato Preparato charakteristikų santraukoje.</w:t>
      </w:r>
    </w:p>
    <w:p w14:paraId="11DE7036" w14:textId="77777777" w:rsidR="00B0349C" w:rsidRPr="00532388" w:rsidRDefault="00B0349C" w:rsidP="0079657F">
      <w:pPr>
        <w:autoSpaceDE w:val="0"/>
        <w:autoSpaceDN w:val="0"/>
        <w:adjustRightInd w:val="0"/>
        <w:rPr>
          <w:rFonts w:eastAsia="TimesNewRoman"/>
          <w:sz w:val="22"/>
          <w:szCs w:val="22"/>
          <w:lang w:val="lt-LT" w:eastAsia="en-US"/>
        </w:rPr>
      </w:pPr>
    </w:p>
    <w:p w14:paraId="1D83867C" w14:textId="77777777" w:rsidR="007F447B" w:rsidRPr="00532388" w:rsidRDefault="007F447B"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Sąveika tarp darunaviro/ritonaviro ir antiretrovirusinių bei neantiretrovirusinių vaistinių preparatų išvardyta toliau esančioje lentelėje (nenustatyta – ,,NN“). Kiekvieno farmakokinetinio rodmens pokyčio kryptis nurodyta rodyklėmis, remiantis geometrinio vidurkio pokyčio 90 % pasikliautinuoju intervalu: 80-125 % ribose (↔), žemiau šių ribų (↓) arba virš šių ribų (↑).</w:t>
      </w:r>
    </w:p>
    <w:p w14:paraId="59CB05BB" w14:textId="77777777" w:rsidR="00B0349C" w:rsidRPr="00532388" w:rsidRDefault="00B0349C" w:rsidP="0079657F">
      <w:pPr>
        <w:autoSpaceDE w:val="0"/>
        <w:autoSpaceDN w:val="0"/>
        <w:adjustRightInd w:val="0"/>
        <w:rPr>
          <w:rFonts w:eastAsia="TimesNewRoman"/>
          <w:sz w:val="22"/>
          <w:szCs w:val="22"/>
          <w:lang w:val="lt-LT" w:eastAsia="en-US"/>
        </w:rPr>
      </w:pPr>
    </w:p>
    <w:p w14:paraId="5CA7CA19" w14:textId="77777777" w:rsidR="00B0349C" w:rsidRPr="00532388" w:rsidRDefault="00B0349C"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Žemiau esančioje lentelėje yra nurodytas skirtingas farmakokinetikos stipriklis, kai vartojimo rekomendacijos skiriasi. Kai Darunavir Teva, vartojamo kartu su maža ritonaviro doze, vartojimo rekomendacijos yra tokios pat, kaip ir su kobicistatu, naudojamas „sustiprinto Darunavir Teva terminas.</w:t>
      </w:r>
    </w:p>
    <w:p w14:paraId="2C0101E4" w14:textId="77777777" w:rsidR="007F447B" w:rsidRPr="00532388" w:rsidRDefault="007F447B" w:rsidP="0079657F">
      <w:pPr>
        <w:autoSpaceDE w:val="0"/>
        <w:autoSpaceDN w:val="0"/>
        <w:adjustRightInd w:val="0"/>
        <w:rPr>
          <w:rFonts w:eastAsia="TimesNew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89"/>
        <w:gridCol w:w="3259"/>
        <w:gridCol w:w="2966"/>
      </w:tblGrid>
      <w:tr w:rsidR="00645841" w:rsidRPr="00DD4E66" w14:paraId="0977A512" w14:textId="77777777" w:rsidTr="00D37DA7">
        <w:tc>
          <w:tcPr>
            <w:tcW w:w="9288" w:type="dxa"/>
            <w:gridSpan w:val="4"/>
            <w:shd w:val="clear" w:color="auto" w:fill="auto"/>
          </w:tcPr>
          <w:p w14:paraId="3DB25561" w14:textId="77777777" w:rsidR="00645841" w:rsidRPr="00DD4E66" w:rsidRDefault="00645841" w:rsidP="00D37DA7">
            <w:pPr>
              <w:autoSpaceDE w:val="0"/>
              <w:autoSpaceDN w:val="0"/>
              <w:adjustRightInd w:val="0"/>
              <w:jc w:val="center"/>
              <w:rPr>
                <w:rFonts w:eastAsia="TimesNewRoman,Bold"/>
                <w:b/>
                <w:bCs/>
                <w:sz w:val="22"/>
                <w:szCs w:val="22"/>
                <w:lang w:val="lt-LT" w:eastAsia="en-US"/>
              </w:rPr>
            </w:pPr>
            <w:r w:rsidRPr="00DD4E66">
              <w:rPr>
                <w:rFonts w:eastAsia="TimesNewRoman,Bold"/>
                <w:b/>
                <w:bCs/>
                <w:sz w:val="22"/>
                <w:szCs w:val="22"/>
                <w:lang w:val="lt-LT" w:eastAsia="en-US"/>
              </w:rPr>
              <w:t>SĄVEIKA IR DOZAVIMO VARTOJANT KARTU SU KITAIS VAISTINIAIS PREPARATAIS</w:t>
            </w:r>
          </w:p>
          <w:p w14:paraId="7D824400" w14:textId="77777777" w:rsidR="00645841" w:rsidRPr="00DD4E66" w:rsidRDefault="00645841" w:rsidP="00D37DA7">
            <w:pPr>
              <w:autoSpaceDE w:val="0"/>
              <w:autoSpaceDN w:val="0"/>
              <w:adjustRightInd w:val="0"/>
              <w:jc w:val="center"/>
              <w:rPr>
                <w:rFonts w:eastAsia="TimesNewRoman"/>
                <w:sz w:val="22"/>
                <w:szCs w:val="22"/>
                <w:lang w:val="lt-LT" w:eastAsia="en-US"/>
              </w:rPr>
            </w:pPr>
            <w:r w:rsidRPr="00DD4E66">
              <w:rPr>
                <w:rFonts w:eastAsia="TimesNewRoman,Bold"/>
                <w:b/>
                <w:bCs/>
                <w:sz w:val="22"/>
                <w:szCs w:val="22"/>
                <w:lang w:val="lt-LT" w:eastAsia="en-US"/>
              </w:rPr>
              <w:t>REKOMENDACIJOS</w:t>
            </w:r>
          </w:p>
        </w:tc>
      </w:tr>
      <w:tr w:rsidR="00645841" w:rsidRPr="00DD4E66" w14:paraId="1ECC056A" w14:textId="77777777" w:rsidTr="00D37DA7">
        <w:tc>
          <w:tcPr>
            <w:tcW w:w="2817" w:type="dxa"/>
            <w:shd w:val="clear" w:color="auto" w:fill="auto"/>
          </w:tcPr>
          <w:p w14:paraId="4E045AC3" w14:textId="77777777" w:rsidR="00645841" w:rsidRPr="00DD4E66" w:rsidRDefault="00645841" w:rsidP="00D37DA7">
            <w:pPr>
              <w:autoSpaceDE w:val="0"/>
              <w:autoSpaceDN w:val="0"/>
              <w:adjustRightInd w:val="0"/>
              <w:jc w:val="center"/>
              <w:rPr>
                <w:rFonts w:eastAsia="TimesNewRoman"/>
                <w:sz w:val="22"/>
                <w:szCs w:val="22"/>
                <w:lang w:val="lt-LT" w:eastAsia="en-US"/>
              </w:rPr>
            </w:pPr>
            <w:r w:rsidRPr="00DD4E66">
              <w:rPr>
                <w:rFonts w:eastAsia="TimesNewRoman,Bold"/>
                <w:b/>
                <w:bCs/>
                <w:sz w:val="22"/>
                <w:szCs w:val="22"/>
                <w:lang w:val="lt-LT" w:eastAsia="en-US"/>
              </w:rPr>
              <w:t>Vaistiniai preparatai pagal vartojimo sritį</w:t>
            </w:r>
          </w:p>
        </w:tc>
        <w:tc>
          <w:tcPr>
            <w:tcW w:w="3448" w:type="dxa"/>
            <w:gridSpan w:val="2"/>
            <w:shd w:val="clear" w:color="auto" w:fill="auto"/>
          </w:tcPr>
          <w:p w14:paraId="181ABFA9" w14:textId="77777777" w:rsidR="00645841" w:rsidRPr="00DD4E66" w:rsidRDefault="00645841" w:rsidP="00D37DA7">
            <w:pPr>
              <w:autoSpaceDE w:val="0"/>
              <w:autoSpaceDN w:val="0"/>
              <w:adjustRightInd w:val="0"/>
              <w:jc w:val="center"/>
              <w:rPr>
                <w:rFonts w:eastAsia="TimesNewRoman,Bold"/>
                <w:b/>
                <w:bCs/>
                <w:sz w:val="22"/>
                <w:szCs w:val="22"/>
                <w:lang w:val="lt-LT" w:eastAsia="en-US"/>
              </w:rPr>
            </w:pPr>
            <w:r w:rsidRPr="00DD4E66">
              <w:rPr>
                <w:rFonts w:eastAsia="TimesNewRoman,Bold"/>
                <w:b/>
                <w:bCs/>
                <w:sz w:val="22"/>
                <w:szCs w:val="22"/>
                <w:lang w:val="lt-LT" w:eastAsia="en-US"/>
              </w:rPr>
              <w:t>Sąveika</w:t>
            </w:r>
          </w:p>
          <w:p w14:paraId="5537818C" w14:textId="77777777" w:rsidR="00645841" w:rsidRPr="00DD4E66" w:rsidRDefault="00645841" w:rsidP="00D37DA7">
            <w:pPr>
              <w:autoSpaceDE w:val="0"/>
              <w:autoSpaceDN w:val="0"/>
              <w:adjustRightInd w:val="0"/>
              <w:jc w:val="center"/>
              <w:rPr>
                <w:rFonts w:eastAsia="TimesNewRoman"/>
                <w:sz w:val="22"/>
                <w:szCs w:val="22"/>
                <w:lang w:val="lt-LT" w:eastAsia="en-US"/>
              </w:rPr>
            </w:pPr>
            <w:r w:rsidRPr="00DD4E66">
              <w:rPr>
                <w:rFonts w:eastAsia="TimesNewRoman,Bold"/>
                <w:b/>
                <w:bCs/>
                <w:sz w:val="22"/>
                <w:szCs w:val="22"/>
                <w:lang w:val="lt-LT" w:eastAsia="en-US"/>
              </w:rPr>
              <w:t>Geometrinio vidurkio pokytis (%)</w:t>
            </w:r>
          </w:p>
        </w:tc>
        <w:tc>
          <w:tcPr>
            <w:tcW w:w="3023" w:type="dxa"/>
            <w:shd w:val="clear" w:color="auto" w:fill="auto"/>
          </w:tcPr>
          <w:p w14:paraId="4D71B8D1" w14:textId="77777777" w:rsidR="00645841" w:rsidRPr="00DD4E66" w:rsidRDefault="00645841" w:rsidP="00D37DA7">
            <w:pPr>
              <w:autoSpaceDE w:val="0"/>
              <w:autoSpaceDN w:val="0"/>
              <w:adjustRightInd w:val="0"/>
              <w:jc w:val="center"/>
              <w:rPr>
                <w:rFonts w:eastAsia="TimesNewRoman"/>
                <w:sz w:val="22"/>
                <w:szCs w:val="22"/>
                <w:lang w:val="lt-LT" w:eastAsia="en-US"/>
              </w:rPr>
            </w:pPr>
            <w:r w:rsidRPr="00DD4E66">
              <w:rPr>
                <w:rFonts w:eastAsia="TimesNewRoman,Bold"/>
                <w:b/>
                <w:bCs/>
                <w:sz w:val="22"/>
                <w:szCs w:val="22"/>
                <w:lang w:val="lt-LT" w:eastAsia="en-US"/>
              </w:rPr>
              <w:t>Vartojimo kartu rekomendacijos</w:t>
            </w:r>
          </w:p>
        </w:tc>
      </w:tr>
      <w:tr w:rsidR="00645841" w:rsidRPr="00DD4E66" w14:paraId="40144F5C" w14:textId="77777777" w:rsidTr="00D37DA7">
        <w:tc>
          <w:tcPr>
            <w:tcW w:w="9288" w:type="dxa"/>
            <w:gridSpan w:val="4"/>
            <w:shd w:val="clear" w:color="auto" w:fill="auto"/>
          </w:tcPr>
          <w:p w14:paraId="13F8850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ŽIV VEIKIANTYS ANTIRETROVIRUSINIAI PREPARATAI</w:t>
            </w:r>
          </w:p>
        </w:tc>
      </w:tr>
      <w:tr w:rsidR="00645841" w:rsidRPr="00DD4E66" w14:paraId="26B9BFD5" w14:textId="77777777" w:rsidTr="00D37DA7">
        <w:tc>
          <w:tcPr>
            <w:tcW w:w="9288" w:type="dxa"/>
            <w:gridSpan w:val="4"/>
            <w:shd w:val="clear" w:color="auto" w:fill="auto"/>
          </w:tcPr>
          <w:p w14:paraId="663552E3" w14:textId="77777777" w:rsidR="00645841" w:rsidRPr="00DD4E66" w:rsidRDefault="00645841" w:rsidP="00D37DA7">
            <w:pPr>
              <w:autoSpaceDE w:val="0"/>
              <w:autoSpaceDN w:val="0"/>
              <w:adjustRightInd w:val="0"/>
              <w:rPr>
                <w:rFonts w:eastAsia="TimesNewRoman,Bold"/>
                <w:b/>
                <w:bCs/>
                <w:sz w:val="22"/>
                <w:szCs w:val="22"/>
                <w:lang w:val="lt-LT" w:eastAsia="en-US"/>
              </w:rPr>
            </w:pPr>
            <w:r w:rsidRPr="00DD4E66">
              <w:rPr>
                <w:b/>
                <w:bCs/>
                <w:i/>
                <w:iCs/>
                <w:sz w:val="22"/>
                <w:szCs w:val="22"/>
                <w:lang w:val="lt-LT" w:eastAsia="en-US"/>
              </w:rPr>
              <w:t>Integrazės gijos pernašos inhibitoriai</w:t>
            </w:r>
          </w:p>
        </w:tc>
      </w:tr>
      <w:tr w:rsidR="00645841" w:rsidRPr="00DD4E66" w14:paraId="45DF49FF" w14:textId="77777777" w:rsidTr="00D37DA7">
        <w:tc>
          <w:tcPr>
            <w:tcW w:w="2817" w:type="dxa"/>
            <w:shd w:val="clear" w:color="auto" w:fill="auto"/>
          </w:tcPr>
          <w:p w14:paraId="3F01216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Dolutegraviras</w:t>
            </w:r>
          </w:p>
        </w:tc>
        <w:tc>
          <w:tcPr>
            <w:tcW w:w="3448" w:type="dxa"/>
            <w:gridSpan w:val="2"/>
            <w:shd w:val="clear" w:color="auto" w:fill="auto"/>
          </w:tcPr>
          <w:p w14:paraId="296B29C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dolutegraviro AUC ↓ 32 %</w:t>
            </w:r>
          </w:p>
          <w:p w14:paraId="0F2ED4C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dolutegraviro C</w:t>
            </w:r>
            <w:r w:rsidRPr="00DD4E66">
              <w:rPr>
                <w:rFonts w:eastAsia="TimesNewRoman"/>
                <w:sz w:val="22"/>
                <w:szCs w:val="22"/>
                <w:vertAlign w:val="subscript"/>
                <w:lang w:val="lt-LT" w:eastAsia="en-US"/>
              </w:rPr>
              <w:t>24h</w:t>
            </w:r>
            <w:r w:rsidRPr="00DD4E66">
              <w:rPr>
                <w:rFonts w:eastAsia="TimesNewRoman"/>
                <w:sz w:val="22"/>
                <w:szCs w:val="22"/>
                <w:lang w:val="lt-LT" w:eastAsia="en-US"/>
              </w:rPr>
              <w:t xml:space="preserve"> 38 %</w:t>
            </w:r>
          </w:p>
          <w:p w14:paraId="12A6423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dolutegraviro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11 %</w:t>
            </w:r>
          </w:p>
          <w:p w14:paraId="0F481DD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w:t>
            </w:r>
          </w:p>
          <w:p w14:paraId="5CAD885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Naudojant kryžminių tyrimų palyginimus, pagrįstus istoriniais farmakokinetikos duomenimis</w:t>
            </w:r>
          </w:p>
        </w:tc>
        <w:tc>
          <w:tcPr>
            <w:tcW w:w="3023" w:type="dxa"/>
            <w:shd w:val="clear" w:color="auto" w:fill="auto"/>
          </w:tcPr>
          <w:p w14:paraId="085527A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Sustiprintą darunavir ir dolutegravirą galima vartoti nekeičiant dozės.</w:t>
            </w:r>
          </w:p>
        </w:tc>
      </w:tr>
      <w:tr w:rsidR="00645841" w:rsidRPr="00DD4E66" w14:paraId="13ABE5B9" w14:textId="77777777" w:rsidTr="00D37DA7">
        <w:tc>
          <w:tcPr>
            <w:tcW w:w="2817" w:type="dxa"/>
            <w:shd w:val="clear" w:color="auto" w:fill="auto"/>
          </w:tcPr>
          <w:p w14:paraId="2226A00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Elvitegraviras</w:t>
            </w:r>
          </w:p>
        </w:tc>
        <w:tc>
          <w:tcPr>
            <w:tcW w:w="3448" w:type="dxa"/>
            <w:gridSpan w:val="2"/>
            <w:shd w:val="clear" w:color="auto" w:fill="auto"/>
          </w:tcPr>
          <w:p w14:paraId="3ED688C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elvitegraviro AUC ↔</w:t>
            </w:r>
          </w:p>
          <w:p w14:paraId="47494E3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elvitegraviro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w:t>
            </w:r>
          </w:p>
          <w:p w14:paraId="624BA39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elvitegraviro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p w14:paraId="0ACF0C5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w:t>
            </w:r>
          </w:p>
          <w:p w14:paraId="4418C8C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17 %</w:t>
            </w:r>
          </w:p>
          <w:p w14:paraId="05DA96F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 xml:space="preserve">max </w:t>
            </w:r>
            <w:r w:rsidRPr="00DD4E66">
              <w:rPr>
                <w:rFonts w:eastAsia="TimesNewRoman"/>
                <w:sz w:val="22"/>
                <w:szCs w:val="22"/>
                <w:lang w:val="lt-LT" w:eastAsia="en-US"/>
              </w:rPr>
              <w:t>↔</w:t>
            </w:r>
          </w:p>
        </w:tc>
        <w:tc>
          <w:tcPr>
            <w:tcW w:w="3023" w:type="dxa"/>
            <w:shd w:val="clear" w:color="auto" w:fill="auto"/>
          </w:tcPr>
          <w:p w14:paraId="2DDD549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skiriant kartu su maža ritonaviro doze (600/100 mg 2 kartus per parą), vartojant kartu su elvitegraviru, elvitegraviro dozė turi būti 150 mg vieną kartą per parą.</w:t>
            </w:r>
          </w:p>
          <w:p w14:paraId="1F0247A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Darunaviras, skiriamas kartu su kobicistatu, neturėtų būti vartojamas kartu su kitu antiretrovirusiniu preparatu, reikalaujančiu farmakokinetinio sustiprinimo, nes dozavimo rekomendacijos tokiam deriniui nenustatytos.</w:t>
            </w:r>
          </w:p>
          <w:p w14:paraId="3583604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Farmakokinetika ir dozavimo rekomendacijos kitokioms darunaviro dozėmis arba su elvitegraviru/kobicistatu, nenustatytos. Todėl </w:t>
            </w:r>
            <w:r w:rsidRPr="00DD4E66">
              <w:rPr>
                <w:rFonts w:eastAsia="TimesNewRoman"/>
                <w:sz w:val="22"/>
                <w:szCs w:val="22"/>
                <w:lang w:val="lt-LT" w:eastAsia="en-US"/>
              </w:rPr>
              <w:lastRenderedPageBreak/>
              <w:t>nerekomenduojama skirti darunaviro su maža ritonaviro doze, kitokia nei 600/100 mg du kartus per parą, ir elvitegraviru.</w:t>
            </w:r>
          </w:p>
          <w:p w14:paraId="0C116DB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 darunaviro su maža ritonaviro doze ir elvitegraviru, jei kartu nevartojama kobicistato.</w:t>
            </w:r>
          </w:p>
        </w:tc>
      </w:tr>
      <w:tr w:rsidR="00645841" w:rsidRPr="00DD4E66" w14:paraId="5E30CCDD" w14:textId="77777777" w:rsidTr="00D37DA7">
        <w:tc>
          <w:tcPr>
            <w:tcW w:w="2817" w:type="dxa"/>
            <w:shd w:val="clear" w:color="auto" w:fill="auto"/>
          </w:tcPr>
          <w:p w14:paraId="449899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Raltegraviras</w:t>
            </w:r>
          </w:p>
        </w:tc>
        <w:tc>
          <w:tcPr>
            <w:tcW w:w="3448" w:type="dxa"/>
            <w:gridSpan w:val="2"/>
            <w:shd w:val="clear" w:color="auto" w:fill="auto"/>
          </w:tcPr>
          <w:p w14:paraId="2D47FB5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Kai kurie klinikiniai tyrimai rodo, kad raltegraviras gali sukelti nedidelį darunaviro koncentracijų plazmoje sumažėjimą.</w:t>
            </w:r>
          </w:p>
        </w:tc>
        <w:tc>
          <w:tcPr>
            <w:tcW w:w="3023" w:type="dxa"/>
            <w:shd w:val="clear" w:color="auto" w:fill="auto"/>
          </w:tcPr>
          <w:p w14:paraId="3D82CE4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Šiuo metu neatrodo, kad raltegraviro poveikis darunaviro koncentracijoms kraujo plazmoje būtų kliniškai reikšmingas. Sustiprintą darunovirą ir raltegravirą galima vartoti nekeičiant dozės.</w:t>
            </w:r>
          </w:p>
        </w:tc>
      </w:tr>
      <w:tr w:rsidR="00645841" w:rsidRPr="00DD4E66" w14:paraId="006C142B" w14:textId="77777777" w:rsidTr="00D37DA7">
        <w:tc>
          <w:tcPr>
            <w:tcW w:w="9288" w:type="dxa"/>
            <w:gridSpan w:val="4"/>
            <w:shd w:val="clear" w:color="auto" w:fill="auto"/>
          </w:tcPr>
          <w:p w14:paraId="11302E47" w14:textId="77777777" w:rsidR="00645841" w:rsidRPr="00DD4E66" w:rsidRDefault="00645841" w:rsidP="00D37DA7">
            <w:pPr>
              <w:autoSpaceDE w:val="0"/>
              <w:autoSpaceDN w:val="0"/>
              <w:adjustRightInd w:val="0"/>
              <w:rPr>
                <w:rFonts w:eastAsia="TimesNewRoman"/>
                <w:sz w:val="22"/>
                <w:szCs w:val="22"/>
                <w:lang w:val="lt-LT" w:eastAsia="en-US"/>
              </w:rPr>
            </w:pPr>
            <w:r w:rsidRPr="00DD4E66">
              <w:rPr>
                <w:b/>
                <w:bCs/>
                <w:i/>
                <w:iCs/>
                <w:sz w:val="22"/>
                <w:szCs w:val="22"/>
                <w:lang w:val="lt-LT" w:eastAsia="en-US"/>
              </w:rPr>
              <w:t xml:space="preserve">Nukleo(z/t)ido </w:t>
            </w:r>
            <w:r w:rsidR="005943EC" w:rsidRPr="00DD4E66">
              <w:rPr>
                <w:b/>
                <w:bCs/>
                <w:i/>
                <w:iCs/>
                <w:sz w:val="22"/>
                <w:szCs w:val="22"/>
                <w:lang w:val="lt-LT" w:eastAsia="en-US"/>
              </w:rPr>
              <w:t xml:space="preserve">atvirkštinės </w:t>
            </w:r>
            <w:r w:rsidRPr="00DD4E66">
              <w:rPr>
                <w:b/>
                <w:bCs/>
                <w:i/>
                <w:iCs/>
                <w:sz w:val="22"/>
                <w:szCs w:val="22"/>
                <w:lang w:val="lt-LT" w:eastAsia="en-US"/>
              </w:rPr>
              <w:t xml:space="preserve"> transkriptazės inhibitoriai (NATI)</w:t>
            </w:r>
          </w:p>
        </w:tc>
      </w:tr>
      <w:tr w:rsidR="00645841" w:rsidRPr="00DD4E66" w14:paraId="7A601D94" w14:textId="77777777" w:rsidTr="00D37DA7">
        <w:tc>
          <w:tcPr>
            <w:tcW w:w="2817" w:type="dxa"/>
            <w:shd w:val="clear" w:color="auto" w:fill="auto"/>
          </w:tcPr>
          <w:p w14:paraId="4D4E55D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Didanozinas</w:t>
            </w:r>
          </w:p>
          <w:p w14:paraId="513FF6F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400 mg vieną kartą per</w:t>
            </w:r>
          </w:p>
          <w:p w14:paraId="1DF3441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parą</w:t>
            </w:r>
          </w:p>
        </w:tc>
        <w:tc>
          <w:tcPr>
            <w:tcW w:w="3448" w:type="dxa"/>
            <w:gridSpan w:val="2"/>
            <w:shd w:val="clear" w:color="auto" w:fill="auto"/>
          </w:tcPr>
          <w:p w14:paraId="1887193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didanozino AUC ↓ 9 %</w:t>
            </w:r>
          </w:p>
          <w:p w14:paraId="11DE3E8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didanozino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NN</w:t>
            </w:r>
          </w:p>
          <w:p w14:paraId="1612613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didanozino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16 %</w:t>
            </w:r>
          </w:p>
          <w:p w14:paraId="5A286B7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w:t>
            </w:r>
          </w:p>
          <w:p w14:paraId="5BAEE6E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w:t>
            </w:r>
          </w:p>
          <w:p w14:paraId="5FDD1AB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tc>
        <w:tc>
          <w:tcPr>
            <w:tcW w:w="3023" w:type="dxa"/>
            <w:shd w:val="clear" w:color="auto" w:fill="auto"/>
          </w:tcPr>
          <w:p w14:paraId="405790F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Sustiprintą darunovirą ir didanoziną galima vartoti nekeičiant dozės. Didanoziną reikia vartoti nevalgius, t. y. 1 val. prieš  arba praėjus 2 val. po sustiprinto darunoviro pavartojimo su maistu.</w:t>
            </w:r>
          </w:p>
        </w:tc>
      </w:tr>
      <w:tr w:rsidR="00645841" w:rsidRPr="00DD4E66" w14:paraId="62A4CDB3" w14:textId="77777777" w:rsidTr="00D37DA7">
        <w:tc>
          <w:tcPr>
            <w:tcW w:w="2817" w:type="dxa"/>
            <w:shd w:val="clear" w:color="auto" w:fill="auto"/>
          </w:tcPr>
          <w:p w14:paraId="545BA12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Tenofoviro dizoproksilio fumaratas 300 mg vieną kartą per parą</w:t>
            </w:r>
          </w:p>
        </w:tc>
        <w:tc>
          <w:tcPr>
            <w:tcW w:w="3448" w:type="dxa"/>
            <w:gridSpan w:val="2"/>
            <w:shd w:val="clear" w:color="auto" w:fill="auto"/>
          </w:tcPr>
          <w:p w14:paraId="5A429F6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tenofoviro AUC ↑ 22 %</w:t>
            </w:r>
          </w:p>
          <w:p w14:paraId="48E9EF6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tenofoviro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37 %</w:t>
            </w:r>
          </w:p>
          <w:p w14:paraId="5192637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tenofoviro C</w:t>
            </w:r>
            <w:r w:rsidRPr="00DD4E66">
              <w:rPr>
                <w:rFonts w:eastAsia="TimesNewRoman"/>
                <w:sz w:val="22"/>
                <w:szCs w:val="22"/>
                <w:vertAlign w:val="subscript"/>
                <w:lang w:val="lt-LT" w:eastAsia="en-US"/>
              </w:rPr>
              <w:t xml:space="preserve">max </w:t>
            </w:r>
            <w:r w:rsidRPr="00DD4E66">
              <w:rPr>
                <w:rFonts w:eastAsia="TimesNewRoman"/>
                <w:sz w:val="22"/>
                <w:szCs w:val="22"/>
                <w:lang w:val="lt-LT" w:eastAsia="en-US"/>
              </w:rPr>
              <w:t>↑ 24 %</w:t>
            </w:r>
          </w:p>
          <w:p w14:paraId="77FDA6C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 21 %</w:t>
            </w:r>
          </w:p>
          <w:p w14:paraId="58F46AD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24 %</w:t>
            </w:r>
          </w:p>
          <w:p w14:paraId="33B2F99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 xml:space="preserve"> darunaviro C</w:t>
            </w:r>
            <w:r w:rsidRPr="00DD4E66">
              <w:rPr>
                <w:rFonts w:eastAsia="TimesNewRoman"/>
                <w:sz w:val="22"/>
                <w:szCs w:val="22"/>
                <w:vertAlign w:val="subscript"/>
                <w:lang w:val="lt-LT" w:eastAsia="en-US"/>
              </w:rPr>
              <w:t xml:space="preserve">max </w:t>
            </w:r>
            <w:r w:rsidRPr="00DD4E66">
              <w:rPr>
                <w:rFonts w:eastAsia="TimesNewRoman"/>
                <w:sz w:val="22"/>
                <w:szCs w:val="22"/>
                <w:lang w:val="lt-LT" w:eastAsia="en-US"/>
              </w:rPr>
              <w:t>↑ 16 % (tenofoviro ↑ dėl poveikio MDR-1 pernašai inkstų kanalėliuose)</w:t>
            </w:r>
          </w:p>
        </w:tc>
        <w:tc>
          <w:tcPr>
            <w:tcW w:w="3023" w:type="dxa"/>
            <w:shd w:val="clear" w:color="auto" w:fill="auto"/>
          </w:tcPr>
          <w:p w14:paraId="741E06F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darunovirą vartojant kartu su tenofoviru, gali prireikti stebėti inkstų funkciją, ypač pacientams, kurie serga gretutine sistemine arba inkstų liga, arba pacientams, kurie vartoja nefrotoksinį poveikį sukeliančių vaistinių preparatų. </w:t>
            </w:r>
          </w:p>
          <w:p w14:paraId="3EFF491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Darunoviras, vartojamas kartu su kobicistatu, mažina kreatinino klirensą. Žr. 4.4 skyrių, jeigu kreatinino klirensas yra vartojamas tenofoviro dozei koreguoti.</w:t>
            </w:r>
          </w:p>
        </w:tc>
      </w:tr>
      <w:tr w:rsidR="00645841" w:rsidRPr="00DD4E66" w14:paraId="3F72563C" w14:textId="77777777" w:rsidTr="00D37DA7">
        <w:tc>
          <w:tcPr>
            <w:tcW w:w="2817" w:type="dxa"/>
            <w:shd w:val="clear" w:color="auto" w:fill="auto"/>
          </w:tcPr>
          <w:p w14:paraId="6774490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Abakaviras</w:t>
            </w:r>
          </w:p>
          <w:p w14:paraId="7321AAA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Emtricitabinas</w:t>
            </w:r>
          </w:p>
          <w:p w14:paraId="6D9D2CE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Lamivudinas</w:t>
            </w:r>
          </w:p>
          <w:p w14:paraId="41D0582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Stavudinas</w:t>
            </w:r>
          </w:p>
          <w:p w14:paraId="70D3DAD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Zidovudinas</w:t>
            </w:r>
          </w:p>
        </w:tc>
        <w:tc>
          <w:tcPr>
            <w:tcW w:w="3448" w:type="dxa"/>
            <w:gridSpan w:val="2"/>
            <w:shd w:val="clear" w:color="auto" w:fill="auto"/>
          </w:tcPr>
          <w:p w14:paraId="0A7E524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Atsižvelgiant į kitokį kitų NATI eliminacijos būdą (zidovudinas, emtricitabinas, stavudinas, lamivudinas šalinami daugiausiai per inkstus, o abakviro metabolizmo neveikia CYP450), sąveikos su šiomis vaistinėmis medžiagomis, vartojant sustiprintą darunavirą, nesitikima.</w:t>
            </w:r>
          </w:p>
        </w:tc>
        <w:tc>
          <w:tcPr>
            <w:tcW w:w="3023" w:type="dxa"/>
            <w:shd w:val="clear" w:color="auto" w:fill="auto"/>
          </w:tcPr>
          <w:p w14:paraId="2B282DD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Sustiprintą darunavirą galima vartoti kartu su šiais NATI nekeičiant dozės. Darunaviras, vartojamas kartu su kobicistatu, mažina kreatinino klirensą. Žr. 4.4 skyrių, jeigu kreatinino klirensas yra vartojamas emtricitabino arba lamivudino dozei koreguoti.</w:t>
            </w:r>
          </w:p>
        </w:tc>
      </w:tr>
      <w:tr w:rsidR="00645841" w:rsidRPr="00DD4E66" w14:paraId="1430A0AA" w14:textId="77777777" w:rsidTr="00D37DA7">
        <w:tc>
          <w:tcPr>
            <w:tcW w:w="9288" w:type="dxa"/>
            <w:gridSpan w:val="4"/>
            <w:shd w:val="clear" w:color="auto" w:fill="auto"/>
          </w:tcPr>
          <w:p w14:paraId="20631530" w14:textId="77777777" w:rsidR="00645841" w:rsidRPr="00DD4E66" w:rsidRDefault="00645841" w:rsidP="00D37DA7">
            <w:pPr>
              <w:autoSpaceDE w:val="0"/>
              <w:autoSpaceDN w:val="0"/>
              <w:adjustRightInd w:val="0"/>
              <w:rPr>
                <w:rFonts w:eastAsia="TimesNewRoman"/>
                <w:sz w:val="22"/>
                <w:szCs w:val="22"/>
                <w:lang w:val="lt-LT" w:eastAsia="en-US"/>
              </w:rPr>
            </w:pPr>
            <w:r w:rsidRPr="00DD4E66">
              <w:rPr>
                <w:b/>
                <w:bCs/>
                <w:i/>
                <w:iCs/>
                <w:sz w:val="22"/>
                <w:szCs w:val="22"/>
                <w:lang w:val="lt-LT" w:eastAsia="en-US"/>
              </w:rPr>
              <w:t xml:space="preserve">Nenukleo(z/t)ido </w:t>
            </w:r>
            <w:r w:rsidR="003F59DB" w:rsidRPr="00DD4E66">
              <w:rPr>
                <w:b/>
                <w:bCs/>
                <w:i/>
                <w:iCs/>
                <w:sz w:val="22"/>
                <w:szCs w:val="22"/>
                <w:lang w:val="lt-LT" w:eastAsia="en-US"/>
              </w:rPr>
              <w:t>atvirkštinės</w:t>
            </w:r>
            <w:r w:rsidRPr="00DD4E66">
              <w:rPr>
                <w:b/>
                <w:bCs/>
                <w:i/>
                <w:iCs/>
                <w:sz w:val="22"/>
                <w:szCs w:val="22"/>
                <w:lang w:val="lt-LT" w:eastAsia="en-US"/>
              </w:rPr>
              <w:t xml:space="preserve"> transkriptazės inhibitoriai (NNATI)</w:t>
            </w:r>
          </w:p>
        </w:tc>
      </w:tr>
      <w:tr w:rsidR="00645841" w:rsidRPr="00DD4E66" w14:paraId="48A79875" w14:textId="77777777" w:rsidTr="00D37DA7">
        <w:tc>
          <w:tcPr>
            <w:tcW w:w="2817" w:type="dxa"/>
            <w:shd w:val="clear" w:color="auto" w:fill="auto"/>
          </w:tcPr>
          <w:p w14:paraId="2890658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Efavirenzas 600 mg vieną kartą per parą</w:t>
            </w:r>
          </w:p>
        </w:tc>
        <w:tc>
          <w:tcPr>
            <w:tcW w:w="3448" w:type="dxa"/>
            <w:gridSpan w:val="2"/>
            <w:shd w:val="clear" w:color="auto" w:fill="auto"/>
          </w:tcPr>
          <w:p w14:paraId="46931E9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efavirenzo AUC ↑ 21 %</w:t>
            </w:r>
          </w:p>
          <w:p w14:paraId="150881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efavirenzo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 17 %</w:t>
            </w:r>
          </w:p>
          <w:p w14:paraId="025F1F7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efavirenzo C</w:t>
            </w:r>
            <w:r w:rsidRPr="00DD4E66">
              <w:rPr>
                <w:rFonts w:eastAsia="TimesNewRoman"/>
                <w:sz w:val="22"/>
                <w:szCs w:val="22"/>
                <w:vertAlign w:val="subscript"/>
                <w:lang w:val="lt-LT" w:eastAsia="en-US"/>
              </w:rPr>
              <w:t xml:space="preserve">max </w:t>
            </w:r>
            <w:r w:rsidRPr="00DD4E66">
              <w:rPr>
                <w:rFonts w:eastAsia="TimesNewRoman"/>
                <w:sz w:val="22"/>
                <w:szCs w:val="22"/>
                <w:lang w:val="lt-LT" w:eastAsia="en-US"/>
              </w:rPr>
              <w:t>↑ 15 %</w:t>
            </w:r>
          </w:p>
          <w:p w14:paraId="1647143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 13 %</w:t>
            </w:r>
          </w:p>
          <w:p w14:paraId="3FE0333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31 %</w:t>
            </w:r>
          </w:p>
          <w:p w14:paraId="171A9C2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lastRenderedPageBreak/>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 xml:space="preserve">max </w:t>
            </w:r>
            <w:r w:rsidRPr="00DD4E66">
              <w:rPr>
                <w:rFonts w:eastAsia="TimesNewRoman"/>
                <w:sz w:val="22"/>
                <w:szCs w:val="22"/>
                <w:lang w:val="lt-LT" w:eastAsia="en-US"/>
              </w:rPr>
              <w:t>↓ 15 %</w:t>
            </w:r>
          </w:p>
          <w:p w14:paraId="72E55AB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(efavirenzo ↑ dėl CYP3A slopinimo) (darunaviro ↓ dėl CYP3A sužadinimo)</w:t>
            </w:r>
          </w:p>
        </w:tc>
        <w:tc>
          <w:tcPr>
            <w:tcW w:w="3023" w:type="dxa"/>
            <w:shd w:val="clear" w:color="auto" w:fill="auto"/>
          </w:tcPr>
          <w:p w14:paraId="63D5CA1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 xml:space="preserve">Darunavirą, vartojamą kartu su maža ritonaviro doze, vartojant kartu su efavirenzu, gali prireikti klinikinio paciento būklės </w:t>
            </w:r>
            <w:r w:rsidRPr="00DD4E66">
              <w:rPr>
                <w:rFonts w:eastAsia="TimesNewRoman"/>
                <w:sz w:val="22"/>
                <w:szCs w:val="22"/>
                <w:lang w:val="lt-LT" w:eastAsia="en-US"/>
              </w:rPr>
              <w:lastRenderedPageBreak/>
              <w:t>stebėjimo, nes gali pasireikšti su efevirenzo ekspozicijos padidėjimu susijęs toksinis poveikis centrinei nervų sistemai. Efavirenzą vartojant kartu su 800/100 mg darunaviro/ritonaviro vieną kartą per parą, 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gali būti suboptimalios. Jeigu efavirenzas vartojamas kartu su darunaviru/ritonaviru, reikia taikyti 600/100 mg darunaviro/ritonaviro dozavimo du kartus per parą planą (žr. 4.4 skyrių).</w:t>
            </w:r>
          </w:p>
          <w:p w14:paraId="1BB6A36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 kartu su darunaviru, vartojamu kartu su kobicistatu (žr. 4.4 skyrių).</w:t>
            </w:r>
          </w:p>
        </w:tc>
      </w:tr>
      <w:tr w:rsidR="00645841" w:rsidRPr="00DD4E66" w14:paraId="730ED8E3" w14:textId="77777777" w:rsidTr="00D37DA7">
        <w:tc>
          <w:tcPr>
            <w:tcW w:w="2817" w:type="dxa"/>
            <w:shd w:val="clear" w:color="auto" w:fill="auto"/>
          </w:tcPr>
          <w:p w14:paraId="6090ABE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Etravirinas 100 mg du kartus per parą</w:t>
            </w:r>
          </w:p>
        </w:tc>
        <w:tc>
          <w:tcPr>
            <w:tcW w:w="3448" w:type="dxa"/>
            <w:gridSpan w:val="2"/>
            <w:shd w:val="clear" w:color="auto" w:fill="auto"/>
          </w:tcPr>
          <w:p w14:paraId="291E956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etravirino AUC ↓ 37 %</w:t>
            </w:r>
          </w:p>
          <w:p w14:paraId="15557E6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etravirino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49 %</w:t>
            </w:r>
          </w:p>
          <w:p w14:paraId="0BDE4EC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etravirino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32 %</w:t>
            </w:r>
          </w:p>
          <w:p w14:paraId="6A8094E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15 %</w:t>
            </w:r>
          </w:p>
          <w:p w14:paraId="61DCA09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w:t>
            </w:r>
          </w:p>
          <w:p w14:paraId="68093EF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tc>
        <w:tc>
          <w:tcPr>
            <w:tcW w:w="3023" w:type="dxa"/>
            <w:shd w:val="clear" w:color="auto" w:fill="auto"/>
          </w:tcPr>
          <w:p w14:paraId="45C20EA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Darunavirą, vartojamą kartu su maža ritonaviro ir etravirino </w:t>
            </w:r>
            <w:r w:rsidRPr="00DD4E66">
              <w:rPr>
                <w:rFonts w:eastAsia="TimesNewRoman,Bold"/>
                <w:b/>
                <w:bCs/>
                <w:sz w:val="22"/>
                <w:szCs w:val="22"/>
                <w:u w:val="single"/>
                <w:lang w:val="lt-LT" w:eastAsia="en-US"/>
              </w:rPr>
              <w:t>200 mg du kartus per parą</w:t>
            </w:r>
            <w:r w:rsidR="00B0349C" w:rsidRPr="00DD4E66">
              <w:rPr>
                <w:rFonts w:eastAsia="TimesNewRoman"/>
                <w:sz w:val="22"/>
                <w:szCs w:val="22"/>
                <w:u w:val="single"/>
                <w:lang w:val="lt-LT" w:eastAsia="en-US"/>
              </w:rPr>
              <w:t xml:space="preserve"> </w:t>
            </w:r>
            <w:r w:rsidR="00B0349C" w:rsidRPr="00DD4E66">
              <w:rPr>
                <w:rFonts w:eastAsia="TimesNewRoman"/>
                <w:sz w:val="22"/>
                <w:szCs w:val="22"/>
                <w:lang w:val="lt-LT" w:eastAsia="en-US"/>
              </w:rPr>
              <w:t>doze</w:t>
            </w:r>
            <w:r w:rsidRPr="00DD4E66">
              <w:rPr>
                <w:rFonts w:eastAsia="TimesNewRoman"/>
                <w:sz w:val="22"/>
                <w:szCs w:val="22"/>
                <w:lang w:val="lt-LT" w:eastAsia="en-US"/>
              </w:rPr>
              <w:t>,</w:t>
            </w:r>
            <w:r w:rsidRPr="00DD4E66">
              <w:rPr>
                <w:rFonts w:eastAsia="TimesNewRoman"/>
                <w:sz w:val="22"/>
                <w:szCs w:val="22"/>
                <w:u w:val="single"/>
                <w:lang w:val="lt-LT" w:eastAsia="en-US"/>
              </w:rPr>
              <w:t xml:space="preserve"> </w:t>
            </w:r>
            <w:r w:rsidRPr="00DD4E66">
              <w:rPr>
                <w:rFonts w:eastAsia="TimesNewRoman"/>
                <w:sz w:val="22"/>
                <w:szCs w:val="22"/>
                <w:lang w:val="lt-LT" w:eastAsia="en-US"/>
              </w:rPr>
              <w:t>galima vartoti nekeičiant dozės.</w:t>
            </w:r>
          </w:p>
          <w:p w14:paraId="40B8227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 kartu su darunaviru, vartojamu kartu su kobicistatu (žr. 4.4 skyrių).</w:t>
            </w:r>
          </w:p>
        </w:tc>
      </w:tr>
      <w:tr w:rsidR="00645841" w:rsidRPr="00DD4E66" w14:paraId="192838E6" w14:textId="77777777" w:rsidTr="00D37DA7">
        <w:tc>
          <w:tcPr>
            <w:tcW w:w="2817" w:type="dxa"/>
            <w:shd w:val="clear" w:color="auto" w:fill="auto"/>
          </w:tcPr>
          <w:p w14:paraId="1BA37C5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Nevirapinas 200 mg du kartus per parą</w:t>
            </w:r>
          </w:p>
        </w:tc>
        <w:tc>
          <w:tcPr>
            <w:tcW w:w="3448" w:type="dxa"/>
            <w:gridSpan w:val="2"/>
            <w:shd w:val="clear" w:color="auto" w:fill="auto"/>
          </w:tcPr>
          <w:p w14:paraId="69E6FE6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nevirapino AUC ↑ 27 %</w:t>
            </w:r>
          </w:p>
          <w:p w14:paraId="5DB9E67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nevirapino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 47 %</w:t>
            </w:r>
          </w:p>
          <w:p w14:paraId="3FCA6C0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nevirapino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18 %</w:t>
            </w:r>
          </w:p>
          <w:p w14:paraId="539ED60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darunaviras: koncentracijos atitiko istorijos duomenis (nevirapino ↑ dėl CYP3A slopinimo)</w:t>
            </w:r>
          </w:p>
        </w:tc>
        <w:tc>
          <w:tcPr>
            <w:tcW w:w="3023" w:type="dxa"/>
            <w:shd w:val="clear" w:color="auto" w:fill="auto"/>
          </w:tcPr>
          <w:p w14:paraId="0F85BF0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Darunavirą, vartojamą kartu su maža ritonaviro doze, galima vartoti kartu su nevirapinu nekeičiant dozės.</w:t>
            </w:r>
          </w:p>
          <w:p w14:paraId="18FF673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 kartu su darunaviru, vartojamu kartu su kobicistatu (žr. 4.4 skyrių).</w:t>
            </w:r>
          </w:p>
        </w:tc>
      </w:tr>
      <w:tr w:rsidR="00645841" w:rsidRPr="00DD4E66" w14:paraId="4AFAD076" w14:textId="77777777" w:rsidTr="00D37DA7">
        <w:tc>
          <w:tcPr>
            <w:tcW w:w="2817" w:type="dxa"/>
            <w:shd w:val="clear" w:color="auto" w:fill="auto"/>
          </w:tcPr>
          <w:p w14:paraId="371B89B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Rilpivirinas 150 mg vieną kartą per parą</w:t>
            </w:r>
          </w:p>
        </w:tc>
        <w:tc>
          <w:tcPr>
            <w:tcW w:w="3448" w:type="dxa"/>
            <w:gridSpan w:val="2"/>
            <w:shd w:val="clear" w:color="auto" w:fill="auto"/>
          </w:tcPr>
          <w:p w14:paraId="367E701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rilpivirino AUC ↑ 130 %</w:t>
            </w:r>
          </w:p>
          <w:p w14:paraId="2B9E266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rilpivirino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 178 %</w:t>
            </w:r>
          </w:p>
          <w:p w14:paraId="6D34ECC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rilpivirino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79 %</w:t>
            </w:r>
          </w:p>
          <w:p w14:paraId="226D601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w:t>
            </w:r>
          </w:p>
          <w:p w14:paraId="590B661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11 %</w:t>
            </w:r>
          </w:p>
          <w:p w14:paraId="255821C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tc>
        <w:tc>
          <w:tcPr>
            <w:tcW w:w="3023" w:type="dxa"/>
            <w:shd w:val="clear" w:color="auto" w:fill="auto"/>
          </w:tcPr>
          <w:p w14:paraId="4114833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Sustiprintą darunavirą galima vartoti kartu su rilpivirinu nekeičiant dozės.</w:t>
            </w:r>
          </w:p>
        </w:tc>
      </w:tr>
      <w:tr w:rsidR="00645841" w:rsidRPr="00DD4E66" w14:paraId="39E692AA" w14:textId="77777777" w:rsidTr="00D37DA7">
        <w:tc>
          <w:tcPr>
            <w:tcW w:w="9288" w:type="dxa"/>
            <w:gridSpan w:val="4"/>
            <w:shd w:val="clear" w:color="auto" w:fill="auto"/>
          </w:tcPr>
          <w:p w14:paraId="131C25E6" w14:textId="77777777" w:rsidR="00645841" w:rsidRPr="00DD4E66" w:rsidRDefault="00645841" w:rsidP="00D37DA7">
            <w:pPr>
              <w:autoSpaceDE w:val="0"/>
              <w:autoSpaceDN w:val="0"/>
              <w:adjustRightInd w:val="0"/>
              <w:rPr>
                <w:rFonts w:eastAsia="TimesNewRoman"/>
                <w:sz w:val="22"/>
                <w:szCs w:val="22"/>
                <w:lang w:val="lt-LT" w:eastAsia="en-US"/>
              </w:rPr>
            </w:pPr>
            <w:r w:rsidRPr="00DD4E66">
              <w:rPr>
                <w:b/>
                <w:bCs/>
                <w:i/>
                <w:iCs/>
                <w:sz w:val="22"/>
                <w:szCs w:val="22"/>
                <w:lang w:val="lt-LT" w:eastAsia="en-US"/>
              </w:rPr>
              <w:t>Proteazės inhibitoriai (PI), vartojami be papildomos mažos ritonaviro dozės</w:t>
            </w:r>
            <w:r w:rsidRPr="00DD4E66">
              <w:rPr>
                <w:rFonts w:eastAsia="TimesNewRoman"/>
                <w:sz w:val="22"/>
                <w:szCs w:val="22"/>
                <w:vertAlign w:val="superscript"/>
                <w:lang w:val="lt-LT" w:eastAsia="en-US"/>
              </w:rPr>
              <w:t>†</w:t>
            </w:r>
          </w:p>
        </w:tc>
      </w:tr>
      <w:tr w:rsidR="00645841" w:rsidRPr="00DD4E66" w14:paraId="7B664C3E" w14:textId="77777777" w:rsidTr="00D37DA7">
        <w:tc>
          <w:tcPr>
            <w:tcW w:w="2817" w:type="dxa"/>
            <w:shd w:val="clear" w:color="auto" w:fill="auto"/>
          </w:tcPr>
          <w:p w14:paraId="5D9560B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Atazanaviras 300 mg vieną kartą per parą</w:t>
            </w:r>
          </w:p>
        </w:tc>
        <w:tc>
          <w:tcPr>
            <w:tcW w:w="3448" w:type="dxa"/>
            <w:gridSpan w:val="2"/>
            <w:shd w:val="clear" w:color="auto" w:fill="auto"/>
          </w:tcPr>
          <w:p w14:paraId="46AD42D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atazanaviro AUC ↔</w:t>
            </w:r>
          </w:p>
          <w:p w14:paraId="7FE95E6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atazanaviro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52 %</w:t>
            </w:r>
          </w:p>
          <w:p w14:paraId="36D7C01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atazanaviro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11 %</w:t>
            </w:r>
          </w:p>
          <w:p w14:paraId="0DF19D4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w:t>
            </w:r>
          </w:p>
          <w:p w14:paraId="092AB17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w:t>
            </w:r>
          </w:p>
          <w:p w14:paraId="45E6D67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p w14:paraId="43BE112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Atazanaviras: 300/100 mg atazanaviro/ritonaviro vieną kartą per parą, palyginti su 300 mg atazanaviro vieną kartą per parą kartu su 400/100 mg darunaviro/ritonaviro du kartus per parą.</w:t>
            </w:r>
          </w:p>
          <w:p w14:paraId="6DA41BE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Darunaviras: 400/100 mg darunaviro/ritonaviro du kartus per parą, palyginti su 400/100 mg darunaviro/ritonaviro du kartus per parą kartu su 300 mg atazanaviro vieną kartą per parą.</w:t>
            </w:r>
          </w:p>
        </w:tc>
        <w:tc>
          <w:tcPr>
            <w:tcW w:w="3023" w:type="dxa"/>
            <w:shd w:val="clear" w:color="auto" w:fill="auto"/>
          </w:tcPr>
          <w:p w14:paraId="4BCEF22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Darunavirą, vartojamą kartu su maža ritonaviro doze, galima vartoti kartu su atazanaviru nekeičiant dozės.</w:t>
            </w:r>
          </w:p>
          <w:p w14:paraId="5D2D044E" w14:textId="77777777" w:rsidR="00645841" w:rsidRPr="00DD4E66" w:rsidRDefault="00645841" w:rsidP="00D37DA7">
            <w:pPr>
              <w:autoSpaceDE w:val="0"/>
              <w:autoSpaceDN w:val="0"/>
              <w:adjustRightInd w:val="0"/>
              <w:rPr>
                <w:rFonts w:eastAsia="TimesNewRoman"/>
                <w:sz w:val="22"/>
                <w:szCs w:val="22"/>
                <w:lang w:val="lt-LT" w:eastAsia="en-US"/>
              </w:rPr>
            </w:pPr>
          </w:p>
          <w:p w14:paraId="230B166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Darunavirą, skiriamą kartu su kobicistatu, negalima vartoti kartu su kitu antiretrovirusiniu vaistiniu preparatu, reikalaujančiu farmakokinetikos sustiprinimo vartojant su </w:t>
            </w:r>
            <w:r w:rsidRPr="00DD4E66">
              <w:rPr>
                <w:rFonts w:eastAsia="TimesNewRoman"/>
                <w:sz w:val="22"/>
                <w:szCs w:val="22"/>
                <w:lang w:val="lt-LT" w:eastAsia="en-US"/>
              </w:rPr>
              <w:lastRenderedPageBreak/>
              <w:t>CYP3A4 inhibitoriumi (žr. 4.5 skyrių).</w:t>
            </w:r>
          </w:p>
        </w:tc>
      </w:tr>
      <w:tr w:rsidR="00645841" w:rsidRPr="00DD4E66" w14:paraId="4BF6BDF4" w14:textId="77777777" w:rsidTr="00D37DA7">
        <w:tc>
          <w:tcPr>
            <w:tcW w:w="2817" w:type="dxa"/>
            <w:shd w:val="clear" w:color="auto" w:fill="auto"/>
          </w:tcPr>
          <w:p w14:paraId="1E87F1E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Indinaviras 800 mg du kartus per parą</w:t>
            </w:r>
          </w:p>
        </w:tc>
        <w:tc>
          <w:tcPr>
            <w:tcW w:w="3448" w:type="dxa"/>
            <w:gridSpan w:val="2"/>
            <w:shd w:val="clear" w:color="auto" w:fill="auto"/>
          </w:tcPr>
          <w:p w14:paraId="60578BF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indinaviro AUC ↑ 23 %</w:t>
            </w:r>
          </w:p>
          <w:p w14:paraId="19A1A8A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indinaviro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125 %</w:t>
            </w:r>
          </w:p>
          <w:p w14:paraId="69CEBB7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indinaviro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w:t>
            </w:r>
          </w:p>
          <w:p w14:paraId="3AF9DC8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 24 %</w:t>
            </w:r>
          </w:p>
          <w:p w14:paraId="1E8E184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44 %</w:t>
            </w:r>
          </w:p>
          <w:p w14:paraId="4C45876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11 %</w:t>
            </w:r>
          </w:p>
          <w:p w14:paraId="2269263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Indinaviras: 800/100 mg indinaviro/ritonaviro du kartus per parą, palyginti su 800/400/100 mg indinaviro/darunaviro/ritonaviro du kartus per parą.</w:t>
            </w:r>
          </w:p>
          <w:p w14:paraId="36EB8F4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Darunaviras: 400/100 mg darunaviro/ritonaviro du kartus per parą, palyginti su 400/100 mg darunaviro/ritonaviro du kartus per parą kartu su 800 mg indinaviro du kartus per parą.</w:t>
            </w:r>
          </w:p>
        </w:tc>
        <w:tc>
          <w:tcPr>
            <w:tcW w:w="3023" w:type="dxa"/>
            <w:shd w:val="clear" w:color="auto" w:fill="auto"/>
          </w:tcPr>
          <w:p w14:paraId="05E4705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su darunaviru,</w:t>
            </w:r>
          </w:p>
          <w:p w14:paraId="27B6490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vartojamu kartu su maža ritonaviro doze, netoleravimo atveju gali prireikti vietoj 800 mg indinaviro dozės du kartus per parą vartoti po 600 mg du kartus per parą.</w:t>
            </w:r>
          </w:p>
          <w:p w14:paraId="171CEE8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Darunavirą, skiriamą kartu su kobicistatu, negalima vartoti kartu su kitu antiretrovirusiniu vaistiniu preparatu, reikalaujančiu farmakokinetikos sustiprinimo vartojant su CYP3A4 inhibitoriumi (žr. 4.5 skyrių).</w:t>
            </w:r>
          </w:p>
        </w:tc>
      </w:tr>
      <w:tr w:rsidR="00645841" w:rsidRPr="00DD4E66" w14:paraId="4DFCD548" w14:textId="77777777" w:rsidTr="00D37DA7">
        <w:tc>
          <w:tcPr>
            <w:tcW w:w="2817" w:type="dxa"/>
            <w:shd w:val="clear" w:color="auto" w:fill="auto"/>
          </w:tcPr>
          <w:p w14:paraId="53E2137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Sakvinaviras 1 000 mg du kartus per parą</w:t>
            </w:r>
          </w:p>
        </w:tc>
        <w:tc>
          <w:tcPr>
            <w:tcW w:w="3448" w:type="dxa"/>
            <w:gridSpan w:val="2"/>
            <w:shd w:val="clear" w:color="auto" w:fill="auto"/>
          </w:tcPr>
          <w:p w14:paraId="2312275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 26 %</w:t>
            </w:r>
          </w:p>
          <w:p w14:paraId="0A7CA77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42 %</w:t>
            </w:r>
          </w:p>
          <w:p w14:paraId="6B30B50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17 %</w:t>
            </w:r>
          </w:p>
          <w:p w14:paraId="469CB31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sakvinaviro AUC ↓ 6 %</w:t>
            </w:r>
          </w:p>
          <w:p w14:paraId="049051F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sakvinaviro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18 %</w:t>
            </w:r>
          </w:p>
          <w:p w14:paraId="2FA4BF2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sakvinaviro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6 %</w:t>
            </w:r>
          </w:p>
          <w:p w14:paraId="5E45256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Sakvinaviras: 1 000/100 mg sakvinaviro/ritonaviro du kartus per parą, palyginti su 1000/400/100 mg sakvinaviro/darunaviro/ritonaviro du kartus per parą.</w:t>
            </w:r>
          </w:p>
          <w:p w14:paraId="1DB81CF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Darunaviras: 400/100 mg darunaviro/ritonaviro du kartus per parą, palyginti su 400/100 mg darunaviro/ritonaviro kartu su 1000 mg sakvinaviro du kartus per parą.</w:t>
            </w:r>
          </w:p>
        </w:tc>
        <w:tc>
          <w:tcPr>
            <w:tcW w:w="3023" w:type="dxa"/>
            <w:shd w:val="clear" w:color="auto" w:fill="auto"/>
          </w:tcPr>
          <w:p w14:paraId="3B3CB71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vartojamo kartu su maža ritonaviro doze, nerekomenduojama vartoti kartu su sakvinaviru.</w:t>
            </w:r>
          </w:p>
          <w:p w14:paraId="23494C3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Darunavirą, skiriamą kartu su kobicistatu, negalima vartoti kartu su kitu antiretrovirusiniu vaistiniu preparatu, reikalaujančiu farmakokinetikos sustiprinimo vartojant su CYP3A4 inhibitoriumi (žr. 4.5 skyrių).</w:t>
            </w:r>
          </w:p>
        </w:tc>
      </w:tr>
      <w:tr w:rsidR="00645841" w:rsidRPr="00DD4E66" w14:paraId="468E477D" w14:textId="77777777" w:rsidTr="00D37DA7">
        <w:tc>
          <w:tcPr>
            <w:tcW w:w="9288" w:type="dxa"/>
            <w:gridSpan w:val="4"/>
            <w:shd w:val="clear" w:color="auto" w:fill="auto"/>
          </w:tcPr>
          <w:p w14:paraId="778F110E" w14:textId="77777777" w:rsidR="00645841" w:rsidRPr="00DD4E66" w:rsidRDefault="00645841" w:rsidP="00D37DA7">
            <w:pPr>
              <w:autoSpaceDE w:val="0"/>
              <w:autoSpaceDN w:val="0"/>
              <w:adjustRightInd w:val="0"/>
              <w:rPr>
                <w:rFonts w:eastAsia="TimesNewRoman"/>
                <w:sz w:val="22"/>
                <w:szCs w:val="22"/>
                <w:lang w:val="lt-LT" w:eastAsia="en-US"/>
              </w:rPr>
            </w:pPr>
            <w:r w:rsidRPr="00DD4E66">
              <w:rPr>
                <w:b/>
                <w:bCs/>
                <w:i/>
                <w:iCs/>
                <w:sz w:val="22"/>
                <w:szCs w:val="22"/>
                <w:lang w:val="lt-LT" w:eastAsia="en-US"/>
              </w:rPr>
              <w:t>Proteazės inhibitoriai (PI), vartojami kartu su maža ritonaviro doze</w:t>
            </w:r>
            <w:r w:rsidRPr="00DD4E66">
              <w:rPr>
                <w:rFonts w:eastAsia="TimesNewRoman,Bold"/>
                <w:b/>
                <w:bCs/>
                <w:sz w:val="22"/>
                <w:szCs w:val="22"/>
                <w:lang w:val="lt-LT" w:eastAsia="en-US"/>
              </w:rPr>
              <w:t>†</w:t>
            </w:r>
          </w:p>
        </w:tc>
      </w:tr>
      <w:tr w:rsidR="00645841" w:rsidRPr="00DD4E66" w14:paraId="3BDD2F3B" w14:textId="77777777" w:rsidTr="00D37DA7">
        <w:tc>
          <w:tcPr>
            <w:tcW w:w="2817" w:type="dxa"/>
            <w:shd w:val="clear" w:color="auto" w:fill="auto"/>
          </w:tcPr>
          <w:p w14:paraId="5B59548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Lopinaviras/ritonaviras 400/100 mg du kartus per parą</w:t>
            </w:r>
          </w:p>
          <w:p w14:paraId="0D0DDD1A" w14:textId="77777777" w:rsidR="00645841" w:rsidRPr="00DD4E66" w:rsidRDefault="00645841" w:rsidP="00D37DA7">
            <w:pPr>
              <w:autoSpaceDE w:val="0"/>
              <w:autoSpaceDN w:val="0"/>
              <w:adjustRightInd w:val="0"/>
              <w:rPr>
                <w:rFonts w:eastAsia="TimesNewRoman"/>
                <w:sz w:val="22"/>
                <w:szCs w:val="22"/>
                <w:lang w:val="lt-LT" w:eastAsia="en-US"/>
              </w:rPr>
            </w:pPr>
          </w:p>
          <w:p w14:paraId="67E7D82E" w14:textId="77777777" w:rsidR="00645841" w:rsidRPr="00DD4E66" w:rsidRDefault="00645841" w:rsidP="00D37DA7">
            <w:pPr>
              <w:autoSpaceDE w:val="0"/>
              <w:autoSpaceDN w:val="0"/>
              <w:adjustRightInd w:val="0"/>
              <w:rPr>
                <w:rFonts w:eastAsia="TimesNewRoman"/>
                <w:sz w:val="22"/>
                <w:szCs w:val="22"/>
                <w:lang w:val="lt-LT" w:eastAsia="en-US"/>
              </w:rPr>
            </w:pPr>
          </w:p>
          <w:p w14:paraId="445D3D38" w14:textId="77777777" w:rsidR="00B0349C" w:rsidRPr="00DD4E66" w:rsidRDefault="00B0349C" w:rsidP="00D37DA7">
            <w:pPr>
              <w:autoSpaceDE w:val="0"/>
              <w:autoSpaceDN w:val="0"/>
              <w:adjustRightInd w:val="0"/>
              <w:rPr>
                <w:rFonts w:eastAsia="TimesNewRoman"/>
                <w:sz w:val="22"/>
                <w:szCs w:val="22"/>
                <w:lang w:val="lt-LT" w:eastAsia="en-US"/>
              </w:rPr>
            </w:pPr>
          </w:p>
          <w:p w14:paraId="4802656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Lopinaviras/ritonaviras 533/133,3 mg du kartus per parą</w:t>
            </w:r>
          </w:p>
        </w:tc>
        <w:tc>
          <w:tcPr>
            <w:tcW w:w="3448" w:type="dxa"/>
            <w:gridSpan w:val="2"/>
            <w:shd w:val="clear" w:color="auto" w:fill="auto"/>
          </w:tcPr>
          <w:p w14:paraId="1EF84AD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AUC ↑ 9 %</w:t>
            </w:r>
          </w:p>
          <w:p w14:paraId="365C566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23 %</w:t>
            </w:r>
          </w:p>
          <w:p w14:paraId="0F6B72A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2 %</w:t>
            </w:r>
          </w:p>
          <w:p w14:paraId="281A443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38 %‡</w:t>
            </w:r>
          </w:p>
          <w:p w14:paraId="12B7B9C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 51 %‡</w:t>
            </w:r>
          </w:p>
          <w:p w14:paraId="2D5E482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21 %‡</w:t>
            </w:r>
          </w:p>
          <w:p w14:paraId="1501EF1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AUC ↔</w:t>
            </w:r>
          </w:p>
          <w:p w14:paraId="063EC5D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C</w:t>
            </w:r>
            <w:r w:rsidRPr="00DD4E66">
              <w:rPr>
                <w:rFonts w:eastAsia="TimesNewRoman"/>
                <w:sz w:val="22"/>
                <w:szCs w:val="22"/>
                <w:vertAlign w:val="subscript"/>
                <w:lang w:val="lt-LT" w:eastAsia="en-US"/>
              </w:rPr>
              <w:t xml:space="preserve">min </w:t>
            </w:r>
            <w:r w:rsidRPr="00DD4E66">
              <w:rPr>
                <w:rFonts w:eastAsia="TimesNewRoman"/>
                <w:sz w:val="22"/>
                <w:szCs w:val="22"/>
                <w:lang w:val="lt-LT" w:eastAsia="en-US"/>
              </w:rPr>
              <w:t>↑ 13 %</w:t>
            </w:r>
          </w:p>
          <w:p w14:paraId="3138733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lopinaviro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11 %</w:t>
            </w:r>
          </w:p>
          <w:p w14:paraId="5DA8E1F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41 %</w:t>
            </w:r>
          </w:p>
          <w:p w14:paraId="32F1AA8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 55 %</w:t>
            </w:r>
          </w:p>
          <w:p w14:paraId="7C27E92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21 %</w:t>
            </w:r>
          </w:p>
          <w:p w14:paraId="2228CE3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lastRenderedPageBreak/>
              <w:t>‡</w:t>
            </w:r>
            <w:r w:rsidRPr="00DD4E66">
              <w:rPr>
                <w:rFonts w:eastAsia="TimesNewRoman"/>
                <w:sz w:val="22"/>
                <w:szCs w:val="22"/>
                <w:lang w:val="lt-LT" w:eastAsia="en-US"/>
              </w:rPr>
              <w:t xml:space="preserve"> remiantis ne dozės normalizuotomis reikšmėmis</w:t>
            </w:r>
          </w:p>
        </w:tc>
        <w:tc>
          <w:tcPr>
            <w:tcW w:w="3023" w:type="dxa"/>
            <w:shd w:val="clear" w:color="auto" w:fill="auto"/>
          </w:tcPr>
          <w:p w14:paraId="127C0BC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Dėl darunaviro ekspozicijos (AUC) sumažėjimo 40 %, tinkamos kartu vartojamų vaistinių preparatų dozės nenustatytos. Taigi sustiprinto darunaviro vartojimas kartu su lopinaviru/ritonaviru kontraindikuotinas (žr. 4.3 skyrių).</w:t>
            </w:r>
          </w:p>
        </w:tc>
      </w:tr>
      <w:tr w:rsidR="00645841" w:rsidRPr="00DD4E66" w14:paraId="07B841D0" w14:textId="77777777" w:rsidTr="00D37DA7">
        <w:tc>
          <w:tcPr>
            <w:tcW w:w="9288" w:type="dxa"/>
            <w:gridSpan w:val="4"/>
            <w:shd w:val="clear" w:color="auto" w:fill="auto"/>
          </w:tcPr>
          <w:p w14:paraId="2F69C50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CCR5 ANTAGONISTAI</w:t>
            </w:r>
          </w:p>
        </w:tc>
      </w:tr>
      <w:tr w:rsidR="00645841" w:rsidRPr="00DD4E66" w14:paraId="27241E4C" w14:textId="77777777" w:rsidTr="00D37DA7">
        <w:tc>
          <w:tcPr>
            <w:tcW w:w="2817" w:type="dxa"/>
            <w:shd w:val="clear" w:color="auto" w:fill="auto"/>
          </w:tcPr>
          <w:p w14:paraId="42C178B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Maravirokas 150 mg du kartus per</w:t>
            </w:r>
            <w:r w:rsidR="00B0349C" w:rsidRPr="00DD4E66">
              <w:rPr>
                <w:rFonts w:eastAsia="TimesNewRoman"/>
                <w:sz w:val="22"/>
                <w:szCs w:val="22"/>
                <w:lang w:val="lt-LT" w:eastAsia="en-US"/>
              </w:rPr>
              <w:t xml:space="preserve"> </w:t>
            </w:r>
            <w:r w:rsidRPr="00DD4E66">
              <w:rPr>
                <w:rFonts w:eastAsia="TimesNewRoman"/>
                <w:sz w:val="22"/>
                <w:szCs w:val="22"/>
                <w:lang w:val="lt-LT" w:eastAsia="en-US"/>
              </w:rPr>
              <w:t>parą</w:t>
            </w:r>
          </w:p>
        </w:tc>
        <w:tc>
          <w:tcPr>
            <w:tcW w:w="3448" w:type="dxa"/>
            <w:gridSpan w:val="2"/>
            <w:shd w:val="clear" w:color="auto" w:fill="auto"/>
          </w:tcPr>
          <w:p w14:paraId="1341E2F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maraviroko AUC ↑ 305 %</w:t>
            </w:r>
          </w:p>
          <w:p w14:paraId="61AE1F8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maraviroko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NN</w:t>
            </w:r>
          </w:p>
          <w:p w14:paraId="6FFCAED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maraviroko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129 %</w:t>
            </w:r>
          </w:p>
          <w:p w14:paraId="4BCD94A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ritonaviro koncentracijos atitiko ligos istorijos duomenis.</w:t>
            </w:r>
          </w:p>
        </w:tc>
        <w:tc>
          <w:tcPr>
            <w:tcW w:w="3023" w:type="dxa"/>
            <w:shd w:val="clear" w:color="auto" w:fill="auto"/>
          </w:tcPr>
          <w:p w14:paraId="28CBA27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Skiriant vartoti kartu su sustiprintu darunaviru, reikia vartoti 150 mg maraviroko dozę du kartus per parą.</w:t>
            </w:r>
          </w:p>
        </w:tc>
      </w:tr>
      <w:tr w:rsidR="00645841" w:rsidRPr="00DD4E66" w14:paraId="533107D0" w14:textId="77777777" w:rsidTr="00D37DA7">
        <w:tc>
          <w:tcPr>
            <w:tcW w:w="9288" w:type="dxa"/>
            <w:gridSpan w:val="4"/>
            <w:shd w:val="clear" w:color="auto" w:fill="auto"/>
          </w:tcPr>
          <w:p w14:paraId="2FAB218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ANESTETIKAI</w:t>
            </w:r>
          </w:p>
        </w:tc>
      </w:tr>
      <w:tr w:rsidR="00645841" w:rsidRPr="00DD4E66" w14:paraId="1D9B6EE8" w14:textId="77777777" w:rsidTr="00D37DA7">
        <w:tc>
          <w:tcPr>
            <w:tcW w:w="2817" w:type="dxa"/>
            <w:shd w:val="clear" w:color="auto" w:fill="auto"/>
          </w:tcPr>
          <w:p w14:paraId="1B05880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Alfentanilis</w:t>
            </w:r>
          </w:p>
        </w:tc>
        <w:tc>
          <w:tcPr>
            <w:tcW w:w="3448" w:type="dxa"/>
            <w:gridSpan w:val="2"/>
            <w:shd w:val="clear" w:color="auto" w:fill="auto"/>
          </w:tcPr>
          <w:p w14:paraId="3E3F9F9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Alfentanilio metabolizmą sąlygoja CYP3A ir sustiprinta</w:t>
            </w:r>
            <w:r w:rsidR="006E49FE" w:rsidRPr="00DD4E66">
              <w:rPr>
                <w:rFonts w:eastAsia="TimesNewRoman"/>
                <w:sz w:val="22"/>
                <w:szCs w:val="22"/>
                <w:lang w:val="lt-LT" w:eastAsia="en-US"/>
              </w:rPr>
              <w:t>s darunaviras</w:t>
            </w:r>
            <w:r w:rsidRPr="00DD4E66">
              <w:rPr>
                <w:rFonts w:eastAsia="TimesNewRoman"/>
                <w:sz w:val="22"/>
                <w:szCs w:val="22"/>
                <w:lang w:val="lt-LT" w:eastAsia="en-US"/>
              </w:rPr>
              <w:t xml:space="preserve"> gali jį slopinti.</w:t>
            </w:r>
          </w:p>
        </w:tc>
        <w:tc>
          <w:tcPr>
            <w:tcW w:w="3023" w:type="dxa"/>
            <w:shd w:val="clear" w:color="auto" w:fill="auto"/>
          </w:tcPr>
          <w:p w14:paraId="29D9A4F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su sustiprintu darunaviru gali reikėti sumažinti alfentanilio dozę ir stebėti, ar nepasireiškia pailgėjusio arba uždelsto kvėpavimo slopinimo</w:t>
            </w:r>
          </w:p>
        </w:tc>
      </w:tr>
      <w:tr w:rsidR="00645841" w:rsidRPr="00DD4E66" w14:paraId="17D302D7" w14:textId="77777777" w:rsidTr="00D37DA7">
        <w:tc>
          <w:tcPr>
            <w:tcW w:w="9288" w:type="dxa"/>
            <w:gridSpan w:val="4"/>
            <w:shd w:val="clear" w:color="auto" w:fill="auto"/>
          </w:tcPr>
          <w:p w14:paraId="6EFA6A7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ANTIANGININIAI / ANTIARITMINIAI VAISTINIAI PREPARATAI</w:t>
            </w:r>
          </w:p>
        </w:tc>
      </w:tr>
      <w:tr w:rsidR="00645841" w:rsidRPr="00DD4E66" w14:paraId="4165CC67" w14:textId="77777777" w:rsidTr="00D37DA7">
        <w:tc>
          <w:tcPr>
            <w:tcW w:w="2817" w:type="dxa"/>
            <w:shd w:val="clear" w:color="auto" w:fill="auto"/>
          </w:tcPr>
          <w:p w14:paraId="1520C12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Dizopiramidas</w:t>
            </w:r>
          </w:p>
          <w:p w14:paraId="249EE73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Flekainidas</w:t>
            </w:r>
          </w:p>
          <w:p w14:paraId="7F18C79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Meksiletinas</w:t>
            </w:r>
          </w:p>
          <w:p w14:paraId="74AF2A2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Propafenonas</w:t>
            </w:r>
          </w:p>
          <w:p w14:paraId="7EF00821" w14:textId="77777777" w:rsidR="00645841" w:rsidRPr="00DD4E66" w:rsidRDefault="00645841" w:rsidP="00D37DA7">
            <w:pPr>
              <w:autoSpaceDE w:val="0"/>
              <w:autoSpaceDN w:val="0"/>
              <w:adjustRightInd w:val="0"/>
              <w:rPr>
                <w:rFonts w:eastAsia="TimesNewRoman"/>
                <w:sz w:val="22"/>
                <w:szCs w:val="22"/>
                <w:lang w:val="lt-LT" w:eastAsia="en-US"/>
              </w:rPr>
            </w:pPr>
          </w:p>
          <w:p w14:paraId="5974D997" w14:textId="77777777" w:rsidR="00B0349C" w:rsidRPr="00DD4E66" w:rsidRDefault="00B0349C" w:rsidP="00D37DA7">
            <w:pPr>
              <w:autoSpaceDE w:val="0"/>
              <w:autoSpaceDN w:val="0"/>
              <w:adjustRightInd w:val="0"/>
              <w:rPr>
                <w:rFonts w:eastAsia="TimesNewRoman"/>
                <w:sz w:val="22"/>
                <w:szCs w:val="22"/>
                <w:lang w:val="lt-LT" w:eastAsia="en-US"/>
              </w:rPr>
            </w:pPr>
          </w:p>
          <w:p w14:paraId="72CC5C9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Amjodaronas</w:t>
            </w:r>
          </w:p>
          <w:p w14:paraId="25089B1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Bepridilis</w:t>
            </w:r>
          </w:p>
          <w:p w14:paraId="5632AEF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Dronedaronas</w:t>
            </w:r>
          </w:p>
          <w:p w14:paraId="716F7CB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Lidokainas (sisteminio</w:t>
            </w:r>
          </w:p>
          <w:p w14:paraId="5D0F844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vartojimo)</w:t>
            </w:r>
          </w:p>
          <w:p w14:paraId="3752092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Chinidinas</w:t>
            </w:r>
          </w:p>
          <w:p w14:paraId="613719C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Ranolazinas</w:t>
            </w:r>
          </w:p>
        </w:tc>
        <w:tc>
          <w:tcPr>
            <w:tcW w:w="3448" w:type="dxa"/>
            <w:gridSpan w:val="2"/>
            <w:shd w:val="clear" w:color="auto" w:fill="auto"/>
          </w:tcPr>
          <w:p w14:paraId="19E5C37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Tikėtina, kad sustiprintas darunaviras gali padidinti šių antiaritminių vaistinių preparatų koncentracijas plazmoje. (CYP3A slopinimas)</w:t>
            </w:r>
          </w:p>
        </w:tc>
        <w:tc>
          <w:tcPr>
            <w:tcW w:w="3023" w:type="dxa"/>
            <w:shd w:val="clear" w:color="auto" w:fill="auto"/>
          </w:tcPr>
          <w:p w14:paraId="1E89491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Vartoti šiuos antiaritminius vaistinius preparatus reikia atsargiai ir rekomenduojama, jei įmanoma, stebėti terapines koncentracijas, kai skiriama kartu su sustiprintu darunaviru.</w:t>
            </w:r>
          </w:p>
          <w:p w14:paraId="13C6819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Sustiprinto darunaviro ir amjodarono, bepridilio, dronedarono, sisteminio vartojimo lidokaino, chinidino arba ranolazino vartojimas kartu yra kontraindikuotinas (žr. 4.3 skyrių).</w:t>
            </w:r>
          </w:p>
        </w:tc>
      </w:tr>
      <w:tr w:rsidR="00645841" w:rsidRPr="00DD4E66" w14:paraId="21D243B3" w14:textId="77777777" w:rsidTr="00D37DA7">
        <w:tc>
          <w:tcPr>
            <w:tcW w:w="2817" w:type="dxa"/>
            <w:shd w:val="clear" w:color="auto" w:fill="auto"/>
          </w:tcPr>
          <w:p w14:paraId="795F69C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Digoksinas 0,4 mg vienkartinė dozė</w:t>
            </w:r>
          </w:p>
        </w:tc>
        <w:tc>
          <w:tcPr>
            <w:tcW w:w="3448" w:type="dxa"/>
            <w:gridSpan w:val="2"/>
            <w:shd w:val="clear" w:color="auto" w:fill="auto"/>
          </w:tcPr>
          <w:p w14:paraId="5C68DEE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digoksino AUC ↑ 61 %</w:t>
            </w:r>
          </w:p>
          <w:p w14:paraId="3E3B994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digoksino C</w:t>
            </w:r>
            <w:r w:rsidRPr="00DD4E66">
              <w:rPr>
                <w:rFonts w:eastAsia="TimesNewRoman"/>
                <w:sz w:val="22"/>
                <w:szCs w:val="22"/>
                <w:vertAlign w:val="subscript"/>
                <w:lang w:val="lt-LT" w:eastAsia="en-US"/>
              </w:rPr>
              <w:t>min</w:t>
            </w:r>
            <w:r w:rsidRPr="00DD4E66">
              <w:rPr>
                <w:rFonts w:eastAsia="TimesNewRoman"/>
                <w:sz w:val="22"/>
                <w:szCs w:val="22"/>
                <w:lang w:val="lt-LT" w:eastAsia="en-US"/>
              </w:rPr>
              <w:t xml:space="preserve"> NN</w:t>
            </w:r>
          </w:p>
          <w:p w14:paraId="0F7451C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digoksino C</w:t>
            </w:r>
            <w:r w:rsidRPr="00DD4E66">
              <w:rPr>
                <w:rFonts w:eastAsia="TimesNewRoman"/>
                <w:sz w:val="22"/>
                <w:szCs w:val="22"/>
                <w:vertAlign w:val="subscript"/>
                <w:lang w:val="lt-LT" w:eastAsia="en-US"/>
              </w:rPr>
              <w:t>max</w:t>
            </w:r>
            <w:r w:rsidRPr="00DD4E66">
              <w:rPr>
                <w:rFonts w:eastAsia="TimesNewRoman"/>
                <w:sz w:val="22"/>
                <w:szCs w:val="22"/>
                <w:lang w:val="lt-LT" w:eastAsia="en-US"/>
              </w:rPr>
              <w:t xml:space="preserve"> ↑ 29 %</w:t>
            </w:r>
          </w:p>
          <w:p w14:paraId="7C72D58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(digoksino ↑ greičiausiai dėl P-gp slopinimo)</w:t>
            </w:r>
          </w:p>
        </w:tc>
        <w:tc>
          <w:tcPr>
            <w:tcW w:w="3023" w:type="dxa"/>
            <w:shd w:val="clear" w:color="auto" w:fill="auto"/>
          </w:tcPr>
          <w:p w14:paraId="5C7579E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Digoksinas pasižymi siauru terapiniu indeksu, todėl sustiprintą darunavirą vartojančiam pacientui gydymą digoksinu rekomenduojama pradėti nuo mažiausios galimos dozės. Vėliau digoksino dozę reikia atsargiai didinti, kol bus pasiektas reikiamas klinikinis poveikis, tuo pat metu stebint bendrą klinikinę paciento būklę.</w:t>
            </w:r>
          </w:p>
        </w:tc>
      </w:tr>
      <w:tr w:rsidR="00645841" w:rsidRPr="00DD4E66" w14:paraId="1E5A7F1D" w14:textId="77777777" w:rsidTr="00D37DA7">
        <w:tc>
          <w:tcPr>
            <w:tcW w:w="9288" w:type="dxa"/>
            <w:gridSpan w:val="4"/>
            <w:shd w:val="clear" w:color="auto" w:fill="auto"/>
          </w:tcPr>
          <w:p w14:paraId="1A7BE70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ANTIBIOTIKAI</w:t>
            </w:r>
          </w:p>
        </w:tc>
      </w:tr>
      <w:tr w:rsidR="00645841" w:rsidRPr="00DD4E66" w14:paraId="487B63F0" w14:textId="77777777" w:rsidTr="00D37DA7">
        <w:tc>
          <w:tcPr>
            <w:tcW w:w="2817" w:type="dxa"/>
            <w:shd w:val="clear" w:color="auto" w:fill="auto"/>
          </w:tcPr>
          <w:p w14:paraId="10CB3C4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Klaritromicin</w:t>
            </w:r>
            <w:r w:rsidR="00FC09B9" w:rsidRPr="00DD4E66">
              <w:rPr>
                <w:rFonts w:eastAsia="TimesNewRoman"/>
                <w:sz w:val="22"/>
                <w:szCs w:val="22"/>
                <w:lang w:val="lt-LT" w:eastAsia="en-US"/>
              </w:rPr>
              <w:t>a</w:t>
            </w:r>
            <w:r w:rsidRPr="00DD4E66">
              <w:rPr>
                <w:rFonts w:eastAsia="TimesNewRoman"/>
                <w:sz w:val="22"/>
                <w:szCs w:val="22"/>
                <w:lang w:val="lt-LT" w:eastAsia="en-US"/>
              </w:rPr>
              <w:t>s</w:t>
            </w:r>
            <w:r w:rsidR="00FC09B9" w:rsidRPr="00DD4E66">
              <w:rPr>
                <w:rFonts w:eastAsia="TimesNewRoman"/>
                <w:sz w:val="22"/>
                <w:szCs w:val="22"/>
                <w:lang w:val="lt-LT" w:eastAsia="en-US"/>
              </w:rPr>
              <w:t xml:space="preserve"> </w:t>
            </w:r>
            <w:r w:rsidRPr="00DD4E66">
              <w:rPr>
                <w:rFonts w:eastAsia="TimesNewRoman"/>
                <w:sz w:val="22"/>
                <w:szCs w:val="22"/>
                <w:lang w:val="lt-LT" w:eastAsia="en-US"/>
              </w:rPr>
              <w:t>500 mg du kartus per</w:t>
            </w:r>
          </w:p>
          <w:p w14:paraId="5FD420D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parą</w:t>
            </w:r>
          </w:p>
        </w:tc>
        <w:tc>
          <w:tcPr>
            <w:tcW w:w="3448" w:type="dxa"/>
            <w:gridSpan w:val="2"/>
            <w:shd w:val="clear" w:color="auto" w:fill="auto"/>
          </w:tcPr>
          <w:p w14:paraId="67FDE3E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klaritromicino AUC ↑ 57 %</w:t>
            </w:r>
          </w:p>
          <w:p w14:paraId="121BF28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klaritromicino Cmin ↑ 174 %</w:t>
            </w:r>
          </w:p>
          <w:p w14:paraId="5534CD7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klaritromicino Cmax ↑ 26 %</w:t>
            </w:r>
          </w:p>
          <w:p w14:paraId="65BAF13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13 %</w:t>
            </w:r>
          </w:p>
          <w:p w14:paraId="4FC4EAE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Cmin ↑ 1 %</w:t>
            </w:r>
          </w:p>
          <w:p w14:paraId="5073850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Cmax↓ 17 %</w:t>
            </w:r>
          </w:p>
          <w:p w14:paraId="7AC3BF86" w14:textId="77777777" w:rsidR="00FC09B9" w:rsidRPr="00DD4E66" w:rsidRDefault="00FC09B9" w:rsidP="00D37DA7">
            <w:pPr>
              <w:autoSpaceDE w:val="0"/>
              <w:autoSpaceDN w:val="0"/>
              <w:adjustRightInd w:val="0"/>
              <w:rPr>
                <w:rFonts w:eastAsia="TimesNewRoman"/>
                <w:sz w:val="22"/>
                <w:szCs w:val="22"/>
                <w:lang w:val="lt-LT" w:eastAsia="en-US"/>
              </w:rPr>
            </w:pPr>
          </w:p>
          <w:p w14:paraId="4297714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Vartojant kartu su </w:t>
            </w:r>
            <w:r w:rsidR="00FC09B9" w:rsidRPr="00DD4E66">
              <w:rPr>
                <w:rFonts w:eastAsia="TimesNewRoman"/>
                <w:sz w:val="22"/>
                <w:szCs w:val="22"/>
                <w:lang w:val="lt-LT" w:eastAsia="en-US"/>
              </w:rPr>
              <w:t>darunaviru</w:t>
            </w:r>
            <w:r w:rsidRPr="00DD4E66">
              <w:rPr>
                <w:rFonts w:eastAsia="TimesNewRoman"/>
                <w:sz w:val="22"/>
                <w:szCs w:val="22"/>
                <w:lang w:val="lt-LT" w:eastAsia="en-US"/>
              </w:rPr>
              <w:t>/ritonaviru,</w:t>
            </w:r>
            <w:r w:rsidR="00FC09B9" w:rsidRPr="00DD4E66">
              <w:rPr>
                <w:rFonts w:eastAsia="TimesNewRoman"/>
                <w:sz w:val="22"/>
                <w:szCs w:val="22"/>
                <w:lang w:val="lt-LT" w:eastAsia="en-US"/>
              </w:rPr>
              <w:t xml:space="preserve"> </w:t>
            </w:r>
            <w:r w:rsidRPr="00DD4E66">
              <w:rPr>
                <w:rFonts w:eastAsia="TimesNewRoman"/>
                <w:sz w:val="22"/>
                <w:szCs w:val="22"/>
                <w:lang w:val="lt-LT" w:eastAsia="en-US"/>
              </w:rPr>
              <w:t>14-OH-klaritromicino koncentracija</w:t>
            </w:r>
            <w:r w:rsidR="00FC09B9" w:rsidRPr="00DD4E66">
              <w:rPr>
                <w:rFonts w:eastAsia="TimesNewRoman"/>
                <w:sz w:val="22"/>
                <w:szCs w:val="22"/>
                <w:lang w:val="lt-LT" w:eastAsia="en-US"/>
              </w:rPr>
              <w:t xml:space="preserve"> </w:t>
            </w:r>
            <w:r w:rsidRPr="00DD4E66">
              <w:rPr>
                <w:rFonts w:eastAsia="TimesNewRoman"/>
                <w:sz w:val="22"/>
                <w:szCs w:val="22"/>
                <w:lang w:val="lt-LT" w:eastAsia="en-US"/>
              </w:rPr>
              <w:t>plazmoje neišmatuota.</w:t>
            </w:r>
          </w:p>
          <w:p w14:paraId="46E1F63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(klaritromicino ↑ dėl CYP3A slopinimo ir</w:t>
            </w:r>
            <w:r w:rsidR="00FC09B9" w:rsidRPr="00DD4E66">
              <w:rPr>
                <w:rFonts w:eastAsia="TimesNewRoman"/>
                <w:sz w:val="22"/>
                <w:szCs w:val="22"/>
                <w:lang w:val="lt-LT" w:eastAsia="en-US"/>
              </w:rPr>
              <w:t xml:space="preserve"> </w:t>
            </w:r>
            <w:r w:rsidRPr="00DD4E66">
              <w:rPr>
                <w:rFonts w:eastAsia="TimesNewRoman"/>
                <w:sz w:val="22"/>
                <w:szCs w:val="22"/>
                <w:lang w:val="lt-LT" w:eastAsia="en-US"/>
              </w:rPr>
              <w:t>galimo P-gp slopinimo)</w:t>
            </w:r>
          </w:p>
        </w:tc>
        <w:tc>
          <w:tcPr>
            <w:tcW w:w="3023" w:type="dxa"/>
            <w:shd w:val="clear" w:color="auto" w:fill="auto"/>
          </w:tcPr>
          <w:p w14:paraId="65B000C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Klaritromiciną vartoti kartu su</w:t>
            </w:r>
            <w:r w:rsidR="00FC09B9"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FC09B9" w:rsidRPr="00DD4E66">
              <w:rPr>
                <w:rFonts w:eastAsia="TimesNewRoman"/>
                <w:sz w:val="22"/>
                <w:szCs w:val="22"/>
                <w:lang w:val="lt-LT" w:eastAsia="en-US"/>
              </w:rPr>
              <w:t>darunaviru</w:t>
            </w:r>
            <w:r w:rsidRPr="00DD4E66">
              <w:rPr>
                <w:rFonts w:eastAsia="TimesNewRoman"/>
                <w:sz w:val="22"/>
                <w:szCs w:val="22"/>
                <w:lang w:val="lt-LT" w:eastAsia="en-US"/>
              </w:rPr>
              <w:t xml:space="preserve"> reikia</w:t>
            </w:r>
            <w:r w:rsidR="00FC09B9" w:rsidRPr="00DD4E66">
              <w:rPr>
                <w:rFonts w:eastAsia="TimesNewRoman"/>
                <w:sz w:val="22"/>
                <w:szCs w:val="22"/>
                <w:lang w:val="lt-LT" w:eastAsia="en-US"/>
              </w:rPr>
              <w:t xml:space="preserve"> </w:t>
            </w:r>
            <w:r w:rsidRPr="00DD4E66">
              <w:rPr>
                <w:rFonts w:eastAsia="TimesNewRoman"/>
                <w:sz w:val="22"/>
                <w:szCs w:val="22"/>
                <w:lang w:val="lt-LT" w:eastAsia="en-US"/>
              </w:rPr>
              <w:t>atsargiai.</w:t>
            </w:r>
          </w:p>
          <w:p w14:paraId="2C1BFB1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Pacientams, kurių inkstų funkcija</w:t>
            </w:r>
            <w:r w:rsidR="00FC09B9" w:rsidRPr="00DD4E66">
              <w:rPr>
                <w:rFonts w:eastAsia="TimesNewRoman"/>
                <w:sz w:val="22"/>
                <w:szCs w:val="22"/>
                <w:lang w:val="lt-LT" w:eastAsia="en-US"/>
              </w:rPr>
              <w:t xml:space="preserve"> </w:t>
            </w:r>
            <w:r w:rsidRPr="00DD4E66">
              <w:rPr>
                <w:rFonts w:eastAsia="TimesNewRoman"/>
                <w:sz w:val="22"/>
                <w:szCs w:val="22"/>
                <w:lang w:val="lt-LT" w:eastAsia="en-US"/>
              </w:rPr>
              <w:t>sutrikusi, informacijos apie</w:t>
            </w:r>
            <w:r w:rsidR="00FC09B9" w:rsidRPr="00DD4E66">
              <w:rPr>
                <w:rFonts w:eastAsia="TimesNewRoman"/>
                <w:sz w:val="22"/>
                <w:szCs w:val="22"/>
                <w:lang w:val="lt-LT" w:eastAsia="en-US"/>
              </w:rPr>
              <w:t xml:space="preserve"> </w:t>
            </w:r>
            <w:r w:rsidRPr="00DD4E66">
              <w:rPr>
                <w:rFonts w:eastAsia="TimesNewRoman"/>
                <w:sz w:val="22"/>
                <w:szCs w:val="22"/>
                <w:lang w:val="lt-LT" w:eastAsia="en-US"/>
              </w:rPr>
              <w:t>rekomenduojamą dozę reikia žr.</w:t>
            </w:r>
            <w:r w:rsidR="00FC09B9" w:rsidRPr="00DD4E66">
              <w:rPr>
                <w:rFonts w:eastAsia="TimesNewRoman"/>
                <w:sz w:val="22"/>
                <w:szCs w:val="22"/>
                <w:lang w:val="lt-LT" w:eastAsia="en-US"/>
              </w:rPr>
              <w:t xml:space="preserve"> </w:t>
            </w:r>
            <w:r w:rsidRPr="00DD4E66">
              <w:rPr>
                <w:rFonts w:eastAsia="TimesNewRoman"/>
                <w:sz w:val="22"/>
                <w:szCs w:val="22"/>
                <w:lang w:val="lt-LT" w:eastAsia="en-US"/>
              </w:rPr>
              <w:t xml:space="preserve">klaritromicino </w:t>
            </w:r>
            <w:r w:rsidR="00FC09B9" w:rsidRPr="00DD4E66">
              <w:rPr>
                <w:rFonts w:eastAsia="TimesNewRoman"/>
                <w:sz w:val="22"/>
                <w:szCs w:val="22"/>
                <w:lang w:val="lt-LT" w:eastAsia="en-US"/>
              </w:rPr>
              <w:t>P</w:t>
            </w:r>
            <w:r w:rsidRPr="00DD4E66">
              <w:rPr>
                <w:rFonts w:eastAsia="TimesNewRoman"/>
                <w:sz w:val="22"/>
                <w:szCs w:val="22"/>
                <w:lang w:val="lt-LT" w:eastAsia="en-US"/>
              </w:rPr>
              <w:t>reparato</w:t>
            </w:r>
            <w:r w:rsidR="00FC09B9" w:rsidRPr="00DD4E66">
              <w:rPr>
                <w:rFonts w:eastAsia="TimesNewRoman"/>
                <w:sz w:val="22"/>
                <w:szCs w:val="22"/>
                <w:lang w:val="lt-LT" w:eastAsia="en-US"/>
              </w:rPr>
              <w:t xml:space="preserve"> </w:t>
            </w:r>
            <w:r w:rsidRPr="00DD4E66">
              <w:rPr>
                <w:rFonts w:eastAsia="TimesNewRoman"/>
                <w:sz w:val="22"/>
                <w:szCs w:val="22"/>
                <w:lang w:val="lt-LT" w:eastAsia="en-US"/>
              </w:rPr>
              <w:t>charakteristikų santraukoje.</w:t>
            </w:r>
          </w:p>
        </w:tc>
      </w:tr>
      <w:tr w:rsidR="00645841" w:rsidRPr="00DD4E66" w14:paraId="17B392A2" w14:textId="77777777" w:rsidTr="00D37DA7">
        <w:tc>
          <w:tcPr>
            <w:tcW w:w="9288" w:type="dxa"/>
            <w:gridSpan w:val="4"/>
            <w:shd w:val="clear" w:color="auto" w:fill="auto"/>
          </w:tcPr>
          <w:p w14:paraId="40B5C0D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ANTIKOAGULIANTAI</w:t>
            </w:r>
          </w:p>
        </w:tc>
      </w:tr>
      <w:tr w:rsidR="00645841" w:rsidRPr="00DD4E66" w14:paraId="41BC4C3C" w14:textId="77777777" w:rsidTr="00D37DA7">
        <w:tc>
          <w:tcPr>
            <w:tcW w:w="2817" w:type="dxa"/>
            <w:shd w:val="clear" w:color="auto" w:fill="auto"/>
          </w:tcPr>
          <w:p w14:paraId="5F0D0FD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Apiksabanas</w:t>
            </w:r>
          </w:p>
          <w:p w14:paraId="1326884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Dabigatrano eteksilatas</w:t>
            </w:r>
          </w:p>
          <w:p w14:paraId="4846A9F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Rivaroksabanas</w:t>
            </w:r>
          </w:p>
        </w:tc>
        <w:tc>
          <w:tcPr>
            <w:tcW w:w="3448" w:type="dxa"/>
            <w:gridSpan w:val="2"/>
            <w:shd w:val="clear" w:color="auto" w:fill="auto"/>
          </w:tcPr>
          <w:p w14:paraId="59F4307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Sustiprinto </w:t>
            </w:r>
            <w:r w:rsidR="00FC09B9" w:rsidRPr="00DD4E66">
              <w:rPr>
                <w:rFonts w:eastAsia="TimesNewRoman"/>
                <w:sz w:val="22"/>
                <w:szCs w:val="22"/>
                <w:lang w:val="lt-LT" w:eastAsia="en-US"/>
              </w:rPr>
              <w:t>darunaviro</w:t>
            </w:r>
            <w:r w:rsidRPr="00DD4E66">
              <w:rPr>
                <w:rFonts w:eastAsia="TimesNewRoman"/>
                <w:sz w:val="22"/>
                <w:szCs w:val="22"/>
                <w:lang w:val="lt-LT" w:eastAsia="en-US"/>
              </w:rPr>
              <w:t xml:space="preserve"> skyrimas</w:t>
            </w:r>
            <w:r w:rsidR="00FC09B9" w:rsidRPr="00DD4E66">
              <w:rPr>
                <w:rFonts w:eastAsia="TimesNewRoman"/>
                <w:sz w:val="22"/>
                <w:szCs w:val="22"/>
                <w:lang w:val="lt-LT" w:eastAsia="en-US"/>
              </w:rPr>
              <w:t xml:space="preserve"> </w:t>
            </w:r>
            <w:r w:rsidRPr="00DD4E66">
              <w:rPr>
                <w:rFonts w:eastAsia="TimesNewRoman"/>
                <w:sz w:val="22"/>
                <w:szCs w:val="22"/>
                <w:lang w:val="lt-LT" w:eastAsia="en-US"/>
              </w:rPr>
              <w:t>kartu su šiais antikoaguliantais gali</w:t>
            </w:r>
            <w:r w:rsidR="00FC09B9" w:rsidRPr="00DD4E66">
              <w:rPr>
                <w:rFonts w:eastAsia="TimesNewRoman"/>
                <w:sz w:val="22"/>
                <w:szCs w:val="22"/>
                <w:lang w:val="lt-LT" w:eastAsia="en-US"/>
              </w:rPr>
              <w:t xml:space="preserve"> </w:t>
            </w:r>
            <w:r w:rsidRPr="00DD4E66">
              <w:rPr>
                <w:rFonts w:eastAsia="TimesNewRoman"/>
                <w:sz w:val="22"/>
                <w:szCs w:val="22"/>
                <w:lang w:val="lt-LT" w:eastAsia="en-US"/>
              </w:rPr>
              <w:t>padidinti antikoaguliantų koncentracijas.</w:t>
            </w:r>
          </w:p>
          <w:p w14:paraId="07F4321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(CYP3A ir (arba) P-gp slopinimas)</w:t>
            </w:r>
          </w:p>
        </w:tc>
        <w:tc>
          <w:tcPr>
            <w:tcW w:w="3023" w:type="dxa"/>
            <w:shd w:val="clear" w:color="auto" w:fill="auto"/>
          </w:tcPr>
          <w:p w14:paraId="3E32E65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Vartoti kartu sustiprintą </w:t>
            </w:r>
            <w:r w:rsidR="00FC09B9" w:rsidRPr="00DD4E66">
              <w:rPr>
                <w:rFonts w:eastAsia="TimesNewRoman"/>
                <w:sz w:val="22"/>
                <w:szCs w:val="22"/>
                <w:lang w:val="lt-LT" w:eastAsia="en-US"/>
              </w:rPr>
              <w:t>darunavirą i</w:t>
            </w:r>
            <w:r w:rsidRPr="00DD4E66">
              <w:rPr>
                <w:rFonts w:eastAsia="TimesNewRoman"/>
                <w:sz w:val="22"/>
                <w:szCs w:val="22"/>
                <w:lang w:val="lt-LT" w:eastAsia="en-US"/>
              </w:rPr>
              <w:t>r šių antikoaguliantų</w:t>
            </w:r>
            <w:r w:rsidR="00FC09B9" w:rsidRPr="00DD4E66">
              <w:rPr>
                <w:rFonts w:eastAsia="TimesNewRoman"/>
                <w:sz w:val="22"/>
                <w:szCs w:val="22"/>
                <w:lang w:val="lt-LT" w:eastAsia="en-US"/>
              </w:rPr>
              <w:t xml:space="preserve">  </w:t>
            </w:r>
            <w:r w:rsidRPr="00DD4E66">
              <w:rPr>
                <w:rFonts w:eastAsia="TimesNewRoman"/>
                <w:sz w:val="22"/>
                <w:szCs w:val="22"/>
                <w:lang w:val="lt-LT" w:eastAsia="en-US"/>
              </w:rPr>
              <w:t>nerekomenduojama.</w:t>
            </w:r>
          </w:p>
        </w:tc>
      </w:tr>
      <w:tr w:rsidR="00645841" w:rsidRPr="00DD4E66" w14:paraId="66DC381B" w14:textId="77777777" w:rsidTr="00D37DA7">
        <w:tc>
          <w:tcPr>
            <w:tcW w:w="2817" w:type="dxa"/>
            <w:shd w:val="clear" w:color="auto" w:fill="auto"/>
          </w:tcPr>
          <w:p w14:paraId="6FC57A7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Varfarinas </w:t>
            </w:r>
          </w:p>
        </w:tc>
        <w:tc>
          <w:tcPr>
            <w:tcW w:w="3448" w:type="dxa"/>
            <w:gridSpan w:val="2"/>
            <w:shd w:val="clear" w:color="auto" w:fill="auto"/>
          </w:tcPr>
          <w:p w14:paraId="05F79A1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Gali keistis kartu su sustiprintu</w:t>
            </w:r>
            <w:r w:rsidR="00FC09B9" w:rsidRPr="00DD4E66">
              <w:rPr>
                <w:rFonts w:eastAsia="TimesNewRoman"/>
                <w:sz w:val="22"/>
                <w:szCs w:val="22"/>
                <w:lang w:val="lt-LT" w:eastAsia="en-US"/>
              </w:rPr>
              <w:t xml:space="preserve"> darunaviru</w:t>
            </w:r>
            <w:r w:rsidRPr="00DD4E66">
              <w:rPr>
                <w:rFonts w:eastAsia="TimesNewRoman"/>
                <w:sz w:val="22"/>
                <w:szCs w:val="22"/>
                <w:lang w:val="lt-LT" w:eastAsia="en-US"/>
              </w:rPr>
              <w:t xml:space="preserve"> vartojamo varfarino</w:t>
            </w:r>
            <w:r w:rsidR="00FC09B9" w:rsidRPr="00DD4E66">
              <w:rPr>
                <w:rFonts w:eastAsia="TimesNewRoman"/>
                <w:sz w:val="22"/>
                <w:szCs w:val="22"/>
                <w:lang w:val="lt-LT" w:eastAsia="en-US"/>
              </w:rPr>
              <w:t xml:space="preserve"> </w:t>
            </w:r>
            <w:r w:rsidRPr="00DD4E66">
              <w:rPr>
                <w:rFonts w:eastAsia="TimesNewRoman"/>
                <w:sz w:val="22"/>
                <w:szCs w:val="22"/>
                <w:lang w:val="lt-LT" w:eastAsia="en-US"/>
              </w:rPr>
              <w:t>koncentracijos.</w:t>
            </w:r>
          </w:p>
        </w:tc>
        <w:tc>
          <w:tcPr>
            <w:tcW w:w="3023" w:type="dxa"/>
            <w:shd w:val="clear" w:color="auto" w:fill="auto"/>
          </w:tcPr>
          <w:p w14:paraId="06E052F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FC09B9" w:rsidRPr="00DD4E66">
              <w:rPr>
                <w:rFonts w:eastAsia="TimesNewRoman"/>
                <w:sz w:val="22"/>
                <w:szCs w:val="22"/>
                <w:lang w:val="lt-LT" w:eastAsia="en-US"/>
              </w:rPr>
              <w:t>darunavirą</w:t>
            </w:r>
            <w:r w:rsidRPr="00DD4E66">
              <w:rPr>
                <w:rFonts w:eastAsia="TimesNewRoman"/>
                <w:sz w:val="22"/>
                <w:szCs w:val="22"/>
                <w:lang w:val="lt-LT" w:eastAsia="en-US"/>
              </w:rPr>
              <w:t xml:space="preserve"> vartojant</w:t>
            </w:r>
            <w:r w:rsidR="00FC09B9" w:rsidRPr="00DD4E66">
              <w:rPr>
                <w:rFonts w:eastAsia="TimesNewRoman"/>
                <w:sz w:val="22"/>
                <w:szCs w:val="22"/>
                <w:lang w:val="lt-LT" w:eastAsia="en-US"/>
              </w:rPr>
              <w:t xml:space="preserve"> kartu su varfarinu </w:t>
            </w:r>
            <w:r w:rsidRPr="00DD4E66">
              <w:rPr>
                <w:rFonts w:eastAsia="TimesNewRoman"/>
                <w:sz w:val="22"/>
                <w:szCs w:val="22"/>
                <w:lang w:val="lt-LT" w:eastAsia="en-US"/>
              </w:rPr>
              <w:t xml:space="preserve"> rekomenduojama</w:t>
            </w:r>
            <w:r w:rsidR="00FC09B9" w:rsidRPr="00DD4E66">
              <w:rPr>
                <w:rFonts w:eastAsia="TimesNewRoman"/>
                <w:sz w:val="22"/>
                <w:szCs w:val="22"/>
                <w:lang w:val="lt-LT" w:eastAsia="en-US"/>
              </w:rPr>
              <w:t xml:space="preserve"> </w:t>
            </w:r>
            <w:r w:rsidRPr="00DD4E66">
              <w:rPr>
                <w:rFonts w:eastAsia="TimesNewRoman"/>
                <w:sz w:val="22"/>
                <w:szCs w:val="22"/>
                <w:lang w:val="lt-LT" w:eastAsia="en-US"/>
              </w:rPr>
              <w:t>stebėti tarptautinį normalizuotą</w:t>
            </w:r>
            <w:r w:rsidR="00FC09B9" w:rsidRPr="00DD4E66">
              <w:rPr>
                <w:rFonts w:eastAsia="TimesNewRoman"/>
                <w:sz w:val="22"/>
                <w:szCs w:val="22"/>
                <w:lang w:val="lt-LT" w:eastAsia="en-US"/>
              </w:rPr>
              <w:t xml:space="preserve"> </w:t>
            </w:r>
            <w:r w:rsidRPr="00DD4E66">
              <w:rPr>
                <w:rFonts w:eastAsia="TimesNewRoman"/>
                <w:sz w:val="22"/>
                <w:szCs w:val="22"/>
                <w:lang w:val="lt-LT" w:eastAsia="en-US"/>
              </w:rPr>
              <w:t>santykį (TNS).</w:t>
            </w:r>
          </w:p>
        </w:tc>
      </w:tr>
      <w:tr w:rsidR="00FC09B9" w:rsidRPr="00DD4E66" w14:paraId="1383CF99" w14:textId="77777777" w:rsidTr="00D37DA7">
        <w:tc>
          <w:tcPr>
            <w:tcW w:w="9288" w:type="dxa"/>
            <w:gridSpan w:val="4"/>
            <w:shd w:val="clear" w:color="auto" w:fill="auto"/>
          </w:tcPr>
          <w:p w14:paraId="2961443E" w14:textId="77777777" w:rsidR="00FC09B9" w:rsidRPr="00DD4E66" w:rsidRDefault="00FC09B9"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PRIEŠTRAUKULINIAI VAISTINIAI PREPARATAI</w:t>
            </w:r>
          </w:p>
        </w:tc>
      </w:tr>
      <w:tr w:rsidR="00645841" w:rsidRPr="00DD4E66" w14:paraId="68DB9808" w14:textId="77777777" w:rsidTr="00D37DA7">
        <w:tc>
          <w:tcPr>
            <w:tcW w:w="2817" w:type="dxa"/>
            <w:shd w:val="clear" w:color="auto" w:fill="auto"/>
          </w:tcPr>
          <w:p w14:paraId="42BFE897" w14:textId="77777777" w:rsidR="00FC09B9"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Fenobarbitalis</w:t>
            </w:r>
            <w:r w:rsidR="00FC09B9" w:rsidRPr="00DD4E66">
              <w:rPr>
                <w:rFonts w:eastAsia="TimesNewRoman"/>
                <w:sz w:val="22"/>
                <w:szCs w:val="22"/>
                <w:lang w:val="lt-LT" w:eastAsia="en-US"/>
              </w:rPr>
              <w:t xml:space="preserve"> </w:t>
            </w:r>
          </w:p>
          <w:p w14:paraId="574AB1A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Fenitoinas</w:t>
            </w:r>
          </w:p>
        </w:tc>
        <w:tc>
          <w:tcPr>
            <w:tcW w:w="3448" w:type="dxa"/>
            <w:gridSpan w:val="2"/>
            <w:shd w:val="clear" w:color="auto" w:fill="auto"/>
          </w:tcPr>
          <w:p w14:paraId="678F75B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Numatoma, kad fenobarbitalis ir</w:t>
            </w:r>
            <w:r w:rsidR="00FC09B9" w:rsidRPr="00DD4E66">
              <w:rPr>
                <w:rFonts w:eastAsia="TimesNewRoman"/>
                <w:sz w:val="22"/>
                <w:szCs w:val="22"/>
                <w:lang w:val="lt-LT" w:eastAsia="en-US"/>
              </w:rPr>
              <w:t xml:space="preserve"> </w:t>
            </w:r>
            <w:r w:rsidRPr="00DD4E66">
              <w:rPr>
                <w:rFonts w:eastAsia="TimesNewRoman"/>
                <w:sz w:val="22"/>
                <w:szCs w:val="22"/>
                <w:lang w:val="lt-LT" w:eastAsia="en-US"/>
              </w:rPr>
              <w:t>fenitoinas mažins darunaviro ir jo</w:t>
            </w:r>
            <w:r w:rsidR="00FC09B9" w:rsidRPr="00DD4E66">
              <w:rPr>
                <w:rFonts w:eastAsia="TimesNewRoman"/>
                <w:sz w:val="22"/>
                <w:szCs w:val="22"/>
                <w:lang w:val="lt-LT" w:eastAsia="en-US"/>
              </w:rPr>
              <w:t xml:space="preserve"> </w:t>
            </w:r>
            <w:r w:rsidRPr="00DD4E66">
              <w:rPr>
                <w:rFonts w:eastAsia="TimesNewRoman"/>
                <w:sz w:val="22"/>
                <w:szCs w:val="22"/>
                <w:lang w:val="lt-LT" w:eastAsia="en-US"/>
              </w:rPr>
              <w:t>farmakologinio stipriklio koncentracijas</w:t>
            </w:r>
            <w:r w:rsidR="00FC09B9" w:rsidRPr="00DD4E66">
              <w:rPr>
                <w:rFonts w:eastAsia="TimesNewRoman"/>
                <w:sz w:val="22"/>
                <w:szCs w:val="22"/>
                <w:lang w:val="lt-LT" w:eastAsia="en-US"/>
              </w:rPr>
              <w:t xml:space="preserve"> </w:t>
            </w:r>
            <w:r w:rsidRPr="00DD4E66">
              <w:rPr>
                <w:rFonts w:eastAsia="TimesNewRoman"/>
                <w:sz w:val="22"/>
                <w:szCs w:val="22"/>
                <w:lang w:val="lt-LT" w:eastAsia="en-US"/>
              </w:rPr>
              <w:t>plazmoje.</w:t>
            </w:r>
          </w:p>
          <w:p w14:paraId="05A2EF7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(dėl CYP450 izofermentų sužadinimo)</w:t>
            </w:r>
          </w:p>
        </w:tc>
        <w:tc>
          <w:tcPr>
            <w:tcW w:w="3023" w:type="dxa"/>
            <w:shd w:val="clear" w:color="auto" w:fill="auto"/>
          </w:tcPr>
          <w:p w14:paraId="56C8FB0C" w14:textId="77777777" w:rsidR="00645841" w:rsidRPr="00DD4E66" w:rsidRDefault="00FC09B9"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w:t>
            </w:r>
            <w:r w:rsidR="00645841" w:rsidRPr="00DD4E66">
              <w:rPr>
                <w:rFonts w:eastAsia="TimesNewRoman"/>
                <w:sz w:val="22"/>
                <w:szCs w:val="22"/>
                <w:lang w:val="lt-LT" w:eastAsia="en-US"/>
              </w:rPr>
              <w:t>, vartojamo kartu su</w:t>
            </w:r>
            <w:r w:rsidRPr="00DD4E66">
              <w:rPr>
                <w:rFonts w:eastAsia="TimesNewRoman"/>
                <w:sz w:val="22"/>
                <w:szCs w:val="22"/>
                <w:lang w:val="lt-LT" w:eastAsia="en-US"/>
              </w:rPr>
              <w:t xml:space="preserve"> </w:t>
            </w:r>
            <w:r w:rsidR="00645841" w:rsidRPr="00DD4E66">
              <w:rPr>
                <w:rFonts w:eastAsia="TimesNewRoman"/>
                <w:sz w:val="22"/>
                <w:szCs w:val="22"/>
                <w:lang w:val="lt-LT" w:eastAsia="en-US"/>
              </w:rPr>
              <w:t>maža ritonaviro doze, negalima</w:t>
            </w:r>
            <w:r w:rsidRPr="00DD4E66">
              <w:rPr>
                <w:rFonts w:eastAsia="TimesNewRoman"/>
                <w:sz w:val="22"/>
                <w:szCs w:val="22"/>
                <w:lang w:val="lt-LT" w:eastAsia="en-US"/>
              </w:rPr>
              <w:t xml:space="preserve"> </w:t>
            </w:r>
            <w:r w:rsidR="00645841" w:rsidRPr="00DD4E66">
              <w:rPr>
                <w:rFonts w:eastAsia="TimesNewRoman"/>
                <w:sz w:val="22"/>
                <w:szCs w:val="22"/>
                <w:lang w:val="lt-LT" w:eastAsia="en-US"/>
              </w:rPr>
              <w:t>vartoti kartu su šiais vaistiniais</w:t>
            </w:r>
            <w:r w:rsidRPr="00DD4E66">
              <w:rPr>
                <w:rFonts w:eastAsia="TimesNewRoman"/>
                <w:sz w:val="22"/>
                <w:szCs w:val="22"/>
                <w:lang w:val="lt-LT" w:eastAsia="en-US"/>
              </w:rPr>
              <w:t xml:space="preserve"> </w:t>
            </w:r>
            <w:r w:rsidR="00645841" w:rsidRPr="00DD4E66">
              <w:rPr>
                <w:rFonts w:eastAsia="TimesNewRoman"/>
                <w:sz w:val="22"/>
                <w:szCs w:val="22"/>
                <w:lang w:val="lt-LT" w:eastAsia="en-US"/>
              </w:rPr>
              <w:t>preparatais.</w:t>
            </w:r>
          </w:p>
          <w:p w14:paraId="7753E74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Šių vaistų vartojimas kartu su</w:t>
            </w:r>
            <w:r w:rsidR="00FC09B9" w:rsidRPr="00DD4E66">
              <w:rPr>
                <w:rFonts w:eastAsia="TimesNewRoman"/>
                <w:sz w:val="22"/>
                <w:szCs w:val="22"/>
                <w:lang w:val="lt-LT" w:eastAsia="en-US"/>
              </w:rPr>
              <w:t xml:space="preserve"> darunaviru</w:t>
            </w:r>
            <w:r w:rsidRPr="00DD4E66">
              <w:rPr>
                <w:rFonts w:eastAsia="TimesNewRoman"/>
                <w:sz w:val="22"/>
                <w:szCs w:val="22"/>
                <w:lang w:val="lt-LT" w:eastAsia="en-US"/>
              </w:rPr>
              <w:t>/kobicistatu yra</w:t>
            </w:r>
            <w:r w:rsidR="00FC09B9" w:rsidRPr="00DD4E66">
              <w:rPr>
                <w:rFonts w:eastAsia="TimesNewRoman"/>
                <w:sz w:val="22"/>
                <w:szCs w:val="22"/>
                <w:lang w:val="lt-LT" w:eastAsia="en-US"/>
              </w:rPr>
              <w:t xml:space="preserve"> </w:t>
            </w:r>
            <w:r w:rsidRPr="00DD4E66">
              <w:rPr>
                <w:rFonts w:eastAsia="TimesNewRoman"/>
                <w:sz w:val="22"/>
                <w:szCs w:val="22"/>
                <w:lang w:val="lt-LT" w:eastAsia="en-US"/>
              </w:rPr>
              <w:t>kontraindikuotinas (žr. 4.3 skyrių).</w:t>
            </w:r>
          </w:p>
        </w:tc>
      </w:tr>
      <w:tr w:rsidR="00645841" w:rsidRPr="00DD4E66" w14:paraId="6FAD264F" w14:textId="77777777" w:rsidTr="00D37DA7">
        <w:tc>
          <w:tcPr>
            <w:tcW w:w="2817" w:type="dxa"/>
            <w:shd w:val="clear" w:color="auto" w:fill="auto"/>
          </w:tcPr>
          <w:p w14:paraId="4B6448A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Karbamazepinas</w:t>
            </w:r>
            <w:r w:rsidR="00FC09B9" w:rsidRPr="00DD4E66">
              <w:rPr>
                <w:rFonts w:eastAsia="TimesNewRoman"/>
                <w:sz w:val="22"/>
                <w:szCs w:val="22"/>
                <w:lang w:val="lt-LT" w:eastAsia="en-US"/>
              </w:rPr>
              <w:t xml:space="preserve"> </w:t>
            </w:r>
            <w:r w:rsidRPr="00DD4E66">
              <w:rPr>
                <w:rFonts w:eastAsia="TimesNewRoman"/>
                <w:sz w:val="22"/>
                <w:szCs w:val="22"/>
                <w:lang w:val="lt-LT" w:eastAsia="en-US"/>
              </w:rPr>
              <w:t>200</w:t>
            </w:r>
            <w:r w:rsidR="00FC09B9" w:rsidRPr="00DD4E66">
              <w:rPr>
                <w:rFonts w:eastAsia="TimesNewRoman"/>
                <w:sz w:val="22"/>
                <w:szCs w:val="22"/>
                <w:lang w:val="lt-LT" w:eastAsia="en-US"/>
              </w:rPr>
              <w:t> </w:t>
            </w:r>
            <w:r w:rsidRPr="00DD4E66">
              <w:rPr>
                <w:rFonts w:eastAsia="TimesNewRoman"/>
                <w:sz w:val="22"/>
                <w:szCs w:val="22"/>
                <w:lang w:val="lt-LT" w:eastAsia="en-US"/>
              </w:rPr>
              <w:t xml:space="preserve"> mg du kartus per parą</w:t>
            </w:r>
          </w:p>
        </w:tc>
        <w:tc>
          <w:tcPr>
            <w:tcW w:w="3448" w:type="dxa"/>
            <w:gridSpan w:val="2"/>
            <w:shd w:val="clear" w:color="auto" w:fill="auto"/>
          </w:tcPr>
          <w:p w14:paraId="61439E5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karbamazepino AUC ↑ 45 %</w:t>
            </w:r>
          </w:p>
          <w:p w14:paraId="7A1E0C2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karbamazepino Cmin ↑ 54 %</w:t>
            </w:r>
          </w:p>
          <w:p w14:paraId="6DC515D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karbamazepino Cmax ↑ 43 %</w:t>
            </w:r>
          </w:p>
          <w:p w14:paraId="3CE506D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w:t>
            </w:r>
          </w:p>
          <w:p w14:paraId="3943750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15 %</w:t>
            </w:r>
          </w:p>
          <w:p w14:paraId="6BEDD6C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Cmax ↔</w:t>
            </w:r>
          </w:p>
        </w:tc>
        <w:tc>
          <w:tcPr>
            <w:tcW w:w="3023" w:type="dxa"/>
            <w:shd w:val="clear" w:color="auto" w:fill="auto"/>
          </w:tcPr>
          <w:p w14:paraId="1E564BF8" w14:textId="77777777" w:rsidR="00645841" w:rsidRPr="00DD4E66" w:rsidRDefault="00FC09B9"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w:t>
            </w:r>
            <w:r w:rsidR="00645841" w:rsidRPr="00DD4E66">
              <w:rPr>
                <w:rFonts w:eastAsia="TimesNewRoman"/>
                <w:sz w:val="22"/>
                <w:szCs w:val="22"/>
                <w:lang w:val="lt-LT" w:eastAsia="en-US"/>
              </w:rPr>
              <w:t xml:space="preserve">/ritonaviro </w:t>
            </w:r>
            <w:r w:rsidRPr="00DD4E66">
              <w:rPr>
                <w:rFonts w:eastAsia="TimesNewRoman"/>
                <w:sz w:val="22"/>
                <w:szCs w:val="22"/>
                <w:lang w:val="lt-LT" w:eastAsia="en-US"/>
              </w:rPr>
              <w:t xml:space="preserve">dozes </w:t>
            </w:r>
            <w:r w:rsidR="00645841" w:rsidRPr="00DD4E66">
              <w:rPr>
                <w:rFonts w:eastAsia="TimesNewRoman"/>
                <w:sz w:val="22"/>
                <w:szCs w:val="22"/>
                <w:lang w:val="lt-LT" w:eastAsia="en-US"/>
              </w:rPr>
              <w:t>rekomenduojama nekeisti. Jeigu</w:t>
            </w:r>
            <w:r w:rsidRPr="00DD4E66">
              <w:rPr>
                <w:rFonts w:eastAsia="TimesNewRoman"/>
                <w:sz w:val="22"/>
                <w:szCs w:val="22"/>
                <w:lang w:val="lt-LT" w:eastAsia="en-US"/>
              </w:rPr>
              <w:t xml:space="preserve"> darunavirą</w:t>
            </w:r>
            <w:r w:rsidR="00645841" w:rsidRPr="00DD4E66">
              <w:rPr>
                <w:rFonts w:eastAsia="TimesNewRoman"/>
                <w:sz w:val="22"/>
                <w:szCs w:val="22"/>
                <w:lang w:val="lt-LT" w:eastAsia="en-US"/>
              </w:rPr>
              <w:t>/ritonavirą būtina skirti</w:t>
            </w:r>
            <w:r w:rsidRPr="00DD4E66">
              <w:rPr>
                <w:rFonts w:eastAsia="TimesNewRoman"/>
                <w:sz w:val="22"/>
                <w:szCs w:val="22"/>
                <w:lang w:val="lt-LT" w:eastAsia="en-US"/>
              </w:rPr>
              <w:t xml:space="preserve"> </w:t>
            </w:r>
            <w:r w:rsidR="00645841" w:rsidRPr="00DD4E66">
              <w:rPr>
                <w:rFonts w:eastAsia="TimesNewRoman"/>
                <w:sz w:val="22"/>
                <w:szCs w:val="22"/>
                <w:lang w:val="lt-LT" w:eastAsia="en-US"/>
              </w:rPr>
              <w:t>kartu su karbamazepinu, pacientus</w:t>
            </w:r>
            <w:r w:rsidRPr="00DD4E66">
              <w:rPr>
                <w:rFonts w:eastAsia="TimesNewRoman"/>
                <w:sz w:val="22"/>
                <w:szCs w:val="22"/>
                <w:lang w:val="lt-LT" w:eastAsia="en-US"/>
              </w:rPr>
              <w:t xml:space="preserve"> </w:t>
            </w:r>
            <w:r w:rsidR="00645841" w:rsidRPr="00DD4E66">
              <w:rPr>
                <w:rFonts w:eastAsia="TimesNewRoman"/>
                <w:sz w:val="22"/>
                <w:szCs w:val="22"/>
                <w:lang w:val="lt-LT" w:eastAsia="en-US"/>
              </w:rPr>
              <w:t>reikia stebėti, nes gali pasireikšti su</w:t>
            </w:r>
            <w:r w:rsidRPr="00DD4E66">
              <w:rPr>
                <w:rFonts w:eastAsia="TimesNewRoman"/>
                <w:sz w:val="22"/>
                <w:szCs w:val="22"/>
                <w:lang w:val="lt-LT" w:eastAsia="en-US"/>
              </w:rPr>
              <w:t xml:space="preserve"> </w:t>
            </w:r>
            <w:r w:rsidR="00645841" w:rsidRPr="00DD4E66">
              <w:rPr>
                <w:rFonts w:eastAsia="TimesNewRoman"/>
                <w:sz w:val="22"/>
                <w:szCs w:val="22"/>
                <w:lang w:val="lt-LT" w:eastAsia="en-US"/>
              </w:rPr>
              <w:t>karbamazepino vartojimu susijusių</w:t>
            </w:r>
            <w:r w:rsidRPr="00DD4E66">
              <w:rPr>
                <w:rFonts w:eastAsia="TimesNewRoman"/>
                <w:sz w:val="22"/>
                <w:szCs w:val="22"/>
                <w:lang w:val="lt-LT" w:eastAsia="en-US"/>
              </w:rPr>
              <w:t xml:space="preserve"> </w:t>
            </w:r>
            <w:r w:rsidR="00645841" w:rsidRPr="00DD4E66">
              <w:rPr>
                <w:rFonts w:eastAsia="TimesNewRoman"/>
                <w:sz w:val="22"/>
                <w:szCs w:val="22"/>
                <w:lang w:val="lt-LT" w:eastAsia="en-US"/>
              </w:rPr>
              <w:t>nepageidaujamų reiškinių. Reikia</w:t>
            </w:r>
            <w:r w:rsidRPr="00DD4E66">
              <w:rPr>
                <w:rFonts w:eastAsia="TimesNewRoman"/>
                <w:sz w:val="22"/>
                <w:szCs w:val="22"/>
                <w:lang w:val="lt-LT" w:eastAsia="en-US"/>
              </w:rPr>
              <w:t xml:space="preserve"> </w:t>
            </w:r>
            <w:r w:rsidR="00645841" w:rsidRPr="00DD4E66">
              <w:rPr>
                <w:rFonts w:eastAsia="TimesNewRoman"/>
                <w:sz w:val="22"/>
                <w:szCs w:val="22"/>
                <w:lang w:val="lt-LT" w:eastAsia="en-US"/>
              </w:rPr>
              <w:t>stebėti karbamazepino koncentraciją</w:t>
            </w:r>
            <w:r w:rsidRPr="00DD4E66">
              <w:rPr>
                <w:rFonts w:eastAsia="TimesNewRoman"/>
                <w:sz w:val="22"/>
                <w:szCs w:val="22"/>
                <w:lang w:val="lt-LT" w:eastAsia="en-US"/>
              </w:rPr>
              <w:t xml:space="preserve"> </w:t>
            </w:r>
            <w:r w:rsidR="00645841" w:rsidRPr="00DD4E66">
              <w:rPr>
                <w:rFonts w:eastAsia="TimesNewRoman"/>
                <w:sz w:val="22"/>
                <w:szCs w:val="22"/>
                <w:lang w:val="lt-LT" w:eastAsia="en-US"/>
              </w:rPr>
              <w:t>ir titravimo būdu nustatyti jo dozę,</w:t>
            </w:r>
            <w:r w:rsidRPr="00DD4E66">
              <w:rPr>
                <w:rFonts w:eastAsia="TimesNewRoman"/>
                <w:sz w:val="22"/>
                <w:szCs w:val="22"/>
                <w:lang w:val="lt-LT" w:eastAsia="en-US"/>
              </w:rPr>
              <w:t xml:space="preserve"> </w:t>
            </w:r>
            <w:r w:rsidR="00645841" w:rsidRPr="00DD4E66">
              <w:rPr>
                <w:rFonts w:eastAsia="TimesNewRoman"/>
                <w:sz w:val="22"/>
                <w:szCs w:val="22"/>
                <w:lang w:val="lt-LT" w:eastAsia="en-US"/>
              </w:rPr>
              <w:t>kuri būtina reikiamam atsakui</w:t>
            </w:r>
            <w:r w:rsidRPr="00DD4E66">
              <w:rPr>
                <w:rFonts w:eastAsia="TimesNewRoman"/>
                <w:sz w:val="22"/>
                <w:szCs w:val="22"/>
                <w:lang w:val="lt-LT" w:eastAsia="en-US"/>
              </w:rPr>
              <w:t xml:space="preserve"> </w:t>
            </w:r>
            <w:r w:rsidR="00645841" w:rsidRPr="00DD4E66">
              <w:rPr>
                <w:rFonts w:eastAsia="TimesNewRoman"/>
                <w:sz w:val="22"/>
                <w:szCs w:val="22"/>
                <w:lang w:val="lt-LT" w:eastAsia="en-US"/>
              </w:rPr>
              <w:t>sukelti. Remiantis tyrimų</w:t>
            </w:r>
            <w:r w:rsidRPr="00DD4E66">
              <w:rPr>
                <w:rFonts w:eastAsia="TimesNewRoman"/>
                <w:sz w:val="22"/>
                <w:szCs w:val="22"/>
                <w:lang w:val="lt-LT" w:eastAsia="en-US"/>
              </w:rPr>
              <w:t xml:space="preserve"> </w:t>
            </w:r>
            <w:r w:rsidR="00645841" w:rsidRPr="00DD4E66">
              <w:rPr>
                <w:rFonts w:eastAsia="TimesNewRoman"/>
                <w:sz w:val="22"/>
                <w:szCs w:val="22"/>
                <w:lang w:val="lt-LT" w:eastAsia="en-US"/>
              </w:rPr>
              <w:t>duomenimis, vaistinį preparatą</w:t>
            </w:r>
            <w:r w:rsidRPr="00DD4E66">
              <w:rPr>
                <w:rFonts w:eastAsia="TimesNewRoman"/>
                <w:sz w:val="22"/>
                <w:szCs w:val="22"/>
                <w:lang w:val="lt-LT" w:eastAsia="en-US"/>
              </w:rPr>
              <w:t xml:space="preserve"> </w:t>
            </w:r>
            <w:r w:rsidR="00645841" w:rsidRPr="00DD4E66">
              <w:rPr>
                <w:rFonts w:eastAsia="TimesNewRoman"/>
                <w:sz w:val="22"/>
                <w:szCs w:val="22"/>
                <w:lang w:val="lt-LT" w:eastAsia="en-US"/>
              </w:rPr>
              <w:t>vartojant kartu su</w:t>
            </w:r>
            <w:r w:rsidRPr="00DD4E66">
              <w:rPr>
                <w:rFonts w:eastAsia="TimesNewRoman"/>
                <w:sz w:val="22"/>
                <w:szCs w:val="22"/>
                <w:lang w:val="lt-LT" w:eastAsia="en-US"/>
              </w:rPr>
              <w:t xml:space="preserve"> darunaviru</w:t>
            </w:r>
            <w:r w:rsidR="00645841" w:rsidRPr="00DD4E66">
              <w:rPr>
                <w:rFonts w:eastAsia="TimesNewRoman"/>
                <w:sz w:val="22"/>
                <w:szCs w:val="22"/>
                <w:lang w:val="lt-LT" w:eastAsia="en-US"/>
              </w:rPr>
              <w:t>/ritonaviru, dozę gali</w:t>
            </w:r>
            <w:r w:rsidRPr="00DD4E66">
              <w:rPr>
                <w:rFonts w:eastAsia="TimesNewRoman"/>
                <w:sz w:val="22"/>
                <w:szCs w:val="22"/>
                <w:lang w:val="lt-LT" w:eastAsia="en-US"/>
              </w:rPr>
              <w:t xml:space="preserve"> </w:t>
            </w:r>
            <w:r w:rsidR="00645841" w:rsidRPr="00DD4E66">
              <w:rPr>
                <w:rFonts w:eastAsia="TimesNewRoman"/>
                <w:sz w:val="22"/>
                <w:szCs w:val="22"/>
                <w:lang w:val="lt-LT" w:eastAsia="en-US"/>
              </w:rPr>
              <w:t>tekti sumažinti nuo 25 % iki 50 %.</w:t>
            </w:r>
            <w:r w:rsidRPr="00DD4E66">
              <w:rPr>
                <w:rFonts w:eastAsia="TimesNewRoman"/>
                <w:sz w:val="22"/>
                <w:szCs w:val="22"/>
                <w:lang w:val="lt-LT" w:eastAsia="en-US"/>
              </w:rPr>
              <w:t xml:space="preserve"> </w:t>
            </w:r>
            <w:r w:rsidR="00645841" w:rsidRPr="00DD4E66">
              <w:rPr>
                <w:rFonts w:eastAsia="TimesNewRoman"/>
                <w:sz w:val="22"/>
                <w:szCs w:val="22"/>
                <w:lang w:val="lt-LT" w:eastAsia="en-US"/>
              </w:rPr>
              <w:t>Karbamazepino vartojimas kartu su</w:t>
            </w:r>
            <w:r w:rsidRPr="00DD4E66">
              <w:rPr>
                <w:rFonts w:eastAsia="TimesNewRoman"/>
                <w:sz w:val="22"/>
                <w:szCs w:val="22"/>
                <w:lang w:val="lt-LT" w:eastAsia="en-US"/>
              </w:rPr>
              <w:t xml:space="preserve"> darunaviru</w:t>
            </w:r>
            <w:r w:rsidR="00645841" w:rsidRPr="00DD4E66">
              <w:rPr>
                <w:rFonts w:eastAsia="TimesNewRoman"/>
                <w:sz w:val="22"/>
                <w:szCs w:val="22"/>
                <w:lang w:val="lt-LT" w:eastAsia="en-US"/>
              </w:rPr>
              <w:t>, skiriamo kartu su</w:t>
            </w:r>
            <w:r w:rsidRPr="00DD4E66">
              <w:rPr>
                <w:rFonts w:eastAsia="TimesNewRoman"/>
                <w:sz w:val="22"/>
                <w:szCs w:val="22"/>
                <w:lang w:val="lt-LT" w:eastAsia="en-US"/>
              </w:rPr>
              <w:t xml:space="preserve"> </w:t>
            </w:r>
            <w:r w:rsidR="00645841" w:rsidRPr="00DD4E66">
              <w:rPr>
                <w:rFonts w:eastAsia="TimesNewRoman"/>
                <w:sz w:val="22"/>
                <w:szCs w:val="22"/>
                <w:lang w:val="lt-LT" w:eastAsia="en-US"/>
              </w:rPr>
              <w:t>kobicistatu yra kontraindikuotinas</w:t>
            </w:r>
            <w:r w:rsidRPr="00DD4E66">
              <w:rPr>
                <w:rFonts w:eastAsia="TimesNewRoman"/>
                <w:sz w:val="22"/>
                <w:szCs w:val="22"/>
                <w:lang w:val="lt-LT" w:eastAsia="en-US"/>
              </w:rPr>
              <w:t xml:space="preserve"> </w:t>
            </w:r>
            <w:r w:rsidR="00645841" w:rsidRPr="00DD4E66">
              <w:rPr>
                <w:rFonts w:eastAsia="TimesNewRoman"/>
                <w:sz w:val="22"/>
                <w:szCs w:val="22"/>
                <w:lang w:val="lt-LT" w:eastAsia="en-US"/>
              </w:rPr>
              <w:t>(žr. 4.3 skyrių).</w:t>
            </w:r>
          </w:p>
        </w:tc>
      </w:tr>
      <w:tr w:rsidR="00FC09B9" w:rsidRPr="00DD4E66" w14:paraId="7D878B4A" w14:textId="77777777" w:rsidTr="00D37DA7">
        <w:tc>
          <w:tcPr>
            <w:tcW w:w="9288" w:type="dxa"/>
            <w:gridSpan w:val="4"/>
            <w:shd w:val="clear" w:color="auto" w:fill="auto"/>
          </w:tcPr>
          <w:p w14:paraId="60A38DE6" w14:textId="77777777" w:rsidR="00FC09B9" w:rsidRPr="00DD4E66" w:rsidRDefault="00FC09B9"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ANTIDEPRESANTAI</w:t>
            </w:r>
          </w:p>
        </w:tc>
      </w:tr>
      <w:tr w:rsidR="00645841" w:rsidRPr="00DD4E66" w14:paraId="37637CBB" w14:textId="77777777" w:rsidTr="00D37DA7">
        <w:tc>
          <w:tcPr>
            <w:tcW w:w="2817" w:type="dxa"/>
            <w:shd w:val="clear" w:color="auto" w:fill="auto"/>
          </w:tcPr>
          <w:p w14:paraId="53F794C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Paroksetinas</w:t>
            </w:r>
            <w:r w:rsidR="00FC09B9" w:rsidRPr="00DD4E66">
              <w:rPr>
                <w:rFonts w:eastAsia="TimesNewRoman"/>
                <w:sz w:val="22"/>
                <w:szCs w:val="22"/>
                <w:lang w:val="lt-LT" w:eastAsia="en-US"/>
              </w:rPr>
              <w:t xml:space="preserve"> </w:t>
            </w:r>
            <w:r w:rsidRPr="00DD4E66">
              <w:rPr>
                <w:rFonts w:eastAsia="TimesNewRoman"/>
                <w:sz w:val="22"/>
                <w:szCs w:val="22"/>
                <w:lang w:val="lt-LT" w:eastAsia="en-US"/>
              </w:rPr>
              <w:t>20</w:t>
            </w:r>
            <w:r w:rsidR="00FC09B9" w:rsidRPr="00DD4E66">
              <w:rPr>
                <w:rFonts w:eastAsia="TimesNewRoman"/>
                <w:sz w:val="22"/>
                <w:szCs w:val="22"/>
                <w:lang w:val="lt-LT" w:eastAsia="en-US"/>
              </w:rPr>
              <w:t> </w:t>
            </w:r>
            <w:r w:rsidRPr="00DD4E66">
              <w:rPr>
                <w:rFonts w:eastAsia="TimesNewRoman"/>
                <w:sz w:val="22"/>
                <w:szCs w:val="22"/>
                <w:lang w:val="lt-LT" w:eastAsia="en-US"/>
              </w:rPr>
              <w:t>mg vieną kartą per</w:t>
            </w:r>
            <w:r w:rsidR="00FC09B9" w:rsidRPr="00DD4E66">
              <w:rPr>
                <w:rFonts w:eastAsia="TimesNewRoman"/>
                <w:sz w:val="22"/>
                <w:szCs w:val="22"/>
                <w:lang w:val="lt-LT" w:eastAsia="en-US"/>
              </w:rPr>
              <w:t xml:space="preserve"> </w:t>
            </w:r>
            <w:r w:rsidRPr="00DD4E66">
              <w:rPr>
                <w:rFonts w:eastAsia="TimesNewRoman"/>
                <w:sz w:val="22"/>
                <w:szCs w:val="22"/>
                <w:lang w:val="lt-LT" w:eastAsia="en-US"/>
              </w:rPr>
              <w:t>parą</w:t>
            </w:r>
          </w:p>
          <w:p w14:paraId="5C14BE03" w14:textId="77777777" w:rsidR="00FC09B9" w:rsidRPr="00DD4E66" w:rsidRDefault="00FC09B9" w:rsidP="00D37DA7">
            <w:pPr>
              <w:autoSpaceDE w:val="0"/>
              <w:autoSpaceDN w:val="0"/>
              <w:adjustRightInd w:val="0"/>
              <w:rPr>
                <w:rFonts w:eastAsia="TimesNewRoman"/>
                <w:sz w:val="22"/>
                <w:szCs w:val="22"/>
                <w:lang w:val="lt-LT" w:eastAsia="en-US"/>
              </w:rPr>
            </w:pPr>
          </w:p>
          <w:p w14:paraId="22CA59C0" w14:textId="77777777" w:rsidR="00FC09B9" w:rsidRPr="00DD4E66" w:rsidRDefault="00FC09B9" w:rsidP="00D37DA7">
            <w:pPr>
              <w:autoSpaceDE w:val="0"/>
              <w:autoSpaceDN w:val="0"/>
              <w:adjustRightInd w:val="0"/>
              <w:rPr>
                <w:rFonts w:eastAsia="TimesNewRoman"/>
                <w:sz w:val="22"/>
                <w:szCs w:val="22"/>
                <w:lang w:val="lt-LT" w:eastAsia="en-US"/>
              </w:rPr>
            </w:pPr>
          </w:p>
          <w:p w14:paraId="47E1DA5D" w14:textId="77777777" w:rsidR="00FC09B9" w:rsidRPr="00DD4E66" w:rsidRDefault="00FC09B9" w:rsidP="00D37DA7">
            <w:pPr>
              <w:autoSpaceDE w:val="0"/>
              <w:autoSpaceDN w:val="0"/>
              <w:adjustRightInd w:val="0"/>
              <w:rPr>
                <w:rFonts w:eastAsia="TimesNewRoman"/>
                <w:sz w:val="22"/>
                <w:szCs w:val="22"/>
                <w:lang w:val="lt-LT" w:eastAsia="en-US"/>
              </w:rPr>
            </w:pPr>
          </w:p>
          <w:p w14:paraId="3E8303CB" w14:textId="77777777" w:rsidR="00FC09B9" w:rsidRPr="00DD4E66" w:rsidRDefault="00FC09B9" w:rsidP="00D37DA7">
            <w:pPr>
              <w:autoSpaceDE w:val="0"/>
              <w:autoSpaceDN w:val="0"/>
              <w:adjustRightInd w:val="0"/>
              <w:rPr>
                <w:rFonts w:eastAsia="TimesNewRoman"/>
                <w:sz w:val="22"/>
                <w:szCs w:val="22"/>
                <w:lang w:val="lt-LT" w:eastAsia="en-US"/>
              </w:rPr>
            </w:pPr>
          </w:p>
          <w:p w14:paraId="43354CB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Sertralinas</w:t>
            </w:r>
            <w:r w:rsidR="00FC09B9" w:rsidRPr="00DD4E66">
              <w:rPr>
                <w:rFonts w:eastAsia="TimesNewRoman"/>
                <w:sz w:val="22"/>
                <w:szCs w:val="22"/>
                <w:lang w:val="lt-LT" w:eastAsia="en-US"/>
              </w:rPr>
              <w:t xml:space="preserve"> </w:t>
            </w:r>
            <w:r w:rsidRPr="00DD4E66">
              <w:rPr>
                <w:rFonts w:eastAsia="TimesNewRoman"/>
                <w:sz w:val="22"/>
                <w:szCs w:val="22"/>
                <w:lang w:val="lt-LT" w:eastAsia="en-US"/>
              </w:rPr>
              <w:t>50</w:t>
            </w:r>
            <w:r w:rsidR="00FC09B9" w:rsidRPr="00DD4E66">
              <w:rPr>
                <w:rFonts w:eastAsia="TimesNewRoman"/>
                <w:sz w:val="22"/>
                <w:szCs w:val="22"/>
                <w:lang w:val="lt-LT" w:eastAsia="en-US"/>
              </w:rPr>
              <w:t> </w:t>
            </w:r>
            <w:r w:rsidRPr="00DD4E66">
              <w:rPr>
                <w:rFonts w:eastAsia="TimesNewRoman"/>
                <w:sz w:val="22"/>
                <w:szCs w:val="22"/>
                <w:lang w:val="lt-LT" w:eastAsia="en-US"/>
              </w:rPr>
              <w:t>mg vieną kartą per parą</w:t>
            </w:r>
          </w:p>
          <w:p w14:paraId="6ECC5394" w14:textId="77777777" w:rsidR="00645841" w:rsidRPr="00DD4E66" w:rsidRDefault="00645841" w:rsidP="00D37DA7">
            <w:pPr>
              <w:autoSpaceDE w:val="0"/>
              <w:autoSpaceDN w:val="0"/>
              <w:adjustRightInd w:val="0"/>
              <w:rPr>
                <w:rFonts w:eastAsia="TimesNewRoman"/>
                <w:sz w:val="22"/>
                <w:szCs w:val="22"/>
                <w:lang w:val="lt-LT" w:eastAsia="en-US"/>
              </w:rPr>
            </w:pPr>
          </w:p>
          <w:p w14:paraId="2FAF4BD4" w14:textId="77777777" w:rsidR="00FC09B9" w:rsidRPr="00DD4E66" w:rsidRDefault="00FC09B9" w:rsidP="00D37DA7">
            <w:pPr>
              <w:autoSpaceDE w:val="0"/>
              <w:autoSpaceDN w:val="0"/>
              <w:adjustRightInd w:val="0"/>
              <w:rPr>
                <w:rFonts w:eastAsia="TimesNewRoman"/>
                <w:sz w:val="22"/>
                <w:szCs w:val="22"/>
                <w:lang w:val="lt-LT" w:eastAsia="en-US"/>
              </w:rPr>
            </w:pPr>
          </w:p>
          <w:p w14:paraId="72FCCF9E" w14:textId="77777777" w:rsidR="00FC09B9" w:rsidRPr="00DD4E66" w:rsidRDefault="00FC09B9" w:rsidP="00D37DA7">
            <w:pPr>
              <w:autoSpaceDE w:val="0"/>
              <w:autoSpaceDN w:val="0"/>
              <w:adjustRightInd w:val="0"/>
              <w:rPr>
                <w:rFonts w:eastAsia="TimesNewRoman"/>
                <w:sz w:val="22"/>
                <w:szCs w:val="22"/>
                <w:lang w:val="lt-LT" w:eastAsia="en-US"/>
              </w:rPr>
            </w:pPr>
          </w:p>
          <w:p w14:paraId="67B5C4CD" w14:textId="77777777" w:rsidR="00FC09B9" w:rsidRPr="00DD4E66" w:rsidRDefault="00FC09B9" w:rsidP="00D37DA7">
            <w:pPr>
              <w:autoSpaceDE w:val="0"/>
              <w:autoSpaceDN w:val="0"/>
              <w:adjustRightInd w:val="0"/>
              <w:rPr>
                <w:rFonts w:eastAsia="TimesNewRoman"/>
                <w:sz w:val="22"/>
                <w:szCs w:val="22"/>
                <w:lang w:val="lt-LT" w:eastAsia="en-US"/>
              </w:rPr>
            </w:pPr>
          </w:p>
          <w:p w14:paraId="434BD599" w14:textId="77777777" w:rsidR="00FC09B9" w:rsidRPr="00DD4E66" w:rsidRDefault="00FC09B9" w:rsidP="00D37DA7">
            <w:pPr>
              <w:autoSpaceDE w:val="0"/>
              <w:autoSpaceDN w:val="0"/>
              <w:adjustRightInd w:val="0"/>
              <w:rPr>
                <w:rFonts w:eastAsia="TimesNewRoman"/>
                <w:sz w:val="22"/>
                <w:szCs w:val="22"/>
                <w:lang w:val="lt-LT" w:eastAsia="en-US"/>
              </w:rPr>
            </w:pPr>
          </w:p>
          <w:p w14:paraId="4F4E225A" w14:textId="77777777" w:rsidR="00FC09B9" w:rsidRPr="00DD4E66" w:rsidRDefault="00FC09B9" w:rsidP="00D37DA7">
            <w:pPr>
              <w:autoSpaceDE w:val="0"/>
              <w:autoSpaceDN w:val="0"/>
              <w:adjustRightInd w:val="0"/>
              <w:rPr>
                <w:rFonts w:eastAsia="TimesNewRoman"/>
                <w:sz w:val="22"/>
                <w:szCs w:val="22"/>
                <w:lang w:val="lt-LT" w:eastAsia="en-US"/>
              </w:rPr>
            </w:pPr>
          </w:p>
          <w:p w14:paraId="0388B363" w14:textId="77777777" w:rsidR="00B02B2D" w:rsidRPr="00DD4E66" w:rsidRDefault="00B02B2D" w:rsidP="00D37DA7">
            <w:pPr>
              <w:autoSpaceDE w:val="0"/>
              <w:autoSpaceDN w:val="0"/>
              <w:adjustRightInd w:val="0"/>
              <w:rPr>
                <w:rFonts w:eastAsia="TimesNewRoman"/>
                <w:sz w:val="22"/>
                <w:szCs w:val="22"/>
                <w:lang w:val="lt-LT" w:eastAsia="en-US"/>
              </w:rPr>
            </w:pPr>
          </w:p>
          <w:p w14:paraId="2E568487" w14:textId="77777777" w:rsidR="00B02B2D" w:rsidRPr="00DD4E66" w:rsidRDefault="00B02B2D" w:rsidP="00D37DA7">
            <w:pPr>
              <w:autoSpaceDE w:val="0"/>
              <w:autoSpaceDN w:val="0"/>
              <w:adjustRightInd w:val="0"/>
              <w:rPr>
                <w:rFonts w:eastAsia="TimesNewRoman"/>
                <w:sz w:val="22"/>
                <w:szCs w:val="22"/>
                <w:lang w:val="lt-LT" w:eastAsia="en-US"/>
              </w:rPr>
            </w:pPr>
          </w:p>
          <w:p w14:paraId="48270549" w14:textId="77777777" w:rsidR="00B02B2D" w:rsidRPr="00DD4E66" w:rsidRDefault="00B02B2D" w:rsidP="00D37DA7">
            <w:pPr>
              <w:autoSpaceDE w:val="0"/>
              <w:autoSpaceDN w:val="0"/>
              <w:adjustRightInd w:val="0"/>
              <w:rPr>
                <w:rFonts w:eastAsia="TimesNewRoman"/>
                <w:sz w:val="22"/>
                <w:szCs w:val="22"/>
                <w:lang w:val="lt-LT" w:eastAsia="en-US"/>
              </w:rPr>
            </w:pPr>
          </w:p>
          <w:p w14:paraId="1C029DFC" w14:textId="77777777" w:rsidR="00B02B2D" w:rsidRPr="00DD4E66" w:rsidRDefault="00B02B2D" w:rsidP="00D37DA7">
            <w:pPr>
              <w:autoSpaceDE w:val="0"/>
              <w:autoSpaceDN w:val="0"/>
              <w:adjustRightInd w:val="0"/>
              <w:rPr>
                <w:rFonts w:eastAsia="TimesNewRoman"/>
                <w:sz w:val="22"/>
                <w:szCs w:val="22"/>
                <w:lang w:val="lt-LT" w:eastAsia="en-US"/>
              </w:rPr>
            </w:pPr>
          </w:p>
          <w:p w14:paraId="2B73859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Amitriptilinas</w:t>
            </w:r>
          </w:p>
          <w:p w14:paraId="09D7EE4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Dezipraminas</w:t>
            </w:r>
          </w:p>
          <w:p w14:paraId="3BDD1B7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Imipraminas</w:t>
            </w:r>
          </w:p>
          <w:p w14:paraId="2C749AB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Nortriptilinas</w:t>
            </w:r>
          </w:p>
          <w:p w14:paraId="10607EE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Trazodonas</w:t>
            </w:r>
          </w:p>
        </w:tc>
        <w:tc>
          <w:tcPr>
            <w:tcW w:w="3448" w:type="dxa"/>
            <w:gridSpan w:val="2"/>
            <w:shd w:val="clear" w:color="auto" w:fill="auto"/>
          </w:tcPr>
          <w:p w14:paraId="60F139A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paroksetino AUC ↓ 39 %</w:t>
            </w:r>
          </w:p>
          <w:p w14:paraId="213CF44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paroksetino Cmin ↓ 37 %</w:t>
            </w:r>
          </w:p>
          <w:p w14:paraId="3A73843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paroksetino Cmax ↓ 36 %</w:t>
            </w:r>
          </w:p>
          <w:p w14:paraId="7CA3C53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w:t>
            </w:r>
          </w:p>
          <w:p w14:paraId="31D282C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Cmin ↔</w:t>
            </w:r>
          </w:p>
          <w:p w14:paraId="73F039C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Cmax ↔</w:t>
            </w:r>
          </w:p>
          <w:p w14:paraId="61E467B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sertralino AUC ↓ 49 %</w:t>
            </w:r>
          </w:p>
          <w:p w14:paraId="126AF5B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sertralino Cmin ↓ 49 %</w:t>
            </w:r>
          </w:p>
          <w:p w14:paraId="2C60AC4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sertralino Cmax ↓ 44 %</w:t>
            </w:r>
          </w:p>
          <w:p w14:paraId="13BE920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w:t>
            </w:r>
          </w:p>
          <w:p w14:paraId="10F5467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Cmin ↓ 6 %</w:t>
            </w:r>
          </w:p>
          <w:p w14:paraId="2C9D7CA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Cmax ↔</w:t>
            </w:r>
          </w:p>
          <w:p w14:paraId="30C4E83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Skirtingai nei esami duomenys apie</w:t>
            </w:r>
            <w:r w:rsidR="00FC09B9" w:rsidRPr="00DD4E66">
              <w:rPr>
                <w:rFonts w:eastAsia="TimesNewRoman"/>
                <w:sz w:val="22"/>
                <w:szCs w:val="22"/>
                <w:lang w:val="lt-LT" w:eastAsia="en-US"/>
              </w:rPr>
              <w:t xml:space="preserve"> darunavirą</w:t>
            </w:r>
            <w:r w:rsidRPr="00DD4E66">
              <w:rPr>
                <w:rFonts w:eastAsia="TimesNewRoman"/>
                <w:sz w:val="22"/>
                <w:szCs w:val="22"/>
                <w:lang w:val="lt-LT" w:eastAsia="en-US"/>
              </w:rPr>
              <w:t>/ritonavirą,</w:t>
            </w:r>
            <w:r w:rsidR="00B02B2D" w:rsidRPr="00DD4E66">
              <w:rPr>
                <w:rFonts w:eastAsia="TimesNewRoman"/>
                <w:sz w:val="22"/>
                <w:szCs w:val="22"/>
                <w:lang w:val="lt-LT" w:eastAsia="en-US"/>
              </w:rPr>
              <w:t xml:space="preserve"> darunaviras</w:t>
            </w:r>
            <w:r w:rsidRPr="00DD4E66">
              <w:rPr>
                <w:rFonts w:eastAsia="TimesNewRoman"/>
                <w:sz w:val="22"/>
                <w:szCs w:val="22"/>
                <w:lang w:val="lt-LT" w:eastAsia="en-US"/>
              </w:rPr>
              <w:t>/kobicistatas gali padidinti šių</w:t>
            </w:r>
            <w:r w:rsidR="00B02B2D" w:rsidRPr="00DD4E66">
              <w:rPr>
                <w:rFonts w:eastAsia="TimesNewRoman"/>
                <w:sz w:val="22"/>
                <w:szCs w:val="22"/>
                <w:lang w:val="lt-LT" w:eastAsia="en-US"/>
              </w:rPr>
              <w:t xml:space="preserve"> </w:t>
            </w:r>
            <w:r w:rsidRPr="00DD4E66">
              <w:rPr>
                <w:rFonts w:eastAsia="TimesNewRoman"/>
                <w:sz w:val="22"/>
                <w:szCs w:val="22"/>
                <w:lang w:val="lt-LT" w:eastAsia="en-US"/>
              </w:rPr>
              <w:t>antidepresantų koncentracijas plazmoje</w:t>
            </w:r>
            <w:r w:rsidR="00B02B2D" w:rsidRPr="00DD4E66">
              <w:rPr>
                <w:rFonts w:eastAsia="TimesNewRoman"/>
                <w:sz w:val="22"/>
                <w:szCs w:val="22"/>
                <w:lang w:val="lt-LT" w:eastAsia="en-US"/>
              </w:rPr>
              <w:t xml:space="preserve"> </w:t>
            </w:r>
            <w:r w:rsidRPr="00DD4E66">
              <w:rPr>
                <w:rFonts w:eastAsia="TimesNewRoman"/>
                <w:sz w:val="22"/>
                <w:szCs w:val="22"/>
                <w:lang w:val="lt-LT" w:eastAsia="en-US"/>
              </w:rPr>
              <w:t>(CYP2D6 ir (arba) CYP3A slopinimas).</w:t>
            </w:r>
          </w:p>
          <w:p w14:paraId="0D0C767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Sustiprinto </w:t>
            </w:r>
            <w:r w:rsidR="00B02B2D" w:rsidRPr="00DD4E66">
              <w:rPr>
                <w:rFonts w:eastAsia="TimesNewRoman"/>
                <w:sz w:val="22"/>
                <w:szCs w:val="22"/>
                <w:lang w:val="lt-LT" w:eastAsia="en-US"/>
              </w:rPr>
              <w:t>darunaviro</w:t>
            </w:r>
            <w:r w:rsidRPr="00DD4E66">
              <w:rPr>
                <w:rFonts w:eastAsia="TimesNewRoman"/>
                <w:sz w:val="22"/>
                <w:szCs w:val="22"/>
                <w:lang w:val="lt-LT" w:eastAsia="en-US"/>
              </w:rPr>
              <w:t xml:space="preserve"> vartojimas kartu su</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šiais antidepresantais gali padidinti </w:t>
            </w:r>
            <w:r w:rsidR="00B02B2D" w:rsidRPr="00DD4E66">
              <w:rPr>
                <w:rFonts w:eastAsia="TimesNewRoman"/>
                <w:sz w:val="22"/>
                <w:szCs w:val="22"/>
                <w:lang w:val="lt-LT" w:eastAsia="en-US"/>
              </w:rPr>
              <w:t xml:space="preserve">jų </w:t>
            </w:r>
            <w:r w:rsidRPr="00DD4E66">
              <w:rPr>
                <w:rFonts w:eastAsia="TimesNewRoman"/>
                <w:sz w:val="22"/>
                <w:szCs w:val="22"/>
                <w:lang w:val="lt-LT" w:eastAsia="en-US"/>
              </w:rPr>
              <w:t>koncentracijas plazmoje.</w:t>
            </w:r>
          </w:p>
          <w:p w14:paraId="322A9FA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(CYP2D6 ir (arba) CYP3A slopinimas)</w:t>
            </w:r>
          </w:p>
        </w:tc>
        <w:tc>
          <w:tcPr>
            <w:tcW w:w="3023" w:type="dxa"/>
            <w:shd w:val="clear" w:color="auto" w:fill="auto"/>
          </w:tcPr>
          <w:p w14:paraId="283CC33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Jei antidepresantai skiriami kartu su</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B02B2D" w:rsidRPr="00DD4E66">
              <w:rPr>
                <w:rFonts w:eastAsia="TimesNewRoman"/>
                <w:sz w:val="22"/>
                <w:szCs w:val="22"/>
                <w:lang w:val="lt-LT" w:eastAsia="en-US"/>
              </w:rPr>
              <w:t>darunaviru</w:t>
            </w:r>
            <w:r w:rsidRPr="00DD4E66">
              <w:rPr>
                <w:rFonts w:eastAsia="TimesNewRoman"/>
                <w:sz w:val="22"/>
                <w:szCs w:val="22"/>
                <w:lang w:val="lt-LT" w:eastAsia="en-US"/>
              </w:rPr>
              <w:t>,</w:t>
            </w:r>
            <w:r w:rsidR="00B02B2D" w:rsidRPr="00DD4E66">
              <w:rPr>
                <w:rFonts w:eastAsia="TimesNewRoman"/>
                <w:sz w:val="22"/>
                <w:szCs w:val="22"/>
                <w:lang w:val="lt-LT" w:eastAsia="en-US"/>
              </w:rPr>
              <w:t xml:space="preserve"> </w:t>
            </w:r>
            <w:r w:rsidRPr="00DD4E66">
              <w:rPr>
                <w:rFonts w:eastAsia="TimesNewRoman"/>
                <w:sz w:val="22"/>
                <w:szCs w:val="22"/>
                <w:lang w:val="lt-LT" w:eastAsia="en-US"/>
              </w:rPr>
              <w:t>rekomenduojama titruoti</w:t>
            </w:r>
            <w:r w:rsidR="00B02B2D" w:rsidRPr="00DD4E66">
              <w:rPr>
                <w:rFonts w:eastAsia="TimesNewRoman"/>
                <w:sz w:val="22"/>
                <w:szCs w:val="22"/>
                <w:lang w:val="lt-LT" w:eastAsia="en-US"/>
              </w:rPr>
              <w:t xml:space="preserve"> </w:t>
            </w:r>
            <w:r w:rsidRPr="00DD4E66">
              <w:rPr>
                <w:rFonts w:eastAsia="TimesNewRoman"/>
                <w:sz w:val="22"/>
                <w:szCs w:val="22"/>
                <w:lang w:val="lt-LT" w:eastAsia="en-US"/>
              </w:rPr>
              <w:t>antidepresantų dozę, remiantis</w:t>
            </w:r>
            <w:r w:rsidR="00B02B2D" w:rsidRPr="00DD4E66">
              <w:rPr>
                <w:rFonts w:eastAsia="TimesNewRoman"/>
                <w:sz w:val="22"/>
                <w:szCs w:val="22"/>
                <w:lang w:val="lt-LT" w:eastAsia="en-US"/>
              </w:rPr>
              <w:t xml:space="preserve"> </w:t>
            </w:r>
            <w:r w:rsidRPr="00DD4E66">
              <w:rPr>
                <w:rFonts w:eastAsia="TimesNewRoman"/>
                <w:sz w:val="22"/>
                <w:szCs w:val="22"/>
                <w:lang w:val="lt-LT" w:eastAsia="en-US"/>
              </w:rPr>
              <w:t>klinikiniu atsako į gydymą</w:t>
            </w:r>
            <w:r w:rsidR="00B02B2D" w:rsidRPr="00DD4E66">
              <w:rPr>
                <w:rFonts w:eastAsia="TimesNewRoman"/>
                <w:sz w:val="22"/>
                <w:szCs w:val="22"/>
                <w:lang w:val="lt-LT" w:eastAsia="en-US"/>
              </w:rPr>
              <w:t xml:space="preserve"> </w:t>
            </w:r>
            <w:r w:rsidRPr="00DD4E66">
              <w:rPr>
                <w:rFonts w:eastAsia="TimesNewRoman"/>
                <w:sz w:val="22"/>
                <w:szCs w:val="22"/>
                <w:lang w:val="lt-LT" w:eastAsia="en-US"/>
              </w:rPr>
              <w:t>antidepresantais įvertinimu. Be to,</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reikia </w:t>
            </w:r>
            <w:r w:rsidRPr="00DD4E66">
              <w:rPr>
                <w:rFonts w:eastAsia="TimesNewRoman"/>
                <w:sz w:val="22"/>
                <w:szCs w:val="22"/>
                <w:lang w:val="lt-LT" w:eastAsia="en-US"/>
              </w:rPr>
              <w:lastRenderedPageBreak/>
              <w:t>stebėti pacientų, vartojančių</w:t>
            </w:r>
            <w:r w:rsidR="00B02B2D" w:rsidRPr="00DD4E66">
              <w:rPr>
                <w:rFonts w:eastAsia="TimesNewRoman"/>
                <w:sz w:val="22"/>
                <w:szCs w:val="22"/>
                <w:lang w:val="lt-LT" w:eastAsia="en-US"/>
              </w:rPr>
              <w:t xml:space="preserve"> </w:t>
            </w:r>
            <w:r w:rsidRPr="00DD4E66">
              <w:rPr>
                <w:rFonts w:eastAsia="TimesNewRoman"/>
                <w:sz w:val="22"/>
                <w:szCs w:val="22"/>
                <w:lang w:val="lt-LT" w:eastAsia="en-US"/>
              </w:rPr>
              <w:t>pastovias šių antidepresantų dozes ir</w:t>
            </w:r>
            <w:r w:rsidR="00B02B2D" w:rsidRPr="00DD4E66">
              <w:rPr>
                <w:rFonts w:eastAsia="TimesNewRoman"/>
                <w:sz w:val="22"/>
                <w:szCs w:val="22"/>
                <w:lang w:val="lt-LT" w:eastAsia="en-US"/>
              </w:rPr>
              <w:t xml:space="preserve"> </w:t>
            </w:r>
            <w:r w:rsidRPr="00DD4E66">
              <w:rPr>
                <w:rFonts w:eastAsia="TimesNewRoman"/>
                <w:sz w:val="22"/>
                <w:szCs w:val="22"/>
                <w:lang w:val="lt-LT" w:eastAsia="en-US"/>
              </w:rPr>
              <w:t>pradėjusių vartoti sustiprintą</w:t>
            </w:r>
            <w:r w:rsidR="00B02B2D" w:rsidRPr="00DD4E66">
              <w:rPr>
                <w:rFonts w:eastAsia="TimesNewRoman"/>
                <w:sz w:val="22"/>
                <w:szCs w:val="22"/>
                <w:lang w:val="lt-LT" w:eastAsia="en-US"/>
              </w:rPr>
              <w:t xml:space="preserve"> darunavirą</w:t>
            </w:r>
            <w:r w:rsidRPr="00DD4E66">
              <w:rPr>
                <w:rFonts w:eastAsia="TimesNewRoman"/>
                <w:sz w:val="22"/>
                <w:szCs w:val="22"/>
                <w:lang w:val="lt-LT" w:eastAsia="en-US"/>
              </w:rPr>
              <w:t>, atsaką į gydymą</w:t>
            </w:r>
            <w:r w:rsidR="00CD0659" w:rsidRPr="00DD4E66">
              <w:rPr>
                <w:rFonts w:eastAsia="TimesNewRoman"/>
                <w:sz w:val="22"/>
                <w:szCs w:val="22"/>
                <w:lang w:val="lt-LT" w:eastAsia="en-US"/>
              </w:rPr>
              <w:t xml:space="preserve"> </w:t>
            </w:r>
            <w:r w:rsidRPr="00DD4E66">
              <w:rPr>
                <w:rFonts w:eastAsia="TimesNewRoman"/>
                <w:sz w:val="22"/>
                <w:szCs w:val="22"/>
                <w:lang w:val="lt-LT" w:eastAsia="en-US"/>
              </w:rPr>
              <w:t>antidepresantais.</w:t>
            </w:r>
          </w:p>
          <w:p w14:paraId="3E1A934A" w14:textId="77777777" w:rsidR="00645841" w:rsidRPr="00DD4E66" w:rsidRDefault="00645841" w:rsidP="00D37DA7">
            <w:pPr>
              <w:autoSpaceDE w:val="0"/>
              <w:autoSpaceDN w:val="0"/>
              <w:adjustRightInd w:val="0"/>
              <w:rPr>
                <w:rFonts w:eastAsia="TimesNewRoman"/>
                <w:sz w:val="22"/>
                <w:szCs w:val="22"/>
                <w:lang w:val="lt-LT" w:eastAsia="en-US"/>
              </w:rPr>
            </w:pPr>
          </w:p>
          <w:p w14:paraId="1C914418" w14:textId="77777777" w:rsidR="00645841" w:rsidRPr="00DD4E66" w:rsidRDefault="00645841" w:rsidP="00D37DA7">
            <w:pPr>
              <w:autoSpaceDE w:val="0"/>
              <w:autoSpaceDN w:val="0"/>
              <w:adjustRightInd w:val="0"/>
              <w:rPr>
                <w:rFonts w:eastAsia="TimesNewRoman"/>
                <w:sz w:val="22"/>
                <w:szCs w:val="22"/>
                <w:lang w:val="lt-LT" w:eastAsia="en-US"/>
              </w:rPr>
            </w:pPr>
          </w:p>
          <w:p w14:paraId="0BEE07C4" w14:textId="77777777" w:rsidR="00B02B2D" w:rsidRPr="00DD4E66" w:rsidRDefault="00B02B2D" w:rsidP="00D37DA7">
            <w:pPr>
              <w:autoSpaceDE w:val="0"/>
              <w:autoSpaceDN w:val="0"/>
              <w:adjustRightInd w:val="0"/>
              <w:rPr>
                <w:rFonts w:eastAsia="TimesNewRoman"/>
                <w:sz w:val="22"/>
                <w:szCs w:val="22"/>
                <w:lang w:val="lt-LT" w:eastAsia="en-US"/>
              </w:rPr>
            </w:pPr>
          </w:p>
          <w:p w14:paraId="45ACA2C6" w14:textId="77777777" w:rsidR="00B02B2D" w:rsidRPr="00DD4E66" w:rsidRDefault="00B02B2D" w:rsidP="00D37DA7">
            <w:pPr>
              <w:autoSpaceDE w:val="0"/>
              <w:autoSpaceDN w:val="0"/>
              <w:adjustRightInd w:val="0"/>
              <w:rPr>
                <w:rFonts w:eastAsia="TimesNewRoman"/>
                <w:sz w:val="22"/>
                <w:szCs w:val="22"/>
                <w:lang w:val="lt-LT" w:eastAsia="en-US"/>
              </w:rPr>
            </w:pPr>
          </w:p>
          <w:p w14:paraId="0AED6518" w14:textId="77777777" w:rsidR="00B02B2D" w:rsidRPr="00DD4E66" w:rsidRDefault="00B02B2D" w:rsidP="00D37DA7">
            <w:pPr>
              <w:autoSpaceDE w:val="0"/>
              <w:autoSpaceDN w:val="0"/>
              <w:adjustRightInd w:val="0"/>
              <w:rPr>
                <w:rFonts w:eastAsia="TimesNewRoman"/>
                <w:sz w:val="22"/>
                <w:szCs w:val="22"/>
                <w:lang w:val="lt-LT" w:eastAsia="en-US"/>
              </w:rPr>
            </w:pPr>
          </w:p>
          <w:p w14:paraId="504BF10E" w14:textId="77777777" w:rsidR="00B02B2D" w:rsidRPr="00DD4E66" w:rsidRDefault="00B02B2D" w:rsidP="00D37DA7">
            <w:pPr>
              <w:autoSpaceDE w:val="0"/>
              <w:autoSpaceDN w:val="0"/>
              <w:adjustRightInd w:val="0"/>
              <w:rPr>
                <w:rFonts w:eastAsia="TimesNewRoman"/>
                <w:sz w:val="22"/>
                <w:szCs w:val="22"/>
                <w:lang w:val="lt-LT" w:eastAsia="en-US"/>
              </w:rPr>
            </w:pPr>
          </w:p>
          <w:p w14:paraId="0C6B8DCA" w14:textId="77777777" w:rsidR="00B02B2D" w:rsidRPr="00DD4E66" w:rsidRDefault="00B02B2D" w:rsidP="00D37DA7">
            <w:pPr>
              <w:autoSpaceDE w:val="0"/>
              <w:autoSpaceDN w:val="0"/>
              <w:adjustRightInd w:val="0"/>
              <w:rPr>
                <w:rFonts w:eastAsia="TimesNewRoman"/>
                <w:sz w:val="22"/>
                <w:szCs w:val="22"/>
                <w:lang w:val="lt-LT" w:eastAsia="en-US"/>
              </w:rPr>
            </w:pPr>
          </w:p>
          <w:p w14:paraId="152B40D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Vartojant sustiprintą </w:t>
            </w:r>
            <w:r w:rsidR="00B02B2D" w:rsidRPr="00DD4E66">
              <w:rPr>
                <w:rFonts w:eastAsia="TimesNewRoman"/>
                <w:sz w:val="22"/>
                <w:szCs w:val="22"/>
                <w:lang w:val="lt-LT" w:eastAsia="en-US"/>
              </w:rPr>
              <w:t>darunavirą</w:t>
            </w:r>
            <w:r w:rsidRPr="00DD4E66">
              <w:rPr>
                <w:rFonts w:eastAsia="TimesNewRoman"/>
                <w:sz w:val="22"/>
                <w:szCs w:val="22"/>
                <w:lang w:val="lt-LT" w:eastAsia="en-US"/>
              </w:rPr>
              <w:t xml:space="preserve"> su</w:t>
            </w:r>
            <w:r w:rsidR="00B02B2D" w:rsidRPr="00DD4E66">
              <w:rPr>
                <w:rFonts w:eastAsia="TimesNewRoman"/>
                <w:sz w:val="22"/>
                <w:szCs w:val="22"/>
                <w:lang w:val="lt-LT" w:eastAsia="en-US"/>
              </w:rPr>
              <w:t xml:space="preserve"> </w:t>
            </w:r>
            <w:r w:rsidRPr="00DD4E66">
              <w:rPr>
                <w:rFonts w:eastAsia="TimesNewRoman"/>
                <w:sz w:val="22"/>
                <w:szCs w:val="22"/>
                <w:lang w:val="lt-LT" w:eastAsia="en-US"/>
              </w:rPr>
              <w:t>šiais antidepresantais</w:t>
            </w:r>
            <w:r w:rsidR="00B02B2D" w:rsidRPr="00DD4E66">
              <w:rPr>
                <w:rFonts w:eastAsia="TimesNewRoman"/>
                <w:sz w:val="22"/>
                <w:szCs w:val="22"/>
                <w:lang w:val="lt-LT" w:eastAsia="en-US"/>
              </w:rPr>
              <w:t xml:space="preserve"> </w:t>
            </w:r>
            <w:r w:rsidRPr="00DD4E66">
              <w:rPr>
                <w:rFonts w:eastAsia="TimesNewRoman"/>
                <w:sz w:val="22"/>
                <w:szCs w:val="22"/>
                <w:lang w:val="lt-LT" w:eastAsia="en-US"/>
              </w:rPr>
              <w:t>rekomenduojama stebėti klinikinę</w:t>
            </w:r>
            <w:r w:rsidR="00B02B2D" w:rsidRPr="00DD4E66">
              <w:rPr>
                <w:rFonts w:eastAsia="TimesNewRoman"/>
                <w:sz w:val="22"/>
                <w:szCs w:val="22"/>
                <w:lang w:val="lt-LT" w:eastAsia="en-US"/>
              </w:rPr>
              <w:t xml:space="preserve"> </w:t>
            </w:r>
            <w:r w:rsidRPr="00DD4E66">
              <w:rPr>
                <w:rFonts w:eastAsia="TimesNewRoman"/>
                <w:sz w:val="22"/>
                <w:szCs w:val="22"/>
                <w:lang w:val="lt-LT" w:eastAsia="en-US"/>
              </w:rPr>
              <w:t>pacientų būklę ir gali reikėti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koreguoti antidepresantų doze.</w:t>
            </w:r>
          </w:p>
        </w:tc>
      </w:tr>
      <w:tr w:rsidR="00645841" w:rsidRPr="00DD4E66" w14:paraId="7AEBBD72" w14:textId="77777777" w:rsidTr="00D37DA7">
        <w:tc>
          <w:tcPr>
            <w:tcW w:w="9288" w:type="dxa"/>
            <w:gridSpan w:val="4"/>
            <w:shd w:val="clear" w:color="auto" w:fill="auto"/>
          </w:tcPr>
          <w:p w14:paraId="7EB4D8B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lastRenderedPageBreak/>
              <w:t xml:space="preserve">VAISTAI NUO </w:t>
            </w:r>
            <w:r w:rsidR="00B02B2D" w:rsidRPr="00DD4E66">
              <w:rPr>
                <w:rFonts w:eastAsia="TimesNewRoman,Bold"/>
                <w:b/>
                <w:bCs/>
                <w:sz w:val="22"/>
                <w:szCs w:val="22"/>
                <w:lang w:val="lt-LT" w:eastAsia="en-US"/>
              </w:rPr>
              <w:t>CUKRINIO</w:t>
            </w:r>
            <w:r w:rsidRPr="00DD4E66">
              <w:rPr>
                <w:rFonts w:eastAsia="TimesNewRoman,Bold"/>
                <w:b/>
                <w:bCs/>
                <w:sz w:val="22"/>
                <w:szCs w:val="22"/>
                <w:lang w:val="lt-LT" w:eastAsia="en-US"/>
              </w:rPr>
              <w:t xml:space="preserve"> DIABETO</w:t>
            </w:r>
          </w:p>
        </w:tc>
      </w:tr>
      <w:tr w:rsidR="00645841" w:rsidRPr="00DD4E66" w14:paraId="2763AB1E" w14:textId="77777777" w:rsidTr="00D37DA7">
        <w:tc>
          <w:tcPr>
            <w:tcW w:w="2817" w:type="dxa"/>
            <w:shd w:val="clear" w:color="auto" w:fill="auto"/>
          </w:tcPr>
          <w:p w14:paraId="40CFC91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Metforminas</w:t>
            </w:r>
          </w:p>
        </w:tc>
        <w:tc>
          <w:tcPr>
            <w:tcW w:w="3448" w:type="dxa"/>
            <w:gridSpan w:val="2"/>
            <w:shd w:val="clear" w:color="auto" w:fill="auto"/>
          </w:tcPr>
          <w:p w14:paraId="7E62F30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Remiantis teoriniais svarstymais,</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tikėtina, kad </w:t>
            </w:r>
            <w:r w:rsidR="00B02B2D" w:rsidRPr="00DD4E66">
              <w:rPr>
                <w:rFonts w:eastAsia="TimesNewRoman"/>
                <w:sz w:val="22"/>
                <w:szCs w:val="22"/>
                <w:lang w:val="lt-LT" w:eastAsia="en-US"/>
              </w:rPr>
              <w:t>darunaviras</w:t>
            </w:r>
            <w:r w:rsidRPr="00DD4E66">
              <w:rPr>
                <w:rFonts w:eastAsia="TimesNewRoman"/>
                <w:sz w:val="22"/>
                <w:szCs w:val="22"/>
                <w:lang w:val="lt-LT" w:eastAsia="en-US"/>
              </w:rPr>
              <w:t>, skiriamas kartu</w:t>
            </w:r>
            <w:r w:rsidR="00B02B2D" w:rsidRPr="00DD4E66">
              <w:rPr>
                <w:rFonts w:eastAsia="TimesNewRoman"/>
                <w:sz w:val="22"/>
                <w:szCs w:val="22"/>
                <w:lang w:val="lt-LT" w:eastAsia="en-US"/>
              </w:rPr>
              <w:t xml:space="preserve"> </w:t>
            </w:r>
            <w:r w:rsidRPr="00DD4E66">
              <w:rPr>
                <w:rFonts w:eastAsia="TimesNewRoman"/>
                <w:sz w:val="22"/>
                <w:szCs w:val="22"/>
                <w:lang w:val="lt-LT" w:eastAsia="en-US"/>
              </w:rPr>
              <w:t>su kobicistatu, padidins metformino</w:t>
            </w:r>
            <w:r w:rsidR="00B02B2D" w:rsidRPr="00DD4E66">
              <w:rPr>
                <w:rFonts w:eastAsia="TimesNewRoman"/>
                <w:sz w:val="22"/>
                <w:szCs w:val="22"/>
                <w:lang w:val="lt-LT" w:eastAsia="en-US"/>
              </w:rPr>
              <w:t xml:space="preserve"> </w:t>
            </w:r>
            <w:r w:rsidRPr="00DD4E66">
              <w:rPr>
                <w:rFonts w:eastAsia="TimesNewRoman"/>
                <w:sz w:val="22"/>
                <w:szCs w:val="22"/>
                <w:lang w:val="lt-LT" w:eastAsia="en-US"/>
              </w:rPr>
              <w:t>koncentracijas plazmoje. (MATE1</w:t>
            </w:r>
            <w:r w:rsidR="00B02B2D" w:rsidRPr="00DD4E66">
              <w:rPr>
                <w:rFonts w:eastAsia="TimesNewRoman"/>
                <w:sz w:val="22"/>
                <w:szCs w:val="22"/>
                <w:lang w:val="lt-LT" w:eastAsia="en-US"/>
              </w:rPr>
              <w:t xml:space="preserve"> </w:t>
            </w:r>
            <w:r w:rsidRPr="00DD4E66">
              <w:rPr>
                <w:rFonts w:eastAsia="TimesNewRoman"/>
                <w:sz w:val="22"/>
                <w:szCs w:val="22"/>
                <w:lang w:val="lt-LT" w:eastAsia="en-US"/>
              </w:rPr>
              <w:t>slopinimas)</w:t>
            </w:r>
          </w:p>
        </w:tc>
        <w:tc>
          <w:tcPr>
            <w:tcW w:w="3023" w:type="dxa"/>
            <w:shd w:val="clear" w:color="auto" w:fill="auto"/>
          </w:tcPr>
          <w:p w14:paraId="3512A57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Rekomenduojama atidžiai stebėti</w:t>
            </w:r>
            <w:r w:rsidR="00B02B2D" w:rsidRPr="00DD4E66">
              <w:rPr>
                <w:rFonts w:eastAsia="TimesNewRoman"/>
                <w:sz w:val="22"/>
                <w:szCs w:val="22"/>
                <w:lang w:val="lt-LT" w:eastAsia="en-US"/>
              </w:rPr>
              <w:t xml:space="preserve"> </w:t>
            </w:r>
            <w:r w:rsidRPr="00DD4E66">
              <w:rPr>
                <w:rFonts w:eastAsia="TimesNewRoman"/>
                <w:sz w:val="22"/>
                <w:szCs w:val="22"/>
                <w:lang w:val="lt-LT" w:eastAsia="en-US"/>
              </w:rPr>
              <w:t>pacientus ir koreguoti metformino</w:t>
            </w:r>
            <w:r w:rsidR="00B02B2D" w:rsidRPr="00DD4E66">
              <w:rPr>
                <w:rFonts w:eastAsia="TimesNewRoman"/>
                <w:sz w:val="22"/>
                <w:szCs w:val="22"/>
                <w:lang w:val="lt-LT" w:eastAsia="en-US"/>
              </w:rPr>
              <w:t xml:space="preserve"> </w:t>
            </w:r>
            <w:r w:rsidRPr="00DD4E66">
              <w:rPr>
                <w:rFonts w:eastAsia="TimesNewRoman"/>
                <w:sz w:val="22"/>
                <w:szCs w:val="22"/>
                <w:lang w:val="lt-LT" w:eastAsia="en-US"/>
              </w:rPr>
              <w:t>dozę pacientams, kurie vartoja</w:t>
            </w:r>
            <w:r w:rsidR="00B02B2D" w:rsidRPr="00DD4E66">
              <w:rPr>
                <w:rFonts w:eastAsia="TimesNewRoman"/>
                <w:sz w:val="22"/>
                <w:szCs w:val="22"/>
                <w:lang w:val="lt-LT" w:eastAsia="en-US"/>
              </w:rPr>
              <w:t xml:space="preserve"> darunavirą</w:t>
            </w:r>
            <w:r w:rsidRPr="00DD4E66">
              <w:rPr>
                <w:rFonts w:eastAsia="TimesNewRoman"/>
                <w:sz w:val="22"/>
                <w:szCs w:val="22"/>
                <w:lang w:val="lt-LT" w:eastAsia="en-US"/>
              </w:rPr>
              <w:t xml:space="preserve"> skiriamą su kobicistatu.</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(netaikoma </w:t>
            </w:r>
            <w:r w:rsidR="00B02B2D" w:rsidRPr="00DD4E66">
              <w:rPr>
                <w:rFonts w:eastAsia="TimesNewRoman"/>
                <w:sz w:val="22"/>
                <w:szCs w:val="22"/>
                <w:lang w:val="lt-LT" w:eastAsia="en-US"/>
              </w:rPr>
              <w:t>darunavirą</w:t>
            </w:r>
            <w:r w:rsidRPr="00DD4E66">
              <w:rPr>
                <w:rFonts w:eastAsia="TimesNewRoman"/>
                <w:sz w:val="22"/>
                <w:szCs w:val="22"/>
                <w:lang w:val="lt-LT" w:eastAsia="en-US"/>
              </w:rPr>
              <w:t xml:space="preserve"> vartojant</w:t>
            </w:r>
            <w:r w:rsidR="00B02B2D" w:rsidRPr="00DD4E66">
              <w:rPr>
                <w:rFonts w:eastAsia="TimesNewRoman"/>
                <w:sz w:val="22"/>
                <w:szCs w:val="22"/>
                <w:lang w:val="lt-LT" w:eastAsia="en-US"/>
              </w:rPr>
              <w:t xml:space="preserve"> </w:t>
            </w:r>
            <w:r w:rsidRPr="00DD4E66">
              <w:rPr>
                <w:rFonts w:eastAsia="TimesNewRoman"/>
                <w:sz w:val="22"/>
                <w:szCs w:val="22"/>
                <w:lang w:val="lt-LT" w:eastAsia="en-US"/>
              </w:rPr>
              <w:t>kartu su ritonaviru)</w:t>
            </w:r>
          </w:p>
        </w:tc>
      </w:tr>
      <w:tr w:rsidR="00B02B2D" w:rsidRPr="00DD4E66" w14:paraId="1629B755" w14:textId="77777777" w:rsidTr="00D37DA7">
        <w:tc>
          <w:tcPr>
            <w:tcW w:w="9288" w:type="dxa"/>
            <w:gridSpan w:val="4"/>
            <w:shd w:val="clear" w:color="auto" w:fill="auto"/>
          </w:tcPr>
          <w:p w14:paraId="35A8574B" w14:textId="77777777" w:rsidR="00B02B2D" w:rsidRPr="00DD4E66" w:rsidRDefault="00B02B2D"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PRIEŠGRYBELINIAI VAISTINIAI PREPARATAI</w:t>
            </w:r>
          </w:p>
        </w:tc>
      </w:tr>
      <w:tr w:rsidR="00645841" w:rsidRPr="00DD4E66" w14:paraId="483EAAFD" w14:textId="77777777" w:rsidTr="00D37DA7">
        <w:tc>
          <w:tcPr>
            <w:tcW w:w="2817" w:type="dxa"/>
            <w:shd w:val="clear" w:color="auto" w:fill="auto"/>
          </w:tcPr>
          <w:p w14:paraId="596AFE9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Vorikonazolas</w:t>
            </w:r>
          </w:p>
        </w:tc>
        <w:tc>
          <w:tcPr>
            <w:tcW w:w="3448" w:type="dxa"/>
            <w:gridSpan w:val="2"/>
            <w:shd w:val="clear" w:color="auto" w:fill="auto"/>
          </w:tcPr>
          <w:p w14:paraId="78B6927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Ritonaviras gali mažinti</w:t>
            </w:r>
            <w:r w:rsidR="00B02B2D" w:rsidRPr="00DD4E66">
              <w:rPr>
                <w:rFonts w:eastAsia="TimesNewRoman"/>
                <w:sz w:val="22"/>
                <w:szCs w:val="22"/>
                <w:lang w:val="lt-LT" w:eastAsia="en-US"/>
              </w:rPr>
              <w:t xml:space="preserve"> </w:t>
            </w:r>
            <w:r w:rsidRPr="00DD4E66">
              <w:rPr>
                <w:rFonts w:eastAsia="TimesNewRoman"/>
                <w:sz w:val="22"/>
                <w:szCs w:val="22"/>
                <w:lang w:val="lt-LT" w:eastAsia="en-US"/>
              </w:rPr>
              <w:t>vorikonazolo koncentraciją plazmoje.</w:t>
            </w:r>
            <w:r w:rsidR="00B02B2D" w:rsidRPr="00DD4E66">
              <w:rPr>
                <w:rFonts w:eastAsia="TimesNewRoman"/>
                <w:sz w:val="22"/>
                <w:szCs w:val="22"/>
                <w:lang w:val="lt-LT" w:eastAsia="en-US"/>
              </w:rPr>
              <w:t xml:space="preserve"> </w:t>
            </w:r>
            <w:r w:rsidRPr="00DD4E66">
              <w:rPr>
                <w:rFonts w:eastAsia="TimesNewRoman"/>
                <w:sz w:val="22"/>
                <w:szCs w:val="22"/>
                <w:lang w:val="lt-LT" w:eastAsia="en-US"/>
              </w:rPr>
              <w:t>(CYP450 izofermentų sužadinimas)</w:t>
            </w:r>
            <w:r w:rsidR="00B02B2D" w:rsidRPr="00DD4E66">
              <w:rPr>
                <w:rFonts w:eastAsia="TimesNewRoman"/>
                <w:sz w:val="22"/>
                <w:szCs w:val="22"/>
                <w:lang w:val="lt-LT" w:eastAsia="en-US"/>
              </w:rPr>
              <w:t>.</w:t>
            </w:r>
          </w:p>
          <w:p w14:paraId="0F1ED43A" w14:textId="77777777" w:rsidR="00841FE0" w:rsidRPr="00DD4E66" w:rsidRDefault="00841FE0" w:rsidP="00D37DA7">
            <w:pPr>
              <w:autoSpaceDE w:val="0"/>
              <w:autoSpaceDN w:val="0"/>
              <w:adjustRightInd w:val="0"/>
              <w:rPr>
                <w:rFonts w:eastAsia="TimesNewRoman"/>
                <w:sz w:val="22"/>
                <w:szCs w:val="22"/>
                <w:lang w:val="lt-LT" w:eastAsia="en-US"/>
              </w:rPr>
            </w:pPr>
          </w:p>
          <w:p w14:paraId="2CC070A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Skiriant kartu su </w:t>
            </w:r>
            <w:r w:rsidR="00B02B2D" w:rsidRPr="00DD4E66">
              <w:rPr>
                <w:rFonts w:eastAsia="TimesNewRoman"/>
                <w:sz w:val="22"/>
                <w:szCs w:val="22"/>
                <w:lang w:val="lt-LT" w:eastAsia="en-US"/>
              </w:rPr>
              <w:t>darunaviru</w:t>
            </w:r>
            <w:r w:rsidRPr="00DD4E66">
              <w:rPr>
                <w:rFonts w:eastAsia="TimesNewRoman"/>
                <w:sz w:val="22"/>
                <w:szCs w:val="22"/>
                <w:lang w:val="lt-LT" w:eastAsia="en-US"/>
              </w:rPr>
              <w:t>, vartojamu</w:t>
            </w:r>
            <w:r w:rsidR="00B02B2D" w:rsidRPr="00DD4E66">
              <w:rPr>
                <w:rFonts w:eastAsia="TimesNewRoman"/>
                <w:sz w:val="22"/>
                <w:szCs w:val="22"/>
                <w:lang w:val="lt-LT" w:eastAsia="en-US"/>
              </w:rPr>
              <w:t xml:space="preserve"> </w:t>
            </w:r>
            <w:r w:rsidRPr="00DD4E66">
              <w:rPr>
                <w:rFonts w:eastAsia="TimesNewRoman"/>
                <w:sz w:val="22"/>
                <w:szCs w:val="22"/>
                <w:lang w:val="lt-LT" w:eastAsia="en-US"/>
              </w:rPr>
              <w:t>kartu su kobicistatu, gali padidėti arba</w:t>
            </w:r>
            <w:r w:rsidR="00B02B2D" w:rsidRPr="00DD4E66">
              <w:rPr>
                <w:rFonts w:eastAsia="TimesNewRoman"/>
                <w:sz w:val="22"/>
                <w:szCs w:val="22"/>
                <w:lang w:val="lt-LT" w:eastAsia="en-US"/>
              </w:rPr>
              <w:t xml:space="preserve"> </w:t>
            </w:r>
            <w:r w:rsidRPr="00DD4E66">
              <w:rPr>
                <w:rFonts w:eastAsia="TimesNewRoman"/>
                <w:sz w:val="22"/>
                <w:szCs w:val="22"/>
                <w:lang w:val="lt-LT" w:eastAsia="en-US"/>
              </w:rPr>
              <w:t>sumažėti vorikonazolo koncentracijos.</w:t>
            </w:r>
            <w:r w:rsidR="00B02B2D" w:rsidRPr="00DD4E66">
              <w:rPr>
                <w:rFonts w:eastAsia="TimesNewRoman"/>
                <w:sz w:val="22"/>
                <w:szCs w:val="22"/>
                <w:lang w:val="lt-LT" w:eastAsia="en-US"/>
              </w:rPr>
              <w:t xml:space="preserve"> </w:t>
            </w:r>
            <w:r w:rsidRPr="00DD4E66">
              <w:rPr>
                <w:rFonts w:eastAsia="TimesNewRoman"/>
                <w:sz w:val="22"/>
                <w:szCs w:val="22"/>
                <w:lang w:val="lt-LT" w:eastAsia="en-US"/>
              </w:rPr>
              <w:t>(CYP450 izofermentų slopinimas)</w:t>
            </w:r>
          </w:p>
        </w:tc>
        <w:tc>
          <w:tcPr>
            <w:tcW w:w="3023" w:type="dxa"/>
            <w:shd w:val="clear" w:color="auto" w:fill="auto"/>
          </w:tcPr>
          <w:p w14:paraId="6DAE06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Vorikonazolo negalima vartoti kartu</w:t>
            </w:r>
            <w:r w:rsidR="00B02B2D" w:rsidRPr="00DD4E66">
              <w:rPr>
                <w:rFonts w:eastAsia="TimesNewRoman"/>
                <w:sz w:val="22"/>
                <w:szCs w:val="22"/>
                <w:lang w:val="lt-LT" w:eastAsia="en-US"/>
              </w:rPr>
              <w:t xml:space="preserve"> </w:t>
            </w:r>
            <w:r w:rsidRPr="00DD4E66">
              <w:rPr>
                <w:rFonts w:eastAsia="TimesNewRoman"/>
                <w:sz w:val="22"/>
                <w:szCs w:val="22"/>
                <w:lang w:val="lt-LT" w:eastAsia="en-US"/>
              </w:rPr>
              <w:t xml:space="preserve">su sustiprintu </w:t>
            </w:r>
            <w:r w:rsidR="00B02B2D" w:rsidRPr="00DD4E66">
              <w:rPr>
                <w:rFonts w:eastAsia="TimesNewRoman"/>
                <w:sz w:val="22"/>
                <w:szCs w:val="22"/>
                <w:lang w:val="lt-LT" w:eastAsia="en-US"/>
              </w:rPr>
              <w:t>darunaviru</w:t>
            </w:r>
            <w:r w:rsidRPr="00DD4E66">
              <w:rPr>
                <w:rFonts w:eastAsia="TimesNewRoman"/>
                <w:sz w:val="22"/>
                <w:szCs w:val="22"/>
                <w:lang w:val="lt-LT" w:eastAsia="en-US"/>
              </w:rPr>
              <w:t>, išskyrus</w:t>
            </w:r>
            <w:r w:rsidR="00B02B2D" w:rsidRPr="00DD4E66">
              <w:rPr>
                <w:rFonts w:eastAsia="TimesNewRoman"/>
                <w:sz w:val="22"/>
                <w:szCs w:val="22"/>
                <w:lang w:val="lt-LT" w:eastAsia="en-US"/>
              </w:rPr>
              <w:t xml:space="preserve"> </w:t>
            </w:r>
            <w:r w:rsidRPr="00DD4E66">
              <w:rPr>
                <w:rFonts w:eastAsia="TimesNewRoman"/>
                <w:sz w:val="22"/>
                <w:szCs w:val="22"/>
                <w:lang w:val="lt-LT" w:eastAsia="en-US"/>
              </w:rPr>
              <w:t>atvejus, kai vorikonazolo skyrimas</w:t>
            </w:r>
            <w:r w:rsidR="00B02B2D" w:rsidRPr="00DD4E66">
              <w:rPr>
                <w:rFonts w:eastAsia="TimesNewRoman"/>
                <w:sz w:val="22"/>
                <w:szCs w:val="22"/>
                <w:lang w:val="lt-LT" w:eastAsia="en-US"/>
              </w:rPr>
              <w:t xml:space="preserve"> </w:t>
            </w:r>
            <w:r w:rsidRPr="00DD4E66">
              <w:rPr>
                <w:rFonts w:eastAsia="TimesNewRoman"/>
                <w:sz w:val="22"/>
                <w:szCs w:val="22"/>
                <w:lang w:val="lt-LT" w:eastAsia="en-US"/>
              </w:rPr>
              <w:t>pagrįstas naudos ir rizikos santykio</w:t>
            </w:r>
            <w:r w:rsidR="00B02B2D" w:rsidRPr="00DD4E66">
              <w:rPr>
                <w:rFonts w:eastAsia="TimesNewRoman"/>
                <w:sz w:val="22"/>
                <w:szCs w:val="22"/>
                <w:lang w:val="lt-LT" w:eastAsia="en-US"/>
              </w:rPr>
              <w:t xml:space="preserve"> </w:t>
            </w:r>
            <w:r w:rsidRPr="00DD4E66">
              <w:rPr>
                <w:rFonts w:eastAsia="TimesNewRoman"/>
                <w:sz w:val="22"/>
                <w:szCs w:val="22"/>
                <w:lang w:val="lt-LT" w:eastAsia="en-US"/>
              </w:rPr>
              <w:t>įvertinimu.</w:t>
            </w:r>
          </w:p>
        </w:tc>
      </w:tr>
      <w:tr w:rsidR="00645841" w:rsidRPr="00DD4E66" w14:paraId="7A4ABF43" w14:textId="77777777" w:rsidTr="00D37DA7">
        <w:tc>
          <w:tcPr>
            <w:tcW w:w="2817" w:type="dxa"/>
            <w:shd w:val="clear" w:color="auto" w:fill="auto"/>
          </w:tcPr>
          <w:p w14:paraId="27327C4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Ketokonazolas</w:t>
            </w:r>
            <w:r w:rsidR="00B02B2D" w:rsidRPr="00DD4E66">
              <w:rPr>
                <w:rFonts w:eastAsia="TimesNewRoman"/>
                <w:sz w:val="22"/>
                <w:szCs w:val="22"/>
                <w:lang w:val="lt-LT" w:eastAsia="en-US"/>
              </w:rPr>
              <w:t xml:space="preserve"> </w:t>
            </w:r>
            <w:r w:rsidRPr="00DD4E66">
              <w:rPr>
                <w:rFonts w:eastAsia="TimesNewRoman"/>
                <w:sz w:val="22"/>
                <w:szCs w:val="22"/>
                <w:lang w:val="lt-LT" w:eastAsia="en-US"/>
              </w:rPr>
              <w:t>200</w:t>
            </w:r>
            <w:r w:rsidR="00B02B2D" w:rsidRPr="00DD4E66">
              <w:rPr>
                <w:rFonts w:eastAsia="TimesNewRoman"/>
                <w:sz w:val="22"/>
                <w:szCs w:val="22"/>
                <w:lang w:val="lt-LT" w:eastAsia="en-US"/>
              </w:rPr>
              <w:t> </w:t>
            </w:r>
            <w:r w:rsidRPr="00DD4E66">
              <w:rPr>
                <w:rFonts w:eastAsia="TimesNewRoman"/>
                <w:sz w:val="22"/>
                <w:szCs w:val="22"/>
                <w:lang w:val="lt-LT" w:eastAsia="en-US"/>
              </w:rPr>
              <w:t>mg du kartus per</w:t>
            </w:r>
            <w:r w:rsidR="00B02B2D" w:rsidRPr="00DD4E66">
              <w:rPr>
                <w:rFonts w:eastAsia="TimesNewRoman"/>
                <w:sz w:val="22"/>
                <w:szCs w:val="22"/>
                <w:lang w:val="lt-LT" w:eastAsia="en-US"/>
              </w:rPr>
              <w:t xml:space="preserve"> parą</w:t>
            </w:r>
          </w:p>
        </w:tc>
        <w:tc>
          <w:tcPr>
            <w:tcW w:w="3448" w:type="dxa"/>
            <w:gridSpan w:val="2"/>
            <w:shd w:val="clear" w:color="auto" w:fill="auto"/>
          </w:tcPr>
          <w:p w14:paraId="56D7B8B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ketokonazolo AUC ↑ 212 %</w:t>
            </w:r>
          </w:p>
          <w:p w14:paraId="2CD6326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ketokonazolo Cmin ↑ 868 %</w:t>
            </w:r>
          </w:p>
          <w:p w14:paraId="30585EC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ketokonazolo Cmax ↑ 111 %</w:t>
            </w:r>
          </w:p>
          <w:p w14:paraId="4939BFF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42 %</w:t>
            </w:r>
          </w:p>
          <w:p w14:paraId="4785D98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73 %</w:t>
            </w:r>
          </w:p>
          <w:p w14:paraId="74F7848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Cmax ↑ 21 %</w:t>
            </w:r>
          </w:p>
          <w:p w14:paraId="56A449D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(dėl CYP3A slopinimo)</w:t>
            </w:r>
          </w:p>
        </w:tc>
        <w:tc>
          <w:tcPr>
            <w:tcW w:w="3023" w:type="dxa"/>
            <w:shd w:val="clear" w:color="auto" w:fill="auto"/>
          </w:tcPr>
          <w:p w14:paraId="77B1C7C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su sustiprintu</w:t>
            </w:r>
            <w:r w:rsidR="00B02B2D" w:rsidRPr="00DD4E66">
              <w:rPr>
                <w:rFonts w:eastAsia="TimesNewRoman"/>
                <w:sz w:val="22"/>
                <w:szCs w:val="22"/>
                <w:lang w:val="lt-LT" w:eastAsia="en-US"/>
              </w:rPr>
              <w:t xml:space="preserve"> darunaviru</w:t>
            </w:r>
            <w:r w:rsidRPr="00DD4E66">
              <w:rPr>
                <w:rFonts w:eastAsia="TimesNewRoman"/>
                <w:sz w:val="22"/>
                <w:szCs w:val="22"/>
                <w:lang w:val="lt-LT" w:eastAsia="en-US"/>
              </w:rPr>
              <w:t>, vartoti kartu reikia</w:t>
            </w:r>
            <w:r w:rsidR="00B02B2D" w:rsidRPr="00DD4E66">
              <w:rPr>
                <w:rFonts w:eastAsia="TimesNewRoman"/>
                <w:sz w:val="22"/>
                <w:szCs w:val="22"/>
                <w:lang w:val="lt-LT" w:eastAsia="en-US"/>
              </w:rPr>
              <w:t xml:space="preserve"> </w:t>
            </w:r>
            <w:r w:rsidRPr="00DD4E66">
              <w:rPr>
                <w:rFonts w:eastAsia="TimesNewRoman"/>
                <w:sz w:val="22"/>
                <w:szCs w:val="22"/>
                <w:lang w:val="lt-LT" w:eastAsia="en-US"/>
              </w:rPr>
              <w:t>atsargiai ir rekomenduojama stebėti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klinikinę paciento būklę. Jeigu šiuos</w:t>
            </w:r>
            <w:r w:rsidR="00B02B2D" w:rsidRPr="00DD4E66">
              <w:rPr>
                <w:rFonts w:eastAsia="TimesNewRoman"/>
                <w:sz w:val="22"/>
                <w:szCs w:val="22"/>
                <w:lang w:val="lt-LT" w:eastAsia="en-US"/>
              </w:rPr>
              <w:t xml:space="preserve"> </w:t>
            </w:r>
            <w:r w:rsidRPr="00DD4E66">
              <w:rPr>
                <w:rFonts w:eastAsia="TimesNewRoman"/>
                <w:sz w:val="22"/>
                <w:szCs w:val="22"/>
                <w:lang w:val="lt-LT" w:eastAsia="en-US"/>
              </w:rPr>
              <w:t>vaistinius preparatus reikia skirti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kartu, ketokonazolo paros dozė turi</w:t>
            </w:r>
            <w:r w:rsidR="00B02B2D" w:rsidRPr="00DD4E66">
              <w:rPr>
                <w:rFonts w:eastAsia="TimesNewRoman"/>
                <w:sz w:val="22"/>
                <w:szCs w:val="22"/>
                <w:lang w:val="lt-LT" w:eastAsia="en-US"/>
              </w:rPr>
              <w:t xml:space="preserve"> </w:t>
            </w:r>
            <w:r w:rsidRPr="00DD4E66">
              <w:rPr>
                <w:rFonts w:eastAsia="TimesNewRoman"/>
                <w:sz w:val="22"/>
                <w:szCs w:val="22"/>
                <w:lang w:val="lt-LT" w:eastAsia="en-US"/>
              </w:rPr>
              <w:t>būti ne didesnė kaip 200</w:t>
            </w:r>
            <w:r w:rsidR="00B02B2D" w:rsidRPr="00DD4E66">
              <w:rPr>
                <w:rFonts w:eastAsia="TimesNewRoman"/>
                <w:sz w:val="22"/>
                <w:szCs w:val="22"/>
                <w:lang w:val="lt-LT" w:eastAsia="en-US"/>
              </w:rPr>
              <w:t> </w:t>
            </w:r>
            <w:r w:rsidRPr="00DD4E66">
              <w:rPr>
                <w:rFonts w:eastAsia="TimesNewRoman"/>
                <w:sz w:val="22"/>
                <w:szCs w:val="22"/>
                <w:lang w:val="lt-LT" w:eastAsia="en-US"/>
              </w:rPr>
              <w:t>mg.</w:t>
            </w:r>
          </w:p>
        </w:tc>
      </w:tr>
      <w:tr w:rsidR="00645841" w:rsidRPr="00DD4E66" w14:paraId="73F0C986" w14:textId="77777777" w:rsidTr="00D37DA7">
        <w:tc>
          <w:tcPr>
            <w:tcW w:w="2817" w:type="dxa"/>
            <w:shd w:val="clear" w:color="auto" w:fill="auto"/>
          </w:tcPr>
          <w:p w14:paraId="20986BB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Flukonazolas</w:t>
            </w:r>
          </w:p>
          <w:p w14:paraId="126A425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Pozakonazolas</w:t>
            </w:r>
          </w:p>
        </w:tc>
        <w:tc>
          <w:tcPr>
            <w:tcW w:w="3448" w:type="dxa"/>
            <w:gridSpan w:val="2"/>
            <w:shd w:val="clear" w:color="auto" w:fill="auto"/>
          </w:tcPr>
          <w:p w14:paraId="1180208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Sustiprintas </w:t>
            </w:r>
            <w:r w:rsidR="00B02B2D" w:rsidRPr="00DD4E66">
              <w:rPr>
                <w:rFonts w:eastAsia="TimesNewRoman"/>
                <w:sz w:val="22"/>
                <w:szCs w:val="22"/>
                <w:lang w:val="lt-LT" w:eastAsia="en-US"/>
              </w:rPr>
              <w:t>darunaviras</w:t>
            </w:r>
            <w:r w:rsidRPr="00DD4E66">
              <w:rPr>
                <w:rFonts w:eastAsia="TimesNewRoman"/>
                <w:sz w:val="22"/>
                <w:szCs w:val="22"/>
                <w:lang w:val="lt-LT" w:eastAsia="en-US"/>
              </w:rPr>
              <w:t xml:space="preserve"> gali</w:t>
            </w:r>
            <w:r w:rsidR="00B02B2D" w:rsidRPr="00DD4E66">
              <w:rPr>
                <w:rFonts w:eastAsia="TimesNewRoman"/>
                <w:sz w:val="22"/>
                <w:szCs w:val="22"/>
                <w:lang w:val="lt-LT" w:eastAsia="en-US"/>
              </w:rPr>
              <w:t xml:space="preserve"> </w:t>
            </w:r>
            <w:r w:rsidRPr="00DD4E66">
              <w:rPr>
                <w:rFonts w:eastAsia="TimesNewRoman"/>
                <w:sz w:val="22"/>
                <w:szCs w:val="22"/>
                <w:lang w:val="lt-LT" w:eastAsia="en-US"/>
              </w:rPr>
              <w:t>padidinti priešgrybelinių vaistinių</w:t>
            </w:r>
            <w:r w:rsidR="00B02B2D" w:rsidRPr="00DD4E66">
              <w:rPr>
                <w:rFonts w:eastAsia="TimesNewRoman"/>
                <w:sz w:val="22"/>
                <w:szCs w:val="22"/>
                <w:lang w:val="lt-LT" w:eastAsia="en-US"/>
              </w:rPr>
              <w:t xml:space="preserve"> </w:t>
            </w:r>
            <w:r w:rsidRPr="00DD4E66">
              <w:rPr>
                <w:rFonts w:eastAsia="TimesNewRoman"/>
                <w:sz w:val="22"/>
                <w:szCs w:val="22"/>
                <w:lang w:val="lt-LT" w:eastAsia="en-US"/>
              </w:rPr>
              <w:t>preparatų koncentracijas plazmoje (P-gp</w:t>
            </w:r>
            <w:r w:rsidR="00B02B2D" w:rsidRPr="00DD4E66">
              <w:rPr>
                <w:rFonts w:eastAsia="TimesNewRoman"/>
                <w:sz w:val="22"/>
                <w:szCs w:val="22"/>
                <w:lang w:val="lt-LT" w:eastAsia="en-US"/>
              </w:rPr>
              <w:t xml:space="preserve"> </w:t>
            </w:r>
            <w:r w:rsidRPr="00DD4E66">
              <w:rPr>
                <w:rFonts w:eastAsia="TimesNewRoman"/>
                <w:sz w:val="22"/>
                <w:szCs w:val="22"/>
                <w:lang w:val="lt-LT" w:eastAsia="en-US"/>
              </w:rPr>
              <w:t>slopinimas) ir pozakonazolas arba</w:t>
            </w:r>
            <w:r w:rsidR="00B02B2D" w:rsidRPr="00DD4E66">
              <w:rPr>
                <w:rFonts w:eastAsia="TimesNewRoman"/>
                <w:sz w:val="22"/>
                <w:szCs w:val="22"/>
                <w:lang w:val="lt-LT" w:eastAsia="en-US"/>
              </w:rPr>
              <w:t xml:space="preserve"> </w:t>
            </w:r>
            <w:r w:rsidRPr="00DD4E66">
              <w:rPr>
                <w:rFonts w:eastAsia="TimesNewRoman"/>
                <w:sz w:val="22"/>
                <w:szCs w:val="22"/>
                <w:lang w:val="lt-LT" w:eastAsia="en-US"/>
              </w:rPr>
              <w:t>flukonazolas gali padidinti darunaviro</w:t>
            </w:r>
            <w:r w:rsidR="00B02B2D" w:rsidRPr="00DD4E66">
              <w:rPr>
                <w:rFonts w:eastAsia="TimesNewRoman"/>
                <w:sz w:val="22"/>
                <w:szCs w:val="22"/>
                <w:lang w:val="lt-LT" w:eastAsia="en-US"/>
              </w:rPr>
              <w:t xml:space="preserve"> </w:t>
            </w:r>
            <w:r w:rsidRPr="00DD4E66">
              <w:rPr>
                <w:rFonts w:eastAsia="TimesNewRoman"/>
                <w:sz w:val="22"/>
                <w:szCs w:val="22"/>
                <w:lang w:val="lt-LT" w:eastAsia="en-US"/>
              </w:rPr>
              <w:t>koncentracijas.</w:t>
            </w:r>
            <w:r w:rsidR="00B02B2D" w:rsidRPr="00DD4E66">
              <w:rPr>
                <w:rFonts w:eastAsia="TimesNewRoman"/>
                <w:sz w:val="22"/>
                <w:szCs w:val="22"/>
                <w:lang w:val="lt-LT" w:eastAsia="en-US"/>
              </w:rPr>
              <w:t xml:space="preserve"> </w:t>
            </w:r>
            <w:r w:rsidRPr="00DD4E66">
              <w:rPr>
                <w:rFonts w:eastAsia="TimesNewRoman"/>
                <w:sz w:val="22"/>
                <w:szCs w:val="22"/>
                <w:lang w:val="lt-LT" w:eastAsia="en-US"/>
              </w:rPr>
              <w:t>(CYP3A slopinimas)</w:t>
            </w:r>
          </w:p>
        </w:tc>
        <w:tc>
          <w:tcPr>
            <w:tcW w:w="3023" w:type="dxa"/>
            <w:shd w:val="clear" w:color="auto" w:fill="auto"/>
          </w:tcPr>
          <w:p w14:paraId="7B6BDC5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Vartoti reikia atsargiai ir</w:t>
            </w:r>
            <w:r w:rsidR="00B02B2D" w:rsidRPr="00DD4E66">
              <w:rPr>
                <w:rFonts w:eastAsia="TimesNewRoman"/>
                <w:sz w:val="22"/>
                <w:szCs w:val="22"/>
                <w:lang w:val="lt-LT" w:eastAsia="en-US"/>
              </w:rPr>
              <w:t xml:space="preserve"> </w:t>
            </w:r>
            <w:r w:rsidRPr="00DD4E66">
              <w:rPr>
                <w:rFonts w:eastAsia="TimesNewRoman"/>
                <w:sz w:val="22"/>
                <w:szCs w:val="22"/>
                <w:lang w:val="lt-LT" w:eastAsia="en-US"/>
              </w:rPr>
              <w:t>rekomenduoj</w:t>
            </w:r>
            <w:r w:rsidR="005F4528" w:rsidRPr="00DD4E66">
              <w:rPr>
                <w:rFonts w:eastAsia="TimesNewRoman"/>
                <w:sz w:val="22"/>
                <w:szCs w:val="22"/>
                <w:lang w:val="lt-LT" w:eastAsia="en-US"/>
              </w:rPr>
              <w:t>a</w:t>
            </w:r>
            <w:r w:rsidRPr="00DD4E66">
              <w:rPr>
                <w:rFonts w:eastAsia="TimesNewRoman"/>
                <w:sz w:val="22"/>
                <w:szCs w:val="22"/>
                <w:lang w:val="lt-LT" w:eastAsia="en-US"/>
              </w:rPr>
              <w:t>ma stebėti klinikinę</w:t>
            </w:r>
            <w:r w:rsidR="00B02B2D" w:rsidRPr="00DD4E66">
              <w:rPr>
                <w:rFonts w:eastAsia="TimesNewRoman"/>
                <w:sz w:val="22"/>
                <w:szCs w:val="22"/>
                <w:lang w:val="lt-LT" w:eastAsia="en-US"/>
              </w:rPr>
              <w:t xml:space="preserve"> </w:t>
            </w:r>
            <w:r w:rsidRPr="00DD4E66">
              <w:rPr>
                <w:rFonts w:eastAsia="TimesNewRoman"/>
                <w:sz w:val="22"/>
                <w:szCs w:val="22"/>
                <w:lang w:val="lt-LT" w:eastAsia="en-US"/>
              </w:rPr>
              <w:t>paciento būklę.</w:t>
            </w:r>
          </w:p>
        </w:tc>
      </w:tr>
      <w:tr w:rsidR="00645841" w:rsidRPr="00DD4E66" w14:paraId="654B5C60" w14:textId="77777777" w:rsidTr="00D37DA7">
        <w:tc>
          <w:tcPr>
            <w:tcW w:w="2817" w:type="dxa"/>
            <w:shd w:val="clear" w:color="auto" w:fill="auto"/>
          </w:tcPr>
          <w:p w14:paraId="7770044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Itrakonazolas</w:t>
            </w:r>
          </w:p>
        </w:tc>
        <w:tc>
          <w:tcPr>
            <w:tcW w:w="3448" w:type="dxa"/>
            <w:gridSpan w:val="2"/>
            <w:shd w:val="clear" w:color="auto" w:fill="auto"/>
          </w:tcPr>
          <w:p w14:paraId="1F61EA1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Kartu su sustiprintu </w:t>
            </w:r>
            <w:r w:rsidR="00B02B2D" w:rsidRPr="00DD4E66">
              <w:rPr>
                <w:rFonts w:eastAsia="TimesNewRoman"/>
                <w:sz w:val="22"/>
                <w:szCs w:val="22"/>
                <w:lang w:val="lt-LT" w:eastAsia="en-US"/>
              </w:rPr>
              <w:t xml:space="preserve">darunaviru </w:t>
            </w:r>
            <w:r w:rsidRPr="00DD4E66">
              <w:rPr>
                <w:rFonts w:eastAsia="TimesNewRoman"/>
                <w:sz w:val="22"/>
                <w:szCs w:val="22"/>
                <w:lang w:val="lt-LT" w:eastAsia="en-US"/>
              </w:rPr>
              <w:t>sisteminiu būdu vartojamas itrakonazolas</w:t>
            </w:r>
            <w:r w:rsidR="00B02B2D" w:rsidRPr="00DD4E66">
              <w:rPr>
                <w:rFonts w:eastAsia="TimesNewRoman"/>
                <w:sz w:val="22"/>
                <w:szCs w:val="22"/>
                <w:lang w:val="lt-LT" w:eastAsia="en-US"/>
              </w:rPr>
              <w:t xml:space="preserve"> </w:t>
            </w:r>
            <w:r w:rsidRPr="00DD4E66">
              <w:rPr>
                <w:rFonts w:eastAsia="TimesNewRoman"/>
                <w:sz w:val="22"/>
                <w:szCs w:val="22"/>
                <w:lang w:val="lt-LT" w:eastAsia="en-US"/>
              </w:rPr>
              <w:t>gali didinti darunaviro ir itrakonazolo</w:t>
            </w:r>
            <w:r w:rsidR="00B02B2D" w:rsidRPr="00DD4E66">
              <w:rPr>
                <w:rFonts w:eastAsia="TimesNewRoman"/>
                <w:sz w:val="22"/>
                <w:szCs w:val="22"/>
                <w:lang w:val="lt-LT" w:eastAsia="en-US"/>
              </w:rPr>
              <w:t xml:space="preserve"> </w:t>
            </w:r>
            <w:r w:rsidRPr="00DD4E66">
              <w:rPr>
                <w:rFonts w:eastAsia="TimesNewRoman"/>
                <w:sz w:val="22"/>
                <w:szCs w:val="22"/>
                <w:lang w:val="lt-LT" w:eastAsia="en-US"/>
              </w:rPr>
              <w:t>koncentracijas plazmoje. (dėl CYP3A</w:t>
            </w:r>
            <w:r w:rsidR="00B02B2D" w:rsidRPr="00DD4E66">
              <w:rPr>
                <w:rFonts w:eastAsia="TimesNewRoman"/>
                <w:sz w:val="22"/>
                <w:szCs w:val="22"/>
                <w:lang w:val="lt-LT" w:eastAsia="en-US"/>
              </w:rPr>
              <w:t xml:space="preserve"> </w:t>
            </w:r>
            <w:r w:rsidRPr="00DD4E66">
              <w:rPr>
                <w:rFonts w:eastAsia="TimesNewRoman"/>
                <w:sz w:val="22"/>
                <w:szCs w:val="22"/>
                <w:lang w:val="lt-LT" w:eastAsia="en-US"/>
              </w:rPr>
              <w:t>slopinimo)</w:t>
            </w:r>
          </w:p>
        </w:tc>
        <w:tc>
          <w:tcPr>
            <w:tcW w:w="3023" w:type="dxa"/>
            <w:shd w:val="clear" w:color="auto" w:fill="auto"/>
          </w:tcPr>
          <w:p w14:paraId="0A5E78C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su sustiprintu</w:t>
            </w:r>
            <w:r w:rsidR="00B02B2D" w:rsidRPr="00DD4E66">
              <w:rPr>
                <w:rFonts w:eastAsia="TimesNewRoman"/>
                <w:sz w:val="22"/>
                <w:szCs w:val="22"/>
                <w:lang w:val="lt-LT" w:eastAsia="en-US"/>
              </w:rPr>
              <w:t xml:space="preserve"> darunaviru</w:t>
            </w:r>
            <w:r w:rsidRPr="00DD4E66">
              <w:rPr>
                <w:rFonts w:eastAsia="TimesNewRoman"/>
                <w:sz w:val="22"/>
                <w:szCs w:val="22"/>
                <w:lang w:val="lt-LT" w:eastAsia="en-US"/>
              </w:rPr>
              <w:t>, vartoti reikia atsargiai</w:t>
            </w:r>
            <w:r w:rsidR="00B02B2D" w:rsidRPr="00DD4E66">
              <w:rPr>
                <w:rFonts w:eastAsia="TimesNewRoman"/>
                <w:sz w:val="22"/>
                <w:szCs w:val="22"/>
                <w:lang w:val="lt-LT" w:eastAsia="en-US"/>
              </w:rPr>
              <w:t xml:space="preserve"> </w:t>
            </w:r>
            <w:r w:rsidRPr="00DD4E66">
              <w:rPr>
                <w:rFonts w:eastAsia="TimesNewRoman"/>
                <w:sz w:val="22"/>
                <w:szCs w:val="22"/>
                <w:lang w:val="lt-LT" w:eastAsia="en-US"/>
              </w:rPr>
              <w:t>ir rekomenduojama stebėti klinikinę</w:t>
            </w:r>
            <w:r w:rsidR="00B02B2D" w:rsidRPr="00DD4E66">
              <w:rPr>
                <w:rFonts w:eastAsia="TimesNewRoman"/>
                <w:sz w:val="22"/>
                <w:szCs w:val="22"/>
                <w:lang w:val="lt-LT" w:eastAsia="en-US"/>
              </w:rPr>
              <w:t xml:space="preserve"> </w:t>
            </w:r>
            <w:r w:rsidRPr="00DD4E66">
              <w:rPr>
                <w:rFonts w:eastAsia="TimesNewRoman"/>
                <w:sz w:val="22"/>
                <w:szCs w:val="22"/>
                <w:lang w:val="lt-LT" w:eastAsia="en-US"/>
              </w:rPr>
              <w:t>paciento būklę. Jeigu šiuos</w:t>
            </w:r>
            <w:r w:rsidR="00B02B2D" w:rsidRPr="00DD4E66">
              <w:rPr>
                <w:rFonts w:eastAsia="TimesNewRoman"/>
                <w:sz w:val="22"/>
                <w:szCs w:val="22"/>
                <w:lang w:val="lt-LT" w:eastAsia="en-US"/>
              </w:rPr>
              <w:t xml:space="preserve"> </w:t>
            </w:r>
            <w:r w:rsidRPr="00DD4E66">
              <w:rPr>
                <w:rFonts w:eastAsia="TimesNewRoman"/>
                <w:sz w:val="22"/>
                <w:szCs w:val="22"/>
                <w:lang w:val="lt-LT" w:eastAsia="en-US"/>
              </w:rPr>
              <w:t>vaistinius preparatus reikia skirti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kartu, itrakonazolo paros dozė turi</w:t>
            </w:r>
            <w:r w:rsidR="00B02B2D" w:rsidRPr="00DD4E66">
              <w:rPr>
                <w:rFonts w:eastAsia="TimesNewRoman"/>
                <w:sz w:val="22"/>
                <w:szCs w:val="22"/>
                <w:lang w:val="lt-LT" w:eastAsia="en-US"/>
              </w:rPr>
              <w:t xml:space="preserve"> </w:t>
            </w:r>
            <w:r w:rsidRPr="00DD4E66">
              <w:rPr>
                <w:rFonts w:eastAsia="TimesNewRoman"/>
                <w:sz w:val="22"/>
                <w:szCs w:val="22"/>
                <w:lang w:val="lt-LT" w:eastAsia="en-US"/>
              </w:rPr>
              <w:t>būti ne didesnė kaip 200</w:t>
            </w:r>
            <w:r w:rsidR="00B02B2D" w:rsidRPr="00DD4E66">
              <w:rPr>
                <w:rFonts w:eastAsia="TimesNewRoman"/>
                <w:sz w:val="22"/>
                <w:szCs w:val="22"/>
                <w:lang w:val="lt-LT" w:eastAsia="en-US"/>
              </w:rPr>
              <w:t> </w:t>
            </w:r>
            <w:r w:rsidRPr="00DD4E66">
              <w:rPr>
                <w:rFonts w:eastAsia="TimesNewRoman"/>
                <w:sz w:val="22"/>
                <w:szCs w:val="22"/>
                <w:lang w:val="lt-LT" w:eastAsia="en-US"/>
              </w:rPr>
              <w:t>mg.</w:t>
            </w:r>
          </w:p>
        </w:tc>
      </w:tr>
      <w:tr w:rsidR="00645841" w:rsidRPr="00DD4E66" w14:paraId="32F78427" w14:textId="77777777" w:rsidTr="00D37DA7">
        <w:tc>
          <w:tcPr>
            <w:tcW w:w="2817" w:type="dxa"/>
            <w:shd w:val="clear" w:color="auto" w:fill="auto"/>
          </w:tcPr>
          <w:p w14:paraId="1723CE0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Klotrimazolas</w:t>
            </w:r>
          </w:p>
        </w:tc>
        <w:tc>
          <w:tcPr>
            <w:tcW w:w="3448" w:type="dxa"/>
            <w:gridSpan w:val="2"/>
            <w:shd w:val="clear" w:color="auto" w:fill="auto"/>
          </w:tcPr>
          <w:p w14:paraId="53A3C5B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Kartu su sustiprintu </w:t>
            </w:r>
            <w:r w:rsidR="00B02B2D" w:rsidRPr="00DD4E66">
              <w:rPr>
                <w:rFonts w:eastAsia="TimesNewRoman"/>
                <w:sz w:val="22"/>
                <w:szCs w:val="22"/>
                <w:lang w:val="lt-LT" w:eastAsia="en-US"/>
              </w:rPr>
              <w:t xml:space="preserve">darunaviru </w:t>
            </w:r>
            <w:r w:rsidRPr="00DD4E66">
              <w:rPr>
                <w:rFonts w:eastAsia="TimesNewRoman"/>
                <w:sz w:val="22"/>
                <w:szCs w:val="22"/>
                <w:lang w:val="lt-LT" w:eastAsia="en-US"/>
              </w:rPr>
              <w:t>sisteminiu būdu vartojamas klotrimazolas</w:t>
            </w:r>
            <w:r w:rsidR="00B02B2D" w:rsidRPr="00DD4E66">
              <w:rPr>
                <w:rFonts w:eastAsia="TimesNewRoman"/>
                <w:sz w:val="22"/>
                <w:szCs w:val="22"/>
                <w:lang w:val="lt-LT" w:eastAsia="en-US"/>
              </w:rPr>
              <w:t xml:space="preserve"> </w:t>
            </w:r>
            <w:r w:rsidRPr="00DD4E66">
              <w:rPr>
                <w:rFonts w:eastAsia="TimesNewRoman"/>
                <w:sz w:val="22"/>
                <w:szCs w:val="22"/>
                <w:lang w:val="lt-LT" w:eastAsia="en-US"/>
              </w:rPr>
              <w:t>gali didinti darunaviro ir (arba)</w:t>
            </w:r>
            <w:r w:rsidR="00B02B2D" w:rsidRPr="00DD4E66">
              <w:rPr>
                <w:rFonts w:eastAsia="TimesNewRoman"/>
                <w:sz w:val="22"/>
                <w:szCs w:val="22"/>
                <w:lang w:val="lt-LT" w:eastAsia="en-US"/>
              </w:rPr>
              <w:t xml:space="preserve"> </w:t>
            </w:r>
            <w:r w:rsidRPr="00DD4E66">
              <w:rPr>
                <w:rFonts w:eastAsia="TimesNewRoman"/>
                <w:sz w:val="22"/>
                <w:szCs w:val="22"/>
                <w:lang w:val="lt-LT" w:eastAsia="en-US"/>
              </w:rPr>
              <w:t>klotrimazolo koncentracijas plazmoje.</w:t>
            </w:r>
            <w:r w:rsidR="00B02B2D" w:rsidRPr="00DD4E66">
              <w:rPr>
                <w:rFonts w:eastAsia="TimesNewRoman"/>
                <w:sz w:val="22"/>
                <w:szCs w:val="22"/>
                <w:lang w:val="lt-LT" w:eastAsia="en-US"/>
              </w:rPr>
              <w:t xml:space="preserve"> </w:t>
            </w:r>
            <w:r w:rsidRPr="00DD4E66">
              <w:rPr>
                <w:rFonts w:eastAsia="TimesNewRoman"/>
                <w:sz w:val="22"/>
                <w:szCs w:val="22"/>
                <w:lang w:val="lt-LT" w:eastAsia="en-US"/>
              </w:rPr>
              <w:t>darunaviro AUC</w:t>
            </w:r>
            <w:r w:rsidRPr="00DD4E66">
              <w:rPr>
                <w:rFonts w:eastAsia="TimesNewRoman"/>
                <w:sz w:val="22"/>
                <w:szCs w:val="22"/>
                <w:vertAlign w:val="subscript"/>
                <w:lang w:val="lt-LT" w:eastAsia="en-US"/>
              </w:rPr>
              <w:t xml:space="preserve">24val. </w:t>
            </w:r>
            <w:r w:rsidRPr="00DD4E66">
              <w:rPr>
                <w:rFonts w:eastAsia="TimesNewRoman"/>
                <w:sz w:val="22"/>
                <w:szCs w:val="22"/>
                <w:lang w:val="lt-LT" w:eastAsia="en-US"/>
              </w:rPr>
              <w:t>↑ 33 %</w:t>
            </w:r>
            <w:r w:rsidR="00B02B2D" w:rsidRPr="00DD4E66">
              <w:rPr>
                <w:rFonts w:eastAsia="TimesNewRoman"/>
                <w:sz w:val="22"/>
                <w:szCs w:val="22"/>
                <w:lang w:val="lt-LT" w:eastAsia="en-US"/>
              </w:rPr>
              <w:t xml:space="preserve"> </w:t>
            </w:r>
            <w:r w:rsidRPr="00DD4E66">
              <w:rPr>
                <w:rFonts w:eastAsia="TimesNewRoman"/>
                <w:sz w:val="22"/>
                <w:szCs w:val="22"/>
                <w:lang w:val="lt-LT" w:eastAsia="en-US"/>
              </w:rPr>
              <w:t>(remiantis populiacijos farmakokinetikos</w:t>
            </w:r>
            <w:r w:rsidR="00B02B2D" w:rsidRPr="00DD4E66">
              <w:rPr>
                <w:rFonts w:eastAsia="TimesNewRoman"/>
                <w:sz w:val="22"/>
                <w:szCs w:val="22"/>
                <w:lang w:val="lt-LT" w:eastAsia="en-US"/>
              </w:rPr>
              <w:t xml:space="preserve"> </w:t>
            </w:r>
            <w:r w:rsidRPr="00DD4E66">
              <w:rPr>
                <w:rFonts w:eastAsia="TimesNewRoman"/>
                <w:sz w:val="22"/>
                <w:szCs w:val="22"/>
                <w:lang w:val="lt-LT" w:eastAsia="en-US"/>
              </w:rPr>
              <w:t>modeliu)</w:t>
            </w:r>
          </w:p>
        </w:tc>
        <w:tc>
          <w:tcPr>
            <w:tcW w:w="3023" w:type="dxa"/>
            <w:shd w:val="clear" w:color="auto" w:fill="auto"/>
          </w:tcPr>
          <w:p w14:paraId="4CE61D1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Jeigu kartu būtina skirti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klotrimazolą, vartoti kartu reikia</w:t>
            </w:r>
            <w:r w:rsidR="00B02B2D" w:rsidRPr="00DD4E66">
              <w:rPr>
                <w:rFonts w:eastAsia="TimesNewRoman"/>
                <w:sz w:val="22"/>
                <w:szCs w:val="22"/>
                <w:lang w:val="lt-LT" w:eastAsia="en-US"/>
              </w:rPr>
              <w:t xml:space="preserve"> </w:t>
            </w:r>
            <w:r w:rsidRPr="00DD4E66">
              <w:rPr>
                <w:rFonts w:eastAsia="TimesNewRoman"/>
                <w:sz w:val="22"/>
                <w:szCs w:val="22"/>
                <w:lang w:val="lt-LT" w:eastAsia="en-US"/>
              </w:rPr>
              <w:t>atsargiai ir rekomenduojama stebėti</w:t>
            </w:r>
            <w:r w:rsidR="00B02B2D" w:rsidRPr="00DD4E66">
              <w:rPr>
                <w:rFonts w:eastAsia="TimesNewRoman"/>
                <w:sz w:val="22"/>
                <w:szCs w:val="22"/>
                <w:lang w:val="lt-LT" w:eastAsia="en-US"/>
              </w:rPr>
              <w:t xml:space="preserve"> </w:t>
            </w:r>
            <w:r w:rsidRPr="00DD4E66">
              <w:rPr>
                <w:rFonts w:eastAsia="TimesNewRoman"/>
                <w:sz w:val="22"/>
                <w:szCs w:val="22"/>
                <w:lang w:val="lt-LT" w:eastAsia="en-US"/>
              </w:rPr>
              <w:t>klinikinę paciento būklę.</w:t>
            </w:r>
          </w:p>
        </w:tc>
      </w:tr>
      <w:tr w:rsidR="00B02B2D" w:rsidRPr="00DD4E66" w14:paraId="7395B1D4" w14:textId="77777777" w:rsidTr="00D37DA7">
        <w:tc>
          <w:tcPr>
            <w:tcW w:w="9288" w:type="dxa"/>
            <w:gridSpan w:val="4"/>
            <w:shd w:val="clear" w:color="auto" w:fill="auto"/>
          </w:tcPr>
          <w:p w14:paraId="5C95A2DC" w14:textId="77777777" w:rsidR="00B02B2D" w:rsidRPr="00DD4E66" w:rsidRDefault="00B02B2D"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VAISTINIAI PREPARATAI PODAGRAI GYDYTI</w:t>
            </w:r>
          </w:p>
        </w:tc>
      </w:tr>
      <w:tr w:rsidR="00645841" w:rsidRPr="00DD4E66" w14:paraId="5EAB8CD3" w14:textId="77777777" w:rsidTr="00D37DA7">
        <w:tc>
          <w:tcPr>
            <w:tcW w:w="2817" w:type="dxa"/>
            <w:shd w:val="clear" w:color="auto" w:fill="auto"/>
          </w:tcPr>
          <w:p w14:paraId="50D3FF0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Kolchicinas</w:t>
            </w:r>
          </w:p>
        </w:tc>
        <w:tc>
          <w:tcPr>
            <w:tcW w:w="3448" w:type="dxa"/>
            <w:gridSpan w:val="2"/>
            <w:shd w:val="clear" w:color="auto" w:fill="auto"/>
          </w:tcPr>
          <w:p w14:paraId="6FEBE13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Kolchiciną vartojant kartu su</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C16343" w:rsidRPr="00DD4E66">
              <w:rPr>
                <w:rFonts w:eastAsia="TimesNewRoman"/>
                <w:sz w:val="22"/>
                <w:szCs w:val="22"/>
                <w:lang w:val="lt-LT" w:eastAsia="en-US"/>
              </w:rPr>
              <w:t>darunaviru</w:t>
            </w:r>
            <w:r w:rsidRPr="00DD4E66">
              <w:rPr>
                <w:rFonts w:eastAsia="TimesNewRoman"/>
                <w:sz w:val="22"/>
                <w:szCs w:val="22"/>
                <w:lang w:val="lt-LT" w:eastAsia="en-US"/>
              </w:rPr>
              <w:t>, kolchicino</w:t>
            </w:r>
            <w:r w:rsidR="00C16343" w:rsidRPr="00DD4E66">
              <w:rPr>
                <w:rFonts w:eastAsia="TimesNewRoman"/>
                <w:sz w:val="22"/>
                <w:szCs w:val="22"/>
                <w:lang w:val="lt-LT" w:eastAsia="en-US"/>
              </w:rPr>
              <w:t xml:space="preserve"> </w:t>
            </w:r>
            <w:r w:rsidRPr="00DD4E66">
              <w:rPr>
                <w:rFonts w:eastAsia="TimesNewRoman"/>
                <w:sz w:val="22"/>
                <w:szCs w:val="22"/>
                <w:lang w:val="lt-LT" w:eastAsia="en-US"/>
              </w:rPr>
              <w:t>ekspozicija gali padidėti. (CYP3A ir / arba</w:t>
            </w:r>
            <w:r w:rsidR="00C16343" w:rsidRPr="00DD4E66">
              <w:rPr>
                <w:rFonts w:eastAsia="TimesNewRoman"/>
                <w:sz w:val="22"/>
                <w:szCs w:val="22"/>
                <w:lang w:val="lt-LT" w:eastAsia="en-US"/>
              </w:rPr>
              <w:t xml:space="preserve"> </w:t>
            </w:r>
            <w:r w:rsidRPr="00DD4E66">
              <w:rPr>
                <w:rFonts w:eastAsia="TimesNewRoman"/>
                <w:sz w:val="22"/>
                <w:szCs w:val="22"/>
                <w:lang w:val="lt-LT" w:eastAsia="en-US"/>
              </w:rPr>
              <w:t>P-glikoproteino slopinimas)</w:t>
            </w:r>
          </w:p>
        </w:tc>
        <w:tc>
          <w:tcPr>
            <w:tcW w:w="3023" w:type="dxa"/>
            <w:shd w:val="clear" w:color="auto" w:fill="auto"/>
          </w:tcPr>
          <w:p w14:paraId="472B2EB4" w14:textId="77777777" w:rsidR="00645841" w:rsidRPr="00DD4E66" w:rsidRDefault="00C16343"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Jei sustiprintą darunavirą reikia skirti pacientams, kurių inkstų arba kepenų funkcija yra normali, kolchicino dozę rekomenduojama sumažinti arba gydymą kolchicinu nutraukti. Pacientams, kurie serga inkstų arba kepenų funkcijos sutrikimu, kolchicino vartojimas kartu su sustiprintu darunaviru yra kontraindikuotinas (žr. 4.3 skyrių).</w:t>
            </w:r>
          </w:p>
        </w:tc>
      </w:tr>
      <w:tr w:rsidR="00C16343" w:rsidRPr="00DD4E66" w14:paraId="060CB5F4" w14:textId="77777777" w:rsidTr="00D37DA7">
        <w:tc>
          <w:tcPr>
            <w:tcW w:w="9288" w:type="dxa"/>
            <w:gridSpan w:val="4"/>
            <w:shd w:val="clear" w:color="auto" w:fill="auto"/>
          </w:tcPr>
          <w:p w14:paraId="764667E5" w14:textId="77777777" w:rsidR="00C16343" w:rsidRPr="00DD4E66" w:rsidRDefault="00C16343"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VAISTINIAI PREPARATAI NUO MALIARIJOS</w:t>
            </w:r>
          </w:p>
        </w:tc>
      </w:tr>
      <w:tr w:rsidR="00645841" w:rsidRPr="00DD4E66" w14:paraId="024C72E4" w14:textId="77777777" w:rsidTr="00D37DA7">
        <w:tc>
          <w:tcPr>
            <w:tcW w:w="2817" w:type="dxa"/>
            <w:shd w:val="clear" w:color="auto" w:fill="auto"/>
          </w:tcPr>
          <w:p w14:paraId="30AD0B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Artemeteras/Lumefantrinas</w:t>
            </w:r>
            <w:r w:rsidR="00C16343" w:rsidRPr="00DD4E66">
              <w:rPr>
                <w:rFonts w:eastAsia="TimesNewRoman"/>
                <w:sz w:val="22"/>
                <w:szCs w:val="22"/>
                <w:lang w:val="lt-LT" w:eastAsia="en-US"/>
              </w:rPr>
              <w:t xml:space="preserve"> </w:t>
            </w:r>
            <w:r w:rsidRPr="00DD4E66">
              <w:rPr>
                <w:rFonts w:eastAsia="TimesNewRoman"/>
                <w:sz w:val="22"/>
                <w:szCs w:val="22"/>
                <w:lang w:val="lt-LT" w:eastAsia="en-US"/>
              </w:rPr>
              <w:t>80/480</w:t>
            </w:r>
            <w:r w:rsidR="00C16343" w:rsidRPr="00DD4E66">
              <w:rPr>
                <w:rFonts w:eastAsia="TimesNewRoman"/>
                <w:sz w:val="22"/>
                <w:szCs w:val="22"/>
                <w:lang w:val="lt-LT" w:eastAsia="en-US"/>
              </w:rPr>
              <w:t> </w:t>
            </w:r>
            <w:r w:rsidRPr="00DD4E66">
              <w:rPr>
                <w:rFonts w:eastAsia="TimesNewRoman"/>
                <w:sz w:val="22"/>
                <w:szCs w:val="22"/>
                <w:lang w:val="lt-LT" w:eastAsia="en-US"/>
              </w:rPr>
              <w:t>mg, 6 dozės 0, 8,</w:t>
            </w:r>
            <w:r w:rsidR="00C16343" w:rsidRPr="00DD4E66">
              <w:rPr>
                <w:rFonts w:eastAsia="TimesNewRoman"/>
                <w:sz w:val="22"/>
                <w:szCs w:val="22"/>
                <w:lang w:val="lt-LT" w:eastAsia="en-US"/>
              </w:rPr>
              <w:t xml:space="preserve"> </w:t>
            </w:r>
            <w:r w:rsidRPr="00DD4E66">
              <w:rPr>
                <w:rFonts w:eastAsia="TimesNewRoman"/>
                <w:sz w:val="22"/>
                <w:szCs w:val="22"/>
                <w:lang w:val="lt-LT" w:eastAsia="en-US"/>
              </w:rPr>
              <w:t>24, 36, 48 ir 60 valandą</w:t>
            </w:r>
          </w:p>
        </w:tc>
        <w:tc>
          <w:tcPr>
            <w:tcW w:w="3448" w:type="dxa"/>
            <w:gridSpan w:val="2"/>
            <w:shd w:val="clear" w:color="auto" w:fill="auto"/>
          </w:tcPr>
          <w:p w14:paraId="79A1567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artemetero AUC ↓ 16 %</w:t>
            </w:r>
          </w:p>
          <w:p w14:paraId="3D7E4A0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artemetero Cmin ↔</w:t>
            </w:r>
          </w:p>
          <w:p w14:paraId="30EAB6B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artemetero Cmax ↓ 18 %</w:t>
            </w:r>
          </w:p>
          <w:p w14:paraId="376FC7C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dihidroartemisinino AUC ↓ 18 %</w:t>
            </w:r>
          </w:p>
          <w:p w14:paraId="56509D9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dihidroartemisinino Cmin ↔</w:t>
            </w:r>
          </w:p>
          <w:p w14:paraId="6DBBC5A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dihidroartemisinino Cmax ↓ 18 %</w:t>
            </w:r>
          </w:p>
          <w:p w14:paraId="579AC99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lumefantrino AUC ↑ 175 %</w:t>
            </w:r>
          </w:p>
          <w:p w14:paraId="6835C1E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lumefantrino Cmin ↑ 126 %</w:t>
            </w:r>
          </w:p>
          <w:p w14:paraId="715BF53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lumefantrino Cmax ↑ 65 %</w:t>
            </w:r>
          </w:p>
          <w:p w14:paraId="6FDBDB7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w:t>
            </w:r>
          </w:p>
          <w:p w14:paraId="607FF20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13 %</w:t>
            </w:r>
          </w:p>
          <w:p w14:paraId="277593A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Cmax ↔</w:t>
            </w:r>
          </w:p>
        </w:tc>
        <w:tc>
          <w:tcPr>
            <w:tcW w:w="3023" w:type="dxa"/>
            <w:shd w:val="clear" w:color="auto" w:fill="auto"/>
          </w:tcPr>
          <w:p w14:paraId="64AE004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C16343" w:rsidRPr="00DD4E66">
              <w:rPr>
                <w:rFonts w:eastAsia="TimesNewRoman"/>
                <w:sz w:val="22"/>
                <w:szCs w:val="22"/>
                <w:lang w:val="lt-LT" w:eastAsia="en-US"/>
              </w:rPr>
              <w:t>darunavirą</w:t>
            </w:r>
            <w:r w:rsidRPr="00DD4E66">
              <w:rPr>
                <w:rFonts w:eastAsia="TimesNewRoman"/>
                <w:sz w:val="22"/>
                <w:szCs w:val="22"/>
                <w:lang w:val="lt-LT" w:eastAsia="en-US"/>
              </w:rPr>
              <w:t xml:space="preserve"> kartu su</w:t>
            </w:r>
            <w:r w:rsidR="00C16343" w:rsidRPr="00DD4E66">
              <w:rPr>
                <w:rFonts w:eastAsia="TimesNewRoman"/>
                <w:sz w:val="22"/>
                <w:szCs w:val="22"/>
                <w:lang w:val="lt-LT" w:eastAsia="en-US"/>
              </w:rPr>
              <w:t xml:space="preserve"> </w:t>
            </w:r>
            <w:r w:rsidRPr="00DD4E66">
              <w:rPr>
                <w:rFonts w:eastAsia="TimesNewRoman"/>
                <w:sz w:val="22"/>
                <w:szCs w:val="22"/>
                <w:lang w:val="lt-LT" w:eastAsia="en-US"/>
              </w:rPr>
              <w:t>artemeteru/lumefantrinu galima</w:t>
            </w:r>
            <w:r w:rsidR="00C16343" w:rsidRPr="00DD4E66">
              <w:rPr>
                <w:rFonts w:eastAsia="TimesNewRoman"/>
                <w:sz w:val="22"/>
                <w:szCs w:val="22"/>
                <w:lang w:val="lt-LT" w:eastAsia="en-US"/>
              </w:rPr>
              <w:t xml:space="preserve"> </w:t>
            </w:r>
            <w:r w:rsidRPr="00DD4E66">
              <w:rPr>
                <w:rFonts w:eastAsia="TimesNewRoman"/>
                <w:sz w:val="22"/>
                <w:szCs w:val="22"/>
                <w:lang w:val="lt-LT" w:eastAsia="en-US"/>
              </w:rPr>
              <w:t>vartoti nekeičiant dozės, tačiau, dėl</w:t>
            </w:r>
            <w:r w:rsidR="00C16343" w:rsidRPr="00DD4E66">
              <w:rPr>
                <w:rFonts w:eastAsia="TimesNewRoman"/>
                <w:sz w:val="22"/>
                <w:szCs w:val="22"/>
                <w:lang w:val="lt-LT" w:eastAsia="en-US"/>
              </w:rPr>
              <w:t xml:space="preserve"> </w:t>
            </w:r>
            <w:r w:rsidRPr="00DD4E66">
              <w:rPr>
                <w:rFonts w:eastAsia="TimesNewRoman"/>
                <w:sz w:val="22"/>
                <w:szCs w:val="22"/>
                <w:lang w:val="lt-LT" w:eastAsia="en-US"/>
              </w:rPr>
              <w:t>lumefantrino ekspozicijos</w:t>
            </w:r>
            <w:r w:rsidR="00C16343" w:rsidRPr="00DD4E66">
              <w:rPr>
                <w:rFonts w:eastAsia="TimesNewRoman"/>
                <w:sz w:val="22"/>
                <w:szCs w:val="22"/>
                <w:lang w:val="lt-LT" w:eastAsia="en-US"/>
              </w:rPr>
              <w:t xml:space="preserve"> </w:t>
            </w:r>
            <w:r w:rsidRPr="00DD4E66">
              <w:rPr>
                <w:rFonts w:eastAsia="TimesNewRoman"/>
                <w:sz w:val="22"/>
                <w:szCs w:val="22"/>
                <w:lang w:val="lt-LT" w:eastAsia="en-US"/>
              </w:rPr>
              <w:t>padidėjimo derinį reikia vartoti</w:t>
            </w:r>
            <w:r w:rsidR="00C16343" w:rsidRPr="00DD4E66">
              <w:rPr>
                <w:rFonts w:eastAsia="TimesNewRoman"/>
                <w:sz w:val="22"/>
                <w:szCs w:val="22"/>
                <w:lang w:val="lt-LT" w:eastAsia="en-US"/>
              </w:rPr>
              <w:t xml:space="preserve"> </w:t>
            </w:r>
            <w:r w:rsidRPr="00DD4E66">
              <w:rPr>
                <w:rFonts w:eastAsia="TimesNewRoman"/>
                <w:sz w:val="22"/>
                <w:szCs w:val="22"/>
                <w:lang w:val="lt-LT" w:eastAsia="en-US"/>
              </w:rPr>
              <w:t>atsargiai.</w:t>
            </w:r>
          </w:p>
        </w:tc>
      </w:tr>
      <w:tr w:rsidR="00C16343" w:rsidRPr="00DD4E66" w14:paraId="3D1A4050" w14:textId="77777777" w:rsidTr="00D37DA7">
        <w:tc>
          <w:tcPr>
            <w:tcW w:w="9288" w:type="dxa"/>
            <w:gridSpan w:val="4"/>
            <w:shd w:val="clear" w:color="auto" w:fill="auto"/>
          </w:tcPr>
          <w:p w14:paraId="49E04DEC" w14:textId="77777777" w:rsidR="00C16343" w:rsidRPr="00DD4E66" w:rsidRDefault="00C16343"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PRIEŠTUBERKULIOZINIAI VAISTINIAI PREPARATAI</w:t>
            </w:r>
          </w:p>
        </w:tc>
      </w:tr>
      <w:tr w:rsidR="00645841" w:rsidRPr="00DD4E66" w14:paraId="57F609BA" w14:textId="77777777" w:rsidTr="00D37DA7">
        <w:tc>
          <w:tcPr>
            <w:tcW w:w="2817" w:type="dxa"/>
            <w:shd w:val="clear" w:color="auto" w:fill="auto"/>
          </w:tcPr>
          <w:p w14:paraId="332204E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Rifampicinas</w:t>
            </w:r>
          </w:p>
          <w:p w14:paraId="3B238CA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Rifapentinas</w:t>
            </w:r>
          </w:p>
        </w:tc>
        <w:tc>
          <w:tcPr>
            <w:tcW w:w="3448" w:type="dxa"/>
            <w:gridSpan w:val="2"/>
            <w:shd w:val="clear" w:color="auto" w:fill="auto"/>
          </w:tcPr>
          <w:p w14:paraId="5DD6CD7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Rifapentinas ir rifampicinas</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stipriai sužadina CYP3A ir </w:t>
            </w:r>
            <w:r w:rsidR="00C16343" w:rsidRPr="00DD4E66">
              <w:rPr>
                <w:rFonts w:eastAsia="TimesNewRoman"/>
                <w:sz w:val="22"/>
                <w:szCs w:val="22"/>
                <w:lang w:val="lt-LT" w:eastAsia="en-US"/>
              </w:rPr>
              <w:t xml:space="preserve">nustatyta, kad </w:t>
            </w:r>
            <w:r w:rsidRPr="00DD4E66">
              <w:rPr>
                <w:rFonts w:eastAsia="TimesNewRoman"/>
                <w:sz w:val="22"/>
                <w:szCs w:val="22"/>
                <w:lang w:val="lt-LT" w:eastAsia="en-US"/>
              </w:rPr>
              <w:t>ženkliai</w:t>
            </w:r>
            <w:r w:rsidR="00C16343" w:rsidRPr="00DD4E66">
              <w:rPr>
                <w:rFonts w:eastAsia="TimesNewRoman"/>
                <w:sz w:val="22"/>
                <w:szCs w:val="22"/>
                <w:lang w:val="lt-LT" w:eastAsia="en-US"/>
              </w:rPr>
              <w:t xml:space="preserve"> </w:t>
            </w:r>
            <w:r w:rsidRPr="00DD4E66">
              <w:rPr>
                <w:rFonts w:eastAsia="TimesNewRoman"/>
                <w:sz w:val="22"/>
                <w:szCs w:val="22"/>
                <w:lang w:val="lt-LT" w:eastAsia="en-US"/>
              </w:rPr>
              <w:t>sumažina kitų proteazės inhibitorių</w:t>
            </w:r>
            <w:r w:rsidR="00C16343" w:rsidRPr="00DD4E66">
              <w:rPr>
                <w:rFonts w:eastAsia="TimesNewRoman"/>
                <w:sz w:val="22"/>
                <w:szCs w:val="22"/>
                <w:lang w:val="lt-LT" w:eastAsia="en-US"/>
              </w:rPr>
              <w:t xml:space="preserve"> </w:t>
            </w:r>
            <w:r w:rsidRPr="00DD4E66">
              <w:rPr>
                <w:rFonts w:eastAsia="TimesNewRoman"/>
                <w:sz w:val="22"/>
                <w:szCs w:val="22"/>
                <w:lang w:val="lt-LT" w:eastAsia="en-US"/>
              </w:rPr>
              <w:t>koncentracijas, o tai gali lemti</w:t>
            </w:r>
            <w:r w:rsidR="00C16343" w:rsidRPr="00DD4E66">
              <w:rPr>
                <w:rFonts w:eastAsia="TimesNewRoman"/>
                <w:sz w:val="22"/>
                <w:szCs w:val="22"/>
                <w:lang w:val="lt-LT" w:eastAsia="en-US"/>
              </w:rPr>
              <w:t xml:space="preserve"> </w:t>
            </w:r>
            <w:r w:rsidRPr="00DD4E66">
              <w:rPr>
                <w:rFonts w:eastAsia="TimesNewRoman"/>
                <w:sz w:val="22"/>
                <w:szCs w:val="22"/>
                <w:lang w:val="lt-LT" w:eastAsia="en-US"/>
              </w:rPr>
              <w:t>antivirusinio poveikio nepakankamumą ir</w:t>
            </w:r>
            <w:r w:rsidR="00C16343" w:rsidRPr="00DD4E66">
              <w:rPr>
                <w:rFonts w:eastAsia="TimesNewRoman"/>
                <w:sz w:val="22"/>
                <w:szCs w:val="22"/>
                <w:lang w:val="lt-LT" w:eastAsia="en-US"/>
              </w:rPr>
              <w:t xml:space="preserve"> </w:t>
            </w:r>
            <w:r w:rsidRPr="00DD4E66">
              <w:rPr>
                <w:rFonts w:eastAsia="TimesNewRoman"/>
                <w:sz w:val="22"/>
                <w:szCs w:val="22"/>
                <w:lang w:val="lt-LT" w:eastAsia="en-US"/>
              </w:rPr>
              <w:t>atsparių virusų atsiradimą (CYP450</w:t>
            </w:r>
            <w:r w:rsidR="00C16343" w:rsidRPr="00DD4E66">
              <w:rPr>
                <w:rFonts w:eastAsia="TimesNewRoman"/>
                <w:sz w:val="22"/>
                <w:szCs w:val="22"/>
                <w:lang w:val="lt-LT" w:eastAsia="en-US"/>
              </w:rPr>
              <w:t xml:space="preserve"> </w:t>
            </w:r>
            <w:r w:rsidRPr="00DD4E66">
              <w:rPr>
                <w:rFonts w:eastAsia="TimesNewRoman"/>
                <w:sz w:val="22"/>
                <w:szCs w:val="22"/>
                <w:lang w:val="lt-LT" w:eastAsia="en-US"/>
              </w:rPr>
              <w:t>izofermentų sužadinimas). Mėginant</w:t>
            </w:r>
            <w:r w:rsidR="00C16343" w:rsidRPr="00DD4E66">
              <w:rPr>
                <w:rFonts w:eastAsia="TimesNewRoman"/>
                <w:sz w:val="22"/>
                <w:szCs w:val="22"/>
                <w:lang w:val="lt-LT" w:eastAsia="en-US"/>
              </w:rPr>
              <w:t xml:space="preserve"> </w:t>
            </w:r>
            <w:r w:rsidRPr="00DD4E66">
              <w:rPr>
                <w:rFonts w:eastAsia="TimesNewRoman"/>
                <w:sz w:val="22"/>
                <w:szCs w:val="22"/>
                <w:lang w:val="lt-LT" w:eastAsia="en-US"/>
              </w:rPr>
              <w:t>kompensuoti sumažėjusią ekspoziciją</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didesnėmis </w:t>
            </w:r>
            <w:r w:rsidR="00C16343" w:rsidRPr="00DD4E66">
              <w:rPr>
                <w:rFonts w:eastAsia="TimesNewRoman"/>
                <w:sz w:val="22"/>
                <w:szCs w:val="22"/>
                <w:lang w:val="lt-LT" w:eastAsia="en-US"/>
              </w:rPr>
              <w:t xml:space="preserve">dozėmis </w:t>
            </w:r>
            <w:r w:rsidRPr="00DD4E66">
              <w:rPr>
                <w:rFonts w:eastAsia="TimesNewRoman"/>
                <w:sz w:val="22"/>
                <w:szCs w:val="22"/>
                <w:lang w:val="lt-LT" w:eastAsia="en-US"/>
              </w:rPr>
              <w:t>kitų proteazės inhibitorių,</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vartojamų </w:t>
            </w:r>
            <w:r w:rsidRPr="00DD4E66">
              <w:rPr>
                <w:rFonts w:eastAsia="TimesNewRoman"/>
                <w:sz w:val="22"/>
                <w:szCs w:val="22"/>
                <w:lang w:val="lt-LT" w:eastAsia="en-US"/>
              </w:rPr>
              <w:lastRenderedPageBreak/>
              <w:t>karu su maža ritonaviro doze,</w:t>
            </w:r>
            <w:r w:rsidR="00C16343" w:rsidRPr="00DD4E66">
              <w:rPr>
                <w:rFonts w:eastAsia="TimesNewRoman"/>
                <w:sz w:val="22"/>
                <w:szCs w:val="22"/>
                <w:lang w:val="lt-LT" w:eastAsia="en-US"/>
              </w:rPr>
              <w:t xml:space="preserve"> </w:t>
            </w:r>
            <w:r w:rsidRPr="00DD4E66">
              <w:rPr>
                <w:rFonts w:eastAsia="TimesNewRoman"/>
                <w:sz w:val="22"/>
                <w:szCs w:val="22"/>
                <w:lang w:val="lt-LT" w:eastAsia="en-US"/>
              </w:rPr>
              <w:t>vartojant rifampiciną daug</w:t>
            </w:r>
            <w:r w:rsidR="00C16343" w:rsidRPr="00DD4E66">
              <w:rPr>
                <w:rFonts w:eastAsia="TimesNewRoman"/>
                <w:sz w:val="22"/>
                <w:szCs w:val="22"/>
                <w:lang w:val="lt-LT" w:eastAsia="en-US"/>
              </w:rPr>
              <w:t xml:space="preserve"> </w:t>
            </w:r>
            <w:r w:rsidRPr="00DD4E66">
              <w:rPr>
                <w:rFonts w:eastAsia="TimesNewRoman"/>
                <w:sz w:val="22"/>
                <w:szCs w:val="22"/>
                <w:lang w:val="lt-LT" w:eastAsia="en-US"/>
              </w:rPr>
              <w:t>dažniau pasireiškė kepenų reakcijos.</w:t>
            </w:r>
          </w:p>
        </w:tc>
        <w:tc>
          <w:tcPr>
            <w:tcW w:w="3023" w:type="dxa"/>
            <w:shd w:val="clear" w:color="auto" w:fill="auto"/>
          </w:tcPr>
          <w:p w14:paraId="1495F57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Nerekomeduojama vartoti</w:t>
            </w:r>
            <w:r w:rsidR="00C16343" w:rsidRPr="00DD4E66">
              <w:rPr>
                <w:rFonts w:eastAsia="TimesNewRoman"/>
                <w:sz w:val="22"/>
                <w:szCs w:val="22"/>
                <w:lang w:val="lt-LT" w:eastAsia="en-US"/>
              </w:rPr>
              <w:t xml:space="preserve"> </w:t>
            </w:r>
            <w:r w:rsidRPr="00DD4E66">
              <w:rPr>
                <w:rFonts w:eastAsia="TimesNewRoman"/>
                <w:sz w:val="22"/>
                <w:szCs w:val="22"/>
                <w:lang w:val="lt-LT" w:eastAsia="en-US"/>
              </w:rPr>
              <w:t>rifapentino ir sustiprinto</w:t>
            </w:r>
            <w:r w:rsidR="00C16343" w:rsidRPr="00DD4E66">
              <w:rPr>
                <w:rFonts w:eastAsia="TimesNewRoman"/>
                <w:sz w:val="22"/>
                <w:szCs w:val="22"/>
                <w:lang w:val="lt-LT" w:eastAsia="en-US"/>
              </w:rPr>
              <w:t xml:space="preserve"> darunaviro</w:t>
            </w:r>
            <w:r w:rsidRPr="00DD4E66">
              <w:rPr>
                <w:rFonts w:eastAsia="TimesNewRoman"/>
                <w:sz w:val="22"/>
                <w:szCs w:val="22"/>
                <w:lang w:val="lt-LT" w:eastAsia="en-US"/>
              </w:rPr>
              <w:t xml:space="preserve"> derinio.</w:t>
            </w:r>
            <w:r w:rsidR="00C16343" w:rsidRPr="00DD4E66">
              <w:rPr>
                <w:rFonts w:eastAsia="TimesNewRoman"/>
                <w:sz w:val="22"/>
                <w:szCs w:val="22"/>
                <w:lang w:val="lt-LT" w:eastAsia="en-US"/>
              </w:rPr>
              <w:t xml:space="preserve"> </w:t>
            </w:r>
            <w:r w:rsidRPr="00DD4E66">
              <w:rPr>
                <w:rFonts w:eastAsia="TimesNewRoman"/>
                <w:sz w:val="22"/>
                <w:szCs w:val="22"/>
                <w:lang w:val="lt-LT" w:eastAsia="en-US"/>
              </w:rPr>
              <w:t>Rifampicino vartojimas kartu su</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C16343" w:rsidRPr="00DD4E66">
              <w:rPr>
                <w:rFonts w:eastAsia="TimesNewRoman"/>
                <w:sz w:val="22"/>
                <w:szCs w:val="22"/>
                <w:lang w:val="lt-LT" w:eastAsia="en-US"/>
              </w:rPr>
              <w:t>darunaviru</w:t>
            </w:r>
            <w:r w:rsidRPr="00DD4E66">
              <w:rPr>
                <w:rFonts w:eastAsia="TimesNewRoman"/>
                <w:sz w:val="22"/>
                <w:szCs w:val="22"/>
                <w:lang w:val="lt-LT" w:eastAsia="en-US"/>
              </w:rPr>
              <w:t>,kontraindikuotinas (žr. 4.3 skyrių).</w:t>
            </w:r>
          </w:p>
        </w:tc>
      </w:tr>
      <w:tr w:rsidR="00645841" w:rsidRPr="00DD4E66" w14:paraId="4E2E1CEA" w14:textId="77777777" w:rsidTr="00D37DA7">
        <w:tc>
          <w:tcPr>
            <w:tcW w:w="2817" w:type="dxa"/>
            <w:shd w:val="clear" w:color="auto" w:fill="auto"/>
          </w:tcPr>
          <w:p w14:paraId="14E0135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Rifabutinas</w:t>
            </w:r>
            <w:r w:rsidR="00C16343" w:rsidRPr="00DD4E66">
              <w:rPr>
                <w:rFonts w:eastAsia="TimesNewRoman"/>
                <w:sz w:val="22"/>
                <w:szCs w:val="22"/>
                <w:lang w:val="lt-LT" w:eastAsia="en-US"/>
              </w:rPr>
              <w:t xml:space="preserve"> 150 </w:t>
            </w:r>
            <w:r w:rsidRPr="00DD4E66">
              <w:rPr>
                <w:rFonts w:eastAsia="TimesNewRoman"/>
                <w:sz w:val="22"/>
                <w:szCs w:val="22"/>
                <w:lang w:val="lt-LT" w:eastAsia="en-US"/>
              </w:rPr>
              <w:t>mg vieną kartą kas antra parą</w:t>
            </w:r>
          </w:p>
        </w:tc>
        <w:tc>
          <w:tcPr>
            <w:tcW w:w="3448" w:type="dxa"/>
            <w:gridSpan w:val="2"/>
            <w:shd w:val="clear" w:color="auto" w:fill="auto"/>
          </w:tcPr>
          <w:p w14:paraId="7351CFB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rifabutino AUC</w:t>
            </w:r>
            <w:r w:rsidRPr="00DD4E66">
              <w:rPr>
                <w:rFonts w:eastAsia="TimesNewRoman"/>
                <w:sz w:val="22"/>
                <w:szCs w:val="22"/>
                <w:vertAlign w:val="superscript"/>
                <w:lang w:val="lt-LT" w:eastAsia="en-US"/>
              </w:rPr>
              <w:t>**</w:t>
            </w:r>
            <w:r w:rsidRPr="00DD4E66">
              <w:rPr>
                <w:rFonts w:eastAsia="TimesNewRoman"/>
                <w:sz w:val="22"/>
                <w:szCs w:val="22"/>
                <w:lang w:val="lt-LT" w:eastAsia="en-US"/>
              </w:rPr>
              <w:t xml:space="preserve"> ↑ 55 %</w:t>
            </w:r>
          </w:p>
          <w:p w14:paraId="249B39D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rifabutino Cmin</w:t>
            </w:r>
            <w:r w:rsidRPr="00DD4E66">
              <w:rPr>
                <w:rFonts w:eastAsia="TimesNewRoman"/>
                <w:sz w:val="22"/>
                <w:szCs w:val="22"/>
                <w:vertAlign w:val="superscript"/>
                <w:lang w:val="lt-LT" w:eastAsia="en-US"/>
              </w:rPr>
              <w:t xml:space="preserve">** </w:t>
            </w:r>
            <w:r w:rsidRPr="00DD4E66">
              <w:rPr>
                <w:rFonts w:eastAsia="TimesNewRoman"/>
                <w:sz w:val="22"/>
                <w:szCs w:val="22"/>
                <w:lang w:val="lt-LT" w:eastAsia="en-US"/>
              </w:rPr>
              <w:t>↑ NN</w:t>
            </w:r>
          </w:p>
          <w:p w14:paraId="7205A43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rifabutino Cmax</w:t>
            </w:r>
            <w:r w:rsidR="00C16343" w:rsidRPr="00DD4E66">
              <w:rPr>
                <w:rFonts w:eastAsia="TimesNewRoman"/>
                <w:sz w:val="22"/>
                <w:szCs w:val="22"/>
                <w:lang w:val="lt-LT" w:eastAsia="en-US"/>
              </w:rPr>
              <w:t xml:space="preserve"> </w:t>
            </w:r>
            <w:r w:rsidRPr="00DD4E66">
              <w:rPr>
                <w:rFonts w:eastAsia="TimesNewRoman"/>
                <w:sz w:val="22"/>
                <w:szCs w:val="22"/>
                <w:vertAlign w:val="superscript"/>
                <w:lang w:val="lt-LT" w:eastAsia="en-US"/>
              </w:rPr>
              <w:t xml:space="preserve">** </w:t>
            </w:r>
            <w:r w:rsidRPr="00DD4E66">
              <w:rPr>
                <w:rFonts w:eastAsia="TimesNewRoman"/>
                <w:sz w:val="22"/>
                <w:szCs w:val="22"/>
                <w:lang w:val="lt-LT" w:eastAsia="en-US"/>
              </w:rPr>
              <w:t>↔</w:t>
            </w:r>
          </w:p>
          <w:p w14:paraId="5D79F95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53 %</w:t>
            </w:r>
          </w:p>
          <w:p w14:paraId="2B60834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68 %</w:t>
            </w:r>
          </w:p>
          <w:p w14:paraId="30985B5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Cmax ↑ 39 %</w:t>
            </w:r>
          </w:p>
          <w:p w14:paraId="5FF4BC5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rifabutino veikliosios frakcijos visuma (pirminis</w:t>
            </w:r>
            <w:r w:rsidR="00C16343" w:rsidRPr="00DD4E66">
              <w:rPr>
                <w:rFonts w:eastAsia="TimesNewRoman"/>
                <w:sz w:val="22"/>
                <w:szCs w:val="22"/>
                <w:lang w:val="lt-LT" w:eastAsia="en-US"/>
              </w:rPr>
              <w:t xml:space="preserve"> </w:t>
            </w:r>
            <w:r w:rsidRPr="00DD4E66">
              <w:rPr>
                <w:rFonts w:eastAsia="TimesNewRoman"/>
                <w:sz w:val="22"/>
                <w:szCs w:val="22"/>
                <w:lang w:val="lt-LT" w:eastAsia="en-US"/>
              </w:rPr>
              <w:t>vaistinis preparatas + 25-</w:t>
            </w:r>
            <w:r w:rsidRPr="00DD4E66">
              <w:rPr>
                <w:rFonts w:eastAsia="TimesNewRoman"/>
                <w:i/>
                <w:iCs/>
                <w:sz w:val="22"/>
                <w:szCs w:val="22"/>
                <w:lang w:val="lt-LT" w:eastAsia="en-US"/>
              </w:rPr>
              <w:t>O-</w:t>
            </w:r>
            <w:r w:rsidRPr="00DD4E66">
              <w:rPr>
                <w:rFonts w:eastAsia="TimesNewRoman"/>
                <w:sz w:val="22"/>
                <w:szCs w:val="22"/>
                <w:lang w:val="lt-LT" w:eastAsia="en-US"/>
              </w:rPr>
              <w:t>dezacetilmetabolitas)</w:t>
            </w:r>
          </w:p>
          <w:p w14:paraId="4AEA6E75" w14:textId="77777777" w:rsidR="00841FE0" w:rsidRPr="00DD4E66" w:rsidRDefault="00841FE0" w:rsidP="00D37DA7">
            <w:pPr>
              <w:autoSpaceDE w:val="0"/>
              <w:autoSpaceDN w:val="0"/>
              <w:adjustRightInd w:val="0"/>
              <w:rPr>
                <w:rFonts w:eastAsia="TimesNewRoman"/>
                <w:sz w:val="22"/>
                <w:szCs w:val="22"/>
                <w:lang w:val="lt-LT" w:eastAsia="en-US"/>
              </w:rPr>
            </w:pPr>
          </w:p>
          <w:p w14:paraId="1E9C6D5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Sąveikos tyrimas parodė, kad rifabutino</w:t>
            </w:r>
            <w:r w:rsidR="00C16343" w:rsidRPr="00DD4E66">
              <w:rPr>
                <w:rFonts w:eastAsia="TimesNewRoman"/>
                <w:sz w:val="22"/>
                <w:szCs w:val="22"/>
                <w:lang w:val="lt-LT" w:eastAsia="en-US"/>
              </w:rPr>
              <w:t xml:space="preserve"> </w:t>
            </w:r>
            <w:r w:rsidRPr="00DD4E66">
              <w:rPr>
                <w:rFonts w:eastAsia="TimesNewRoman"/>
                <w:sz w:val="22"/>
                <w:szCs w:val="22"/>
                <w:lang w:val="lt-LT" w:eastAsia="en-US"/>
              </w:rPr>
              <w:t>paros sisteminė ekspozicija, vartojant po</w:t>
            </w:r>
            <w:r w:rsidR="00C16343" w:rsidRPr="00DD4E66">
              <w:rPr>
                <w:rFonts w:eastAsia="TimesNewRoman"/>
                <w:sz w:val="22"/>
                <w:szCs w:val="22"/>
                <w:lang w:val="lt-LT" w:eastAsia="en-US"/>
              </w:rPr>
              <w:t xml:space="preserve"> </w:t>
            </w:r>
            <w:r w:rsidRPr="00DD4E66">
              <w:rPr>
                <w:rFonts w:eastAsia="TimesNewRoman"/>
                <w:sz w:val="22"/>
                <w:szCs w:val="22"/>
                <w:lang w:val="lt-LT" w:eastAsia="en-US"/>
              </w:rPr>
              <w:t>300</w:t>
            </w:r>
            <w:r w:rsidR="00C16343" w:rsidRPr="00DD4E66">
              <w:rPr>
                <w:rFonts w:eastAsia="TimesNewRoman"/>
                <w:sz w:val="22"/>
                <w:szCs w:val="22"/>
                <w:lang w:val="lt-LT" w:eastAsia="en-US"/>
              </w:rPr>
              <w:t> </w:t>
            </w:r>
            <w:r w:rsidRPr="00DD4E66">
              <w:rPr>
                <w:rFonts w:eastAsia="TimesNewRoman"/>
                <w:sz w:val="22"/>
                <w:szCs w:val="22"/>
                <w:lang w:val="lt-LT" w:eastAsia="en-US"/>
              </w:rPr>
              <w:t>mg vieną kartą per parą arba po</w:t>
            </w:r>
            <w:r w:rsidR="00C16343" w:rsidRPr="00DD4E66">
              <w:rPr>
                <w:rFonts w:eastAsia="TimesNewRoman"/>
                <w:sz w:val="22"/>
                <w:szCs w:val="22"/>
                <w:lang w:val="lt-LT" w:eastAsia="en-US"/>
              </w:rPr>
              <w:t xml:space="preserve"> </w:t>
            </w:r>
            <w:r w:rsidRPr="00DD4E66">
              <w:rPr>
                <w:rFonts w:eastAsia="TimesNewRoman"/>
                <w:sz w:val="22"/>
                <w:szCs w:val="22"/>
                <w:lang w:val="lt-LT" w:eastAsia="en-US"/>
              </w:rPr>
              <w:t>150</w:t>
            </w:r>
            <w:r w:rsidR="00C16343" w:rsidRPr="00DD4E66">
              <w:rPr>
                <w:rFonts w:eastAsia="TimesNewRoman"/>
                <w:sz w:val="22"/>
                <w:szCs w:val="22"/>
                <w:lang w:val="lt-LT" w:eastAsia="en-US"/>
              </w:rPr>
              <w:t> </w:t>
            </w:r>
            <w:r w:rsidRPr="00DD4E66">
              <w:rPr>
                <w:rFonts w:eastAsia="TimesNewRoman"/>
                <w:sz w:val="22"/>
                <w:szCs w:val="22"/>
                <w:lang w:val="lt-LT" w:eastAsia="en-US"/>
              </w:rPr>
              <w:t>mg vieną kartą per parą kas antrą parą</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kartu su </w:t>
            </w:r>
            <w:r w:rsidR="00C16343" w:rsidRPr="00DD4E66">
              <w:rPr>
                <w:rFonts w:eastAsia="TimesNewRoman"/>
                <w:sz w:val="22"/>
                <w:szCs w:val="22"/>
                <w:lang w:val="lt-LT" w:eastAsia="en-US"/>
              </w:rPr>
              <w:t>darunaviru</w:t>
            </w:r>
            <w:r w:rsidRPr="00DD4E66">
              <w:rPr>
                <w:rFonts w:eastAsia="TimesNewRoman"/>
                <w:sz w:val="22"/>
                <w:szCs w:val="22"/>
                <w:lang w:val="lt-LT" w:eastAsia="en-US"/>
              </w:rPr>
              <w:t>/ritonaviru</w:t>
            </w:r>
            <w:r w:rsidR="00C16343" w:rsidRPr="00DD4E66">
              <w:rPr>
                <w:rFonts w:eastAsia="TimesNewRoman"/>
                <w:sz w:val="22"/>
                <w:szCs w:val="22"/>
                <w:lang w:val="lt-LT" w:eastAsia="en-US"/>
              </w:rPr>
              <w:t xml:space="preserve"> </w:t>
            </w:r>
            <w:r w:rsidRPr="00DD4E66">
              <w:rPr>
                <w:rFonts w:eastAsia="TimesNewRoman"/>
                <w:sz w:val="22"/>
                <w:szCs w:val="22"/>
                <w:lang w:val="lt-LT" w:eastAsia="en-US"/>
              </w:rPr>
              <w:t>(600/100</w:t>
            </w:r>
            <w:r w:rsidR="00C16343" w:rsidRPr="00DD4E66">
              <w:rPr>
                <w:rFonts w:eastAsia="TimesNewRoman"/>
                <w:sz w:val="22"/>
                <w:szCs w:val="22"/>
                <w:lang w:val="lt-LT" w:eastAsia="en-US"/>
              </w:rPr>
              <w:t> </w:t>
            </w:r>
            <w:r w:rsidRPr="00DD4E66">
              <w:rPr>
                <w:rFonts w:eastAsia="TimesNewRoman"/>
                <w:sz w:val="22"/>
                <w:szCs w:val="22"/>
                <w:lang w:val="lt-LT" w:eastAsia="en-US"/>
              </w:rPr>
              <w:t xml:space="preserve"> mg du kartus per parą), buvo</w:t>
            </w:r>
            <w:r w:rsidR="00C16343" w:rsidRPr="00DD4E66">
              <w:rPr>
                <w:rFonts w:eastAsia="TimesNewRoman"/>
                <w:sz w:val="22"/>
                <w:szCs w:val="22"/>
                <w:lang w:val="lt-LT" w:eastAsia="en-US"/>
              </w:rPr>
              <w:t xml:space="preserve"> </w:t>
            </w:r>
            <w:r w:rsidRPr="00DD4E66">
              <w:rPr>
                <w:rFonts w:eastAsia="TimesNewRoman"/>
                <w:sz w:val="22"/>
                <w:szCs w:val="22"/>
                <w:lang w:val="lt-LT" w:eastAsia="en-US"/>
              </w:rPr>
              <w:t xml:space="preserve">panaši, o aktyvaus </w:t>
            </w:r>
            <w:r w:rsidR="00C16343" w:rsidRPr="00DD4E66">
              <w:rPr>
                <w:rFonts w:eastAsia="TimesNewRoman"/>
                <w:sz w:val="22"/>
                <w:szCs w:val="22"/>
                <w:lang w:val="lt-LT" w:eastAsia="en-US"/>
              </w:rPr>
              <w:t xml:space="preserve">metabolite </w:t>
            </w:r>
            <w:r w:rsidRPr="00DD4E66">
              <w:rPr>
                <w:rFonts w:eastAsia="TimesNewRoman"/>
                <w:sz w:val="22"/>
                <w:szCs w:val="22"/>
                <w:lang w:val="lt-LT" w:eastAsia="en-US"/>
              </w:rPr>
              <w:t>25-</w:t>
            </w:r>
            <w:r w:rsidRPr="00DD4E66">
              <w:rPr>
                <w:rFonts w:eastAsia="TimesNewRoman"/>
                <w:i/>
                <w:iCs/>
                <w:sz w:val="22"/>
                <w:szCs w:val="22"/>
                <w:lang w:val="lt-LT" w:eastAsia="en-US"/>
              </w:rPr>
              <w:t>O-</w:t>
            </w:r>
            <w:r w:rsidRPr="00DD4E66">
              <w:rPr>
                <w:rFonts w:eastAsia="TimesNewRoman"/>
                <w:sz w:val="22"/>
                <w:szCs w:val="22"/>
                <w:lang w:val="lt-LT" w:eastAsia="en-US"/>
              </w:rPr>
              <w:t>dezacetilrifabutino paros ekspozicija</w:t>
            </w:r>
            <w:r w:rsidR="00C16343" w:rsidRPr="00DD4E66">
              <w:rPr>
                <w:rFonts w:eastAsia="TimesNewRoman"/>
                <w:sz w:val="22"/>
                <w:szCs w:val="22"/>
                <w:lang w:val="lt-LT" w:eastAsia="en-US"/>
              </w:rPr>
              <w:t xml:space="preserve"> </w:t>
            </w:r>
            <w:r w:rsidRPr="00DD4E66">
              <w:rPr>
                <w:rFonts w:eastAsia="TimesNewRoman"/>
                <w:sz w:val="22"/>
                <w:szCs w:val="22"/>
                <w:lang w:val="lt-LT" w:eastAsia="en-US"/>
              </w:rPr>
              <w:t>padidėjo maždaug 10 kartų. Be to, visos</w:t>
            </w:r>
            <w:r w:rsidR="00C16343" w:rsidRPr="00DD4E66">
              <w:rPr>
                <w:rFonts w:eastAsia="TimesNewRoman"/>
                <w:sz w:val="22"/>
                <w:szCs w:val="22"/>
                <w:lang w:val="lt-LT" w:eastAsia="en-US"/>
              </w:rPr>
              <w:t xml:space="preserve"> </w:t>
            </w:r>
            <w:r w:rsidRPr="00DD4E66">
              <w:rPr>
                <w:rFonts w:eastAsia="TimesNewRoman"/>
                <w:sz w:val="22"/>
                <w:szCs w:val="22"/>
                <w:lang w:val="lt-LT" w:eastAsia="en-US"/>
              </w:rPr>
              <w:t>veikliosios rifabutino frakcijos AUC</w:t>
            </w:r>
            <w:r w:rsidR="00C16343" w:rsidRPr="00DD4E66">
              <w:rPr>
                <w:rFonts w:eastAsia="TimesNewRoman"/>
                <w:sz w:val="22"/>
                <w:szCs w:val="22"/>
                <w:lang w:val="lt-LT" w:eastAsia="en-US"/>
              </w:rPr>
              <w:t xml:space="preserve"> </w:t>
            </w:r>
            <w:r w:rsidRPr="00DD4E66">
              <w:rPr>
                <w:rFonts w:eastAsia="TimesNewRoman"/>
                <w:sz w:val="22"/>
                <w:szCs w:val="22"/>
                <w:lang w:val="lt-LT" w:eastAsia="en-US"/>
              </w:rPr>
              <w:t>(pirminis vaistinis preparatas</w:t>
            </w:r>
            <w:r w:rsidR="00C16343" w:rsidRPr="00DD4E66">
              <w:rPr>
                <w:rFonts w:eastAsia="TimesNewRoman"/>
                <w:sz w:val="22"/>
                <w:szCs w:val="22"/>
                <w:lang w:val="lt-LT" w:eastAsia="en-US"/>
              </w:rPr>
              <w:t xml:space="preserve"> </w:t>
            </w:r>
            <w:r w:rsidRPr="00DD4E66">
              <w:rPr>
                <w:rFonts w:eastAsia="TimesNewRoman"/>
                <w:sz w:val="22"/>
                <w:szCs w:val="22"/>
                <w:lang w:val="lt-LT" w:eastAsia="en-US"/>
              </w:rPr>
              <w:t>+ 25-</w:t>
            </w:r>
            <w:r w:rsidRPr="00DD4E66">
              <w:rPr>
                <w:rFonts w:eastAsia="TimesNewRoman"/>
                <w:i/>
                <w:iCs/>
                <w:sz w:val="22"/>
                <w:szCs w:val="22"/>
                <w:lang w:val="lt-LT" w:eastAsia="en-US"/>
              </w:rPr>
              <w:t>O</w:t>
            </w:r>
            <w:r w:rsidRPr="00DD4E66">
              <w:rPr>
                <w:rFonts w:eastAsia="TimesNewRoman"/>
                <w:sz w:val="22"/>
                <w:szCs w:val="22"/>
                <w:lang w:val="lt-LT" w:eastAsia="en-US"/>
              </w:rPr>
              <w:t>-dezacetilmetabolitas) padidėjo1,6 karto, o Cmax liko panaši.</w:t>
            </w:r>
          </w:p>
          <w:p w14:paraId="721AD56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Trūksta duomenų apie palyginamosios</w:t>
            </w:r>
            <w:r w:rsidR="00546D8A" w:rsidRPr="00DD4E66">
              <w:rPr>
                <w:rFonts w:eastAsia="TimesNewRoman"/>
                <w:sz w:val="22"/>
                <w:szCs w:val="22"/>
                <w:lang w:val="lt-LT" w:eastAsia="en-US"/>
              </w:rPr>
              <w:t xml:space="preserve"> </w:t>
            </w:r>
            <w:r w:rsidRPr="00DD4E66">
              <w:rPr>
                <w:rFonts w:eastAsia="TimesNewRoman"/>
                <w:sz w:val="22"/>
                <w:szCs w:val="22"/>
                <w:lang w:val="lt-LT" w:eastAsia="en-US"/>
              </w:rPr>
              <w:t>150</w:t>
            </w:r>
            <w:r w:rsidR="00546D8A" w:rsidRPr="00DD4E66">
              <w:rPr>
                <w:rFonts w:eastAsia="TimesNewRoman"/>
                <w:sz w:val="22"/>
                <w:szCs w:val="22"/>
                <w:lang w:val="lt-LT" w:eastAsia="en-US"/>
              </w:rPr>
              <w:t> </w:t>
            </w:r>
            <w:r w:rsidRPr="00DD4E66">
              <w:rPr>
                <w:rFonts w:eastAsia="TimesNewRoman"/>
                <w:sz w:val="22"/>
                <w:szCs w:val="22"/>
                <w:lang w:val="lt-LT" w:eastAsia="en-US"/>
              </w:rPr>
              <w:t>mg dozės vartojimą vieną kartą per</w:t>
            </w:r>
            <w:r w:rsidR="00546D8A" w:rsidRPr="00DD4E66">
              <w:rPr>
                <w:rFonts w:eastAsia="TimesNewRoman"/>
                <w:sz w:val="22"/>
                <w:szCs w:val="22"/>
                <w:lang w:val="lt-LT" w:eastAsia="en-US"/>
              </w:rPr>
              <w:t xml:space="preserve"> </w:t>
            </w:r>
            <w:r w:rsidRPr="00DD4E66">
              <w:rPr>
                <w:rFonts w:eastAsia="TimesNewRoman"/>
                <w:sz w:val="22"/>
                <w:szCs w:val="22"/>
                <w:lang w:val="lt-LT" w:eastAsia="en-US"/>
              </w:rPr>
              <w:t>parą.</w:t>
            </w:r>
          </w:p>
          <w:p w14:paraId="0A7AB35B" w14:textId="77777777" w:rsidR="00841FE0" w:rsidRPr="00DD4E66" w:rsidRDefault="00841FE0" w:rsidP="00D37DA7">
            <w:pPr>
              <w:autoSpaceDE w:val="0"/>
              <w:autoSpaceDN w:val="0"/>
              <w:adjustRightInd w:val="0"/>
              <w:rPr>
                <w:rFonts w:eastAsia="TimesNewRoman"/>
                <w:sz w:val="22"/>
                <w:szCs w:val="22"/>
                <w:lang w:val="lt-LT" w:eastAsia="en-US"/>
              </w:rPr>
            </w:pPr>
          </w:p>
          <w:p w14:paraId="203F6E2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(Rifabutinas sužadina CYP3A4 ir yra</w:t>
            </w:r>
            <w:r w:rsidR="00546D8A" w:rsidRPr="00DD4E66">
              <w:rPr>
                <w:rFonts w:eastAsia="TimesNewRoman"/>
                <w:sz w:val="22"/>
                <w:szCs w:val="22"/>
                <w:lang w:val="lt-LT" w:eastAsia="en-US"/>
              </w:rPr>
              <w:t xml:space="preserve"> </w:t>
            </w:r>
            <w:r w:rsidRPr="00DD4E66">
              <w:rPr>
                <w:rFonts w:eastAsia="TimesNewRoman"/>
                <w:sz w:val="22"/>
                <w:szCs w:val="22"/>
                <w:lang w:val="lt-LT" w:eastAsia="en-US"/>
              </w:rPr>
              <w:t>CYP3A4 izofermento substratas.)</w:t>
            </w:r>
            <w:r w:rsidR="00546D8A" w:rsidRPr="00DD4E66">
              <w:rPr>
                <w:rFonts w:eastAsia="TimesNewRoman"/>
                <w:sz w:val="22"/>
                <w:szCs w:val="22"/>
                <w:lang w:val="lt-LT" w:eastAsia="en-US"/>
              </w:rPr>
              <w:t xml:space="preserve"> Darunavirą</w:t>
            </w:r>
            <w:r w:rsidRPr="00DD4E66">
              <w:rPr>
                <w:rFonts w:eastAsia="TimesNewRoman"/>
                <w:sz w:val="22"/>
                <w:szCs w:val="22"/>
                <w:lang w:val="lt-LT" w:eastAsia="en-US"/>
              </w:rPr>
              <w:t xml:space="preserve"> vartojant kartu su 100</w:t>
            </w:r>
            <w:r w:rsidR="00546D8A" w:rsidRPr="00DD4E66">
              <w:rPr>
                <w:rFonts w:eastAsia="TimesNewRoman"/>
                <w:sz w:val="22"/>
                <w:szCs w:val="22"/>
                <w:lang w:val="lt-LT" w:eastAsia="en-US"/>
              </w:rPr>
              <w:t> </w:t>
            </w:r>
            <w:r w:rsidRPr="00DD4E66">
              <w:rPr>
                <w:rFonts w:eastAsia="TimesNewRoman"/>
                <w:sz w:val="22"/>
                <w:szCs w:val="22"/>
                <w:lang w:val="lt-LT" w:eastAsia="en-US"/>
              </w:rPr>
              <w:t>mg</w:t>
            </w:r>
            <w:r w:rsidR="00546D8A" w:rsidRPr="00DD4E66">
              <w:rPr>
                <w:rFonts w:eastAsia="TimesNewRoman"/>
                <w:sz w:val="22"/>
                <w:szCs w:val="22"/>
                <w:lang w:val="lt-LT" w:eastAsia="en-US"/>
              </w:rPr>
              <w:t xml:space="preserve"> </w:t>
            </w:r>
            <w:r w:rsidRPr="00DD4E66">
              <w:rPr>
                <w:rFonts w:eastAsia="TimesNewRoman"/>
                <w:sz w:val="22"/>
                <w:szCs w:val="22"/>
                <w:lang w:val="lt-LT" w:eastAsia="en-US"/>
              </w:rPr>
              <w:t>ritonaviro ir vartojant kartu rifabutiną</w:t>
            </w:r>
            <w:r w:rsidR="00546D8A" w:rsidRPr="00DD4E66">
              <w:rPr>
                <w:rFonts w:eastAsia="TimesNewRoman"/>
                <w:sz w:val="22"/>
                <w:szCs w:val="22"/>
                <w:lang w:val="lt-LT" w:eastAsia="en-US"/>
              </w:rPr>
              <w:t xml:space="preserve"> </w:t>
            </w:r>
            <w:r w:rsidRPr="00DD4E66">
              <w:rPr>
                <w:rFonts w:eastAsia="TimesNewRoman"/>
                <w:sz w:val="22"/>
                <w:szCs w:val="22"/>
                <w:lang w:val="lt-LT" w:eastAsia="en-US"/>
              </w:rPr>
              <w:t>(150</w:t>
            </w:r>
            <w:r w:rsidR="00546D8A" w:rsidRPr="00DD4E66">
              <w:rPr>
                <w:rFonts w:eastAsia="TimesNewRoman"/>
                <w:sz w:val="22"/>
                <w:szCs w:val="22"/>
                <w:lang w:val="lt-LT" w:eastAsia="en-US"/>
              </w:rPr>
              <w:t> </w:t>
            </w:r>
            <w:r w:rsidRPr="00DD4E66">
              <w:rPr>
                <w:rFonts w:eastAsia="TimesNewRoman"/>
                <w:sz w:val="22"/>
                <w:szCs w:val="22"/>
                <w:lang w:val="lt-LT" w:eastAsia="en-US"/>
              </w:rPr>
              <w:t xml:space="preserve">mg vieną kartą per parą kas </w:t>
            </w:r>
            <w:r w:rsidR="00546D8A" w:rsidRPr="00DD4E66">
              <w:rPr>
                <w:rFonts w:eastAsia="TimesNewRoman"/>
                <w:sz w:val="22"/>
                <w:szCs w:val="22"/>
                <w:lang w:val="lt-LT" w:eastAsia="en-US"/>
              </w:rPr>
              <w:t xml:space="preserve">antra </w:t>
            </w:r>
            <w:r w:rsidRPr="00DD4E66">
              <w:rPr>
                <w:rFonts w:eastAsia="TimesNewRoman"/>
                <w:sz w:val="22"/>
                <w:szCs w:val="22"/>
                <w:lang w:val="lt-LT" w:eastAsia="en-US"/>
              </w:rPr>
              <w:t>parą), nustatytas sisteminės darunaviro</w:t>
            </w:r>
            <w:r w:rsidR="00546D8A" w:rsidRPr="00DD4E66">
              <w:rPr>
                <w:rFonts w:eastAsia="TimesNewRoman"/>
                <w:sz w:val="22"/>
                <w:szCs w:val="22"/>
                <w:lang w:val="lt-LT" w:eastAsia="en-US"/>
              </w:rPr>
              <w:t xml:space="preserve"> </w:t>
            </w:r>
            <w:r w:rsidRPr="00DD4E66">
              <w:rPr>
                <w:rFonts w:eastAsia="TimesNewRoman"/>
                <w:sz w:val="22"/>
                <w:szCs w:val="22"/>
                <w:lang w:val="lt-LT" w:eastAsia="en-US"/>
              </w:rPr>
              <w:t>ekspozicijos padidėjimas.</w:t>
            </w:r>
          </w:p>
        </w:tc>
        <w:tc>
          <w:tcPr>
            <w:tcW w:w="3023" w:type="dxa"/>
            <w:shd w:val="clear" w:color="auto" w:fill="auto"/>
          </w:tcPr>
          <w:p w14:paraId="3C7245B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Pacientams, kurie gydomi</w:t>
            </w:r>
            <w:r w:rsidR="00546D8A" w:rsidRPr="00DD4E66">
              <w:rPr>
                <w:rFonts w:eastAsia="TimesNewRoman"/>
                <w:sz w:val="22"/>
                <w:szCs w:val="22"/>
                <w:lang w:val="lt-LT" w:eastAsia="en-US"/>
              </w:rPr>
              <w:t xml:space="preserve"> darunaviro</w:t>
            </w:r>
            <w:r w:rsidRPr="00DD4E66">
              <w:rPr>
                <w:rFonts w:eastAsia="TimesNewRoman"/>
                <w:sz w:val="22"/>
                <w:szCs w:val="22"/>
                <w:lang w:val="lt-LT" w:eastAsia="en-US"/>
              </w:rPr>
              <w:t xml:space="preserve"> ir ritonaviro deriniu,</w:t>
            </w:r>
            <w:r w:rsidR="00546D8A" w:rsidRPr="00DD4E66">
              <w:rPr>
                <w:rFonts w:eastAsia="TimesNewRoman"/>
                <w:sz w:val="22"/>
                <w:szCs w:val="22"/>
                <w:lang w:val="lt-LT" w:eastAsia="en-US"/>
              </w:rPr>
              <w:t xml:space="preserve"> </w:t>
            </w:r>
            <w:r w:rsidRPr="00DD4E66">
              <w:rPr>
                <w:rFonts w:eastAsia="TimesNewRoman"/>
                <w:sz w:val="22"/>
                <w:szCs w:val="22"/>
                <w:lang w:val="lt-LT" w:eastAsia="en-US"/>
              </w:rPr>
              <w:t>įprastą 300</w:t>
            </w:r>
            <w:r w:rsidR="00546D8A" w:rsidRPr="00DD4E66">
              <w:rPr>
                <w:rFonts w:eastAsia="TimesNewRoman"/>
                <w:sz w:val="22"/>
                <w:szCs w:val="22"/>
                <w:lang w:val="lt-LT" w:eastAsia="en-US"/>
              </w:rPr>
              <w:t> </w:t>
            </w:r>
            <w:r w:rsidRPr="00DD4E66">
              <w:rPr>
                <w:rFonts w:eastAsia="TimesNewRoman"/>
                <w:sz w:val="22"/>
                <w:szCs w:val="22"/>
                <w:lang w:val="lt-LT" w:eastAsia="en-US"/>
              </w:rPr>
              <w:t>mg rifabutino paros</w:t>
            </w:r>
            <w:r w:rsidR="00546D8A" w:rsidRPr="00DD4E66">
              <w:rPr>
                <w:rFonts w:eastAsia="TimesNewRoman"/>
                <w:sz w:val="22"/>
                <w:szCs w:val="22"/>
                <w:lang w:val="lt-LT" w:eastAsia="en-US"/>
              </w:rPr>
              <w:t xml:space="preserve"> </w:t>
            </w:r>
            <w:r w:rsidRPr="00DD4E66">
              <w:rPr>
                <w:rFonts w:eastAsia="TimesNewRoman"/>
                <w:sz w:val="22"/>
                <w:szCs w:val="22"/>
                <w:lang w:val="lt-LT" w:eastAsia="en-US"/>
              </w:rPr>
              <w:t>dozę reikia sumažinti 75 % (t. y.</w:t>
            </w:r>
            <w:r w:rsidR="00546D8A" w:rsidRPr="00DD4E66">
              <w:rPr>
                <w:rFonts w:eastAsia="TimesNewRoman"/>
                <w:sz w:val="22"/>
                <w:szCs w:val="22"/>
                <w:lang w:val="lt-LT" w:eastAsia="en-US"/>
              </w:rPr>
              <w:t xml:space="preserve"> </w:t>
            </w:r>
            <w:r w:rsidRPr="00DD4E66">
              <w:rPr>
                <w:rFonts w:eastAsia="TimesNewRoman"/>
                <w:sz w:val="22"/>
                <w:szCs w:val="22"/>
                <w:lang w:val="lt-LT" w:eastAsia="en-US"/>
              </w:rPr>
              <w:t>vartoti po 150</w:t>
            </w:r>
            <w:r w:rsidR="00546D8A" w:rsidRPr="00DD4E66">
              <w:rPr>
                <w:rFonts w:eastAsia="TimesNewRoman"/>
                <w:sz w:val="22"/>
                <w:szCs w:val="22"/>
                <w:lang w:val="lt-LT" w:eastAsia="en-US"/>
              </w:rPr>
              <w:t> </w:t>
            </w:r>
            <w:r w:rsidRPr="00DD4E66">
              <w:rPr>
                <w:rFonts w:eastAsia="TimesNewRoman"/>
                <w:sz w:val="22"/>
                <w:szCs w:val="22"/>
                <w:lang w:val="lt-LT" w:eastAsia="en-US"/>
              </w:rPr>
              <w:t>mg vieną kartą per</w:t>
            </w:r>
            <w:r w:rsidR="00546D8A" w:rsidRPr="00DD4E66">
              <w:rPr>
                <w:rFonts w:eastAsia="TimesNewRoman"/>
                <w:sz w:val="22"/>
                <w:szCs w:val="22"/>
                <w:lang w:val="lt-LT" w:eastAsia="en-US"/>
              </w:rPr>
              <w:t xml:space="preserve"> </w:t>
            </w:r>
            <w:r w:rsidRPr="00DD4E66">
              <w:rPr>
                <w:rFonts w:eastAsia="TimesNewRoman"/>
                <w:sz w:val="22"/>
                <w:szCs w:val="22"/>
                <w:lang w:val="lt-LT" w:eastAsia="en-US"/>
              </w:rPr>
              <w:t>parą kas antrą parą) ir atidžiau</w:t>
            </w:r>
            <w:r w:rsidR="00546D8A" w:rsidRPr="00DD4E66">
              <w:rPr>
                <w:rFonts w:eastAsia="TimesNewRoman"/>
                <w:sz w:val="22"/>
                <w:szCs w:val="22"/>
                <w:lang w:val="lt-LT" w:eastAsia="en-US"/>
              </w:rPr>
              <w:t xml:space="preserve"> </w:t>
            </w:r>
            <w:r w:rsidRPr="00DD4E66">
              <w:rPr>
                <w:rFonts w:eastAsia="TimesNewRoman"/>
                <w:sz w:val="22"/>
                <w:szCs w:val="22"/>
                <w:lang w:val="lt-LT" w:eastAsia="en-US"/>
              </w:rPr>
              <w:t>stebėti, ar neatsiranda su rifabutino</w:t>
            </w:r>
            <w:r w:rsidR="00546D8A" w:rsidRPr="00DD4E66">
              <w:rPr>
                <w:rFonts w:eastAsia="TimesNewRoman"/>
                <w:sz w:val="22"/>
                <w:szCs w:val="22"/>
                <w:lang w:val="lt-LT" w:eastAsia="en-US"/>
              </w:rPr>
              <w:t xml:space="preserve"> </w:t>
            </w:r>
            <w:r w:rsidRPr="00DD4E66">
              <w:rPr>
                <w:rFonts w:eastAsia="TimesNewRoman"/>
                <w:sz w:val="22"/>
                <w:szCs w:val="22"/>
                <w:lang w:val="lt-LT" w:eastAsia="en-US"/>
              </w:rPr>
              <w:t>vartojimu susijusių nepageidaujamų</w:t>
            </w:r>
            <w:r w:rsidR="00546D8A" w:rsidRPr="00DD4E66">
              <w:rPr>
                <w:rFonts w:eastAsia="TimesNewRoman"/>
                <w:sz w:val="22"/>
                <w:szCs w:val="22"/>
                <w:lang w:val="lt-LT" w:eastAsia="en-US"/>
              </w:rPr>
              <w:t xml:space="preserve"> </w:t>
            </w:r>
            <w:r w:rsidRPr="00DD4E66">
              <w:rPr>
                <w:rFonts w:eastAsia="TimesNewRoman"/>
                <w:sz w:val="22"/>
                <w:szCs w:val="22"/>
                <w:lang w:val="lt-LT" w:eastAsia="en-US"/>
              </w:rPr>
              <w:t>reiškinių. Dėl saugumo rifabutino</w:t>
            </w:r>
            <w:r w:rsidR="00546D8A" w:rsidRPr="00DD4E66">
              <w:rPr>
                <w:rFonts w:eastAsia="TimesNewRoman"/>
                <w:sz w:val="22"/>
                <w:szCs w:val="22"/>
                <w:lang w:val="lt-LT" w:eastAsia="en-US"/>
              </w:rPr>
              <w:t xml:space="preserve"> </w:t>
            </w:r>
            <w:r w:rsidRPr="00DD4E66">
              <w:rPr>
                <w:rFonts w:eastAsia="TimesNewRoman"/>
                <w:sz w:val="22"/>
                <w:szCs w:val="22"/>
                <w:lang w:val="lt-LT" w:eastAsia="en-US"/>
              </w:rPr>
              <w:t>dozę reikia apgalvotai skirti dar</w:t>
            </w:r>
            <w:r w:rsidR="00546D8A" w:rsidRPr="00DD4E66">
              <w:rPr>
                <w:rFonts w:eastAsia="TimesNewRoman"/>
                <w:sz w:val="22"/>
                <w:szCs w:val="22"/>
                <w:lang w:val="lt-LT" w:eastAsia="en-US"/>
              </w:rPr>
              <w:t xml:space="preserve"> </w:t>
            </w:r>
            <w:r w:rsidRPr="00DD4E66">
              <w:rPr>
                <w:rFonts w:eastAsia="TimesNewRoman"/>
                <w:sz w:val="22"/>
                <w:szCs w:val="22"/>
                <w:lang w:val="lt-LT" w:eastAsia="en-US"/>
              </w:rPr>
              <w:t>rečiau ir (arba) atidžiai stebėti</w:t>
            </w:r>
            <w:r w:rsidR="00546D8A" w:rsidRPr="00DD4E66">
              <w:rPr>
                <w:rFonts w:eastAsia="TimesNewRoman"/>
                <w:sz w:val="22"/>
                <w:szCs w:val="22"/>
                <w:lang w:val="lt-LT" w:eastAsia="en-US"/>
              </w:rPr>
              <w:t xml:space="preserve"> </w:t>
            </w:r>
            <w:r w:rsidRPr="00DD4E66">
              <w:rPr>
                <w:rFonts w:eastAsia="TimesNewRoman"/>
                <w:sz w:val="22"/>
                <w:szCs w:val="22"/>
                <w:lang w:val="lt-LT" w:eastAsia="en-US"/>
              </w:rPr>
              <w:t>rifabutino koncentraciją.</w:t>
            </w:r>
          </w:p>
          <w:p w14:paraId="06E9F62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Reikia atsižvelgti į oficialias ŽIV</w:t>
            </w:r>
            <w:r w:rsidR="00546D8A" w:rsidRPr="00DD4E66">
              <w:rPr>
                <w:rFonts w:eastAsia="TimesNewRoman"/>
                <w:sz w:val="22"/>
                <w:szCs w:val="22"/>
                <w:lang w:val="lt-LT" w:eastAsia="en-US"/>
              </w:rPr>
              <w:t xml:space="preserve"> </w:t>
            </w:r>
            <w:r w:rsidRPr="00DD4E66">
              <w:rPr>
                <w:rFonts w:eastAsia="TimesNewRoman"/>
                <w:sz w:val="22"/>
                <w:szCs w:val="22"/>
                <w:lang w:val="lt-LT" w:eastAsia="en-US"/>
              </w:rPr>
              <w:t>užsikrėtusių pacientų tuberkuliozės</w:t>
            </w:r>
            <w:r w:rsidR="00546D8A" w:rsidRPr="00DD4E66">
              <w:rPr>
                <w:rFonts w:eastAsia="TimesNewRoman"/>
                <w:sz w:val="22"/>
                <w:szCs w:val="22"/>
                <w:lang w:val="lt-LT" w:eastAsia="en-US"/>
              </w:rPr>
              <w:t xml:space="preserve"> </w:t>
            </w:r>
            <w:r w:rsidRPr="00DD4E66">
              <w:rPr>
                <w:rFonts w:eastAsia="TimesNewRoman"/>
                <w:sz w:val="22"/>
                <w:szCs w:val="22"/>
                <w:lang w:val="lt-LT" w:eastAsia="en-US"/>
              </w:rPr>
              <w:t>gydymo rekomendacijas.</w:t>
            </w:r>
          </w:p>
          <w:p w14:paraId="5895A44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Remiantis </w:t>
            </w:r>
            <w:r w:rsidR="00546D8A" w:rsidRPr="00DD4E66">
              <w:rPr>
                <w:rFonts w:eastAsia="TimesNewRoman"/>
                <w:sz w:val="22"/>
                <w:szCs w:val="22"/>
                <w:lang w:val="lt-LT" w:eastAsia="en-US"/>
              </w:rPr>
              <w:t>darunaviro</w:t>
            </w:r>
            <w:r w:rsidRPr="00DD4E66">
              <w:rPr>
                <w:rFonts w:eastAsia="TimesNewRoman"/>
                <w:sz w:val="22"/>
                <w:szCs w:val="22"/>
                <w:lang w:val="lt-LT" w:eastAsia="en-US"/>
              </w:rPr>
              <w:t>/ritonaviro</w:t>
            </w:r>
            <w:r w:rsidR="00546D8A" w:rsidRPr="00DD4E66">
              <w:rPr>
                <w:rFonts w:eastAsia="TimesNewRoman"/>
                <w:sz w:val="22"/>
                <w:szCs w:val="22"/>
                <w:lang w:val="lt-LT" w:eastAsia="en-US"/>
              </w:rPr>
              <w:t xml:space="preserve"> </w:t>
            </w:r>
            <w:r w:rsidRPr="00DD4E66">
              <w:rPr>
                <w:rFonts w:eastAsia="TimesNewRoman"/>
                <w:sz w:val="22"/>
                <w:szCs w:val="22"/>
                <w:lang w:val="lt-LT" w:eastAsia="en-US"/>
              </w:rPr>
              <w:t>vartojimo saugumo duomenimis, šis</w:t>
            </w:r>
            <w:r w:rsidR="00546D8A" w:rsidRPr="00DD4E66">
              <w:rPr>
                <w:rFonts w:eastAsia="TimesNewRoman"/>
                <w:sz w:val="22"/>
                <w:szCs w:val="22"/>
                <w:lang w:val="lt-LT" w:eastAsia="en-US"/>
              </w:rPr>
              <w:t xml:space="preserve"> </w:t>
            </w:r>
            <w:r w:rsidRPr="00DD4E66">
              <w:rPr>
                <w:rFonts w:eastAsia="TimesNewRoman"/>
                <w:sz w:val="22"/>
                <w:szCs w:val="22"/>
                <w:lang w:val="lt-LT" w:eastAsia="en-US"/>
              </w:rPr>
              <w:t>darunaviro ekspozicijos padidėjimas</w:t>
            </w:r>
            <w:r w:rsidR="00546D8A" w:rsidRPr="00DD4E66">
              <w:rPr>
                <w:rFonts w:eastAsia="TimesNewRoman"/>
                <w:sz w:val="22"/>
                <w:szCs w:val="22"/>
                <w:lang w:val="lt-LT" w:eastAsia="en-US"/>
              </w:rPr>
              <w:t xml:space="preserve"> </w:t>
            </w:r>
            <w:r w:rsidRPr="00DD4E66">
              <w:rPr>
                <w:rFonts w:eastAsia="TimesNewRoman"/>
                <w:sz w:val="22"/>
                <w:szCs w:val="22"/>
                <w:lang w:val="lt-LT" w:eastAsia="en-US"/>
              </w:rPr>
              <w:t>vartojant rifabutiną, nerodo, kad</w:t>
            </w:r>
            <w:r w:rsidR="00546D8A" w:rsidRPr="00DD4E66">
              <w:rPr>
                <w:rFonts w:eastAsia="TimesNewRoman"/>
                <w:sz w:val="22"/>
                <w:szCs w:val="22"/>
                <w:lang w:val="lt-LT" w:eastAsia="en-US"/>
              </w:rPr>
              <w:t xml:space="preserve"> būtina keisti darunaviro</w:t>
            </w:r>
            <w:r w:rsidRPr="00DD4E66">
              <w:rPr>
                <w:rFonts w:eastAsia="TimesNewRoman"/>
                <w:sz w:val="22"/>
                <w:szCs w:val="22"/>
                <w:lang w:val="lt-LT" w:eastAsia="en-US"/>
              </w:rPr>
              <w:t>/ritonaviro</w:t>
            </w:r>
            <w:r w:rsidR="00546D8A" w:rsidRPr="00DD4E66">
              <w:rPr>
                <w:rFonts w:eastAsia="TimesNewRoman"/>
                <w:sz w:val="22"/>
                <w:szCs w:val="22"/>
                <w:lang w:val="lt-LT" w:eastAsia="en-US"/>
              </w:rPr>
              <w:t xml:space="preserve"> </w:t>
            </w:r>
            <w:r w:rsidRPr="00DD4E66">
              <w:rPr>
                <w:rFonts w:eastAsia="TimesNewRoman"/>
                <w:sz w:val="22"/>
                <w:szCs w:val="22"/>
                <w:lang w:val="lt-LT" w:eastAsia="en-US"/>
              </w:rPr>
              <w:t>dozes.</w:t>
            </w:r>
          </w:p>
          <w:p w14:paraId="7FCC8E7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Remiantis farmakokinetiniais</w:t>
            </w:r>
            <w:r w:rsidR="00546D8A" w:rsidRPr="00DD4E66">
              <w:rPr>
                <w:rFonts w:eastAsia="TimesNewRoman"/>
                <w:sz w:val="22"/>
                <w:szCs w:val="22"/>
                <w:lang w:val="lt-LT" w:eastAsia="en-US"/>
              </w:rPr>
              <w:t xml:space="preserve"> </w:t>
            </w:r>
            <w:r w:rsidRPr="00DD4E66">
              <w:rPr>
                <w:rFonts w:eastAsia="TimesNewRoman"/>
                <w:sz w:val="22"/>
                <w:szCs w:val="22"/>
                <w:lang w:val="lt-LT" w:eastAsia="en-US"/>
              </w:rPr>
              <w:t>modeliais, šis dozės sumažinimas</w:t>
            </w:r>
            <w:r w:rsidR="00546D8A" w:rsidRPr="00DD4E66">
              <w:rPr>
                <w:rFonts w:eastAsia="TimesNewRoman"/>
                <w:sz w:val="22"/>
                <w:szCs w:val="22"/>
                <w:lang w:val="lt-LT" w:eastAsia="en-US"/>
              </w:rPr>
              <w:t xml:space="preserve"> </w:t>
            </w:r>
            <w:r w:rsidRPr="00DD4E66">
              <w:rPr>
                <w:rFonts w:eastAsia="TimesNewRoman"/>
                <w:sz w:val="22"/>
                <w:szCs w:val="22"/>
                <w:lang w:val="lt-LT" w:eastAsia="en-US"/>
              </w:rPr>
              <w:t>75 % yra pritaikomas ir pacientams,</w:t>
            </w:r>
            <w:r w:rsidR="00546D8A" w:rsidRPr="00DD4E66">
              <w:rPr>
                <w:rFonts w:eastAsia="TimesNewRoman"/>
                <w:sz w:val="22"/>
                <w:szCs w:val="22"/>
                <w:lang w:val="lt-LT" w:eastAsia="en-US"/>
              </w:rPr>
              <w:t xml:space="preserve"> </w:t>
            </w:r>
            <w:r w:rsidRPr="00DD4E66">
              <w:rPr>
                <w:rFonts w:eastAsia="TimesNewRoman"/>
                <w:sz w:val="22"/>
                <w:szCs w:val="22"/>
                <w:lang w:val="lt-LT" w:eastAsia="en-US"/>
              </w:rPr>
              <w:t>kurie vartoja kitokias nei 300</w:t>
            </w:r>
            <w:r w:rsidR="00546D8A" w:rsidRPr="00DD4E66">
              <w:rPr>
                <w:rFonts w:eastAsia="TimesNewRoman"/>
                <w:sz w:val="22"/>
                <w:szCs w:val="22"/>
                <w:lang w:val="lt-LT" w:eastAsia="en-US"/>
              </w:rPr>
              <w:t> </w:t>
            </w:r>
            <w:r w:rsidRPr="00DD4E66">
              <w:rPr>
                <w:rFonts w:eastAsia="TimesNewRoman"/>
                <w:sz w:val="22"/>
                <w:szCs w:val="22"/>
                <w:lang w:val="lt-LT" w:eastAsia="en-US"/>
              </w:rPr>
              <w:t>mg</w:t>
            </w:r>
            <w:r w:rsidR="00546D8A" w:rsidRPr="00DD4E66">
              <w:rPr>
                <w:rFonts w:eastAsia="TimesNewRoman"/>
                <w:sz w:val="22"/>
                <w:szCs w:val="22"/>
                <w:lang w:val="lt-LT" w:eastAsia="en-US"/>
              </w:rPr>
              <w:t xml:space="preserve"> </w:t>
            </w:r>
            <w:r w:rsidRPr="00DD4E66">
              <w:rPr>
                <w:rFonts w:eastAsia="TimesNewRoman"/>
                <w:sz w:val="22"/>
                <w:szCs w:val="22"/>
                <w:lang w:val="lt-LT" w:eastAsia="en-US"/>
              </w:rPr>
              <w:t>per parą rifabutino dozes.</w:t>
            </w:r>
          </w:p>
          <w:p w14:paraId="65822E1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Skirti rifabutiną kartu su</w:t>
            </w:r>
            <w:r w:rsidR="00546D8A" w:rsidRPr="00DD4E66">
              <w:rPr>
                <w:rFonts w:eastAsia="TimesNewRoman"/>
                <w:sz w:val="22"/>
                <w:szCs w:val="22"/>
                <w:lang w:val="lt-LT" w:eastAsia="en-US"/>
              </w:rPr>
              <w:t xml:space="preserve"> darunaviru</w:t>
            </w:r>
            <w:r w:rsidRPr="00DD4E66">
              <w:rPr>
                <w:rFonts w:eastAsia="TimesNewRoman"/>
                <w:sz w:val="22"/>
                <w:szCs w:val="22"/>
                <w:lang w:val="lt-LT" w:eastAsia="en-US"/>
              </w:rPr>
              <w:t>, vartojam</w:t>
            </w:r>
            <w:r w:rsidR="00546D8A" w:rsidRPr="00DD4E66">
              <w:rPr>
                <w:rFonts w:eastAsia="TimesNewRoman"/>
                <w:sz w:val="22"/>
                <w:szCs w:val="22"/>
                <w:lang w:val="lt-LT" w:eastAsia="en-US"/>
              </w:rPr>
              <w:t>u</w:t>
            </w:r>
            <w:r w:rsidRPr="00DD4E66">
              <w:rPr>
                <w:rFonts w:eastAsia="TimesNewRoman"/>
                <w:sz w:val="22"/>
                <w:szCs w:val="22"/>
                <w:lang w:val="lt-LT" w:eastAsia="en-US"/>
              </w:rPr>
              <w:t xml:space="preserve"> kartu su</w:t>
            </w:r>
            <w:r w:rsidR="00546D8A" w:rsidRPr="00DD4E66">
              <w:rPr>
                <w:rFonts w:eastAsia="TimesNewRoman"/>
                <w:sz w:val="22"/>
                <w:szCs w:val="22"/>
                <w:lang w:val="lt-LT" w:eastAsia="en-US"/>
              </w:rPr>
              <w:t xml:space="preserve"> </w:t>
            </w:r>
            <w:r w:rsidRPr="00DD4E66">
              <w:rPr>
                <w:rFonts w:eastAsia="TimesNewRoman"/>
                <w:sz w:val="22"/>
                <w:szCs w:val="22"/>
                <w:lang w:val="lt-LT" w:eastAsia="en-US"/>
              </w:rPr>
              <w:t>kobicistatu, nerekomenduojama.</w:t>
            </w:r>
          </w:p>
        </w:tc>
      </w:tr>
      <w:tr w:rsidR="00546D8A" w:rsidRPr="00DD4E66" w14:paraId="690076B3" w14:textId="77777777" w:rsidTr="00D37DA7">
        <w:tc>
          <w:tcPr>
            <w:tcW w:w="9288" w:type="dxa"/>
            <w:gridSpan w:val="4"/>
            <w:shd w:val="clear" w:color="auto" w:fill="auto"/>
          </w:tcPr>
          <w:p w14:paraId="5A181592"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PRIEŠNAVIKINIAI VAISTINIAI PREPARATAI</w:t>
            </w:r>
          </w:p>
        </w:tc>
      </w:tr>
      <w:tr w:rsidR="00645841" w:rsidRPr="00DD4E66" w14:paraId="16FA0B1C" w14:textId="77777777" w:rsidTr="00D37DA7">
        <w:tc>
          <w:tcPr>
            <w:tcW w:w="2817" w:type="dxa"/>
            <w:shd w:val="clear" w:color="auto" w:fill="auto"/>
          </w:tcPr>
          <w:p w14:paraId="51D6AA1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Dazatinibas</w:t>
            </w:r>
          </w:p>
          <w:p w14:paraId="3348E26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Nilotinibas</w:t>
            </w:r>
          </w:p>
          <w:p w14:paraId="0E21F79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Vinblastinas</w:t>
            </w:r>
          </w:p>
          <w:p w14:paraId="4824067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Vinkristinas</w:t>
            </w:r>
          </w:p>
          <w:p w14:paraId="2919D0D0" w14:textId="77777777" w:rsidR="00645841" w:rsidRPr="00DD4E66" w:rsidRDefault="00645841" w:rsidP="00D37DA7">
            <w:pPr>
              <w:autoSpaceDE w:val="0"/>
              <w:autoSpaceDN w:val="0"/>
              <w:adjustRightInd w:val="0"/>
              <w:rPr>
                <w:rFonts w:eastAsia="TimesNewRoman"/>
                <w:sz w:val="22"/>
                <w:szCs w:val="22"/>
                <w:lang w:val="lt-LT" w:eastAsia="en-US"/>
              </w:rPr>
            </w:pPr>
          </w:p>
          <w:p w14:paraId="5E6C8883" w14:textId="77777777" w:rsidR="00645841" w:rsidRPr="00DD4E66" w:rsidRDefault="00645841" w:rsidP="00D37DA7">
            <w:pPr>
              <w:autoSpaceDE w:val="0"/>
              <w:autoSpaceDN w:val="0"/>
              <w:adjustRightInd w:val="0"/>
              <w:rPr>
                <w:rFonts w:eastAsia="TimesNewRoman"/>
                <w:sz w:val="22"/>
                <w:szCs w:val="22"/>
                <w:lang w:val="lt-LT" w:eastAsia="en-US"/>
              </w:rPr>
            </w:pPr>
          </w:p>
          <w:p w14:paraId="04BDF856" w14:textId="77777777" w:rsidR="00645841" w:rsidRPr="00DD4E66" w:rsidRDefault="00645841" w:rsidP="00D37DA7">
            <w:pPr>
              <w:autoSpaceDE w:val="0"/>
              <w:autoSpaceDN w:val="0"/>
              <w:adjustRightInd w:val="0"/>
              <w:rPr>
                <w:rFonts w:eastAsia="TimesNewRoman"/>
                <w:sz w:val="22"/>
                <w:szCs w:val="22"/>
                <w:lang w:val="lt-LT" w:eastAsia="en-US"/>
              </w:rPr>
            </w:pPr>
          </w:p>
          <w:p w14:paraId="06ECC08E" w14:textId="77777777" w:rsidR="00645841" w:rsidRPr="00DD4E66" w:rsidRDefault="00645841" w:rsidP="00D37DA7">
            <w:pPr>
              <w:autoSpaceDE w:val="0"/>
              <w:autoSpaceDN w:val="0"/>
              <w:adjustRightInd w:val="0"/>
              <w:rPr>
                <w:rFonts w:eastAsia="TimesNewRoman"/>
                <w:sz w:val="22"/>
                <w:szCs w:val="22"/>
                <w:lang w:val="lt-LT" w:eastAsia="en-US"/>
              </w:rPr>
            </w:pPr>
          </w:p>
          <w:p w14:paraId="43A3BBBC" w14:textId="77777777" w:rsidR="00645841" w:rsidRPr="00DD4E66" w:rsidRDefault="00645841" w:rsidP="00D37DA7">
            <w:pPr>
              <w:autoSpaceDE w:val="0"/>
              <w:autoSpaceDN w:val="0"/>
              <w:adjustRightInd w:val="0"/>
              <w:rPr>
                <w:rFonts w:eastAsia="TimesNewRoman"/>
                <w:sz w:val="22"/>
                <w:szCs w:val="22"/>
                <w:lang w:val="lt-LT" w:eastAsia="en-US"/>
              </w:rPr>
            </w:pPr>
          </w:p>
          <w:p w14:paraId="7B660551" w14:textId="77777777" w:rsidR="00645841" w:rsidRPr="00DD4E66" w:rsidRDefault="00645841" w:rsidP="00D37DA7">
            <w:pPr>
              <w:autoSpaceDE w:val="0"/>
              <w:autoSpaceDN w:val="0"/>
              <w:adjustRightInd w:val="0"/>
              <w:rPr>
                <w:rFonts w:eastAsia="TimesNewRoman"/>
                <w:sz w:val="22"/>
                <w:szCs w:val="22"/>
                <w:lang w:val="lt-LT" w:eastAsia="en-US"/>
              </w:rPr>
            </w:pPr>
          </w:p>
          <w:p w14:paraId="13E6F575" w14:textId="77777777" w:rsidR="00645841" w:rsidRPr="00DD4E66" w:rsidRDefault="00645841" w:rsidP="00D37DA7">
            <w:pPr>
              <w:autoSpaceDE w:val="0"/>
              <w:autoSpaceDN w:val="0"/>
              <w:adjustRightInd w:val="0"/>
              <w:rPr>
                <w:rFonts w:eastAsia="TimesNewRoman"/>
                <w:sz w:val="22"/>
                <w:szCs w:val="22"/>
                <w:lang w:val="lt-LT" w:eastAsia="en-US"/>
              </w:rPr>
            </w:pPr>
          </w:p>
          <w:p w14:paraId="1E6334E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Everolimuzas</w:t>
            </w:r>
          </w:p>
        </w:tc>
        <w:tc>
          <w:tcPr>
            <w:tcW w:w="3448" w:type="dxa"/>
            <w:gridSpan w:val="2"/>
            <w:shd w:val="clear" w:color="auto" w:fill="auto"/>
          </w:tcPr>
          <w:p w14:paraId="5EF0C8D2" w14:textId="77777777" w:rsidR="00841FE0"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Tikėtina, kad sustiprintas</w:t>
            </w:r>
            <w:r w:rsidR="00546D8A" w:rsidRPr="00DD4E66">
              <w:rPr>
                <w:rFonts w:eastAsia="TimesNewRoman"/>
                <w:sz w:val="22"/>
                <w:szCs w:val="22"/>
                <w:lang w:val="lt-LT" w:eastAsia="en-US"/>
              </w:rPr>
              <w:t xml:space="preserve"> darunaviras</w:t>
            </w:r>
            <w:r w:rsidRPr="00DD4E66">
              <w:rPr>
                <w:rFonts w:eastAsia="TimesNewRoman"/>
                <w:sz w:val="22"/>
                <w:szCs w:val="22"/>
                <w:lang w:val="lt-LT" w:eastAsia="en-US"/>
              </w:rPr>
              <w:t xml:space="preserve"> gali padidinti šių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priešnavikinių vaistinių preparatų</w:t>
            </w:r>
            <w:r w:rsidR="00546D8A" w:rsidRPr="00DD4E66">
              <w:rPr>
                <w:rFonts w:eastAsia="TimesNewRoman"/>
                <w:sz w:val="22"/>
                <w:szCs w:val="22"/>
                <w:lang w:val="lt-LT" w:eastAsia="en-US"/>
              </w:rPr>
              <w:t xml:space="preserve"> </w:t>
            </w:r>
            <w:r w:rsidRPr="00DD4E66">
              <w:rPr>
                <w:rFonts w:eastAsia="TimesNewRoman"/>
                <w:sz w:val="22"/>
                <w:szCs w:val="22"/>
                <w:lang w:val="lt-LT" w:eastAsia="en-US"/>
              </w:rPr>
              <w:t>koncentracijas plazmoje.</w:t>
            </w:r>
            <w:r w:rsidR="00546D8A" w:rsidRPr="00DD4E66">
              <w:rPr>
                <w:rFonts w:eastAsia="TimesNewRoman"/>
                <w:sz w:val="22"/>
                <w:szCs w:val="22"/>
                <w:lang w:val="lt-LT" w:eastAsia="en-US"/>
              </w:rPr>
              <w:t xml:space="preserve"> </w:t>
            </w:r>
          </w:p>
          <w:p w14:paraId="565510C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(CYP3A slopinimas)</w:t>
            </w:r>
          </w:p>
        </w:tc>
        <w:tc>
          <w:tcPr>
            <w:tcW w:w="3023" w:type="dxa"/>
            <w:shd w:val="clear" w:color="auto" w:fill="auto"/>
          </w:tcPr>
          <w:p w14:paraId="1870AE9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Šių vaistinių preparatų</w:t>
            </w:r>
            <w:r w:rsidR="00546D8A" w:rsidRPr="00DD4E66">
              <w:rPr>
                <w:rFonts w:eastAsia="TimesNewRoman"/>
                <w:sz w:val="22"/>
                <w:szCs w:val="22"/>
                <w:lang w:val="lt-LT" w:eastAsia="en-US"/>
              </w:rPr>
              <w:t xml:space="preserve"> </w:t>
            </w:r>
            <w:r w:rsidRPr="00DD4E66">
              <w:rPr>
                <w:rFonts w:eastAsia="TimesNewRoman"/>
                <w:sz w:val="22"/>
                <w:szCs w:val="22"/>
                <w:lang w:val="lt-LT" w:eastAsia="en-US"/>
              </w:rPr>
              <w:t>koncentracijos gali padidėti dėl</w:t>
            </w:r>
            <w:r w:rsidR="00546D8A" w:rsidRPr="00DD4E66">
              <w:rPr>
                <w:rFonts w:eastAsia="TimesNewRoman"/>
                <w:sz w:val="22"/>
                <w:szCs w:val="22"/>
                <w:lang w:val="lt-LT" w:eastAsia="en-US"/>
              </w:rPr>
              <w:t xml:space="preserve"> </w:t>
            </w:r>
            <w:r w:rsidRPr="00DD4E66">
              <w:rPr>
                <w:rFonts w:eastAsia="TimesNewRoman"/>
                <w:sz w:val="22"/>
                <w:szCs w:val="22"/>
                <w:lang w:val="lt-LT" w:eastAsia="en-US"/>
              </w:rPr>
              <w:t>skyrimo kartu su sustiprintu</w:t>
            </w:r>
            <w:r w:rsidR="00546D8A" w:rsidRPr="00DD4E66">
              <w:rPr>
                <w:rFonts w:eastAsia="TimesNewRoman"/>
                <w:sz w:val="22"/>
                <w:szCs w:val="22"/>
                <w:lang w:val="lt-LT" w:eastAsia="en-US"/>
              </w:rPr>
              <w:t xml:space="preserve"> darunaviru</w:t>
            </w:r>
            <w:r w:rsidRPr="00DD4E66">
              <w:rPr>
                <w:rFonts w:eastAsia="TimesNewRoman"/>
                <w:sz w:val="22"/>
                <w:szCs w:val="22"/>
                <w:lang w:val="lt-LT" w:eastAsia="en-US"/>
              </w:rPr>
              <w:t xml:space="preserve"> ir dėl to gali padidėti</w:t>
            </w:r>
            <w:r w:rsidR="00546D8A" w:rsidRPr="00DD4E66">
              <w:rPr>
                <w:rFonts w:eastAsia="TimesNewRoman"/>
                <w:sz w:val="22"/>
                <w:szCs w:val="22"/>
                <w:lang w:val="lt-LT" w:eastAsia="en-US"/>
              </w:rPr>
              <w:t xml:space="preserve"> </w:t>
            </w:r>
            <w:r w:rsidRPr="00DD4E66">
              <w:rPr>
                <w:rFonts w:eastAsia="TimesNewRoman"/>
                <w:sz w:val="22"/>
                <w:szCs w:val="22"/>
                <w:lang w:val="lt-LT" w:eastAsia="en-US"/>
              </w:rPr>
              <w:t>nepageidaujamų reiškinių, susijusių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su šių preparatų vartojimu.</w:t>
            </w:r>
          </w:p>
          <w:p w14:paraId="35E738C4" w14:textId="77777777" w:rsidR="00841FE0" w:rsidRPr="00DD4E66" w:rsidRDefault="00841FE0" w:rsidP="00D37DA7">
            <w:pPr>
              <w:autoSpaceDE w:val="0"/>
              <w:autoSpaceDN w:val="0"/>
              <w:adjustRightInd w:val="0"/>
              <w:rPr>
                <w:rFonts w:eastAsia="TimesNewRoman"/>
                <w:sz w:val="22"/>
                <w:szCs w:val="22"/>
                <w:lang w:val="lt-LT" w:eastAsia="en-US"/>
              </w:rPr>
            </w:pPr>
          </w:p>
          <w:p w14:paraId="0279837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Vartoti šiuos priešnavikinius</w:t>
            </w:r>
            <w:r w:rsidR="00546D8A" w:rsidRPr="00DD4E66">
              <w:rPr>
                <w:rFonts w:eastAsia="TimesNewRoman"/>
                <w:sz w:val="22"/>
                <w:szCs w:val="22"/>
                <w:lang w:val="lt-LT" w:eastAsia="en-US"/>
              </w:rPr>
              <w:t xml:space="preserve"> </w:t>
            </w:r>
            <w:r w:rsidRPr="00DD4E66">
              <w:rPr>
                <w:rFonts w:eastAsia="TimesNewRoman"/>
                <w:sz w:val="22"/>
                <w:szCs w:val="22"/>
                <w:lang w:val="lt-LT" w:eastAsia="en-US"/>
              </w:rPr>
              <w:t>vaistinius preparatus kartu su</w:t>
            </w:r>
            <w:r w:rsidR="00546D8A" w:rsidRPr="00DD4E66">
              <w:rPr>
                <w:rFonts w:eastAsia="TimesNewRoman"/>
                <w:sz w:val="22"/>
                <w:szCs w:val="22"/>
                <w:lang w:val="lt-LT" w:eastAsia="en-US"/>
              </w:rPr>
              <w:t xml:space="preserve"> </w:t>
            </w:r>
            <w:r w:rsidRPr="00DD4E66">
              <w:rPr>
                <w:rFonts w:eastAsia="TimesNewRoman"/>
                <w:sz w:val="22"/>
                <w:szCs w:val="22"/>
                <w:lang w:val="lt-LT" w:eastAsia="en-US"/>
              </w:rPr>
              <w:lastRenderedPageBreak/>
              <w:t xml:space="preserve">sustiprintu </w:t>
            </w:r>
            <w:r w:rsidR="00546D8A" w:rsidRPr="00DD4E66">
              <w:rPr>
                <w:rFonts w:eastAsia="TimesNewRoman"/>
                <w:sz w:val="22"/>
                <w:szCs w:val="22"/>
                <w:lang w:val="lt-LT" w:eastAsia="en-US"/>
              </w:rPr>
              <w:t>darunaviru</w:t>
            </w:r>
            <w:r w:rsidRPr="00DD4E66">
              <w:rPr>
                <w:rFonts w:eastAsia="TimesNewRoman"/>
                <w:sz w:val="22"/>
                <w:szCs w:val="22"/>
                <w:lang w:val="lt-LT" w:eastAsia="en-US"/>
              </w:rPr>
              <w:t xml:space="preserve"> reikia</w:t>
            </w:r>
            <w:r w:rsidR="00546D8A" w:rsidRPr="00DD4E66">
              <w:rPr>
                <w:rFonts w:eastAsia="TimesNewRoman"/>
                <w:sz w:val="22"/>
                <w:szCs w:val="22"/>
                <w:lang w:val="lt-LT" w:eastAsia="en-US"/>
              </w:rPr>
              <w:t xml:space="preserve"> </w:t>
            </w:r>
            <w:r w:rsidRPr="00DD4E66">
              <w:rPr>
                <w:rFonts w:eastAsia="TimesNewRoman"/>
                <w:sz w:val="22"/>
                <w:szCs w:val="22"/>
                <w:lang w:val="lt-LT" w:eastAsia="en-US"/>
              </w:rPr>
              <w:t>atsargiai.</w:t>
            </w:r>
          </w:p>
          <w:p w14:paraId="0AB5DC14" w14:textId="77777777" w:rsidR="00841FE0" w:rsidRPr="00DD4E66" w:rsidRDefault="00841FE0" w:rsidP="00D37DA7">
            <w:pPr>
              <w:autoSpaceDE w:val="0"/>
              <w:autoSpaceDN w:val="0"/>
              <w:adjustRightInd w:val="0"/>
              <w:rPr>
                <w:rFonts w:eastAsia="TimesNewRoman"/>
                <w:sz w:val="22"/>
                <w:szCs w:val="22"/>
                <w:lang w:val="lt-LT" w:eastAsia="en-US"/>
              </w:rPr>
            </w:pPr>
          </w:p>
          <w:p w14:paraId="7DC8AF4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Vartoti everolimuzą kartu su</w:t>
            </w:r>
            <w:r w:rsidR="00546D8A"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546D8A" w:rsidRPr="00DD4E66">
              <w:rPr>
                <w:rFonts w:eastAsia="TimesNewRoman"/>
                <w:sz w:val="22"/>
                <w:szCs w:val="22"/>
                <w:lang w:val="lt-LT" w:eastAsia="en-US"/>
              </w:rPr>
              <w:t xml:space="preserve">darunaviru </w:t>
            </w:r>
            <w:r w:rsidRPr="00DD4E66">
              <w:rPr>
                <w:rFonts w:eastAsia="TimesNewRoman"/>
                <w:sz w:val="22"/>
                <w:szCs w:val="22"/>
                <w:lang w:val="lt-LT" w:eastAsia="en-US"/>
              </w:rPr>
              <w:t>nerekomenduojma.</w:t>
            </w:r>
          </w:p>
        </w:tc>
      </w:tr>
      <w:tr w:rsidR="00546D8A" w:rsidRPr="00DD4E66" w14:paraId="4F44DD1C" w14:textId="77777777" w:rsidTr="00D37DA7">
        <w:tc>
          <w:tcPr>
            <w:tcW w:w="9288" w:type="dxa"/>
            <w:gridSpan w:val="4"/>
            <w:shd w:val="clear" w:color="auto" w:fill="auto"/>
          </w:tcPr>
          <w:p w14:paraId="1188FC54"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lastRenderedPageBreak/>
              <w:t>ANTITROMBOCITINAI VAISTINIAI PREPARATAI</w:t>
            </w:r>
          </w:p>
        </w:tc>
      </w:tr>
      <w:tr w:rsidR="00645841" w:rsidRPr="00DD4E66" w14:paraId="075A069E" w14:textId="77777777" w:rsidTr="00D37DA7">
        <w:tc>
          <w:tcPr>
            <w:tcW w:w="2817" w:type="dxa"/>
            <w:shd w:val="clear" w:color="auto" w:fill="auto"/>
          </w:tcPr>
          <w:p w14:paraId="1FE356A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Tikagreloras</w:t>
            </w:r>
          </w:p>
        </w:tc>
        <w:tc>
          <w:tcPr>
            <w:tcW w:w="3448" w:type="dxa"/>
            <w:gridSpan w:val="2"/>
            <w:shd w:val="clear" w:color="auto" w:fill="auto"/>
          </w:tcPr>
          <w:p w14:paraId="6F8062E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Skiriant kartu su sustiprintu</w:t>
            </w:r>
            <w:r w:rsidR="00546D8A" w:rsidRPr="00DD4E66">
              <w:rPr>
                <w:rFonts w:eastAsia="TimesNewRoman"/>
                <w:sz w:val="22"/>
                <w:szCs w:val="22"/>
                <w:lang w:val="lt-LT" w:eastAsia="en-US"/>
              </w:rPr>
              <w:t xml:space="preserve"> darunaviru </w:t>
            </w:r>
            <w:r w:rsidRPr="00DD4E66">
              <w:rPr>
                <w:rFonts w:eastAsia="TimesNewRoman"/>
                <w:sz w:val="22"/>
                <w:szCs w:val="22"/>
                <w:lang w:val="lt-LT" w:eastAsia="en-US"/>
              </w:rPr>
              <w:t xml:space="preserve"> gali žymiai padidinti</w:t>
            </w:r>
            <w:r w:rsidR="00546D8A" w:rsidRPr="00DD4E66">
              <w:rPr>
                <w:rFonts w:eastAsia="TimesNewRoman"/>
                <w:sz w:val="22"/>
                <w:szCs w:val="22"/>
                <w:lang w:val="lt-LT" w:eastAsia="en-US"/>
              </w:rPr>
              <w:t xml:space="preserve"> </w:t>
            </w:r>
            <w:r w:rsidRPr="00DD4E66">
              <w:rPr>
                <w:rFonts w:eastAsia="TimesNewRoman"/>
                <w:sz w:val="22"/>
                <w:szCs w:val="22"/>
                <w:lang w:val="lt-LT" w:eastAsia="en-US"/>
              </w:rPr>
              <w:t>tikagreloro ekspoziciją.</w:t>
            </w:r>
          </w:p>
        </w:tc>
        <w:tc>
          <w:tcPr>
            <w:tcW w:w="3023" w:type="dxa"/>
            <w:shd w:val="clear" w:color="auto" w:fill="auto"/>
          </w:tcPr>
          <w:p w14:paraId="2B5F9CD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Sustiprinto </w:t>
            </w:r>
            <w:r w:rsidR="00546D8A" w:rsidRPr="00DD4E66">
              <w:rPr>
                <w:rFonts w:eastAsia="TimesNewRoman"/>
                <w:sz w:val="22"/>
                <w:szCs w:val="22"/>
                <w:lang w:val="lt-LT" w:eastAsia="en-US"/>
              </w:rPr>
              <w:t>darunaviro</w:t>
            </w:r>
            <w:r w:rsidRPr="00DD4E66">
              <w:rPr>
                <w:rFonts w:eastAsia="TimesNewRoman"/>
                <w:sz w:val="22"/>
                <w:szCs w:val="22"/>
                <w:lang w:val="lt-LT" w:eastAsia="en-US"/>
              </w:rPr>
              <w:t xml:space="preserve"> vartojimas</w:t>
            </w:r>
            <w:r w:rsidR="00546D8A" w:rsidRPr="00DD4E66">
              <w:rPr>
                <w:rFonts w:eastAsia="TimesNewRoman"/>
                <w:sz w:val="22"/>
                <w:szCs w:val="22"/>
                <w:lang w:val="lt-LT" w:eastAsia="en-US"/>
              </w:rPr>
              <w:t xml:space="preserve"> </w:t>
            </w:r>
            <w:r w:rsidRPr="00DD4E66">
              <w:rPr>
                <w:rFonts w:eastAsia="TimesNewRoman"/>
                <w:sz w:val="22"/>
                <w:szCs w:val="22"/>
                <w:lang w:val="lt-LT" w:eastAsia="en-US"/>
              </w:rPr>
              <w:t>kartu su tikagreloru yra</w:t>
            </w:r>
            <w:r w:rsidR="00546D8A" w:rsidRPr="00DD4E66">
              <w:rPr>
                <w:rFonts w:eastAsia="TimesNewRoman"/>
                <w:sz w:val="22"/>
                <w:szCs w:val="22"/>
                <w:lang w:val="lt-LT" w:eastAsia="en-US"/>
              </w:rPr>
              <w:t xml:space="preserve"> </w:t>
            </w:r>
            <w:r w:rsidRPr="00DD4E66">
              <w:rPr>
                <w:rFonts w:eastAsia="TimesNewRoman"/>
                <w:sz w:val="22"/>
                <w:szCs w:val="22"/>
                <w:lang w:val="lt-LT" w:eastAsia="en-US"/>
              </w:rPr>
              <w:t>kontraindikuotinas.</w:t>
            </w:r>
          </w:p>
          <w:p w14:paraId="0E102133" w14:textId="77777777" w:rsidR="00841FE0" w:rsidRPr="00DD4E66" w:rsidRDefault="00841FE0" w:rsidP="00D37DA7">
            <w:pPr>
              <w:autoSpaceDE w:val="0"/>
              <w:autoSpaceDN w:val="0"/>
              <w:adjustRightInd w:val="0"/>
              <w:rPr>
                <w:rFonts w:eastAsia="TimesNewRoman"/>
                <w:sz w:val="22"/>
                <w:szCs w:val="22"/>
                <w:lang w:val="lt-LT" w:eastAsia="en-US"/>
              </w:rPr>
            </w:pPr>
          </w:p>
          <w:p w14:paraId="1BD64D2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Rekomenduojama vartoti kitus</w:t>
            </w:r>
            <w:r w:rsidR="00546D8A" w:rsidRPr="00DD4E66">
              <w:rPr>
                <w:rFonts w:eastAsia="TimesNewRoman"/>
                <w:sz w:val="22"/>
                <w:szCs w:val="22"/>
                <w:lang w:val="lt-LT" w:eastAsia="en-US"/>
              </w:rPr>
              <w:t xml:space="preserve"> </w:t>
            </w:r>
            <w:r w:rsidRPr="00DD4E66">
              <w:rPr>
                <w:rFonts w:eastAsia="TimesNewRoman"/>
                <w:sz w:val="22"/>
                <w:szCs w:val="22"/>
                <w:lang w:val="lt-LT" w:eastAsia="en-US"/>
              </w:rPr>
              <w:t>antitrombocitinius vaistinius</w:t>
            </w:r>
            <w:r w:rsidR="00546D8A" w:rsidRPr="00DD4E66">
              <w:rPr>
                <w:rFonts w:eastAsia="TimesNewRoman"/>
                <w:sz w:val="22"/>
                <w:szCs w:val="22"/>
                <w:lang w:val="lt-LT" w:eastAsia="en-US"/>
              </w:rPr>
              <w:t xml:space="preserve"> </w:t>
            </w:r>
            <w:r w:rsidRPr="00DD4E66">
              <w:rPr>
                <w:rFonts w:eastAsia="TimesNewRoman"/>
                <w:sz w:val="22"/>
                <w:szCs w:val="22"/>
                <w:lang w:val="lt-LT" w:eastAsia="en-US"/>
              </w:rPr>
              <w:t>preparatus, kurie neturi įtakos CYP</w:t>
            </w:r>
            <w:r w:rsidR="00546D8A" w:rsidRPr="00DD4E66">
              <w:rPr>
                <w:rFonts w:eastAsia="TimesNewRoman"/>
                <w:sz w:val="22"/>
                <w:szCs w:val="22"/>
                <w:lang w:val="lt-LT" w:eastAsia="en-US"/>
              </w:rPr>
              <w:t xml:space="preserve"> </w:t>
            </w:r>
            <w:r w:rsidRPr="00DD4E66">
              <w:rPr>
                <w:rFonts w:eastAsia="TimesNewRoman"/>
                <w:sz w:val="22"/>
                <w:szCs w:val="22"/>
                <w:lang w:val="lt-LT" w:eastAsia="en-US"/>
              </w:rPr>
              <w:t>slopinimui arba indukcijai (pvz.,</w:t>
            </w:r>
            <w:r w:rsidR="00546D8A" w:rsidRPr="00DD4E66">
              <w:rPr>
                <w:rFonts w:eastAsia="TimesNewRoman"/>
                <w:sz w:val="22"/>
                <w:szCs w:val="22"/>
                <w:lang w:val="lt-LT" w:eastAsia="en-US"/>
              </w:rPr>
              <w:t xml:space="preserve"> </w:t>
            </w:r>
            <w:r w:rsidRPr="00DD4E66">
              <w:rPr>
                <w:rFonts w:eastAsia="TimesNewRoman"/>
                <w:sz w:val="22"/>
                <w:szCs w:val="22"/>
                <w:lang w:val="lt-LT" w:eastAsia="en-US"/>
              </w:rPr>
              <w:t>prazugrelį).</w:t>
            </w:r>
          </w:p>
        </w:tc>
      </w:tr>
      <w:tr w:rsidR="00546D8A" w:rsidRPr="00DD4E66" w14:paraId="154BC755" w14:textId="77777777" w:rsidTr="00D37DA7">
        <w:tc>
          <w:tcPr>
            <w:tcW w:w="9288" w:type="dxa"/>
            <w:gridSpan w:val="4"/>
            <w:shd w:val="clear" w:color="auto" w:fill="auto"/>
          </w:tcPr>
          <w:p w14:paraId="23BC9924"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ANTIPSICHOTIKAI / NEUROLEPTIKAI</w:t>
            </w:r>
          </w:p>
        </w:tc>
      </w:tr>
      <w:tr w:rsidR="00645841" w:rsidRPr="00DD4E66" w14:paraId="75CDD148" w14:textId="77777777" w:rsidTr="00D37DA7">
        <w:tc>
          <w:tcPr>
            <w:tcW w:w="2817" w:type="dxa"/>
            <w:shd w:val="clear" w:color="auto" w:fill="auto"/>
          </w:tcPr>
          <w:p w14:paraId="172AC5C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Kvetiapinas</w:t>
            </w:r>
          </w:p>
        </w:tc>
        <w:tc>
          <w:tcPr>
            <w:tcW w:w="3448" w:type="dxa"/>
            <w:gridSpan w:val="2"/>
            <w:shd w:val="clear" w:color="auto" w:fill="auto"/>
          </w:tcPr>
          <w:p w14:paraId="5EF1F1C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Tikėtina, kad sustiprintas</w:t>
            </w:r>
            <w:r w:rsidR="00546D8A" w:rsidRPr="00DD4E66">
              <w:rPr>
                <w:rFonts w:eastAsia="TimesNewRoman"/>
                <w:sz w:val="22"/>
                <w:szCs w:val="22"/>
                <w:lang w:val="lt-LT" w:eastAsia="en-US"/>
              </w:rPr>
              <w:t xml:space="preserve"> darunaviras</w:t>
            </w:r>
            <w:r w:rsidRPr="00DD4E66">
              <w:rPr>
                <w:rFonts w:eastAsia="TimesNewRoman"/>
                <w:sz w:val="22"/>
                <w:szCs w:val="22"/>
                <w:lang w:val="lt-LT" w:eastAsia="en-US"/>
              </w:rPr>
              <w:t xml:space="preserve"> gali padidinti šių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antipsichotikų koncentracijas plazmoje.</w:t>
            </w:r>
          </w:p>
          <w:p w14:paraId="02D4552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(CYP3A slopinimas)</w:t>
            </w:r>
          </w:p>
        </w:tc>
        <w:tc>
          <w:tcPr>
            <w:tcW w:w="3023" w:type="dxa"/>
            <w:shd w:val="clear" w:color="auto" w:fill="auto"/>
          </w:tcPr>
          <w:p w14:paraId="26D288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Kartu vartoti sustiprintą </w:t>
            </w:r>
            <w:r w:rsidR="00546D8A" w:rsidRPr="00DD4E66">
              <w:rPr>
                <w:rFonts w:eastAsia="TimesNewRoman"/>
                <w:sz w:val="22"/>
                <w:szCs w:val="22"/>
                <w:lang w:val="lt-LT" w:eastAsia="en-US"/>
              </w:rPr>
              <w:t xml:space="preserve">darunavirą </w:t>
            </w:r>
            <w:r w:rsidRPr="00DD4E66">
              <w:rPr>
                <w:rFonts w:eastAsia="TimesNewRoman"/>
                <w:sz w:val="22"/>
                <w:szCs w:val="22"/>
                <w:lang w:val="lt-LT" w:eastAsia="en-US"/>
              </w:rPr>
              <w:t>ir kvetiapino draudžiama, nes tai</w:t>
            </w:r>
            <w:r w:rsidR="00546D8A" w:rsidRPr="00DD4E66">
              <w:rPr>
                <w:rFonts w:eastAsia="TimesNewRoman"/>
                <w:sz w:val="22"/>
                <w:szCs w:val="22"/>
                <w:lang w:val="lt-LT" w:eastAsia="en-US"/>
              </w:rPr>
              <w:t xml:space="preserve"> </w:t>
            </w:r>
            <w:r w:rsidRPr="00DD4E66">
              <w:rPr>
                <w:rFonts w:eastAsia="TimesNewRoman"/>
                <w:sz w:val="22"/>
                <w:szCs w:val="22"/>
                <w:lang w:val="lt-LT" w:eastAsia="en-US"/>
              </w:rPr>
              <w:t>gali padidinti su kvetiapinu susijusį</w:t>
            </w:r>
            <w:r w:rsidR="00546D8A" w:rsidRPr="00DD4E66">
              <w:rPr>
                <w:rFonts w:eastAsia="TimesNewRoman"/>
                <w:sz w:val="22"/>
                <w:szCs w:val="22"/>
                <w:lang w:val="lt-LT" w:eastAsia="en-US"/>
              </w:rPr>
              <w:t xml:space="preserve"> </w:t>
            </w:r>
            <w:r w:rsidRPr="00DD4E66">
              <w:rPr>
                <w:rFonts w:eastAsia="TimesNewRoman"/>
                <w:sz w:val="22"/>
                <w:szCs w:val="22"/>
                <w:lang w:val="lt-LT" w:eastAsia="en-US"/>
              </w:rPr>
              <w:t>toksinį poveikį. Padidėjusios</w:t>
            </w:r>
            <w:r w:rsidR="00546D8A" w:rsidRPr="00DD4E66">
              <w:rPr>
                <w:rFonts w:eastAsia="TimesNewRoman"/>
                <w:sz w:val="22"/>
                <w:szCs w:val="22"/>
                <w:lang w:val="lt-LT" w:eastAsia="en-US"/>
              </w:rPr>
              <w:t xml:space="preserve"> </w:t>
            </w:r>
            <w:r w:rsidRPr="00DD4E66">
              <w:rPr>
                <w:rFonts w:eastAsia="TimesNewRoman"/>
                <w:sz w:val="22"/>
                <w:szCs w:val="22"/>
                <w:lang w:val="lt-LT" w:eastAsia="en-US"/>
              </w:rPr>
              <w:t>kvetiapino koncentracijos gali</w:t>
            </w:r>
            <w:r w:rsidR="00546D8A" w:rsidRPr="00DD4E66">
              <w:rPr>
                <w:rFonts w:eastAsia="TimesNewRoman"/>
                <w:sz w:val="22"/>
                <w:szCs w:val="22"/>
                <w:lang w:val="lt-LT" w:eastAsia="en-US"/>
              </w:rPr>
              <w:t xml:space="preserve"> </w:t>
            </w:r>
            <w:r w:rsidRPr="00DD4E66">
              <w:rPr>
                <w:rFonts w:eastAsia="TimesNewRoman"/>
                <w:sz w:val="22"/>
                <w:szCs w:val="22"/>
                <w:lang w:val="lt-LT" w:eastAsia="en-US"/>
              </w:rPr>
              <w:t>sukelti komą.</w:t>
            </w:r>
          </w:p>
        </w:tc>
      </w:tr>
      <w:tr w:rsidR="00645841" w:rsidRPr="00DD4E66" w14:paraId="4419ACB4" w14:textId="77777777" w:rsidTr="00D37DA7">
        <w:tc>
          <w:tcPr>
            <w:tcW w:w="2817" w:type="dxa"/>
            <w:shd w:val="clear" w:color="auto" w:fill="auto"/>
          </w:tcPr>
          <w:p w14:paraId="73E2A73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Perfenazinas</w:t>
            </w:r>
          </w:p>
          <w:p w14:paraId="593711E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Risperidonas</w:t>
            </w:r>
          </w:p>
          <w:p w14:paraId="30B681B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Tioridazinas</w:t>
            </w:r>
          </w:p>
          <w:p w14:paraId="649A34AC" w14:textId="77777777" w:rsidR="00546D8A" w:rsidRPr="00DD4E66" w:rsidRDefault="00546D8A" w:rsidP="00D37DA7">
            <w:pPr>
              <w:autoSpaceDE w:val="0"/>
              <w:autoSpaceDN w:val="0"/>
              <w:adjustRightInd w:val="0"/>
              <w:rPr>
                <w:rFonts w:eastAsia="TimesNewRoman"/>
                <w:sz w:val="22"/>
                <w:szCs w:val="22"/>
                <w:lang w:val="lt-LT" w:eastAsia="en-US"/>
              </w:rPr>
            </w:pPr>
          </w:p>
          <w:p w14:paraId="0AE38E5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Pimozidas</w:t>
            </w:r>
          </w:p>
          <w:p w14:paraId="56D9647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Sertindolas</w:t>
            </w:r>
          </w:p>
        </w:tc>
        <w:tc>
          <w:tcPr>
            <w:tcW w:w="3448" w:type="dxa"/>
            <w:gridSpan w:val="2"/>
            <w:shd w:val="clear" w:color="auto" w:fill="auto"/>
          </w:tcPr>
          <w:p w14:paraId="6CF1266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Tikėtina, kad sustiprintas</w:t>
            </w:r>
            <w:r w:rsidR="00546D8A" w:rsidRPr="00DD4E66">
              <w:rPr>
                <w:rFonts w:eastAsia="TimesNewRoman"/>
                <w:sz w:val="22"/>
                <w:szCs w:val="22"/>
                <w:lang w:val="lt-LT" w:eastAsia="en-US"/>
              </w:rPr>
              <w:t xml:space="preserve"> darunaviras</w:t>
            </w:r>
            <w:r w:rsidRPr="00DD4E66">
              <w:rPr>
                <w:rFonts w:eastAsia="TimesNewRoman"/>
                <w:sz w:val="22"/>
                <w:szCs w:val="22"/>
                <w:lang w:val="lt-LT" w:eastAsia="en-US"/>
              </w:rPr>
              <w:t xml:space="preserve"> gali padidinti šių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antipsichotikų koncentracijas plazmoje.</w:t>
            </w:r>
          </w:p>
          <w:p w14:paraId="7A5AA46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(CYP2D6 slopinimas ir (arba) P-gp)</w:t>
            </w:r>
          </w:p>
        </w:tc>
        <w:tc>
          <w:tcPr>
            <w:tcW w:w="3023" w:type="dxa"/>
            <w:shd w:val="clear" w:color="auto" w:fill="auto"/>
          </w:tcPr>
          <w:p w14:paraId="0261770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Skiriant kartu su sustiprintu</w:t>
            </w:r>
            <w:r w:rsidR="00546D8A" w:rsidRPr="00DD4E66">
              <w:rPr>
                <w:rFonts w:eastAsia="TimesNewRoman"/>
                <w:sz w:val="22"/>
                <w:szCs w:val="22"/>
                <w:lang w:val="lt-LT" w:eastAsia="en-US"/>
              </w:rPr>
              <w:t xml:space="preserve"> darunaviru</w:t>
            </w:r>
            <w:r w:rsidRPr="00DD4E66">
              <w:rPr>
                <w:rFonts w:eastAsia="TimesNewRoman"/>
                <w:sz w:val="22"/>
                <w:szCs w:val="22"/>
                <w:lang w:val="lt-LT" w:eastAsia="en-US"/>
              </w:rPr>
              <w:t xml:space="preserve"> gali reikėti sumažinti</w:t>
            </w:r>
            <w:r w:rsidR="00546D8A" w:rsidRPr="00DD4E66">
              <w:rPr>
                <w:rFonts w:eastAsia="TimesNewRoman"/>
                <w:sz w:val="22"/>
                <w:szCs w:val="22"/>
                <w:lang w:val="lt-LT" w:eastAsia="en-US"/>
              </w:rPr>
              <w:t xml:space="preserve"> </w:t>
            </w:r>
            <w:r w:rsidRPr="00DD4E66">
              <w:rPr>
                <w:rFonts w:eastAsia="TimesNewRoman"/>
                <w:sz w:val="22"/>
                <w:szCs w:val="22"/>
                <w:lang w:val="lt-LT" w:eastAsia="en-US"/>
              </w:rPr>
              <w:t>šių vaistų dozes.</w:t>
            </w:r>
          </w:p>
          <w:p w14:paraId="70212F1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Sustiprinto </w:t>
            </w:r>
            <w:r w:rsidR="00546D8A" w:rsidRPr="00DD4E66">
              <w:rPr>
                <w:rFonts w:eastAsia="TimesNewRoman"/>
                <w:sz w:val="22"/>
                <w:szCs w:val="22"/>
                <w:lang w:val="lt-LT" w:eastAsia="en-US"/>
              </w:rPr>
              <w:t>darunaviro</w:t>
            </w:r>
            <w:r w:rsidRPr="00DD4E66">
              <w:rPr>
                <w:rFonts w:eastAsia="TimesNewRoman"/>
                <w:sz w:val="22"/>
                <w:szCs w:val="22"/>
                <w:lang w:val="lt-LT" w:eastAsia="en-US"/>
              </w:rPr>
              <w:t xml:space="preserve"> vartojimas</w:t>
            </w:r>
            <w:r w:rsidR="00546D8A" w:rsidRPr="00DD4E66">
              <w:rPr>
                <w:rFonts w:eastAsia="TimesNewRoman"/>
                <w:sz w:val="22"/>
                <w:szCs w:val="22"/>
                <w:lang w:val="lt-LT" w:eastAsia="en-US"/>
              </w:rPr>
              <w:t xml:space="preserve"> </w:t>
            </w:r>
            <w:r w:rsidRPr="00DD4E66">
              <w:rPr>
                <w:rFonts w:eastAsia="TimesNewRoman"/>
                <w:sz w:val="22"/>
                <w:szCs w:val="22"/>
                <w:lang w:val="lt-LT" w:eastAsia="en-US"/>
              </w:rPr>
              <w:t>kartu su pimozidu arba sertindolu</w:t>
            </w:r>
            <w:r w:rsidR="00546D8A" w:rsidRPr="00DD4E66">
              <w:rPr>
                <w:rFonts w:eastAsia="TimesNewRoman"/>
                <w:sz w:val="22"/>
                <w:szCs w:val="22"/>
                <w:lang w:val="lt-LT" w:eastAsia="en-US"/>
              </w:rPr>
              <w:t xml:space="preserve"> </w:t>
            </w:r>
            <w:r w:rsidRPr="00DD4E66">
              <w:rPr>
                <w:rFonts w:eastAsia="TimesNewRoman"/>
                <w:sz w:val="22"/>
                <w:szCs w:val="22"/>
                <w:lang w:val="lt-LT" w:eastAsia="en-US"/>
              </w:rPr>
              <w:t>yra kontraindikuotinas.</w:t>
            </w:r>
          </w:p>
        </w:tc>
      </w:tr>
      <w:tr w:rsidR="00546D8A" w:rsidRPr="00DD4E66" w14:paraId="2145A4A5" w14:textId="77777777" w:rsidTr="00D37DA7">
        <w:tc>
          <w:tcPr>
            <w:tcW w:w="9288" w:type="dxa"/>
            <w:gridSpan w:val="4"/>
            <w:shd w:val="clear" w:color="auto" w:fill="auto"/>
          </w:tcPr>
          <w:p w14:paraId="28034A49"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β-BLOKATORIAI</w:t>
            </w:r>
          </w:p>
        </w:tc>
      </w:tr>
      <w:tr w:rsidR="00645841" w:rsidRPr="00DD4E66" w14:paraId="3D1BE76E" w14:textId="77777777" w:rsidTr="00D37DA7">
        <w:tc>
          <w:tcPr>
            <w:tcW w:w="2817" w:type="dxa"/>
            <w:shd w:val="clear" w:color="auto" w:fill="auto"/>
          </w:tcPr>
          <w:p w14:paraId="07CA046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Karvedilolis</w:t>
            </w:r>
          </w:p>
          <w:p w14:paraId="6C18325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Metoprololis</w:t>
            </w:r>
          </w:p>
          <w:p w14:paraId="7751348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Timololis</w:t>
            </w:r>
          </w:p>
        </w:tc>
        <w:tc>
          <w:tcPr>
            <w:tcW w:w="3448" w:type="dxa"/>
            <w:gridSpan w:val="2"/>
            <w:shd w:val="clear" w:color="auto" w:fill="auto"/>
          </w:tcPr>
          <w:p w14:paraId="015862E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Tikėtina, kad sustiprintas</w:t>
            </w:r>
            <w:r w:rsidR="00546D8A" w:rsidRPr="00DD4E66">
              <w:rPr>
                <w:rFonts w:eastAsia="TimesNewRoman"/>
                <w:sz w:val="22"/>
                <w:szCs w:val="22"/>
                <w:lang w:val="lt-LT" w:eastAsia="en-US"/>
              </w:rPr>
              <w:t xml:space="preserve"> darunaviras</w:t>
            </w:r>
            <w:r w:rsidRPr="00DD4E66">
              <w:rPr>
                <w:rFonts w:eastAsia="TimesNewRoman"/>
                <w:sz w:val="22"/>
                <w:szCs w:val="22"/>
                <w:lang w:val="lt-LT" w:eastAsia="en-US"/>
              </w:rPr>
              <w:t xml:space="preserve"> gali padidinti šių β-blokatorių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koncentracijas plazmoje.</w:t>
            </w:r>
          </w:p>
          <w:p w14:paraId="36D60AC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(CYP2D6 slopinimas)</w:t>
            </w:r>
          </w:p>
        </w:tc>
        <w:tc>
          <w:tcPr>
            <w:tcW w:w="3023" w:type="dxa"/>
            <w:shd w:val="clear" w:color="auto" w:fill="auto"/>
          </w:tcPr>
          <w:p w14:paraId="4C67971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Skiriant sustiprintą </w:t>
            </w:r>
            <w:r w:rsidR="00546D8A" w:rsidRPr="00DD4E66">
              <w:rPr>
                <w:rFonts w:eastAsia="TimesNewRoman"/>
                <w:sz w:val="22"/>
                <w:szCs w:val="22"/>
                <w:lang w:val="lt-LT" w:eastAsia="en-US"/>
              </w:rPr>
              <w:t xml:space="preserve">darunavirą </w:t>
            </w:r>
            <w:r w:rsidRPr="00DD4E66">
              <w:rPr>
                <w:rFonts w:eastAsia="TimesNewRoman"/>
                <w:sz w:val="22"/>
                <w:szCs w:val="22"/>
                <w:lang w:val="lt-LT" w:eastAsia="en-US"/>
              </w:rPr>
              <w:t>kartu su β-blokatoriais,</w:t>
            </w:r>
            <w:r w:rsidR="00546D8A" w:rsidRPr="00DD4E66">
              <w:rPr>
                <w:rFonts w:eastAsia="TimesNewRoman"/>
                <w:sz w:val="22"/>
                <w:szCs w:val="22"/>
                <w:lang w:val="lt-LT" w:eastAsia="en-US"/>
              </w:rPr>
              <w:t xml:space="preserve"> </w:t>
            </w:r>
            <w:r w:rsidRPr="00DD4E66">
              <w:rPr>
                <w:rFonts w:eastAsia="TimesNewRoman"/>
                <w:sz w:val="22"/>
                <w:szCs w:val="22"/>
                <w:lang w:val="lt-LT" w:eastAsia="en-US"/>
              </w:rPr>
              <w:t>rekomenduojamas klinikinis</w:t>
            </w:r>
            <w:r w:rsidR="00546D8A" w:rsidRPr="00DD4E66">
              <w:rPr>
                <w:rFonts w:eastAsia="TimesNewRoman"/>
                <w:sz w:val="22"/>
                <w:szCs w:val="22"/>
                <w:lang w:val="lt-LT" w:eastAsia="en-US"/>
              </w:rPr>
              <w:t xml:space="preserve"> </w:t>
            </w:r>
            <w:r w:rsidRPr="00DD4E66">
              <w:rPr>
                <w:rFonts w:eastAsia="TimesNewRoman"/>
                <w:sz w:val="22"/>
                <w:szCs w:val="22"/>
                <w:lang w:val="lt-LT" w:eastAsia="en-US"/>
              </w:rPr>
              <w:t>stebėjimas. Turėtų būti apsvarstyta</w:t>
            </w:r>
            <w:r w:rsidR="00546D8A" w:rsidRPr="00DD4E66">
              <w:rPr>
                <w:rFonts w:eastAsia="TimesNewRoman"/>
                <w:sz w:val="22"/>
                <w:szCs w:val="22"/>
                <w:lang w:val="lt-LT" w:eastAsia="en-US"/>
              </w:rPr>
              <w:t xml:space="preserve"> </w:t>
            </w:r>
            <w:r w:rsidRPr="00DD4E66">
              <w:rPr>
                <w:rFonts w:eastAsia="TimesNewRoman"/>
                <w:sz w:val="22"/>
                <w:szCs w:val="22"/>
                <w:lang w:val="lt-LT" w:eastAsia="en-US"/>
              </w:rPr>
              <w:t>mažesnė β-blokatorių dozė.</w:t>
            </w:r>
          </w:p>
        </w:tc>
      </w:tr>
      <w:tr w:rsidR="00546D8A" w:rsidRPr="00DD4E66" w14:paraId="3E1B3C2E" w14:textId="77777777" w:rsidTr="00D37DA7">
        <w:tc>
          <w:tcPr>
            <w:tcW w:w="9288" w:type="dxa"/>
            <w:gridSpan w:val="4"/>
            <w:shd w:val="clear" w:color="auto" w:fill="auto"/>
          </w:tcPr>
          <w:p w14:paraId="728A48E4"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KALCIO KANALŲ BLOKATORIAI</w:t>
            </w:r>
          </w:p>
        </w:tc>
      </w:tr>
      <w:tr w:rsidR="00645841" w:rsidRPr="00DD4E66" w14:paraId="1A5C1116" w14:textId="77777777" w:rsidTr="00D37DA7">
        <w:tc>
          <w:tcPr>
            <w:tcW w:w="2943" w:type="dxa"/>
            <w:gridSpan w:val="2"/>
            <w:shd w:val="clear" w:color="auto" w:fill="auto"/>
          </w:tcPr>
          <w:p w14:paraId="35E0732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Amlodipinas</w:t>
            </w:r>
          </w:p>
          <w:p w14:paraId="7EAF3D3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Diltiazemas</w:t>
            </w:r>
          </w:p>
          <w:p w14:paraId="23CD60B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Felodipinas</w:t>
            </w:r>
          </w:p>
          <w:p w14:paraId="1903592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Nikardipinas</w:t>
            </w:r>
          </w:p>
          <w:p w14:paraId="30808B8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Nifedipinas</w:t>
            </w:r>
          </w:p>
          <w:p w14:paraId="4E76A49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Verapamilis</w:t>
            </w:r>
          </w:p>
        </w:tc>
        <w:tc>
          <w:tcPr>
            <w:tcW w:w="3322" w:type="dxa"/>
            <w:shd w:val="clear" w:color="auto" w:fill="auto"/>
          </w:tcPr>
          <w:p w14:paraId="3896400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G</w:t>
            </w:r>
            <w:r w:rsidR="00546D8A" w:rsidRPr="00DD4E66">
              <w:rPr>
                <w:rFonts w:eastAsia="TimesNewRoman"/>
                <w:sz w:val="22"/>
                <w:szCs w:val="22"/>
                <w:lang w:val="lt-LT" w:eastAsia="en-US"/>
              </w:rPr>
              <w:t>alima tikėtis, kad s</w:t>
            </w:r>
            <w:r w:rsidRPr="00DD4E66">
              <w:rPr>
                <w:rFonts w:eastAsia="TimesNewRoman"/>
                <w:sz w:val="22"/>
                <w:szCs w:val="22"/>
                <w:lang w:val="lt-LT" w:eastAsia="en-US"/>
              </w:rPr>
              <w:t>ustiprinta</w:t>
            </w:r>
            <w:r w:rsidR="00546D8A" w:rsidRPr="00DD4E66">
              <w:rPr>
                <w:rFonts w:eastAsia="TimesNewRoman"/>
                <w:sz w:val="22"/>
                <w:szCs w:val="22"/>
                <w:lang w:val="lt-LT" w:eastAsia="en-US"/>
              </w:rPr>
              <w:t>s darunaviras</w:t>
            </w:r>
            <w:r w:rsidRPr="00DD4E66">
              <w:rPr>
                <w:rFonts w:eastAsia="TimesNewRoman"/>
                <w:sz w:val="22"/>
                <w:szCs w:val="22"/>
                <w:lang w:val="lt-LT" w:eastAsia="en-US"/>
              </w:rPr>
              <w:t xml:space="preserve"> didins kalcio kanalų blokatorių</w:t>
            </w:r>
            <w:r w:rsidR="00546D8A" w:rsidRPr="00DD4E66">
              <w:rPr>
                <w:rFonts w:eastAsia="TimesNewRoman"/>
                <w:sz w:val="22"/>
                <w:szCs w:val="22"/>
                <w:lang w:val="lt-LT" w:eastAsia="en-US"/>
              </w:rPr>
              <w:t xml:space="preserve"> </w:t>
            </w:r>
            <w:r w:rsidRPr="00DD4E66">
              <w:rPr>
                <w:rFonts w:eastAsia="TimesNewRoman"/>
                <w:sz w:val="22"/>
                <w:szCs w:val="22"/>
                <w:lang w:val="lt-LT" w:eastAsia="en-US"/>
              </w:rPr>
              <w:t>koncentracijas plazmoje.</w:t>
            </w:r>
            <w:r w:rsidR="00546D8A" w:rsidRPr="00DD4E66">
              <w:rPr>
                <w:rFonts w:eastAsia="TimesNewRoman"/>
                <w:sz w:val="22"/>
                <w:szCs w:val="22"/>
                <w:lang w:val="lt-LT" w:eastAsia="en-US"/>
              </w:rPr>
              <w:t xml:space="preserve"> </w:t>
            </w:r>
            <w:r w:rsidRPr="00DD4E66">
              <w:rPr>
                <w:rFonts w:eastAsia="TimesNewRoman"/>
                <w:sz w:val="22"/>
                <w:szCs w:val="22"/>
                <w:lang w:val="lt-LT" w:eastAsia="en-US"/>
              </w:rPr>
              <w:t>(dėl CYP3A ir (arba) CYP2D6 slopinimo)</w:t>
            </w:r>
          </w:p>
        </w:tc>
        <w:tc>
          <w:tcPr>
            <w:tcW w:w="3023" w:type="dxa"/>
            <w:shd w:val="clear" w:color="auto" w:fill="auto"/>
          </w:tcPr>
          <w:p w14:paraId="7723255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Šiuos vaistinius preparatus skiriant</w:t>
            </w:r>
            <w:r w:rsidR="00546D8A" w:rsidRPr="00DD4E66">
              <w:rPr>
                <w:rFonts w:eastAsia="TimesNewRoman"/>
                <w:sz w:val="22"/>
                <w:szCs w:val="22"/>
                <w:lang w:val="lt-LT" w:eastAsia="en-US"/>
              </w:rPr>
              <w:t xml:space="preserve"> </w:t>
            </w:r>
            <w:r w:rsidRPr="00DD4E66">
              <w:rPr>
                <w:rFonts w:eastAsia="TimesNewRoman"/>
                <w:sz w:val="22"/>
                <w:szCs w:val="22"/>
                <w:lang w:val="lt-LT" w:eastAsia="en-US"/>
              </w:rPr>
              <w:t>vartoti kartu su sustiprintu</w:t>
            </w:r>
            <w:r w:rsidR="00FD0DCF" w:rsidRPr="00DD4E66">
              <w:rPr>
                <w:rFonts w:eastAsia="TimesNewRoman"/>
                <w:sz w:val="22"/>
                <w:szCs w:val="22"/>
                <w:lang w:val="lt-LT" w:eastAsia="en-US"/>
              </w:rPr>
              <w:t xml:space="preserve"> </w:t>
            </w:r>
            <w:r w:rsidR="00546D8A" w:rsidRPr="00DD4E66">
              <w:rPr>
                <w:rFonts w:eastAsia="TimesNewRoman"/>
                <w:sz w:val="22"/>
                <w:szCs w:val="22"/>
                <w:lang w:val="lt-LT" w:eastAsia="en-US"/>
              </w:rPr>
              <w:t>darunaviru</w:t>
            </w:r>
            <w:r w:rsidRPr="00DD4E66">
              <w:rPr>
                <w:rFonts w:eastAsia="TimesNewRoman"/>
                <w:sz w:val="22"/>
                <w:szCs w:val="22"/>
                <w:lang w:val="lt-LT" w:eastAsia="en-US"/>
              </w:rPr>
              <w:t>, rekomenduojamas</w:t>
            </w:r>
            <w:r w:rsidR="00546D8A" w:rsidRPr="00DD4E66">
              <w:rPr>
                <w:rFonts w:eastAsia="TimesNewRoman"/>
                <w:sz w:val="22"/>
                <w:szCs w:val="22"/>
                <w:lang w:val="lt-LT" w:eastAsia="en-US"/>
              </w:rPr>
              <w:t xml:space="preserve"> </w:t>
            </w:r>
            <w:r w:rsidRPr="00DD4E66">
              <w:rPr>
                <w:rFonts w:eastAsia="TimesNewRoman"/>
                <w:sz w:val="22"/>
                <w:szCs w:val="22"/>
                <w:lang w:val="lt-LT" w:eastAsia="en-US"/>
              </w:rPr>
              <w:t>klinikinis gydomojo ir</w:t>
            </w:r>
            <w:r w:rsidR="00546D8A" w:rsidRPr="00DD4E66">
              <w:rPr>
                <w:rFonts w:eastAsia="TimesNewRoman"/>
                <w:sz w:val="22"/>
                <w:szCs w:val="22"/>
                <w:lang w:val="lt-LT" w:eastAsia="en-US"/>
              </w:rPr>
              <w:t xml:space="preserve"> </w:t>
            </w:r>
            <w:r w:rsidRPr="00DD4E66">
              <w:rPr>
                <w:rFonts w:eastAsia="TimesNewRoman"/>
                <w:sz w:val="22"/>
                <w:szCs w:val="22"/>
                <w:lang w:val="lt-LT" w:eastAsia="en-US"/>
              </w:rPr>
              <w:t>nepageidaujamo poveikio</w:t>
            </w:r>
            <w:r w:rsidR="00546D8A" w:rsidRPr="00DD4E66">
              <w:rPr>
                <w:rFonts w:eastAsia="TimesNewRoman"/>
                <w:sz w:val="22"/>
                <w:szCs w:val="22"/>
                <w:lang w:val="lt-LT" w:eastAsia="en-US"/>
              </w:rPr>
              <w:t xml:space="preserve"> </w:t>
            </w:r>
            <w:r w:rsidRPr="00DD4E66">
              <w:rPr>
                <w:rFonts w:eastAsia="TimesNewRoman"/>
                <w:sz w:val="22"/>
                <w:szCs w:val="22"/>
                <w:lang w:val="lt-LT" w:eastAsia="en-US"/>
              </w:rPr>
              <w:t>stebėjimas.</w:t>
            </w:r>
          </w:p>
        </w:tc>
      </w:tr>
      <w:tr w:rsidR="00546D8A" w:rsidRPr="00DD4E66" w14:paraId="2C7328AD" w14:textId="77777777" w:rsidTr="00D37DA7">
        <w:tc>
          <w:tcPr>
            <w:tcW w:w="9288" w:type="dxa"/>
            <w:gridSpan w:val="4"/>
            <w:shd w:val="clear" w:color="auto" w:fill="auto"/>
          </w:tcPr>
          <w:p w14:paraId="59083F59" w14:textId="77777777" w:rsidR="00546D8A" w:rsidRPr="00DD4E66" w:rsidRDefault="00546D8A"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KORTIKOSTEROIDAI</w:t>
            </w:r>
          </w:p>
        </w:tc>
      </w:tr>
      <w:tr w:rsidR="00645841" w:rsidRPr="00DD4E66" w14:paraId="4E2A8126" w14:textId="77777777" w:rsidTr="00D37DA7">
        <w:tc>
          <w:tcPr>
            <w:tcW w:w="2943" w:type="dxa"/>
            <w:gridSpan w:val="2"/>
            <w:shd w:val="clear" w:color="auto" w:fill="auto"/>
          </w:tcPr>
          <w:p w14:paraId="58EC4B8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Flutikazonas</w:t>
            </w:r>
          </w:p>
          <w:p w14:paraId="7C1ACD0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Budezonidas</w:t>
            </w:r>
          </w:p>
        </w:tc>
        <w:tc>
          <w:tcPr>
            <w:tcW w:w="3322" w:type="dxa"/>
            <w:shd w:val="clear" w:color="auto" w:fill="auto"/>
          </w:tcPr>
          <w:p w14:paraId="2B38E5A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Klinikinio tyrimo metu sveikiems</w:t>
            </w:r>
            <w:r w:rsidR="00546D8A" w:rsidRPr="00DD4E66">
              <w:rPr>
                <w:rFonts w:eastAsia="TimesNewRoman"/>
                <w:sz w:val="22"/>
                <w:szCs w:val="22"/>
                <w:lang w:val="lt-LT" w:eastAsia="en-US"/>
              </w:rPr>
              <w:t xml:space="preserve"> </w:t>
            </w:r>
            <w:r w:rsidRPr="00DD4E66">
              <w:rPr>
                <w:rFonts w:eastAsia="TimesNewRoman"/>
                <w:sz w:val="22"/>
                <w:szCs w:val="22"/>
                <w:lang w:val="lt-LT" w:eastAsia="en-US"/>
              </w:rPr>
              <w:t>savanoriams 7 paras vartojant 100</w:t>
            </w:r>
            <w:r w:rsidR="00546D8A" w:rsidRPr="00DD4E66">
              <w:rPr>
                <w:rFonts w:eastAsia="TimesNewRoman"/>
                <w:sz w:val="22"/>
                <w:szCs w:val="22"/>
                <w:lang w:val="lt-LT" w:eastAsia="en-US"/>
              </w:rPr>
              <w:t> </w:t>
            </w:r>
            <w:r w:rsidRPr="00DD4E66">
              <w:rPr>
                <w:rFonts w:eastAsia="TimesNewRoman"/>
                <w:sz w:val="22"/>
                <w:szCs w:val="22"/>
                <w:lang w:val="lt-LT" w:eastAsia="en-US"/>
              </w:rPr>
              <w:t>mg</w:t>
            </w:r>
            <w:r w:rsidR="00546D8A" w:rsidRPr="00DD4E66">
              <w:rPr>
                <w:rFonts w:eastAsia="TimesNewRoman"/>
                <w:sz w:val="22"/>
                <w:szCs w:val="22"/>
                <w:lang w:val="lt-LT" w:eastAsia="en-US"/>
              </w:rPr>
              <w:t xml:space="preserve"> </w:t>
            </w:r>
            <w:r w:rsidRPr="00DD4E66">
              <w:rPr>
                <w:rFonts w:eastAsia="TimesNewRoman"/>
                <w:sz w:val="22"/>
                <w:szCs w:val="22"/>
                <w:lang w:val="lt-LT" w:eastAsia="en-US"/>
              </w:rPr>
              <w:t>ritonaviro kapsules du kartus per parą</w:t>
            </w:r>
            <w:r w:rsidR="00546D8A" w:rsidRPr="00DD4E66">
              <w:rPr>
                <w:rFonts w:eastAsia="TimesNewRoman"/>
                <w:sz w:val="22"/>
                <w:szCs w:val="22"/>
                <w:lang w:val="lt-LT" w:eastAsia="en-US"/>
              </w:rPr>
              <w:t xml:space="preserve"> </w:t>
            </w:r>
            <w:r w:rsidRPr="00DD4E66">
              <w:rPr>
                <w:rFonts w:eastAsia="TimesNewRoman"/>
                <w:sz w:val="22"/>
                <w:szCs w:val="22"/>
                <w:lang w:val="lt-LT" w:eastAsia="en-US"/>
              </w:rPr>
              <w:t>kartu su 50</w:t>
            </w:r>
            <w:r w:rsidR="00546D8A" w:rsidRPr="00DD4E66">
              <w:rPr>
                <w:rFonts w:eastAsia="TimesNewRoman"/>
                <w:sz w:val="22"/>
                <w:szCs w:val="22"/>
                <w:lang w:val="lt-LT" w:eastAsia="en-US"/>
              </w:rPr>
              <w:t> </w:t>
            </w:r>
            <w:r w:rsidRPr="00DD4E66">
              <w:rPr>
                <w:rFonts w:eastAsia="TimesNewRoman"/>
                <w:sz w:val="22"/>
                <w:szCs w:val="22"/>
                <w:lang w:val="lt-LT" w:eastAsia="en-US"/>
              </w:rPr>
              <w:t>μg flutikazono propionato į</w:t>
            </w:r>
            <w:r w:rsidR="00546D8A" w:rsidRPr="00DD4E66">
              <w:rPr>
                <w:rFonts w:eastAsia="TimesNewRoman"/>
                <w:sz w:val="22"/>
                <w:szCs w:val="22"/>
                <w:lang w:val="lt-LT" w:eastAsia="en-US"/>
              </w:rPr>
              <w:t xml:space="preserve"> </w:t>
            </w:r>
            <w:r w:rsidRPr="00DD4E66">
              <w:rPr>
                <w:rFonts w:eastAsia="TimesNewRoman"/>
                <w:sz w:val="22"/>
                <w:szCs w:val="22"/>
                <w:lang w:val="lt-LT" w:eastAsia="en-US"/>
              </w:rPr>
              <w:t>nosį (4 kartus per parą), flutikazono</w:t>
            </w:r>
            <w:r w:rsidR="00546D8A" w:rsidRPr="00DD4E66">
              <w:rPr>
                <w:rFonts w:eastAsia="TimesNewRoman"/>
                <w:sz w:val="22"/>
                <w:szCs w:val="22"/>
                <w:lang w:val="lt-LT" w:eastAsia="en-US"/>
              </w:rPr>
              <w:t xml:space="preserve"> </w:t>
            </w:r>
            <w:r w:rsidRPr="00DD4E66">
              <w:rPr>
                <w:rFonts w:eastAsia="TimesNewRoman"/>
                <w:sz w:val="22"/>
                <w:szCs w:val="22"/>
                <w:lang w:val="lt-LT" w:eastAsia="en-US"/>
              </w:rPr>
              <w:t xml:space="preserve">propionato </w:t>
            </w:r>
            <w:r w:rsidRPr="00DD4E66">
              <w:rPr>
                <w:rFonts w:eastAsia="TimesNewRoman"/>
                <w:sz w:val="22"/>
                <w:szCs w:val="22"/>
                <w:lang w:val="lt-LT" w:eastAsia="en-US"/>
              </w:rPr>
              <w:lastRenderedPageBreak/>
              <w:t>koncentracija plazmoj</w:t>
            </w:r>
            <w:r w:rsidR="00546D8A" w:rsidRPr="00DD4E66">
              <w:rPr>
                <w:rFonts w:eastAsia="TimesNewRoman"/>
                <w:sz w:val="22"/>
                <w:szCs w:val="22"/>
                <w:lang w:val="lt-LT" w:eastAsia="en-US"/>
              </w:rPr>
              <w:t xml:space="preserve">e </w:t>
            </w:r>
            <w:r w:rsidRPr="00DD4E66">
              <w:rPr>
                <w:rFonts w:eastAsia="TimesNewRoman"/>
                <w:sz w:val="22"/>
                <w:szCs w:val="22"/>
                <w:lang w:val="lt-LT" w:eastAsia="en-US"/>
              </w:rPr>
              <w:t>reikšmingai padidėjo, tuo tarpu kai tikrasis</w:t>
            </w:r>
            <w:r w:rsidR="009543C0" w:rsidRPr="00DD4E66">
              <w:rPr>
                <w:rFonts w:eastAsia="TimesNewRoman"/>
                <w:sz w:val="22"/>
                <w:szCs w:val="22"/>
                <w:lang w:val="lt-LT" w:eastAsia="en-US"/>
              </w:rPr>
              <w:t xml:space="preserve"> </w:t>
            </w:r>
            <w:r w:rsidRPr="00DD4E66">
              <w:rPr>
                <w:rFonts w:eastAsia="TimesNewRoman"/>
                <w:sz w:val="22"/>
                <w:szCs w:val="22"/>
                <w:lang w:val="lt-LT" w:eastAsia="en-US"/>
              </w:rPr>
              <w:t>kortizolio kiekis sumažėjo maždaug 86 %</w:t>
            </w:r>
            <w:r w:rsidR="009543C0" w:rsidRPr="00DD4E66">
              <w:rPr>
                <w:rFonts w:eastAsia="TimesNewRoman"/>
                <w:sz w:val="22"/>
                <w:szCs w:val="22"/>
                <w:lang w:val="lt-LT" w:eastAsia="en-US"/>
              </w:rPr>
              <w:t xml:space="preserve"> </w:t>
            </w:r>
            <w:r w:rsidRPr="00DD4E66">
              <w:rPr>
                <w:rFonts w:eastAsia="TimesNewRoman"/>
                <w:sz w:val="22"/>
                <w:szCs w:val="22"/>
                <w:lang w:val="lt-LT" w:eastAsia="en-US"/>
              </w:rPr>
              <w:t>(90 % PI 82-89 %). Flutikazoną</w:t>
            </w:r>
            <w:r w:rsidR="009543C0" w:rsidRPr="00DD4E66">
              <w:rPr>
                <w:rFonts w:eastAsia="TimesNewRoman"/>
                <w:sz w:val="22"/>
                <w:szCs w:val="22"/>
                <w:lang w:val="lt-LT" w:eastAsia="en-US"/>
              </w:rPr>
              <w:t xml:space="preserve"> </w:t>
            </w:r>
            <w:r w:rsidRPr="00DD4E66">
              <w:rPr>
                <w:rFonts w:eastAsia="TimesNewRoman"/>
                <w:sz w:val="22"/>
                <w:szCs w:val="22"/>
                <w:lang w:val="lt-LT" w:eastAsia="en-US"/>
              </w:rPr>
              <w:t>inhaliuojant, galima tikėtis didesnių</w:t>
            </w:r>
            <w:r w:rsidR="009543C0" w:rsidRPr="00DD4E66">
              <w:rPr>
                <w:rFonts w:eastAsia="TimesNewRoman"/>
                <w:sz w:val="22"/>
                <w:szCs w:val="22"/>
                <w:lang w:val="lt-LT" w:eastAsia="en-US"/>
              </w:rPr>
              <w:t xml:space="preserve"> </w:t>
            </w:r>
            <w:r w:rsidRPr="00DD4E66">
              <w:rPr>
                <w:rFonts w:eastAsia="TimesNewRoman"/>
                <w:sz w:val="22"/>
                <w:szCs w:val="22"/>
                <w:lang w:val="lt-LT" w:eastAsia="en-US"/>
              </w:rPr>
              <w:t>pokyčių. Pacientams, kurie vartojo</w:t>
            </w:r>
            <w:r w:rsidR="009543C0" w:rsidRPr="00DD4E66">
              <w:rPr>
                <w:rFonts w:eastAsia="TimesNewRoman"/>
                <w:sz w:val="22"/>
                <w:szCs w:val="22"/>
                <w:lang w:val="lt-LT" w:eastAsia="en-US"/>
              </w:rPr>
              <w:t xml:space="preserve"> </w:t>
            </w:r>
            <w:r w:rsidRPr="00DD4E66">
              <w:rPr>
                <w:rFonts w:eastAsia="TimesNewRoman"/>
                <w:sz w:val="22"/>
                <w:szCs w:val="22"/>
                <w:lang w:val="lt-LT" w:eastAsia="en-US"/>
              </w:rPr>
              <w:t>ritonavirą ir inhaliavo arba į nosį vartojo</w:t>
            </w:r>
            <w:r w:rsidR="009543C0" w:rsidRPr="00DD4E66">
              <w:rPr>
                <w:rFonts w:eastAsia="TimesNewRoman"/>
                <w:sz w:val="22"/>
                <w:szCs w:val="22"/>
                <w:lang w:val="lt-LT" w:eastAsia="en-US"/>
              </w:rPr>
              <w:t xml:space="preserve"> </w:t>
            </w:r>
            <w:r w:rsidRPr="00DD4E66">
              <w:rPr>
                <w:rFonts w:eastAsia="TimesNewRoman"/>
                <w:sz w:val="22"/>
                <w:szCs w:val="22"/>
                <w:lang w:val="lt-LT" w:eastAsia="en-US"/>
              </w:rPr>
              <w:t>flutikazoną, pasireiškė sisteminis</w:t>
            </w:r>
            <w:r w:rsidR="009543C0" w:rsidRPr="00DD4E66">
              <w:rPr>
                <w:rFonts w:eastAsia="TimesNewRoman"/>
                <w:sz w:val="22"/>
                <w:szCs w:val="22"/>
                <w:lang w:val="lt-LT" w:eastAsia="en-US"/>
              </w:rPr>
              <w:t xml:space="preserve"> </w:t>
            </w:r>
            <w:r w:rsidRPr="00DD4E66">
              <w:rPr>
                <w:rFonts w:eastAsia="TimesNewRoman"/>
                <w:sz w:val="22"/>
                <w:szCs w:val="22"/>
                <w:lang w:val="lt-LT" w:eastAsia="en-US"/>
              </w:rPr>
              <w:t>kortikosteroidų poveikis, įskaitant Kušingo</w:t>
            </w:r>
            <w:r w:rsidR="009543C0" w:rsidRPr="00DD4E66">
              <w:rPr>
                <w:rFonts w:eastAsia="TimesNewRoman"/>
                <w:sz w:val="22"/>
                <w:szCs w:val="22"/>
                <w:lang w:val="lt-LT" w:eastAsia="en-US"/>
              </w:rPr>
              <w:t xml:space="preserve"> </w:t>
            </w:r>
            <w:r w:rsidRPr="00DD4E66">
              <w:rPr>
                <w:rFonts w:eastAsia="TimesNewRoman"/>
                <w:sz w:val="22"/>
                <w:szCs w:val="22"/>
                <w:lang w:val="lt-LT" w:eastAsia="en-US"/>
              </w:rPr>
              <w:t>sindromą ir antinksčių slopinimą. Tokia</w:t>
            </w:r>
            <w:r w:rsidR="009543C0" w:rsidRPr="00DD4E66">
              <w:rPr>
                <w:rFonts w:eastAsia="TimesNewRoman"/>
                <w:sz w:val="22"/>
                <w:szCs w:val="22"/>
                <w:lang w:val="lt-LT" w:eastAsia="en-US"/>
              </w:rPr>
              <w:t xml:space="preserve"> </w:t>
            </w:r>
            <w:r w:rsidRPr="00DD4E66">
              <w:rPr>
                <w:rFonts w:eastAsia="TimesNewRoman"/>
                <w:sz w:val="22"/>
                <w:szCs w:val="22"/>
                <w:lang w:val="lt-LT" w:eastAsia="en-US"/>
              </w:rPr>
              <w:t>sąveika gali pasireikšti ir su kitais</w:t>
            </w:r>
            <w:r w:rsidR="009543C0" w:rsidRPr="00DD4E66">
              <w:rPr>
                <w:rFonts w:eastAsia="TimesNewRoman"/>
                <w:sz w:val="22"/>
                <w:szCs w:val="22"/>
                <w:lang w:val="lt-LT" w:eastAsia="en-US"/>
              </w:rPr>
              <w:t xml:space="preserve"> </w:t>
            </w:r>
            <w:r w:rsidRPr="00DD4E66">
              <w:rPr>
                <w:rFonts w:eastAsia="TimesNewRoman"/>
                <w:sz w:val="22"/>
                <w:szCs w:val="22"/>
                <w:lang w:val="lt-LT" w:eastAsia="en-US"/>
              </w:rPr>
              <w:t>kortikosteroidais, kurių metabolizmą</w:t>
            </w:r>
            <w:r w:rsidR="009543C0" w:rsidRPr="00DD4E66">
              <w:rPr>
                <w:rFonts w:eastAsia="TimesNewRoman"/>
                <w:sz w:val="22"/>
                <w:szCs w:val="22"/>
                <w:lang w:val="lt-LT" w:eastAsia="en-US"/>
              </w:rPr>
              <w:t xml:space="preserve"> </w:t>
            </w:r>
            <w:r w:rsidRPr="00DD4E66">
              <w:rPr>
                <w:rFonts w:eastAsia="TimesNewRoman"/>
                <w:sz w:val="22"/>
                <w:szCs w:val="22"/>
                <w:lang w:val="lt-LT" w:eastAsia="en-US"/>
              </w:rPr>
              <w:t>veikia P4503A, pavyzdžiui, budezonidu.</w:t>
            </w:r>
          </w:p>
          <w:p w14:paraId="40CF1C9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Didelės sisteminės flutikazono</w:t>
            </w:r>
            <w:r w:rsidR="009543C0" w:rsidRPr="00DD4E66">
              <w:rPr>
                <w:rFonts w:eastAsia="TimesNewRoman"/>
                <w:sz w:val="22"/>
                <w:szCs w:val="22"/>
                <w:lang w:val="lt-LT" w:eastAsia="en-US"/>
              </w:rPr>
              <w:t xml:space="preserve"> </w:t>
            </w:r>
            <w:r w:rsidRPr="00DD4E66">
              <w:rPr>
                <w:rFonts w:eastAsia="TimesNewRoman"/>
                <w:sz w:val="22"/>
                <w:szCs w:val="22"/>
                <w:lang w:val="lt-LT" w:eastAsia="en-US"/>
              </w:rPr>
              <w:t>ekspozicijos įtaka ritonaviro koncentracijai</w:t>
            </w:r>
            <w:r w:rsidR="009543C0" w:rsidRPr="00DD4E66">
              <w:rPr>
                <w:rFonts w:eastAsia="TimesNewRoman"/>
                <w:sz w:val="22"/>
                <w:szCs w:val="22"/>
                <w:lang w:val="lt-LT" w:eastAsia="en-US"/>
              </w:rPr>
              <w:t xml:space="preserve">  </w:t>
            </w:r>
            <w:r w:rsidRPr="00DD4E66">
              <w:rPr>
                <w:rFonts w:eastAsia="TimesNewRoman"/>
                <w:sz w:val="22"/>
                <w:szCs w:val="22"/>
                <w:lang w:val="lt-LT" w:eastAsia="en-US"/>
              </w:rPr>
              <w:t>plazmoje nežinoma.</w:t>
            </w:r>
          </w:p>
        </w:tc>
        <w:tc>
          <w:tcPr>
            <w:tcW w:w="3023" w:type="dxa"/>
            <w:shd w:val="clear" w:color="auto" w:fill="auto"/>
          </w:tcPr>
          <w:p w14:paraId="6488E6C2" w14:textId="77777777" w:rsidR="00645841" w:rsidRPr="00DD4E66" w:rsidRDefault="009543C0"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Sustiprintą darunavirą</w:t>
            </w:r>
            <w:r w:rsidR="00645841" w:rsidRPr="00DD4E66">
              <w:rPr>
                <w:rFonts w:eastAsia="TimesNewRoman"/>
                <w:sz w:val="22"/>
                <w:szCs w:val="22"/>
                <w:lang w:val="lt-LT" w:eastAsia="en-US"/>
              </w:rPr>
              <w:t>, vartoti</w:t>
            </w:r>
            <w:r w:rsidRPr="00DD4E66">
              <w:rPr>
                <w:rFonts w:eastAsia="TimesNewRoman"/>
                <w:sz w:val="22"/>
                <w:szCs w:val="22"/>
                <w:lang w:val="lt-LT" w:eastAsia="en-US"/>
              </w:rPr>
              <w:t xml:space="preserve"> </w:t>
            </w:r>
            <w:r w:rsidR="00645841" w:rsidRPr="00DD4E66">
              <w:rPr>
                <w:rFonts w:eastAsia="TimesNewRoman"/>
                <w:sz w:val="22"/>
                <w:szCs w:val="22"/>
                <w:lang w:val="lt-LT" w:eastAsia="en-US"/>
              </w:rPr>
              <w:t>kartu su šiais gliukokortikoidais</w:t>
            </w:r>
            <w:r w:rsidRPr="00DD4E66">
              <w:rPr>
                <w:rFonts w:eastAsia="TimesNewRoman"/>
                <w:sz w:val="22"/>
                <w:szCs w:val="22"/>
                <w:lang w:val="lt-LT" w:eastAsia="en-US"/>
              </w:rPr>
              <w:t xml:space="preserve"> </w:t>
            </w:r>
            <w:r w:rsidR="00645841" w:rsidRPr="00DD4E66">
              <w:rPr>
                <w:rFonts w:eastAsia="TimesNewRoman"/>
                <w:sz w:val="22"/>
                <w:szCs w:val="22"/>
                <w:lang w:val="lt-LT" w:eastAsia="en-US"/>
              </w:rPr>
              <w:t>nerekomenduojama, išskyrus</w:t>
            </w:r>
            <w:r w:rsidRPr="00DD4E66">
              <w:rPr>
                <w:rFonts w:eastAsia="TimesNewRoman"/>
                <w:sz w:val="22"/>
                <w:szCs w:val="22"/>
                <w:lang w:val="lt-LT" w:eastAsia="en-US"/>
              </w:rPr>
              <w:t xml:space="preserve"> </w:t>
            </w:r>
            <w:r w:rsidR="00645841" w:rsidRPr="00DD4E66">
              <w:rPr>
                <w:rFonts w:eastAsia="TimesNewRoman"/>
                <w:sz w:val="22"/>
                <w:szCs w:val="22"/>
                <w:lang w:val="lt-LT" w:eastAsia="en-US"/>
              </w:rPr>
              <w:t>atvejus, kai laukiama tokio gydymo</w:t>
            </w:r>
            <w:r w:rsidRPr="00DD4E66">
              <w:rPr>
                <w:rFonts w:eastAsia="TimesNewRoman"/>
                <w:sz w:val="22"/>
                <w:szCs w:val="22"/>
                <w:lang w:val="lt-LT" w:eastAsia="en-US"/>
              </w:rPr>
              <w:t xml:space="preserve"> </w:t>
            </w:r>
            <w:r w:rsidR="00645841" w:rsidRPr="00DD4E66">
              <w:rPr>
                <w:rFonts w:eastAsia="TimesNewRoman"/>
                <w:sz w:val="22"/>
                <w:szCs w:val="22"/>
                <w:lang w:val="lt-LT" w:eastAsia="en-US"/>
              </w:rPr>
              <w:t xml:space="preserve">nauda </w:t>
            </w:r>
            <w:r w:rsidRPr="00DD4E66">
              <w:rPr>
                <w:rFonts w:eastAsia="TimesNewRoman"/>
                <w:sz w:val="22"/>
                <w:szCs w:val="22"/>
                <w:lang w:val="lt-LT" w:eastAsia="en-US"/>
              </w:rPr>
              <w:t>viršija</w:t>
            </w:r>
            <w:r w:rsidR="00645841" w:rsidRPr="00DD4E66">
              <w:rPr>
                <w:rFonts w:eastAsia="TimesNewRoman"/>
                <w:sz w:val="22"/>
                <w:szCs w:val="22"/>
                <w:lang w:val="lt-LT" w:eastAsia="en-US"/>
              </w:rPr>
              <w:t xml:space="preserve"> kortikosteroidų</w:t>
            </w:r>
            <w:r w:rsidRPr="00DD4E66">
              <w:rPr>
                <w:rFonts w:eastAsia="TimesNewRoman"/>
                <w:sz w:val="22"/>
                <w:szCs w:val="22"/>
                <w:lang w:val="lt-LT" w:eastAsia="en-US"/>
              </w:rPr>
              <w:t xml:space="preserve"> </w:t>
            </w:r>
            <w:r w:rsidR="00645841" w:rsidRPr="00DD4E66">
              <w:rPr>
                <w:rFonts w:eastAsia="TimesNewRoman"/>
                <w:sz w:val="22"/>
                <w:szCs w:val="22"/>
                <w:lang w:val="lt-LT" w:eastAsia="en-US"/>
              </w:rPr>
              <w:t>sisteminio poveikio riziką.</w:t>
            </w:r>
          </w:p>
          <w:p w14:paraId="73097DC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Reikia apsvarstyti gliukokortikoido</w:t>
            </w:r>
            <w:r w:rsidR="009543C0" w:rsidRPr="00DD4E66">
              <w:rPr>
                <w:rFonts w:eastAsia="TimesNewRoman"/>
                <w:sz w:val="22"/>
                <w:szCs w:val="22"/>
                <w:lang w:val="lt-LT" w:eastAsia="en-US"/>
              </w:rPr>
              <w:t xml:space="preserve"> </w:t>
            </w:r>
            <w:r w:rsidRPr="00DD4E66">
              <w:rPr>
                <w:rFonts w:eastAsia="TimesNewRoman"/>
                <w:sz w:val="22"/>
                <w:szCs w:val="22"/>
                <w:lang w:val="lt-LT" w:eastAsia="en-US"/>
              </w:rPr>
              <w:t>dozės mažinimo galimybę ir atidžiai</w:t>
            </w:r>
            <w:r w:rsidR="009543C0" w:rsidRPr="00DD4E66">
              <w:rPr>
                <w:rFonts w:eastAsia="TimesNewRoman"/>
                <w:sz w:val="22"/>
                <w:szCs w:val="22"/>
                <w:lang w:val="lt-LT" w:eastAsia="en-US"/>
              </w:rPr>
              <w:t xml:space="preserve"> </w:t>
            </w:r>
            <w:r w:rsidRPr="00DD4E66">
              <w:rPr>
                <w:rFonts w:eastAsia="TimesNewRoman"/>
                <w:sz w:val="22"/>
                <w:szCs w:val="22"/>
                <w:lang w:val="lt-LT" w:eastAsia="en-US"/>
              </w:rPr>
              <w:t>stebėti ligonį dėl vietinio ir</w:t>
            </w:r>
            <w:r w:rsidR="009543C0" w:rsidRPr="00DD4E66">
              <w:rPr>
                <w:rFonts w:eastAsia="TimesNewRoman"/>
                <w:sz w:val="22"/>
                <w:szCs w:val="22"/>
                <w:lang w:val="lt-LT" w:eastAsia="en-US"/>
              </w:rPr>
              <w:t xml:space="preserve"> </w:t>
            </w:r>
            <w:r w:rsidRPr="00DD4E66">
              <w:rPr>
                <w:rFonts w:eastAsia="TimesNewRoman"/>
                <w:sz w:val="22"/>
                <w:szCs w:val="22"/>
                <w:lang w:val="lt-LT" w:eastAsia="en-US"/>
              </w:rPr>
              <w:t>sisteminio poveikio bei, jeigu</w:t>
            </w:r>
            <w:r w:rsidR="009543C0" w:rsidRPr="00DD4E66">
              <w:rPr>
                <w:rFonts w:eastAsia="TimesNewRoman"/>
                <w:sz w:val="22"/>
                <w:szCs w:val="22"/>
                <w:lang w:val="lt-LT" w:eastAsia="en-US"/>
              </w:rPr>
              <w:t xml:space="preserve"> </w:t>
            </w:r>
            <w:r w:rsidRPr="00DD4E66">
              <w:rPr>
                <w:rFonts w:eastAsia="TimesNewRoman"/>
                <w:sz w:val="22"/>
                <w:szCs w:val="22"/>
                <w:lang w:val="lt-LT" w:eastAsia="en-US"/>
              </w:rPr>
              <w:t>būtina, pakeisti gydymą kitu</w:t>
            </w:r>
            <w:r w:rsidR="009543C0" w:rsidRPr="00DD4E66">
              <w:rPr>
                <w:rFonts w:eastAsia="TimesNewRoman"/>
                <w:sz w:val="22"/>
                <w:szCs w:val="22"/>
                <w:lang w:val="lt-LT" w:eastAsia="en-US"/>
              </w:rPr>
              <w:t xml:space="preserve"> </w:t>
            </w:r>
            <w:r w:rsidRPr="00DD4E66">
              <w:rPr>
                <w:rFonts w:eastAsia="TimesNewRoman"/>
                <w:sz w:val="22"/>
                <w:szCs w:val="22"/>
                <w:lang w:val="lt-LT" w:eastAsia="en-US"/>
              </w:rPr>
              <w:t>gliukokortikoidu, kurio</w:t>
            </w:r>
            <w:r w:rsidR="009543C0" w:rsidRPr="00DD4E66">
              <w:rPr>
                <w:rFonts w:eastAsia="TimesNewRoman"/>
                <w:sz w:val="22"/>
                <w:szCs w:val="22"/>
                <w:lang w:val="lt-LT" w:eastAsia="en-US"/>
              </w:rPr>
              <w:t xml:space="preserve"> </w:t>
            </w:r>
            <w:r w:rsidRPr="00DD4E66">
              <w:rPr>
                <w:rFonts w:eastAsia="TimesNewRoman"/>
                <w:sz w:val="22"/>
                <w:szCs w:val="22"/>
                <w:lang w:val="lt-LT" w:eastAsia="en-US"/>
              </w:rPr>
              <w:t>metabolizmo neveikia CYP3A</w:t>
            </w:r>
            <w:r w:rsidR="009543C0" w:rsidRPr="00DD4E66">
              <w:rPr>
                <w:rFonts w:eastAsia="TimesNewRoman"/>
                <w:sz w:val="22"/>
                <w:szCs w:val="22"/>
                <w:lang w:val="lt-LT" w:eastAsia="en-US"/>
              </w:rPr>
              <w:t xml:space="preserve"> </w:t>
            </w:r>
            <w:r w:rsidRPr="00DD4E66">
              <w:rPr>
                <w:rFonts w:eastAsia="TimesNewRoman"/>
                <w:sz w:val="22"/>
                <w:szCs w:val="22"/>
                <w:lang w:val="lt-LT" w:eastAsia="en-US"/>
              </w:rPr>
              <w:t>(pvz., beklametazonu). Be to, jeigu</w:t>
            </w:r>
            <w:r w:rsidR="009543C0" w:rsidRPr="00DD4E66">
              <w:rPr>
                <w:rFonts w:eastAsia="TimesNewRoman"/>
                <w:sz w:val="22"/>
                <w:szCs w:val="22"/>
                <w:lang w:val="lt-LT" w:eastAsia="en-US"/>
              </w:rPr>
              <w:t xml:space="preserve"> </w:t>
            </w:r>
            <w:r w:rsidRPr="00DD4E66">
              <w:rPr>
                <w:rFonts w:eastAsia="TimesNewRoman"/>
                <w:sz w:val="22"/>
                <w:szCs w:val="22"/>
                <w:lang w:val="lt-LT" w:eastAsia="en-US"/>
              </w:rPr>
              <w:t>reikia nutraukti gydymą</w:t>
            </w:r>
            <w:r w:rsidR="009543C0" w:rsidRPr="00DD4E66">
              <w:rPr>
                <w:rFonts w:eastAsia="TimesNewRoman"/>
                <w:sz w:val="22"/>
                <w:szCs w:val="22"/>
                <w:lang w:val="lt-LT" w:eastAsia="en-US"/>
              </w:rPr>
              <w:t xml:space="preserve"> </w:t>
            </w:r>
            <w:r w:rsidRPr="00DD4E66">
              <w:rPr>
                <w:rFonts w:eastAsia="TimesNewRoman"/>
                <w:sz w:val="22"/>
                <w:szCs w:val="22"/>
                <w:lang w:val="lt-LT" w:eastAsia="en-US"/>
              </w:rPr>
              <w:t>gliukokortikoidais, palaipsninis</w:t>
            </w:r>
            <w:r w:rsidR="009543C0" w:rsidRPr="00DD4E66">
              <w:rPr>
                <w:rFonts w:eastAsia="TimesNewRoman"/>
                <w:sz w:val="22"/>
                <w:szCs w:val="22"/>
                <w:lang w:val="lt-LT" w:eastAsia="en-US"/>
              </w:rPr>
              <w:t xml:space="preserve"> </w:t>
            </w:r>
            <w:r w:rsidRPr="00DD4E66">
              <w:rPr>
                <w:rFonts w:eastAsia="TimesNewRoman"/>
                <w:sz w:val="22"/>
                <w:szCs w:val="22"/>
                <w:lang w:val="lt-LT" w:eastAsia="en-US"/>
              </w:rPr>
              <w:t>dozės mažinimas turi būti</w:t>
            </w:r>
            <w:r w:rsidR="009543C0" w:rsidRPr="00DD4E66">
              <w:rPr>
                <w:rFonts w:eastAsia="TimesNewRoman"/>
                <w:sz w:val="22"/>
                <w:szCs w:val="22"/>
                <w:lang w:val="lt-LT" w:eastAsia="en-US"/>
              </w:rPr>
              <w:t xml:space="preserve"> </w:t>
            </w:r>
            <w:r w:rsidRPr="00DD4E66">
              <w:rPr>
                <w:rFonts w:eastAsia="TimesNewRoman"/>
                <w:sz w:val="22"/>
                <w:szCs w:val="22"/>
                <w:lang w:val="lt-LT" w:eastAsia="en-US"/>
              </w:rPr>
              <w:t>atliekamas per ilgesnį laikotarpį.</w:t>
            </w:r>
          </w:p>
        </w:tc>
      </w:tr>
      <w:tr w:rsidR="00645841" w:rsidRPr="00DD4E66" w14:paraId="50F15143" w14:textId="77777777" w:rsidTr="00D37DA7">
        <w:tc>
          <w:tcPr>
            <w:tcW w:w="2943" w:type="dxa"/>
            <w:gridSpan w:val="2"/>
            <w:shd w:val="clear" w:color="auto" w:fill="auto"/>
          </w:tcPr>
          <w:p w14:paraId="4FA96A7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Deksametazonas</w:t>
            </w:r>
          </w:p>
          <w:p w14:paraId="3165508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(sisteminio vartojimo)</w:t>
            </w:r>
          </w:p>
        </w:tc>
        <w:tc>
          <w:tcPr>
            <w:tcW w:w="3322" w:type="dxa"/>
            <w:shd w:val="clear" w:color="auto" w:fill="auto"/>
          </w:tcPr>
          <w:p w14:paraId="16CE74C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Deksametazonas gali mažinti</w:t>
            </w:r>
            <w:r w:rsidR="009543C0" w:rsidRPr="00DD4E66">
              <w:rPr>
                <w:rFonts w:eastAsia="TimesNewRoman"/>
                <w:sz w:val="22"/>
                <w:szCs w:val="22"/>
                <w:lang w:val="lt-LT" w:eastAsia="en-US"/>
              </w:rPr>
              <w:t xml:space="preserve"> </w:t>
            </w:r>
            <w:r w:rsidRPr="00DD4E66">
              <w:rPr>
                <w:rFonts w:eastAsia="TimesNewRoman"/>
                <w:sz w:val="22"/>
                <w:szCs w:val="22"/>
                <w:lang w:val="lt-LT" w:eastAsia="en-US"/>
              </w:rPr>
              <w:t>darunaviro koncentracijas plazmoje.</w:t>
            </w:r>
            <w:r w:rsidR="009543C0" w:rsidRPr="00DD4E66">
              <w:rPr>
                <w:rFonts w:eastAsia="TimesNewRoman"/>
                <w:sz w:val="22"/>
                <w:szCs w:val="22"/>
                <w:lang w:val="lt-LT" w:eastAsia="en-US"/>
              </w:rPr>
              <w:t xml:space="preserve"> </w:t>
            </w:r>
            <w:r w:rsidRPr="00DD4E66">
              <w:rPr>
                <w:rFonts w:eastAsia="TimesNewRoman"/>
                <w:sz w:val="22"/>
                <w:szCs w:val="22"/>
                <w:lang w:val="lt-LT" w:eastAsia="en-US"/>
              </w:rPr>
              <w:t>(dėl CYP3A sužadinimo)</w:t>
            </w:r>
          </w:p>
        </w:tc>
        <w:tc>
          <w:tcPr>
            <w:tcW w:w="3023" w:type="dxa"/>
            <w:shd w:val="clear" w:color="auto" w:fill="auto"/>
          </w:tcPr>
          <w:p w14:paraId="0963B3B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Sisteminiu būdu vartoti</w:t>
            </w:r>
            <w:r w:rsidR="009543C0" w:rsidRPr="00DD4E66">
              <w:rPr>
                <w:rFonts w:eastAsia="TimesNewRoman"/>
                <w:sz w:val="22"/>
                <w:szCs w:val="22"/>
                <w:lang w:val="lt-LT" w:eastAsia="en-US"/>
              </w:rPr>
              <w:t xml:space="preserve"> </w:t>
            </w:r>
            <w:r w:rsidRPr="00DD4E66">
              <w:rPr>
                <w:rFonts w:eastAsia="TimesNewRoman"/>
                <w:sz w:val="22"/>
                <w:szCs w:val="22"/>
                <w:lang w:val="lt-LT" w:eastAsia="en-US"/>
              </w:rPr>
              <w:t>deksametazoną kartu su sustiprint</w:t>
            </w:r>
            <w:r w:rsidR="009543C0" w:rsidRPr="00DD4E66">
              <w:rPr>
                <w:rFonts w:eastAsia="TimesNewRoman"/>
                <w:sz w:val="22"/>
                <w:szCs w:val="22"/>
                <w:lang w:val="lt-LT" w:eastAsia="en-US"/>
              </w:rPr>
              <w:t>u darunaviru</w:t>
            </w:r>
            <w:r w:rsidRPr="00DD4E66">
              <w:rPr>
                <w:rFonts w:eastAsia="TimesNewRoman"/>
                <w:sz w:val="22"/>
                <w:szCs w:val="22"/>
                <w:lang w:val="lt-LT" w:eastAsia="en-US"/>
              </w:rPr>
              <w:t>, reikia atsargiai.</w:t>
            </w:r>
          </w:p>
        </w:tc>
      </w:tr>
      <w:tr w:rsidR="00645841" w:rsidRPr="00DD4E66" w14:paraId="1CF35758" w14:textId="77777777" w:rsidTr="00D37DA7">
        <w:tc>
          <w:tcPr>
            <w:tcW w:w="2943" w:type="dxa"/>
            <w:gridSpan w:val="2"/>
            <w:shd w:val="clear" w:color="auto" w:fill="auto"/>
          </w:tcPr>
          <w:p w14:paraId="54C7478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Prednizonas</w:t>
            </w:r>
          </w:p>
        </w:tc>
        <w:tc>
          <w:tcPr>
            <w:tcW w:w="3322" w:type="dxa"/>
            <w:shd w:val="clear" w:color="auto" w:fill="auto"/>
          </w:tcPr>
          <w:p w14:paraId="7C0F541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Sustiprintas </w:t>
            </w:r>
            <w:r w:rsidR="009543C0" w:rsidRPr="00DD4E66">
              <w:rPr>
                <w:rFonts w:eastAsia="TimesNewRoman"/>
                <w:sz w:val="22"/>
                <w:szCs w:val="22"/>
                <w:lang w:val="lt-LT" w:eastAsia="en-US"/>
              </w:rPr>
              <w:t>darunaviras</w:t>
            </w:r>
            <w:r w:rsidRPr="00DD4E66">
              <w:rPr>
                <w:rFonts w:eastAsia="TimesNewRoman"/>
                <w:sz w:val="22"/>
                <w:szCs w:val="22"/>
                <w:lang w:val="lt-LT" w:eastAsia="en-US"/>
              </w:rPr>
              <w:t xml:space="preserve"> gali</w:t>
            </w:r>
            <w:r w:rsidR="009543C0" w:rsidRPr="00DD4E66">
              <w:rPr>
                <w:rFonts w:eastAsia="TimesNewRoman"/>
                <w:sz w:val="22"/>
                <w:szCs w:val="22"/>
                <w:lang w:val="lt-LT" w:eastAsia="en-US"/>
              </w:rPr>
              <w:t xml:space="preserve"> </w:t>
            </w:r>
            <w:r w:rsidRPr="00DD4E66">
              <w:rPr>
                <w:rFonts w:eastAsia="TimesNewRoman"/>
                <w:sz w:val="22"/>
                <w:szCs w:val="22"/>
                <w:lang w:val="lt-LT" w:eastAsia="en-US"/>
              </w:rPr>
              <w:t>padidinti prednizono koncentracijas</w:t>
            </w:r>
            <w:r w:rsidR="009543C0" w:rsidRPr="00DD4E66">
              <w:rPr>
                <w:rFonts w:eastAsia="TimesNewRoman"/>
                <w:sz w:val="22"/>
                <w:szCs w:val="22"/>
                <w:lang w:val="lt-LT" w:eastAsia="en-US"/>
              </w:rPr>
              <w:t xml:space="preserve"> </w:t>
            </w:r>
            <w:r w:rsidRPr="00DD4E66">
              <w:rPr>
                <w:rFonts w:eastAsia="TimesNewRoman"/>
                <w:sz w:val="22"/>
                <w:szCs w:val="22"/>
                <w:lang w:val="lt-LT" w:eastAsia="en-US"/>
              </w:rPr>
              <w:t>plazmoje.</w:t>
            </w:r>
            <w:r w:rsidR="009543C0" w:rsidRPr="00DD4E66">
              <w:rPr>
                <w:rFonts w:eastAsia="TimesNewRoman"/>
                <w:sz w:val="22"/>
                <w:szCs w:val="22"/>
                <w:lang w:val="lt-LT" w:eastAsia="en-US"/>
              </w:rPr>
              <w:t xml:space="preserve"> </w:t>
            </w:r>
            <w:r w:rsidRPr="00DD4E66">
              <w:rPr>
                <w:rFonts w:eastAsia="TimesNewRoman"/>
                <w:sz w:val="22"/>
                <w:szCs w:val="22"/>
                <w:lang w:val="lt-LT" w:eastAsia="en-US"/>
              </w:rPr>
              <w:t>(CYP3A slopinimas)</w:t>
            </w:r>
          </w:p>
        </w:tc>
        <w:tc>
          <w:tcPr>
            <w:tcW w:w="3023" w:type="dxa"/>
            <w:shd w:val="clear" w:color="auto" w:fill="auto"/>
          </w:tcPr>
          <w:p w14:paraId="7318E41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Sustiprinto </w:t>
            </w:r>
            <w:r w:rsidR="009543C0" w:rsidRPr="00DD4E66">
              <w:rPr>
                <w:rFonts w:eastAsia="TimesNewRoman"/>
                <w:sz w:val="22"/>
                <w:szCs w:val="22"/>
                <w:lang w:val="lt-LT" w:eastAsia="en-US"/>
              </w:rPr>
              <w:t>darunaviro</w:t>
            </w:r>
            <w:r w:rsidRPr="00DD4E66">
              <w:rPr>
                <w:rFonts w:eastAsia="TimesNewRoman"/>
                <w:sz w:val="22"/>
                <w:szCs w:val="22"/>
                <w:lang w:val="lt-LT" w:eastAsia="en-US"/>
              </w:rPr>
              <w:t xml:space="preserve"> vartojimas</w:t>
            </w:r>
            <w:r w:rsidR="009543C0" w:rsidRPr="00DD4E66">
              <w:rPr>
                <w:rFonts w:eastAsia="TimesNewRoman"/>
                <w:sz w:val="22"/>
                <w:szCs w:val="22"/>
                <w:lang w:val="lt-LT" w:eastAsia="en-US"/>
              </w:rPr>
              <w:t xml:space="preserve"> </w:t>
            </w:r>
            <w:r w:rsidRPr="00DD4E66">
              <w:rPr>
                <w:rFonts w:eastAsia="TimesNewRoman"/>
                <w:sz w:val="22"/>
                <w:szCs w:val="22"/>
                <w:lang w:val="lt-LT" w:eastAsia="en-US"/>
              </w:rPr>
              <w:t>kartu su maža ritonaviro doze ir</w:t>
            </w:r>
            <w:r w:rsidR="009543C0" w:rsidRPr="00DD4E66">
              <w:rPr>
                <w:rFonts w:eastAsia="TimesNewRoman"/>
                <w:sz w:val="22"/>
                <w:szCs w:val="22"/>
                <w:lang w:val="lt-LT" w:eastAsia="en-US"/>
              </w:rPr>
              <w:t xml:space="preserve"> </w:t>
            </w:r>
            <w:r w:rsidRPr="00DD4E66">
              <w:rPr>
                <w:rFonts w:eastAsia="TimesNewRoman"/>
                <w:sz w:val="22"/>
                <w:szCs w:val="22"/>
                <w:lang w:val="lt-LT" w:eastAsia="en-US"/>
              </w:rPr>
              <w:t xml:space="preserve">prednizonu gali padidinti </w:t>
            </w:r>
            <w:r w:rsidR="009543C0" w:rsidRPr="00DD4E66">
              <w:rPr>
                <w:rFonts w:eastAsia="TimesNewRoman"/>
                <w:sz w:val="22"/>
                <w:szCs w:val="22"/>
                <w:lang w:val="lt-LT" w:eastAsia="en-US"/>
              </w:rPr>
              <w:t xml:space="preserve"> </w:t>
            </w:r>
            <w:r w:rsidRPr="00DD4E66">
              <w:rPr>
                <w:rFonts w:eastAsia="TimesNewRoman"/>
                <w:sz w:val="22"/>
                <w:szCs w:val="22"/>
                <w:lang w:val="lt-LT" w:eastAsia="en-US"/>
              </w:rPr>
              <w:t>sisteminio</w:t>
            </w:r>
            <w:r w:rsidR="009543C0" w:rsidRPr="00DD4E66">
              <w:rPr>
                <w:rFonts w:eastAsia="TimesNewRoman"/>
                <w:sz w:val="22"/>
                <w:szCs w:val="22"/>
                <w:lang w:val="lt-LT" w:eastAsia="en-US"/>
              </w:rPr>
              <w:t xml:space="preserve"> </w:t>
            </w:r>
            <w:r w:rsidRPr="00DD4E66">
              <w:rPr>
                <w:rFonts w:eastAsia="TimesNewRoman"/>
                <w:sz w:val="22"/>
                <w:szCs w:val="22"/>
                <w:lang w:val="lt-LT" w:eastAsia="en-US"/>
              </w:rPr>
              <w:t>vartojimo kortikosteroidų poveikio</w:t>
            </w:r>
            <w:r w:rsidR="009543C0" w:rsidRPr="00DD4E66">
              <w:rPr>
                <w:rFonts w:eastAsia="TimesNewRoman"/>
                <w:sz w:val="22"/>
                <w:szCs w:val="22"/>
                <w:lang w:val="lt-LT" w:eastAsia="en-US"/>
              </w:rPr>
              <w:t xml:space="preserve"> </w:t>
            </w:r>
            <w:r w:rsidRPr="00DD4E66">
              <w:rPr>
                <w:rFonts w:eastAsia="TimesNewRoman"/>
                <w:sz w:val="22"/>
                <w:szCs w:val="22"/>
                <w:lang w:val="lt-LT" w:eastAsia="en-US"/>
              </w:rPr>
              <w:t>pasireiškimo riziką, įskaitant</w:t>
            </w:r>
            <w:r w:rsidR="009543C0" w:rsidRPr="00DD4E66">
              <w:rPr>
                <w:rFonts w:eastAsia="TimesNewRoman"/>
                <w:sz w:val="22"/>
                <w:szCs w:val="22"/>
                <w:lang w:val="lt-LT" w:eastAsia="en-US"/>
              </w:rPr>
              <w:t xml:space="preserve"> </w:t>
            </w:r>
            <w:r w:rsidRPr="00DD4E66">
              <w:rPr>
                <w:rFonts w:eastAsia="TimesNewRoman"/>
                <w:sz w:val="22"/>
                <w:szCs w:val="22"/>
                <w:lang w:val="lt-LT" w:eastAsia="en-US"/>
              </w:rPr>
              <w:t>Kušingo sindromą ir antinksčių</w:t>
            </w:r>
            <w:r w:rsidR="009543C0" w:rsidRPr="00DD4E66">
              <w:rPr>
                <w:rFonts w:eastAsia="TimesNewRoman"/>
                <w:sz w:val="22"/>
                <w:szCs w:val="22"/>
                <w:lang w:val="lt-LT" w:eastAsia="en-US"/>
              </w:rPr>
              <w:t xml:space="preserve"> </w:t>
            </w:r>
            <w:r w:rsidRPr="00DD4E66">
              <w:rPr>
                <w:rFonts w:eastAsia="TimesNewRoman"/>
                <w:sz w:val="22"/>
                <w:szCs w:val="22"/>
                <w:lang w:val="lt-LT" w:eastAsia="en-US"/>
              </w:rPr>
              <w:t>slopinimą. Skiriant sustiprintą</w:t>
            </w:r>
            <w:r w:rsidR="009543C0" w:rsidRPr="00DD4E66">
              <w:rPr>
                <w:rFonts w:eastAsia="TimesNewRoman"/>
                <w:sz w:val="22"/>
                <w:szCs w:val="22"/>
                <w:lang w:val="lt-LT" w:eastAsia="en-US"/>
              </w:rPr>
              <w:t xml:space="preserve"> darunavirą</w:t>
            </w:r>
            <w:r w:rsidRPr="00DD4E66">
              <w:rPr>
                <w:rFonts w:eastAsia="TimesNewRoman"/>
                <w:sz w:val="22"/>
                <w:szCs w:val="22"/>
                <w:lang w:val="lt-LT" w:eastAsia="en-US"/>
              </w:rPr>
              <w:t xml:space="preserve"> su kortikosteroidais</w:t>
            </w:r>
            <w:r w:rsidR="009543C0" w:rsidRPr="00DD4E66">
              <w:rPr>
                <w:rFonts w:eastAsia="TimesNewRoman"/>
                <w:sz w:val="22"/>
                <w:szCs w:val="22"/>
                <w:lang w:val="lt-LT" w:eastAsia="en-US"/>
              </w:rPr>
              <w:t xml:space="preserve"> </w:t>
            </w:r>
            <w:r w:rsidRPr="00DD4E66">
              <w:rPr>
                <w:rFonts w:eastAsia="TimesNewRoman"/>
                <w:sz w:val="22"/>
                <w:szCs w:val="22"/>
                <w:lang w:val="lt-LT" w:eastAsia="en-US"/>
              </w:rPr>
              <w:t>rekomenduojamas klinikinis</w:t>
            </w:r>
            <w:r w:rsidR="009543C0" w:rsidRPr="00DD4E66">
              <w:rPr>
                <w:rFonts w:eastAsia="TimesNewRoman"/>
                <w:sz w:val="22"/>
                <w:szCs w:val="22"/>
                <w:lang w:val="lt-LT" w:eastAsia="en-US"/>
              </w:rPr>
              <w:t xml:space="preserve"> </w:t>
            </w:r>
            <w:r w:rsidRPr="00DD4E66">
              <w:rPr>
                <w:rFonts w:eastAsia="TimesNewRoman"/>
                <w:sz w:val="22"/>
                <w:szCs w:val="22"/>
                <w:lang w:val="lt-LT" w:eastAsia="en-US"/>
              </w:rPr>
              <w:t>stebėjimas.</w:t>
            </w:r>
          </w:p>
        </w:tc>
      </w:tr>
      <w:tr w:rsidR="009543C0" w:rsidRPr="00DD4E66" w14:paraId="193F0D88" w14:textId="77777777" w:rsidTr="00D37DA7">
        <w:tc>
          <w:tcPr>
            <w:tcW w:w="9288" w:type="dxa"/>
            <w:gridSpan w:val="4"/>
            <w:shd w:val="clear" w:color="auto" w:fill="auto"/>
          </w:tcPr>
          <w:p w14:paraId="3E6A90BA" w14:textId="77777777" w:rsidR="009543C0" w:rsidRPr="00DD4E66" w:rsidRDefault="009543C0"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ENDOTELINO RECEPTORIŲ ANTAGONISTAI</w:t>
            </w:r>
          </w:p>
        </w:tc>
      </w:tr>
      <w:tr w:rsidR="00645841" w:rsidRPr="00DD4E66" w14:paraId="49EBD5C1" w14:textId="77777777" w:rsidTr="00D37DA7">
        <w:tc>
          <w:tcPr>
            <w:tcW w:w="2943" w:type="dxa"/>
            <w:gridSpan w:val="2"/>
            <w:shd w:val="clear" w:color="auto" w:fill="auto"/>
          </w:tcPr>
          <w:p w14:paraId="22F6EBB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Bozentanas</w:t>
            </w:r>
          </w:p>
        </w:tc>
        <w:tc>
          <w:tcPr>
            <w:tcW w:w="3322" w:type="dxa"/>
            <w:shd w:val="clear" w:color="auto" w:fill="auto"/>
          </w:tcPr>
          <w:p w14:paraId="75BD354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Bozentaną vartojant kartu su</w:t>
            </w:r>
            <w:r w:rsidR="009543C0" w:rsidRPr="00DD4E66">
              <w:rPr>
                <w:rFonts w:eastAsia="TimesNewRoman"/>
                <w:sz w:val="22"/>
                <w:szCs w:val="22"/>
                <w:lang w:val="lt-LT" w:eastAsia="en-US"/>
              </w:rPr>
              <w:t xml:space="preserve"> s</w:t>
            </w:r>
            <w:r w:rsidRPr="00DD4E66">
              <w:rPr>
                <w:rFonts w:eastAsia="TimesNewRoman"/>
                <w:sz w:val="22"/>
                <w:szCs w:val="22"/>
                <w:lang w:val="lt-LT" w:eastAsia="en-US"/>
              </w:rPr>
              <w:t>ustiprintu darunaviru, bozentano</w:t>
            </w:r>
            <w:r w:rsidR="009543C0" w:rsidRPr="00DD4E66">
              <w:rPr>
                <w:rFonts w:eastAsia="TimesNewRoman"/>
                <w:sz w:val="22"/>
                <w:szCs w:val="22"/>
                <w:lang w:val="lt-LT" w:eastAsia="en-US"/>
              </w:rPr>
              <w:t xml:space="preserve"> </w:t>
            </w:r>
            <w:r w:rsidRPr="00DD4E66">
              <w:rPr>
                <w:rFonts w:eastAsia="TimesNewRoman"/>
                <w:sz w:val="22"/>
                <w:szCs w:val="22"/>
                <w:lang w:val="lt-LT" w:eastAsia="en-US"/>
              </w:rPr>
              <w:t>koncentracijos plazmoje gali padidėti.</w:t>
            </w:r>
          </w:p>
          <w:p w14:paraId="76B2ADC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Tikėtina, kad bozentanas gali sumažinti</w:t>
            </w:r>
            <w:r w:rsidR="009543C0" w:rsidRPr="00DD4E66">
              <w:rPr>
                <w:rFonts w:eastAsia="TimesNewRoman"/>
                <w:sz w:val="22"/>
                <w:szCs w:val="22"/>
                <w:lang w:val="lt-LT" w:eastAsia="en-US"/>
              </w:rPr>
              <w:t xml:space="preserve"> </w:t>
            </w:r>
            <w:r w:rsidRPr="00DD4E66">
              <w:rPr>
                <w:rFonts w:eastAsia="TimesNewRoman"/>
                <w:sz w:val="22"/>
                <w:szCs w:val="22"/>
                <w:lang w:val="lt-LT" w:eastAsia="en-US"/>
              </w:rPr>
              <w:t>darunaviro ir (arba) jo farmakologinio</w:t>
            </w:r>
            <w:r w:rsidR="009543C0" w:rsidRPr="00DD4E66">
              <w:rPr>
                <w:rFonts w:eastAsia="TimesNewRoman"/>
                <w:sz w:val="22"/>
                <w:szCs w:val="22"/>
                <w:lang w:val="lt-LT" w:eastAsia="en-US"/>
              </w:rPr>
              <w:t xml:space="preserve"> </w:t>
            </w:r>
            <w:r w:rsidRPr="00DD4E66">
              <w:rPr>
                <w:rFonts w:eastAsia="TimesNewRoman"/>
                <w:sz w:val="22"/>
                <w:szCs w:val="22"/>
                <w:lang w:val="lt-LT" w:eastAsia="en-US"/>
              </w:rPr>
              <w:t>stipriklio koncentracijas plazmoje.</w:t>
            </w:r>
            <w:r w:rsidR="009543C0" w:rsidRPr="00DD4E66">
              <w:rPr>
                <w:rFonts w:eastAsia="TimesNewRoman"/>
                <w:sz w:val="22"/>
                <w:szCs w:val="22"/>
                <w:lang w:val="lt-LT" w:eastAsia="en-US"/>
              </w:rPr>
              <w:t xml:space="preserve"> </w:t>
            </w:r>
            <w:r w:rsidRPr="00DD4E66">
              <w:rPr>
                <w:rFonts w:eastAsia="TimesNewRoman"/>
                <w:sz w:val="22"/>
                <w:szCs w:val="22"/>
                <w:lang w:val="lt-LT" w:eastAsia="en-US"/>
              </w:rPr>
              <w:t>(CYP3A slopinimas)</w:t>
            </w:r>
          </w:p>
        </w:tc>
        <w:tc>
          <w:tcPr>
            <w:tcW w:w="3023" w:type="dxa"/>
            <w:shd w:val="clear" w:color="auto" w:fill="auto"/>
          </w:tcPr>
          <w:p w14:paraId="3FC281CA" w14:textId="77777777" w:rsidR="00645841" w:rsidRPr="00DD4E66" w:rsidRDefault="009543C0"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su darunaviru</w:t>
            </w:r>
            <w:r w:rsidR="00645841" w:rsidRPr="00DD4E66">
              <w:rPr>
                <w:rFonts w:eastAsia="TimesNewRoman"/>
                <w:sz w:val="22"/>
                <w:szCs w:val="22"/>
                <w:lang w:val="lt-LT" w:eastAsia="en-US"/>
              </w:rPr>
              <w:t xml:space="preserve"> ir</w:t>
            </w:r>
            <w:r w:rsidRPr="00DD4E66">
              <w:rPr>
                <w:rFonts w:eastAsia="TimesNewRoman"/>
                <w:sz w:val="22"/>
                <w:szCs w:val="22"/>
                <w:lang w:val="lt-LT" w:eastAsia="en-US"/>
              </w:rPr>
              <w:t xml:space="preserve"> </w:t>
            </w:r>
            <w:r w:rsidR="00645841" w:rsidRPr="00DD4E66">
              <w:rPr>
                <w:rFonts w:eastAsia="TimesNewRoman"/>
                <w:sz w:val="22"/>
                <w:szCs w:val="22"/>
                <w:lang w:val="lt-LT" w:eastAsia="en-US"/>
              </w:rPr>
              <w:t>maža ritonaviro doze, reikia stebėti,</w:t>
            </w:r>
            <w:r w:rsidRPr="00DD4E66">
              <w:rPr>
                <w:rFonts w:eastAsia="TimesNewRoman"/>
                <w:sz w:val="22"/>
                <w:szCs w:val="22"/>
                <w:lang w:val="lt-LT" w:eastAsia="en-US"/>
              </w:rPr>
              <w:t xml:space="preserve"> </w:t>
            </w:r>
            <w:r w:rsidR="00645841" w:rsidRPr="00DD4E66">
              <w:rPr>
                <w:rFonts w:eastAsia="TimesNewRoman"/>
                <w:sz w:val="22"/>
                <w:szCs w:val="22"/>
                <w:lang w:val="lt-LT" w:eastAsia="en-US"/>
              </w:rPr>
              <w:t>kaip pacientas toleruoja bozentaną.</w:t>
            </w:r>
          </w:p>
          <w:p w14:paraId="23FA070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 kartu</w:t>
            </w:r>
            <w:r w:rsidR="009543C0" w:rsidRPr="00DD4E66">
              <w:rPr>
                <w:rFonts w:eastAsia="TimesNewRoman"/>
                <w:sz w:val="22"/>
                <w:szCs w:val="22"/>
                <w:lang w:val="lt-LT" w:eastAsia="en-US"/>
              </w:rPr>
              <w:t xml:space="preserve"> darunaviro</w:t>
            </w:r>
            <w:r w:rsidRPr="00DD4E66">
              <w:rPr>
                <w:rFonts w:eastAsia="TimesNewRoman"/>
                <w:sz w:val="22"/>
                <w:szCs w:val="22"/>
                <w:lang w:val="lt-LT" w:eastAsia="en-US"/>
              </w:rPr>
              <w:t>, vartojamo kartu su</w:t>
            </w:r>
            <w:r w:rsidR="009543C0" w:rsidRPr="00DD4E66">
              <w:rPr>
                <w:rFonts w:eastAsia="TimesNewRoman"/>
                <w:sz w:val="22"/>
                <w:szCs w:val="22"/>
                <w:lang w:val="lt-LT" w:eastAsia="en-US"/>
              </w:rPr>
              <w:t xml:space="preserve"> </w:t>
            </w:r>
            <w:r w:rsidRPr="00DD4E66">
              <w:rPr>
                <w:rFonts w:eastAsia="TimesNewRoman"/>
                <w:sz w:val="22"/>
                <w:szCs w:val="22"/>
                <w:lang w:val="lt-LT" w:eastAsia="en-US"/>
              </w:rPr>
              <w:t>kobicistatu, ir bozentano.</w:t>
            </w:r>
          </w:p>
        </w:tc>
      </w:tr>
      <w:tr w:rsidR="009543C0" w:rsidRPr="00DD4E66" w14:paraId="4103CDE9" w14:textId="77777777" w:rsidTr="00D37DA7">
        <w:tc>
          <w:tcPr>
            <w:tcW w:w="9288" w:type="dxa"/>
            <w:gridSpan w:val="4"/>
            <w:shd w:val="clear" w:color="auto" w:fill="auto"/>
          </w:tcPr>
          <w:p w14:paraId="77743AE1" w14:textId="77777777" w:rsidR="009543C0" w:rsidRPr="00DD4E66" w:rsidRDefault="009543C0"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HEPATITO C VIRUSĄ (HCV) TIESIOGIAI VEIKIANTYS ANTIVIRUSINIAI PREPARATAI</w:t>
            </w:r>
          </w:p>
        </w:tc>
      </w:tr>
      <w:tr w:rsidR="009543C0" w:rsidRPr="00DD4E66" w14:paraId="6247F44D" w14:textId="77777777" w:rsidTr="00D37DA7">
        <w:tc>
          <w:tcPr>
            <w:tcW w:w="9288" w:type="dxa"/>
            <w:gridSpan w:val="4"/>
            <w:shd w:val="clear" w:color="auto" w:fill="auto"/>
          </w:tcPr>
          <w:p w14:paraId="49FF4D5E" w14:textId="77777777" w:rsidR="009543C0" w:rsidRPr="00DD4E66" w:rsidRDefault="009543C0" w:rsidP="00D37DA7">
            <w:pPr>
              <w:autoSpaceDE w:val="0"/>
              <w:autoSpaceDN w:val="0"/>
              <w:adjustRightInd w:val="0"/>
              <w:rPr>
                <w:rFonts w:eastAsia="TimesNewRoman"/>
                <w:sz w:val="22"/>
                <w:szCs w:val="22"/>
                <w:lang w:val="lt-LT" w:eastAsia="en-US"/>
              </w:rPr>
            </w:pPr>
            <w:r w:rsidRPr="00DD4E66">
              <w:rPr>
                <w:b/>
                <w:bCs/>
                <w:i/>
                <w:iCs/>
                <w:sz w:val="22"/>
                <w:szCs w:val="22"/>
                <w:lang w:val="lt-LT" w:eastAsia="en-US"/>
              </w:rPr>
              <w:t>NS3-4A proteazės inhibitoriai</w:t>
            </w:r>
          </w:p>
        </w:tc>
      </w:tr>
      <w:tr w:rsidR="00645841" w:rsidRPr="00DD4E66" w14:paraId="19D8CBDF" w14:textId="77777777" w:rsidTr="00D37DA7">
        <w:tc>
          <w:tcPr>
            <w:tcW w:w="2943" w:type="dxa"/>
            <w:gridSpan w:val="2"/>
            <w:shd w:val="clear" w:color="auto" w:fill="auto"/>
          </w:tcPr>
          <w:p w14:paraId="7D74100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Telapreviras</w:t>
            </w:r>
            <w:r w:rsidR="009543C0" w:rsidRPr="00DD4E66">
              <w:rPr>
                <w:rFonts w:eastAsia="TimesNewRoman"/>
                <w:sz w:val="22"/>
                <w:szCs w:val="22"/>
                <w:lang w:val="lt-LT" w:eastAsia="en-US"/>
              </w:rPr>
              <w:t xml:space="preserve"> </w:t>
            </w:r>
            <w:r w:rsidRPr="00DD4E66">
              <w:rPr>
                <w:rFonts w:eastAsia="TimesNewRoman"/>
                <w:sz w:val="22"/>
                <w:szCs w:val="22"/>
                <w:lang w:val="lt-LT" w:eastAsia="en-US"/>
              </w:rPr>
              <w:t>750</w:t>
            </w:r>
            <w:r w:rsidR="009543C0" w:rsidRPr="00DD4E66">
              <w:rPr>
                <w:rFonts w:eastAsia="TimesNewRoman"/>
                <w:sz w:val="22"/>
                <w:szCs w:val="22"/>
                <w:lang w:val="lt-LT" w:eastAsia="en-US"/>
              </w:rPr>
              <w:t> </w:t>
            </w:r>
            <w:r w:rsidRPr="00DD4E66">
              <w:rPr>
                <w:rFonts w:eastAsia="TimesNewRoman"/>
                <w:sz w:val="22"/>
                <w:szCs w:val="22"/>
                <w:lang w:val="lt-LT" w:eastAsia="en-US"/>
              </w:rPr>
              <w:t>mg kas 8</w:t>
            </w:r>
            <w:r w:rsidR="009543C0" w:rsidRPr="00DD4E66">
              <w:rPr>
                <w:rFonts w:eastAsia="TimesNewRoman"/>
                <w:sz w:val="22"/>
                <w:szCs w:val="22"/>
                <w:lang w:val="lt-LT" w:eastAsia="en-US"/>
              </w:rPr>
              <w:t> </w:t>
            </w:r>
            <w:r w:rsidRPr="00DD4E66">
              <w:rPr>
                <w:rFonts w:eastAsia="TimesNewRoman"/>
                <w:sz w:val="22"/>
                <w:szCs w:val="22"/>
                <w:lang w:val="lt-LT" w:eastAsia="en-US"/>
              </w:rPr>
              <w:t>val.</w:t>
            </w:r>
          </w:p>
        </w:tc>
        <w:tc>
          <w:tcPr>
            <w:tcW w:w="3322" w:type="dxa"/>
            <w:shd w:val="clear" w:color="auto" w:fill="auto"/>
          </w:tcPr>
          <w:p w14:paraId="6898BA0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telapreviro AUC ↓ 35 %</w:t>
            </w:r>
          </w:p>
          <w:p w14:paraId="4624BF2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telapreviro Cmin ↓ 32 %</w:t>
            </w:r>
          </w:p>
          <w:p w14:paraId="0AC658F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telapreviro Cmax ↓ 36 %</w:t>
            </w:r>
          </w:p>
          <w:p w14:paraId="764FEA1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AUC12 ↓ 40 %</w:t>
            </w:r>
          </w:p>
          <w:p w14:paraId="72D4B04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42 %</w:t>
            </w:r>
          </w:p>
          <w:p w14:paraId="647B5C8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darunaviro Cmax ↓ 40 %</w:t>
            </w:r>
          </w:p>
        </w:tc>
        <w:tc>
          <w:tcPr>
            <w:tcW w:w="3023" w:type="dxa"/>
            <w:shd w:val="clear" w:color="auto" w:fill="auto"/>
          </w:tcPr>
          <w:p w14:paraId="6B9A4F1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 xml:space="preserve">Sustiprintą </w:t>
            </w:r>
            <w:r w:rsidR="009543C0" w:rsidRPr="00DD4E66">
              <w:rPr>
                <w:rFonts w:eastAsia="TimesNewRoman"/>
                <w:sz w:val="22"/>
                <w:szCs w:val="22"/>
                <w:lang w:val="lt-LT" w:eastAsia="en-US"/>
              </w:rPr>
              <w:t xml:space="preserve">darunavirą </w:t>
            </w:r>
            <w:r w:rsidRPr="00DD4E66">
              <w:rPr>
                <w:rFonts w:eastAsia="TimesNewRoman"/>
                <w:sz w:val="22"/>
                <w:szCs w:val="22"/>
                <w:lang w:val="lt-LT" w:eastAsia="en-US"/>
              </w:rPr>
              <w:t>nerekomenduojama vartoti kartu su</w:t>
            </w:r>
            <w:r w:rsidR="009543C0" w:rsidRPr="00DD4E66">
              <w:rPr>
                <w:rFonts w:eastAsia="TimesNewRoman"/>
                <w:sz w:val="22"/>
                <w:szCs w:val="22"/>
                <w:lang w:val="lt-LT" w:eastAsia="en-US"/>
              </w:rPr>
              <w:t xml:space="preserve"> </w:t>
            </w:r>
            <w:r w:rsidRPr="00DD4E66">
              <w:rPr>
                <w:rFonts w:eastAsia="TimesNewRoman"/>
                <w:sz w:val="22"/>
                <w:szCs w:val="22"/>
                <w:lang w:val="lt-LT" w:eastAsia="en-US"/>
              </w:rPr>
              <w:t>telapreviru.</w:t>
            </w:r>
          </w:p>
        </w:tc>
      </w:tr>
      <w:tr w:rsidR="00645841" w:rsidRPr="00DD4E66" w14:paraId="1F474677" w14:textId="77777777" w:rsidTr="00D37DA7">
        <w:tc>
          <w:tcPr>
            <w:tcW w:w="2943" w:type="dxa"/>
            <w:gridSpan w:val="2"/>
            <w:shd w:val="clear" w:color="auto" w:fill="auto"/>
          </w:tcPr>
          <w:p w14:paraId="2D11EB9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Bocepreviras</w:t>
            </w:r>
            <w:r w:rsidR="009543C0" w:rsidRPr="00DD4E66">
              <w:rPr>
                <w:rFonts w:eastAsia="TimesNewRoman"/>
                <w:sz w:val="22"/>
                <w:szCs w:val="22"/>
                <w:lang w:val="lt-LT" w:eastAsia="en-US"/>
              </w:rPr>
              <w:t xml:space="preserve"> 800 </w:t>
            </w:r>
            <w:r w:rsidRPr="00DD4E66">
              <w:rPr>
                <w:rFonts w:eastAsia="TimesNewRoman"/>
                <w:sz w:val="22"/>
                <w:szCs w:val="22"/>
                <w:lang w:val="lt-LT" w:eastAsia="en-US"/>
              </w:rPr>
              <w:t>mg tris kartus per parą</w:t>
            </w:r>
          </w:p>
        </w:tc>
        <w:tc>
          <w:tcPr>
            <w:tcW w:w="3322" w:type="dxa"/>
            <w:shd w:val="clear" w:color="auto" w:fill="auto"/>
          </w:tcPr>
          <w:p w14:paraId="23873DC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bocepreviro AUC ↓ 32 %</w:t>
            </w:r>
          </w:p>
          <w:p w14:paraId="1659807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bocepreviro Cmin ↓ 35 %</w:t>
            </w:r>
          </w:p>
          <w:p w14:paraId="02A21D2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bocepreviro Cmax ↓ 25 %</w:t>
            </w:r>
          </w:p>
          <w:p w14:paraId="2045961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44 %</w:t>
            </w:r>
          </w:p>
          <w:p w14:paraId="289CF02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59 %</w:t>
            </w:r>
          </w:p>
          <w:p w14:paraId="27B56D7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Cmax ↓ 36 %</w:t>
            </w:r>
          </w:p>
        </w:tc>
        <w:tc>
          <w:tcPr>
            <w:tcW w:w="3023" w:type="dxa"/>
            <w:shd w:val="clear" w:color="auto" w:fill="auto"/>
          </w:tcPr>
          <w:p w14:paraId="7636617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9543C0" w:rsidRPr="00DD4E66">
              <w:rPr>
                <w:rFonts w:eastAsia="TimesNewRoman"/>
                <w:sz w:val="22"/>
                <w:szCs w:val="22"/>
                <w:lang w:val="lt-LT" w:eastAsia="en-US"/>
              </w:rPr>
              <w:t xml:space="preserve">darunavirą </w:t>
            </w:r>
            <w:r w:rsidRPr="00DD4E66">
              <w:rPr>
                <w:rFonts w:eastAsia="TimesNewRoman"/>
                <w:sz w:val="22"/>
                <w:szCs w:val="22"/>
                <w:lang w:val="lt-LT" w:eastAsia="en-US"/>
              </w:rPr>
              <w:t>nerekomenduojama vartoti kartu su</w:t>
            </w:r>
            <w:r w:rsidR="009543C0" w:rsidRPr="00DD4E66">
              <w:rPr>
                <w:rFonts w:eastAsia="TimesNewRoman"/>
                <w:sz w:val="22"/>
                <w:szCs w:val="22"/>
                <w:lang w:val="lt-LT" w:eastAsia="en-US"/>
              </w:rPr>
              <w:t xml:space="preserve"> </w:t>
            </w:r>
            <w:r w:rsidRPr="00DD4E66">
              <w:rPr>
                <w:rFonts w:eastAsia="TimesNewRoman"/>
                <w:sz w:val="22"/>
                <w:szCs w:val="22"/>
                <w:lang w:val="lt-LT" w:eastAsia="en-US"/>
              </w:rPr>
              <w:t>bocepreviru.</w:t>
            </w:r>
          </w:p>
        </w:tc>
      </w:tr>
      <w:tr w:rsidR="00645841" w:rsidRPr="00DD4E66" w14:paraId="7A7813B1" w14:textId="77777777" w:rsidTr="00D37DA7">
        <w:tc>
          <w:tcPr>
            <w:tcW w:w="2943" w:type="dxa"/>
            <w:gridSpan w:val="2"/>
            <w:shd w:val="clear" w:color="auto" w:fill="auto"/>
          </w:tcPr>
          <w:p w14:paraId="0C670A7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Simepreviras</w:t>
            </w:r>
          </w:p>
        </w:tc>
        <w:tc>
          <w:tcPr>
            <w:tcW w:w="3322" w:type="dxa"/>
            <w:shd w:val="clear" w:color="auto" w:fill="auto"/>
          </w:tcPr>
          <w:p w14:paraId="680A2D4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simepreviro AUC ↑ 159 %</w:t>
            </w:r>
          </w:p>
          <w:p w14:paraId="6978151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simepreviro Cmin ↑ 358 %</w:t>
            </w:r>
          </w:p>
          <w:p w14:paraId="3ECF2AA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simepreviro Cmax ↑ 79 %</w:t>
            </w:r>
          </w:p>
          <w:p w14:paraId="2CA4A4E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AUC ↑ 18 %</w:t>
            </w:r>
          </w:p>
          <w:p w14:paraId="435645D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darunaviro Cmin ↑ 31 %</w:t>
            </w:r>
          </w:p>
          <w:p w14:paraId="5FC358B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darunaviro Cmax </w:t>
            </w:r>
            <w:r w:rsidR="00841FE0" w:rsidRPr="00DD4E66">
              <w:rPr>
                <w:spacing w:val="14"/>
                <w:position w:val="-3"/>
                <w:sz w:val="22"/>
                <w:szCs w:val="22"/>
              </w:rPr>
              <w:t xml:space="preserve"> </w:t>
            </w:r>
            <w:r w:rsidR="00841FE0" w:rsidRPr="00DD4E66">
              <w:rPr>
                <w:rFonts w:eastAsia="Symbol"/>
                <w:sz w:val="22"/>
                <w:szCs w:val="22"/>
              </w:rPr>
              <w:t></w:t>
            </w:r>
          </w:p>
          <w:p w14:paraId="642E98F3" w14:textId="77777777" w:rsidR="00841FE0" w:rsidRPr="00DD4E66" w:rsidRDefault="00841FE0" w:rsidP="00D37DA7">
            <w:pPr>
              <w:autoSpaceDE w:val="0"/>
              <w:autoSpaceDN w:val="0"/>
              <w:adjustRightInd w:val="0"/>
              <w:rPr>
                <w:rFonts w:eastAsia="TimesNewRoman"/>
                <w:sz w:val="22"/>
                <w:szCs w:val="22"/>
                <w:lang w:val="lt-LT" w:eastAsia="en-US"/>
              </w:rPr>
            </w:pPr>
          </w:p>
          <w:p w14:paraId="6AAE9EE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Šio sąveikos tyrimo metu simepreviro,</w:t>
            </w:r>
            <w:r w:rsidR="009543C0" w:rsidRPr="00DD4E66">
              <w:rPr>
                <w:rFonts w:eastAsia="TimesNewRoman"/>
                <w:sz w:val="22"/>
                <w:szCs w:val="22"/>
                <w:lang w:val="lt-LT" w:eastAsia="en-US"/>
              </w:rPr>
              <w:t xml:space="preserve"> </w:t>
            </w:r>
            <w:r w:rsidRPr="00DD4E66">
              <w:rPr>
                <w:rFonts w:eastAsia="TimesNewRoman"/>
                <w:sz w:val="22"/>
                <w:szCs w:val="22"/>
                <w:lang w:val="lt-LT" w:eastAsia="en-US"/>
              </w:rPr>
              <w:t>skiriamo kartu su darunaviru/ritonaviru,</w:t>
            </w:r>
            <w:r w:rsidR="009543C0" w:rsidRPr="00DD4E66">
              <w:rPr>
                <w:rFonts w:eastAsia="TimesNewRoman"/>
                <w:sz w:val="22"/>
                <w:szCs w:val="22"/>
                <w:lang w:val="lt-LT" w:eastAsia="en-US"/>
              </w:rPr>
              <w:t xml:space="preserve"> </w:t>
            </w:r>
            <w:r w:rsidRPr="00DD4E66">
              <w:rPr>
                <w:rFonts w:eastAsia="TimesNewRoman"/>
                <w:sz w:val="22"/>
                <w:szCs w:val="22"/>
                <w:lang w:val="lt-LT" w:eastAsia="en-US"/>
              </w:rPr>
              <w:t>dozė buvo 50</w:t>
            </w:r>
            <w:r w:rsidR="009543C0" w:rsidRPr="00DD4E66">
              <w:rPr>
                <w:rFonts w:eastAsia="TimesNewRoman"/>
                <w:sz w:val="22"/>
                <w:szCs w:val="22"/>
                <w:lang w:val="lt-LT" w:eastAsia="en-US"/>
              </w:rPr>
              <w:t> </w:t>
            </w:r>
            <w:r w:rsidRPr="00DD4E66">
              <w:rPr>
                <w:rFonts w:eastAsia="TimesNewRoman"/>
                <w:sz w:val="22"/>
                <w:szCs w:val="22"/>
                <w:lang w:val="lt-LT" w:eastAsia="en-US"/>
              </w:rPr>
              <w:t>mg, palyginti su 150</w:t>
            </w:r>
            <w:r w:rsidR="009543C0" w:rsidRPr="00DD4E66">
              <w:rPr>
                <w:rFonts w:eastAsia="TimesNewRoman"/>
                <w:sz w:val="22"/>
                <w:szCs w:val="22"/>
                <w:lang w:val="lt-LT" w:eastAsia="en-US"/>
              </w:rPr>
              <w:t> </w:t>
            </w:r>
            <w:r w:rsidRPr="00DD4E66">
              <w:rPr>
                <w:rFonts w:eastAsia="TimesNewRoman"/>
                <w:sz w:val="22"/>
                <w:szCs w:val="22"/>
                <w:lang w:val="lt-LT" w:eastAsia="en-US"/>
              </w:rPr>
              <w:t>mg</w:t>
            </w:r>
            <w:r w:rsidR="009543C0" w:rsidRPr="00DD4E66">
              <w:rPr>
                <w:rFonts w:eastAsia="TimesNewRoman"/>
                <w:sz w:val="22"/>
                <w:szCs w:val="22"/>
                <w:lang w:val="lt-LT" w:eastAsia="en-US"/>
              </w:rPr>
              <w:t xml:space="preserve"> </w:t>
            </w:r>
            <w:r w:rsidRPr="00DD4E66">
              <w:rPr>
                <w:rFonts w:eastAsia="TimesNewRoman"/>
                <w:sz w:val="22"/>
                <w:szCs w:val="22"/>
                <w:lang w:val="lt-LT" w:eastAsia="en-US"/>
              </w:rPr>
              <w:t>vieno simepreviro dozės gydymo grupe.</w:t>
            </w:r>
          </w:p>
        </w:tc>
        <w:tc>
          <w:tcPr>
            <w:tcW w:w="3023" w:type="dxa"/>
            <w:shd w:val="clear" w:color="auto" w:fill="auto"/>
          </w:tcPr>
          <w:p w14:paraId="4812209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skirti</w:t>
            </w:r>
            <w:r w:rsidR="009543C0"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sustiprinto </w:t>
            </w:r>
            <w:r w:rsidR="009543C0" w:rsidRPr="00DD4E66">
              <w:rPr>
                <w:rFonts w:eastAsia="TimesNewRoman"/>
                <w:sz w:val="22"/>
                <w:szCs w:val="22"/>
                <w:lang w:val="lt-LT" w:eastAsia="en-US"/>
              </w:rPr>
              <w:t>darunaviro</w:t>
            </w:r>
            <w:r w:rsidRPr="00DD4E66">
              <w:rPr>
                <w:rFonts w:eastAsia="TimesNewRoman"/>
                <w:sz w:val="22"/>
                <w:szCs w:val="22"/>
                <w:lang w:val="lt-LT" w:eastAsia="en-US"/>
              </w:rPr>
              <w:t xml:space="preserve"> kartu su</w:t>
            </w:r>
            <w:r w:rsidR="009543C0" w:rsidRPr="00DD4E66">
              <w:rPr>
                <w:rFonts w:eastAsia="TimesNewRoman"/>
                <w:sz w:val="22"/>
                <w:szCs w:val="22"/>
                <w:lang w:val="lt-LT" w:eastAsia="en-US"/>
              </w:rPr>
              <w:t xml:space="preserve"> </w:t>
            </w:r>
            <w:r w:rsidRPr="00DD4E66">
              <w:rPr>
                <w:rFonts w:eastAsia="TimesNewRoman"/>
                <w:sz w:val="22"/>
                <w:szCs w:val="22"/>
                <w:lang w:val="lt-LT" w:eastAsia="en-US"/>
              </w:rPr>
              <w:t>simepreviru.</w:t>
            </w:r>
          </w:p>
        </w:tc>
      </w:tr>
      <w:tr w:rsidR="009543C0" w:rsidRPr="00DD4E66" w14:paraId="52FE1067" w14:textId="77777777" w:rsidTr="00D37DA7">
        <w:tc>
          <w:tcPr>
            <w:tcW w:w="9288" w:type="dxa"/>
            <w:gridSpan w:val="4"/>
            <w:shd w:val="clear" w:color="auto" w:fill="auto"/>
          </w:tcPr>
          <w:p w14:paraId="6B987644" w14:textId="77777777" w:rsidR="009543C0" w:rsidRPr="00DD4E66" w:rsidRDefault="009543C0"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VAISTAŽOLIŲ PREPARATAI</w:t>
            </w:r>
          </w:p>
        </w:tc>
      </w:tr>
      <w:tr w:rsidR="00645841" w:rsidRPr="00DD4E66" w14:paraId="3DE4E34E" w14:textId="77777777" w:rsidTr="00D37DA7">
        <w:tc>
          <w:tcPr>
            <w:tcW w:w="2943" w:type="dxa"/>
            <w:gridSpan w:val="2"/>
            <w:shd w:val="clear" w:color="auto" w:fill="auto"/>
          </w:tcPr>
          <w:p w14:paraId="77C8297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Jonažolė</w:t>
            </w:r>
            <w:r w:rsidR="009543C0" w:rsidRPr="00DD4E66">
              <w:rPr>
                <w:rFonts w:eastAsia="TimesNewRoman"/>
                <w:sz w:val="22"/>
                <w:szCs w:val="22"/>
                <w:lang w:val="lt-LT" w:eastAsia="en-US"/>
              </w:rPr>
              <w:t>s</w:t>
            </w:r>
          </w:p>
          <w:p w14:paraId="54EAAEB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i/>
                <w:iCs/>
                <w:sz w:val="22"/>
                <w:szCs w:val="22"/>
                <w:lang w:val="lt-LT" w:eastAsia="en-US"/>
              </w:rPr>
              <w:t>(Hypericum perforatum)</w:t>
            </w:r>
          </w:p>
        </w:tc>
        <w:tc>
          <w:tcPr>
            <w:tcW w:w="3322" w:type="dxa"/>
            <w:shd w:val="clear" w:color="auto" w:fill="auto"/>
          </w:tcPr>
          <w:p w14:paraId="4A3D743A" w14:textId="77777777" w:rsidR="00841FE0"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Numatoma, kad jonažolė mažins</w:t>
            </w:r>
            <w:r w:rsidR="009543C0" w:rsidRPr="00DD4E66">
              <w:rPr>
                <w:rFonts w:eastAsia="TimesNewRoman"/>
                <w:sz w:val="22"/>
                <w:szCs w:val="22"/>
                <w:lang w:val="lt-LT" w:eastAsia="en-US"/>
              </w:rPr>
              <w:t xml:space="preserve"> </w:t>
            </w:r>
            <w:r w:rsidRPr="00DD4E66">
              <w:rPr>
                <w:rFonts w:eastAsia="TimesNewRoman"/>
                <w:sz w:val="22"/>
                <w:szCs w:val="22"/>
                <w:lang w:val="lt-LT" w:eastAsia="en-US"/>
              </w:rPr>
              <w:t>darunaviro arba jo farmakologinių</w:t>
            </w:r>
            <w:r w:rsidR="009543C0" w:rsidRPr="00DD4E66">
              <w:rPr>
                <w:rFonts w:eastAsia="TimesNewRoman"/>
                <w:sz w:val="22"/>
                <w:szCs w:val="22"/>
                <w:lang w:val="lt-LT" w:eastAsia="en-US"/>
              </w:rPr>
              <w:t xml:space="preserve"> </w:t>
            </w:r>
            <w:r w:rsidRPr="00DD4E66">
              <w:rPr>
                <w:rFonts w:eastAsia="TimesNewRoman"/>
                <w:sz w:val="22"/>
                <w:szCs w:val="22"/>
                <w:lang w:val="lt-LT" w:eastAsia="en-US"/>
              </w:rPr>
              <w:t>stipriklių koncentracijas plazmoje.</w:t>
            </w:r>
            <w:r w:rsidR="009543C0" w:rsidRPr="00DD4E66">
              <w:rPr>
                <w:rFonts w:eastAsia="TimesNewRoman"/>
                <w:sz w:val="22"/>
                <w:szCs w:val="22"/>
                <w:lang w:val="lt-LT" w:eastAsia="en-US"/>
              </w:rPr>
              <w:t xml:space="preserve"> </w:t>
            </w:r>
          </w:p>
          <w:p w14:paraId="32A0B56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(dėl CYP450 sužadinimo)</w:t>
            </w:r>
          </w:p>
        </w:tc>
        <w:tc>
          <w:tcPr>
            <w:tcW w:w="3023" w:type="dxa"/>
            <w:shd w:val="clear" w:color="auto" w:fill="auto"/>
          </w:tcPr>
          <w:p w14:paraId="5A5D071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9543C0" w:rsidRPr="00DD4E66">
              <w:rPr>
                <w:rFonts w:eastAsia="TimesNewRoman"/>
                <w:sz w:val="22"/>
                <w:szCs w:val="22"/>
                <w:lang w:val="lt-LT" w:eastAsia="en-US"/>
              </w:rPr>
              <w:t>darunavirą</w:t>
            </w:r>
            <w:r w:rsidRPr="00DD4E66">
              <w:rPr>
                <w:rFonts w:eastAsia="TimesNewRoman"/>
                <w:sz w:val="22"/>
                <w:szCs w:val="22"/>
                <w:lang w:val="lt-LT" w:eastAsia="en-US"/>
              </w:rPr>
              <w:t xml:space="preserve"> negalima</w:t>
            </w:r>
            <w:r w:rsidR="009543C0" w:rsidRPr="00DD4E66">
              <w:rPr>
                <w:rFonts w:eastAsia="TimesNewRoman"/>
                <w:sz w:val="22"/>
                <w:szCs w:val="22"/>
                <w:lang w:val="lt-LT" w:eastAsia="en-US"/>
              </w:rPr>
              <w:t xml:space="preserve"> </w:t>
            </w:r>
            <w:r w:rsidRPr="00DD4E66">
              <w:rPr>
                <w:rFonts w:eastAsia="TimesNewRoman"/>
                <w:sz w:val="22"/>
                <w:szCs w:val="22"/>
                <w:lang w:val="lt-LT" w:eastAsia="en-US"/>
              </w:rPr>
              <w:t>vartoti kartu su vaistažolių</w:t>
            </w:r>
            <w:r w:rsidR="009543C0" w:rsidRPr="00DD4E66">
              <w:rPr>
                <w:rFonts w:eastAsia="TimesNewRoman"/>
                <w:sz w:val="22"/>
                <w:szCs w:val="22"/>
                <w:lang w:val="lt-LT" w:eastAsia="en-US"/>
              </w:rPr>
              <w:t xml:space="preserve"> </w:t>
            </w:r>
            <w:r w:rsidRPr="00DD4E66">
              <w:rPr>
                <w:rFonts w:eastAsia="TimesNewRoman"/>
                <w:sz w:val="22"/>
                <w:szCs w:val="22"/>
                <w:lang w:val="lt-LT" w:eastAsia="en-US"/>
              </w:rPr>
              <w:t>preparatais, kurių sudėtyje yra</w:t>
            </w:r>
            <w:r w:rsidR="009543C0" w:rsidRPr="00DD4E66">
              <w:rPr>
                <w:rFonts w:eastAsia="TimesNewRoman"/>
                <w:sz w:val="22"/>
                <w:szCs w:val="22"/>
                <w:lang w:val="lt-LT" w:eastAsia="en-US"/>
              </w:rPr>
              <w:t xml:space="preserve"> </w:t>
            </w:r>
            <w:r w:rsidRPr="00DD4E66">
              <w:rPr>
                <w:rFonts w:eastAsia="TimesNewRoman"/>
                <w:sz w:val="22"/>
                <w:szCs w:val="22"/>
                <w:lang w:val="lt-LT" w:eastAsia="en-US"/>
              </w:rPr>
              <w:t>jonažol</w:t>
            </w:r>
            <w:r w:rsidR="009543C0" w:rsidRPr="00DD4E66">
              <w:rPr>
                <w:rFonts w:eastAsia="TimesNewRoman"/>
                <w:sz w:val="22"/>
                <w:szCs w:val="22"/>
                <w:lang w:val="lt-LT" w:eastAsia="en-US"/>
              </w:rPr>
              <w:t>ių</w:t>
            </w:r>
            <w:r w:rsidRPr="00DD4E66">
              <w:rPr>
                <w:rFonts w:eastAsia="TimesNewRoman"/>
                <w:sz w:val="22"/>
                <w:szCs w:val="22"/>
                <w:lang w:val="lt-LT" w:eastAsia="en-US"/>
              </w:rPr>
              <w:t xml:space="preserve"> (</w:t>
            </w:r>
            <w:r w:rsidRPr="00DD4E66">
              <w:rPr>
                <w:rFonts w:eastAsia="TimesNewRoman"/>
                <w:i/>
                <w:iCs/>
                <w:sz w:val="22"/>
                <w:szCs w:val="22"/>
                <w:lang w:val="lt-LT" w:eastAsia="en-US"/>
              </w:rPr>
              <w:t>Hypericum perforatum)</w:t>
            </w:r>
            <w:r w:rsidR="009543C0" w:rsidRPr="00DD4E66">
              <w:rPr>
                <w:rFonts w:eastAsia="TimesNewRoman"/>
                <w:i/>
                <w:iCs/>
                <w:sz w:val="22"/>
                <w:szCs w:val="22"/>
                <w:lang w:val="lt-LT" w:eastAsia="en-US"/>
              </w:rPr>
              <w:t xml:space="preserve"> </w:t>
            </w:r>
            <w:r w:rsidRPr="00DD4E66">
              <w:rPr>
                <w:rFonts w:eastAsia="TimesNewRoman"/>
                <w:sz w:val="22"/>
                <w:szCs w:val="22"/>
                <w:lang w:val="lt-LT" w:eastAsia="en-US"/>
              </w:rPr>
              <w:t>(žr. 4.3 skyrių). Jeigu pacientas jau</w:t>
            </w:r>
            <w:r w:rsidR="009543C0" w:rsidRPr="00DD4E66">
              <w:rPr>
                <w:rFonts w:eastAsia="TimesNewRoman"/>
                <w:sz w:val="22"/>
                <w:szCs w:val="22"/>
                <w:lang w:val="lt-LT" w:eastAsia="en-US"/>
              </w:rPr>
              <w:t xml:space="preserve"> vartoja jonažolių</w:t>
            </w:r>
            <w:r w:rsidRPr="00DD4E66">
              <w:rPr>
                <w:rFonts w:eastAsia="TimesNewRoman"/>
                <w:sz w:val="22"/>
                <w:szCs w:val="22"/>
                <w:lang w:val="lt-LT" w:eastAsia="en-US"/>
              </w:rPr>
              <w:t xml:space="preserve"> preparatų,</w:t>
            </w:r>
            <w:r w:rsidR="009543C0" w:rsidRPr="00DD4E66">
              <w:rPr>
                <w:rFonts w:eastAsia="TimesNewRoman"/>
                <w:sz w:val="22"/>
                <w:szCs w:val="22"/>
                <w:lang w:val="lt-LT" w:eastAsia="en-US"/>
              </w:rPr>
              <w:t xml:space="preserve"> jonažolių</w:t>
            </w:r>
            <w:r w:rsidRPr="00DD4E66">
              <w:rPr>
                <w:rFonts w:eastAsia="TimesNewRoman"/>
                <w:sz w:val="22"/>
                <w:szCs w:val="22"/>
                <w:lang w:val="lt-LT" w:eastAsia="en-US"/>
              </w:rPr>
              <w:t xml:space="preserve"> preparatų vartojimą reikia</w:t>
            </w:r>
            <w:r w:rsidR="009543C0" w:rsidRPr="00DD4E66">
              <w:rPr>
                <w:rFonts w:eastAsia="TimesNewRoman"/>
                <w:sz w:val="22"/>
                <w:szCs w:val="22"/>
                <w:lang w:val="lt-LT" w:eastAsia="en-US"/>
              </w:rPr>
              <w:t xml:space="preserve"> </w:t>
            </w:r>
            <w:r w:rsidRPr="00DD4E66">
              <w:rPr>
                <w:rFonts w:eastAsia="TimesNewRoman"/>
                <w:sz w:val="22"/>
                <w:szCs w:val="22"/>
                <w:lang w:val="lt-LT" w:eastAsia="en-US"/>
              </w:rPr>
              <w:t>nutraukti ir, jeigu įmanoma, ištirti</w:t>
            </w:r>
            <w:r w:rsidR="009543C0" w:rsidRPr="00DD4E66">
              <w:rPr>
                <w:rFonts w:eastAsia="TimesNewRoman"/>
                <w:sz w:val="22"/>
                <w:szCs w:val="22"/>
                <w:lang w:val="lt-LT" w:eastAsia="en-US"/>
              </w:rPr>
              <w:t xml:space="preserve"> </w:t>
            </w:r>
            <w:r w:rsidRPr="00DD4E66">
              <w:rPr>
                <w:rFonts w:eastAsia="TimesNewRoman"/>
                <w:sz w:val="22"/>
                <w:szCs w:val="22"/>
                <w:lang w:val="lt-LT" w:eastAsia="en-US"/>
              </w:rPr>
              <w:t>virusų koncentraciją. Nutraukus</w:t>
            </w:r>
            <w:r w:rsidR="009543C0" w:rsidRPr="00DD4E66">
              <w:rPr>
                <w:rFonts w:eastAsia="TimesNewRoman"/>
                <w:sz w:val="22"/>
                <w:szCs w:val="22"/>
                <w:lang w:val="lt-LT" w:eastAsia="en-US"/>
              </w:rPr>
              <w:t xml:space="preserve"> jonažolių</w:t>
            </w:r>
            <w:r w:rsidRPr="00DD4E66">
              <w:rPr>
                <w:rFonts w:eastAsia="TimesNewRoman"/>
                <w:sz w:val="22"/>
                <w:szCs w:val="22"/>
                <w:lang w:val="lt-LT" w:eastAsia="en-US"/>
              </w:rPr>
              <w:t xml:space="preserve"> preparatų vartojimą,</w:t>
            </w:r>
            <w:r w:rsidR="009543C0" w:rsidRPr="00DD4E66">
              <w:rPr>
                <w:rFonts w:eastAsia="TimesNewRoman"/>
                <w:sz w:val="22"/>
                <w:szCs w:val="22"/>
                <w:lang w:val="lt-LT" w:eastAsia="en-US"/>
              </w:rPr>
              <w:t xml:space="preserve"> </w:t>
            </w:r>
            <w:r w:rsidRPr="00DD4E66">
              <w:rPr>
                <w:rFonts w:eastAsia="TimesNewRoman"/>
                <w:sz w:val="22"/>
                <w:szCs w:val="22"/>
                <w:lang w:val="lt-LT" w:eastAsia="en-US"/>
              </w:rPr>
              <w:t>darunaviro (taip pat ir ritonaviro)</w:t>
            </w:r>
            <w:r w:rsidR="009543C0" w:rsidRPr="00DD4E66">
              <w:rPr>
                <w:rFonts w:eastAsia="TimesNewRoman"/>
                <w:sz w:val="22"/>
                <w:szCs w:val="22"/>
                <w:lang w:val="lt-LT" w:eastAsia="en-US"/>
              </w:rPr>
              <w:t xml:space="preserve"> </w:t>
            </w:r>
            <w:r w:rsidRPr="00DD4E66">
              <w:rPr>
                <w:rFonts w:eastAsia="TimesNewRoman"/>
                <w:sz w:val="22"/>
                <w:szCs w:val="22"/>
                <w:lang w:val="lt-LT" w:eastAsia="en-US"/>
              </w:rPr>
              <w:t>ekspozicija gali padidėti. Toks</w:t>
            </w:r>
            <w:r w:rsidR="009543C0" w:rsidRPr="00DD4E66">
              <w:rPr>
                <w:rFonts w:eastAsia="TimesNewRoman"/>
                <w:sz w:val="22"/>
                <w:szCs w:val="22"/>
                <w:lang w:val="lt-LT" w:eastAsia="en-US"/>
              </w:rPr>
              <w:t xml:space="preserve"> </w:t>
            </w:r>
            <w:r w:rsidRPr="00DD4E66">
              <w:rPr>
                <w:rFonts w:eastAsia="TimesNewRoman"/>
                <w:sz w:val="22"/>
                <w:szCs w:val="22"/>
                <w:lang w:val="lt-LT" w:eastAsia="en-US"/>
              </w:rPr>
              <w:t>sužadinamasis poveikis gali</w:t>
            </w:r>
            <w:r w:rsidR="009543C0" w:rsidRPr="00DD4E66">
              <w:rPr>
                <w:rFonts w:eastAsia="TimesNewRoman"/>
                <w:sz w:val="22"/>
                <w:szCs w:val="22"/>
                <w:lang w:val="lt-LT" w:eastAsia="en-US"/>
              </w:rPr>
              <w:t xml:space="preserve"> </w:t>
            </w:r>
            <w:r w:rsidRPr="00DD4E66">
              <w:rPr>
                <w:rFonts w:eastAsia="TimesNewRoman"/>
                <w:sz w:val="22"/>
                <w:szCs w:val="22"/>
                <w:lang w:val="lt-LT" w:eastAsia="en-US"/>
              </w:rPr>
              <w:t>išsilaikyti mažiausiai 2 savaites po</w:t>
            </w:r>
            <w:r w:rsidR="009543C0" w:rsidRPr="00DD4E66">
              <w:rPr>
                <w:rFonts w:eastAsia="TimesNewRoman"/>
                <w:sz w:val="22"/>
                <w:szCs w:val="22"/>
                <w:lang w:val="lt-LT" w:eastAsia="en-US"/>
              </w:rPr>
              <w:t xml:space="preserve"> </w:t>
            </w:r>
            <w:r w:rsidRPr="00DD4E66">
              <w:rPr>
                <w:rFonts w:eastAsia="TimesNewRoman"/>
                <w:sz w:val="22"/>
                <w:szCs w:val="22"/>
                <w:lang w:val="lt-LT" w:eastAsia="en-US"/>
              </w:rPr>
              <w:t>gydymo jonažol</w:t>
            </w:r>
            <w:r w:rsidR="009543C0" w:rsidRPr="00DD4E66">
              <w:rPr>
                <w:rFonts w:eastAsia="TimesNewRoman"/>
                <w:sz w:val="22"/>
                <w:szCs w:val="22"/>
                <w:lang w:val="lt-LT" w:eastAsia="en-US"/>
              </w:rPr>
              <w:t>ių</w:t>
            </w:r>
            <w:r w:rsidRPr="00DD4E66">
              <w:rPr>
                <w:rFonts w:eastAsia="TimesNewRoman"/>
                <w:sz w:val="22"/>
                <w:szCs w:val="22"/>
                <w:lang w:val="lt-LT" w:eastAsia="en-US"/>
              </w:rPr>
              <w:t xml:space="preserve"> preparatais</w:t>
            </w:r>
            <w:r w:rsidR="009543C0" w:rsidRPr="00DD4E66">
              <w:rPr>
                <w:rFonts w:eastAsia="TimesNewRoman"/>
                <w:sz w:val="22"/>
                <w:szCs w:val="22"/>
                <w:lang w:val="lt-LT" w:eastAsia="en-US"/>
              </w:rPr>
              <w:t xml:space="preserve"> </w:t>
            </w:r>
            <w:r w:rsidRPr="00DD4E66">
              <w:rPr>
                <w:rFonts w:eastAsia="TimesNewRoman"/>
                <w:sz w:val="22"/>
                <w:szCs w:val="22"/>
                <w:lang w:val="lt-LT" w:eastAsia="en-US"/>
              </w:rPr>
              <w:t>pabaigos.</w:t>
            </w:r>
          </w:p>
        </w:tc>
      </w:tr>
      <w:tr w:rsidR="009543C0" w:rsidRPr="00DD4E66" w14:paraId="062C0B07" w14:textId="77777777" w:rsidTr="00D37DA7">
        <w:tc>
          <w:tcPr>
            <w:tcW w:w="9288" w:type="dxa"/>
            <w:gridSpan w:val="4"/>
            <w:shd w:val="clear" w:color="auto" w:fill="auto"/>
          </w:tcPr>
          <w:p w14:paraId="10F0EFCB" w14:textId="77777777" w:rsidR="009543C0" w:rsidRPr="00DD4E66" w:rsidRDefault="009543C0"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HMG KO-A REDUKTAZĖS INHIBITORIAI</w:t>
            </w:r>
          </w:p>
        </w:tc>
      </w:tr>
      <w:tr w:rsidR="00645841" w:rsidRPr="00DD4E66" w14:paraId="360F38A1" w14:textId="77777777" w:rsidTr="00D37DA7">
        <w:tc>
          <w:tcPr>
            <w:tcW w:w="2943" w:type="dxa"/>
            <w:gridSpan w:val="2"/>
            <w:shd w:val="clear" w:color="auto" w:fill="auto"/>
          </w:tcPr>
          <w:p w14:paraId="62AFBB9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Lovastatinas</w:t>
            </w:r>
          </w:p>
          <w:p w14:paraId="0ABBBA7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Simvastatinas</w:t>
            </w:r>
          </w:p>
        </w:tc>
        <w:tc>
          <w:tcPr>
            <w:tcW w:w="3322" w:type="dxa"/>
            <w:shd w:val="clear" w:color="auto" w:fill="auto"/>
          </w:tcPr>
          <w:p w14:paraId="5EEC31D4" w14:textId="77777777" w:rsidR="00841FE0"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Numatoma, kad vartojant kartu su</w:t>
            </w:r>
            <w:r w:rsidR="00611815"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9543C0" w:rsidRPr="00DD4E66">
              <w:rPr>
                <w:rFonts w:eastAsia="TimesNewRoman"/>
                <w:sz w:val="22"/>
                <w:szCs w:val="22"/>
                <w:lang w:val="lt-LT" w:eastAsia="en-US"/>
              </w:rPr>
              <w:t>darunaviru</w:t>
            </w:r>
            <w:r w:rsidRPr="00DD4E66">
              <w:rPr>
                <w:rFonts w:eastAsia="TimesNewRoman"/>
                <w:sz w:val="22"/>
                <w:szCs w:val="22"/>
                <w:lang w:val="lt-LT" w:eastAsia="en-US"/>
              </w:rPr>
              <w:t>, gali labai padidėti</w:t>
            </w:r>
            <w:r w:rsidR="009543C0" w:rsidRPr="00DD4E66">
              <w:rPr>
                <w:rFonts w:eastAsia="TimesNewRoman"/>
                <w:sz w:val="22"/>
                <w:szCs w:val="22"/>
                <w:lang w:val="lt-LT" w:eastAsia="en-US"/>
              </w:rPr>
              <w:t xml:space="preserve"> </w:t>
            </w:r>
            <w:r w:rsidRPr="00DD4E66">
              <w:rPr>
                <w:rFonts w:eastAsia="TimesNewRoman"/>
                <w:sz w:val="22"/>
                <w:szCs w:val="22"/>
                <w:lang w:val="lt-LT" w:eastAsia="en-US"/>
              </w:rPr>
              <w:t>lovastatino ir simvastatino koncentracijos</w:t>
            </w:r>
            <w:r w:rsidR="009543C0" w:rsidRPr="00DD4E66">
              <w:rPr>
                <w:rFonts w:eastAsia="TimesNewRoman"/>
                <w:sz w:val="22"/>
                <w:szCs w:val="22"/>
                <w:lang w:val="lt-LT" w:eastAsia="en-US"/>
              </w:rPr>
              <w:t xml:space="preserve"> kraujo </w:t>
            </w:r>
            <w:r w:rsidRPr="00DD4E66">
              <w:rPr>
                <w:rFonts w:eastAsia="TimesNewRoman"/>
                <w:sz w:val="22"/>
                <w:szCs w:val="22"/>
                <w:lang w:val="lt-LT" w:eastAsia="en-US"/>
              </w:rPr>
              <w:t>plazmoje.</w:t>
            </w:r>
            <w:r w:rsidR="009543C0" w:rsidRPr="00DD4E66">
              <w:rPr>
                <w:rFonts w:eastAsia="TimesNewRoman"/>
                <w:sz w:val="22"/>
                <w:szCs w:val="22"/>
                <w:lang w:val="lt-LT" w:eastAsia="en-US"/>
              </w:rPr>
              <w:t xml:space="preserve"> </w:t>
            </w:r>
          </w:p>
          <w:p w14:paraId="2640755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(dėl CYP3A slopinimo)</w:t>
            </w:r>
          </w:p>
        </w:tc>
        <w:tc>
          <w:tcPr>
            <w:tcW w:w="3023" w:type="dxa"/>
            <w:shd w:val="clear" w:color="auto" w:fill="auto"/>
          </w:tcPr>
          <w:p w14:paraId="11E391C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Dėl lovastatino ir simvastatino</w:t>
            </w:r>
          </w:p>
          <w:p w14:paraId="625D72EF" w14:textId="77777777" w:rsidR="00645841" w:rsidRPr="00DD4E66" w:rsidRDefault="00611815"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w:t>
            </w:r>
            <w:r w:rsidR="00645841" w:rsidRPr="00DD4E66">
              <w:rPr>
                <w:rFonts w:eastAsia="TimesNewRoman"/>
                <w:sz w:val="22"/>
                <w:szCs w:val="22"/>
                <w:lang w:val="lt-LT" w:eastAsia="en-US"/>
              </w:rPr>
              <w:t>oncentracijų</w:t>
            </w:r>
            <w:r w:rsidR="009543C0" w:rsidRPr="00DD4E66">
              <w:rPr>
                <w:rFonts w:eastAsia="TimesNewRoman"/>
                <w:sz w:val="22"/>
                <w:szCs w:val="22"/>
                <w:lang w:val="lt-LT" w:eastAsia="en-US"/>
              </w:rPr>
              <w:t xml:space="preserve"> kraujo</w:t>
            </w:r>
            <w:r w:rsidR="00645841" w:rsidRPr="00DD4E66">
              <w:rPr>
                <w:rFonts w:eastAsia="TimesNewRoman"/>
                <w:sz w:val="22"/>
                <w:szCs w:val="22"/>
                <w:lang w:val="lt-LT" w:eastAsia="en-US"/>
              </w:rPr>
              <w:t xml:space="preserve"> plazmoje padidėjimo</w:t>
            </w:r>
            <w:r w:rsidR="009543C0" w:rsidRPr="00DD4E66">
              <w:rPr>
                <w:rFonts w:eastAsia="TimesNewRoman"/>
                <w:sz w:val="22"/>
                <w:szCs w:val="22"/>
                <w:lang w:val="lt-LT" w:eastAsia="en-US"/>
              </w:rPr>
              <w:t xml:space="preserve"> </w:t>
            </w:r>
            <w:r w:rsidR="00645841" w:rsidRPr="00DD4E66">
              <w:rPr>
                <w:rFonts w:eastAsia="TimesNewRoman"/>
                <w:sz w:val="22"/>
                <w:szCs w:val="22"/>
                <w:lang w:val="lt-LT" w:eastAsia="en-US"/>
              </w:rPr>
              <w:t>gali pasireikšti miopatija, įskaitant</w:t>
            </w:r>
            <w:r w:rsidR="009543C0" w:rsidRPr="00DD4E66">
              <w:rPr>
                <w:rFonts w:eastAsia="TimesNewRoman"/>
                <w:sz w:val="22"/>
                <w:szCs w:val="22"/>
                <w:lang w:val="lt-LT" w:eastAsia="en-US"/>
              </w:rPr>
              <w:t xml:space="preserve"> </w:t>
            </w:r>
            <w:r w:rsidR="00645841" w:rsidRPr="00DD4E66">
              <w:rPr>
                <w:rFonts w:eastAsia="TimesNewRoman"/>
                <w:sz w:val="22"/>
                <w:szCs w:val="22"/>
                <w:lang w:val="lt-LT" w:eastAsia="en-US"/>
              </w:rPr>
              <w:t>rabdomiolizę. Taigi sustiprinto</w:t>
            </w:r>
            <w:r w:rsidR="009543C0" w:rsidRPr="00DD4E66">
              <w:rPr>
                <w:rFonts w:eastAsia="TimesNewRoman"/>
                <w:sz w:val="22"/>
                <w:szCs w:val="22"/>
                <w:lang w:val="lt-LT" w:eastAsia="en-US"/>
              </w:rPr>
              <w:t xml:space="preserve"> darunaviro </w:t>
            </w:r>
            <w:r w:rsidR="00645841" w:rsidRPr="00DD4E66">
              <w:rPr>
                <w:rFonts w:eastAsia="TimesNewRoman"/>
                <w:sz w:val="22"/>
                <w:szCs w:val="22"/>
                <w:lang w:val="lt-LT" w:eastAsia="en-US"/>
              </w:rPr>
              <w:t>vartojimas kartu su</w:t>
            </w:r>
            <w:r w:rsidR="009543C0" w:rsidRPr="00DD4E66">
              <w:rPr>
                <w:rFonts w:eastAsia="TimesNewRoman"/>
                <w:sz w:val="22"/>
                <w:szCs w:val="22"/>
                <w:lang w:val="lt-LT" w:eastAsia="en-US"/>
              </w:rPr>
              <w:t xml:space="preserve"> </w:t>
            </w:r>
            <w:r w:rsidR="00645841" w:rsidRPr="00DD4E66">
              <w:rPr>
                <w:rFonts w:eastAsia="TimesNewRoman"/>
                <w:sz w:val="22"/>
                <w:szCs w:val="22"/>
                <w:lang w:val="lt-LT" w:eastAsia="en-US"/>
              </w:rPr>
              <w:t>lovastatinu ir simvastatinu</w:t>
            </w:r>
            <w:r w:rsidR="009543C0" w:rsidRPr="00DD4E66">
              <w:rPr>
                <w:rFonts w:eastAsia="TimesNewRoman"/>
                <w:sz w:val="22"/>
                <w:szCs w:val="22"/>
                <w:lang w:val="lt-LT" w:eastAsia="en-US"/>
              </w:rPr>
              <w:t xml:space="preserve"> </w:t>
            </w:r>
            <w:r w:rsidR="00645841" w:rsidRPr="00DD4E66">
              <w:rPr>
                <w:rFonts w:eastAsia="TimesNewRoman"/>
                <w:sz w:val="22"/>
                <w:szCs w:val="22"/>
                <w:lang w:val="lt-LT" w:eastAsia="en-US"/>
              </w:rPr>
              <w:t>kontraindikuotinas (žr. 4.3 skyrių).</w:t>
            </w:r>
          </w:p>
        </w:tc>
      </w:tr>
      <w:tr w:rsidR="00645841" w:rsidRPr="00DD4E66" w14:paraId="38D9CFBE" w14:textId="77777777" w:rsidTr="00D37DA7">
        <w:tc>
          <w:tcPr>
            <w:tcW w:w="2943" w:type="dxa"/>
            <w:gridSpan w:val="2"/>
            <w:shd w:val="clear" w:color="auto" w:fill="auto"/>
          </w:tcPr>
          <w:p w14:paraId="00FC515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Atorvastatinas</w:t>
            </w:r>
            <w:r w:rsidR="009543C0" w:rsidRPr="00DD4E66">
              <w:rPr>
                <w:rFonts w:eastAsia="TimesNewRoman"/>
                <w:sz w:val="22"/>
                <w:szCs w:val="22"/>
                <w:lang w:val="lt-LT" w:eastAsia="en-US"/>
              </w:rPr>
              <w:t xml:space="preserve"> </w:t>
            </w:r>
            <w:r w:rsidRPr="00DD4E66">
              <w:rPr>
                <w:rFonts w:eastAsia="TimesNewRoman"/>
                <w:sz w:val="22"/>
                <w:szCs w:val="22"/>
                <w:lang w:val="lt-LT" w:eastAsia="en-US"/>
              </w:rPr>
              <w:t>10</w:t>
            </w:r>
            <w:r w:rsidR="009543C0" w:rsidRPr="00DD4E66">
              <w:rPr>
                <w:rFonts w:eastAsia="TimesNewRoman"/>
                <w:sz w:val="22"/>
                <w:szCs w:val="22"/>
                <w:lang w:val="lt-LT" w:eastAsia="en-US"/>
              </w:rPr>
              <w:t> </w:t>
            </w:r>
            <w:r w:rsidRPr="00DD4E66">
              <w:rPr>
                <w:rFonts w:eastAsia="TimesNewRoman"/>
                <w:sz w:val="22"/>
                <w:szCs w:val="22"/>
                <w:lang w:val="lt-LT" w:eastAsia="en-US"/>
              </w:rPr>
              <w:t>mg vieną kartą per parą</w:t>
            </w:r>
          </w:p>
        </w:tc>
        <w:tc>
          <w:tcPr>
            <w:tcW w:w="3322" w:type="dxa"/>
            <w:shd w:val="clear" w:color="auto" w:fill="auto"/>
          </w:tcPr>
          <w:p w14:paraId="6AC9D3D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atorvastatino AUC ↑ 3-4 kartus</w:t>
            </w:r>
          </w:p>
          <w:p w14:paraId="5BD1D44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atorvastatino Cmin ↑ ≈ 5,5-10 kartų</w:t>
            </w:r>
          </w:p>
          <w:p w14:paraId="1BC8702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atorvastatino Cmax ↑ ≈ 2 kartus</w:t>
            </w:r>
          </w:p>
          <w:p w14:paraId="73830D8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darunaviras</w:t>
            </w:r>
          </w:p>
        </w:tc>
        <w:tc>
          <w:tcPr>
            <w:tcW w:w="3023" w:type="dxa"/>
            <w:shd w:val="clear" w:color="auto" w:fill="auto"/>
          </w:tcPr>
          <w:p w14:paraId="05AC2A2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Jeigu norima gydyti atorvastatinu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kartu su sustiprintu </w:t>
            </w:r>
            <w:r w:rsidR="00C0285C" w:rsidRPr="00DD4E66">
              <w:rPr>
                <w:rFonts w:eastAsia="TimesNewRoman"/>
                <w:sz w:val="22"/>
                <w:szCs w:val="22"/>
                <w:lang w:val="lt-LT" w:eastAsia="en-US"/>
              </w:rPr>
              <w:t>darunaviru</w:t>
            </w:r>
            <w:r w:rsidRPr="00DD4E66">
              <w:rPr>
                <w:rFonts w:eastAsia="TimesNewRoman"/>
                <w:sz w:val="22"/>
                <w:szCs w:val="22"/>
                <w:lang w:val="lt-LT" w:eastAsia="en-US"/>
              </w:rPr>
              <w:t>,</w:t>
            </w:r>
            <w:r w:rsidR="00C0285C" w:rsidRPr="00DD4E66">
              <w:rPr>
                <w:rFonts w:eastAsia="TimesNewRoman"/>
                <w:sz w:val="22"/>
                <w:szCs w:val="22"/>
                <w:lang w:val="lt-LT" w:eastAsia="en-US"/>
              </w:rPr>
              <w:t xml:space="preserve"> </w:t>
            </w:r>
            <w:r w:rsidRPr="00DD4E66">
              <w:rPr>
                <w:rFonts w:eastAsia="TimesNewRoman"/>
                <w:sz w:val="22"/>
                <w:szCs w:val="22"/>
                <w:lang w:val="lt-LT" w:eastAsia="en-US"/>
              </w:rPr>
              <w:t>rekomenduojama iš pradžių skirti</w:t>
            </w:r>
            <w:r w:rsidR="00C0285C" w:rsidRPr="00DD4E66">
              <w:rPr>
                <w:rFonts w:eastAsia="TimesNewRoman"/>
                <w:sz w:val="22"/>
                <w:szCs w:val="22"/>
                <w:lang w:val="lt-LT" w:eastAsia="en-US"/>
              </w:rPr>
              <w:t xml:space="preserve"> 10 </w:t>
            </w:r>
            <w:r w:rsidRPr="00DD4E66">
              <w:rPr>
                <w:rFonts w:eastAsia="TimesNewRoman"/>
                <w:sz w:val="22"/>
                <w:szCs w:val="22"/>
                <w:lang w:val="lt-LT" w:eastAsia="en-US"/>
              </w:rPr>
              <w:t xml:space="preserve">mg atorvastatino </w:t>
            </w:r>
            <w:r w:rsidRPr="00DD4E66">
              <w:rPr>
                <w:rFonts w:eastAsia="TimesNewRoman"/>
                <w:sz w:val="22"/>
                <w:szCs w:val="22"/>
                <w:lang w:val="lt-LT" w:eastAsia="en-US"/>
              </w:rPr>
              <w:lastRenderedPageBreak/>
              <w:t>dozę vieną</w:t>
            </w:r>
            <w:r w:rsidR="00C0285C" w:rsidRPr="00DD4E66">
              <w:rPr>
                <w:rFonts w:eastAsia="TimesNewRoman"/>
                <w:sz w:val="22"/>
                <w:szCs w:val="22"/>
                <w:lang w:val="lt-LT" w:eastAsia="en-US"/>
              </w:rPr>
              <w:t xml:space="preserve"> </w:t>
            </w:r>
            <w:r w:rsidRPr="00DD4E66">
              <w:rPr>
                <w:rFonts w:eastAsia="TimesNewRoman"/>
                <w:sz w:val="22"/>
                <w:szCs w:val="22"/>
                <w:lang w:val="lt-LT" w:eastAsia="en-US"/>
              </w:rPr>
              <w:t>kartą per parą. Atsižvelgiant į</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klinikinį atsaką, atorvastatino </w:t>
            </w:r>
            <w:r w:rsidR="00C0285C" w:rsidRPr="00DD4E66">
              <w:rPr>
                <w:rFonts w:eastAsia="TimesNewRoman"/>
                <w:sz w:val="22"/>
                <w:szCs w:val="22"/>
                <w:lang w:val="lt-LT" w:eastAsia="en-US"/>
              </w:rPr>
              <w:t xml:space="preserve">doze </w:t>
            </w:r>
            <w:r w:rsidRPr="00DD4E66">
              <w:rPr>
                <w:rFonts w:eastAsia="TimesNewRoman"/>
                <w:sz w:val="22"/>
                <w:szCs w:val="22"/>
                <w:lang w:val="lt-LT" w:eastAsia="en-US"/>
              </w:rPr>
              <w:t>galima laipsniškai didinti.</w:t>
            </w:r>
          </w:p>
        </w:tc>
      </w:tr>
      <w:tr w:rsidR="00645841" w:rsidRPr="00DD4E66" w14:paraId="7D73138D" w14:textId="77777777" w:rsidTr="00D37DA7">
        <w:tc>
          <w:tcPr>
            <w:tcW w:w="2943" w:type="dxa"/>
            <w:gridSpan w:val="2"/>
            <w:shd w:val="clear" w:color="auto" w:fill="auto"/>
          </w:tcPr>
          <w:p w14:paraId="170380F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Pravastatinas</w:t>
            </w:r>
            <w:r w:rsidR="00C0285C" w:rsidRPr="00DD4E66">
              <w:rPr>
                <w:rFonts w:eastAsia="TimesNewRoman"/>
                <w:sz w:val="22"/>
                <w:szCs w:val="22"/>
                <w:lang w:val="lt-LT" w:eastAsia="en-US"/>
              </w:rPr>
              <w:t xml:space="preserve"> </w:t>
            </w:r>
            <w:r w:rsidRPr="00DD4E66">
              <w:rPr>
                <w:rFonts w:eastAsia="TimesNewRoman"/>
                <w:sz w:val="22"/>
                <w:szCs w:val="22"/>
                <w:lang w:val="lt-LT" w:eastAsia="en-US"/>
              </w:rPr>
              <w:t>40</w:t>
            </w:r>
            <w:r w:rsidR="00C0285C" w:rsidRPr="00DD4E66">
              <w:rPr>
                <w:rFonts w:eastAsia="TimesNewRoman"/>
                <w:sz w:val="22"/>
                <w:szCs w:val="22"/>
                <w:lang w:val="lt-LT" w:eastAsia="en-US"/>
              </w:rPr>
              <w:t> </w:t>
            </w:r>
            <w:r w:rsidRPr="00DD4E66">
              <w:rPr>
                <w:rFonts w:eastAsia="TimesNewRoman"/>
                <w:sz w:val="22"/>
                <w:szCs w:val="22"/>
                <w:lang w:val="lt-LT" w:eastAsia="en-US"/>
              </w:rPr>
              <w:t>mg vienkartinė dozė</w:t>
            </w:r>
          </w:p>
        </w:tc>
        <w:tc>
          <w:tcPr>
            <w:tcW w:w="3322" w:type="dxa"/>
            <w:shd w:val="clear" w:color="auto" w:fill="auto"/>
          </w:tcPr>
          <w:p w14:paraId="7C78695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pravastatino AUC ↑ 81 %¶</w:t>
            </w:r>
          </w:p>
          <w:p w14:paraId="326EED8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pravastatino Cmin NN</w:t>
            </w:r>
          </w:p>
          <w:p w14:paraId="649A23B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pravastatino Cmax ↑ 63 %</w:t>
            </w:r>
          </w:p>
          <w:p w14:paraId="0859D425" w14:textId="77777777" w:rsidR="00C0285C" w:rsidRPr="00DD4E66" w:rsidRDefault="00C0285C" w:rsidP="00D37DA7">
            <w:pPr>
              <w:autoSpaceDE w:val="0"/>
              <w:autoSpaceDN w:val="0"/>
              <w:adjustRightInd w:val="0"/>
              <w:rPr>
                <w:rFonts w:eastAsia="TimesNewRoman"/>
                <w:sz w:val="22"/>
                <w:szCs w:val="22"/>
                <w:lang w:val="lt-LT" w:eastAsia="en-US"/>
              </w:rPr>
            </w:pPr>
          </w:p>
          <w:p w14:paraId="792C31A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Nedidelės dalies tiriamųjų šis rodiklis padidėjo iki</w:t>
            </w:r>
            <w:r w:rsidR="00C0285C" w:rsidRPr="00DD4E66">
              <w:rPr>
                <w:rFonts w:eastAsia="TimesNewRoman"/>
                <w:sz w:val="22"/>
                <w:szCs w:val="22"/>
                <w:lang w:val="lt-LT" w:eastAsia="en-US"/>
              </w:rPr>
              <w:t xml:space="preserve"> </w:t>
            </w:r>
            <w:r w:rsidRPr="00DD4E66">
              <w:rPr>
                <w:rFonts w:eastAsia="TimesNewRoman"/>
                <w:sz w:val="22"/>
                <w:szCs w:val="22"/>
                <w:lang w:val="lt-LT" w:eastAsia="en-US"/>
              </w:rPr>
              <w:t>5kartų</w:t>
            </w:r>
          </w:p>
          <w:p w14:paraId="2F7AE0CA" w14:textId="77777777" w:rsidR="00645841" w:rsidRPr="00DD4E66" w:rsidRDefault="00645841" w:rsidP="00D37DA7">
            <w:pPr>
              <w:autoSpaceDE w:val="0"/>
              <w:autoSpaceDN w:val="0"/>
              <w:adjustRightInd w:val="0"/>
              <w:rPr>
                <w:rFonts w:eastAsia="TimesNewRoman"/>
                <w:sz w:val="22"/>
                <w:szCs w:val="22"/>
                <w:lang w:val="lt-LT" w:eastAsia="en-US"/>
              </w:rPr>
            </w:pPr>
          </w:p>
        </w:tc>
        <w:tc>
          <w:tcPr>
            <w:tcW w:w="3023" w:type="dxa"/>
            <w:shd w:val="clear" w:color="auto" w:fill="auto"/>
          </w:tcPr>
          <w:p w14:paraId="180E738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Jeigu reikia gydyti pravastatinu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kartu su susiprintu </w:t>
            </w:r>
            <w:r w:rsidR="00C0285C" w:rsidRPr="00DD4E66">
              <w:rPr>
                <w:rFonts w:eastAsia="TimesNewRoman"/>
                <w:sz w:val="22"/>
                <w:szCs w:val="22"/>
                <w:lang w:val="lt-LT" w:eastAsia="en-US"/>
              </w:rPr>
              <w:t xml:space="preserve">darunaviru, </w:t>
            </w:r>
            <w:r w:rsidRPr="00DD4E66">
              <w:rPr>
                <w:rFonts w:eastAsia="TimesNewRoman"/>
                <w:sz w:val="22"/>
                <w:szCs w:val="22"/>
                <w:lang w:val="lt-LT" w:eastAsia="en-US"/>
              </w:rPr>
              <w:t>rekomenduojama iš pradžių skirti</w:t>
            </w:r>
            <w:r w:rsidR="00C0285C" w:rsidRPr="00DD4E66">
              <w:rPr>
                <w:rFonts w:eastAsia="TimesNewRoman"/>
                <w:sz w:val="22"/>
                <w:szCs w:val="22"/>
                <w:lang w:val="lt-LT" w:eastAsia="en-US"/>
              </w:rPr>
              <w:t xml:space="preserve"> </w:t>
            </w:r>
            <w:r w:rsidRPr="00DD4E66">
              <w:rPr>
                <w:rFonts w:eastAsia="TimesNewRoman"/>
                <w:sz w:val="22"/>
                <w:szCs w:val="22"/>
                <w:lang w:val="lt-LT" w:eastAsia="en-US"/>
              </w:rPr>
              <w:t>mažiausią galimą prava</w:t>
            </w:r>
            <w:r w:rsidR="00611815" w:rsidRPr="00DD4E66">
              <w:rPr>
                <w:rFonts w:eastAsia="TimesNewRoman"/>
                <w:sz w:val="22"/>
                <w:szCs w:val="22"/>
                <w:lang w:val="lt-LT" w:eastAsia="en-US"/>
              </w:rPr>
              <w:t>s</w:t>
            </w:r>
            <w:r w:rsidRPr="00DD4E66">
              <w:rPr>
                <w:rFonts w:eastAsia="TimesNewRoman"/>
                <w:sz w:val="22"/>
                <w:szCs w:val="22"/>
                <w:lang w:val="lt-LT" w:eastAsia="en-US"/>
              </w:rPr>
              <w:t xml:space="preserve">tatino </w:t>
            </w:r>
            <w:r w:rsidR="00C0285C" w:rsidRPr="00DD4E66">
              <w:rPr>
                <w:rFonts w:eastAsia="TimesNewRoman"/>
                <w:sz w:val="22"/>
                <w:szCs w:val="22"/>
                <w:lang w:val="lt-LT" w:eastAsia="en-US"/>
              </w:rPr>
              <w:t>doz</w:t>
            </w:r>
            <w:r w:rsidR="00611815" w:rsidRPr="00DD4E66">
              <w:rPr>
                <w:rFonts w:eastAsia="TimesNewRoman"/>
                <w:sz w:val="22"/>
                <w:szCs w:val="22"/>
                <w:lang w:val="lt-LT" w:eastAsia="en-US"/>
              </w:rPr>
              <w:t>ę</w:t>
            </w:r>
            <w:r w:rsidR="00C0285C" w:rsidRPr="00DD4E66">
              <w:rPr>
                <w:rFonts w:eastAsia="TimesNewRoman"/>
                <w:sz w:val="22"/>
                <w:szCs w:val="22"/>
                <w:lang w:val="lt-LT" w:eastAsia="en-US"/>
              </w:rPr>
              <w:t xml:space="preserve"> </w:t>
            </w:r>
            <w:r w:rsidRPr="00DD4E66">
              <w:rPr>
                <w:rFonts w:eastAsia="TimesNewRoman"/>
                <w:sz w:val="22"/>
                <w:szCs w:val="22"/>
                <w:lang w:val="lt-LT" w:eastAsia="en-US"/>
              </w:rPr>
              <w:t>ir  palaipsniui didinti, kol</w:t>
            </w:r>
            <w:r w:rsidR="00C0285C" w:rsidRPr="00DD4E66">
              <w:rPr>
                <w:rFonts w:eastAsia="TimesNewRoman"/>
                <w:sz w:val="22"/>
                <w:szCs w:val="22"/>
                <w:lang w:val="lt-LT" w:eastAsia="en-US"/>
              </w:rPr>
              <w:t xml:space="preserve"> </w:t>
            </w:r>
            <w:r w:rsidRPr="00DD4E66">
              <w:rPr>
                <w:rFonts w:eastAsia="TimesNewRoman"/>
                <w:sz w:val="22"/>
                <w:szCs w:val="22"/>
                <w:lang w:val="lt-LT" w:eastAsia="en-US"/>
              </w:rPr>
              <w:t>pasireikš reikiamas klinikinis</w:t>
            </w:r>
            <w:r w:rsidR="00C0285C" w:rsidRPr="00DD4E66">
              <w:rPr>
                <w:rFonts w:eastAsia="TimesNewRoman"/>
                <w:sz w:val="22"/>
                <w:szCs w:val="22"/>
                <w:lang w:val="lt-LT" w:eastAsia="en-US"/>
              </w:rPr>
              <w:t xml:space="preserve"> </w:t>
            </w:r>
            <w:r w:rsidRPr="00DD4E66">
              <w:rPr>
                <w:rFonts w:eastAsia="TimesNewRoman"/>
                <w:sz w:val="22"/>
                <w:szCs w:val="22"/>
                <w:lang w:val="lt-LT" w:eastAsia="en-US"/>
              </w:rPr>
              <w:t>poveikis, tuo pačiu metu stebint</w:t>
            </w:r>
            <w:r w:rsidR="00C0285C" w:rsidRPr="00DD4E66">
              <w:rPr>
                <w:rFonts w:eastAsia="TimesNewRoman"/>
                <w:sz w:val="22"/>
                <w:szCs w:val="22"/>
                <w:lang w:val="lt-LT" w:eastAsia="en-US"/>
              </w:rPr>
              <w:t xml:space="preserve"> </w:t>
            </w:r>
            <w:r w:rsidRPr="00DD4E66">
              <w:rPr>
                <w:rFonts w:eastAsia="TimesNewRoman"/>
                <w:sz w:val="22"/>
                <w:szCs w:val="22"/>
                <w:lang w:val="lt-LT" w:eastAsia="en-US"/>
              </w:rPr>
              <w:t>vaistinių preparatų saugumą.</w:t>
            </w:r>
          </w:p>
        </w:tc>
      </w:tr>
      <w:tr w:rsidR="00645841" w:rsidRPr="00DD4E66" w14:paraId="52F98B51" w14:textId="77777777" w:rsidTr="00D37DA7">
        <w:tc>
          <w:tcPr>
            <w:tcW w:w="2943" w:type="dxa"/>
            <w:gridSpan w:val="2"/>
            <w:shd w:val="clear" w:color="auto" w:fill="auto"/>
          </w:tcPr>
          <w:p w14:paraId="42C1FEA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Rozuvastatinas</w:t>
            </w:r>
            <w:r w:rsidR="00C0285C" w:rsidRPr="00DD4E66">
              <w:rPr>
                <w:rFonts w:eastAsia="TimesNewRoman"/>
                <w:sz w:val="22"/>
                <w:szCs w:val="22"/>
                <w:lang w:val="lt-LT" w:eastAsia="en-US"/>
              </w:rPr>
              <w:t xml:space="preserve"> </w:t>
            </w:r>
            <w:r w:rsidRPr="00DD4E66">
              <w:rPr>
                <w:rFonts w:eastAsia="TimesNewRoman"/>
                <w:sz w:val="22"/>
                <w:szCs w:val="22"/>
                <w:lang w:val="lt-LT" w:eastAsia="en-US"/>
              </w:rPr>
              <w:t>10</w:t>
            </w:r>
            <w:r w:rsidR="00C0285C" w:rsidRPr="00DD4E66">
              <w:rPr>
                <w:rFonts w:eastAsia="TimesNewRoman"/>
                <w:sz w:val="22"/>
                <w:szCs w:val="22"/>
                <w:lang w:val="lt-LT" w:eastAsia="en-US"/>
              </w:rPr>
              <w:t> </w:t>
            </w:r>
            <w:r w:rsidRPr="00DD4E66">
              <w:rPr>
                <w:rFonts w:eastAsia="TimesNewRoman"/>
                <w:sz w:val="22"/>
                <w:szCs w:val="22"/>
                <w:lang w:val="lt-LT" w:eastAsia="en-US"/>
              </w:rPr>
              <w:t>mg vieną kartą per parą</w:t>
            </w:r>
          </w:p>
        </w:tc>
        <w:tc>
          <w:tcPr>
            <w:tcW w:w="3322" w:type="dxa"/>
            <w:shd w:val="clear" w:color="auto" w:fill="auto"/>
          </w:tcPr>
          <w:p w14:paraId="2754602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rozuvastatino AUC ↑ 48 %║</w:t>
            </w:r>
          </w:p>
          <w:p w14:paraId="6AF9BD8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rozuvastatino Cmax ↑ 144 %║</w:t>
            </w:r>
          </w:p>
          <w:p w14:paraId="09E93D4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 xml:space="preserve"> remiantis literatūroje paskelbtais duomenimis</w:t>
            </w:r>
          </w:p>
        </w:tc>
        <w:tc>
          <w:tcPr>
            <w:tcW w:w="3023" w:type="dxa"/>
            <w:shd w:val="clear" w:color="auto" w:fill="auto"/>
          </w:tcPr>
          <w:p w14:paraId="53DFFCF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Jeigu reikia gydyti rozuvastatinu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kartu su sustiprintu </w:t>
            </w:r>
            <w:r w:rsidR="00C0285C" w:rsidRPr="00DD4E66">
              <w:rPr>
                <w:rFonts w:eastAsia="TimesNewRoman"/>
                <w:sz w:val="22"/>
                <w:szCs w:val="22"/>
                <w:lang w:val="lt-LT" w:eastAsia="en-US"/>
              </w:rPr>
              <w:t xml:space="preserve">darunaviru, </w:t>
            </w:r>
            <w:r w:rsidRPr="00DD4E66">
              <w:rPr>
                <w:rFonts w:eastAsia="TimesNewRoman"/>
                <w:sz w:val="22"/>
                <w:szCs w:val="22"/>
                <w:lang w:val="lt-LT" w:eastAsia="en-US"/>
              </w:rPr>
              <w:t>rekomenduojama iš pradžių skirti</w:t>
            </w:r>
            <w:r w:rsidR="00C0285C" w:rsidRPr="00DD4E66">
              <w:rPr>
                <w:rFonts w:eastAsia="TimesNewRoman"/>
                <w:sz w:val="22"/>
                <w:szCs w:val="22"/>
                <w:lang w:val="lt-LT" w:eastAsia="en-US"/>
              </w:rPr>
              <w:t xml:space="preserve"> </w:t>
            </w:r>
            <w:r w:rsidRPr="00DD4E66">
              <w:rPr>
                <w:rFonts w:eastAsia="TimesNewRoman"/>
                <w:sz w:val="22"/>
                <w:szCs w:val="22"/>
                <w:lang w:val="lt-LT" w:eastAsia="en-US"/>
              </w:rPr>
              <w:t>mažiausią galimą rozuvastatino</w:t>
            </w:r>
            <w:r w:rsidR="00C0285C" w:rsidRPr="00DD4E66">
              <w:rPr>
                <w:rFonts w:eastAsia="TimesNewRoman"/>
                <w:sz w:val="22"/>
                <w:szCs w:val="22"/>
                <w:lang w:val="lt-LT" w:eastAsia="en-US"/>
              </w:rPr>
              <w:t xml:space="preserve"> </w:t>
            </w:r>
            <w:r w:rsidRPr="00DD4E66">
              <w:rPr>
                <w:rFonts w:eastAsia="TimesNewRoman"/>
                <w:sz w:val="22"/>
                <w:szCs w:val="22"/>
                <w:lang w:val="lt-LT" w:eastAsia="en-US"/>
              </w:rPr>
              <w:t>dozę ir ją palaipsniui didinti, kol</w:t>
            </w:r>
            <w:r w:rsidR="00C0285C" w:rsidRPr="00DD4E66">
              <w:rPr>
                <w:rFonts w:eastAsia="TimesNewRoman"/>
                <w:sz w:val="22"/>
                <w:szCs w:val="22"/>
                <w:lang w:val="lt-LT" w:eastAsia="en-US"/>
              </w:rPr>
              <w:t xml:space="preserve"> </w:t>
            </w:r>
            <w:r w:rsidRPr="00DD4E66">
              <w:rPr>
                <w:rFonts w:eastAsia="TimesNewRoman"/>
                <w:sz w:val="22"/>
                <w:szCs w:val="22"/>
                <w:lang w:val="lt-LT" w:eastAsia="en-US"/>
              </w:rPr>
              <w:t>pasireikš reikiamas klinikinis</w:t>
            </w:r>
            <w:r w:rsidR="00C0285C" w:rsidRPr="00DD4E66">
              <w:rPr>
                <w:rFonts w:eastAsia="TimesNewRoman"/>
                <w:sz w:val="22"/>
                <w:szCs w:val="22"/>
                <w:lang w:val="lt-LT" w:eastAsia="en-US"/>
              </w:rPr>
              <w:t xml:space="preserve"> </w:t>
            </w:r>
            <w:r w:rsidRPr="00DD4E66">
              <w:rPr>
                <w:rFonts w:eastAsia="TimesNewRoman"/>
                <w:sz w:val="22"/>
                <w:szCs w:val="22"/>
                <w:lang w:val="lt-LT" w:eastAsia="en-US"/>
              </w:rPr>
              <w:t>poveikis, tuo pačiu metu stebint</w:t>
            </w:r>
            <w:r w:rsidR="00C0285C" w:rsidRPr="00DD4E66">
              <w:rPr>
                <w:rFonts w:eastAsia="TimesNewRoman"/>
                <w:sz w:val="22"/>
                <w:szCs w:val="22"/>
                <w:lang w:val="lt-LT" w:eastAsia="en-US"/>
              </w:rPr>
              <w:t xml:space="preserve"> </w:t>
            </w:r>
            <w:r w:rsidRPr="00DD4E66">
              <w:rPr>
                <w:rFonts w:eastAsia="TimesNewRoman"/>
                <w:sz w:val="22"/>
                <w:szCs w:val="22"/>
                <w:lang w:val="lt-LT" w:eastAsia="en-US"/>
              </w:rPr>
              <w:t>vaistinių preparatų saugumą.</w:t>
            </w:r>
          </w:p>
        </w:tc>
      </w:tr>
      <w:tr w:rsidR="00C0285C" w:rsidRPr="00DD4E66" w14:paraId="405FC1B4" w14:textId="77777777" w:rsidTr="00D37DA7">
        <w:tc>
          <w:tcPr>
            <w:tcW w:w="9288" w:type="dxa"/>
            <w:gridSpan w:val="4"/>
            <w:shd w:val="clear" w:color="auto" w:fill="auto"/>
          </w:tcPr>
          <w:p w14:paraId="4A62839C"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H2-RECEPTORIŲ ANTAGONISTAI</w:t>
            </w:r>
          </w:p>
        </w:tc>
      </w:tr>
      <w:tr w:rsidR="00645841" w:rsidRPr="00DD4E66" w14:paraId="1A5D8D87" w14:textId="77777777" w:rsidTr="00D37DA7">
        <w:tc>
          <w:tcPr>
            <w:tcW w:w="2943" w:type="dxa"/>
            <w:gridSpan w:val="2"/>
            <w:shd w:val="clear" w:color="auto" w:fill="auto"/>
          </w:tcPr>
          <w:p w14:paraId="3496DB8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Ranitidinas</w:t>
            </w:r>
            <w:r w:rsidR="00C0285C" w:rsidRPr="00DD4E66">
              <w:rPr>
                <w:rFonts w:eastAsia="TimesNewRoman"/>
                <w:sz w:val="22"/>
                <w:szCs w:val="22"/>
                <w:lang w:val="lt-LT" w:eastAsia="en-US"/>
              </w:rPr>
              <w:t xml:space="preserve"> </w:t>
            </w:r>
            <w:r w:rsidRPr="00DD4E66">
              <w:rPr>
                <w:rFonts w:eastAsia="TimesNewRoman"/>
                <w:sz w:val="22"/>
                <w:szCs w:val="22"/>
                <w:lang w:val="lt-LT" w:eastAsia="en-US"/>
              </w:rPr>
              <w:t>150</w:t>
            </w:r>
            <w:r w:rsidR="00C0285C" w:rsidRPr="00DD4E66">
              <w:rPr>
                <w:rFonts w:eastAsia="TimesNewRoman"/>
                <w:sz w:val="22"/>
                <w:szCs w:val="22"/>
                <w:lang w:val="lt-LT" w:eastAsia="en-US"/>
              </w:rPr>
              <w:t> </w:t>
            </w:r>
            <w:r w:rsidRPr="00DD4E66">
              <w:rPr>
                <w:rFonts w:eastAsia="TimesNewRoman"/>
                <w:sz w:val="22"/>
                <w:szCs w:val="22"/>
                <w:lang w:val="lt-LT" w:eastAsia="en-US"/>
              </w:rPr>
              <w:t>mg du kartus per</w:t>
            </w:r>
            <w:r w:rsidR="00C0285C" w:rsidRPr="00DD4E66">
              <w:rPr>
                <w:rFonts w:eastAsia="TimesNewRoman"/>
                <w:sz w:val="22"/>
                <w:szCs w:val="22"/>
                <w:lang w:val="lt-LT" w:eastAsia="en-US"/>
              </w:rPr>
              <w:t xml:space="preserve"> </w:t>
            </w:r>
            <w:r w:rsidRPr="00DD4E66">
              <w:rPr>
                <w:rFonts w:eastAsia="TimesNewRoman"/>
                <w:sz w:val="22"/>
                <w:szCs w:val="22"/>
                <w:lang w:val="lt-LT" w:eastAsia="en-US"/>
              </w:rPr>
              <w:t>parą</w:t>
            </w:r>
          </w:p>
        </w:tc>
        <w:tc>
          <w:tcPr>
            <w:tcW w:w="3322" w:type="dxa"/>
            <w:shd w:val="clear" w:color="auto" w:fill="auto"/>
          </w:tcPr>
          <w:p w14:paraId="1A717CC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w:t>
            </w:r>
          </w:p>
          <w:p w14:paraId="0ECD906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Cmin ↔</w:t>
            </w:r>
          </w:p>
          <w:p w14:paraId="7F288CC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Cmax ↔</w:t>
            </w:r>
          </w:p>
        </w:tc>
        <w:tc>
          <w:tcPr>
            <w:tcW w:w="3023" w:type="dxa"/>
            <w:shd w:val="clear" w:color="auto" w:fill="auto"/>
          </w:tcPr>
          <w:p w14:paraId="51ADFA0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C0285C" w:rsidRPr="00DD4E66">
              <w:rPr>
                <w:rFonts w:eastAsia="TimesNewRoman"/>
                <w:sz w:val="22"/>
                <w:szCs w:val="22"/>
                <w:lang w:val="lt-LT" w:eastAsia="en-US"/>
              </w:rPr>
              <w:t>darunavirą</w:t>
            </w:r>
            <w:r w:rsidRPr="00DD4E66">
              <w:rPr>
                <w:rFonts w:eastAsia="TimesNewRoman"/>
                <w:sz w:val="22"/>
                <w:szCs w:val="22"/>
                <w:lang w:val="lt-LT" w:eastAsia="en-US"/>
              </w:rPr>
              <w:t xml:space="preserve"> galima</w:t>
            </w:r>
            <w:r w:rsidR="00C0285C" w:rsidRPr="00DD4E66">
              <w:rPr>
                <w:rFonts w:eastAsia="TimesNewRoman"/>
                <w:sz w:val="22"/>
                <w:szCs w:val="22"/>
                <w:lang w:val="lt-LT" w:eastAsia="en-US"/>
              </w:rPr>
              <w:t xml:space="preserve"> </w:t>
            </w:r>
            <w:r w:rsidRPr="00DD4E66">
              <w:rPr>
                <w:rFonts w:eastAsia="TimesNewRoman"/>
                <w:sz w:val="22"/>
                <w:szCs w:val="22"/>
                <w:lang w:val="lt-LT" w:eastAsia="en-US"/>
              </w:rPr>
              <w:t>vartoti kartu su H2-receptorių</w:t>
            </w:r>
            <w:r w:rsidR="00C0285C" w:rsidRPr="00DD4E66">
              <w:rPr>
                <w:rFonts w:eastAsia="TimesNewRoman"/>
                <w:sz w:val="22"/>
                <w:szCs w:val="22"/>
                <w:lang w:val="lt-LT" w:eastAsia="en-US"/>
              </w:rPr>
              <w:t xml:space="preserve"> </w:t>
            </w:r>
            <w:r w:rsidRPr="00DD4E66">
              <w:rPr>
                <w:rFonts w:eastAsia="TimesNewRoman"/>
                <w:sz w:val="22"/>
                <w:szCs w:val="22"/>
                <w:lang w:val="lt-LT" w:eastAsia="en-US"/>
              </w:rPr>
              <w:t>antagonistais nekeičiant dozių.</w:t>
            </w:r>
          </w:p>
        </w:tc>
      </w:tr>
      <w:tr w:rsidR="00C0285C" w:rsidRPr="00DD4E66" w14:paraId="5054125C" w14:textId="77777777" w:rsidTr="00D37DA7">
        <w:tc>
          <w:tcPr>
            <w:tcW w:w="9288" w:type="dxa"/>
            <w:gridSpan w:val="4"/>
            <w:shd w:val="clear" w:color="auto" w:fill="auto"/>
          </w:tcPr>
          <w:p w14:paraId="120B2340"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IMUNOSUPRESANTAI</w:t>
            </w:r>
          </w:p>
        </w:tc>
      </w:tr>
      <w:tr w:rsidR="00645841" w:rsidRPr="00DD4E66" w14:paraId="21CFC042" w14:textId="77777777" w:rsidTr="00D37DA7">
        <w:tc>
          <w:tcPr>
            <w:tcW w:w="2943" w:type="dxa"/>
            <w:gridSpan w:val="2"/>
            <w:shd w:val="clear" w:color="auto" w:fill="auto"/>
          </w:tcPr>
          <w:p w14:paraId="4451318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Ciklosporinas</w:t>
            </w:r>
          </w:p>
          <w:p w14:paraId="79E60DA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Sirolimuzas</w:t>
            </w:r>
          </w:p>
          <w:p w14:paraId="09A6214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Takrolimuzas</w:t>
            </w:r>
          </w:p>
          <w:p w14:paraId="4556519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Everolimuzas</w:t>
            </w:r>
          </w:p>
        </w:tc>
        <w:tc>
          <w:tcPr>
            <w:tcW w:w="3322" w:type="dxa"/>
            <w:shd w:val="clear" w:color="auto" w:fill="auto"/>
          </w:tcPr>
          <w:p w14:paraId="1B85EB2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Netirta. Kartu su sustiprintu </w:t>
            </w:r>
            <w:r w:rsidR="00C0285C" w:rsidRPr="00DD4E66">
              <w:rPr>
                <w:rFonts w:eastAsia="TimesNewRoman"/>
                <w:sz w:val="22"/>
                <w:szCs w:val="22"/>
                <w:lang w:val="lt-LT" w:eastAsia="en-US"/>
              </w:rPr>
              <w:t>darunaviru</w:t>
            </w:r>
            <w:r w:rsidRPr="00DD4E66">
              <w:rPr>
                <w:rFonts w:eastAsia="TimesNewRoman"/>
                <w:sz w:val="22"/>
                <w:szCs w:val="22"/>
                <w:lang w:val="lt-LT" w:eastAsia="en-US"/>
              </w:rPr>
              <w:t>,</w:t>
            </w:r>
            <w:r w:rsidR="00C0285C" w:rsidRPr="00DD4E66">
              <w:rPr>
                <w:rFonts w:eastAsia="TimesNewRoman"/>
                <w:sz w:val="22"/>
                <w:szCs w:val="22"/>
                <w:lang w:val="lt-LT" w:eastAsia="en-US"/>
              </w:rPr>
              <w:t xml:space="preserve"> </w:t>
            </w:r>
            <w:r w:rsidRPr="00DD4E66">
              <w:rPr>
                <w:rFonts w:eastAsia="TimesNewRoman"/>
                <w:sz w:val="22"/>
                <w:szCs w:val="22"/>
                <w:lang w:val="lt-LT" w:eastAsia="en-US"/>
              </w:rPr>
              <w:t>vartojamų šių imunosupresantų</w:t>
            </w:r>
            <w:r w:rsidR="00C0285C" w:rsidRPr="00DD4E66">
              <w:rPr>
                <w:rFonts w:eastAsia="TimesNewRoman"/>
                <w:sz w:val="22"/>
                <w:szCs w:val="22"/>
                <w:lang w:val="lt-LT" w:eastAsia="en-US"/>
              </w:rPr>
              <w:t xml:space="preserve"> </w:t>
            </w:r>
            <w:r w:rsidRPr="00DD4E66">
              <w:rPr>
                <w:rFonts w:eastAsia="TimesNewRoman"/>
                <w:sz w:val="22"/>
                <w:szCs w:val="22"/>
                <w:lang w:val="lt-LT" w:eastAsia="en-US"/>
              </w:rPr>
              <w:t>ekspozicijos padidės.</w:t>
            </w:r>
            <w:r w:rsidR="00C0285C" w:rsidRPr="00DD4E66">
              <w:rPr>
                <w:rFonts w:eastAsia="TimesNewRoman"/>
                <w:sz w:val="22"/>
                <w:szCs w:val="22"/>
                <w:lang w:val="lt-LT" w:eastAsia="en-US"/>
              </w:rPr>
              <w:t xml:space="preserve"> </w:t>
            </w:r>
            <w:r w:rsidRPr="00DD4E66">
              <w:rPr>
                <w:rFonts w:eastAsia="TimesNewRoman"/>
                <w:sz w:val="22"/>
                <w:szCs w:val="22"/>
                <w:lang w:val="lt-LT" w:eastAsia="en-US"/>
              </w:rPr>
              <w:t>(CYP3A slopinimas)</w:t>
            </w:r>
          </w:p>
        </w:tc>
        <w:tc>
          <w:tcPr>
            <w:tcW w:w="3023" w:type="dxa"/>
            <w:shd w:val="clear" w:color="auto" w:fill="auto"/>
          </w:tcPr>
          <w:p w14:paraId="7B9BC97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kartu, rekomenduojamas</w:t>
            </w:r>
            <w:r w:rsidR="00C0285C" w:rsidRPr="00DD4E66">
              <w:rPr>
                <w:rFonts w:eastAsia="TimesNewRoman"/>
                <w:sz w:val="22"/>
                <w:szCs w:val="22"/>
                <w:lang w:val="lt-LT" w:eastAsia="en-US"/>
              </w:rPr>
              <w:t xml:space="preserve"> </w:t>
            </w:r>
            <w:r w:rsidRPr="00DD4E66">
              <w:rPr>
                <w:rFonts w:eastAsia="TimesNewRoman"/>
                <w:sz w:val="22"/>
                <w:szCs w:val="22"/>
                <w:lang w:val="lt-LT" w:eastAsia="en-US"/>
              </w:rPr>
              <w:t>imunosupresinių vaistinių preparatų</w:t>
            </w:r>
            <w:r w:rsidR="00C0285C" w:rsidRPr="00DD4E66">
              <w:rPr>
                <w:rFonts w:eastAsia="TimesNewRoman"/>
                <w:sz w:val="22"/>
                <w:szCs w:val="22"/>
                <w:lang w:val="lt-LT" w:eastAsia="en-US"/>
              </w:rPr>
              <w:t xml:space="preserve"> </w:t>
            </w:r>
            <w:r w:rsidRPr="00DD4E66">
              <w:rPr>
                <w:rFonts w:eastAsia="TimesNewRoman"/>
                <w:sz w:val="22"/>
                <w:szCs w:val="22"/>
                <w:lang w:val="lt-LT" w:eastAsia="en-US"/>
              </w:rPr>
              <w:t>terapinis stebėjimas.</w:t>
            </w:r>
          </w:p>
          <w:p w14:paraId="228D4D0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Nerekomenduojama vartoti</w:t>
            </w:r>
            <w:r w:rsidR="00C0285C" w:rsidRPr="00DD4E66">
              <w:rPr>
                <w:rFonts w:eastAsia="TimesNewRoman"/>
                <w:sz w:val="22"/>
                <w:szCs w:val="22"/>
                <w:lang w:val="lt-LT" w:eastAsia="en-US"/>
              </w:rPr>
              <w:t xml:space="preserve"> sustiprinto darunaviro</w:t>
            </w:r>
            <w:r w:rsidRPr="00DD4E66">
              <w:rPr>
                <w:rFonts w:eastAsia="TimesNewRoman"/>
                <w:sz w:val="22"/>
                <w:szCs w:val="22"/>
                <w:lang w:val="lt-LT" w:eastAsia="en-US"/>
              </w:rPr>
              <w:t xml:space="preserve"> kartu su</w:t>
            </w:r>
            <w:r w:rsidR="00C0285C" w:rsidRPr="00DD4E66">
              <w:rPr>
                <w:rFonts w:eastAsia="TimesNewRoman"/>
                <w:sz w:val="22"/>
                <w:szCs w:val="22"/>
                <w:lang w:val="lt-LT" w:eastAsia="en-US"/>
              </w:rPr>
              <w:t xml:space="preserve"> </w:t>
            </w:r>
            <w:r w:rsidRPr="00DD4E66">
              <w:rPr>
                <w:rFonts w:eastAsia="TimesNewRoman"/>
                <w:sz w:val="22"/>
                <w:szCs w:val="22"/>
                <w:lang w:val="lt-LT" w:eastAsia="en-US"/>
              </w:rPr>
              <w:t>everolimuzu.</w:t>
            </w:r>
          </w:p>
        </w:tc>
      </w:tr>
      <w:tr w:rsidR="00C0285C" w:rsidRPr="00DD4E66" w14:paraId="7DDC3DCB" w14:textId="77777777" w:rsidTr="00D37DA7">
        <w:tc>
          <w:tcPr>
            <w:tcW w:w="9288" w:type="dxa"/>
            <w:gridSpan w:val="4"/>
            <w:shd w:val="clear" w:color="auto" w:fill="auto"/>
          </w:tcPr>
          <w:p w14:paraId="3A0F73DA"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INHALIUOJAMIEJI BETA ADRENORECEPTORIŲ AGONISTAI</w:t>
            </w:r>
          </w:p>
        </w:tc>
      </w:tr>
      <w:tr w:rsidR="00645841" w:rsidRPr="00DD4E66" w14:paraId="760628EF" w14:textId="77777777" w:rsidTr="00D37DA7">
        <w:tc>
          <w:tcPr>
            <w:tcW w:w="2943" w:type="dxa"/>
            <w:gridSpan w:val="2"/>
            <w:shd w:val="clear" w:color="auto" w:fill="auto"/>
          </w:tcPr>
          <w:p w14:paraId="053B9F8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Salmeterolis</w:t>
            </w:r>
          </w:p>
        </w:tc>
        <w:tc>
          <w:tcPr>
            <w:tcW w:w="3322" w:type="dxa"/>
            <w:shd w:val="clear" w:color="auto" w:fill="auto"/>
          </w:tcPr>
          <w:p w14:paraId="5B634DB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Salmeterolį vartojant kartu su</w:t>
            </w:r>
            <w:r w:rsidR="00C0285C" w:rsidRPr="00DD4E66">
              <w:rPr>
                <w:rFonts w:eastAsia="TimesNewRoman"/>
                <w:sz w:val="22"/>
                <w:szCs w:val="22"/>
                <w:lang w:val="lt-LT" w:eastAsia="en-US"/>
              </w:rPr>
              <w:t xml:space="preserve"> </w:t>
            </w:r>
            <w:r w:rsidRPr="00DD4E66">
              <w:rPr>
                <w:rFonts w:eastAsia="TimesNewRoman"/>
                <w:sz w:val="22"/>
                <w:szCs w:val="22"/>
                <w:lang w:val="lt-LT" w:eastAsia="en-US"/>
              </w:rPr>
              <w:t>sustiprintu darunaviru, salmeterolio</w:t>
            </w:r>
            <w:r w:rsidR="00C0285C" w:rsidRPr="00DD4E66">
              <w:rPr>
                <w:rFonts w:eastAsia="TimesNewRoman"/>
                <w:sz w:val="22"/>
                <w:szCs w:val="22"/>
                <w:lang w:val="lt-LT" w:eastAsia="en-US"/>
              </w:rPr>
              <w:t xml:space="preserve"> </w:t>
            </w:r>
            <w:r w:rsidRPr="00DD4E66">
              <w:rPr>
                <w:rFonts w:eastAsia="TimesNewRoman"/>
                <w:sz w:val="22"/>
                <w:szCs w:val="22"/>
                <w:lang w:val="lt-LT" w:eastAsia="en-US"/>
              </w:rPr>
              <w:t>koncentracijos plazmoje gali padidėti.</w:t>
            </w:r>
          </w:p>
        </w:tc>
        <w:tc>
          <w:tcPr>
            <w:tcW w:w="3023" w:type="dxa"/>
            <w:shd w:val="clear" w:color="auto" w:fill="auto"/>
          </w:tcPr>
          <w:p w14:paraId="0BA9394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Salmeterolį vartoti kartu su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C0285C" w:rsidRPr="00DD4E66">
              <w:rPr>
                <w:rFonts w:eastAsia="TimesNewRoman"/>
                <w:sz w:val="22"/>
                <w:szCs w:val="22"/>
                <w:lang w:val="lt-LT" w:eastAsia="en-US"/>
              </w:rPr>
              <w:t xml:space="preserve">darunaviru </w:t>
            </w:r>
            <w:r w:rsidRPr="00DD4E66">
              <w:rPr>
                <w:rFonts w:eastAsia="TimesNewRoman"/>
                <w:sz w:val="22"/>
                <w:szCs w:val="22"/>
                <w:lang w:val="lt-LT" w:eastAsia="en-US"/>
              </w:rPr>
              <w:t>nerekomenduojama. Vartojant tokį</w:t>
            </w:r>
            <w:r w:rsidR="00C0285C" w:rsidRPr="00DD4E66">
              <w:rPr>
                <w:rFonts w:eastAsia="TimesNewRoman"/>
                <w:sz w:val="22"/>
                <w:szCs w:val="22"/>
                <w:lang w:val="lt-LT" w:eastAsia="en-US"/>
              </w:rPr>
              <w:t xml:space="preserve"> </w:t>
            </w:r>
            <w:r w:rsidRPr="00DD4E66">
              <w:rPr>
                <w:rFonts w:eastAsia="TimesNewRoman"/>
                <w:sz w:val="22"/>
                <w:szCs w:val="22"/>
                <w:lang w:val="lt-LT" w:eastAsia="en-US"/>
              </w:rPr>
              <w:t>derinį, gali padidėti salmeterolio</w:t>
            </w:r>
            <w:r w:rsidR="00C0285C" w:rsidRPr="00DD4E66">
              <w:rPr>
                <w:rFonts w:eastAsia="TimesNewRoman"/>
                <w:sz w:val="22"/>
                <w:szCs w:val="22"/>
                <w:lang w:val="lt-LT" w:eastAsia="en-US"/>
              </w:rPr>
              <w:t xml:space="preserve"> širdies ir kraujagyslių </w:t>
            </w:r>
            <w:r w:rsidRPr="00DD4E66">
              <w:rPr>
                <w:rFonts w:eastAsia="TimesNewRoman"/>
                <w:sz w:val="22"/>
                <w:szCs w:val="22"/>
                <w:lang w:val="lt-LT" w:eastAsia="en-US"/>
              </w:rPr>
              <w:t>nepageidaujamų</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reiškinių, įskaitant QT </w:t>
            </w:r>
            <w:r w:rsidR="00C0285C" w:rsidRPr="00DD4E66">
              <w:rPr>
                <w:rFonts w:eastAsia="TimesNewRoman"/>
                <w:sz w:val="22"/>
                <w:szCs w:val="22"/>
                <w:lang w:val="lt-LT" w:eastAsia="en-US"/>
              </w:rPr>
              <w:t xml:space="preserve">intervalo </w:t>
            </w:r>
            <w:r w:rsidRPr="00DD4E66">
              <w:rPr>
                <w:rFonts w:eastAsia="TimesNewRoman"/>
                <w:sz w:val="22"/>
                <w:szCs w:val="22"/>
                <w:lang w:val="lt-LT" w:eastAsia="en-US"/>
              </w:rPr>
              <w:t>pailgėjimą, palpitacijas ir sinusinę</w:t>
            </w:r>
            <w:r w:rsidR="00C0285C" w:rsidRPr="00DD4E66">
              <w:rPr>
                <w:rFonts w:eastAsia="TimesNewRoman"/>
                <w:sz w:val="22"/>
                <w:szCs w:val="22"/>
                <w:lang w:val="lt-LT" w:eastAsia="en-US"/>
              </w:rPr>
              <w:t xml:space="preserve"> </w:t>
            </w:r>
            <w:r w:rsidRPr="00DD4E66">
              <w:rPr>
                <w:rFonts w:eastAsia="TimesNewRoman"/>
                <w:sz w:val="22"/>
                <w:szCs w:val="22"/>
                <w:lang w:val="lt-LT" w:eastAsia="en-US"/>
              </w:rPr>
              <w:t>tachikardiją, rizika.</w:t>
            </w:r>
          </w:p>
        </w:tc>
      </w:tr>
      <w:tr w:rsidR="00C0285C" w:rsidRPr="00DD4E66" w14:paraId="476427C7" w14:textId="77777777" w:rsidTr="00D37DA7">
        <w:tc>
          <w:tcPr>
            <w:tcW w:w="9288" w:type="dxa"/>
            <w:gridSpan w:val="4"/>
            <w:shd w:val="clear" w:color="auto" w:fill="auto"/>
          </w:tcPr>
          <w:p w14:paraId="655D4D1C"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NARKOTINIAI ANALGETIKAI / PRIKLAUSOMYBĖS NUO OPIJAUS PREPARATŲ GYDYMAS</w:t>
            </w:r>
          </w:p>
        </w:tc>
      </w:tr>
      <w:tr w:rsidR="00645841" w:rsidRPr="00DD4E66" w14:paraId="0FB22BBC" w14:textId="77777777" w:rsidTr="00D37DA7">
        <w:tc>
          <w:tcPr>
            <w:tcW w:w="2943" w:type="dxa"/>
            <w:gridSpan w:val="2"/>
            <w:shd w:val="clear" w:color="auto" w:fill="auto"/>
          </w:tcPr>
          <w:p w14:paraId="6856D9C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Metadonas</w:t>
            </w:r>
          </w:p>
          <w:p w14:paraId="66ECA07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Individualios dozės nuo</w:t>
            </w:r>
            <w:r w:rsidR="00C0285C" w:rsidRPr="00DD4E66">
              <w:rPr>
                <w:rFonts w:eastAsia="TimesNewRoman"/>
                <w:sz w:val="22"/>
                <w:szCs w:val="22"/>
                <w:lang w:val="lt-LT" w:eastAsia="en-US"/>
              </w:rPr>
              <w:t xml:space="preserve"> </w:t>
            </w:r>
            <w:r w:rsidRPr="00DD4E66">
              <w:rPr>
                <w:rFonts w:eastAsia="TimesNewRoman"/>
                <w:sz w:val="22"/>
                <w:szCs w:val="22"/>
                <w:lang w:val="lt-LT" w:eastAsia="en-US"/>
              </w:rPr>
              <w:t>55</w:t>
            </w:r>
            <w:r w:rsidR="00C0285C" w:rsidRPr="00DD4E66">
              <w:rPr>
                <w:rFonts w:eastAsia="TimesNewRoman"/>
                <w:sz w:val="22"/>
                <w:szCs w:val="22"/>
                <w:lang w:val="lt-LT" w:eastAsia="en-US"/>
              </w:rPr>
              <w:t> </w:t>
            </w:r>
            <w:r w:rsidRPr="00DD4E66">
              <w:rPr>
                <w:rFonts w:eastAsia="TimesNewRoman"/>
                <w:sz w:val="22"/>
                <w:szCs w:val="22"/>
                <w:lang w:val="lt-LT" w:eastAsia="en-US"/>
              </w:rPr>
              <w:t>mg iki 150</w:t>
            </w:r>
            <w:r w:rsidR="00C0285C" w:rsidRPr="00DD4E66">
              <w:rPr>
                <w:rFonts w:eastAsia="TimesNewRoman"/>
                <w:sz w:val="22"/>
                <w:szCs w:val="22"/>
                <w:lang w:val="lt-LT" w:eastAsia="en-US"/>
              </w:rPr>
              <w:t> </w:t>
            </w:r>
            <w:r w:rsidRPr="00DD4E66">
              <w:rPr>
                <w:rFonts w:eastAsia="TimesNewRoman"/>
                <w:sz w:val="22"/>
                <w:szCs w:val="22"/>
                <w:lang w:val="lt-LT" w:eastAsia="en-US"/>
              </w:rPr>
              <w:t>mg vieną</w:t>
            </w:r>
            <w:r w:rsidR="00C0285C" w:rsidRPr="00DD4E66">
              <w:rPr>
                <w:rFonts w:eastAsia="TimesNewRoman"/>
                <w:sz w:val="22"/>
                <w:szCs w:val="22"/>
                <w:lang w:val="lt-LT" w:eastAsia="en-US"/>
              </w:rPr>
              <w:t xml:space="preserve"> </w:t>
            </w:r>
            <w:r w:rsidRPr="00DD4E66">
              <w:rPr>
                <w:rFonts w:eastAsia="TimesNewRoman"/>
                <w:sz w:val="22"/>
                <w:szCs w:val="22"/>
                <w:lang w:val="lt-LT" w:eastAsia="en-US"/>
              </w:rPr>
              <w:t>kartą per parą</w:t>
            </w:r>
          </w:p>
        </w:tc>
        <w:tc>
          <w:tcPr>
            <w:tcW w:w="3322" w:type="dxa"/>
            <w:shd w:val="clear" w:color="auto" w:fill="auto"/>
          </w:tcPr>
          <w:p w14:paraId="1ED60AB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 metadono AUC ↓ 16 %</w:t>
            </w:r>
          </w:p>
          <w:p w14:paraId="1466F65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 metadono Cmin ↓ 15 %</w:t>
            </w:r>
          </w:p>
          <w:p w14:paraId="4D06115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 metadono Cmax ↓ 24 %</w:t>
            </w:r>
          </w:p>
          <w:p w14:paraId="7CD53D34" w14:textId="77777777" w:rsidR="006F312F" w:rsidRPr="00DD4E66" w:rsidRDefault="006F312F" w:rsidP="00D37DA7">
            <w:pPr>
              <w:autoSpaceDE w:val="0"/>
              <w:autoSpaceDN w:val="0"/>
              <w:adjustRightInd w:val="0"/>
              <w:rPr>
                <w:rFonts w:eastAsia="TimesNewRoman"/>
                <w:sz w:val="22"/>
                <w:szCs w:val="22"/>
                <w:lang w:val="lt-LT" w:eastAsia="en-US"/>
              </w:rPr>
            </w:pPr>
          </w:p>
          <w:p w14:paraId="1B99EFF9" w14:textId="77777777" w:rsidR="00645841" w:rsidRPr="00DD4E66" w:rsidRDefault="00C0285C"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Darunaviras</w:t>
            </w:r>
            <w:r w:rsidR="00645841" w:rsidRPr="00DD4E66">
              <w:rPr>
                <w:rFonts w:eastAsia="TimesNewRoman"/>
                <w:sz w:val="22"/>
                <w:szCs w:val="22"/>
                <w:lang w:val="lt-LT" w:eastAsia="en-US"/>
              </w:rPr>
              <w:t>/kobicistatas, priešingai, gali</w:t>
            </w:r>
            <w:r w:rsidRPr="00DD4E66">
              <w:rPr>
                <w:rFonts w:eastAsia="TimesNewRoman"/>
                <w:sz w:val="22"/>
                <w:szCs w:val="22"/>
                <w:lang w:val="lt-LT" w:eastAsia="en-US"/>
              </w:rPr>
              <w:t xml:space="preserve"> padidinti metadono koncentraciją kraujo </w:t>
            </w:r>
            <w:r w:rsidR="00645841" w:rsidRPr="00DD4E66">
              <w:rPr>
                <w:rFonts w:eastAsia="TimesNewRoman"/>
                <w:sz w:val="22"/>
                <w:szCs w:val="22"/>
                <w:lang w:val="lt-LT" w:eastAsia="en-US"/>
              </w:rPr>
              <w:t>plazmoje (žr. kobicistato PCS).</w:t>
            </w:r>
          </w:p>
        </w:tc>
        <w:tc>
          <w:tcPr>
            <w:tcW w:w="3023" w:type="dxa"/>
            <w:shd w:val="clear" w:color="auto" w:fill="auto"/>
          </w:tcPr>
          <w:p w14:paraId="7B97F58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Pradėjus vartoti kartu su sustiprintu</w:t>
            </w:r>
            <w:r w:rsidR="00C0285C" w:rsidRPr="00DD4E66">
              <w:rPr>
                <w:rFonts w:eastAsia="TimesNewRoman"/>
                <w:sz w:val="22"/>
                <w:szCs w:val="22"/>
                <w:lang w:val="lt-LT" w:eastAsia="en-US"/>
              </w:rPr>
              <w:t xml:space="preserve"> darunaviru</w:t>
            </w:r>
            <w:r w:rsidRPr="00DD4E66">
              <w:rPr>
                <w:rFonts w:eastAsia="TimesNewRoman"/>
                <w:sz w:val="22"/>
                <w:szCs w:val="22"/>
                <w:lang w:val="lt-LT" w:eastAsia="en-US"/>
              </w:rPr>
              <w:t>, metadono dozės keisti</w:t>
            </w:r>
            <w:r w:rsidR="00C0285C" w:rsidRPr="00DD4E66">
              <w:rPr>
                <w:rFonts w:eastAsia="TimesNewRoman"/>
                <w:sz w:val="22"/>
                <w:szCs w:val="22"/>
                <w:lang w:val="lt-LT" w:eastAsia="en-US"/>
              </w:rPr>
              <w:t xml:space="preserve"> </w:t>
            </w:r>
            <w:r w:rsidRPr="00DD4E66">
              <w:rPr>
                <w:rFonts w:eastAsia="TimesNewRoman"/>
                <w:sz w:val="22"/>
                <w:szCs w:val="22"/>
                <w:lang w:val="lt-LT" w:eastAsia="en-US"/>
              </w:rPr>
              <w:t>nebūtina. Vis dėlto vartojant kartu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ilgą laiką, gali prireikti </w:t>
            </w:r>
            <w:r w:rsidRPr="00DD4E66">
              <w:rPr>
                <w:rFonts w:eastAsia="TimesNewRoman"/>
                <w:sz w:val="22"/>
                <w:szCs w:val="22"/>
                <w:lang w:val="lt-LT" w:eastAsia="en-US"/>
              </w:rPr>
              <w:lastRenderedPageBreak/>
              <w:t>keisti</w:t>
            </w:r>
            <w:r w:rsidR="00C0285C" w:rsidRPr="00DD4E66">
              <w:rPr>
                <w:rFonts w:eastAsia="TimesNewRoman"/>
                <w:sz w:val="22"/>
                <w:szCs w:val="22"/>
                <w:lang w:val="lt-LT" w:eastAsia="en-US"/>
              </w:rPr>
              <w:t xml:space="preserve"> </w:t>
            </w:r>
            <w:r w:rsidRPr="00DD4E66">
              <w:rPr>
                <w:rFonts w:eastAsia="TimesNewRoman"/>
                <w:sz w:val="22"/>
                <w:szCs w:val="22"/>
                <w:lang w:val="lt-LT" w:eastAsia="en-US"/>
              </w:rPr>
              <w:t>metadono dozę. Taigi</w:t>
            </w:r>
            <w:r w:rsidR="00C0285C" w:rsidRPr="00DD4E66">
              <w:rPr>
                <w:rFonts w:eastAsia="TimesNewRoman"/>
                <w:sz w:val="22"/>
                <w:szCs w:val="22"/>
                <w:lang w:val="lt-LT" w:eastAsia="en-US"/>
              </w:rPr>
              <w:t xml:space="preserve"> </w:t>
            </w:r>
            <w:r w:rsidRPr="00DD4E66">
              <w:rPr>
                <w:rFonts w:eastAsia="TimesNewRoman"/>
                <w:sz w:val="22"/>
                <w:szCs w:val="22"/>
                <w:lang w:val="lt-LT" w:eastAsia="en-US"/>
              </w:rPr>
              <w:t>rekomenduojamas klinikinis</w:t>
            </w:r>
            <w:r w:rsidR="00C0285C" w:rsidRPr="00DD4E66">
              <w:rPr>
                <w:rFonts w:eastAsia="TimesNewRoman"/>
                <w:sz w:val="22"/>
                <w:szCs w:val="22"/>
                <w:lang w:val="lt-LT" w:eastAsia="en-US"/>
              </w:rPr>
              <w:t xml:space="preserve"> </w:t>
            </w:r>
            <w:r w:rsidRPr="00DD4E66">
              <w:rPr>
                <w:rFonts w:eastAsia="TimesNewRoman"/>
                <w:sz w:val="22"/>
                <w:szCs w:val="22"/>
                <w:lang w:val="lt-LT" w:eastAsia="en-US"/>
              </w:rPr>
              <w:t>stebėjimas, nes kai kuriems</w:t>
            </w:r>
            <w:r w:rsidR="00C0285C" w:rsidRPr="00DD4E66">
              <w:rPr>
                <w:rFonts w:eastAsia="TimesNewRoman"/>
                <w:sz w:val="22"/>
                <w:szCs w:val="22"/>
                <w:lang w:val="lt-LT" w:eastAsia="en-US"/>
              </w:rPr>
              <w:t xml:space="preserve"> </w:t>
            </w:r>
            <w:r w:rsidRPr="00DD4E66">
              <w:rPr>
                <w:rFonts w:eastAsia="TimesNewRoman"/>
                <w:sz w:val="22"/>
                <w:szCs w:val="22"/>
                <w:lang w:val="lt-LT" w:eastAsia="en-US"/>
              </w:rPr>
              <w:t>pacientams gali tekti keisti</w:t>
            </w:r>
            <w:r w:rsidR="00C0285C" w:rsidRPr="00DD4E66">
              <w:rPr>
                <w:rFonts w:eastAsia="TimesNewRoman"/>
                <w:sz w:val="22"/>
                <w:szCs w:val="22"/>
                <w:lang w:val="lt-LT" w:eastAsia="en-US"/>
              </w:rPr>
              <w:t xml:space="preserve"> </w:t>
            </w:r>
            <w:r w:rsidRPr="00DD4E66">
              <w:rPr>
                <w:rFonts w:eastAsia="TimesNewRoman"/>
                <w:sz w:val="22"/>
                <w:szCs w:val="22"/>
                <w:lang w:val="lt-LT" w:eastAsia="en-US"/>
              </w:rPr>
              <w:t>palaikomąjį gydymą.</w:t>
            </w:r>
          </w:p>
        </w:tc>
      </w:tr>
      <w:tr w:rsidR="00645841" w:rsidRPr="00DD4E66" w14:paraId="69EFEDDB" w14:textId="77777777" w:rsidTr="00D37DA7">
        <w:tc>
          <w:tcPr>
            <w:tcW w:w="2943" w:type="dxa"/>
            <w:gridSpan w:val="2"/>
            <w:shd w:val="clear" w:color="auto" w:fill="auto"/>
          </w:tcPr>
          <w:p w14:paraId="4144851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Buprenorfinas/naloksonas</w:t>
            </w:r>
            <w:r w:rsidR="00C0285C" w:rsidRPr="00DD4E66">
              <w:rPr>
                <w:rFonts w:eastAsia="TimesNewRoman"/>
                <w:sz w:val="22"/>
                <w:szCs w:val="22"/>
                <w:lang w:val="lt-LT" w:eastAsia="en-US"/>
              </w:rPr>
              <w:t xml:space="preserve"> </w:t>
            </w:r>
            <w:r w:rsidRPr="00DD4E66">
              <w:rPr>
                <w:rFonts w:eastAsia="TimesNewRoman"/>
                <w:sz w:val="22"/>
                <w:szCs w:val="22"/>
                <w:lang w:val="lt-LT" w:eastAsia="en-US"/>
              </w:rPr>
              <w:t>8/2</w:t>
            </w:r>
            <w:r w:rsidR="00C0285C" w:rsidRPr="00DD4E66">
              <w:rPr>
                <w:rFonts w:eastAsia="TimesNewRoman"/>
                <w:sz w:val="22"/>
                <w:szCs w:val="22"/>
                <w:lang w:val="lt-LT" w:eastAsia="en-US"/>
              </w:rPr>
              <w:t> </w:t>
            </w:r>
            <w:r w:rsidRPr="00DD4E66">
              <w:rPr>
                <w:rFonts w:eastAsia="TimesNewRoman"/>
                <w:sz w:val="22"/>
                <w:szCs w:val="22"/>
                <w:lang w:val="lt-LT" w:eastAsia="en-US"/>
              </w:rPr>
              <w:t>mg–16/4</w:t>
            </w:r>
            <w:r w:rsidR="00C0285C" w:rsidRPr="00DD4E66">
              <w:rPr>
                <w:rFonts w:eastAsia="TimesNewRoman"/>
                <w:sz w:val="22"/>
                <w:szCs w:val="22"/>
                <w:lang w:val="lt-LT" w:eastAsia="en-US"/>
              </w:rPr>
              <w:t> </w:t>
            </w:r>
            <w:r w:rsidRPr="00DD4E66">
              <w:rPr>
                <w:rFonts w:eastAsia="TimesNewRoman"/>
                <w:sz w:val="22"/>
                <w:szCs w:val="22"/>
                <w:lang w:val="lt-LT" w:eastAsia="en-US"/>
              </w:rPr>
              <w:t>mg vieną</w:t>
            </w:r>
            <w:r w:rsidR="00C0285C" w:rsidRPr="00DD4E66">
              <w:rPr>
                <w:rFonts w:eastAsia="TimesNewRoman"/>
                <w:sz w:val="22"/>
                <w:szCs w:val="22"/>
                <w:lang w:val="lt-LT" w:eastAsia="en-US"/>
              </w:rPr>
              <w:t xml:space="preserve"> </w:t>
            </w:r>
            <w:r w:rsidRPr="00DD4E66">
              <w:rPr>
                <w:rFonts w:eastAsia="TimesNewRoman"/>
                <w:sz w:val="22"/>
                <w:szCs w:val="22"/>
                <w:lang w:val="lt-LT" w:eastAsia="en-US"/>
              </w:rPr>
              <w:t>kartą per parą</w:t>
            </w:r>
          </w:p>
        </w:tc>
        <w:tc>
          <w:tcPr>
            <w:tcW w:w="3322" w:type="dxa"/>
            <w:shd w:val="clear" w:color="auto" w:fill="auto"/>
          </w:tcPr>
          <w:p w14:paraId="7CB1B8B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buprenorfino AUC ↓ 11 %</w:t>
            </w:r>
          </w:p>
          <w:p w14:paraId="4909032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buprenorfino Cmin ↔</w:t>
            </w:r>
          </w:p>
          <w:p w14:paraId="79CAB69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buprenorfino Cmax ↓ 8 %</w:t>
            </w:r>
          </w:p>
          <w:p w14:paraId="70CB033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norbuprenorfino AUC ↑ 46 %</w:t>
            </w:r>
          </w:p>
          <w:p w14:paraId="3747185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norbuprenorfino Cmin ↑ 71 %</w:t>
            </w:r>
          </w:p>
          <w:p w14:paraId="3D7DA6D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norbuprenorfino Cmax ↑ 36 %</w:t>
            </w:r>
          </w:p>
          <w:p w14:paraId="1876226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naloksono AUC ↔</w:t>
            </w:r>
          </w:p>
          <w:p w14:paraId="0713A2C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naloksono Cmin NN</w:t>
            </w:r>
          </w:p>
          <w:p w14:paraId="1757F3A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naloksono Cmax ↔</w:t>
            </w:r>
          </w:p>
        </w:tc>
        <w:tc>
          <w:tcPr>
            <w:tcW w:w="3023" w:type="dxa"/>
            <w:shd w:val="clear" w:color="auto" w:fill="auto"/>
          </w:tcPr>
          <w:p w14:paraId="242AF4D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Klinikinė norbuprenorfino</w:t>
            </w:r>
            <w:r w:rsidR="00C0285C" w:rsidRPr="00DD4E66">
              <w:rPr>
                <w:rFonts w:eastAsia="TimesNewRoman"/>
                <w:sz w:val="22"/>
                <w:szCs w:val="22"/>
                <w:lang w:val="lt-LT" w:eastAsia="en-US"/>
              </w:rPr>
              <w:t xml:space="preserve"> </w:t>
            </w:r>
            <w:r w:rsidRPr="00DD4E66">
              <w:rPr>
                <w:rFonts w:eastAsia="TimesNewRoman"/>
                <w:sz w:val="22"/>
                <w:szCs w:val="22"/>
                <w:lang w:val="lt-LT" w:eastAsia="en-US"/>
              </w:rPr>
              <w:t>farmakokinetinių rodmenų</w:t>
            </w:r>
            <w:r w:rsidR="00C0285C" w:rsidRPr="00DD4E66">
              <w:rPr>
                <w:rFonts w:eastAsia="TimesNewRoman"/>
                <w:sz w:val="22"/>
                <w:szCs w:val="22"/>
                <w:lang w:val="lt-LT" w:eastAsia="en-US"/>
              </w:rPr>
              <w:t xml:space="preserve"> </w:t>
            </w:r>
            <w:r w:rsidRPr="00DD4E66">
              <w:rPr>
                <w:rFonts w:eastAsia="TimesNewRoman"/>
                <w:sz w:val="22"/>
                <w:szCs w:val="22"/>
                <w:lang w:val="lt-LT" w:eastAsia="en-US"/>
              </w:rPr>
              <w:t>padidėjimo reikšmė nenustatyta.</w:t>
            </w:r>
          </w:p>
          <w:p w14:paraId="1F004F5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Buprenorfino, vartojamo kartu su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C0285C" w:rsidRPr="00DD4E66">
              <w:rPr>
                <w:rFonts w:eastAsia="TimesNewRoman"/>
                <w:sz w:val="22"/>
                <w:szCs w:val="22"/>
                <w:lang w:val="lt-LT" w:eastAsia="en-US"/>
              </w:rPr>
              <w:t>darunaviru</w:t>
            </w:r>
            <w:r w:rsidRPr="00DD4E66">
              <w:rPr>
                <w:rFonts w:eastAsia="TimesNewRoman"/>
                <w:sz w:val="22"/>
                <w:szCs w:val="22"/>
                <w:lang w:val="lt-LT" w:eastAsia="en-US"/>
              </w:rPr>
              <w:t>, dozės keisti</w:t>
            </w:r>
            <w:r w:rsidR="00C0285C" w:rsidRPr="00DD4E66">
              <w:rPr>
                <w:rFonts w:eastAsia="TimesNewRoman"/>
                <w:sz w:val="22"/>
                <w:szCs w:val="22"/>
                <w:lang w:val="lt-LT" w:eastAsia="en-US"/>
              </w:rPr>
              <w:t xml:space="preserve"> </w:t>
            </w:r>
            <w:r w:rsidRPr="00DD4E66">
              <w:rPr>
                <w:rFonts w:eastAsia="TimesNewRoman"/>
                <w:sz w:val="22"/>
                <w:szCs w:val="22"/>
                <w:lang w:val="lt-LT" w:eastAsia="en-US"/>
              </w:rPr>
              <w:t>gali neprireikti, bet</w:t>
            </w:r>
            <w:r w:rsidR="00C0285C" w:rsidRPr="00DD4E66">
              <w:rPr>
                <w:rFonts w:eastAsia="TimesNewRoman"/>
                <w:sz w:val="22"/>
                <w:szCs w:val="22"/>
                <w:lang w:val="lt-LT" w:eastAsia="en-US"/>
              </w:rPr>
              <w:t xml:space="preserve"> </w:t>
            </w:r>
            <w:r w:rsidRPr="00DD4E66">
              <w:rPr>
                <w:rFonts w:eastAsia="TimesNewRoman"/>
                <w:sz w:val="22"/>
                <w:szCs w:val="22"/>
                <w:lang w:val="lt-LT" w:eastAsia="en-US"/>
              </w:rPr>
              <w:t>rekomenduojama atidžiai stebėti, ar</w:t>
            </w:r>
            <w:r w:rsidR="00C0285C" w:rsidRPr="00DD4E66">
              <w:rPr>
                <w:rFonts w:eastAsia="TimesNewRoman"/>
                <w:sz w:val="22"/>
                <w:szCs w:val="22"/>
                <w:lang w:val="lt-LT" w:eastAsia="en-US"/>
              </w:rPr>
              <w:t xml:space="preserve"> </w:t>
            </w:r>
            <w:r w:rsidRPr="00DD4E66">
              <w:rPr>
                <w:rFonts w:eastAsia="TimesNewRoman"/>
                <w:sz w:val="22"/>
                <w:szCs w:val="22"/>
                <w:lang w:val="lt-LT" w:eastAsia="en-US"/>
              </w:rPr>
              <w:t>neatsiranda opijaus preparatų</w:t>
            </w:r>
            <w:r w:rsidR="00C0285C" w:rsidRPr="00DD4E66">
              <w:rPr>
                <w:rFonts w:eastAsia="TimesNewRoman"/>
                <w:sz w:val="22"/>
                <w:szCs w:val="22"/>
                <w:lang w:val="lt-LT" w:eastAsia="en-US"/>
              </w:rPr>
              <w:t xml:space="preserve"> </w:t>
            </w:r>
            <w:r w:rsidRPr="00DD4E66">
              <w:rPr>
                <w:rFonts w:eastAsia="TimesNewRoman"/>
                <w:sz w:val="22"/>
                <w:szCs w:val="22"/>
                <w:lang w:val="lt-LT" w:eastAsia="en-US"/>
              </w:rPr>
              <w:t>toksinio poveikio požymių.</w:t>
            </w:r>
          </w:p>
        </w:tc>
      </w:tr>
      <w:tr w:rsidR="00C0285C" w:rsidRPr="00DD4E66" w14:paraId="64FC2863" w14:textId="77777777" w:rsidTr="00D37DA7">
        <w:tc>
          <w:tcPr>
            <w:tcW w:w="9288" w:type="dxa"/>
            <w:gridSpan w:val="4"/>
            <w:shd w:val="clear" w:color="auto" w:fill="auto"/>
          </w:tcPr>
          <w:p w14:paraId="3484C812"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KONTRACEPTIKAI, KURIŲ SUDĖTYJE YRA ESTROGENŲ</w:t>
            </w:r>
          </w:p>
        </w:tc>
      </w:tr>
      <w:tr w:rsidR="00645841" w:rsidRPr="00DD4E66" w14:paraId="6B156114" w14:textId="77777777" w:rsidTr="00D37DA7">
        <w:tc>
          <w:tcPr>
            <w:tcW w:w="2943" w:type="dxa"/>
            <w:gridSpan w:val="2"/>
            <w:shd w:val="clear" w:color="auto" w:fill="auto"/>
          </w:tcPr>
          <w:p w14:paraId="38A6539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Etinilestradiolis</w:t>
            </w:r>
          </w:p>
          <w:p w14:paraId="5FE21B8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Noretindronas</w:t>
            </w:r>
          </w:p>
          <w:p w14:paraId="0046E90E"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35 mikrogramai/ 1</w:t>
            </w:r>
            <w:r w:rsidR="00C0285C" w:rsidRPr="00DD4E66">
              <w:rPr>
                <w:rFonts w:eastAsia="TimesNewRoman"/>
                <w:sz w:val="22"/>
                <w:szCs w:val="22"/>
                <w:lang w:val="lt-LT" w:eastAsia="en-US"/>
              </w:rPr>
              <w:t> </w:t>
            </w:r>
            <w:r w:rsidRPr="00DD4E66">
              <w:rPr>
                <w:rFonts w:eastAsia="TimesNewRoman"/>
                <w:sz w:val="22"/>
                <w:szCs w:val="22"/>
                <w:lang w:val="lt-LT" w:eastAsia="en-US"/>
              </w:rPr>
              <w:t>mg</w:t>
            </w:r>
          </w:p>
          <w:p w14:paraId="3B677DDA"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vieną kartą per parą</w:t>
            </w:r>
          </w:p>
        </w:tc>
        <w:tc>
          <w:tcPr>
            <w:tcW w:w="3322" w:type="dxa"/>
            <w:shd w:val="clear" w:color="auto" w:fill="auto"/>
          </w:tcPr>
          <w:p w14:paraId="0C53DDC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etinilestradiolio AUC ↓ 44 %</w:t>
            </w:r>
          </w:p>
          <w:p w14:paraId="086FEB6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etinilestradiolio Cmin ↓ 62 %</w:t>
            </w:r>
          </w:p>
          <w:p w14:paraId="48A63BD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etinilestradiolio Cmax ↓ 32 %</w:t>
            </w:r>
          </w:p>
          <w:p w14:paraId="2C5258C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noretindrono AUC ↓ 14 %</w:t>
            </w:r>
          </w:p>
          <w:p w14:paraId="6E24DAE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noretindrono Cmin ↓ 30 %</w:t>
            </w:r>
          </w:p>
          <w:p w14:paraId="16EEBF7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noretindrono Cmax ↔</w:t>
            </w:r>
          </w:p>
        </w:tc>
        <w:tc>
          <w:tcPr>
            <w:tcW w:w="3023" w:type="dxa"/>
            <w:shd w:val="clear" w:color="auto" w:fill="auto"/>
          </w:tcPr>
          <w:p w14:paraId="6034E3B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Kontraceptikus, kurių sudėtyje yra</w:t>
            </w:r>
            <w:r w:rsidR="00C0285C" w:rsidRPr="00DD4E66">
              <w:rPr>
                <w:rFonts w:eastAsia="TimesNewRoman"/>
                <w:sz w:val="22"/>
                <w:szCs w:val="22"/>
                <w:lang w:val="lt-LT" w:eastAsia="en-US"/>
              </w:rPr>
              <w:t xml:space="preserve"> </w:t>
            </w:r>
            <w:r w:rsidRPr="00DD4E66">
              <w:rPr>
                <w:rFonts w:eastAsia="TimesNewRoman"/>
                <w:sz w:val="22"/>
                <w:szCs w:val="22"/>
                <w:lang w:val="lt-LT" w:eastAsia="en-US"/>
              </w:rPr>
              <w:t>estrogenų, vartojant kartu su</w:t>
            </w:r>
            <w:r w:rsidR="00C0285C"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C0285C" w:rsidRPr="00DD4E66">
              <w:rPr>
                <w:rFonts w:eastAsia="TimesNewRoman"/>
                <w:sz w:val="22"/>
                <w:szCs w:val="22"/>
                <w:lang w:val="lt-LT" w:eastAsia="en-US"/>
              </w:rPr>
              <w:t>darunaviru</w:t>
            </w:r>
            <w:r w:rsidRPr="00DD4E66">
              <w:rPr>
                <w:rFonts w:eastAsia="TimesNewRoman"/>
                <w:sz w:val="22"/>
                <w:szCs w:val="22"/>
                <w:lang w:val="lt-LT" w:eastAsia="en-US"/>
              </w:rPr>
              <w:t>,</w:t>
            </w:r>
          </w:p>
          <w:p w14:paraId="6810E45B"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rekomenduojama taikyti kitokias</w:t>
            </w:r>
            <w:r w:rsidR="00C0285C" w:rsidRPr="00DD4E66">
              <w:rPr>
                <w:rFonts w:eastAsia="TimesNewRoman"/>
                <w:sz w:val="22"/>
                <w:szCs w:val="22"/>
                <w:lang w:val="lt-LT" w:eastAsia="en-US"/>
              </w:rPr>
              <w:t xml:space="preserve"> </w:t>
            </w:r>
            <w:r w:rsidRPr="00DD4E66">
              <w:rPr>
                <w:rFonts w:eastAsia="TimesNewRoman"/>
                <w:sz w:val="22"/>
                <w:szCs w:val="22"/>
                <w:lang w:val="lt-LT" w:eastAsia="en-US"/>
              </w:rPr>
              <w:t>arba papildomas kontracepcijos</w:t>
            </w:r>
            <w:r w:rsidR="00C0285C" w:rsidRPr="00DD4E66">
              <w:rPr>
                <w:rFonts w:eastAsia="TimesNewRoman"/>
                <w:sz w:val="22"/>
                <w:szCs w:val="22"/>
                <w:lang w:val="lt-LT" w:eastAsia="en-US"/>
              </w:rPr>
              <w:t xml:space="preserve"> </w:t>
            </w:r>
            <w:r w:rsidRPr="00DD4E66">
              <w:rPr>
                <w:rFonts w:eastAsia="TimesNewRoman"/>
                <w:sz w:val="22"/>
                <w:szCs w:val="22"/>
                <w:lang w:val="lt-LT" w:eastAsia="en-US"/>
              </w:rPr>
              <w:t>priemones. Reikia stebėti, ar</w:t>
            </w:r>
            <w:r w:rsidR="00C0285C" w:rsidRPr="00DD4E66">
              <w:rPr>
                <w:rFonts w:eastAsia="TimesNewRoman"/>
                <w:sz w:val="22"/>
                <w:szCs w:val="22"/>
                <w:lang w:val="lt-LT" w:eastAsia="en-US"/>
              </w:rPr>
              <w:t xml:space="preserve"> </w:t>
            </w:r>
            <w:r w:rsidRPr="00DD4E66">
              <w:rPr>
                <w:rFonts w:eastAsia="TimesNewRoman"/>
                <w:sz w:val="22"/>
                <w:szCs w:val="22"/>
                <w:lang w:val="lt-LT" w:eastAsia="en-US"/>
              </w:rPr>
              <w:t>pacientėms, kurioms taikoma</w:t>
            </w:r>
            <w:r w:rsidR="00C0285C" w:rsidRPr="00DD4E66">
              <w:rPr>
                <w:rFonts w:eastAsia="TimesNewRoman"/>
                <w:sz w:val="22"/>
                <w:szCs w:val="22"/>
                <w:lang w:val="lt-LT" w:eastAsia="en-US"/>
              </w:rPr>
              <w:t xml:space="preserve"> </w:t>
            </w:r>
            <w:r w:rsidRPr="00DD4E66">
              <w:rPr>
                <w:rFonts w:eastAsia="TimesNewRoman"/>
                <w:sz w:val="22"/>
                <w:szCs w:val="22"/>
                <w:lang w:val="lt-LT" w:eastAsia="en-US"/>
              </w:rPr>
              <w:t>pakeičiamoji hormonų terapija</w:t>
            </w:r>
            <w:r w:rsidR="00C0285C" w:rsidRPr="00DD4E66">
              <w:rPr>
                <w:rFonts w:eastAsia="TimesNewRoman"/>
                <w:sz w:val="22"/>
                <w:szCs w:val="22"/>
                <w:lang w:val="lt-LT" w:eastAsia="en-US"/>
              </w:rPr>
              <w:t xml:space="preserve"> </w:t>
            </w:r>
            <w:r w:rsidRPr="00DD4E66">
              <w:rPr>
                <w:rFonts w:eastAsia="TimesNewRoman"/>
                <w:sz w:val="22"/>
                <w:szCs w:val="22"/>
                <w:lang w:val="lt-LT" w:eastAsia="en-US"/>
              </w:rPr>
              <w:t>estrogenais, neatsiranda klinikinių</w:t>
            </w:r>
            <w:r w:rsidR="00C0285C" w:rsidRPr="00DD4E66">
              <w:rPr>
                <w:rFonts w:eastAsia="TimesNewRoman"/>
                <w:sz w:val="22"/>
                <w:szCs w:val="22"/>
                <w:lang w:val="lt-LT" w:eastAsia="en-US"/>
              </w:rPr>
              <w:t xml:space="preserve"> </w:t>
            </w:r>
            <w:r w:rsidRPr="00DD4E66">
              <w:rPr>
                <w:rFonts w:eastAsia="TimesNewRoman"/>
                <w:sz w:val="22"/>
                <w:szCs w:val="22"/>
                <w:lang w:val="lt-LT" w:eastAsia="en-US"/>
              </w:rPr>
              <w:t>estrogenų stokos požymių.</w:t>
            </w:r>
          </w:p>
        </w:tc>
      </w:tr>
      <w:tr w:rsidR="00C0285C" w:rsidRPr="00DD4E66" w14:paraId="0B4E37FF" w14:textId="77777777" w:rsidTr="00D37DA7">
        <w:tc>
          <w:tcPr>
            <w:tcW w:w="9288" w:type="dxa"/>
            <w:gridSpan w:val="4"/>
            <w:shd w:val="clear" w:color="auto" w:fill="auto"/>
          </w:tcPr>
          <w:p w14:paraId="2E3A3D4B" w14:textId="77777777" w:rsidR="00C0285C" w:rsidRPr="00DD4E66" w:rsidRDefault="00C0285C"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5 TIPO FOSFODIESTERAZĖS (FDE-5) INHIBITORIAI</w:t>
            </w:r>
          </w:p>
        </w:tc>
      </w:tr>
      <w:tr w:rsidR="00645841" w:rsidRPr="00DD4E66" w14:paraId="40186C13" w14:textId="77777777" w:rsidTr="00D37DA7">
        <w:tc>
          <w:tcPr>
            <w:tcW w:w="2943" w:type="dxa"/>
            <w:gridSpan w:val="2"/>
            <w:shd w:val="clear" w:color="auto" w:fill="auto"/>
          </w:tcPr>
          <w:p w14:paraId="52C6EBA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Vartojami erekcijos</w:t>
            </w:r>
            <w:r w:rsidR="00C0285C" w:rsidRPr="00DD4E66">
              <w:rPr>
                <w:rFonts w:eastAsia="TimesNewRoman"/>
                <w:sz w:val="22"/>
                <w:szCs w:val="22"/>
                <w:lang w:val="lt-LT" w:eastAsia="en-US"/>
              </w:rPr>
              <w:t xml:space="preserve"> </w:t>
            </w:r>
            <w:r w:rsidRPr="00DD4E66">
              <w:rPr>
                <w:rFonts w:eastAsia="TimesNewRoman"/>
                <w:sz w:val="22"/>
                <w:szCs w:val="22"/>
                <w:lang w:val="lt-LT" w:eastAsia="en-US"/>
              </w:rPr>
              <w:t>funkcijos sutrikimams</w:t>
            </w:r>
            <w:r w:rsidR="00C0285C" w:rsidRPr="00DD4E66">
              <w:rPr>
                <w:rFonts w:eastAsia="TimesNewRoman"/>
                <w:sz w:val="22"/>
                <w:szCs w:val="22"/>
                <w:lang w:val="lt-LT" w:eastAsia="en-US"/>
              </w:rPr>
              <w:t xml:space="preserve"> </w:t>
            </w:r>
            <w:r w:rsidRPr="00DD4E66">
              <w:rPr>
                <w:rFonts w:eastAsia="TimesNewRoman"/>
                <w:sz w:val="22"/>
                <w:szCs w:val="22"/>
                <w:lang w:val="lt-LT" w:eastAsia="en-US"/>
              </w:rPr>
              <w:t>gydyti</w:t>
            </w:r>
          </w:p>
          <w:p w14:paraId="344A6FF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Avanafilis</w:t>
            </w:r>
          </w:p>
          <w:p w14:paraId="26B5D62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Sildenafilis</w:t>
            </w:r>
          </w:p>
          <w:p w14:paraId="28E49EC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Tadalafilis</w:t>
            </w:r>
          </w:p>
          <w:p w14:paraId="65AD3779"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Vardenafilis</w:t>
            </w:r>
          </w:p>
        </w:tc>
        <w:tc>
          <w:tcPr>
            <w:tcW w:w="3322" w:type="dxa"/>
            <w:shd w:val="clear" w:color="auto" w:fill="auto"/>
          </w:tcPr>
          <w:p w14:paraId="413619B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Sąveikos tyrimo duomenimis </w:t>
            </w:r>
            <w:r w:rsidRPr="00DD4E66">
              <w:rPr>
                <w:rFonts w:eastAsia="TimesNewRoman"/>
                <w:sz w:val="22"/>
                <w:szCs w:val="22"/>
                <w:vertAlign w:val="superscript"/>
                <w:lang w:val="lt-LT" w:eastAsia="en-US"/>
              </w:rPr>
              <w:t>#</w:t>
            </w:r>
            <w:r w:rsidRPr="00DD4E66">
              <w:rPr>
                <w:rFonts w:eastAsia="TimesNewRoman"/>
                <w:sz w:val="22"/>
                <w:szCs w:val="22"/>
                <w:lang w:val="lt-LT" w:eastAsia="en-US"/>
              </w:rPr>
              <w:t>, pavartojus</w:t>
            </w:r>
            <w:r w:rsidR="008D3ED5" w:rsidRPr="00DD4E66">
              <w:rPr>
                <w:rFonts w:eastAsia="TimesNewRoman"/>
                <w:sz w:val="22"/>
                <w:szCs w:val="22"/>
                <w:lang w:val="lt-LT" w:eastAsia="en-US"/>
              </w:rPr>
              <w:t xml:space="preserve"> </w:t>
            </w:r>
            <w:r w:rsidRPr="00DD4E66">
              <w:rPr>
                <w:rFonts w:eastAsia="TimesNewRoman"/>
                <w:sz w:val="22"/>
                <w:szCs w:val="22"/>
                <w:lang w:val="lt-LT" w:eastAsia="en-US"/>
              </w:rPr>
              <w:t>vienkartinę 100</w:t>
            </w:r>
            <w:r w:rsidR="008D3ED5" w:rsidRPr="00DD4E66">
              <w:rPr>
                <w:rFonts w:eastAsia="TimesNewRoman"/>
                <w:sz w:val="22"/>
                <w:szCs w:val="22"/>
                <w:lang w:val="lt-LT" w:eastAsia="en-US"/>
              </w:rPr>
              <w:t> </w:t>
            </w:r>
            <w:r w:rsidRPr="00DD4E66">
              <w:rPr>
                <w:rFonts w:eastAsia="TimesNewRoman"/>
                <w:sz w:val="22"/>
                <w:szCs w:val="22"/>
                <w:lang w:val="lt-LT" w:eastAsia="en-US"/>
              </w:rPr>
              <w:t>mg sildenafilio dozę arba</w:t>
            </w:r>
            <w:r w:rsidR="008D3ED5" w:rsidRPr="00DD4E66">
              <w:rPr>
                <w:rFonts w:eastAsia="TimesNewRoman"/>
                <w:sz w:val="22"/>
                <w:szCs w:val="22"/>
                <w:lang w:val="lt-LT" w:eastAsia="en-US"/>
              </w:rPr>
              <w:t xml:space="preserve"> </w:t>
            </w:r>
            <w:r w:rsidRPr="00DD4E66">
              <w:rPr>
                <w:rFonts w:eastAsia="TimesNewRoman"/>
                <w:sz w:val="22"/>
                <w:szCs w:val="22"/>
                <w:lang w:val="lt-LT" w:eastAsia="en-US"/>
              </w:rPr>
              <w:t>vienkartinę 25</w:t>
            </w:r>
            <w:r w:rsidR="008D3ED5" w:rsidRPr="00DD4E66">
              <w:rPr>
                <w:rFonts w:eastAsia="TimesNewRoman"/>
                <w:sz w:val="22"/>
                <w:szCs w:val="22"/>
                <w:lang w:val="lt-LT" w:eastAsia="en-US"/>
              </w:rPr>
              <w:t> </w:t>
            </w:r>
            <w:r w:rsidRPr="00DD4E66">
              <w:rPr>
                <w:rFonts w:eastAsia="TimesNewRoman"/>
                <w:sz w:val="22"/>
                <w:szCs w:val="22"/>
                <w:lang w:val="lt-LT" w:eastAsia="en-US"/>
              </w:rPr>
              <w:t>mg sildenafilio dozę kartu</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su </w:t>
            </w:r>
            <w:r w:rsidR="008D3ED5" w:rsidRPr="00DD4E66">
              <w:rPr>
                <w:rFonts w:eastAsia="TimesNewRoman"/>
                <w:sz w:val="22"/>
                <w:szCs w:val="22"/>
                <w:lang w:val="lt-LT" w:eastAsia="en-US"/>
              </w:rPr>
              <w:t>darunaviru</w:t>
            </w:r>
            <w:r w:rsidRPr="00DD4E66">
              <w:rPr>
                <w:rFonts w:eastAsia="TimesNewRoman"/>
                <w:sz w:val="22"/>
                <w:szCs w:val="22"/>
                <w:lang w:val="lt-LT" w:eastAsia="en-US"/>
              </w:rPr>
              <w:t xml:space="preserve"> ir maža ritonaviro doze,</w:t>
            </w:r>
            <w:r w:rsidR="008D3ED5" w:rsidRPr="00DD4E66">
              <w:rPr>
                <w:rFonts w:eastAsia="TimesNewRoman"/>
                <w:sz w:val="22"/>
                <w:szCs w:val="22"/>
                <w:lang w:val="lt-LT" w:eastAsia="en-US"/>
              </w:rPr>
              <w:t xml:space="preserve"> </w:t>
            </w:r>
            <w:r w:rsidRPr="00DD4E66">
              <w:rPr>
                <w:rFonts w:eastAsia="TimesNewRoman"/>
                <w:sz w:val="22"/>
                <w:szCs w:val="22"/>
                <w:lang w:val="lt-LT" w:eastAsia="en-US"/>
              </w:rPr>
              <w:t>sisteminė sildenafilio ekspozicija buvo</w:t>
            </w:r>
            <w:r w:rsidR="008D3ED5" w:rsidRPr="00DD4E66">
              <w:rPr>
                <w:rFonts w:eastAsia="TimesNewRoman"/>
                <w:sz w:val="22"/>
                <w:szCs w:val="22"/>
                <w:lang w:val="lt-LT" w:eastAsia="en-US"/>
              </w:rPr>
              <w:t xml:space="preserve"> </w:t>
            </w:r>
            <w:r w:rsidRPr="00DD4E66">
              <w:rPr>
                <w:rFonts w:eastAsia="TimesNewRoman"/>
                <w:sz w:val="22"/>
                <w:szCs w:val="22"/>
                <w:lang w:val="lt-LT" w:eastAsia="en-US"/>
              </w:rPr>
              <w:t>panaši.</w:t>
            </w:r>
          </w:p>
        </w:tc>
        <w:tc>
          <w:tcPr>
            <w:tcW w:w="3023" w:type="dxa"/>
            <w:shd w:val="clear" w:color="auto" w:fill="auto"/>
          </w:tcPr>
          <w:p w14:paraId="5385458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Avanafilio ir sustiprinto </w:t>
            </w:r>
            <w:r w:rsidR="008D3ED5" w:rsidRPr="00DD4E66">
              <w:rPr>
                <w:rFonts w:eastAsia="TimesNewRoman"/>
                <w:sz w:val="22"/>
                <w:szCs w:val="22"/>
                <w:lang w:val="lt-LT" w:eastAsia="en-US"/>
              </w:rPr>
              <w:t xml:space="preserve">darunaviro </w:t>
            </w:r>
            <w:r w:rsidRPr="00DD4E66">
              <w:rPr>
                <w:rFonts w:eastAsia="TimesNewRoman"/>
                <w:sz w:val="22"/>
                <w:szCs w:val="22"/>
                <w:lang w:val="lt-LT" w:eastAsia="en-US"/>
              </w:rPr>
              <w:t>vartojimas kartu yra</w:t>
            </w:r>
            <w:r w:rsidR="008D3ED5" w:rsidRPr="00DD4E66">
              <w:rPr>
                <w:rFonts w:eastAsia="TimesNewRoman"/>
                <w:sz w:val="22"/>
                <w:szCs w:val="22"/>
                <w:lang w:val="lt-LT" w:eastAsia="en-US"/>
              </w:rPr>
              <w:t xml:space="preserve"> </w:t>
            </w:r>
            <w:r w:rsidRPr="00DD4E66">
              <w:rPr>
                <w:rFonts w:eastAsia="TimesNewRoman"/>
                <w:sz w:val="22"/>
                <w:szCs w:val="22"/>
                <w:lang w:val="lt-LT" w:eastAsia="en-US"/>
              </w:rPr>
              <w:t>kontraindikuotinas (žr. 4.3 skyrių).</w:t>
            </w:r>
          </w:p>
          <w:p w14:paraId="3AC8B01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Erekcijos sutrikimams gydyti</w:t>
            </w:r>
            <w:r w:rsidR="008D3ED5" w:rsidRPr="00DD4E66">
              <w:rPr>
                <w:rFonts w:eastAsia="TimesNewRoman"/>
                <w:sz w:val="22"/>
                <w:szCs w:val="22"/>
                <w:lang w:val="lt-LT" w:eastAsia="en-US"/>
              </w:rPr>
              <w:t xml:space="preserve"> </w:t>
            </w:r>
            <w:r w:rsidRPr="00DD4E66">
              <w:rPr>
                <w:rFonts w:eastAsia="TimesNewRoman"/>
                <w:sz w:val="22"/>
                <w:szCs w:val="22"/>
                <w:lang w:val="lt-LT" w:eastAsia="en-US"/>
              </w:rPr>
              <w:t>skiriamus kitus FDE-5 inhibitorius</w:t>
            </w:r>
            <w:r w:rsidR="008D3ED5" w:rsidRPr="00DD4E66">
              <w:rPr>
                <w:rFonts w:eastAsia="TimesNewRoman"/>
                <w:sz w:val="22"/>
                <w:szCs w:val="22"/>
                <w:lang w:val="lt-LT" w:eastAsia="en-US"/>
              </w:rPr>
              <w:t xml:space="preserve"> </w:t>
            </w:r>
            <w:r w:rsidRPr="00DD4E66">
              <w:rPr>
                <w:rFonts w:eastAsia="TimesNewRoman"/>
                <w:sz w:val="22"/>
                <w:szCs w:val="22"/>
                <w:lang w:val="lt-LT" w:eastAsia="en-US"/>
              </w:rPr>
              <w:t>vartoti kartu su sustiprintu</w:t>
            </w:r>
            <w:r w:rsidR="008D3ED5" w:rsidRPr="00DD4E66">
              <w:rPr>
                <w:rFonts w:eastAsia="TimesNewRoman"/>
                <w:sz w:val="22"/>
                <w:szCs w:val="22"/>
                <w:lang w:val="lt-LT" w:eastAsia="en-US"/>
              </w:rPr>
              <w:t xml:space="preserve"> darunaviru</w:t>
            </w:r>
            <w:r w:rsidRPr="00DD4E66">
              <w:rPr>
                <w:rFonts w:eastAsia="TimesNewRoman"/>
                <w:sz w:val="22"/>
                <w:szCs w:val="22"/>
                <w:lang w:val="lt-LT" w:eastAsia="en-US"/>
              </w:rPr>
              <w:t>, reikia atsargiai. Jeigu</w:t>
            </w:r>
            <w:r w:rsidR="008D3ED5" w:rsidRPr="00DD4E66">
              <w:rPr>
                <w:rFonts w:eastAsia="TimesNewRoman"/>
                <w:sz w:val="22"/>
                <w:szCs w:val="22"/>
                <w:lang w:val="lt-LT" w:eastAsia="en-US"/>
              </w:rPr>
              <w:t xml:space="preserve"> </w:t>
            </w:r>
            <w:r w:rsidRPr="00DD4E66">
              <w:rPr>
                <w:rFonts w:eastAsia="TimesNewRoman"/>
                <w:sz w:val="22"/>
                <w:szCs w:val="22"/>
                <w:lang w:val="lt-LT" w:eastAsia="en-US"/>
              </w:rPr>
              <w:t>sildenafilį, vardenafilį arba tadalafilį</w:t>
            </w:r>
            <w:r w:rsidR="008D3ED5" w:rsidRPr="00DD4E66">
              <w:rPr>
                <w:rFonts w:eastAsia="TimesNewRoman"/>
                <w:sz w:val="22"/>
                <w:szCs w:val="22"/>
                <w:lang w:val="lt-LT" w:eastAsia="en-US"/>
              </w:rPr>
              <w:t xml:space="preserve"> </w:t>
            </w:r>
            <w:r w:rsidRPr="00DD4E66">
              <w:rPr>
                <w:rFonts w:eastAsia="TimesNewRoman"/>
                <w:sz w:val="22"/>
                <w:szCs w:val="22"/>
                <w:lang w:val="lt-LT" w:eastAsia="en-US"/>
              </w:rPr>
              <w:t>reikia vartoti kartu su sustiprintu</w:t>
            </w:r>
            <w:r w:rsidR="008D3ED5" w:rsidRPr="00DD4E66">
              <w:rPr>
                <w:rFonts w:eastAsia="TimesNewRoman"/>
                <w:sz w:val="22"/>
                <w:szCs w:val="22"/>
                <w:lang w:val="lt-LT" w:eastAsia="en-US"/>
              </w:rPr>
              <w:t xml:space="preserve"> darunaviru</w:t>
            </w:r>
            <w:r w:rsidRPr="00DD4E66">
              <w:rPr>
                <w:rFonts w:eastAsia="TimesNewRoman"/>
                <w:sz w:val="22"/>
                <w:szCs w:val="22"/>
                <w:lang w:val="lt-LT" w:eastAsia="en-US"/>
              </w:rPr>
              <w:t>, rekomenduojama per</w:t>
            </w:r>
            <w:r w:rsidR="008D3ED5" w:rsidRPr="00DD4E66">
              <w:rPr>
                <w:rFonts w:eastAsia="TimesNewRoman"/>
                <w:sz w:val="22"/>
                <w:szCs w:val="22"/>
                <w:lang w:val="lt-LT" w:eastAsia="en-US"/>
              </w:rPr>
              <w:t xml:space="preserve"> </w:t>
            </w:r>
            <w:r w:rsidRPr="00DD4E66">
              <w:rPr>
                <w:rFonts w:eastAsia="TimesNewRoman"/>
                <w:sz w:val="22"/>
                <w:szCs w:val="22"/>
                <w:lang w:val="lt-LT" w:eastAsia="en-US"/>
              </w:rPr>
              <w:t>48 valandas suvartoti ne didesnę</w:t>
            </w:r>
            <w:r w:rsidR="008D3ED5" w:rsidRPr="00DD4E66">
              <w:rPr>
                <w:rFonts w:eastAsia="TimesNewRoman"/>
                <w:sz w:val="22"/>
                <w:szCs w:val="22"/>
                <w:lang w:val="lt-LT" w:eastAsia="en-US"/>
              </w:rPr>
              <w:t xml:space="preserve"> </w:t>
            </w:r>
            <w:r w:rsidRPr="00DD4E66">
              <w:rPr>
                <w:rFonts w:eastAsia="TimesNewRoman"/>
                <w:sz w:val="22"/>
                <w:szCs w:val="22"/>
                <w:lang w:val="lt-LT" w:eastAsia="en-US"/>
              </w:rPr>
              <w:t>kaip 25</w:t>
            </w:r>
            <w:r w:rsidR="008D3ED5" w:rsidRPr="00DD4E66">
              <w:rPr>
                <w:rFonts w:eastAsia="TimesNewRoman"/>
                <w:sz w:val="22"/>
                <w:szCs w:val="22"/>
                <w:lang w:val="lt-LT" w:eastAsia="en-US"/>
              </w:rPr>
              <w:t> </w:t>
            </w:r>
            <w:r w:rsidRPr="00DD4E66">
              <w:rPr>
                <w:rFonts w:eastAsia="TimesNewRoman"/>
                <w:sz w:val="22"/>
                <w:szCs w:val="22"/>
                <w:lang w:val="lt-LT" w:eastAsia="en-US"/>
              </w:rPr>
              <w:t>mg vienkartinę sildenafilio</w:t>
            </w:r>
            <w:r w:rsidR="008D3ED5" w:rsidRPr="00DD4E66">
              <w:rPr>
                <w:rFonts w:eastAsia="TimesNewRoman"/>
                <w:sz w:val="22"/>
                <w:szCs w:val="22"/>
                <w:lang w:val="lt-LT" w:eastAsia="en-US"/>
              </w:rPr>
              <w:t xml:space="preserve"> </w:t>
            </w:r>
            <w:r w:rsidRPr="00DD4E66">
              <w:rPr>
                <w:rFonts w:eastAsia="TimesNewRoman"/>
                <w:sz w:val="22"/>
                <w:szCs w:val="22"/>
                <w:lang w:val="lt-LT" w:eastAsia="en-US"/>
              </w:rPr>
              <w:t>dozę, per 72 valandas suvartoti ne</w:t>
            </w:r>
            <w:r w:rsidR="008D3ED5" w:rsidRPr="00DD4E66">
              <w:rPr>
                <w:rFonts w:eastAsia="TimesNewRoman"/>
                <w:sz w:val="22"/>
                <w:szCs w:val="22"/>
                <w:lang w:val="lt-LT" w:eastAsia="en-US"/>
              </w:rPr>
              <w:t xml:space="preserve"> didesnę kaip 2,5 </w:t>
            </w:r>
            <w:r w:rsidRPr="00DD4E66">
              <w:rPr>
                <w:rFonts w:eastAsia="TimesNewRoman"/>
                <w:sz w:val="22"/>
                <w:szCs w:val="22"/>
                <w:lang w:val="lt-LT" w:eastAsia="en-US"/>
              </w:rPr>
              <w:t>mg vienkartinę</w:t>
            </w:r>
            <w:r w:rsidR="008D3ED5" w:rsidRPr="00DD4E66">
              <w:rPr>
                <w:rFonts w:eastAsia="TimesNewRoman"/>
                <w:sz w:val="22"/>
                <w:szCs w:val="22"/>
                <w:lang w:val="lt-LT" w:eastAsia="en-US"/>
              </w:rPr>
              <w:t xml:space="preserve"> </w:t>
            </w:r>
            <w:r w:rsidRPr="00DD4E66">
              <w:rPr>
                <w:rFonts w:eastAsia="TimesNewRoman"/>
                <w:sz w:val="22"/>
                <w:szCs w:val="22"/>
                <w:lang w:val="lt-LT" w:eastAsia="en-US"/>
              </w:rPr>
              <w:t>vardenafilio dozę arba per</w:t>
            </w:r>
            <w:r w:rsidR="008D3ED5" w:rsidRPr="00DD4E66">
              <w:rPr>
                <w:rFonts w:eastAsia="TimesNewRoman"/>
                <w:sz w:val="22"/>
                <w:szCs w:val="22"/>
                <w:lang w:val="lt-LT" w:eastAsia="en-US"/>
              </w:rPr>
              <w:t xml:space="preserve"> </w:t>
            </w:r>
            <w:r w:rsidRPr="00DD4E66">
              <w:rPr>
                <w:rFonts w:eastAsia="TimesNewRoman"/>
                <w:sz w:val="22"/>
                <w:szCs w:val="22"/>
                <w:lang w:val="lt-LT" w:eastAsia="en-US"/>
              </w:rPr>
              <w:t>72 valandas suvartoti ne didesnę</w:t>
            </w:r>
            <w:r w:rsidR="008D3ED5" w:rsidRPr="00DD4E66">
              <w:rPr>
                <w:rFonts w:eastAsia="TimesNewRoman"/>
                <w:sz w:val="22"/>
                <w:szCs w:val="22"/>
                <w:lang w:val="lt-LT" w:eastAsia="en-US"/>
              </w:rPr>
              <w:t xml:space="preserve"> </w:t>
            </w:r>
            <w:r w:rsidRPr="00DD4E66">
              <w:rPr>
                <w:rFonts w:eastAsia="TimesNewRoman"/>
                <w:sz w:val="22"/>
                <w:szCs w:val="22"/>
                <w:lang w:val="lt-LT" w:eastAsia="en-US"/>
              </w:rPr>
              <w:t>kaip 10</w:t>
            </w:r>
            <w:r w:rsidR="008D3ED5" w:rsidRPr="00DD4E66">
              <w:rPr>
                <w:rFonts w:eastAsia="TimesNewRoman"/>
                <w:sz w:val="22"/>
                <w:szCs w:val="22"/>
                <w:lang w:val="lt-LT" w:eastAsia="en-US"/>
              </w:rPr>
              <w:t> </w:t>
            </w:r>
            <w:r w:rsidRPr="00DD4E66">
              <w:rPr>
                <w:rFonts w:eastAsia="TimesNewRoman"/>
                <w:sz w:val="22"/>
                <w:szCs w:val="22"/>
                <w:lang w:val="lt-LT" w:eastAsia="en-US"/>
              </w:rPr>
              <w:t>mg vienkartinę tadalafilio</w:t>
            </w:r>
            <w:r w:rsidR="008D3ED5" w:rsidRPr="00DD4E66">
              <w:rPr>
                <w:rFonts w:eastAsia="TimesNewRoman"/>
                <w:sz w:val="22"/>
                <w:szCs w:val="22"/>
                <w:lang w:val="lt-LT" w:eastAsia="en-US"/>
              </w:rPr>
              <w:t xml:space="preserve"> </w:t>
            </w:r>
            <w:r w:rsidRPr="00DD4E66">
              <w:rPr>
                <w:rFonts w:eastAsia="TimesNewRoman"/>
                <w:sz w:val="22"/>
                <w:szCs w:val="22"/>
                <w:lang w:val="lt-LT" w:eastAsia="en-US"/>
              </w:rPr>
              <w:t>dozę.</w:t>
            </w:r>
          </w:p>
        </w:tc>
      </w:tr>
      <w:tr w:rsidR="00645841" w:rsidRPr="00DD4E66" w14:paraId="7B5668C1" w14:textId="77777777" w:rsidTr="00D37DA7">
        <w:tc>
          <w:tcPr>
            <w:tcW w:w="2943" w:type="dxa"/>
            <w:gridSpan w:val="2"/>
            <w:shd w:val="clear" w:color="auto" w:fill="auto"/>
          </w:tcPr>
          <w:p w14:paraId="03F6E93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Vartojami plautinei</w:t>
            </w:r>
            <w:r w:rsidR="008D3ED5" w:rsidRPr="00DD4E66">
              <w:rPr>
                <w:rFonts w:eastAsia="TimesNewRoman"/>
                <w:sz w:val="22"/>
                <w:szCs w:val="22"/>
                <w:lang w:val="lt-LT" w:eastAsia="en-US"/>
              </w:rPr>
              <w:t xml:space="preserve"> </w:t>
            </w:r>
            <w:r w:rsidRPr="00DD4E66">
              <w:rPr>
                <w:rFonts w:eastAsia="TimesNewRoman"/>
                <w:sz w:val="22"/>
                <w:szCs w:val="22"/>
                <w:lang w:val="lt-LT" w:eastAsia="en-US"/>
              </w:rPr>
              <w:t>arterinei hipertenzijai</w:t>
            </w:r>
            <w:r w:rsidR="008D3ED5" w:rsidRPr="00DD4E66">
              <w:rPr>
                <w:rFonts w:eastAsia="TimesNewRoman"/>
                <w:sz w:val="22"/>
                <w:szCs w:val="22"/>
                <w:lang w:val="lt-LT" w:eastAsia="en-US"/>
              </w:rPr>
              <w:t xml:space="preserve"> </w:t>
            </w:r>
            <w:r w:rsidRPr="00DD4E66">
              <w:rPr>
                <w:rFonts w:eastAsia="TimesNewRoman"/>
                <w:sz w:val="22"/>
                <w:szCs w:val="22"/>
                <w:lang w:val="lt-LT" w:eastAsia="en-US"/>
              </w:rPr>
              <w:t>gydyti</w:t>
            </w:r>
          </w:p>
          <w:p w14:paraId="325D0A4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Sildenafilis</w:t>
            </w:r>
          </w:p>
          <w:p w14:paraId="365FAA2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Tadalafilis</w:t>
            </w:r>
          </w:p>
        </w:tc>
        <w:tc>
          <w:tcPr>
            <w:tcW w:w="3322" w:type="dxa"/>
            <w:shd w:val="clear" w:color="auto" w:fill="auto"/>
          </w:tcPr>
          <w:p w14:paraId="0F0F264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Plautinei arterinei hipertenzijai</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gydyti skiriamą </w:t>
            </w:r>
            <w:r w:rsidR="008D3ED5" w:rsidRPr="00DD4E66">
              <w:rPr>
                <w:rFonts w:eastAsia="TimesNewRoman"/>
                <w:sz w:val="22"/>
                <w:szCs w:val="22"/>
                <w:lang w:val="lt-LT" w:eastAsia="en-US"/>
              </w:rPr>
              <w:t>s</w:t>
            </w:r>
            <w:r w:rsidRPr="00DD4E66">
              <w:rPr>
                <w:rFonts w:eastAsia="TimesNewRoman"/>
                <w:sz w:val="22"/>
                <w:szCs w:val="22"/>
                <w:lang w:val="lt-LT" w:eastAsia="en-US"/>
              </w:rPr>
              <w:t xml:space="preserve">ildenafilį arba tadalafilįvartojant kartu su </w:t>
            </w:r>
            <w:r w:rsidRPr="00DD4E66">
              <w:rPr>
                <w:rFonts w:eastAsia="TimesNewRoman"/>
                <w:sz w:val="22"/>
                <w:szCs w:val="22"/>
                <w:lang w:val="lt-LT" w:eastAsia="en-US"/>
              </w:rPr>
              <w:lastRenderedPageBreak/>
              <w:t xml:space="preserve">sustiprintu </w:t>
            </w:r>
            <w:r w:rsidR="008D3ED5" w:rsidRPr="00DD4E66">
              <w:rPr>
                <w:rFonts w:eastAsia="TimesNewRoman"/>
                <w:sz w:val="22"/>
                <w:szCs w:val="22"/>
                <w:lang w:val="lt-LT" w:eastAsia="en-US"/>
              </w:rPr>
              <w:t>darunaviru</w:t>
            </w:r>
            <w:r w:rsidRPr="00DD4E66">
              <w:rPr>
                <w:rFonts w:eastAsia="TimesNewRoman"/>
                <w:sz w:val="22"/>
                <w:szCs w:val="22"/>
                <w:lang w:val="lt-LT" w:eastAsia="en-US"/>
              </w:rPr>
              <w:t>,</w:t>
            </w:r>
            <w:r w:rsidR="008D3ED5" w:rsidRPr="00DD4E66">
              <w:rPr>
                <w:rFonts w:eastAsia="TimesNewRoman"/>
                <w:sz w:val="22"/>
                <w:szCs w:val="22"/>
                <w:lang w:val="lt-LT" w:eastAsia="en-US"/>
              </w:rPr>
              <w:t xml:space="preserve"> </w:t>
            </w:r>
            <w:r w:rsidRPr="00DD4E66">
              <w:rPr>
                <w:rFonts w:eastAsia="TimesNewRoman"/>
                <w:sz w:val="22"/>
                <w:szCs w:val="22"/>
                <w:lang w:val="lt-LT" w:eastAsia="en-US"/>
              </w:rPr>
              <w:t>sildenafilio arba tadalafilio koncentracijos</w:t>
            </w:r>
            <w:r w:rsidR="008D3ED5" w:rsidRPr="00DD4E66">
              <w:rPr>
                <w:rFonts w:eastAsia="TimesNewRoman"/>
                <w:sz w:val="22"/>
                <w:szCs w:val="22"/>
                <w:lang w:val="lt-LT" w:eastAsia="en-US"/>
              </w:rPr>
              <w:t xml:space="preserve"> </w:t>
            </w:r>
            <w:r w:rsidRPr="00DD4E66">
              <w:rPr>
                <w:rFonts w:eastAsia="TimesNewRoman"/>
                <w:sz w:val="22"/>
                <w:szCs w:val="22"/>
                <w:lang w:val="lt-LT" w:eastAsia="en-US"/>
              </w:rPr>
              <w:t>plazmoje gali padidėti.</w:t>
            </w:r>
            <w:r w:rsidR="008D3ED5" w:rsidRPr="00DD4E66">
              <w:rPr>
                <w:rFonts w:eastAsia="TimesNewRoman"/>
                <w:sz w:val="22"/>
                <w:szCs w:val="22"/>
                <w:lang w:val="lt-LT" w:eastAsia="en-US"/>
              </w:rPr>
              <w:t xml:space="preserve"> </w:t>
            </w:r>
            <w:r w:rsidRPr="00DD4E66">
              <w:rPr>
                <w:rFonts w:eastAsia="TimesNewRoman"/>
                <w:sz w:val="22"/>
                <w:szCs w:val="22"/>
                <w:lang w:val="lt-LT" w:eastAsia="en-US"/>
              </w:rPr>
              <w:t>(CYP3A slopinimas)</w:t>
            </w:r>
          </w:p>
        </w:tc>
        <w:tc>
          <w:tcPr>
            <w:tcW w:w="3023" w:type="dxa"/>
            <w:shd w:val="clear" w:color="auto" w:fill="auto"/>
          </w:tcPr>
          <w:p w14:paraId="533D688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lastRenderedPageBreak/>
              <w:t>Saugi ir veiksminga sildenafilio</w:t>
            </w:r>
            <w:r w:rsidR="008D3ED5" w:rsidRPr="00DD4E66">
              <w:rPr>
                <w:rFonts w:eastAsia="TimesNewRoman"/>
                <w:sz w:val="22"/>
                <w:szCs w:val="22"/>
                <w:lang w:val="lt-LT" w:eastAsia="en-US"/>
              </w:rPr>
              <w:t xml:space="preserve"> </w:t>
            </w:r>
            <w:r w:rsidRPr="00DD4E66">
              <w:rPr>
                <w:rFonts w:eastAsia="TimesNewRoman"/>
                <w:sz w:val="22"/>
                <w:szCs w:val="22"/>
                <w:lang w:val="lt-LT" w:eastAsia="en-US"/>
              </w:rPr>
              <w:t>dozė plautinei arterinei hipertenzijai</w:t>
            </w:r>
            <w:r w:rsidR="008D3ED5" w:rsidRPr="00DD4E66">
              <w:rPr>
                <w:rFonts w:eastAsia="TimesNewRoman"/>
                <w:sz w:val="22"/>
                <w:szCs w:val="22"/>
                <w:lang w:val="lt-LT" w:eastAsia="en-US"/>
              </w:rPr>
              <w:t xml:space="preserve"> </w:t>
            </w:r>
            <w:r w:rsidRPr="00DD4E66">
              <w:rPr>
                <w:rFonts w:eastAsia="TimesNewRoman"/>
                <w:sz w:val="22"/>
                <w:szCs w:val="22"/>
                <w:lang w:val="lt-LT" w:eastAsia="en-US"/>
              </w:rPr>
              <w:t>gydyti, kurią galima vartoti kartu su</w:t>
            </w:r>
            <w:r w:rsidR="008D3ED5" w:rsidRPr="00DD4E66">
              <w:rPr>
                <w:rFonts w:eastAsia="TimesNewRoman"/>
                <w:sz w:val="22"/>
                <w:szCs w:val="22"/>
                <w:lang w:val="lt-LT" w:eastAsia="en-US"/>
              </w:rPr>
              <w:t xml:space="preserve"> </w:t>
            </w:r>
            <w:r w:rsidRPr="00DD4E66">
              <w:rPr>
                <w:rFonts w:eastAsia="TimesNewRoman"/>
                <w:sz w:val="22"/>
                <w:szCs w:val="22"/>
                <w:lang w:val="lt-LT" w:eastAsia="en-US"/>
              </w:rPr>
              <w:lastRenderedPageBreak/>
              <w:t xml:space="preserve">sustiprintu </w:t>
            </w:r>
            <w:r w:rsidR="008D3ED5" w:rsidRPr="00DD4E66">
              <w:rPr>
                <w:rFonts w:eastAsia="TimesNewRoman"/>
                <w:sz w:val="22"/>
                <w:szCs w:val="22"/>
                <w:lang w:val="lt-LT" w:eastAsia="en-US"/>
              </w:rPr>
              <w:t>darunaviru</w:t>
            </w:r>
            <w:r w:rsidRPr="00DD4E66">
              <w:rPr>
                <w:rFonts w:eastAsia="TimesNewRoman"/>
                <w:sz w:val="22"/>
                <w:szCs w:val="22"/>
                <w:lang w:val="lt-LT" w:eastAsia="en-US"/>
              </w:rPr>
              <w:t>, nenustatyta.</w:t>
            </w:r>
          </w:p>
          <w:p w14:paraId="75DF2BD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Vartojant šiuos preparatus kartu,</w:t>
            </w:r>
            <w:r w:rsidR="008D3ED5" w:rsidRPr="00DD4E66">
              <w:rPr>
                <w:rFonts w:eastAsia="TimesNewRoman"/>
                <w:sz w:val="22"/>
                <w:szCs w:val="22"/>
                <w:lang w:val="lt-LT" w:eastAsia="en-US"/>
              </w:rPr>
              <w:t xml:space="preserve"> </w:t>
            </w:r>
            <w:r w:rsidRPr="00DD4E66">
              <w:rPr>
                <w:rFonts w:eastAsia="TimesNewRoman"/>
                <w:sz w:val="22"/>
                <w:szCs w:val="22"/>
                <w:lang w:val="lt-LT" w:eastAsia="en-US"/>
              </w:rPr>
              <w:t>padidėja su sildenafilio vartojimu</w:t>
            </w:r>
            <w:r w:rsidR="008D3ED5" w:rsidRPr="00DD4E66">
              <w:rPr>
                <w:rFonts w:eastAsia="TimesNewRoman"/>
                <w:sz w:val="22"/>
                <w:szCs w:val="22"/>
                <w:lang w:val="lt-LT" w:eastAsia="en-US"/>
              </w:rPr>
              <w:t xml:space="preserve"> </w:t>
            </w:r>
            <w:r w:rsidRPr="00DD4E66">
              <w:rPr>
                <w:rFonts w:eastAsia="TimesNewRoman"/>
                <w:sz w:val="22"/>
                <w:szCs w:val="22"/>
                <w:lang w:val="lt-LT" w:eastAsia="en-US"/>
              </w:rPr>
              <w:t>susijusių nepageidaujamų reiškinių</w:t>
            </w:r>
            <w:r w:rsidR="008D3ED5" w:rsidRPr="00DD4E66">
              <w:rPr>
                <w:rFonts w:eastAsia="TimesNewRoman"/>
                <w:sz w:val="22"/>
                <w:szCs w:val="22"/>
                <w:lang w:val="lt-LT" w:eastAsia="en-US"/>
              </w:rPr>
              <w:t xml:space="preserve"> </w:t>
            </w:r>
            <w:r w:rsidRPr="00DD4E66">
              <w:rPr>
                <w:rFonts w:eastAsia="TimesNewRoman"/>
                <w:sz w:val="22"/>
                <w:szCs w:val="22"/>
                <w:lang w:val="lt-LT" w:eastAsia="en-US"/>
              </w:rPr>
              <w:t>atsiradimo tikimybė (įskaitant</w:t>
            </w:r>
            <w:r w:rsidR="008D3ED5" w:rsidRPr="00DD4E66">
              <w:rPr>
                <w:rFonts w:eastAsia="TimesNewRoman"/>
                <w:sz w:val="22"/>
                <w:szCs w:val="22"/>
                <w:lang w:val="lt-LT" w:eastAsia="en-US"/>
              </w:rPr>
              <w:t xml:space="preserve"> </w:t>
            </w:r>
            <w:r w:rsidRPr="00DD4E66">
              <w:rPr>
                <w:rFonts w:eastAsia="TimesNewRoman"/>
                <w:sz w:val="22"/>
                <w:szCs w:val="22"/>
                <w:lang w:val="lt-LT" w:eastAsia="en-US"/>
              </w:rPr>
              <w:t>regėjimo sutrikimus, hipotenziją,</w:t>
            </w:r>
            <w:r w:rsidR="008D3ED5" w:rsidRPr="00DD4E66">
              <w:rPr>
                <w:rFonts w:eastAsia="TimesNewRoman"/>
                <w:sz w:val="22"/>
                <w:szCs w:val="22"/>
                <w:lang w:val="lt-LT" w:eastAsia="en-US"/>
              </w:rPr>
              <w:t xml:space="preserve"> </w:t>
            </w:r>
            <w:r w:rsidRPr="00DD4E66">
              <w:rPr>
                <w:rFonts w:eastAsia="TimesNewRoman"/>
                <w:sz w:val="22"/>
                <w:szCs w:val="22"/>
                <w:lang w:val="lt-LT" w:eastAsia="en-US"/>
              </w:rPr>
              <w:t>erekcijos pailgėjimą ir apalpimą).</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Todėl sustiprinto </w:t>
            </w:r>
            <w:r w:rsidR="008D3ED5" w:rsidRPr="00DD4E66">
              <w:rPr>
                <w:rFonts w:eastAsia="TimesNewRoman"/>
                <w:sz w:val="22"/>
                <w:szCs w:val="22"/>
                <w:lang w:val="lt-LT" w:eastAsia="en-US"/>
              </w:rPr>
              <w:t xml:space="preserve">darunaviro </w:t>
            </w:r>
            <w:r w:rsidRPr="00DD4E66">
              <w:rPr>
                <w:rFonts w:eastAsia="TimesNewRoman"/>
                <w:sz w:val="22"/>
                <w:szCs w:val="22"/>
                <w:lang w:val="lt-LT" w:eastAsia="en-US"/>
              </w:rPr>
              <w:t>vartojimas kartu su plautinei</w:t>
            </w:r>
            <w:r w:rsidR="008D3ED5" w:rsidRPr="00DD4E66">
              <w:rPr>
                <w:rFonts w:eastAsia="TimesNewRoman"/>
                <w:sz w:val="22"/>
                <w:szCs w:val="22"/>
                <w:lang w:val="lt-LT" w:eastAsia="en-US"/>
              </w:rPr>
              <w:t xml:space="preserve"> </w:t>
            </w:r>
            <w:r w:rsidRPr="00DD4E66">
              <w:rPr>
                <w:rFonts w:eastAsia="TimesNewRoman"/>
                <w:sz w:val="22"/>
                <w:szCs w:val="22"/>
                <w:lang w:val="lt-LT" w:eastAsia="en-US"/>
              </w:rPr>
              <w:t>arterinei hipertenzijai gydyti</w:t>
            </w:r>
            <w:r w:rsidR="008D3ED5" w:rsidRPr="00DD4E66">
              <w:rPr>
                <w:rFonts w:eastAsia="TimesNewRoman"/>
                <w:sz w:val="22"/>
                <w:szCs w:val="22"/>
                <w:lang w:val="lt-LT" w:eastAsia="en-US"/>
              </w:rPr>
              <w:t xml:space="preserve"> </w:t>
            </w:r>
            <w:r w:rsidRPr="00DD4E66">
              <w:rPr>
                <w:rFonts w:eastAsia="TimesNewRoman"/>
                <w:sz w:val="22"/>
                <w:szCs w:val="22"/>
                <w:lang w:val="lt-LT" w:eastAsia="en-US"/>
              </w:rPr>
              <w:t>skiriamu sildenafiliu yra</w:t>
            </w:r>
            <w:r w:rsidR="008D3ED5" w:rsidRPr="00DD4E66">
              <w:rPr>
                <w:rFonts w:eastAsia="TimesNewRoman"/>
                <w:sz w:val="22"/>
                <w:szCs w:val="22"/>
                <w:lang w:val="lt-LT" w:eastAsia="en-US"/>
              </w:rPr>
              <w:t xml:space="preserve"> </w:t>
            </w:r>
            <w:r w:rsidRPr="00DD4E66">
              <w:rPr>
                <w:rFonts w:eastAsia="TimesNewRoman"/>
                <w:sz w:val="22"/>
                <w:szCs w:val="22"/>
                <w:lang w:val="lt-LT" w:eastAsia="en-US"/>
              </w:rPr>
              <w:t>kontraindikuotinas (žr. 4.3 skyrių).</w:t>
            </w:r>
          </w:p>
          <w:p w14:paraId="0DA12D6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Plautinei arterinei hipertenzijai</w:t>
            </w:r>
            <w:r w:rsidR="008D3ED5" w:rsidRPr="00DD4E66">
              <w:rPr>
                <w:rFonts w:eastAsia="TimesNewRoman"/>
                <w:sz w:val="22"/>
                <w:szCs w:val="22"/>
                <w:lang w:val="lt-LT" w:eastAsia="en-US"/>
              </w:rPr>
              <w:t xml:space="preserve"> </w:t>
            </w:r>
            <w:r w:rsidRPr="00DD4E66">
              <w:rPr>
                <w:rFonts w:eastAsia="TimesNewRoman"/>
                <w:sz w:val="22"/>
                <w:szCs w:val="22"/>
                <w:lang w:val="lt-LT" w:eastAsia="en-US"/>
              </w:rPr>
              <w:t>gydyti skiriamą tadalafilį vartoti</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kartu su sustiprintu </w:t>
            </w:r>
            <w:r w:rsidR="008D3ED5" w:rsidRPr="00DD4E66">
              <w:rPr>
                <w:rFonts w:eastAsia="TimesNewRoman"/>
                <w:sz w:val="22"/>
                <w:szCs w:val="22"/>
                <w:lang w:val="lt-LT" w:eastAsia="en-US"/>
              </w:rPr>
              <w:t xml:space="preserve">darunaviru </w:t>
            </w:r>
            <w:r w:rsidRPr="00DD4E66">
              <w:rPr>
                <w:rFonts w:eastAsia="TimesNewRoman"/>
                <w:sz w:val="22"/>
                <w:szCs w:val="22"/>
                <w:lang w:val="lt-LT" w:eastAsia="en-US"/>
              </w:rPr>
              <w:t>nerekomenduojama.</w:t>
            </w:r>
          </w:p>
        </w:tc>
      </w:tr>
      <w:tr w:rsidR="008D3ED5" w:rsidRPr="00DD4E66" w14:paraId="6AD9064F" w14:textId="77777777" w:rsidTr="00D37DA7">
        <w:tc>
          <w:tcPr>
            <w:tcW w:w="9288" w:type="dxa"/>
            <w:gridSpan w:val="4"/>
            <w:shd w:val="clear" w:color="auto" w:fill="auto"/>
          </w:tcPr>
          <w:p w14:paraId="3CFDACC0" w14:textId="77777777" w:rsidR="008D3ED5" w:rsidRPr="00DD4E66" w:rsidRDefault="008D3ED5"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lastRenderedPageBreak/>
              <w:t>PROTONŲ SIURBLIO INHIBITORIAI</w:t>
            </w:r>
          </w:p>
        </w:tc>
      </w:tr>
      <w:tr w:rsidR="00645841" w:rsidRPr="00DD4E66" w14:paraId="2D20ECDE" w14:textId="77777777" w:rsidTr="00D37DA7">
        <w:tc>
          <w:tcPr>
            <w:tcW w:w="2943" w:type="dxa"/>
            <w:gridSpan w:val="2"/>
            <w:shd w:val="clear" w:color="auto" w:fill="auto"/>
          </w:tcPr>
          <w:p w14:paraId="22D3E642"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Omeprazolas</w:t>
            </w:r>
            <w:r w:rsidR="008D3ED5" w:rsidRPr="00DD4E66">
              <w:rPr>
                <w:rFonts w:eastAsia="TimesNewRoman"/>
                <w:sz w:val="22"/>
                <w:szCs w:val="22"/>
                <w:lang w:val="lt-LT" w:eastAsia="en-US"/>
              </w:rPr>
              <w:t xml:space="preserve"> </w:t>
            </w:r>
            <w:r w:rsidRPr="00DD4E66">
              <w:rPr>
                <w:rFonts w:eastAsia="TimesNewRoman"/>
                <w:sz w:val="22"/>
                <w:szCs w:val="22"/>
                <w:lang w:val="lt-LT" w:eastAsia="en-US"/>
              </w:rPr>
              <w:t>20</w:t>
            </w:r>
            <w:r w:rsidR="008D3ED5" w:rsidRPr="00DD4E66">
              <w:rPr>
                <w:rFonts w:eastAsia="TimesNewRoman"/>
                <w:sz w:val="22"/>
                <w:szCs w:val="22"/>
                <w:lang w:val="lt-LT" w:eastAsia="en-US"/>
              </w:rPr>
              <w:t> </w:t>
            </w:r>
            <w:r w:rsidRPr="00DD4E66">
              <w:rPr>
                <w:rFonts w:eastAsia="TimesNewRoman"/>
                <w:sz w:val="22"/>
                <w:szCs w:val="22"/>
                <w:lang w:val="lt-LT" w:eastAsia="en-US"/>
              </w:rPr>
              <w:t>mg vieną kartą per</w:t>
            </w:r>
            <w:r w:rsidR="008D3ED5" w:rsidRPr="00DD4E66">
              <w:rPr>
                <w:rFonts w:eastAsia="TimesNewRoman"/>
                <w:sz w:val="22"/>
                <w:szCs w:val="22"/>
                <w:lang w:val="lt-LT" w:eastAsia="en-US"/>
              </w:rPr>
              <w:t xml:space="preserve"> </w:t>
            </w:r>
            <w:r w:rsidRPr="00DD4E66">
              <w:rPr>
                <w:rFonts w:eastAsia="TimesNewRoman"/>
                <w:sz w:val="22"/>
                <w:szCs w:val="22"/>
                <w:lang w:val="lt-LT" w:eastAsia="en-US"/>
              </w:rPr>
              <w:t>parą</w:t>
            </w:r>
          </w:p>
        </w:tc>
        <w:tc>
          <w:tcPr>
            <w:tcW w:w="3322" w:type="dxa"/>
            <w:shd w:val="clear" w:color="auto" w:fill="auto"/>
          </w:tcPr>
          <w:p w14:paraId="363538A3"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AUC ↔</w:t>
            </w:r>
          </w:p>
          <w:p w14:paraId="32CA83B5"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Cmin ↔</w:t>
            </w:r>
          </w:p>
          <w:p w14:paraId="1E2B7CF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vertAlign w:val="superscript"/>
                <w:lang w:val="lt-LT" w:eastAsia="en-US"/>
              </w:rPr>
              <w:t>#</w:t>
            </w:r>
            <w:r w:rsidRPr="00DD4E66">
              <w:rPr>
                <w:rFonts w:eastAsia="TimesNewRoman"/>
                <w:sz w:val="22"/>
                <w:szCs w:val="22"/>
                <w:lang w:val="lt-LT" w:eastAsia="en-US"/>
              </w:rPr>
              <w:t>darunaviro Cmax ↔</w:t>
            </w:r>
          </w:p>
        </w:tc>
        <w:tc>
          <w:tcPr>
            <w:tcW w:w="3023" w:type="dxa"/>
            <w:shd w:val="clear" w:color="auto" w:fill="auto"/>
          </w:tcPr>
          <w:p w14:paraId="0565CAC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Sustiprintą </w:t>
            </w:r>
            <w:r w:rsidR="008D3ED5" w:rsidRPr="00DD4E66">
              <w:rPr>
                <w:rFonts w:eastAsia="TimesNewRoman"/>
                <w:sz w:val="22"/>
                <w:szCs w:val="22"/>
                <w:lang w:val="lt-LT" w:eastAsia="en-US"/>
              </w:rPr>
              <w:t>darunavirą</w:t>
            </w:r>
            <w:r w:rsidRPr="00DD4E66">
              <w:rPr>
                <w:rFonts w:eastAsia="TimesNewRoman"/>
                <w:sz w:val="22"/>
                <w:szCs w:val="22"/>
                <w:lang w:val="lt-LT" w:eastAsia="en-US"/>
              </w:rPr>
              <w:t xml:space="preserve"> galima</w:t>
            </w:r>
            <w:r w:rsidR="008D3ED5" w:rsidRPr="00DD4E66">
              <w:rPr>
                <w:rFonts w:eastAsia="TimesNewRoman"/>
                <w:sz w:val="22"/>
                <w:szCs w:val="22"/>
                <w:lang w:val="lt-LT" w:eastAsia="en-US"/>
              </w:rPr>
              <w:t xml:space="preserve"> </w:t>
            </w:r>
            <w:r w:rsidRPr="00DD4E66">
              <w:rPr>
                <w:rFonts w:eastAsia="TimesNewRoman"/>
                <w:sz w:val="22"/>
                <w:szCs w:val="22"/>
                <w:lang w:val="lt-LT" w:eastAsia="en-US"/>
              </w:rPr>
              <w:t>vartoti kartu su protonų siurblio</w:t>
            </w:r>
            <w:r w:rsidR="008D3ED5" w:rsidRPr="00DD4E66">
              <w:rPr>
                <w:rFonts w:eastAsia="TimesNewRoman"/>
                <w:sz w:val="22"/>
                <w:szCs w:val="22"/>
                <w:lang w:val="lt-LT" w:eastAsia="en-US"/>
              </w:rPr>
              <w:t xml:space="preserve"> </w:t>
            </w:r>
            <w:r w:rsidRPr="00DD4E66">
              <w:rPr>
                <w:rFonts w:eastAsia="TimesNewRoman"/>
                <w:sz w:val="22"/>
                <w:szCs w:val="22"/>
                <w:lang w:val="lt-LT" w:eastAsia="en-US"/>
              </w:rPr>
              <w:t>inhibitoriais nekeičiant dozės.</w:t>
            </w:r>
          </w:p>
        </w:tc>
      </w:tr>
      <w:tr w:rsidR="008D3ED5" w:rsidRPr="00DD4E66" w14:paraId="1F76181E" w14:textId="77777777" w:rsidTr="00D37DA7">
        <w:tc>
          <w:tcPr>
            <w:tcW w:w="9288" w:type="dxa"/>
            <w:gridSpan w:val="4"/>
            <w:shd w:val="clear" w:color="auto" w:fill="auto"/>
          </w:tcPr>
          <w:p w14:paraId="632BB971" w14:textId="77777777" w:rsidR="008D3ED5" w:rsidRPr="00DD4E66" w:rsidRDefault="008D3ED5" w:rsidP="00D37DA7">
            <w:pPr>
              <w:autoSpaceDE w:val="0"/>
              <w:autoSpaceDN w:val="0"/>
              <w:adjustRightInd w:val="0"/>
              <w:rPr>
                <w:rFonts w:eastAsia="TimesNewRoman"/>
                <w:sz w:val="22"/>
                <w:szCs w:val="22"/>
                <w:lang w:val="lt-LT" w:eastAsia="en-US"/>
              </w:rPr>
            </w:pPr>
            <w:r w:rsidRPr="00DD4E66">
              <w:rPr>
                <w:rFonts w:eastAsia="TimesNewRoman,Bold"/>
                <w:b/>
                <w:bCs/>
                <w:sz w:val="22"/>
                <w:szCs w:val="22"/>
                <w:lang w:val="lt-LT" w:eastAsia="en-US"/>
              </w:rPr>
              <w:t>RAMINAMIEJI / MIGDOMIEJI VAISTINIAI PREPARATAI</w:t>
            </w:r>
          </w:p>
        </w:tc>
      </w:tr>
      <w:tr w:rsidR="00645841" w:rsidRPr="00DD4E66" w14:paraId="0F650EB0" w14:textId="77777777" w:rsidTr="00D37DA7">
        <w:tc>
          <w:tcPr>
            <w:tcW w:w="2943" w:type="dxa"/>
            <w:gridSpan w:val="2"/>
            <w:shd w:val="clear" w:color="auto" w:fill="auto"/>
          </w:tcPr>
          <w:p w14:paraId="1087F83D"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Buspironas</w:t>
            </w:r>
          </w:p>
          <w:p w14:paraId="4B4AFE9F"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Klorazepatas</w:t>
            </w:r>
          </w:p>
          <w:p w14:paraId="1716F806"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Diazepamas</w:t>
            </w:r>
          </w:p>
          <w:p w14:paraId="6735C4F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Estazolamas</w:t>
            </w:r>
          </w:p>
          <w:p w14:paraId="14D2EA57"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Flurazepamas</w:t>
            </w:r>
          </w:p>
          <w:p w14:paraId="7A74C99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Midazolamas (vartojamas</w:t>
            </w:r>
          </w:p>
          <w:p w14:paraId="6D65C83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parenteriniu būdu)</w:t>
            </w:r>
          </w:p>
          <w:p w14:paraId="74BDFE3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Zoldipemas</w:t>
            </w:r>
          </w:p>
          <w:p w14:paraId="37CDFB37" w14:textId="77777777" w:rsidR="00645841" w:rsidRPr="00DD4E66" w:rsidRDefault="00645841" w:rsidP="00D37DA7">
            <w:pPr>
              <w:autoSpaceDE w:val="0"/>
              <w:autoSpaceDN w:val="0"/>
              <w:adjustRightInd w:val="0"/>
              <w:rPr>
                <w:rFonts w:eastAsia="TimesNewRoman"/>
                <w:sz w:val="22"/>
                <w:szCs w:val="22"/>
                <w:lang w:val="lt-LT" w:eastAsia="en-US"/>
              </w:rPr>
            </w:pPr>
          </w:p>
          <w:p w14:paraId="742B3D3A" w14:textId="77777777" w:rsidR="00645841" w:rsidRPr="00DD4E66" w:rsidRDefault="00645841" w:rsidP="00D37DA7">
            <w:pPr>
              <w:autoSpaceDE w:val="0"/>
              <w:autoSpaceDN w:val="0"/>
              <w:adjustRightInd w:val="0"/>
              <w:rPr>
                <w:rFonts w:eastAsia="TimesNewRoman"/>
                <w:sz w:val="22"/>
                <w:szCs w:val="22"/>
                <w:lang w:val="lt-LT" w:eastAsia="en-US"/>
              </w:rPr>
            </w:pPr>
          </w:p>
          <w:p w14:paraId="39D8C884" w14:textId="77777777" w:rsidR="00645841" w:rsidRPr="00DD4E66" w:rsidRDefault="00645841" w:rsidP="00D37DA7">
            <w:pPr>
              <w:autoSpaceDE w:val="0"/>
              <w:autoSpaceDN w:val="0"/>
              <w:adjustRightInd w:val="0"/>
              <w:rPr>
                <w:rFonts w:eastAsia="TimesNewRoman"/>
                <w:sz w:val="22"/>
                <w:szCs w:val="22"/>
                <w:lang w:val="lt-LT" w:eastAsia="en-US"/>
              </w:rPr>
            </w:pPr>
          </w:p>
          <w:p w14:paraId="4C913FE7" w14:textId="77777777" w:rsidR="006A30D2" w:rsidRPr="00DD4E66" w:rsidRDefault="006A30D2" w:rsidP="00D37DA7">
            <w:pPr>
              <w:autoSpaceDE w:val="0"/>
              <w:autoSpaceDN w:val="0"/>
              <w:adjustRightInd w:val="0"/>
              <w:rPr>
                <w:rFonts w:eastAsia="TimesNewRoman"/>
                <w:sz w:val="22"/>
                <w:szCs w:val="22"/>
                <w:lang w:val="lt-LT" w:eastAsia="en-US"/>
              </w:rPr>
            </w:pPr>
          </w:p>
          <w:p w14:paraId="7B4D537C" w14:textId="77777777" w:rsidR="006A30D2" w:rsidRPr="00DD4E66" w:rsidRDefault="006A30D2" w:rsidP="00D37DA7">
            <w:pPr>
              <w:autoSpaceDE w:val="0"/>
              <w:autoSpaceDN w:val="0"/>
              <w:adjustRightInd w:val="0"/>
              <w:rPr>
                <w:rFonts w:eastAsia="TimesNewRoman"/>
                <w:sz w:val="22"/>
                <w:szCs w:val="22"/>
                <w:lang w:val="lt-LT" w:eastAsia="en-US"/>
              </w:rPr>
            </w:pPr>
          </w:p>
          <w:p w14:paraId="6088C2B1" w14:textId="77777777" w:rsidR="006A30D2" w:rsidRPr="00DD4E66" w:rsidRDefault="006A30D2" w:rsidP="00D37DA7">
            <w:pPr>
              <w:autoSpaceDE w:val="0"/>
              <w:autoSpaceDN w:val="0"/>
              <w:adjustRightInd w:val="0"/>
              <w:rPr>
                <w:rFonts w:eastAsia="TimesNewRoman"/>
                <w:sz w:val="22"/>
                <w:szCs w:val="22"/>
                <w:lang w:val="lt-LT" w:eastAsia="en-US"/>
              </w:rPr>
            </w:pPr>
          </w:p>
          <w:p w14:paraId="79A1E9DF" w14:textId="77777777" w:rsidR="006A30D2" w:rsidRPr="00DD4E66" w:rsidRDefault="006A30D2" w:rsidP="00D37DA7">
            <w:pPr>
              <w:autoSpaceDE w:val="0"/>
              <w:autoSpaceDN w:val="0"/>
              <w:adjustRightInd w:val="0"/>
              <w:rPr>
                <w:rFonts w:eastAsia="TimesNewRoman"/>
                <w:sz w:val="22"/>
                <w:szCs w:val="22"/>
                <w:lang w:val="lt-LT" w:eastAsia="en-US"/>
              </w:rPr>
            </w:pPr>
          </w:p>
          <w:p w14:paraId="53960D97" w14:textId="77777777" w:rsidR="006A30D2" w:rsidRPr="00DD4E66" w:rsidRDefault="006A30D2" w:rsidP="00D37DA7">
            <w:pPr>
              <w:autoSpaceDE w:val="0"/>
              <w:autoSpaceDN w:val="0"/>
              <w:adjustRightInd w:val="0"/>
              <w:rPr>
                <w:rFonts w:eastAsia="TimesNewRoman"/>
                <w:sz w:val="22"/>
                <w:szCs w:val="22"/>
                <w:lang w:val="lt-LT" w:eastAsia="en-US"/>
              </w:rPr>
            </w:pPr>
          </w:p>
          <w:p w14:paraId="3E94442E" w14:textId="77777777" w:rsidR="006A30D2" w:rsidRPr="00DD4E66" w:rsidRDefault="006A30D2" w:rsidP="00D37DA7">
            <w:pPr>
              <w:autoSpaceDE w:val="0"/>
              <w:autoSpaceDN w:val="0"/>
              <w:adjustRightInd w:val="0"/>
              <w:rPr>
                <w:rFonts w:eastAsia="TimesNewRoman"/>
                <w:sz w:val="22"/>
                <w:szCs w:val="22"/>
                <w:lang w:val="lt-LT" w:eastAsia="en-US"/>
              </w:rPr>
            </w:pPr>
          </w:p>
          <w:p w14:paraId="590868E2" w14:textId="77777777" w:rsidR="006A30D2" w:rsidRPr="00DD4E66" w:rsidRDefault="006A30D2" w:rsidP="00D37DA7">
            <w:pPr>
              <w:autoSpaceDE w:val="0"/>
              <w:autoSpaceDN w:val="0"/>
              <w:adjustRightInd w:val="0"/>
              <w:rPr>
                <w:rFonts w:eastAsia="TimesNewRoman"/>
                <w:sz w:val="22"/>
                <w:szCs w:val="22"/>
                <w:lang w:val="lt-LT" w:eastAsia="en-US"/>
              </w:rPr>
            </w:pPr>
          </w:p>
          <w:p w14:paraId="32AC8D94" w14:textId="77777777" w:rsidR="006A30D2" w:rsidRPr="00DD4E66" w:rsidRDefault="006A30D2" w:rsidP="00D37DA7">
            <w:pPr>
              <w:autoSpaceDE w:val="0"/>
              <w:autoSpaceDN w:val="0"/>
              <w:adjustRightInd w:val="0"/>
              <w:rPr>
                <w:rFonts w:eastAsia="TimesNewRoman"/>
                <w:sz w:val="22"/>
                <w:szCs w:val="22"/>
                <w:lang w:val="lt-LT" w:eastAsia="en-US"/>
              </w:rPr>
            </w:pPr>
          </w:p>
          <w:p w14:paraId="20C03AB0" w14:textId="77777777" w:rsidR="006A30D2" w:rsidRPr="00DD4E66" w:rsidRDefault="006A30D2" w:rsidP="00D37DA7">
            <w:pPr>
              <w:autoSpaceDE w:val="0"/>
              <w:autoSpaceDN w:val="0"/>
              <w:adjustRightInd w:val="0"/>
              <w:rPr>
                <w:rFonts w:eastAsia="TimesNewRoman"/>
                <w:sz w:val="22"/>
                <w:szCs w:val="22"/>
                <w:lang w:val="lt-LT" w:eastAsia="en-US"/>
              </w:rPr>
            </w:pPr>
          </w:p>
          <w:p w14:paraId="09983633" w14:textId="77777777" w:rsidR="006A30D2" w:rsidRPr="00DD4E66" w:rsidRDefault="006A30D2" w:rsidP="00D37DA7">
            <w:pPr>
              <w:autoSpaceDE w:val="0"/>
              <w:autoSpaceDN w:val="0"/>
              <w:adjustRightInd w:val="0"/>
              <w:rPr>
                <w:rFonts w:eastAsia="TimesNewRoman"/>
                <w:sz w:val="22"/>
                <w:szCs w:val="22"/>
                <w:lang w:val="lt-LT" w:eastAsia="en-US"/>
              </w:rPr>
            </w:pPr>
          </w:p>
          <w:p w14:paraId="2F640836" w14:textId="77777777" w:rsidR="006A30D2" w:rsidRPr="00DD4E66" w:rsidRDefault="006A30D2" w:rsidP="00D37DA7">
            <w:pPr>
              <w:autoSpaceDE w:val="0"/>
              <w:autoSpaceDN w:val="0"/>
              <w:adjustRightInd w:val="0"/>
              <w:rPr>
                <w:rFonts w:eastAsia="TimesNewRoman"/>
                <w:sz w:val="22"/>
                <w:szCs w:val="22"/>
                <w:lang w:val="lt-LT" w:eastAsia="en-US"/>
              </w:rPr>
            </w:pPr>
          </w:p>
          <w:p w14:paraId="2B9BD69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Midazolamas</w:t>
            </w:r>
          </w:p>
          <w:p w14:paraId="1484F418"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(geriamasis)</w:t>
            </w:r>
          </w:p>
          <w:p w14:paraId="4B94F2E4"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Triazolamas</w:t>
            </w:r>
          </w:p>
        </w:tc>
        <w:tc>
          <w:tcPr>
            <w:tcW w:w="3322" w:type="dxa"/>
            <w:shd w:val="clear" w:color="auto" w:fill="auto"/>
          </w:tcPr>
          <w:p w14:paraId="2C36FB2F" w14:textId="77777777" w:rsidR="006A30D2"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Netirta. Raminamieji/migdomieji vaistiniai</w:t>
            </w:r>
            <w:r w:rsidR="008D3ED5" w:rsidRPr="00DD4E66">
              <w:rPr>
                <w:rFonts w:eastAsia="TimesNewRoman"/>
                <w:sz w:val="22"/>
                <w:szCs w:val="22"/>
                <w:lang w:val="lt-LT" w:eastAsia="en-US"/>
              </w:rPr>
              <w:t xml:space="preserve"> </w:t>
            </w:r>
            <w:r w:rsidRPr="00DD4E66">
              <w:rPr>
                <w:rFonts w:eastAsia="TimesNewRoman"/>
                <w:sz w:val="22"/>
                <w:szCs w:val="22"/>
                <w:lang w:val="lt-LT" w:eastAsia="en-US"/>
              </w:rPr>
              <w:t>preparatai yra ekstensyviai</w:t>
            </w:r>
            <w:r w:rsidR="008D3ED5" w:rsidRPr="00DD4E66">
              <w:rPr>
                <w:rFonts w:eastAsia="TimesNewRoman"/>
                <w:sz w:val="22"/>
                <w:szCs w:val="22"/>
                <w:lang w:val="lt-LT" w:eastAsia="en-US"/>
              </w:rPr>
              <w:t xml:space="preserve"> </w:t>
            </w:r>
            <w:r w:rsidRPr="00DD4E66">
              <w:rPr>
                <w:rFonts w:eastAsia="TimesNewRoman"/>
                <w:sz w:val="22"/>
                <w:szCs w:val="22"/>
                <w:lang w:val="lt-LT" w:eastAsia="en-US"/>
              </w:rPr>
              <w:t>metabolizuojami CYP3A. Vartojimas</w:t>
            </w:r>
            <w:r w:rsidR="008D3ED5" w:rsidRPr="00DD4E66">
              <w:rPr>
                <w:rFonts w:eastAsia="TimesNewRoman"/>
                <w:sz w:val="22"/>
                <w:szCs w:val="22"/>
                <w:lang w:val="lt-LT" w:eastAsia="en-US"/>
              </w:rPr>
              <w:t xml:space="preserve"> kartu su sustiprintu darunaviru</w:t>
            </w:r>
            <w:r w:rsidRPr="00DD4E66">
              <w:rPr>
                <w:rFonts w:eastAsia="TimesNewRoman"/>
                <w:sz w:val="22"/>
                <w:szCs w:val="22"/>
                <w:lang w:val="lt-LT" w:eastAsia="en-US"/>
              </w:rPr>
              <w:t xml:space="preserve"> gali žymiai</w:t>
            </w:r>
            <w:r w:rsidR="008D3ED5" w:rsidRPr="00DD4E66">
              <w:rPr>
                <w:rFonts w:eastAsia="TimesNewRoman"/>
                <w:sz w:val="22"/>
                <w:szCs w:val="22"/>
                <w:lang w:val="lt-LT" w:eastAsia="en-US"/>
              </w:rPr>
              <w:t xml:space="preserve"> </w:t>
            </w:r>
            <w:r w:rsidRPr="00DD4E66">
              <w:rPr>
                <w:rFonts w:eastAsia="TimesNewRoman"/>
                <w:sz w:val="22"/>
                <w:szCs w:val="22"/>
                <w:lang w:val="lt-LT" w:eastAsia="en-US"/>
              </w:rPr>
              <w:t>padidinti šių vaistinių preparatų</w:t>
            </w:r>
            <w:r w:rsidR="008D3ED5" w:rsidRPr="00DD4E66">
              <w:rPr>
                <w:rFonts w:eastAsia="TimesNewRoman"/>
                <w:sz w:val="22"/>
                <w:szCs w:val="22"/>
                <w:lang w:val="lt-LT" w:eastAsia="en-US"/>
              </w:rPr>
              <w:t xml:space="preserve"> </w:t>
            </w:r>
            <w:r w:rsidRPr="00DD4E66">
              <w:rPr>
                <w:rFonts w:eastAsia="TimesNewRoman"/>
                <w:sz w:val="22"/>
                <w:szCs w:val="22"/>
                <w:lang w:val="lt-LT" w:eastAsia="en-US"/>
              </w:rPr>
              <w:t>koncentracijas.</w:t>
            </w:r>
            <w:r w:rsidR="008D3ED5" w:rsidRPr="00DD4E66">
              <w:rPr>
                <w:rFonts w:eastAsia="TimesNewRoman"/>
                <w:sz w:val="22"/>
                <w:szCs w:val="22"/>
                <w:lang w:val="lt-LT" w:eastAsia="en-US"/>
              </w:rPr>
              <w:t xml:space="preserve"> </w:t>
            </w:r>
          </w:p>
          <w:p w14:paraId="544EF232" w14:textId="77777777" w:rsidR="006A30D2" w:rsidRPr="00DD4E66" w:rsidRDefault="006A30D2" w:rsidP="00D37DA7">
            <w:pPr>
              <w:autoSpaceDE w:val="0"/>
              <w:autoSpaceDN w:val="0"/>
              <w:adjustRightInd w:val="0"/>
              <w:rPr>
                <w:rFonts w:eastAsia="TimesNewRoman"/>
                <w:sz w:val="22"/>
                <w:szCs w:val="22"/>
                <w:lang w:val="lt-LT" w:eastAsia="en-US"/>
              </w:rPr>
            </w:pPr>
          </w:p>
          <w:p w14:paraId="73AE43E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Jei parenteriniu būdu vartojamas</w:t>
            </w:r>
            <w:r w:rsidR="008D3ED5" w:rsidRPr="00DD4E66">
              <w:rPr>
                <w:rFonts w:eastAsia="TimesNewRoman"/>
                <w:sz w:val="22"/>
                <w:szCs w:val="22"/>
                <w:lang w:val="lt-LT" w:eastAsia="en-US"/>
              </w:rPr>
              <w:t xml:space="preserve"> </w:t>
            </w:r>
            <w:r w:rsidRPr="00DD4E66">
              <w:rPr>
                <w:rFonts w:eastAsia="TimesNewRoman"/>
                <w:sz w:val="22"/>
                <w:szCs w:val="22"/>
                <w:lang w:val="lt-LT" w:eastAsia="en-US"/>
              </w:rPr>
              <w:t>midazolamas skiriamas kartu su sustiprintu</w:t>
            </w:r>
            <w:r w:rsidR="008D3ED5" w:rsidRPr="00DD4E66">
              <w:rPr>
                <w:rFonts w:eastAsia="TimesNewRoman"/>
                <w:sz w:val="22"/>
                <w:szCs w:val="22"/>
                <w:lang w:val="lt-LT" w:eastAsia="en-US"/>
              </w:rPr>
              <w:t xml:space="preserve"> darunaviru</w:t>
            </w:r>
            <w:r w:rsidRPr="00DD4E66">
              <w:rPr>
                <w:rFonts w:eastAsia="TimesNewRoman"/>
                <w:sz w:val="22"/>
                <w:szCs w:val="22"/>
                <w:lang w:val="lt-LT" w:eastAsia="en-US"/>
              </w:rPr>
              <w:t>, tai gali žymiai padidinti šio</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benzodiazepino koncentraciją </w:t>
            </w:r>
            <w:r w:rsidR="008D3ED5" w:rsidRPr="00DD4E66">
              <w:rPr>
                <w:rFonts w:eastAsia="TimesNewRoman"/>
                <w:sz w:val="22"/>
                <w:szCs w:val="22"/>
                <w:lang w:val="lt-LT" w:eastAsia="en-US"/>
              </w:rPr>
              <w:t xml:space="preserve">kraujo </w:t>
            </w:r>
            <w:r w:rsidRPr="00DD4E66">
              <w:rPr>
                <w:rFonts w:eastAsia="TimesNewRoman"/>
                <w:sz w:val="22"/>
                <w:szCs w:val="22"/>
                <w:lang w:val="lt-LT" w:eastAsia="en-US"/>
              </w:rPr>
              <w:t>plazmoje.</w:t>
            </w:r>
          </w:p>
          <w:p w14:paraId="7F6ECECC"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Duomenys, kartu vartojant parenteriniu</w:t>
            </w:r>
            <w:r w:rsidR="008D3ED5" w:rsidRPr="00DD4E66">
              <w:rPr>
                <w:rFonts w:eastAsia="TimesNewRoman"/>
                <w:sz w:val="22"/>
                <w:szCs w:val="22"/>
                <w:lang w:val="lt-LT" w:eastAsia="en-US"/>
              </w:rPr>
              <w:t xml:space="preserve"> </w:t>
            </w:r>
            <w:r w:rsidRPr="00DD4E66">
              <w:rPr>
                <w:rFonts w:eastAsia="TimesNewRoman"/>
                <w:sz w:val="22"/>
                <w:szCs w:val="22"/>
                <w:lang w:val="lt-LT" w:eastAsia="en-US"/>
              </w:rPr>
              <w:t>būdu vartojamą midazolamą kartu su kitais</w:t>
            </w:r>
            <w:r w:rsidR="008D3ED5" w:rsidRPr="00DD4E66">
              <w:rPr>
                <w:rFonts w:eastAsia="TimesNewRoman"/>
                <w:sz w:val="22"/>
                <w:szCs w:val="22"/>
                <w:lang w:val="lt-LT" w:eastAsia="en-US"/>
              </w:rPr>
              <w:t xml:space="preserve"> </w:t>
            </w:r>
            <w:r w:rsidRPr="00DD4E66">
              <w:rPr>
                <w:rFonts w:eastAsia="TimesNewRoman"/>
                <w:sz w:val="22"/>
                <w:szCs w:val="22"/>
                <w:lang w:val="lt-LT" w:eastAsia="en-US"/>
              </w:rPr>
              <w:t>proteazių inhibitoriais, rodo galimą 3-4</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kartų midazolamo koncentracijos </w:t>
            </w:r>
            <w:r w:rsidR="008D3ED5" w:rsidRPr="00DD4E66">
              <w:rPr>
                <w:rFonts w:eastAsia="TimesNewRoman"/>
                <w:sz w:val="22"/>
                <w:szCs w:val="22"/>
                <w:lang w:val="lt-LT" w:eastAsia="en-US"/>
              </w:rPr>
              <w:t xml:space="preserve">kraujo </w:t>
            </w:r>
            <w:r w:rsidRPr="00DD4E66">
              <w:rPr>
                <w:rFonts w:eastAsia="TimesNewRoman"/>
                <w:sz w:val="22"/>
                <w:szCs w:val="22"/>
                <w:lang w:val="lt-LT" w:eastAsia="en-US"/>
              </w:rPr>
              <w:t>plazmoje</w:t>
            </w:r>
            <w:r w:rsidR="008D3ED5" w:rsidRPr="00DD4E66">
              <w:rPr>
                <w:rFonts w:eastAsia="TimesNewRoman"/>
                <w:sz w:val="22"/>
                <w:szCs w:val="22"/>
                <w:lang w:val="lt-LT" w:eastAsia="en-US"/>
              </w:rPr>
              <w:t xml:space="preserve"> </w:t>
            </w:r>
            <w:r w:rsidRPr="00DD4E66">
              <w:rPr>
                <w:rFonts w:eastAsia="TimesNewRoman"/>
                <w:sz w:val="22"/>
                <w:szCs w:val="22"/>
                <w:lang w:val="lt-LT" w:eastAsia="en-US"/>
              </w:rPr>
              <w:t>padidėjimą.</w:t>
            </w:r>
          </w:p>
        </w:tc>
        <w:tc>
          <w:tcPr>
            <w:tcW w:w="3023" w:type="dxa"/>
            <w:shd w:val="clear" w:color="auto" w:fill="auto"/>
          </w:tcPr>
          <w:p w14:paraId="59007400"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Rekomenduojamas klinikinis</w:t>
            </w:r>
            <w:r w:rsidR="008D3ED5" w:rsidRPr="00DD4E66">
              <w:rPr>
                <w:rFonts w:eastAsia="TimesNewRoman"/>
                <w:sz w:val="22"/>
                <w:szCs w:val="22"/>
                <w:lang w:val="lt-LT" w:eastAsia="en-US"/>
              </w:rPr>
              <w:t xml:space="preserve"> </w:t>
            </w:r>
            <w:r w:rsidRPr="00DD4E66">
              <w:rPr>
                <w:rFonts w:eastAsia="TimesNewRoman"/>
                <w:sz w:val="22"/>
                <w:szCs w:val="22"/>
                <w:lang w:val="lt-LT" w:eastAsia="en-US"/>
              </w:rPr>
              <w:t>stebėjimas, kai sustiprintas</w:t>
            </w:r>
            <w:r w:rsidR="008D3ED5" w:rsidRPr="00DD4E66">
              <w:rPr>
                <w:rFonts w:eastAsia="TimesNewRoman"/>
                <w:sz w:val="22"/>
                <w:szCs w:val="22"/>
                <w:lang w:val="lt-LT" w:eastAsia="en-US"/>
              </w:rPr>
              <w:t xml:space="preserve"> darunaviras</w:t>
            </w:r>
            <w:r w:rsidRPr="00DD4E66">
              <w:rPr>
                <w:rFonts w:eastAsia="TimesNewRoman"/>
                <w:sz w:val="22"/>
                <w:szCs w:val="22"/>
                <w:lang w:val="lt-LT" w:eastAsia="en-US"/>
              </w:rPr>
              <w:t xml:space="preserve"> skiriamas kartu su šiais</w:t>
            </w:r>
            <w:r w:rsidR="008D3ED5" w:rsidRPr="00DD4E66">
              <w:rPr>
                <w:rFonts w:eastAsia="TimesNewRoman"/>
                <w:sz w:val="22"/>
                <w:szCs w:val="22"/>
                <w:lang w:val="lt-LT" w:eastAsia="en-US"/>
              </w:rPr>
              <w:t xml:space="preserve"> </w:t>
            </w:r>
            <w:r w:rsidRPr="00DD4E66">
              <w:rPr>
                <w:rFonts w:eastAsia="TimesNewRoman"/>
                <w:sz w:val="22"/>
                <w:szCs w:val="22"/>
                <w:lang w:val="lt-LT" w:eastAsia="en-US"/>
              </w:rPr>
              <w:t>raminamaisiais /migdomaisiais</w:t>
            </w:r>
            <w:r w:rsidR="008D3ED5" w:rsidRPr="00DD4E66">
              <w:rPr>
                <w:rFonts w:eastAsia="TimesNewRoman"/>
                <w:sz w:val="22"/>
                <w:szCs w:val="22"/>
                <w:lang w:val="lt-LT" w:eastAsia="en-US"/>
              </w:rPr>
              <w:t xml:space="preserve"> </w:t>
            </w:r>
            <w:r w:rsidRPr="00DD4E66">
              <w:rPr>
                <w:rFonts w:eastAsia="TimesNewRoman"/>
                <w:sz w:val="22"/>
                <w:szCs w:val="22"/>
                <w:lang w:val="lt-LT" w:eastAsia="en-US"/>
              </w:rPr>
              <w:t>vaistiniais preparatais ir reikia</w:t>
            </w:r>
            <w:r w:rsidR="008D3ED5" w:rsidRPr="00DD4E66">
              <w:rPr>
                <w:rFonts w:eastAsia="TimesNewRoman"/>
                <w:sz w:val="22"/>
                <w:szCs w:val="22"/>
                <w:lang w:val="lt-LT" w:eastAsia="en-US"/>
              </w:rPr>
              <w:t xml:space="preserve"> </w:t>
            </w:r>
            <w:r w:rsidRPr="00DD4E66">
              <w:rPr>
                <w:rFonts w:eastAsia="TimesNewRoman"/>
                <w:sz w:val="22"/>
                <w:szCs w:val="22"/>
                <w:lang w:val="lt-LT" w:eastAsia="en-US"/>
              </w:rPr>
              <w:t>apsvarstyti mažiausią</w:t>
            </w:r>
            <w:r w:rsidR="008D3ED5" w:rsidRPr="00DD4E66">
              <w:rPr>
                <w:rFonts w:eastAsia="TimesNewRoman"/>
                <w:sz w:val="22"/>
                <w:szCs w:val="22"/>
                <w:lang w:val="lt-LT" w:eastAsia="en-US"/>
              </w:rPr>
              <w:t xml:space="preserve"> </w:t>
            </w:r>
            <w:r w:rsidRPr="00DD4E66">
              <w:rPr>
                <w:rFonts w:eastAsia="TimesNewRoman"/>
                <w:sz w:val="22"/>
                <w:szCs w:val="22"/>
                <w:lang w:val="lt-LT" w:eastAsia="en-US"/>
              </w:rPr>
              <w:t>raminamųjų/migdomųjų vaistinių</w:t>
            </w:r>
            <w:r w:rsidR="008D3ED5" w:rsidRPr="00DD4E66">
              <w:rPr>
                <w:rFonts w:eastAsia="TimesNewRoman"/>
                <w:sz w:val="22"/>
                <w:szCs w:val="22"/>
                <w:lang w:val="lt-LT" w:eastAsia="en-US"/>
              </w:rPr>
              <w:t xml:space="preserve"> </w:t>
            </w:r>
            <w:r w:rsidRPr="00DD4E66">
              <w:rPr>
                <w:rFonts w:eastAsia="TimesNewRoman"/>
                <w:sz w:val="22"/>
                <w:szCs w:val="22"/>
                <w:lang w:val="lt-LT" w:eastAsia="en-US"/>
              </w:rPr>
              <w:t>preparatų dozę.</w:t>
            </w:r>
            <w:r w:rsidR="008D3ED5" w:rsidRPr="00DD4E66">
              <w:rPr>
                <w:rFonts w:eastAsia="TimesNewRoman"/>
                <w:sz w:val="22"/>
                <w:szCs w:val="22"/>
                <w:lang w:val="lt-LT" w:eastAsia="en-US"/>
              </w:rPr>
              <w:t xml:space="preserve"> </w:t>
            </w:r>
            <w:r w:rsidRPr="00DD4E66">
              <w:rPr>
                <w:rFonts w:eastAsia="TimesNewRoman"/>
                <w:sz w:val="22"/>
                <w:szCs w:val="22"/>
                <w:lang w:val="lt-LT" w:eastAsia="en-US"/>
              </w:rPr>
              <w:t>Jei parenteriniu būdu vartojamas</w:t>
            </w:r>
            <w:r w:rsidR="008D3ED5" w:rsidRPr="00DD4E66">
              <w:rPr>
                <w:rFonts w:eastAsia="TimesNewRoman"/>
                <w:sz w:val="22"/>
                <w:szCs w:val="22"/>
                <w:lang w:val="lt-LT" w:eastAsia="en-US"/>
              </w:rPr>
              <w:t xml:space="preserve"> </w:t>
            </w:r>
            <w:r w:rsidRPr="00DD4E66">
              <w:rPr>
                <w:rFonts w:eastAsia="TimesNewRoman"/>
                <w:sz w:val="22"/>
                <w:szCs w:val="22"/>
                <w:lang w:val="lt-LT" w:eastAsia="en-US"/>
              </w:rPr>
              <w:t>midazolamas skiriamas kartu su</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sustiprintu </w:t>
            </w:r>
            <w:r w:rsidR="008D3ED5" w:rsidRPr="00DD4E66">
              <w:rPr>
                <w:rFonts w:eastAsia="TimesNewRoman"/>
                <w:sz w:val="22"/>
                <w:szCs w:val="22"/>
                <w:lang w:val="lt-LT" w:eastAsia="en-US"/>
              </w:rPr>
              <w:t>darunaviru</w:t>
            </w:r>
            <w:r w:rsidRPr="00DD4E66">
              <w:rPr>
                <w:rFonts w:eastAsia="TimesNewRoman"/>
                <w:sz w:val="22"/>
                <w:szCs w:val="22"/>
                <w:lang w:val="lt-LT" w:eastAsia="en-US"/>
              </w:rPr>
              <w:t>, tai reikia</w:t>
            </w:r>
            <w:r w:rsidR="008D3ED5" w:rsidRPr="00DD4E66">
              <w:rPr>
                <w:rFonts w:eastAsia="TimesNewRoman"/>
                <w:sz w:val="22"/>
                <w:szCs w:val="22"/>
                <w:lang w:val="lt-LT" w:eastAsia="en-US"/>
              </w:rPr>
              <w:t xml:space="preserve"> </w:t>
            </w:r>
            <w:r w:rsidRPr="00DD4E66">
              <w:rPr>
                <w:rFonts w:eastAsia="TimesNewRoman"/>
                <w:sz w:val="22"/>
                <w:szCs w:val="22"/>
                <w:lang w:val="lt-LT" w:eastAsia="en-US"/>
              </w:rPr>
              <w:t>atlikti intensyvios terapijos ar</w:t>
            </w:r>
            <w:r w:rsidR="008D3ED5" w:rsidRPr="00DD4E66">
              <w:rPr>
                <w:rFonts w:eastAsia="TimesNewRoman"/>
                <w:sz w:val="22"/>
                <w:szCs w:val="22"/>
                <w:lang w:val="lt-LT" w:eastAsia="en-US"/>
              </w:rPr>
              <w:t xml:space="preserve"> </w:t>
            </w:r>
            <w:r w:rsidRPr="00DD4E66">
              <w:rPr>
                <w:rFonts w:eastAsia="TimesNewRoman"/>
                <w:sz w:val="22"/>
                <w:szCs w:val="22"/>
                <w:lang w:val="lt-LT" w:eastAsia="en-US"/>
              </w:rPr>
              <w:t>panašiame skyriuje, kur galimas</w:t>
            </w:r>
            <w:r w:rsidR="008D3ED5" w:rsidRPr="00DD4E66">
              <w:rPr>
                <w:rFonts w:eastAsia="TimesNewRoman"/>
                <w:sz w:val="22"/>
                <w:szCs w:val="22"/>
                <w:lang w:val="lt-LT" w:eastAsia="en-US"/>
              </w:rPr>
              <w:t xml:space="preserve"> </w:t>
            </w:r>
            <w:r w:rsidRPr="00DD4E66">
              <w:rPr>
                <w:rFonts w:eastAsia="TimesNewRoman"/>
                <w:sz w:val="22"/>
                <w:szCs w:val="22"/>
                <w:lang w:val="lt-LT" w:eastAsia="en-US"/>
              </w:rPr>
              <w:t>intensyvus klinikinis stebėjimas ir</w:t>
            </w:r>
            <w:r w:rsidR="008D3ED5" w:rsidRPr="00DD4E66">
              <w:rPr>
                <w:rFonts w:eastAsia="TimesNewRoman"/>
                <w:sz w:val="22"/>
                <w:szCs w:val="22"/>
                <w:lang w:val="lt-LT" w:eastAsia="en-US"/>
              </w:rPr>
              <w:t xml:space="preserve"> </w:t>
            </w:r>
            <w:r w:rsidRPr="00DD4E66">
              <w:rPr>
                <w:rFonts w:eastAsia="TimesNewRoman"/>
                <w:sz w:val="22"/>
                <w:szCs w:val="22"/>
                <w:lang w:val="lt-LT" w:eastAsia="en-US"/>
              </w:rPr>
              <w:t>atitinkamos gydomosios priemonės</w:t>
            </w:r>
            <w:r w:rsidR="008D3ED5" w:rsidRPr="00DD4E66">
              <w:rPr>
                <w:rFonts w:eastAsia="TimesNewRoman"/>
                <w:sz w:val="22"/>
                <w:szCs w:val="22"/>
                <w:lang w:val="lt-LT" w:eastAsia="en-US"/>
              </w:rPr>
              <w:t xml:space="preserve"> </w:t>
            </w:r>
            <w:r w:rsidRPr="00DD4E66">
              <w:rPr>
                <w:rFonts w:eastAsia="TimesNewRoman"/>
                <w:sz w:val="22"/>
                <w:szCs w:val="22"/>
                <w:lang w:val="lt-LT" w:eastAsia="en-US"/>
              </w:rPr>
              <w:t>kvėpavimo slopinimo ir (arba) ilgos</w:t>
            </w:r>
            <w:r w:rsidR="008D3ED5" w:rsidRPr="00DD4E66">
              <w:rPr>
                <w:rFonts w:eastAsia="TimesNewRoman"/>
                <w:sz w:val="22"/>
                <w:szCs w:val="22"/>
                <w:lang w:val="lt-LT" w:eastAsia="en-US"/>
              </w:rPr>
              <w:t xml:space="preserve"> </w:t>
            </w:r>
            <w:r w:rsidRPr="00DD4E66">
              <w:rPr>
                <w:rFonts w:eastAsia="TimesNewRoman"/>
                <w:sz w:val="22"/>
                <w:szCs w:val="22"/>
                <w:lang w:val="lt-LT" w:eastAsia="en-US"/>
              </w:rPr>
              <w:t xml:space="preserve">sedacijos atveju. Midazolamo </w:t>
            </w:r>
            <w:r w:rsidR="008D3ED5" w:rsidRPr="00DD4E66">
              <w:rPr>
                <w:rFonts w:eastAsia="TimesNewRoman"/>
                <w:sz w:val="22"/>
                <w:szCs w:val="22"/>
                <w:lang w:val="lt-LT" w:eastAsia="en-US"/>
              </w:rPr>
              <w:t xml:space="preserve">dozes </w:t>
            </w:r>
            <w:r w:rsidRPr="00DD4E66">
              <w:rPr>
                <w:rFonts w:eastAsia="TimesNewRoman"/>
                <w:sz w:val="22"/>
                <w:szCs w:val="22"/>
                <w:lang w:val="lt-LT" w:eastAsia="en-US"/>
              </w:rPr>
              <w:t>koregavimas turi būti apsvarstytas,</w:t>
            </w:r>
            <w:r w:rsidR="008D3ED5" w:rsidRPr="00DD4E66">
              <w:rPr>
                <w:rFonts w:eastAsia="TimesNewRoman"/>
                <w:sz w:val="22"/>
                <w:szCs w:val="22"/>
                <w:lang w:val="lt-LT" w:eastAsia="en-US"/>
              </w:rPr>
              <w:t xml:space="preserve"> </w:t>
            </w:r>
            <w:r w:rsidRPr="00DD4E66">
              <w:rPr>
                <w:rFonts w:eastAsia="TimesNewRoman"/>
                <w:sz w:val="22"/>
                <w:szCs w:val="22"/>
                <w:lang w:val="lt-LT" w:eastAsia="en-US"/>
              </w:rPr>
              <w:t>ypač jeigu vartojama daugiau nei</w:t>
            </w:r>
            <w:r w:rsidR="008D3ED5" w:rsidRPr="00DD4E66">
              <w:rPr>
                <w:rFonts w:eastAsia="TimesNewRoman"/>
                <w:sz w:val="22"/>
                <w:szCs w:val="22"/>
                <w:lang w:val="lt-LT" w:eastAsia="en-US"/>
              </w:rPr>
              <w:t xml:space="preserve"> </w:t>
            </w:r>
            <w:r w:rsidRPr="00DD4E66">
              <w:rPr>
                <w:rFonts w:eastAsia="TimesNewRoman"/>
                <w:sz w:val="22"/>
                <w:szCs w:val="22"/>
                <w:lang w:val="lt-LT" w:eastAsia="en-US"/>
              </w:rPr>
              <w:t>viena midazolamo dozė.</w:t>
            </w:r>
          </w:p>
          <w:p w14:paraId="016F02A3" w14:textId="77777777" w:rsidR="006A30D2" w:rsidRPr="00DD4E66" w:rsidRDefault="006A30D2" w:rsidP="00D37DA7">
            <w:pPr>
              <w:autoSpaceDE w:val="0"/>
              <w:autoSpaceDN w:val="0"/>
              <w:adjustRightInd w:val="0"/>
              <w:rPr>
                <w:rFonts w:eastAsia="TimesNewRoman"/>
                <w:sz w:val="22"/>
                <w:szCs w:val="22"/>
                <w:lang w:val="lt-LT" w:eastAsia="en-US"/>
              </w:rPr>
            </w:pPr>
          </w:p>
          <w:p w14:paraId="1AC4EA81" w14:textId="77777777" w:rsidR="00645841" w:rsidRPr="00DD4E66" w:rsidRDefault="00645841" w:rsidP="00D37DA7">
            <w:pPr>
              <w:autoSpaceDE w:val="0"/>
              <w:autoSpaceDN w:val="0"/>
              <w:adjustRightInd w:val="0"/>
              <w:rPr>
                <w:rFonts w:eastAsia="TimesNewRoman"/>
                <w:sz w:val="22"/>
                <w:szCs w:val="22"/>
                <w:lang w:val="lt-LT" w:eastAsia="en-US"/>
              </w:rPr>
            </w:pPr>
            <w:r w:rsidRPr="00DD4E66">
              <w:rPr>
                <w:rFonts w:eastAsia="TimesNewRoman"/>
                <w:sz w:val="22"/>
                <w:szCs w:val="22"/>
                <w:lang w:val="lt-LT" w:eastAsia="en-US"/>
              </w:rPr>
              <w:t xml:space="preserve">Sustiprinto </w:t>
            </w:r>
            <w:r w:rsidR="008D3ED5" w:rsidRPr="00DD4E66">
              <w:rPr>
                <w:rFonts w:eastAsia="TimesNewRoman"/>
                <w:sz w:val="22"/>
                <w:szCs w:val="22"/>
                <w:lang w:val="lt-LT" w:eastAsia="en-US"/>
              </w:rPr>
              <w:t xml:space="preserve">darunaviro </w:t>
            </w:r>
            <w:r w:rsidRPr="00DD4E66">
              <w:rPr>
                <w:rFonts w:eastAsia="TimesNewRoman"/>
                <w:sz w:val="22"/>
                <w:szCs w:val="22"/>
                <w:lang w:val="lt-LT" w:eastAsia="en-US"/>
              </w:rPr>
              <w:t>vartojimas</w:t>
            </w:r>
            <w:r w:rsidR="008D3ED5" w:rsidRPr="00DD4E66">
              <w:rPr>
                <w:rFonts w:eastAsia="TimesNewRoman"/>
                <w:sz w:val="22"/>
                <w:szCs w:val="22"/>
                <w:lang w:val="lt-LT" w:eastAsia="en-US"/>
              </w:rPr>
              <w:t xml:space="preserve"> </w:t>
            </w:r>
            <w:r w:rsidRPr="00DD4E66">
              <w:rPr>
                <w:rFonts w:eastAsia="TimesNewRoman"/>
                <w:sz w:val="22"/>
                <w:szCs w:val="22"/>
                <w:lang w:val="lt-LT" w:eastAsia="en-US"/>
              </w:rPr>
              <w:t>kartu su triazolamu arba geriamuoju</w:t>
            </w:r>
            <w:r w:rsidR="008D3ED5" w:rsidRPr="00DD4E66">
              <w:rPr>
                <w:rFonts w:eastAsia="TimesNewRoman"/>
                <w:sz w:val="22"/>
                <w:szCs w:val="22"/>
                <w:lang w:val="lt-LT" w:eastAsia="en-US"/>
              </w:rPr>
              <w:t xml:space="preserve"> </w:t>
            </w:r>
            <w:r w:rsidRPr="00DD4E66">
              <w:rPr>
                <w:rFonts w:eastAsia="TimesNewRoman"/>
                <w:sz w:val="22"/>
                <w:szCs w:val="22"/>
                <w:lang w:val="lt-LT" w:eastAsia="en-US"/>
              </w:rPr>
              <w:t>midazolamu yra</w:t>
            </w:r>
            <w:r w:rsidR="008D3ED5" w:rsidRPr="00DD4E66">
              <w:rPr>
                <w:rFonts w:eastAsia="TimesNewRoman"/>
                <w:sz w:val="22"/>
                <w:szCs w:val="22"/>
                <w:lang w:val="lt-LT" w:eastAsia="en-US"/>
              </w:rPr>
              <w:t xml:space="preserve"> </w:t>
            </w:r>
            <w:r w:rsidR="00D332AD" w:rsidRPr="00DD4E66">
              <w:rPr>
                <w:rFonts w:eastAsia="TimesNewRoman"/>
                <w:sz w:val="22"/>
                <w:szCs w:val="22"/>
                <w:lang w:val="lt-LT" w:eastAsia="en-US"/>
              </w:rPr>
              <w:lastRenderedPageBreak/>
              <w:t>k</w:t>
            </w:r>
            <w:r w:rsidRPr="00DD4E66">
              <w:rPr>
                <w:rFonts w:eastAsia="TimesNewRoman"/>
                <w:sz w:val="22"/>
                <w:szCs w:val="22"/>
                <w:lang w:val="lt-LT" w:eastAsia="en-US"/>
              </w:rPr>
              <w:t>ontraindikuotinas</w:t>
            </w:r>
            <w:r w:rsidR="008D3ED5" w:rsidRPr="00DD4E66">
              <w:rPr>
                <w:rFonts w:eastAsia="TimesNewRoman"/>
                <w:sz w:val="22"/>
                <w:szCs w:val="22"/>
                <w:lang w:val="lt-LT" w:eastAsia="en-US"/>
              </w:rPr>
              <w:t xml:space="preserve"> </w:t>
            </w:r>
            <w:r w:rsidRPr="00DD4E66">
              <w:rPr>
                <w:rFonts w:eastAsia="TimesNewRoman"/>
                <w:sz w:val="22"/>
                <w:szCs w:val="22"/>
                <w:lang w:val="lt-LT" w:eastAsia="en-US"/>
              </w:rPr>
              <w:t>(žr. 4.3 skyrių)</w:t>
            </w:r>
          </w:p>
        </w:tc>
      </w:tr>
    </w:tbl>
    <w:p w14:paraId="32F14147" w14:textId="77777777" w:rsidR="00645841" w:rsidRPr="00532388" w:rsidRDefault="00645841" w:rsidP="0079657F">
      <w:pPr>
        <w:autoSpaceDE w:val="0"/>
        <w:autoSpaceDN w:val="0"/>
        <w:adjustRightInd w:val="0"/>
        <w:rPr>
          <w:rFonts w:eastAsia="TimesNewRoman"/>
          <w:sz w:val="16"/>
          <w:szCs w:val="16"/>
          <w:lang w:val="lt-LT" w:eastAsia="en-US"/>
        </w:rPr>
      </w:pPr>
      <w:r w:rsidRPr="00532388">
        <w:rPr>
          <w:rFonts w:eastAsia="TimesNewRoman,Bold"/>
          <w:b/>
          <w:bCs/>
          <w:sz w:val="16"/>
          <w:szCs w:val="16"/>
          <w:vertAlign w:val="superscript"/>
          <w:lang w:val="lt-LT" w:eastAsia="en-US"/>
        </w:rPr>
        <w:lastRenderedPageBreak/>
        <w:t>†</w:t>
      </w:r>
      <w:r w:rsidRPr="00532388">
        <w:rPr>
          <w:rFonts w:eastAsia="TimesNewRoman,Bold"/>
          <w:b/>
          <w:bCs/>
          <w:sz w:val="16"/>
          <w:szCs w:val="16"/>
          <w:lang w:val="lt-LT" w:eastAsia="en-US"/>
        </w:rPr>
        <w:t xml:space="preserve"> </w:t>
      </w:r>
      <w:r w:rsidR="008D3ED5" w:rsidRPr="00532388">
        <w:rPr>
          <w:rFonts w:eastAsia="TimesNewRoman,Bold"/>
          <w:bCs/>
          <w:sz w:val="16"/>
          <w:szCs w:val="16"/>
          <w:lang w:val="lt-LT" w:eastAsia="en-US"/>
        </w:rPr>
        <w:t>Darunaviro</w:t>
      </w:r>
      <w:r w:rsidRPr="00532388">
        <w:rPr>
          <w:rFonts w:eastAsia="TimesNewRoman"/>
          <w:sz w:val="16"/>
          <w:szCs w:val="16"/>
          <w:lang w:val="lt-LT" w:eastAsia="en-US"/>
        </w:rPr>
        <w:t>, vartojamo kartu su 100</w:t>
      </w:r>
      <w:r w:rsidR="008D3ED5" w:rsidRPr="00532388">
        <w:rPr>
          <w:rFonts w:eastAsia="TimesNewRoman"/>
          <w:sz w:val="16"/>
          <w:szCs w:val="16"/>
          <w:lang w:val="lt-LT" w:eastAsia="en-US"/>
        </w:rPr>
        <w:t> </w:t>
      </w:r>
      <w:r w:rsidRPr="00532388">
        <w:rPr>
          <w:rFonts w:eastAsia="TimesNewRoman"/>
          <w:sz w:val="16"/>
          <w:szCs w:val="16"/>
          <w:lang w:val="lt-LT" w:eastAsia="en-US"/>
        </w:rPr>
        <w:t>mg ritonaviro ir bet kuriais kitokiais PI (pvz.: (fos)amprenaviru, nelfinaviru ir</w:t>
      </w:r>
      <w:r w:rsidR="008D3ED5" w:rsidRPr="00532388">
        <w:rPr>
          <w:rFonts w:eastAsia="TimesNewRoman"/>
          <w:sz w:val="16"/>
          <w:szCs w:val="16"/>
          <w:lang w:val="lt-LT" w:eastAsia="en-US"/>
        </w:rPr>
        <w:t xml:space="preserve"> </w:t>
      </w:r>
      <w:r w:rsidRPr="00532388">
        <w:rPr>
          <w:rFonts w:eastAsia="TimesNewRoman"/>
          <w:sz w:val="16"/>
          <w:szCs w:val="16"/>
          <w:lang w:val="lt-LT" w:eastAsia="en-US"/>
        </w:rPr>
        <w:t>tipranaviru) veiksmingumo ir saugumo tyrimų su ŽIV pacientais neatlikta. Atsižvelgiant į šiuolaikines gydymo</w:t>
      </w:r>
      <w:r w:rsidR="008D3ED5" w:rsidRPr="00532388">
        <w:rPr>
          <w:rFonts w:eastAsia="TimesNewRoman"/>
          <w:sz w:val="16"/>
          <w:szCs w:val="16"/>
          <w:lang w:val="lt-LT" w:eastAsia="en-US"/>
        </w:rPr>
        <w:t xml:space="preserve"> </w:t>
      </w:r>
      <w:r w:rsidRPr="00532388">
        <w:rPr>
          <w:rFonts w:eastAsia="TimesNewRoman"/>
          <w:sz w:val="16"/>
          <w:szCs w:val="16"/>
          <w:lang w:val="lt-LT" w:eastAsia="en-US"/>
        </w:rPr>
        <w:t>rekomendacijas, gydyti dviem proteazės inhibitoriais paprastai nerekomenduojama.</w:t>
      </w:r>
    </w:p>
    <w:p w14:paraId="6C621FFD" w14:textId="77777777" w:rsidR="00645841" w:rsidRPr="00532388" w:rsidRDefault="00645841" w:rsidP="0079657F">
      <w:pPr>
        <w:autoSpaceDE w:val="0"/>
        <w:autoSpaceDN w:val="0"/>
        <w:adjustRightInd w:val="0"/>
        <w:rPr>
          <w:rFonts w:eastAsia="TimesNewRoman"/>
          <w:sz w:val="22"/>
          <w:szCs w:val="22"/>
          <w:lang w:val="lt-LT" w:eastAsia="en-US"/>
        </w:rPr>
      </w:pPr>
    </w:p>
    <w:p w14:paraId="0B721148" w14:textId="77777777" w:rsidR="00A92F05" w:rsidRPr="00532388" w:rsidRDefault="003A521E" w:rsidP="00DD4E66">
      <w:pPr>
        <w:keepNext/>
        <w:tabs>
          <w:tab w:val="left" w:pos="567"/>
        </w:tabs>
        <w:spacing w:line="260" w:lineRule="exact"/>
        <w:outlineLvl w:val="0"/>
        <w:rPr>
          <w:rFonts w:eastAsia="Times New Roman"/>
          <w:noProof/>
          <w:sz w:val="22"/>
          <w:szCs w:val="22"/>
          <w:lang w:val="lt-LT" w:eastAsia="lt-LT" w:bidi="lt-LT"/>
        </w:rPr>
      </w:pPr>
      <w:r>
        <w:rPr>
          <w:rFonts w:eastAsia="Times New Roman"/>
          <w:b/>
          <w:sz w:val="22"/>
          <w:lang w:val="lt-LT" w:eastAsia="lt-LT" w:bidi="lt-LT"/>
        </w:rPr>
        <w:t>4.6</w:t>
      </w:r>
      <w:r>
        <w:rPr>
          <w:rFonts w:eastAsia="Times New Roman"/>
          <w:b/>
          <w:sz w:val="22"/>
          <w:lang w:val="lt-LT" w:eastAsia="lt-LT" w:bidi="lt-LT"/>
        </w:rPr>
        <w:tab/>
      </w:r>
      <w:r w:rsidR="00A92F05" w:rsidRPr="00532388">
        <w:rPr>
          <w:rFonts w:eastAsia="Times New Roman"/>
          <w:b/>
          <w:sz w:val="22"/>
          <w:lang w:val="lt-LT" w:eastAsia="lt-LT" w:bidi="lt-LT"/>
        </w:rPr>
        <w:t>Vaisingumas, nėštumo ir žindymo laikotarpis</w:t>
      </w:r>
    </w:p>
    <w:p w14:paraId="320DA34A" w14:textId="77777777" w:rsidR="00D332AD" w:rsidRPr="00532388" w:rsidRDefault="00D332AD" w:rsidP="0079657F">
      <w:pPr>
        <w:keepNext/>
        <w:tabs>
          <w:tab w:val="left" w:pos="567"/>
        </w:tabs>
        <w:spacing w:line="260" w:lineRule="exact"/>
        <w:outlineLvl w:val="0"/>
        <w:rPr>
          <w:rFonts w:eastAsia="Times New Roman"/>
          <w:b/>
          <w:sz w:val="22"/>
          <w:szCs w:val="22"/>
          <w:lang w:val="lt-LT" w:eastAsia="lt-LT" w:bidi="lt-LT"/>
        </w:rPr>
      </w:pPr>
    </w:p>
    <w:p w14:paraId="503E2732" w14:textId="77777777" w:rsidR="00D332AD" w:rsidRPr="00532388" w:rsidRDefault="00D332AD"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Nėštumas</w:t>
      </w:r>
    </w:p>
    <w:p w14:paraId="7B7296C8"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Kaip įprasta, kai sprendžiama dėl antiretrovirusinių vaistų skyrimo nėščių moterų ŽIV infekcijos</w:t>
      </w:r>
      <w:r w:rsidR="0079657F" w:rsidRPr="00532388">
        <w:rPr>
          <w:rFonts w:eastAsia="TimesNewRoman"/>
          <w:sz w:val="22"/>
          <w:szCs w:val="22"/>
          <w:lang w:val="lt-LT" w:eastAsia="en-US"/>
        </w:rPr>
        <w:t xml:space="preserve"> </w:t>
      </w:r>
      <w:r w:rsidRPr="00532388">
        <w:rPr>
          <w:rFonts w:eastAsia="TimesNewRoman"/>
          <w:sz w:val="22"/>
          <w:szCs w:val="22"/>
          <w:lang w:val="lt-LT" w:eastAsia="en-US"/>
        </w:rPr>
        <w:t>gydymui, tuo pačiu mažinant vertikalaus ŽIV infekcijos perdavimo naujagimiui riziką, reikia</w:t>
      </w:r>
      <w:r w:rsidR="0079657F" w:rsidRPr="00532388">
        <w:rPr>
          <w:rFonts w:eastAsia="TimesNewRoman"/>
          <w:sz w:val="22"/>
          <w:szCs w:val="22"/>
          <w:lang w:val="lt-LT" w:eastAsia="en-US"/>
        </w:rPr>
        <w:t xml:space="preserve"> </w:t>
      </w:r>
      <w:r w:rsidRPr="00532388">
        <w:rPr>
          <w:rFonts w:eastAsia="TimesNewRoman"/>
          <w:sz w:val="22"/>
          <w:szCs w:val="22"/>
          <w:lang w:val="lt-LT" w:eastAsia="en-US"/>
        </w:rPr>
        <w:t>atsižvelgti į tyrimų su gyvūnais duomenis ir klinikinę patirtį, gydant nėščias moteris.</w:t>
      </w:r>
    </w:p>
    <w:p w14:paraId="760F6CE4" w14:textId="77777777" w:rsidR="0079657F" w:rsidRPr="00532388" w:rsidRDefault="0079657F" w:rsidP="0079657F">
      <w:pPr>
        <w:autoSpaceDE w:val="0"/>
        <w:autoSpaceDN w:val="0"/>
        <w:adjustRightInd w:val="0"/>
        <w:rPr>
          <w:rFonts w:eastAsia="TimesNewRoman"/>
          <w:sz w:val="22"/>
          <w:szCs w:val="22"/>
          <w:lang w:val="lt-LT" w:eastAsia="en-US"/>
        </w:rPr>
      </w:pPr>
    </w:p>
    <w:p w14:paraId="48D158F2"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Reikiamų ir tinkamai kontroliuojamų darunaviro įtakos nėštumo baigtims tyrimų su nėščiomis</w:t>
      </w:r>
      <w:r w:rsidR="0079657F" w:rsidRPr="00532388">
        <w:rPr>
          <w:rFonts w:eastAsia="TimesNewRoman"/>
          <w:sz w:val="22"/>
          <w:szCs w:val="22"/>
          <w:lang w:val="lt-LT" w:eastAsia="en-US"/>
        </w:rPr>
        <w:t xml:space="preserve"> </w:t>
      </w:r>
      <w:r w:rsidRPr="00532388">
        <w:rPr>
          <w:rFonts w:eastAsia="TimesNewRoman"/>
          <w:sz w:val="22"/>
          <w:szCs w:val="22"/>
          <w:lang w:val="lt-LT" w:eastAsia="en-US"/>
        </w:rPr>
        <w:t>moterimis neatlikta. Tyrimai su gyvūnais tiesioginio ar netiesioginio kenksmingo poveikio nėštumo</w:t>
      </w:r>
      <w:r w:rsidR="0079657F" w:rsidRPr="00532388">
        <w:rPr>
          <w:rFonts w:eastAsia="TimesNewRoman"/>
          <w:sz w:val="22"/>
          <w:szCs w:val="22"/>
          <w:lang w:val="lt-LT" w:eastAsia="en-US"/>
        </w:rPr>
        <w:t xml:space="preserve"> </w:t>
      </w:r>
      <w:r w:rsidRPr="00532388">
        <w:rPr>
          <w:rFonts w:eastAsia="TimesNewRoman"/>
          <w:sz w:val="22"/>
          <w:szCs w:val="22"/>
          <w:lang w:val="lt-LT" w:eastAsia="en-US"/>
        </w:rPr>
        <w:t>eigai, embriono ar vaisiaus vystymuisi, gimdymui ar postnataliniam vystymuisi neparodė (žr.</w:t>
      </w:r>
      <w:r w:rsidR="0079657F" w:rsidRPr="00532388">
        <w:rPr>
          <w:rFonts w:eastAsia="TimesNewRoman"/>
          <w:sz w:val="22"/>
          <w:szCs w:val="22"/>
          <w:lang w:val="lt-LT" w:eastAsia="en-US"/>
        </w:rPr>
        <w:t xml:space="preserve"> </w:t>
      </w:r>
      <w:r w:rsidRPr="00532388">
        <w:rPr>
          <w:rFonts w:eastAsia="TimesNewRoman"/>
          <w:sz w:val="22"/>
          <w:szCs w:val="22"/>
          <w:lang w:val="lt-LT" w:eastAsia="en-US"/>
        </w:rPr>
        <w:t>5.3 skyrių).</w:t>
      </w:r>
    </w:p>
    <w:p w14:paraId="224E07F8" w14:textId="77777777" w:rsidR="0079657F" w:rsidRPr="00532388" w:rsidRDefault="0079657F" w:rsidP="0079657F">
      <w:pPr>
        <w:autoSpaceDE w:val="0"/>
        <w:autoSpaceDN w:val="0"/>
        <w:adjustRightInd w:val="0"/>
        <w:rPr>
          <w:rFonts w:eastAsia="TimesNewRoman"/>
          <w:sz w:val="22"/>
          <w:szCs w:val="22"/>
          <w:lang w:val="lt-LT" w:eastAsia="en-US"/>
        </w:rPr>
      </w:pPr>
    </w:p>
    <w:p w14:paraId="26947695" w14:textId="77777777" w:rsidR="00D332AD" w:rsidRPr="00532388" w:rsidRDefault="0079657F"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w:t>
      </w:r>
      <w:r w:rsidR="00D332AD" w:rsidRPr="00532388">
        <w:rPr>
          <w:rFonts w:eastAsia="TimesNewRoman"/>
          <w:sz w:val="22"/>
          <w:szCs w:val="22"/>
          <w:lang w:val="lt-LT" w:eastAsia="en-US"/>
        </w:rPr>
        <w:t xml:space="preserve"> kartu su kobicistatu arba maža ritonaviro doze nėštumo metu vartoti galima tik tuo atveju,</w:t>
      </w:r>
      <w:r w:rsidRPr="00532388">
        <w:rPr>
          <w:rFonts w:eastAsia="TimesNewRoman"/>
          <w:sz w:val="22"/>
          <w:szCs w:val="22"/>
          <w:lang w:val="lt-LT" w:eastAsia="en-US"/>
        </w:rPr>
        <w:t xml:space="preserve"> </w:t>
      </w:r>
      <w:r w:rsidR="00D332AD" w:rsidRPr="00532388">
        <w:rPr>
          <w:rFonts w:eastAsia="TimesNewRoman"/>
          <w:sz w:val="22"/>
          <w:szCs w:val="22"/>
          <w:lang w:val="lt-LT" w:eastAsia="en-US"/>
        </w:rPr>
        <w:t xml:space="preserve">jeigu laukiamas naudingas poveikis </w:t>
      </w:r>
      <w:r w:rsidRPr="00532388">
        <w:rPr>
          <w:rFonts w:eastAsia="TimesNewRoman"/>
          <w:sz w:val="22"/>
          <w:szCs w:val="22"/>
          <w:lang w:val="lt-LT" w:eastAsia="en-US"/>
        </w:rPr>
        <w:t>viršija</w:t>
      </w:r>
      <w:r w:rsidR="00D332AD" w:rsidRPr="00532388">
        <w:rPr>
          <w:rFonts w:eastAsia="TimesNewRoman"/>
          <w:sz w:val="22"/>
          <w:szCs w:val="22"/>
          <w:lang w:val="lt-LT" w:eastAsia="en-US"/>
        </w:rPr>
        <w:t xml:space="preserve"> galimą riziką.</w:t>
      </w:r>
    </w:p>
    <w:p w14:paraId="28960287" w14:textId="77777777" w:rsidR="0079657F" w:rsidRPr="00532388" w:rsidRDefault="0079657F" w:rsidP="0079657F">
      <w:pPr>
        <w:autoSpaceDE w:val="0"/>
        <w:autoSpaceDN w:val="0"/>
        <w:adjustRightInd w:val="0"/>
        <w:rPr>
          <w:rFonts w:eastAsia="TimesNewRoman"/>
          <w:sz w:val="22"/>
          <w:szCs w:val="22"/>
          <w:u w:val="single"/>
          <w:lang w:val="lt-LT" w:eastAsia="en-US"/>
        </w:rPr>
      </w:pPr>
    </w:p>
    <w:p w14:paraId="1DEBCB10" w14:textId="77777777" w:rsidR="00D332AD" w:rsidRPr="00532388" w:rsidRDefault="00D332AD"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Žindymas</w:t>
      </w:r>
    </w:p>
    <w:p w14:paraId="79D9EC5E"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Nežinoma, ar darunaviras išsiskiria į motinos pieną. Tyrimų su žiurkėmis duomenys rodo, kad</w:t>
      </w:r>
      <w:r w:rsidR="0079657F" w:rsidRPr="00532388">
        <w:rPr>
          <w:rFonts w:eastAsia="TimesNewRoman"/>
          <w:sz w:val="22"/>
          <w:szCs w:val="22"/>
          <w:lang w:val="lt-LT" w:eastAsia="en-US"/>
        </w:rPr>
        <w:t xml:space="preserve"> </w:t>
      </w:r>
      <w:r w:rsidRPr="00532388">
        <w:rPr>
          <w:rFonts w:eastAsia="TimesNewRoman"/>
          <w:sz w:val="22"/>
          <w:szCs w:val="22"/>
          <w:lang w:val="lt-LT" w:eastAsia="en-US"/>
        </w:rPr>
        <w:t>darunaviras išsiskiria į gyvūnų pieną ir,</w:t>
      </w:r>
      <w:r w:rsidR="0079657F" w:rsidRPr="00532388">
        <w:rPr>
          <w:rFonts w:eastAsia="TimesNewRoman"/>
          <w:sz w:val="22"/>
          <w:szCs w:val="22"/>
          <w:lang w:val="lt-LT" w:eastAsia="en-US"/>
        </w:rPr>
        <w:t xml:space="preserve"> vartojant dideles dozes (1 000 </w:t>
      </w:r>
      <w:r w:rsidRPr="00532388">
        <w:rPr>
          <w:rFonts w:eastAsia="TimesNewRoman"/>
          <w:sz w:val="22"/>
          <w:szCs w:val="22"/>
          <w:lang w:val="lt-LT" w:eastAsia="en-US"/>
        </w:rPr>
        <w:t>mg/kg kūno svorio per parą),</w:t>
      </w:r>
      <w:r w:rsidR="0079657F" w:rsidRPr="00532388">
        <w:rPr>
          <w:rFonts w:eastAsia="TimesNewRoman"/>
          <w:sz w:val="22"/>
          <w:szCs w:val="22"/>
          <w:lang w:val="lt-LT" w:eastAsia="en-US"/>
        </w:rPr>
        <w:t xml:space="preserve"> </w:t>
      </w:r>
      <w:r w:rsidRPr="00532388">
        <w:rPr>
          <w:rFonts w:eastAsia="TimesNewRoman"/>
          <w:sz w:val="22"/>
          <w:szCs w:val="22"/>
          <w:lang w:val="lt-LT" w:eastAsia="en-US"/>
        </w:rPr>
        <w:t>sukelia toksinį poveikį. Siekiant išvengti galimo ŽIV perdavimo ir nepageidaujamų reakcijų</w:t>
      </w:r>
      <w:r w:rsidR="0079657F" w:rsidRPr="00532388">
        <w:rPr>
          <w:rFonts w:eastAsia="TimesNewRoman"/>
          <w:sz w:val="22"/>
          <w:szCs w:val="22"/>
          <w:lang w:val="lt-LT" w:eastAsia="en-US"/>
        </w:rPr>
        <w:t xml:space="preserve"> </w:t>
      </w:r>
      <w:r w:rsidRPr="00532388">
        <w:rPr>
          <w:rFonts w:eastAsia="TimesNewRoman"/>
          <w:sz w:val="22"/>
          <w:szCs w:val="22"/>
          <w:lang w:val="lt-LT" w:eastAsia="en-US"/>
        </w:rPr>
        <w:t xml:space="preserve">žindomiems kūdikiams, </w:t>
      </w:r>
      <w:r w:rsidR="0079657F" w:rsidRPr="00532388">
        <w:rPr>
          <w:rFonts w:eastAsia="TimesNewRoman"/>
          <w:sz w:val="22"/>
          <w:szCs w:val="22"/>
          <w:lang w:val="lt-LT" w:eastAsia="en-US"/>
        </w:rPr>
        <w:t>darunaviru</w:t>
      </w:r>
      <w:r w:rsidRPr="00532388">
        <w:rPr>
          <w:rFonts w:eastAsia="TimesNewRoman"/>
          <w:sz w:val="22"/>
          <w:szCs w:val="22"/>
          <w:lang w:val="lt-LT" w:eastAsia="en-US"/>
        </w:rPr>
        <w:t xml:space="preserve"> gydomoms moterims reikia nurodyti, kad jokiu būdu nežindytų</w:t>
      </w:r>
      <w:r w:rsidR="0079657F" w:rsidRPr="00532388">
        <w:rPr>
          <w:rFonts w:eastAsia="TimesNewRoman"/>
          <w:sz w:val="22"/>
          <w:szCs w:val="22"/>
          <w:lang w:val="lt-LT" w:eastAsia="en-US"/>
        </w:rPr>
        <w:t xml:space="preserve"> </w:t>
      </w:r>
      <w:r w:rsidRPr="00532388">
        <w:rPr>
          <w:rFonts w:eastAsia="TimesNewRoman"/>
          <w:sz w:val="22"/>
          <w:szCs w:val="22"/>
          <w:lang w:val="lt-LT" w:eastAsia="en-US"/>
        </w:rPr>
        <w:t>kūdikių.</w:t>
      </w:r>
    </w:p>
    <w:p w14:paraId="384DBDE5" w14:textId="77777777" w:rsidR="0079657F" w:rsidRPr="00532388" w:rsidRDefault="0079657F" w:rsidP="0079657F">
      <w:pPr>
        <w:autoSpaceDE w:val="0"/>
        <w:autoSpaceDN w:val="0"/>
        <w:adjustRightInd w:val="0"/>
        <w:rPr>
          <w:rFonts w:eastAsia="TimesNewRoman"/>
          <w:sz w:val="22"/>
          <w:szCs w:val="22"/>
          <w:u w:val="single"/>
          <w:lang w:val="lt-LT" w:eastAsia="en-US"/>
        </w:rPr>
      </w:pPr>
    </w:p>
    <w:p w14:paraId="197ADBD3" w14:textId="77777777" w:rsidR="00D332AD" w:rsidRPr="00532388" w:rsidRDefault="00D332AD"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Vaisingumas</w:t>
      </w:r>
    </w:p>
    <w:p w14:paraId="194FFB22"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Duomenų apie darunaviro poveikį žmonių vaisingumui nėra. Darunaviras neveikia žiurkių poravimosi</w:t>
      </w:r>
      <w:r w:rsidR="0079657F" w:rsidRPr="00532388">
        <w:rPr>
          <w:rFonts w:eastAsia="TimesNewRoman"/>
          <w:sz w:val="22"/>
          <w:szCs w:val="22"/>
          <w:lang w:val="lt-LT" w:eastAsia="en-US"/>
        </w:rPr>
        <w:t xml:space="preserve"> </w:t>
      </w:r>
      <w:r w:rsidRPr="00532388">
        <w:rPr>
          <w:rFonts w:eastAsia="TimesNewRoman"/>
          <w:sz w:val="22"/>
          <w:szCs w:val="22"/>
          <w:lang w:val="lt-LT" w:eastAsia="en-US"/>
        </w:rPr>
        <w:t>ir vislumo (žr. 5.3 skyrių).</w:t>
      </w:r>
    </w:p>
    <w:p w14:paraId="2C61F3C9" w14:textId="77777777" w:rsidR="00D332AD" w:rsidRPr="00532388" w:rsidRDefault="00D332AD" w:rsidP="0079657F">
      <w:pPr>
        <w:keepNext/>
        <w:tabs>
          <w:tab w:val="left" w:pos="567"/>
        </w:tabs>
        <w:spacing w:line="260" w:lineRule="exact"/>
        <w:outlineLvl w:val="0"/>
        <w:rPr>
          <w:rFonts w:eastAsia="TimesNewRoman"/>
          <w:sz w:val="22"/>
          <w:szCs w:val="22"/>
          <w:lang w:val="lt-LT" w:eastAsia="en-US"/>
        </w:rPr>
      </w:pPr>
    </w:p>
    <w:p w14:paraId="44D234D8" w14:textId="77777777" w:rsidR="00D332AD" w:rsidRPr="00532388" w:rsidRDefault="003A521E" w:rsidP="00DD4E66">
      <w:pPr>
        <w:keepNext/>
        <w:tabs>
          <w:tab w:val="left" w:pos="567"/>
        </w:tabs>
        <w:spacing w:line="260" w:lineRule="exact"/>
        <w:outlineLvl w:val="0"/>
        <w:rPr>
          <w:rFonts w:eastAsia="Times New Roman"/>
          <w:noProof/>
          <w:sz w:val="22"/>
          <w:szCs w:val="22"/>
          <w:lang w:val="lt-LT" w:eastAsia="lt-LT" w:bidi="lt-LT"/>
        </w:rPr>
      </w:pPr>
      <w:r>
        <w:rPr>
          <w:rFonts w:eastAsia="Times New Roman"/>
          <w:b/>
          <w:noProof/>
          <w:sz w:val="22"/>
          <w:szCs w:val="22"/>
          <w:lang w:val="lt-LT" w:eastAsia="lt-LT" w:bidi="lt-LT"/>
        </w:rPr>
        <w:t>4.7</w:t>
      </w:r>
      <w:r>
        <w:rPr>
          <w:rFonts w:eastAsia="Times New Roman"/>
          <w:b/>
          <w:noProof/>
          <w:sz w:val="22"/>
          <w:szCs w:val="22"/>
          <w:lang w:val="lt-LT" w:eastAsia="lt-LT" w:bidi="lt-LT"/>
        </w:rPr>
        <w:tab/>
      </w:r>
      <w:r w:rsidR="00D332AD" w:rsidRPr="00532388">
        <w:rPr>
          <w:rFonts w:eastAsia="Times New Roman"/>
          <w:b/>
          <w:noProof/>
          <w:sz w:val="22"/>
          <w:szCs w:val="22"/>
          <w:lang w:val="lt-LT" w:eastAsia="lt-LT" w:bidi="lt-LT"/>
        </w:rPr>
        <w:t>Poveikis gebėjimui vairuoti ir valdyti mechanizmus</w:t>
      </w:r>
    </w:p>
    <w:p w14:paraId="4F421F9B" w14:textId="77777777" w:rsidR="00D332AD" w:rsidRPr="00532388" w:rsidRDefault="00D332AD" w:rsidP="0079657F">
      <w:pPr>
        <w:autoSpaceDE w:val="0"/>
        <w:autoSpaceDN w:val="0"/>
        <w:adjustRightInd w:val="0"/>
        <w:rPr>
          <w:rFonts w:eastAsia="TimesNewRoman"/>
          <w:sz w:val="22"/>
          <w:szCs w:val="22"/>
          <w:lang w:val="lt-LT" w:eastAsia="en-US"/>
        </w:rPr>
      </w:pPr>
    </w:p>
    <w:p w14:paraId="36C34EAE" w14:textId="77777777" w:rsidR="00D332AD" w:rsidRPr="00532388" w:rsidRDefault="0079657F"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w:t>
      </w:r>
      <w:r w:rsidR="00D332AD" w:rsidRPr="00532388">
        <w:rPr>
          <w:rFonts w:eastAsia="TimesNewRoman"/>
          <w:sz w:val="22"/>
          <w:szCs w:val="22"/>
          <w:lang w:val="lt-LT" w:eastAsia="en-US"/>
        </w:rPr>
        <w:t xml:space="preserve"> derinys su kobicistatu arba ritonaviru gebėjimo vairuoti ir valdyti mechanizmus neveikia</w:t>
      </w:r>
      <w:r w:rsidRPr="00532388">
        <w:rPr>
          <w:rFonts w:eastAsia="TimesNewRoman"/>
          <w:sz w:val="22"/>
          <w:szCs w:val="22"/>
          <w:lang w:val="lt-LT" w:eastAsia="en-US"/>
        </w:rPr>
        <w:t xml:space="preserve"> </w:t>
      </w:r>
      <w:r w:rsidR="00D332AD" w:rsidRPr="00532388">
        <w:rPr>
          <w:rFonts w:eastAsia="TimesNewRoman"/>
          <w:sz w:val="22"/>
          <w:szCs w:val="22"/>
          <w:lang w:val="lt-LT" w:eastAsia="en-US"/>
        </w:rPr>
        <w:t>arba veikia nereikšmingai. Vis dėlto pastebėta, kad kai kuriems pacientams, gydomiems pagal gydymo</w:t>
      </w:r>
      <w:r w:rsidRPr="00532388">
        <w:rPr>
          <w:rFonts w:eastAsia="TimesNewRoman"/>
          <w:sz w:val="22"/>
          <w:szCs w:val="22"/>
          <w:lang w:val="lt-LT" w:eastAsia="en-US"/>
        </w:rPr>
        <w:t xml:space="preserve"> </w:t>
      </w:r>
      <w:r w:rsidR="00D332AD" w:rsidRPr="00532388">
        <w:rPr>
          <w:rFonts w:eastAsia="TimesNewRoman"/>
          <w:sz w:val="22"/>
          <w:szCs w:val="22"/>
          <w:lang w:val="lt-LT" w:eastAsia="en-US"/>
        </w:rPr>
        <w:t xml:space="preserve">planus, į kurių sudėtį įėjo </w:t>
      </w:r>
      <w:r w:rsidRPr="00532388">
        <w:rPr>
          <w:rFonts w:eastAsia="TimesNewRoman"/>
          <w:sz w:val="22"/>
          <w:szCs w:val="22"/>
          <w:lang w:val="lt-LT" w:eastAsia="en-US"/>
        </w:rPr>
        <w:t>darunaviras</w:t>
      </w:r>
      <w:r w:rsidR="00D332AD" w:rsidRPr="00532388">
        <w:rPr>
          <w:rFonts w:eastAsia="TimesNewRoman"/>
          <w:sz w:val="22"/>
          <w:szCs w:val="22"/>
          <w:lang w:val="lt-LT" w:eastAsia="en-US"/>
        </w:rPr>
        <w:t xml:space="preserve"> kartu su kobicistatu arba maža ritonaviro doze, pasireiškė</w:t>
      </w:r>
      <w:r w:rsidRPr="00532388">
        <w:rPr>
          <w:rFonts w:eastAsia="TimesNewRoman"/>
          <w:sz w:val="22"/>
          <w:szCs w:val="22"/>
          <w:lang w:val="lt-LT" w:eastAsia="en-US"/>
        </w:rPr>
        <w:t xml:space="preserve"> </w:t>
      </w:r>
      <w:r w:rsidR="00D332AD" w:rsidRPr="00532388">
        <w:rPr>
          <w:rFonts w:eastAsia="TimesNewRoman"/>
          <w:sz w:val="22"/>
          <w:szCs w:val="22"/>
          <w:lang w:val="lt-LT" w:eastAsia="en-US"/>
        </w:rPr>
        <w:t>svaigulys, todėl į tai reikia atsižvelgti sprendžiant, ar pacientas gali vairuoti ir valdyti mechanizmus</w:t>
      </w:r>
      <w:r w:rsidRPr="00532388">
        <w:rPr>
          <w:rFonts w:eastAsia="TimesNewRoman"/>
          <w:sz w:val="22"/>
          <w:szCs w:val="22"/>
          <w:lang w:val="lt-LT" w:eastAsia="en-US"/>
        </w:rPr>
        <w:t xml:space="preserve"> </w:t>
      </w:r>
      <w:r w:rsidR="00D332AD" w:rsidRPr="00532388">
        <w:rPr>
          <w:rFonts w:eastAsia="TimesNewRoman"/>
          <w:sz w:val="22"/>
          <w:szCs w:val="22"/>
          <w:lang w:val="lt-LT" w:eastAsia="en-US"/>
        </w:rPr>
        <w:t>(žr. 4.8 skyrių).</w:t>
      </w:r>
    </w:p>
    <w:p w14:paraId="7DAE4D16" w14:textId="77777777" w:rsidR="00D332AD" w:rsidRPr="00532388" w:rsidRDefault="00D332AD" w:rsidP="0079657F">
      <w:pPr>
        <w:keepNext/>
        <w:tabs>
          <w:tab w:val="left" w:pos="567"/>
        </w:tabs>
        <w:spacing w:line="260" w:lineRule="exact"/>
        <w:outlineLvl w:val="0"/>
        <w:rPr>
          <w:rFonts w:eastAsia="TimesNewRoman"/>
          <w:sz w:val="22"/>
          <w:szCs w:val="22"/>
          <w:lang w:val="lt-LT" w:eastAsia="en-US"/>
        </w:rPr>
      </w:pPr>
    </w:p>
    <w:p w14:paraId="22D04A11" w14:textId="77777777" w:rsidR="00D332AD" w:rsidRPr="00532388" w:rsidRDefault="003A521E" w:rsidP="00DD4E66">
      <w:pPr>
        <w:keepNext/>
        <w:tabs>
          <w:tab w:val="left" w:pos="567"/>
        </w:tabs>
        <w:spacing w:line="260" w:lineRule="exact"/>
        <w:outlineLvl w:val="0"/>
        <w:rPr>
          <w:rFonts w:eastAsia="Times New Roman"/>
          <w:b/>
          <w:noProof/>
          <w:sz w:val="22"/>
          <w:szCs w:val="22"/>
          <w:lang w:val="lt-LT" w:eastAsia="lt-LT" w:bidi="lt-LT"/>
        </w:rPr>
      </w:pPr>
      <w:r>
        <w:rPr>
          <w:rFonts w:eastAsia="Times New Roman"/>
          <w:b/>
          <w:noProof/>
          <w:sz w:val="22"/>
          <w:szCs w:val="22"/>
          <w:lang w:val="lt-LT" w:eastAsia="lt-LT" w:bidi="lt-LT"/>
        </w:rPr>
        <w:t>4.8</w:t>
      </w:r>
      <w:r>
        <w:rPr>
          <w:rFonts w:eastAsia="Times New Roman"/>
          <w:b/>
          <w:noProof/>
          <w:sz w:val="22"/>
          <w:szCs w:val="22"/>
          <w:lang w:val="lt-LT" w:eastAsia="lt-LT" w:bidi="lt-LT"/>
        </w:rPr>
        <w:tab/>
      </w:r>
      <w:r w:rsidR="00D332AD" w:rsidRPr="00532388">
        <w:rPr>
          <w:rFonts w:eastAsia="Times New Roman"/>
          <w:b/>
          <w:noProof/>
          <w:sz w:val="22"/>
          <w:szCs w:val="22"/>
          <w:lang w:val="lt-LT" w:eastAsia="lt-LT" w:bidi="lt-LT"/>
        </w:rPr>
        <w:t>Nepageidaujamas poveikis</w:t>
      </w:r>
    </w:p>
    <w:p w14:paraId="2BB6386E" w14:textId="77777777" w:rsidR="00D332AD" w:rsidRPr="00532388" w:rsidRDefault="00D332AD" w:rsidP="0079657F">
      <w:pPr>
        <w:autoSpaceDE w:val="0"/>
        <w:autoSpaceDN w:val="0"/>
        <w:adjustRightInd w:val="0"/>
        <w:rPr>
          <w:rFonts w:eastAsia="TimesNewRoman"/>
          <w:sz w:val="22"/>
          <w:szCs w:val="22"/>
          <w:lang w:val="lt-LT" w:eastAsia="en-US"/>
        </w:rPr>
      </w:pPr>
    </w:p>
    <w:p w14:paraId="089FAE07" w14:textId="77777777" w:rsidR="00D332AD" w:rsidRPr="00532388" w:rsidRDefault="00D332AD"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Saugumo duomenų santrauka</w:t>
      </w:r>
    </w:p>
    <w:p w14:paraId="70E402C1"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Klinikinio vystymo programos (n=2 613 anksčiau gydyti tiriamieji, kuriems buvo pradėtas gydymas</w:t>
      </w:r>
      <w:r w:rsidR="0079657F" w:rsidRPr="00532388">
        <w:rPr>
          <w:rFonts w:eastAsia="TimesNewRoman"/>
          <w:sz w:val="22"/>
          <w:szCs w:val="22"/>
          <w:lang w:val="lt-LT" w:eastAsia="en-US"/>
        </w:rPr>
        <w:t xml:space="preserve"> </w:t>
      </w:r>
      <w:r w:rsidRPr="00532388">
        <w:rPr>
          <w:rFonts w:eastAsia="TimesNewRoman"/>
          <w:sz w:val="22"/>
          <w:szCs w:val="22"/>
          <w:lang w:val="lt-LT" w:eastAsia="en-US"/>
        </w:rPr>
        <w:t>600/100</w:t>
      </w:r>
      <w:r w:rsidR="0079657F" w:rsidRPr="00532388">
        <w:rPr>
          <w:rFonts w:eastAsia="TimesNewRoman"/>
          <w:sz w:val="22"/>
          <w:szCs w:val="22"/>
          <w:lang w:val="lt-LT" w:eastAsia="en-US"/>
        </w:rPr>
        <w:t> </w:t>
      </w:r>
      <w:r w:rsidRPr="00532388">
        <w:rPr>
          <w:rFonts w:eastAsia="TimesNewRoman"/>
          <w:sz w:val="22"/>
          <w:szCs w:val="22"/>
          <w:lang w:val="lt-LT" w:eastAsia="en-US"/>
        </w:rPr>
        <w:t xml:space="preserve">mg </w:t>
      </w:r>
      <w:r w:rsidR="0079657F" w:rsidRPr="00532388">
        <w:rPr>
          <w:rFonts w:eastAsia="TimesNewRoman"/>
          <w:sz w:val="22"/>
          <w:szCs w:val="22"/>
          <w:lang w:val="lt-LT" w:eastAsia="en-US"/>
        </w:rPr>
        <w:t>darunaviro</w:t>
      </w:r>
      <w:r w:rsidRPr="00532388">
        <w:rPr>
          <w:rFonts w:eastAsia="TimesNewRoman"/>
          <w:sz w:val="22"/>
          <w:szCs w:val="22"/>
          <w:lang w:val="lt-LT" w:eastAsia="en-US"/>
        </w:rPr>
        <w:t>/ritonaviro doze du kartus per parą) metu 51,3 % tiriamųjų pasireiškė bent</w:t>
      </w:r>
      <w:r w:rsidR="0079657F" w:rsidRPr="00532388">
        <w:rPr>
          <w:rFonts w:eastAsia="TimesNewRoman"/>
          <w:sz w:val="22"/>
          <w:szCs w:val="22"/>
          <w:lang w:val="lt-LT" w:eastAsia="en-US"/>
        </w:rPr>
        <w:t xml:space="preserve"> </w:t>
      </w:r>
      <w:r w:rsidRPr="00532388">
        <w:rPr>
          <w:rFonts w:eastAsia="TimesNewRoman"/>
          <w:sz w:val="22"/>
          <w:szCs w:val="22"/>
          <w:lang w:val="lt-LT" w:eastAsia="en-US"/>
        </w:rPr>
        <w:t>viena nepageidaujama reakcija. Bendra vidutinė tiriamųjų gydymo trukmė buvo 95,3 savaitės.</w:t>
      </w:r>
      <w:r w:rsidR="0079657F" w:rsidRPr="00532388">
        <w:rPr>
          <w:rFonts w:eastAsia="TimesNewRoman"/>
          <w:sz w:val="22"/>
          <w:szCs w:val="22"/>
          <w:lang w:val="lt-LT" w:eastAsia="en-US"/>
        </w:rPr>
        <w:t xml:space="preserve"> </w:t>
      </w:r>
      <w:r w:rsidRPr="00532388">
        <w:rPr>
          <w:rFonts w:eastAsia="TimesNewRoman"/>
          <w:sz w:val="22"/>
          <w:szCs w:val="22"/>
          <w:lang w:val="lt-LT" w:eastAsia="en-US"/>
        </w:rPr>
        <w:t>Klinikinių tyrimų metu ir spontaniniuose pranešimuose dažniausiai nurodytos nepageidaujamos</w:t>
      </w:r>
      <w:r w:rsidR="0079657F" w:rsidRPr="00532388">
        <w:rPr>
          <w:rFonts w:eastAsia="TimesNewRoman"/>
          <w:sz w:val="22"/>
          <w:szCs w:val="22"/>
          <w:lang w:val="lt-LT" w:eastAsia="en-US"/>
        </w:rPr>
        <w:t xml:space="preserve"> </w:t>
      </w:r>
      <w:r w:rsidRPr="00532388">
        <w:rPr>
          <w:rFonts w:eastAsia="TimesNewRoman"/>
          <w:sz w:val="22"/>
          <w:szCs w:val="22"/>
          <w:lang w:val="lt-LT" w:eastAsia="en-US"/>
        </w:rPr>
        <w:t>reakcijos buvo viduriavimas, pykinimas, išbėrimas, galvos skausmas ir vėmimas. Dažniausios sunkios</w:t>
      </w:r>
      <w:r w:rsidR="0079657F" w:rsidRPr="00532388">
        <w:rPr>
          <w:rFonts w:eastAsia="TimesNewRoman"/>
          <w:sz w:val="22"/>
          <w:szCs w:val="22"/>
          <w:lang w:val="lt-LT" w:eastAsia="en-US"/>
        </w:rPr>
        <w:t xml:space="preserve"> </w:t>
      </w:r>
      <w:r w:rsidRPr="00532388">
        <w:rPr>
          <w:rFonts w:eastAsia="TimesNewRoman"/>
          <w:sz w:val="22"/>
          <w:szCs w:val="22"/>
          <w:lang w:val="lt-LT" w:eastAsia="en-US"/>
        </w:rPr>
        <w:t>reakcijos yra ūminis inkstų funkcijos nepakankamumas, miokardo infarktas, imuniteto atsistatymo</w:t>
      </w:r>
      <w:r w:rsidR="0079657F" w:rsidRPr="00532388">
        <w:rPr>
          <w:rFonts w:eastAsia="TimesNewRoman"/>
          <w:sz w:val="22"/>
          <w:szCs w:val="22"/>
          <w:lang w:val="lt-LT" w:eastAsia="en-US"/>
        </w:rPr>
        <w:t xml:space="preserve"> </w:t>
      </w:r>
      <w:r w:rsidRPr="00532388">
        <w:rPr>
          <w:rFonts w:eastAsia="TimesNewRoman"/>
          <w:sz w:val="22"/>
          <w:szCs w:val="22"/>
          <w:lang w:val="lt-LT" w:eastAsia="en-US"/>
        </w:rPr>
        <w:t>uždegiminis sindromas, trombocitopenija, osteonekrozė, viduriavimas, hepatitas ir karščiavimas.</w:t>
      </w:r>
    </w:p>
    <w:p w14:paraId="764A9980" w14:textId="77777777" w:rsidR="0079657F" w:rsidRPr="00532388" w:rsidRDefault="0079657F" w:rsidP="0079657F">
      <w:pPr>
        <w:autoSpaceDE w:val="0"/>
        <w:autoSpaceDN w:val="0"/>
        <w:adjustRightInd w:val="0"/>
        <w:rPr>
          <w:rFonts w:eastAsia="TimesNewRoman"/>
          <w:sz w:val="22"/>
          <w:szCs w:val="22"/>
          <w:lang w:val="lt-LT" w:eastAsia="en-US"/>
        </w:rPr>
      </w:pPr>
    </w:p>
    <w:p w14:paraId="26EFB937"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Tyrimo 96-os savaitės analizėje 800/100</w:t>
      </w:r>
      <w:r w:rsidR="0079657F" w:rsidRPr="00532388">
        <w:rPr>
          <w:rFonts w:eastAsia="TimesNewRoman"/>
          <w:sz w:val="22"/>
          <w:szCs w:val="22"/>
          <w:lang w:val="lt-LT" w:eastAsia="en-US"/>
        </w:rPr>
        <w:t> </w:t>
      </w:r>
      <w:r w:rsidRPr="00532388">
        <w:rPr>
          <w:rFonts w:eastAsia="TimesNewRoman"/>
          <w:sz w:val="22"/>
          <w:szCs w:val="22"/>
          <w:lang w:val="lt-LT" w:eastAsia="en-US"/>
        </w:rPr>
        <w:t xml:space="preserve">mg </w:t>
      </w:r>
      <w:r w:rsidR="0079657F" w:rsidRPr="00532388">
        <w:rPr>
          <w:rFonts w:eastAsia="TimesNewRoman"/>
          <w:sz w:val="22"/>
          <w:szCs w:val="22"/>
          <w:lang w:val="lt-LT" w:eastAsia="en-US"/>
        </w:rPr>
        <w:t>darunaviro</w:t>
      </w:r>
      <w:r w:rsidRPr="00532388">
        <w:rPr>
          <w:rFonts w:eastAsia="TimesNewRoman"/>
          <w:sz w:val="22"/>
          <w:szCs w:val="22"/>
          <w:lang w:val="lt-LT" w:eastAsia="en-US"/>
        </w:rPr>
        <w:t>/ritonaviro dozės vieną kartą per parą</w:t>
      </w:r>
      <w:r w:rsidR="0079657F" w:rsidRPr="00532388">
        <w:rPr>
          <w:rFonts w:eastAsia="TimesNewRoman"/>
          <w:sz w:val="22"/>
          <w:szCs w:val="22"/>
          <w:lang w:val="lt-LT" w:eastAsia="en-US"/>
        </w:rPr>
        <w:t xml:space="preserve"> </w:t>
      </w:r>
      <w:r w:rsidRPr="00532388">
        <w:rPr>
          <w:rFonts w:eastAsia="TimesNewRoman"/>
          <w:sz w:val="22"/>
          <w:szCs w:val="22"/>
          <w:lang w:val="lt-LT" w:eastAsia="en-US"/>
        </w:rPr>
        <w:t xml:space="preserve">anksčiau </w:t>
      </w:r>
      <w:r w:rsidR="0079657F" w:rsidRPr="00532388">
        <w:rPr>
          <w:rFonts w:eastAsia="TimesNewRoman"/>
          <w:sz w:val="22"/>
          <w:szCs w:val="22"/>
          <w:lang w:val="lt-LT" w:eastAsia="en-US"/>
        </w:rPr>
        <w:t xml:space="preserve"> </w:t>
      </w:r>
      <w:r w:rsidRPr="00532388">
        <w:rPr>
          <w:rFonts w:eastAsia="TimesNewRoman"/>
          <w:sz w:val="22"/>
          <w:szCs w:val="22"/>
          <w:lang w:val="lt-LT" w:eastAsia="en-US"/>
        </w:rPr>
        <w:t>negydytiems tiriamiesiems saugumo duomenys buvo panašūs į 600/100</w:t>
      </w:r>
      <w:r w:rsidR="0079657F" w:rsidRPr="00532388">
        <w:rPr>
          <w:rFonts w:eastAsia="TimesNewRoman"/>
          <w:sz w:val="22"/>
          <w:szCs w:val="22"/>
          <w:lang w:val="lt-LT" w:eastAsia="en-US"/>
        </w:rPr>
        <w:t> </w:t>
      </w:r>
      <w:r w:rsidRPr="00532388">
        <w:rPr>
          <w:rFonts w:eastAsia="TimesNewRoman"/>
          <w:sz w:val="22"/>
          <w:szCs w:val="22"/>
          <w:lang w:val="lt-LT" w:eastAsia="en-US"/>
        </w:rPr>
        <w:t xml:space="preserve">mg </w:t>
      </w:r>
      <w:r w:rsidR="0079657F" w:rsidRPr="00532388">
        <w:rPr>
          <w:rFonts w:eastAsia="TimesNewRoman"/>
          <w:sz w:val="22"/>
          <w:szCs w:val="22"/>
          <w:lang w:val="lt-LT" w:eastAsia="en-US"/>
        </w:rPr>
        <w:t>darunaviro</w:t>
      </w:r>
      <w:r w:rsidRPr="00532388">
        <w:rPr>
          <w:rFonts w:eastAsia="TimesNewRoman"/>
          <w:sz w:val="22"/>
          <w:szCs w:val="22"/>
          <w:lang w:val="lt-LT" w:eastAsia="en-US"/>
        </w:rPr>
        <w:t>/ritonaviro dozės du kartus per parą anksčiau gydytiems tiriamiesiems, išskyrus pykinimą, kuris</w:t>
      </w:r>
      <w:r w:rsidR="0079657F" w:rsidRPr="00532388">
        <w:rPr>
          <w:rFonts w:eastAsia="TimesNewRoman"/>
          <w:sz w:val="22"/>
          <w:szCs w:val="22"/>
          <w:lang w:val="lt-LT" w:eastAsia="en-US"/>
        </w:rPr>
        <w:t xml:space="preserve"> </w:t>
      </w:r>
      <w:r w:rsidRPr="00532388">
        <w:rPr>
          <w:rFonts w:eastAsia="TimesNewRoman"/>
          <w:sz w:val="22"/>
          <w:szCs w:val="22"/>
          <w:lang w:val="lt-LT" w:eastAsia="en-US"/>
        </w:rPr>
        <w:t>dažniau pasitaikė anksčiau negydytiems tiriamiesiems. Skirtumas buvo dėl nestipraus pykinimo.</w:t>
      </w:r>
      <w:r w:rsidR="0079657F" w:rsidRPr="00532388">
        <w:rPr>
          <w:rFonts w:eastAsia="TimesNewRoman"/>
          <w:sz w:val="22"/>
          <w:szCs w:val="22"/>
          <w:lang w:val="lt-LT" w:eastAsia="en-US"/>
        </w:rPr>
        <w:t xml:space="preserve"> </w:t>
      </w:r>
      <w:r w:rsidRPr="00532388">
        <w:rPr>
          <w:rFonts w:eastAsia="TimesNewRoman"/>
          <w:sz w:val="22"/>
          <w:szCs w:val="22"/>
          <w:lang w:val="lt-LT" w:eastAsia="en-US"/>
        </w:rPr>
        <w:t>Tyrimo 192-os savaitės anksčiau negydytų tiriamųjų, kurių vidutinė gydymo 800/100</w:t>
      </w:r>
      <w:r w:rsidR="0079657F" w:rsidRPr="00532388">
        <w:rPr>
          <w:rFonts w:eastAsia="TimesNewRoman"/>
          <w:sz w:val="22"/>
          <w:szCs w:val="22"/>
          <w:lang w:val="lt-LT" w:eastAsia="en-US"/>
        </w:rPr>
        <w:t> </w:t>
      </w:r>
      <w:r w:rsidRPr="00532388">
        <w:rPr>
          <w:rFonts w:eastAsia="TimesNewRoman"/>
          <w:sz w:val="22"/>
          <w:szCs w:val="22"/>
          <w:lang w:val="lt-LT" w:eastAsia="en-US"/>
        </w:rPr>
        <w:t>mg</w:t>
      </w:r>
      <w:r w:rsidR="0079657F" w:rsidRPr="00532388">
        <w:rPr>
          <w:rFonts w:eastAsia="TimesNewRoman"/>
          <w:sz w:val="22"/>
          <w:szCs w:val="22"/>
          <w:lang w:val="lt-LT" w:eastAsia="en-US"/>
        </w:rPr>
        <w:t xml:space="preserve"> darunaviro</w:t>
      </w:r>
      <w:r w:rsidRPr="00532388">
        <w:rPr>
          <w:rFonts w:eastAsia="TimesNewRoman"/>
          <w:sz w:val="22"/>
          <w:szCs w:val="22"/>
          <w:lang w:val="lt-LT" w:eastAsia="en-US"/>
        </w:rPr>
        <w:t>/ritonaviro doze vieną kartą parą trukmė buvo 162,5 savaitės, analizėje naujų saugumo</w:t>
      </w:r>
      <w:r w:rsidR="0079657F" w:rsidRPr="00532388">
        <w:rPr>
          <w:rFonts w:eastAsia="TimesNewRoman"/>
          <w:sz w:val="22"/>
          <w:szCs w:val="22"/>
          <w:lang w:val="lt-LT" w:eastAsia="en-US"/>
        </w:rPr>
        <w:t xml:space="preserve"> </w:t>
      </w:r>
      <w:r w:rsidRPr="00532388">
        <w:rPr>
          <w:rFonts w:eastAsia="TimesNewRoman"/>
          <w:sz w:val="22"/>
          <w:szCs w:val="22"/>
          <w:lang w:val="lt-LT" w:eastAsia="en-US"/>
        </w:rPr>
        <w:t>duomenų nebuvo nustatyta.</w:t>
      </w:r>
    </w:p>
    <w:p w14:paraId="55A1343E" w14:textId="77777777" w:rsidR="00D332AD" w:rsidRPr="00532388" w:rsidRDefault="00D332AD" w:rsidP="0079657F">
      <w:pPr>
        <w:keepNext/>
        <w:tabs>
          <w:tab w:val="left" w:pos="567"/>
        </w:tabs>
        <w:spacing w:line="260" w:lineRule="exact"/>
        <w:outlineLvl w:val="0"/>
        <w:rPr>
          <w:rFonts w:eastAsia="TimesNewRoman"/>
          <w:sz w:val="22"/>
          <w:szCs w:val="22"/>
          <w:lang w:val="lt-LT" w:eastAsia="en-US"/>
        </w:rPr>
      </w:pPr>
    </w:p>
    <w:p w14:paraId="245E1062"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III fazės klinikinio tyrimo GS-US-216-130 su darunaviru/kobicistatu (n=313 anksčiau negydyti ir</w:t>
      </w:r>
      <w:r w:rsidR="0079657F" w:rsidRPr="00532388">
        <w:rPr>
          <w:rFonts w:eastAsia="TimesNewRoman"/>
          <w:sz w:val="22"/>
          <w:szCs w:val="22"/>
          <w:lang w:val="lt-LT" w:eastAsia="en-US"/>
        </w:rPr>
        <w:t xml:space="preserve"> </w:t>
      </w:r>
      <w:r w:rsidRPr="00532388">
        <w:rPr>
          <w:rFonts w:eastAsia="TimesNewRoman"/>
          <w:sz w:val="22"/>
          <w:szCs w:val="22"/>
          <w:lang w:val="lt-LT" w:eastAsia="en-US"/>
        </w:rPr>
        <w:t>gydymą gavę tiriamieji) metu, 66,5 % pacientų pasireiškė bent viena nepageidaujama reakcija.</w:t>
      </w:r>
      <w:r w:rsidR="0079657F" w:rsidRPr="00532388">
        <w:rPr>
          <w:rFonts w:eastAsia="TimesNewRoman"/>
          <w:sz w:val="22"/>
          <w:szCs w:val="22"/>
          <w:lang w:val="lt-LT" w:eastAsia="en-US"/>
        </w:rPr>
        <w:t xml:space="preserve"> </w:t>
      </w:r>
      <w:r w:rsidRPr="00532388">
        <w:rPr>
          <w:rFonts w:eastAsia="TimesNewRoman"/>
          <w:sz w:val="22"/>
          <w:szCs w:val="22"/>
          <w:lang w:val="lt-LT" w:eastAsia="en-US"/>
        </w:rPr>
        <w:t>Vidutinė gydymo trukmė buvo 58,4 savaitės. Dažniausios nepageidaujamos reakcijos buvo</w:t>
      </w:r>
      <w:r w:rsidR="0079657F" w:rsidRPr="00532388">
        <w:rPr>
          <w:rFonts w:eastAsia="TimesNewRoman"/>
          <w:sz w:val="22"/>
          <w:szCs w:val="22"/>
          <w:lang w:val="lt-LT" w:eastAsia="en-US"/>
        </w:rPr>
        <w:t xml:space="preserve"> </w:t>
      </w:r>
      <w:r w:rsidRPr="00532388">
        <w:rPr>
          <w:rFonts w:eastAsia="TimesNewRoman"/>
          <w:sz w:val="22"/>
          <w:szCs w:val="22"/>
          <w:lang w:val="lt-LT" w:eastAsia="en-US"/>
        </w:rPr>
        <w:t>viduriavimas (28 %), pykinimas (23 %) ir bėrimas (16 %). Sunkios nepageidaujamos reakcijos yra</w:t>
      </w:r>
      <w:r w:rsidR="0079657F" w:rsidRPr="00532388">
        <w:rPr>
          <w:rFonts w:eastAsia="TimesNewRoman"/>
          <w:sz w:val="22"/>
          <w:szCs w:val="22"/>
          <w:lang w:val="lt-LT" w:eastAsia="en-US"/>
        </w:rPr>
        <w:t xml:space="preserve"> </w:t>
      </w:r>
      <w:r w:rsidRPr="00532388">
        <w:rPr>
          <w:rFonts w:eastAsia="TimesNewRoman"/>
          <w:sz w:val="22"/>
          <w:szCs w:val="22"/>
          <w:lang w:val="lt-LT" w:eastAsia="en-US"/>
        </w:rPr>
        <w:t xml:space="preserve">cukrinis diabetas, padidėjęs jautrumas vaistui, imuniteto atsistatymo uždegiminis sindromas, </w:t>
      </w:r>
      <w:r w:rsidR="009C1071">
        <w:rPr>
          <w:rFonts w:eastAsia="TimesNewRoman"/>
          <w:sz w:val="22"/>
          <w:szCs w:val="22"/>
          <w:lang w:val="lt-LT" w:eastAsia="en-US"/>
        </w:rPr>
        <w:t>iš</w:t>
      </w:r>
      <w:r w:rsidRPr="00532388">
        <w:rPr>
          <w:rFonts w:eastAsia="TimesNewRoman"/>
          <w:sz w:val="22"/>
          <w:szCs w:val="22"/>
          <w:lang w:val="lt-LT" w:eastAsia="en-US"/>
        </w:rPr>
        <w:t>bėrimas</w:t>
      </w:r>
      <w:r w:rsidR="0079657F" w:rsidRPr="00532388">
        <w:rPr>
          <w:rFonts w:eastAsia="TimesNewRoman"/>
          <w:sz w:val="22"/>
          <w:szCs w:val="22"/>
          <w:lang w:val="lt-LT" w:eastAsia="en-US"/>
        </w:rPr>
        <w:t xml:space="preserve"> </w:t>
      </w:r>
      <w:r w:rsidRPr="00532388">
        <w:rPr>
          <w:rFonts w:eastAsia="TimesNewRoman"/>
          <w:sz w:val="22"/>
          <w:szCs w:val="22"/>
          <w:lang w:val="lt-LT" w:eastAsia="en-US"/>
        </w:rPr>
        <w:t>ir vėmimas.</w:t>
      </w:r>
    </w:p>
    <w:p w14:paraId="47A73B9E" w14:textId="77777777" w:rsidR="006A30D2" w:rsidRPr="00532388" w:rsidRDefault="006A30D2" w:rsidP="0079657F">
      <w:pPr>
        <w:keepNext/>
        <w:tabs>
          <w:tab w:val="left" w:pos="567"/>
        </w:tabs>
        <w:spacing w:line="260" w:lineRule="exact"/>
        <w:outlineLvl w:val="0"/>
        <w:rPr>
          <w:rFonts w:eastAsia="TimesNewRoman"/>
          <w:sz w:val="22"/>
          <w:szCs w:val="22"/>
          <w:lang w:val="lt-LT" w:eastAsia="en-US"/>
        </w:rPr>
      </w:pPr>
    </w:p>
    <w:p w14:paraId="75A70931" w14:textId="77777777" w:rsidR="00D332AD" w:rsidRPr="00532388" w:rsidRDefault="00D332AD" w:rsidP="0079657F">
      <w:pPr>
        <w:keepNext/>
        <w:tabs>
          <w:tab w:val="left" w:pos="567"/>
        </w:tabs>
        <w:spacing w:line="260" w:lineRule="exact"/>
        <w:outlineLvl w:val="0"/>
        <w:rPr>
          <w:rFonts w:eastAsia="TimesNewRoman"/>
          <w:sz w:val="22"/>
          <w:szCs w:val="22"/>
          <w:lang w:val="lt-LT" w:eastAsia="en-US"/>
        </w:rPr>
      </w:pPr>
      <w:r w:rsidRPr="00532388">
        <w:rPr>
          <w:rFonts w:eastAsia="TimesNewRoman"/>
          <w:sz w:val="22"/>
          <w:szCs w:val="22"/>
          <w:lang w:val="lt-LT" w:eastAsia="en-US"/>
        </w:rPr>
        <w:t>Informacijos apie kobicistatą ž</w:t>
      </w:r>
      <w:r w:rsidR="0079657F" w:rsidRPr="00532388">
        <w:rPr>
          <w:rFonts w:eastAsia="TimesNewRoman"/>
          <w:sz w:val="22"/>
          <w:szCs w:val="22"/>
          <w:lang w:val="lt-LT" w:eastAsia="en-US"/>
        </w:rPr>
        <w:t>r. kobicistato P</w:t>
      </w:r>
      <w:r w:rsidRPr="00532388">
        <w:rPr>
          <w:rFonts w:eastAsia="TimesNewRoman"/>
          <w:sz w:val="22"/>
          <w:szCs w:val="22"/>
          <w:lang w:val="lt-LT" w:eastAsia="en-US"/>
        </w:rPr>
        <w:t>rep</w:t>
      </w:r>
      <w:r w:rsidR="009374BD" w:rsidRPr="00532388">
        <w:rPr>
          <w:rFonts w:eastAsia="TimesNewRoman"/>
          <w:sz w:val="22"/>
          <w:szCs w:val="22"/>
          <w:lang w:val="lt-LT" w:eastAsia="en-US"/>
        </w:rPr>
        <w:t>a</w:t>
      </w:r>
      <w:r w:rsidRPr="00532388">
        <w:rPr>
          <w:rFonts w:eastAsia="TimesNewRoman"/>
          <w:sz w:val="22"/>
          <w:szCs w:val="22"/>
          <w:lang w:val="lt-LT" w:eastAsia="en-US"/>
        </w:rPr>
        <w:t>rato charakteristikų santraukoje.</w:t>
      </w:r>
    </w:p>
    <w:p w14:paraId="2418931D" w14:textId="77777777" w:rsidR="00D332AD" w:rsidRPr="00532388" w:rsidRDefault="00D332AD" w:rsidP="0079657F">
      <w:pPr>
        <w:keepNext/>
        <w:tabs>
          <w:tab w:val="left" w:pos="567"/>
        </w:tabs>
        <w:spacing w:line="260" w:lineRule="exact"/>
        <w:outlineLvl w:val="0"/>
        <w:rPr>
          <w:rFonts w:eastAsia="TimesNewRoman"/>
          <w:sz w:val="22"/>
          <w:szCs w:val="22"/>
          <w:lang w:val="lt-LT" w:eastAsia="en-US"/>
        </w:rPr>
      </w:pPr>
    </w:p>
    <w:p w14:paraId="5DD0922E" w14:textId="77777777" w:rsidR="00D332AD" w:rsidRPr="00532388" w:rsidRDefault="00D332AD" w:rsidP="0079657F">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Nepageidaujamų reakcijų sąrašas lentelėje</w:t>
      </w:r>
    </w:p>
    <w:p w14:paraId="2584D5F7" w14:textId="77777777" w:rsidR="00D332AD" w:rsidRPr="00532388" w:rsidRDefault="00D332AD" w:rsidP="0079657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Nepageidaujamos reakcijos yra išvardytos pagal organų sistemų klases (OSK) ir dažnio kategorijas.</w:t>
      </w:r>
      <w:r w:rsidR="0079657F" w:rsidRPr="00532388">
        <w:rPr>
          <w:rFonts w:eastAsia="TimesNewRoman"/>
          <w:sz w:val="22"/>
          <w:szCs w:val="22"/>
          <w:lang w:val="lt-LT" w:eastAsia="en-US"/>
        </w:rPr>
        <w:t xml:space="preserve"> </w:t>
      </w:r>
      <w:r w:rsidRPr="00532388">
        <w:rPr>
          <w:rFonts w:eastAsia="TimesNewRoman"/>
          <w:sz w:val="22"/>
          <w:szCs w:val="22"/>
          <w:lang w:val="lt-LT" w:eastAsia="en-US"/>
        </w:rPr>
        <w:t>Kiekvienoje dažnio kategorijoje nepageidaujamos reakcijos yra išvardytos mažėjančio sunkumo</w:t>
      </w:r>
      <w:r w:rsidR="0079657F" w:rsidRPr="00532388">
        <w:rPr>
          <w:rFonts w:eastAsia="TimesNewRoman"/>
          <w:sz w:val="22"/>
          <w:szCs w:val="22"/>
          <w:lang w:val="lt-LT" w:eastAsia="en-US"/>
        </w:rPr>
        <w:t xml:space="preserve"> </w:t>
      </w:r>
      <w:r w:rsidRPr="00532388">
        <w:rPr>
          <w:rFonts w:eastAsia="TimesNewRoman"/>
          <w:sz w:val="22"/>
          <w:szCs w:val="22"/>
          <w:lang w:val="lt-LT" w:eastAsia="en-US"/>
        </w:rPr>
        <w:t xml:space="preserve">tvarka. </w:t>
      </w:r>
      <w:r w:rsidR="009C1071">
        <w:rPr>
          <w:rFonts w:eastAsia="TimesNewRoman"/>
          <w:sz w:val="22"/>
          <w:szCs w:val="22"/>
          <w:lang w:val="lt-LT" w:eastAsia="en-US"/>
        </w:rPr>
        <w:t xml:space="preserve">Nepageidaujamo poveikio </w:t>
      </w:r>
      <w:r w:rsidRPr="00532388">
        <w:rPr>
          <w:rFonts w:eastAsia="TimesNewRoman"/>
          <w:sz w:val="22"/>
          <w:szCs w:val="22"/>
          <w:lang w:val="lt-LT" w:eastAsia="en-US"/>
        </w:rPr>
        <w:t xml:space="preserve"> dažnio kategorijos apibūdinamos taip: labai dažni (≥ 1/10), dažni (nuo </w:t>
      </w:r>
      <w:r w:rsidR="0079657F" w:rsidRPr="00532388">
        <w:rPr>
          <w:rFonts w:eastAsia="TimesNewRoman"/>
          <w:sz w:val="22"/>
          <w:szCs w:val="22"/>
          <w:lang w:val="lt-LT" w:eastAsia="en-US"/>
        </w:rPr>
        <w:t>≥</w:t>
      </w:r>
      <w:r w:rsidRPr="00532388">
        <w:rPr>
          <w:rFonts w:eastAsia="TimesNewRoman"/>
          <w:sz w:val="22"/>
          <w:szCs w:val="22"/>
          <w:lang w:val="lt-LT" w:eastAsia="en-US"/>
        </w:rPr>
        <w:t xml:space="preserve"> 1/100 iki</w:t>
      </w:r>
      <w:r w:rsidR="00F36135" w:rsidRPr="00532388">
        <w:rPr>
          <w:rFonts w:eastAsia="TimesNewRoman"/>
          <w:sz w:val="22"/>
          <w:szCs w:val="22"/>
          <w:lang w:val="lt-LT" w:eastAsia="en-US"/>
        </w:rPr>
        <w:t xml:space="preserve">   </w:t>
      </w:r>
      <w:r w:rsidRPr="00532388">
        <w:rPr>
          <w:rFonts w:eastAsia="TimesNewRoman"/>
          <w:sz w:val="22"/>
          <w:szCs w:val="22"/>
          <w:lang w:val="lt-LT" w:eastAsia="en-US"/>
        </w:rPr>
        <w:t xml:space="preserve">&lt; 1/10), nedažni (nuo </w:t>
      </w:r>
      <w:r w:rsidR="00F36135" w:rsidRPr="00532388">
        <w:rPr>
          <w:rFonts w:eastAsia="TimesNewRoman"/>
          <w:sz w:val="22"/>
          <w:szCs w:val="22"/>
          <w:lang w:val="lt-LT" w:eastAsia="en-US"/>
        </w:rPr>
        <w:t>≥</w:t>
      </w:r>
      <w:r w:rsidRPr="00532388">
        <w:rPr>
          <w:rFonts w:eastAsia="TimesNewRoman"/>
          <w:sz w:val="22"/>
          <w:szCs w:val="22"/>
          <w:lang w:val="lt-LT" w:eastAsia="en-US"/>
        </w:rPr>
        <w:t xml:space="preserve"> 1/1 000 iki </w:t>
      </w:r>
      <w:r w:rsidR="00F36135" w:rsidRPr="00532388">
        <w:rPr>
          <w:rFonts w:eastAsia="TimesNewRoman"/>
          <w:sz w:val="22"/>
          <w:szCs w:val="22"/>
          <w:lang w:val="lt-LT" w:eastAsia="en-US"/>
        </w:rPr>
        <w:t>&lt;</w:t>
      </w:r>
      <w:r w:rsidRPr="00532388">
        <w:rPr>
          <w:rFonts w:eastAsia="TimesNewRoman"/>
          <w:sz w:val="22"/>
          <w:szCs w:val="22"/>
          <w:lang w:val="lt-LT" w:eastAsia="en-US"/>
        </w:rPr>
        <w:t xml:space="preserve"> 1/100), reti (nuo ≥ 1/10 000 iki &lt; 1/1 000) ir dažnis nežinomas</w:t>
      </w:r>
      <w:r w:rsidR="00F36135" w:rsidRPr="00532388">
        <w:rPr>
          <w:rFonts w:eastAsia="TimesNewRoman"/>
          <w:sz w:val="22"/>
          <w:szCs w:val="22"/>
          <w:lang w:val="lt-LT" w:eastAsia="en-US"/>
        </w:rPr>
        <w:t xml:space="preserve"> </w:t>
      </w:r>
      <w:r w:rsidRPr="00532388">
        <w:rPr>
          <w:rFonts w:eastAsia="TimesNewRoman"/>
          <w:sz w:val="22"/>
          <w:szCs w:val="22"/>
          <w:lang w:val="lt-LT" w:eastAsia="en-US"/>
        </w:rPr>
        <w:t>(negali būti įvertintas pagal turimus duomenis).</w:t>
      </w:r>
    </w:p>
    <w:p w14:paraId="741123BE" w14:textId="77777777" w:rsidR="008E7EF3" w:rsidRPr="00532388" w:rsidRDefault="008E7EF3" w:rsidP="0079657F">
      <w:pPr>
        <w:autoSpaceDE w:val="0"/>
        <w:autoSpaceDN w:val="0"/>
        <w:adjustRightInd w:val="0"/>
        <w:rPr>
          <w:rFonts w:eastAsia="TimesNewRoman"/>
          <w:i/>
          <w:iCs/>
          <w:sz w:val="22"/>
          <w:szCs w:val="22"/>
          <w:lang w:val="lt-LT" w:eastAsia="en-US"/>
        </w:rPr>
      </w:pPr>
    </w:p>
    <w:p w14:paraId="50952702" w14:textId="77777777" w:rsidR="00D332AD" w:rsidRPr="00532388" w:rsidRDefault="00D332AD" w:rsidP="00F36135">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Nepageidaujamos reakcijos, stebėtos vartojant darunavirą/ritonavirą, nustatytos pacientams klinikinių tyrimų metu ir po vaistinio preparato patekimo į rinką</w:t>
      </w:r>
    </w:p>
    <w:p w14:paraId="050662A7" w14:textId="77777777" w:rsidR="00F36135" w:rsidRPr="00532388" w:rsidRDefault="00F36135" w:rsidP="00F36135">
      <w:pPr>
        <w:autoSpaceDE w:val="0"/>
        <w:autoSpaceDN w:val="0"/>
        <w:adjustRightInd w:val="0"/>
        <w:rPr>
          <w:rFonts w:eastAsia="TimesNewRoman"/>
          <w:i/>
          <w:i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68"/>
      </w:tblGrid>
      <w:tr w:rsidR="00F36135" w:rsidRPr="00532388" w14:paraId="3F2E0D35" w14:textId="77777777" w:rsidTr="00D37DA7">
        <w:tc>
          <w:tcPr>
            <w:tcW w:w="4644" w:type="dxa"/>
            <w:shd w:val="clear" w:color="auto" w:fill="auto"/>
          </w:tcPr>
          <w:p w14:paraId="61035BDC"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MedDRA organų sistemų klasė</w:t>
            </w:r>
          </w:p>
          <w:p w14:paraId="58E7F3CB"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Dažnio kategorija</w:t>
            </w:r>
          </w:p>
        </w:tc>
        <w:tc>
          <w:tcPr>
            <w:tcW w:w="4644" w:type="dxa"/>
            <w:shd w:val="clear" w:color="auto" w:fill="auto"/>
          </w:tcPr>
          <w:p w14:paraId="558089A9"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Nepageidaujama reakcija</w:t>
            </w:r>
          </w:p>
        </w:tc>
      </w:tr>
      <w:tr w:rsidR="00F36135" w:rsidRPr="00532388" w14:paraId="5686F29F" w14:textId="77777777" w:rsidTr="00D37DA7">
        <w:tc>
          <w:tcPr>
            <w:tcW w:w="9288" w:type="dxa"/>
            <w:gridSpan w:val="2"/>
            <w:shd w:val="clear" w:color="auto" w:fill="auto"/>
          </w:tcPr>
          <w:p w14:paraId="64BD8AE9"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Infekcijos ir infestacijos</w:t>
            </w:r>
          </w:p>
        </w:tc>
      </w:tr>
      <w:tr w:rsidR="00F36135" w:rsidRPr="00532388" w14:paraId="495F5CDF" w14:textId="77777777" w:rsidTr="00D37DA7">
        <w:tc>
          <w:tcPr>
            <w:tcW w:w="4644" w:type="dxa"/>
            <w:shd w:val="clear" w:color="auto" w:fill="auto"/>
          </w:tcPr>
          <w:p w14:paraId="12169FC5"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08FC1286"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Paprastoji pūslelinė</w:t>
            </w:r>
          </w:p>
        </w:tc>
      </w:tr>
      <w:tr w:rsidR="00F36135" w:rsidRPr="00532388" w14:paraId="7E80BCA4" w14:textId="77777777" w:rsidTr="00D37DA7">
        <w:tc>
          <w:tcPr>
            <w:tcW w:w="9288" w:type="dxa"/>
            <w:gridSpan w:val="2"/>
            <w:shd w:val="clear" w:color="auto" w:fill="auto"/>
          </w:tcPr>
          <w:p w14:paraId="6A7AA7B5" w14:textId="77777777" w:rsidR="00F36135" w:rsidRPr="00532388" w:rsidRDefault="00F36135" w:rsidP="00D37DA7">
            <w:pPr>
              <w:autoSpaceDE w:val="0"/>
              <w:autoSpaceDN w:val="0"/>
              <w:adjustRightInd w:val="0"/>
              <w:rPr>
                <w:rFonts w:eastAsia="TimesNewRoman"/>
                <w:sz w:val="22"/>
                <w:szCs w:val="22"/>
                <w:lang w:val="lt-LT" w:eastAsia="en-US"/>
              </w:rPr>
            </w:pPr>
            <w:r w:rsidRPr="00532388">
              <w:rPr>
                <w:i/>
                <w:iCs/>
                <w:sz w:val="22"/>
                <w:szCs w:val="22"/>
                <w:lang w:val="lt-LT" w:eastAsia="en-US"/>
              </w:rPr>
              <w:t>Kraujo ir limfinės sistemos sutrikimai</w:t>
            </w:r>
          </w:p>
        </w:tc>
      </w:tr>
      <w:tr w:rsidR="00F36135" w:rsidRPr="00532388" w14:paraId="0ABC640B" w14:textId="77777777" w:rsidTr="00D37DA7">
        <w:tc>
          <w:tcPr>
            <w:tcW w:w="4644" w:type="dxa"/>
            <w:shd w:val="clear" w:color="auto" w:fill="auto"/>
          </w:tcPr>
          <w:p w14:paraId="2BD1E361"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Nedažni </w:t>
            </w:r>
          </w:p>
          <w:p w14:paraId="2E0CC732" w14:textId="77777777" w:rsidR="00F36135" w:rsidRPr="00532388" w:rsidRDefault="00F36135" w:rsidP="00D37DA7">
            <w:pPr>
              <w:autoSpaceDE w:val="0"/>
              <w:autoSpaceDN w:val="0"/>
              <w:adjustRightInd w:val="0"/>
              <w:rPr>
                <w:rFonts w:eastAsia="TimesNewRoman"/>
                <w:sz w:val="22"/>
                <w:szCs w:val="22"/>
                <w:lang w:val="lt-LT" w:eastAsia="en-US"/>
              </w:rPr>
            </w:pPr>
          </w:p>
          <w:p w14:paraId="3B42A387"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Reti</w:t>
            </w:r>
          </w:p>
        </w:tc>
        <w:tc>
          <w:tcPr>
            <w:tcW w:w="4644" w:type="dxa"/>
            <w:shd w:val="clear" w:color="auto" w:fill="auto"/>
          </w:tcPr>
          <w:p w14:paraId="06884E22"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Trombocitopenija, neutropenija, anemija, leukopenija</w:t>
            </w:r>
          </w:p>
          <w:p w14:paraId="362A2AE5"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Eozinofilų kiekio padidėjimas</w:t>
            </w:r>
          </w:p>
        </w:tc>
      </w:tr>
      <w:tr w:rsidR="00F36135" w:rsidRPr="00532388" w14:paraId="303B6D47" w14:textId="77777777" w:rsidTr="00D37DA7">
        <w:tc>
          <w:tcPr>
            <w:tcW w:w="9288" w:type="dxa"/>
            <w:gridSpan w:val="2"/>
            <w:shd w:val="clear" w:color="auto" w:fill="auto"/>
          </w:tcPr>
          <w:p w14:paraId="7856AD18" w14:textId="77777777" w:rsidR="00F36135" w:rsidRPr="00532388" w:rsidRDefault="00F36135" w:rsidP="00D37DA7">
            <w:pPr>
              <w:autoSpaceDE w:val="0"/>
              <w:autoSpaceDN w:val="0"/>
              <w:adjustRightInd w:val="0"/>
              <w:rPr>
                <w:rFonts w:eastAsia="TimesNewRoman"/>
                <w:sz w:val="22"/>
                <w:szCs w:val="22"/>
                <w:lang w:val="lt-LT" w:eastAsia="en-US"/>
              </w:rPr>
            </w:pPr>
            <w:r w:rsidRPr="00532388">
              <w:rPr>
                <w:i/>
                <w:iCs/>
                <w:sz w:val="22"/>
                <w:szCs w:val="22"/>
                <w:lang w:val="lt-LT" w:eastAsia="en-US"/>
              </w:rPr>
              <w:t>Imuninės sistemos sutrikimai</w:t>
            </w:r>
          </w:p>
        </w:tc>
      </w:tr>
      <w:tr w:rsidR="00F36135" w:rsidRPr="00532388" w14:paraId="4FA5D287" w14:textId="77777777" w:rsidTr="00D37DA7">
        <w:tc>
          <w:tcPr>
            <w:tcW w:w="4644" w:type="dxa"/>
            <w:shd w:val="clear" w:color="auto" w:fill="auto"/>
          </w:tcPr>
          <w:p w14:paraId="72DC047F"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 xml:space="preserve">Nedažni </w:t>
            </w:r>
          </w:p>
        </w:tc>
        <w:tc>
          <w:tcPr>
            <w:tcW w:w="4644" w:type="dxa"/>
            <w:shd w:val="clear" w:color="auto" w:fill="auto"/>
          </w:tcPr>
          <w:p w14:paraId="7DA575D1"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Imuniteto atsistatymo uždegiminis sindromas, padidėjusio jautrumo (vaistiniam preparatui) reakcija</w:t>
            </w:r>
          </w:p>
        </w:tc>
      </w:tr>
      <w:tr w:rsidR="00F36135" w:rsidRPr="00532388" w14:paraId="04553F89" w14:textId="77777777" w:rsidTr="00D37DA7">
        <w:tc>
          <w:tcPr>
            <w:tcW w:w="9288" w:type="dxa"/>
            <w:gridSpan w:val="2"/>
            <w:shd w:val="clear" w:color="auto" w:fill="auto"/>
          </w:tcPr>
          <w:p w14:paraId="278A6BC5" w14:textId="77777777" w:rsidR="00F36135" w:rsidRPr="00532388" w:rsidRDefault="00F36135" w:rsidP="00D37DA7">
            <w:pPr>
              <w:autoSpaceDE w:val="0"/>
              <w:autoSpaceDN w:val="0"/>
              <w:adjustRightInd w:val="0"/>
              <w:rPr>
                <w:rFonts w:eastAsia="TimesNewRoman"/>
                <w:sz w:val="22"/>
                <w:szCs w:val="22"/>
                <w:lang w:val="lt-LT" w:eastAsia="en-US"/>
              </w:rPr>
            </w:pPr>
            <w:r w:rsidRPr="00532388">
              <w:rPr>
                <w:i/>
                <w:iCs/>
                <w:sz w:val="22"/>
                <w:szCs w:val="22"/>
                <w:lang w:val="lt-LT" w:eastAsia="en-US"/>
              </w:rPr>
              <w:t>Endokrininiai sutrikimai</w:t>
            </w:r>
          </w:p>
        </w:tc>
      </w:tr>
      <w:tr w:rsidR="00F36135" w:rsidRPr="00532388" w14:paraId="05C966AD" w14:textId="77777777" w:rsidTr="00D37DA7">
        <w:tc>
          <w:tcPr>
            <w:tcW w:w="4644" w:type="dxa"/>
            <w:shd w:val="clear" w:color="auto" w:fill="auto"/>
          </w:tcPr>
          <w:p w14:paraId="55730B83"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 xml:space="preserve">Nedažni </w:t>
            </w:r>
          </w:p>
        </w:tc>
        <w:tc>
          <w:tcPr>
            <w:tcW w:w="4644" w:type="dxa"/>
            <w:shd w:val="clear" w:color="auto" w:fill="auto"/>
          </w:tcPr>
          <w:p w14:paraId="398D88E4"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Hipotirozė, skydliaukę stimuliuojančio hormone padaugėjimas kraujyje</w:t>
            </w:r>
          </w:p>
        </w:tc>
      </w:tr>
      <w:tr w:rsidR="00F36135" w:rsidRPr="00532388" w14:paraId="0AC906E3" w14:textId="77777777" w:rsidTr="00D37DA7">
        <w:tc>
          <w:tcPr>
            <w:tcW w:w="9288" w:type="dxa"/>
            <w:gridSpan w:val="2"/>
            <w:shd w:val="clear" w:color="auto" w:fill="auto"/>
          </w:tcPr>
          <w:p w14:paraId="1A74B824" w14:textId="77777777" w:rsidR="00F36135" w:rsidRPr="00532388" w:rsidRDefault="00F36135"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Metabolizmo ir mitybos sutrikimai</w:t>
            </w:r>
          </w:p>
        </w:tc>
      </w:tr>
      <w:tr w:rsidR="00F36135" w:rsidRPr="00532388" w14:paraId="70E35D7B" w14:textId="77777777" w:rsidTr="00D37DA7">
        <w:tc>
          <w:tcPr>
            <w:tcW w:w="4644" w:type="dxa"/>
            <w:shd w:val="clear" w:color="auto" w:fill="auto"/>
          </w:tcPr>
          <w:p w14:paraId="5D19E2B8"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451B85C9" w14:textId="77777777" w:rsidR="00911D88" w:rsidRPr="00532388" w:rsidRDefault="00911D88" w:rsidP="00D37DA7">
            <w:pPr>
              <w:autoSpaceDE w:val="0"/>
              <w:autoSpaceDN w:val="0"/>
              <w:adjustRightInd w:val="0"/>
              <w:rPr>
                <w:rFonts w:eastAsia="TimesNewRoman"/>
                <w:sz w:val="22"/>
                <w:szCs w:val="22"/>
                <w:lang w:val="lt-LT" w:eastAsia="en-US"/>
              </w:rPr>
            </w:pPr>
          </w:p>
          <w:p w14:paraId="4BE83ACC" w14:textId="77777777" w:rsidR="00F36135" w:rsidRPr="00532388" w:rsidRDefault="00F36135"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Nedažni </w:t>
            </w:r>
          </w:p>
          <w:p w14:paraId="27248897" w14:textId="77777777" w:rsidR="00F36135" w:rsidRPr="00532388" w:rsidRDefault="00F36135" w:rsidP="00D37DA7">
            <w:pPr>
              <w:autoSpaceDE w:val="0"/>
              <w:autoSpaceDN w:val="0"/>
              <w:adjustRightInd w:val="0"/>
              <w:rPr>
                <w:rFonts w:eastAsia="Times New Roman"/>
                <w:noProof/>
                <w:sz w:val="22"/>
                <w:szCs w:val="22"/>
                <w:lang w:val="lt-LT" w:eastAsia="lt-LT" w:bidi="lt-LT"/>
              </w:rPr>
            </w:pPr>
          </w:p>
        </w:tc>
        <w:tc>
          <w:tcPr>
            <w:tcW w:w="4644" w:type="dxa"/>
            <w:shd w:val="clear" w:color="auto" w:fill="auto"/>
          </w:tcPr>
          <w:p w14:paraId="3F98D296" w14:textId="77777777" w:rsidR="00F36135"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C</w:t>
            </w:r>
            <w:r w:rsidR="00F36135" w:rsidRPr="00532388">
              <w:rPr>
                <w:rFonts w:eastAsia="TimesNewRoman"/>
                <w:sz w:val="22"/>
                <w:szCs w:val="22"/>
                <w:lang w:val="lt-LT" w:eastAsia="en-US"/>
              </w:rPr>
              <w:t>ukrinis diabetas, hipertrigliceridemija,</w:t>
            </w:r>
            <w:r w:rsidRPr="00532388">
              <w:rPr>
                <w:rFonts w:eastAsia="TimesNewRoman"/>
                <w:sz w:val="22"/>
                <w:szCs w:val="22"/>
                <w:lang w:val="lt-LT" w:eastAsia="en-US"/>
              </w:rPr>
              <w:t xml:space="preserve"> </w:t>
            </w:r>
            <w:r w:rsidR="00F36135" w:rsidRPr="00532388">
              <w:rPr>
                <w:rFonts w:eastAsia="TimesNewRoman"/>
                <w:sz w:val="22"/>
                <w:szCs w:val="22"/>
                <w:lang w:val="lt-LT" w:eastAsia="en-US"/>
              </w:rPr>
              <w:t>hipercholesterolemija, hiperlipidemija</w:t>
            </w:r>
          </w:p>
          <w:p w14:paraId="64D39424" w14:textId="77777777" w:rsidR="00F36135"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w:t>
            </w:r>
            <w:r w:rsidR="00F36135" w:rsidRPr="00532388">
              <w:rPr>
                <w:rFonts w:eastAsia="TimesNewRoman"/>
                <w:sz w:val="22"/>
                <w:szCs w:val="22"/>
                <w:lang w:val="lt-LT" w:eastAsia="en-US"/>
              </w:rPr>
              <w:t>odagra, anoreksija, apetito sumažėjimas, kūno</w:t>
            </w:r>
            <w:r w:rsidRPr="00532388">
              <w:rPr>
                <w:rFonts w:eastAsia="TimesNewRoman"/>
                <w:sz w:val="22"/>
                <w:szCs w:val="22"/>
                <w:lang w:val="lt-LT" w:eastAsia="en-US"/>
              </w:rPr>
              <w:t xml:space="preserve"> </w:t>
            </w:r>
            <w:r w:rsidR="00F36135" w:rsidRPr="00532388">
              <w:rPr>
                <w:rFonts w:eastAsia="TimesNewRoman"/>
                <w:sz w:val="22"/>
                <w:szCs w:val="22"/>
                <w:lang w:val="lt-LT" w:eastAsia="en-US"/>
              </w:rPr>
              <w:t>svorio sumažėjimas, kūno svorio padidėjimas,</w:t>
            </w:r>
            <w:r w:rsidRPr="00532388">
              <w:rPr>
                <w:rFonts w:eastAsia="TimesNewRoman"/>
                <w:sz w:val="22"/>
                <w:szCs w:val="22"/>
                <w:lang w:val="lt-LT" w:eastAsia="en-US"/>
              </w:rPr>
              <w:t xml:space="preserve"> </w:t>
            </w:r>
            <w:r w:rsidR="00F36135" w:rsidRPr="00532388">
              <w:rPr>
                <w:rFonts w:eastAsia="TimesNewRoman"/>
                <w:sz w:val="22"/>
                <w:szCs w:val="22"/>
                <w:lang w:val="lt-LT" w:eastAsia="en-US"/>
              </w:rPr>
              <w:t>hiperglikemija, atsparumas insulinui, didelio</w:t>
            </w:r>
            <w:r w:rsidRPr="00532388">
              <w:rPr>
                <w:rFonts w:eastAsia="TimesNewRoman"/>
                <w:sz w:val="22"/>
                <w:szCs w:val="22"/>
                <w:lang w:val="lt-LT" w:eastAsia="en-US"/>
              </w:rPr>
              <w:t xml:space="preserve"> </w:t>
            </w:r>
            <w:r w:rsidR="00F36135" w:rsidRPr="00532388">
              <w:rPr>
                <w:rFonts w:eastAsia="TimesNewRoman"/>
                <w:sz w:val="22"/>
                <w:szCs w:val="22"/>
                <w:lang w:val="lt-LT" w:eastAsia="en-US"/>
              </w:rPr>
              <w:t>tankio lipoproteinų sumažėjimas, apetito</w:t>
            </w:r>
            <w:r w:rsidRPr="00532388">
              <w:rPr>
                <w:rFonts w:eastAsia="TimesNewRoman"/>
                <w:sz w:val="22"/>
                <w:szCs w:val="22"/>
                <w:lang w:val="lt-LT" w:eastAsia="en-US"/>
              </w:rPr>
              <w:t xml:space="preserve"> </w:t>
            </w:r>
            <w:r w:rsidR="00F36135" w:rsidRPr="00532388">
              <w:rPr>
                <w:rFonts w:eastAsia="TimesNewRoman"/>
                <w:sz w:val="22"/>
                <w:szCs w:val="22"/>
                <w:lang w:val="lt-LT" w:eastAsia="en-US"/>
              </w:rPr>
              <w:t xml:space="preserve">padidėjimas, polidipsija, </w:t>
            </w:r>
            <w:r w:rsidR="00F36135" w:rsidRPr="00532388">
              <w:rPr>
                <w:rFonts w:eastAsia="TimesNewRoman"/>
                <w:sz w:val="22"/>
                <w:szCs w:val="22"/>
                <w:lang w:val="lt-LT" w:eastAsia="en-US"/>
              </w:rPr>
              <w:lastRenderedPageBreak/>
              <w:t>laktato dehidrogenazės</w:t>
            </w:r>
            <w:r w:rsidRPr="00532388">
              <w:rPr>
                <w:rFonts w:eastAsia="TimesNewRoman"/>
                <w:sz w:val="22"/>
                <w:szCs w:val="22"/>
                <w:lang w:val="lt-LT" w:eastAsia="en-US"/>
              </w:rPr>
              <w:t xml:space="preserve"> </w:t>
            </w:r>
            <w:r w:rsidR="00F36135" w:rsidRPr="00532388">
              <w:rPr>
                <w:rFonts w:eastAsia="TimesNewRoman"/>
                <w:sz w:val="22"/>
                <w:szCs w:val="22"/>
                <w:lang w:val="lt-LT" w:eastAsia="en-US"/>
              </w:rPr>
              <w:t>aktyvumo padidėjimas kraujyje</w:t>
            </w:r>
          </w:p>
          <w:p w14:paraId="23E70624" w14:textId="77777777" w:rsidR="00F36135" w:rsidRPr="00532388" w:rsidRDefault="00F36135" w:rsidP="00D37DA7">
            <w:pPr>
              <w:autoSpaceDE w:val="0"/>
              <w:autoSpaceDN w:val="0"/>
              <w:adjustRightInd w:val="0"/>
              <w:rPr>
                <w:rFonts w:eastAsia="Times New Roman"/>
                <w:noProof/>
                <w:sz w:val="22"/>
                <w:szCs w:val="22"/>
                <w:lang w:val="lt-LT" w:eastAsia="lt-LT" w:bidi="lt-LT"/>
              </w:rPr>
            </w:pPr>
          </w:p>
        </w:tc>
      </w:tr>
      <w:tr w:rsidR="00911D88" w:rsidRPr="00532388" w14:paraId="7D7A5AE8" w14:textId="77777777" w:rsidTr="00D37DA7">
        <w:tc>
          <w:tcPr>
            <w:tcW w:w="9288" w:type="dxa"/>
            <w:gridSpan w:val="2"/>
            <w:shd w:val="clear" w:color="auto" w:fill="auto"/>
          </w:tcPr>
          <w:p w14:paraId="5D861FAF"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lastRenderedPageBreak/>
              <w:t>Psichikos sutrikimai</w:t>
            </w:r>
          </w:p>
        </w:tc>
      </w:tr>
      <w:tr w:rsidR="00F36135" w:rsidRPr="00532388" w14:paraId="33DABCCE" w14:textId="77777777" w:rsidTr="00D37DA7">
        <w:tc>
          <w:tcPr>
            <w:tcW w:w="4644" w:type="dxa"/>
            <w:shd w:val="clear" w:color="auto" w:fill="auto"/>
          </w:tcPr>
          <w:p w14:paraId="59FE6A6B"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104579B1"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Nedažni</w:t>
            </w:r>
          </w:p>
          <w:p w14:paraId="545A4794" w14:textId="77777777" w:rsidR="00911D88" w:rsidRPr="00532388" w:rsidRDefault="00911D88" w:rsidP="00D37DA7">
            <w:pPr>
              <w:autoSpaceDE w:val="0"/>
              <w:autoSpaceDN w:val="0"/>
              <w:adjustRightInd w:val="0"/>
              <w:rPr>
                <w:rFonts w:eastAsia="TimesNewRoman"/>
                <w:sz w:val="22"/>
                <w:szCs w:val="22"/>
                <w:lang w:val="lt-LT" w:eastAsia="en-US"/>
              </w:rPr>
            </w:pPr>
          </w:p>
          <w:p w14:paraId="2678CF29" w14:textId="77777777" w:rsidR="00911D88" w:rsidRPr="00532388" w:rsidRDefault="00911D88" w:rsidP="00D37DA7">
            <w:pPr>
              <w:autoSpaceDE w:val="0"/>
              <w:autoSpaceDN w:val="0"/>
              <w:adjustRightInd w:val="0"/>
              <w:rPr>
                <w:rFonts w:eastAsia="TimesNewRoman"/>
                <w:sz w:val="22"/>
                <w:szCs w:val="22"/>
                <w:lang w:val="lt-LT" w:eastAsia="en-US"/>
              </w:rPr>
            </w:pPr>
          </w:p>
          <w:p w14:paraId="03B01BEF"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Reti</w:t>
            </w:r>
          </w:p>
        </w:tc>
        <w:tc>
          <w:tcPr>
            <w:tcW w:w="4644" w:type="dxa"/>
            <w:shd w:val="clear" w:color="auto" w:fill="auto"/>
          </w:tcPr>
          <w:p w14:paraId="162C509B"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Nemiga </w:t>
            </w:r>
          </w:p>
          <w:p w14:paraId="3D1D074D"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Depresija, orientacijos sutrikimas, nerimas, miego sutrikimas, nenormalūs sapnai, košmarai, lytinio potraukio susilpnėjimas</w:t>
            </w:r>
          </w:p>
          <w:p w14:paraId="1DADE945"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Sumišimo būklė, nuotaikos pokyčiai, nerimastingumas</w:t>
            </w:r>
          </w:p>
        </w:tc>
      </w:tr>
      <w:tr w:rsidR="00911D88" w:rsidRPr="00532388" w14:paraId="6E8636A8" w14:textId="77777777" w:rsidTr="00D37DA7">
        <w:tc>
          <w:tcPr>
            <w:tcW w:w="9288" w:type="dxa"/>
            <w:gridSpan w:val="2"/>
            <w:shd w:val="clear" w:color="auto" w:fill="auto"/>
          </w:tcPr>
          <w:p w14:paraId="698A0246"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Nervų sistemos sutrikimai</w:t>
            </w:r>
          </w:p>
        </w:tc>
      </w:tr>
      <w:tr w:rsidR="00F36135" w:rsidRPr="00532388" w14:paraId="32C72F31" w14:textId="77777777" w:rsidTr="00D37DA7">
        <w:tc>
          <w:tcPr>
            <w:tcW w:w="4644" w:type="dxa"/>
            <w:shd w:val="clear" w:color="auto" w:fill="auto"/>
          </w:tcPr>
          <w:p w14:paraId="2DEBB535"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46937491" w14:textId="77777777" w:rsidR="00911D88" w:rsidRPr="00532388" w:rsidRDefault="00911D88" w:rsidP="00D37DA7">
            <w:pPr>
              <w:autoSpaceDE w:val="0"/>
              <w:autoSpaceDN w:val="0"/>
              <w:adjustRightInd w:val="0"/>
              <w:rPr>
                <w:rFonts w:eastAsia="TimesNewRoman"/>
                <w:sz w:val="22"/>
                <w:szCs w:val="22"/>
                <w:lang w:val="lt-LT" w:eastAsia="en-US"/>
              </w:rPr>
            </w:pPr>
          </w:p>
          <w:p w14:paraId="21EBAF00"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Nedažni</w:t>
            </w:r>
          </w:p>
          <w:p w14:paraId="69A5620C" w14:textId="77777777" w:rsidR="00911D88" w:rsidRPr="00532388" w:rsidRDefault="00911D88" w:rsidP="00D37DA7">
            <w:pPr>
              <w:autoSpaceDE w:val="0"/>
              <w:autoSpaceDN w:val="0"/>
              <w:adjustRightInd w:val="0"/>
              <w:rPr>
                <w:rFonts w:eastAsia="TimesNewRoman"/>
                <w:sz w:val="22"/>
                <w:szCs w:val="22"/>
                <w:lang w:val="lt-LT" w:eastAsia="en-US"/>
              </w:rPr>
            </w:pPr>
          </w:p>
          <w:p w14:paraId="08AF5867" w14:textId="77777777" w:rsidR="00911D88" w:rsidRPr="00532388" w:rsidRDefault="00911D88" w:rsidP="00D37DA7">
            <w:pPr>
              <w:autoSpaceDE w:val="0"/>
              <w:autoSpaceDN w:val="0"/>
              <w:adjustRightInd w:val="0"/>
              <w:rPr>
                <w:rFonts w:eastAsia="TimesNewRoman"/>
                <w:sz w:val="22"/>
                <w:szCs w:val="22"/>
                <w:lang w:val="lt-LT" w:eastAsia="en-US"/>
              </w:rPr>
            </w:pPr>
          </w:p>
          <w:p w14:paraId="49DF2C6D"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Reti</w:t>
            </w:r>
          </w:p>
          <w:p w14:paraId="11B8369B" w14:textId="77777777" w:rsidR="00F36135" w:rsidRPr="00532388" w:rsidRDefault="00F36135" w:rsidP="00D37DA7">
            <w:pPr>
              <w:autoSpaceDE w:val="0"/>
              <w:autoSpaceDN w:val="0"/>
              <w:adjustRightInd w:val="0"/>
              <w:rPr>
                <w:rFonts w:eastAsia="Times New Roman"/>
                <w:noProof/>
                <w:sz w:val="22"/>
                <w:szCs w:val="22"/>
                <w:lang w:val="lt-LT" w:eastAsia="lt-LT" w:bidi="lt-LT"/>
              </w:rPr>
            </w:pPr>
          </w:p>
        </w:tc>
        <w:tc>
          <w:tcPr>
            <w:tcW w:w="4644" w:type="dxa"/>
            <w:shd w:val="clear" w:color="auto" w:fill="auto"/>
          </w:tcPr>
          <w:p w14:paraId="63138617"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Galvos skausmas, periferinė neuropatija, svaigulys </w:t>
            </w:r>
          </w:p>
          <w:p w14:paraId="7F0BF984"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Letargija, parestezija, hipestezija, skonio pojūčio išnykimas, dėmesio sutrikimas, atminties sutrikimas, somnolencija</w:t>
            </w:r>
          </w:p>
          <w:p w14:paraId="09704301"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Apalpimas, traukuliai, skonio pojūčio sutrikimas, miego fazių ritmo sutrikimas</w:t>
            </w:r>
          </w:p>
        </w:tc>
      </w:tr>
      <w:tr w:rsidR="00911D88" w:rsidRPr="00532388" w14:paraId="6CA48716" w14:textId="77777777" w:rsidTr="00D37DA7">
        <w:tc>
          <w:tcPr>
            <w:tcW w:w="9288" w:type="dxa"/>
            <w:gridSpan w:val="2"/>
            <w:shd w:val="clear" w:color="auto" w:fill="auto"/>
          </w:tcPr>
          <w:p w14:paraId="1E6A3CA0" w14:textId="77777777" w:rsidR="00911D88" w:rsidRPr="00532388" w:rsidRDefault="00911D88" w:rsidP="00D37DA7">
            <w:pPr>
              <w:autoSpaceDE w:val="0"/>
              <w:autoSpaceDN w:val="0"/>
              <w:adjustRightInd w:val="0"/>
              <w:rPr>
                <w:rFonts w:eastAsia="Times New Roman"/>
                <w:i/>
                <w:noProof/>
                <w:sz w:val="22"/>
                <w:szCs w:val="22"/>
                <w:lang w:val="lt-LT" w:eastAsia="lt-LT" w:bidi="lt-LT"/>
              </w:rPr>
            </w:pPr>
            <w:r w:rsidRPr="00532388">
              <w:rPr>
                <w:rFonts w:eastAsia="Times New Roman"/>
                <w:i/>
                <w:noProof/>
                <w:sz w:val="22"/>
                <w:szCs w:val="22"/>
                <w:lang w:val="lt-LT" w:eastAsia="lt-LT" w:bidi="lt-LT"/>
              </w:rPr>
              <w:t>Akių sutrikimai</w:t>
            </w:r>
          </w:p>
        </w:tc>
      </w:tr>
      <w:tr w:rsidR="00F36135" w:rsidRPr="00532388" w14:paraId="585FB608" w14:textId="77777777" w:rsidTr="00D37DA7">
        <w:tc>
          <w:tcPr>
            <w:tcW w:w="4644" w:type="dxa"/>
            <w:shd w:val="clear" w:color="auto" w:fill="auto"/>
          </w:tcPr>
          <w:p w14:paraId="7EDF4356"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Nedažni</w:t>
            </w:r>
          </w:p>
          <w:p w14:paraId="56272D42"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Reti</w:t>
            </w:r>
          </w:p>
        </w:tc>
        <w:tc>
          <w:tcPr>
            <w:tcW w:w="4644" w:type="dxa"/>
            <w:shd w:val="clear" w:color="auto" w:fill="auto"/>
          </w:tcPr>
          <w:p w14:paraId="38000FEC"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Junginės hiperemija, akių sausumas</w:t>
            </w:r>
          </w:p>
          <w:p w14:paraId="756FAD7E"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Regos sutrikimas</w:t>
            </w:r>
          </w:p>
        </w:tc>
      </w:tr>
      <w:tr w:rsidR="00911D88" w:rsidRPr="00532388" w14:paraId="5A6A8040" w14:textId="77777777" w:rsidTr="00D37DA7">
        <w:tc>
          <w:tcPr>
            <w:tcW w:w="9288" w:type="dxa"/>
            <w:gridSpan w:val="2"/>
            <w:shd w:val="clear" w:color="auto" w:fill="auto"/>
          </w:tcPr>
          <w:p w14:paraId="6AD7231A"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Ausų ir labirintų sutrikimai</w:t>
            </w:r>
          </w:p>
        </w:tc>
      </w:tr>
      <w:tr w:rsidR="00F36135" w:rsidRPr="00532388" w14:paraId="677B3DFE" w14:textId="77777777" w:rsidTr="00D37DA7">
        <w:tc>
          <w:tcPr>
            <w:tcW w:w="4644" w:type="dxa"/>
            <w:shd w:val="clear" w:color="auto" w:fill="auto"/>
          </w:tcPr>
          <w:p w14:paraId="42C6EEFE"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64CB54A6"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 xml:space="preserve">Galvos </w:t>
            </w:r>
            <w:r w:rsidR="00AA49EE">
              <w:rPr>
                <w:rFonts w:eastAsia="TimesNewRoman"/>
                <w:sz w:val="22"/>
                <w:szCs w:val="22"/>
                <w:lang w:val="lt-LT" w:eastAsia="en-US"/>
              </w:rPr>
              <w:t>svaigimas</w:t>
            </w:r>
            <w:r w:rsidRPr="00532388">
              <w:rPr>
                <w:rFonts w:eastAsia="TimesNewRoman"/>
                <w:sz w:val="22"/>
                <w:szCs w:val="22"/>
                <w:lang w:val="lt-LT" w:eastAsia="en-US"/>
              </w:rPr>
              <w:t xml:space="preserve"> (</w:t>
            </w:r>
            <w:r w:rsidRPr="00DD4E66">
              <w:rPr>
                <w:rFonts w:eastAsia="TimesNewRoman"/>
                <w:i/>
                <w:sz w:val="22"/>
                <w:szCs w:val="22"/>
                <w:lang w:val="lt-LT" w:eastAsia="en-US"/>
              </w:rPr>
              <w:t>vertigo</w:t>
            </w:r>
            <w:r w:rsidRPr="00532388">
              <w:rPr>
                <w:rFonts w:eastAsia="TimesNewRoman"/>
                <w:sz w:val="22"/>
                <w:szCs w:val="22"/>
                <w:lang w:val="lt-LT" w:eastAsia="en-US"/>
              </w:rPr>
              <w:t>)</w:t>
            </w:r>
          </w:p>
        </w:tc>
      </w:tr>
      <w:tr w:rsidR="00911D88" w:rsidRPr="00532388" w14:paraId="4C87D525" w14:textId="77777777" w:rsidTr="00D37DA7">
        <w:tc>
          <w:tcPr>
            <w:tcW w:w="9288" w:type="dxa"/>
            <w:gridSpan w:val="2"/>
            <w:shd w:val="clear" w:color="auto" w:fill="auto"/>
          </w:tcPr>
          <w:p w14:paraId="7E06235E"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Širdies sutrikimai</w:t>
            </w:r>
          </w:p>
        </w:tc>
      </w:tr>
      <w:tr w:rsidR="00F36135" w:rsidRPr="00532388" w14:paraId="266EB94B" w14:textId="77777777" w:rsidTr="00D37DA7">
        <w:tc>
          <w:tcPr>
            <w:tcW w:w="4644" w:type="dxa"/>
            <w:shd w:val="clear" w:color="auto" w:fill="auto"/>
          </w:tcPr>
          <w:p w14:paraId="1208B9FF" w14:textId="77777777" w:rsidR="00F36135"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p w14:paraId="73D41F09" w14:textId="77777777" w:rsidR="00911D88" w:rsidRPr="00532388" w:rsidRDefault="00911D88" w:rsidP="00D37DA7">
            <w:pPr>
              <w:autoSpaceDE w:val="0"/>
              <w:autoSpaceDN w:val="0"/>
              <w:adjustRightInd w:val="0"/>
              <w:rPr>
                <w:rFonts w:eastAsia="Times New Roman"/>
                <w:noProof/>
                <w:sz w:val="22"/>
                <w:szCs w:val="22"/>
                <w:lang w:val="lt-LT" w:eastAsia="lt-LT" w:bidi="lt-LT"/>
              </w:rPr>
            </w:pPr>
          </w:p>
          <w:p w14:paraId="2BB78D57" w14:textId="77777777" w:rsidR="00911D88" w:rsidRPr="00532388" w:rsidRDefault="00911D88" w:rsidP="00D37DA7">
            <w:pPr>
              <w:autoSpaceDE w:val="0"/>
              <w:autoSpaceDN w:val="0"/>
              <w:adjustRightInd w:val="0"/>
              <w:rPr>
                <w:rFonts w:eastAsia="Times New Roman"/>
                <w:noProof/>
                <w:sz w:val="22"/>
                <w:szCs w:val="22"/>
                <w:lang w:val="lt-LT" w:eastAsia="lt-LT" w:bidi="lt-LT"/>
              </w:rPr>
            </w:pPr>
          </w:p>
          <w:p w14:paraId="3BB5F9D4"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Reti</w:t>
            </w:r>
          </w:p>
        </w:tc>
        <w:tc>
          <w:tcPr>
            <w:tcW w:w="4644" w:type="dxa"/>
            <w:shd w:val="clear" w:color="auto" w:fill="auto"/>
          </w:tcPr>
          <w:p w14:paraId="4F3E0ED5"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Miokardo infarktas, krūtinės angina, QT interval</w:t>
            </w:r>
            <w:r w:rsidR="00AA49EE">
              <w:rPr>
                <w:rFonts w:eastAsia="TimesNewRoman"/>
                <w:sz w:val="22"/>
                <w:szCs w:val="22"/>
                <w:lang w:val="lt-LT" w:eastAsia="en-US"/>
              </w:rPr>
              <w:t>o</w:t>
            </w:r>
            <w:r w:rsidRPr="00532388">
              <w:rPr>
                <w:rFonts w:eastAsia="TimesNewRoman"/>
                <w:sz w:val="22"/>
                <w:szCs w:val="22"/>
                <w:lang w:val="lt-LT" w:eastAsia="en-US"/>
              </w:rPr>
              <w:t>elektrokardiogramoje pailgėjimas, tachikardija</w:t>
            </w:r>
          </w:p>
          <w:p w14:paraId="1ACBF2E6" w14:textId="77777777" w:rsidR="00875A14" w:rsidRPr="00532388" w:rsidRDefault="00875A14" w:rsidP="00D37DA7">
            <w:pPr>
              <w:autoSpaceDE w:val="0"/>
              <w:autoSpaceDN w:val="0"/>
              <w:adjustRightInd w:val="0"/>
              <w:rPr>
                <w:rFonts w:eastAsia="TimesNewRoman"/>
                <w:sz w:val="22"/>
                <w:szCs w:val="22"/>
                <w:lang w:val="lt-LT" w:eastAsia="en-US"/>
              </w:rPr>
            </w:pPr>
          </w:p>
          <w:p w14:paraId="1D321C27" w14:textId="77777777" w:rsidR="00F36135" w:rsidRPr="00532388" w:rsidRDefault="00875A14"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Ū</w:t>
            </w:r>
            <w:r w:rsidR="00911D88" w:rsidRPr="00532388">
              <w:rPr>
                <w:rFonts w:eastAsia="TimesNewRoman"/>
                <w:sz w:val="22"/>
                <w:szCs w:val="22"/>
                <w:lang w:val="lt-LT" w:eastAsia="en-US"/>
              </w:rPr>
              <w:t>minis miokardo infarktas, sinusinė bradikar</w:t>
            </w:r>
            <w:r w:rsidRPr="00532388">
              <w:rPr>
                <w:rFonts w:eastAsia="TimesNewRoman"/>
                <w:sz w:val="22"/>
                <w:szCs w:val="22"/>
                <w:lang w:val="lt-LT" w:eastAsia="en-US"/>
              </w:rPr>
              <w:t>d</w:t>
            </w:r>
            <w:r w:rsidR="00911D88" w:rsidRPr="00532388">
              <w:rPr>
                <w:rFonts w:eastAsia="TimesNewRoman"/>
                <w:sz w:val="22"/>
                <w:szCs w:val="22"/>
                <w:lang w:val="lt-LT" w:eastAsia="en-US"/>
              </w:rPr>
              <w:t>ija,</w:t>
            </w:r>
            <w:r w:rsidRPr="00532388">
              <w:rPr>
                <w:rFonts w:eastAsia="TimesNewRoman"/>
                <w:sz w:val="22"/>
                <w:szCs w:val="22"/>
                <w:lang w:val="lt-LT" w:eastAsia="en-US"/>
              </w:rPr>
              <w:t xml:space="preserve"> </w:t>
            </w:r>
            <w:r w:rsidR="00911D88" w:rsidRPr="00532388">
              <w:rPr>
                <w:rFonts w:eastAsia="TimesNewRoman"/>
                <w:sz w:val="22"/>
                <w:szCs w:val="22"/>
                <w:lang w:val="lt-LT" w:eastAsia="en-US"/>
              </w:rPr>
              <w:t>palpitacija</w:t>
            </w:r>
          </w:p>
        </w:tc>
      </w:tr>
      <w:tr w:rsidR="00875A14" w:rsidRPr="00532388" w14:paraId="777FA804" w14:textId="77777777" w:rsidTr="00D37DA7">
        <w:tc>
          <w:tcPr>
            <w:tcW w:w="9288" w:type="dxa"/>
            <w:gridSpan w:val="2"/>
            <w:shd w:val="clear" w:color="auto" w:fill="auto"/>
          </w:tcPr>
          <w:p w14:paraId="00C743C6"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Kraujagyslių sutrikimai</w:t>
            </w:r>
          </w:p>
        </w:tc>
      </w:tr>
      <w:tr w:rsidR="00F36135" w:rsidRPr="00532388" w14:paraId="326390DC" w14:textId="77777777" w:rsidTr="00D37DA7">
        <w:tc>
          <w:tcPr>
            <w:tcW w:w="4644" w:type="dxa"/>
            <w:shd w:val="clear" w:color="auto" w:fill="auto"/>
          </w:tcPr>
          <w:p w14:paraId="775D9E48"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tc>
        <w:tc>
          <w:tcPr>
            <w:tcW w:w="4644" w:type="dxa"/>
            <w:shd w:val="clear" w:color="auto" w:fill="auto"/>
          </w:tcPr>
          <w:p w14:paraId="5D8E2D0F" w14:textId="77777777" w:rsidR="00F36135" w:rsidRPr="00532388" w:rsidRDefault="00875A14"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Hipertenzija, kraujo samplūdis į veidą ir kaklą</w:t>
            </w:r>
          </w:p>
        </w:tc>
      </w:tr>
      <w:tr w:rsidR="00875A14" w:rsidRPr="00532388" w14:paraId="66A1BD6A" w14:textId="77777777" w:rsidTr="00D37DA7">
        <w:tc>
          <w:tcPr>
            <w:tcW w:w="4644" w:type="dxa"/>
            <w:shd w:val="clear" w:color="auto" w:fill="auto"/>
          </w:tcPr>
          <w:p w14:paraId="30B91DCA" w14:textId="77777777" w:rsidR="00875A14" w:rsidRPr="00532388" w:rsidRDefault="00875A14" w:rsidP="00D37DA7">
            <w:pPr>
              <w:autoSpaceDE w:val="0"/>
              <w:autoSpaceDN w:val="0"/>
              <w:adjustRightInd w:val="0"/>
              <w:rPr>
                <w:rFonts w:eastAsia="Times New Roman"/>
                <w:noProof/>
                <w:sz w:val="22"/>
                <w:szCs w:val="22"/>
                <w:lang w:val="lt-LT" w:eastAsia="lt-LT" w:bidi="lt-LT"/>
              </w:rPr>
            </w:pPr>
          </w:p>
        </w:tc>
        <w:tc>
          <w:tcPr>
            <w:tcW w:w="4644" w:type="dxa"/>
            <w:shd w:val="clear" w:color="auto" w:fill="auto"/>
          </w:tcPr>
          <w:p w14:paraId="48B8AE5E" w14:textId="77777777" w:rsidR="00875A14"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dusulys, kosulys, kraujavimas iš nosies, gerklės</w:t>
            </w:r>
          </w:p>
          <w:p w14:paraId="700619C6" w14:textId="77777777" w:rsidR="00875A14"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dirginimas</w:t>
            </w:r>
          </w:p>
          <w:p w14:paraId="3517A1AA" w14:textId="77777777" w:rsidR="00875A14"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išskyros iš nosies</w:t>
            </w:r>
          </w:p>
        </w:tc>
      </w:tr>
      <w:tr w:rsidR="00875A14" w:rsidRPr="00532388" w14:paraId="3A9F65FE" w14:textId="77777777" w:rsidTr="00D37DA7">
        <w:tc>
          <w:tcPr>
            <w:tcW w:w="9288" w:type="dxa"/>
            <w:gridSpan w:val="2"/>
            <w:shd w:val="clear" w:color="auto" w:fill="auto"/>
          </w:tcPr>
          <w:p w14:paraId="65EC705C"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Kvėpavimo sistemos, krūtinės ląstos ir tarpuplaučio sutrikimai</w:t>
            </w:r>
          </w:p>
        </w:tc>
      </w:tr>
      <w:tr w:rsidR="00875A14" w:rsidRPr="00532388" w14:paraId="311E2046" w14:textId="77777777" w:rsidTr="00D37DA7">
        <w:tc>
          <w:tcPr>
            <w:tcW w:w="4644" w:type="dxa"/>
            <w:shd w:val="clear" w:color="auto" w:fill="auto"/>
          </w:tcPr>
          <w:p w14:paraId="1018A2AF" w14:textId="77777777" w:rsidR="00875A14" w:rsidRPr="00532388" w:rsidRDefault="00875A14" w:rsidP="00D37DA7">
            <w:pPr>
              <w:autoSpaceDE w:val="0"/>
              <w:autoSpaceDN w:val="0"/>
              <w:adjustRightInd w:val="0"/>
              <w:rPr>
                <w:iCs/>
                <w:sz w:val="22"/>
                <w:szCs w:val="22"/>
                <w:lang w:val="lt-LT" w:eastAsia="en-US"/>
              </w:rPr>
            </w:pPr>
            <w:r w:rsidRPr="00532388">
              <w:rPr>
                <w:iCs/>
                <w:sz w:val="22"/>
                <w:szCs w:val="22"/>
                <w:lang w:val="lt-LT" w:eastAsia="en-US"/>
              </w:rPr>
              <w:t>Nedažni</w:t>
            </w:r>
          </w:p>
          <w:p w14:paraId="1C25CC26" w14:textId="77777777" w:rsidR="00875A14" w:rsidRPr="00532388" w:rsidRDefault="00875A14" w:rsidP="00D37DA7">
            <w:pPr>
              <w:autoSpaceDE w:val="0"/>
              <w:autoSpaceDN w:val="0"/>
              <w:adjustRightInd w:val="0"/>
              <w:rPr>
                <w:iCs/>
                <w:sz w:val="22"/>
                <w:szCs w:val="22"/>
                <w:lang w:val="lt-LT" w:eastAsia="en-US"/>
              </w:rPr>
            </w:pPr>
          </w:p>
          <w:p w14:paraId="71158699" w14:textId="77777777" w:rsidR="00875A14" w:rsidRPr="00532388" w:rsidRDefault="00875A14" w:rsidP="00D37DA7">
            <w:pPr>
              <w:autoSpaceDE w:val="0"/>
              <w:autoSpaceDN w:val="0"/>
              <w:adjustRightInd w:val="0"/>
              <w:rPr>
                <w:i/>
                <w:iCs/>
                <w:sz w:val="22"/>
                <w:szCs w:val="22"/>
                <w:lang w:val="lt-LT" w:eastAsia="en-US"/>
              </w:rPr>
            </w:pPr>
            <w:r w:rsidRPr="00532388">
              <w:rPr>
                <w:iCs/>
                <w:sz w:val="22"/>
                <w:szCs w:val="22"/>
                <w:lang w:val="lt-LT" w:eastAsia="en-US"/>
              </w:rPr>
              <w:t>Reti</w:t>
            </w:r>
          </w:p>
        </w:tc>
        <w:tc>
          <w:tcPr>
            <w:tcW w:w="4644" w:type="dxa"/>
            <w:shd w:val="clear" w:color="auto" w:fill="auto"/>
          </w:tcPr>
          <w:p w14:paraId="61D98FA5"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Dusulys, kosulys, kraujavimas iš nosies, gerklės dirginimas</w:t>
            </w:r>
          </w:p>
          <w:p w14:paraId="726894B7"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Išskyros iš nosies</w:t>
            </w:r>
          </w:p>
        </w:tc>
      </w:tr>
      <w:tr w:rsidR="00875A14" w:rsidRPr="00532388" w14:paraId="17CE6339" w14:textId="77777777" w:rsidTr="00D37DA7">
        <w:tc>
          <w:tcPr>
            <w:tcW w:w="9288" w:type="dxa"/>
            <w:gridSpan w:val="2"/>
            <w:shd w:val="clear" w:color="auto" w:fill="auto"/>
          </w:tcPr>
          <w:p w14:paraId="6BC8F791"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Virškinimo trakto sutrikimai</w:t>
            </w:r>
          </w:p>
        </w:tc>
      </w:tr>
      <w:tr w:rsidR="00911D88" w:rsidRPr="00532388" w14:paraId="270DDD16" w14:textId="77777777" w:rsidTr="00D37DA7">
        <w:tc>
          <w:tcPr>
            <w:tcW w:w="4644" w:type="dxa"/>
            <w:shd w:val="clear" w:color="auto" w:fill="auto"/>
          </w:tcPr>
          <w:p w14:paraId="63C14AC3"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Labai dažni </w:t>
            </w:r>
          </w:p>
          <w:p w14:paraId="095DF881"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75132249" w14:textId="77777777" w:rsidR="00911D88" w:rsidRPr="00532388" w:rsidRDefault="00911D88" w:rsidP="00D37DA7">
            <w:pPr>
              <w:autoSpaceDE w:val="0"/>
              <w:autoSpaceDN w:val="0"/>
              <w:adjustRightInd w:val="0"/>
              <w:rPr>
                <w:rFonts w:eastAsia="TimesNewRoman"/>
                <w:sz w:val="22"/>
                <w:szCs w:val="22"/>
                <w:lang w:val="lt-LT" w:eastAsia="en-US"/>
              </w:rPr>
            </w:pPr>
          </w:p>
          <w:p w14:paraId="7A1737E9" w14:textId="77777777" w:rsidR="00911D88" w:rsidRPr="00532388" w:rsidRDefault="00911D88" w:rsidP="00D37DA7">
            <w:pPr>
              <w:autoSpaceDE w:val="0"/>
              <w:autoSpaceDN w:val="0"/>
              <w:adjustRightInd w:val="0"/>
              <w:rPr>
                <w:rFonts w:eastAsia="TimesNewRoman"/>
                <w:sz w:val="22"/>
                <w:szCs w:val="22"/>
                <w:lang w:val="lt-LT" w:eastAsia="en-US"/>
              </w:rPr>
            </w:pPr>
          </w:p>
          <w:p w14:paraId="67C8ED56" w14:textId="77777777" w:rsidR="00911D88" w:rsidRPr="00532388" w:rsidRDefault="00911D88"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Nedažni</w:t>
            </w:r>
          </w:p>
          <w:p w14:paraId="2245FAA6" w14:textId="77777777" w:rsidR="00911D88" w:rsidRPr="00532388" w:rsidRDefault="00911D88" w:rsidP="00D37DA7">
            <w:pPr>
              <w:autoSpaceDE w:val="0"/>
              <w:autoSpaceDN w:val="0"/>
              <w:adjustRightInd w:val="0"/>
              <w:rPr>
                <w:rFonts w:eastAsia="TimesNewRoman"/>
                <w:sz w:val="22"/>
                <w:szCs w:val="22"/>
                <w:lang w:val="lt-LT" w:eastAsia="en-US"/>
              </w:rPr>
            </w:pPr>
          </w:p>
          <w:p w14:paraId="71AD7630" w14:textId="77777777" w:rsidR="00875A14" w:rsidRPr="00532388" w:rsidRDefault="00875A14" w:rsidP="00D37DA7">
            <w:pPr>
              <w:autoSpaceDE w:val="0"/>
              <w:autoSpaceDN w:val="0"/>
              <w:adjustRightInd w:val="0"/>
              <w:rPr>
                <w:rFonts w:eastAsia="TimesNewRoman"/>
                <w:sz w:val="22"/>
                <w:szCs w:val="22"/>
                <w:lang w:val="lt-LT" w:eastAsia="en-US"/>
              </w:rPr>
            </w:pPr>
          </w:p>
          <w:p w14:paraId="269BFF02" w14:textId="77777777" w:rsidR="00875A14" w:rsidRPr="00532388" w:rsidRDefault="00875A14" w:rsidP="00D37DA7">
            <w:pPr>
              <w:autoSpaceDE w:val="0"/>
              <w:autoSpaceDN w:val="0"/>
              <w:adjustRightInd w:val="0"/>
              <w:rPr>
                <w:rFonts w:eastAsia="TimesNewRoman"/>
                <w:sz w:val="22"/>
                <w:szCs w:val="22"/>
                <w:lang w:val="lt-LT" w:eastAsia="en-US"/>
              </w:rPr>
            </w:pPr>
          </w:p>
          <w:p w14:paraId="4992B509" w14:textId="77777777" w:rsidR="00875A14" w:rsidRPr="00532388" w:rsidRDefault="00875A14" w:rsidP="00D37DA7">
            <w:pPr>
              <w:autoSpaceDE w:val="0"/>
              <w:autoSpaceDN w:val="0"/>
              <w:adjustRightInd w:val="0"/>
              <w:rPr>
                <w:rFonts w:eastAsia="TimesNewRoman"/>
                <w:sz w:val="22"/>
                <w:szCs w:val="22"/>
                <w:lang w:val="lt-LT" w:eastAsia="en-US"/>
              </w:rPr>
            </w:pPr>
          </w:p>
          <w:p w14:paraId="1C37F4C9" w14:textId="77777777" w:rsidR="00911D88" w:rsidRPr="00532388" w:rsidRDefault="00911D88"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Reti</w:t>
            </w:r>
          </w:p>
        </w:tc>
        <w:tc>
          <w:tcPr>
            <w:tcW w:w="4644" w:type="dxa"/>
            <w:shd w:val="clear" w:color="auto" w:fill="auto"/>
          </w:tcPr>
          <w:p w14:paraId="29B686AE" w14:textId="77777777" w:rsidR="00911D88"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w:t>
            </w:r>
            <w:r w:rsidR="00911D88" w:rsidRPr="00532388">
              <w:rPr>
                <w:rFonts w:eastAsia="TimesNewRoman"/>
                <w:sz w:val="22"/>
                <w:szCs w:val="22"/>
                <w:lang w:val="lt-LT" w:eastAsia="en-US"/>
              </w:rPr>
              <w:t xml:space="preserve">iduriavimas </w:t>
            </w:r>
          </w:p>
          <w:p w14:paraId="5A599BDF" w14:textId="77777777" w:rsidR="00911D88"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w:t>
            </w:r>
            <w:r w:rsidR="00911D88" w:rsidRPr="00532388">
              <w:rPr>
                <w:rFonts w:eastAsia="TimesNewRoman"/>
                <w:sz w:val="22"/>
                <w:szCs w:val="22"/>
                <w:lang w:val="lt-LT" w:eastAsia="en-US"/>
              </w:rPr>
              <w:t>ėmimas, pykinimas, pilvo skausmas, amilazės</w:t>
            </w:r>
            <w:r w:rsidRPr="00532388">
              <w:rPr>
                <w:rFonts w:eastAsia="TimesNewRoman"/>
                <w:sz w:val="22"/>
                <w:szCs w:val="22"/>
                <w:lang w:val="lt-LT" w:eastAsia="en-US"/>
              </w:rPr>
              <w:t xml:space="preserve"> </w:t>
            </w:r>
            <w:r w:rsidR="00911D88" w:rsidRPr="00532388">
              <w:rPr>
                <w:rFonts w:eastAsia="TimesNewRoman"/>
                <w:sz w:val="22"/>
                <w:szCs w:val="22"/>
                <w:lang w:val="lt-LT" w:eastAsia="en-US"/>
              </w:rPr>
              <w:t>pa</w:t>
            </w:r>
            <w:r w:rsidR="00AA49EE">
              <w:rPr>
                <w:rFonts w:eastAsia="TimesNewRoman"/>
                <w:sz w:val="22"/>
                <w:szCs w:val="22"/>
                <w:lang w:val="lt-LT" w:eastAsia="en-US"/>
              </w:rPr>
              <w:t>didėjimas</w:t>
            </w:r>
            <w:r w:rsidR="00911D88" w:rsidRPr="00532388">
              <w:rPr>
                <w:rFonts w:eastAsia="TimesNewRoman"/>
                <w:sz w:val="22"/>
                <w:szCs w:val="22"/>
                <w:lang w:val="lt-LT" w:eastAsia="en-US"/>
              </w:rPr>
              <w:t xml:space="preserve"> kraujyje, dispepsija, pilvo</w:t>
            </w:r>
            <w:r w:rsidRPr="00532388">
              <w:rPr>
                <w:rFonts w:eastAsia="TimesNewRoman"/>
                <w:sz w:val="22"/>
                <w:szCs w:val="22"/>
                <w:lang w:val="lt-LT" w:eastAsia="en-US"/>
              </w:rPr>
              <w:t xml:space="preserve"> </w:t>
            </w:r>
            <w:r w:rsidR="00911D88" w:rsidRPr="00532388">
              <w:rPr>
                <w:rFonts w:eastAsia="TimesNewRoman"/>
                <w:sz w:val="22"/>
                <w:szCs w:val="22"/>
                <w:lang w:val="lt-LT" w:eastAsia="en-US"/>
              </w:rPr>
              <w:t>įtempimas, dujų susikaupimas virškinimo trakte</w:t>
            </w:r>
          </w:p>
          <w:p w14:paraId="3ABDB1F9" w14:textId="77777777" w:rsidR="00911D88" w:rsidRPr="00532388" w:rsidRDefault="00875A14"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w:t>
            </w:r>
            <w:r w:rsidR="00911D88" w:rsidRPr="00532388">
              <w:rPr>
                <w:rFonts w:eastAsia="TimesNewRoman"/>
                <w:sz w:val="22"/>
                <w:szCs w:val="22"/>
                <w:lang w:val="lt-LT" w:eastAsia="en-US"/>
              </w:rPr>
              <w:t>nkreatitas, gastritas, gastroezofaginio reflukso</w:t>
            </w:r>
            <w:r w:rsidRPr="00532388">
              <w:rPr>
                <w:rFonts w:eastAsia="TimesNewRoman"/>
                <w:sz w:val="22"/>
                <w:szCs w:val="22"/>
                <w:lang w:val="lt-LT" w:eastAsia="en-US"/>
              </w:rPr>
              <w:t xml:space="preserve"> </w:t>
            </w:r>
            <w:r w:rsidR="00911D88" w:rsidRPr="00532388">
              <w:rPr>
                <w:rFonts w:eastAsia="TimesNewRoman"/>
                <w:sz w:val="22"/>
                <w:szCs w:val="22"/>
                <w:lang w:val="lt-LT" w:eastAsia="en-US"/>
              </w:rPr>
              <w:t>liga, aftinis stomatitas, žiaukčiojimas, burnos</w:t>
            </w:r>
            <w:r w:rsidRPr="00532388">
              <w:rPr>
                <w:rFonts w:eastAsia="TimesNewRoman"/>
                <w:sz w:val="22"/>
                <w:szCs w:val="22"/>
                <w:lang w:val="lt-LT" w:eastAsia="en-US"/>
              </w:rPr>
              <w:t xml:space="preserve"> </w:t>
            </w:r>
            <w:r w:rsidR="00911D88" w:rsidRPr="00532388">
              <w:rPr>
                <w:rFonts w:eastAsia="TimesNewRoman"/>
                <w:sz w:val="22"/>
                <w:szCs w:val="22"/>
                <w:lang w:val="lt-LT" w:eastAsia="en-US"/>
              </w:rPr>
              <w:t>džiūvimas, nemalonūs pojūčiai pilve, vidurių</w:t>
            </w:r>
            <w:r w:rsidRPr="00532388">
              <w:rPr>
                <w:rFonts w:eastAsia="TimesNewRoman"/>
                <w:sz w:val="22"/>
                <w:szCs w:val="22"/>
                <w:lang w:val="lt-LT" w:eastAsia="en-US"/>
              </w:rPr>
              <w:t xml:space="preserve"> </w:t>
            </w:r>
            <w:r w:rsidR="00911D88" w:rsidRPr="00532388">
              <w:rPr>
                <w:rFonts w:eastAsia="TimesNewRoman"/>
                <w:sz w:val="22"/>
                <w:szCs w:val="22"/>
                <w:lang w:val="lt-LT" w:eastAsia="en-US"/>
              </w:rPr>
              <w:t>užkietėjimas, lipazės suaktyvėjimas, raugėjimas,</w:t>
            </w:r>
            <w:r w:rsidRPr="00532388">
              <w:rPr>
                <w:rFonts w:eastAsia="TimesNewRoman"/>
                <w:sz w:val="22"/>
                <w:szCs w:val="22"/>
                <w:lang w:val="lt-LT" w:eastAsia="en-US"/>
              </w:rPr>
              <w:t xml:space="preserve"> </w:t>
            </w:r>
            <w:r w:rsidR="00911D88" w:rsidRPr="00532388">
              <w:rPr>
                <w:rFonts w:eastAsia="TimesNewRoman"/>
                <w:sz w:val="22"/>
                <w:szCs w:val="22"/>
                <w:lang w:val="lt-LT" w:eastAsia="en-US"/>
              </w:rPr>
              <w:t>burnos dizestezija</w:t>
            </w:r>
          </w:p>
          <w:p w14:paraId="1A616FE1" w14:textId="77777777" w:rsidR="00911D88" w:rsidRPr="00532388" w:rsidRDefault="00875A14"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S</w:t>
            </w:r>
            <w:r w:rsidR="00911D88" w:rsidRPr="00532388">
              <w:rPr>
                <w:rFonts w:eastAsia="TimesNewRoman"/>
                <w:sz w:val="22"/>
                <w:szCs w:val="22"/>
                <w:lang w:val="lt-LT" w:eastAsia="en-US"/>
              </w:rPr>
              <w:t>tomatitas, vėmimas krauju, lūpos uždegimas, lūpų</w:t>
            </w:r>
            <w:r w:rsidRPr="00532388">
              <w:rPr>
                <w:rFonts w:eastAsia="TimesNewRoman"/>
                <w:sz w:val="22"/>
                <w:szCs w:val="22"/>
                <w:lang w:val="lt-LT" w:eastAsia="en-US"/>
              </w:rPr>
              <w:t xml:space="preserve"> </w:t>
            </w:r>
            <w:r w:rsidR="00911D88" w:rsidRPr="00532388">
              <w:rPr>
                <w:rFonts w:eastAsia="TimesNewRoman"/>
                <w:sz w:val="22"/>
                <w:szCs w:val="22"/>
                <w:lang w:val="lt-LT" w:eastAsia="en-US"/>
              </w:rPr>
              <w:t>sausumas, liežuvio apnašos</w:t>
            </w:r>
          </w:p>
        </w:tc>
      </w:tr>
      <w:tr w:rsidR="00875A14" w:rsidRPr="00532388" w14:paraId="1C68EC03" w14:textId="77777777" w:rsidTr="00D37DA7">
        <w:tc>
          <w:tcPr>
            <w:tcW w:w="9288" w:type="dxa"/>
            <w:gridSpan w:val="2"/>
            <w:shd w:val="clear" w:color="auto" w:fill="auto"/>
          </w:tcPr>
          <w:p w14:paraId="59E7605E"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Kepenų, tulžies pūslės ir latakų sutrikimai</w:t>
            </w:r>
          </w:p>
        </w:tc>
      </w:tr>
      <w:tr w:rsidR="00911D88" w:rsidRPr="00532388" w14:paraId="05A5F469" w14:textId="77777777" w:rsidTr="00D37DA7">
        <w:tc>
          <w:tcPr>
            <w:tcW w:w="4644" w:type="dxa"/>
            <w:shd w:val="clear" w:color="auto" w:fill="auto"/>
          </w:tcPr>
          <w:p w14:paraId="0032FE38" w14:textId="77777777" w:rsidR="00ED6723"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3F4F56A0" w14:textId="77777777" w:rsidR="00911D88"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61BB1F60" w14:textId="77777777" w:rsidR="00911D88"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Alanino aminotransferazės aktyvumo padidėjimas</w:t>
            </w:r>
          </w:p>
          <w:p w14:paraId="62AF99A3"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 xml:space="preserve">Hepatitas, citolizinis hepatitas, kepenų steatozė, hepatomegalija, transaminazių aktyvumo padidėjimas, aspartato </w:t>
            </w:r>
            <w:r w:rsidRPr="00532388">
              <w:rPr>
                <w:rFonts w:eastAsia="TimesNewRoman"/>
                <w:sz w:val="22"/>
                <w:szCs w:val="22"/>
                <w:lang w:val="lt-LT" w:eastAsia="en-US"/>
              </w:rPr>
              <w:lastRenderedPageBreak/>
              <w:t>aminotransferazės aktyvumo padidėjimas, bilirubino padaugėjimas kraujyje, šarminės fosfatazės aktyvumo padidėjimas kraujyje, gama gliutamiltransferazės aktyvumo padidėjimas</w:t>
            </w:r>
          </w:p>
        </w:tc>
      </w:tr>
      <w:tr w:rsidR="00875A14" w:rsidRPr="00532388" w14:paraId="2C5B1855" w14:textId="77777777" w:rsidTr="00D37DA7">
        <w:tc>
          <w:tcPr>
            <w:tcW w:w="9288" w:type="dxa"/>
            <w:gridSpan w:val="2"/>
            <w:shd w:val="clear" w:color="auto" w:fill="auto"/>
          </w:tcPr>
          <w:p w14:paraId="4A9E0CBA"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lastRenderedPageBreak/>
              <w:t>Odos ir poodinio audinio sutrikimai</w:t>
            </w:r>
          </w:p>
        </w:tc>
      </w:tr>
      <w:tr w:rsidR="00911D88" w:rsidRPr="00532388" w14:paraId="765D24EB" w14:textId="77777777" w:rsidTr="00D37DA7">
        <w:tc>
          <w:tcPr>
            <w:tcW w:w="4644" w:type="dxa"/>
            <w:shd w:val="clear" w:color="auto" w:fill="auto"/>
          </w:tcPr>
          <w:p w14:paraId="3DC149C6" w14:textId="77777777" w:rsidR="00911D88"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Dažni</w:t>
            </w:r>
          </w:p>
          <w:p w14:paraId="3B38030D"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6ED9E68E"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386ED7D0"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p w14:paraId="0F5A14B7"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0DD97545"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6A7481CD"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12A475FC"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Reti</w:t>
            </w:r>
          </w:p>
          <w:p w14:paraId="4A4EF639"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5248D2F4"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4ED1CA35"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61473ED9"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Dažnis nežinomas</w:t>
            </w:r>
          </w:p>
        </w:tc>
        <w:tc>
          <w:tcPr>
            <w:tcW w:w="4644" w:type="dxa"/>
            <w:shd w:val="clear" w:color="auto" w:fill="auto"/>
          </w:tcPr>
          <w:p w14:paraId="054304BF" w14:textId="77777777" w:rsidR="00ED6723"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Išbėrimas (įskaitant makulinį, makulopapulinį, papulinį, eriteminį ir niežtintįjį išbėrimą), niež</w:t>
            </w:r>
            <w:r w:rsidR="002477A7">
              <w:rPr>
                <w:rFonts w:eastAsia="TimesNewRoman"/>
                <w:sz w:val="22"/>
                <w:szCs w:val="22"/>
                <w:lang w:val="lt-LT" w:eastAsia="en-US"/>
              </w:rPr>
              <w:t>ėjimas</w:t>
            </w:r>
          </w:p>
          <w:p w14:paraId="7719B4CD" w14:textId="77777777" w:rsidR="00911D88"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Angioneurozinė edema, generalizuotas išbėrimas, alerginis dermatitas, dilgėlinė, egzema, eritema, hiperhidrozė, naktinis prakaitavimas, alopecija, spuogai, odos sausumas, nagų pigmentacija</w:t>
            </w:r>
          </w:p>
          <w:p w14:paraId="303A1D20" w14:textId="77777777" w:rsidR="00ED6723"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DRESS, Stivenso-Džonsono sindromas, daugiaformė eritema, dermatitas, seborėjinis dermatitas, odos pažaida, nenormalus odos sausumas</w:t>
            </w:r>
          </w:p>
          <w:p w14:paraId="407C29D2"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Toksinė epidermio nekrolizė, ūminė generalizuota egzanteminė pustuliozė</w:t>
            </w:r>
          </w:p>
        </w:tc>
      </w:tr>
      <w:tr w:rsidR="00875A14" w:rsidRPr="00532388" w14:paraId="3080AF6E" w14:textId="77777777" w:rsidTr="00D37DA7">
        <w:tc>
          <w:tcPr>
            <w:tcW w:w="9288" w:type="dxa"/>
            <w:gridSpan w:val="2"/>
            <w:shd w:val="clear" w:color="auto" w:fill="auto"/>
          </w:tcPr>
          <w:p w14:paraId="6E5E3E15"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Skeleto, raumenų ir jungiamojo audinio sutrikimai</w:t>
            </w:r>
          </w:p>
        </w:tc>
      </w:tr>
      <w:tr w:rsidR="00F36135" w:rsidRPr="00532388" w14:paraId="127A0A93" w14:textId="77777777" w:rsidTr="00D37DA7">
        <w:tc>
          <w:tcPr>
            <w:tcW w:w="4644" w:type="dxa"/>
            <w:shd w:val="clear" w:color="auto" w:fill="auto"/>
          </w:tcPr>
          <w:p w14:paraId="53D6D5EB" w14:textId="77777777" w:rsidR="00F36135"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p w14:paraId="73D972BB"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78137261"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1D17FC96"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3C41B805" w14:textId="77777777" w:rsidR="00ED6723" w:rsidRPr="00532388" w:rsidRDefault="00E51CF4" w:rsidP="00D37DA7">
            <w:pPr>
              <w:autoSpaceDE w:val="0"/>
              <w:autoSpaceDN w:val="0"/>
              <w:adjustRightInd w:val="0"/>
              <w:rPr>
                <w:rFonts w:eastAsia="Times New Roman"/>
                <w:noProof/>
                <w:sz w:val="22"/>
                <w:szCs w:val="22"/>
                <w:lang w:val="lt-LT" w:eastAsia="lt-LT" w:bidi="lt-LT"/>
              </w:rPr>
            </w:pPr>
            <w:r>
              <w:rPr>
                <w:rFonts w:eastAsia="Times New Roman"/>
                <w:noProof/>
                <w:sz w:val="22"/>
                <w:szCs w:val="22"/>
                <w:lang w:val="lt-LT" w:eastAsia="lt-LT" w:bidi="lt-LT"/>
              </w:rPr>
              <w:t>Reti</w:t>
            </w:r>
          </w:p>
          <w:p w14:paraId="403D7421" w14:textId="77777777" w:rsidR="00ED6723" w:rsidRPr="00532388" w:rsidRDefault="00ED6723" w:rsidP="00D37DA7">
            <w:pPr>
              <w:autoSpaceDE w:val="0"/>
              <w:autoSpaceDN w:val="0"/>
              <w:adjustRightInd w:val="0"/>
              <w:rPr>
                <w:rFonts w:eastAsia="Times New Roman"/>
                <w:noProof/>
                <w:sz w:val="22"/>
                <w:szCs w:val="22"/>
                <w:lang w:val="lt-LT" w:eastAsia="lt-LT" w:bidi="lt-LT"/>
              </w:rPr>
            </w:pPr>
          </w:p>
        </w:tc>
        <w:tc>
          <w:tcPr>
            <w:tcW w:w="4644" w:type="dxa"/>
            <w:shd w:val="clear" w:color="auto" w:fill="auto"/>
          </w:tcPr>
          <w:p w14:paraId="109CE770" w14:textId="77777777" w:rsidR="00ED6723"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Mialgija, osteonekrozė, raumenų spazmai, raumenų silpnumas, artralgija, galūnės skausmas, osteoporozė, kreatinfosfokinazės padaugėjimas kraujyje</w:t>
            </w:r>
          </w:p>
          <w:p w14:paraId="6E67782B" w14:textId="77777777" w:rsidR="00F36135"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Skeleto raumenų sąstingis, artritas, sąnarių sąstingis</w:t>
            </w:r>
          </w:p>
        </w:tc>
      </w:tr>
      <w:tr w:rsidR="00875A14" w:rsidRPr="00532388" w14:paraId="33170D52" w14:textId="77777777" w:rsidTr="00D37DA7">
        <w:tc>
          <w:tcPr>
            <w:tcW w:w="9288" w:type="dxa"/>
            <w:gridSpan w:val="2"/>
            <w:shd w:val="clear" w:color="auto" w:fill="auto"/>
          </w:tcPr>
          <w:p w14:paraId="6EF4741A"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Inkstų ir šlapimo takų sutrikimai</w:t>
            </w:r>
          </w:p>
        </w:tc>
      </w:tr>
      <w:tr w:rsidR="00F36135" w:rsidRPr="00532388" w14:paraId="06305979" w14:textId="77777777" w:rsidTr="00D37DA7">
        <w:tc>
          <w:tcPr>
            <w:tcW w:w="4644" w:type="dxa"/>
            <w:shd w:val="clear" w:color="auto" w:fill="auto"/>
          </w:tcPr>
          <w:p w14:paraId="1666D0A4" w14:textId="77777777" w:rsidR="00F36135"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p w14:paraId="015EF2DB"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329775C7"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778E324D"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252CA59A" w14:textId="77777777" w:rsidR="00ED6723" w:rsidRPr="00532388" w:rsidRDefault="00ED6723" w:rsidP="00D37DA7">
            <w:pPr>
              <w:autoSpaceDE w:val="0"/>
              <w:autoSpaceDN w:val="0"/>
              <w:adjustRightInd w:val="0"/>
              <w:rPr>
                <w:rFonts w:eastAsia="Times New Roman"/>
                <w:noProof/>
                <w:sz w:val="22"/>
                <w:szCs w:val="22"/>
                <w:lang w:val="lt-LT" w:eastAsia="lt-LT" w:bidi="lt-LT"/>
              </w:rPr>
            </w:pPr>
          </w:p>
          <w:p w14:paraId="3CD9DD49" w14:textId="77777777" w:rsidR="00ED6723"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Reti</w:t>
            </w:r>
          </w:p>
        </w:tc>
        <w:tc>
          <w:tcPr>
            <w:tcW w:w="4644" w:type="dxa"/>
            <w:shd w:val="clear" w:color="auto" w:fill="auto"/>
          </w:tcPr>
          <w:p w14:paraId="0D0B1948" w14:textId="77777777" w:rsidR="00ED6723" w:rsidRPr="00532388" w:rsidRDefault="00ED6723"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ūminis inkstų funkcijos nepakankamumas, inkstų lėtinė liga, inkstų akmenligė, kreatinino padaugėjimas kraujyje, proteinurija, bilirubinurija, dizurija, šlapinimasis naktį, dažnas šlapinimasis</w:t>
            </w:r>
          </w:p>
          <w:p w14:paraId="7DD597E0" w14:textId="77777777" w:rsidR="00F36135"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Kreatinino klirenso per inkstus sumažėjimas</w:t>
            </w:r>
          </w:p>
        </w:tc>
      </w:tr>
      <w:tr w:rsidR="00875A14" w:rsidRPr="00532388" w14:paraId="004B96F6" w14:textId="77777777" w:rsidTr="00D37DA7">
        <w:tc>
          <w:tcPr>
            <w:tcW w:w="9288" w:type="dxa"/>
            <w:gridSpan w:val="2"/>
            <w:shd w:val="clear" w:color="auto" w:fill="auto"/>
          </w:tcPr>
          <w:p w14:paraId="07E53C6B"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Lytinės sistemos ir krūties sutrikimai</w:t>
            </w:r>
          </w:p>
        </w:tc>
      </w:tr>
      <w:tr w:rsidR="00875A14" w:rsidRPr="00532388" w14:paraId="6AA89343" w14:textId="77777777" w:rsidTr="00D37DA7">
        <w:tc>
          <w:tcPr>
            <w:tcW w:w="4644" w:type="dxa"/>
            <w:shd w:val="clear" w:color="auto" w:fill="auto"/>
          </w:tcPr>
          <w:p w14:paraId="6EEB16C8" w14:textId="77777777" w:rsidR="00875A14"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tc>
        <w:tc>
          <w:tcPr>
            <w:tcW w:w="4644" w:type="dxa"/>
            <w:shd w:val="clear" w:color="auto" w:fill="auto"/>
          </w:tcPr>
          <w:p w14:paraId="4BD5F86F" w14:textId="77777777" w:rsidR="00875A14"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Erekcijos sutrikimas, ginekomastija</w:t>
            </w:r>
          </w:p>
        </w:tc>
      </w:tr>
      <w:tr w:rsidR="00875A14" w:rsidRPr="00532388" w14:paraId="3B9CED2A" w14:textId="77777777" w:rsidTr="00D37DA7">
        <w:tc>
          <w:tcPr>
            <w:tcW w:w="9288" w:type="dxa"/>
            <w:gridSpan w:val="2"/>
            <w:shd w:val="clear" w:color="auto" w:fill="auto"/>
          </w:tcPr>
          <w:p w14:paraId="6026627B" w14:textId="77777777" w:rsidR="00875A14" w:rsidRPr="00532388" w:rsidRDefault="00875A14"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Bendrieji sutrikimai ir vartojimo vietos pažeidimai</w:t>
            </w:r>
          </w:p>
        </w:tc>
      </w:tr>
      <w:tr w:rsidR="00875A14" w:rsidRPr="00532388" w14:paraId="5BE1BDC5" w14:textId="77777777" w:rsidTr="00D37DA7">
        <w:tc>
          <w:tcPr>
            <w:tcW w:w="4644" w:type="dxa"/>
            <w:shd w:val="clear" w:color="auto" w:fill="auto"/>
          </w:tcPr>
          <w:p w14:paraId="0E432DFE"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Dažni</w:t>
            </w:r>
          </w:p>
          <w:p w14:paraId="4248128F"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Nedažni</w:t>
            </w:r>
          </w:p>
          <w:p w14:paraId="61FCD502" w14:textId="77777777" w:rsidR="00714EDA" w:rsidRPr="00532388" w:rsidRDefault="00714EDA" w:rsidP="00D37DA7">
            <w:pPr>
              <w:autoSpaceDE w:val="0"/>
              <w:autoSpaceDN w:val="0"/>
              <w:adjustRightInd w:val="0"/>
              <w:rPr>
                <w:rFonts w:eastAsia="TimesNewRoman"/>
                <w:sz w:val="22"/>
                <w:szCs w:val="22"/>
                <w:lang w:val="lt-LT" w:eastAsia="en-US"/>
              </w:rPr>
            </w:pPr>
          </w:p>
          <w:p w14:paraId="3B849E7F" w14:textId="77777777" w:rsidR="00714EDA" w:rsidRPr="00532388" w:rsidRDefault="00714EDA" w:rsidP="00D37DA7">
            <w:pPr>
              <w:autoSpaceDE w:val="0"/>
              <w:autoSpaceDN w:val="0"/>
              <w:adjustRightInd w:val="0"/>
              <w:rPr>
                <w:rFonts w:eastAsia="TimesNewRoman"/>
                <w:sz w:val="22"/>
                <w:szCs w:val="22"/>
                <w:lang w:val="lt-LT" w:eastAsia="en-US"/>
              </w:rPr>
            </w:pPr>
          </w:p>
          <w:p w14:paraId="69C12FC6"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Reti</w:t>
            </w:r>
          </w:p>
          <w:p w14:paraId="33529D44" w14:textId="77777777" w:rsidR="00875A14" w:rsidRPr="00532388" w:rsidRDefault="00875A14" w:rsidP="00D37DA7">
            <w:pPr>
              <w:autoSpaceDE w:val="0"/>
              <w:autoSpaceDN w:val="0"/>
              <w:adjustRightInd w:val="0"/>
              <w:rPr>
                <w:rFonts w:eastAsia="Times New Roman"/>
                <w:noProof/>
                <w:sz w:val="22"/>
                <w:szCs w:val="22"/>
                <w:lang w:val="lt-LT" w:eastAsia="lt-LT" w:bidi="lt-LT"/>
              </w:rPr>
            </w:pPr>
          </w:p>
        </w:tc>
        <w:tc>
          <w:tcPr>
            <w:tcW w:w="4644" w:type="dxa"/>
            <w:shd w:val="clear" w:color="auto" w:fill="auto"/>
          </w:tcPr>
          <w:p w14:paraId="0368077C" w14:textId="77777777" w:rsidR="00ED6723"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A</w:t>
            </w:r>
            <w:r w:rsidR="00ED6723" w:rsidRPr="00532388">
              <w:rPr>
                <w:rFonts w:eastAsia="TimesNewRoman"/>
                <w:sz w:val="22"/>
                <w:szCs w:val="22"/>
                <w:lang w:val="lt-LT" w:eastAsia="en-US"/>
              </w:rPr>
              <w:t>stenija, nuovargis</w:t>
            </w:r>
          </w:p>
          <w:p w14:paraId="48F3C1FD"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w:t>
            </w:r>
            <w:r w:rsidR="00ED6723" w:rsidRPr="00532388">
              <w:rPr>
                <w:rFonts w:eastAsia="TimesNewRoman"/>
                <w:sz w:val="22"/>
                <w:szCs w:val="22"/>
                <w:lang w:val="lt-LT" w:eastAsia="en-US"/>
              </w:rPr>
              <w:t>arščiavimas, krūtinės skausmas, periferinė edema,</w:t>
            </w:r>
            <w:r w:rsidRPr="00532388">
              <w:rPr>
                <w:rFonts w:eastAsia="TimesNewRoman"/>
                <w:sz w:val="22"/>
                <w:szCs w:val="22"/>
                <w:lang w:val="lt-LT" w:eastAsia="en-US"/>
              </w:rPr>
              <w:t xml:space="preserve"> </w:t>
            </w:r>
            <w:r w:rsidR="00ED6723" w:rsidRPr="00532388">
              <w:rPr>
                <w:rFonts w:eastAsia="TimesNewRoman"/>
                <w:sz w:val="22"/>
                <w:szCs w:val="22"/>
                <w:lang w:val="lt-LT" w:eastAsia="en-US"/>
              </w:rPr>
              <w:t>negalavimas, karščio pojūtis, dirglumas, skausmas</w:t>
            </w:r>
            <w:r w:rsidRPr="00532388">
              <w:rPr>
                <w:rFonts w:eastAsia="TimesNewRoman"/>
                <w:sz w:val="22"/>
                <w:szCs w:val="22"/>
                <w:lang w:val="lt-LT" w:eastAsia="en-US"/>
              </w:rPr>
              <w:t xml:space="preserve"> </w:t>
            </w:r>
          </w:p>
          <w:p w14:paraId="4A65EB9D" w14:textId="77777777" w:rsidR="00ED6723"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Š</w:t>
            </w:r>
            <w:r w:rsidR="00ED6723" w:rsidRPr="00532388">
              <w:rPr>
                <w:rFonts w:eastAsia="TimesNewRoman"/>
                <w:sz w:val="22"/>
                <w:szCs w:val="22"/>
                <w:lang w:val="lt-LT" w:eastAsia="en-US"/>
              </w:rPr>
              <w:t>altkrėtis, nenormalūs jutimai, odos ir gleivinių</w:t>
            </w:r>
          </w:p>
          <w:p w14:paraId="430CC4AB" w14:textId="77777777" w:rsidR="00875A14" w:rsidRPr="00532388" w:rsidRDefault="00ED6723"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sausumas</w:t>
            </w:r>
          </w:p>
        </w:tc>
      </w:tr>
    </w:tbl>
    <w:p w14:paraId="7E3A0CBF" w14:textId="77777777" w:rsidR="00714EDA" w:rsidRPr="00532388" w:rsidRDefault="00714EDA" w:rsidP="00714EDA">
      <w:pPr>
        <w:autoSpaceDE w:val="0"/>
        <w:autoSpaceDN w:val="0"/>
        <w:adjustRightInd w:val="0"/>
        <w:rPr>
          <w:i/>
          <w:iCs/>
          <w:sz w:val="22"/>
          <w:szCs w:val="22"/>
          <w:lang w:val="lt-LT" w:eastAsia="en-US"/>
        </w:rPr>
      </w:pPr>
    </w:p>
    <w:p w14:paraId="140807F5" w14:textId="77777777" w:rsidR="00F36135" w:rsidRPr="00532388" w:rsidRDefault="00714EDA" w:rsidP="00714EDA">
      <w:pPr>
        <w:autoSpaceDE w:val="0"/>
        <w:autoSpaceDN w:val="0"/>
        <w:adjustRightInd w:val="0"/>
        <w:rPr>
          <w:i/>
          <w:iCs/>
          <w:sz w:val="22"/>
          <w:szCs w:val="22"/>
          <w:lang w:val="lt-LT" w:eastAsia="en-US"/>
        </w:rPr>
      </w:pPr>
      <w:r w:rsidRPr="00532388">
        <w:rPr>
          <w:i/>
          <w:iCs/>
          <w:sz w:val="22"/>
          <w:szCs w:val="22"/>
          <w:lang w:val="lt-LT" w:eastAsia="en-US"/>
        </w:rPr>
        <w:t>Nepageidaujamos reakcijos, stebėtos vartojant darunavirą/kobicistatą, nustatytos suaugusiems</w:t>
      </w:r>
      <w:r w:rsidR="003B402A" w:rsidRPr="00532388">
        <w:rPr>
          <w:i/>
          <w:iCs/>
          <w:sz w:val="22"/>
          <w:szCs w:val="22"/>
          <w:lang w:val="lt-LT" w:eastAsia="en-US"/>
        </w:rPr>
        <w:t xml:space="preserve"> p</w:t>
      </w:r>
      <w:r w:rsidRPr="00532388">
        <w:rPr>
          <w:i/>
          <w:iCs/>
          <w:sz w:val="22"/>
          <w:szCs w:val="22"/>
          <w:lang w:val="lt-LT" w:eastAsia="en-US"/>
        </w:rPr>
        <w:t>acientams</w:t>
      </w:r>
    </w:p>
    <w:p w14:paraId="1325EC31" w14:textId="77777777" w:rsidR="00714EDA" w:rsidRPr="00532388" w:rsidRDefault="00714EDA" w:rsidP="00714EDA">
      <w:pPr>
        <w:autoSpaceDE w:val="0"/>
        <w:autoSpaceDN w:val="0"/>
        <w:adjustRightInd w:val="0"/>
        <w:rPr>
          <w:rFonts w:eastAsia="TimesNewRoman"/>
          <w:i/>
          <w:iCs/>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0"/>
      </w:tblGrid>
      <w:tr w:rsidR="00714EDA" w:rsidRPr="00532388" w14:paraId="470DE35C" w14:textId="77777777" w:rsidTr="00D37DA7">
        <w:tc>
          <w:tcPr>
            <w:tcW w:w="4644" w:type="dxa"/>
            <w:shd w:val="clear" w:color="auto" w:fill="auto"/>
          </w:tcPr>
          <w:p w14:paraId="30E2D165"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MedDRA organų sistemų klasė</w:t>
            </w:r>
          </w:p>
          <w:p w14:paraId="0887CF02"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Dažnio kategorija</w:t>
            </w:r>
          </w:p>
        </w:tc>
        <w:tc>
          <w:tcPr>
            <w:tcW w:w="4644" w:type="dxa"/>
            <w:shd w:val="clear" w:color="auto" w:fill="auto"/>
          </w:tcPr>
          <w:p w14:paraId="5D1D45DC"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Nepageidaujama reakcija</w:t>
            </w:r>
          </w:p>
        </w:tc>
      </w:tr>
      <w:tr w:rsidR="00714EDA" w:rsidRPr="00532388" w14:paraId="50D5DE1B" w14:textId="77777777" w:rsidTr="00D37DA7">
        <w:tc>
          <w:tcPr>
            <w:tcW w:w="9288" w:type="dxa"/>
            <w:gridSpan w:val="2"/>
            <w:shd w:val="clear" w:color="auto" w:fill="auto"/>
          </w:tcPr>
          <w:p w14:paraId="7AD82379" w14:textId="77777777" w:rsidR="00714EDA" w:rsidRPr="00532388" w:rsidRDefault="00714EDA" w:rsidP="00D37DA7">
            <w:pPr>
              <w:autoSpaceDE w:val="0"/>
              <w:autoSpaceDN w:val="0"/>
              <w:adjustRightInd w:val="0"/>
              <w:rPr>
                <w:rFonts w:eastAsia="TimesNewRoman"/>
                <w:sz w:val="22"/>
                <w:szCs w:val="22"/>
                <w:lang w:val="lt-LT" w:eastAsia="en-US"/>
              </w:rPr>
            </w:pPr>
            <w:r w:rsidRPr="00532388">
              <w:rPr>
                <w:i/>
                <w:iCs/>
                <w:sz w:val="22"/>
                <w:szCs w:val="22"/>
                <w:lang w:val="lt-LT" w:eastAsia="en-US"/>
              </w:rPr>
              <w:t>Imuninės sistemos sutrikimai</w:t>
            </w:r>
          </w:p>
        </w:tc>
      </w:tr>
      <w:tr w:rsidR="00714EDA" w:rsidRPr="00532388" w14:paraId="4179C464" w14:textId="77777777" w:rsidTr="00D37DA7">
        <w:tc>
          <w:tcPr>
            <w:tcW w:w="4644" w:type="dxa"/>
            <w:shd w:val="clear" w:color="auto" w:fill="auto"/>
          </w:tcPr>
          <w:p w14:paraId="37B6831B"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6FD07FB8" w14:textId="77777777" w:rsidR="00714EDA" w:rsidRPr="00532388" w:rsidRDefault="00714EDA" w:rsidP="00D37DA7">
            <w:pPr>
              <w:autoSpaceDE w:val="0"/>
              <w:autoSpaceDN w:val="0"/>
              <w:adjustRightInd w:val="0"/>
              <w:rPr>
                <w:rFonts w:eastAsia="TimesNewRoman"/>
                <w:sz w:val="22"/>
                <w:szCs w:val="22"/>
                <w:lang w:val="lt-LT" w:eastAsia="en-US"/>
              </w:rPr>
            </w:pPr>
          </w:p>
          <w:p w14:paraId="2CC098AD"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73ADEECD"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Padidėjusio jautrumo (vaistiniam preparatui) reakcija</w:t>
            </w:r>
          </w:p>
          <w:p w14:paraId="72AF1306"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Imuniteto atsistatymo uždegiminis sindromas</w:t>
            </w:r>
          </w:p>
        </w:tc>
      </w:tr>
      <w:tr w:rsidR="00714EDA" w:rsidRPr="00532388" w14:paraId="203765D0" w14:textId="77777777" w:rsidTr="00D37DA7">
        <w:tc>
          <w:tcPr>
            <w:tcW w:w="9288" w:type="dxa"/>
            <w:gridSpan w:val="2"/>
            <w:shd w:val="clear" w:color="auto" w:fill="auto"/>
          </w:tcPr>
          <w:p w14:paraId="777009DD"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Metabolizmo ir mitybos sutrikimai</w:t>
            </w:r>
          </w:p>
        </w:tc>
      </w:tr>
      <w:tr w:rsidR="00714EDA" w:rsidRPr="00532388" w14:paraId="5BCD5F1B" w14:textId="77777777" w:rsidTr="00D37DA7">
        <w:tc>
          <w:tcPr>
            <w:tcW w:w="4644" w:type="dxa"/>
            <w:shd w:val="clear" w:color="auto" w:fill="auto"/>
          </w:tcPr>
          <w:p w14:paraId="0849A03A"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tc>
        <w:tc>
          <w:tcPr>
            <w:tcW w:w="4644" w:type="dxa"/>
            <w:shd w:val="clear" w:color="auto" w:fill="auto"/>
          </w:tcPr>
          <w:p w14:paraId="0B948560"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Anoreksija, cukrinis diabetas, hipercholesterolemija, hipertrigliceridemija, hiperlipidemija</w:t>
            </w:r>
          </w:p>
        </w:tc>
      </w:tr>
      <w:tr w:rsidR="00714EDA" w:rsidRPr="00532388" w14:paraId="0B4CA492" w14:textId="77777777" w:rsidTr="00D37DA7">
        <w:tc>
          <w:tcPr>
            <w:tcW w:w="9288" w:type="dxa"/>
            <w:gridSpan w:val="2"/>
            <w:shd w:val="clear" w:color="auto" w:fill="auto"/>
          </w:tcPr>
          <w:p w14:paraId="70C68797"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lastRenderedPageBreak/>
              <w:t>Psichikos sutrikimai</w:t>
            </w:r>
          </w:p>
        </w:tc>
      </w:tr>
      <w:tr w:rsidR="00714EDA" w:rsidRPr="00532388" w14:paraId="1DEC6582" w14:textId="77777777" w:rsidTr="00D37DA7">
        <w:tc>
          <w:tcPr>
            <w:tcW w:w="4644" w:type="dxa"/>
            <w:shd w:val="clear" w:color="auto" w:fill="auto"/>
          </w:tcPr>
          <w:p w14:paraId="16521A22"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 xml:space="preserve">Dažni </w:t>
            </w:r>
          </w:p>
        </w:tc>
        <w:tc>
          <w:tcPr>
            <w:tcW w:w="4644" w:type="dxa"/>
            <w:shd w:val="clear" w:color="auto" w:fill="auto"/>
          </w:tcPr>
          <w:p w14:paraId="66C13A74"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Nenormalūs sapnai</w:t>
            </w:r>
          </w:p>
        </w:tc>
      </w:tr>
      <w:tr w:rsidR="00714EDA" w:rsidRPr="00532388" w14:paraId="2192F79E" w14:textId="77777777" w:rsidTr="00D37DA7">
        <w:tc>
          <w:tcPr>
            <w:tcW w:w="9288" w:type="dxa"/>
            <w:gridSpan w:val="2"/>
            <w:shd w:val="clear" w:color="auto" w:fill="auto"/>
          </w:tcPr>
          <w:p w14:paraId="10FEFF40"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Nervų sistemos sutrikimai</w:t>
            </w:r>
          </w:p>
        </w:tc>
      </w:tr>
      <w:tr w:rsidR="00714EDA" w:rsidRPr="00532388" w14:paraId="236C8B00" w14:textId="77777777" w:rsidTr="00D37DA7">
        <w:tc>
          <w:tcPr>
            <w:tcW w:w="4644" w:type="dxa"/>
            <w:shd w:val="clear" w:color="auto" w:fill="auto"/>
          </w:tcPr>
          <w:p w14:paraId="1E32392C"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Labai dažni</w:t>
            </w:r>
          </w:p>
        </w:tc>
        <w:tc>
          <w:tcPr>
            <w:tcW w:w="4644" w:type="dxa"/>
            <w:shd w:val="clear" w:color="auto" w:fill="auto"/>
          </w:tcPr>
          <w:p w14:paraId="07C81F7C"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Galvos skausmas</w:t>
            </w:r>
          </w:p>
        </w:tc>
      </w:tr>
      <w:tr w:rsidR="00714EDA" w:rsidRPr="00532388" w14:paraId="7C1D21D9" w14:textId="77777777" w:rsidTr="00D37DA7">
        <w:tc>
          <w:tcPr>
            <w:tcW w:w="9288" w:type="dxa"/>
            <w:gridSpan w:val="2"/>
            <w:shd w:val="clear" w:color="auto" w:fill="auto"/>
          </w:tcPr>
          <w:p w14:paraId="161D4642"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Virškinimo trakto sutrikimai</w:t>
            </w:r>
          </w:p>
        </w:tc>
      </w:tr>
      <w:tr w:rsidR="00714EDA" w:rsidRPr="00532388" w14:paraId="7A40AD4F" w14:textId="77777777" w:rsidTr="00D37DA7">
        <w:tc>
          <w:tcPr>
            <w:tcW w:w="4644" w:type="dxa"/>
            <w:shd w:val="clear" w:color="auto" w:fill="auto"/>
          </w:tcPr>
          <w:p w14:paraId="04A873CD"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Labai dažni </w:t>
            </w:r>
          </w:p>
          <w:p w14:paraId="4D6F3D96"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3F9A9396" w14:textId="77777777" w:rsidR="00714EDA" w:rsidRPr="00532388" w:rsidRDefault="00714EDA" w:rsidP="00D37DA7">
            <w:pPr>
              <w:autoSpaceDE w:val="0"/>
              <w:autoSpaceDN w:val="0"/>
              <w:adjustRightInd w:val="0"/>
              <w:rPr>
                <w:rFonts w:eastAsia="TimesNewRoman"/>
                <w:sz w:val="22"/>
                <w:szCs w:val="22"/>
                <w:lang w:val="lt-LT" w:eastAsia="en-US"/>
              </w:rPr>
            </w:pPr>
          </w:p>
          <w:p w14:paraId="281CB125" w14:textId="77777777" w:rsidR="00714EDA" w:rsidRPr="00532388" w:rsidRDefault="00714EDA" w:rsidP="00D37DA7">
            <w:pPr>
              <w:autoSpaceDE w:val="0"/>
              <w:autoSpaceDN w:val="0"/>
              <w:adjustRightInd w:val="0"/>
              <w:rPr>
                <w:rFonts w:eastAsia="TimesNewRoman"/>
                <w:sz w:val="22"/>
                <w:szCs w:val="22"/>
                <w:lang w:val="lt-LT" w:eastAsia="en-US"/>
              </w:rPr>
            </w:pPr>
          </w:p>
          <w:p w14:paraId="6FC48F23"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62B4227B"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Viduriavimas, pykinimas, </w:t>
            </w:r>
          </w:p>
          <w:p w14:paraId="339BB0C3"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Vėmimas, pilvo skausmas, pilvo įtempimas, dispepsija, dujų susikaupimas virškinimo trakte, kasos ferment</w:t>
            </w:r>
            <w:r w:rsidR="00E51CF4">
              <w:rPr>
                <w:rFonts w:eastAsia="TimesNewRoman"/>
                <w:sz w:val="22"/>
                <w:szCs w:val="22"/>
                <w:lang w:val="lt-LT" w:eastAsia="en-US"/>
              </w:rPr>
              <w:t>ų</w:t>
            </w:r>
            <w:r w:rsidRPr="00532388">
              <w:rPr>
                <w:rFonts w:eastAsia="TimesNewRoman"/>
                <w:sz w:val="22"/>
                <w:szCs w:val="22"/>
                <w:lang w:val="lt-LT" w:eastAsia="en-US"/>
              </w:rPr>
              <w:t xml:space="preserve"> suaktyvėjimas</w:t>
            </w:r>
          </w:p>
          <w:p w14:paraId="76D8E7C7"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Ūminis pankreatitas</w:t>
            </w:r>
          </w:p>
        </w:tc>
      </w:tr>
      <w:tr w:rsidR="00714EDA" w:rsidRPr="00532388" w14:paraId="6FEAA026" w14:textId="77777777" w:rsidTr="00D37DA7">
        <w:tc>
          <w:tcPr>
            <w:tcW w:w="9288" w:type="dxa"/>
            <w:gridSpan w:val="2"/>
            <w:shd w:val="clear" w:color="auto" w:fill="auto"/>
          </w:tcPr>
          <w:p w14:paraId="1E459ED2"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Kepenų, tulžies pūslės ir latakų sutrikimai</w:t>
            </w:r>
          </w:p>
        </w:tc>
      </w:tr>
      <w:tr w:rsidR="00714EDA" w:rsidRPr="00532388" w14:paraId="6713A5E6" w14:textId="77777777" w:rsidTr="00D37DA7">
        <w:tc>
          <w:tcPr>
            <w:tcW w:w="4644" w:type="dxa"/>
            <w:shd w:val="clear" w:color="auto" w:fill="auto"/>
          </w:tcPr>
          <w:p w14:paraId="170EC50C"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Dažni </w:t>
            </w:r>
          </w:p>
          <w:p w14:paraId="2CAA1EEC"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15711B1B"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Kepenų ferment suaktyvėjimas</w:t>
            </w:r>
          </w:p>
          <w:p w14:paraId="2F298658"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Hepatitas*, citolizinis hepatitas*</w:t>
            </w:r>
          </w:p>
        </w:tc>
      </w:tr>
      <w:tr w:rsidR="00714EDA" w:rsidRPr="00532388" w14:paraId="0DB7D589" w14:textId="77777777" w:rsidTr="00D37DA7">
        <w:tc>
          <w:tcPr>
            <w:tcW w:w="9288" w:type="dxa"/>
            <w:gridSpan w:val="2"/>
            <w:shd w:val="clear" w:color="auto" w:fill="auto"/>
          </w:tcPr>
          <w:p w14:paraId="77D050C7"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Odos ir poodinio audinio sutrikimai</w:t>
            </w:r>
          </w:p>
        </w:tc>
      </w:tr>
      <w:tr w:rsidR="00714EDA" w:rsidRPr="00532388" w14:paraId="7980CCCE" w14:textId="77777777" w:rsidTr="00D37DA7">
        <w:tc>
          <w:tcPr>
            <w:tcW w:w="4644" w:type="dxa"/>
            <w:shd w:val="clear" w:color="auto" w:fill="auto"/>
          </w:tcPr>
          <w:p w14:paraId="6087AA55"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Labai dažni</w:t>
            </w:r>
          </w:p>
          <w:p w14:paraId="4F9E563F" w14:textId="77777777" w:rsidR="00714EDA" w:rsidRPr="00532388" w:rsidRDefault="00714EDA" w:rsidP="00D37DA7">
            <w:pPr>
              <w:autoSpaceDE w:val="0"/>
              <w:autoSpaceDN w:val="0"/>
              <w:adjustRightInd w:val="0"/>
              <w:rPr>
                <w:rFonts w:eastAsia="Times New Roman"/>
                <w:noProof/>
                <w:sz w:val="22"/>
                <w:szCs w:val="22"/>
                <w:lang w:val="lt-LT" w:eastAsia="lt-LT" w:bidi="lt-LT"/>
              </w:rPr>
            </w:pPr>
          </w:p>
          <w:p w14:paraId="085F80C9" w14:textId="77777777" w:rsidR="00714EDA" w:rsidRPr="00532388" w:rsidRDefault="00714EDA" w:rsidP="00D37DA7">
            <w:pPr>
              <w:autoSpaceDE w:val="0"/>
              <w:autoSpaceDN w:val="0"/>
              <w:adjustRightInd w:val="0"/>
              <w:rPr>
                <w:rFonts w:eastAsia="Times New Roman"/>
                <w:noProof/>
                <w:sz w:val="22"/>
                <w:szCs w:val="22"/>
                <w:lang w:val="lt-LT" w:eastAsia="lt-LT" w:bidi="lt-LT"/>
              </w:rPr>
            </w:pPr>
          </w:p>
          <w:p w14:paraId="52DC66F3" w14:textId="77777777" w:rsidR="00714EDA" w:rsidRPr="00532388" w:rsidRDefault="00953E0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w:t>
            </w:r>
            <w:r w:rsidR="00714EDA" w:rsidRPr="00532388">
              <w:rPr>
                <w:rFonts w:eastAsia="Times New Roman"/>
                <w:noProof/>
                <w:sz w:val="22"/>
                <w:szCs w:val="22"/>
                <w:lang w:val="lt-LT" w:eastAsia="lt-LT" w:bidi="lt-LT"/>
              </w:rPr>
              <w:t>ažni</w:t>
            </w:r>
          </w:p>
          <w:p w14:paraId="6C666080"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Reti</w:t>
            </w:r>
          </w:p>
          <w:p w14:paraId="2E9101BE" w14:textId="77777777" w:rsidR="00714EDA" w:rsidRPr="00532388" w:rsidRDefault="00714EDA" w:rsidP="00D37DA7">
            <w:pPr>
              <w:autoSpaceDE w:val="0"/>
              <w:autoSpaceDN w:val="0"/>
              <w:adjustRightInd w:val="0"/>
              <w:rPr>
                <w:rFonts w:eastAsia="Times New Roman"/>
                <w:noProof/>
                <w:sz w:val="22"/>
                <w:szCs w:val="22"/>
                <w:lang w:val="lt-LT" w:eastAsia="lt-LT" w:bidi="lt-LT"/>
              </w:rPr>
            </w:pPr>
          </w:p>
          <w:p w14:paraId="0BFC9797" w14:textId="77777777" w:rsidR="00714EDA" w:rsidRPr="00532388" w:rsidRDefault="00953E0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Dažnis nežinomas</w:t>
            </w:r>
          </w:p>
        </w:tc>
        <w:tc>
          <w:tcPr>
            <w:tcW w:w="4644" w:type="dxa"/>
            <w:shd w:val="clear" w:color="auto" w:fill="auto"/>
          </w:tcPr>
          <w:p w14:paraId="74502CDB" w14:textId="77777777" w:rsidR="00953E0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Išbėrimas (įskaitant makulinį, makulopapulinį, papulinį, eriteminį ir niežtintįjį išbėrimą, </w:t>
            </w:r>
            <w:r w:rsidR="00953E0A" w:rsidRPr="00532388">
              <w:rPr>
                <w:rFonts w:eastAsia="TimesNewRoman"/>
                <w:sz w:val="22"/>
                <w:szCs w:val="22"/>
                <w:lang w:val="lt-LT" w:eastAsia="en-US"/>
              </w:rPr>
              <w:t>generealizuotas bė</w:t>
            </w:r>
            <w:r w:rsidR="00950F73" w:rsidRPr="00532388">
              <w:rPr>
                <w:rFonts w:eastAsia="TimesNewRoman"/>
                <w:sz w:val="22"/>
                <w:szCs w:val="22"/>
                <w:lang w:val="lt-LT" w:eastAsia="en-US"/>
              </w:rPr>
              <w:t xml:space="preserve">rimas ir alerginis </w:t>
            </w:r>
            <w:r w:rsidR="00953E0A" w:rsidRPr="00532388">
              <w:rPr>
                <w:rFonts w:eastAsia="TimesNewRoman"/>
                <w:sz w:val="22"/>
                <w:szCs w:val="22"/>
                <w:lang w:val="lt-LT" w:eastAsia="en-US"/>
              </w:rPr>
              <w:t>dermatitas)</w:t>
            </w:r>
          </w:p>
          <w:p w14:paraId="42D5C5D2" w14:textId="77777777" w:rsidR="00953E0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Angioneurozinė edema, </w:t>
            </w:r>
            <w:r w:rsidR="00953E0A" w:rsidRPr="00532388">
              <w:rPr>
                <w:rFonts w:eastAsia="TimesNewRoman"/>
                <w:sz w:val="22"/>
                <w:szCs w:val="22"/>
                <w:lang w:val="lt-LT" w:eastAsia="en-US"/>
              </w:rPr>
              <w:t>niež</w:t>
            </w:r>
            <w:r w:rsidR="00E51CF4">
              <w:rPr>
                <w:rFonts w:eastAsia="TimesNewRoman"/>
                <w:sz w:val="22"/>
                <w:szCs w:val="22"/>
                <w:lang w:val="lt-LT" w:eastAsia="en-US"/>
              </w:rPr>
              <w:t>ėjimas</w:t>
            </w:r>
            <w:r w:rsidR="00953E0A" w:rsidRPr="00532388">
              <w:rPr>
                <w:rFonts w:eastAsia="TimesNewRoman"/>
                <w:sz w:val="22"/>
                <w:szCs w:val="22"/>
                <w:lang w:val="lt-LT" w:eastAsia="en-US"/>
              </w:rPr>
              <w:t>, dilgėlinė</w:t>
            </w:r>
          </w:p>
          <w:p w14:paraId="1E12D14C" w14:textId="77777777" w:rsidR="00953E0A" w:rsidRPr="00532388" w:rsidRDefault="00953E0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Reakcija į vaistą su eozinofilija ir sisteminiais simptomais*</w:t>
            </w:r>
            <w:r w:rsidR="00714EDA" w:rsidRPr="00532388">
              <w:rPr>
                <w:rFonts w:eastAsia="TimesNewRoman"/>
                <w:sz w:val="22"/>
                <w:szCs w:val="22"/>
                <w:lang w:val="lt-LT" w:eastAsia="en-US"/>
              </w:rPr>
              <w:t>, Stivenso-Džonsono</w:t>
            </w:r>
            <w:r w:rsidR="00A564AF">
              <w:rPr>
                <w:rFonts w:eastAsia="TimesNewRoman"/>
                <w:sz w:val="22"/>
                <w:szCs w:val="22"/>
                <w:lang w:val="lt-LT" w:eastAsia="en-US"/>
              </w:rPr>
              <w:t xml:space="preserve"> (</w:t>
            </w:r>
            <w:r w:rsidR="00A564AF" w:rsidRPr="00DD4E66">
              <w:rPr>
                <w:rFonts w:eastAsia="TimesNewRoman"/>
                <w:i/>
                <w:sz w:val="22"/>
                <w:szCs w:val="22"/>
                <w:lang w:val="lt-LT" w:eastAsia="en-US"/>
              </w:rPr>
              <w:t>Stevens-Johnson</w:t>
            </w:r>
            <w:r w:rsidR="00A564AF">
              <w:rPr>
                <w:rFonts w:eastAsia="TimesNewRoman"/>
                <w:sz w:val="22"/>
                <w:szCs w:val="22"/>
                <w:lang w:val="lt-LT" w:eastAsia="en-US"/>
              </w:rPr>
              <w:t>)</w:t>
            </w:r>
            <w:r w:rsidR="00714EDA" w:rsidRPr="00532388">
              <w:rPr>
                <w:rFonts w:eastAsia="TimesNewRoman"/>
                <w:sz w:val="22"/>
                <w:szCs w:val="22"/>
                <w:lang w:val="lt-LT" w:eastAsia="en-US"/>
              </w:rPr>
              <w:t xml:space="preserve"> sindromas</w:t>
            </w:r>
            <w:r w:rsidRPr="00532388">
              <w:rPr>
                <w:rFonts w:eastAsia="TimesNewRoman"/>
                <w:sz w:val="22"/>
                <w:szCs w:val="22"/>
                <w:lang w:val="lt-LT" w:eastAsia="en-US"/>
              </w:rPr>
              <w:t>*</w:t>
            </w:r>
          </w:p>
          <w:p w14:paraId="52F41970" w14:textId="77777777" w:rsidR="00714EDA" w:rsidRPr="00532388" w:rsidRDefault="00953E0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Toksinė epidermio nekrolizė*</w:t>
            </w:r>
            <w:r w:rsidR="00714EDA" w:rsidRPr="00532388">
              <w:rPr>
                <w:rFonts w:eastAsia="TimesNewRoman"/>
                <w:sz w:val="22"/>
                <w:szCs w:val="22"/>
                <w:lang w:val="lt-LT" w:eastAsia="en-US"/>
              </w:rPr>
              <w:t>, ūminė generalizuota egzanteminė pustuliozė</w:t>
            </w:r>
          </w:p>
        </w:tc>
      </w:tr>
      <w:tr w:rsidR="00714EDA" w:rsidRPr="00532388" w14:paraId="2A39C9F8" w14:textId="77777777" w:rsidTr="00D37DA7">
        <w:tc>
          <w:tcPr>
            <w:tcW w:w="9288" w:type="dxa"/>
            <w:gridSpan w:val="2"/>
            <w:shd w:val="clear" w:color="auto" w:fill="auto"/>
          </w:tcPr>
          <w:p w14:paraId="5D3DE2FC"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Skeleto, raumenų ir jungiamojo audinio sutrikimai</w:t>
            </w:r>
          </w:p>
        </w:tc>
      </w:tr>
      <w:tr w:rsidR="00714EDA" w:rsidRPr="00532388" w14:paraId="3D19DAD2" w14:textId="77777777" w:rsidTr="00D37DA7">
        <w:tc>
          <w:tcPr>
            <w:tcW w:w="4644" w:type="dxa"/>
            <w:shd w:val="clear" w:color="auto" w:fill="auto"/>
          </w:tcPr>
          <w:p w14:paraId="06060291" w14:textId="77777777" w:rsidR="00714EDA" w:rsidRPr="00532388" w:rsidRDefault="00953E0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Da</w:t>
            </w:r>
            <w:r w:rsidR="00714EDA" w:rsidRPr="00532388">
              <w:rPr>
                <w:rFonts w:eastAsia="Times New Roman"/>
                <w:noProof/>
                <w:sz w:val="22"/>
                <w:szCs w:val="22"/>
                <w:lang w:val="lt-LT" w:eastAsia="lt-LT" w:bidi="lt-LT"/>
              </w:rPr>
              <w:t>žni</w:t>
            </w:r>
          </w:p>
        </w:tc>
        <w:tc>
          <w:tcPr>
            <w:tcW w:w="4644" w:type="dxa"/>
            <w:shd w:val="clear" w:color="auto" w:fill="auto"/>
          </w:tcPr>
          <w:p w14:paraId="2F9D357D"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Mialgija, osteonekrozė</w:t>
            </w:r>
          </w:p>
        </w:tc>
      </w:tr>
      <w:tr w:rsidR="00714EDA" w:rsidRPr="00532388" w14:paraId="42D24074" w14:textId="77777777" w:rsidTr="00D37DA7">
        <w:tc>
          <w:tcPr>
            <w:tcW w:w="9288" w:type="dxa"/>
            <w:gridSpan w:val="2"/>
            <w:shd w:val="clear" w:color="auto" w:fill="auto"/>
          </w:tcPr>
          <w:p w14:paraId="23EC7F09" w14:textId="77777777" w:rsidR="00714EDA" w:rsidRPr="00532388" w:rsidRDefault="00953E0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Lytinės sistemos ir krūties sutrikimai</w:t>
            </w:r>
          </w:p>
        </w:tc>
      </w:tr>
      <w:tr w:rsidR="00714EDA" w:rsidRPr="00532388" w14:paraId="077C3F8D" w14:textId="77777777" w:rsidTr="00D37DA7">
        <w:tc>
          <w:tcPr>
            <w:tcW w:w="4644" w:type="dxa"/>
            <w:shd w:val="clear" w:color="auto" w:fill="auto"/>
          </w:tcPr>
          <w:p w14:paraId="16FF8739"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 New Roman"/>
                <w:noProof/>
                <w:sz w:val="22"/>
                <w:szCs w:val="22"/>
                <w:lang w:val="lt-LT" w:eastAsia="lt-LT" w:bidi="lt-LT"/>
              </w:rPr>
              <w:t>Nedažni</w:t>
            </w:r>
          </w:p>
        </w:tc>
        <w:tc>
          <w:tcPr>
            <w:tcW w:w="4644" w:type="dxa"/>
            <w:shd w:val="clear" w:color="auto" w:fill="auto"/>
          </w:tcPr>
          <w:p w14:paraId="63F34A74" w14:textId="77777777" w:rsidR="00714EDA" w:rsidRPr="00532388" w:rsidRDefault="00953E0A" w:rsidP="00A564A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Ginekomas</w:t>
            </w:r>
            <w:r w:rsidR="00A564AF">
              <w:rPr>
                <w:rFonts w:eastAsia="TimesNewRoman"/>
                <w:sz w:val="22"/>
                <w:szCs w:val="22"/>
                <w:lang w:val="lt-LT" w:eastAsia="en-US"/>
              </w:rPr>
              <w:t>t</w:t>
            </w:r>
            <w:r w:rsidRPr="00532388">
              <w:rPr>
                <w:rFonts w:eastAsia="TimesNewRoman"/>
                <w:sz w:val="22"/>
                <w:szCs w:val="22"/>
                <w:lang w:val="lt-LT" w:eastAsia="en-US"/>
              </w:rPr>
              <w:t>ija</w:t>
            </w:r>
          </w:p>
        </w:tc>
      </w:tr>
      <w:tr w:rsidR="00714EDA" w:rsidRPr="00532388" w14:paraId="18E8B4F8" w14:textId="77777777" w:rsidTr="00D37DA7">
        <w:tc>
          <w:tcPr>
            <w:tcW w:w="9288" w:type="dxa"/>
            <w:gridSpan w:val="2"/>
            <w:shd w:val="clear" w:color="auto" w:fill="auto"/>
          </w:tcPr>
          <w:p w14:paraId="449EBDEB"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i/>
                <w:iCs/>
                <w:sz w:val="22"/>
                <w:szCs w:val="22"/>
                <w:lang w:val="lt-LT" w:eastAsia="en-US"/>
              </w:rPr>
              <w:t>Bendrieji sutrikimai ir vartojimo vietos pažeidimai</w:t>
            </w:r>
          </w:p>
        </w:tc>
      </w:tr>
      <w:tr w:rsidR="00714EDA" w:rsidRPr="00532388" w14:paraId="504DB58C" w14:textId="77777777" w:rsidTr="00D37DA7">
        <w:tc>
          <w:tcPr>
            <w:tcW w:w="4644" w:type="dxa"/>
            <w:shd w:val="clear" w:color="auto" w:fill="auto"/>
          </w:tcPr>
          <w:p w14:paraId="32734458" w14:textId="77777777" w:rsidR="00714EDA" w:rsidRPr="00532388" w:rsidRDefault="00714ED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Dažni</w:t>
            </w:r>
          </w:p>
          <w:p w14:paraId="0B11AAEE" w14:textId="77777777" w:rsidR="00714EDA" w:rsidRPr="00532388" w:rsidRDefault="00714EDA" w:rsidP="00D37DA7">
            <w:pPr>
              <w:autoSpaceDE w:val="0"/>
              <w:autoSpaceDN w:val="0"/>
              <w:adjustRightInd w:val="0"/>
              <w:rPr>
                <w:rFonts w:eastAsia="Times New Roman"/>
                <w:noProof/>
                <w:sz w:val="22"/>
                <w:szCs w:val="22"/>
                <w:lang w:val="lt-LT" w:eastAsia="lt-LT" w:bidi="lt-LT"/>
              </w:rPr>
            </w:pPr>
            <w:r w:rsidRPr="00532388">
              <w:rPr>
                <w:rFonts w:eastAsia="TimesNewRoman"/>
                <w:sz w:val="22"/>
                <w:szCs w:val="22"/>
                <w:lang w:val="lt-LT" w:eastAsia="en-US"/>
              </w:rPr>
              <w:t>Nedažni</w:t>
            </w:r>
          </w:p>
        </w:tc>
        <w:tc>
          <w:tcPr>
            <w:tcW w:w="4644" w:type="dxa"/>
            <w:shd w:val="clear" w:color="auto" w:fill="auto"/>
          </w:tcPr>
          <w:p w14:paraId="3FD72076" w14:textId="77777777" w:rsidR="00953E0A" w:rsidRPr="00532388" w:rsidRDefault="00953E0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w:t>
            </w:r>
            <w:r w:rsidR="00714EDA" w:rsidRPr="00532388">
              <w:rPr>
                <w:rFonts w:eastAsia="TimesNewRoman"/>
                <w:sz w:val="22"/>
                <w:szCs w:val="22"/>
                <w:lang w:val="lt-LT" w:eastAsia="en-US"/>
              </w:rPr>
              <w:t>uovargis</w:t>
            </w:r>
          </w:p>
          <w:p w14:paraId="3B052AF4" w14:textId="77777777" w:rsidR="00714EDA" w:rsidRPr="00532388" w:rsidRDefault="00953E0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 Astenija</w:t>
            </w:r>
          </w:p>
        </w:tc>
      </w:tr>
      <w:tr w:rsidR="00953E0A" w:rsidRPr="00532388" w14:paraId="7134D537" w14:textId="77777777" w:rsidTr="00D37DA7">
        <w:tc>
          <w:tcPr>
            <w:tcW w:w="9288" w:type="dxa"/>
            <w:gridSpan w:val="2"/>
            <w:shd w:val="clear" w:color="auto" w:fill="auto"/>
          </w:tcPr>
          <w:p w14:paraId="503A8CB5" w14:textId="77777777" w:rsidR="00953E0A" w:rsidRPr="00532388" w:rsidRDefault="00953E0A" w:rsidP="00D37DA7">
            <w:pPr>
              <w:autoSpaceDE w:val="0"/>
              <w:autoSpaceDN w:val="0"/>
              <w:adjustRightInd w:val="0"/>
              <w:rPr>
                <w:rFonts w:eastAsia="TimesNewRoman"/>
                <w:sz w:val="22"/>
                <w:szCs w:val="22"/>
                <w:lang w:val="lt-LT" w:eastAsia="en-US"/>
              </w:rPr>
            </w:pPr>
            <w:r w:rsidRPr="00532388">
              <w:rPr>
                <w:rFonts w:eastAsia="TimesNewRoman"/>
                <w:i/>
                <w:sz w:val="22"/>
                <w:szCs w:val="22"/>
                <w:lang w:val="lt-LT" w:eastAsia="en-US"/>
              </w:rPr>
              <w:t>Tyrimai</w:t>
            </w:r>
          </w:p>
        </w:tc>
      </w:tr>
      <w:tr w:rsidR="00953E0A" w:rsidRPr="00532388" w14:paraId="6EE1766C" w14:textId="77777777" w:rsidTr="00D37DA7">
        <w:tc>
          <w:tcPr>
            <w:tcW w:w="4644" w:type="dxa"/>
            <w:shd w:val="clear" w:color="auto" w:fill="auto"/>
          </w:tcPr>
          <w:p w14:paraId="12E49A8A" w14:textId="77777777" w:rsidR="00953E0A" w:rsidRPr="00532388" w:rsidRDefault="00953E0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Dažni</w:t>
            </w:r>
          </w:p>
        </w:tc>
        <w:tc>
          <w:tcPr>
            <w:tcW w:w="4644" w:type="dxa"/>
            <w:shd w:val="clear" w:color="auto" w:fill="auto"/>
          </w:tcPr>
          <w:p w14:paraId="670967D6" w14:textId="77777777" w:rsidR="00953E0A" w:rsidRPr="00532388" w:rsidRDefault="00953E0A" w:rsidP="00D37DA7">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Padidėjęs kreatinino kiekis kraujyje</w:t>
            </w:r>
          </w:p>
        </w:tc>
      </w:tr>
    </w:tbl>
    <w:p w14:paraId="5A890CD6" w14:textId="77777777" w:rsidR="00953E0A" w:rsidRPr="00532388" w:rsidRDefault="00953E0A" w:rsidP="00953E0A">
      <w:pPr>
        <w:autoSpaceDE w:val="0"/>
        <w:autoSpaceDN w:val="0"/>
        <w:adjustRightInd w:val="0"/>
        <w:rPr>
          <w:rFonts w:eastAsia="TimesNewRoman"/>
          <w:sz w:val="18"/>
          <w:szCs w:val="18"/>
          <w:lang w:val="lt-LT" w:eastAsia="en-US"/>
        </w:rPr>
      </w:pPr>
      <w:r w:rsidRPr="00532388">
        <w:rPr>
          <w:rFonts w:eastAsia="TimesNewRoman"/>
          <w:sz w:val="20"/>
          <w:lang w:val="lt-LT" w:eastAsia="en-US"/>
        </w:rPr>
        <w:t xml:space="preserve">* </w:t>
      </w:r>
      <w:r w:rsidRPr="00532388">
        <w:rPr>
          <w:rFonts w:eastAsia="TimesNewRoman"/>
          <w:sz w:val="18"/>
          <w:szCs w:val="18"/>
          <w:lang w:val="lt-LT" w:eastAsia="en-US"/>
        </w:rPr>
        <w:t>Apie šias nepageidaujamas reakcij</w:t>
      </w:r>
      <w:r w:rsidR="00E51CF4">
        <w:rPr>
          <w:rFonts w:eastAsia="TimesNewRoman"/>
          <w:sz w:val="18"/>
          <w:szCs w:val="18"/>
          <w:lang w:val="lt-LT" w:eastAsia="en-US"/>
        </w:rPr>
        <w:t>a</w:t>
      </w:r>
      <w:r w:rsidRPr="00532388">
        <w:rPr>
          <w:rFonts w:eastAsia="TimesNewRoman"/>
          <w:sz w:val="18"/>
          <w:szCs w:val="18"/>
          <w:lang w:val="lt-LT" w:eastAsia="en-US"/>
        </w:rPr>
        <w:t>s nebuvo pranešta klinikinių tyrimų su darunaviru/kobicistatu metu, tačiau stebėtos</w:t>
      </w:r>
      <w:r w:rsidR="009374BD" w:rsidRPr="00532388">
        <w:rPr>
          <w:rFonts w:eastAsia="TimesNewRoman"/>
          <w:sz w:val="18"/>
          <w:szCs w:val="18"/>
          <w:lang w:val="lt-LT" w:eastAsia="en-US"/>
        </w:rPr>
        <w:t xml:space="preserve"> </w:t>
      </w:r>
      <w:r w:rsidRPr="00532388">
        <w:rPr>
          <w:rFonts w:eastAsia="TimesNewRoman"/>
          <w:sz w:val="18"/>
          <w:szCs w:val="18"/>
          <w:lang w:val="lt-LT" w:eastAsia="en-US"/>
        </w:rPr>
        <w:t>gydymo darunaviru/ritonaviru metu, todėl taip pat tikėtinos vartojant darunavirą/kobicistatą.</w:t>
      </w:r>
    </w:p>
    <w:p w14:paraId="56BE5478" w14:textId="77777777" w:rsidR="003B402A" w:rsidRPr="00532388" w:rsidRDefault="003B402A" w:rsidP="00953E0A">
      <w:pPr>
        <w:autoSpaceDE w:val="0"/>
        <w:autoSpaceDN w:val="0"/>
        <w:adjustRightInd w:val="0"/>
        <w:rPr>
          <w:rFonts w:eastAsia="TimesNewRoman"/>
          <w:sz w:val="18"/>
          <w:szCs w:val="18"/>
          <w:lang w:val="lt-LT" w:eastAsia="en-US"/>
        </w:rPr>
      </w:pPr>
    </w:p>
    <w:p w14:paraId="5EBB5A8E" w14:textId="77777777" w:rsidR="00953E0A" w:rsidRPr="00532388" w:rsidRDefault="00953E0A" w:rsidP="00953E0A">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Nepageidaujamų reakcijų apibūdinimas</w:t>
      </w:r>
    </w:p>
    <w:p w14:paraId="548DE70E" w14:textId="77777777" w:rsidR="0076502C" w:rsidRPr="00532388" w:rsidRDefault="0076502C" w:rsidP="00953E0A">
      <w:pPr>
        <w:autoSpaceDE w:val="0"/>
        <w:autoSpaceDN w:val="0"/>
        <w:adjustRightInd w:val="0"/>
        <w:rPr>
          <w:rFonts w:eastAsia="TimesNewRoman"/>
          <w:i/>
          <w:iCs/>
          <w:sz w:val="22"/>
          <w:szCs w:val="22"/>
          <w:lang w:val="lt-LT" w:eastAsia="en-US"/>
        </w:rPr>
      </w:pPr>
    </w:p>
    <w:p w14:paraId="62E5EC62" w14:textId="77777777" w:rsidR="00953E0A" w:rsidRPr="00532388" w:rsidRDefault="00953E0A"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Išbėrimas</w:t>
      </w:r>
    </w:p>
    <w:p w14:paraId="29AA65D0" w14:textId="77777777" w:rsidR="0076502C"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Klinikinių tyrimų </w:t>
      </w:r>
      <w:r w:rsidR="0076502C" w:rsidRPr="00532388">
        <w:rPr>
          <w:rFonts w:eastAsia="TimesNewRoman"/>
          <w:sz w:val="22"/>
          <w:szCs w:val="22"/>
          <w:lang w:val="lt-LT" w:eastAsia="en-US"/>
        </w:rPr>
        <w:t xml:space="preserve">metu registruotas </w:t>
      </w:r>
      <w:r w:rsidRPr="00532388">
        <w:rPr>
          <w:rFonts w:eastAsia="TimesNewRoman"/>
          <w:sz w:val="22"/>
          <w:szCs w:val="22"/>
          <w:lang w:val="lt-LT" w:eastAsia="en-US"/>
        </w:rPr>
        <w:t>išbėrimas dažniausiai buvo lengvas ar vidutinio sunkumo, dažniausiai</w:t>
      </w:r>
      <w:r w:rsidR="0076502C" w:rsidRPr="00532388">
        <w:rPr>
          <w:rFonts w:eastAsia="TimesNewRoman"/>
          <w:sz w:val="22"/>
          <w:szCs w:val="22"/>
          <w:lang w:val="lt-LT" w:eastAsia="en-US"/>
        </w:rPr>
        <w:t xml:space="preserve"> </w:t>
      </w:r>
      <w:r w:rsidRPr="00532388">
        <w:rPr>
          <w:rFonts w:eastAsia="TimesNewRoman"/>
          <w:sz w:val="22"/>
          <w:szCs w:val="22"/>
          <w:lang w:val="lt-LT" w:eastAsia="en-US"/>
        </w:rPr>
        <w:t>pasireiškė per pirmąsias keturias gydymo savaites ir išnyko toliau dozuojant vaistinį preparatą.</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Pasireiškus sunkiai odos reakcijai, žr. 4.4 skyrių. </w:t>
      </w:r>
    </w:p>
    <w:p w14:paraId="091099DC" w14:textId="77777777" w:rsidR="0076502C" w:rsidRPr="00532388" w:rsidRDefault="0076502C" w:rsidP="00953E0A">
      <w:pPr>
        <w:autoSpaceDE w:val="0"/>
        <w:autoSpaceDN w:val="0"/>
        <w:adjustRightInd w:val="0"/>
        <w:rPr>
          <w:rFonts w:eastAsia="TimesNewRoman"/>
          <w:sz w:val="22"/>
          <w:szCs w:val="22"/>
          <w:lang w:val="lt-LT" w:eastAsia="en-US"/>
        </w:rPr>
      </w:pPr>
    </w:p>
    <w:p w14:paraId="5CEB305D"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Vienos grupės tyrime, kurio metu buvo tirtas</w:t>
      </w:r>
      <w:r w:rsidR="0076502C" w:rsidRPr="00532388">
        <w:rPr>
          <w:rFonts w:eastAsia="TimesNewRoman"/>
          <w:sz w:val="22"/>
          <w:szCs w:val="22"/>
          <w:lang w:val="lt-LT" w:eastAsia="en-US"/>
        </w:rPr>
        <w:t xml:space="preserve"> darunaviro 800 </w:t>
      </w:r>
      <w:r w:rsidRPr="00532388">
        <w:rPr>
          <w:rFonts w:eastAsia="TimesNewRoman"/>
          <w:sz w:val="22"/>
          <w:szCs w:val="22"/>
          <w:lang w:val="lt-LT" w:eastAsia="en-US"/>
        </w:rPr>
        <w:t>mg vieną kartą per parą kartu su kobicistato 150</w:t>
      </w:r>
      <w:r w:rsidR="0076502C" w:rsidRPr="00532388">
        <w:rPr>
          <w:rFonts w:eastAsia="TimesNewRoman"/>
          <w:sz w:val="22"/>
          <w:szCs w:val="22"/>
          <w:lang w:val="lt-LT" w:eastAsia="en-US"/>
        </w:rPr>
        <w:t> </w:t>
      </w:r>
      <w:r w:rsidRPr="00532388">
        <w:rPr>
          <w:rFonts w:eastAsia="TimesNewRoman"/>
          <w:sz w:val="22"/>
          <w:szCs w:val="22"/>
          <w:lang w:val="lt-LT" w:eastAsia="en-US"/>
        </w:rPr>
        <w:t>mg vieną kartą per parą ir kitais</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antiretrovirusiniais preparatais poveikis, 2,2 % pacientų nutraukė gydymą dėl </w:t>
      </w:r>
      <w:r w:rsidR="00E51CF4">
        <w:rPr>
          <w:rFonts w:eastAsia="TimesNewRoman"/>
          <w:sz w:val="22"/>
          <w:szCs w:val="22"/>
          <w:lang w:val="lt-LT" w:eastAsia="en-US"/>
        </w:rPr>
        <w:t>iš</w:t>
      </w:r>
      <w:r w:rsidRPr="00532388">
        <w:rPr>
          <w:rFonts w:eastAsia="TimesNewRoman"/>
          <w:sz w:val="22"/>
          <w:szCs w:val="22"/>
          <w:lang w:val="lt-LT" w:eastAsia="en-US"/>
        </w:rPr>
        <w:t>bėrimo.</w:t>
      </w:r>
    </w:p>
    <w:p w14:paraId="45AB3667" w14:textId="77777777" w:rsidR="0076502C" w:rsidRPr="00532388" w:rsidRDefault="0076502C" w:rsidP="00953E0A">
      <w:pPr>
        <w:autoSpaceDE w:val="0"/>
        <w:autoSpaceDN w:val="0"/>
        <w:adjustRightInd w:val="0"/>
        <w:rPr>
          <w:rFonts w:eastAsia="TimesNewRoman"/>
          <w:sz w:val="22"/>
          <w:szCs w:val="22"/>
          <w:lang w:val="lt-LT" w:eastAsia="en-US"/>
        </w:rPr>
      </w:pPr>
    </w:p>
    <w:p w14:paraId="5452E65B"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Klinikinių raltegraviro tyrimų su gydymą gavusiais pacientais programos metu buvo pastebėta, kad</w:t>
      </w:r>
      <w:r w:rsidR="0076502C" w:rsidRPr="00532388">
        <w:rPr>
          <w:rFonts w:eastAsia="TimesNewRoman"/>
          <w:sz w:val="22"/>
          <w:szCs w:val="22"/>
          <w:lang w:val="lt-LT" w:eastAsia="en-US"/>
        </w:rPr>
        <w:t xml:space="preserve"> </w:t>
      </w:r>
      <w:r w:rsidRPr="00532388">
        <w:rPr>
          <w:rFonts w:eastAsia="TimesNewRoman"/>
          <w:sz w:val="22"/>
          <w:szCs w:val="22"/>
          <w:lang w:val="lt-LT" w:eastAsia="en-US"/>
        </w:rPr>
        <w:t>išbėrimas, nepriklausomai nuo jo priežasties, dažniau pasitaikydavo taikant gydymo planus su</w:t>
      </w:r>
      <w:r w:rsidR="0076502C" w:rsidRPr="00532388">
        <w:rPr>
          <w:rFonts w:eastAsia="TimesNewRoman"/>
          <w:sz w:val="22"/>
          <w:szCs w:val="22"/>
          <w:lang w:val="lt-LT" w:eastAsia="en-US"/>
        </w:rPr>
        <w:t xml:space="preserve"> darunaviru</w:t>
      </w:r>
      <w:r w:rsidRPr="00532388">
        <w:rPr>
          <w:rFonts w:eastAsia="TimesNewRoman"/>
          <w:sz w:val="22"/>
          <w:szCs w:val="22"/>
          <w:lang w:val="lt-LT" w:eastAsia="en-US"/>
        </w:rPr>
        <w:t xml:space="preserve">/ritonaviru ir raltegraviru, palyginus su gydymo planais su </w:t>
      </w:r>
      <w:r w:rsidR="0076502C" w:rsidRPr="00532388">
        <w:rPr>
          <w:rFonts w:eastAsia="TimesNewRoman"/>
          <w:sz w:val="22"/>
          <w:szCs w:val="22"/>
          <w:lang w:val="lt-LT" w:eastAsia="en-US"/>
        </w:rPr>
        <w:t xml:space="preserve">darunaviru </w:t>
      </w:r>
      <w:r w:rsidRPr="00532388">
        <w:rPr>
          <w:rFonts w:eastAsia="TimesNewRoman"/>
          <w:sz w:val="22"/>
          <w:szCs w:val="22"/>
          <w:lang w:val="lt-LT" w:eastAsia="en-US"/>
        </w:rPr>
        <w:t>/ritonaviru be</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raltegraviro, ar su raltegraviru be </w:t>
      </w:r>
      <w:r w:rsidR="0076502C" w:rsidRPr="00532388">
        <w:rPr>
          <w:rFonts w:eastAsia="TimesNewRoman"/>
          <w:sz w:val="22"/>
          <w:szCs w:val="22"/>
          <w:lang w:val="lt-LT" w:eastAsia="en-US"/>
        </w:rPr>
        <w:t>darunaviro</w:t>
      </w:r>
      <w:r w:rsidRPr="00532388">
        <w:rPr>
          <w:rFonts w:eastAsia="TimesNewRoman"/>
          <w:sz w:val="22"/>
          <w:szCs w:val="22"/>
          <w:lang w:val="lt-LT" w:eastAsia="en-US"/>
        </w:rPr>
        <w:t>/ritonaviro. Išbėrimo, kurį tyrėjai susiejo su vaistų</w:t>
      </w:r>
      <w:r w:rsidR="0076502C" w:rsidRPr="00532388">
        <w:rPr>
          <w:rFonts w:eastAsia="TimesNewRoman"/>
          <w:sz w:val="22"/>
          <w:szCs w:val="22"/>
          <w:lang w:val="lt-LT" w:eastAsia="en-US"/>
        </w:rPr>
        <w:t xml:space="preserve"> </w:t>
      </w:r>
      <w:r w:rsidRPr="00532388">
        <w:rPr>
          <w:rFonts w:eastAsia="TimesNewRoman"/>
          <w:sz w:val="22"/>
          <w:szCs w:val="22"/>
          <w:lang w:val="lt-LT" w:eastAsia="en-US"/>
        </w:rPr>
        <w:t>vartojimu, dažnis buvo panašus. Pagal ekspoziciją koreguotas išbėrimo dažnis (dėl visų priežasčių)</w:t>
      </w:r>
      <w:r w:rsidR="0076502C" w:rsidRPr="00532388">
        <w:rPr>
          <w:rFonts w:eastAsia="TimesNewRoman"/>
          <w:sz w:val="22"/>
          <w:szCs w:val="22"/>
          <w:lang w:val="lt-LT" w:eastAsia="en-US"/>
        </w:rPr>
        <w:t xml:space="preserve"> </w:t>
      </w:r>
      <w:r w:rsidRPr="00532388">
        <w:rPr>
          <w:rFonts w:eastAsia="TimesNewRoman"/>
          <w:sz w:val="22"/>
          <w:szCs w:val="22"/>
          <w:lang w:val="lt-LT" w:eastAsia="en-US"/>
        </w:rPr>
        <w:t>100 pacientų-metų buvo atitinkamai 10,9, 4,2 ir 3,8, o su vaistų vartojimu susijusio išbėrimo dažnis</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100 pacientų-metų buvo atitinkamai 2,4, 1,1 ir 2,3. Klinikinių tyrimų metu stebėtas </w:t>
      </w:r>
      <w:r w:rsidRPr="00532388">
        <w:rPr>
          <w:rFonts w:eastAsia="TimesNewRoman"/>
          <w:sz w:val="22"/>
          <w:szCs w:val="22"/>
          <w:lang w:val="lt-LT" w:eastAsia="en-US"/>
        </w:rPr>
        <w:lastRenderedPageBreak/>
        <w:t>išbėrimas buvo</w:t>
      </w:r>
      <w:r w:rsidR="0076502C" w:rsidRPr="00532388">
        <w:rPr>
          <w:rFonts w:eastAsia="TimesNewRoman"/>
          <w:sz w:val="22"/>
          <w:szCs w:val="22"/>
          <w:lang w:val="lt-LT" w:eastAsia="en-US"/>
        </w:rPr>
        <w:t xml:space="preserve"> </w:t>
      </w:r>
      <w:r w:rsidRPr="00532388">
        <w:rPr>
          <w:rFonts w:eastAsia="TimesNewRoman"/>
          <w:sz w:val="22"/>
          <w:szCs w:val="22"/>
          <w:lang w:val="lt-LT" w:eastAsia="en-US"/>
        </w:rPr>
        <w:t>nuo nesunkaus iki vidutinio sunkumo ir dėl jo nereikėjo nutraukti gydymo (žr. 4.4 skyrių).</w:t>
      </w:r>
    </w:p>
    <w:p w14:paraId="0B5C2234" w14:textId="77777777" w:rsidR="0076502C" w:rsidRPr="00532388" w:rsidRDefault="0076502C" w:rsidP="00953E0A">
      <w:pPr>
        <w:autoSpaceDE w:val="0"/>
        <w:autoSpaceDN w:val="0"/>
        <w:adjustRightInd w:val="0"/>
        <w:rPr>
          <w:rFonts w:eastAsia="TimesNewRoman"/>
          <w:i/>
          <w:iCs/>
          <w:sz w:val="22"/>
          <w:szCs w:val="22"/>
          <w:lang w:val="lt-LT" w:eastAsia="en-US"/>
        </w:rPr>
      </w:pPr>
    </w:p>
    <w:p w14:paraId="6898E301" w14:textId="77777777" w:rsidR="00953E0A" w:rsidRPr="00532388" w:rsidRDefault="00953E0A"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Metabolizmo rodmenys</w:t>
      </w:r>
    </w:p>
    <w:p w14:paraId="4C498D75"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Gydymo antiretrovirusiniais preparatais metu gali padidėti </w:t>
      </w:r>
      <w:r w:rsidR="0076502C" w:rsidRPr="00532388">
        <w:rPr>
          <w:rFonts w:eastAsia="TimesNewRoman"/>
          <w:sz w:val="22"/>
          <w:szCs w:val="22"/>
          <w:lang w:val="lt-LT" w:eastAsia="en-US"/>
        </w:rPr>
        <w:t>svoris</w:t>
      </w:r>
      <w:r w:rsidRPr="00532388">
        <w:rPr>
          <w:rFonts w:eastAsia="TimesNewRoman"/>
          <w:sz w:val="22"/>
          <w:szCs w:val="22"/>
          <w:lang w:val="lt-LT" w:eastAsia="en-US"/>
        </w:rPr>
        <w:t xml:space="preserve"> ir lipidų bei gliukozės koncentracijos kraujyje (žr. 4.4 skyrių).</w:t>
      </w:r>
    </w:p>
    <w:p w14:paraId="3CC49127" w14:textId="77777777" w:rsidR="0076502C" w:rsidRPr="00532388" w:rsidRDefault="0076502C" w:rsidP="00953E0A">
      <w:pPr>
        <w:autoSpaceDE w:val="0"/>
        <w:autoSpaceDN w:val="0"/>
        <w:adjustRightInd w:val="0"/>
        <w:rPr>
          <w:rFonts w:eastAsia="TimesNewRoman"/>
          <w:sz w:val="22"/>
          <w:szCs w:val="22"/>
          <w:lang w:val="lt-LT" w:eastAsia="en-US"/>
        </w:rPr>
      </w:pPr>
    </w:p>
    <w:p w14:paraId="5C01623A" w14:textId="77777777" w:rsidR="00953E0A" w:rsidRPr="00532388" w:rsidRDefault="00953E0A"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Skeleto raumenų sutrikimai</w:t>
      </w:r>
    </w:p>
    <w:p w14:paraId="3C223BD7"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Gauta pranešimų apie gydymo proteazių inhibitoriais, ypač derinant juos su NATI, ryšį su padidėjusiu</w:t>
      </w:r>
      <w:r w:rsidR="0076502C" w:rsidRPr="00532388">
        <w:rPr>
          <w:rFonts w:eastAsia="TimesNewRoman"/>
          <w:sz w:val="22"/>
          <w:szCs w:val="22"/>
          <w:lang w:val="lt-LT" w:eastAsia="en-US"/>
        </w:rPr>
        <w:t xml:space="preserve"> </w:t>
      </w:r>
      <w:r w:rsidRPr="00532388">
        <w:rPr>
          <w:rFonts w:eastAsia="TimesNewRoman"/>
          <w:sz w:val="22"/>
          <w:szCs w:val="22"/>
          <w:lang w:val="lt-LT" w:eastAsia="en-US"/>
        </w:rPr>
        <w:t>kreatin</w:t>
      </w:r>
      <w:r w:rsidR="00C727A5">
        <w:rPr>
          <w:rFonts w:eastAsia="TimesNewRoman"/>
          <w:sz w:val="22"/>
          <w:szCs w:val="22"/>
          <w:lang w:val="lt-LT" w:eastAsia="en-US"/>
        </w:rPr>
        <w:t>fosfo</w:t>
      </w:r>
      <w:r w:rsidRPr="00532388">
        <w:rPr>
          <w:rFonts w:eastAsia="TimesNewRoman"/>
          <w:sz w:val="22"/>
          <w:szCs w:val="22"/>
          <w:lang w:val="lt-LT" w:eastAsia="en-US"/>
        </w:rPr>
        <w:t>kinazės (CPK) aktyvumu, mialgija, miozitu</w:t>
      </w:r>
      <w:r w:rsidR="00C727A5">
        <w:rPr>
          <w:rFonts w:eastAsia="TimesNewRoman"/>
          <w:sz w:val="22"/>
          <w:szCs w:val="22"/>
          <w:lang w:val="lt-LT" w:eastAsia="en-US"/>
        </w:rPr>
        <w:t xml:space="preserve"> </w:t>
      </w:r>
      <w:r w:rsidRPr="00532388">
        <w:rPr>
          <w:rFonts w:eastAsia="TimesNewRoman"/>
          <w:sz w:val="22"/>
          <w:szCs w:val="22"/>
          <w:lang w:val="lt-LT" w:eastAsia="en-US"/>
        </w:rPr>
        <w:t xml:space="preserve"> ir (retai) rabdomiolize.</w:t>
      </w:r>
    </w:p>
    <w:p w14:paraId="085E68BF" w14:textId="77777777" w:rsidR="0076502C" w:rsidRPr="00532388" w:rsidRDefault="0076502C" w:rsidP="00953E0A">
      <w:pPr>
        <w:autoSpaceDE w:val="0"/>
        <w:autoSpaceDN w:val="0"/>
        <w:adjustRightInd w:val="0"/>
        <w:rPr>
          <w:rFonts w:eastAsia="TimesNewRoman"/>
          <w:sz w:val="22"/>
          <w:szCs w:val="22"/>
          <w:lang w:val="lt-LT" w:eastAsia="en-US"/>
        </w:rPr>
      </w:pPr>
    </w:p>
    <w:p w14:paraId="28E51F5C"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Gauta pranešimų apie osteonekrozę, ypač pacientams, kurie turėjo bendrai pripažintų rizikos veiksnių,</w:t>
      </w:r>
      <w:r w:rsidR="0076502C" w:rsidRPr="00532388">
        <w:rPr>
          <w:rFonts w:eastAsia="TimesNewRoman"/>
          <w:sz w:val="22"/>
          <w:szCs w:val="22"/>
          <w:lang w:val="lt-LT" w:eastAsia="en-US"/>
        </w:rPr>
        <w:t xml:space="preserve"> </w:t>
      </w:r>
      <w:r w:rsidRPr="00532388">
        <w:rPr>
          <w:rFonts w:eastAsia="TimesNewRoman"/>
          <w:sz w:val="22"/>
          <w:szCs w:val="22"/>
          <w:lang w:val="lt-LT" w:eastAsia="en-US"/>
        </w:rPr>
        <w:t>sirgo toli pažengusia ŽIV liga arba jiems buvo taikytas ilgalaikis sudėtinis antiretrovirusinis gydymas</w:t>
      </w:r>
      <w:r w:rsidR="0076502C" w:rsidRPr="00532388">
        <w:rPr>
          <w:rFonts w:eastAsia="TimesNewRoman"/>
          <w:sz w:val="22"/>
          <w:szCs w:val="22"/>
          <w:lang w:val="lt-LT" w:eastAsia="en-US"/>
        </w:rPr>
        <w:t xml:space="preserve"> </w:t>
      </w:r>
      <w:r w:rsidRPr="00532388">
        <w:rPr>
          <w:rFonts w:eastAsia="TimesNewRoman"/>
          <w:sz w:val="22"/>
          <w:szCs w:val="22"/>
          <w:lang w:val="lt-LT" w:eastAsia="en-US"/>
        </w:rPr>
        <w:t>(SARG). Šio reiškinio dažnis nežinomas (žr. 4.4 skyrių).</w:t>
      </w:r>
    </w:p>
    <w:p w14:paraId="78F0DA32" w14:textId="77777777" w:rsidR="0076502C" w:rsidRPr="00532388" w:rsidRDefault="0076502C" w:rsidP="00953E0A">
      <w:pPr>
        <w:autoSpaceDE w:val="0"/>
        <w:autoSpaceDN w:val="0"/>
        <w:adjustRightInd w:val="0"/>
        <w:rPr>
          <w:rFonts w:eastAsia="TimesNewRoman"/>
          <w:i/>
          <w:iCs/>
          <w:sz w:val="22"/>
          <w:szCs w:val="22"/>
          <w:lang w:val="lt-LT" w:eastAsia="en-US"/>
        </w:rPr>
      </w:pPr>
    </w:p>
    <w:p w14:paraId="4AEF9ED5" w14:textId="77777777" w:rsidR="00953E0A" w:rsidRPr="00532388" w:rsidRDefault="00953E0A"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Imuniteto atsistatymo uždegiminis sindromas</w:t>
      </w:r>
    </w:p>
    <w:p w14:paraId="65AD3628"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ŽIV infekuotiems asmenims, kuriems pradedant sudėtinį antiretrovirusinį gydymą (SARG) yra sunkus</w:t>
      </w:r>
      <w:r w:rsidR="0076502C" w:rsidRPr="00532388">
        <w:rPr>
          <w:rFonts w:eastAsia="TimesNewRoman"/>
          <w:sz w:val="22"/>
          <w:szCs w:val="22"/>
          <w:lang w:val="lt-LT" w:eastAsia="en-US"/>
        </w:rPr>
        <w:t xml:space="preserve"> </w:t>
      </w:r>
      <w:r w:rsidRPr="00532388">
        <w:rPr>
          <w:rFonts w:eastAsia="TimesNewRoman"/>
          <w:sz w:val="22"/>
          <w:szCs w:val="22"/>
          <w:lang w:val="lt-LT" w:eastAsia="en-US"/>
        </w:rPr>
        <w:t>imuniteto nepakankamumas, gali kilti uždegiminė reakcija į besimptomę ar liekamąją oportunistinę</w:t>
      </w:r>
      <w:r w:rsidR="0076502C" w:rsidRPr="00532388">
        <w:rPr>
          <w:rFonts w:eastAsia="TimesNewRoman"/>
          <w:sz w:val="22"/>
          <w:szCs w:val="22"/>
          <w:lang w:val="lt-LT" w:eastAsia="en-US"/>
        </w:rPr>
        <w:t xml:space="preserve"> </w:t>
      </w:r>
      <w:r w:rsidRPr="00532388">
        <w:rPr>
          <w:rFonts w:eastAsia="TimesNewRoman"/>
          <w:sz w:val="22"/>
          <w:szCs w:val="22"/>
          <w:lang w:val="lt-LT" w:eastAsia="en-US"/>
        </w:rPr>
        <w:t>infekciją. Taip pat buvo pranešta apie autoimuninius sutrikimus (pvz., Greivso ligą), tačiau praneštas</w:t>
      </w:r>
      <w:r w:rsidR="0076502C" w:rsidRPr="00532388">
        <w:rPr>
          <w:rFonts w:eastAsia="TimesNewRoman"/>
          <w:sz w:val="22"/>
          <w:szCs w:val="22"/>
          <w:lang w:val="lt-LT" w:eastAsia="en-US"/>
        </w:rPr>
        <w:t xml:space="preserve"> </w:t>
      </w:r>
      <w:r w:rsidRPr="00532388">
        <w:rPr>
          <w:rFonts w:eastAsia="TimesNewRoman"/>
          <w:sz w:val="22"/>
          <w:szCs w:val="22"/>
          <w:lang w:val="lt-LT" w:eastAsia="en-US"/>
        </w:rPr>
        <w:t>jų pradžios laikas yra labiau kintamas ir šie reiškiniai galimi per daug mėnesių nuo gydymo pradžios</w:t>
      </w:r>
    </w:p>
    <w:p w14:paraId="41038222"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(žr. 4.4 skyrių).</w:t>
      </w:r>
    </w:p>
    <w:p w14:paraId="3EA437E1" w14:textId="77777777" w:rsidR="0076502C" w:rsidRPr="00532388" w:rsidRDefault="0076502C" w:rsidP="00953E0A">
      <w:pPr>
        <w:autoSpaceDE w:val="0"/>
        <w:autoSpaceDN w:val="0"/>
        <w:adjustRightInd w:val="0"/>
        <w:rPr>
          <w:rFonts w:eastAsia="TimesNewRoman"/>
          <w:i/>
          <w:iCs/>
          <w:sz w:val="22"/>
          <w:szCs w:val="22"/>
          <w:lang w:val="lt-LT" w:eastAsia="en-US"/>
        </w:rPr>
      </w:pPr>
    </w:p>
    <w:p w14:paraId="3D00914C" w14:textId="77777777" w:rsidR="00953E0A" w:rsidRPr="00532388" w:rsidRDefault="00953E0A"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Kraujavimas hemofilija sergantiems pacientams</w:t>
      </w:r>
    </w:p>
    <w:p w14:paraId="59D2F34A"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Hemofilija sergantiems ir antiretrovirusiniais proteazės inhibitoriais gydytiems pacientams buvo</w:t>
      </w:r>
      <w:r w:rsidR="0076502C" w:rsidRPr="00532388">
        <w:rPr>
          <w:rFonts w:eastAsia="TimesNewRoman"/>
          <w:sz w:val="22"/>
          <w:szCs w:val="22"/>
          <w:lang w:val="lt-LT" w:eastAsia="en-US"/>
        </w:rPr>
        <w:t xml:space="preserve"> </w:t>
      </w:r>
      <w:r w:rsidRPr="00532388">
        <w:rPr>
          <w:rFonts w:eastAsia="TimesNewRoman"/>
          <w:sz w:val="22"/>
          <w:szCs w:val="22"/>
          <w:lang w:val="lt-LT" w:eastAsia="en-US"/>
        </w:rPr>
        <w:t>pastebėti padidėjusio spontaninio kraujavimo atvejai (žr. 4.4 skyrių).</w:t>
      </w:r>
    </w:p>
    <w:p w14:paraId="0CCC4031" w14:textId="77777777" w:rsidR="0076502C" w:rsidRPr="00532388" w:rsidRDefault="0076502C" w:rsidP="00953E0A">
      <w:pPr>
        <w:autoSpaceDE w:val="0"/>
        <w:autoSpaceDN w:val="0"/>
        <w:adjustRightInd w:val="0"/>
        <w:rPr>
          <w:rFonts w:eastAsia="TimesNewRoman"/>
          <w:sz w:val="22"/>
          <w:szCs w:val="22"/>
          <w:lang w:val="lt-LT" w:eastAsia="en-US"/>
        </w:rPr>
      </w:pPr>
    </w:p>
    <w:p w14:paraId="12C75745" w14:textId="77777777" w:rsidR="00953E0A" w:rsidRPr="00532388" w:rsidRDefault="00953E0A" w:rsidP="00953E0A">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Vaikų populiacija</w:t>
      </w:r>
    </w:p>
    <w:p w14:paraId="046B9FC7"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Saugumo įvertinimas vaikų populiacijos pacientams pagrįstas trijų II fazės klinikinių tyrimų 48</w:t>
      </w:r>
      <w:r w:rsidR="0076502C" w:rsidRPr="00532388">
        <w:rPr>
          <w:rFonts w:eastAsia="TimesNewRoman"/>
          <w:sz w:val="22"/>
          <w:szCs w:val="22"/>
          <w:lang w:val="lt-LT" w:eastAsia="en-US"/>
        </w:rPr>
        <w:t xml:space="preserve"> </w:t>
      </w:r>
      <w:r w:rsidRPr="00532388">
        <w:rPr>
          <w:rFonts w:eastAsia="TimesNewRoman"/>
          <w:sz w:val="22"/>
          <w:szCs w:val="22"/>
          <w:lang w:val="lt-LT" w:eastAsia="en-US"/>
        </w:rPr>
        <w:t>savaitės saugumo duomenų analize. Buvo vertintos šios pacientų grupės (žr. 5.1 skyrių):</w:t>
      </w:r>
    </w:p>
    <w:p w14:paraId="2FDD4121" w14:textId="77777777" w:rsidR="00953E0A" w:rsidRPr="00532388" w:rsidRDefault="00953E0A" w:rsidP="0076502C">
      <w:pPr>
        <w:pStyle w:val="Sraopastraipa"/>
        <w:numPr>
          <w:ilvl w:val="0"/>
          <w:numId w:val="15"/>
        </w:numPr>
        <w:autoSpaceDE w:val="0"/>
        <w:autoSpaceDN w:val="0"/>
        <w:adjustRightInd w:val="0"/>
        <w:ind w:left="567" w:hanging="567"/>
        <w:rPr>
          <w:rFonts w:eastAsia="TimesNewRoman"/>
          <w:sz w:val="22"/>
          <w:szCs w:val="22"/>
          <w:lang w:val="lt-LT" w:eastAsia="en-US"/>
        </w:rPr>
      </w:pPr>
      <w:r w:rsidRPr="00532388">
        <w:rPr>
          <w:rFonts w:eastAsia="TimesNewRoman"/>
          <w:sz w:val="22"/>
          <w:szCs w:val="22"/>
          <w:lang w:val="lt-LT" w:eastAsia="en-US"/>
        </w:rPr>
        <w:t>80 ŽIV-1 užsikrėtusių 6-17 metų ir ne mažiau kaip 20</w:t>
      </w:r>
      <w:r w:rsidR="0076502C" w:rsidRPr="00532388">
        <w:rPr>
          <w:rFonts w:eastAsia="TimesNewRoman"/>
          <w:sz w:val="22"/>
          <w:szCs w:val="22"/>
          <w:lang w:val="lt-LT" w:eastAsia="en-US"/>
        </w:rPr>
        <w:t> </w:t>
      </w:r>
      <w:r w:rsidRPr="00532388">
        <w:rPr>
          <w:rFonts w:eastAsia="TimesNewRoman"/>
          <w:sz w:val="22"/>
          <w:szCs w:val="22"/>
          <w:lang w:val="lt-LT" w:eastAsia="en-US"/>
        </w:rPr>
        <w:t>kg sveriančių vaikų populiacijos</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pacientų, kuriems pirmiau buvo taikytas ARG, kurie gydymui gavo </w:t>
      </w:r>
      <w:r w:rsidR="0076502C" w:rsidRPr="00532388">
        <w:rPr>
          <w:rFonts w:eastAsia="TimesNewRoman"/>
          <w:sz w:val="22"/>
          <w:szCs w:val="22"/>
          <w:lang w:val="lt-LT" w:eastAsia="en-US"/>
        </w:rPr>
        <w:t>darunaviro</w:t>
      </w:r>
      <w:r w:rsidRPr="00532388">
        <w:rPr>
          <w:rFonts w:eastAsia="TimesNewRoman"/>
          <w:sz w:val="22"/>
          <w:szCs w:val="22"/>
          <w:lang w:val="lt-LT" w:eastAsia="en-US"/>
        </w:rPr>
        <w:t xml:space="preserve"> tabletes su</w:t>
      </w:r>
      <w:r w:rsidR="0076502C" w:rsidRPr="00532388">
        <w:rPr>
          <w:rFonts w:eastAsia="TimesNewRoman"/>
          <w:sz w:val="22"/>
          <w:szCs w:val="22"/>
          <w:lang w:val="lt-LT" w:eastAsia="en-US"/>
        </w:rPr>
        <w:t xml:space="preserve"> </w:t>
      </w:r>
      <w:r w:rsidRPr="00532388">
        <w:rPr>
          <w:rFonts w:eastAsia="TimesNewRoman"/>
          <w:sz w:val="22"/>
          <w:szCs w:val="22"/>
          <w:lang w:val="lt-LT" w:eastAsia="en-US"/>
        </w:rPr>
        <w:t>maža ritonaviro doze du kartus per parą kartu su kitais antiretrovirusiniais vaistiniais</w:t>
      </w:r>
      <w:r w:rsidR="0076502C" w:rsidRPr="00532388">
        <w:rPr>
          <w:rFonts w:eastAsia="TimesNewRoman"/>
          <w:sz w:val="22"/>
          <w:szCs w:val="22"/>
          <w:lang w:val="lt-LT" w:eastAsia="en-US"/>
        </w:rPr>
        <w:t xml:space="preserve"> preparatais;</w:t>
      </w:r>
    </w:p>
    <w:p w14:paraId="56184C6E" w14:textId="77777777" w:rsidR="00953E0A" w:rsidRPr="00532388" w:rsidRDefault="00953E0A" w:rsidP="0076502C">
      <w:pPr>
        <w:pStyle w:val="Sraopastraipa"/>
        <w:numPr>
          <w:ilvl w:val="0"/>
          <w:numId w:val="15"/>
        </w:numPr>
        <w:autoSpaceDE w:val="0"/>
        <w:autoSpaceDN w:val="0"/>
        <w:adjustRightInd w:val="0"/>
        <w:ind w:left="567" w:hanging="567"/>
        <w:rPr>
          <w:rFonts w:eastAsia="TimesNewRoman"/>
          <w:sz w:val="22"/>
          <w:szCs w:val="22"/>
          <w:lang w:val="lt-LT" w:eastAsia="en-US"/>
        </w:rPr>
      </w:pPr>
      <w:r w:rsidRPr="00532388">
        <w:rPr>
          <w:rFonts w:eastAsia="TimesNewRoman"/>
          <w:sz w:val="22"/>
          <w:szCs w:val="22"/>
          <w:lang w:val="lt-LT" w:eastAsia="en-US"/>
        </w:rPr>
        <w:t>21 ŽIV-1 užsikrėtęs vaikų populiacijos pacientas nuo 3 iki &lt; 6 metų ir sveriančių nuo 10</w:t>
      </w:r>
      <w:r w:rsidR="0076502C" w:rsidRPr="00532388">
        <w:rPr>
          <w:rFonts w:eastAsia="TimesNewRoman"/>
          <w:sz w:val="22"/>
          <w:szCs w:val="22"/>
          <w:lang w:val="lt-LT" w:eastAsia="en-US"/>
        </w:rPr>
        <w:t> </w:t>
      </w:r>
      <w:r w:rsidRPr="00532388">
        <w:rPr>
          <w:rFonts w:eastAsia="TimesNewRoman"/>
          <w:sz w:val="22"/>
          <w:szCs w:val="22"/>
          <w:lang w:val="lt-LT" w:eastAsia="en-US"/>
        </w:rPr>
        <w:t>kg iki</w:t>
      </w:r>
      <w:r w:rsidR="0076502C" w:rsidRPr="00532388">
        <w:rPr>
          <w:rFonts w:eastAsia="TimesNewRoman"/>
          <w:sz w:val="22"/>
          <w:szCs w:val="22"/>
          <w:lang w:val="lt-LT" w:eastAsia="en-US"/>
        </w:rPr>
        <w:t xml:space="preserve"> </w:t>
      </w:r>
      <w:r w:rsidRPr="00532388">
        <w:rPr>
          <w:rFonts w:eastAsia="TimesNewRoman"/>
          <w:sz w:val="22"/>
          <w:szCs w:val="22"/>
          <w:lang w:val="lt-LT" w:eastAsia="en-US"/>
        </w:rPr>
        <w:t>&lt; 20</w:t>
      </w:r>
      <w:r w:rsidR="0076502C" w:rsidRPr="00532388">
        <w:rPr>
          <w:rFonts w:eastAsia="TimesNewRoman"/>
          <w:sz w:val="22"/>
          <w:szCs w:val="22"/>
          <w:lang w:val="lt-LT" w:eastAsia="en-US"/>
        </w:rPr>
        <w:t> </w:t>
      </w:r>
      <w:r w:rsidRPr="00532388">
        <w:rPr>
          <w:rFonts w:eastAsia="TimesNewRoman"/>
          <w:sz w:val="22"/>
          <w:szCs w:val="22"/>
          <w:lang w:val="lt-LT" w:eastAsia="en-US"/>
        </w:rPr>
        <w:t>kg (16 dalyvių kūno masė buvo nuo 15</w:t>
      </w:r>
      <w:r w:rsidR="0076502C" w:rsidRPr="00532388">
        <w:rPr>
          <w:rFonts w:eastAsia="TimesNewRoman"/>
          <w:sz w:val="22"/>
          <w:szCs w:val="22"/>
          <w:lang w:val="lt-LT" w:eastAsia="en-US"/>
        </w:rPr>
        <w:t> </w:t>
      </w:r>
      <w:r w:rsidRPr="00532388">
        <w:rPr>
          <w:rFonts w:eastAsia="TimesNewRoman"/>
          <w:sz w:val="22"/>
          <w:szCs w:val="22"/>
          <w:lang w:val="lt-LT" w:eastAsia="en-US"/>
        </w:rPr>
        <w:t>kg iki &lt; 20</w:t>
      </w:r>
      <w:r w:rsidR="0076502C" w:rsidRPr="00532388">
        <w:rPr>
          <w:rFonts w:eastAsia="TimesNewRoman"/>
          <w:sz w:val="22"/>
          <w:szCs w:val="22"/>
          <w:lang w:val="lt-LT" w:eastAsia="en-US"/>
        </w:rPr>
        <w:t> </w:t>
      </w:r>
      <w:r w:rsidRPr="00532388">
        <w:rPr>
          <w:rFonts w:eastAsia="TimesNewRoman"/>
          <w:sz w:val="22"/>
          <w:szCs w:val="22"/>
          <w:lang w:val="lt-LT" w:eastAsia="en-US"/>
        </w:rPr>
        <w:t>kg), kuriems pirmiau buvo taikytas</w:t>
      </w:r>
      <w:r w:rsidR="0076502C" w:rsidRPr="00532388">
        <w:rPr>
          <w:rFonts w:eastAsia="TimesNewRoman"/>
          <w:sz w:val="22"/>
          <w:szCs w:val="22"/>
          <w:lang w:val="lt-LT" w:eastAsia="en-US"/>
        </w:rPr>
        <w:t xml:space="preserve"> </w:t>
      </w:r>
      <w:r w:rsidRPr="00532388">
        <w:rPr>
          <w:rFonts w:eastAsia="TimesNewRoman"/>
          <w:sz w:val="22"/>
          <w:szCs w:val="22"/>
          <w:lang w:val="lt-LT" w:eastAsia="en-US"/>
        </w:rPr>
        <w:t xml:space="preserve">ARG, kurie gydymui gavo </w:t>
      </w:r>
      <w:r w:rsidR="0076502C" w:rsidRPr="00532388">
        <w:rPr>
          <w:rFonts w:eastAsia="TimesNewRoman"/>
          <w:sz w:val="22"/>
          <w:szCs w:val="22"/>
          <w:lang w:val="lt-LT" w:eastAsia="en-US"/>
        </w:rPr>
        <w:t xml:space="preserve">darunaviro </w:t>
      </w:r>
      <w:r w:rsidRPr="00532388">
        <w:rPr>
          <w:rFonts w:eastAsia="TimesNewRoman"/>
          <w:sz w:val="22"/>
          <w:szCs w:val="22"/>
          <w:lang w:val="lt-LT" w:eastAsia="en-US"/>
        </w:rPr>
        <w:t xml:space="preserve"> geriamają suspensiją su maža ritonaviro doze du kartus</w:t>
      </w:r>
      <w:r w:rsidR="0076502C" w:rsidRPr="00532388">
        <w:rPr>
          <w:rFonts w:eastAsia="TimesNewRoman"/>
          <w:sz w:val="22"/>
          <w:szCs w:val="22"/>
          <w:lang w:val="lt-LT" w:eastAsia="en-US"/>
        </w:rPr>
        <w:t xml:space="preserve"> </w:t>
      </w:r>
      <w:r w:rsidRPr="00532388">
        <w:rPr>
          <w:rFonts w:eastAsia="TimesNewRoman"/>
          <w:sz w:val="22"/>
          <w:szCs w:val="22"/>
          <w:lang w:val="lt-LT" w:eastAsia="en-US"/>
        </w:rPr>
        <w:t>per parą kartu su kitais antiretrovirusiniais vaistiniais preparatais</w:t>
      </w:r>
      <w:r w:rsidR="0076502C" w:rsidRPr="00532388">
        <w:rPr>
          <w:rFonts w:eastAsia="TimesNewRoman"/>
          <w:sz w:val="22"/>
          <w:szCs w:val="22"/>
          <w:lang w:val="lt-LT" w:eastAsia="en-US"/>
        </w:rPr>
        <w:t>;</w:t>
      </w:r>
    </w:p>
    <w:p w14:paraId="7D38EFB3" w14:textId="77777777" w:rsidR="00953E0A" w:rsidRPr="00532388" w:rsidRDefault="00953E0A" w:rsidP="00953E0A">
      <w:pPr>
        <w:pStyle w:val="Sraopastraipa"/>
        <w:numPr>
          <w:ilvl w:val="0"/>
          <w:numId w:val="15"/>
        </w:numPr>
        <w:autoSpaceDE w:val="0"/>
        <w:autoSpaceDN w:val="0"/>
        <w:adjustRightInd w:val="0"/>
        <w:ind w:left="567" w:hanging="567"/>
        <w:rPr>
          <w:rFonts w:eastAsia="TimesNewRoman"/>
          <w:sz w:val="22"/>
          <w:szCs w:val="22"/>
          <w:lang w:val="lt-LT" w:eastAsia="en-US"/>
        </w:rPr>
      </w:pPr>
      <w:r w:rsidRPr="00532388">
        <w:rPr>
          <w:rFonts w:eastAsia="TimesNewRoman"/>
          <w:sz w:val="22"/>
          <w:szCs w:val="22"/>
          <w:lang w:val="lt-LT" w:eastAsia="en-US"/>
        </w:rPr>
        <w:t>12 ŽIV-1 užsikrėtusių vaikų populiacijos pacientų nuo 12 iki 17 metų ir sveriančių ne mažiau</w:t>
      </w:r>
      <w:r w:rsidR="0076502C" w:rsidRPr="00532388">
        <w:rPr>
          <w:rFonts w:eastAsia="TimesNewRoman"/>
          <w:sz w:val="22"/>
          <w:szCs w:val="22"/>
          <w:lang w:val="lt-LT" w:eastAsia="en-US"/>
        </w:rPr>
        <w:t xml:space="preserve"> </w:t>
      </w:r>
      <w:r w:rsidRPr="00532388">
        <w:rPr>
          <w:rFonts w:eastAsia="TimesNewRoman"/>
          <w:sz w:val="22"/>
          <w:szCs w:val="22"/>
          <w:lang w:val="lt-LT" w:eastAsia="en-US"/>
        </w:rPr>
        <w:t>kaip 40</w:t>
      </w:r>
      <w:r w:rsidR="0076502C" w:rsidRPr="00532388">
        <w:rPr>
          <w:rFonts w:eastAsia="TimesNewRoman"/>
          <w:sz w:val="22"/>
          <w:szCs w:val="22"/>
          <w:lang w:val="lt-LT" w:eastAsia="en-US"/>
        </w:rPr>
        <w:t> </w:t>
      </w:r>
      <w:r w:rsidRPr="00532388">
        <w:rPr>
          <w:rFonts w:eastAsia="TimesNewRoman"/>
          <w:sz w:val="22"/>
          <w:szCs w:val="22"/>
          <w:lang w:val="lt-LT" w:eastAsia="en-US"/>
        </w:rPr>
        <w:t xml:space="preserve">kg, </w:t>
      </w:r>
      <w:r w:rsidR="00E17E27">
        <w:rPr>
          <w:rFonts w:eastAsia="TimesNewRoman"/>
          <w:sz w:val="22"/>
          <w:szCs w:val="22"/>
          <w:lang w:val="lt-LT" w:eastAsia="en-US"/>
        </w:rPr>
        <w:t xml:space="preserve">kuriems  pirmiau nebuvo taikytas ARG, </w:t>
      </w:r>
      <w:r w:rsidRPr="00532388">
        <w:rPr>
          <w:rFonts w:eastAsia="TimesNewRoman"/>
          <w:sz w:val="22"/>
          <w:szCs w:val="22"/>
          <w:lang w:val="lt-LT" w:eastAsia="en-US"/>
        </w:rPr>
        <w:t xml:space="preserve">kurie gydymui gavo </w:t>
      </w:r>
      <w:r w:rsidR="0076502C" w:rsidRPr="00532388">
        <w:rPr>
          <w:rFonts w:eastAsia="TimesNewRoman"/>
          <w:sz w:val="22"/>
          <w:szCs w:val="22"/>
          <w:lang w:val="lt-LT" w:eastAsia="en-US"/>
        </w:rPr>
        <w:t>darunaviro</w:t>
      </w:r>
      <w:r w:rsidRPr="00532388">
        <w:rPr>
          <w:rFonts w:eastAsia="TimesNewRoman"/>
          <w:sz w:val="22"/>
          <w:szCs w:val="22"/>
          <w:lang w:val="lt-LT" w:eastAsia="en-US"/>
        </w:rPr>
        <w:t xml:space="preserve"> tabletes su maža ritonaviro doze vieną kartą per</w:t>
      </w:r>
      <w:r w:rsidR="0076502C" w:rsidRPr="00532388">
        <w:rPr>
          <w:rFonts w:eastAsia="TimesNewRoman"/>
          <w:sz w:val="22"/>
          <w:szCs w:val="22"/>
          <w:lang w:val="lt-LT" w:eastAsia="en-US"/>
        </w:rPr>
        <w:t xml:space="preserve"> </w:t>
      </w:r>
      <w:r w:rsidRPr="00532388">
        <w:rPr>
          <w:rFonts w:eastAsia="TimesNewRoman"/>
          <w:sz w:val="22"/>
          <w:szCs w:val="22"/>
          <w:lang w:val="lt-LT" w:eastAsia="en-US"/>
        </w:rPr>
        <w:t>parą kartu su kitais antiretrovirusiniais vaistiniais preparatais. (žr. 5.1 skyrių).</w:t>
      </w:r>
    </w:p>
    <w:p w14:paraId="0C509AC5" w14:textId="77777777" w:rsidR="0076502C" w:rsidRPr="00532388" w:rsidRDefault="0076502C" w:rsidP="00953E0A">
      <w:pPr>
        <w:autoSpaceDE w:val="0"/>
        <w:autoSpaceDN w:val="0"/>
        <w:adjustRightInd w:val="0"/>
        <w:rPr>
          <w:rFonts w:eastAsia="TimesNewRoman"/>
          <w:sz w:val="22"/>
          <w:szCs w:val="22"/>
          <w:lang w:val="lt-LT" w:eastAsia="en-US"/>
        </w:rPr>
      </w:pPr>
    </w:p>
    <w:p w14:paraId="0B4E2B0C"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 viso, saugumo pobūdis šiems vaikams ir paaugliams buvo panašus į suaugusiųjų populiacijos.</w:t>
      </w:r>
    </w:p>
    <w:p w14:paraId="50D616AB" w14:textId="77777777" w:rsidR="0076502C" w:rsidRPr="00532388" w:rsidRDefault="0076502C" w:rsidP="00953E0A">
      <w:pPr>
        <w:autoSpaceDE w:val="0"/>
        <w:autoSpaceDN w:val="0"/>
        <w:adjustRightInd w:val="0"/>
        <w:rPr>
          <w:rFonts w:eastAsia="TimesNewRoman"/>
          <w:sz w:val="22"/>
          <w:szCs w:val="22"/>
          <w:lang w:val="lt-LT" w:eastAsia="en-US"/>
        </w:rPr>
      </w:pPr>
    </w:p>
    <w:p w14:paraId="40307783" w14:textId="77777777" w:rsidR="00953E0A" w:rsidRPr="00532388" w:rsidRDefault="00953E0A" w:rsidP="00953E0A">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Kitų specialių grupių pacientai</w:t>
      </w:r>
    </w:p>
    <w:p w14:paraId="1E65AAD1" w14:textId="77777777" w:rsidR="00953E0A" w:rsidRPr="00532388" w:rsidRDefault="0076502C" w:rsidP="00953E0A">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Pacientai</w:t>
      </w:r>
      <w:r w:rsidR="00953E0A" w:rsidRPr="00532388">
        <w:rPr>
          <w:rFonts w:eastAsia="TimesNewRoman"/>
          <w:i/>
          <w:iCs/>
          <w:sz w:val="22"/>
          <w:szCs w:val="22"/>
          <w:lang w:val="lt-LT" w:eastAsia="en-US"/>
        </w:rPr>
        <w:t>, kuriems kartu yra hepatito B ir (arba) hepatito C virusinė infekcija</w:t>
      </w:r>
    </w:p>
    <w:p w14:paraId="3D56DFAE"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Tarp 1 968 jau gydytų pacientų, kurie 600</w:t>
      </w:r>
      <w:r w:rsidR="001C17C9" w:rsidRPr="00532388">
        <w:rPr>
          <w:rFonts w:eastAsia="TimesNewRoman"/>
          <w:sz w:val="22"/>
          <w:szCs w:val="22"/>
          <w:lang w:val="lt-LT" w:eastAsia="en-US"/>
        </w:rPr>
        <w:t> </w:t>
      </w:r>
      <w:r w:rsidRPr="00532388">
        <w:rPr>
          <w:rFonts w:eastAsia="TimesNewRoman"/>
          <w:sz w:val="22"/>
          <w:szCs w:val="22"/>
          <w:lang w:val="lt-LT" w:eastAsia="en-US"/>
        </w:rPr>
        <w:t xml:space="preserve">mg </w:t>
      </w:r>
      <w:r w:rsidR="001C17C9" w:rsidRPr="00532388">
        <w:rPr>
          <w:rFonts w:eastAsia="TimesNewRoman"/>
          <w:sz w:val="22"/>
          <w:szCs w:val="22"/>
          <w:lang w:val="lt-LT" w:eastAsia="en-US"/>
        </w:rPr>
        <w:t>darunaviro</w:t>
      </w:r>
      <w:r w:rsidRPr="00532388">
        <w:rPr>
          <w:rFonts w:eastAsia="TimesNewRoman"/>
          <w:sz w:val="22"/>
          <w:szCs w:val="22"/>
          <w:lang w:val="lt-LT" w:eastAsia="en-US"/>
        </w:rPr>
        <w:t xml:space="preserve"> vartojo kartu su 100</w:t>
      </w:r>
      <w:r w:rsidR="001C17C9" w:rsidRPr="00532388">
        <w:rPr>
          <w:rFonts w:eastAsia="TimesNewRoman"/>
          <w:sz w:val="22"/>
          <w:szCs w:val="22"/>
          <w:lang w:val="lt-LT" w:eastAsia="en-US"/>
        </w:rPr>
        <w:t> </w:t>
      </w:r>
      <w:r w:rsidRPr="00532388">
        <w:rPr>
          <w:rFonts w:eastAsia="TimesNewRoman"/>
          <w:sz w:val="22"/>
          <w:szCs w:val="22"/>
          <w:lang w:val="lt-LT" w:eastAsia="en-US"/>
        </w:rPr>
        <w:t>mg ritonaviro du kartus</w:t>
      </w:r>
      <w:r w:rsidR="001C17C9" w:rsidRPr="00532388">
        <w:rPr>
          <w:rFonts w:eastAsia="TimesNewRoman"/>
          <w:sz w:val="22"/>
          <w:szCs w:val="22"/>
          <w:lang w:val="lt-LT" w:eastAsia="en-US"/>
        </w:rPr>
        <w:t xml:space="preserve"> </w:t>
      </w:r>
      <w:r w:rsidRPr="00532388">
        <w:rPr>
          <w:rFonts w:eastAsia="TimesNewRoman"/>
          <w:sz w:val="22"/>
          <w:szCs w:val="22"/>
          <w:lang w:val="lt-LT" w:eastAsia="en-US"/>
        </w:rPr>
        <w:t>per parą, buvo 236 pacientai, kurie kartu buvo užsikrėtę hepatito B ir (arba) hepatito C virusine</w:t>
      </w:r>
      <w:r w:rsidR="001C17C9" w:rsidRPr="00532388">
        <w:rPr>
          <w:rFonts w:eastAsia="TimesNewRoman"/>
          <w:sz w:val="22"/>
          <w:szCs w:val="22"/>
          <w:lang w:val="lt-LT" w:eastAsia="en-US"/>
        </w:rPr>
        <w:t xml:space="preserve"> </w:t>
      </w:r>
      <w:r w:rsidRPr="00532388">
        <w:rPr>
          <w:rFonts w:eastAsia="TimesNewRoman"/>
          <w:sz w:val="22"/>
          <w:szCs w:val="22"/>
          <w:lang w:val="lt-LT" w:eastAsia="en-US"/>
        </w:rPr>
        <w:t>infekcija. Abiejomis infekcijomis užsikrėtusiems pacientams kepenų transaminazių suaktyvėjimo</w:t>
      </w:r>
      <w:r w:rsidR="001C17C9" w:rsidRPr="00532388">
        <w:rPr>
          <w:rFonts w:eastAsia="TimesNewRoman"/>
          <w:sz w:val="22"/>
          <w:szCs w:val="22"/>
          <w:lang w:val="lt-LT" w:eastAsia="en-US"/>
        </w:rPr>
        <w:t xml:space="preserve"> </w:t>
      </w:r>
      <w:r w:rsidRPr="00532388">
        <w:rPr>
          <w:rFonts w:eastAsia="TimesNewRoman"/>
          <w:sz w:val="22"/>
          <w:szCs w:val="22"/>
          <w:lang w:val="lt-LT" w:eastAsia="en-US"/>
        </w:rPr>
        <w:t>pradinio tyrimo metu ir gydymo metu tikimybė buvo didesnė, palyginti su tais, kurie nesirgo lėtiniu</w:t>
      </w:r>
      <w:r w:rsidR="001C17C9" w:rsidRPr="00532388">
        <w:rPr>
          <w:rFonts w:eastAsia="TimesNewRoman"/>
          <w:sz w:val="22"/>
          <w:szCs w:val="22"/>
          <w:lang w:val="lt-LT" w:eastAsia="en-US"/>
        </w:rPr>
        <w:t xml:space="preserve"> </w:t>
      </w:r>
      <w:r w:rsidRPr="00532388">
        <w:rPr>
          <w:rFonts w:eastAsia="TimesNewRoman"/>
          <w:sz w:val="22"/>
          <w:szCs w:val="22"/>
          <w:lang w:val="lt-LT" w:eastAsia="en-US"/>
        </w:rPr>
        <w:t>virusiniu hepatitu (žr. 4.4 skyrių).</w:t>
      </w:r>
    </w:p>
    <w:p w14:paraId="48CFE230" w14:textId="77777777" w:rsidR="00953E0A" w:rsidRPr="00532388" w:rsidRDefault="00953E0A" w:rsidP="00953E0A">
      <w:pPr>
        <w:autoSpaceDE w:val="0"/>
        <w:autoSpaceDN w:val="0"/>
        <w:adjustRightInd w:val="0"/>
        <w:rPr>
          <w:rFonts w:eastAsia="TimesNewRoman"/>
          <w:sz w:val="22"/>
          <w:szCs w:val="22"/>
          <w:lang w:val="lt-LT" w:eastAsia="en-US"/>
        </w:rPr>
      </w:pPr>
    </w:p>
    <w:p w14:paraId="6A252C51" w14:textId="77777777" w:rsidR="00953E0A" w:rsidRPr="00E34993" w:rsidRDefault="00953E0A" w:rsidP="00953E0A">
      <w:pPr>
        <w:autoSpaceDE w:val="0"/>
        <w:autoSpaceDN w:val="0"/>
        <w:adjustRightInd w:val="0"/>
        <w:rPr>
          <w:sz w:val="22"/>
          <w:u w:val="single"/>
          <w:lang w:val="lt-LT"/>
        </w:rPr>
      </w:pPr>
      <w:r w:rsidRPr="00E34993">
        <w:rPr>
          <w:sz w:val="22"/>
          <w:u w:val="single"/>
          <w:lang w:val="lt-LT"/>
        </w:rPr>
        <w:t>P</w:t>
      </w:r>
      <w:r w:rsidRPr="004C7F63">
        <w:rPr>
          <w:rFonts w:eastAsia="TimesNewRoman"/>
          <w:sz w:val="22"/>
          <w:szCs w:val="22"/>
          <w:u w:val="single"/>
          <w:lang w:val="lt-LT" w:eastAsia="en-US"/>
        </w:rPr>
        <w:t>ranešimas apie įtariamas nepageidaujamas reakcijas</w:t>
      </w:r>
    </w:p>
    <w:p w14:paraId="2F221A4F" w14:textId="77777777" w:rsidR="001C17C9" w:rsidRPr="00532388" w:rsidRDefault="001C17C9" w:rsidP="001C17C9">
      <w:pPr>
        <w:tabs>
          <w:tab w:val="left" w:pos="567"/>
        </w:tabs>
        <w:autoSpaceDE w:val="0"/>
        <w:autoSpaceDN w:val="0"/>
        <w:adjustRightInd w:val="0"/>
        <w:spacing w:line="260" w:lineRule="exact"/>
        <w:rPr>
          <w:rFonts w:eastAsia="Times New Roman"/>
          <w:noProof/>
          <w:snapToGrid w:val="0"/>
          <w:sz w:val="22"/>
          <w:szCs w:val="24"/>
          <w:lang w:val="lt-LT" w:eastAsia="en-US"/>
        </w:rPr>
      </w:pPr>
      <w:r w:rsidRPr="00532388">
        <w:rPr>
          <w:rFonts w:eastAsia="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532388">
        <w:rPr>
          <w:rFonts w:eastAsia="Times New Roman"/>
          <w:snapToGrid w:val="0"/>
          <w:sz w:val="22"/>
          <w:szCs w:val="24"/>
          <w:lang w:val="lt-LT" w:eastAsia="en-US"/>
        </w:rPr>
        <w:t xml:space="preserve"> </w:t>
      </w:r>
      <w:r w:rsidRPr="00532388">
        <w:rPr>
          <w:rFonts w:eastAsia="Times New Roman"/>
          <w:noProof/>
          <w:snapToGrid w:val="0"/>
          <w:sz w:val="22"/>
          <w:szCs w:val="24"/>
          <w:lang w:val="lt-LT" w:eastAsia="en-US"/>
        </w:rPr>
        <w:t>Sveikatos priežiūros specialistai turi pranešti apie bet kokias įtariamas nepageidaujamas reakcijas, užpildę interneto svetainėje http://</w:t>
      </w:r>
      <w:hyperlink r:id="rId7" w:history="1">
        <w:r w:rsidRPr="00532388">
          <w:rPr>
            <w:rFonts w:eastAsia="SimSun"/>
            <w:noProof/>
            <w:snapToGrid w:val="0"/>
            <w:color w:val="0000FF"/>
            <w:sz w:val="22"/>
            <w:szCs w:val="24"/>
            <w:u w:val="single"/>
            <w:lang w:val="lt-LT" w:eastAsia="en-US"/>
          </w:rPr>
          <w:t>www.vvkt.lt</w:t>
        </w:r>
      </w:hyperlink>
      <w:r w:rsidRPr="00532388">
        <w:rPr>
          <w:rFonts w:eastAsia="Times New Roman"/>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32388">
          <w:rPr>
            <w:rFonts w:eastAsia="SimSun"/>
            <w:noProof/>
            <w:snapToGrid w:val="0"/>
            <w:color w:val="0000FF"/>
            <w:sz w:val="22"/>
            <w:szCs w:val="24"/>
            <w:u w:val="single"/>
            <w:lang w:val="lt-LT" w:eastAsia="en-US"/>
          </w:rPr>
          <w:t>NepageidaujamaR@vvkt.lt</w:t>
        </w:r>
      </w:hyperlink>
      <w:r w:rsidRPr="00532388">
        <w:rPr>
          <w:rFonts w:eastAsia="Times New Roman"/>
          <w:noProof/>
          <w:snapToGrid w:val="0"/>
          <w:sz w:val="22"/>
          <w:szCs w:val="24"/>
          <w:lang w:val="lt-LT" w:eastAsia="en-US"/>
        </w:rPr>
        <w:t>), per interneto svetainę (adresu http://www.vvkt.lt).</w:t>
      </w:r>
    </w:p>
    <w:p w14:paraId="4A581E58" w14:textId="77777777" w:rsidR="00953E0A" w:rsidRPr="00532388" w:rsidRDefault="00953E0A" w:rsidP="00953E0A">
      <w:pPr>
        <w:autoSpaceDE w:val="0"/>
        <w:autoSpaceDN w:val="0"/>
        <w:adjustRightInd w:val="0"/>
        <w:rPr>
          <w:rFonts w:eastAsia="TimesNewRoman"/>
          <w:sz w:val="22"/>
          <w:szCs w:val="22"/>
          <w:lang w:val="lt-LT" w:eastAsia="en-US"/>
        </w:rPr>
      </w:pPr>
    </w:p>
    <w:p w14:paraId="3190E10C" w14:textId="77777777" w:rsidR="00953E0A" w:rsidRPr="00532388" w:rsidRDefault="00511F98" w:rsidP="00DD4E66">
      <w:pPr>
        <w:keepNext/>
        <w:tabs>
          <w:tab w:val="left" w:pos="567"/>
        </w:tabs>
        <w:spacing w:line="260" w:lineRule="exact"/>
        <w:outlineLvl w:val="0"/>
        <w:rPr>
          <w:rFonts w:eastAsia="Times New Roman"/>
          <w:noProof/>
          <w:sz w:val="22"/>
          <w:szCs w:val="22"/>
          <w:lang w:val="lt-LT" w:eastAsia="lt-LT" w:bidi="lt-LT"/>
        </w:rPr>
      </w:pPr>
      <w:r>
        <w:rPr>
          <w:rFonts w:eastAsia="Times New Roman"/>
          <w:b/>
          <w:noProof/>
          <w:sz w:val="22"/>
          <w:lang w:val="lt-LT" w:eastAsia="lt-LT" w:bidi="lt-LT"/>
        </w:rPr>
        <w:t>4.9</w:t>
      </w:r>
      <w:r>
        <w:rPr>
          <w:rFonts w:eastAsia="Times New Roman"/>
          <w:b/>
          <w:noProof/>
          <w:sz w:val="22"/>
          <w:lang w:val="lt-LT" w:eastAsia="lt-LT" w:bidi="lt-LT"/>
        </w:rPr>
        <w:tab/>
      </w:r>
      <w:r w:rsidR="00953E0A" w:rsidRPr="00532388">
        <w:rPr>
          <w:rFonts w:eastAsia="Times New Roman"/>
          <w:b/>
          <w:noProof/>
          <w:sz w:val="22"/>
          <w:lang w:val="lt-LT" w:eastAsia="lt-LT" w:bidi="lt-LT"/>
        </w:rPr>
        <w:t>Perdozavimas</w:t>
      </w:r>
    </w:p>
    <w:p w14:paraId="1E16635A" w14:textId="77777777" w:rsidR="001C17C9" w:rsidRPr="00532388" w:rsidRDefault="001C17C9" w:rsidP="00953E0A">
      <w:pPr>
        <w:autoSpaceDE w:val="0"/>
        <w:autoSpaceDN w:val="0"/>
        <w:adjustRightInd w:val="0"/>
        <w:rPr>
          <w:rFonts w:eastAsia="TimesNewRoman"/>
          <w:sz w:val="22"/>
          <w:szCs w:val="22"/>
          <w:lang w:val="lt-LT" w:eastAsia="en-US"/>
        </w:rPr>
      </w:pPr>
    </w:p>
    <w:p w14:paraId="5BEE2CF0"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Duomenų apie </w:t>
      </w:r>
      <w:r w:rsidR="001C17C9" w:rsidRPr="00532388">
        <w:rPr>
          <w:rFonts w:eastAsia="TimesNewRoman"/>
          <w:sz w:val="22"/>
          <w:szCs w:val="22"/>
          <w:lang w:val="lt-LT" w:eastAsia="en-US"/>
        </w:rPr>
        <w:t>darunaviro</w:t>
      </w:r>
      <w:r w:rsidRPr="00532388">
        <w:rPr>
          <w:rFonts w:eastAsia="TimesNewRoman"/>
          <w:sz w:val="22"/>
          <w:szCs w:val="22"/>
          <w:lang w:val="lt-LT" w:eastAsia="en-US"/>
        </w:rPr>
        <w:t>, vartojamo kartu su kobicistatu arba maža ritonaviro doze, ūminį</w:t>
      </w:r>
      <w:r w:rsidR="001C17C9" w:rsidRPr="00532388">
        <w:rPr>
          <w:rFonts w:eastAsia="TimesNewRoman"/>
          <w:sz w:val="22"/>
          <w:szCs w:val="22"/>
          <w:lang w:val="lt-LT" w:eastAsia="en-US"/>
        </w:rPr>
        <w:t xml:space="preserve"> </w:t>
      </w:r>
      <w:r w:rsidRPr="00532388">
        <w:rPr>
          <w:rFonts w:eastAsia="TimesNewRoman"/>
          <w:sz w:val="22"/>
          <w:szCs w:val="22"/>
          <w:lang w:val="lt-LT" w:eastAsia="en-US"/>
        </w:rPr>
        <w:t>perdozavimą žmonėms yra mažai. Sveikiems savanoriams vartojant vienkartines iki 3 200</w:t>
      </w:r>
      <w:r w:rsidR="001C17C9" w:rsidRPr="00532388">
        <w:rPr>
          <w:rFonts w:eastAsia="TimesNewRoman"/>
          <w:sz w:val="22"/>
          <w:szCs w:val="22"/>
          <w:lang w:val="lt-LT" w:eastAsia="en-US"/>
        </w:rPr>
        <w:t> </w:t>
      </w:r>
      <w:r w:rsidRPr="00532388">
        <w:rPr>
          <w:rFonts w:eastAsia="TimesNewRoman"/>
          <w:sz w:val="22"/>
          <w:szCs w:val="22"/>
          <w:lang w:val="lt-LT" w:eastAsia="en-US"/>
        </w:rPr>
        <w:t>mg darunaviro geriamojo tirpalo ir iki 1 600</w:t>
      </w:r>
      <w:r w:rsidR="001C17C9" w:rsidRPr="00532388">
        <w:rPr>
          <w:rFonts w:eastAsia="TimesNewRoman"/>
          <w:sz w:val="22"/>
          <w:szCs w:val="22"/>
          <w:lang w:val="lt-LT" w:eastAsia="en-US"/>
        </w:rPr>
        <w:t> </w:t>
      </w:r>
      <w:r w:rsidRPr="00532388">
        <w:rPr>
          <w:rFonts w:eastAsia="TimesNewRoman"/>
          <w:sz w:val="22"/>
          <w:szCs w:val="22"/>
          <w:lang w:val="lt-LT" w:eastAsia="en-US"/>
        </w:rPr>
        <w:t>mg darunaviro tablečių kartu su ritonaviru dozes,</w:t>
      </w:r>
      <w:r w:rsidR="001C17C9" w:rsidRPr="00532388">
        <w:rPr>
          <w:rFonts w:eastAsia="TimesNewRoman"/>
          <w:sz w:val="22"/>
          <w:szCs w:val="22"/>
          <w:lang w:val="lt-LT" w:eastAsia="en-US"/>
        </w:rPr>
        <w:t xml:space="preserve"> </w:t>
      </w:r>
      <w:r w:rsidRPr="00532388">
        <w:rPr>
          <w:rFonts w:eastAsia="TimesNewRoman"/>
          <w:sz w:val="22"/>
          <w:szCs w:val="22"/>
          <w:lang w:val="lt-LT" w:eastAsia="en-US"/>
        </w:rPr>
        <w:t>nepageidaujamo poveikio simptomų nepastebėta.</w:t>
      </w:r>
    </w:p>
    <w:p w14:paraId="5B3EEAB2" w14:textId="77777777" w:rsidR="001C17C9" w:rsidRPr="00532388" w:rsidRDefault="001C17C9" w:rsidP="00953E0A">
      <w:pPr>
        <w:autoSpaceDE w:val="0"/>
        <w:autoSpaceDN w:val="0"/>
        <w:adjustRightInd w:val="0"/>
        <w:rPr>
          <w:rFonts w:eastAsia="TimesNewRoman"/>
          <w:sz w:val="22"/>
          <w:szCs w:val="22"/>
          <w:lang w:val="lt-LT" w:eastAsia="en-US"/>
        </w:rPr>
      </w:pPr>
    </w:p>
    <w:p w14:paraId="17BEA401" w14:textId="77777777" w:rsidR="00953E0A" w:rsidRPr="00532388" w:rsidRDefault="001C17C9"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Darunavirui</w:t>
      </w:r>
      <w:r w:rsidR="00953E0A" w:rsidRPr="00532388">
        <w:rPr>
          <w:rFonts w:eastAsia="TimesNewRoman"/>
          <w:sz w:val="22"/>
          <w:szCs w:val="22"/>
          <w:lang w:val="lt-LT" w:eastAsia="en-US"/>
        </w:rPr>
        <w:t xml:space="preserve"> specifinio priešnuodžio nėra. </w:t>
      </w:r>
      <w:r w:rsidRPr="00532388">
        <w:rPr>
          <w:rFonts w:eastAsia="TimesNewRoman"/>
          <w:sz w:val="22"/>
          <w:szCs w:val="22"/>
          <w:lang w:val="lt-LT" w:eastAsia="en-US"/>
        </w:rPr>
        <w:t>Darunaviro</w:t>
      </w:r>
      <w:r w:rsidR="00953E0A" w:rsidRPr="00532388">
        <w:rPr>
          <w:rFonts w:eastAsia="TimesNewRoman"/>
          <w:sz w:val="22"/>
          <w:szCs w:val="22"/>
          <w:lang w:val="lt-LT" w:eastAsia="en-US"/>
        </w:rPr>
        <w:t xml:space="preserve"> perdozavimo gydymas – tai bendros</w:t>
      </w:r>
      <w:r w:rsidRPr="00532388">
        <w:rPr>
          <w:rFonts w:eastAsia="TimesNewRoman"/>
          <w:sz w:val="22"/>
          <w:szCs w:val="22"/>
          <w:lang w:val="lt-LT" w:eastAsia="en-US"/>
        </w:rPr>
        <w:t xml:space="preserve"> </w:t>
      </w:r>
      <w:r w:rsidR="00953E0A" w:rsidRPr="00532388">
        <w:rPr>
          <w:rFonts w:eastAsia="TimesNewRoman"/>
          <w:sz w:val="22"/>
          <w:szCs w:val="22"/>
          <w:lang w:val="lt-LT" w:eastAsia="en-US"/>
        </w:rPr>
        <w:t>palaikomosios priemonės, įskaitant ligonio gyvybinių rodiklių ir klinikinės būklės stebėjimą. Jei</w:t>
      </w:r>
      <w:r w:rsidRPr="00532388">
        <w:rPr>
          <w:rFonts w:eastAsia="TimesNewRoman"/>
          <w:sz w:val="22"/>
          <w:szCs w:val="22"/>
          <w:lang w:val="lt-LT" w:eastAsia="en-US"/>
        </w:rPr>
        <w:t xml:space="preserve"> </w:t>
      </w:r>
      <w:r w:rsidR="00953E0A" w:rsidRPr="00532388">
        <w:rPr>
          <w:rFonts w:eastAsia="TimesNewRoman"/>
          <w:sz w:val="22"/>
          <w:szCs w:val="22"/>
          <w:lang w:val="lt-LT" w:eastAsia="en-US"/>
        </w:rPr>
        <w:t>reikia, neabsorbuota veiklioji medžiaga šalinama sukeliant vėmimą.</w:t>
      </w:r>
    </w:p>
    <w:p w14:paraId="07A67F14" w14:textId="77777777" w:rsidR="001C17C9" w:rsidRPr="00532388" w:rsidRDefault="001C17C9" w:rsidP="00953E0A">
      <w:pPr>
        <w:autoSpaceDE w:val="0"/>
        <w:autoSpaceDN w:val="0"/>
        <w:adjustRightInd w:val="0"/>
        <w:rPr>
          <w:rFonts w:eastAsia="TimesNewRoman"/>
          <w:sz w:val="22"/>
          <w:szCs w:val="22"/>
          <w:lang w:val="lt-LT" w:eastAsia="en-US"/>
        </w:rPr>
      </w:pPr>
    </w:p>
    <w:p w14:paraId="1965C509" w14:textId="77777777" w:rsidR="00953E0A" w:rsidRPr="00532388" w:rsidRDefault="00953E0A" w:rsidP="00953E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Neabsorbuotai veikliajai medžiagai šalinti taip pat galima duoti aktyvintosios anglies. Kadangi labai</w:t>
      </w:r>
      <w:r w:rsidR="001C17C9" w:rsidRPr="00532388">
        <w:rPr>
          <w:rFonts w:eastAsia="TimesNewRoman"/>
          <w:sz w:val="22"/>
          <w:szCs w:val="22"/>
          <w:lang w:val="lt-LT" w:eastAsia="en-US"/>
        </w:rPr>
        <w:t xml:space="preserve"> </w:t>
      </w:r>
      <w:r w:rsidRPr="00532388">
        <w:rPr>
          <w:rFonts w:eastAsia="TimesNewRoman"/>
          <w:sz w:val="22"/>
          <w:szCs w:val="22"/>
          <w:lang w:val="lt-LT" w:eastAsia="en-US"/>
        </w:rPr>
        <w:t>daug darunaviro būna susijungusio su baltymais, vargu, ar dializė būtų naudinga didesniam veikliosios</w:t>
      </w:r>
      <w:r w:rsidR="001C17C9" w:rsidRPr="00532388">
        <w:rPr>
          <w:rFonts w:eastAsia="TimesNewRoman"/>
          <w:sz w:val="22"/>
          <w:szCs w:val="22"/>
          <w:lang w:val="lt-LT" w:eastAsia="en-US"/>
        </w:rPr>
        <w:t xml:space="preserve"> </w:t>
      </w:r>
      <w:r w:rsidRPr="00532388">
        <w:rPr>
          <w:rFonts w:eastAsia="TimesNewRoman"/>
          <w:sz w:val="22"/>
          <w:szCs w:val="22"/>
          <w:lang w:val="lt-LT" w:eastAsia="en-US"/>
        </w:rPr>
        <w:t>medžiagos kiekiui pašalinti.</w:t>
      </w:r>
    </w:p>
    <w:p w14:paraId="7044A888" w14:textId="77777777" w:rsidR="001C17C9" w:rsidRPr="00532388" w:rsidRDefault="001C17C9" w:rsidP="0073095E">
      <w:pPr>
        <w:tabs>
          <w:tab w:val="left" w:pos="3264"/>
        </w:tabs>
        <w:autoSpaceDE w:val="0"/>
        <w:autoSpaceDN w:val="0"/>
        <w:adjustRightInd w:val="0"/>
        <w:rPr>
          <w:rFonts w:eastAsia="TimesNewRoman"/>
          <w:sz w:val="22"/>
          <w:szCs w:val="22"/>
          <w:lang w:val="lt-LT" w:eastAsia="en-US"/>
        </w:rPr>
      </w:pPr>
    </w:p>
    <w:p w14:paraId="15026770" w14:textId="77777777" w:rsidR="0073095E" w:rsidRPr="00532388" w:rsidRDefault="0073095E" w:rsidP="0073095E">
      <w:pPr>
        <w:tabs>
          <w:tab w:val="left" w:pos="3264"/>
        </w:tabs>
        <w:autoSpaceDE w:val="0"/>
        <w:autoSpaceDN w:val="0"/>
        <w:adjustRightInd w:val="0"/>
        <w:rPr>
          <w:rFonts w:eastAsia="TimesNewRoman"/>
          <w:sz w:val="22"/>
          <w:szCs w:val="22"/>
          <w:lang w:val="lt-LT" w:eastAsia="en-US"/>
        </w:rPr>
      </w:pPr>
      <w:r w:rsidRPr="00532388">
        <w:rPr>
          <w:rFonts w:eastAsia="TimesNewRoman"/>
          <w:sz w:val="22"/>
          <w:szCs w:val="22"/>
          <w:lang w:val="lt-LT" w:eastAsia="en-US"/>
        </w:rPr>
        <w:tab/>
      </w:r>
    </w:p>
    <w:p w14:paraId="1846FB3F" w14:textId="77777777" w:rsidR="0073095E" w:rsidRPr="00532388" w:rsidRDefault="0073095E" w:rsidP="0073095E">
      <w:pPr>
        <w:keepNext/>
        <w:numPr>
          <w:ilvl w:val="0"/>
          <w:numId w:val="1"/>
        </w:numPr>
        <w:tabs>
          <w:tab w:val="left" w:pos="567"/>
        </w:tabs>
        <w:suppressAutoHyphens/>
        <w:spacing w:line="260" w:lineRule="exact"/>
        <w:rPr>
          <w:rFonts w:eastAsia="Times New Roman"/>
          <w:sz w:val="22"/>
          <w:lang w:val="lt-LT" w:eastAsia="lt-LT" w:bidi="lt-LT"/>
        </w:rPr>
      </w:pPr>
      <w:r w:rsidRPr="00532388">
        <w:rPr>
          <w:rFonts w:eastAsia="Times New Roman"/>
          <w:b/>
          <w:sz w:val="22"/>
          <w:lang w:val="lt-LT" w:eastAsia="lt-LT" w:bidi="lt-LT"/>
        </w:rPr>
        <w:t>FARMAKOLOGINĖS SAVYBĖS</w:t>
      </w:r>
    </w:p>
    <w:p w14:paraId="76216544" w14:textId="77777777" w:rsidR="0073095E" w:rsidRPr="00532388" w:rsidRDefault="0073095E" w:rsidP="0073095E">
      <w:pPr>
        <w:keepNext/>
        <w:tabs>
          <w:tab w:val="left" w:pos="567"/>
        </w:tabs>
        <w:rPr>
          <w:rFonts w:eastAsia="Times New Roman"/>
          <w:sz w:val="22"/>
          <w:lang w:val="lt-LT" w:eastAsia="lt-LT" w:bidi="lt-LT"/>
        </w:rPr>
      </w:pPr>
    </w:p>
    <w:p w14:paraId="7A36E98B" w14:textId="77777777" w:rsidR="0073095E" w:rsidRPr="00532388" w:rsidRDefault="0073095E" w:rsidP="0073095E">
      <w:pPr>
        <w:keepNext/>
        <w:numPr>
          <w:ilvl w:val="1"/>
          <w:numId w:val="1"/>
        </w:numPr>
        <w:tabs>
          <w:tab w:val="left" w:pos="567"/>
        </w:tabs>
        <w:spacing w:line="260" w:lineRule="exact"/>
        <w:outlineLvl w:val="0"/>
        <w:rPr>
          <w:rFonts w:eastAsia="Times New Roman"/>
          <w:sz w:val="22"/>
          <w:lang w:val="lt-LT" w:eastAsia="lt-LT" w:bidi="lt-LT"/>
        </w:rPr>
      </w:pPr>
      <w:r w:rsidRPr="00532388">
        <w:rPr>
          <w:rFonts w:eastAsia="Times New Roman"/>
          <w:b/>
          <w:sz w:val="22"/>
          <w:lang w:val="lt-LT" w:eastAsia="lt-LT" w:bidi="lt-LT"/>
        </w:rPr>
        <w:t>Farmakodinaminės savybės</w:t>
      </w:r>
    </w:p>
    <w:p w14:paraId="27AA85D7" w14:textId="77777777" w:rsidR="001C17C9" w:rsidRPr="00532388" w:rsidRDefault="001C17C9" w:rsidP="0073095E">
      <w:pPr>
        <w:autoSpaceDE w:val="0"/>
        <w:autoSpaceDN w:val="0"/>
        <w:adjustRightInd w:val="0"/>
        <w:rPr>
          <w:rFonts w:eastAsia="TimesNewRoman"/>
          <w:sz w:val="22"/>
          <w:szCs w:val="22"/>
          <w:lang w:val="lt-LT" w:eastAsia="en-US"/>
        </w:rPr>
      </w:pPr>
    </w:p>
    <w:p w14:paraId="53DD44D3"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Farmakoterapinė grupė – sistemiškai veikiantys priešvirusiniai vaistiniai preparatai, proteazės</w:t>
      </w:r>
      <w:r w:rsidR="001C17C9" w:rsidRPr="00532388">
        <w:rPr>
          <w:rFonts w:eastAsia="TimesNewRoman"/>
          <w:sz w:val="22"/>
          <w:szCs w:val="22"/>
          <w:lang w:val="lt-LT" w:eastAsia="en-US"/>
        </w:rPr>
        <w:t xml:space="preserve"> </w:t>
      </w:r>
      <w:r w:rsidRPr="00532388">
        <w:rPr>
          <w:rFonts w:eastAsia="TimesNewRoman"/>
          <w:sz w:val="22"/>
          <w:szCs w:val="22"/>
          <w:lang w:val="lt-LT" w:eastAsia="en-US"/>
        </w:rPr>
        <w:t>inhibitoriai, ATC kodas – J05AE10.</w:t>
      </w:r>
    </w:p>
    <w:p w14:paraId="6AA62393" w14:textId="77777777" w:rsidR="001C17C9" w:rsidRPr="00532388" w:rsidRDefault="001C17C9" w:rsidP="0073095E">
      <w:pPr>
        <w:autoSpaceDE w:val="0"/>
        <w:autoSpaceDN w:val="0"/>
        <w:adjustRightInd w:val="0"/>
        <w:rPr>
          <w:rFonts w:eastAsia="TimesNewRoman"/>
          <w:sz w:val="22"/>
          <w:szCs w:val="22"/>
          <w:lang w:val="lt-LT" w:eastAsia="en-US"/>
        </w:rPr>
      </w:pPr>
    </w:p>
    <w:p w14:paraId="02AF9ED7" w14:textId="77777777" w:rsidR="0073095E" w:rsidRPr="00532388" w:rsidRDefault="0073095E" w:rsidP="0073095E">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Veikimo mechanizmas</w:t>
      </w:r>
    </w:p>
    <w:p w14:paraId="266D48D1"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yra ŽIV-1 proteazės dimerizacijos ir katali</w:t>
      </w:r>
      <w:r w:rsidR="00E17E27">
        <w:rPr>
          <w:rFonts w:eastAsia="TimesNewRoman"/>
          <w:sz w:val="22"/>
          <w:szCs w:val="22"/>
          <w:lang w:val="lt-LT" w:eastAsia="en-US"/>
        </w:rPr>
        <w:t>z</w:t>
      </w:r>
      <w:r w:rsidRPr="00532388">
        <w:rPr>
          <w:rFonts w:eastAsia="TimesNewRoman"/>
          <w:sz w:val="22"/>
          <w:szCs w:val="22"/>
          <w:lang w:val="lt-LT" w:eastAsia="en-US"/>
        </w:rPr>
        <w:t>inio aktyvumo inhibitorius (</w:t>
      </w:r>
      <w:r w:rsidRPr="00532388">
        <w:rPr>
          <w:rFonts w:eastAsia="TimesNewRoman"/>
          <w:i/>
          <w:iCs/>
          <w:sz w:val="22"/>
          <w:szCs w:val="22"/>
          <w:lang w:val="lt-LT" w:eastAsia="en-US"/>
        </w:rPr>
        <w:t>K</w:t>
      </w:r>
      <w:r w:rsidRPr="00532388">
        <w:rPr>
          <w:rFonts w:eastAsia="TimesNewRoman"/>
          <w:sz w:val="14"/>
          <w:szCs w:val="14"/>
          <w:lang w:val="lt-LT" w:eastAsia="en-US"/>
        </w:rPr>
        <w:t xml:space="preserve">D </w:t>
      </w:r>
      <w:r w:rsidRPr="00532388">
        <w:rPr>
          <w:rFonts w:eastAsia="TimesNewRoman"/>
          <w:sz w:val="22"/>
          <w:szCs w:val="22"/>
          <w:lang w:val="lt-LT" w:eastAsia="en-US"/>
        </w:rPr>
        <w:t>yra</w:t>
      </w:r>
      <w:r w:rsidR="001C17C9" w:rsidRPr="00532388">
        <w:rPr>
          <w:rFonts w:eastAsia="TimesNewRoman"/>
          <w:sz w:val="22"/>
          <w:szCs w:val="22"/>
          <w:lang w:val="lt-LT" w:eastAsia="en-US"/>
        </w:rPr>
        <w:t xml:space="preserve"> </w:t>
      </w:r>
      <w:r w:rsidRPr="00532388">
        <w:rPr>
          <w:rFonts w:eastAsia="TimesNewRoman"/>
          <w:sz w:val="22"/>
          <w:szCs w:val="22"/>
          <w:lang w:val="lt-LT" w:eastAsia="en-US"/>
        </w:rPr>
        <w:t>4,5</w:t>
      </w:r>
      <w:r w:rsidR="001C17C9" w:rsidRPr="00532388">
        <w:rPr>
          <w:rFonts w:eastAsia="TimesNewRoman"/>
          <w:sz w:val="22"/>
          <w:szCs w:val="22"/>
          <w:lang w:val="lt-LT" w:eastAsia="en-US"/>
        </w:rPr>
        <w:t> </w:t>
      </w:r>
      <w:r w:rsidRPr="00532388">
        <w:rPr>
          <w:rFonts w:eastAsia="TimesNewRoman"/>
          <w:sz w:val="22"/>
          <w:szCs w:val="22"/>
          <w:lang w:val="lt-LT" w:eastAsia="en-US"/>
        </w:rPr>
        <w:t>×</w:t>
      </w:r>
      <w:r w:rsidR="001C17C9" w:rsidRPr="00532388">
        <w:rPr>
          <w:rFonts w:eastAsia="TimesNewRoman"/>
          <w:sz w:val="22"/>
          <w:szCs w:val="22"/>
          <w:lang w:val="lt-LT" w:eastAsia="en-US"/>
        </w:rPr>
        <w:t> </w:t>
      </w:r>
      <w:r w:rsidRPr="00532388">
        <w:rPr>
          <w:rFonts w:eastAsia="TimesNewRoman"/>
          <w:sz w:val="22"/>
          <w:szCs w:val="22"/>
          <w:lang w:val="lt-LT" w:eastAsia="en-US"/>
        </w:rPr>
        <w:t>10</w:t>
      </w:r>
      <w:r w:rsidR="001C17C9" w:rsidRPr="00532388">
        <w:rPr>
          <w:rFonts w:eastAsia="TimesNewRoman"/>
          <w:sz w:val="22"/>
          <w:szCs w:val="22"/>
          <w:lang w:val="lt-LT" w:eastAsia="en-US"/>
        </w:rPr>
        <w:t> </w:t>
      </w:r>
      <w:r w:rsidRPr="00532388">
        <w:rPr>
          <w:rFonts w:eastAsia="TimesNewRoman"/>
          <w:sz w:val="20"/>
          <w:vertAlign w:val="superscript"/>
          <w:lang w:val="lt-LT" w:eastAsia="en-US"/>
        </w:rPr>
        <w:t>12</w:t>
      </w:r>
      <w:r w:rsidR="001C17C9" w:rsidRPr="00532388">
        <w:rPr>
          <w:rFonts w:eastAsia="TimesNewRoman"/>
          <w:sz w:val="20"/>
          <w:lang w:val="lt-LT" w:eastAsia="en-US"/>
        </w:rPr>
        <w:t> </w:t>
      </w:r>
      <w:r w:rsidRPr="00532388">
        <w:rPr>
          <w:rFonts w:eastAsia="TimesNewRoman"/>
          <w:sz w:val="22"/>
          <w:szCs w:val="22"/>
          <w:lang w:val="lt-LT" w:eastAsia="en-US"/>
        </w:rPr>
        <w:t>mol). Jis selektyviai slopina ŽIV koduotą Gag-Pol poliproteinų skilimą virusu apkrėstose</w:t>
      </w:r>
      <w:r w:rsidR="001C17C9" w:rsidRPr="00532388">
        <w:rPr>
          <w:rFonts w:eastAsia="TimesNewRoman"/>
          <w:sz w:val="22"/>
          <w:szCs w:val="22"/>
          <w:lang w:val="lt-LT" w:eastAsia="en-US"/>
        </w:rPr>
        <w:t xml:space="preserve"> </w:t>
      </w:r>
      <w:r w:rsidRPr="00532388">
        <w:rPr>
          <w:rFonts w:eastAsia="TimesNewRoman"/>
          <w:sz w:val="22"/>
          <w:szCs w:val="22"/>
          <w:lang w:val="lt-LT" w:eastAsia="en-US"/>
        </w:rPr>
        <w:t>ląstelėse, tuo būdu trukdydamas susidaryti subrendusioms užkrečiamoms viruso dalelėms.</w:t>
      </w:r>
    </w:p>
    <w:p w14:paraId="498F41EF" w14:textId="77777777" w:rsidR="001C17C9" w:rsidRPr="00532388" w:rsidRDefault="001C17C9" w:rsidP="0073095E">
      <w:pPr>
        <w:autoSpaceDE w:val="0"/>
        <w:autoSpaceDN w:val="0"/>
        <w:adjustRightInd w:val="0"/>
        <w:rPr>
          <w:rFonts w:eastAsia="TimesNewRoman"/>
          <w:sz w:val="22"/>
          <w:szCs w:val="22"/>
          <w:lang w:val="lt-LT" w:eastAsia="en-US"/>
        </w:rPr>
      </w:pPr>
    </w:p>
    <w:p w14:paraId="17E14DA9" w14:textId="77777777" w:rsidR="0073095E" w:rsidRPr="00532388" w:rsidRDefault="0073095E" w:rsidP="0073095E">
      <w:pPr>
        <w:autoSpaceDE w:val="0"/>
        <w:autoSpaceDN w:val="0"/>
        <w:adjustRightInd w:val="0"/>
        <w:rPr>
          <w:rFonts w:eastAsia="TimesNewRoman"/>
          <w:i/>
          <w:iCs/>
          <w:sz w:val="22"/>
          <w:szCs w:val="22"/>
          <w:u w:val="single"/>
          <w:lang w:val="lt-LT" w:eastAsia="en-US"/>
        </w:rPr>
      </w:pPr>
      <w:r w:rsidRPr="00532388">
        <w:rPr>
          <w:rFonts w:eastAsia="TimesNewRoman"/>
          <w:sz w:val="22"/>
          <w:szCs w:val="22"/>
          <w:u w:val="single"/>
          <w:lang w:val="lt-LT" w:eastAsia="en-US"/>
        </w:rPr>
        <w:t xml:space="preserve">Antivirusinis aktyvumas </w:t>
      </w:r>
      <w:r w:rsidRPr="00532388">
        <w:rPr>
          <w:rFonts w:eastAsia="TimesNewRoman"/>
          <w:i/>
          <w:iCs/>
          <w:sz w:val="22"/>
          <w:szCs w:val="22"/>
          <w:u w:val="single"/>
          <w:lang w:val="lt-LT" w:eastAsia="en-US"/>
        </w:rPr>
        <w:t>in vitro</w:t>
      </w:r>
    </w:p>
    <w:p w14:paraId="396D0C16"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Darunaviras veikia laboratorines ir klinikines ŽIV-1 bei laboratorines ŽIV-2 padermes ūmiai</w:t>
      </w:r>
      <w:r w:rsidR="001C17C9" w:rsidRPr="00532388">
        <w:rPr>
          <w:rFonts w:eastAsia="TimesNewRoman"/>
          <w:sz w:val="22"/>
          <w:szCs w:val="22"/>
          <w:lang w:val="lt-LT" w:eastAsia="en-US"/>
        </w:rPr>
        <w:t xml:space="preserve"> </w:t>
      </w:r>
      <w:r w:rsidRPr="00532388">
        <w:rPr>
          <w:rFonts w:eastAsia="TimesNewRoman"/>
          <w:sz w:val="22"/>
          <w:szCs w:val="22"/>
          <w:lang w:val="lt-LT" w:eastAsia="en-US"/>
        </w:rPr>
        <w:t>infekuot</w:t>
      </w:r>
      <w:r w:rsidR="00E17E27">
        <w:rPr>
          <w:rFonts w:eastAsia="TimesNewRoman"/>
          <w:sz w:val="22"/>
          <w:szCs w:val="22"/>
          <w:lang w:val="lt-LT" w:eastAsia="en-US"/>
        </w:rPr>
        <w:t>uose</w:t>
      </w:r>
      <w:r w:rsidRPr="00532388">
        <w:rPr>
          <w:rFonts w:eastAsia="TimesNewRoman"/>
          <w:sz w:val="22"/>
          <w:szCs w:val="22"/>
          <w:lang w:val="lt-LT" w:eastAsia="en-US"/>
        </w:rPr>
        <w:t xml:space="preserve"> T </w:t>
      </w:r>
      <w:r w:rsidR="00E17E27">
        <w:rPr>
          <w:rFonts w:eastAsia="TimesNewRoman"/>
          <w:sz w:val="22"/>
          <w:szCs w:val="22"/>
          <w:lang w:val="lt-LT" w:eastAsia="en-US"/>
        </w:rPr>
        <w:t>limfocituose</w:t>
      </w:r>
      <w:r w:rsidRPr="00532388">
        <w:rPr>
          <w:rFonts w:eastAsia="TimesNewRoman"/>
          <w:sz w:val="22"/>
          <w:szCs w:val="22"/>
          <w:lang w:val="lt-LT" w:eastAsia="en-US"/>
        </w:rPr>
        <w:t>, žmogaus periferinio kraujo mononuklearinėse ląstelėse ir žmogaus</w:t>
      </w:r>
      <w:r w:rsidR="001C17C9" w:rsidRPr="00532388">
        <w:rPr>
          <w:rFonts w:eastAsia="TimesNewRoman"/>
          <w:sz w:val="22"/>
          <w:szCs w:val="22"/>
          <w:lang w:val="lt-LT" w:eastAsia="en-US"/>
        </w:rPr>
        <w:t xml:space="preserve"> </w:t>
      </w:r>
      <w:r w:rsidRPr="00532388">
        <w:rPr>
          <w:rFonts w:eastAsia="TimesNewRoman"/>
          <w:sz w:val="22"/>
          <w:szCs w:val="22"/>
          <w:lang w:val="lt-LT" w:eastAsia="en-US"/>
        </w:rPr>
        <w:t>monocituose ar makrofaguose; jo vidutinės EC</w:t>
      </w:r>
      <w:r w:rsidRPr="00532388">
        <w:rPr>
          <w:rFonts w:eastAsia="TimesNewRoman"/>
          <w:sz w:val="22"/>
          <w:szCs w:val="22"/>
          <w:vertAlign w:val="subscript"/>
          <w:lang w:val="lt-LT" w:eastAsia="en-US"/>
        </w:rPr>
        <w:t>50</w:t>
      </w:r>
      <w:r w:rsidRPr="00532388">
        <w:rPr>
          <w:rFonts w:eastAsia="TimesNewRoman"/>
          <w:sz w:val="14"/>
          <w:szCs w:val="14"/>
          <w:lang w:val="lt-LT" w:eastAsia="en-US"/>
        </w:rPr>
        <w:t xml:space="preserve"> </w:t>
      </w:r>
      <w:r w:rsidRPr="00532388">
        <w:rPr>
          <w:rFonts w:eastAsia="TimesNewRoman"/>
          <w:sz w:val="22"/>
          <w:szCs w:val="22"/>
          <w:lang w:val="lt-LT" w:eastAsia="en-US"/>
        </w:rPr>
        <w:t xml:space="preserve">reikšmės </w:t>
      </w:r>
      <w:r w:rsidRPr="00532388">
        <w:rPr>
          <w:rFonts w:eastAsia="TimesNewRoman"/>
          <w:sz w:val="22"/>
          <w:szCs w:val="22"/>
          <w:lang w:val="lt-LT" w:eastAsia="en-US"/>
        </w:rPr>
        <w:lastRenderedPageBreak/>
        <w:t>svyruoja nuo 1,2 iki 8,5</w:t>
      </w:r>
      <w:r w:rsidR="001C17C9" w:rsidRPr="00532388">
        <w:rPr>
          <w:rFonts w:eastAsia="TimesNewRoman"/>
          <w:sz w:val="22"/>
          <w:szCs w:val="22"/>
          <w:lang w:val="lt-LT" w:eastAsia="en-US"/>
        </w:rPr>
        <w:t> </w:t>
      </w:r>
      <w:r w:rsidRPr="00532388">
        <w:rPr>
          <w:rFonts w:eastAsia="TimesNewRoman"/>
          <w:sz w:val="22"/>
          <w:szCs w:val="22"/>
          <w:lang w:val="lt-LT" w:eastAsia="en-US"/>
        </w:rPr>
        <w:t>nmol (0,7 iki</w:t>
      </w:r>
      <w:r w:rsidR="001C17C9" w:rsidRPr="00532388">
        <w:rPr>
          <w:rFonts w:eastAsia="TimesNewRoman"/>
          <w:sz w:val="22"/>
          <w:szCs w:val="22"/>
          <w:lang w:val="lt-LT" w:eastAsia="en-US"/>
        </w:rPr>
        <w:t xml:space="preserve"> </w:t>
      </w:r>
      <w:r w:rsidRPr="00532388">
        <w:rPr>
          <w:rFonts w:eastAsia="TimesNewRoman"/>
          <w:sz w:val="22"/>
          <w:szCs w:val="22"/>
          <w:lang w:val="lt-LT" w:eastAsia="en-US"/>
        </w:rPr>
        <w:t>5,0</w:t>
      </w:r>
      <w:r w:rsidR="001C17C9" w:rsidRPr="00532388">
        <w:rPr>
          <w:rFonts w:eastAsia="TimesNewRoman"/>
          <w:sz w:val="22"/>
          <w:szCs w:val="22"/>
          <w:lang w:val="lt-LT" w:eastAsia="en-US"/>
        </w:rPr>
        <w:t> </w:t>
      </w:r>
      <w:r w:rsidRPr="00532388">
        <w:rPr>
          <w:rFonts w:eastAsia="TimesNewRoman"/>
          <w:sz w:val="22"/>
          <w:szCs w:val="22"/>
          <w:lang w:val="lt-LT" w:eastAsia="en-US"/>
        </w:rPr>
        <w:t xml:space="preserve">ng/ml). Darunaviras </w:t>
      </w:r>
      <w:r w:rsidRPr="00532388">
        <w:rPr>
          <w:rFonts w:eastAsia="TimesNewRoman"/>
          <w:i/>
          <w:iCs/>
          <w:sz w:val="22"/>
          <w:szCs w:val="22"/>
          <w:lang w:val="lt-LT" w:eastAsia="en-US"/>
        </w:rPr>
        <w:t xml:space="preserve">in vitro </w:t>
      </w:r>
      <w:r w:rsidRPr="00532388">
        <w:rPr>
          <w:rFonts w:eastAsia="TimesNewRoman"/>
          <w:sz w:val="22"/>
          <w:szCs w:val="22"/>
          <w:lang w:val="lt-LT" w:eastAsia="en-US"/>
        </w:rPr>
        <w:t>veikia daugelį pirmą kartą išskirtų ŽIV-1 M grupės (A, B, C, D, E, F,</w:t>
      </w:r>
      <w:r w:rsidR="009374BD" w:rsidRPr="00532388">
        <w:rPr>
          <w:rFonts w:eastAsia="TimesNewRoman"/>
          <w:sz w:val="22"/>
          <w:szCs w:val="22"/>
          <w:lang w:val="lt-LT" w:eastAsia="en-US"/>
        </w:rPr>
        <w:t xml:space="preserve"> </w:t>
      </w:r>
      <w:r w:rsidRPr="00532388">
        <w:rPr>
          <w:rFonts w:eastAsia="TimesNewRoman"/>
          <w:sz w:val="22"/>
          <w:szCs w:val="22"/>
          <w:lang w:val="lt-LT" w:eastAsia="en-US"/>
        </w:rPr>
        <w:t>G) ir O grupės padermių – jo EC</w:t>
      </w:r>
      <w:r w:rsidRPr="00532388">
        <w:rPr>
          <w:rFonts w:eastAsia="TimesNewRoman"/>
          <w:sz w:val="22"/>
          <w:szCs w:val="22"/>
          <w:vertAlign w:val="subscript"/>
          <w:lang w:val="lt-LT" w:eastAsia="en-US"/>
        </w:rPr>
        <w:t>50</w:t>
      </w:r>
      <w:r w:rsidRPr="00532388">
        <w:rPr>
          <w:rFonts w:eastAsia="TimesNewRoman"/>
          <w:sz w:val="14"/>
          <w:szCs w:val="14"/>
          <w:lang w:val="lt-LT" w:eastAsia="en-US"/>
        </w:rPr>
        <w:t xml:space="preserve"> </w:t>
      </w:r>
      <w:r w:rsidRPr="00532388">
        <w:rPr>
          <w:rFonts w:eastAsia="TimesNewRoman"/>
          <w:sz w:val="22"/>
          <w:szCs w:val="22"/>
          <w:lang w:val="lt-LT" w:eastAsia="en-US"/>
        </w:rPr>
        <w:t>reik</w:t>
      </w:r>
      <w:r w:rsidR="001C17C9" w:rsidRPr="00532388">
        <w:rPr>
          <w:rFonts w:eastAsia="TimesNewRoman"/>
          <w:sz w:val="22"/>
          <w:szCs w:val="22"/>
          <w:lang w:val="lt-LT" w:eastAsia="en-US"/>
        </w:rPr>
        <w:t>šmės svyruoja nuo &lt; 0,1 iki 4,3 </w:t>
      </w:r>
      <w:r w:rsidRPr="00532388">
        <w:rPr>
          <w:rFonts w:eastAsia="TimesNewRoman"/>
          <w:sz w:val="22"/>
          <w:szCs w:val="22"/>
          <w:lang w:val="lt-LT" w:eastAsia="en-US"/>
        </w:rPr>
        <w:t>nmol.</w:t>
      </w:r>
    </w:p>
    <w:p w14:paraId="27756A9B" w14:textId="77777777" w:rsidR="009374BD" w:rsidRPr="00532388" w:rsidRDefault="009374BD" w:rsidP="0073095E">
      <w:pPr>
        <w:autoSpaceDE w:val="0"/>
        <w:autoSpaceDN w:val="0"/>
        <w:adjustRightInd w:val="0"/>
        <w:rPr>
          <w:rFonts w:eastAsia="TimesNewRoman"/>
          <w:sz w:val="22"/>
          <w:szCs w:val="22"/>
          <w:lang w:val="lt-LT" w:eastAsia="en-US"/>
        </w:rPr>
      </w:pPr>
    </w:p>
    <w:p w14:paraId="5E878224"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Šios EC</w:t>
      </w:r>
      <w:r w:rsidRPr="00532388">
        <w:rPr>
          <w:rFonts w:eastAsia="TimesNewRoman"/>
          <w:sz w:val="22"/>
          <w:szCs w:val="22"/>
          <w:vertAlign w:val="subscript"/>
          <w:lang w:val="lt-LT" w:eastAsia="en-US"/>
        </w:rPr>
        <w:t>50</w:t>
      </w:r>
      <w:r w:rsidRPr="00532388">
        <w:rPr>
          <w:rFonts w:eastAsia="TimesNewRoman"/>
          <w:sz w:val="14"/>
          <w:szCs w:val="14"/>
          <w:lang w:val="lt-LT" w:eastAsia="en-US"/>
        </w:rPr>
        <w:t xml:space="preserve"> </w:t>
      </w:r>
      <w:r w:rsidRPr="00532388">
        <w:rPr>
          <w:rFonts w:eastAsia="TimesNewRoman"/>
          <w:sz w:val="22"/>
          <w:szCs w:val="22"/>
          <w:lang w:val="lt-LT" w:eastAsia="en-US"/>
        </w:rPr>
        <w:t>reikšmės gerokai mažesnės už 50 % toksinę koncentraciją ląstelėms, kuri svyruoja nuo</w:t>
      </w:r>
      <w:r w:rsidR="001C17C9" w:rsidRPr="00532388">
        <w:rPr>
          <w:rFonts w:eastAsia="TimesNewRoman"/>
          <w:sz w:val="22"/>
          <w:szCs w:val="22"/>
          <w:lang w:val="lt-LT" w:eastAsia="en-US"/>
        </w:rPr>
        <w:t xml:space="preserve"> </w:t>
      </w:r>
      <w:r w:rsidRPr="00532388">
        <w:rPr>
          <w:rFonts w:eastAsia="TimesNewRoman"/>
          <w:sz w:val="22"/>
          <w:szCs w:val="22"/>
          <w:lang w:val="lt-LT" w:eastAsia="en-US"/>
        </w:rPr>
        <w:t>87</w:t>
      </w:r>
      <w:r w:rsidR="001C17C9" w:rsidRPr="00532388">
        <w:rPr>
          <w:rFonts w:eastAsia="TimesNewRoman"/>
          <w:sz w:val="22"/>
          <w:szCs w:val="22"/>
          <w:lang w:val="lt-LT" w:eastAsia="en-US"/>
        </w:rPr>
        <w:t> μmol iki &gt; 100 </w:t>
      </w:r>
      <w:r w:rsidRPr="00532388">
        <w:rPr>
          <w:rFonts w:eastAsia="TimesNewRoman"/>
          <w:sz w:val="22"/>
          <w:szCs w:val="22"/>
          <w:lang w:val="lt-LT" w:eastAsia="en-US"/>
        </w:rPr>
        <w:t>μmol.</w:t>
      </w:r>
    </w:p>
    <w:p w14:paraId="0F988403" w14:textId="77777777" w:rsidR="001C17C9" w:rsidRPr="00532388" w:rsidRDefault="001C17C9" w:rsidP="0073095E">
      <w:pPr>
        <w:autoSpaceDE w:val="0"/>
        <w:autoSpaceDN w:val="0"/>
        <w:adjustRightInd w:val="0"/>
        <w:rPr>
          <w:rFonts w:eastAsia="TimesNewRoman"/>
          <w:sz w:val="22"/>
          <w:szCs w:val="22"/>
          <w:lang w:val="lt-LT" w:eastAsia="en-US"/>
        </w:rPr>
      </w:pPr>
    </w:p>
    <w:p w14:paraId="690D0DE7" w14:textId="77777777" w:rsidR="0073095E" w:rsidRPr="00532388" w:rsidRDefault="0073095E" w:rsidP="0073095E">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Atsparumas</w:t>
      </w:r>
    </w:p>
    <w:p w14:paraId="34DB3434"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i/>
          <w:iCs/>
          <w:sz w:val="22"/>
          <w:szCs w:val="22"/>
          <w:lang w:val="lt-LT" w:eastAsia="en-US"/>
        </w:rPr>
        <w:t xml:space="preserve">In vitro </w:t>
      </w:r>
      <w:r w:rsidRPr="00532388">
        <w:rPr>
          <w:rFonts w:eastAsia="TimesNewRoman"/>
          <w:sz w:val="22"/>
          <w:szCs w:val="22"/>
          <w:lang w:val="lt-LT" w:eastAsia="en-US"/>
        </w:rPr>
        <w:t>darunavirui atsparių virusų selekcija iš įprastinių ŽIV-1 vyko ilgai (&gt; 3 met</w:t>
      </w:r>
      <w:r w:rsidR="009374BD" w:rsidRPr="00532388">
        <w:rPr>
          <w:rFonts w:eastAsia="TimesNewRoman"/>
          <w:sz w:val="22"/>
          <w:szCs w:val="22"/>
          <w:lang w:val="lt-LT" w:eastAsia="en-US"/>
        </w:rPr>
        <w:t>us</w:t>
      </w:r>
      <w:r w:rsidRPr="00532388">
        <w:rPr>
          <w:rFonts w:eastAsia="TimesNewRoman"/>
          <w:sz w:val="22"/>
          <w:szCs w:val="22"/>
          <w:lang w:val="lt-LT" w:eastAsia="en-US"/>
        </w:rPr>
        <w:t>). Selekciniai</w:t>
      </w:r>
      <w:r w:rsidR="009374BD" w:rsidRPr="00532388">
        <w:rPr>
          <w:rFonts w:eastAsia="TimesNewRoman"/>
          <w:sz w:val="22"/>
          <w:szCs w:val="22"/>
          <w:lang w:val="lt-LT" w:eastAsia="en-US"/>
        </w:rPr>
        <w:t xml:space="preserve"> </w:t>
      </w:r>
      <w:r w:rsidRPr="00532388">
        <w:rPr>
          <w:rFonts w:eastAsia="TimesNewRoman"/>
          <w:sz w:val="22"/>
          <w:szCs w:val="22"/>
          <w:lang w:val="lt-LT" w:eastAsia="en-US"/>
        </w:rPr>
        <w:t>virusai negalėjo augti, kai darunaviro koncentracija buvo didesnė kaip 400</w:t>
      </w:r>
      <w:r w:rsidR="009374BD" w:rsidRPr="00532388">
        <w:rPr>
          <w:rFonts w:eastAsia="TimesNewRoman"/>
          <w:sz w:val="22"/>
          <w:szCs w:val="22"/>
          <w:lang w:val="lt-LT" w:eastAsia="en-US"/>
        </w:rPr>
        <w:t> </w:t>
      </w:r>
      <w:r w:rsidRPr="00532388">
        <w:rPr>
          <w:rFonts w:eastAsia="TimesNewRoman"/>
          <w:sz w:val="22"/>
          <w:szCs w:val="22"/>
          <w:lang w:val="lt-LT" w:eastAsia="en-US"/>
        </w:rPr>
        <w:t>nmol. Šiomis sąlygomis</w:t>
      </w:r>
      <w:r w:rsidR="009374BD" w:rsidRPr="00532388">
        <w:rPr>
          <w:rFonts w:eastAsia="TimesNewRoman"/>
          <w:sz w:val="22"/>
          <w:szCs w:val="22"/>
          <w:lang w:val="lt-LT" w:eastAsia="en-US"/>
        </w:rPr>
        <w:t xml:space="preserve"> </w:t>
      </w:r>
      <w:r w:rsidRPr="00532388">
        <w:rPr>
          <w:rFonts w:eastAsia="TimesNewRoman"/>
          <w:sz w:val="22"/>
          <w:szCs w:val="22"/>
          <w:lang w:val="lt-LT" w:eastAsia="en-US"/>
        </w:rPr>
        <w:t>selekcionuoti virusai, kurių jautrumas darunavirui buvo sumažėjęs (</w:t>
      </w:r>
      <w:r w:rsidR="009374BD" w:rsidRPr="00532388">
        <w:rPr>
          <w:rFonts w:eastAsia="TimesNewRoman"/>
          <w:sz w:val="22"/>
          <w:szCs w:val="22"/>
          <w:lang w:val="lt-LT" w:eastAsia="en-US"/>
        </w:rPr>
        <w:t xml:space="preserve">nuo </w:t>
      </w:r>
      <w:r w:rsidRPr="00532388">
        <w:rPr>
          <w:rFonts w:eastAsia="TimesNewRoman"/>
          <w:sz w:val="22"/>
          <w:szCs w:val="22"/>
          <w:lang w:val="lt-LT" w:eastAsia="en-US"/>
        </w:rPr>
        <w:t>23</w:t>
      </w:r>
      <w:r w:rsidR="009374BD" w:rsidRPr="00532388">
        <w:rPr>
          <w:rFonts w:eastAsia="TimesNewRoman"/>
          <w:sz w:val="22"/>
          <w:szCs w:val="22"/>
          <w:lang w:val="lt-LT" w:eastAsia="en-US"/>
        </w:rPr>
        <w:t xml:space="preserve"> iki </w:t>
      </w:r>
      <w:r w:rsidRPr="00532388">
        <w:rPr>
          <w:rFonts w:eastAsia="TimesNewRoman"/>
          <w:sz w:val="22"/>
          <w:szCs w:val="22"/>
          <w:lang w:val="lt-LT" w:eastAsia="en-US"/>
        </w:rPr>
        <w:t>50 kartų), proteazės gene turėjo</w:t>
      </w:r>
      <w:r w:rsidR="009374BD" w:rsidRPr="00532388">
        <w:rPr>
          <w:rFonts w:eastAsia="TimesNewRoman"/>
          <w:sz w:val="22"/>
          <w:szCs w:val="22"/>
          <w:lang w:val="lt-LT" w:eastAsia="en-US"/>
        </w:rPr>
        <w:t xml:space="preserve"> </w:t>
      </w:r>
      <w:r w:rsidRPr="00532388">
        <w:rPr>
          <w:rFonts w:eastAsia="TimesNewRoman"/>
          <w:sz w:val="22"/>
          <w:szCs w:val="22"/>
          <w:lang w:val="lt-LT" w:eastAsia="en-US"/>
        </w:rPr>
        <w:t>nuo 2 iki 4 pakeistų aminorūgščių. Sumažėjęs atsiradusių virusų jautrumas darunavirui atrankos</w:t>
      </w:r>
      <w:r w:rsidR="009374BD" w:rsidRPr="00532388">
        <w:rPr>
          <w:rFonts w:eastAsia="TimesNewRoman"/>
          <w:sz w:val="22"/>
          <w:szCs w:val="22"/>
          <w:lang w:val="lt-LT" w:eastAsia="en-US"/>
        </w:rPr>
        <w:t xml:space="preserve"> </w:t>
      </w:r>
      <w:r w:rsidRPr="00532388">
        <w:rPr>
          <w:rFonts w:eastAsia="TimesNewRoman"/>
          <w:sz w:val="22"/>
          <w:szCs w:val="22"/>
          <w:lang w:val="lt-LT" w:eastAsia="en-US"/>
        </w:rPr>
        <w:t>eksperimento metu negali būti paaiškinamas šių proteazės mutacijų atsiradimu.</w:t>
      </w:r>
    </w:p>
    <w:p w14:paraId="586E8E33" w14:textId="77777777" w:rsidR="009374BD" w:rsidRPr="00532388" w:rsidRDefault="009374BD" w:rsidP="0073095E">
      <w:pPr>
        <w:autoSpaceDE w:val="0"/>
        <w:autoSpaceDN w:val="0"/>
        <w:adjustRightInd w:val="0"/>
        <w:rPr>
          <w:rFonts w:eastAsia="TimesNewRoman"/>
          <w:sz w:val="22"/>
          <w:szCs w:val="22"/>
          <w:lang w:val="lt-LT" w:eastAsia="en-US"/>
        </w:rPr>
      </w:pPr>
    </w:p>
    <w:p w14:paraId="2452162B"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Klinikinių tyrimų, kuriuose dalyvavo pacientai, kuriems taikytas ARG (</w:t>
      </w:r>
      <w:r w:rsidRPr="00532388">
        <w:rPr>
          <w:rFonts w:eastAsia="TimesNewRoman"/>
          <w:i/>
          <w:iCs/>
          <w:sz w:val="22"/>
          <w:szCs w:val="22"/>
          <w:lang w:val="lt-LT" w:eastAsia="en-US"/>
        </w:rPr>
        <w:t xml:space="preserve">TITAN </w:t>
      </w:r>
      <w:r w:rsidRPr="00532388">
        <w:rPr>
          <w:rFonts w:eastAsia="TimesNewRoman"/>
          <w:sz w:val="22"/>
          <w:szCs w:val="22"/>
          <w:lang w:val="lt-LT" w:eastAsia="en-US"/>
        </w:rPr>
        <w:t>tyrimas ir</w:t>
      </w:r>
      <w:r w:rsidR="009374BD" w:rsidRPr="00532388">
        <w:rPr>
          <w:rFonts w:eastAsia="TimesNewRoman"/>
          <w:sz w:val="22"/>
          <w:szCs w:val="22"/>
          <w:lang w:val="lt-LT" w:eastAsia="en-US"/>
        </w:rPr>
        <w:t xml:space="preserve"> </w:t>
      </w:r>
      <w:r w:rsidRPr="00532388">
        <w:rPr>
          <w:rFonts w:eastAsia="TimesNewRoman"/>
          <w:sz w:val="22"/>
          <w:szCs w:val="22"/>
          <w:lang w:val="lt-LT" w:eastAsia="en-US"/>
        </w:rPr>
        <w:t xml:space="preserve">jungtinė </w:t>
      </w:r>
      <w:r w:rsidRPr="00532388">
        <w:rPr>
          <w:rFonts w:eastAsia="TimesNewRoman"/>
          <w:i/>
          <w:iCs/>
          <w:sz w:val="22"/>
          <w:szCs w:val="22"/>
          <w:lang w:val="lt-LT" w:eastAsia="en-US"/>
        </w:rPr>
        <w:t xml:space="preserve">POWER </w:t>
      </w:r>
      <w:r w:rsidRPr="00532388">
        <w:rPr>
          <w:rFonts w:eastAsia="TimesNewRoman"/>
          <w:sz w:val="22"/>
          <w:szCs w:val="22"/>
          <w:lang w:val="lt-LT" w:eastAsia="en-US"/>
        </w:rPr>
        <w:t xml:space="preserve">1, 2 ir 3 bei </w:t>
      </w:r>
      <w:r w:rsidRPr="00532388">
        <w:rPr>
          <w:rFonts w:eastAsia="TimesNewRoman"/>
          <w:i/>
          <w:iCs/>
          <w:sz w:val="22"/>
          <w:szCs w:val="22"/>
          <w:lang w:val="lt-LT" w:eastAsia="en-US"/>
        </w:rPr>
        <w:t xml:space="preserve">DUET </w:t>
      </w:r>
      <w:r w:rsidRPr="00532388">
        <w:rPr>
          <w:rFonts w:eastAsia="TimesNewRoman"/>
          <w:sz w:val="22"/>
          <w:szCs w:val="22"/>
          <w:lang w:val="lt-LT" w:eastAsia="en-US"/>
        </w:rPr>
        <w:t>1 ir 2 tyrimų duomenų analizė), duomenys parodė, kad</w:t>
      </w:r>
      <w:r w:rsidR="009374BD" w:rsidRPr="00532388">
        <w:rPr>
          <w:rFonts w:eastAsia="TimesNewRoman"/>
          <w:sz w:val="22"/>
          <w:szCs w:val="22"/>
          <w:lang w:val="lt-LT" w:eastAsia="en-US"/>
        </w:rPr>
        <w:t xml:space="preserve"> </w:t>
      </w:r>
      <w:r w:rsidRPr="00532388">
        <w:rPr>
          <w:rFonts w:eastAsia="TimesNewRoman"/>
          <w:sz w:val="22"/>
          <w:szCs w:val="22"/>
          <w:lang w:val="lt-LT" w:eastAsia="en-US"/>
        </w:rPr>
        <w:t xml:space="preserve">virusologinis atsakas į </w:t>
      </w:r>
      <w:r w:rsidR="00D32C26">
        <w:rPr>
          <w:rFonts w:eastAsia="TimesNewRoman"/>
          <w:sz w:val="22"/>
          <w:szCs w:val="22"/>
          <w:lang w:val="lt-LT" w:eastAsia="en-US"/>
        </w:rPr>
        <w:t>d</w:t>
      </w:r>
      <w:r w:rsidR="009374BD" w:rsidRPr="00532388">
        <w:rPr>
          <w:rFonts w:eastAsia="TimesNewRoman"/>
          <w:sz w:val="22"/>
          <w:szCs w:val="22"/>
          <w:lang w:val="lt-LT" w:eastAsia="en-US"/>
        </w:rPr>
        <w:t>arunavirą</w:t>
      </w:r>
      <w:r w:rsidRPr="00532388">
        <w:rPr>
          <w:rFonts w:eastAsia="TimesNewRoman"/>
          <w:sz w:val="22"/>
          <w:szCs w:val="22"/>
          <w:lang w:val="lt-LT" w:eastAsia="en-US"/>
        </w:rPr>
        <w:t>, vartojamą kartu su maža ritonaviro doze, susilpnėjo, jeigu prieš</w:t>
      </w:r>
      <w:r w:rsidR="009374BD" w:rsidRPr="00532388">
        <w:rPr>
          <w:rFonts w:eastAsia="TimesNewRoman"/>
          <w:sz w:val="22"/>
          <w:szCs w:val="22"/>
          <w:lang w:val="lt-LT" w:eastAsia="en-US"/>
        </w:rPr>
        <w:t xml:space="preserve"> </w:t>
      </w:r>
      <w:r w:rsidRPr="00532388">
        <w:rPr>
          <w:rFonts w:eastAsia="TimesNewRoman"/>
          <w:sz w:val="22"/>
          <w:szCs w:val="22"/>
          <w:lang w:val="lt-LT" w:eastAsia="en-US"/>
        </w:rPr>
        <w:t>pradedant gydymą buvo 3 ar daugiau ASM darunavirui (V11I, V32I, L33F, I47V, I50V, I54L arba M,</w:t>
      </w:r>
      <w:r w:rsidR="009374BD" w:rsidRPr="00532388">
        <w:rPr>
          <w:rFonts w:eastAsia="TimesNewRoman"/>
          <w:sz w:val="22"/>
          <w:szCs w:val="22"/>
          <w:lang w:val="lt-LT" w:eastAsia="en-US"/>
        </w:rPr>
        <w:t xml:space="preserve"> </w:t>
      </w:r>
      <w:r w:rsidRPr="00532388">
        <w:rPr>
          <w:rFonts w:eastAsia="TimesNewRoman"/>
          <w:sz w:val="22"/>
          <w:szCs w:val="22"/>
          <w:lang w:val="lt-LT" w:eastAsia="en-US"/>
        </w:rPr>
        <w:t>T74P, L76V, I84V ir L89V) arba šios mutacijos atsirado gydymo metu.</w:t>
      </w:r>
    </w:p>
    <w:p w14:paraId="7C2928B7" w14:textId="77777777" w:rsidR="009374BD" w:rsidRPr="00532388" w:rsidRDefault="009374BD" w:rsidP="0073095E">
      <w:pPr>
        <w:autoSpaceDE w:val="0"/>
        <w:autoSpaceDN w:val="0"/>
        <w:adjustRightInd w:val="0"/>
        <w:rPr>
          <w:rFonts w:eastAsia="TimesNewRoman"/>
          <w:sz w:val="22"/>
          <w:szCs w:val="22"/>
          <w:lang w:val="lt-LT" w:eastAsia="en-US"/>
        </w:rPr>
      </w:pPr>
    </w:p>
    <w:p w14:paraId="520BDE0E"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EC</w:t>
      </w:r>
      <w:r w:rsidRPr="00532388">
        <w:rPr>
          <w:rFonts w:eastAsia="TimesNewRoman"/>
          <w:sz w:val="14"/>
          <w:szCs w:val="14"/>
          <w:lang w:val="lt-LT" w:eastAsia="en-US"/>
        </w:rPr>
        <w:t xml:space="preserve">50 </w:t>
      </w:r>
      <w:r w:rsidRPr="00532388">
        <w:rPr>
          <w:rFonts w:eastAsia="TimesNewRoman"/>
          <w:sz w:val="22"/>
          <w:szCs w:val="22"/>
          <w:lang w:val="lt-LT" w:eastAsia="en-US"/>
        </w:rPr>
        <w:t>pradinio pokyčio didėjimas (</w:t>
      </w:r>
      <w:r w:rsidR="009374BD" w:rsidRPr="00532388">
        <w:rPr>
          <w:rFonts w:eastAsia="TimesNewRoman"/>
          <w:sz w:val="22"/>
          <w:szCs w:val="22"/>
          <w:lang w:val="lt-LT" w:eastAsia="en-US"/>
        </w:rPr>
        <w:t xml:space="preserve">angl.: </w:t>
      </w:r>
      <w:r w:rsidR="009374BD" w:rsidRPr="00532388">
        <w:rPr>
          <w:rFonts w:eastAsia="TimesNewRoman"/>
          <w:i/>
          <w:sz w:val="22"/>
          <w:szCs w:val="22"/>
          <w:lang w:val="lt-LT" w:eastAsia="en-US"/>
        </w:rPr>
        <w:t xml:space="preserve">fold change; </w:t>
      </w:r>
      <w:r w:rsidRPr="00532388">
        <w:rPr>
          <w:rFonts w:eastAsia="TimesNewRoman"/>
          <w:i/>
          <w:sz w:val="22"/>
          <w:szCs w:val="22"/>
          <w:lang w:val="lt-LT" w:eastAsia="en-US"/>
        </w:rPr>
        <w:t>FC</w:t>
      </w:r>
      <w:r w:rsidRPr="00532388">
        <w:rPr>
          <w:rFonts w:eastAsia="TimesNewRoman"/>
          <w:sz w:val="22"/>
          <w:szCs w:val="22"/>
          <w:lang w:val="lt-LT" w:eastAsia="en-US"/>
        </w:rPr>
        <w:t>) buvo susijęs su virusologinio atsako mažėjimu.</w:t>
      </w:r>
      <w:r w:rsidR="009374BD" w:rsidRPr="00532388">
        <w:rPr>
          <w:rFonts w:eastAsia="TimesNewRoman"/>
          <w:sz w:val="22"/>
          <w:szCs w:val="22"/>
          <w:lang w:val="lt-LT" w:eastAsia="en-US"/>
        </w:rPr>
        <w:t xml:space="preserve"> </w:t>
      </w:r>
      <w:r w:rsidRPr="00532388">
        <w:rPr>
          <w:rFonts w:eastAsia="TimesNewRoman"/>
          <w:sz w:val="22"/>
          <w:szCs w:val="22"/>
          <w:lang w:val="lt-LT" w:eastAsia="en-US"/>
        </w:rPr>
        <w:t>Buvo nustatytos apatinė 10 ir viršutinė 40 klinikinės šio rodmens ribos. Buvo vertinama, kad izoliatai,</w:t>
      </w:r>
      <w:r w:rsidR="009374BD" w:rsidRPr="00532388">
        <w:rPr>
          <w:rFonts w:eastAsia="TimesNewRoman"/>
          <w:sz w:val="22"/>
          <w:szCs w:val="22"/>
          <w:lang w:val="lt-LT" w:eastAsia="en-US"/>
        </w:rPr>
        <w:t xml:space="preserve"> </w:t>
      </w:r>
      <w:r w:rsidRPr="00532388">
        <w:rPr>
          <w:rFonts w:eastAsia="TimesNewRoman"/>
          <w:sz w:val="22"/>
          <w:szCs w:val="22"/>
          <w:lang w:val="lt-LT" w:eastAsia="en-US"/>
        </w:rPr>
        <w:t>kurių pradinis FC ≤ 10, yra jautrūs, izoliatų, kurių FC yra nuo 10 iki 40, jautrumas yra sumažėjęs, o</w:t>
      </w:r>
      <w:r w:rsidR="009374BD" w:rsidRPr="00532388">
        <w:rPr>
          <w:rFonts w:eastAsia="TimesNewRoman"/>
          <w:sz w:val="22"/>
          <w:szCs w:val="22"/>
          <w:lang w:val="lt-LT" w:eastAsia="en-US"/>
        </w:rPr>
        <w:t xml:space="preserve"> </w:t>
      </w:r>
      <w:r w:rsidRPr="00532388">
        <w:rPr>
          <w:rFonts w:eastAsia="TimesNewRoman"/>
          <w:sz w:val="22"/>
          <w:szCs w:val="22"/>
          <w:lang w:val="lt-LT" w:eastAsia="en-US"/>
        </w:rPr>
        <w:t>izoliatai, kurių FC &gt; 40, yra atsparūs (žr. klinikinių tyrimų duomenis).</w:t>
      </w:r>
    </w:p>
    <w:p w14:paraId="2C529661" w14:textId="77777777" w:rsidR="009374BD" w:rsidRPr="00532388" w:rsidRDefault="009374BD" w:rsidP="0073095E">
      <w:pPr>
        <w:autoSpaceDE w:val="0"/>
        <w:autoSpaceDN w:val="0"/>
        <w:adjustRightInd w:val="0"/>
        <w:rPr>
          <w:rFonts w:eastAsia="TimesNewRoman"/>
          <w:sz w:val="22"/>
          <w:szCs w:val="22"/>
          <w:lang w:val="lt-LT" w:eastAsia="en-US"/>
        </w:rPr>
      </w:pPr>
    </w:p>
    <w:p w14:paraId="775FD22A" w14:textId="77777777" w:rsidR="00FA2383"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 pacientų, vartojančių 600/100</w:t>
      </w:r>
      <w:r w:rsidR="009374BD" w:rsidRPr="00532388">
        <w:rPr>
          <w:rFonts w:eastAsia="TimesNewRoman"/>
          <w:sz w:val="22"/>
          <w:szCs w:val="22"/>
          <w:lang w:val="lt-LT" w:eastAsia="en-US"/>
        </w:rPr>
        <w:t> </w:t>
      </w:r>
      <w:r w:rsidRPr="00532388">
        <w:rPr>
          <w:rFonts w:eastAsia="TimesNewRoman"/>
          <w:sz w:val="22"/>
          <w:szCs w:val="22"/>
          <w:lang w:val="lt-LT" w:eastAsia="en-US"/>
        </w:rPr>
        <w:t xml:space="preserve">mg </w:t>
      </w:r>
      <w:r w:rsidR="009374BD" w:rsidRPr="00532388">
        <w:rPr>
          <w:rFonts w:eastAsia="TimesNewRoman"/>
          <w:sz w:val="22"/>
          <w:szCs w:val="22"/>
          <w:lang w:val="lt-LT" w:eastAsia="en-US"/>
        </w:rPr>
        <w:t>darunaviro</w:t>
      </w:r>
      <w:r w:rsidRPr="00532388">
        <w:rPr>
          <w:rFonts w:eastAsia="TimesNewRoman"/>
          <w:sz w:val="22"/>
          <w:szCs w:val="22"/>
          <w:lang w:val="lt-LT" w:eastAsia="en-US"/>
        </w:rPr>
        <w:t>/ritonaviro du kartus per parą, kuriems pasireiškė</w:t>
      </w:r>
      <w:r w:rsidR="00FA2383" w:rsidRPr="00532388">
        <w:rPr>
          <w:rFonts w:eastAsia="TimesNewRoman"/>
          <w:sz w:val="22"/>
          <w:szCs w:val="22"/>
          <w:lang w:val="lt-LT" w:eastAsia="en-US"/>
        </w:rPr>
        <w:t xml:space="preserve"> </w:t>
      </w:r>
      <w:r w:rsidRPr="00532388">
        <w:rPr>
          <w:rFonts w:eastAsia="TimesNewRoman"/>
          <w:sz w:val="22"/>
          <w:szCs w:val="22"/>
          <w:lang w:val="lt-LT" w:eastAsia="en-US"/>
        </w:rPr>
        <w:t>atkrytis dėl virusologinio atsako nepakankamumo, organizmo išskirti virusai, kurie prieš pradedant</w:t>
      </w:r>
      <w:r w:rsidR="00FA2383" w:rsidRPr="00532388">
        <w:rPr>
          <w:rFonts w:eastAsia="TimesNewRoman"/>
          <w:sz w:val="22"/>
          <w:szCs w:val="22"/>
          <w:lang w:val="lt-LT" w:eastAsia="en-US"/>
        </w:rPr>
        <w:t xml:space="preserve"> </w:t>
      </w:r>
      <w:r w:rsidRPr="00532388">
        <w:rPr>
          <w:rFonts w:eastAsia="TimesNewRoman"/>
          <w:sz w:val="22"/>
          <w:szCs w:val="22"/>
          <w:lang w:val="lt-LT" w:eastAsia="en-US"/>
        </w:rPr>
        <w:t>gydymą buvo jautrūs tipranavirui, didžiojoje daugumoje atvejų išliko jautrūs tipranavirui ir po</w:t>
      </w:r>
      <w:r w:rsidR="00FA2383" w:rsidRPr="00532388">
        <w:rPr>
          <w:rFonts w:eastAsia="TimesNewRoman"/>
          <w:sz w:val="22"/>
          <w:szCs w:val="22"/>
          <w:lang w:val="lt-LT" w:eastAsia="en-US"/>
        </w:rPr>
        <w:t xml:space="preserve"> </w:t>
      </w:r>
      <w:r w:rsidRPr="00532388">
        <w:rPr>
          <w:rFonts w:eastAsia="TimesNewRoman"/>
          <w:sz w:val="22"/>
          <w:szCs w:val="22"/>
          <w:lang w:val="lt-LT" w:eastAsia="en-US"/>
        </w:rPr>
        <w:t>gydymo.</w:t>
      </w:r>
    </w:p>
    <w:p w14:paraId="320E87AD" w14:textId="77777777" w:rsidR="00FA2383" w:rsidRPr="00532388" w:rsidRDefault="00FA2383" w:rsidP="0073095E">
      <w:pPr>
        <w:autoSpaceDE w:val="0"/>
        <w:autoSpaceDN w:val="0"/>
        <w:adjustRightInd w:val="0"/>
        <w:rPr>
          <w:rFonts w:eastAsia="TimesNewRoman"/>
          <w:sz w:val="22"/>
          <w:szCs w:val="22"/>
          <w:lang w:val="lt-LT" w:eastAsia="en-US"/>
        </w:rPr>
      </w:pPr>
    </w:p>
    <w:p w14:paraId="7277B968"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Rečiausiai atsparumą įgavusių ŽIV virusų randama ARG dar negavusiems pacientams, kurie pirmą kartą gydomi darunaviru kartu su kitokiu ARG.</w:t>
      </w:r>
    </w:p>
    <w:p w14:paraId="7610C882" w14:textId="77777777" w:rsidR="00FA2383" w:rsidRPr="00532388" w:rsidRDefault="00FA2383" w:rsidP="0073095E">
      <w:pPr>
        <w:autoSpaceDE w:val="0"/>
        <w:autoSpaceDN w:val="0"/>
        <w:adjustRightInd w:val="0"/>
        <w:rPr>
          <w:rFonts w:eastAsia="TimesNewRoman"/>
          <w:sz w:val="22"/>
          <w:szCs w:val="22"/>
          <w:lang w:val="lt-LT" w:eastAsia="en-US"/>
        </w:rPr>
      </w:pPr>
    </w:p>
    <w:p w14:paraId="7CE91BA2"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Toliau esančioje lentelėje parodytas ŽIV-1 proteazės mutacijų atsiradimas ir jautrumo PI išnykimas</w:t>
      </w:r>
      <w:r w:rsidR="00FA2383" w:rsidRPr="00532388">
        <w:rPr>
          <w:rFonts w:eastAsia="TimesNewRoman"/>
          <w:sz w:val="22"/>
          <w:szCs w:val="22"/>
          <w:lang w:val="lt-LT" w:eastAsia="en-US"/>
        </w:rPr>
        <w:t xml:space="preserve"> </w:t>
      </w:r>
      <w:r w:rsidRPr="00532388">
        <w:rPr>
          <w:rFonts w:eastAsia="TimesNewRoman"/>
          <w:sz w:val="22"/>
          <w:szCs w:val="22"/>
          <w:lang w:val="lt-LT" w:eastAsia="en-US"/>
        </w:rPr>
        <w:t xml:space="preserve">virusologinio atsako nepakankamumo atvejais </w:t>
      </w:r>
      <w:r w:rsidRPr="00532388">
        <w:rPr>
          <w:rFonts w:eastAsia="TimesNewRoman"/>
          <w:i/>
          <w:iCs/>
          <w:sz w:val="22"/>
          <w:szCs w:val="22"/>
          <w:lang w:val="lt-LT" w:eastAsia="en-US"/>
        </w:rPr>
        <w:t>ARTEMIS</w:t>
      </w:r>
      <w:r w:rsidRPr="00532388">
        <w:rPr>
          <w:rFonts w:eastAsia="TimesNewRoman"/>
          <w:sz w:val="22"/>
          <w:szCs w:val="22"/>
          <w:lang w:val="lt-LT" w:eastAsia="en-US"/>
        </w:rPr>
        <w:t xml:space="preserve">, </w:t>
      </w:r>
      <w:r w:rsidRPr="00532388">
        <w:rPr>
          <w:rFonts w:eastAsia="TimesNewRoman"/>
          <w:i/>
          <w:iCs/>
          <w:sz w:val="22"/>
          <w:szCs w:val="22"/>
          <w:lang w:val="lt-LT" w:eastAsia="en-US"/>
        </w:rPr>
        <w:t xml:space="preserve">ODIN </w:t>
      </w:r>
      <w:r w:rsidRPr="00532388">
        <w:rPr>
          <w:rFonts w:eastAsia="TimesNewRoman"/>
          <w:sz w:val="22"/>
          <w:szCs w:val="22"/>
          <w:lang w:val="lt-LT" w:eastAsia="en-US"/>
        </w:rPr>
        <w:t xml:space="preserve">ir </w:t>
      </w:r>
      <w:r w:rsidRPr="00532388">
        <w:rPr>
          <w:rFonts w:eastAsia="TimesNewRoman"/>
          <w:i/>
          <w:iCs/>
          <w:sz w:val="22"/>
          <w:szCs w:val="22"/>
          <w:lang w:val="lt-LT" w:eastAsia="en-US"/>
        </w:rPr>
        <w:t xml:space="preserve">TITAN </w:t>
      </w:r>
      <w:r w:rsidRPr="00532388">
        <w:rPr>
          <w:rFonts w:eastAsia="TimesNewRoman"/>
          <w:sz w:val="22"/>
          <w:szCs w:val="22"/>
          <w:lang w:val="lt-LT" w:eastAsia="en-US"/>
        </w:rPr>
        <w:t>tyrimų vertinamosios</w:t>
      </w:r>
      <w:r w:rsidR="00FA2383" w:rsidRPr="00532388">
        <w:rPr>
          <w:rFonts w:eastAsia="TimesNewRoman"/>
          <w:sz w:val="22"/>
          <w:szCs w:val="22"/>
          <w:lang w:val="lt-LT" w:eastAsia="en-US"/>
        </w:rPr>
        <w:t xml:space="preserve"> </w:t>
      </w:r>
      <w:r w:rsidRPr="00532388">
        <w:rPr>
          <w:rFonts w:eastAsia="TimesNewRoman"/>
          <w:sz w:val="22"/>
          <w:szCs w:val="22"/>
          <w:lang w:val="lt-LT" w:eastAsia="en-US"/>
        </w:rPr>
        <w:t>baigties metu.</w:t>
      </w:r>
    </w:p>
    <w:p w14:paraId="15D61229" w14:textId="77777777" w:rsidR="000E442A" w:rsidRPr="00532388" w:rsidRDefault="000E442A" w:rsidP="0073095E">
      <w:pPr>
        <w:autoSpaceDE w:val="0"/>
        <w:autoSpaceDN w:val="0"/>
        <w:adjustRightInd w:val="0"/>
        <w:rPr>
          <w:rFonts w:eastAsia="TimesNewRoman"/>
          <w:sz w:val="22"/>
          <w:szCs w:val="22"/>
          <w:lang w:val="lt-LT" w:eastAsia="en-US"/>
        </w:rPr>
      </w:pPr>
    </w:p>
    <w:tbl>
      <w:tblPr>
        <w:tblW w:w="9277" w:type="dxa"/>
        <w:tblInd w:w="104" w:type="dxa"/>
        <w:tblLayout w:type="fixed"/>
        <w:tblCellMar>
          <w:left w:w="0" w:type="dxa"/>
          <w:right w:w="0" w:type="dxa"/>
        </w:tblCellMar>
        <w:tblLook w:val="01E0" w:firstRow="1" w:lastRow="1" w:firstColumn="1" w:lastColumn="1" w:noHBand="0" w:noVBand="0"/>
      </w:tblPr>
      <w:tblGrid>
        <w:gridCol w:w="2230"/>
        <w:gridCol w:w="81"/>
        <w:gridCol w:w="1701"/>
        <w:gridCol w:w="1703"/>
        <w:gridCol w:w="1707"/>
        <w:gridCol w:w="1855"/>
      </w:tblGrid>
      <w:tr w:rsidR="006160D7" w:rsidRPr="008F4EBC" w14:paraId="3633EEB5" w14:textId="77777777" w:rsidTr="006160D7">
        <w:trPr>
          <w:trHeight w:hRule="exact" w:val="683"/>
        </w:trPr>
        <w:tc>
          <w:tcPr>
            <w:tcW w:w="2311" w:type="dxa"/>
            <w:gridSpan w:val="2"/>
            <w:vMerge w:val="restart"/>
            <w:tcBorders>
              <w:top w:val="single" w:sz="4" w:space="0" w:color="000000"/>
              <w:left w:val="single" w:sz="4" w:space="0" w:color="000000"/>
              <w:right w:val="single" w:sz="4" w:space="0" w:color="000000"/>
            </w:tcBorders>
          </w:tcPr>
          <w:p w14:paraId="50836F8F" w14:textId="77777777" w:rsidR="006160D7" w:rsidRPr="00DD4E66" w:rsidRDefault="006160D7" w:rsidP="0073095E">
            <w:pPr>
              <w:tabs>
                <w:tab w:val="left" w:pos="567"/>
              </w:tabs>
              <w:spacing w:line="260" w:lineRule="exact"/>
              <w:rPr>
                <w:rFonts w:eastAsia="Times New Roman"/>
                <w:sz w:val="20"/>
                <w:lang w:val="lt-LT"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5D5B916C" w14:textId="77777777" w:rsidR="006160D7" w:rsidRPr="00DD4E66" w:rsidRDefault="006160D7" w:rsidP="006160D7">
            <w:pPr>
              <w:tabs>
                <w:tab w:val="left" w:pos="223"/>
              </w:tabs>
              <w:spacing w:before="15" w:line="228" w:lineRule="exact"/>
              <w:ind w:left="223" w:right="320"/>
              <w:rPr>
                <w:rFonts w:eastAsia="Times New Roman"/>
                <w:sz w:val="20"/>
                <w:lang w:val="lt-LT" w:eastAsia="en-US"/>
              </w:rPr>
            </w:pPr>
            <w:r w:rsidRPr="00DD4E66">
              <w:rPr>
                <w:rFonts w:eastAsia="Times New Roman"/>
                <w:spacing w:val="1"/>
                <w:sz w:val="20"/>
                <w:lang w:val="lt-LT" w:eastAsia="en-US"/>
              </w:rPr>
              <w:t>ARTEMIS 192 savaitė</w:t>
            </w:r>
          </w:p>
        </w:tc>
        <w:tc>
          <w:tcPr>
            <w:tcW w:w="3410" w:type="dxa"/>
            <w:gridSpan w:val="2"/>
            <w:tcBorders>
              <w:top w:val="single" w:sz="4" w:space="0" w:color="000000"/>
              <w:left w:val="single" w:sz="4" w:space="0" w:color="000000"/>
              <w:bottom w:val="single" w:sz="4" w:space="0" w:color="000000"/>
              <w:right w:val="single" w:sz="4" w:space="0" w:color="000000"/>
            </w:tcBorders>
            <w:hideMark/>
          </w:tcPr>
          <w:p w14:paraId="1CE6B939" w14:textId="77777777" w:rsidR="006160D7" w:rsidRPr="00DD4E66" w:rsidRDefault="006160D7" w:rsidP="0073095E">
            <w:pPr>
              <w:tabs>
                <w:tab w:val="left" w:pos="567"/>
              </w:tabs>
              <w:spacing w:before="15" w:line="228" w:lineRule="exact"/>
              <w:ind w:left="407" w:right="320" w:hanging="31"/>
              <w:jc w:val="center"/>
              <w:rPr>
                <w:rFonts w:eastAsia="Times New Roman"/>
                <w:spacing w:val="1"/>
                <w:sz w:val="20"/>
                <w:lang w:val="lt-LT" w:eastAsia="en-US"/>
              </w:rPr>
            </w:pPr>
            <w:r w:rsidRPr="00DD4E66">
              <w:rPr>
                <w:rFonts w:eastAsia="Times New Roman"/>
                <w:spacing w:val="1"/>
                <w:sz w:val="20"/>
                <w:lang w:val="lt-LT" w:eastAsia="en-US"/>
              </w:rPr>
              <w:t>ODIN</w:t>
            </w:r>
          </w:p>
          <w:p w14:paraId="5A5C8324" w14:textId="77777777" w:rsidR="006160D7" w:rsidRPr="00DD4E66" w:rsidRDefault="006160D7" w:rsidP="0073095E">
            <w:pPr>
              <w:tabs>
                <w:tab w:val="left" w:pos="567"/>
              </w:tabs>
              <w:spacing w:before="15" w:line="228" w:lineRule="exact"/>
              <w:ind w:left="407" w:right="320" w:hanging="31"/>
              <w:jc w:val="center"/>
              <w:rPr>
                <w:rFonts w:eastAsia="Times New Roman"/>
                <w:spacing w:val="1"/>
                <w:sz w:val="20"/>
                <w:lang w:val="lt-LT" w:eastAsia="en-US"/>
              </w:rPr>
            </w:pPr>
            <w:r w:rsidRPr="00DD4E66">
              <w:rPr>
                <w:rFonts w:eastAsia="Times New Roman"/>
                <w:spacing w:val="1"/>
                <w:sz w:val="20"/>
                <w:lang w:val="lt-LT" w:eastAsia="en-US"/>
              </w:rPr>
              <w:t>48 savaitė</w:t>
            </w:r>
          </w:p>
        </w:tc>
        <w:tc>
          <w:tcPr>
            <w:tcW w:w="1855" w:type="dxa"/>
            <w:tcBorders>
              <w:top w:val="single" w:sz="4" w:space="0" w:color="000000"/>
              <w:left w:val="single" w:sz="4" w:space="0" w:color="000000"/>
              <w:bottom w:val="single" w:sz="4" w:space="0" w:color="000000"/>
              <w:right w:val="single" w:sz="4" w:space="0" w:color="000000"/>
            </w:tcBorders>
            <w:hideMark/>
          </w:tcPr>
          <w:p w14:paraId="2A1FE834" w14:textId="77777777" w:rsidR="006160D7" w:rsidRPr="00DD4E66" w:rsidRDefault="006160D7" w:rsidP="0073095E">
            <w:pPr>
              <w:tabs>
                <w:tab w:val="left" w:pos="567"/>
              </w:tabs>
              <w:spacing w:before="15" w:line="228" w:lineRule="exact"/>
              <w:ind w:left="407" w:right="320" w:hanging="31"/>
              <w:jc w:val="center"/>
              <w:rPr>
                <w:rFonts w:eastAsia="Times New Roman"/>
                <w:spacing w:val="1"/>
                <w:sz w:val="20"/>
                <w:lang w:val="lt-LT" w:eastAsia="en-US"/>
              </w:rPr>
            </w:pPr>
            <w:r w:rsidRPr="00DD4E66">
              <w:rPr>
                <w:rFonts w:eastAsia="Times New Roman"/>
                <w:spacing w:val="1"/>
                <w:sz w:val="20"/>
                <w:lang w:val="lt-LT" w:eastAsia="en-US"/>
              </w:rPr>
              <w:t>TITAN</w:t>
            </w:r>
          </w:p>
          <w:p w14:paraId="251BCA7D" w14:textId="77777777" w:rsidR="006160D7" w:rsidRPr="00DD4E66" w:rsidRDefault="006160D7" w:rsidP="0073095E">
            <w:pPr>
              <w:tabs>
                <w:tab w:val="left" w:pos="567"/>
              </w:tabs>
              <w:spacing w:before="15" w:line="228" w:lineRule="exact"/>
              <w:ind w:left="407" w:right="320" w:hanging="31"/>
              <w:jc w:val="center"/>
              <w:rPr>
                <w:rFonts w:eastAsia="Times New Roman"/>
                <w:spacing w:val="1"/>
                <w:sz w:val="20"/>
                <w:lang w:val="lt-LT" w:eastAsia="en-US"/>
              </w:rPr>
            </w:pPr>
            <w:r w:rsidRPr="00DD4E66">
              <w:rPr>
                <w:rFonts w:eastAsia="Times New Roman"/>
                <w:spacing w:val="1"/>
                <w:sz w:val="20"/>
                <w:lang w:val="lt-LT" w:eastAsia="en-US"/>
              </w:rPr>
              <w:t>48 savaitė</w:t>
            </w:r>
          </w:p>
        </w:tc>
      </w:tr>
      <w:tr w:rsidR="006160D7" w:rsidRPr="008F4EBC" w14:paraId="679CD590" w14:textId="77777777" w:rsidTr="001633E8">
        <w:trPr>
          <w:trHeight w:hRule="exact" w:val="1274"/>
        </w:trPr>
        <w:tc>
          <w:tcPr>
            <w:tcW w:w="2311" w:type="dxa"/>
            <w:gridSpan w:val="2"/>
            <w:vMerge/>
            <w:tcBorders>
              <w:left w:val="single" w:sz="4" w:space="0" w:color="000000"/>
              <w:bottom w:val="single" w:sz="4" w:space="0" w:color="000000"/>
              <w:right w:val="single" w:sz="4" w:space="0" w:color="000000"/>
            </w:tcBorders>
          </w:tcPr>
          <w:p w14:paraId="015972AB" w14:textId="77777777" w:rsidR="006160D7" w:rsidRPr="008F4EBC" w:rsidRDefault="006160D7" w:rsidP="0073095E">
            <w:pPr>
              <w:tabs>
                <w:tab w:val="left" w:pos="567"/>
              </w:tabs>
              <w:spacing w:line="260" w:lineRule="exact"/>
              <w:rPr>
                <w:rFonts w:eastAsia="Times New Roman"/>
                <w:sz w:val="20"/>
                <w:lang w:val="lt-LT" w:eastAsia="en-US"/>
              </w:rPr>
            </w:pPr>
          </w:p>
        </w:tc>
        <w:tc>
          <w:tcPr>
            <w:tcW w:w="1701" w:type="dxa"/>
            <w:tcBorders>
              <w:top w:val="single" w:sz="4" w:space="0" w:color="000000"/>
              <w:left w:val="single" w:sz="4" w:space="0" w:color="000000"/>
              <w:bottom w:val="single" w:sz="4" w:space="0" w:color="000000"/>
              <w:right w:val="single" w:sz="4" w:space="0" w:color="000000"/>
            </w:tcBorders>
            <w:hideMark/>
          </w:tcPr>
          <w:p w14:paraId="5F90C696" w14:textId="77777777" w:rsidR="006160D7" w:rsidRPr="00DD4E66" w:rsidRDefault="006160D7" w:rsidP="0073095E">
            <w:pPr>
              <w:tabs>
                <w:tab w:val="left" w:pos="567"/>
              </w:tabs>
              <w:spacing w:before="11" w:line="230" w:lineRule="exact"/>
              <w:ind w:left="102" w:right="81"/>
              <w:jc w:val="center"/>
              <w:rPr>
                <w:rFonts w:eastAsia="Times New Roman"/>
                <w:sz w:val="20"/>
                <w:lang w:val="lt-LT" w:eastAsia="en-US"/>
              </w:rPr>
            </w:pPr>
            <w:r w:rsidRPr="00DD4E66">
              <w:rPr>
                <w:rFonts w:eastAsia="Times New Roman"/>
                <w:sz w:val="20"/>
                <w:lang w:val="lt-LT" w:eastAsia="en-US"/>
              </w:rPr>
              <w:t>Darunavir/</w:t>
            </w:r>
          </w:p>
          <w:p w14:paraId="501F58BC" w14:textId="77777777" w:rsidR="006160D7" w:rsidRPr="00E709EB" w:rsidRDefault="006160D7" w:rsidP="0073095E">
            <w:pPr>
              <w:tabs>
                <w:tab w:val="left" w:pos="567"/>
              </w:tabs>
              <w:spacing w:before="11" w:line="230" w:lineRule="exact"/>
              <w:ind w:left="102" w:right="81"/>
              <w:jc w:val="center"/>
              <w:rPr>
                <w:rFonts w:eastAsia="Times New Roman"/>
                <w:sz w:val="20"/>
                <w:lang w:val="lt-LT" w:eastAsia="en-US"/>
              </w:rPr>
            </w:pPr>
            <w:r w:rsidRPr="00E709EB">
              <w:rPr>
                <w:rFonts w:eastAsia="Times New Roman"/>
                <w:sz w:val="20"/>
                <w:lang w:val="lt-LT" w:eastAsia="en-US"/>
              </w:rPr>
              <w:t>ritonavir</w:t>
            </w:r>
          </w:p>
          <w:p w14:paraId="5D9C0D58" w14:textId="77777777" w:rsidR="006160D7" w:rsidRPr="00E709EB" w:rsidRDefault="006160D7" w:rsidP="006160D7">
            <w:pPr>
              <w:tabs>
                <w:tab w:val="left" w:pos="567"/>
              </w:tabs>
              <w:spacing w:before="11" w:line="230" w:lineRule="exact"/>
              <w:ind w:left="102" w:right="81"/>
              <w:jc w:val="center"/>
              <w:rPr>
                <w:rFonts w:eastAsia="Times New Roman"/>
                <w:sz w:val="20"/>
                <w:lang w:val="lt-LT" w:eastAsia="en-US"/>
              </w:rPr>
            </w:pPr>
            <w:r w:rsidRPr="00E709EB">
              <w:rPr>
                <w:rFonts w:eastAsia="Times New Roman"/>
                <w:sz w:val="20"/>
                <w:lang w:val="lt-LT" w:eastAsia="en-US"/>
              </w:rPr>
              <w:t>800/100 mg vieną kartą per parą</w:t>
            </w:r>
          </w:p>
          <w:p w14:paraId="46B8DC22" w14:textId="77777777" w:rsidR="006160D7" w:rsidRPr="00E709EB" w:rsidRDefault="006160D7" w:rsidP="006160D7">
            <w:pPr>
              <w:tabs>
                <w:tab w:val="left" w:pos="567"/>
              </w:tabs>
              <w:spacing w:before="11" w:line="230" w:lineRule="exact"/>
              <w:ind w:left="102" w:right="81"/>
              <w:jc w:val="center"/>
              <w:rPr>
                <w:rFonts w:eastAsia="Times New Roman"/>
                <w:sz w:val="20"/>
                <w:lang w:val="lt-LT" w:eastAsia="en-US"/>
              </w:rPr>
            </w:pPr>
            <w:r w:rsidRPr="00E709EB">
              <w:rPr>
                <w:rFonts w:eastAsia="Times New Roman"/>
                <w:sz w:val="20"/>
                <w:lang w:val="lt-LT" w:eastAsia="en-US"/>
              </w:rPr>
              <w:t>N=343</w:t>
            </w:r>
          </w:p>
        </w:tc>
        <w:tc>
          <w:tcPr>
            <w:tcW w:w="1703" w:type="dxa"/>
            <w:tcBorders>
              <w:top w:val="single" w:sz="4" w:space="0" w:color="000000"/>
              <w:left w:val="single" w:sz="4" w:space="0" w:color="000000"/>
              <w:bottom w:val="single" w:sz="4" w:space="0" w:color="000000"/>
              <w:right w:val="single" w:sz="4" w:space="0" w:color="000000"/>
            </w:tcBorders>
            <w:hideMark/>
          </w:tcPr>
          <w:p w14:paraId="3CE1E529"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Darunavir/</w:t>
            </w:r>
          </w:p>
          <w:p w14:paraId="41212372"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ritonavir</w:t>
            </w:r>
          </w:p>
          <w:p w14:paraId="2F59A62E"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800/100 mg vieną kartą per parą</w:t>
            </w:r>
          </w:p>
          <w:p w14:paraId="1D48FD6B"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N=294</w:t>
            </w:r>
          </w:p>
        </w:tc>
        <w:tc>
          <w:tcPr>
            <w:tcW w:w="1707" w:type="dxa"/>
            <w:tcBorders>
              <w:top w:val="single" w:sz="4" w:space="0" w:color="000000"/>
              <w:left w:val="single" w:sz="4" w:space="0" w:color="000000"/>
              <w:bottom w:val="single" w:sz="4" w:space="0" w:color="000000"/>
              <w:right w:val="single" w:sz="4" w:space="0" w:color="000000"/>
            </w:tcBorders>
            <w:hideMark/>
          </w:tcPr>
          <w:p w14:paraId="142EA905"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Darunavir/</w:t>
            </w:r>
          </w:p>
          <w:p w14:paraId="5D16F2AA"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ritonavir</w:t>
            </w:r>
          </w:p>
          <w:p w14:paraId="54685965"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600/100  mg du kartus per parą</w:t>
            </w:r>
          </w:p>
          <w:p w14:paraId="423A5846"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N=296</w:t>
            </w:r>
          </w:p>
        </w:tc>
        <w:tc>
          <w:tcPr>
            <w:tcW w:w="1855" w:type="dxa"/>
            <w:tcBorders>
              <w:top w:val="single" w:sz="4" w:space="0" w:color="000000"/>
              <w:left w:val="single" w:sz="4" w:space="0" w:color="000000"/>
              <w:bottom w:val="single" w:sz="4" w:space="0" w:color="000000"/>
              <w:right w:val="single" w:sz="4" w:space="0" w:color="000000"/>
            </w:tcBorders>
            <w:hideMark/>
          </w:tcPr>
          <w:p w14:paraId="53595470"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Darunavir/</w:t>
            </w:r>
          </w:p>
          <w:p w14:paraId="250932D1"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ritonavir</w:t>
            </w:r>
          </w:p>
          <w:p w14:paraId="6CEF4581"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600/100 mg du kartus per parą</w:t>
            </w:r>
          </w:p>
          <w:p w14:paraId="324A4DF1" w14:textId="77777777" w:rsidR="006160D7" w:rsidRPr="008F4EBC" w:rsidRDefault="006160D7" w:rsidP="0073095E">
            <w:pPr>
              <w:tabs>
                <w:tab w:val="left" w:pos="567"/>
              </w:tabs>
              <w:spacing w:before="11" w:line="230" w:lineRule="exact"/>
              <w:ind w:left="102" w:right="81"/>
              <w:jc w:val="center"/>
              <w:rPr>
                <w:rFonts w:eastAsia="Times New Roman"/>
                <w:sz w:val="20"/>
                <w:lang w:val="lt-LT" w:eastAsia="en-US"/>
              </w:rPr>
            </w:pPr>
            <w:r w:rsidRPr="008F4EBC">
              <w:rPr>
                <w:rFonts w:eastAsia="Times New Roman"/>
                <w:sz w:val="20"/>
                <w:lang w:val="lt-LT" w:eastAsia="en-US"/>
              </w:rPr>
              <w:t>N=298</w:t>
            </w:r>
          </w:p>
        </w:tc>
      </w:tr>
      <w:tr w:rsidR="0073095E" w:rsidRPr="00DD4E66" w14:paraId="58633E7F" w14:textId="77777777" w:rsidTr="001633E8">
        <w:trPr>
          <w:trHeight w:hRule="exact" w:val="1702"/>
        </w:trPr>
        <w:tc>
          <w:tcPr>
            <w:tcW w:w="2311" w:type="dxa"/>
            <w:gridSpan w:val="2"/>
            <w:tcBorders>
              <w:top w:val="single" w:sz="4" w:space="0" w:color="000000"/>
              <w:left w:val="single" w:sz="4" w:space="0" w:color="000000"/>
              <w:bottom w:val="single" w:sz="4" w:space="0" w:color="000000"/>
              <w:right w:val="single" w:sz="4" w:space="0" w:color="000000"/>
            </w:tcBorders>
            <w:hideMark/>
          </w:tcPr>
          <w:p w14:paraId="06B9EC4D" w14:textId="77777777" w:rsidR="006160D7" w:rsidRPr="00DD4E66" w:rsidRDefault="006160D7" w:rsidP="006160D7">
            <w:pPr>
              <w:autoSpaceDE w:val="0"/>
              <w:autoSpaceDN w:val="0"/>
              <w:adjustRightInd w:val="0"/>
              <w:rPr>
                <w:rFonts w:eastAsia="TimesNewRoman"/>
                <w:sz w:val="20"/>
                <w:lang w:val="lt-LT" w:eastAsia="en-US"/>
              </w:rPr>
            </w:pPr>
            <w:r w:rsidRPr="00DD4E66">
              <w:rPr>
                <w:rFonts w:eastAsia="TimesNewRoman"/>
                <w:sz w:val="20"/>
                <w:lang w:val="lt-LT" w:eastAsia="en-US"/>
              </w:rPr>
              <w:lastRenderedPageBreak/>
              <w:t>Bendras virusologinio atsako nepakankamumo atvejų skaičius</w:t>
            </w:r>
            <w:r w:rsidRPr="00DD4E66">
              <w:rPr>
                <w:rFonts w:eastAsia="TimesNewRoman"/>
                <w:sz w:val="20"/>
                <w:vertAlign w:val="superscript"/>
                <w:lang w:val="lt-LT" w:eastAsia="en-US"/>
              </w:rPr>
              <w:t>a</w:t>
            </w:r>
            <w:r w:rsidRPr="00DD4E66">
              <w:rPr>
                <w:rFonts w:eastAsia="TimesNewRoman"/>
                <w:sz w:val="20"/>
                <w:lang w:val="lt-LT" w:eastAsia="en-US"/>
              </w:rPr>
              <w:t>, n (%)</w:t>
            </w:r>
          </w:p>
          <w:p w14:paraId="25AB0A89" w14:textId="77777777" w:rsidR="0073095E" w:rsidRPr="00DD4E66" w:rsidRDefault="006160D7" w:rsidP="006160D7">
            <w:pPr>
              <w:autoSpaceDE w:val="0"/>
              <w:autoSpaceDN w:val="0"/>
              <w:adjustRightInd w:val="0"/>
              <w:rPr>
                <w:rFonts w:eastAsia="Times New Roman"/>
                <w:sz w:val="20"/>
                <w:lang w:val="lt-LT" w:eastAsia="en-US"/>
              </w:rPr>
            </w:pPr>
            <w:r w:rsidRPr="00DD4E66">
              <w:rPr>
                <w:rFonts w:eastAsia="Times New Roman"/>
                <w:sz w:val="20"/>
                <w:lang w:val="lt-LT" w:eastAsia="en-US"/>
              </w:rPr>
              <w:t xml:space="preserve"> </w:t>
            </w:r>
            <w:r w:rsidR="00A473B5" w:rsidRPr="00DD4E66">
              <w:rPr>
                <w:rFonts w:eastAsia="Times New Roman"/>
                <w:sz w:val="20"/>
                <w:lang w:val="lt-LT" w:eastAsia="en-US"/>
              </w:rPr>
              <w:t xml:space="preserve">  </w:t>
            </w:r>
            <w:r w:rsidRPr="00DD4E66">
              <w:rPr>
                <w:rFonts w:eastAsia="Times New Roman"/>
                <w:sz w:val="20"/>
                <w:lang w:val="lt-LT" w:eastAsia="en-US"/>
              </w:rPr>
              <w:t>Tiriamieji su atkryčiu</w:t>
            </w:r>
          </w:p>
          <w:p w14:paraId="2DBFE4F7" w14:textId="77777777" w:rsidR="0073095E" w:rsidRPr="00DD4E66" w:rsidRDefault="006160D7" w:rsidP="006160D7">
            <w:pPr>
              <w:tabs>
                <w:tab w:val="left" w:pos="567"/>
              </w:tabs>
              <w:ind w:right="362"/>
              <w:rPr>
                <w:rFonts w:eastAsia="Times New Roman"/>
                <w:sz w:val="20"/>
                <w:lang w:val="lt-LT" w:eastAsia="en-US"/>
              </w:rPr>
            </w:pPr>
            <w:r w:rsidRPr="00DD4E66">
              <w:rPr>
                <w:rFonts w:eastAsia="Times New Roman"/>
                <w:sz w:val="20"/>
                <w:lang w:val="lt-LT" w:eastAsia="en-US"/>
              </w:rPr>
              <w:t xml:space="preserve"> </w:t>
            </w:r>
            <w:r w:rsidR="00A473B5" w:rsidRPr="00DD4E66">
              <w:rPr>
                <w:rFonts w:eastAsia="Times New Roman"/>
                <w:sz w:val="20"/>
                <w:lang w:val="lt-LT" w:eastAsia="en-US"/>
              </w:rPr>
              <w:t xml:space="preserve">  </w:t>
            </w:r>
            <w:r w:rsidRPr="00DD4E66">
              <w:rPr>
                <w:rFonts w:eastAsia="Times New Roman"/>
                <w:sz w:val="20"/>
                <w:lang w:val="lt-LT" w:eastAsia="en-US"/>
              </w:rPr>
              <w:t>Tiriamieji, kuriems niekada nepasireiškė infekcijos slopinimas</w:t>
            </w:r>
          </w:p>
        </w:tc>
        <w:tc>
          <w:tcPr>
            <w:tcW w:w="1701" w:type="dxa"/>
            <w:tcBorders>
              <w:top w:val="single" w:sz="4" w:space="0" w:color="000000"/>
              <w:left w:val="single" w:sz="4" w:space="0" w:color="000000"/>
              <w:bottom w:val="single" w:sz="4" w:space="0" w:color="000000"/>
              <w:right w:val="single" w:sz="4" w:space="0" w:color="000000"/>
            </w:tcBorders>
          </w:tcPr>
          <w:p w14:paraId="35BF9E3D"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13266114"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42670AB7" w14:textId="77777777" w:rsidR="0073095E" w:rsidRPr="00DD4E66" w:rsidRDefault="0073095E" w:rsidP="00A473B5">
            <w:pPr>
              <w:tabs>
                <w:tab w:val="left" w:pos="567"/>
              </w:tabs>
              <w:spacing w:before="8"/>
              <w:ind w:left="102" w:right="-20"/>
              <w:jc w:val="center"/>
              <w:rPr>
                <w:rFonts w:eastAsia="Times New Roman"/>
                <w:sz w:val="20"/>
                <w:lang w:val="lt-LT" w:eastAsia="en-US"/>
              </w:rPr>
            </w:pPr>
            <w:r w:rsidRPr="00DD4E66">
              <w:rPr>
                <w:rFonts w:eastAsia="Times New Roman"/>
                <w:spacing w:val="1"/>
                <w:sz w:val="20"/>
                <w:lang w:val="lt-LT" w:eastAsia="en-US"/>
              </w:rPr>
              <w:t>5</w:t>
            </w:r>
            <w:r w:rsidR="006160D7" w:rsidRPr="00DD4E66">
              <w:rPr>
                <w:rFonts w:eastAsia="Times New Roman"/>
                <w:sz w:val="20"/>
                <w:lang w:val="lt-LT" w:eastAsia="en-US"/>
              </w:rPr>
              <w:t>5 (16,</w:t>
            </w:r>
            <w:r w:rsidRPr="00DD4E66">
              <w:rPr>
                <w:rFonts w:eastAsia="Times New Roman"/>
                <w:sz w:val="20"/>
                <w:lang w:val="lt-LT" w:eastAsia="en-US"/>
              </w:rPr>
              <w:t>0%)</w:t>
            </w:r>
          </w:p>
          <w:p w14:paraId="0612EF24"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3</w:t>
            </w:r>
            <w:r w:rsidR="006160D7" w:rsidRPr="00DD4E66">
              <w:rPr>
                <w:rFonts w:eastAsia="Times New Roman"/>
                <w:sz w:val="20"/>
                <w:lang w:val="lt-LT" w:eastAsia="en-US"/>
              </w:rPr>
              <w:t>9 (11,</w:t>
            </w:r>
            <w:r w:rsidRPr="00DD4E66">
              <w:rPr>
                <w:rFonts w:eastAsia="Times New Roman"/>
                <w:sz w:val="20"/>
                <w:lang w:val="lt-LT" w:eastAsia="en-US"/>
              </w:rPr>
              <w:t>4%)</w:t>
            </w:r>
          </w:p>
          <w:p w14:paraId="1F6CF7B2" w14:textId="77777777" w:rsidR="006160D7" w:rsidRPr="00DD4E66" w:rsidRDefault="006160D7" w:rsidP="00A473B5">
            <w:pPr>
              <w:tabs>
                <w:tab w:val="left" w:pos="567"/>
              </w:tabs>
              <w:ind w:left="102" w:right="-20"/>
              <w:jc w:val="center"/>
              <w:rPr>
                <w:rFonts w:eastAsia="Times New Roman"/>
                <w:spacing w:val="1"/>
                <w:sz w:val="20"/>
                <w:lang w:val="lt-LT" w:eastAsia="en-US"/>
              </w:rPr>
            </w:pPr>
          </w:p>
          <w:p w14:paraId="3267234F" w14:textId="77777777" w:rsidR="006160D7" w:rsidRPr="00DD4E66" w:rsidRDefault="006160D7" w:rsidP="00A473B5">
            <w:pPr>
              <w:tabs>
                <w:tab w:val="left" w:pos="567"/>
              </w:tabs>
              <w:ind w:left="102" w:right="-20"/>
              <w:jc w:val="center"/>
              <w:rPr>
                <w:rFonts w:eastAsia="Times New Roman"/>
                <w:spacing w:val="1"/>
                <w:sz w:val="20"/>
                <w:lang w:val="lt-LT" w:eastAsia="en-US"/>
              </w:rPr>
            </w:pPr>
          </w:p>
          <w:p w14:paraId="39C257A7"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1</w:t>
            </w:r>
            <w:r w:rsidR="006160D7" w:rsidRPr="00DD4E66">
              <w:rPr>
                <w:rFonts w:eastAsia="Times New Roman"/>
                <w:sz w:val="20"/>
                <w:lang w:val="lt-LT" w:eastAsia="en-US"/>
              </w:rPr>
              <w:t>6 (4,</w:t>
            </w:r>
            <w:r w:rsidRPr="00DD4E66">
              <w:rPr>
                <w:rFonts w:eastAsia="Times New Roman"/>
                <w:sz w:val="20"/>
                <w:lang w:val="lt-LT" w:eastAsia="en-US"/>
              </w:rPr>
              <w:t>7%)</w:t>
            </w:r>
          </w:p>
        </w:tc>
        <w:tc>
          <w:tcPr>
            <w:tcW w:w="1703" w:type="dxa"/>
            <w:tcBorders>
              <w:top w:val="single" w:sz="4" w:space="0" w:color="000000"/>
              <w:left w:val="single" w:sz="4" w:space="0" w:color="000000"/>
              <w:bottom w:val="single" w:sz="4" w:space="0" w:color="000000"/>
              <w:right w:val="single" w:sz="4" w:space="0" w:color="000000"/>
            </w:tcBorders>
          </w:tcPr>
          <w:p w14:paraId="6FA98638"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558F0967"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6B68A662" w14:textId="77777777" w:rsidR="0073095E" w:rsidRPr="00DD4E66" w:rsidRDefault="0073095E" w:rsidP="00A473B5">
            <w:pPr>
              <w:tabs>
                <w:tab w:val="left" w:pos="567"/>
              </w:tabs>
              <w:spacing w:before="8"/>
              <w:ind w:left="102" w:right="-20"/>
              <w:jc w:val="center"/>
              <w:rPr>
                <w:rFonts w:eastAsia="Times New Roman"/>
                <w:sz w:val="20"/>
                <w:lang w:val="lt-LT" w:eastAsia="en-US"/>
              </w:rPr>
            </w:pPr>
            <w:r w:rsidRPr="00DD4E66">
              <w:rPr>
                <w:rFonts w:eastAsia="Times New Roman"/>
                <w:spacing w:val="1"/>
                <w:sz w:val="20"/>
                <w:lang w:val="lt-LT" w:eastAsia="en-US"/>
              </w:rPr>
              <w:t>6</w:t>
            </w:r>
            <w:r w:rsidRPr="00DD4E66">
              <w:rPr>
                <w:rFonts w:eastAsia="Times New Roman"/>
                <w:sz w:val="20"/>
                <w:lang w:val="lt-LT" w:eastAsia="en-US"/>
              </w:rPr>
              <w:t>5 (22</w:t>
            </w:r>
            <w:r w:rsidR="006160D7" w:rsidRPr="00DD4E66">
              <w:rPr>
                <w:rFonts w:eastAsia="Times New Roman"/>
                <w:sz w:val="20"/>
                <w:lang w:val="lt-LT" w:eastAsia="en-US"/>
              </w:rPr>
              <w:t>,</w:t>
            </w:r>
            <w:r w:rsidRPr="00DD4E66">
              <w:rPr>
                <w:rFonts w:eastAsia="Times New Roman"/>
                <w:sz w:val="20"/>
                <w:lang w:val="lt-LT" w:eastAsia="en-US"/>
              </w:rPr>
              <w:t>1%)</w:t>
            </w:r>
          </w:p>
          <w:p w14:paraId="28C3E202" w14:textId="77777777" w:rsidR="0073095E" w:rsidRPr="00DD4E66" w:rsidRDefault="0073095E" w:rsidP="00A473B5">
            <w:pPr>
              <w:tabs>
                <w:tab w:val="left" w:pos="567"/>
              </w:tabs>
              <w:spacing w:before="8" w:line="220" w:lineRule="exact"/>
              <w:jc w:val="center"/>
              <w:rPr>
                <w:rFonts w:eastAsia="Times New Roman"/>
                <w:sz w:val="20"/>
                <w:lang w:val="lt-LT" w:eastAsia="en-US"/>
              </w:rPr>
            </w:pPr>
          </w:p>
          <w:p w14:paraId="7DC2297C"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1</w:t>
            </w:r>
            <w:r w:rsidR="006160D7" w:rsidRPr="00DD4E66">
              <w:rPr>
                <w:rFonts w:eastAsia="Times New Roman"/>
                <w:sz w:val="20"/>
                <w:lang w:val="lt-LT" w:eastAsia="en-US"/>
              </w:rPr>
              <w:t>1 (3,</w:t>
            </w:r>
            <w:r w:rsidRPr="00DD4E66">
              <w:rPr>
                <w:rFonts w:eastAsia="Times New Roman"/>
                <w:sz w:val="20"/>
                <w:lang w:val="lt-LT" w:eastAsia="en-US"/>
              </w:rPr>
              <w:t>7%)</w:t>
            </w:r>
          </w:p>
          <w:p w14:paraId="1CBE742F" w14:textId="77777777" w:rsidR="006160D7" w:rsidRPr="00DD4E66" w:rsidRDefault="006160D7" w:rsidP="00A473B5">
            <w:pPr>
              <w:tabs>
                <w:tab w:val="left" w:pos="567"/>
              </w:tabs>
              <w:ind w:left="102" w:right="-20"/>
              <w:jc w:val="center"/>
              <w:rPr>
                <w:rFonts w:eastAsia="Times New Roman"/>
                <w:spacing w:val="1"/>
                <w:sz w:val="20"/>
                <w:lang w:val="lt-LT" w:eastAsia="en-US"/>
              </w:rPr>
            </w:pPr>
          </w:p>
          <w:p w14:paraId="517BE58C"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5</w:t>
            </w:r>
            <w:r w:rsidR="006160D7" w:rsidRPr="00DD4E66">
              <w:rPr>
                <w:rFonts w:eastAsia="Times New Roman"/>
                <w:sz w:val="20"/>
                <w:lang w:val="lt-LT" w:eastAsia="en-US"/>
              </w:rPr>
              <w:t>4 (18,</w:t>
            </w:r>
            <w:r w:rsidRPr="00DD4E66">
              <w:rPr>
                <w:rFonts w:eastAsia="Times New Roman"/>
                <w:sz w:val="20"/>
                <w:lang w:val="lt-LT" w:eastAsia="en-US"/>
              </w:rPr>
              <w:t>4%)</w:t>
            </w:r>
          </w:p>
        </w:tc>
        <w:tc>
          <w:tcPr>
            <w:tcW w:w="1707" w:type="dxa"/>
            <w:tcBorders>
              <w:top w:val="single" w:sz="4" w:space="0" w:color="000000"/>
              <w:left w:val="single" w:sz="4" w:space="0" w:color="000000"/>
              <w:bottom w:val="single" w:sz="4" w:space="0" w:color="000000"/>
              <w:right w:val="single" w:sz="4" w:space="0" w:color="000000"/>
            </w:tcBorders>
          </w:tcPr>
          <w:p w14:paraId="192207B9"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498F1235"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10BA5878" w14:textId="77777777" w:rsidR="0073095E" w:rsidRPr="00DD4E66" w:rsidRDefault="0073095E" w:rsidP="00A473B5">
            <w:pPr>
              <w:tabs>
                <w:tab w:val="left" w:pos="567"/>
              </w:tabs>
              <w:spacing w:before="8"/>
              <w:ind w:left="102" w:right="-20"/>
              <w:jc w:val="center"/>
              <w:rPr>
                <w:rFonts w:eastAsia="Times New Roman"/>
                <w:sz w:val="20"/>
                <w:lang w:val="lt-LT" w:eastAsia="en-US"/>
              </w:rPr>
            </w:pPr>
            <w:r w:rsidRPr="00DD4E66">
              <w:rPr>
                <w:rFonts w:eastAsia="Times New Roman"/>
                <w:spacing w:val="1"/>
                <w:sz w:val="20"/>
                <w:lang w:val="lt-LT" w:eastAsia="en-US"/>
              </w:rPr>
              <w:t>5</w:t>
            </w:r>
            <w:r w:rsidR="006160D7" w:rsidRPr="00DD4E66">
              <w:rPr>
                <w:rFonts w:eastAsia="Times New Roman"/>
                <w:sz w:val="20"/>
                <w:lang w:val="lt-LT" w:eastAsia="en-US"/>
              </w:rPr>
              <w:t>4 (18,</w:t>
            </w:r>
            <w:r w:rsidRPr="00DD4E66">
              <w:rPr>
                <w:rFonts w:eastAsia="Times New Roman"/>
                <w:sz w:val="20"/>
                <w:lang w:val="lt-LT" w:eastAsia="en-US"/>
              </w:rPr>
              <w:t>2%)</w:t>
            </w:r>
          </w:p>
          <w:p w14:paraId="57E0A592" w14:textId="77777777" w:rsidR="0073095E" w:rsidRPr="00DD4E66" w:rsidRDefault="0073095E" w:rsidP="00A473B5">
            <w:pPr>
              <w:tabs>
                <w:tab w:val="left" w:pos="567"/>
              </w:tabs>
              <w:spacing w:before="8" w:line="220" w:lineRule="exact"/>
              <w:jc w:val="center"/>
              <w:rPr>
                <w:rFonts w:eastAsia="Times New Roman"/>
                <w:sz w:val="20"/>
                <w:lang w:val="lt-LT" w:eastAsia="en-US"/>
              </w:rPr>
            </w:pPr>
          </w:p>
          <w:p w14:paraId="603CB1CC"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1</w:t>
            </w:r>
            <w:r w:rsidR="006160D7" w:rsidRPr="00DD4E66">
              <w:rPr>
                <w:rFonts w:eastAsia="Times New Roman"/>
                <w:sz w:val="20"/>
                <w:lang w:val="lt-LT" w:eastAsia="en-US"/>
              </w:rPr>
              <w:t>1 (3,</w:t>
            </w:r>
            <w:r w:rsidRPr="00DD4E66">
              <w:rPr>
                <w:rFonts w:eastAsia="Times New Roman"/>
                <w:sz w:val="20"/>
                <w:lang w:val="lt-LT" w:eastAsia="en-US"/>
              </w:rPr>
              <w:t>7%)</w:t>
            </w:r>
          </w:p>
          <w:p w14:paraId="137DBE32" w14:textId="77777777" w:rsidR="006160D7" w:rsidRPr="00DD4E66" w:rsidRDefault="006160D7" w:rsidP="00A473B5">
            <w:pPr>
              <w:tabs>
                <w:tab w:val="left" w:pos="567"/>
              </w:tabs>
              <w:ind w:left="102" w:right="-20"/>
              <w:jc w:val="center"/>
              <w:rPr>
                <w:rFonts w:eastAsia="Times New Roman"/>
                <w:spacing w:val="1"/>
                <w:sz w:val="20"/>
                <w:lang w:val="lt-LT" w:eastAsia="en-US"/>
              </w:rPr>
            </w:pPr>
          </w:p>
          <w:p w14:paraId="59F64AE5"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4</w:t>
            </w:r>
            <w:r w:rsidR="006160D7" w:rsidRPr="00DD4E66">
              <w:rPr>
                <w:rFonts w:eastAsia="Times New Roman"/>
                <w:sz w:val="20"/>
                <w:lang w:val="lt-LT" w:eastAsia="en-US"/>
              </w:rPr>
              <w:t>3 (14,</w:t>
            </w:r>
            <w:r w:rsidRPr="00DD4E66">
              <w:rPr>
                <w:rFonts w:eastAsia="Times New Roman"/>
                <w:sz w:val="20"/>
                <w:lang w:val="lt-LT" w:eastAsia="en-US"/>
              </w:rPr>
              <w:t>5%)</w:t>
            </w:r>
          </w:p>
        </w:tc>
        <w:tc>
          <w:tcPr>
            <w:tcW w:w="1855" w:type="dxa"/>
            <w:tcBorders>
              <w:top w:val="single" w:sz="4" w:space="0" w:color="000000"/>
              <w:left w:val="single" w:sz="4" w:space="0" w:color="000000"/>
              <w:bottom w:val="single" w:sz="4" w:space="0" w:color="000000"/>
              <w:right w:val="single" w:sz="4" w:space="0" w:color="000000"/>
            </w:tcBorders>
          </w:tcPr>
          <w:p w14:paraId="58A41F03"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2B469E8B" w14:textId="77777777" w:rsidR="006160D7" w:rsidRPr="00DD4E66" w:rsidRDefault="006160D7" w:rsidP="00A473B5">
            <w:pPr>
              <w:tabs>
                <w:tab w:val="left" w:pos="567"/>
              </w:tabs>
              <w:spacing w:before="8"/>
              <w:ind w:left="102" w:right="-20"/>
              <w:jc w:val="center"/>
              <w:rPr>
                <w:rFonts w:eastAsia="Times New Roman"/>
                <w:spacing w:val="1"/>
                <w:sz w:val="20"/>
                <w:lang w:val="lt-LT" w:eastAsia="en-US"/>
              </w:rPr>
            </w:pPr>
          </w:p>
          <w:p w14:paraId="4F3CF5EA" w14:textId="77777777" w:rsidR="0073095E" w:rsidRPr="00DD4E66" w:rsidRDefault="0073095E" w:rsidP="00A473B5">
            <w:pPr>
              <w:tabs>
                <w:tab w:val="left" w:pos="567"/>
              </w:tabs>
              <w:spacing w:before="8"/>
              <w:ind w:left="102" w:right="-20"/>
              <w:jc w:val="center"/>
              <w:rPr>
                <w:rFonts w:eastAsia="Times New Roman"/>
                <w:sz w:val="20"/>
                <w:lang w:val="lt-LT" w:eastAsia="en-US"/>
              </w:rPr>
            </w:pPr>
            <w:r w:rsidRPr="00DD4E66">
              <w:rPr>
                <w:rFonts w:eastAsia="Times New Roman"/>
                <w:spacing w:val="1"/>
                <w:sz w:val="20"/>
                <w:lang w:val="lt-LT" w:eastAsia="en-US"/>
              </w:rPr>
              <w:t>3</w:t>
            </w:r>
            <w:r w:rsidR="006160D7" w:rsidRPr="00DD4E66">
              <w:rPr>
                <w:rFonts w:eastAsia="Times New Roman"/>
                <w:sz w:val="20"/>
                <w:lang w:val="lt-LT" w:eastAsia="en-US"/>
              </w:rPr>
              <w:t>1 (10,</w:t>
            </w:r>
            <w:r w:rsidRPr="00DD4E66">
              <w:rPr>
                <w:rFonts w:eastAsia="Times New Roman"/>
                <w:sz w:val="20"/>
                <w:lang w:val="lt-LT" w:eastAsia="en-US"/>
              </w:rPr>
              <w:t>4%)</w:t>
            </w:r>
          </w:p>
          <w:p w14:paraId="70B2ED6B" w14:textId="77777777" w:rsidR="0073095E" w:rsidRPr="00DD4E66" w:rsidRDefault="0073095E" w:rsidP="00A473B5">
            <w:pPr>
              <w:tabs>
                <w:tab w:val="left" w:pos="567"/>
              </w:tabs>
              <w:spacing w:before="8" w:line="220" w:lineRule="exact"/>
              <w:jc w:val="center"/>
              <w:rPr>
                <w:rFonts w:eastAsia="Times New Roman"/>
                <w:sz w:val="20"/>
                <w:lang w:val="lt-LT" w:eastAsia="en-US"/>
              </w:rPr>
            </w:pPr>
          </w:p>
          <w:p w14:paraId="1B4B12CA"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1</w:t>
            </w:r>
            <w:r w:rsidR="006160D7" w:rsidRPr="00DD4E66">
              <w:rPr>
                <w:rFonts w:eastAsia="Times New Roman"/>
                <w:sz w:val="20"/>
                <w:lang w:val="lt-LT" w:eastAsia="en-US"/>
              </w:rPr>
              <w:t>6 (5,</w:t>
            </w:r>
            <w:r w:rsidRPr="00DD4E66">
              <w:rPr>
                <w:rFonts w:eastAsia="Times New Roman"/>
                <w:sz w:val="20"/>
                <w:lang w:val="lt-LT" w:eastAsia="en-US"/>
              </w:rPr>
              <w:t>4%)</w:t>
            </w:r>
          </w:p>
          <w:p w14:paraId="2A1C9F09" w14:textId="77777777" w:rsidR="006160D7" w:rsidRPr="00DD4E66" w:rsidRDefault="006160D7" w:rsidP="00A473B5">
            <w:pPr>
              <w:tabs>
                <w:tab w:val="left" w:pos="567"/>
              </w:tabs>
              <w:ind w:left="102" w:right="-20"/>
              <w:jc w:val="center"/>
              <w:rPr>
                <w:rFonts w:eastAsia="Times New Roman"/>
                <w:spacing w:val="1"/>
                <w:sz w:val="20"/>
                <w:lang w:val="lt-LT" w:eastAsia="en-US"/>
              </w:rPr>
            </w:pPr>
          </w:p>
          <w:p w14:paraId="270DD2F8" w14:textId="77777777" w:rsidR="0073095E" w:rsidRPr="00DD4E66" w:rsidRDefault="0073095E" w:rsidP="00A473B5">
            <w:pPr>
              <w:tabs>
                <w:tab w:val="left" w:pos="567"/>
              </w:tabs>
              <w:ind w:left="102" w:right="-20"/>
              <w:jc w:val="center"/>
              <w:rPr>
                <w:rFonts w:eastAsia="Times New Roman"/>
                <w:sz w:val="20"/>
                <w:lang w:val="lt-LT" w:eastAsia="en-US"/>
              </w:rPr>
            </w:pPr>
            <w:r w:rsidRPr="00DD4E66">
              <w:rPr>
                <w:rFonts w:eastAsia="Times New Roman"/>
                <w:spacing w:val="1"/>
                <w:sz w:val="20"/>
                <w:lang w:val="lt-LT" w:eastAsia="en-US"/>
              </w:rPr>
              <w:t>1</w:t>
            </w:r>
            <w:r w:rsidR="006160D7" w:rsidRPr="00DD4E66">
              <w:rPr>
                <w:rFonts w:eastAsia="Times New Roman"/>
                <w:sz w:val="20"/>
                <w:lang w:val="lt-LT" w:eastAsia="en-US"/>
              </w:rPr>
              <w:t>5 (5,</w:t>
            </w:r>
            <w:r w:rsidRPr="00DD4E66">
              <w:rPr>
                <w:rFonts w:eastAsia="Times New Roman"/>
                <w:sz w:val="20"/>
                <w:lang w:val="lt-LT" w:eastAsia="en-US"/>
              </w:rPr>
              <w:t>0%)</w:t>
            </w:r>
          </w:p>
        </w:tc>
      </w:tr>
      <w:tr w:rsidR="0073095E" w:rsidRPr="00DD4E66" w14:paraId="1FFDFB0D" w14:textId="77777777" w:rsidTr="0073095E">
        <w:trPr>
          <w:trHeight w:val="470"/>
        </w:trPr>
        <w:tc>
          <w:tcPr>
            <w:tcW w:w="9277" w:type="dxa"/>
            <w:gridSpan w:val="6"/>
            <w:tcBorders>
              <w:top w:val="single" w:sz="4" w:space="0" w:color="000000"/>
              <w:left w:val="single" w:sz="4" w:space="0" w:color="000000"/>
              <w:bottom w:val="single" w:sz="4" w:space="0" w:color="000000"/>
              <w:right w:val="single" w:sz="4" w:space="0" w:color="000000"/>
            </w:tcBorders>
            <w:hideMark/>
          </w:tcPr>
          <w:p w14:paraId="72617622" w14:textId="77777777" w:rsidR="0073095E" w:rsidRPr="00DD4E66" w:rsidRDefault="00F36A3B" w:rsidP="00F36A3B">
            <w:pPr>
              <w:autoSpaceDE w:val="0"/>
              <w:autoSpaceDN w:val="0"/>
              <w:adjustRightInd w:val="0"/>
              <w:rPr>
                <w:rFonts w:eastAsia="Times New Roman"/>
                <w:sz w:val="20"/>
                <w:lang w:val="lt-LT" w:eastAsia="en-US"/>
              </w:rPr>
            </w:pPr>
            <w:r w:rsidRPr="00DD4E66">
              <w:rPr>
                <w:rFonts w:eastAsia="TimesNewRoman"/>
                <w:sz w:val="20"/>
                <w:lang w:val="lt-LT" w:eastAsia="en-US"/>
              </w:rPr>
              <w:t>Tiriamieji, kuriems pasireiškė virusologinio atsako nepakankamumas, ir suporuoti pradinis/vertinamosios baigties genotipai, kuriems atsirado mutacijos</w:t>
            </w:r>
            <w:r w:rsidRPr="00DD4E66">
              <w:rPr>
                <w:rFonts w:eastAsia="TimesNewRoman"/>
                <w:sz w:val="20"/>
                <w:vertAlign w:val="superscript"/>
                <w:lang w:val="lt-LT" w:eastAsia="en-US"/>
              </w:rPr>
              <w:t>b</w:t>
            </w:r>
            <w:r w:rsidRPr="00DD4E66">
              <w:rPr>
                <w:rFonts w:eastAsia="TimesNewRoman"/>
                <w:sz w:val="20"/>
                <w:lang w:val="lt-LT" w:eastAsia="en-US"/>
              </w:rPr>
              <w:t>, n/N</w:t>
            </w:r>
          </w:p>
        </w:tc>
      </w:tr>
      <w:tr w:rsidR="0073095E" w:rsidRPr="00DD4E66" w14:paraId="7E675D77" w14:textId="77777777" w:rsidTr="006160D7">
        <w:trPr>
          <w:trHeight w:hRule="exact" w:val="698"/>
        </w:trPr>
        <w:tc>
          <w:tcPr>
            <w:tcW w:w="2230" w:type="dxa"/>
            <w:tcBorders>
              <w:top w:val="single" w:sz="4" w:space="0" w:color="000000"/>
              <w:left w:val="single" w:sz="4" w:space="0" w:color="000000"/>
              <w:bottom w:val="single" w:sz="4" w:space="0" w:color="000000"/>
              <w:right w:val="single" w:sz="4" w:space="0" w:color="000000"/>
            </w:tcBorders>
            <w:hideMark/>
          </w:tcPr>
          <w:p w14:paraId="6D94EF92" w14:textId="77777777" w:rsidR="00F36A3B" w:rsidRPr="00DD4E66" w:rsidRDefault="00F36A3B" w:rsidP="00F36A3B">
            <w:pPr>
              <w:autoSpaceDE w:val="0"/>
              <w:autoSpaceDN w:val="0"/>
              <w:adjustRightInd w:val="0"/>
              <w:rPr>
                <w:rFonts w:eastAsia="TimesNewRoman"/>
                <w:sz w:val="20"/>
                <w:lang w:val="lt-LT" w:eastAsia="en-US"/>
              </w:rPr>
            </w:pPr>
            <w:r w:rsidRPr="00DD4E66">
              <w:rPr>
                <w:rFonts w:eastAsia="TimesNewRoman"/>
                <w:sz w:val="20"/>
                <w:lang w:val="lt-LT" w:eastAsia="en-US"/>
              </w:rPr>
              <w:t>Pirminės (pagrindinės) PI mutacijos</w:t>
            </w:r>
          </w:p>
          <w:p w14:paraId="05B7A9AE" w14:textId="77777777" w:rsidR="0073095E" w:rsidRPr="00DD4E66" w:rsidRDefault="0073095E" w:rsidP="00F36A3B">
            <w:pPr>
              <w:tabs>
                <w:tab w:val="left" w:pos="567"/>
              </w:tabs>
              <w:ind w:right="-20"/>
              <w:rPr>
                <w:rFonts w:eastAsia="Times New Roman"/>
                <w:sz w:val="20"/>
                <w:lang w:val="lt-LT" w:eastAsia="en-US"/>
              </w:rPr>
            </w:pPr>
            <w:r w:rsidRPr="00DD4E66">
              <w:rPr>
                <w:rFonts w:eastAsia="Times New Roman"/>
                <w:sz w:val="20"/>
                <w:lang w:val="lt-LT" w:eastAsia="en-US"/>
              </w:rPr>
              <w:t>PI</w:t>
            </w:r>
            <w:r w:rsidRPr="00DD4E66">
              <w:rPr>
                <w:rFonts w:eastAsia="Times New Roman"/>
                <w:spacing w:val="-2"/>
                <w:sz w:val="20"/>
                <w:lang w:val="lt-LT" w:eastAsia="en-US"/>
              </w:rPr>
              <w:t xml:space="preserve"> </w:t>
            </w:r>
            <w:r w:rsidRPr="00DD4E66">
              <w:rPr>
                <w:rFonts w:eastAsia="Times New Roman"/>
                <w:sz w:val="20"/>
                <w:lang w:val="lt-LT" w:eastAsia="en-US"/>
              </w:rPr>
              <w:t>A</w:t>
            </w:r>
            <w:r w:rsidR="00F36A3B" w:rsidRPr="00DD4E66">
              <w:rPr>
                <w:rFonts w:eastAsia="Times New Roman"/>
                <w:sz w:val="20"/>
                <w:lang w:val="lt-LT" w:eastAsia="en-US"/>
              </w:rPr>
              <w:t>S</w:t>
            </w:r>
            <w:r w:rsidRPr="00DD4E66">
              <w:rPr>
                <w:rFonts w:eastAsia="Times New Roman"/>
                <w:sz w:val="20"/>
                <w:lang w:val="lt-LT" w:eastAsia="en-US"/>
              </w:rPr>
              <w:t>M</w:t>
            </w:r>
          </w:p>
        </w:tc>
        <w:tc>
          <w:tcPr>
            <w:tcW w:w="1782" w:type="dxa"/>
            <w:gridSpan w:val="2"/>
            <w:tcBorders>
              <w:top w:val="single" w:sz="4" w:space="0" w:color="000000"/>
              <w:left w:val="single" w:sz="4" w:space="0" w:color="000000"/>
              <w:bottom w:val="single" w:sz="4" w:space="0" w:color="000000"/>
              <w:right w:val="single" w:sz="4" w:space="0" w:color="000000"/>
            </w:tcBorders>
          </w:tcPr>
          <w:p w14:paraId="71F53294" w14:textId="77777777" w:rsidR="00F36A3B" w:rsidRPr="00DD4E66" w:rsidRDefault="00F36A3B" w:rsidP="0073095E">
            <w:pPr>
              <w:tabs>
                <w:tab w:val="left" w:pos="567"/>
              </w:tabs>
              <w:spacing w:before="8"/>
              <w:ind w:left="102" w:right="-20"/>
              <w:rPr>
                <w:rFonts w:eastAsia="Times New Roman"/>
                <w:spacing w:val="1"/>
                <w:sz w:val="20"/>
                <w:lang w:val="lt-LT" w:eastAsia="en-US"/>
              </w:rPr>
            </w:pPr>
          </w:p>
          <w:p w14:paraId="66A244B6" w14:textId="77777777" w:rsidR="0073095E" w:rsidRPr="00DD4E66" w:rsidRDefault="0073095E" w:rsidP="0073095E">
            <w:pPr>
              <w:tabs>
                <w:tab w:val="left" w:pos="567"/>
              </w:tabs>
              <w:spacing w:before="8"/>
              <w:ind w:left="102" w:right="-20"/>
              <w:rPr>
                <w:rFonts w:eastAsia="Times New Roman"/>
                <w:sz w:val="20"/>
                <w:lang w:val="lt-LT" w:eastAsia="en-US"/>
              </w:rPr>
            </w:pPr>
            <w:r w:rsidRPr="00DD4E66">
              <w:rPr>
                <w:rFonts w:eastAsia="Times New Roman"/>
                <w:spacing w:val="1"/>
                <w:sz w:val="20"/>
                <w:lang w:val="lt-LT" w:eastAsia="en-US"/>
              </w:rPr>
              <w:t>0/43</w:t>
            </w:r>
          </w:p>
          <w:p w14:paraId="7A32D826"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4/43</w:t>
            </w:r>
          </w:p>
        </w:tc>
        <w:tc>
          <w:tcPr>
            <w:tcW w:w="1703" w:type="dxa"/>
            <w:tcBorders>
              <w:top w:val="single" w:sz="4" w:space="0" w:color="000000"/>
              <w:left w:val="single" w:sz="4" w:space="0" w:color="000000"/>
              <w:bottom w:val="single" w:sz="4" w:space="0" w:color="000000"/>
              <w:right w:val="single" w:sz="4" w:space="0" w:color="000000"/>
            </w:tcBorders>
          </w:tcPr>
          <w:p w14:paraId="0B9B2870" w14:textId="77777777" w:rsidR="00F36A3B" w:rsidRPr="00DD4E66" w:rsidRDefault="00F36A3B" w:rsidP="0073095E">
            <w:pPr>
              <w:tabs>
                <w:tab w:val="left" w:pos="567"/>
              </w:tabs>
              <w:spacing w:before="8"/>
              <w:ind w:left="102" w:right="-20"/>
              <w:rPr>
                <w:rFonts w:eastAsia="Times New Roman"/>
                <w:spacing w:val="1"/>
                <w:sz w:val="20"/>
                <w:lang w:val="lt-LT" w:eastAsia="en-US"/>
              </w:rPr>
            </w:pPr>
          </w:p>
          <w:p w14:paraId="5A6B0343" w14:textId="77777777" w:rsidR="0073095E" w:rsidRPr="00DD4E66" w:rsidRDefault="0073095E" w:rsidP="0073095E">
            <w:pPr>
              <w:tabs>
                <w:tab w:val="left" w:pos="567"/>
              </w:tabs>
              <w:spacing w:before="8"/>
              <w:ind w:left="102" w:right="-20"/>
              <w:rPr>
                <w:rFonts w:eastAsia="Times New Roman"/>
                <w:sz w:val="20"/>
                <w:lang w:val="lt-LT" w:eastAsia="en-US"/>
              </w:rPr>
            </w:pPr>
            <w:r w:rsidRPr="00DD4E66">
              <w:rPr>
                <w:rFonts w:eastAsia="Times New Roman"/>
                <w:spacing w:val="1"/>
                <w:sz w:val="20"/>
                <w:lang w:val="lt-LT" w:eastAsia="en-US"/>
              </w:rPr>
              <w:t>1/60</w:t>
            </w:r>
          </w:p>
          <w:p w14:paraId="5669127B"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7/60</w:t>
            </w:r>
          </w:p>
        </w:tc>
        <w:tc>
          <w:tcPr>
            <w:tcW w:w="1707" w:type="dxa"/>
            <w:tcBorders>
              <w:top w:val="single" w:sz="4" w:space="0" w:color="000000"/>
              <w:left w:val="single" w:sz="4" w:space="0" w:color="000000"/>
              <w:bottom w:val="single" w:sz="4" w:space="0" w:color="000000"/>
              <w:right w:val="single" w:sz="4" w:space="0" w:color="000000"/>
            </w:tcBorders>
          </w:tcPr>
          <w:p w14:paraId="17F6DD2A" w14:textId="77777777" w:rsidR="00F36A3B" w:rsidRPr="00DD4E66" w:rsidRDefault="00F36A3B" w:rsidP="0073095E">
            <w:pPr>
              <w:tabs>
                <w:tab w:val="left" w:pos="567"/>
              </w:tabs>
              <w:spacing w:before="8"/>
              <w:ind w:left="102" w:right="-20"/>
              <w:rPr>
                <w:rFonts w:eastAsia="Times New Roman"/>
                <w:spacing w:val="1"/>
                <w:sz w:val="20"/>
                <w:lang w:val="lt-LT" w:eastAsia="en-US"/>
              </w:rPr>
            </w:pPr>
          </w:p>
          <w:p w14:paraId="748F5DFC" w14:textId="77777777" w:rsidR="0073095E" w:rsidRPr="00DD4E66" w:rsidRDefault="0073095E" w:rsidP="0073095E">
            <w:pPr>
              <w:tabs>
                <w:tab w:val="left" w:pos="567"/>
              </w:tabs>
              <w:spacing w:before="8"/>
              <w:ind w:left="102" w:right="-20"/>
              <w:rPr>
                <w:rFonts w:eastAsia="Times New Roman"/>
                <w:sz w:val="20"/>
                <w:lang w:val="lt-LT" w:eastAsia="en-US"/>
              </w:rPr>
            </w:pPr>
            <w:r w:rsidRPr="00DD4E66">
              <w:rPr>
                <w:rFonts w:eastAsia="Times New Roman"/>
                <w:spacing w:val="1"/>
                <w:sz w:val="20"/>
                <w:lang w:val="lt-LT" w:eastAsia="en-US"/>
              </w:rPr>
              <w:t>0/42</w:t>
            </w:r>
          </w:p>
          <w:p w14:paraId="3B15828F"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4/42</w:t>
            </w:r>
          </w:p>
        </w:tc>
        <w:tc>
          <w:tcPr>
            <w:tcW w:w="1855" w:type="dxa"/>
            <w:tcBorders>
              <w:top w:val="single" w:sz="4" w:space="0" w:color="000000"/>
              <w:left w:val="single" w:sz="4" w:space="0" w:color="000000"/>
              <w:bottom w:val="single" w:sz="4" w:space="0" w:color="000000"/>
              <w:right w:val="single" w:sz="4" w:space="0" w:color="000000"/>
            </w:tcBorders>
          </w:tcPr>
          <w:p w14:paraId="433E8516" w14:textId="77777777" w:rsidR="00F36A3B" w:rsidRPr="00DD4E66" w:rsidRDefault="00F36A3B" w:rsidP="0073095E">
            <w:pPr>
              <w:tabs>
                <w:tab w:val="left" w:pos="567"/>
              </w:tabs>
              <w:spacing w:before="8"/>
              <w:ind w:left="102" w:right="-20"/>
              <w:rPr>
                <w:rFonts w:eastAsia="Times New Roman"/>
                <w:spacing w:val="1"/>
                <w:sz w:val="20"/>
                <w:lang w:val="lt-LT" w:eastAsia="en-US"/>
              </w:rPr>
            </w:pPr>
          </w:p>
          <w:p w14:paraId="50846E5D" w14:textId="77777777" w:rsidR="0073095E" w:rsidRPr="00DD4E66" w:rsidRDefault="0073095E" w:rsidP="0073095E">
            <w:pPr>
              <w:tabs>
                <w:tab w:val="left" w:pos="567"/>
              </w:tabs>
              <w:spacing w:before="8"/>
              <w:ind w:left="102" w:right="-20"/>
              <w:rPr>
                <w:rFonts w:eastAsia="Times New Roman"/>
                <w:sz w:val="20"/>
                <w:lang w:val="lt-LT" w:eastAsia="en-US"/>
              </w:rPr>
            </w:pPr>
            <w:r w:rsidRPr="00DD4E66">
              <w:rPr>
                <w:rFonts w:eastAsia="Times New Roman"/>
                <w:spacing w:val="1"/>
                <w:sz w:val="20"/>
                <w:lang w:val="lt-LT" w:eastAsia="en-US"/>
              </w:rPr>
              <w:t>6/28</w:t>
            </w:r>
          </w:p>
          <w:p w14:paraId="038AC9AB"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10/28</w:t>
            </w:r>
          </w:p>
        </w:tc>
      </w:tr>
      <w:tr w:rsidR="0073095E" w:rsidRPr="00DD4E66" w14:paraId="7869F4F8" w14:textId="77777777" w:rsidTr="0073095E">
        <w:trPr>
          <w:trHeight w:val="470"/>
        </w:trPr>
        <w:tc>
          <w:tcPr>
            <w:tcW w:w="9277" w:type="dxa"/>
            <w:gridSpan w:val="6"/>
            <w:tcBorders>
              <w:top w:val="single" w:sz="4" w:space="0" w:color="000000"/>
              <w:left w:val="single" w:sz="4" w:space="0" w:color="000000"/>
              <w:bottom w:val="single" w:sz="4" w:space="0" w:color="000000"/>
              <w:right w:val="single" w:sz="4" w:space="0" w:color="000000"/>
            </w:tcBorders>
            <w:hideMark/>
          </w:tcPr>
          <w:p w14:paraId="5E798ED9" w14:textId="77777777" w:rsidR="0073095E" w:rsidRPr="00DD4E66" w:rsidRDefault="00F36A3B" w:rsidP="00F36A3B">
            <w:pPr>
              <w:autoSpaceDE w:val="0"/>
              <w:autoSpaceDN w:val="0"/>
              <w:adjustRightInd w:val="0"/>
              <w:rPr>
                <w:rFonts w:eastAsia="Times New Roman"/>
                <w:sz w:val="20"/>
                <w:lang w:val="lt-LT" w:eastAsia="en-US"/>
              </w:rPr>
            </w:pPr>
            <w:r w:rsidRPr="00DD4E66">
              <w:rPr>
                <w:rFonts w:eastAsia="TimesNewRoman"/>
                <w:sz w:val="20"/>
                <w:lang w:val="lt-LT" w:eastAsia="en-US"/>
              </w:rPr>
              <w:t>Tiriamieji, kuriems pasireiškė virusologinio atsako nepakankamumas, ir suporuoti pradinis/vertinamosios baigties fenotipai, rodantys jautrumo PI išnykimą vertinamosios baigties metu, palyginti su pradiniu, n/N</w:t>
            </w:r>
          </w:p>
        </w:tc>
      </w:tr>
      <w:tr w:rsidR="0073095E" w:rsidRPr="00DD4E66" w14:paraId="15970482" w14:textId="77777777" w:rsidTr="006160D7">
        <w:trPr>
          <w:trHeight w:hRule="exact" w:val="1850"/>
        </w:trPr>
        <w:tc>
          <w:tcPr>
            <w:tcW w:w="2230" w:type="dxa"/>
            <w:tcBorders>
              <w:top w:val="single" w:sz="4" w:space="0" w:color="000000"/>
              <w:left w:val="single" w:sz="4" w:space="0" w:color="000000"/>
              <w:bottom w:val="single" w:sz="4" w:space="0" w:color="000000"/>
              <w:right w:val="single" w:sz="4" w:space="0" w:color="000000"/>
            </w:tcBorders>
            <w:hideMark/>
          </w:tcPr>
          <w:p w14:paraId="13E7BBA4" w14:textId="77777777" w:rsidR="0073095E" w:rsidRPr="00DD4E66" w:rsidRDefault="0073095E" w:rsidP="0073095E">
            <w:pPr>
              <w:tabs>
                <w:tab w:val="left" w:pos="567"/>
              </w:tabs>
              <w:spacing w:before="8"/>
              <w:ind w:left="102" w:right="-20"/>
              <w:rPr>
                <w:rFonts w:eastAsia="Times New Roman"/>
                <w:sz w:val="20"/>
                <w:lang w:val="lt-LT" w:eastAsia="en-US"/>
              </w:rPr>
            </w:pPr>
            <w:r w:rsidRPr="00DD4E66">
              <w:rPr>
                <w:rFonts w:eastAsia="Times New Roman"/>
                <w:spacing w:val="2"/>
                <w:sz w:val="20"/>
                <w:lang w:val="lt-LT" w:eastAsia="en-US"/>
              </w:rPr>
              <w:t>PI</w:t>
            </w:r>
          </w:p>
          <w:p w14:paraId="3C164BA2" w14:textId="77777777" w:rsidR="0073095E" w:rsidRPr="00DD4E66" w:rsidRDefault="0073095E" w:rsidP="00F36A3B">
            <w:pPr>
              <w:tabs>
                <w:tab w:val="left" w:pos="567"/>
              </w:tabs>
              <w:ind w:left="385" w:right="628"/>
              <w:rPr>
                <w:rFonts w:eastAsia="Times New Roman"/>
                <w:sz w:val="20"/>
                <w:lang w:val="lt-LT" w:eastAsia="en-US"/>
              </w:rPr>
            </w:pPr>
            <w:r w:rsidRPr="00DD4E66">
              <w:rPr>
                <w:rFonts w:eastAsia="Times New Roman"/>
                <w:sz w:val="20"/>
                <w:lang w:val="lt-LT" w:eastAsia="en-US"/>
              </w:rPr>
              <w:t>darunavir</w:t>
            </w:r>
            <w:r w:rsidR="00F36A3B" w:rsidRPr="00DD4E66">
              <w:rPr>
                <w:rFonts w:eastAsia="Times New Roman"/>
                <w:sz w:val="20"/>
                <w:lang w:val="lt-LT" w:eastAsia="en-US"/>
              </w:rPr>
              <w:t>as</w:t>
            </w:r>
            <w:r w:rsidRPr="00DD4E66">
              <w:rPr>
                <w:rFonts w:eastAsia="Times New Roman"/>
                <w:sz w:val="20"/>
                <w:lang w:val="lt-LT" w:eastAsia="en-US"/>
              </w:rPr>
              <w:t xml:space="preserve"> </w:t>
            </w:r>
          </w:p>
          <w:p w14:paraId="3E606383" w14:textId="77777777" w:rsidR="0073095E" w:rsidRPr="00DD4E66" w:rsidRDefault="0073095E" w:rsidP="00F36A3B">
            <w:pPr>
              <w:tabs>
                <w:tab w:val="left" w:pos="567"/>
              </w:tabs>
              <w:ind w:left="385" w:right="628"/>
              <w:rPr>
                <w:rFonts w:eastAsia="Times New Roman"/>
                <w:sz w:val="20"/>
                <w:lang w:val="lt-LT" w:eastAsia="en-US"/>
              </w:rPr>
            </w:pPr>
            <w:r w:rsidRPr="00DD4E66">
              <w:rPr>
                <w:rFonts w:eastAsia="Times New Roman"/>
                <w:spacing w:val="3"/>
                <w:sz w:val="20"/>
                <w:lang w:val="lt-LT" w:eastAsia="en-US"/>
              </w:rPr>
              <w:t>a</w:t>
            </w:r>
            <w:r w:rsidRPr="00DD4E66">
              <w:rPr>
                <w:rFonts w:eastAsia="Times New Roman"/>
                <w:spacing w:val="-4"/>
                <w:sz w:val="20"/>
                <w:lang w:val="lt-LT" w:eastAsia="en-US"/>
              </w:rPr>
              <w:t>m</w:t>
            </w:r>
            <w:r w:rsidR="00F36A3B" w:rsidRPr="00DD4E66">
              <w:rPr>
                <w:rFonts w:eastAsia="Times New Roman"/>
                <w:sz w:val="20"/>
                <w:lang w:val="lt-LT" w:eastAsia="en-US"/>
              </w:rPr>
              <w:t>prenaviras</w:t>
            </w:r>
          </w:p>
          <w:p w14:paraId="12D67461" w14:textId="77777777" w:rsidR="0073095E" w:rsidRPr="00DD4E66" w:rsidRDefault="00F36A3B" w:rsidP="00F36A3B">
            <w:pPr>
              <w:tabs>
                <w:tab w:val="left" w:pos="567"/>
              </w:tabs>
              <w:ind w:left="385" w:right="628"/>
              <w:rPr>
                <w:rFonts w:eastAsia="Times New Roman"/>
                <w:sz w:val="20"/>
                <w:lang w:val="lt-LT" w:eastAsia="en-US"/>
              </w:rPr>
            </w:pPr>
            <w:r w:rsidRPr="00DD4E66">
              <w:rPr>
                <w:rFonts w:eastAsia="Times New Roman"/>
                <w:sz w:val="20"/>
                <w:lang w:val="lt-LT" w:eastAsia="en-US"/>
              </w:rPr>
              <w:t>atazanaviras</w:t>
            </w:r>
          </w:p>
          <w:p w14:paraId="483B7445" w14:textId="77777777" w:rsidR="0073095E" w:rsidRPr="00DD4E66" w:rsidRDefault="0073095E" w:rsidP="00F36A3B">
            <w:pPr>
              <w:tabs>
                <w:tab w:val="left" w:pos="567"/>
              </w:tabs>
              <w:ind w:left="385" w:right="628"/>
              <w:rPr>
                <w:rFonts w:eastAsia="Times New Roman"/>
                <w:sz w:val="20"/>
                <w:lang w:val="lt-LT" w:eastAsia="en-US"/>
              </w:rPr>
            </w:pPr>
            <w:r w:rsidRPr="00DD4E66">
              <w:rPr>
                <w:rFonts w:eastAsia="Times New Roman"/>
                <w:sz w:val="20"/>
                <w:lang w:val="lt-LT" w:eastAsia="en-US"/>
              </w:rPr>
              <w:t>indinavir</w:t>
            </w:r>
            <w:r w:rsidR="00F36A3B" w:rsidRPr="00DD4E66">
              <w:rPr>
                <w:rFonts w:eastAsia="Times New Roman"/>
                <w:sz w:val="20"/>
                <w:lang w:val="lt-LT" w:eastAsia="en-US"/>
              </w:rPr>
              <w:t>as</w:t>
            </w:r>
            <w:r w:rsidRPr="00DD4E66">
              <w:rPr>
                <w:rFonts w:eastAsia="Times New Roman"/>
                <w:sz w:val="20"/>
                <w:lang w:val="lt-LT" w:eastAsia="en-US"/>
              </w:rPr>
              <w:t xml:space="preserve"> </w:t>
            </w:r>
          </w:p>
          <w:p w14:paraId="2BE85C66" w14:textId="77777777" w:rsidR="0073095E" w:rsidRPr="00DD4E66" w:rsidRDefault="0073095E" w:rsidP="00F36A3B">
            <w:pPr>
              <w:tabs>
                <w:tab w:val="left" w:pos="567"/>
              </w:tabs>
              <w:ind w:left="385" w:right="628"/>
              <w:rPr>
                <w:rFonts w:eastAsia="Times New Roman"/>
                <w:sz w:val="20"/>
                <w:lang w:val="lt-LT" w:eastAsia="en-US"/>
              </w:rPr>
            </w:pPr>
            <w:r w:rsidRPr="00DD4E66">
              <w:rPr>
                <w:rFonts w:eastAsia="Times New Roman"/>
                <w:sz w:val="20"/>
                <w:lang w:val="lt-LT" w:eastAsia="en-US"/>
              </w:rPr>
              <w:t>lopinavir</w:t>
            </w:r>
            <w:r w:rsidR="00F36A3B" w:rsidRPr="00DD4E66">
              <w:rPr>
                <w:rFonts w:eastAsia="Times New Roman"/>
                <w:sz w:val="20"/>
                <w:lang w:val="lt-LT" w:eastAsia="en-US"/>
              </w:rPr>
              <w:t>as</w:t>
            </w:r>
          </w:p>
          <w:p w14:paraId="0C2D8D06" w14:textId="77777777" w:rsidR="0073095E" w:rsidRPr="00DD4E66" w:rsidRDefault="00F36A3B" w:rsidP="00F36A3B">
            <w:pPr>
              <w:tabs>
                <w:tab w:val="left" w:pos="567"/>
              </w:tabs>
              <w:ind w:left="385" w:right="628"/>
              <w:rPr>
                <w:rFonts w:eastAsia="Times New Roman"/>
                <w:sz w:val="20"/>
                <w:lang w:val="lt-LT" w:eastAsia="en-US"/>
              </w:rPr>
            </w:pPr>
            <w:r w:rsidRPr="00DD4E66">
              <w:rPr>
                <w:rFonts w:eastAsia="Times New Roman"/>
                <w:sz w:val="20"/>
                <w:lang w:val="lt-LT" w:eastAsia="en-US"/>
              </w:rPr>
              <w:t>saquinaviras</w:t>
            </w:r>
          </w:p>
          <w:p w14:paraId="4A87DC19" w14:textId="77777777" w:rsidR="0073095E" w:rsidRPr="00DD4E66" w:rsidRDefault="0073095E" w:rsidP="0073095E">
            <w:pPr>
              <w:tabs>
                <w:tab w:val="left" w:pos="567"/>
              </w:tabs>
              <w:ind w:left="385" w:right="869"/>
              <w:rPr>
                <w:rFonts w:eastAsia="Times New Roman"/>
                <w:sz w:val="20"/>
                <w:lang w:val="lt-LT" w:eastAsia="en-US"/>
              </w:rPr>
            </w:pPr>
            <w:r w:rsidRPr="00DD4E66">
              <w:rPr>
                <w:rFonts w:eastAsia="Times New Roman"/>
                <w:sz w:val="20"/>
                <w:lang w:val="lt-LT" w:eastAsia="en-US"/>
              </w:rPr>
              <w:t>tipranavir</w:t>
            </w:r>
            <w:r w:rsidR="00F36A3B" w:rsidRPr="00DD4E66">
              <w:rPr>
                <w:rFonts w:eastAsia="Times New Roman"/>
                <w:sz w:val="20"/>
                <w:lang w:val="lt-LT" w:eastAsia="en-US"/>
              </w:rPr>
              <w:t>as</w:t>
            </w:r>
          </w:p>
        </w:tc>
        <w:tc>
          <w:tcPr>
            <w:tcW w:w="1782" w:type="dxa"/>
            <w:gridSpan w:val="2"/>
            <w:tcBorders>
              <w:top w:val="single" w:sz="4" w:space="0" w:color="000000"/>
              <w:left w:val="single" w:sz="4" w:space="0" w:color="000000"/>
              <w:bottom w:val="single" w:sz="4" w:space="0" w:color="000000"/>
              <w:right w:val="single" w:sz="4" w:space="0" w:color="000000"/>
            </w:tcBorders>
          </w:tcPr>
          <w:p w14:paraId="59137868" w14:textId="77777777" w:rsidR="0073095E" w:rsidRPr="00DD4E66" w:rsidRDefault="0073095E" w:rsidP="0073095E">
            <w:pPr>
              <w:tabs>
                <w:tab w:val="left" w:pos="567"/>
              </w:tabs>
              <w:spacing w:before="19" w:line="220" w:lineRule="exact"/>
              <w:rPr>
                <w:rFonts w:eastAsia="Times New Roman"/>
                <w:sz w:val="20"/>
                <w:lang w:val="lt-LT" w:eastAsia="en-US"/>
              </w:rPr>
            </w:pPr>
          </w:p>
          <w:p w14:paraId="5AFF1901"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p w14:paraId="076F126F"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p w14:paraId="4B22E259"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p w14:paraId="145248C0"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p w14:paraId="33BDAE1D" w14:textId="77777777" w:rsidR="0073095E" w:rsidRPr="00DD4E66" w:rsidRDefault="0073095E" w:rsidP="0073095E">
            <w:pPr>
              <w:tabs>
                <w:tab w:val="left" w:pos="567"/>
              </w:tabs>
              <w:spacing w:line="228" w:lineRule="exact"/>
              <w:ind w:left="102" w:right="-20"/>
              <w:rPr>
                <w:rFonts w:eastAsia="Times New Roman"/>
                <w:sz w:val="20"/>
                <w:lang w:val="lt-LT" w:eastAsia="en-US"/>
              </w:rPr>
            </w:pPr>
            <w:r w:rsidRPr="00DD4E66">
              <w:rPr>
                <w:rFonts w:eastAsia="Times New Roman"/>
                <w:spacing w:val="1"/>
                <w:sz w:val="20"/>
                <w:lang w:val="lt-LT" w:eastAsia="en-US"/>
              </w:rPr>
              <w:t>0/39</w:t>
            </w:r>
          </w:p>
          <w:p w14:paraId="0ECD6980"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p w14:paraId="79551A9B"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0/39</w:t>
            </w:r>
          </w:p>
        </w:tc>
        <w:tc>
          <w:tcPr>
            <w:tcW w:w="1703" w:type="dxa"/>
            <w:tcBorders>
              <w:top w:val="single" w:sz="4" w:space="0" w:color="000000"/>
              <w:left w:val="single" w:sz="4" w:space="0" w:color="000000"/>
              <w:bottom w:val="single" w:sz="4" w:space="0" w:color="000000"/>
              <w:right w:val="single" w:sz="4" w:space="0" w:color="000000"/>
            </w:tcBorders>
          </w:tcPr>
          <w:p w14:paraId="50EA949C" w14:textId="77777777" w:rsidR="0073095E" w:rsidRPr="00DD4E66" w:rsidRDefault="0073095E" w:rsidP="0073095E">
            <w:pPr>
              <w:tabs>
                <w:tab w:val="left" w:pos="567"/>
              </w:tabs>
              <w:spacing w:before="19" w:line="220" w:lineRule="exact"/>
              <w:rPr>
                <w:rFonts w:eastAsia="Times New Roman"/>
                <w:sz w:val="20"/>
                <w:lang w:val="lt-LT" w:eastAsia="en-US"/>
              </w:rPr>
            </w:pPr>
          </w:p>
          <w:p w14:paraId="5253F884"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1/58</w:t>
            </w:r>
          </w:p>
          <w:p w14:paraId="7A71C39B"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1/58</w:t>
            </w:r>
          </w:p>
          <w:p w14:paraId="796A0179"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2/56</w:t>
            </w:r>
          </w:p>
          <w:p w14:paraId="72C77C02"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2/57</w:t>
            </w:r>
          </w:p>
          <w:p w14:paraId="69ED5F12" w14:textId="77777777" w:rsidR="0073095E" w:rsidRPr="00DD4E66" w:rsidRDefault="0073095E" w:rsidP="0073095E">
            <w:pPr>
              <w:tabs>
                <w:tab w:val="left" w:pos="567"/>
              </w:tabs>
              <w:spacing w:line="228" w:lineRule="exact"/>
              <w:ind w:left="102" w:right="-20"/>
              <w:rPr>
                <w:rFonts w:eastAsia="Times New Roman"/>
                <w:sz w:val="20"/>
                <w:lang w:val="lt-LT" w:eastAsia="en-US"/>
              </w:rPr>
            </w:pPr>
            <w:r w:rsidRPr="00DD4E66">
              <w:rPr>
                <w:rFonts w:eastAsia="Times New Roman"/>
                <w:spacing w:val="1"/>
                <w:sz w:val="20"/>
                <w:lang w:val="lt-LT" w:eastAsia="en-US"/>
              </w:rPr>
              <w:t>1/58</w:t>
            </w:r>
          </w:p>
          <w:p w14:paraId="5265299A"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0/56</w:t>
            </w:r>
          </w:p>
          <w:p w14:paraId="0DF9E0A6"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0/58</w:t>
            </w:r>
          </w:p>
        </w:tc>
        <w:tc>
          <w:tcPr>
            <w:tcW w:w="1707" w:type="dxa"/>
            <w:tcBorders>
              <w:top w:val="single" w:sz="4" w:space="0" w:color="000000"/>
              <w:left w:val="single" w:sz="4" w:space="0" w:color="000000"/>
              <w:bottom w:val="single" w:sz="4" w:space="0" w:color="000000"/>
              <w:right w:val="single" w:sz="4" w:space="0" w:color="000000"/>
            </w:tcBorders>
          </w:tcPr>
          <w:p w14:paraId="462C02C4" w14:textId="77777777" w:rsidR="0073095E" w:rsidRPr="00DD4E66" w:rsidRDefault="0073095E" w:rsidP="0073095E">
            <w:pPr>
              <w:tabs>
                <w:tab w:val="left" w:pos="567"/>
              </w:tabs>
              <w:spacing w:before="19" w:line="220" w:lineRule="exact"/>
              <w:rPr>
                <w:rFonts w:eastAsia="Times New Roman"/>
                <w:sz w:val="20"/>
                <w:lang w:val="lt-LT" w:eastAsia="en-US"/>
              </w:rPr>
            </w:pPr>
          </w:p>
          <w:p w14:paraId="2172F777"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0/41</w:t>
            </w:r>
          </w:p>
          <w:p w14:paraId="528C5709"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0/40</w:t>
            </w:r>
          </w:p>
          <w:p w14:paraId="6CF3E70F"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0/40</w:t>
            </w:r>
          </w:p>
          <w:p w14:paraId="63F40EC7"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0/40</w:t>
            </w:r>
          </w:p>
          <w:p w14:paraId="24E7CA87" w14:textId="77777777" w:rsidR="0073095E" w:rsidRPr="00DD4E66" w:rsidRDefault="0073095E" w:rsidP="0073095E">
            <w:pPr>
              <w:tabs>
                <w:tab w:val="left" w:pos="567"/>
              </w:tabs>
              <w:spacing w:line="228" w:lineRule="exact"/>
              <w:ind w:left="102" w:right="-20"/>
              <w:rPr>
                <w:rFonts w:eastAsia="Times New Roman"/>
                <w:sz w:val="20"/>
                <w:lang w:val="lt-LT" w:eastAsia="en-US"/>
              </w:rPr>
            </w:pPr>
            <w:r w:rsidRPr="00DD4E66">
              <w:rPr>
                <w:rFonts w:eastAsia="Times New Roman"/>
                <w:spacing w:val="1"/>
                <w:sz w:val="20"/>
                <w:lang w:val="lt-LT" w:eastAsia="en-US"/>
              </w:rPr>
              <w:t>0/40</w:t>
            </w:r>
          </w:p>
          <w:p w14:paraId="6B515589"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0/40</w:t>
            </w:r>
          </w:p>
          <w:p w14:paraId="2A4B6753"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0/41</w:t>
            </w:r>
          </w:p>
        </w:tc>
        <w:tc>
          <w:tcPr>
            <w:tcW w:w="1855" w:type="dxa"/>
            <w:tcBorders>
              <w:top w:val="single" w:sz="4" w:space="0" w:color="000000"/>
              <w:left w:val="single" w:sz="4" w:space="0" w:color="000000"/>
              <w:bottom w:val="single" w:sz="4" w:space="0" w:color="000000"/>
              <w:right w:val="single" w:sz="4" w:space="0" w:color="000000"/>
            </w:tcBorders>
          </w:tcPr>
          <w:p w14:paraId="29C7AD0D" w14:textId="77777777" w:rsidR="0073095E" w:rsidRPr="00DD4E66" w:rsidRDefault="0073095E" w:rsidP="0073095E">
            <w:pPr>
              <w:tabs>
                <w:tab w:val="left" w:pos="567"/>
              </w:tabs>
              <w:spacing w:before="19" w:line="220" w:lineRule="exact"/>
              <w:rPr>
                <w:rFonts w:eastAsia="Times New Roman"/>
                <w:sz w:val="20"/>
                <w:lang w:val="lt-LT" w:eastAsia="en-US"/>
              </w:rPr>
            </w:pPr>
          </w:p>
          <w:p w14:paraId="6C4693A7"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3/26</w:t>
            </w:r>
          </w:p>
          <w:p w14:paraId="6A9B55E4"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0/22</w:t>
            </w:r>
          </w:p>
          <w:p w14:paraId="643AFF24"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0/22</w:t>
            </w:r>
          </w:p>
          <w:p w14:paraId="465AF6D2"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1/24</w:t>
            </w:r>
          </w:p>
          <w:p w14:paraId="2ABBC1F6" w14:textId="77777777" w:rsidR="0073095E" w:rsidRPr="00DD4E66" w:rsidRDefault="0073095E" w:rsidP="0073095E">
            <w:pPr>
              <w:tabs>
                <w:tab w:val="left" w:pos="567"/>
              </w:tabs>
              <w:spacing w:line="228" w:lineRule="exact"/>
              <w:ind w:left="102" w:right="-20"/>
              <w:rPr>
                <w:rFonts w:eastAsia="Times New Roman"/>
                <w:sz w:val="20"/>
                <w:lang w:val="lt-LT" w:eastAsia="en-US"/>
              </w:rPr>
            </w:pPr>
            <w:r w:rsidRPr="00DD4E66">
              <w:rPr>
                <w:rFonts w:eastAsia="Times New Roman"/>
                <w:spacing w:val="1"/>
                <w:sz w:val="20"/>
                <w:lang w:val="lt-LT" w:eastAsia="en-US"/>
              </w:rPr>
              <w:t>0/23</w:t>
            </w:r>
          </w:p>
          <w:p w14:paraId="000CD4E3"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0/22</w:t>
            </w:r>
          </w:p>
          <w:p w14:paraId="074FA5C4" w14:textId="77777777" w:rsidR="0073095E" w:rsidRPr="00DD4E66" w:rsidRDefault="0073095E" w:rsidP="0073095E">
            <w:pPr>
              <w:tabs>
                <w:tab w:val="left" w:pos="567"/>
              </w:tabs>
              <w:ind w:left="102" w:right="-20"/>
              <w:rPr>
                <w:rFonts w:eastAsia="Times New Roman"/>
                <w:sz w:val="20"/>
                <w:lang w:val="lt-LT" w:eastAsia="en-US"/>
              </w:rPr>
            </w:pPr>
            <w:r w:rsidRPr="00DD4E66">
              <w:rPr>
                <w:rFonts w:eastAsia="Times New Roman"/>
                <w:spacing w:val="1"/>
                <w:sz w:val="20"/>
                <w:lang w:val="lt-LT" w:eastAsia="en-US"/>
              </w:rPr>
              <w:t>1/25</w:t>
            </w:r>
          </w:p>
        </w:tc>
      </w:tr>
    </w:tbl>
    <w:p w14:paraId="5D94A81D"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a </w:t>
      </w:r>
      <w:r w:rsidRPr="00532388">
        <w:rPr>
          <w:rFonts w:eastAsia="TimesNewRoman"/>
          <w:i/>
          <w:iCs/>
          <w:sz w:val="18"/>
          <w:szCs w:val="18"/>
          <w:lang w:val="lt-LT" w:eastAsia="en-US"/>
        </w:rPr>
        <w:t xml:space="preserve">TLOVR </w:t>
      </w:r>
      <w:r w:rsidRPr="00532388">
        <w:rPr>
          <w:rFonts w:eastAsia="TimesNewRoman"/>
          <w:sz w:val="18"/>
          <w:szCs w:val="18"/>
          <w:lang w:val="lt-LT" w:eastAsia="en-US"/>
        </w:rPr>
        <w:t>su ne virusologinio atsako nepakankamumo cenzūravimu algoritmas, atsižvelgiant į ŽIV-1 RNR &lt; 50 kopijų/ml,</w:t>
      </w:r>
      <w:r w:rsidR="00F36A3B" w:rsidRPr="00532388">
        <w:rPr>
          <w:rFonts w:eastAsia="TimesNewRoman"/>
          <w:sz w:val="18"/>
          <w:szCs w:val="18"/>
          <w:lang w:val="lt-LT" w:eastAsia="en-US"/>
        </w:rPr>
        <w:t xml:space="preserve"> </w:t>
      </w:r>
      <w:r w:rsidRPr="00532388">
        <w:rPr>
          <w:rFonts w:eastAsia="TimesNewRoman"/>
          <w:sz w:val="18"/>
          <w:szCs w:val="18"/>
          <w:lang w:val="lt-LT" w:eastAsia="en-US"/>
        </w:rPr>
        <w:t xml:space="preserve">išskyrus </w:t>
      </w:r>
      <w:r w:rsidRPr="00532388">
        <w:rPr>
          <w:rFonts w:eastAsia="TimesNewRoman"/>
          <w:i/>
          <w:iCs/>
          <w:sz w:val="18"/>
          <w:szCs w:val="18"/>
          <w:lang w:val="lt-LT" w:eastAsia="en-US"/>
        </w:rPr>
        <w:t xml:space="preserve">TITAN </w:t>
      </w:r>
      <w:r w:rsidRPr="00532388">
        <w:rPr>
          <w:rFonts w:eastAsia="TimesNewRoman"/>
          <w:sz w:val="18"/>
          <w:szCs w:val="18"/>
          <w:lang w:val="lt-LT" w:eastAsia="en-US"/>
        </w:rPr>
        <w:t>(ŽIV-1 RNR &lt; 400 kopijų/ml).</w:t>
      </w:r>
    </w:p>
    <w:p w14:paraId="2B0253B8"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b</w:t>
      </w:r>
      <w:r w:rsidRPr="00532388">
        <w:rPr>
          <w:rFonts w:eastAsia="TimesNewRoman"/>
          <w:sz w:val="14"/>
          <w:szCs w:val="14"/>
          <w:lang w:val="lt-LT" w:eastAsia="en-US"/>
        </w:rPr>
        <w:t xml:space="preserve"> </w:t>
      </w:r>
      <w:r w:rsidRPr="00532388">
        <w:rPr>
          <w:rFonts w:eastAsia="TimesNewRoman"/>
          <w:sz w:val="18"/>
          <w:szCs w:val="18"/>
          <w:lang w:val="lt-LT" w:eastAsia="en-US"/>
        </w:rPr>
        <w:t>IAS-JAV sąrašas.</w:t>
      </w:r>
    </w:p>
    <w:p w14:paraId="135292C9" w14:textId="77777777" w:rsidR="0073095E" w:rsidRPr="00532388" w:rsidRDefault="0073095E" w:rsidP="0073095E">
      <w:pPr>
        <w:autoSpaceDE w:val="0"/>
        <w:autoSpaceDN w:val="0"/>
        <w:adjustRightInd w:val="0"/>
        <w:rPr>
          <w:rFonts w:eastAsia="TimesNewRoman"/>
          <w:sz w:val="22"/>
          <w:szCs w:val="22"/>
          <w:lang w:val="lt-LT" w:eastAsia="en-US"/>
        </w:rPr>
      </w:pPr>
    </w:p>
    <w:p w14:paraId="61D5F3CC" w14:textId="77777777" w:rsidR="0073095E" w:rsidRPr="00532388" w:rsidRDefault="0073095E" w:rsidP="0047689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Mažas atsparių ŽIV-1 virusų išsivystymo rodmuo stebėtas tarp pacientų, kuriems ARG netaikytas ir</w:t>
      </w:r>
      <w:r w:rsidR="0047689A" w:rsidRPr="00532388">
        <w:rPr>
          <w:rFonts w:eastAsia="TimesNewRoman"/>
          <w:sz w:val="22"/>
          <w:szCs w:val="22"/>
          <w:lang w:val="lt-LT" w:eastAsia="en-US"/>
        </w:rPr>
        <w:t xml:space="preserve"> </w:t>
      </w:r>
      <w:r w:rsidRPr="00532388">
        <w:rPr>
          <w:rFonts w:eastAsia="TimesNewRoman"/>
          <w:sz w:val="22"/>
          <w:szCs w:val="22"/>
          <w:lang w:val="lt-LT" w:eastAsia="en-US"/>
        </w:rPr>
        <w:t>kurie buvo gydyti darunaviru/kobicistatu vieną kartą per parą, derinant su kitu ARG, pirmą kartą ir</w:t>
      </w:r>
      <w:r w:rsidR="0047689A" w:rsidRPr="00532388">
        <w:rPr>
          <w:rFonts w:eastAsia="TimesNewRoman"/>
          <w:sz w:val="22"/>
          <w:szCs w:val="22"/>
          <w:lang w:val="lt-LT" w:eastAsia="en-US"/>
        </w:rPr>
        <w:t xml:space="preserve"> </w:t>
      </w:r>
      <w:r w:rsidRPr="00532388">
        <w:rPr>
          <w:rFonts w:eastAsia="TimesNewRoman"/>
          <w:sz w:val="22"/>
          <w:szCs w:val="22"/>
          <w:lang w:val="lt-LT" w:eastAsia="en-US"/>
        </w:rPr>
        <w:t>tarp pacientų, kuriems ARG buvo taikytas ir kuriems nebuvo darunavirui atsparių mutacijų, gydomų</w:t>
      </w:r>
      <w:r w:rsidR="0047689A" w:rsidRPr="00532388">
        <w:rPr>
          <w:rFonts w:eastAsia="TimesNewRoman"/>
          <w:sz w:val="22"/>
          <w:szCs w:val="22"/>
          <w:lang w:val="lt-LT" w:eastAsia="en-US"/>
        </w:rPr>
        <w:t xml:space="preserve"> </w:t>
      </w:r>
      <w:r w:rsidRPr="00532388">
        <w:rPr>
          <w:rFonts w:eastAsia="TimesNewRoman"/>
          <w:sz w:val="22"/>
          <w:szCs w:val="22"/>
          <w:lang w:val="lt-LT" w:eastAsia="en-US"/>
        </w:rPr>
        <w:t>darunaviru ir kobicistatu derinant su kitu ARG. Toliau esančioje lentelėje parodytas ŽIV-1 proteazės</w:t>
      </w:r>
      <w:r w:rsidR="0047689A" w:rsidRPr="00532388">
        <w:rPr>
          <w:rFonts w:eastAsia="TimesNewRoman"/>
          <w:sz w:val="22"/>
          <w:szCs w:val="22"/>
          <w:lang w:val="lt-LT" w:eastAsia="en-US"/>
        </w:rPr>
        <w:t xml:space="preserve"> </w:t>
      </w:r>
      <w:r w:rsidRPr="00532388">
        <w:rPr>
          <w:rFonts w:eastAsia="TimesNewRoman"/>
          <w:sz w:val="22"/>
          <w:szCs w:val="22"/>
          <w:lang w:val="lt-LT" w:eastAsia="en-US"/>
        </w:rPr>
        <w:t xml:space="preserve">mutacijų išsivystymas ir atsparumo PI praradimas GS-US-216-130 </w:t>
      </w:r>
      <w:r w:rsidR="0047689A" w:rsidRPr="00532388">
        <w:rPr>
          <w:rFonts w:eastAsia="TimesNewRoman"/>
          <w:sz w:val="22"/>
          <w:szCs w:val="22"/>
          <w:lang w:val="lt-LT" w:eastAsia="en-US"/>
        </w:rPr>
        <w:t xml:space="preserve">klinikinio </w:t>
      </w:r>
      <w:r w:rsidRPr="00532388">
        <w:rPr>
          <w:rFonts w:eastAsia="TimesNewRoman"/>
          <w:sz w:val="22"/>
          <w:szCs w:val="22"/>
          <w:lang w:val="lt-LT" w:eastAsia="en-US"/>
        </w:rPr>
        <w:t>tyrimo virusologinio atsako</w:t>
      </w:r>
      <w:r w:rsidR="0047689A" w:rsidRPr="00532388">
        <w:rPr>
          <w:rFonts w:eastAsia="TimesNewRoman"/>
          <w:sz w:val="22"/>
          <w:szCs w:val="22"/>
          <w:lang w:val="lt-LT" w:eastAsia="en-US"/>
        </w:rPr>
        <w:t xml:space="preserve"> </w:t>
      </w:r>
      <w:r w:rsidRPr="00532388">
        <w:rPr>
          <w:rFonts w:eastAsia="TimesNewRoman"/>
          <w:sz w:val="22"/>
          <w:szCs w:val="22"/>
          <w:lang w:val="lt-LT" w:eastAsia="en-US"/>
        </w:rPr>
        <w:t>nepakankamumo vertinamoje baigtyje.</w:t>
      </w:r>
    </w:p>
    <w:p w14:paraId="67F6BD96" w14:textId="77777777" w:rsidR="0073095E" w:rsidRPr="00532388" w:rsidRDefault="0073095E" w:rsidP="0073095E">
      <w:pPr>
        <w:tabs>
          <w:tab w:val="left" w:pos="500"/>
          <w:tab w:val="left" w:pos="567"/>
        </w:tabs>
        <w:spacing w:line="230" w:lineRule="exact"/>
        <w:ind w:left="223" w:right="-20"/>
        <w:rPr>
          <w:rFonts w:eastAsia="TimesNewRoman"/>
          <w:sz w:val="22"/>
          <w:szCs w:val="22"/>
          <w:lang w:val="lt-LT" w:eastAsia="en-US"/>
        </w:rPr>
      </w:pPr>
    </w:p>
    <w:p w14:paraId="7FD41395" w14:textId="77777777" w:rsidR="000E442A" w:rsidRPr="00532388" w:rsidRDefault="000E442A" w:rsidP="00F31E56">
      <w:pPr>
        <w:tabs>
          <w:tab w:val="left" w:pos="500"/>
          <w:tab w:val="left" w:pos="567"/>
        </w:tabs>
        <w:spacing w:line="230" w:lineRule="exact"/>
        <w:ind w:right="-20"/>
        <w:rPr>
          <w:rFonts w:eastAsia="TimesNewRoman"/>
          <w:sz w:val="22"/>
          <w:szCs w:val="22"/>
          <w:lang w:val="lt-LT" w:eastAsia="en-US"/>
        </w:rPr>
      </w:pPr>
    </w:p>
    <w:p w14:paraId="06003125" w14:textId="77777777" w:rsidR="0073095E" w:rsidRPr="00532388" w:rsidRDefault="0073095E" w:rsidP="0073095E">
      <w:pPr>
        <w:tabs>
          <w:tab w:val="left" w:pos="567"/>
        </w:tabs>
        <w:spacing w:before="9" w:line="70" w:lineRule="exact"/>
        <w:rPr>
          <w:rFonts w:eastAsia="Times New Roman"/>
          <w:sz w:val="7"/>
          <w:szCs w:val="7"/>
          <w:lang w:val="lt-LT" w:eastAsia="en-US"/>
        </w:rPr>
      </w:pPr>
    </w:p>
    <w:tbl>
      <w:tblPr>
        <w:tblW w:w="9386" w:type="dxa"/>
        <w:tblInd w:w="109" w:type="dxa"/>
        <w:tblLayout w:type="fixed"/>
        <w:tblCellMar>
          <w:left w:w="0" w:type="dxa"/>
          <w:right w:w="0" w:type="dxa"/>
        </w:tblCellMar>
        <w:tblLook w:val="01E0" w:firstRow="1" w:lastRow="1" w:firstColumn="1" w:lastColumn="1" w:noHBand="0" w:noVBand="0"/>
      </w:tblPr>
      <w:tblGrid>
        <w:gridCol w:w="2590"/>
        <w:gridCol w:w="3028"/>
        <w:gridCol w:w="232"/>
        <w:gridCol w:w="3536"/>
      </w:tblGrid>
      <w:tr w:rsidR="0047689A" w:rsidRPr="00DD4E66" w14:paraId="295DD81D" w14:textId="77777777" w:rsidTr="00F5005B">
        <w:trPr>
          <w:trHeight w:hRule="exact" w:val="470"/>
        </w:trPr>
        <w:tc>
          <w:tcPr>
            <w:tcW w:w="2590" w:type="dxa"/>
            <w:vMerge w:val="restart"/>
            <w:tcBorders>
              <w:top w:val="single" w:sz="4" w:space="0" w:color="000000"/>
              <w:left w:val="single" w:sz="4" w:space="0" w:color="000000"/>
              <w:right w:val="single" w:sz="4" w:space="0" w:color="000000"/>
            </w:tcBorders>
          </w:tcPr>
          <w:p w14:paraId="506A0F37" w14:textId="77777777" w:rsidR="0047689A" w:rsidRPr="00DD4E66" w:rsidRDefault="0047689A" w:rsidP="0073095E">
            <w:pPr>
              <w:tabs>
                <w:tab w:val="left" w:pos="567"/>
              </w:tabs>
              <w:spacing w:line="260" w:lineRule="exact"/>
              <w:rPr>
                <w:rFonts w:eastAsia="Times New Roman"/>
                <w:sz w:val="20"/>
                <w:lang w:val="lt-LT" w:eastAsia="en-US"/>
              </w:rPr>
            </w:pPr>
          </w:p>
        </w:tc>
        <w:tc>
          <w:tcPr>
            <w:tcW w:w="6796" w:type="dxa"/>
            <w:gridSpan w:val="3"/>
            <w:tcBorders>
              <w:top w:val="single" w:sz="4" w:space="0" w:color="000000"/>
              <w:left w:val="single" w:sz="4" w:space="0" w:color="000000"/>
              <w:bottom w:val="single" w:sz="4" w:space="0" w:color="000000"/>
              <w:right w:val="single" w:sz="4" w:space="0" w:color="000000"/>
            </w:tcBorders>
            <w:hideMark/>
          </w:tcPr>
          <w:p w14:paraId="0FD6825B" w14:textId="77777777" w:rsidR="0047689A" w:rsidRPr="00DD4E66" w:rsidRDefault="0047689A"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GS-US-216-130</w:t>
            </w:r>
          </w:p>
          <w:p w14:paraId="33539A93" w14:textId="77777777" w:rsidR="0047689A" w:rsidRPr="00DD4E66" w:rsidRDefault="0047689A" w:rsidP="0073095E">
            <w:pPr>
              <w:tabs>
                <w:tab w:val="left" w:pos="567"/>
              </w:tabs>
              <w:spacing w:line="228" w:lineRule="exact"/>
              <w:ind w:left="102" w:right="-20"/>
              <w:jc w:val="center"/>
              <w:rPr>
                <w:rFonts w:eastAsia="Times New Roman"/>
                <w:spacing w:val="1"/>
                <w:sz w:val="20"/>
                <w:lang w:val="lt-LT" w:eastAsia="en-US"/>
              </w:rPr>
            </w:pPr>
            <w:r w:rsidRPr="00DD4E66">
              <w:rPr>
                <w:rFonts w:eastAsia="Times New Roman"/>
                <w:spacing w:val="1"/>
                <w:sz w:val="20"/>
                <w:lang w:val="lt-LT" w:eastAsia="en-US"/>
              </w:rPr>
              <w:t>48 savaitė</w:t>
            </w:r>
          </w:p>
        </w:tc>
      </w:tr>
      <w:tr w:rsidR="0047689A" w:rsidRPr="00DD4E66" w14:paraId="5919D357" w14:textId="77777777" w:rsidTr="00F5005B">
        <w:trPr>
          <w:trHeight w:hRule="exact" w:val="931"/>
        </w:trPr>
        <w:tc>
          <w:tcPr>
            <w:tcW w:w="2590" w:type="dxa"/>
            <w:vMerge/>
            <w:tcBorders>
              <w:left w:val="single" w:sz="4" w:space="0" w:color="000000"/>
              <w:bottom w:val="single" w:sz="4" w:space="0" w:color="000000"/>
              <w:right w:val="single" w:sz="4" w:space="0" w:color="000000"/>
            </w:tcBorders>
          </w:tcPr>
          <w:p w14:paraId="10389ACB" w14:textId="77777777" w:rsidR="0047689A" w:rsidRPr="00DD4E66" w:rsidRDefault="0047689A" w:rsidP="0073095E">
            <w:pPr>
              <w:tabs>
                <w:tab w:val="left" w:pos="567"/>
              </w:tabs>
              <w:spacing w:line="260" w:lineRule="exact"/>
              <w:rPr>
                <w:rFonts w:eastAsia="Times New Roman"/>
                <w:sz w:val="20"/>
                <w:lang w:val="lt-LT" w:eastAsia="en-US"/>
              </w:rPr>
            </w:pPr>
          </w:p>
        </w:tc>
        <w:tc>
          <w:tcPr>
            <w:tcW w:w="3260" w:type="dxa"/>
            <w:gridSpan w:val="2"/>
            <w:tcBorders>
              <w:top w:val="single" w:sz="4" w:space="0" w:color="000000"/>
              <w:left w:val="single" w:sz="4" w:space="0" w:color="000000"/>
              <w:bottom w:val="single" w:sz="4" w:space="0" w:color="000000"/>
              <w:right w:val="single" w:sz="4" w:space="0" w:color="000000"/>
            </w:tcBorders>
            <w:hideMark/>
          </w:tcPr>
          <w:p w14:paraId="66971172" w14:textId="77777777" w:rsidR="0047689A" w:rsidRPr="00DD4E66" w:rsidRDefault="00F5005B" w:rsidP="0047689A">
            <w:pPr>
              <w:autoSpaceDE w:val="0"/>
              <w:autoSpaceDN w:val="0"/>
              <w:adjustRightInd w:val="0"/>
              <w:jc w:val="center"/>
              <w:rPr>
                <w:rFonts w:eastAsia="TimesNewRoman"/>
                <w:sz w:val="20"/>
                <w:lang w:val="lt-LT" w:eastAsia="en-US"/>
              </w:rPr>
            </w:pPr>
            <w:r w:rsidRPr="00DD4E66">
              <w:rPr>
                <w:rFonts w:eastAsia="TimesNewRoman"/>
                <w:sz w:val="20"/>
                <w:lang w:val="lt-LT" w:eastAsia="en-US"/>
              </w:rPr>
              <w:t>G</w:t>
            </w:r>
            <w:r w:rsidR="0047689A" w:rsidRPr="00DD4E66">
              <w:rPr>
                <w:rFonts w:eastAsia="TimesNewRoman"/>
                <w:sz w:val="20"/>
                <w:lang w:val="lt-LT" w:eastAsia="en-US"/>
              </w:rPr>
              <w:t>ydymas netaikytas darunaviru/kobicistatu 800/150 mg vieną kartą per parą</w:t>
            </w:r>
          </w:p>
          <w:p w14:paraId="4C8528FE" w14:textId="77777777" w:rsidR="0047689A" w:rsidRPr="00DD4E66" w:rsidRDefault="0047689A" w:rsidP="0047689A">
            <w:pPr>
              <w:autoSpaceDE w:val="0"/>
              <w:autoSpaceDN w:val="0"/>
              <w:adjustRightInd w:val="0"/>
              <w:jc w:val="center"/>
              <w:rPr>
                <w:rFonts w:eastAsia="Times New Roman"/>
                <w:spacing w:val="1"/>
                <w:sz w:val="20"/>
                <w:lang w:val="lt-LT" w:eastAsia="en-US"/>
              </w:rPr>
            </w:pPr>
            <w:r w:rsidRPr="00DD4E66">
              <w:rPr>
                <w:rFonts w:eastAsia="Times New Roman"/>
                <w:spacing w:val="1"/>
                <w:sz w:val="20"/>
                <w:lang w:val="lt-LT" w:eastAsia="en-US"/>
              </w:rPr>
              <w:t>N=295</w:t>
            </w:r>
          </w:p>
        </w:tc>
        <w:tc>
          <w:tcPr>
            <w:tcW w:w="3536" w:type="dxa"/>
            <w:tcBorders>
              <w:top w:val="single" w:sz="4" w:space="0" w:color="000000"/>
              <w:left w:val="single" w:sz="4" w:space="0" w:color="000000"/>
              <w:bottom w:val="single" w:sz="4" w:space="0" w:color="000000"/>
              <w:right w:val="single" w:sz="4" w:space="0" w:color="000000"/>
            </w:tcBorders>
            <w:hideMark/>
          </w:tcPr>
          <w:p w14:paraId="2B82654D" w14:textId="77777777" w:rsidR="0047689A" w:rsidRPr="00DD4E66" w:rsidRDefault="00F5005B" w:rsidP="0047689A">
            <w:pPr>
              <w:autoSpaceDE w:val="0"/>
              <w:autoSpaceDN w:val="0"/>
              <w:adjustRightInd w:val="0"/>
              <w:jc w:val="center"/>
              <w:rPr>
                <w:rFonts w:eastAsia="TimesNewRoman"/>
                <w:sz w:val="20"/>
                <w:lang w:val="lt-LT" w:eastAsia="en-US"/>
              </w:rPr>
            </w:pPr>
            <w:r w:rsidRPr="00DD4E66">
              <w:rPr>
                <w:rFonts w:eastAsia="TimesNewRoman"/>
                <w:sz w:val="20"/>
                <w:lang w:val="lt-LT" w:eastAsia="en-US"/>
              </w:rPr>
              <w:t>G</w:t>
            </w:r>
            <w:r w:rsidR="0047689A" w:rsidRPr="00DD4E66">
              <w:rPr>
                <w:rFonts w:eastAsia="TimesNewRoman"/>
                <w:sz w:val="20"/>
                <w:lang w:val="lt-LT" w:eastAsia="en-US"/>
              </w:rPr>
              <w:t>ydymas taikytas darunaviru/kobicistatu 800/150 mg vieną kartą per parą</w:t>
            </w:r>
          </w:p>
          <w:p w14:paraId="44750A52" w14:textId="77777777" w:rsidR="0047689A" w:rsidRPr="00DD4E66" w:rsidRDefault="0047689A" w:rsidP="0047689A">
            <w:pPr>
              <w:autoSpaceDE w:val="0"/>
              <w:autoSpaceDN w:val="0"/>
              <w:adjustRightInd w:val="0"/>
              <w:jc w:val="center"/>
              <w:rPr>
                <w:rFonts w:eastAsia="Times New Roman"/>
                <w:spacing w:val="1"/>
                <w:sz w:val="20"/>
                <w:lang w:val="lt-LT" w:eastAsia="en-US"/>
              </w:rPr>
            </w:pPr>
            <w:r w:rsidRPr="00DD4E66">
              <w:rPr>
                <w:rFonts w:eastAsia="Times New Roman"/>
                <w:spacing w:val="1"/>
                <w:sz w:val="20"/>
                <w:lang w:val="lt-LT" w:eastAsia="en-US"/>
              </w:rPr>
              <w:t>N=18</w:t>
            </w:r>
          </w:p>
        </w:tc>
      </w:tr>
      <w:tr w:rsidR="0073095E" w:rsidRPr="00DD4E66" w14:paraId="3E6D4747" w14:textId="77777777" w:rsidTr="0073095E">
        <w:trPr>
          <w:trHeight w:val="240"/>
        </w:trPr>
        <w:tc>
          <w:tcPr>
            <w:tcW w:w="9386" w:type="dxa"/>
            <w:gridSpan w:val="4"/>
            <w:tcBorders>
              <w:top w:val="single" w:sz="4" w:space="0" w:color="000000"/>
              <w:left w:val="single" w:sz="4" w:space="0" w:color="000000"/>
              <w:bottom w:val="single" w:sz="4" w:space="0" w:color="000000"/>
              <w:right w:val="single" w:sz="4" w:space="0" w:color="000000"/>
            </w:tcBorders>
            <w:hideMark/>
          </w:tcPr>
          <w:p w14:paraId="4ECD8B7E" w14:textId="77777777" w:rsidR="0073095E" w:rsidRPr="00DD4E66" w:rsidRDefault="0047689A" w:rsidP="0047689A">
            <w:pPr>
              <w:autoSpaceDE w:val="0"/>
              <w:autoSpaceDN w:val="0"/>
              <w:adjustRightInd w:val="0"/>
              <w:rPr>
                <w:rFonts w:eastAsia="Times New Roman"/>
                <w:sz w:val="20"/>
                <w:lang w:val="lt-LT" w:eastAsia="en-US"/>
              </w:rPr>
            </w:pPr>
            <w:r w:rsidRPr="00DD4E66">
              <w:rPr>
                <w:rFonts w:eastAsia="TimesNewRoman"/>
                <w:sz w:val="20"/>
                <w:lang w:val="lt-LT" w:eastAsia="en-US"/>
              </w:rPr>
              <w:t>Tiriamieji, kuriems pasireiškė virusologinio atsako nepakankamumasa, ir genotipų duomenys, kuriems vertinamosios baigties metu atsirado mutacijos</w:t>
            </w:r>
            <w:r w:rsidRPr="00DD4E66">
              <w:rPr>
                <w:rFonts w:eastAsia="TimesNewRoman"/>
                <w:sz w:val="20"/>
                <w:vertAlign w:val="superscript"/>
                <w:lang w:val="lt-LT" w:eastAsia="en-US"/>
              </w:rPr>
              <w:t>b</w:t>
            </w:r>
            <w:r w:rsidRPr="00DD4E66">
              <w:rPr>
                <w:rFonts w:eastAsia="TimesNewRoman"/>
                <w:sz w:val="20"/>
                <w:lang w:val="lt-LT" w:eastAsia="en-US"/>
              </w:rPr>
              <w:t>, n/N</w:t>
            </w:r>
          </w:p>
        </w:tc>
      </w:tr>
      <w:tr w:rsidR="0073095E" w:rsidRPr="00DD4E66" w14:paraId="05DADA23" w14:textId="77777777" w:rsidTr="00F5005B">
        <w:trPr>
          <w:trHeight w:hRule="exact" w:val="943"/>
        </w:trPr>
        <w:tc>
          <w:tcPr>
            <w:tcW w:w="2590" w:type="dxa"/>
            <w:tcBorders>
              <w:top w:val="single" w:sz="4" w:space="0" w:color="000000"/>
              <w:left w:val="single" w:sz="4" w:space="0" w:color="000000"/>
              <w:bottom w:val="single" w:sz="4" w:space="0" w:color="000000"/>
              <w:right w:val="single" w:sz="4" w:space="0" w:color="000000"/>
            </w:tcBorders>
            <w:hideMark/>
          </w:tcPr>
          <w:p w14:paraId="015434DB" w14:textId="77777777" w:rsidR="0073095E" w:rsidRPr="00DD4E66" w:rsidRDefault="0073095E" w:rsidP="0047689A">
            <w:pPr>
              <w:tabs>
                <w:tab w:val="left" w:pos="567"/>
              </w:tabs>
              <w:spacing w:before="8"/>
              <w:ind w:left="385" w:right="-20"/>
              <w:rPr>
                <w:rFonts w:eastAsia="Times New Roman"/>
                <w:sz w:val="20"/>
                <w:lang w:val="lt-LT" w:eastAsia="en-US"/>
              </w:rPr>
            </w:pPr>
            <w:r w:rsidRPr="00DD4E66">
              <w:rPr>
                <w:rFonts w:eastAsia="Times New Roman"/>
                <w:sz w:val="20"/>
                <w:lang w:val="lt-LT" w:eastAsia="en-US"/>
              </w:rPr>
              <w:t>P</w:t>
            </w:r>
            <w:r w:rsidR="0047689A" w:rsidRPr="00DD4E66">
              <w:rPr>
                <w:rFonts w:eastAsia="Times New Roman"/>
                <w:sz w:val="20"/>
                <w:lang w:val="lt-LT" w:eastAsia="en-US"/>
              </w:rPr>
              <w:t>irminės</w:t>
            </w:r>
            <w:r w:rsidRPr="00DD4E66">
              <w:rPr>
                <w:rFonts w:eastAsia="Times New Roman"/>
                <w:spacing w:val="-5"/>
                <w:sz w:val="20"/>
                <w:lang w:val="lt-LT" w:eastAsia="en-US"/>
              </w:rPr>
              <w:t xml:space="preserve"> </w:t>
            </w:r>
            <w:r w:rsidRPr="00DD4E66">
              <w:rPr>
                <w:rFonts w:eastAsia="Times New Roman"/>
                <w:sz w:val="20"/>
                <w:lang w:val="lt-LT" w:eastAsia="en-US"/>
              </w:rPr>
              <w:t>(</w:t>
            </w:r>
            <w:r w:rsidR="0047689A" w:rsidRPr="00DD4E66">
              <w:rPr>
                <w:rFonts w:eastAsia="Times New Roman"/>
                <w:sz w:val="20"/>
                <w:lang w:val="lt-LT" w:eastAsia="en-US"/>
              </w:rPr>
              <w:t>pagrindinės</w:t>
            </w:r>
            <w:r w:rsidRPr="00DD4E66">
              <w:rPr>
                <w:rFonts w:eastAsia="Times New Roman"/>
                <w:sz w:val="20"/>
                <w:lang w:val="lt-LT" w:eastAsia="en-US"/>
              </w:rPr>
              <w:t>)</w:t>
            </w:r>
            <w:r w:rsidRPr="00DD4E66">
              <w:rPr>
                <w:rFonts w:eastAsia="Times New Roman"/>
                <w:spacing w:val="-5"/>
                <w:sz w:val="20"/>
                <w:lang w:val="lt-LT" w:eastAsia="en-US"/>
              </w:rPr>
              <w:t xml:space="preserve"> </w:t>
            </w:r>
            <w:r w:rsidRPr="00DD4E66">
              <w:rPr>
                <w:rFonts w:eastAsia="Times New Roman"/>
                <w:sz w:val="20"/>
                <w:lang w:val="lt-LT" w:eastAsia="en-US"/>
              </w:rPr>
              <w:t>PI</w:t>
            </w:r>
            <w:r w:rsidR="0047689A" w:rsidRPr="00DD4E66">
              <w:rPr>
                <w:rFonts w:eastAsia="Times New Roman"/>
                <w:sz w:val="20"/>
                <w:lang w:val="lt-LT" w:eastAsia="en-US"/>
              </w:rPr>
              <w:t xml:space="preserve"> </w:t>
            </w:r>
            <w:r w:rsidRPr="00DD4E66">
              <w:rPr>
                <w:rFonts w:eastAsia="Times New Roman"/>
                <w:sz w:val="20"/>
                <w:lang w:val="lt-LT" w:eastAsia="en-US"/>
              </w:rPr>
              <w:t>muta</w:t>
            </w:r>
            <w:r w:rsidR="0047689A" w:rsidRPr="00DD4E66">
              <w:rPr>
                <w:rFonts w:eastAsia="Times New Roman"/>
                <w:sz w:val="20"/>
                <w:lang w:val="lt-LT" w:eastAsia="en-US"/>
              </w:rPr>
              <w:t>cijos</w:t>
            </w:r>
          </w:p>
          <w:p w14:paraId="167C62AB" w14:textId="77777777" w:rsidR="0073095E" w:rsidRPr="00DD4E66" w:rsidRDefault="0073095E" w:rsidP="0047689A">
            <w:pPr>
              <w:tabs>
                <w:tab w:val="left" w:pos="567"/>
              </w:tabs>
              <w:ind w:left="385" w:right="-20"/>
              <w:rPr>
                <w:rFonts w:eastAsia="Times New Roman"/>
                <w:sz w:val="20"/>
                <w:lang w:val="lt-LT" w:eastAsia="en-US"/>
              </w:rPr>
            </w:pPr>
            <w:r w:rsidRPr="00DD4E66">
              <w:rPr>
                <w:rFonts w:eastAsia="Times New Roman"/>
                <w:sz w:val="20"/>
                <w:lang w:val="lt-LT" w:eastAsia="en-US"/>
              </w:rPr>
              <w:t>PI</w:t>
            </w:r>
            <w:r w:rsidRPr="00DD4E66">
              <w:rPr>
                <w:rFonts w:eastAsia="Times New Roman"/>
                <w:spacing w:val="-2"/>
                <w:sz w:val="20"/>
                <w:lang w:val="lt-LT" w:eastAsia="en-US"/>
              </w:rPr>
              <w:t xml:space="preserve"> </w:t>
            </w:r>
            <w:r w:rsidRPr="00DD4E66">
              <w:rPr>
                <w:rFonts w:eastAsia="Times New Roman"/>
                <w:sz w:val="20"/>
                <w:lang w:val="lt-LT" w:eastAsia="en-US"/>
              </w:rPr>
              <w:t>A</w:t>
            </w:r>
            <w:r w:rsidR="0047689A" w:rsidRPr="00DD4E66">
              <w:rPr>
                <w:rFonts w:eastAsia="Times New Roman"/>
                <w:sz w:val="20"/>
                <w:lang w:val="lt-LT" w:eastAsia="en-US"/>
              </w:rPr>
              <w:t>S</w:t>
            </w:r>
            <w:r w:rsidRPr="00DD4E66">
              <w:rPr>
                <w:rFonts w:eastAsia="Times New Roman"/>
                <w:sz w:val="20"/>
                <w:lang w:val="lt-LT" w:eastAsia="en-US"/>
              </w:rPr>
              <w:t>M</w:t>
            </w:r>
          </w:p>
        </w:tc>
        <w:tc>
          <w:tcPr>
            <w:tcW w:w="3260" w:type="dxa"/>
            <w:gridSpan w:val="2"/>
            <w:tcBorders>
              <w:top w:val="single" w:sz="4" w:space="0" w:color="000000"/>
              <w:left w:val="single" w:sz="4" w:space="0" w:color="000000"/>
              <w:bottom w:val="single" w:sz="4" w:space="0" w:color="000000"/>
              <w:right w:val="single" w:sz="4" w:space="0" w:color="000000"/>
            </w:tcBorders>
          </w:tcPr>
          <w:p w14:paraId="3CE1FAF0" w14:textId="77777777" w:rsidR="0047689A" w:rsidRPr="00DD4E66" w:rsidRDefault="0047689A" w:rsidP="0073095E">
            <w:pPr>
              <w:tabs>
                <w:tab w:val="left" w:pos="567"/>
              </w:tabs>
              <w:ind w:left="102" w:right="-20"/>
              <w:jc w:val="center"/>
              <w:rPr>
                <w:rFonts w:eastAsia="Times New Roman"/>
                <w:spacing w:val="1"/>
                <w:sz w:val="20"/>
                <w:lang w:val="lt-LT" w:eastAsia="en-US"/>
              </w:rPr>
            </w:pPr>
          </w:p>
          <w:p w14:paraId="44648CBC"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6077EBA6"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2/8</w:t>
            </w:r>
          </w:p>
        </w:tc>
        <w:tc>
          <w:tcPr>
            <w:tcW w:w="3536" w:type="dxa"/>
            <w:tcBorders>
              <w:top w:val="single" w:sz="4" w:space="0" w:color="000000"/>
              <w:left w:val="single" w:sz="4" w:space="0" w:color="000000"/>
              <w:bottom w:val="single" w:sz="4" w:space="0" w:color="000000"/>
              <w:right w:val="single" w:sz="4" w:space="0" w:color="000000"/>
            </w:tcBorders>
          </w:tcPr>
          <w:p w14:paraId="739839F6" w14:textId="77777777" w:rsidR="0047689A" w:rsidRPr="00DD4E66" w:rsidRDefault="0047689A" w:rsidP="0073095E">
            <w:pPr>
              <w:tabs>
                <w:tab w:val="left" w:pos="567"/>
              </w:tabs>
              <w:ind w:left="102" w:right="-20"/>
              <w:jc w:val="center"/>
              <w:rPr>
                <w:rFonts w:eastAsia="Times New Roman"/>
                <w:spacing w:val="1"/>
                <w:sz w:val="20"/>
                <w:lang w:val="lt-LT" w:eastAsia="en-US"/>
              </w:rPr>
            </w:pPr>
          </w:p>
          <w:p w14:paraId="31F47978"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1/7</w:t>
            </w:r>
          </w:p>
          <w:p w14:paraId="0AE4C80A"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1/7</w:t>
            </w:r>
          </w:p>
        </w:tc>
      </w:tr>
      <w:tr w:rsidR="0073095E" w:rsidRPr="00DD4E66" w14:paraId="6EBEE147" w14:textId="77777777" w:rsidTr="0073095E">
        <w:trPr>
          <w:trHeight w:val="240"/>
        </w:trPr>
        <w:tc>
          <w:tcPr>
            <w:tcW w:w="9386" w:type="dxa"/>
            <w:gridSpan w:val="4"/>
            <w:tcBorders>
              <w:top w:val="single" w:sz="4" w:space="0" w:color="000000"/>
              <w:left w:val="single" w:sz="4" w:space="0" w:color="000000"/>
              <w:bottom w:val="single" w:sz="4" w:space="0" w:color="000000"/>
              <w:right w:val="single" w:sz="4" w:space="0" w:color="000000"/>
            </w:tcBorders>
            <w:hideMark/>
          </w:tcPr>
          <w:p w14:paraId="37EF3487" w14:textId="77777777" w:rsidR="0073095E" w:rsidRPr="00DD4E66" w:rsidRDefault="0047689A" w:rsidP="0047689A">
            <w:pPr>
              <w:autoSpaceDE w:val="0"/>
              <w:autoSpaceDN w:val="0"/>
              <w:adjustRightInd w:val="0"/>
              <w:rPr>
                <w:rFonts w:eastAsia="Times New Roman"/>
                <w:spacing w:val="1"/>
                <w:sz w:val="20"/>
                <w:lang w:val="lt-LT" w:eastAsia="en-US"/>
              </w:rPr>
            </w:pPr>
            <w:r w:rsidRPr="00DD4E66">
              <w:rPr>
                <w:rFonts w:eastAsia="TimesNewRoman"/>
                <w:sz w:val="20"/>
                <w:lang w:val="lt-LT" w:eastAsia="en-US"/>
              </w:rPr>
              <w:t>Tiriamieji, kuriems pasireiškė virusologinio atsako nepakankamumas</w:t>
            </w:r>
            <w:r w:rsidRPr="00DD4E66">
              <w:rPr>
                <w:rFonts w:eastAsia="TimesNewRoman"/>
                <w:sz w:val="20"/>
                <w:vertAlign w:val="superscript"/>
                <w:lang w:val="lt-LT" w:eastAsia="en-US"/>
              </w:rPr>
              <w:t>a</w:t>
            </w:r>
            <w:r w:rsidRPr="00DD4E66">
              <w:rPr>
                <w:rFonts w:eastAsia="TimesNewRoman"/>
                <w:sz w:val="20"/>
                <w:lang w:val="lt-LT" w:eastAsia="en-US"/>
              </w:rPr>
              <w:t>, ir fenotipų duomenys, rodantys jautrumo PI išnykimą vertinamosios baigties metu</w:t>
            </w:r>
            <w:r w:rsidRPr="00DD4E66">
              <w:rPr>
                <w:rFonts w:eastAsia="TimesNewRoman"/>
                <w:sz w:val="20"/>
                <w:vertAlign w:val="superscript"/>
                <w:lang w:val="lt-LT" w:eastAsia="en-US"/>
              </w:rPr>
              <w:t>c</w:t>
            </w:r>
            <w:r w:rsidRPr="00DD4E66">
              <w:rPr>
                <w:rFonts w:eastAsia="TimesNewRoman"/>
                <w:sz w:val="20"/>
                <w:lang w:val="lt-LT" w:eastAsia="en-US"/>
              </w:rPr>
              <w:t>, n/N</w:t>
            </w:r>
          </w:p>
        </w:tc>
      </w:tr>
      <w:tr w:rsidR="0073095E" w:rsidRPr="00DD4E66" w14:paraId="044657B6" w14:textId="77777777" w:rsidTr="00F5005B">
        <w:trPr>
          <w:trHeight w:hRule="exact" w:val="1909"/>
        </w:trPr>
        <w:tc>
          <w:tcPr>
            <w:tcW w:w="2590" w:type="dxa"/>
            <w:tcBorders>
              <w:top w:val="single" w:sz="4" w:space="0" w:color="000000"/>
              <w:left w:val="single" w:sz="4" w:space="0" w:color="000000"/>
              <w:bottom w:val="single" w:sz="4" w:space="0" w:color="000000"/>
              <w:right w:val="single" w:sz="4" w:space="0" w:color="000000"/>
            </w:tcBorders>
            <w:hideMark/>
          </w:tcPr>
          <w:p w14:paraId="2BD55083" w14:textId="77777777" w:rsidR="001633E8" w:rsidRPr="00DD4E66" w:rsidRDefault="0073095E" w:rsidP="0047689A">
            <w:pPr>
              <w:tabs>
                <w:tab w:val="left" w:pos="567"/>
              </w:tabs>
              <w:spacing w:before="11" w:line="237" w:lineRule="auto"/>
              <w:ind w:left="385" w:right="769" w:hanging="283"/>
              <w:rPr>
                <w:rFonts w:eastAsia="Times New Roman"/>
                <w:spacing w:val="1"/>
                <w:sz w:val="20"/>
                <w:lang w:val="lt-LT" w:eastAsia="en-US"/>
              </w:rPr>
            </w:pPr>
            <w:r w:rsidRPr="00DD4E66">
              <w:rPr>
                <w:rFonts w:eastAsia="Times New Roman"/>
                <w:spacing w:val="1"/>
                <w:sz w:val="20"/>
                <w:lang w:val="lt-LT" w:eastAsia="en-US"/>
              </w:rPr>
              <w:t>HI</w:t>
            </w:r>
            <w:r w:rsidRPr="00DD4E66">
              <w:rPr>
                <w:rFonts w:eastAsia="Times New Roman"/>
                <w:sz w:val="20"/>
                <w:lang w:val="lt-LT" w:eastAsia="en-US"/>
              </w:rPr>
              <w:t>V</w:t>
            </w:r>
            <w:r w:rsidRPr="00DD4E66">
              <w:rPr>
                <w:rFonts w:eastAsia="Times New Roman"/>
                <w:spacing w:val="-3"/>
                <w:sz w:val="20"/>
                <w:lang w:val="lt-LT" w:eastAsia="en-US"/>
              </w:rPr>
              <w:t xml:space="preserve"> </w:t>
            </w:r>
            <w:r w:rsidRPr="00DD4E66">
              <w:rPr>
                <w:rFonts w:eastAsia="Times New Roman"/>
                <w:spacing w:val="1"/>
                <w:sz w:val="20"/>
                <w:lang w:val="lt-LT" w:eastAsia="en-US"/>
              </w:rPr>
              <w:t xml:space="preserve">PI </w:t>
            </w:r>
          </w:p>
          <w:p w14:paraId="317E84D6" w14:textId="77777777" w:rsidR="0047689A" w:rsidRPr="00DD4E66" w:rsidRDefault="001633E8" w:rsidP="0047689A">
            <w:pPr>
              <w:tabs>
                <w:tab w:val="left" w:pos="567"/>
              </w:tabs>
              <w:spacing w:before="11" w:line="237" w:lineRule="auto"/>
              <w:ind w:left="385" w:right="769" w:hanging="283"/>
              <w:rPr>
                <w:rFonts w:eastAsia="Times New Roman"/>
                <w:sz w:val="20"/>
                <w:lang w:val="lt-LT" w:eastAsia="en-US"/>
              </w:rPr>
            </w:pPr>
            <w:r w:rsidRPr="00DD4E66">
              <w:rPr>
                <w:rFonts w:eastAsia="Times New Roman"/>
                <w:sz w:val="20"/>
                <w:lang w:val="lt-LT" w:eastAsia="en-US"/>
              </w:rPr>
              <w:t xml:space="preserve">      </w:t>
            </w:r>
            <w:r w:rsidR="0047689A" w:rsidRPr="00DD4E66">
              <w:rPr>
                <w:rFonts w:eastAsia="Times New Roman"/>
                <w:sz w:val="20"/>
                <w:lang w:val="lt-LT" w:eastAsia="en-US"/>
              </w:rPr>
              <w:t>darunaviras</w:t>
            </w:r>
          </w:p>
          <w:p w14:paraId="5DBAD803" w14:textId="77777777" w:rsidR="0047689A" w:rsidRPr="00DD4E66" w:rsidRDefault="0073095E" w:rsidP="0047689A">
            <w:pPr>
              <w:tabs>
                <w:tab w:val="left" w:pos="567"/>
              </w:tabs>
              <w:spacing w:before="11" w:line="237" w:lineRule="auto"/>
              <w:ind w:left="385" w:right="769"/>
              <w:rPr>
                <w:rFonts w:eastAsia="Times New Roman"/>
                <w:sz w:val="20"/>
                <w:lang w:val="lt-LT" w:eastAsia="en-US"/>
              </w:rPr>
            </w:pPr>
            <w:r w:rsidRPr="00DD4E66">
              <w:rPr>
                <w:rFonts w:eastAsia="Times New Roman"/>
                <w:spacing w:val="3"/>
                <w:sz w:val="20"/>
                <w:lang w:val="lt-LT" w:eastAsia="en-US"/>
              </w:rPr>
              <w:t>a</w:t>
            </w:r>
            <w:r w:rsidRPr="00DD4E66">
              <w:rPr>
                <w:rFonts w:eastAsia="Times New Roman"/>
                <w:spacing w:val="-4"/>
                <w:sz w:val="20"/>
                <w:lang w:val="lt-LT" w:eastAsia="en-US"/>
              </w:rPr>
              <w:t>m</w:t>
            </w:r>
            <w:r w:rsidR="0047689A" w:rsidRPr="00DD4E66">
              <w:rPr>
                <w:rFonts w:eastAsia="Times New Roman"/>
                <w:sz w:val="20"/>
                <w:lang w:val="lt-LT" w:eastAsia="en-US"/>
              </w:rPr>
              <w:t>prenaviras atazanaviras</w:t>
            </w:r>
          </w:p>
          <w:p w14:paraId="63FDD5DC" w14:textId="77777777" w:rsidR="0047689A" w:rsidRPr="00DD4E66" w:rsidRDefault="0047689A" w:rsidP="0047689A">
            <w:pPr>
              <w:tabs>
                <w:tab w:val="left" w:pos="567"/>
              </w:tabs>
              <w:spacing w:before="11" w:line="237" w:lineRule="auto"/>
              <w:ind w:left="385" w:right="769"/>
              <w:rPr>
                <w:rFonts w:eastAsia="Times New Roman"/>
                <w:sz w:val="20"/>
                <w:lang w:val="lt-LT" w:eastAsia="en-US"/>
              </w:rPr>
            </w:pPr>
            <w:r w:rsidRPr="00DD4E66">
              <w:rPr>
                <w:rFonts w:eastAsia="Times New Roman"/>
                <w:sz w:val="20"/>
                <w:lang w:val="lt-LT" w:eastAsia="en-US"/>
              </w:rPr>
              <w:t>indinaviras</w:t>
            </w:r>
          </w:p>
          <w:p w14:paraId="1C0252E8" w14:textId="77777777" w:rsidR="0047689A" w:rsidRPr="00DD4E66" w:rsidRDefault="0047689A" w:rsidP="0047689A">
            <w:pPr>
              <w:tabs>
                <w:tab w:val="left" w:pos="567"/>
              </w:tabs>
              <w:spacing w:before="11" w:line="237" w:lineRule="auto"/>
              <w:ind w:left="385" w:right="769"/>
              <w:rPr>
                <w:rFonts w:eastAsia="Times New Roman"/>
                <w:sz w:val="20"/>
                <w:lang w:val="lt-LT" w:eastAsia="en-US"/>
              </w:rPr>
            </w:pPr>
            <w:r w:rsidRPr="00DD4E66">
              <w:rPr>
                <w:rFonts w:eastAsia="Times New Roman"/>
                <w:sz w:val="20"/>
                <w:lang w:val="lt-LT" w:eastAsia="en-US"/>
              </w:rPr>
              <w:t>lopinaviras</w:t>
            </w:r>
          </w:p>
          <w:p w14:paraId="20335D08" w14:textId="77777777" w:rsidR="0073095E" w:rsidRPr="00DD4E66" w:rsidRDefault="0073095E" w:rsidP="0047689A">
            <w:pPr>
              <w:tabs>
                <w:tab w:val="left" w:pos="567"/>
              </w:tabs>
              <w:spacing w:before="11" w:line="237" w:lineRule="auto"/>
              <w:ind w:left="385" w:right="769"/>
              <w:rPr>
                <w:rFonts w:eastAsia="Times New Roman"/>
                <w:sz w:val="20"/>
                <w:lang w:val="lt-LT" w:eastAsia="en-US"/>
              </w:rPr>
            </w:pPr>
            <w:r w:rsidRPr="00DD4E66">
              <w:rPr>
                <w:rFonts w:eastAsia="Times New Roman"/>
                <w:sz w:val="20"/>
                <w:lang w:val="lt-LT" w:eastAsia="en-US"/>
              </w:rPr>
              <w:t>saquinavir</w:t>
            </w:r>
            <w:r w:rsidR="0047689A" w:rsidRPr="00DD4E66">
              <w:rPr>
                <w:rFonts w:eastAsia="Times New Roman"/>
                <w:sz w:val="20"/>
                <w:lang w:val="lt-LT" w:eastAsia="en-US"/>
              </w:rPr>
              <w:t>as</w:t>
            </w:r>
            <w:r w:rsidRPr="00DD4E66">
              <w:rPr>
                <w:rFonts w:eastAsia="Times New Roman"/>
                <w:sz w:val="20"/>
                <w:lang w:val="lt-LT" w:eastAsia="en-US"/>
              </w:rPr>
              <w:t xml:space="preserve"> tipranavir</w:t>
            </w:r>
            <w:r w:rsidR="0047689A" w:rsidRPr="00DD4E66">
              <w:rPr>
                <w:rFonts w:eastAsia="Times New Roman"/>
                <w:sz w:val="20"/>
                <w:lang w:val="lt-LT" w:eastAsia="en-US"/>
              </w:rPr>
              <w:t>as</w:t>
            </w:r>
          </w:p>
        </w:tc>
        <w:tc>
          <w:tcPr>
            <w:tcW w:w="3028" w:type="dxa"/>
            <w:tcBorders>
              <w:top w:val="single" w:sz="4" w:space="0" w:color="000000"/>
              <w:left w:val="single" w:sz="4" w:space="0" w:color="000000"/>
              <w:bottom w:val="single" w:sz="4" w:space="0" w:color="000000"/>
              <w:right w:val="single" w:sz="4" w:space="0" w:color="000000"/>
            </w:tcBorders>
          </w:tcPr>
          <w:p w14:paraId="6D84D212" w14:textId="77777777" w:rsidR="0073095E" w:rsidRPr="00DD4E66" w:rsidRDefault="0073095E" w:rsidP="0073095E">
            <w:pPr>
              <w:tabs>
                <w:tab w:val="left" w:pos="567"/>
              </w:tabs>
              <w:ind w:left="102" w:right="-20"/>
              <w:jc w:val="center"/>
              <w:rPr>
                <w:rFonts w:eastAsia="Times New Roman"/>
                <w:spacing w:val="1"/>
                <w:sz w:val="20"/>
                <w:lang w:val="lt-LT" w:eastAsia="en-US"/>
              </w:rPr>
            </w:pPr>
          </w:p>
          <w:p w14:paraId="1B7BF866"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7DF51E45"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3F972644"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24A3D971"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3CD99C9E"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035A27B4"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p w14:paraId="34B1D0C0"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0/8</w:t>
            </w:r>
          </w:p>
        </w:tc>
        <w:tc>
          <w:tcPr>
            <w:tcW w:w="3768" w:type="dxa"/>
            <w:gridSpan w:val="2"/>
            <w:tcBorders>
              <w:top w:val="single" w:sz="4" w:space="0" w:color="000000"/>
              <w:left w:val="single" w:sz="4" w:space="0" w:color="000000"/>
              <w:bottom w:val="single" w:sz="4" w:space="0" w:color="000000"/>
              <w:right w:val="single" w:sz="4" w:space="0" w:color="000000"/>
            </w:tcBorders>
          </w:tcPr>
          <w:p w14:paraId="24A21D9C" w14:textId="77777777" w:rsidR="0073095E" w:rsidRPr="00DD4E66" w:rsidRDefault="0073095E" w:rsidP="0073095E">
            <w:pPr>
              <w:tabs>
                <w:tab w:val="left" w:pos="567"/>
              </w:tabs>
              <w:ind w:left="102" w:right="-20"/>
              <w:jc w:val="center"/>
              <w:rPr>
                <w:rFonts w:eastAsia="Times New Roman"/>
                <w:spacing w:val="1"/>
                <w:sz w:val="20"/>
                <w:lang w:val="lt-LT" w:eastAsia="en-US"/>
              </w:rPr>
            </w:pPr>
          </w:p>
          <w:p w14:paraId="7A56A490"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68F41FAC"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786FF0F5"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797BE149"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207E9825"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339F8933"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p w14:paraId="0A5F477E" w14:textId="77777777" w:rsidR="0073095E" w:rsidRPr="00DD4E66" w:rsidRDefault="0073095E" w:rsidP="0073095E">
            <w:pPr>
              <w:tabs>
                <w:tab w:val="left" w:pos="567"/>
              </w:tabs>
              <w:ind w:left="102" w:right="-20"/>
              <w:jc w:val="center"/>
              <w:rPr>
                <w:rFonts w:eastAsia="Times New Roman"/>
                <w:spacing w:val="1"/>
                <w:sz w:val="20"/>
                <w:lang w:val="lt-LT" w:eastAsia="en-US"/>
              </w:rPr>
            </w:pPr>
            <w:r w:rsidRPr="00DD4E66">
              <w:rPr>
                <w:rFonts w:eastAsia="Times New Roman"/>
                <w:spacing w:val="1"/>
                <w:sz w:val="20"/>
                <w:lang w:val="lt-LT" w:eastAsia="en-US"/>
              </w:rPr>
              <w:t>0/7</w:t>
            </w:r>
          </w:p>
        </w:tc>
      </w:tr>
    </w:tbl>
    <w:p w14:paraId="199F97AB" w14:textId="77777777" w:rsidR="0073095E" w:rsidRPr="00532388" w:rsidRDefault="0047689A" w:rsidP="0073095E">
      <w:pPr>
        <w:autoSpaceDE w:val="0"/>
        <w:autoSpaceDN w:val="0"/>
        <w:adjustRightInd w:val="0"/>
        <w:rPr>
          <w:rFonts w:eastAsia="TimesNewRoman"/>
          <w:sz w:val="20"/>
          <w:lang w:val="lt-LT" w:eastAsia="en-US"/>
        </w:rPr>
      </w:pPr>
      <w:r w:rsidRPr="00532388">
        <w:rPr>
          <w:rFonts w:eastAsia="TimesNewRoman"/>
          <w:sz w:val="18"/>
          <w:szCs w:val="18"/>
          <w:vertAlign w:val="superscript"/>
          <w:lang w:val="lt-LT" w:eastAsia="en-US"/>
        </w:rPr>
        <w:t>a</w:t>
      </w:r>
      <w:r w:rsidR="001633E8" w:rsidRPr="00532388">
        <w:rPr>
          <w:rFonts w:eastAsia="TimesNewRoman"/>
          <w:sz w:val="18"/>
          <w:szCs w:val="18"/>
          <w:vertAlign w:val="superscript"/>
          <w:lang w:val="lt-LT" w:eastAsia="en-US"/>
        </w:rPr>
        <w:t xml:space="preserve"> </w:t>
      </w:r>
      <w:r w:rsidR="0073095E" w:rsidRPr="00532388">
        <w:rPr>
          <w:rFonts w:eastAsia="TimesNewRoman"/>
          <w:sz w:val="18"/>
          <w:szCs w:val="18"/>
          <w:lang w:val="lt-LT" w:eastAsia="en-US"/>
        </w:rPr>
        <w:t>Virusologinio atsako nepakankamumas apibrėžtas kaip: nenuslopintas patvirtintas ŽIV-1 RNR &lt; 1 log10 sumažėjimas nuo</w:t>
      </w:r>
      <w:r w:rsidRPr="00532388">
        <w:rPr>
          <w:rFonts w:eastAsia="TimesNewRoman"/>
          <w:sz w:val="18"/>
          <w:szCs w:val="18"/>
          <w:lang w:val="lt-LT" w:eastAsia="en-US"/>
        </w:rPr>
        <w:t xml:space="preserve"> </w:t>
      </w:r>
      <w:r w:rsidR="0073095E" w:rsidRPr="00532388">
        <w:rPr>
          <w:rFonts w:eastAsia="TimesNewRoman"/>
          <w:sz w:val="18"/>
          <w:szCs w:val="18"/>
          <w:lang w:val="lt-LT" w:eastAsia="en-US"/>
        </w:rPr>
        <w:t xml:space="preserve">pradinio ir ≥ 50 kopijų/ml 8 savaitę; virusų kiekio padidėjimas: ŽIV-1 RNR &lt; 50 kopijų/ml ir </w:t>
      </w:r>
      <w:r w:rsidR="0073095E" w:rsidRPr="00532388">
        <w:rPr>
          <w:rFonts w:eastAsia="TimesNewRoman"/>
          <w:sz w:val="18"/>
          <w:szCs w:val="18"/>
          <w:lang w:val="lt-LT" w:eastAsia="en-US"/>
        </w:rPr>
        <w:lastRenderedPageBreak/>
        <w:t>po to patvirtintas ŽIV-1</w:t>
      </w:r>
      <w:r w:rsidRPr="00532388">
        <w:rPr>
          <w:rFonts w:eastAsia="TimesNewRoman"/>
          <w:sz w:val="18"/>
          <w:szCs w:val="18"/>
          <w:lang w:val="lt-LT" w:eastAsia="en-US"/>
        </w:rPr>
        <w:t xml:space="preserve"> </w:t>
      </w:r>
      <w:r w:rsidR="0073095E" w:rsidRPr="00532388">
        <w:rPr>
          <w:rFonts w:eastAsia="TimesNewRoman"/>
          <w:sz w:val="18"/>
          <w:szCs w:val="18"/>
          <w:lang w:val="lt-LT" w:eastAsia="en-US"/>
        </w:rPr>
        <w:t>RNR padidėjimas iki ≥ 400 kopijų/ml ar patvirtintas &gt; 1 log10 ŽIV-1 RNR padidėjimas nuo žemiausio lygio, gydymo</w:t>
      </w:r>
      <w:r w:rsidRPr="00532388">
        <w:rPr>
          <w:rFonts w:eastAsia="TimesNewRoman"/>
          <w:sz w:val="18"/>
          <w:szCs w:val="18"/>
          <w:lang w:val="lt-LT" w:eastAsia="en-US"/>
        </w:rPr>
        <w:t xml:space="preserve"> </w:t>
      </w:r>
      <w:r w:rsidR="0073095E" w:rsidRPr="00532388">
        <w:rPr>
          <w:rFonts w:eastAsia="TimesNewRoman"/>
          <w:sz w:val="18"/>
          <w:szCs w:val="18"/>
          <w:lang w:val="lt-LT" w:eastAsia="en-US"/>
        </w:rPr>
        <w:t>nutraukimai, esant ŽIV-1 RNR ≥ 400 kopijų/ml paskutinio vizito metu</w:t>
      </w:r>
      <w:r w:rsidR="0073095E" w:rsidRPr="00532388">
        <w:rPr>
          <w:rFonts w:eastAsia="TimesNewRoman"/>
          <w:sz w:val="20"/>
          <w:lang w:val="lt-LT" w:eastAsia="en-US"/>
        </w:rPr>
        <w:t>.</w:t>
      </w:r>
    </w:p>
    <w:p w14:paraId="1A8A3797" w14:textId="77777777" w:rsidR="0073095E" w:rsidRPr="00532388" w:rsidRDefault="0073095E" w:rsidP="0073095E">
      <w:pPr>
        <w:autoSpaceDE w:val="0"/>
        <w:autoSpaceDN w:val="0"/>
        <w:adjustRightInd w:val="0"/>
        <w:rPr>
          <w:rFonts w:eastAsia="TimesNewRoman"/>
          <w:sz w:val="20"/>
          <w:lang w:val="lt-LT" w:eastAsia="en-US"/>
        </w:rPr>
      </w:pPr>
      <w:r w:rsidRPr="00532388">
        <w:rPr>
          <w:rFonts w:eastAsia="TimesNewRoman"/>
          <w:sz w:val="20"/>
          <w:vertAlign w:val="superscript"/>
          <w:lang w:val="lt-LT" w:eastAsia="en-US"/>
        </w:rPr>
        <w:t>b</w:t>
      </w:r>
      <w:r w:rsidRPr="00532388">
        <w:rPr>
          <w:rFonts w:eastAsia="TimesNewRoman"/>
          <w:sz w:val="20"/>
          <w:lang w:val="lt-LT" w:eastAsia="en-US"/>
        </w:rPr>
        <w:t xml:space="preserve"> </w:t>
      </w:r>
      <w:r w:rsidRPr="00532388">
        <w:rPr>
          <w:rFonts w:eastAsia="TimesNewRoman"/>
          <w:sz w:val="18"/>
          <w:szCs w:val="18"/>
          <w:lang w:val="lt-LT" w:eastAsia="en-US"/>
        </w:rPr>
        <w:t>IAS-JAV sąrašas</w:t>
      </w:r>
      <w:r w:rsidRPr="00532388">
        <w:rPr>
          <w:rFonts w:eastAsia="TimesNewRoman"/>
          <w:sz w:val="20"/>
          <w:lang w:val="lt-LT" w:eastAsia="en-US"/>
        </w:rPr>
        <w:t>.</w:t>
      </w:r>
    </w:p>
    <w:p w14:paraId="438365BC"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c</w:t>
      </w:r>
      <w:r w:rsidRPr="00532388">
        <w:rPr>
          <w:rFonts w:eastAsia="TimesNewRoman"/>
          <w:sz w:val="20"/>
          <w:lang w:val="lt-LT" w:eastAsia="en-US"/>
        </w:rPr>
        <w:t xml:space="preserve"> </w:t>
      </w:r>
      <w:r w:rsidRPr="00532388">
        <w:rPr>
          <w:rFonts w:eastAsia="TimesNewRoman"/>
          <w:sz w:val="18"/>
          <w:szCs w:val="18"/>
          <w:lang w:val="lt-LT" w:eastAsia="en-US"/>
        </w:rPr>
        <w:t>GS-US-216-130 tyrime pradinis fenotipas nebuvo prieinamas.</w:t>
      </w:r>
    </w:p>
    <w:p w14:paraId="22E2BAE2" w14:textId="77777777" w:rsidR="0073095E" w:rsidRPr="00532388" w:rsidRDefault="0073095E" w:rsidP="0073095E">
      <w:pPr>
        <w:autoSpaceDE w:val="0"/>
        <w:autoSpaceDN w:val="0"/>
        <w:adjustRightInd w:val="0"/>
        <w:rPr>
          <w:rFonts w:eastAsia="TimesNewRoman"/>
          <w:sz w:val="18"/>
          <w:szCs w:val="18"/>
          <w:lang w:val="lt-LT" w:eastAsia="en-US"/>
        </w:rPr>
      </w:pPr>
    </w:p>
    <w:p w14:paraId="6F2844EB" w14:textId="77777777" w:rsidR="0073095E" w:rsidRPr="00532388" w:rsidRDefault="0073095E" w:rsidP="0073095E">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Kryžminis atsparumas</w:t>
      </w:r>
    </w:p>
    <w:p w14:paraId="76E8DCE2" w14:textId="77777777" w:rsidR="0047689A"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 3 309 klinikinių padermių, atsparių amprenavirui, atazanavirui, indinavirui, lopinavirui, nelfinavirui,</w:t>
      </w:r>
      <w:r w:rsidR="0047689A" w:rsidRPr="00532388">
        <w:rPr>
          <w:rFonts w:eastAsia="TimesNewRoman"/>
          <w:sz w:val="22"/>
          <w:szCs w:val="22"/>
          <w:lang w:val="lt-LT" w:eastAsia="en-US"/>
        </w:rPr>
        <w:t xml:space="preserve"> </w:t>
      </w:r>
      <w:r w:rsidRPr="00532388">
        <w:rPr>
          <w:rFonts w:eastAsia="TimesNewRoman"/>
          <w:sz w:val="22"/>
          <w:szCs w:val="22"/>
          <w:lang w:val="lt-LT" w:eastAsia="en-US"/>
        </w:rPr>
        <w:t>ritonavirui, sakvinavirui ir (arba) tipranavirui, 90 % padermių FC darunavirui buvo mažesnis kaip 10</w:t>
      </w:r>
      <w:r w:rsidR="0047689A" w:rsidRPr="00532388">
        <w:rPr>
          <w:rFonts w:eastAsia="TimesNewRoman"/>
          <w:sz w:val="22"/>
          <w:szCs w:val="22"/>
          <w:lang w:val="lt-LT" w:eastAsia="en-US"/>
        </w:rPr>
        <w:t xml:space="preserve"> </w:t>
      </w:r>
      <w:r w:rsidRPr="00532388">
        <w:rPr>
          <w:rFonts w:eastAsia="TimesNewRoman"/>
          <w:sz w:val="22"/>
          <w:szCs w:val="22"/>
          <w:lang w:val="lt-LT" w:eastAsia="en-US"/>
        </w:rPr>
        <w:t>kartų; tai rodo, kad daugumai PI atsparūs virusai lieka jautrūs darunavirui.</w:t>
      </w:r>
      <w:r w:rsidR="0047689A" w:rsidRPr="00532388">
        <w:rPr>
          <w:rFonts w:eastAsia="TimesNewRoman"/>
          <w:sz w:val="22"/>
          <w:szCs w:val="22"/>
          <w:lang w:val="lt-LT" w:eastAsia="en-US"/>
        </w:rPr>
        <w:t xml:space="preserve"> </w:t>
      </w:r>
    </w:p>
    <w:p w14:paraId="5E6ED17F" w14:textId="77777777" w:rsidR="0047689A" w:rsidRPr="00532388" w:rsidRDefault="0047689A" w:rsidP="0073095E">
      <w:pPr>
        <w:autoSpaceDE w:val="0"/>
        <w:autoSpaceDN w:val="0"/>
        <w:adjustRightInd w:val="0"/>
        <w:rPr>
          <w:rFonts w:eastAsia="TimesNewRoman"/>
          <w:sz w:val="22"/>
          <w:szCs w:val="22"/>
          <w:lang w:val="lt-LT" w:eastAsia="en-US"/>
        </w:rPr>
      </w:pPr>
    </w:p>
    <w:p w14:paraId="5C67D7AA"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Virusologinio atsako nepakankamumo atvejais </w:t>
      </w:r>
      <w:r w:rsidRPr="00532388">
        <w:rPr>
          <w:rFonts w:eastAsia="TimesNewRoman"/>
          <w:i/>
          <w:iCs/>
          <w:sz w:val="22"/>
          <w:szCs w:val="22"/>
          <w:lang w:val="lt-LT" w:eastAsia="en-US"/>
        </w:rPr>
        <w:t xml:space="preserve">ARTEMIS </w:t>
      </w:r>
      <w:r w:rsidRPr="00532388">
        <w:rPr>
          <w:rFonts w:eastAsia="TimesNewRoman"/>
          <w:sz w:val="22"/>
          <w:szCs w:val="22"/>
          <w:lang w:val="lt-LT" w:eastAsia="en-US"/>
        </w:rPr>
        <w:t>tyrimo metu kryžminio atsparumo kitiems</w:t>
      </w:r>
      <w:r w:rsidR="0047689A" w:rsidRPr="00532388">
        <w:rPr>
          <w:rFonts w:eastAsia="TimesNewRoman"/>
          <w:sz w:val="22"/>
          <w:szCs w:val="22"/>
          <w:lang w:val="lt-LT" w:eastAsia="en-US"/>
        </w:rPr>
        <w:t xml:space="preserve"> </w:t>
      </w:r>
      <w:r w:rsidRPr="00532388">
        <w:rPr>
          <w:rFonts w:eastAsia="TimesNewRoman"/>
          <w:sz w:val="22"/>
          <w:szCs w:val="22"/>
          <w:lang w:val="lt-LT" w:eastAsia="en-US"/>
        </w:rPr>
        <w:t>PI nepastebėta. GS-US-216-130 tyrime virusologinio atsako nepakankamumo atvejais nebuvo stebėta</w:t>
      </w:r>
      <w:r w:rsidR="00155584" w:rsidRPr="00532388">
        <w:rPr>
          <w:rFonts w:eastAsia="TimesNewRoman"/>
          <w:sz w:val="22"/>
          <w:szCs w:val="22"/>
          <w:lang w:val="lt-LT" w:eastAsia="en-US"/>
        </w:rPr>
        <w:t xml:space="preserve"> </w:t>
      </w:r>
      <w:r w:rsidRPr="00532388">
        <w:rPr>
          <w:rFonts w:eastAsia="TimesNewRoman"/>
          <w:sz w:val="22"/>
          <w:szCs w:val="22"/>
          <w:lang w:val="lt-LT" w:eastAsia="en-US"/>
        </w:rPr>
        <w:t>kryžminio atsparumo kitiems ŽIV PI.</w:t>
      </w:r>
    </w:p>
    <w:p w14:paraId="16C98F7E" w14:textId="77777777" w:rsidR="00155584" w:rsidRPr="00532388" w:rsidRDefault="00155584" w:rsidP="0073095E">
      <w:pPr>
        <w:autoSpaceDE w:val="0"/>
        <w:autoSpaceDN w:val="0"/>
        <w:adjustRightInd w:val="0"/>
        <w:rPr>
          <w:rFonts w:eastAsia="TimesNewRoman"/>
          <w:sz w:val="22"/>
          <w:szCs w:val="22"/>
          <w:lang w:val="lt-LT" w:eastAsia="en-US"/>
        </w:rPr>
      </w:pPr>
    </w:p>
    <w:p w14:paraId="4D929C7B" w14:textId="77777777" w:rsidR="0073095E" w:rsidRPr="00532388" w:rsidRDefault="0073095E" w:rsidP="0073095E">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Klinikinių tyrimų duomenys</w:t>
      </w:r>
    </w:p>
    <w:p w14:paraId="0C89EE02"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Kobicistato darunaviro farmakokinetiką sustiprinantis poveikis buvo vertinamas I fazės tyrimo su</w:t>
      </w:r>
      <w:r w:rsidR="005016F7" w:rsidRPr="00532388">
        <w:rPr>
          <w:rFonts w:eastAsia="TimesNewRoman"/>
          <w:sz w:val="22"/>
          <w:szCs w:val="22"/>
          <w:lang w:val="lt-LT" w:eastAsia="en-US"/>
        </w:rPr>
        <w:t xml:space="preserve"> </w:t>
      </w:r>
      <w:r w:rsidRPr="00532388">
        <w:rPr>
          <w:rFonts w:eastAsia="TimesNewRoman"/>
          <w:sz w:val="22"/>
          <w:szCs w:val="22"/>
          <w:lang w:val="lt-LT" w:eastAsia="en-US"/>
        </w:rPr>
        <w:t>sveikais tiriamaisiais, kuriems buvo skiriama 800</w:t>
      </w:r>
      <w:r w:rsidR="005016F7" w:rsidRPr="00532388">
        <w:rPr>
          <w:rFonts w:eastAsia="TimesNewRoman"/>
          <w:sz w:val="22"/>
          <w:szCs w:val="22"/>
          <w:lang w:val="lt-LT" w:eastAsia="en-US"/>
        </w:rPr>
        <w:t> </w:t>
      </w:r>
      <w:r w:rsidRPr="00532388">
        <w:rPr>
          <w:rFonts w:eastAsia="TimesNewRoman"/>
          <w:sz w:val="22"/>
          <w:szCs w:val="22"/>
          <w:lang w:val="lt-LT" w:eastAsia="en-US"/>
        </w:rPr>
        <w:t>mg darunaviro kartu su 150</w:t>
      </w:r>
      <w:r w:rsidR="005016F7" w:rsidRPr="00532388">
        <w:rPr>
          <w:rFonts w:eastAsia="TimesNewRoman"/>
          <w:sz w:val="22"/>
          <w:szCs w:val="22"/>
          <w:lang w:val="lt-LT" w:eastAsia="en-US"/>
        </w:rPr>
        <w:t> </w:t>
      </w:r>
      <w:r w:rsidRPr="00532388">
        <w:rPr>
          <w:rFonts w:eastAsia="TimesNewRoman"/>
          <w:sz w:val="22"/>
          <w:szCs w:val="22"/>
          <w:lang w:val="lt-LT" w:eastAsia="en-US"/>
        </w:rPr>
        <w:t>mg kobicistato arba su</w:t>
      </w:r>
      <w:r w:rsidR="005016F7" w:rsidRPr="00532388">
        <w:rPr>
          <w:rFonts w:eastAsia="TimesNewRoman"/>
          <w:sz w:val="22"/>
          <w:szCs w:val="22"/>
          <w:lang w:val="lt-LT" w:eastAsia="en-US"/>
        </w:rPr>
        <w:t xml:space="preserve"> </w:t>
      </w:r>
      <w:r w:rsidRPr="00532388">
        <w:rPr>
          <w:rFonts w:eastAsia="TimesNewRoman"/>
          <w:sz w:val="22"/>
          <w:szCs w:val="22"/>
          <w:lang w:val="lt-LT" w:eastAsia="en-US"/>
        </w:rPr>
        <w:t>100</w:t>
      </w:r>
      <w:r w:rsidR="005016F7" w:rsidRPr="00532388">
        <w:rPr>
          <w:rFonts w:eastAsia="TimesNewRoman"/>
          <w:sz w:val="22"/>
          <w:szCs w:val="22"/>
          <w:lang w:val="lt-LT" w:eastAsia="en-US"/>
        </w:rPr>
        <w:t> </w:t>
      </w:r>
      <w:r w:rsidRPr="00532388">
        <w:rPr>
          <w:rFonts w:eastAsia="TimesNewRoman"/>
          <w:sz w:val="22"/>
          <w:szCs w:val="22"/>
          <w:lang w:val="lt-LT" w:eastAsia="en-US"/>
        </w:rPr>
        <w:t xml:space="preserve">mg ritonaviro vieną kartą per parą, metu. </w:t>
      </w:r>
      <w:r w:rsidR="005016F7" w:rsidRPr="00532388">
        <w:rPr>
          <w:rFonts w:eastAsia="TimesNewRoman"/>
          <w:sz w:val="22"/>
          <w:szCs w:val="22"/>
          <w:lang w:val="lt-LT" w:eastAsia="en-US"/>
        </w:rPr>
        <w:t>Pasiekus</w:t>
      </w:r>
      <w:r w:rsidRPr="00532388">
        <w:rPr>
          <w:rFonts w:eastAsia="TimesNewRoman"/>
          <w:sz w:val="22"/>
          <w:szCs w:val="22"/>
          <w:lang w:val="lt-LT" w:eastAsia="en-US"/>
        </w:rPr>
        <w:t xml:space="preserve"> </w:t>
      </w:r>
      <w:r w:rsidR="005016F7" w:rsidRPr="00532388">
        <w:rPr>
          <w:rFonts w:eastAsia="TimesNewRoman"/>
          <w:sz w:val="22"/>
          <w:szCs w:val="22"/>
          <w:lang w:val="lt-LT" w:eastAsia="en-US"/>
        </w:rPr>
        <w:t xml:space="preserve">pusiausvyros </w:t>
      </w:r>
      <w:r w:rsidRPr="00532388">
        <w:rPr>
          <w:rFonts w:eastAsia="TimesNewRoman"/>
          <w:sz w:val="22"/>
          <w:szCs w:val="22"/>
          <w:lang w:val="lt-LT" w:eastAsia="en-US"/>
        </w:rPr>
        <w:t>koncentracij</w:t>
      </w:r>
      <w:r w:rsidR="005016F7" w:rsidRPr="00532388">
        <w:rPr>
          <w:rFonts w:eastAsia="TimesNewRoman"/>
          <w:sz w:val="22"/>
          <w:szCs w:val="22"/>
          <w:lang w:val="lt-LT" w:eastAsia="en-US"/>
        </w:rPr>
        <w:t>ą</w:t>
      </w:r>
      <w:r w:rsidRPr="00532388">
        <w:rPr>
          <w:rFonts w:eastAsia="TimesNewRoman"/>
          <w:sz w:val="22"/>
          <w:szCs w:val="22"/>
          <w:lang w:val="lt-LT" w:eastAsia="en-US"/>
        </w:rPr>
        <w:t xml:space="preserve"> darunaviro, sustiprinto</w:t>
      </w:r>
      <w:r w:rsidR="005016F7" w:rsidRPr="00532388">
        <w:rPr>
          <w:rFonts w:eastAsia="TimesNewRoman"/>
          <w:sz w:val="22"/>
          <w:szCs w:val="22"/>
          <w:lang w:val="lt-LT" w:eastAsia="en-US"/>
        </w:rPr>
        <w:t xml:space="preserve"> </w:t>
      </w:r>
      <w:r w:rsidRPr="00532388">
        <w:rPr>
          <w:rFonts w:eastAsia="TimesNewRoman"/>
          <w:sz w:val="22"/>
          <w:szCs w:val="22"/>
          <w:lang w:val="lt-LT" w:eastAsia="en-US"/>
        </w:rPr>
        <w:t>kobicistatu, farmakokinetiniai parametrai buvo panašūs į darunaviro, sustiprinto ritonaviru,</w:t>
      </w:r>
      <w:r w:rsidR="005016F7" w:rsidRPr="00532388">
        <w:rPr>
          <w:rFonts w:eastAsia="TimesNewRoman"/>
          <w:sz w:val="22"/>
          <w:szCs w:val="22"/>
          <w:lang w:val="lt-LT" w:eastAsia="en-US"/>
        </w:rPr>
        <w:t xml:space="preserve"> </w:t>
      </w:r>
      <w:r w:rsidRPr="00532388">
        <w:rPr>
          <w:rFonts w:eastAsia="TimesNewRoman"/>
          <w:sz w:val="22"/>
          <w:szCs w:val="22"/>
          <w:lang w:val="lt-LT" w:eastAsia="en-US"/>
        </w:rPr>
        <w:t xml:space="preserve">parametrus. Informacijos apie kobicistatą žr. kobicistato </w:t>
      </w:r>
      <w:r w:rsidR="005016F7" w:rsidRPr="00532388">
        <w:rPr>
          <w:rFonts w:eastAsia="TimesNewRoman"/>
          <w:sz w:val="22"/>
          <w:szCs w:val="22"/>
          <w:lang w:val="lt-LT" w:eastAsia="en-US"/>
        </w:rPr>
        <w:t>P</w:t>
      </w:r>
      <w:r w:rsidRPr="00532388">
        <w:rPr>
          <w:rFonts w:eastAsia="TimesNewRoman"/>
          <w:sz w:val="22"/>
          <w:szCs w:val="22"/>
          <w:lang w:val="lt-LT" w:eastAsia="en-US"/>
        </w:rPr>
        <w:t>reparato charakteristikų santraukoje.</w:t>
      </w:r>
    </w:p>
    <w:p w14:paraId="227C759B" w14:textId="77777777" w:rsidR="005016F7" w:rsidRPr="00532388" w:rsidRDefault="005016F7" w:rsidP="0073095E">
      <w:pPr>
        <w:autoSpaceDE w:val="0"/>
        <w:autoSpaceDN w:val="0"/>
        <w:adjustRightInd w:val="0"/>
        <w:rPr>
          <w:rFonts w:eastAsia="TimesNewRoman"/>
          <w:sz w:val="22"/>
          <w:szCs w:val="22"/>
          <w:lang w:val="lt-LT" w:eastAsia="en-US"/>
        </w:rPr>
      </w:pPr>
    </w:p>
    <w:p w14:paraId="1BB87B9A" w14:textId="77777777" w:rsidR="0073095E" w:rsidRPr="00532388" w:rsidRDefault="0073095E" w:rsidP="0073095E">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Suaugę pacientai</w:t>
      </w:r>
    </w:p>
    <w:p w14:paraId="0F6A7094" w14:textId="77777777" w:rsidR="001633E8" w:rsidRPr="00532388" w:rsidRDefault="001633E8" w:rsidP="0073095E">
      <w:pPr>
        <w:autoSpaceDE w:val="0"/>
        <w:autoSpaceDN w:val="0"/>
        <w:adjustRightInd w:val="0"/>
        <w:rPr>
          <w:rFonts w:eastAsia="TimesNewRoman"/>
          <w:i/>
          <w:iCs/>
          <w:sz w:val="22"/>
          <w:szCs w:val="22"/>
          <w:u w:val="single"/>
          <w:lang w:val="lt-LT" w:eastAsia="en-US"/>
        </w:rPr>
      </w:pPr>
    </w:p>
    <w:p w14:paraId="016DA8FF" w14:textId="77777777" w:rsidR="0073095E" w:rsidRPr="00532388" w:rsidRDefault="005016F7" w:rsidP="0073095E">
      <w:pPr>
        <w:autoSpaceDE w:val="0"/>
        <w:autoSpaceDN w:val="0"/>
        <w:adjustRightInd w:val="0"/>
        <w:rPr>
          <w:rFonts w:eastAsia="TimesNewRoman"/>
          <w:i/>
          <w:iCs/>
          <w:sz w:val="22"/>
          <w:szCs w:val="22"/>
          <w:lang w:val="lt-LT" w:eastAsia="en-US"/>
        </w:rPr>
      </w:pPr>
      <w:r w:rsidRPr="00532388">
        <w:rPr>
          <w:rFonts w:eastAsia="TimesNewRoman"/>
          <w:i/>
          <w:iCs/>
          <w:sz w:val="22"/>
          <w:szCs w:val="22"/>
          <w:u w:val="single"/>
          <w:lang w:val="lt-LT" w:eastAsia="en-US"/>
        </w:rPr>
        <w:t>Darunaviro 800 </w:t>
      </w:r>
      <w:r w:rsidR="0073095E" w:rsidRPr="00532388">
        <w:rPr>
          <w:rFonts w:eastAsia="TimesNewRoman"/>
          <w:i/>
          <w:iCs/>
          <w:sz w:val="22"/>
          <w:szCs w:val="22"/>
          <w:u w:val="single"/>
          <w:lang w:val="lt-LT" w:eastAsia="en-US"/>
        </w:rPr>
        <w:t>mg vieną kartą per parą</w:t>
      </w:r>
      <w:r w:rsidRPr="00532388">
        <w:rPr>
          <w:rFonts w:eastAsia="TimesNewRoman"/>
          <w:i/>
          <w:iCs/>
          <w:sz w:val="22"/>
          <w:szCs w:val="22"/>
          <w:u w:val="single"/>
          <w:lang w:val="lt-LT" w:eastAsia="en-US"/>
        </w:rPr>
        <w:t xml:space="preserve"> dozės, vartojamos kartu su 150 </w:t>
      </w:r>
      <w:r w:rsidR="0073095E" w:rsidRPr="00532388">
        <w:rPr>
          <w:rFonts w:eastAsia="TimesNewRoman"/>
          <w:i/>
          <w:iCs/>
          <w:sz w:val="22"/>
          <w:szCs w:val="22"/>
          <w:u w:val="single"/>
          <w:lang w:val="lt-LT" w:eastAsia="en-US"/>
        </w:rPr>
        <w:t>mg kobicistato vieną kartą</w:t>
      </w:r>
      <w:r w:rsidRPr="00532388">
        <w:rPr>
          <w:rFonts w:eastAsia="TimesNewRoman"/>
          <w:i/>
          <w:iCs/>
          <w:sz w:val="22"/>
          <w:szCs w:val="22"/>
          <w:u w:val="single"/>
          <w:lang w:val="lt-LT" w:eastAsia="en-US"/>
        </w:rPr>
        <w:t xml:space="preserve"> </w:t>
      </w:r>
      <w:r w:rsidR="0073095E" w:rsidRPr="00532388">
        <w:rPr>
          <w:rFonts w:eastAsia="TimesNewRoman"/>
          <w:i/>
          <w:iCs/>
          <w:sz w:val="22"/>
          <w:szCs w:val="22"/>
          <w:u w:val="single"/>
          <w:lang w:val="lt-LT" w:eastAsia="en-US"/>
        </w:rPr>
        <w:t>per parą, veiksmingumas pacientams, kuriems ARG netaikytas ir kuriems ARG</w:t>
      </w:r>
      <w:r w:rsidRPr="00532388">
        <w:rPr>
          <w:rFonts w:eastAsia="TimesNewRoman"/>
          <w:i/>
          <w:iCs/>
          <w:sz w:val="22"/>
          <w:szCs w:val="22"/>
          <w:u w:val="single"/>
          <w:lang w:val="lt-LT" w:eastAsia="en-US"/>
        </w:rPr>
        <w:t xml:space="preserve"> buvo taikytas</w:t>
      </w:r>
    </w:p>
    <w:p w14:paraId="66F90032"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GS-US-216-130 yra vienos grupės atviras III fazės tyrimas, skirtas įvertinti darunaviro su kobicistatu</w:t>
      </w:r>
      <w:r w:rsidR="00A422CC" w:rsidRPr="00532388">
        <w:rPr>
          <w:rFonts w:eastAsia="TimesNewRoman"/>
          <w:sz w:val="22"/>
          <w:szCs w:val="22"/>
          <w:lang w:val="lt-LT" w:eastAsia="en-US"/>
        </w:rPr>
        <w:t xml:space="preserve"> </w:t>
      </w:r>
      <w:r w:rsidRPr="00532388">
        <w:rPr>
          <w:rFonts w:eastAsia="TimesNewRoman"/>
          <w:sz w:val="22"/>
          <w:szCs w:val="22"/>
          <w:lang w:val="lt-LT" w:eastAsia="en-US"/>
        </w:rPr>
        <w:t>farmakokinetiką, saugumą, toleravimą ir veiksmingumą, skiriant juos 313 ŽIV užsikrėtusių suaugusių</w:t>
      </w:r>
      <w:r w:rsidR="00A422CC" w:rsidRPr="00532388">
        <w:rPr>
          <w:rFonts w:eastAsia="TimesNewRoman"/>
          <w:sz w:val="22"/>
          <w:szCs w:val="22"/>
          <w:lang w:val="lt-LT" w:eastAsia="en-US"/>
        </w:rPr>
        <w:t xml:space="preserve"> </w:t>
      </w:r>
      <w:r w:rsidRPr="00532388">
        <w:rPr>
          <w:rFonts w:eastAsia="TimesNewRoman"/>
          <w:sz w:val="22"/>
          <w:szCs w:val="22"/>
          <w:lang w:val="lt-LT" w:eastAsia="en-US"/>
        </w:rPr>
        <w:t>pacientų (295 negavusiems gydymo ir 18 anksčiau gydytų). Pacientai vartojo 800</w:t>
      </w:r>
      <w:r w:rsidR="00A422CC" w:rsidRPr="00532388">
        <w:rPr>
          <w:rFonts w:eastAsia="TimesNewRoman"/>
          <w:sz w:val="22"/>
          <w:szCs w:val="22"/>
          <w:lang w:val="lt-LT" w:eastAsia="en-US"/>
        </w:rPr>
        <w:t> </w:t>
      </w:r>
      <w:r w:rsidRPr="00532388">
        <w:rPr>
          <w:rFonts w:eastAsia="TimesNewRoman"/>
          <w:sz w:val="22"/>
          <w:szCs w:val="22"/>
          <w:lang w:val="lt-LT" w:eastAsia="en-US"/>
        </w:rPr>
        <w:t>mg darunaviro vieną</w:t>
      </w:r>
      <w:r w:rsidR="00A422CC" w:rsidRPr="00532388">
        <w:rPr>
          <w:rFonts w:eastAsia="TimesNewRoman"/>
          <w:sz w:val="22"/>
          <w:szCs w:val="22"/>
          <w:lang w:val="lt-LT" w:eastAsia="en-US"/>
        </w:rPr>
        <w:t xml:space="preserve"> </w:t>
      </w:r>
      <w:r w:rsidRPr="00532388">
        <w:rPr>
          <w:rFonts w:eastAsia="TimesNewRoman"/>
          <w:sz w:val="22"/>
          <w:szCs w:val="22"/>
          <w:lang w:val="lt-LT" w:eastAsia="en-US"/>
        </w:rPr>
        <w:t>kartą per parą kartu su 150</w:t>
      </w:r>
      <w:r w:rsidR="00A422CC" w:rsidRPr="00532388">
        <w:rPr>
          <w:rFonts w:eastAsia="TimesNewRoman"/>
          <w:sz w:val="22"/>
          <w:szCs w:val="22"/>
          <w:lang w:val="lt-LT" w:eastAsia="en-US"/>
        </w:rPr>
        <w:t> </w:t>
      </w:r>
      <w:r w:rsidRPr="00532388">
        <w:rPr>
          <w:rFonts w:eastAsia="TimesNewRoman"/>
          <w:sz w:val="22"/>
          <w:szCs w:val="22"/>
          <w:lang w:val="lt-LT" w:eastAsia="en-US"/>
        </w:rPr>
        <w:t xml:space="preserve">mg kobicistato kartą per parą ir tyrėjo parinktu foniniu gydymo planu </w:t>
      </w:r>
      <w:r w:rsidR="00A422CC" w:rsidRPr="00532388">
        <w:rPr>
          <w:rFonts w:eastAsia="TimesNewRoman"/>
          <w:sz w:val="22"/>
          <w:szCs w:val="22"/>
          <w:lang w:val="lt-LT" w:eastAsia="en-US"/>
        </w:rPr>
        <w:t xml:space="preserve">dviem </w:t>
      </w:r>
      <w:r w:rsidRPr="00532388">
        <w:rPr>
          <w:rFonts w:eastAsia="TimesNewRoman"/>
          <w:sz w:val="22"/>
          <w:szCs w:val="22"/>
          <w:lang w:val="lt-LT" w:eastAsia="en-US"/>
        </w:rPr>
        <w:t>aktyviais NATI.</w:t>
      </w:r>
    </w:p>
    <w:p w14:paraId="79897BE4" w14:textId="77777777" w:rsidR="0073095E" w:rsidRPr="00532388" w:rsidRDefault="0073095E"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ŽIV-1 užsikrėtę pacientai, kurie buvo tinkami šiam tyrimui, atrankos metu turėjo genotipą, neatsparų</w:t>
      </w:r>
      <w:r w:rsidR="00A422CC" w:rsidRPr="00532388">
        <w:rPr>
          <w:rFonts w:eastAsia="TimesNewRoman"/>
          <w:sz w:val="22"/>
          <w:szCs w:val="22"/>
          <w:lang w:val="lt-LT" w:eastAsia="en-US"/>
        </w:rPr>
        <w:t xml:space="preserve"> </w:t>
      </w:r>
      <w:r w:rsidRPr="00532388">
        <w:rPr>
          <w:rFonts w:eastAsia="TimesNewRoman"/>
          <w:sz w:val="22"/>
          <w:szCs w:val="22"/>
          <w:lang w:val="lt-LT" w:eastAsia="en-US"/>
        </w:rPr>
        <w:t>darunavirui (DRV-ASM) ir plazmoje ŽIV-1 RNR buvo ≥ 1 000 kopijų/ml. Toliau esančioje lentelėje</w:t>
      </w:r>
      <w:r w:rsidR="00A422CC" w:rsidRPr="00532388">
        <w:rPr>
          <w:rFonts w:eastAsia="TimesNewRoman"/>
          <w:sz w:val="22"/>
          <w:szCs w:val="22"/>
          <w:lang w:val="lt-LT" w:eastAsia="en-US"/>
        </w:rPr>
        <w:t xml:space="preserve"> </w:t>
      </w:r>
      <w:r w:rsidRPr="00532388">
        <w:rPr>
          <w:rFonts w:eastAsia="TimesNewRoman"/>
          <w:sz w:val="22"/>
          <w:szCs w:val="22"/>
          <w:lang w:val="lt-LT" w:eastAsia="en-US"/>
        </w:rPr>
        <w:t xml:space="preserve">parodyti </w:t>
      </w:r>
      <w:r w:rsidRPr="00532388">
        <w:rPr>
          <w:rFonts w:eastAsia="TimesNewRoman"/>
          <w:i/>
          <w:iCs/>
          <w:sz w:val="22"/>
          <w:szCs w:val="22"/>
          <w:lang w:val="lt-LT" w:eastAsia="en-US"/>
        </w:rPr>
        <w:t xml:space="preserve">GS-US-216-130 </w:t>
      </w:r>
      <w:r w:rsidRPr="00532388">
        <w:rPr>
          <w:rFonts w:eastAsia="TimesNewRoman"/>
          <w:sz w:val="22"/>
          <w:szCs w:val="22"/>
          <w:lang w:val="lt-LT" w:eastAsia="en-US"/>
        </w:rPr>
        <w:t>tyrimo 48-tos savaitės rezultatų analizės veiksmingumo duomenys:</w:t>
      </w:r>
    </w:p>
    <w:p w14:paraId="2A62DD8E" w14:textId="77777777" w:rsidR="0073095E" w:rsidRPr="00532388" w:rsidRDefault="0073095E" w:rsidP="0073095E">
      <w:pPr>
        <w:tabs>
          <w:tab w:val="left" w:pos="567"/>
        </w:tabs>
        <w:ind w:right="-20"/>
        <w:rPr>
          <w:rFonts w:eastAsia="Times New Roman"/>
          <w:sz w:val="7"/>
          <w:szCs w:val="7"/>
          <w:lang w:val="lt-LT" w:eastAsia="en-US"/>
        </w:rPr>
      </w:pPr>
    </w:p>
    <w:p w14:paraId="2DDA50A7" w14:textId="77777777" w:rsidR="000E442A" w:rsidRPr="00532388" w:rsidRDefault="000E442A" w:rsidP="0073095E">
      <w:pPr>
        <w:tabs>
          <w:tab w:val="left" w:pos="567"/>
        </w:tabs>
        <w:ind w:right="-20"/>
        <w:rPr>
          <w:rFonts w:eastAsia="Times New Roman"/>
          <w:sz w:val="7"/>
          <w:szCs w:val="7"/>
          <w:lang w:val="lt-LT" w:eastAsia="en-US"/>
        </w:rPr>
      </w:pPr>
    </w:p>
    <w:tbl>
      <w:tblPr>
        <w:tblW w:w="0" w:type="auto"/>
        <w:tblInd w:w="5" w:type="dxa"/>
        <w:tblLayout w:type="fixed"/>
        <w:tblCellMar>
          <w:left w:w="0" w:type="dxa"/>
          <w:right w:w="0" w:type="dxa"/>
        </w:tblCellMar>
        <w:tblLook w:val="01E0" w:firstRow="1" w:lastRow="1" w:firstColumn="1" w:lastColumn="1" w:noHBand="0" w:noVBand="0"/>
      </w:tblPr>
      <w:tblGrid>
        <w:gridCol w:w="2633"/>
        <w:gridCol w:w="2146"/>
        <w:gridCol w:w="2146"/>
        <w:gridCol w:w="2148"/>
      </w:tblGrid>
      <w:tr w:rsidR="001633E8" w:rsidRPr="00DD4E66" w14:paraId="7064A019" w14:textId="77777777" w:rsidTr="00C23338">
        <w:trPr>
          <w:trHeight w:hRule="exact" w:val="240"/>
        </w:trPr>
        <w:tc>
          <w:tcPr>
            <w:tcW w:w="2633" w:type="dxa"/>
            <w:vMerge w:val="restart"/>
            <w:tcBorders>
              <w:top w:val="single" w:sz="4" w:space="0" w:color="000000"/>
              <w:left w:val="single" w:sz="4" w:space="0" w:color="000000"/>
              <w:right w:val="single" w:sz="4" w:space="0" w:color="000000"/>
            </w:tcBorders>
          </w:tcPr>
          <w:p w14:paraId="2B54D5C2" w14:textId="77777777" w:rsidR="001633E8" w:rsidRPr="00DD4E66" w:rsidRDefault="001633E8" w:rsidP="0073095E">
            <w:pPr>
              <w:tabs>
                <w:tab w:val="left" w:pos="567"/>
              </w:tabs>
              <w:spacing w:line="200" w:lineRule="exact"/>
              <w:rPr>
                <w:rFonts w:eastAsia="Times New Roman"/>
                <w:sz w:val="20"/>
                <w:lang w:val="lt-LT" w:eastAsia="en-US"/>
              </w:rPr>
            </w:pPr>
          </w:p>
          <w:p w14:paraId="70994B11" w14:textId="77777777" w:rsidR="001633E8" w:rsidRPr="00DD4E66" w:rsidRDefault="001633E8" w:rsidP="0073095E">
            <w:pPr>
              <w:tabs>
                <w:tab w:val="left" w:pos="567"/>
              </w:tabs>
              <w:spacing w:before="10" w:line="260" w:lineRule="exact"/>
              <w:rPr>
                <w:rFonts w:eastAsia="Times New Roman"/>
                <w:sz w:val="20"/>
                <w:lang w:val="lt-LT" w:eastAsia="en-US"/>
              </w:rPr>
            </w:pPr>
          </w:p>
          <w:p w14:paraId="43E1B1FA" w14:textId="77777777" w:rsidR="001633E8" w:rsidRPr="00DD4E66" w:rsidRDefault="001633E8" w:rsidP="00F5005B">
            <w:pPr>
              <w:tabs>
                <w:tab w:val="left" w:pos="567"/>
              </w:tabs>
              <w:ind w:left="100" w:right="-20"/>
              <w:jc w:val="center"/>
              <w:rPr>
                <w:rFonts w:eastAsia="Times New Roman"/>
                <w:sz w:val="20"/>
                <w:lang w:val="lt-LT" w:eastAsia="en-US"/>
              </w:rPr>
            </w:pPr>
            <w:r w:rsidRPr="00DD4E66">
              <w:rPr>
                <w:i/>
                <w:iCs/>
                <w:sz w:val="20"/>
                <w:lang w:val="lt-LT" w:eastAsia="en-US"/>
              </w:rPr>
              <w:t>Baigtys 48-tą savaitę</w:t>
            </w:r>
          </w:p>
        </w:tc>
        <w:tc>
          <w:tcPr>
            <w:tcW w:w="6440" w:type="dxa"/>
            <w:gridSpan w:val="3"/>
            <w:tcBorders>
              <w:top w:val="single" w:sz="4" w:space="0" w:color="000000"/>
              <w:left w:val="single" w:sz="4" w:space="0" w:color="000000"/>
              <w:bottom w:val="single" w:sz="4" w:space="0" w:color="000000"/>
              <w:right w:val="single" w:sz="4" w:space="0" w:color="000000"/>
            </w:tcBorders>
            <w:hideMark/>
          </w:tcPr>
          <w:p w14:paraId="4475A5C0" w14:textId="77777777" w:rsidR="001633E8" w:rsidRPr="00DD4E66" w:rsidRDefault="001633E8" w:rsidP="0073095E">
            <w:pPr>
              <w:tabs>
                <w:tab w:val="left" w:pos="567"/>
              </w:tabs>
              <w:spacing w:line="228" w:lineRule="exact"/>
              <w:ind w:left="110" w:right="93"/>
              <w:jc w:val="center"/>
              <w:rPr>
                <w:rFonts w:eastAsia="Times New Roman"/>
                <w:sz w:val="20"/>
                <w:lang w:val="lt-LT" w:eastAsia="en-US"/>
              </w:rPr>
            </w:pPr>
            <w:r w:rsidRPr="00DD4E66">
              <w:rPr>
                <w:rFonts w:eastAsia="Times New Roman"/>
                <w:sz w:val="20"/>
                <w:lang w:val="lt-LT" w:eastAsia="en-US"/>
              </w:rPr>
              <w:t>GS-US-216-130</w:t>
            </w:r>
          </w:p>
        </w:tc>
      </w:tr>
      <w:tr w:rsidR="001633E8" w:rsidRPr="00DD4E66" w14:paraId="43E003A1" w14:textId="77777777" w:rsidTr="00C23338">
        <w:trPr>
          <w:trHeight w:hRule="exact" w:val="1318"/>
        </w:trPr>
        <w:tc>
          <w:tcPr>
            <w:tcW w:w="2633" w:type="dxa"/>
            <w:vMerge/>
            <w:tcBorders>
              <w:left w:val="single" w:sz="4" w:space="0" w:color="000000"/>
              <w:bottom w:val="single" w:sz="4" w:space="0" w:color="000000"/>
              <w:right w:val="single" w:sz="4" w:space="0" w:color="000000"/>
            </w:tcBorders>
          </w:tcPr>
          <w:p w14:paraId="5F5EC7C1" w14:textId="77777777" w:rsidR="001633E8" w:rsidRPr="00DD4E66" w:rsidRDefault="001633E8" w:rsidP="00F5005B">
            <w:pPr>
              <w:tabs>
                <w:tab w:val="left" w:pos="567"/>
              </w:tabs>
              <w:ind w:left="100" w:right="-20"/>
              <w:jc w:val="center"/>
              <w:rPr>
                <w:rFonts w:eastAsia="Times New Roman"/>
                <w:sz w:val="20"/>
                <w:lang w:val="lt-LT" w:eastAsia="en-US"/>
              </w:rPr>
            </w:pPr>
          </w:p>
        </w:tc>
        <w:tc>
          <w:tcPr>
            <w:tcW w:w="2146" w:type="dxa"/>
            <w:tcBorders>
              <w:top w:val="single" w:sz="4" w:space="0" w:color="000000"/>
              <w:left w:val="single" w:sz="4" w:space="0" w:color="000000"/>
              <w:bottom w:val="single" w:sz="4" w:space="0" w:color="000000"/>
              <w:right w:val="single" w:sz="4" w:space="0" w:color="000000"/>
            </w:tcBorders>
            <w:hideMark/>
          </w:tcPr>
          <w:p w14:paraId="52222DE0" w14:textId="77777777" w:rsidR="001633E8" w:rsidRPr="00DD4E66" w:rsidRDefault="001633E8" w:rsidP="00F5005B">
            <w:pPr>
              <w:autoSpaceDE w:val="0"/>
              <w:autoSpaceDN w:val="0"/>
              <w:adjustRightInd w:val="0"/>
              <w:jc w:val="center"/>
              <w:rPr>
                <w:rFonts w:eastAsia="TimesNewRoman"/>
                <w:sz w:val="20"/>
                <w:lang w:val="lt-LT" w:eastAsia="en-US"/>
              </w:rPr>
            </w:pPr>
            <w:r w:rsidRPr="00DD4E66">
              <w:rPr>
                <w:rFonts w:eastAsia="TimesNewRoman"/>
                <w:sz w:val="20"/>
                <w:lang w:val="lt-LT" w:eastAsia="en-US"/>
              </w:rPr>
              <w:t>Gydymas netaikytas darunaviru/kobicistatu 800/150 mg vieną kartą per parą + OPP</w:t>
            </w:r>
          </w:p>
          <w:p w14:paraId="0446C066" w14:textId="77777777" w:rsidR="001633E8" w:rsidRPr="00DD4E66" w:rsidRDefault="001633E8" w:rsidP="00F5005B">
            <w:pPr>
              <w:tabs>
                <w:tab w:val="left" w:pos="567"/>
              </w:tabs>
              <w:ind w:left="110" w:right="93"/>
              <w:jc w:val="center"/>
              <w:rPr>
                <w:rFonts w:eastAsia="Times New Roman"/>
                <w:sz w:val="20"/>
                <w:lang w:val="lt-LT" w:eastAsia="en-US"/>
              </w:rPr>
            </w:pPr>
            <w:r w:rsidRPr="00DD4E66">
              <w:rPr>
                <w:rFonts w:eastAsia="Times New Roman"/>
                <w:sz w:val="20"/>
                <w:lang w:val="lt-LT" w:eastAsia="en-US"/>
              </w:rPr>
              <w:t>N=295</w:t>
            </w:r>
          </w:p>
        </w:tc>
        <w:tc>
          <w:tcPr>
            <w:tcW w:w="2146" w:type="dxa"/>
            <w:tcBorders>
              <w:top w:val="single" w:sz="4" w:space="0" w:color="000000"/>
              <w:left w:val="single" w:sz="4" w:space="0" w:color="000000"/>
              <w:bottom w:val="single" w:sz="4" w:space="0" w:color="000000"/>
              <w:right w:val="single" w:sz="4" w:space="0" w:color="000000"/>
            </w:tcBorders>
            <w:hideMark/>
          </w:tcPr>
          <w:p w14:paraId="294FAA40" w14:textId="77777777" w:rsidR="001633E8" w:rsidRPr="00DD4E66" w:rsidRDefault="001633E8" w:rsidP="00F5005B">
            <w:pPr>
              <w:autoSpaceDE w:val="0"/>
              <w:autoSpaceDN w:val="0"/>
              <w:adjustRightInd w:val="0"/>
              <w:jc w:val="center"/>
              <w:rPr>
                <w:rFonts w:eastAsia="TimesNewRoman"/>
                <w:sz w:val="20"/>
                <w:lang w:val="lt-LT" w:eastAsia="en-US"/>
              </w:rPr>
            </w:pPr>
            <w:r w:rsidRPr="00DD4E66">
              <w:rPr>
                <w:rFonts w:eastAsia="TimesNewRoman"/>
                <w:sz w:val="20"/>
                <w:lang w:val="lt-LT" w:eastAsia="en-US"/>
              </w:rPr>
              <w:t>Gydymas taikytas</w:t>
            </w:r>
          </w:p>
          <w:p w14:paraId="70431EA2" w14:textId="77777777" w:rsidR="001633E8" w:rsidRPr="00DD4E66" w:rsidRDefault="001633E8" w:rsidP="00F5005B">
            <w:pPr>
              <w:autoSpaceDE w:val="0"/>
              <w:autoSpaceDN w:val="0"/>
              <w:adjustRightInd w:val="0"/>
              <w:jc w:val="center"/>
              <w:rPr>
                <w:rFonts w:eastAsia="TimesNewRoman"/>
                <w:sz w:val="20"/>
                <w:lang w:val="lt-LT" w:eastAsia="en-US"/>
              </w:rPr>
            </w:pPr>
            <w:r w:rsidRPr="00DD4E66">
              <w:rPr>
                <w:rFonts w:eastAsia="TimesNewRoman"/>
                <w:sz w:val="20"/>
                <w:lang w:val="lt-LT" w:eastAsia="en-US"/>
              </w:rPr>
              <w:t>darunaviru/kobicistatu 800/150 mg vieną kartą per parą + OPP</w:t>
            </w:r>
          </w:p>
          <w:p w14:paraId="59FB0E55" w14:textId="77777777" w:rsidR="001633E8" w:rsidRPr="00DD4E66" w:rsidRDefault="001633E8" w:rsidP="00F5005B">
            <w:pPr>
              <w:autoSpaceDE w:val="0"/>
              <w:autoSpaceDN w:val="0"/>
              <w:adjustRightInd w:val="0"/>
              <w:jc w:val="center"/>
              <w:rPr>
                <w:rFonts w:eastAsia="Times New Roman"/>
                <w:sz w:val="20"/>
                <w:lang w:val="lt-LT" w:eastAsia="en-US"/>
              </w:rPr>
            </w:pPr>
            <w:r w:rsidRPr="00DD4E66">
              <w:rPr>
                <w:rFonts w:eastAsia="Times New Roman"/>
                <w:sz w:val="20"/>
                <w:lang w:val="lt-LT" w:eastAsia="en-US"/>
              </w:rPr>
              <w:t>N=18</w:t>
            </w:r>
          </w:p>
        </w:tc>
        <w:tc>
          <w:tcPr>
            <w:tcW w:w="2148" w:type="dxa"/>
            <w:tcBorders>
              <w:top w:val="single" w:sz="4" w:space="0" w:color="000000"/>
              <w:left w:val="single" w:sz="4" w:space="0" w:color="000000"/>
              <w:bottom w:val="single" w:sz="4" w:space="0" w:color="000000"/>
              <w:right w:val="single" w:sz="4" w:space="0" w:color="000000"/>
            </w:tcBorders>
            <w:hideMark/>
          </w:tcPr>
          <w:p w14:paraId="0F61B8DC" w14:textId="77777777" w:rsidR="001633E8" w:rsidRPr="00DD4E66" w:rsidRDefault="001633E8" w:rsidP="00F5005B">
            <w:pPr>
              <w:autoSpaceDE w:val="0"/>
              <w:autoSpaceDN w:val="0"/>
              <w:adjustRightInd w:val="0"/>
              <w:jc w:val="center"/>
              <w:rPr>
                <w:rFonts w:eastAsia="Times New Roman"/>
                <w:sz w:val="20"/>
                <w:lang w:val="lt-LT" w:eastAsia="en-US"/>
              </w:rPr>
            </w:pPr>
            <w:r w:rsidRPr="00DD4E66">
              <w:rPr>
                <w:rFonts w:eastAsia="TimesNewRoman"/>
                <w:sz w:val="20"/>
                <w:lang w:val="lt-LT" w:eastAsia="en-US"/>
              </w:rPr>
              <w:t>Visi tiriamieji, vartoję darunaviro/kobicistato 800/150 mg vieną kartą per parą + OPP</w:t>
            </w:r>
          </w:p>
          <w:p w14:paraId="32FD8B91" w14:textId="77777777" w:rsidR="001633E8" w:rsidRPr="00DD4E66" w:rsidRDefault="001633E8" w:rsidP="00F5005B">
            <w:pPr>
              <w:tabs>
                <w:tab w:val="left" w:pos="567"/>
              </w:tabs>
              <w:ind w:left="110" w:right="93"/>
              <w:jc w:val="center"/>
              <w:rPr>
                <w:rFonts w:eastAsia="Times New Roman"/>
                <w:sz w:val="20"/>
                <w:lang w:val="lt-LT" w:eastAsia="en-US"/>
              </w:rPr>
            </w:pPr>
            <w:r w:rsidRPr="00DD4E66">
              <w:rPr>
                <w:rFonts w:eastAsia="Times New Roman"/>
                <w:sz w:val="20"/>
                <w:lang w:val="lt-LT" w:eastAsia="en-US"/>
              </w:rPr>
              <w:t>N=313</w:t>
            </w:r>
          </w:p>
        </w:tc>
      </w:tr>
      <w:tr w:rsidR="0073095E" w:rsidRPr="00DD4E66" w14:paraId="152B8E0C" w14:textId="77777777" w:rsidTr="0073095E">
        <w:trPr>
          <w:trHeight w:hRule="exact" w:val="240"/>
        </w:trPr>
        <w:tc>
          <w:tcPr>
            <w:tcW w:w="2633" w:type="dxa"/>
            <w:tcBorders>
              <w:top w:val="single" w:sz="4" w:space="0" w:color="000000"/>
              <w:left w:val="single" w:sz="4" w:space="0" w:color="000000"/>
              <w:bottom w:val="single" w:sz="4" w:space="0" w:color="000000"/>
              <w:right w:val="single" w:sz="4" w:space="0" w:color="000000"/>
            </w:tcBorders>
            <w:hideMark/>
          </w:tcPr>
          <w:p w14:paraId="03F81C0C" w14:textId="77777777" w:rsidR="0073095E" w:rsidRPr="00DD4E66" w:rsidRDefault="00F5005B" w:rsidP="00F5005B">
            <w:pPr>
              <w:tabs>
                <w:tab w:val="left" w:pos="567"/>
              </w:tabs>
              <w:spacing w:line="239" w:lineRule="exact"/>
              <w:ind w:left="100" w:right="-20"/>
              <w:rPr>
                <w:rFonts w:eastAsia="Times New Roman"/>
                <w:sz w:val="20"/>
                <w:lang w:val="lt-LT" w:eastAsia="en-US"/>
              </w:rPr>
            </w:pPr>
            <w:r w:rsidRPr="00DD4E66">
              <w:rPr>
                <w:rFonts w:eastAsia="Times New Roman"/>
                <w:spacing w:val="1"/>
                <w:sz w:val="20"/>
                <w:lang w:val="lt-LT" w:eastAsia="en-US"/>
              </w:rPr>
              <w:t>Ž</w:t>
            </w:r>
            <w:r w:rsidR="0073095E" w:rsidRPr="00DD4E66">
              <w:rPr>
                <w:rFonts w:eastAsia="Times New Roman"/>
                <w:spacing w:val="1"/>
                <w:sz w:val="20"/>
                <w:lang w:val="lt-LT" w:eastAsia="en-US"/>
              </w:rPr>
              <w:t>I</w:t>
            </w:r>
            <w:r w:rsidR="0073095E" w:rsidRPr="00DD4E66">
              <w:rPr>
                <w:rFonts w:eastAsia="Times New Roman"/>
                <w:sz w:val="20"/>
                <w:lang w:val="lt-LT" w:eastAsia="en-US"/>
              </w:rPr>
              <w:t>V</w:t>
            </w:r>
            <w:r w:rsidR="0073095E" w:rsidRPr="00DD4E66">
              <w:rPr>
                <w:rFonts w:eastAsia="Times New Roman"/>
                <w:spacing w:val="-2"/>
                <w:sz w:val="20"/>
                <w:lang w:val="lt-LT" w:eastAsia="en-US"/>
              </w:rPr>
              <w:t>-</w:t>
            </w:r>
            <w:r w:rsidR="0073095E" w:rsidRPr="00DD4E66">
              <w:rPr>
                <w:rFonts w:eastAsia="Times New Roman"/>
                <w:sz w:val="20"/>
                <w:lang w:val="lt-LT" w:eastAsia="en-US"/>
              </w:rPr>
              <w:t>1</w:t>
            </w:r>
            <w:r w:rsidR="0073095E" w:rsidRPr="00DD4E66">
              <w:rPr>
                <w:rFonts w:eastAsia="Times New Roman"/>
                <w:spacing w:val="-5"/>
                <w:sz w:val="20"/>
                <w:lang w:val="lt-LT" w:eastAsia="en-US"/>
              </w:rPr>
              <w:t xml:space="preserve"> </w:t>
            </w:r>
            <w:r w:rsidR="0073095E" w:rsidRPr="00DD4E66">
              <w:rPr>
                <w:rFonts w:eastAsia="Times New Roman"/>
                <w:sz w:val="20"/>
                <w:lang w:val="lt-LT" w:eastAsia="en-US"/>
              </w:rPr>
              <w:t>RN</w:t>
            </w:r>
            <w:r w:rsidRPr="00DD4E66">
              <w:rPr>
                <w:rFonts w:eastAsia="Times New Roman"/>
                <w:sz w:val="20"/>
                <w:lang w:val="lt-LT" w:eastAsia="en-US"/>
              </w:rPr>
              <w:t>R</w:t>
            </w:r>
            <w:r w:rsidR="0073095E" w:rsidRPr="00DD4E66">
              <w:rPr>
                <w:rFonts w:eastAsia="Times New Roman"/>
                <w:spacing w:val="-4"/>
                <w:sz w:val="20"/>
                <w:lang w:val="lt-LT" w:eastAsia="en-US"/>
              </w:rPr>
              <w:t xml:space="preserve"> </w:t>
            </w:r>
            <w:r w:rsidR="0073095E" w:rsidRPr="00DD4E66">
              <w:rPr>
                <w:rFonts w:eastAsia="Times New Roman"/>
                <w:sz w:val="20"/>
                <w:lang w:val="lt-LT" w:eastAsia="en-US"/>
              </w:rPr>
              <w:t xml:space="preserve">&lt; </w:t>
            </w:r>
            <w:r w:rsidR="0073095E" w:rsidRPr="00DD4E66">
              <w:rPr>
                <w:rFonts w:eastAsia="Times New Roman"/>
                <w:spacing w:val="1"/>
                <w:sz w:val="20"/>
                <w:lang w:val="lt-LT" w:eastAsia="en-US"/>
              </w:rPr>
              <w:t>5</w:t>
            </w:r>
            <w:r w:rsidRPr="00DD4E66">
              <w:rPr>
                <w:rFonts w:eastAsia="Times New Roman"/>
                <w:sz w:val="20"/>
                <w:lang w:val="lt-LT" w:eastAsia="en-US"/>
              </w:rPr>
              <w:t>0 k</w:t>
            </w:r>
            <w:r w:rsidR="0073095E" w:rsidRPr="00DD4E66">
              <w:rPr>
                <w:rFonts w:eastAsia="Times New Roman"/>
                <w:sz w:val="20"/>
                <w:lang w:val="lt-LT" w:eastAsia="en-US"/>
              </w:rPr>
              <w:t>opi</w:t>
            </w:r>
            <w:r w:rsidRPr="00DD4E66">
              <w:rPr>
                <w:rFonts w:eastAsia="Times New Roman"/>
                <w:sz w:val="20"/>
                <w:lang w:val="lt-LT" w:eastAsia="en-US"/>
              </w:rPr>
              <w:t>jų</w:t>
            </w:r>
            <w:r w:rsidR="0073095E" w:rsidRPr="00DD4E66">
              <w:rPr>
                <w:rFonts w:eastAsia="Times New Roman"/>
                <w:sz w:val="20"/>
                <w:lang w:val="lt-LT" w:eastAsia="en-US"/>
              </w:rPr>
              <w:t>/ml</w:t>
            </w:r>
            <w:r w:rsidR="0073095E" w:rsidRPr="00DD4E66">
              <w:rPr>
                <w:rFonts w:eastAsia="Times New Roman"/>
                <w:position w:val="9"/>
                <w:sz w:val="20"/>
                <w:lang w:val="lt-LT" w:eastAsia="en-US"/>
              </w:rPr>
              <w:t>a</w:t>
            </w:r>
          </w:p>
        </w:tc>
        <w:tc>
          <w:tcPr>
            <w:tcW w:w="2146" w:type="dxa"/>
            <w:tcBorders>
              <w:top w:val="single" w:sz="4" w:space="0" w:color="000000"/>
              <w:left w:val="single" w:sz="4" w:space="0" w:color="000000"/>
              <w:bottom w:val="single" w:sz="4" w:space="0" w:color="000000"/>
              <w:right w:val="single" w:sz="4" w:space="0" w:color="000000"/>
            </w:tcBorders>
            <w:hideMark/>
          </w:tcPr>
          <w:p w14:paraId="6058A2B1" w14:textId="77777777" w:rsidR="0073095E" w:rsidRPr="00DD4E66" w:rsidRDefault="0073095E" w:rsidP="0073095E">
            <w:pPr>
              <w:tabs>
                <w:tab w:val="left" w:pos="567"/>
              </w:tabs>
              <w:spacing w:before="8"/>
              <w:ind w:left="563" w:right="-20"/>
              <w:rPr>
                <w:rFonts w:eastAsia="Times New Roman"/>
                <w:sz w:val="20"/>
                <w:lang w:val="lt-LT" w:eastAsia="en-US"/>
              </w:rPr>
            </w:pPr>
            <w:r w:rsidRPr="00DD4E66">
              <w:rPr>
                <w:rFonts w:eastAsia="Times New Roman"/>
                <w:sz w:val="20"/>
                <w:lang w:val="lt-LT" w:eastAsia="en-US"/>
              </w:rPr>
              <w:t>245</w:t>
            </w:r>
            <w:r w:rsidRPr="00DD4E66">
              <w:rPr>
                <w:rFonts w:eastAsia="Times New Roman"/>
                <w:spacing w:val="-2"/>
                <w:sz w:val="20"/>
                <w:lang w:val="lt-LT" w:eastAsia="en-US"/>
              </w:rPr>
              <w:t xml:space="preserve"> </w:t>
            </w:r>
            <w:r w:rsidR="00F5005B" w:rsidRPr="00DD4E66">
              <w:rPr>
                <w:rFonts w:eastAsia="Times New Roman"/>
                <w:sz w:val="20"/>
                <w:lang w:val="lt-LT" w:eastAsia="en-US"/>
              </w:rPr>
              <w:t>(83,</w:t>
            </w:r>
            <w:r w:rsidRPr="00DD4E66">
              <w:rPr>
                <w:rFonts w:eastAsia="Times New Roman"/>
                <w:sz w:val="20"/>
                <w:lang w:val="lt-LT" w:eastAsia="en-US"/>
              </w:rPr>
              <w:t>1%)</w:t>
            </w:r>
          </w:p>
        </w:tc>
        <w:tc>
          <w:tcPr>
            <w:tcW w:w="2146" w:type="dxa"/>
            <w:tcBorders>
              <w:top w:val="single" w:sz="4" w:space="0" w:color="000000"/>
              <w:left w:val="single" w:sz="4" w:space="0" w:color="000000"/>
              <w:bottom w:val="single" w:sz="4" w:space="0" w:color="000000"/>
              <w:right w:val="single" w:sz="4" w:space="0" w:color="000000"/>
            </w:tcBorders>
            <w:hideMark/>
          </w:tcPr>
          <w:p w14:paraId="43665231" w14:textId="77777777" w:rsidR="0073095E" w:rsidRPr="00DD4E66" w:rsidRDefault="0073095E" w:rsidP="0073095E">
            <w:pPr>
              <w:tabs>
                <w:tab w:val="left" w:pos="567"/>
              </w:tabs>
              <w:spacing w:before="8"/>
              <w:ind w:left="666" w:right="-20"/>
              <w:rPr>
                <w:rFonts w:eastAsia="Times New Roman"/>
                <w:sz w:val="20"/>
                <w:lang w:val="lt-LT" w:eastAsia="en-US"/>
              </w:rPr>
            </w:pPr>
            <w:r w:rsidRPr="00DD4E66">
              <w:rPr>
                <w:rFonts w:eastAsia="Times New Roman"/>
                <w:sz w:val="20"/>
                <w:lang w:val="lt-LT" w:eastAsia="en-US"/>
              </w:rPr>
              <w:t xml:space="preserve">8 </w:t>
            </w:r>
            <w:r w:rsidR="00F5005B" w:rsidRPr="00DD4E66">
              <w:rPr>
                <w:rFonts w:eastAsia="Times New Roman"/>
                <w:spacing w:val="1"/>
                <w:sz w:val="20"/>
                <w:lang w:val="lt-LT" w:eastAsia="en-US"/>
              </w:rPr>
              <w:t>(44,</w:t>
            </w:r>
            <w:r w:rsidRPr="00DD4E66">
              <w:rPr>
                <w:rFonts w:eastAsia="Times New Roman"/>
                <w:spacing w:val="1"/>
                <w:sz w:val="20"/>
                <w:lang w:val="lt-LT" w:eastAsia="en-US"/>
              </w:rPr>
              <w:t>4%)</w:t>
            </w:r>
          </w:p>
        </w:tc>
        <w:tc>
          <w:tcPr>
            <w:tcW w:w="2148" w:type="dxa"/>
            <w:tcBorders>
              <w:top w:val="single" w:sz="4" w:space="0" w:color="000000"/>
              <w:left w:val="single" w:sz="4" w:space="0" w:color="000000"/>
              <w:bottom w:val="single" w:sz="4" w:space="0" w:color="000000"/>
              <w:right w:val="single" w:sz="4" w:space="0" w:color="000000"/>
            </w:tcBorders>
            <w:hideMark/>
          </w:tcPr>
          <w:p w14:paraId="476BFF3C" w14:textId="77777777" w:rsidR="0073095E" w:rsidRPr="00DD4E66" w:rsidRDefault="0073095E" w:rsidP="0073095E">
            <w:pPr>
              <w:tabs>
                <w:tab w:val="left" w:pos="567"/>
              </w:tabs>
              <w:spacing w:before="8"/>
              <w:ind w:left="568" w:right="-20"/>
              <w:rPr>
                <w:rFonts w:eastAsia="Times New Roman"/>
                <w:sz w:val="20"/>
                <w:lang w:val="lt-LT" w:eastAsia="en-US"/>
              </w:rPr>
            </w:pPr>
            <w:r w:rsidRPr="00DD4E66">
              <w:rPr>
                <w:rFonts w:eastAsia="Times New Roman"/>
                <w:sz w:val="20"/>
                <w:lang w:val="lt-LT" w:eastAsia="en-US"/>
              </w:rPr>
              <w:t>253</w:t>
            </w:r>
            <w:r w:rsidRPr="00DD4E66">
              <w:rPr>
                <w:rFonts w:eastAsia="Times New Roman"/>
                <w:spacing w:val="-2"/>
                <w:sz w:val="20"/>
                <w:lang w:val="lt-LT" w:eastAsia="en-US"/>
              </w:rPr>
              <w:t xml:space="preserve"> </w:t>
            </w:r>
            <w:r w:rsidR="00F5005B" w:rsidRPr="00DD4E66">
              <w:rPr>
                <w:rFonts w:eastAsia="Times New Roman"/>
                <w:sz w:val="20"/>
                <w:lang w:val="lt-LT" w:eastAsia="en-US"/>
              </w:rPr>
              <w:t>(80,</w:t>
            </w:r>
            <w:r w:rsidRPr="00DD4E66">
              <w:rPr>
                <w:rFonts w:eastAsia="Times New Roman"/>
                <w:sz w:val="20"/>
                <w:lang w:val="lt-LT" w:eastAsia="en-US"/>
              </w:rPr>
              <w:t>8%)</w:t>
            </w:r>
          </w:p>
        </w:tc>
      </w:tr>
      <w:tr w:rsidR="0073095E" w:rsidRPr="00DD4E66" w14:paraId="3ACC15E3" w14:textId="77777777" w:rsidTr="0073095E">
        <w:trPr>
          <w:trHeight w:hRule="exact" w:val="698"/>
        </w:trPr>
        <w:tc>
          <w:tcPr>
            <w:tcW w:w="2633" w:type="dxa"/>
            <w:tcBorders>
              <w:top w:val="single" w:sz="4" w:space="0" w:color="000000"/>
              <w:left w:val="single" w:sz="4" w:space="0" w:color="000000"/>
              <w:bottom w:val="single" w:sz="4" w:space="0" w:color="000000"/>
              <w:right w:val="single" w:sz="4" w:space="0" w:color="000000"/>
            </w:tcBorders>
            <w:hideMark/>
          </w:tcPr>
          <w:p w14:paraId="42F50F64" w14:textId="77777777" w:rsidR="0073095E" w:rsidRPr="00DD4E66" w:rsidRDefault="00F5005B" w:rsidP="0073095E">
            <w:pPr>
              <w:tabs>
                <w:tab w:val="left" w:pos="567"/>
              </w:tabs>
              <w:spacing w:before="8"/>
              <w:ind w:left="100" w:right="69"/>
              <w:rPr>
                <w:rFonts w:eastAsia="Times New Roman"/>
                <w:sz w:val="20"/>
                <w:lang w:val="lt-LT" w:eastAsia="en-US"/>
              </w:rPr>
            </w:pPr>
            <w:r w:rsidRPr="00DD4E66">
              <w:rPr>
                <w:rFonts w:eastAsia="Times New Roman"/>
                <w:sz w:val="20"/>
                <w:lang w:val="lt-LT" w:eastAsia="en-US"/>
              </w:rPr>
              <w:t>Ž</w:t>
            </w:r>
            <w:r w:rsidR="0073095E" w:rsidRPr="00DD4E66">
              <w:rPr>
                <w:rFonts w:eastAsia="Times New Roman"/>
                <w:sz w:val="20"/>
                <w:lang w:val="lt-LT" w:eastAsia="en-US"/>
              </w:rPr>
              <w:t>I</w:t>
            </w:r>
            <w:r w:rsidR="0073095E" w:rsidRPr="00DD4E66">
              <w:rPr>
                <w:rFonts w:eastAsia="Times New Roman"/>
                <w:spacing w:val="2"/>
                <w:sz w:val="20"/>
                <w:lang w:val="lt-LT" w:eastAsia="en-US"/>
              </w:rPr>
              <w:t>V</w:t>
            </w:r>
            <w:r w:rsidR="0073095E" w:rsidRPr="00DD4E66">
              <w:rPr>
                <w:rFonts w:eastAsia="Times New Roman"/>
                <w:spacing w:val="-2"/>
                <w:sz w:val="20"/>
                <w:lang w:val="lt-LT" w:eastAsia="en-US"/>
              </w:rPr>
              <w:t>-</w:t>
            </w:r>
            <w:r w:rsidR="0073095E" w:rsidRPr="00DD4E66">
              <w:rPr>
                <w:rFonts w:eastAsia="Times New Roman"/>
                <w:sz w:val="20"/>
                <w:lang w:val="lt-LT" w:eastAsia="en-US"/>
              </w:rPr>
              <w:t>1</w:t>
            </w:r>
            <w:r w:rsidR="0073095E" w:rsidRPr="00DD4E66">
              <w:rPr>
                <w:rFonts w:eastAsia="Times New Roman"/>
                <w:spacing w:val="-3"/>
                <w:sz w:val="20"/>
                <w:lang w:val="lt-LT" w:eastAsia="en-US"/>
              </w:rPr>
              <w:t xml:space="preserve"> </w:t>
            </w:r>
            <w:r w:rsidR="0073095E" w:rsidRPr="00DD4E66">
              <w:rPr>
                <w:rFonts w:eastAsia="Times New Roman"/>
                <w:sz w:val="20"/>
                <w:lang w:val="lt-LT" w:eastAsia="en-US"/>
              </w:rPr>
              <w:t>RN</w:t>
            </w:r>
            <w:r w:rsidRPr="00DD4E66">
              <w:rPr>
                <w:rFonts w:eastAsia="Times New Roman"/>
                <w:sz w:val="20"/>
                <w:lang w:val="lt-LT" w:eastAsia="en-US"/>
              </w:rPr>
              <w:t>R</w:t>
            </w:r>
            <w:r w:rsidR="0073095E" w:rsidRPr="00DD4E66">
              <w:rPr>
                <w:rFonts w:eastAsia="Times New Roman"/>
                <w:spacing w:val="-3"/>
                <w:sz w:val="20"/>
                <w:lang w:val="lt-LT" w:eastAsia="en-US"/>
              </w:rPr>
              <w:t xml:space="preserve"> </w:t>
            </w:r>
            <w:r w:rsidR="0073095E" w:rsidRPr="00DD4E66">
              <w:rPr>
                <w:rFonts w:eastAsia="Times New Roman"/>
                <w:sz w:val="20"/>
                <w:lang w:val="lt-LT" w:eastAsia="en-US"/>
              </w:rPr>
              <w:t>log</w:t>
            </w:r>
            <w:r w:rsidR="0073095E" w:rsidRPr="00DD4E66">
              <w:rPr>
                <w:rFonts w:eastAsia="Times New Roman"/>
                <w:spacing w:val="-2"/>
                <w:sz w:val="20"/>
                <w:lang w:val="lt-LT" w:eastAsia="en-US"/>
              </w:rPr>
              <w:t xml:space="preserve"> </w:t>
            </w:r>
            <w:r w:rsidRPr="00DD4E66">
              <w:rPr>
                <w:rFonts w:eastAsia="Times New Roman"/>
                <w:spacing w:val="-2"/>
                <w:sz w:val="20"/>
                <w:lang w:val="lt-LT" w:eastAsia="en-US"/>
              </w:rPr>
              <w:t xml:space="preserve">vidutinis pokytis, palyginti su pradiniu </w:t>
            </w:r>
          </w:p>
          <w:p w14:paraId="4E5C4F89" w14:textId="77777777" w:rsidR="0073095E" w:rsidRPr="00DD4E66" w:rsidRDefault="0073095E" w:rsidP="00F5005B">
            <w:pPr>
              <w:tabs>
                <w:tab w:val="left" w:pos="567"/>
              </w:tabs>
              <w:spacing w:line="234" w:lineRule="exact"/>
              <w:ind w:left="100" w:right="-20"/>
              <w:rPr>
                <w:rFonts w:eastAsia="Times New Roman"/>
                <w:sz w:val="20"/>
                <w:lang w:val="lt-LT" w:eastAsia="en-US"/>
              </w:rPr>
            </w:pPr>
            <w:r w:rsidRPr="00DD4E66">
              <w:rPr>
                <w:rFonts w:eastAsia="Times New Roman"/>
                <w:spacing w:val="1"/>
                <w:sz w:val="20"/>
                <w:lang w:val="lt-LT" w:eastAsia="en-US"/>
              </w:rPr>
              <w:t>(lo</w:t>
            </w:r>
            <w:r w:rsidRPr="00DD4E66">
              <w:rPr>
                <w:rFonts w:eastAsia="Times New Roman"/>
                <w:spacing w:val="-1"/>
                <w:sz w:val="20"/>
                <w:lang w:val="lt-LT" w:eastAsia="en-US"/>
              </w:rPr>
              <w:t>g</w:t>
            </w:r>
            <w:r w:rsidRPr="00DD4E66">
              <w:rPr>
                <w:rFonts w:eastAsia="Times New Roman"/>
                <w:position w:val="-3"/>
                <w:sz w:val="20"/>
                <w:lang w:val="lt-LT" w:eastAsia="en-US"/>
              </w:rPr>
              <w:t>10</w:t>
            </w:r>
            <w:r w:rsidRPr="00DD4E66">
              <w:rPr>
                <w:rFonts w:eastAsia="Times New Roman"/>
                <w:spacing w:val="13"/>
                <w:position w:val="-3"/>
                <w:sz w:val="20"/>
                <w:lang w:val="lt-LT" w:eastAsia="en-US"/>
              </w:rPr>
              <w:t xml:space="preserve"> </w:t>
            </w:r>
            <w:r w:rsidR="00F5005B" w:rsidRPr="00DD4E66">
              <w:rPr>
                <w:rFonts w:eastAsia="Times New Roman"/>
                <w:sz w:val="20"/>
                <w:lang w:val="lt-LT" w:eastAsia="en-US"/>
              </w:rPr>
              <w:t>kopijų</w:t>
            </w:r>
            <w:r w:rsidRPr="00DD4E66">
              <w:rPr>
                <w:rFonts w:eastAsia="Times New Roman"/>
                <w:sz w:val="20"/>
                <w:lang w:val="lt-LT" w:eastAsia="en-US"/>
              </w:rPr>
              <w:t>/ml)</w:t>
            </w:r>
          </w:p>
        </w:tc>
        <w:tc>
          <w:tcPr>
            <w:tcW w:w="2146" w:type="dxa"/>
            <w:tcBorders>
              <w:top w:val="single" w:sz="4" w:space="0" w:color="000000"/>
              <w:left w:val="single" w:sz="4" w:space="0" w:color="000000"/>
              <w:bottom w:val="single" w:sz="4" w:space="0" w:color="000000"/>
              <w:right w:val="single" w:sz="4" w:space="0" w:color="000000"/>
            </w:tcBorders>
            <w:hideMark/>
          </w:tcPr>
          <w:p w14:paraId="46641D4D" w14:textId="77777777" w:rsidR="00F5005B" w:rsidRPr="00DD4E66" w:rsidRDefault="00F5005B" w:rsidP="0073095E">
            <w:pPr>
              <w:tabs>
                <w:tab w:val="left" w:pos="567"/>
              </w:tabs>
              <w:spacing w:before="8"/>
              <w:ind w:left="821" w:right="806"/>
              <w:jc w:val="center"/>
              <w:rPr>
                <w:rFonts w:eastAsia="Times New Roman"/>
                <w:spacing w:val="-2"/>
                <w:w w:val="99"/>
                <w:sz w:val="20"/>
                <w:lang w:val="lt-LT" w:eastAsia="en-US"/>
              </w:rPr>
            </w:pPr>
          </w:p>
          <w:p w14:paraId="09C4E758" w14:textId="77777777" w:rsidR="00F5005B" w:rsidRPr="00DD4E66" w:rsidRDefault="00F5005B" w:rsidP="0073095E">
            <w:pPr>
              <w:tabs>
                <w:tab w:val="left" w:pos="567"/>
              </w:tabs>
              <w:spacing w:before="8"/>
              <w:ind w:left="821" w:right="806"/>
              <w:jc w:val="center"/>
              <w:rPr>
                <w:rFonts w:eastAsia="Times New Roman"/>
                <w:spacing w:val="-2"/>
                <w:w w:val="99"/>
                <w:sz w:val="20"/>
                <w:lang w:val="lt-LT" w:eastAsia="en-US"/>
              </w:rPr>
            </w:pPr>
          </w:p>
          <w:p w14:paraId="61EBE2AC" w14:textId="77777777" w:rsidR="0073095E" w:rsidRPr="00DD4E66" w:rsidRDefault="0073095E" w:rsidP="0073095E">
            <w:pPr>
              <w:tabs>
                <w:tab w:val="left" w:pos="567"/>
              </w:tabs>
              <w:spacing w:before="8"/>
              <w:ind w:left="821" w:right="806"/>
              <w:jc w:val="center"/>
              <w:rPr>
                <w:rFonts w:eastAsia="Times New Roman"/>
                <w:sz w:val="20"/>
                <w:lang w:val="lt-LT" w:eastAsia="en-US"/>
              </w:rPr>
            </w:pPr>
            <w:r w:rsidRPr="00DD4E66">
              <w:rPr>
                <w:rFonts w:eastAsia="Times New Roman"/>
                <w:spacing w:val="-2"/>
                <w:w w:val="99"/>
                <w:sz w:val="20"/>
                <w:lang w:val="lt-LT" w:eastAsia="en-US"/>
              </w:rPr>
              <w:t>-</w:t>
            </w:r>
            <w:r w:rsidR="00F5005B" w:rsidRPr="00DD4E66">
              <w:rPr>
                <w:rFonts w:eastAsia="Times New Roman"/>
                <w:spacing w:val="1"/>
                <w:w w:val="99"/>
                <w:sz w:val="20"/>
                <w:lang w:val="lt-LT" w:eastAsia="en-US"/>
              </w:rPr>
              <w:t>3,</w:t>
            </w:r>
            <w:r w:rsidRPr="00DD4E66">
              <w:rPr>
                <w:rFonts w:eastAsia="Times New Roman"/>
                <w:spacing w:val="1"/>
                <w:w w:val="99"/>
                <w:sz w:val="20"/>
                <w:lang w:val="lt-LT" w:eastAsia="en-US"/>
              </w:rPr>
              <w:t>01</w:t>
            </w:r>
          </w:p>
        </w:tc>
        <w:tc>
          <w:tcPr>
            <w:tcW w:w="2146" w:type="dxa"/>
            <w:tcBorders>
              <w:top w:val="single" w:sz="4" w:space="0" w:color="000000"/>
              <w:left w:val="single" w:sz="4" w:space="0" w:color="000000"/>
              <w:bottom w:val="single" w:sz="4" w:space="0" w:color="000000"/>
              <w:right w:val="single" w:sz="4" w:space="0" w:color="000000"/>
            </w:tcBorders>
            <w:hideMark/>
          </w:tcPr>
          <w:p w14:paraId="3163DA2B" w14:textId="77777777" w:rsidR="00F5005B" w:rsidRPr="00DD4E66" w:rsidRDefault="00F5005B" w:rsidP="0073095E">
            <w:pPr>
              <w:tabs>
                <w:tab w:val="left" w:pos="567"/>
              </w:tabs>
              <w:spacing w:before="8"/>
              <w:ind w:left="823" w:right="803"/>
              <w:jc w:val="center"/>
              <w:rPr>
                <w:rFonts w:eastAsia="Times New Roman"/>
                <w:spacing w:val="-2"/>
                <w:w w:val="99"/>
                <w:sz w:val="20"/>
                <w:lang w:val="lt-LT" w:eastAsia="en-US"/>
              </w:rPr>
            </w:pPr>
          </w:p>
          <w:p w14:paraId="5EB57CDC" w14:textId="77777777" w:rsidR="00F5005B" w:rsidRPr="00DD4E66" w:rsidRDefault="00F5005B" w:rsidP="0073095E">
            <w:pPr>
              <w:tabs>
                <w:tab w:val="left" w:pos="567"/>
              </w:tabs>
              <w:spacing w:before="8"/>
              <w:ind w:left="823" w:right="803"/>
              <w:jc w:val="center"/>
              <w:rPr>
                <w:rFonts w:eastAsia="Times New Roman"/>
                <w:spacing w:val="-2"/>
                <w:w w:val="99"/>
                <w:sz w:val="20"/>
                <w:lang w:val="lt-LT" w:eastAsia="en-US"/>
              </w:rPr>
            </w:pPr>
          </w:p>
          <w:p w14:paraId="7383EA92" w14:textId="77777777" w:rsidR="0073095E" w:rsidRPr="00DD4E66" w:rsidRDefault="0073095E" w:rsidP="0073095E">
            <w:pPr>
              <w:tabs>
                <w:tab w:val="left" w:pos="567"/>
              </w:tabs>
              <w:spacing w:before="8"/>
              <w:ind w:left="823" w:right="803"/>
              <w:jc w:val="center"/>
              <w:rPr>
                <w:rFonts w:eastAsia="Times New Roman"/>
                <w:sz w:val="20"/>
                <w:lang w:val="lt-LT" w:eastAsia="en-US"/>
              </w:rPr>
            </w:pPr>
            <w:r w:rsidRPr="00DD4E66">
              <w:rPr>
                <w:rFonts w:eastAsia="Times New Roman"/>
                <w:spacing w:val="-2"/>
                <w:w w:val="99"/>
                <w:sz w:val="20"/>
                <w:lang w:val="lt-LT" w:eastAsia="en-US"/>
              </w:rPr>
              <w:t>-</w:t>
            </w:r>
            <w:r w:rsidR="00F5005B" w:rsidRPr="00DD4E66">
              <w:rPr>
                <w:rFonts w:eastAsia="Times New Roman"/>
                <w:spacing w:val="1"/>
                <w:w w:val="99"/>
                <w:sz w:val="20"/>
                <w:lang w:val="lt-LT" w:eastAsia="en-US"/>
              </w:rPr>
              <w:t>2,</w:t>
            </w:r>
            <w:r w:rsidRPr="00DD4E66">
              <w:rPr>
                <w:rFonts w:eastAsia="Times New Roman"/>
                <w:spacing w:val="1"/>
                <w:w w:val="99"/>
                <w:sz w:val="20"/>
                <w:lang w:val="lt-LT" w:eastAsia="en-US"/>
              </w:rPr>
              <w:t>39</w:t>
            </w:r>
          </w:p>
        </w:tc>
        <w:tc>
          <w:tcPr>
            <w:tcW w:w="2148" w:type="dxa"/>
            <w:tcBorders>
              <w:top w:val="single" w:sz="4" w:space="0" w:color="000000"/>
              <w:left w:val="single" w:sz="4" w:space="0" w:color="000000"/>
              <w:bottom w:val="single" w:sz="4" w:space="0" w:color="000000"/>
              <w:right w:val="single" w:sz="4" w:space="0" w:color="000000"/>
            </w:tcBorders>
            <w:hideMark/>
          </w:tcPr>
          <w:p w14:paraId="26CADD66" w14:textId="77777777" w:rsidR="00F5005B" w:rsidRPr="00DD4E66" w:rsidRDefault="00F5005B" w:rsidP="0073095E">
            <w:pPr>
              <w:tabs>
                <w:tab w:val="left" w:pos="567"/>
              </w:tabs>
              <w:spacing w:before="8"/>
              <w:ind w:left="823" w:right="806"/>
              <w:jc w:val="center"/>
              <w:rPr>
                <w:rFonts w:eastAsia="Times New Roman"/>
                <w:spacing w:val="-2"/>
                <w:w w:val="99"/>
                <w:sz w:val="20"/>
                <w:lang w:val="lt-LT" w:eastAsia="en-US"/>
              </w:rPr>
            </w:pPr>
          </w:p>
          <w:p w14:paraId="4F9C5D5B" w14:textId="77777777" w:rsidR="00F5005B" w:rsidRPr="00DD4E66" w:rsidRDefault="00F5005B" w:rsidP="0073095E">
            <w:pPr>
              <w:tabs>
                <w:tab w:val="left" w:pos="567"/>
              </w:tabs>
              <w:spacing w:before="8"/>
              <w:ind w:left="823" w:right="806"/>
              <w:jc w:val="center"/>
              <w:rPr>
                <w:rFonts w:eastAsia="Times New Roman"/>
                <w:spacing w:val="-2"/>
                <w:w w:val="99"/>
                <w:sz w:val="20"/>
                <w:lang w:val="lt-LT" w:eastAsia="en-US"/>
              </w:rPr>
            </w:pPr>
          </w:p>
          <w:p w14:paraId="3CB65AF4" w14:textId="77777777" w:rsidR="0073095E" w:rsidRPr="00DD4E66" w:rsidRDefault="0073095E" w:rsidP="0073095E">
            <w:pPr>
              <w:tabs>
                <w:tab w:val="left" w:pos="567"/>
              </w:tabs>
              <w:spacing w:before="8"/>
              <w:ind w:left="823" w:right="806"/>
              <w:jc w:val="center"/>
              <w:rPr>
                <w:rFonts w:eastAsia="Times New Roman"/>
                <w:sz w:val="20"/>
                <w:lang w:val="lt-LT" w:eastAsia="en-US"/>
              </w:rPr>
            </w:pPr>
            <w:r w:rsidRPr="00DD4E66">
              <w:rPr>
                <w:rFonts w:eastAsia="Times New Roman"/>
                <w:spacing w:val="-2"/>
                <w:w w:val="99"/>
                <w:sz w:val="20"/>
                <w:lang w:val="lt-LT" w:eastAsia="en-US"/>
              </w:rPr>
              <w:t>-</w:t>
            </w:r>
            <w:r w:rsidR="00F5005B" w:rsidRPr="00DD4E66">
              <w:rPr>
                <w:rFonts w:eastAsia="Times New Roman"/>
                <w:spacing w:val="1"/>
                <w:w w:val="99"/>
                <w:sz w:val="20"/>
                <w:lang w:val="lt-LT" w:eastAsia="en-US"/>
              </w:rPr>
              <w:t>2,</w:t>
            </w:r>
            <w:r w:rsidRPr="00DD4E66">
              <w:rPr>
                <w:rFonts w:eastAsia="Times New Roman"/>
                <w:spacing w:val="1"/>
                <w:w w:val="99"/>
                <w:sz w:val="20"/>
                <w:lang w:val="lt-LT" w:eastAsia="en-US"/>
              </w:rPr>
              <w:t>97</w:t>
            </w:r>
          </w:p>
        </w:tc>
      </w:tr>
      <w:tr w:rsidR="0073095E" w:rsidRPr="00DD4E66" w14:paraId="0C447793" w14:textId="77777777" w:rsidTr="00F5005B">
        <w:trPr>
          <w:trHeight w:hRule="exact" w:val="485"/>
        </w:trPr>
        <w:tc>
          <w:tcPr>
            <w:tcW w:w="2633" w:type="dxa"/>
            <w:tcBorders>
              <w:top w:val="single" w:sz="4" w:space="0" w:color="000000"/>
              <w:left w:val="single" w:sz="4" w:space="0" w:color="000000"/>
              <w:bottom w:val="single" w:sz="4" w:space="0" w:color="000000"/>
              <w:right w:val="single" w:sz="4" w:space="0" w:color="000000"/>
            </w:tcBorders>
            <w:hideMark/>
          </w:tcPr>
          <w:p w14:paraId="427077BC" w14:textId="77777777" w:rsidR="0073095E" w:rsidRPr="00DD4E66" w:rsidRDefault="0073095E" w:rsidP="00F5005B">
            <w:pPr>
              <w:tabs>
                <w:tab w:val="left" w:pos="567"/>
                <w:tab w:val="left" w:pos="2410"/>
              </w:tabs>
              <w:spacing w:before="15" w:line="228" w:lineRule="exact"/>
              <w:ind w:left="100" w:right="223"/>
              <w:rPr>
                <w:rFonts w:eastAsia="Times New Roman"/>
                <w:sz w:val="20"/>
                <w:lang w:val="lt-LT" w:eastAsia="en-US"/>
              </w:rPr>
            </w:pPr>
            <w:r w:rsidRPr="00DD4E66">
              <w:rPr>
                <w:rFonts w:eastAsia="Times New Roman"/>
                <w:sz w:val="20"/>
                <w:lang w:val="lt-LT" w:eastAsia="en-US"/>
              </w:rPr>
              <w:t>CD4+</w:t>
            </w:r>
            <w:r w:rsidRPr="00DD4E66">
              <w:rPr>
                <w:rFonts w:eastAsia="Times New Roman"/>
                <w:spacing w:val="-5"/>
                <w:sz w:val="20"/>
                <w:lang w:val="lt-LT" w:eastAsia="en-US"/>
              </w:rPr>
              <w:t xml:space="preserve"> </w:t>
            </w:r>
            <w:r w:rsidR="00F5005B" w:rsidRPr="00DD4E66">
              <w:rPr>
                <w:rFonts w:eastAsia="Times New Roman"/>
                <w:spacing w:val="-5"/>
                <w:sz w:val="20"/>
                <w:lang w:val="lt-LT" w:eastAsia="en-US"/>
              </w:rPr>
              <w:t>ląstelių kiekio vidutinis pokytis, palyginti su pradiniu</w:t>
            </w:r>
            <w:r w:rsidRPr="00DD4E66">
              <w:rPr>
                <w:rFonts w:eastAsia="Times New Roman"/>
                <w:position w:val="9"/>
                <w:sz w:val="20"/>
                <w:lang w:val="lt-LT" w:eastAsia="en-US"/>
              </w:rPr>
              <w:t>b</w:t>
            </w:r>
          </w:p>
        </w:tc>
        <w:tc>
          <w:tcPr>
            <w:tcW w:w="2146" w:type="dxa"/>
            <w:tcBorders>
              <w:top w:val="single" w:sz="4" w:space="0" w:color="000000"/>
              <w:left w:val="single" w:sz="4" w:space="0" w:color="000000"/>
              <w:bottom w:val="single" w:sz="4" w:space="0" w:color="000000"/>
              <w:right w:val="single" w:sz="4" w:space="0" w:color="000000"/>
            </w:tcBorders>
            <w:hideMark/>
          </w:tcPr>
          <w:p w14:paraId="6FAE5211" w14:textId="77777777" w:rsidR="00F5005B" w:rsidRPr="00DD4E66" w:rsidRDefault="00F5005B" w:rsidP="0073095E">
            <w:pPr>
              <w:tabs>
                <w:tab w:val="left" w:pos="567"/>
              </w:tabs>
              <w:spacing w:before="11"/>
              <w:ind w:left="823" w:right="806"/>
              <w:jc w:val="center"/>
              <w:rPr>
                <w:rFonts w:eastAsia="Times New Roman"/>
                <w:spacing w:val="1"/>
                <w:w w:val="99"/>
                <w:sz w:val="20"/>
                <w:lang w:val="lt-LT" w:eastAsia="en-US"/>
              </w:rPr>
            </w:pPr>
          </w:p>
          <w:p w14:paraId="0D8F502A" w14:textId="77777777" w:rsidR="0073095E" w:rsidRPr="00DD4E66" w:rsidRDefault="0073095E" w:rsidP="0073095E">
            <w:pPr>
              <w:tabs>
                <w:tab w:val="left" w:pos="567"/>
              </w:tabs>
              <w:spacing w:before="11"/>
              <w:ind w:left="823" w:right="806"/>
              <w:jc w:val="center"/>
              <w:rPr>
                <w:rFonts w:eastAsia="Times New Roman"/>
                <w:sz w:val="20"/>
                <w:lang w:val="lt-LT" w:eastAsia="en-US"/>
              </w:rPr>
            </w:pPr>
            <w:r w:rsidRPr="00DD4E66">
              <w:rPr>
                <w:rFonts w:eastAsia="Times New Roman"/>
                <w:spacing w:val="1"/>
                <w:w w:val="99"/>
                <w:sz w:val="20"/>
                <w:lang w:val="lt-LT" w:eastAsia="en-US"/>
              </w:rPr>
              <w:t>+174</w:t>
            </w:r>
          </w:p>
        </w:tc>
        <w:tc>
          <w:tcPr>
            <w:tcW w:w="2146" w:type="dxa"/>
            <w:tcBorders>
              <w:top w:val="single" w:sz="4" w:space="0" w:color="000000"/>
              <w:left w:val="single" w:sz="4" w:space="0" w:color="000000"/>
              <w:bottom w:val="single" w:sz="4" w:space="0" w:color="000000"/>
              <w:right w:val="single" w:sz="4" w:space="0" w:color="000000"/>
            </w:tcBorders>
            <w:hideMark/>
          </w:tcPr>
          <w:p w14:paraId="4E0303A5" w14:textId="77777777" w:rsidR="00F5005B" w:rsidRPr="00DD4E66" w:rsidRDefault="00F5005B" w:rsidP="0073095E">
            <w:pPr>
              <w:tabs>
                <w:tab w:val="left" w:pos="567"/>
              </w:tabs>
              <w:spacing w:before="11"/>
              <w:ind w:left="826" w:right="804"/>
              <w:jc w:val="center"/>
              <w:rPr>
                <w:rFonts w:eastAsia="Times New Roman"/>
                <w:spacing w:val="1"/>
                <w:w w:val="99"/>
                <w:sz w:val="20"/>
                <w:lang w:val="lt-LT" w:eastAsia="en-US"/>
              </w:rPr>
            </w:pPr>
          </w:p>
          <w:p w14:paraId="64AFA71B" w14:textId="77777777" w:rsidR="0073095E" w:rsidRPr="00DD4E66" w:rsidRDefault="0073095E" w:rsidP="0073095E">
            <w:pPr>
              <w:tabs>
                <w:tab w:val="left" w:pos="567"/>
              </w:tabs>
              <w:spacing w:before="11"/>
              <w:ind w:left="826" w:right="804"/>
              <w:jc w:val="center"/>
              <w:rPr>
                <w:rFonts w:eastAsia="Times New Roman"/>
                <w:sz w:val="20"/>
                <w:lang w:val="lt-LT" w:eastAsia="en-US"/>
              </w:rPr>
            </w:pPr>
            <w:r w:rsidRPr="00DD4E66">
              <w:rPr>
                <w:rFonts w:eastAsia="Times New Roman"/>
                <w:spacing w:val="1"/>
                <w:w w:val="99"/>
                <w:sz w:val="20"/>
                <w:lang w:val="lt-LT" w:eastAsia="en-US"/>
              </w:rPr>
              <w:t>+102</w:t>
            </w:r>
          </w:p>
        </w:tc>
        <w:tc>
          <w:tcPr>
            <w:tcW w:w="2148" w:type="dxa"/>
            <w:tcBorders>
              <w:top w:val="single" w:sz="4" w:space="0" w:color="000000"/>
              <w:left w:val="single" w:sz="4" w:space="0" w:color="000000"/>
              <w:bottom w:val="single" w:sz="4" w:space="0" w:color="000000"/>
              <w:right w:val="single" w:sz="4" w:space="0" w:color="000000"/>
            </w:tcBorders>
            <w:hideMark/>
          </w:tcPr>
          <w:p w14:paraId="41AAB2AA" w14:textId="77777777" w:rsidR="00F5005B" w:rsidRPr="00DD4E66" w:rsidRDefault="00F5005B" w:rsidP="0073095E">
            <w:pPr>
              <w:tabs>
                <w:tab w:val="left" w:pos="567"/>
              </w:tabs>
              <w:spacing w:before="11"/>
              <w:ind w:left="826" w:right="806"/>
              <w:jc w:val="center"/>
              <w:rPr>
                <w:rFonts w:eastAsia="Times New Roman"/>
                <w:spacing w:val="1"/>
                <w:w w:val="99"/>
                <w:sz w:val="20"/>
                <w:lang w:val="lt-LT" w:eastAsia="en-US"/>
              </w:rPr>
            </w:pPr>
          </w:p>
          <w:p w14:paraId="4C950743" w14:textId="77777777" w:rsidR="0073095E" w:rsidRPr="00DD4E66" w:rsidRDefault="0073095E" w:rsidP="0073095E">
            <w:pPr>
              <w:tabs>
                <w:tab w:val="left" w:pos="567"/>
              </w:tabs>
              <w:spacing w:before="11"/>
              <w:ind w:left="826" w:right="806"/>
              <w:jc w:val="center"/>
              <w:rPr>
                <w:rFonts w:eastAsia="Times New Roman"/>
                <w:sz w:val="20"/>
                <w:lang w:val="lt-LT" w:eastAsia="en-US"/>
              </w:rPr>
            </w:pPr>
            <w:r w:rsidRPr="00DD4E66">
              <w:rPr>
                <w:rFonts w:eastAsia="Times New Roman"/>
                <w:spacing w:val="1"/>
                <w:w w:val="99"/>
                <w:sz w:val="20"/>
                <w:lang w:val="lt-LT" w:eastAsia="en-US"/>
              </w:rPr>
              <w:t>+170</w:t>
            </w:r>
          </w:p>
        </w:tc>
      </w:tr>
    </w:tbl>
    <w:p w14:paraId="39ABFAE6" w14:textId="77777777" w:rsidR="0073095E" w:rsidRPr="00532388" w:rsidRDefault="0073095E" w:rsidP="0073095E">
      <w:pPr>
        <w:autoSpaceDE w:val="0"/>
        <w:autoSpaceDN w:val="0"/>
        <w:adjustRightInd w:val="0"/>
        <w:rPr>
          <w:rFonts w:eastAsia="TimesNewRoman"/>
          <w:sz w:val="20"/>
          <w:lang w:val="lt-LT" w:eastAsia="en-US"/>
        </w:rPr>
      </w:pPr>
      <w:r w:rsidRPr="00532388">
        <w:rPr>
          <w:rFonts w:eastAsia="TimesNewRoman"/>
          <w:sz w:val="20"/>
          <w:vertAlign w:val="superscript"/>
          <w:lang w:val="lt-LT" w:eastAsia="en-US"/>
        </w:rPr>
        <w:t xml:space="preserve">a </w:t>
      </w:r>
      <w:r w:rsidRPr="00532388">
        <w:rPr>
          <w:rFonts w:eastAsia="TimesNewRoman"/>
          <w:sz w:val="20"/>
          <w:lang w:val="lt-LT" w:eastAsia="en-US"/>
        </w:rPr>
        <w:t>Vertinimas pagal TLOVR algoritmą.</w:t>
      </w:r>
    </w:p>
    <w:p w14:paraId="15C521C0" w14:textId="77777777" w:rsidR="0073095E" w:rsidRPr="00532388" w:rsidRDefault="0073095E" w:rsidP="0073095E">
      <w:pPr>
        <w:tabs>
          <w:tab w:val="left" w:pos="284"/>
          <w:tab w:val="left" w:pos="600"/>
        </w:tabs>
        <w:spacing w:line="235" w:lineRule="exact"/>
        <w:ind w:right="-20"/>
        <w:rPr>
          <w:rFonts w:eastAsia="TimesNewRoman"/>
          <w:sz w:val="20"/>
          <w:lang w:val="lt-LT" w:eastAsia="en-US"/>
        </w:rPr>
      </w:pPr>
      <w:r w:rsidRPr="00532388">
        <w:rPr>
          <w:rFonts w:eastAsia="TimesNewRoman"/>
          <w:sz w:val="20"/>
          <w:vertAlign w:val="superscript"/>
          <w:lang w:val="lt-LT" w:eastAsia="en-US"/>
        </w:rPr>
        <w:lastRenderedPageBreak/>
        <w:t xml:space="preserve">b </w:t>
      </w:r>
      <w:r w:rsidRPr="00532388">
        <w:rPr>
          <w:rFonts w:eastAsia="TimesNewRoman"/>
          <w:sz w:val="20"/>
          <w:lang w:val="lt-LT" w:eastAsia="en-US"/>
        </w:rPr>
        <w:t>Paskutiniojo stebėjimo perkelto į ateitį vertinimas.</w:t>
      </w:r>
    </w:p>
    <w:p w14:paraId="46AC6E35" w14:textId="77777777" w:rsidR="0073095E" w:rsidRPr="00532388" w:rsidRDefault="0073095E" w:rsidP="0073095E">
      <w:pPr>
        <w:tabs>
          <w:tab w:val="left" w:pos="284"/>
          <w:tab w:val="left" w:pos="600"/>
        </w:tabs>
        <w:spacing w:line="235" w:lineRule="exact"/>
        <w:ind w:right="-20"/>
        <w:rPr>
          <w:rFonts w:eastAsia="TimesNewRoman"/>
          <w:sz w:val="20"/>
          <w:lang w:val="lt-LT" w:eastAsia="en-US"/>
        </w:rPr>
      </w:pPr>
    </w:p>
    <w:p w14:paraId="600CCE94" w14:textId="77777777" w:rsidR="0073095E" w:rsidRPr="00532388" w:rsidRDefault="00F5005B" w:rsidP="0073095E">
      <w:pPr>
        <w:autoSpaceDE w:val="0"/>
        <w:autoSpaceDN w:val="0"/>
        <w:adjustRightInd w:val="0"/>
        <w:rPr>
          <w:i/>
          <w:iCs/>
          <w:sz w:val="22"/>
          <w:szCs w:val="22"/>
          <w:u w:val="single"/>
          <w:lang w:val="lt-LT" w:eastAsia="en-US"/>
        </w:rPr>
      </w:pPr>
      <w:r w:rsidRPr="00532388">
        <w:rPr>
          <w:i/>
          <w:iCs/>
          <w:sz w:val="22"/>
          <w:szCs w:val="22"/>
          <w:u w:val="single"/>
          <w:lang w:val="lt-LT" w:eastAsia="en-US"/>
        </w:rPr>
        <w:t>Darunaviro</w:t>
      </w:r>
      <w:r w:rsidR="0073095E" w:rsidRPr="00532388">
        <w:rPr>
          <w:i/>
          <w:iCs/>
          <w:sz w:val="22"/>
          <w:szCs w:val="22"/>
          <w:u w:val="single"/>
          <w:lang w:val="lt-LT" w:eastAsia="en-US"/>
        </w:rPr>
        <w:t xml:space="preserve"> 800</w:t>
      </w:r>
      <w:r w:rsidRPr="00532388">
        <w:rPr>
          <w:i/>
          <w:iCs/>
          <w:sz w:val="22"/>
          <w:szCs w:val="22"/>
          <w:u w:val="single"/>
          <w:lang w:val="lt-LT" w:eastAsia="en-US"/>
        </w:rPr>
        <w:t> </w:t>
      </w:r>
      <w:r w:rsidR="0073095E" w:rsidRPr="00532388">
        <w:rPr>
          <w:i/>
          <w:iCs/>
          <w:sz w:val="22"/>
          <w:szCs w:val="22"/>
          <w:u w:val="single"/>
          <w:lang w:val="lt-LT" w:eastAsia="en-US"/>
        </w:rPr>
        <w:t>mg vieną kartą per parą dozės, vartojamos kartu su 100</w:t>
      </w:r>
      <w:r w:rsidRPr="00532388">
        <w:rPr>
          <w:i/>
          <w:iCs/>
          <w:sz w:val="22"/>
          <w:szCs w:val="22"/>
          <w:u w:val="single"/>
          <w:lang w:val="lt-LT" w:eastAsia="en-US"/>
        </w:rPr>
        <w:t> </w:t>
      </w:r>
      <w:r w:rsidR="0073095E" w:rsidRPr="00532388">
        <w:rPr>
          <w:i/>
          <w:iCs/>
          <w:sz w:val="22"/>
          <w:szCs w:val="22"/>
          <w:u w:val="single"/>
          <w:lang w:val="lt-LT" w:eastAsia="en-US"/>
        </w:rPr>
        <w:t>mg ritonaviro vieną kartą per</w:t>
      </w:r>
      <w:r w:rsidRPr="00532388">
        <w:rPr>
          <w:i/>
          <w:iCs/>
          <w:sz w:val="22"/>
          <w:szCs w:val="22"/>
          <w:u w:val="single"/>
          <w:lang w:val="lt-LT" w:eastAsia="en-US"/>
        </w:rPr>
        <w:t xml:space="preserve"> </w:t>
      </w:r>
      <w:r w:rsidR="0073095E" w:rsidRPr="00532388">
        <w:rPr>
          <w:i/>
          <w:iCs/>
          <w:sz w:val="22"/>
          <w:szCs w:val="22"/>
          <w:u w:val="single"/>
          <w:lang w:val="lt-LT" w:eastAsia="en-US"/>
        </w:rPr>
        <w:t>parą, veiksmingumas pacientams, kuriems ARG netaikytas</w:t>
      </w:r>
    </w:p>
    <w:p w14:paraId="665DF01C" w14:textId="77777777" w:rsidR="0073095E" w:rsidRPr="00532388" w:rsidRDefault="00F5005B" w:rsidP="0073095E">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Darunaviro/ritonaviro 800/100 </w:t>
      </w:r>
      <w:r w:rsidR="0073095E" w:rsidRPr="00532388">
        <w:rPr>
          <w:rFonts w:eastAsia="TimesNewRoman"/>
          <w:sz w:val="22"/>
          <w:szCs w:val="22"/>
          <w:lang w:val="lt-LT" w:eastAsia="en-US"/>
        </w:rPr>
        <w:t>mg vieną kartą per parą veiksmingumo įrodymai remiasi 192 savaičių</w:t>
      </w:r>
      <w:r w:rsidR="0035687B" w:rsidRPr="00532388">
        <w:rPr>
          <w:rFonts w:eastAsia="TimesNewRoman"/>
          <w:sz w:val="22"/>
          <w:szCs w:val="22"/>
          <w:lang w:val="lt-LT" w:eastAsia="en-US"/>
        </w:rPr>
        <w:t xml:space="preserve"> </w:t>
      </w:r>
      <w:r w:rsidR="0073095E" w:rsidRPr="00532388">
        <w:rPr>
          <w:rFonts w:eastAsia="TimesNewRoman"/>
          <w:sz w:val="22"/>
          <w:szCs w:val="22"/>
          <w:lang w:val="lt-LT" w:eastAsia="en-US"/>
        </w:rPr>
        <w:t xml:space="preserve">duomenų analize iš atsitiktinių imčių kontroliuojamo atviro III fazės klinikinio tyrimo </w:t>
      </w:r>
      <w:r w:rsidR="0073095E" w:rsidRPr="00532388">
        <w:rPr>
          <w:i/>
          <w:iCs/>
          <w:sz w:val="22"/>
          <w:szCs w:val="22"/>
          <w:lang w:val="lt-LT" w:eastAsia="en-US"/>
        </w:rPr>
        <w:t>ARTEMIS</w:t>
      </w:r>
      <w:r w:rsidR="0035687B" w:rsidRPr="00532388">
        <w:rPr>
          <w:rFonts w:eastAsia="TimesNewRoman"/>
          <w:sz w:val="22"/>
          <w:szCs w:val="22"/>
          <w:lang w:val="lt-LT" w:eastAsia="en-US"/>
        </w:rPr>
        <w:t>; jo metu</w:t>
      </w:r>
      <w:r w:rsidR="0073095E" w:rsidRPr="00532388">
        <w:rPr>
          <w:rFonts w:eastAsia="TimesNewRoman"/>
          <w:sz w:val="22"/>
          <w:szCs w:val="22"/>
          <w:lang w:val="lt-LT" w:eastAsia="en-US"/>
        </w:rPr>
        <w:t xml:space="preserve"> tirti ŽIV-1 infekuoti pacientai, kuriems antiretrovirusinis gydymas nebuvo taikytas, lyginant</w:t>
      </w:r>
      <w:r w:rsidR="0035687B" w:rsidRPr="00532388">
        <w:rPr>
          <w:rFonts w:eastAsia="TimesNewRoman"/>
          <w:sz w:val="22"/>
          <w:szCs w:val="22"/>
          <w:lang w:val="lt-LT" w:eastAsia="en-US"/>
        </w:rPr>
        <w:t xml:space="preserve"> </w:t>
      </w:r>
      <w:r w:rsidR="0073095E" w:rsidRPr="00532388">
        <w:rPr>
          <w:rFonts w:eastAsia="TimesNewRoman"/>
          <w:sz w:val="22"/>
          <w:szCs w:val="22"/>
          <w:lang w:val="lt-LT" w:eastAsia="en-US"/>
        </w:rPr>
        <w:t xml:space="preserve">gydymą </w:t>
      </w:r>
      <w:r w:rsidR="0035687B" w:rsidRPr="00532388">
        <w:rPr>
          <w:rFonts w:eastAsia="TimesNewRoman"/>
          <w:sz w:val="22"/>
          <w:szCs w:val="22"/>
          <w:lang w:val="lt-LT" w:eastAsia="en-US"/>
        </w:rPr>
        <w:t>darunaviro/ritonaviro 800/100 </w:t>
      </w:r>
      <w:r w:rsidR="0073095E" w:rsidRPr="00532388">
        <w:rPr>
          <w:rFonts w:eastAsia="TimesNewRoman"/>
          <w:sz w:val="22"/>
          <w:szCs w:val="22"/>
          <w:lang w:val="lt-LT" w:eastAsia="en-US"/>
        </w:rPr>
        <w:t>mg vieną kartą per parą doze su gydymu lopinaviro/ritonaviro</w:t>
      </w:r>
      <w:r w:rsidR="0035687B" w:rsidRPr="00532388">
        <w:rPr>
          <w:rFonts w:eastAsia="TimesNewRoman"/>
          <w:sz w:val="22"/>
          <w:szCs w:val="22"/>
          <w:lang w:val="lt-LT" w:eastAsia="en-US"/>
        </w:rPr>
        <w:t xml:space="preserve"> </w:t>
      </w:r>
      <w:r w:rsidR="0073095E" w:rsidRPr="00532388">
        <w:rPr>
          <w:rFonts w:eastAsia="TimesNewRoman"/>
          <w:sz w:val="22"/>
          <w:szCs w:val="22"/>
          <w:lang w:val="lt-LT" w:eastAsia="en-US"/>
        </w:rPr>
        <w:t>800/200</w:t>
      </w:r>
      <w:r w:rsidR="0035687B" w:rsidRPr="00532388">
        <w:rPr>
          <w:rFonts w:eastAsia="TimesNewRoman"/>
          <w:sz w:val="22"/>
          <w:szCs w:val="22"/>
          <w:lang w:val="lt-LT" w:eastAsia="en-US"/>
        </w:rPr>
        <w:t> </w:t>
      </w:r>
      <w:r w:rsidR="0073095E" w:rsidRPr="00532388">
        <w:rPr>
          <w:rFonts w:eastAsia="TimesNewRoman"/>
          <w:sz w:val="22"/>
          <w:szCs w:val="22"/>
          <w:lang w:val="lt-LT" w:eastAsia="en-US"/>
        </w:rPr>
        <w:t>mg doze per parą (skiriama vieną arba du kartus per parą). Abiem pacientų grupėms buvo</w:t>
      </w:r>
      <w:r w:rsidR="0035687B" w:rsidRPr="00532388">
        <w:rPr>
          <w:rFonts w:eastAsia="TimesNewRoman"/>
          <w:sz w:val="22"/>
          <w:szCs w:val="22"/>
          <w:lang w:val="lt-LT" w:eastAsia="en-US"/>
        </w:rPr>
        <w:t xml:space="preserve"> </w:t>
      </w:r>
      <w:r w:rsidR="0073095E" w:rsidRPr="00532388">
        <w:rPr>
          <w:rFonts w:eastAsia="TimesNewRoman"/>
          <w:sz w:val="22"/>
          <w:szCs w:val="22"/>
          <w:lang w:val="lt-LT" w:eastAsia="en-US"/>
        </w:rPr>
        <w:t>skirtas vienodas foninis gydymo režimas, kurį sudarė tenofo</w:t>
      </w:r>
      <w:r w:rsidR="0035687B" w:rsidRPr="00532388">
        <w:rPr>
          <w:rFonts w:eastAsia="TimesNewRoman"/>
          <w:sz w:val="22"/>
          <w:szCs w:val="22"/>
          <w:lang w:val="lt-LT" w:eastAsia="en-US"/>
        </w:rPr>
        <w:t>viro dizoproksilo fumaratas 300 </w:t>
      </w:r>
      <w:r w:rsidR="0073095E" w:rsidRPr="00532388">
        <w:rPr>
          <w:rFonts w:eastAsia="TimesNewRoman"/>
          <w:sz w:val="22"/>
          <w:szCs w:val="22"/>
          <w:lang w:val="lt-LT" w:eastAsia="en-US"/>
        </w:rPr>
        <w:t>mg vieną</w:t>
      </w:r>
      <w:r w:rsidR="0035687B" w:rsidRPr="00532388">
        <w:rPr>
          <w:rFonts w:eastAsia="TimesNewRoman"/>
          <w:sz w:val="22"/>
          <w:szCs w:val="22"/>
          <w:lang w:val="lt-LT" w:eastAsia="en-US"/>
        </w:rPr>
        <w:t xml:space="preserve"> </w:t>
      </w:r>
      <w:r w:rsidR="0073095E" w:rsidRPr="00532388">
        <w:rPr>
          <w:rFonts w:eastAsia="TimesNewRoman"/>
          <w:sz w:val="22"/>
          <w:szCs w:val="22"/>
          <w:lang w:val="lt-LT" w:eastAsia="en-US"/>
        </w:rPr>
        <w:t>kartą</w:t>
      </w:r>
      <w:r w:rsidR="0035687B" w:rsidRPr="00532388">
        <w:rPr>
          <w:rFonts w:eastAsia="TimesNewRoman"/>
          <w:sz w:val="22"/>
          <w:szCs w:val="22"/>
          <w:lang w:val="lt-LT" w:eastAsia="en-US"/>
        </w:rPr>
        <w:t xml:space="preserve"> per parą ir emtricitabinas 200 </w:t>
      </w:r>
      <w:r w:rsidR="0073095E" w:rsidRPr="00532388">
        <w:rPr>
          <w:rFonts w:eastAsia="TimesNewRoman"/>
          <w:sz w:val="22"/>
          <w:szCs w:val="22"/>
          <w:lang w:val="lt-LT" w:eastAsia="en-US"/>
        </w:rPr>
        <w:t>mg vieną kartą per parą.</w:t>
      </w:r>
    </w:p>
    <w:p w14:paraId="3CD1550A" w14:textId="77777777" w:rsidR="0073095E" w:rsidRPr="00532388" w:rsidRDefault="0073095E" w:rsidP="00EB4E53">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Toliau esančioje lentelėje parodyti </w:t>
      </w:r>
      <w:r w:rsidRPr="00532388">
        <w:rPr>
          <w:i/>
          <w:iCs/>
          <w:sz w:val="22"/>
          <w:szCs w:val="22"/>
          <w:lang w:val="lt-LT" w:eastAsia="en-US"/>
        </w:rPr>
        <w:t xml:space="preserve">ARTEMIS </w:t>
      </w:r>
      <w:r w:rsidRPr="00532388">
        <w:rPr>
          <w:rFonts w:eastAsia="TimesNewRoman"/>
          <w:sz w:val="22"/>
          <w:szCs w:val="22"/>
          <w:lang w:val="lt-LT" w:eastAsia="en-US"/>
        </w:rPr>
        <w:t>tyrimo 48-tos savaitės ir 96-tos savaitės rezultatų</w:t>
      </w:r>
      <w:r w:rsidR="00EB4E53" w:rsidRPr="00532388">
        <w:rPr>
          <w:rFonts w:eastAsia="TimesNewRoman"/>
          <w:sz w:val="22"/>
          <w:szCs w:val="22"/>
          <w:lang w:val="lt-LT" w:eastAsia="en-US"/>
        </w:rPr>
        <w:t xml:space="preserve"> </w:t>
      </w:r>
      <w:r w:rsidRPr="00532388">
        <w:rPr>
          <w:rFonts w:eastAsia="TimesNewRoman"/>
          <w:sz w:val="22"/>
          <w:szCs w:val="22"/>
          <w:lang w:val="lt-LT" w:eastAsia="en-US"/>
        </w:rPr>
        <w:t>analizės veiksmingumo duomenys.</w:t>
      </w:r>
    </w:p>
    <w:p w14:paraId="45B82591" w14:textId="77777777" w:rsidR="001633E8" w:rsidRPr="00532388" w:rsidRDefault="001633E8" w:rsidP="0073095E">
      <w:pPr>
        <w:tabs>
          <w:tab w:val="left" w:pos="720"/>
        </w:tabs>
        <w:autoSpaceDE w:val="0"/>
        <w:autoSpaceDN w:val="0"/>
        <w:adjustRightInd w:val="0"/>
        <w:jc w:val="both"/>
        <w:rPr>
          <w:rFonts w:eastAsia="Times New Roman"/>
          <w:sz w:val="22"/>
          <w:szCs w:val="22"/>
          <w:lang w:val="lt-LT" w:eastAsia="en-US"/>
        </w:rPr>
      </w:pPr>
    </w:p>
    <w:tbl>
      <w:tblPr>
        <w:tblW w:w="9302" w:type="dxa"/>
        <w:tblLayout w:type="fixed"/>
        <w:tblLook w:val="04A0" w:firstRow="1" w:lastRow="0" w:firstColumn="1" w:lastColumn="0" w:noHBand="0" w:noVBand="1"/>
      </w:tblPr>
      <w:tblGrid>
        <w:gridCol w:w="1732"/>
        <w:gridCol w:w="1262"/>
        <w:gridCol w:w="1240"/>
        <w:gridCol w:w="1310"/>
        <w:gridCol w:w="1245"/>
        <w:gridCol w:w="1195"/>
        <w:gridCol w:w="1318"/>
      </w:tblGrid>
      <w:tr w:rsidR="0073095E" w:rsidRPr="00532388" w14:paraId="652F6361" w14:textId="77777777" w:rsidTr="0073095E">
        <w:trPr>
          <w:trHeight w:val="255"/>
        </w:trPr>
        <w:tc>
          <w:tcPr>
            <w:tcW w:w="9302" w:type="dxa"/>
            <w:gridSpan w:val="7"/>
            <w:tcBorders>
              <w:top w:val="single" w:sz="6" w:space="0" w:color="000000"/>
              <w:left w:val="single" w:sz="4" w:space="0" w:color="000000"/>
              <w:bottom w:val="single" w:sz="6" w:space="0" w:color="000000"/>
              <w:right w:val="single" w:sz="4" w:space="0" w:color="000000"/>
            </w:tcBorders>
            <w:vAlign w:val="center"/>
            <w:hideMark/>
          </w:tcPr>
          <w:p w14:paraId="448609B6" w14:textId="77777777" w:rsidR="0073095E" w:rsidRPr="00532388" w:rsidRDefault="0073095E" w:rsidP="0073095E">
            <w:pPr>
              <w:autoSpaceDE w:val="0"/>
              <w:autoSpaceDN w:val="0"/>
              <w:adjustRightInd w:val="0"/>
              <w:jc w:val="center"/>
              <w:rPr>
                <w:rFonts w:eastAsia="Times New Roman"/>
                <w:sz w:val="20"/>
                <w:lang w:val="lt-LT" w:eastAsia="en-US"/>
              </w:rPr>
            </w:pPr>
            <w:r w:rsidRPr="00532388">
              <w:rPr>
                <w:rFonts w:eastAsia="Times New Roman"/>
                <w:sz w:val="20"/>
                <w:lang w:val="lt-LT" w:eastAsia="en-US"/>
              </w:rPr>
              <w:t>ARTEMIS</w:t>
            </w:r>
          </w:p>
        </w:tc>
      </w:tr>
      <w:tr w:rsidR="0073095E" w:rsidRPr="00532388" w14:paraId="5392A2F8" w14:textId="77777777" w:rsidTr="0073095E">
        <w:trPr>
          <w:trHeight w:val="240"/>
        </w:trPr>
        <w:tc>
          <w:tcPr>
            <w:tcW w:w="1732" w:type="dxa"/>
            <w:tcBorders>
              <w:top w:val="single" w:sz="6" w:space="0" w:color="000000"/>
              <w:left w:val="single" w:sz="4" w:space="0" w:color="000000"/>
              <w:bottom w:val="single" w:sz="6" w:space="0" w:color="000000"/>
              <w:right w:val="single" w:sz="4" w:space="0" w:color="000000"/>
            </w:tcBorders>
          </w:tcPr>
          <w:p w14:paraId="66047F64" w14:textId="77777777" w:rsidR="0073095E" w:rsidRPr="00532388" w:rsidRDefault="0073095E" w:rsidP="0073095E">
            <w:pPr>
              <w:autoSpaceDE w:val="0"/>
              <w:autoSpaceDN w:val="0"/>
              <w:adjustRightInd w:val="0"/>
              <w:rPr>
                <w:rFonts w:eastAsia="Times New Roman"/>
                <w:sz w:val="20"/>
                <w:lang w:val="lt-LT" w:eastAsia="en-US"/>
              </w:rPr>
            </w:pPr>
          </w:p>
        </w:tc>
        <w:tc>
          <w:tcPr>
            <w:tcW w:w="3812" w:type="dxa"/>
            <w:gridSpan w:val="3"/>
            <w:tcBorders>
              <w:top w:val="single" w:sz="6" w:space="0" w:color="000000"/>
              <w:left w:val="single" w:sz="4" w:space="0" w:color="000000"/>
              <w:bottom w:val="single" w:sz="6" w:space="0" w:color="000000"/>
              <w:right w:val="single" w:sz="4" w:space="0" w:color="000000"/>
            </w:tcBorders>
            <w:hideMark/>
          </w:tcPr>
          <w:p w14:paraId="55980288" w14:textId="77777777" w:rsidR="0073095E" w:rsidRPr="00532388" w:rsidRDefault="0073095E" w:rsidP="0073095E">
            <w:pPr>
              <w:autoSpaceDE w:val="0"/>
              <w:autoSpaceDN w:val="0"/>
              <w:adjustRightInd w:val="0"/>
              <w:jc w:val="center"/>
              <w:rPr>
                <w:rFonts w:eastAsia="Times New Roman"/>
                <w:sz w:val="20"/>
                <w:lang w:val="lt-LT" w:eastAsia="en-US"/>
              </w:rPr>
            </w:pPr>
            <w:r w:rsidRPr="00532388">
              <w:rPr>
                <w:rFonts w:eastAsia="Times New Roman"/>
                <w:sz w:val="20"/>
                <w:lang w:val="lt-LT" w:eastAsia="en-US"/>
              </w:rPr>
              <w:t>48</w:t>
            </w:r>
            <w:r w:rsidR="0035687B" w:rsidRPr="00532388">
              <w:rPr>
                <w:rFonts w:eastAsia="Times New Roman"/>
                <w:sz w:val="20"/>
                <w:lang w:val="lt-LT" w:eastAsia="en-US"/>
              </w:rPr>
              <w:t xml:space="preserve"> savaitė</w:t>
            </w:r>
            <w:r w:rsidRPr="00532388">
              <w:rPr>
                <w:rFonts w:eastAsia="Times New Roman"/>
                <w:sz w:val="22"/>
                <w:vertAlign w:val="superscript"/>
                <w:lang w:val="lt-LT" w:eastAsia="en-US"/>
              </w:rPr>
              <w:t>a</w:t>
            </w:r>
          </w:p>
        </w:tc>
        <w:tc>
          <w:tcPr>
            <w:tcW w:w="3758" w:type="dxa"/>
            <w:gridSpan w:val="3"/>
            <w:tcBorders>
              <w:top w:val="single" w:sz="6" w:space="0" w:color="000000"/>
              <w:left w:val="single" w:sz="4" w:space="0" w:color="000000"/>
              <w:bottom w:val="single" w:sz="6" w:space="0" w:color="000000"/>
              <w:right w:val="single" w:sz="4" w:space="0" w:color="000000"/>
            </w:tcBorders>
            <w:hideMark/>
          </w:tcPr>
          <w:p w14:paraId="43A60821" w14:textId="77777777" w:rsidR="0073095E" w:rsidRPr="00532388" w:rsidRDefault="0073095E" w:rsidP="0073095E">
            <w:pPr>
              <w:autoSpaceDE w:val="0"/>
              <w:autoSpaceDN w:val="0"/>
              <w:adjustRightInd w:val="0"/>
              <w:jc w:val="center"/>
              <w:rPr>
                <w:rFonts w:eastAsia="Times New Roman"/>
                <w:sz w:val="20"/>
                <w:lang w:val="lt-LT" w:eastAsia="en-US"/>
              </w:rPr>
            </w:pPr>
            <w:r w:rsidRPr="00532388">
              <w:rPr>
                <w:rFonts w:eastAsia="Times New Roman"/>
                <w:sz w:val="20"/>
                <w:lang w:val="lt-LT" w:eastAsia="en-US"/>
              </w:rPr>
              <w:t>96</w:t>
            </w:r>
            <w:r w:rsidR="0035687B" w:rsidRPr="00532388">
              <w:rPr>
                <w:rFonts w:eastAsia="Times New Roman"/>
                <w:sz w:val="20"/>
                <w:lang w:val="lt-LT" w:eastAsia="en-US"/>
              </w:rPr>
              <w:t xml:space="preserve"> savaitė</w:t>
            </w:r>
            <w:r w:rsidRPr="00532388">
              <w:rPr>
                <w:rFonts w:eastAsia="Times New Roman"/>
                <w:sz w:val="22"/>
                <w:vertAlign w:val="superscript"/>
                <w:lang w:val="lt-LT" w:eastAsia="en-US"/>
              </w:rPr>
              <w:t>b</w:t>
            </w:r>
          </w:p>
        </w:tc>
      </w:tr>
      <w:tr w:rsidR="0073095E" w:rsidRPr="00532388" w14:paraId="6FD2DC91" w14:textId="77777777" w:rsidTr="0073095E">
        <w:trPr>
          <w:trHeight w:val="215"/>
        </w:trPr>
        <w:tc>
          <w:tcPr>
            <w:tcW w:w="1732" w:type="dxa"/>
            <w:tcBorders>
              <w:top w:val="single" w:sz="6" w:space="0" w:color="000000"/>
              <w:left w:val="single" w:sz="4" w:space="0" w:color="000000"/>
              <w:bottom w:val="nil"/>
              <w:right w:val="single" w:sz="4" w:space="0" w:color="000000"/>
            </w:tcBorders>
            <w:hideMark/>
          </w:tcPr>
          <w:p w14:paraId="3B82DAC9" w14:textId="77777777" w:rsidR="0035687B" w:rsidRPr="00532388" w:rsidRDefault="0035687B" w:rsidP="0035687B">
            <w:pPr>
              <w:autoSpaceDE w:val="0"/>
              <w:autoSpaceDN w:val="0"/>
              <w:adjustRightInd w:val="0"/>
              <w:rPr>
                <w:rFonts w:eastAsia="Times New Roman"/>
                <w:i/>
                <w:iCs/>
                <w:sz w:val="20"/>
                <w:lang w:val="lt-LT" w:eastAsia="en-US"/>
              </w:rPr>
            </w:pPr>
          </w:p>
          <w:p w14:paraId="261030EE" w14:textId="77777777" w:rsidR="0073095E" w:rsidRPr="00532388" w:rsidRDefault="0035687B" w:rsidP="0035687B">
            <w:pPr>
              <w:autoSpaceDE w:val="0"/>
              <w:autoSpaceDN w:val="0"/>
              <w:adjustRightInd w:val="0"/>
              <w:rPr>
                <w:rFonts w:eastAsia="Times New Roman"/>
                <w:sz w:val="20"/>
                <w:lang w:val="lt-LT" w:eastAsia="en-US"/>
              </w:rPr>
            </w:pPr>
            <w:r w:rsidRPr="00532388">
              <w:rPr>
                <w:rFonts w:eastAsia="Times New Roman"/>
                <w:i/>
                <w:iCs/>
                <w:sz w:val="20"/>
                <w:lang w:val="lt-LT" w:eastAsia="en-US"/>
              </w:rPr>
              <w:t>Vertinamosios baigtys</w:t>
            </w:r>
            <w:r w:rsidR="0073095E" w:rsidRPr="00532388">
              <w:rPr>
                <w:rFonts w:eastAsia="Times New Roman"/>
                <w:i/>
                <w:iCs/>
                <w:sz w:val="20"/>
                <w:lang w:val="lt-LT" w:eastAsia="en-US"/>
              </w:rPr>
              <w:t xml:space="preserve"> </w:t>
            </w:r>
          </w:p>
        </w:tc>
        <w:tc>
          <w:tcPr>
            <w:tcW w:w="1262" w:type="dxa"/>
            <w:tcBorders>
              <w:top w:val="single" w:sz="6" w:space="0" w:color="000000"/>
              <w:left w:val="single" w:sz="4" w:space="0" w:color="000000"/>
              <w:bottom w:val="nil"/>
              <w:right w:val="single" w:sz="4" w:space="0" w:color="000000"/>
            </w:tcBorders>
            <w:vAlign w:val="center"/>
            <w:hideMark/>
          </w:tcPr>
          <w:p w14:paraId="5631E11E" w14:textId="77777777" w:rsidR="0035687B"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Darunavir</w:t>
            </w:r>
            <w:r w:rsidR="0035687B" w:rsidRPr="00532388">
              <w:rPr>
                <w:rFonts w:eastAsia="Times New Roman"/>
                <w:sz w:val="20"/>
                <w:lang w:val="lt-LT" w:eastAsia="en-US"/>
              </w:rPr>
              <w:t>o</w:t>
            </w:r>
            <w:r w:rsidRPr="00532388">
              <w:rPr>
                <w:rFonts w:eastAsia="Times New Roman"/>
                <w:sz w:val="20"/>
                <w:lang w:val="lt-LT" w:eastAsia="en-US"/>
              </w:rPr>
              <w:t xml:space="preserve">/ </w:t>
            </w:r>
            <w:r w:rsidR="0035687B" w:rsidRPr="00532388">
              <w:rPr>
                <w:rFonts w:eastAsia="Times New Roman"/>
                <w:sz w:val="20"/>
                <w:lang w:val="lt-LT" w:eastAsia="en-US"/>
              </w:rPr>
              <w:t>ritonaviro</w:t>
            </w:r>
          </w:p>
          <w:p w14:paraId="529620C0" w14:textId="77777777" w:rsidR="0073095E" w:rsidRPr="00532388" w:rsidRDefault="0035687B" w:rsidP="0035687B">
            <w:pPr>
              <w:autoSpaceDE w:val="0"/>
              <w:autoSpaceDN w:val="0"/>
              <w:adjustRightInd w:val="0"/>
              <w:rPr>
                <w:rFonts w:eastAsia="Times New Roman"/>
                <w:sz w:val="20"/>
                <w:lang w:val="lt-LT" w:eastAsia="en-US"/>
              </w:rPr>
            </w:pPr>
            <w:r w:rsidRPr="00532388">
              <w:rPr>
                <w:rFonts w:eastAsia="Times New Roman"/>
                <w:sz w:val="20"/>
                <w:lang w:val="lt-LT" w:eastAsia="en-US"/>
              </w:rPr>
              <w:t>800/100 mg vieną kartą per parą N=343</w:t>
            </w:r>
          </w:p>
        </w:tc>
        <w:tc>
          <w:tcPr>
            <w:tcW w:w="1240" w:type="dxa"/>
            <w:tcBorders>
              <w:top w:val="single" w:sz="6" w:space="0" w:color="000000"/>
              <w:left w:val="single" w:sz="4" w:space="0" w:color="000000"/>
              <w:bottom w:val="nil"/>
              <w:right w:val="single" w:sz="4" w:space="0" w:color="000000"/>
            </w:tcBorders>
            <w:vAlign w:val="center"/>
            <w:hideMark/>
          </w:tcPr>
          <w:p w14:paraId="64735252" w14:textId="77777777" w:rsidR="0035687B" w:rsidRPr="00532388" w:rsidRDefault="0035687B" w:rsidP="0035687B">
            <w:pPr>
              <w:autoSpaceDE w:val="0"/>
              <w:autoSpaceDN w:val="0"/>
              <w:adjustRightInd w:val="0"/>
              <w:rPr>
                <w:rFonts w:eastAsia="Times New Roman"/>
                <w:sz w:val="20"/>
                <w:lang w:val="lt-LT" w:eastAsia="en-US"/>
              </w:rPr>
            </w:pPr>
            <w:r w:rsidRPr="00532388">
              <w:rPr>
                <w:rFonts w:eastAsia="Times New Roman"/>
                <w:sz w:val="20"/>
                <w:lang w:val="lt-LT" w:eastAsia="en-US"/>
              </w:rPr>
              <w:t>Lopinaviro/ ritonaviro</w:t>
            </w:r>
          </w:p>
          <w:p w14:paraId="3729F532" w14:textId="77777777" w:rsidR="0073095E" w:rsidRPr="00532388" w:rsidRDefault="0035687B" w:rsidP="0035687B">
            <w:pPr>
              <w:autoSpaceDE w:val="0"/>
              <w:autoSpaceDN w:val="0"/>
              <w:adjustRightInd w:val="0"/>
              <w:rPr>
                <w:rFonts w:eastAsia="Times New Roman"/>
                <w:sz w:val="20"/>
                <w:lang w:val="lt-LT" w:eastAsia="en-US"/>
              </w:rPr>
            </w:pPr>
            <w:r w:rsidRPr="00532388">
              <w:rPr>
                <w:rFonts w:eastAsia="Times New Roman"/>
                <w:sz w:val="20"/>
                <w:lang w:val="lt-LT" w:eastAsia="en-US"/>
              </w:rPr>
              <w:t>800/200 mg vieną kartą per parą N=346</w:t>
            </w:r>
          </w:p>
        </w:tc>
        <w:tc>
          <w:tcPr>
            <w:tcW w:w="1310" w:type="dxa"/>
            <w:tcBorders>
              <w:top w:val="single" w:sz="6" w:space="0" w:color="000000"/>
              <w:left w:val="single" w:sz="4" w:space="0" w:color="000000"/>
              <w:bottom w:val="nil"/>
              <w:right w:val="single" w:sz="4" w:space="0" w:color="000000"/>
            </w:tcBorders>
            <w:vAlign w:val="center"/>
            <w:hideMark/>
          </w:tcPr>
          <w:p w14:paraId="5FB05E19" w14:textId="77777777" w:rsidR="0073095E" w:rsidRPr="00532388" w:rsidRDefault="0035687B" w:rsidP="00CA5B85">
            <w:pPr>
              <w:autoSpaceDE w:val="0"/>
              <w:autoSpaceDN w:val="0"/>
              <w:adjustRightInd w:val="0"/>
              <w:rPr>
                <w:rFonts w:eastAsia="Times New Roman"/>
                <w:sz w:val="20"/>
                <w:lang w:val="lt-LT" w:eastAsia="en-US"/>
              </w:rPr>
            </w:pPr>
            <w:r w:rsidRPr="00532388">
              <w:rPr>
                <w:rFonts w:eastAsia="Times New Roman"/>
                <w:sz w:val="20"/>
                <w:lang w:val="lt-LT" w:eastAsia="en-US"/>
              </w:rPr>
              <w:t>Gydymo skirtumas</w:t>
            </w:r>
            <w:r w:rsidR="00EB4E53" w:rsidRPr="00532388">
              <w:rPr>
                <w:rFonts w:eastAsia="TimesNewRoman"/>
                <w:sz w:val="20"/>
                <w:lang w:val="lt-LT" w:eastAsia="en-US"/>
              </w:rPr>
              <w:t xml:space="preserve"> (skirtumo 95</w:t>
            </w:r>
            <w:r w:rsidR="00CA5B85" w:rsidRPr="00532388">
              <w:rPr>
                <w:rFonts w:eastAsia="TimesNewRoman"/>
                <w:sz w:val="20"/>
                <w:lang w:val="lt-LT" w:eastAsia="en-US"/>
              </w:rPr>
              <w:t> </w:t>
            </w:r>
            <w:r w:rsidR="00EB4E53" w:rsidRPr="00532388">
              <w:rPr>
                <w:rFonts w:eastAsia="TimesNewRoman"/>
                <w:sz w:val="20"/>
                <w:lang w:val="lt-LT" w:eastAsia="en-US"/>
              </w:rPr>
              <w:t>% PI)</w:t>
            </w:r>
          </w:p>
        </w:tc>
        <w:tc>
          <w:tcPr>
            <w:tcW w:w="1245" w:type="dxa"/>
            <w:tcBorders>
              <w:top w:val="single" w:sz="6" w:space="0" w:color="000000"/>
              <w:left w:val="single" w:sz="4" w:space="0" w:color="000000"/>
              <w:bottom w:val="nil"/>
              <w:right w:val="single" w:sz="4" w:space="0" w:color="000000"/>
            </w:tcBorders>
            <w:vAlign w:val="center"/>
            <w:hideMark/>
          </w:tcPr>
          <w:p w14:paraId="0C16C43F" w14:textId="77777777" w:rsidR="0035687B"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Darunavir</w:t>
            </w:r>
            <w:r w:rsidR="0035687B" w:rsidRPr="00532388">
              <w:rPr>
                <w:rFonts w:eastAsia="Times New Roman"/>
                <w:sz w:val="20"/>
                <w:lang w:val="lt-LT" w:eastAsia="en-US"/>
              </w:rPr>
              <w:t>o</w:t>
            </w:r>
            <w:r w:rsidRPr="00532388">
              <w:rPr>
                <w:rFonts w:eastAsia="Times New Roman"/>
                <w:sz w:val="20"/>
                <w:lang w:val="lt-LT" w:eastAsia="en-US"/>
              </w:rPr>
              <w:t xml:space="preserve">/ </w:t>
            </w:r>
            <w:r w:rsidR="0035687B" w:rsidRPr="00532388">
              <w:rPr>
                <w:rFonts w:eastAsia="Times New Roman"/>
                <w:sz w:val="20"/>
                <w:lang w:val="lt-LT" w:eastAsia="en-US"/>
              </w:rPr>
              <w:t>ritonaviro</w:t>
            </w:r>
          </w:p>
          <w:p w14:paraId="60734C39" w14:textId="77777777" w:rsidR="0073095E" w:rsidRPr="00532388" w:rsidRDefault="0035687B" w:rsidP="0073095E">
            <w:pPr>
              <w:autoSpaceDE w:val="0"/>
              <w:autoSpaceDN w:val="0"/>
              <w:adjustRightInd w:val="0"/>
              <w:rPr>
                <w:rFonts w:eastAsia="Times New Roman"/>
                <w:sz w:val="20"/>
                <w:lang w:val="lt-LT" w:eastAsia="en-US"/>
              </w:rPr>
            </w:pPr>
            <w:r w:rsidRPr="00532388">
              <w:rPr>
                <w:rFonts w:eastAsia="Times New Roman"/>
                <w:sz w:val="20"/>
                <w:lang w:val="lt-LT" w:eastAsia="en-US"/>
              </w:rPr>
              <w:t>800/100 mg vieną kartą per parą N=343</w:t>
            </w:r>
          </w:p>
        </w:tc>
        <w:tc>
          <w:tcPr>
            <w:tcW w:w="1195" w:type="dxa"/>
            <w:tcBorders>
              <w:top w:val="single" w:sz="6" w:space="0" w:color="000000"/>
              <w:left w:val="single" w:sz="4" w:space="0" w:color="000000"/>
              <w:bottom w:val="nil"/>
              <w:right w:val="single" w:sz="4" w:space="0" w:color="000000"/>
            </w:tcBorders>
            <w:vAlign w:val="center"/>
            <w:hideMark/>
          </w:tcPr>
          <w:p w14:paraId="42400E68" w14:textId="77777777" w:rsidR="0073095E" w:rsidRPr="00532388" w:rsidRDefault="0073095E" w:rsidP="00EB4E53">
            <w:pPr>
              <w:autoSpaceDE w:val="0"/>
              <w:autoSpaceDN w:val="0"/>
              <w:adjustRightInd w:val="0"/>
              <w:rPr>
                <w:rFonts w:eastAsia="Times New Roman"/>
                <w:sz w:val="20"/>
                <w:lang w:val="lt-LT" w:eastAsia="en-US"/>
              </w:rPr>
            </w:pPr>
            <w:r w:rsidRPr="00532388">
              <w:rPr>
                <w:rFonts w:eastAsia="Times New Roman"/>
                <w:sz w:val="20"/>
                <w:lang w:val="lt-LT" w:eastAsia="en-US"/>
              </w:rPr>
              <w:t>Lopinavir</w:t>
            </w:r>
            <w:r w:rsidR="00EB4E53" w:rsidRPr="00532388">
              <w:rPr>
                <w:rFonts w:eastAsia="Times New Roman"/>
                <w:sz w:val="20"/>
                <w:lang w:val="lt-LT" w:eastAsia="en-US"/>
              </w:rPr>
              <w:t>o</w:t>
            </w:r>
            <w:r w:rsidRPr="00532388">
              <w:rPr>
                <w:rFonts w:eastAsia="Times New Roman"/>
                <w:sz w:val="20"/>
                <w:lang w:val="lt-LT" w:eastAsia="en-US"/>
              </w:rPr>
              <w:t xml:space="preserve">/ </w:t>
            </w:r>
            <w:r w:rsidR="00EB4E53" w:rsidRPr="00532388">
              <w:rPr>
                <w:rFonts w:eastAsia="Times New Roman"/>
                <w:sz w:val="20"/>
                <w:lang w:val="lt-LT" w:eastAsia="en-US"/>
              </w:rPr>
              <w:t>ritonaviro 800/200 mg vieną kartą per parą N=346</w:t>
            </w:r>
          </w:p>
        </w:tc>
        <w:tc>
          <w:tcPr>
            <w:tcW w:w="1318" w:type="dxa"/>
            <w:tcBorders>
              <w:top w:val="single" w:sz="6" w:space="0" w:color="000000"/>
              <w:left w:val="single" w:sz="4" w:space="0" w:color="000000"/>
              <w:bottom w:val="nil"/>
              <w:right w:val="single" w:sz="4" w:space="0" w:color="000000"/>
            </w:tcBorders>
            <w:vAlign w:val="center"/>
            <w:hideMark/>
          </w:tcPr>
          <w:p w14:paraId="2E75949B" w14:textId="77777777" w:rsidR="0073095E" w:rsidRPr="00532388" w:rsidRDefault="00EB4E53" w:rsidP="00CA5B85">
            <w:pPr>
              <w:autoSpaceDE w:val="0"/>
              <w:autoSpaceDN w:val="0"/>
              <w:adjustRightInd w:val="0"/>
              <w:rPr>
                <w:rFonts w:eastAsia="Times New Roman"/>
                <w:sz w:val="20"/>
                <w:lang w:val="lt-LT" w:eastAsia="en-US"/>
              </w:rPr>
            </w:pPr>
            <w:r w:rsidRPr="00532388">
              <w:rPr>
                <w:rFonts w:eastAsia="Times New Roman"/>
                <w:sz w:val="20"/>
                <w:lang w:val="lt-LT" w:eastAsia="en-US"/>
              </w:rPr>
              <w:t>Gydym</w:t>
            </w:r>
            <w:r w:rsidRPr="00532388">
              <w:rPr>
                <w:rFonts w:eastAsia="TimesNewRoman"/>
                <w:sz w:val="20"/>
                <w:lang w:val="lt-LT" w:eastAsia="en-US"/>
              </w:rPr>
              <w:t>o skirtumas (skirtumo 95</w:t>
            </w:r>
            <w:r w:rsidR="00CA5B85" w:rsidRPr="00532388">
              <w:rPr>
                <w:rFonts w:eastAsia="TimesNewRoman"/>
                <w:sz w:val="20"/>
                <w:lang w:val="lt-LT" w:eastAsia="en-US"/>
              </w:rPr>
              <w:t> </w:t>
            </w:r>
            <w:r w:rsidRPr="00532388">
              <w:rPr>
                <w:rFonts w:eastAsia="TimesNewRoman"/>
                <w:sz w:val="20"/>
                <w:lang w:val="lt-LT" w:eastAsia="en-US"/>
              </w:rPr>
              <w:t>% PI)</w:t>
            </w:r>
          </w:p>
        </w:tc>
      </w:tr>
      <w:tr w:rsidR="0073095E" w:rsidRPr="00532388" w14:paraId="030A8A7F" w14:textId="77777777" w:rsidTr="0073095E">
        <w:trPr>
          <w:trHeight w:val="212"/>
        </w:trPr>
        <w:tc>
          <w:tcPr>
            <w:tcW w:w="1732" w:type="dxa"/>
            <w:tcBorders>
              <w:top w:val="single" w:sz="6" w:space="0" w:color="000000"/>
              <w:left w:val="single" w:sz="4" w:space="0" w:color="000000"/>
              <w:bottom w:val="nil"/>
              <w:right w:val="single" w:sz="4" w:space="0" w:color="000000"/>
            </w:tcBorders>
            <w:vAlign w:val="center"/>
            <w:hideMark/>
          </w:tcPr>
          <w:p w14:paraId="076493DA" w14:textId="77777777" w:rsidR="0073095E"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ŽIV-1 RNR</w:t>
            </w:r>
            <w:r w:rsidR="0073095E" w:rsidRPr="00532388">
              <w:rPr>
                <w:rFonts w:eastAsia="Times New Roman"/>
                <w:sz w:val="20"/>
                <w:lang w:val="lt-LT" w:eastAsia="en-US"/>
              </w:rPr>
              <w:t xml:space="preserve"> </w:t>
            </w:r>
          </w:p>
        </w:tc>
        <w:tc>
          <w:tcPr>
            <w:tcW w:w="1262" w:type="dxa"/>
            <w:tcBorders>
              <w:top w:val="single" w:sz="6" w:space="0" w:color="000000"/>
              <w:left w:val="single" w:sz="4" w:space="0" w:color="000000"/>
              <w:bottom w:val="nil"/>
              <w:right w:val="single" w:sz="4" w:space="0" w:color="000000"/>
            </w:tcBorders>
          </w:tcPr>
          <w:p w14:paraId="3888B856" w14:textId="77777777" w:rsidR="0073095E" w:rsidRPr="00532388" w:rsidRDefault="0073095E" w:rsidP="0073095E">
            <w:pPr>
              <w:autoSpaceDE w:val="0"/>
              <w:autoSpaceDN w:val="0"/>
              <w:adjustRightInd w:val="0"/>
              <w:rPr>
                <w:rFonts w:eastAsia="Times New Roman"/>
                <w:sz w:val="20"/>
                <w:lang w:val="lt-LT" w:eastAsia="en-US"/>
              </w:rPr>
            </w:pPr>
          </w:p>
        </w:tc>
        <w:tc>
          <w:tcPr>
            <w:tcW w:w="1240" w:type="dxa"/>
            <w:tcBorders>
              <w:top w:val="single" w:sz="6" w:space="0" w:color="000000"/>
              <w:left w:val="single" w:sz="4" w:space="0" w:color="000000"/>
              <w:bottom w:val="nil"/>
              <w:right w:val="single" w:sz="4" w:space="0" w:color="000000"/>
            </w:tcBorders>
          </w:tcPr>
          <w:p w14:paraId="7014802C" w14:textId="77777777" w:rsidR="0073095E" w:rsidRPr="00532388" w:rsidRDefault="0073095E" w:rsidP="0073095E">
            <w:pPr>
              <w:autoSpaceDE w:val="0"/>
              <w:autoSpaceDN w:val="0"/>
              <w:adjustRightInd w:val="0"/>
              <w:rPr>
                <w:rFonts w:eastAsia="Times New Roman"/>
                <w:sz w:val="20"/>
                <w:lang w:val="lt-LT" w:eastAsia="en-US"/>
              </w:rPr>
            </w:pPr>
          </w:p>
        </w:tc>
        <w:tc>
          <w:tcPr>
            <w:tcW w:w="1310" w:type="dxa"/>
            <w:tcBorders>
              <w:top w:val="single" w:sz="6" w:space="0" w:color="000000"/>
              <w:left w:val="single" w:sz="4" w:space="0" w:color="000000"/>
              <w:bottom w:val="nil"/>
              <w:right w:val="single" w:sz="4" w:space="0" w:color="000000"/>
            </w:tcBorders>
          </w:tcPr>
          <w:p w14:paraId="5D861C62" w14:textId="77777777" w:rsidR="0073095E" w:rsidRPr="00532388" w:rsidRDefault="0073095E" w:rsidP="0073095E">
            <w:pPr>
              <w:autoSpaceDE w:val="0"/>
              <w:autoSpaceDN w:val="0"/>
              <w:adjustRightInd w:val="0"/>
              <w:rPr>
                <w:rFonts w:eastAsia="Times New Roman"/>
                <w:sz w:val="20"/>
                <w:lang w:val="lt-LT" w:eastAsia="en-US"/>
              </w:rPr>
            </w:pPr>
          </w:p>
        </w:tc>
        <w:tc>
          <w:tcPr>
            <w:tcW w:w="1245" w:type="dxa"/>
            <w:tcBorders>
              <w:top w:val="single" w:sz="6" w:space="0" w:color="000000"/>
              <w:left w:val="single" w:sz="4" w:space="0" w:color="000000"/>
              <w:bottom w:val="nil"/>
              <w:right w:val="single" w:sz="4" w:space="0" w:color="000000"/>
            </w:tcBorders>
          </w:tcPr>
          <w:p w14:paraId="7CFBB3F0" w14:textId="77777777" w:rsidR="0073095E" w:rsidRPr="00532388" w:rsidRDefault="0073095E" w:rsidP="0073095E">
            <w:pPr>
              <w:autoSpaceDE w:val="0"/>
              <w:autoSpaceDN w:val="0"/>
              <w:adjustRightInd w:val="0"/>
              <w:rPr>
                <w:rFonts w:eastAsia="Times New Roman"/>
                <w:sz w:val="20"/>
                <w:lang w:val="lt-LT" w:eastAsia="en-US"/>
              </w:rPr>
            </w:pPr>
          </w:p>
        </w:tc>
        <w:tc>
          <w:tcPr>
            <w:tcW w:w="1195" w:type="dxa"/>
            <w:tcBorders>
              <w:top w:val="single" w:sz="6" w:space="0" w:color="000000"/>
              <w:left w:val="single" w:sz="4" w:space="0" w:color="000000"/>
              <w:bottom w:val="nil"/>
              <w:right w:val="single" w:sz="4" w:space="0" w:color="000000"/>
            </w:tcBorders>
          </w:tcPr>
          <w:p w14:paraId="5F33044F" w14:textId="77777777" w:rsidR="0073095E" w:rsidRPr="00532388" w:rsidRDefault="0073095E" w:rsidP="0073095E">
            <w:pPr>
              <w:autoSpaceDE w:val="0"/>
              <w:autoSpaceDN w:val="0"/>
              <w:adjustRightInd w:val="0"/>
              <w:rPr>
                <w:rFonts w:eastAsia="Times New Roman"/>
                <w:sz w:val="20"/>
                <w:lang w:val="lt-LT" w:eastAsia="en-US"/>
              </w:rPr>
            </w:pPr>
          </w:p>
        </w:tc>
        <w:tc>
          <w:tcPr>
            <w:tcW w:w="1318" w:type="dxa"/>
            <w:tcBorders>
              <w:top w:val="single" w:sz="6" w:space="0" w:color="000000"/>
              <w:left w:val="single" w:sz="4" w:space="0" w:color="000000"/>
              <w:bottom w:val="nil"/>
              <w:right w:val="single" w:sz="4" w:space="0" w:color="000000"/>
            </w:tcBorders>
          </w:tcPr>
          <w:p w14:paraId="433929EF" w14:textId="77777777" w:rsidR="0073095E" w:rsidRPr="00532388" w:rsidRDefault="0073095E" w:rsidP="0073095E">
            <w:pPr>
              <w:autoSpaceDE w:val="0"/>
              <w:autoSpaceDN w:val="0"/>
              <w:adjustRightInd w:val="0"/>
              <w:rPr>
                <w:rFonts w:eastAsia="Times New Roman"/>
                <w:sz w:val="20"/>
                <w:lang w:val="lt-LT" w:eastAsia="en-US"/>
              </w:rPr>
            </w:pPr>
          </w:p>
        </w:tc>
      </w:tr>
      <w:tr w:rsidR="0073095E" w:rsidRPr="00532388" w14:paraId="0A9BBA84" w14:textId="77777777" w:rsidTr="0073095E">
        <w:trPr>
          <w:trHeight w:val="232"/>
        </w:trPr>
        <w:tc>
          <w:tcPr>
            <w:tcW w:w="1732" w:type="dxa"/>
            <w:tcBorders>
              <w:top w:val="nil"/>
              <w:left w:val="single" w:sz="4" w:space="0" w:color="000000"/>
              <w:bottom w:val="nil"/>
              <w:right w:val="single" w:sz="4" w:space="0" w:color="000000"/>
            </w:tcBorders>
            <w:vAlign w:val="center"/>
            <w:hideMark/>
          </w:tcPr>
          <w:p w14:paraId="466FE75A" w14:textId="77777777" w:rsidR="0073095E" w:rsidRPr="00532388" w:rsidRDefault="00EB4E53" w:rsidP="00EB4E53">
            <w:pPr>
              <w:autoSpaceDE w:val="0"/>
              <w:autoSpaceDN w:val="0"/>
              <w:adjustRightInd w:val="0"/>
              <w:rPr>
                <w:rFonts w:eastAsia="Times New Roman"/>
                <w:sz w:val="13"/>
                <w:szCs w:val="13"/>
                <w:lang w:val="lt-LT" w:eastAsia="en-US"/>
              </w:rPr>
            </w:pPr>
            <w:r w:rsidRPr="00532388">
              <w:rPr>
                <w:rFonts w:eastAsia="Times New Roman"/>
                <w:sz w:val="20"/>
                <w:lang w:val="lt-LT" w:eastAsia="en-US"/>
              </w:rPr>
              <w:t>&lt; 50 k</w:t>
            </w:r>
            <w:r w:rsidR="0073095E" w:rsidRPr="00532388">
              <w:rPr>
                <w:rFonts w:eastAsia="Times New Roman"/>
                <w:sz w:val="20"/>
                <w:lang w:val="lt-LT" w:eastAsia="en-US"/>
              </w:rPr>
              <w:t>opi</w:t>
            </w:r>
            <w:r w:rsidRPr="00532388">
              <w:rPr>
                <w:rFonts w:eastAsia="Times New Roman"/>
                <w:sz w:val="20"/>
                <w:lang w:val="lt-LT" w:eastAsia="en-US"/>
              </w:rPr>
              <w:t>jų</w:t>
            </w:r>
            <w:r w:rsidR="0073095E" w:rsidRPr="00532388">
              <w:rPr>
                <w:rFonts w:eastAsia="Times New Roman"/>
                <w:sz w:val="20"/>
                <w:lang w:val="lt-LT" w:eastAsia="en-US"/>
              </w:rPr>
              <w:t>/ml</w:t>
            </w:r>
            <w:r w:rsidR="0073095E" w:rsidRPr="00532388">
              <w:rPr>
                <w:rFonts w:eastAsia="Times New Roman"/>
                <w:sz w:val="22"/>
                <w:szCs w:val="13"/>
                <w:vertAlign w:val="superscript"/>
                <w:lang w:val="lt-LT" w:eastAsia="en-US"/>
              </w:rPr>
              <w:t>c</w:t>
            </w:r>
            <w:r w:rsidR="0073095E" w:rsidRPr="00532388">
              <w:rPr>
                <w:rFonts w:eastAsia="Times New Roman"/>
                <w:sz w:val="13"/>
                <w:szCs w:val="13"/>
                <w:lang w:val="lt-LT" w:eastAsia="en-US"/>
              </w:rPr>
              <w:t xml:space="preserve"> </w:t>
            </w:r>
          </w:p>
        </w:tc>
        <w:tc>
          <w:tcPr>
            <w:tcW w:w="1262" w:type="dxa"/>
            <w:tcBorders>
              <w:top w:val="nil"/>
              <w:left w:val="single" w:sz="4" w:space="0" w:color="000000"/>
              <w:bottom w:val="nil"/>
              <w:right w:val="single" w:sz="4" w:space="0" w:color="000000"/>
            </w:tcBorders>
          </w:tcPr>
          <w:p w14:paraId="4E0B50E5" w14:textId="77777777" w:rsidR="0073095E" w:rsidRPr="00532388" w:rsidRDefault="0073095E" w:rsidP="0073095E">
            <w:pPr>
              <w:autoSpaceDE w:val="0"/>
              <w:autoSpaceDN w:val="0"/>
              <w:adjustRightInd w:val="0"/>
              <w:rPr>
                <w:rFonts w:eastAsia="Times New Roman"/>
                <w:sz w:val="20"/>
                <w:lang w:val="lt-LT" w:eastAsia="en-US"/>
              </w:rPr>
            </w:pPr>
          </w:p>
        </w:tc>
        <w:tc>
          <w:tcPr>
            <w:tcW w:w="1240" w:type="dxa"/>
            <w:tcBorders>
              <w:top w:val="nil"/>
              <w:left w:val="single" w:sz="4" w:space="0" w:color="000000"/>
              <w:bottom w:val="nil"/>
              <w:right w:val="single" w:sz="4" w:space="0" w:color="000000"/>
            </w:tcBorders>
          </w:tcPr>
          <w:p w14:paraId="232B52EF" w14:textId="77777777" w:rsidR="0073095E" w:rsidRPr="00532388" w:rsidRDefault="0073095E" w:rsidP="0073095E">
            <w:pPr>
              <w:autoSpaceDE w:val="0"/>
              <w:autoSpaceDN w:val="0"/>
              <w:adjustRightInd w:val="0"/>
              <w:rPr>
                <w:rFonts w:eastAsia="Times New Roman"/>
                <w:sz w:val="20"/>
                <w:lang w:val="lt-LT" w:eastAsia="en-US"/>
              </w:rPr>
            </w:pPr>
          </w:p>
        </w:tc>
        <w:tc>
          <w:tcPr>
            <w:tcW w:w="1310" w:type="dxa"/>
            <w:tcBorders>
              <w:top w:val="nil"/>
              <w:left w:val="single" w:sz="4" w:space="0" w:color="000000"/>
              <w:bottom w:val="nil"/>
              <w:right w:val="single" w:sz="4" w:space="0" w:color="000000"/>
            </w:tcBorders>
          </w:tcPr>
          <w:p w14:paraId="50196A53" w14:textId="77777777" w:rsidR="0073095E" w:rsidRPr="00532388" w:rsidRDefault="0073095E" w:rsidP="0073095E">
            <w:pPr>
              <w:autoSpaceDE w:val="0"/>
              <w:autoSpaceDN w:val="0"/>
              <w:adjustRightInd w:val="0"/>
              <w:rPr>
                <w:rFonts w:eastAsia="Times New Roman"/>
                <w:sz w:val="20"/>
                <w:lang w:val="lt-LT" w:eastAsia="en-US"/>
              </w:rPr>
            </w:pPr>
          </w:p>
        </w:tc>
        <w:tc>
          <w:tcPr>
            <w:tcW w:w="1245" w:type="dxa"/>
            <w:tcBorders>
              <w:top w:val="nil"/>
              <w:left w:val="single" w:sz="4" w:space="0" w:color="000000"/>
              <w:bottom w:val="nil"/>
              <w:right w:val="single" w:sz="4" w:space="0" w:color="000000"/>
            </w:tcBorders>
          </w:tcPr>
          <w:p w14:paraId="7A10C146" w14:textId="77777777" w:rsidR="0073095E" w:rsidRPr="00532388" w:rsidRDefault="0073095E" w:rsidP="0073095E">
            <w:pPr>
              <w:autoSpaceDE w:val="0"/>
              <w:autoSpaceDN w:val="0"/>
              <w:adjustRightInd w:val="0"/>
              <w:rPr>
                <w:rFonts w:eastAsia="Times New Roman"/>
                <w:sz w:val="20"/>
                <w:lang w:val="lt-LT" w:eastAsia="en-US"/>
              </w:rPr>
            </w:pPr>
          </w:p>
        </w:tc>
        <w:tc>
          <w:tcPr>
            <w:tcW w:w="1195" w:type="dxa"/>
            <w:tcBorders>
              <w:top w:val="nil"/>
              <w:left w:val="single" w:sz="4" w:space="0" w:color="000000"/>
              <w:bottom w:val="nil"/>
              <w:right w:val="single" w:sz="4" w:space="0" w:color="000000"/>
            </w:tcBorders>
          </w:tcPr>
          <w:p w14:paraId="6FD39370" w14:textId="77777777" w:rsidR="0073095E" w:rsidRPr="00532388" w:rsidRDefault="0073095E" w:rsidP="0073095E">
            <w:pPr>
              <w:autoSpaceDE w:val="0"/>
              <w:autoSpaceDN w:val="0"/>
              <w:adjustRightInd w:val="0"/>
              <w:rPr>
                <w:rFonts w:eastAsia="Times New Roman"/>
                <w:sz w:val="20"/>
                <w:lang w:val="lt-LT" w:eastAsia="en-US"/>
              </w:rPr>
            </w:pPr>
          </w:p>
        </w:tc>
        <w:tc>
          <w:tcPr>
            <w:tcW w:w="1318" w:type="dxa"/>
            <w:tcBorders>
              <w:top w:val="nil"/>
              <w:left w:val="single" w:sz="4" w:space="0" w:color="000000"/>
              <w:bottom w:val="nil"/>
              <w:right w:val="single" w:sz="4" w:space="0" w:color="000000"/>
            </w:tcBorders>
          </w:tcPr>
          <w:p w14:paraId="22CC1704" w14:textId="77777777" w:rsidR="0073095E" w:rsidRPr="00532388" w:rsidRDefault="0073095E" w:rsidP="0073095E">
            <w:pPr>
              <w:autoSpaceDE w:val="0"/>
              <w:autoSpaceDN w:val="0"/>
              <w:adjustRightInd w:val="0"/>
              <w:rPr>
                <w:rFonts w:eastAsia="Times New Roman"/>
                <w:sz w:val="20"/>
                <w:lang w:val="lt-LT" w:eastAsia="en-US"/>
              </w:rPr>
            </w:pPr>
          </w:p>
        </w:tc>
      </w:tr>
      <w:tr w:rsidR="0073095E" w:rsidRPr="00532388" w14:paraId="2C9822F9" w14:textId="77777777" w:rsidTr="0073095E">
        <w:trPr>
          <w:trHeight w:val="210"/>
        </w:trPr>
        <w:tc>
          <w:tcPr>
            <w:tcW w:w="1732" w:type="dxa"/>
            <w:tcBorders>
              <w:top w:val="nil"/>
              <w:left w:val="single" w:sz="4" w:space="0" w:color="000000"/>
              <w:bottom w:val="nil"/>
              <w:right w:val="single" w:sz="4" w:space="0" w:color="000000"/>
            </w:tcBorders>
            <w:vAlign w:val="center"/>
            <w:hideMark/>
          </w:tcPr>
          <w:p w14:paraId="134F0710" w14:textId="77777777" w:rsidR="0073095E" w:rsidRPr="00532388" w:rsidRDefault="00EB4E53" w:rsidP="00EB4E53">
            <w:pPr>
              <w:autoSpaceDE w:val="0"/>
              <w:autoSpaceDN w:val="0"/>
              <w:adjustRightInd w:val="0"/>
              <w:rPr>
                <w:rFonts w:eastAsia="Times New Roman"/>
                <w:sz w:val="20"/>
                <w:lang w:val="lt-LT" w:eastAsia="en-US"/>
              </w:rPr>
            </w:pPr>
            <w:r w:rsidRPr="00532388">
              <w:rPr>
                <w:rFonts w:eastAsia="Times New Roman"/>
                <w:sz w:val="20"/>
                <w:lang w:val="lt-LT" w:eastAsia="en-US"/>
              </w:rPr>
              <w:t xml:space="preserve">Visiems </w:t>
            </w:r>
            <w:r w:rsidR="0073095E" w:rsidRPr="00532388">
              <w:rPr>
                <w:rFonts w:eastAsia="Times New Roman"/>
                <w:sz w:val="20"/>
                <w:lang w:val="lt-LT" w:eastAsia="en-US"/>
              </w:rPr>
              <w:t>pa</w:t>
            </w:r>
            <w:r w:rsidRPr="00532388">
              <w:rPr>
                <w:rFonts w:eastAsia="Times New Roman"/>
                <w:sz w:val="20"/>
                <w:lang w:val="lt-LT" w:eastAsia="en-US"/>
              </w:rPr>
              <w:t>cientams</w:t>
            </w:r>
          </w:p>
        </w:tc>
        <w:tc>
          <w:tcPr>
            <w:tcW w:w="1262" w:type="dxa"/>
            <w:tcBorders>
              <w:top w:val="nil"/>
              <w:left w:val="single" w:sz="4" w:space="0" w:color="000000"/>
              <w:bottom w:val="nil"/>
              <w:right w:val="single" w:sz="4" w:space="0" w:color="000000"/>
            </w:tcBorders>
            <w:vAlign w:val="center"/>
            <w:hideMark/>
          </w:tcPr>
          <w:p w14:paraId="59CEB1A0" w14:textId="77777777" w:rsidR="00A57D4C" w:rsidRPr="00532388" w:rsidRDefault="00A57D4C" w:rsidP="00EB4E53">
            <w:pPr>
              <w:autoSpaceDE w:val="0"/>
              <w:autoSpaceDN w:val="0"/>
              <w:adjustRightInd w:val="0"/>
              <w:rPr>
                <w:rFonts w:eastAsia="Times New Roman"/>
                <w:sz w:val="20"/>
                <w:lang w:val="lt-LT" w:eastAsia="en-US"/>
              </w:rPr>
            </w:pPr>
          </w:p>
          <w:p w14:paraId="69812588" w14:textId="77777777" w:rsidR="0073095E" w:rsidRPr="00532388" w:rsidRDefault="00EB4E53" w:rsidP="00EB4E53">
            <w:pPr>
              <w:autoSpaceDE w:val="0"/>
              <w:autoSpaceDN w:val="0"/>
              <w:adjustRightInd w:val="0"/>
              <w:rPr>
                <w:rFonts w:eastAsia="Times New Roman"/>
                <w:sz w:val="20"/>
                <w:lang w:val="lt-LT" w:eastAsia="en-US"/>
              </w:rPr>
            </w:pPr>
            <w:r w:rsidRPr="00532388">
              <w:rPr>
                <w:rFonts w:eastAsia="Times New Roman"/>
                <w:sz w:val="20"/>
                <w:lang w:val="lt-LT" w:eastAsia="en-US"/>
              </w:rPr>
              <w:t>83,</w:t>
            </w:r>
            <w:r w:rsidR="0073095E" w:rsidRPr="00532388">
              <w:rPr>
                <w:rFonts w:eastAsia="Times New Roman"/>
                <w:sz w:val="20"/>
                <w:lang w:val="lt-LT" w:eastAsia="en-US"/>
              </w:rPr>
              <w:t>7%</w:t>
            </w:r>
            <w:r w:rsidRPr="00532388">
              <w:rPr>
                <w:rFonts w:eastAsia="Times New Roman"/>
                <w:sz w:val="20"/>
                <w:lang w:val="lt-LT" w:eastAsia="en-US"/>
              </w:rPr>
              <w:t xml:space="preserve"> (287)</w:t>
            </w:r>
          </w:p>
        </w:tc>
        <w:tc>
          <w:tcPr>
            <w:tcW w:w="1240" w:type="dxa"/>
            <w:tcBorders>
              <w:top w:val="nil"/>
              <w:left w:val="single" w:sz="4" w:space="0" w:color="000000"/>
              <w:bottom w:val="nil"/>
              <w:right w:val="single" w:sz="4" w:space="0" w:color="000000"/>
            </w:tcBorders>
            <w:vAlign w:val="center"/>
            <w:hideMark/>
          </w:tcPr>
          <w:p w14:paraId="1A89CD84" w14:textId="77777777" w:rsidR="00A57D4C" w:rsidRPr="00532388" w:rsidRDefault="00A57D4C" w:rsidP="0073095E">
            <w:pPr>
              <w:autoSpaceDE w:val="0"/>
              <w:autoSpaceDN w:val="0"/>
              <w:adjustRightInd w:val="0"/>
              <w:rPr>
                <w:rFonts w:eastAsia="Times New Roman"/>
                <w:sz w:val="20"/>
                <w:lang w:val="lt-LT" w:eastAsia="en-US"/>
              </w:rPr>
            </w:pPr>
          </w:p>
          <w:p w14:paraId="339E0524" w14:textId="77777777" w:rsidR="0073095E"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78,</w:t>
            </w:r>
            <w:r w:rsidR="0073095E" w:rsidRPr="00532388">
              <w:rPr>
                <w:rFonts w:eastAsia="Times New Roman"/>
                <w:sz w:val="20"/>
                <w:lang w:val="lt-LT" w:eastAsia="en-US"/>
              </w:rPr>
              <w:t xml:space="preserve">3% </w:t>
            </w:r>
            <w:r w:rsidRPr="00532388">
              <w:rPr>
                <w:rFonts w:eastAsia="Times New Roman"/>
                <w:sz w:val="20"/>
                <w:lang w:val="lt-LT" w:eastAsia="en-US"/>
              </w:rPr>
              <w:t>(271)</w:t>
            </w:r>
          </w:p>
        </w:tc>
        <w:tc>
          <w:tcPr>
            <w:tcW w:w="1310" w:type="dxa"/>
            <w:tcBorders>
              <w:top w:val="nil"/>
              <w:left w:val="single" w:sz="4" w:space="0" w:color="000000"/>
              <w:bottom w:val="nil"/>
              <w:right w:val="single" w:sz="4" w:space="0" w:color="000000"/>
            </w:tcBorders>
            <w:vAlign w:val="center"/>
            <w:hideMark/>
          </w:tcPr>
          <w:p w14:paraId="5037F4CB" w14:textId="77777777" w:rsidR="00EB4E53" w:rsidRPr="00532388" w:rsidRDefault="00EB4E53" w:rsidP="0073095E">
            <w:pPr>
              <w:autoSpaceDE w:val="0"/>
              <w:autoSpaceDN w:val="0"/>
              <w:adjustRightInd w:val="0"/>
              <w:rPr>
                <w:rFonts w:eastAsia="Times New Roman"/>
                <w:sz w:val="20"/>
                <w:lang w:val="lt-LT" w:eastAsia="en-US"/>
              </w:rPr>
            </w:pPr>
          </w:p>
          <w:p w14:paraId="0DB6EADD" w14:textId="77777777" w:rsidR="00A57D4C" w:rsidRPr="00532388" w:rsidRDefault="00A57D4C" w:rsidP="0073095E">
            <w:pPr>
              <w:autoSpaceDE w:val="0"/>
              <w:autoSpaceDN w:val="0"/>
              <w:adjustRightInd w:val="0"/>
              <w:rPr>
                <w:rFonts w:eastAsia="Times New Roman"/>
                <w:sz w:val="20"/>
                <w:lang w:val="lt-LT" w:eastAsia="en-US"/>
              </w:rPr>
            </w:pPr>
          </w:p>
          <w:p w14:paraId="3D5CCEF7" w14:textId="77777777" w:rsidR="00EB4E53"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5</w:t>
            </w:r>
            <w:r w:rsidR="007F2C1D">
              <w:rPr>
                <w:rFonts w:eastAsia="Times New Roman"/>
                <w:sz w:val="20"/>
                <w:lang w:val="lt-LT" w:eastAsia="en-US"/>
              </w:rPr>
              <w:t>,</w:t>
            </w:r>
            <w:r w:rsidR="0073095E" w:rsidRPr="00532388">
              <w:rPr>
                <w:rFonts w:eastAsia="Times New Roman"/>
                <w:sz w:val="20"/>
                <w:lang w:val="lt-LT" w:eastAsia="en-US"/>
              </w:rPr>
              <w:t>3%</w:t>
            </w:r>
          </w:p>
          <w:p w14:paraId="2C7CB9CA" w14:textId="77777777" w:rsidR="0073095E"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(-0.5; 11,2)</w:t>
            </w:r>
            <w:r w:rsidRPr="00532388">
              <w:rPr>
                <w:rFonts w:eastAsia="Times New Roman"/>
                <w:sz w:val="22"/>
                <w:szCs w:val="13"/>
                <w:vertAlign w:val="superscript"/>
                <w:lang w:val="lt-LT" w:eastAsia="en-US"/>
              </w:rPr>
              <w:t>d</w:t>
            </w:r>
          </w:p>
        </w:tc>
        <w:tc>
          <w:tcPr>
            <w:tcW w:w="1245" w:type="dxa"/>
            <w:tcBorders>
              <w:top w:val="nil"/>
              <w:left w:val="single" w:sz="4" w:space="0" w:color="000000"/>
              <w:bottom w:val="nil"/>
              <w:right w:val="single" w:sz="4" w:space="0" w:color="000000"/>
            </w:tcBorders>
            <w:vAlign w:val="center"/>
            <w:hideMark/>
          </w:tcPr>
          <w:p w14:paraId="47F04EFA" w14:textId="77777777" w:rsidR="00A57D4C" w:rsidRPr="00532388" w:rsidRDefault="00A57D4C" w:rsidP="0073095E">
            <w:pPr>
              <w:autoSpaceDE w:val="0"/>
              <w:autoSpaceDN w:val="0"/>
              <w:adjustRightInd w:val="0"/>
              <w:rPr>
                <w:rFonts w:eastAsia="Times New Roman"/>
                <w:sz w:val="20"/>
                <w:lang w:val="lt-LT" w:eastAsia="en-US"/>
              </w:rPr>
            </w:pPr>
          </w:p>
          <w:p w14:paraId="6912A96E" w14:textId="77777777" w:rsidR="0073095E"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79,</w:t>
            </w:r>
            <w:r w:rsidR="0073095E" w:rsidRPr="00532388">
              <w:rPr>
                <w:rFonts w:eastAsia="Times New Roman"/>
                <w:sz w:val="20"/>
                <w:lang w:val="lt-LT" w:eastAsia="en-US"/>
              </w:rPr>
              <w:t xml:space="preserve">0% </w:t>
            </w:r>
            <w:r w:rsidRPr="00532388">
              <w:rPr>
                <w:rFonts w:eastAsia="Times New Roman"/>
                <w:sz w:val="20"/>
                <w:lang w:val="lt-LT" w:eastAsia="en-US"/>
              </w:rPr>
              <w:t>(271)</w:t>
            </w:r>
          </w:p>
        </w:tc>
        <w:tc>
          <w:tcPr>
            <w:tcW w:w="1195" w:type="dxa"/>
            <w:tcBorders>
              <w:top w:val="nil"/>
              <w:left w:val="single" w:sz="4" w:space="0" w:color="000000"/>
              <w:bottom w:val="nil"/>
              <w:right w:val="single" w:sz="4" w:space="0" w:color="000000"/>
            </w:tcBorders>
            <w:vAlign w:val="center"/>
            <w:hideMark/>
          </w:tcPr>
          <w:p w14:paraId="0BFACE49" w14:textId="77777777" w:rsidR="00EB4E53" w:rsidRPr="00532388" w:rsidRDefault="00EB4E53" w:rsidP="0073095E">
            <w:pPr>
              <w:autoSpaceDE w:val="0"/>
              <w:autoSpaceDN w:val="0"/>
              <w:adjustRightInd w:val="0"/>
              <w:rPr>
                <w:rFonts w:eastAsia="Times New Roman"/>
                <w:sz w:val="20"/>
                <w:lang w:val="lt-LT" w:eastAsia="en-US"/>
              </w:rPr>
            </w:pPr>
          </w:p>
          <w:p w14:paraId="2FC87A85" w14:textId="77777777" w:rsidR="00A57D4C" w:rsidRPr="00532388" w:rsidRDefault="00A57D4C" w:rsidP="00EB4E53">
            <w:pPr>
              <w:autoSpaceDE w:val="0"/>
              <w:autoSpaceDN w:val="0"/>
              <w:adjustRightInd w:val="0"/>
              <w:rPr>
                <w:rFonts w:eastAsia="Times New Roman"/>
                <w:sz w:val="20"/>
                <w:lang w:val="lt-LT" w:eastAsia="en-US"/>
              </w:rPr>
            </w:pPr>
          </w:p>
          <w:p w14:paraId="39111C67" w14:textId="77777777" w:rsidR="0073095E" w:rsidRPr="00532388" w:rsidRDefault="00EB4E53" w:rsidP="00EB4E53">
            <w:pPr>
              <w:autoSpaceDE w:val="0"/>
              <w:autoSpaceDN w:val="0"/>
              <w:adjustRightInd w:val="0"/>
              <w:rPr>
                <w:rFonts w:eastAsia="Times New Roman"/>
                <w:sz w:val="20"/>
                <w:lang w:val="lt-LT" w:eastAsia="en-US"/>
              </w:rPr>
            </w:pPr>
            <w:r w:rsidRPr="00532388">
              <w:rPr>
                <w:rFonts w:eastAsia="Times New Roman"/>
                <w:sz w:val="20"/>
                <w:lang w:val="lt-LT" w:eastAsia="en-US"/>
              </w:rPr>
              <w:t>70,</w:t>
            </w:r>
            <w:r w:rsidR="0073095E" w:rsidRPr="00532388">
              <w:rPr>
                <w:rFonts w:eastAsia="Times New Roman"/>
                <w:sz w:val="20"/>
                <w:lang w:val="lt-LT" w:eastAsia="en-US"/>
              </w:rPr>
              <w:t>8%</w:t>
            </w:r>
            <w:r w:rsidRPr="00532388">
              <w:rPr>
                <w:rFonts w:eastAsia="Times New Roman"/>
                <w:sz w:val="20"/>
                <w:lang w:val="lt-LT" w:eastAsia="en-US"/>
              </w:rPr>
              <w:t xml:space="preserve"> (245)</w:t>
            </w:r>
          </w:p>
        </w:tc>
        <w:tc>
          <w:tcPr>
            <w:tcW w:w="1318" w:type="dxa"/>
            <w:tcBorders>
              <w:top w:val="nil"/>
              <w:left w:val="single" w:sz="4" w:space="0" w:color="000000"/>
              <w:bottom w:val="nil"/>
              <w:right w:val="single" w:sz="4" w:space="0" w:color="000000"/>
            </w:tcBorders>
            <w:vAlign w:val="center"/>
            <w:hideMark/>
          </w:tcPr>
          <w:p w14:paraId="607B7E52" w14:textId="77777777" w:rsidR="00EB4E53" w:rsidRPr="00532388" w:rsidRDefault="00EB4E53" w:rsidP="0073095E">
            <w:pPr>
              <w:autoSpaceDE w:val="0"/>
              <w:autoSpaceDN w:val="0"/>
              <w:adjustRightInd w:val="0"/>
              <w:rPr>
                <w:rFonts w:eastAsia="Times New Roman"/>
                <w:sz w:val="20"/>
                <w:lang w:val="lt-LT" w:eastAsia="en-US"/>
              </w:rPr>
            </w:pPr>
          </w:p>
          <w:p w14:paraId="7CAA06FF" w14:textId="77777777" w:rsidR="00A57D4C" w:rsidRPr="00532388" w:rsidRDefault="00A57D4C" w:rsidP="0073095E">
            <w:pPr>
              <w:autoSpaceDE w:val="0"/>
              <w:autoSpaceDN w:val="0"/>
              <w:adjustRightInd w:val="0"/>
              <w:rPr>
                <w:rFonts w:eastAsia="Times New Roman"/>
                <w:sz w:val="20"/>
                <w:lang w:val="lt-LT" w:eastAsia="en-US"/>
              </w:rPr>
            </w:pPr>
          </w:p>
          <w:p w14:paraId="21DB6477" w14:textId="77777777" w:rsidR="00EB4E53"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8,</w:t>
            </w:r>
            <w:r w:rsidR="0073095E" w:rsidRPr="00532388">
              <w:rPr>
                <w:rFonts w:eastAsia="Times New Roman"/>
                <w:sz w:val="20"/>
                <w:lang w:val="lt-LT" w:eastAsia="en-US"/>
              </w:rPr>
              <w:t>2%</w:t>
            </w:r>
          </w:p>
          <w:p w14:paraId="78A9FE92" w14:textId="77777777" w:rsidR="0073095E" w:rsidRPr="00532388" w:rsidRDefault="00EB4E53" w:rsidP="0073095E">
            <w:pPr>
              <w:autoSpaceDE w:val="0"/>
              <w:autoSpaceDN w:val="0"/>
              <w:adjustRightInd w:val="0"/>
              <w:rPr>
                <w:rFonts w:eastAsia="Times New Roman"/>
                <w:sz w:val="20"/>
                <w:lang w:val="lt-LT" w:eastAsia="en-US"/>
              </w:rPr>
            </w:pPr>
            <w:r w:rsidRPr="00532388">
              <w:rPr>
                <w:rFonts w:eastAsia="Times New Roman"/>
                <w:sz w:val="20"/>
                <w:lang w:val="lt-LT" w:eastAsia="en-US"/>
              </w:rPr>
              <w:t>(1,7; 14,7)</w:t>
            </w:r>
            <w:r w:rsidRPr="00532388">
              <w:rPr>
                <w:rFonts w:eastAsia="Times New Roman"/>
                <w:sz w:val="22"/>
                <w:szCs w:val="13"/>
                <w:vertAlign w:val="superscript"/>
                <w:lang w:val="lt-LT" w:eastAsia="en-US"/>
              </w:rPr>
              <w:t>d</w:t>
            </w:r>
          </w:p>
        </w:tc>
      </w:tr>
      <w:tr w:rsidR="0073095E" w:rsidRPr="00532388" w14:paraId="2AD5F1CA" w14:textId="77777777" w:rsidTr="0073095E">
        <w:trPr>
          <w:trHeight w:val="210"/>
        </w:trPr>
        <w:tc>
          <w:tcPr>
            <w:tcW w:w="1732" w:type="dxa"/>
            <w:tcBorders>
              <w:top w:val="nil"/>
              <w:left w:val="single" w:sz="4" w:space="0" w:color="000000"/>
              <w:bottom w:val="nil"/>
              <w:right w:val="single" w:sz="4" w:space="0" w:color="000000"/>
            </w:tcBorders>
            <w:vAlign w:val="center"/>
            <w:hideMark/>
          </w:tcPr>
          <w:p w14:paraId="63826EB7" w14:textId="77777777" w:rsidR="0073095E"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Pradinis</w:t>
            </w:r>
            <w:r w:rsidR="0073095E" w:rsidRPr="00532388">
              <w:rPr>
                <w:rFonts w:eastAsia="Times New Roman"/>
                <w:sz w:val="20"/>
                <w:lang w:val="lt-LT" w:eastAsia="en-US"/>
              </w:rPr>
              <w:t xml:space="preserve"> </w:t>
            </w:r>
          </w:p>
        </w:tc>
        <w:tc>
          <w:tcPr>
            <w:tcW w:w="1262" w:type="dxa"/>
            <w:tcBorders>
              <w:top w:val="nil"/>
              <w:left w:val="single" w:sz="4" w:space="0" w:color="000000"/>
              <w:bottom w:val="nil"/>
              <w:right w:val="single" w:sz="4" w:space="0" w:color="000000"/>
            </w:tcBorders>
            <w:vAlign w:val="center"/>
            <w:hideMark/>
          </w:tcPr>
          <w:p w14:paraId="1DDE4E88"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85,</w:t>
            </w:r>
            <w:r w:rsidR="0073095E" w:rsidRPr="00532388">
              <w:rPr>
                <w:rFonts w:eastAsia="Times New Roman"/>
                <w:sz w:val="20"/>
                <w:lang w:val="lt-LT" w:eastAsia="en-US"/>
              </w:rPr>
              <w:t xml:space="preserve">8% </w:t>
            </w:r>
          </w:p>
        </w:tc>
        <w:tc>
          <w:tcPr>
            <w:tcW w:w="1240" w:type="dxa"/>
            <w:tcBorders>
              <w:top w:val="nil"/>
              <w:left w:val="single" w:sz="4" w:space="0" w:color="000000"/>
              <w:bottom w:val="nil"/>
              <w:right w:val="single" w:sz="4" w:space="0" w:color="000000"/>
            </w:tcBorders>
            <w:vAlign w:val="center"/>
            <w:hideMark/>
          </w:tcPr>
          <w:p w14:paraId="74776808"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84,</w:t>
            </w:r>
            <w:r w:rsidR="0073095E" w:rsidRPr="00532388">
              <w:rPr>
                <w:rFonts w:eastAsia="Times New Roman"/>
                <w:sz w:val="20"/>
                <w:lang w:val="lt-LT" w:eastAsia="en-US"/>
              </w:rPr>
              <w:t xml:space="preserve">5% </w:t>
            </w:r>
          </w:p>
        </w:tc>
        <w:tc>
          <w:tcPr>
            <w:tcW w:w="1310" w:type="dxa"/>
            <w:tcBorders>
              <w:top w:val="nil"/>
              <w:left w:val="single" w:sz="4" w:space="0" w:color="000000"/>
              <w:bottom w:val="nil"/>
              <w:right w:val="single" w:sz="4" w:space="0" w:color="000000"/>
            </w:tcBorders>
            <w:vAlign w:val="center"/>
            <w:hideMark/>
          </w:tcPr>
          <w:p w14:paraId="23DEF6B1"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1,</w:t>
            </w:r>
            <w:r w:rsidR="0073095E" w:rsidRPr="00532388">
              <w:rPr>
                <w:rFonts w:eastAsia="Times New Roman"/>
                <w:sz w:val="20"/>
                <w:lang w:val="lt-LT" w:eastAsia="en-US"/>
              </w:rPr>
              <w:t xml:space="preserve">3% </w:t>
            </w:r>
          </w:p>
        </w:tc>
        <w:tc>
          <w:tcPr>
            <w:tcW w:w="1245" w:type="dxa"/>
            <w:tcBorders>
              <w:top w:val="nil"/>
              <w:left w:val="single" w:sz="4" w:space="0" w:color="000000"/>
              <w:bottom w:val="nil"/>
              <w:right w:val="single" w:sz="4" w:space="0" w:color="000000"/>
            </w:tcBorders>
            <w:vAlign w:val="center"/>
            <w:hideMark/>
          </w:tcPr>
          <w:p w14:paraId="3BAA9A79"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80,</w:t>
            </w:r>
            <w:r w:rsidR="0073095E" w:rsidRPr="00532388">
              <w:rPr>
                <w:rFonts w:eastAsia="Times New Roman"/>
                <w:sz w:val="20"/>
                <w:lang w:val="lt-LT" w:eastAsia="en-US"/>
              </w:rPr>
              <w:t xml:space="preserve">5% </w:t>
            </w:r>
          </w:p>
        </w:tc>
        <w:tc>
          <w:tcPr>
            <w:tcW w:w="1195" w:type="dxa"/>
            <w:tcBorders>
              <w:top w:val="nil"/>
              <w:left w:val="single" w:sz="4" w:space="0" w:color="000000"/>
              <w:bottom w:val="nil"/>
              <w:right w:val="single" w:sz="4" w:space="0" w:color="000000"/>
            </w:tcBorders>
            <w:vAlign w:val="center"/>
            <w:hideMark/>
          </w:tcPr>
          <w:p w14:paraId="1AF4FA50"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75,</w:t>
            </w:r>
            <w:r w:rsidR="0073095E" w:rsidRPr="00532388">
              <w:rPr>
                <w:rFonts w:eastAsia="Times New Roman"/>
                <w:sz w:val="20"/>
                <w:lang w:val="lt-LT" w:eastAsia="en-US"/>
              </w:rPr>
              <w:t xml:space="preserve">2% </w:t>
            </w:r>
          </w:p>
        </w:tc>
        <w:tc>
          <w:tcPr>
            <w:tcW w:w="1318" w:type="dxa"/>
            <w:tcBorders>
              <w:top w:val="nil"/>
              <w:left w:val="single" w:sz="4" w:space="0" w:color="000000"/>
              <w:bottom w:val="nil"/>
              <w:right w:val="single" w:sz="4" w:space="0" w:color="000000"/>
            </w:tcBorders>
            <w:vAlign w:val="center"/>
            <w:hideMark/>
          </w:tcPr>
          <w:p w14:paraId="4333872F"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5,</w:t>
            </w:r>
            <w:r w:rsidR="0073095E" w:rsidRPr="00532388">
              <w:rPr>
                <w:rFonts w:eastAsia="Times New Roman"/>
                <w:sz w:val="20"/>
                <w:lang w:val="lt-LT" w:eastAsia="en-US"/>
              </w:rPr>
              <w:t xml:space="preserve">3% </w:t>
            </w:r>
          </w:p>
        </w:tc>
      </w:tr>
      <w:tr w:rsidR="0073095E" w:rsidRPr="00532388" w14:paraId="6E35E220" w14:textId="77777777" w:rsidTr="0073095E">
        <w:trPr>
          <w:trHeight w:val="477"/>
        </w:trPr>
        <w:tc>
          <w:tcPr>
            <w:tcW w:w="1732" w:type="dxa"/>
            <w:tcBorders>
              <w:top w:val="nil"/>
              <w:left w:val="single" w:sz="4" w:space="0" w:color="000000"/>
              <w:bottom w:val="nil"/>
              <w:right w:val="single" w:sz="4" w:space="0" w:color="000000"/>
            </w:tcBorders>
            <w:hideMark/>
          </w:tcPr>
          <w:p w14:paraId="6CA99272" w14:textId="77777777" w:rsidR="0073095E"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ŽIV-RNR</w:t>
            </w:r>
          </w:p>
          <w:p w14:paraId="406404DE"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&lt; 100</w:t>
            </w:r>
            <w:r w:rsidR="00A57D4C" w:rsidRPr="00532388">
              <w:rPr>
                <w:rFonts w:eastAsia="Times New Roman"/>
                <w:sz w:val="20"/>
                <w:lang w:val="lt-LT" w:eastAsia="en-US"/>
              </w:rPr>
              <w:t xml:space="preserve"> </w:t>
            </w:r>
            <w:r w:rsidRPr="00532388">
              <w:rPr>
                <w:rFonts w:eastAsia="Times New Roman"/>
                <w:sz w:val="20"/>
                <w:lang w:val="lt-LT" w:eastAsia="en-US"/>
              </w:rPr>
              <w:t xml:space="preserve">000 </w:t>
            </w:r>
          </w:p>
        </w:tc>
        <w:tc>
          <w:tcPr>
            <w:tcW w:w="1262" w:type="dxa"/>
            <w:tcBorders>
              <w:top w:val="nil"/>
              <w:left w:val="single" w:sz="4" w:space="0" w:color="000000"/>
              <w:bottom w:val="nil"/>
              <w:right w:val="single" w:sz="4" w:space="0" w:color="000000"/>
            </w:tcBorders>
            <w:hideMark/>
          </w:tcPr>
          <w:p w14:paraId="581B9063"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(194/226) </w:t>
            </w:r>
          </w:p>
        </w:tc>
        <w:tc>
          <w:tcPr>
            <w:tcW w:w="1240" w:type="dxa"/>
            <w:tcBorders>
              <w:top w:val="nil"/>
              <w:left w:val="single" w:sz="4" w:space="0" w:color="000000"/>
              <w:bottom w:val="nil"/>
              <w:right w:val="single" w:sz="4" w:space="0" w:color="000000"/>
            </w:tcBorders>
            <w:hideMark/>
          </w:tcPr>
          <w:p w14:paraId="347F1AB4"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(191/226) </w:t>
            </w:r>
          </w:p>
        </w:tc>
        <w:tc>
          <w:tcPr>
            <w:tcW w:w="1310" w:type="dxa"/>
            <w:tcBorders>
              <w:top w:val="nil"/>
              <w:left w:val="single" w:sz="4" w:space="0" w:color="000000"/>
              <w:bottom w:val="nil"/>
              <w:right w:val="single" w:sz="4" w:space="0" w:color="000000"/>
            </w:tcBorders>
            <w:hideMark/>
          </w:tcPr>
          <w:p w14:paraId="0B304515" w14:textId="77777777" w:rsidR="0073095E" w:rsidRPr="00532388" w:rsidRDefault="00A57D4C"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(-5,2; 7,</w:t>
            </w:r>
            <w:r w:rsidR="0073095E" w:rsidRPr="00532388">
              <w:rPr>
                <w:rFonts w:eastAsia="Times New Roman"/>
                <w:sz w:val="20"/>
                <w:lang w:val="lt-LT" w:eastAsia="en-US"/>
              </w:rPr>
              <w:t>9)</w:t>
            </w:r>
            <w:r w:rsidR="0073095E" w:rsidRPr="00532388">
              <w:rPr>
                <w:rFonts w:eastAsia="Times New Roman"/>
                <w:sz w:val="22"/>
                <w:szCs w:val="13"/>
                <w:vertAlign w:val="superscript"/>
                <w:lang w:val="lt-LT" w:eastAsia="en-US"/>
              </w:rPr>
              <w:t xml:space="preserve">d </w:t>
            </w:r>
          </w:p>
        </w:tc>
        <w:tc>
          <w:tcPr>
            <w:tcW w:w="1245" w:type="dxa"/>
            <w:tcBorders>
              <w:top w:val="nil"/>
              <w:left w:val="single" w:sz="4" w:space="0" w:color="000000"/>
              <w:bottom w:val="nil"/>
              <w:right w:val="single" w:sz="4" w:space="0" w:color="000000"/>
            </w:tcBorders>
            <w:hideMark/>
          </w:tcPr>
          <w:p w14:paraId="55D6FA5D"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(182/226) </w:t>
            </w:r>
          </w:p>
        </w:tc>
        <w:tc>
          <w:tcPr>
            <w:tcW w:w="1195" w:type="dxa"/>
            <w:tcBorders>
              <w:top w:val="nil"/>
              <w:left w:val="single" w:sz="4" w:space="0" w:color="000000"/>
              <w:bottom w:val="nil"/>
              <w:right w:val="single" w:sz="4" w:space="0" w:color="000000"/>
            </w:tcBorders>
            <w:hideMark/>
          </w:tcPr>
          <w:p w14:paraId="334FA36B"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(170/226) </w:t>
            </w:r>
          </w:p>
        </w:tc>
        <w:tc>
          <w:tcPr>
            <w:tcW w:w="1318" w:type="dxa"/>
            <w:tcBorders>
              <w:top w:val="nil"/>
              <w:left w:val="single" w:sz="4" w:space="0" w:color="000000"/>
              <w:bottom w:val="nil"/>
              <w:right w:val="single" w:sz="4" w:space="0" w:color="000000"/>
            </w:tcBorders>
            <w:hideMark/>
          </w:tcPr>
          <w:p w14:paraId="113D0D5A" w14:textId="77777777" w:rsidR="0073095E" w:rsidRPr="00532388" w:rsidRDefault="0073095E" w:rsidP="00A57D4C">
            <w:pPr>
              <w:autoSpaceDE w:val="0"/>
              <w:autoSpaceDN w:val="0"/>
              <w:adjustRightInd w:val="0"/>
              <w:rPr>
                <w:rFonts w:eastAsia="Times New Roman"/>
                <w:sz w:val="13"/>
                <w:szCs w:val="13"/>
                <w:lang w:val="lt-LT" w:eastAsia="en-US"/>
              </w:rPr>
            </w:pPr>
            <w:r w:rsidRPr="00532388">
              <w:rPr>
                <w:rFonts w:eastAsia="Times New Roman"/>
                <w:sz w:val="20"/>
                <w:lang w:val="lt-LT" w:eastAsia="en-US"/>
              </w:rPr>
              <w:t>(-2</w:t>
            </w:r>
            <w:r w:rsidR="00A57D4C" w:rsidRPr="00532388">
              <w:rPr>
                <w:rFonts w:eastAsia="Times New Roman"/>
                <w:sz w:val="20"/>
                <w:lang w:val="lt-LT" w:eastAsia="en-US"/>
              </w:rPr>
              <w:t>,3; 13,</w:t>
            </w:r>
            <w:r w:rsidRPr="00532388">
              <w:rPr>
                <w:rFonts w:eastAsia="Times New Roman"/>
                <w:sz w:val="20"/>
                <w:lang w:val="lt-LT" w:eastAsia="en-US"/>
              </w:rPr>
              <w:t>0)</w:t>
            </w:r>
            <w:r w:rsidRPr="00532388">
              <w:rPr>
                <w:rFonts w:eastAsia="Times New Roman"/>
                <w:sz w:val="22"/>
                <w:szCs w:val="13"/>
                <w:vertAlign w:val="superscript"/>
                <w:lang w:val="lt-LT" w:eastAsia="en-US"/>
              </w:rPr>
              <w:t>d</w:t>
            </w:r>
            <w:r w:rsidRPr="00532388">
              <w:rPr>
                <w:rFonts w:eastAsia="Times New Roman"/>
                <w:sz w:val="13"/>
                <w:szCs w:val="13"/>
                <w:lang w:val="lt-LT" w:eastAsia="en-US"/>
              </w:rPr>
              <w:t xml:space="preserve"> </w:t>
            </w:r>
          </w:p>
        </w:tc>
      </w:tr>
      <w:tr w:rsidR="0073095E" w:rsidRPr="00532388" w14:paraId="2FFE0A48" w14:textId="77777777" w:rsidTr="0073095E">
        <w:trPr>
          <w:trHeight w:val="210"/>
        </w:trPr>
        <w:tc>
          <w:tcPr>
            <w:tcW w:w="1732" w:type="dxa"/>
            <w:tcBorders>
              <w:top w:val="nil"/>
              <w:left w:val="single" w:sz="4" w:space="0" w:color="000000"/>
              <w:bottom w:val="nil"/>
              <w:right w:val="single" w:sz="4" w:space="0" w:color="000000"/>
            </w:tcBorders>
            <w:vAlign w:val="center"/>
            <w:hideMark/>
          </w:tcPr>
          <w:p w14:paraId="2430DAD1" w14:textId="77777777" w:rsidR="0073095E"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 xml:space="preserve">Pradinis </w:t>
            </w:r>
            <w:r w:rsidR="0073095E" w:rsidRPr="00532388">
              <w:rPr>
                <w:rFonts w:eastAsia="Times New Roman"/>
                <w:sz w:val="20"/>
                <w:lang w:val="lt-LT" w:eastAsia="en-US"/>
              </w:rPr>
              <w:t xml:space="preserve"> </w:t>
            </w:r>
          </w:p>
        </w:tc>
        <w:tc>
          <w:tcPr>
            <w:tcW w:w="1262" w:type="dxa"/>
            <w:tcBorders>
              <w:top w:val="nil"/>
              <w:left w:val="single" w:sz="4" w:space="0" w:color="000000"/>
              <w:bottom w:val="nil"/>
              <w:right w:val="single" w:sz="4" w:space="0" w:color="000000"/>
            </w:tcBorders>
            <w:vAlign w:val="center"/>
            <w:hideMark/>
          </w:tcPr>
          <w:p w14:paraId="01473AB4"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79,</w:t>
            </w:r>
            <w:r w:rsidR="0073095E" w:rsidRPr="00532388">
              <w:rPr>
                <w:rFonts w:eastAsia="Times New Roman"/>
                <w:sz w:val="20"/>
                <w:lang w:val="lt-LT" w:eastAsia="en-US"/>
              </w:rPr>
              <w:t xml:space="preserve">5% </w:t>
            </w:r>
          </w:p>
        </w:tc>
        <w:tc>
          <w:tcPr>
            <w:tcW w:w="1240" w:type="dxa"/>
            <w:tcBorders>
              <w:top w:val="nil"/>
              <w:left w:val="single" w:sz="4" w:space="0" w:color="000000"/>
              <w:bottom w:val="nil"/>
              <w:right w:val="single" w:sz="4" w:space="0" w:color="000000"/>
            </w:tcBorders>
            <w:vAlign w:val="center"/>
            <w:hideMark/>
          </w:tcPr>
          <w:p w14:paraId="24A3B667"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66,</w:t>
            </w:r>
            <w:r w:rsidR="0073095E" w:rsidRPr="00532388">
              <w:rPr>
                <w:rFonts w:eastAsia="Times New Roman"/>
                <w:sz w:val="20"/>
                <w:lang w:val="lt-LT" w:eastAsia="en-US"/>
              </w:rPr>
              <w:t xml:space="preserve">7% </w:t>
            </w:r>
          </w:p>
        </w:tc>
        <w:tc>
          <w:tcPr>
            <w:tcW w:w="1310" w:type="dxa"/>
            <w:tcBorders>
              <w:top w:val="nil"/>
              <w:left w:val="single" w:sz="4" w:space="0" w:color="000000"/>
              <w:bottom w:val="nil"/>
              <w:right w:val="single" w:sz="4" w:space="0" w:color="000000"/>
            </w:tcBorders>
            <w:vAlign w:val="center"/>
            <w:hideMark/>
          </w:tcPr>
          <w:p w14:paraId="37994AF0"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12</w:t>
            </w:r>
            <w:r w:rsidR="00A57D4C" w:rsidRPr="00532388">
              <w:rPr>
                <w:rFonts w:eastAsia="Times New Roman"/>
                <w:sz w:val="20"/>
                <w:lang w:val="lt-LT" w:eastAsia="en-US"/>
              </w:rPr>
              <w:t>,</w:t>
            </w:r>
            <w:r w:rsidRPr="00532388">
              <w:rPr>
                <w:rFonts w:eastAsia="Times New Roman"/>
                <w:sz w:val="20"/>
                <w:lang w:val="lt-LT" w:eastAsia="en-US"/>
              </w:rPr>
              <w:t xml:space="preserve">8% </w:t>
            </w:r>
          </w:p>
        </w:tc>
        <w:tc>
          <w:tcPr>
            <w:tcW w:w="1245" w:type="dxa"/>
            <w:tcBorders>
              <w:top w:val="nil"/>
              <w:left w:val="single" w:sz="4" w:space="0" w:color="000000"/>
              <w:bottom w:val="nil"/>
              <w:right w:val="single" w:sz="4" w:space="0" w:color="000000"/>
            </w:tcBorders>
            <w:vAlign w:val="center"/>
            <w:hideMark/>
          </w:tcPr>
          <w:p w14:paraId="0EDC9D0A"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76</w:t>
            </w:r>
            <w:r w:rsidR="00A57D4C" w:rsidRPr="00532388">
              <w:rPr>
                <w:rFonts w:eastAsia="Times New Roman"/>
                <w:sz w:val="20"/>
                <w:lang w:val="lt-LT" w:eastAsia="en-US"/>
              </w:rPr>
              <w:t>,</w:t>
            </w:r>
            <w:r w:rsidRPr="00532388">
              <w:rPr>
                <w:rFonts w:eastAsia="Times New Roman"/>
                <w:sz w:val="20"/>
                <w:lang w:val="lt-LT" w:eastAsia="en-US"/>
              </w:rPr>
              <w:t xml:space="preserve">1% </w:t>
            </w:r>
          </w:p>
        </w:tc>
        <w:tc>
          <w:tcPr>
            <w:tcW w:w="1195" w:type="dxa"/>
            <w:tcBorders>
              <w:top w:val="nil"/>
              <w:left w:val="single" w:sz="4" w:space="0" w:color="000000"/>
              <w:bottom w:val="nil"/>
              <w:right w:val="single" w:sz="4" w:space="0" w:color="000000"/>
            </w:tcBorders>
            <w:vAlign w:val="center"/>
            <w:hideMark/>
          </w:tcPr>
          <w:p w14:paraId="40813B23"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62,</w:t>
            </w:r>
            <w:r w:rsidR="0073095E" w:rsidRPr="00532388">
              <w:rPr>
                <w:rFonts w:eastAsia="Times New Roman"/>
                <w:sz w:val="20"/>
                <w:lang w:val="lt-LT" w:eastAsia="en-US"/>
              </w:rPr>
              <w:t xml:space="preserve">5% </w:t>
            </w:r>
          </w:p>
        </w:tc>
        <w:tc>
          <w:tcPr>
            <w:tcW w:w="1318" w:type="dxa"/>
            <w:tcBorders>
              <w:top w:val="nil"/>
              <w:left w:val="single" w:sz="4" w:space="0" w:color="000000"/>
              <w:bottom w:val="nil"/>
              <w:right w:val="single" w:sz="4" w:space="0" w:color="000000"/>
            </w:tcBorders>
            <w:vAlign w:val="center"/>
            <w:hideMark/>
          </w:tcPr>
          <w:p w14:paraId="38C67187"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13,</w:t>
            </w:r>
            <w:r w:rsidR="0073095E" w:rsidRPr="00532388">
              <w:rPr>
                <w:rFonts w:eastAsia="Times New Roman"/>
                <w:sz w:val="20"/>
                <w:lang w:val="lt-LT" w:eastAsia="en-US"/>
              </w:rPr>
              <w:t xml:space="preserve">6% </w:t>
            </w:r>
          </w:p>
        </w:tc>
      </w:tr>
      <w:tr w:rsidR="0073095E" w:rsidRPr="00532388" w14:paraId="12147647" w14:textId="77777777" w:rsidTr="0073095E">
        <w:trPr>
          <w:trHeight w:val="480"/>
        </w:trPr>
        <w:tc>
          <w:tcPr>
            <w:tcW w:w="1732" w:type="dxa"/>
            <w:tcBorders>
              <w:top w:val="nil"/>
              <w:left w:val="single" w:sz="4" w:space="0" w:color="000000"/>
              <w:bottom w:val="nil"/>
              <w:right w:val="single" w:sz="4" w:space="0" w:color="000000"/>
            </w:tcBorders>
            <w:hideMark/>
          </w:tcPr>
          <w:p w14:paraId="3FDD3583" w14:textId="77777777" w:rsidR="0073095E"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Ž</w:t>
            </w:r>
            <w:r w:rsidR="0073095E" w:rsidRPr="00532388">
              <w:rPr>
                <w:rFonts w:eastAsia="Times New Roman"/>
                <w:sz w:val="20"/>
                <w:lang w:val="lt-LT" w:eastAsia="en-US"/>
              </w:rPr>
              <w:t>IV-RN</w:t>
            </w:r>
            <w:r w:rsidRPr="00532388">
              <w:rPr>
                <w:rFonts w:eastAsia="Times New Roman"/>
                <w:sz w:val="20"/>
                <w:lang w:val="lt-LT" w:eastAsia="en-US"/>
              </w:rPr>
              <w:t>R</w:t>
            </w:r>
            <w:r w:rsidR="0073095E" w:rsidRPr="00532388">
              <w:rPr>
                <w:rFonts w:eastAsia="Times New Roman"/>
                <w:sz w:val="20"/>
                <w:lang w:val="lt-LT" w:eastAsia="en-US"/>
              </w:rPr>
              <w:t xml:space="preserve"> </w:t>
            </w:r>
          </w:p>
          <w:p w14:paraId="245AB5C3"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 100</w:t>
            </w:r>
            <w:r w:rsidR="00A57D4C" w:rsidRPr="00532388">
              <w:rPr>
                <w:rFonts w:eastAsia="Times New Roman"/>
                <w:sz w:val="20"/>
                <w:lang w:val="lt-LT" w:eastAsia="en-US"/>
              </w:rPr>
              <w:t xml:space="preserve"> </w:t>
            </w:r>
            <w:r w:rsidRPr="00532388">
              <w:rPr>
                <w:rFonts w:eastAsia="Times New Roman"/>
                <w:sz w:val="20"/>
                <w:lang w:val="lt-LT" w:eastAsia="en-US"/>
              </w:rPr>
              <w:t xml:space="preserve">000 </w:t>
            </w:r>
          </w:p>
        </w:tc>
        <w:tc>
          <w:tcPr>
            <w:tcW w:w="1262" w:type="dxa"/>
            <w:tcBorders>
              <w:top w:val="nil"/>
              <w:left w:val="single" w:sz="4" w:space="0" w:color="000000"/>
              <w:bottom w:val="nil"/>
              <w:right w:val="single" w:sz="4" w:space="0" w:color="000000"/>
            </w:tcBorders>
            <w:hideMark/>
          </w:tcPr>
          <w:p w14:paraId="46FBC525"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(93/117) </w:t>
            </w:r>
          </w:p>
        </w:tc>
        <w:tc>
          <w:tcPr>
            <w:tcW w:w="1240" w:type="dxa"/>
            <w:tcBorders>
              <w:top w:val="nil"/>
              <w:left w:val="single" w:sz="4" w:space="0" w:color="000000"/>
              <w:bottom w:val="nil"/>
              <w:right w:val="single" w:sz="4" w:space="0" w:color="000000"/>
            </w:tcBorders>
            <w:hideMark/>
          </w:tcPr>
          <w:p w14:paraId="43C6E4F9"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(80/120) </w:t>
            </w:r>
          </w:p>
        </w:tc>
        <w:tc>
          <w:tcPr>
            <w:tcW w:w="1310" w:type="dxa"/>
            <w:tcBorders>
              <w:top w:val="nil"/>
              <w:left w:val="single" w:sz="4" w:space="0" w:color="000000"/>
              <w:bottom w:val="nil"/>
              <w:right w:val="single" w:sz="4" w:space="0" w:color="000000"/>
            </w:tcBorders>
            <w:hideMark/>
          </w:tcPr>
          <w:p w14:paraId="404AF7B4" w14:textId="77777777" w:rsidR="0073095E" w:rsidRPr="00532388" w:rsidRDefault="00A57D4C"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(1,</w:t>
            </w:r>
            <w:r w:rsidR="0073095E" w:rsidRPr="00532388">
              <w:rPr>
                <w:rFonts w:eastAsia="Times New Roman"/>
                <w:sz w:val="20"/>
                <w:lang w:val="lt-LT" w:eastAsia="en-US"/>
              </w:rPr>
              <w:t>6; 24.1)</w:t>
            </w:r>
            <w:r w:rsidR="0073095E" w:rsidRPr="00532388">
              <w:rPr>
                <w:rFonts w:eastAsia="Times New Roman"/>
                <w:sz w:val="22"/>
                <w:szCs w:val="13"/>
                <w:vertAlign w:val="superscript"/>
                <w:lang w:val="lt-LT" w:eastAsia="en-US"/>
              </w:rPr>
              <w:t xml:space="preserve">d </w:t>
            </w:r>
          </w:p>
        </w:tc>
        <w:tc>
          <w:tcPr>
            <w:tcW w:w="1245" w:type="dxa"/>
            <w:tcBorders>
              <w:top w:val="nil"/>
              <w:left w:val="single" w:sz="4" w:space="0" w:color="000000"/>
              <w:bottom w:val="nil"/>
              <w:right w:val="single" w:sz="4" w:space="0" w:color="000000"/>
            </w:tcBorders>
            <w:hideMark/>
          </w:tcPr>
          <w:p w14:paraId="170D86AA"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(89/117) </w:t>
            </w:r>
          </w:p>
        </w:tc>
        <w:tc>
          <w:tcPr>
            <w:tcW w:w="1195" w:type="dxa"/>
            <w:tcBorders>
              <w:top w:val="nil"/>
              <w:left w:val="single" w:sz="4" w:space="0" w:color="000000"/>
              <w:bottom w:val="nil"/>
              <w:right w:val="single" w:sz="4" w:space="0" w:color="000000"/>
            </w:tcBorders>
            <w:hideMark/>
          </w:tcPr>
          <w:p w14:paraId="7CF3EC2A"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(75/120) </w:t>
            </w:r>
          </w:p>
        </w:tc>
        <w:tc>
          <w:tcPr>
            <w:tcW w:w="1318" w:type="dxa"/>
            <w:tcBorders>
              <w:top w:val="nil"/>
              <w:left w:val="single" w:sz="4" w:space="0" w:color="000000"/>
              <w:bottom w:val="nil"/>
              <w:right w:val="single" w:sz="4" w:space="0" w:color="000000"/>
            </w:tcBorders>
            <w:hideMark/>
          </w:tcPr>
          <w:p w14:paraId="34B8013E" w14:textId="77777777" w:rsidR="0073095E" w:rsidRPr="00532388" w:rsidRDefault="00A57D4C"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(1,</w:t>
            </w:r>
            <w:r w:rsidR="0073095E" w:rsidRPr="00532388">
              <w:rPr>
                <w:rFonts w:eastAsia="Times New Roman"/>
                <w:sz w:val="20"/>
                <w:lang w:val="lt-LT" w:eastAsia="en-US"/>
              </w:rPr>
              <w:t>9; 25.3)</w:t>
            </w:r>
            <w:r w:rsidR="0073095E" w:rsidRPr="00532388">
              <w:rPr>
                <w:rFonts w:eastAsia="Times New Roman"/>
                <w:sz w:val="22"/>
                <w:szCs w:val="13"/>
                <w:vertAlign w:val="superscript"/>
                <w:lang w:val="lt-LT" w:eastAsia="en-US"/>
              </w:rPr>
              <w:t>d</w:t>
            </w:r>
            <w:r w:rsidR="0073095E" w:rsidRPr="00532388">
              <w:rPr>
                <w:rFonts w:eastAsia="Times New Roman"/>
                <w:sz w:val="13"/>
                <w:szCs w:val="13"/>
                <w:lang w:val="lt-LT" w:eastAsia="en-US"/>
              </w:rPr>
              <w:t xml:space="preserve"> </w:t>
            </w:r>
          </w:p>
        </w:tc>
      </w:tr>
      <w:tr w:rsidR="0073095E" w:rsidRPr="00532388" w14:paraId="40B6BDD6" w14:textId="77777777" w:rsidTr="0073095E">
        <w:trPr>
          <w:trHeight w:val="210"/>
        </w:trPr>
        <w:tc>
          <w:tcPr>
            <w:tcW w:w="1732" w:type="dxa"/>
            <w:tcBorders>
              <w:top w:val="nil"/>
              <w:left w:val="single" w:sz="4" w:space="0" w:color="000000"/>
              <w:bottom w:val="nil"/>
              <w:right w:val="single" w:sz="4" w:space="0" w:color="000000"/>
            </w:tcBorders>
            <w:vAlign w:val="center"/>
            <w:hideMark/>
          </w:tcPr>
          <w:p w14:paraId="360A3199" w14:textId="77777777" w:rsidR="0073095E"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Pradinis</w:t>
            </w:r>
            <w:r w:rsidR="0073095E" w:rsidRPr="00532388">
              <w:rPr>
                <w:rFonts w:eastAsia="Times New Roman"/>
                <w:sz w:val="20"/>
                <w:lang w:val="lt-LT" w:eastAsia="en-US"/>
              </w:rPr>
              <w:t xml:space="preserve"> </w:t>
            </w:r>
          </w:p>
        </w:tc>
        <w:tc>
          <w:tcPr>
            <w:tcW w:w="1262" w:type="dxa"/>
            <w:tcBorders>
              <w:top w:val="nil"/>
              <w:left w:val="single" w:sz="4" w:space="0" w:color="000000"/>
              <w:bottom w:val="nil"/>
              <w:right w:val="single" w:sz="4" w:space="0" w:color="000000"/>
            </w:tcBorders>
            <w:vAlign w:val="center"/>
            <w:hideMark/>
          </w:tcPr>
          <w:p w14:paraId="401D9013"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79,</w:t>
            </w:r>
            <w:r w:rsidR="0073095E" w:rsidRPr="00532388">
              <w:rPr>
                <w:rFonts w:eastAsia="Times New Roman"/>
                <w:sz w:val="20"/>
                <w:lang w:val="lt-LT" w:eastAsia="en-US"/>
              </w:rPr>
              <w:t xml:space="preserve">4% </w:t>
            </w:r>
          </w:p>
        </w:tc>
        <w:tc>
          <w:tcPr>
            <w:tcW w:w="1240" w:type="dxa"/>
            <w:tcBorders>
              <w:top w:val="nil"/>
              <w:left w:val="single" w:sz="4" w:space="0" w:color="000000"/>
              <w:bottom w:val="nil"/>
              <w:right w:val="single" w:sz="4" w:space="0" w:color="000000"/>
            </w:tcBorders>
            <w:vAlign w:val="center"/>
            <w:hideMark/>
          </w:tcPr>
          <w:p w14:paraId="492D0C68"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70,</w:t>
            </w:r>
            <w:r w:rsidR="0073095E" w:rsidRPr="00532388">
              <w:rPr>
                <w:rFonts w:eastAsia="Times New Roman"/>
                <w:sz w:val="20"/>
                <w:lang w:val="lt-LT" w:eastAsia="en-US"/>
              </w:rPr>
              <w:t xml:space="preserve">3% </w:t>
            </w:r>
          </w:p>
        </w:tc>
        <w:tc>
          <w:tcPr>
            <w:tcW w:w="1310" w:type="dxa"/>
            <w:tcBorders>
              <w:top w:val="nil"/>
              <w:left w:val="single" w:sz="4" w:space="0" w:color="000000"/>
              <w:bottom w:val="nil"/>
              <w:right w:val="single" w:sz="4" w:space="0" w:color="000000"/>
            </w:tcBorders>
            <w:vAlign w:val="center"/>
            <w:hideMark/>
          </w:tcPr>
          <w:p w14:paraId="6041D403"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9,</w:t>
            </w:r>
            <w:r w:rsidR="0073095E" w:rsidRPr="00532388">
              <w:rPr>
                <w:rFonts w:eastAsia="Times New Roman"/>
                <w:sz w:val="20"/>
                <w:lang w:val="lt-LT" w:eastAsia="en-US"/>
              </w:rPr>
              <w:t xml:space="preserve">2% </w:t>
            </w:r>
          </w:p>
        </w:tc>
        <w:tc>
          <w:tcPr>
            <w:tcW w:w="1245" w:type="dxa"/>
            <w:tcBorders>
              <w:top w:val="nil"/>
              <w:left w:val="single" w:sz="4" w:space="0" w:color="000000"/>
              <w:bottom w:val="nil"/>
              <w:right w:val="single" w:sz="4" w:space="0" w:color="000000"/>
            </w:tcBorders>
            <w:vAlign w:val="center"/>
            <w:hideMark/>
          </w:tcPr>
          <w:p w14:paraId="586F55F3"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78,</w:t>
            </w:r>
            <w:r w:rsidR="0073095E" w:rsidRPr="00532388">
              <w:rPr>
                <w:rFonts w:eastAsia="Times New Roman"/>
                <w:sz w:val="20"/>
                <w:lang w:val="lt-LT" w:eastAsia="en-US"/>
              </w:rPr>
              <w:t xml:space="preserve">7% </w:t>
            </w:r>
          </w:p>
        </w:tc>
        <w:tc>
          <w:tcPr>
            <w:tcW w:w="1195" w:type="dxa"/>
            <w:tcBorders>
              <w:top w:val="nil"/>
              <w:left w:val="single" w:sz="4" w:space="0" w:color="000000"/>
              <w:bottom w:val="nil"/>
              <w:right w:val="single" w:sz="4" w:space="0" w:color="000000"/>
            </w:tcBorders>
            <w:vAlign w:val="center"/>
            <w:hideMark/>
          </w:tcPr>
          <w:p w14:paraId="42412378"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64,</w:t>
            </w:r>
            <w:r w:rsidR="0073095E" w:rsidRPr="00532388">
              <w:rPr>
                <w:rFonts w:eastAsia="Times New Roman"/>
                <w:sz w:val="20"/>
                <w:lang w:val="lt-LT" w:eastAsia="en-US"/>
              </w:rPr>
              <w:t xml:space="preserve">9% </w:t>
            </w:r>
          </w:p>
        </w:tc>
        <w:tc>
          <w:tcPr>
            <w:tcW w:w="1318" w:type="dxa"/>
            <w:tcBorders>
              <w:top w:val="nil"/>
              <w:left w:val="single" w:sz="4" w:space="0" w:color="000000"/>
              <w:bottom w:val="nil"/>
              <w:right w:val="single" w:sz="4" w:space="0" w:color="000000"/>
            </w:tcBorders>
            <w:vAlign w:val="center"/>
            <w:hideMark/>
          </w:tcPr>
          <w:p w14:paraId="57FA846A"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13,</w:t>
            </w:r>
            <w:r w:rsidR="0073095E" w:rsidRPr="00532388">
              <w:rPr>
                <w:rFonts w:eastAsia="Times New Roman"/>
                <w:sz w:val="20"/>
                <w:lang w:val="lt-LT" w:eastAsia="en-US"/>
              </w:rPr>
              <w:t xml:space="preserve">9% </w:t>
            </w:r>
          </w:p>
        </w:tc>
      </w:tr>
      <w:tr w:rsidR="0073095E" w:rsidRPr="00532388" w14:paraId="7CFD5801" w14:textId="77777777" w:rsidTr="0073095E">
        <w:trPr>
          <w:trHeight w:val="477"/>
        </w:trPr>
        <w:tc>
          <w:tcPr>
            <w:tcW w:w="1732" w:type="dxa"/>
            <w:tcBorders>
              <w:top w:val="nil"/>
              <w:left w:val="single" w:sz="4" w:space="0" w:color="000000"/>
              <w:bottom w:val="nil"/>
              <w:right w:val="single" w:sz="4" w:space="0" w:color="000000"/>
            </w:tcBorders>
            <w:hideMark/>
          </w:tcPr>
          <w:p w14:paraId="3D9D80BA"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 xml:space="preserve">CD4+ </w:t>
            </w:r>
            <w:r w:rsidR="00A57D4C" w:rsidRPr="00532388">
              <w:rPr>
                <w:rFonts w:eastAsia="Times New Roman"/>
                <w:sz w:val="20"/>
                <w:lang w:val="lt-LT" w:eastAsia="en-US"/>
              </w:rPr>
              <w:t>ląstelių kiekis</w:t>
            </w:r>
            <w:r w:rsidRPr="00532388">
              <w:rPr>
                <w:rFonts w:eastAsia="Times New Roman"/>
                <w:sz w:val="20"/>
                <w:lang w:val="lt-LT" w:eastAsia="en-US"/>
              </w:rPr>
              <w:t xml:space="preserve"> &lt; 200 </w:t>
            </w:r>
          </w:p>
        </w:tc>
        <w:tc>
          <w:tcPr>
            <w:tcW w:w="1262" w:type="dxa"/>
            <w:tcBorders>
              <w:top w:val="nil"/>
              <w:left w:val="single" w:sz="4" w:space="0" w:color="000000"/>
              <w:bottom w:val="nil"/>
              <w:right w:val="single" w:sz="4" w:space="0" w:color="000000"/>
            </w:tcBorders>
            <w:hideMark/>
          </w:tcPr>
          <w:p w14:paraId="5E602C12"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(112/141) </w:t>
            </w:r>
          </w:p>
        </w:tc>
        <w:tc>
          <w:tcPr>
            <w:tcW w:w="1240" w:type="dxa"/>
            <w:tcBorders>
              <w:top w:val="nil"/>
              <w:left w:val="single" w:sz="4" w:space="0" w:color="000000"/>
              <w:bottom w:val="nil"/>
              <w:right w:val="single" w:sz="4" w:space="0" w:color="000000"/>
            </w:tcBorders>
            <w:hideMark/>
          </w:tcPr>
          <w:p w14:paraId="2A8799D7"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(104/148) </w:t>
            </w:r>
          </w:p>
        </w:tc>
        <w:tc>
          <w:tcPr>
            <w:tcW w:w="1310" w:type="dxa"/>
            <w:tcBorders>
              <w:top w:val="nil"/>
              <w:left w:val="single" w:sz="4" w:space="0" w:color="000000"/>
              <w:bottom w:val="nil"/>
              <w:right w:val="single" w:sz="4" w:space="0" w:color="000000"/>
            </w:tcBorders>
            <w:hideMark/>
          </w:tcPr>
          <w:p w14:paraId="2F2584C7" w14:textId="77777777" w:rsidR="0073095E" w:rsidRPr="00532388" w:rsidRDefault="0073095E" w:rsidP="00A57D4C">
            <w:pPr>
              <w:autoSpaceDE w:val="0"/>
              <w:autoSpaceDN w:val="0"/>
              <w:adjustRightInd w:val="0"/>
              <w:rPr>
                <w:rFonts w:eastAsia="Times New Roman"/>
                <w:sz w:val="13"/>
                <w:szCs w:val="13"/>
                <w:lang w:val="lt-LT" w:eastAsia="en-US"/>
              </w:rPr>
            </w:pPr>
            <w:r w:rsidRPr="00532388">
              <w:rPr>
                <w:rFonts w:eastAsia="Times New Roman"/>
                <w:sz w:val="20"/>
                <w:lang w:val="lt-LT" w:eastAsia="en-US"/>
              </w:rPr>
              <w:t>(-0</w:t>
            </w:r>
            <w:r w:rsidR="00A57D4C" w:rsidRPr="00532388">
              <w:rPr>
                <w:rFonts w:eastAsia="Times New Roman"/>
                <w:sz w:val="20"/>
                <w:lang w:val="lt-LT" w:eastAsia="en-US"/>
              </w:rPr>
              <w:t>,8; 19,</w:t>
            </w:r>
            <w:r w:rsidRPr="00532388">
              <w:rPr>
                <w:rFonts w:eastAsia="Times New Roman"/>
                <w:sz w:val="20"/>
                <w:lang w:val="lt-LT" w:eastAsia="en-US"/>
              </w:rPr>
              <w:t>2)</w:t>
            </w:r>
            <w:r w:rsidRPr="00532388">
              <w:rPr>
                <w:rFonts w:eastAsia="Times New Roman"/>
                <w:sz w:val="22"/>
                <w:szCs w:val="13"/>
                <w:vertAlign w:val="superscript"/>
                <w:lang w:val="lt-LT" w:eastAsia="en-US"/>
              </w:rPr>
              <w:t xml:space="preserve">d </w:t>
            </w:r>
          </w:p>
        </w:tc>
        <w:tc>
          <w:tcPr>
            <w:tcW w:w="1245" w:type="dxa"/>
            <w:tcBorders>
              <w:top w:val="nil"/>
              <w:left w:val="single" w:sz="4" w:space="0" w:color="000000"/>
              <w:bottom w:val="nil"/>
              <w:right w:val="single" w:sz="4" w:space="0" w:color="000000"/>
            </w:tcBorders>
            <w:hideMark/>
          </w:tcPr>
          <w:p w14:paraId="4D639E8F"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(111/141) </w:t>
            </w:r>
          </w:p>
        </w:tc>
        <w:tc>
          <w:tcPr>
            <w:tcW w:w="1195" w:type="dxa"/>
            <w:tcBorders>
              <w:top w:val="nil"/>
              <w:left w:val="single" w:sz="4" w:space="0" w:color="000000"/>
              <w:bottom w:val="nil"/>
              <w:right w:val="single" w:sz="4" w:space="0" w:color="000000"/>
            </w:tcBorders>
            <w:hideMark/>
          </w:tcPr>
          <w:p w14:paraId="01C6ACBE"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(96/148) </w:t>
            </w:r>
          </w:p>
        </w:tc>
        <w:tc>
          <w:tcPr>
            <w:tcW w:w="1318" w:type="dxa"/>
            <w:tcBorders>
              <w:top w:val="nil"/>
              <w:left w:val="single" w:sz="4" w:space="0" w:color="000000"/>
              <w:bottom w:val="nil"/>
              <w:right w:val="single" w:sz="4" w:space="0" w:color="000000"/>
            </w:tcBorders>
            <w:hideMark/>
          </w:tcPr>
          <w:p w14:paraId="3DDDB1DE" w14:textId="77777777" w:rsidR="0073095E" w:rsidRPr="00532388" w:rsidRDefault="00A57D4C"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(3,5; 24,</w:t>
            </w:r>
            <w:r w:rsidR="0073095E" w:rsidRPr="00532388">
              <w:rPr>
                <w:rFonts w:eastAsia="Times New Roman"/>
                <w:sz w:val="20"/>
                <w:lang w:val="lt-LT" w:eastAsia="en-US"/>
              </w:rPr>
              <w:t>2)</w:t>
            </w:r>
            <w:r w:rsidR="0073095E" w:rsidRPr="00532388">
              <w:rPr>
                <w:rFonts w:eastAsia="Times New Roman"/>
                <w:sz w:val="22"/>
                <w:szCs w:val="13"/>
                <w:vertAlign w:val="superscript"/>
                <w:lang w:val="lt-LT" w:eastAsia="en-US"/>
              </w:rPr>
              <w:t xml:space="preserve">d </w:t>
            </w:r>
          </w:p>
        </w:tc>
      </w:tr>
      <w:tr w:rsidR="0073095E" w:rsidRPr="00532388" w14:paraId="186FE232" w14:textId="77777777" w:rsidTr="007F304F">
        <w:trPr>
          <w:trHeight w:val="958"/>
        </w:trPr>
        <w:tc>
          <w:tcPr>
            <w:tcW w:w="1732" w:type="dxa"/>
            <w:tcBorders>
              <w:top w:val="nil"/>
              <w:left w:val="single" w:sz="4" w:space="0" w:color="000000"/>
              <w:bottom w:val="nil"/>
              <w:right w:val="single" w:sz="4" w:space="0" w:color="000000"/>
            </w:tcBorders>
            <w:vAlign w:val="center"/>
            <w:hideMark/>
          </w:tcPr>
          <w:p w14:paraId="1E2624B6" w14:textId="77777777" w:rsidR="007F304F" w:rsidRPr="00532388" w:rsidRDefault="00A57D4C" w:rsidP="00A57D4C">
            <w:pPr>
              <w:autoSpaceDE w:val="0"/>
              <w:autoSpaceDN w:val="0"/>
              <w:adjustRightInd w:val="0"/>
              <w:rPr>
                <w:rFonts w:eastAsia="Times New Roman"/>
                <w:sz w:val="20"/>
                <w:lang w:val="lt-LT" w:eastAsia="en-US"/>
              </w:rPr>
            </w:pPr>
            <w:r w:rsidRPr="00532388">
              <w:rPr>
                <w:rFonts w:eastAsia="Times New Roman"/>
                <w:sz w:val="20"/>
                <w:lang w:val="lt-LT" w:eastAsia="en-US"/>
              </w:rPr>
              <w:t>Pradinis CD4+ ląstelių</w:t>
            </w:r>
            <w:r w:rsidR="0073095E" w:rsidRPr="00532388">
              <w:rPr>
                <w:rFonts w:eastAsia="Times New Roman"/>
                <w:sz w:val="20"/>
                <w:lang w:val="lt-LT" w:eastAsia="en-US"/>
              </w:rPr>
              <w:t xml:space="preserve"> </w:t>
            </w:r>
            <w:r w:rsidRPr="00532388">
              <w:rPr>
                <w:rFonts w:eastAsia="Times New Roman"/>
                <w:sz w:val="20"/>
                <w:lang w:val="lt-LT" w:eastAsia="en-US"/>
              </w:rPr>
              <w:t>kiekis</w:t>
            </w:r>
            <w:r w:rsidR="007F304F" w:rsidRPr="00532388">
              <w:rPr>
                <w:rFonts w:eastAsia="Times New Roman"/>
                <w:sz w:val="20"/>
                <w:lang w:val="lt-LT" w:eastAsia="en-US"/>
              </w:rPr>
              <w:t xml:space="preserve"> </w:t>
            </w:r>
          </w:p>
          <w:p w14:paraId="385B27D2" w14:textId="77777777" w:rsidR="0073095E" w:rsidRPr="00532388" w:rsidRDefault="007F304F" w:rsidP="00A57D4C">
            <w:pPr>
              <w:autoSpaceDE w:val="0"/>
              <w:autoSpaceDN w:val="0"/>
              <w:adjustRightInd w:val="0"/>
              <w:rPr>
                <w:rFonts w:eastAsia="Times New Roman"/>
                <w:sz w:val="20"/>
                <w:lang w:val="lt-LT" w:eastAsia="en-US"/>
              </w:rPr>
            </w:pPr>
            <w:r w:rsidRPr="00532388">
              <w:rPr>
                <w:rFonts w:eastAsia="Times New Roman"/>
                <w:sz w:val="20"/>
                <w:lang w:val="lt-LT" w:eastAsia="en-US"/>
              </w:rPr>
              <w:t>≥ 200</w:t>
            </w:r>
          </w:p>
        </w:tc>
        <w:tc>
          <w:tcPr>
            <w:tcW w:w="1262" w:type="dxa"/>
            <w:tcBorders>
              <w:top w:val="nil"/>
              <w:left w:val="single" w:sz="4" w:space="0" w:color="000000"/>
              <w:bottom w:val="nil"/>
              <w:right w:val="single" w:sz="4" w:space="0" w:color="000000"/>
            </w:tcBorders>
            <w:vAlign w:val="center"/>
            <w:hideMark/>
          </w:tcPr>
          <w:p w14:paraId="1C1364A1" w14:textId="77777777" w:rsidR="007F304F" w:rsidRPr="00532388" w:rsidRDefault="007F304F" w:rsidP="0073095E">
            <w:pPr>
              <w:autoSpaceDE w:val="0"/>
              <w:autoSpaceDN w:val="0"/>
              <w:adjustRightInd w:val="0"/>
              <w:rPr>
                <w:rFonts w:eastAsia="Times New Roman"/>
                <w:sz w:val="20"/>
                <w:lang w:val="lt-LT" w:eastAsia="en-US"/>
              </w:rPr>
            </w:pPr>
          </w:p>
          <w:p w14:paraId="2F0836F3" w14:textId="77777777" w:rsidR="007F304F"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86,</w:t>
            </w:r>
            <w:r w:rsidR="0073095E" w:rsidRPr="00532388">
              <w:rPr>
                <w:rFonts w:eastAsia="Times New Roman"/>
                <w:sz w:val="20"/>
                <w:lang w:val="lt-LT" w:eastAsia="en-US"/>
              </w:rPr>
              <w:t>6%</w:t>
            </w:r>
          </w:p>
          <w:p w14:paraId="6930E689" w14:textId="77777777" w:rsidR="0073095E" w:rsidRPr="00532388" w:rsidRDefault="007F304F" w:rsidP="0073095E">
            <w:pPr>
              <w:autoSpaceDE w:val="0"/>
              <w:autoSpaceDN w:val="0"/>
              <w:adjustRightInd w:val="0"/>
              <w:rPr>
                <w:rFonts w:eastAsia="Times New Roman"/>
                <w:sz w:val="20"/>
                <w:lang w:val="lt-LT" w:eastAsia="en-US"/>
              </w:rPr>
            </w:pPr>
            <w:r w:rsidRPr="00532388">
              <w:rPr>
                <w:rFonts w:eastAsia="Times New Roman"/>
                <w:sz w:val="20"/>
                <w:lang w:val="lt-LT" w:eastAsia="en-US"/>
              </w:rPr>
              <w:t>(175/202)</w:t>
            </w:r>
            <w:r w:rsidR="0073095E" w:rsidRPr="00532388">
              <w:rPr>
                <w:rFonts w:eastAsia="Times New Roman"/>
                <w:sz w:val="20"/>
                <w:lang w:val="lt-LT" w:eastAsia="en-US"/>
              </w:rPr>
              <w:t xml:space="preserve"> </w:t>
            </w:r>
          </w:p>
        </w:tc>
        <w:tc>
          <w:tcPr>
            <w:tcW w:w="1240" w:type="dxa"/>
            <w:tcBorders>
              <w:top w:val="nil"/>
              <w:left w:val="single" w:sz="4" w:space="0" w:color="000000"/>
              <w:bottom w:val="nil"/>
              <w:right w:val="single" w:sz="4" w:space="0" w:color="000000"/>
            </w:tcBorders>
            <w:vAlign w:val="center"/>
            <w:hideMark/>
          </w:tcPr>
          <w:p w14:paraId="140902F1" w14:textId="77777777" w:rsidR="007F304F" w:rsidRPr="00532388" w:rsidRDefault="007F304F" w:rsidP="0073095E">
            <w:pPr>
              <w:autoSpaceDE w:val="0"/>
              <w:autoSpaceDN w:val="0"/>
              <w:adjustRightInd w:val="0"/>
              <w:rPr>
                <w:rFonts w:eastAsia="Times New Roman"/>
                <w:sz w:val="20"/>
                <w:lang w:val="lt-LT" w:eastAsia="en-US"/>
              </w:rPr>
            </w:pPr>
          </w:p>
          <w:p w14:paraId="38C2A3FA" w14:textId="77777777" w:rsidR="007F304F"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84,</w:t>
            </w:r>
            <w:r w:rsidR="0073095E" w:rsidRPr="00532388">
              <w:rPr>
                <w:rFonts w:eastAsia="Times New Roman"/>
                <w:sz w:val="20"/>
                <w:lang w:val="lt-LT" w:eastAsia="en-US"/>
              </w:rPr>
              <w:t>3%</w:t>
            </w:r>
          </w:p>
          <w:p w14:paraId="1E199227" w14:textId="77777777" w:rsidR="0073095E" w:rsidRPr="00532388" w:rsidRDefault="007F304F"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(167/198) </w:t>
            </w:r>
            <w:r w:rsidR="0073095E" w:rsidRPr="00532388">
              <w:rPr>
                <w:rFonts w:eastAsia="Times New Roman"/>
                <w:sz w:val="20"/>
                <w:lang w:val="lt-LT" w:eastAsia="en-US"/>
              </w:rPr>
              <w:t xml:space="preserve"> </w:t>
            </w:r>
          </w:p>
        </w:tc>
        <w:tc>
          <w:tcPr>
            <w:tcW w:w="1310" w:type="dxa"/>
            <w:tcBorders>
              <w:top w:val="nil"/>
              <w:left w:val="single" w:sz="4" w:space="0" w:color="000000"/>
              <w:bottom w:val="nil"/>
              <w:right w:val="single" w:sz="4" w:space="0" w:color="000000"/>
            </w:tcBorders>
            <w:vAlign w:val="center"/>
            <w:hideMark/>
          </w:tcPr>
          <w:p w14:paraId="56089DF6" w14:textId="77777777" w:rsidR="007F304F" w:rsidRPr="00532388" w:rsidRDefault="007F304F" w:rsidP="00A57D4C">
            <w:pPr>
              <w:autoSpaceDE w:val="0"/>
              <w:autoSpaceDN w:val="0"/>
              <w:adjustRightInd w:val="0"/>
              <w:rPr>
                <w:rFonts w:eastAsia="Times New Roman"/>
                <w:sz w:val="20"/>
                <w:lang w:val="lt-LT" w:eastAsia="en-US"/>
              </w:rPr>
            </w:pPr>
          </w:p>
          <w:p w14:paraId="23A0BE43" w14:textId="77777777" w:rsidR="007F304F"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2</w:t>
            </w:r>
            <w:r w:rsidR="00A57D4C" w:rsidRPr="00532388">
              <w:rPr>
                <w:rFonts w:eastAsia="Times New Roman"/>
                <w:sz w:val="20"/>
                <w:lang w:val="lt-LT" w:eastAsia="en-US"/>
              </w:rPr>
              <w:t>,</w:t>
            </w:r>
            <w:r w:rsidRPr="00532388">
              <w:rPr>
                <w:rFonts w:eastAsia="Times New Roman"/>
                <w:sz w:val="20"/>
                <w:lang w:val="lt-LT" w:eastAsia="en-US"/>
              </w:rPr>
              <w:t>3%</w:t>
            </w:r>
          </w:p>
          <w:p w14:paraId="68AFC649" w14:textId="77777777" w:rsidR="0073095E" w:rsidRPr="00532388" w:rsidRDefault="007F304F" w:rsidP="00A57D4C">
            <w:pPr>
              <w:autoSpaceDE w:val="0"/>
              <w:autoSpaceDN w:val="0"/>
              <w:adjustRightInd w:val="0"/>
              <w:rPr>
                <w:rFonts w:eastAsia="Times New Roman"/>
                <w:sz w:val="20"/>
                <w:lang w:val="lt-LT" w:eastAsia="en-US"/>
              </w:rPr>
            </w:pPr>
            <w:r w:rsidRPr="00532388">
              <w:rPr>
                <w:rFonts w:eastAsia="Times New Roman"/>
                <w:sz w:val="20"/>
                <w:lang w:val="lt-LT" w:eastAsia="en-US"/>
              </w:rPr>
              <w:t>(-4.6; 9,2)</w:t>
            </w:r>
            <w:r w:rsidRPr="00532388">
              <w:rPr>
                <w:rFonts w:eastAsia="Times New Roman"/>
                <w:sz w:val="22"/>
                <w:szCs w:val="13"/>
                <w:vertAlign w:val="superscript"/>
                <w:lang w:val="lt-LT" w:eastAsia="en-US"/>
              </w:rPr>
              <w:t>d</w:t>
            </w:r>
          </w:p>
        </w:tc>
        <w:tc>
          <w:tcPr>
            <w:tcW w:w="1245" w:type="dxa"/>
            <w:tcBorders>
              <w:top w:val="nil"/>
              <w:left w:val="single" w:sz="4" w:space="0" w:color="000000"/>
              <w:bottom w:val="nil"/>
              <w:right w:val="single" w:sz="4" w:space="0" w:color="000000"/>
            </w:tcBorders>
            <w:vAlign w:val="center"/>
            <w:hideMark/>
          </w:tcPr>
          <w:p w14:paraId="3A56D655" w14:textId="77777777" w:rsidR="007F304F" w:rsidRPr="00532388" w:rsidRDefault="007F304F" w:rsidP="0073095E">
            <w:pPr>
              <w:autoSpaceDE w:val="0"/>
              <w:autoSpaceDN w:val="0"/>
              <w:adjustRightInd w:val="0"/>
              <w:rPr>
                <w:rFonts w:eastAsia="Times New Roman"/>
                <w:sz w:val="20"/>
                <w:lang w:val="lt-LT" w:eastAsia="en-US"/>
              </w:rPr>
            </w:pPr>
          </w:p>
          <w:p w14:paraId="30693F5D" w14:textId="77777777" w:rsidR="0073095E"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79,</w:t>
            </w:r>
            <w:r w:rsidR="0073095E" w:rsidRPr="00532388">
              <w:rPr>
                <w:rFonts w:eastAsia="Times New Roman"/>
                <w:sz w:val="20"/>
                <w:lang w:val="lt-LT" w:eastAsia="en-US"/>
              </w:rPr>
              <w:t xml:space="preserve">2% </w:t>
            </w:r>
            <w:r w:rsidR="007F304F" w:rsidRPr="00532388">
              <w:rPr>
                <w:rFonts w:eastAsia="Times New Roman"/>
                <w:sz w:val="20"/>
                <w:lang w:val="lt-LT" w:eastAsia="en-US"/>
              </w:rPr>
              <w:t>(160/202)</w:t>
            </w:r>
          </w:p>
        </w:tc>
        <w:tc>
          <w:tcPr>
            <w:tcW w:w="1195" w:type="dxa"/>
            <w:tcBorders>
              <w:top w:val="nil"/>
              <w:left w:val="single" w:sz="4" w:space="0" w:color="000000"/>
              <w:bottom w:val="nil"/>
              <w:right w:val="single" w:sz="4" w:space="0" w:color="000000"/>
            </w:tcBorders>
            <w:vAlign w:val="center"/>
            <w:hideMark/>
          </w:tcPr>
          <w:p w14:paraId="50B0AD5F" w14:textId="77777777" w:rsidR="007F304F" w:rsidRPr="00532388" w:rsidRDefault="007F304F" w:rsidP="00A57D4C">
            <w:pPr>
              <w:autoSpaceDE w:val="0"/>
              <w:autoSpaceDN w:val="0"/>
              <w:adjustRightInd w:val="0"/>
              <w:rPr>
                <w:rFonts w:eastAsia="Times New Roman"/>
                <w:sz w:val="20"/>
                <w:lang w:val="lt-LT" w:eastAsia="en-US"/>
              </w:rPr>
            </w:pPr>
          </w:p>
          <w:p w14:paraId="24F80681" w14:textId="77777777" w:rsidR="0073095E" w:rsidRPr="00532388" w:rsidRDefault="0073095E" w:rsidP="00A57D4C">
            <w:pPr>
              <w:autoSpaceDE w:val="0"/>
              <w:autoSpaceDN w:val="0"/>
              <w:adjustRightInd w:val="0"/>
              <w:rPr>
                <w:rFonts w:eastAsia="Times New Roman"/>
                <w:sz w:val="20"/>
                <w:lang w:val="lt-LT" w:eastAsia="en-US"/>
              </w:rPr>
            </w:pPr>
            <w:r w:rsidRPr="00532388">
              <w:rPr>
                <w:rFonts w:eastAsia="Times New Roman"/>
                <w:sz w:val="20"/>
                <w:lang w:val="lt-LT" w:eastAsia="en-US"/>
              </w:rPr>
              <w:t>75</w:t>
            </w:r>
            <w:r w:rsidR="00A57D4C" w:rsidRPr="00532388">
              <w:rPr>
                <w:rFonts w:eastAsia="Times New Roman"/>
                <w:sz w:val="20"/>
                <w:lang w:val="lt-LT" w:eastAsia="en-US"/>
              </w:rPr>
              <w:t>,</w:t>
            </w:r>
            <w:r w:rsidRPr="00532388">
              <w:rPr>
                <w:rFonts w:eastAsia="Times New Roman"/>
                <w:sz w:val="20"/>
                <w:lang w:val="lt-LT" w:eastAsia="en-US"/>
              </w:rPr>
              <w:t xml:space="preserve">3% </w:t>
            </w:r>
            <w:r w:rsidR="007F304F" w:rsidRPr="00532388">
              <w:rPr>
                <w:rFonts w:eastAsia="Times New Roman"/>
                <w:sz w:val="20"/>
                <w:lang w:val="lt-LT" w:eastAsia="en-US"/>
              </w:rPr>
              <w:t>149/198)</w:t>
            </w:r>
          </w:p>
        </w:tc>
        <w:tc>
          <w:tcPr>
            <w:tcW w:w="1318" w:type="dxa"/>
            <w:tcBorders>
              <w:top w:val="nil"/>
              <w:left w:val="single" w:sz="4" w:space="0" w:color="000000"/>
              <w:bottom w:val="nil"/>
              <w:right w:val="single" w:sz="4" w:space="0" w:color="000000"/>
            </w:tcBorders>
            <w:vAlign w:val="center"/>
            <w:hideMark/>
          </w:tcPr>
          <w:p w14:paraId="5A1E5967" w14:textId="77777777" w:rsidR="007F304F" w:rsidRPr="00532388" w:rsidRDefault="007F304F" w:rsidP="0073095E">
            <w:pPr>
              <w:autoSpaceDE w:val="0"/>
              <w:autoSpaceDN w:val="0"/>
              <w:adjustRightInd w:val="0"/>
              <w:rPr>
                <w:rFonts w:eastAsia="Times New Roman"/>
                <w:sz w:val="20"/>
                <w:lang w:val="lt-LT" w:eastAsia="en-US"/>
              </w:rPr>
            </w:pPr>
          </w:p>
          <w:p w14:paraId="5958BCC0" w14:textId="77777777" w:rsidR="007F304F" w:rsidRPr="00532388" w:rsidRDefault="00A57D4C" w:rsidP="0073095E">
            <w:pPr>
              <w:autoSpaceDE w:val="0"/>
              <w:autoSpaceDN w:val="0"/>
              <w:adjustRightInd w:val="0"/>
              <w:rPr>
                <w:rFonts w:eastAsia="Times New Roman"/>
                <w:sz w:val="20"/>
                <w:lang w:val="lt-LT" w:eastAsia="en-US"/>
              </w:rPr>
            </w:pPr>
            <w:r w:rsidRPr="00532388">
              <w:rPr>
                <w:rFonts w:eastAsia="Times New Roman"/>
                <w:sz w:val="20"/>
                <w:lang w:val="lt-LT" w:eastAsia="en-US"/>
              </w:rPr>
              <w:t>4,</w:t>
            </w:r>
            <w:r w:rsidR="0073095E" w:rsidRPr="00532388">
              <w:rPr>
                <w:rFonts w:eastAsia="Times New Roman"/>
                <w:sz w:val="20"/>
                <w:lang w:val="lt-LT" w:eastAsia="en-US"/>
              </w:rPr>
              <w:t>0%</w:t>
            </w:r>
          </w:p>
          <w:p w14:paraId="3C4E0703"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 </w:t>
            </w:r>
            <w:r w:rsidR="007F304F" w:rsidRPr="00532388">
              <w:rPr>
                <w:rFonts w:eastAsia="Times New Roman"/>
                <w:sz w:val="20"/>
                <w:lang w:val="lt-LT" w:eastAsia="en-US"/>
              </w:rPr>
              <w:t>(-4,3; 12,2)</w:t>
            </w:r>
            <w:r w:rsidR="007F304F" w:rsidRPr="00532388">
              <w:rPr>
                <w:rFonts w:eastAsia="Times New Roman"/>
                <w:sz w:val="22"/>
                <w:szCs w:val="13"/>
                <w:vertAlign w:val="superscript"/>
                <w:lang w:val="lt-LT" w:eastAsia="en-US"/>
              </w:rPr>
              <w:t>d</w:t>
            </w:r>
          </w:p>
        </w:tc>
      </w:tr>
      <w:tr w:rsidR="0073095E" w:rsidRPr="00532388" w14:paraId="31843F3F" w14:textId="77777777" w:rsidTr="0073095E">
        <w:trPr>
          <w:trHeight w:val="215"/>
        </w:trPr>
        <w:tc>
          <w:tcPr>
            <w:tcW w:w="1732" w:type="dxa"/>
            <w:tcBorders>
              <w:top w:val="single" w:sz="6" w:space="0" w:color="000000"/>
              <w:left w:val="single" w:sz="4" w:space="0" w:color="000000"/>
              <w:bottom w:val="nil"/>
              <w:right w:val="single" w:sz="4" w:space="0" w:color="000000"/>
            </w:tcBorders>
            <w:vAlign w:val="center"/>
            <w:hideMark/>
          </w:tcPr>
          <w:p w14:paraId="1745656B" w14:textId="77777777" w:rsidR="007F304F" w:rsidRPr="00532388" w:rsidRDefault="0073095E" w:rsidP="007F304F">
            <w:pPr>
              <w:autoSpaceDE w:val="0"/>
              <w:autoSpaceDN w:val="0"/>
              <w:adjustRightInd w:val="0"/>
              <w:rPr>
                <w:rFonts w:eastAsia="Times New Roman"/>
                <w:sz w:val="20"/>
                <w:lang w:val="lt-LT" w:eastAsia="en-US"/>
              </w:rPr>
            </w:pPr>
            <w:r w:rsidRPr="00532388">
              <w:rPr>
                <w:rFonts w:eastAsia="Times New Roman"/>
                <w:sz w:val="20"/>
                <w:lang w:val="lt-LT" w:eastAsia="en-US"/>
              </w:rPr>
              <w:t xml:space="preserve">CD4+ </w:t>
            </w:r>
            <w:r w:rsidR="007F304F" w:rsidRPr="00532388">
              <w:rPr>
                <w:rFonts w:eastAsia="Times New Roman"/>
                <w:sz w:val="20"/>
                <w:lang w:val="lt-LT" w:eastAsia="en-US"/>
              </w:rPr>
              <w:t>ląstelių kiekio medianos pokytis palyginti su pradiniu</w:t>
            </w:r>
            <w:r w:rsidRPr="00532388">
              <w:rPr>
                <w:rFonts w:eastAsia="Times New Roman"/>
                <w:sz w:val="20"/>
                <w:lang w:val="lt-LT" w:eastAsia="en-US"/>
              </w:rPr>
              <w:t xml:space="preserve"> </w:t>
            </w:r>
          </w:p>
          <w:p w14:paraId="5C5077C3" w14:textId="77777777" w:rsidR="0073095E" w:rsidRPr="00532388" w:rsidRDefault="007F304F" w:rsidP="007F304F">
            <w:pPr>
              <w:autoSpaceDE w:val="0"/>
              <w:autoSpaceDN w:val="0"/>
              <w:adjustRightInd w:val="0"/>
              <w:rPr>
                <w:rFonts w:eastAsia="Times New Roman"/>
                <w:sz w:val="20"/>
                <w:lang w:val="lt-LT" w:eastAsia="en-US"/>
              </w:rPr>
            </w:pPr>
            <w:r w:rsidRPr="00532388">
              <w:rPr>
                <w:rFonts w:eastAsia="Times New Roman"/>
                <w:sz w:val="20"/>
                <w:lang w:val="lt-LT" w:eastAsia="en-US"/>
              </w:rPr>
              <w:t>(x 10</w:t>
            </w:r>
            <w:r w:rsidRPr="00532388">
              <w:rPr>
                <w:rFonts w:eastAsia="Times New Roman"/>
                <w:sz w:val="22"/>
                <w:szCs w:val="13"/>
                <w:vertAlign w:val="superscript"/>
                <w:lang w:val="lt-LT" w:eastAsia="en-US"/>
              </w:rPr>
              <w:t>6</w:t>
            </w:r>
            <w:r w:rsidRPr="00532388">
              <w:rPr>
                <w:rFonts w:eastAsia="Times New Roman"/>
                <w:sz w:val="20"/>
                <w:lang w:val="lt-LT" w:eastAsia="en-US"/>
              </w:rPr>
              <w:t>/l)</w:t>
            </w:r>
            <w:r w:rsidRPr="00532388">
              <w:rPr>
                <w:rFonts w:eastAsia="Times New Roman"/>
                <w:sz w:val="22"/>
                <w:szCs w:val="13"/>
                <w:vertAlign w:val="superscript"/>
                <w:lang w:val="lt-LT" w:eastAsia="en-US"/>
              </w:rPr>
              <w:t>e</w:t>
            </w:r>
          </w:p>
        </w:tc>
        <w:tc>
          <w:tcPr>
            <w:tcW w:w="1262" w:type="dxa"/>
            <w:tcBorders>
              <w:top w:val="single" w:sz="6" w:space="0" w:color="000000"/>
              <w:left w:val="single" w:sz="4" w:space="0" w:color="000000"/>
              <w:bottom w:val="nil"/>
              <w:right w:val="single" w:sz="4" w:space="0" w:color="000000"/>
            </w:tcBorders>
            <w:vAlign w:val="center"/>
            <w:hideMark/>
          </w:tcPr>
          <w:p w14:paraId="160F4F08" w14:textId="77777777" w:rsidR="007F304F" w:rsidRPr="00532388" w:rsidRDefault="007F304F" w:rsidP="0073095E">
            <w:pPr>
              <w:autoSpaceDE w:val="0"/>
              <w:autoSpaceDN w:val="0"/>
              <w:adjustRightInd w:val="0"/>
              <w:rPr>
                <w:rFonts w:eastAsia="Times New Roman"/>
                <w:sz w:val="20"/>
                <w:lang w:val="lt-LT" w:eastAsia="en-US"/>
              </w:rPr>
            </w:pPr>
          </w:p>
          <w:p w14:paraId="64579B8E" w14:textId="77777777" w:rsidR="007F304F" w:rsidRPr="00532388" w:rsidRDefault="007F304F" w:rsidP="0073095E">
            <w:pPr>
              <w:autoSpaceDE w:val="0"/>
              <w:autoSpaceDN w:val="0"/>
              <w:adjustRightInd w:val="0"/>
              <w:rPr>
                <w:rFonts w:eastAsia="Times New Roman"/>
                <w:sz w:val="20"/>
                <w:lang w:val="lt-LT" w:eastAsia="en-US"/>
              </w:rPr>
            </w:pPr>
          </w:p>
          <w:p w14:paraId="0FF77287" w14:textId="77777777" w:rsidR="007F304F" w:rsidRPr="00532388" w:rsidRDefault="007F304F" w:rsidP="0073095E">
            <w:pPr>
              <w:autoSpaceDE w:val="0"/>
              <w:autoSpaceDN w:val="0"/>
              <w:adjustRightInd w:val="0"/>
              <w:rPr>
                <w:rFonts w:eastAsia="Times New Roman"/>
                <w:sz w:val="20"/>
                <w:lang w:val="lt-LT" w:eastAsia="en-US"/>
              </w:rPr>
            </w:pPr>
          </w:p>
          <w:p w14:paraId="22F153A7"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137 </w:t>
            </w:r>
          </w:p>
        </w:tc>
        <w:tc>
          <w:tcPr>
            <w:tcW w:w="1240" w:type="dxa"/>
            <w:tcBorders>
              <w:top w:val="single" w:sz="6" w:space="0" w:color="000000"/>
              <w:left w:val="single" w:sz="4" w:space="0" w:color="000000"/>
              <w:bottom w:val="nil"/>
              <w:right w:val="single" w:sz="4" w:space="0" w:color="000000"/>
            </w:tcBorders>
            <w:vAlign w:val="center"/>
            <w:hideMark/>
          </w:tcPr>
          <w:p w14:paraId="1F22E066" w14:textId="77777777" w:rsidR="007F304F" w:rsidRPr="00532388" w:rsidRDefault="007F304F" w:rsidP="0073095E">
            <w:pPr>
              <w:autoSpaceDE w:val="0"/>
              <w:autoSpaceDN w:val="0"/>
              <w:adjustRightInd w:val="0"/>
              <w:rPr>
                <w:rFonts w:eastAsia="Times New Roman"/>
                <w:sz w:val="20"/>
                <w:lang w:val="lt-LT" w:eastAsia="en-US"/>
              </w:rPr>
            </w:pPr>
          </w:p>
          <w:p w14:paraId="18075B69" w14:textId="77777777" w:rsidR="007F304F" w:rsidRPr="00532388" w:rsidRDefault="007F304F" w:rsidP="0073095E">
            <w:pPr>
              <w:autoSpaceDE w:val="0"/>
              <w:autoSpaceDN w:val="0"/>
              <w:adjustRightInd w:val="0"/>
              <w:rPr>
                <w:rFonts w:eastAsia="Times New Roman"/>
                <w:sz w:val="20"/>
                <w:lang w:val="lt-LT" w:eastAsia="en-US"/>
              </w:rPr>
            </w:pPr>
          </w:p>
          <w:p w14:paraId="6D4A8104" w14:textId="77777777" w:rsidR="007F304F" w:rsidRPr="00532388" w:rsidRDefault="007F304F" w:rsidP="0073095E">
            <w:pPr>
              <w:autoSpaceDE w:val="0"/>
              <w:autoSpaceDN w:val="0"/>
              <w:adjustRightInd w:val="0"/>
              <w:rPr>
                <w:rFonts w:eastAsia="Times New Roman"/>
                <w:sz w:val="20"/>
                <w:lang w:val="lt-LT" w:eastAsia="en-US"/>
              </w:rPr>
            </w:pPr>
          </w:p>
          <w:p w14:paraId="5E44674B"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141 </w:t>
            </w:r>
          </w:p>
        </w:tc>
        <w:tc>
          <w:tcPr>
            <w:tcW w:w="1310" w:type="dxa"/>
            <w:tcBorders>
              <w:top w:val="single" w:sz="6" w:space="0" w:color="000000"/>
              <w:left w:val="single" w:sz="4" w:space="0" w:color="000000"/>
              <w:bottom w:val="nil"/>
              <w:right w:val="single" w:sz="4" w:space="0" w:color="000000"/>
            </w:tcBorders>
          </w:tcPr>
          <w:p w14:paraId="013B975E" w14:textId="77777777" w:rsidR="0073095E" w:rsidRPr="00532388" w:rsidRDefault="0073095E" w:rsidP="0073095E">
            <w:pPr>
              <w:autoSpaceDE w:val="0"/>
              <w:autoSpaceDN w:val="0"/>
              <w:adjustRightInd w:val="0"/>
              <w:rPr>
                <w:rFonts w:eastAsia="Times New Roman"/>
                <w:sz w:val="20"/>
                <w:lang w:val="lt-LT" w:eastAsia="en-US"/>
              </w:rPr>
            </w:pPr>
          </w:p>
        </w:tc>
        <w:tc>
          <w:tcPr>
            <w:tcW w:w="1245" w:type="dxa"/>
            <w:tcBorders>
              <w:top w:val="single" w:sz="6" w:space="0" w:color="000000"/>
              <w:left w:val="single" w:sz="4" w:space="0" w:color="000000"/>
              <w:bottom w:val="nil"/>
              <w:right w:val="single" w:sz="4" w:space="0" w:color="000000"/>
            </w:tcBorders>
            <w:vAlign w:val="center"/>
            <w:hideMark/>
          </w:tcPr>
          <w:p w14:paraId="662AB2EF" w14:textId="77777777" w:rsidR="007F304F" w:rsidRPr="00532388" w:rsidRDefault="007F304F" w:rsidP="0073095E">
            <w:pPr>
              <w:autoSpaceDE w:val="0"/>
              <w:autoSpaceDN w:val="0"/>
              <w:adjustRightInd w:val="0"/>
              <w:rPr>
                <w:rFonts w:eastAsia="Times New Roman"/>
                <w:sz w:val="20"/>
                <w:lang w:val="lt-LT" w:eastAsia="en-US"/>
              </w:rPr>
            </w:pPr>
          </w:p>
          <w:p w14:paraId="0F1F671A" w14:textId="77777777" w:rsidR="007F304F" w:rsidRPr="00532388" w:rsidRDefault="007F304F" w:rsidP="0073095E">
            <w:pPr>
              <w:autoSpaceDE w:val="0"/>
              <w:autoSpaceDN w:val="0"/>
              <w:adjustRightInd w:val="0"/>
              <w:rPr>
                <w:rFonts w:eastAsia="Times New Roman"/>
                <w:sz w:val="20"/>
                <w:lang w:val="lt-LT" w:eastAsia="en-US"/>
              </w:rPr>
            </w:pPr>
          </w:p>
          <w:p w14:paraId="42C2FB14" w14:textId="77777777" w:rsidR="007F304F" w:rsidRPr="00532388" w:rsidRDefault="007F304F" w:rsidP="0073095E">
            <w:pPr>
              <w:autoSpaceDE w:val="0"/>
              <w:autoSpaceDN w:val="0"/>
              <w:adjustRightInd w:val="0"/>
              <w:rPr>
                <w:rFonts w:eastAsia="Times New Roman"/>
                <w:sz w:val="20"/>
                <w:lang w:val="lt-LT" w:eastAsia="en-US"/>
              </w:rPr>
            </w:pPr>
          </w:p>
          <w:p w14:paraId="4D2715AB"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171 </w:t>
            </w:r>
          </w:p>
        </w:tc>
        <w:tc>
          <w:tcPr>
            <w:tcW w:w="1195" w:type="dxa"/>
            <w:tcBorders>
              <w:top w:val="single" w:sz="6" w:space="0" w:color="000000"/>
              <w:left w:val="single" w:sz="4" w:space="0" w:color="000000"/>
              <w:bottom w:val="nil"/>
              <w:right w:val="single" w:sz="4" w:space="0" w:color="000000"/>
            </w:tcBorders>
            <w:vAlign w:val="center"/>
            <w:hideMark/>
          </w:tcPr>
          <w:p w14:paraId="6F770E12" w14:textId="77777777" w:rsidR="007F304F" w:rsidRPr="00532388" w:rsidRDefault="007F304F" w:rsidP="0073095E">
            <w:pPr>
              <w:autoSpaceDE w:val="0"/>
              <w:autoSpaceDN w:val="0"/>
              <w:adjustRightInd w:val="0"/>
              <w:rPr>
                <w:rFonts w:eastAsia="Times New Roman"/>
                <w:sz w:val="20"/>
                <w:lang w:val="lt-LT" w:eastAsia="en-US"/>
              </w:rPr>
            </w:pPr>
          </w:p>
          <w:p w14:paraId="4563B748" w14:textId="77777777" w:rsidR="007F304F" w:rsidRPr="00532388" w:rsidRDefault="007F304F" w:rsidP="0073095E">
            <w:pPr>
              <w:autoSpaceDE w:val="0"/>
              <w:autoSpaceDN w:val="0"/>
              <w:adjustRightInd w:val="0"/>
              <w:rPr>
                <w:rFonts w:eastAsia="Times New Roman"/>
                <w:sz w:val="20"/>
                <w:lang w:val="lt-LT" w:eastAsia="en-US"/>
              </w:rPr>
            </w:pPr>
          </w:p>
          <w:p w14:paraId="1D7B30FB" w14:textId="77777777" w:rsidR="007F304F" w:rsidRPr="00532388" w:rsidRDefault="007F304F" w:rsidP="0073095E">
            <w:pPr>
              <w:autoSpaceDE w:val="0"/>
              <w:autoSpaceDN w:val="0"/>
              <w:adjustRightInd w:val="0"/>
              <w:rPr>
                <w:rFonts w:eastAsia="Times New Roman"/>
                <w:sz w:val="20"/>
                <w:lang w:val="lt-LT" w:eastAsia="en-US"/>
              </w:rPr>
            </w:pPr>
          </w:p>
          <w:p w14:paraId="1A12CF46"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188 </w:t>
            </w:r>
          </w:p>
        </w:tc>
        <w:tc>
          <w:tcPr>
            <w:tcW w:w="1318" w:type="dxa"/>
            <w:tcBorders>
              <w:top w:val="single" w:sz="6" w:space="0" w:color="000000"/>
              <w:left w:val="single" w:sz="4" w:space="0" w:color="000000"/>
              <w:bottom w:val="nil"/>
              <w:right w:val="single" w:sz="4" w:space="0" w:color="000000"/>
            </w:tcBorders>
          </w:tcPr>
          <w:p w14:paraId="5EA66BD9" w14:textId="77777777" w:rsidR="0073095E" w:rsidRPr="00532388" w:rsidRDefault="0073095E" w:rsidP="0073095E">
            <w:pPr>
              <w:autoSpaceDE w:val="0"/>
              <w:autoSpaceDN w:val="0"/>
              <w:adjustRightInd w:val="0"/>
              <w:rPr>
                <w:rFonts w:eastAsia="Times New Roman"/>
                <w:sz w:val="20"/>
                <w:lang w:val="lt-LT" w:eastAsia="en-US"/>
              </w:rPr>
            </w:pPr>
          </w:p>
        </w:tc>
      </w:tr>
      <w:tr w:rsidR="0073095E" w:rsidRPr="00532388" w14:paraId="58EFF13D" w14:textId="77777777" w:rsidTr="007F304F">
        <w:trPr>
          <w:trHeight w:val="270"/>
        </w:trPr>
        <w:tc>
          <w:tcPr>
            <w:tcW w:w="1732" w:type="dxa"/>
            <w:tcBorders>
              <w:top w:val="nil"/>
              <w:left w:val="single" w:sz="4" w:space="0" w:color="000000"/>
              <w:bottom w:val="single" w:sz="6" w:space="0" w:color="000000"/>
              <w:right w:val="single" w:sz="4" w:space="0" w:color="000000"/>
            </w:tcBorders>
          </w:tcPr>
          <w:p w14:paraId="397B1E71" w14:textId="77777777" w:rsidR="0073095E" w:rsidRPr="00532388" w:rsidRDefault="0073095E" w:rsidP="007F304F">
            <w:pPr>
              <w:autoSpaceDE w:val="0"/>
              <w:autoSpaceDN w:val="0"/>
              <w:adjustRightInd w:val="0"/>
              <w:rPr>
                <w:rFonts w:eastAsia="Times New Roman"/>
                <w:sz w:val="13"/>
                <w:szCs w:val="13"/>
                <w:lang w:val="lt-LT" w:eastAsia="en-US"/>
              </w:rPr>
            </w:pPr>
          </w:p>
        </w:tc>
        <w:tc>
          <w:tcPr>
            <w:tcW w:w="1262" w:type="dxa"/>
            <w:tcBorders>
              <w:top w:val="nil"/>
              <w:left w:val="single" w:sz="4" w:space="0" w:color="000000"/>
              <w:bottom w:val="single" w:sz="6" w:space="0" w:color="000000"/>
              <w:right w:val="single" w:sz="4" w:space="0" w:color="000000"/>
            </w:tcBorders>
          </w:tcPr>
          <w:p w14:paraId="434BA4A0" w14:textId="77777777" w:rsidR="0073095E" w:rsidRPr="00532388" w:rsidRDefault="0073095E" w:rsidP="0073095E">
            <w:pPr>
              <w:autoSpaceDE w:val="0"/>
              <w:autoSpaceDN w:val="0"/>
              <w:adjustRightInd w:val="0"/>
              <w:rPr>
                <w:rFonts w:eastAsia="Times New Roman"/>
                <w:sz w:val="20"/>
                <w:lang w:val="lt-LT" w:eastAsia="en-US"/>
              </w:rPr>
            </w:pPr>
          </w:p>
        </w:tc>
        <w:tc>
          <w:tcPr>
            <w:tcW w:w="1240" w:type="dxa"/>
            <w:tcBorders>
              <w:top w:val="nil"/>
              <w:left w:val="single" w:sz="4" w:space="0" w:color="000000"/>
              <w:bottom w:val="single" w:sz="6" w:space="0" w:color="000000"/>
              <w:right w:val="single" w:sz="4" w:space="0" w:color="000000"/>
            </w:tcBorders>
          </w:tcPr>
          <w:p w14:paraId="47F76438" w14:textId="77777777" w:rsidR="0073095E" w:rsidRPr="00532388" w:rsidRDefault="0073095E" w:rsidP="0073095E">
            <w:pPr>
              <w:autoSpaceDE w:val="0"/>
              <w:autoSpaceDN w:val="0"/>
              <w:adjustRightInd w:val="0"/>
              <w:rPr>
                <w:rFonts w:eastAsia="Times New Roman"/>
                <w:sz w:val="20"/>
                <w:lang w:val="lt-LT" w:eastAsia="en-US"/>
              </w:rPr>
            </w:pPr>
          </w:p>
        </w:tc>
        <w:tc>
          <w:tcPr>
            <w:tcW w:w="1310" w:type="dxa"/>
            <w:tcBorders>
              <w:top w:val="nil"/>
              <w:left w:val="single" w:sz="4" w:space="0" w:color="000000"/>
              <w:bottom w:val="single" w:sz="6" w:space="0" w:color="000000"/>
              <w:right w:val="single" w:sz="4" w:space="0" w:color="000000"/>
            </w:tcBorders>
          </w:tcPr>
          <w:p w14:paraId="78CC86DE" w14:textId="77777777" w:rsidR="0073095E" w:rsidRPr="00532388" w:rsidRDefault="0073095E" w:rsidP="0073095E">
            <w:pPr>
              <w:autoSpaceDE w:val="0"/>
              <w:autoSpaceDN w:val="0"/>
              <w:adjustRightInd w:val="0"/>
              <w:rPr>
                <w:rFonts w:eastAsia="Times New Roman"/>
                <w:sz w:val="20"/>
                <w:lang w:val="lt-LT" w:eastAsia="en-US"/>
              </w:rPr>
            </w:pPr>
          </w:p>
        </w:tc>
        <w:tc>
          <w:tcPr>
            <w:tcW w:w="1245" w:type="dxa"/>
            <w:tcBorders>
              <w:top w:val="nil"/>
              <w:left w:val="single" w:sz="4" w:space="0" w:color="000000"/>
              <w:bottom w:val="single" w:sz="6" w:space="0" w:color="000000"/>
              <w:right w:val="single" w:sz="4" w:space="0" w:color="000000"/>
            </w:tcBorders>
          </w:tcPr>
          <w:p w14:paraId="595EDA46" w14:textId="77777777" w:rsidR="0073095E" w:rsidRPr="00532388" w:rsidRDefault="0073095E" w:rsidP="0073095E">
            <w:pPr>
              <w:autoSpaceDE w:val="0"/>
              <w:autoSpaceDN w:val="0"/>
              <w:adjustRightInd w:val="0"/>
              <w:rPr>
                <w:rFonts w:eastAsia="Times New Roman"/>
                <w:sz w:val="20"/>
                <w:lang w:val="lt-LT" w:eastAsia="en-US"/>
              </w:rPr>
            </w:pPr>
          </w:p>
        </w:tc>
        <w:tc>
          <w:tcPr>
            <w:tcW w:w="1195" w:type="dxa"/>
            <w:tcBorders>
              <w:top w:val="nil"/>
              <w:left w:val="single" w:sz="4" w:space="0" w:color="000000"/>
              <w:bottom w:val="single" w:sz="6" w:space="0" w:color="000000"/>
              <w:right w:val="single" w:sz="4" w:space="0" w:color="000000"/>
            </w:tcBorders>
          </w:tcPr>
          <w:p w14:paraId="26E8915D" w14:textId="77777777" w:rsidR="0073095E" w:rsidRPr="00532388" w:rsidRDefault="0073095E" w:rsidP="0073095E">
            <w:pPr>
              <w:autoSpaceDE w:val="0"/>
              <w:autoSpaceDN w:val="0"/>
              <w:adjustRightInd w:val="0"/>
              <w:rPr>
                <w:rFonts w:eastAsia="Times New Roman"/>
                <w:sz w:val="20"/>
                <w:lang w:val="lt-LT" w:eastAsia="en-US"/>
              </w:rPr>
            </w:pPr>
          </w:p>
        </w:tc>
        <w:tc>
          <w:tcPr>
            <w:tcW w:w="1318" w:type="dxa"/>
            <w:tcBorders>
              <w:top w:val="nil"/>
              <w:left w:val="single" w:sz="4" w:space="0" w:color="000000"/>
              <w:bottom w:val="single" w:sz="6" w:space="0" w:color="000000"/>
              <w:right w:val="single" w:sz="4" w:space="0" w:color="000000"/>
            </w:tcBorders>
          </w:tcPr>
          <w:p w14:paraId="431D5FC5" w14:textId="77777777" w:rsidR="0073095E" w:rsidRPr="00532388" w:rsidRDefault="0073095E" w:rsidP="0073095E">
            <w:pPr>
              <w:autoSpaceDE w:val="0"/>
              <w:autoSpaceDN w:val="0"/>
              <w:adjustRightInd w:val="0"/>
              <w:rPr>
                <w:rFonts w:eastAsia="Times New Roman"/>
                <w:sz w:val="20"/>
                <w:lang w:val="lt-LT" w:eastAsia="en-US"/>
              </w:rPr>
            </w:pPr>
          </w:p>
        </w:tc>
      </w:tr>
    </w:tbl>
    <w:p w14:paraId="0806A7DA"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a </w:t>
      </w:r>
      <w:r w:rsidRPr="00532388">
        <w:rPr>
          <w:rFonts w:eastAsia="TimesNewRoman"/>
          <w:sz w:val="18"/>
          <w:szCs w:val="18"/>
          <w:lang w:val="lt-LT" w:eastAsia="en-US"/>
        </w:rPr>
        <w:t>Duomenys remiasi 48 savaitę atliktomis analizėmis.</w:t>
      </w:r>
    </w:p>
    <w:p w14:paraId="0261FEE3"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b </w:t>
      </w:r>
      <w:r w:rsidRPr="00532388">
        <w:rPr>
          <w:rFonts w:eastAsia="TimesNewRoman"/>
          <w:sz w:val="18"/>
          <w:szCs w:val="18"/>
          <w:lang w:val="lt-LT" w:eastAsia="en-US"/>
        </w:rPr>
        <w:t>Duomenys remiasi 96 savaitę atliktomis analizėmis.</w:t>
      </w:r>
    </w:p>
    <w:p w14:paraId="047BEFC8"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c </w:t>
      </w:r>
      <w:r w:rsidRPr="00532388">
        <w:rPr>
          <w:rFonts w:eastAsia="TimesNewRoman"/>
          <w:sz w:val="18"/>
          <w:szCs w:val="18"/>
          <w:lang w:val="lt-LT" w:eastAsia="en-US"/>
        </w:rPr>
        <w:t xml:space="preserve">Vertinimas pagal </w:t>
      </w:r>
      <w:r w:rsidRPr="00532388">
        <w:rPr>
          <w:rFonts w:eastAsia="TimesNewRoman"/>
          <w:i/>
          <w:iCs/>
          <w:sz w:val="18"/>
          <w:szCs w:val="18"/>
          <w:lang w:val="lt-LT" w:eastAsia="en-US"/>
        </w:rPr>
        <w:t xml:space="preserve">TLOVR </w:t>
      </w:r>
      <w:r w:rsidRPr="00532388">
        <w:rPr>
          <w:rFonts w:eastAsia="TimesNewRoman"/>
          <w:sz w:val="18"/>
          <w:szCs w:val="18"/>
          <w:lang w:val="lt-LT" w:eastAsia="en-US"/>
        </w:rPr>
        <w:t>algoritmą.</w:t>
      </w:r>
    </w:p>
    <w:p w14:paraId="21AA90AB"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d</w:t>
      </w:r>
      <w:r w:rsidRPr="00532388">
        <w:rPr>
          <w:rFonts w:eastAsia="TimesNewRoman"/>
          <w:sz w:val="14"/>
          <w:szCs w:val="14"/>
          <w:lang w:val="lt-LT" w:eastAsia="en-US"/>
        </w:rPr>
        <w:t xml:space="preserve"> </w:t>
      </w:r>
      <w:r w:rsidRPr="00532388">
        <w:rPr>
          <w:rFonts w:eastAsia="TimesNewRoman"/>
          <w:sz w:val="18"/>
          <w:szCs w:val="18"/>
          <w:lang w:val="lt-LT" w:eastAsia="en-US"/>
        </w:rPr>
        <w:t>Remiantis atsako % normaliu apytiksliu skirtumu.</w:t>
      </w:r>
    </w:p>
    <w:p w14:paraId="277CC5C2" w14:textId="77777777" w:rsidR="0073095E" w:rsidRPr="00532388" w:rsidRDefault="0073095E" w:rsidP="0073095E">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e </w:t>
      </w:r>
      <w:r w:rsidRPr="00532388">
        <w:rPr>
          <w:rFonts w:eastAsia="TimesNewRoman"/>
          <w:sz w:val="18"/>
          <w:szCs w:val="18"/>
          <w:lang w:val="lt-LT" w:eastAsia="en-US"/>
        </w:rPr>
        <w:t>Jei gydymas nebaigtas, tai prilyginta nesėkmei: jei pacientai gydymą nutraukė anksčiau laiko, pokytis įvertintas 0.</w:t>
      </w:r>
    </w:p>
    <w:p w14:paraId="78BB5F4E" w14:textId="77777777" w:rsidR="0035687B" w:rsidRPr="00532388" w:rsidRDefault="0035687B" w:rsidP="0073095E">
      <w:pPr>
        <w:autoSpaceDE w:val="0"/>
        <w:autoSpaceDN w:val="0"/>
        <w:adjustRightInd w:val="0"/>
        <w:rPr>
          <w:rFonts w:eastAsia="TimesNewRoman"/>
          <w:sz w:val="22"/>
          <w:szCs w:val="22"/>
          <w:lang w:val="lt-LT" w:eastAsia="en-US"/>
        </w:rPr>
      </w:pPr>
    </w:p>
    <w:p w14:paraId="474421E4" w14:textId="77777777" w:rsidR="0073095E" w:rsidRPr="00532388" w:rsidRDefault="0073095E" w:rsidP="007F304F">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 xml:space="preserve">48 savaitės analizėje virusologinio atsako į gydymą </w:t>
      </w:r>
      <w:r w:rsidR="007F304F" w:rsidRPr="00532388">
        <w:rPr>
          <w:rFonts w:eastAsia="TimesNewRoman"/>
          <w:sz w:val="22"/>
          <w:szCs w:val="22"/>
          <w:lang w:val="lt-LT" w:eastAsia="en-US"/>
        </w:rPr>
        <w:t>darunaviro</w:t>
      </w:r>
      <w:r w:rsidRPr="00532388">
        <w:rPr>
          <w:rFonts w:eastAsia="TimesNewRoman"/>
          <w:sz w:val="22"/>
          <w:szCs w:val="22"/>
          <w:lang w:val="lt-LT" w:eastAsia="en-US"/>
        </w:rPr>
        <w:t>/ritonaviru pakankamumas,</w:t>
      </w:r>
      <w:r w:rsidR="007F304F" w:rsidRPr="00532388">
        <w:rPr>
          <w:rFonts w:eastAsia="TimesNewRoman"/>
          <w:sz w:val="22"/>
          <w:szCs w:val="22"/>
          <w:lang w:val="lt-LT" w:eastAsia="en-US"/>
        </w:rPr>
        <w:t xml:space="preserve"> </w:t>
      </w:r>
      <w:r w:rsidRPr="00532388">
        <w:rPr>
          <w:rFonts w:eastAsia="TimesNewRoman"/>
          <w:sz w:val="22"/>
          <w:szCs w:val="22"/>
          <w:lang w:val="lt-LT" w:eastAsia="en-US"/>
        </w:rPr>
        <w:t>apibrėžiamas kaip pacientų dalis procentais, kurių ŽIV-1 RNR koncentracijos plazmoje buvo &lt; 50</w:t>
      </w:r>
      <w:r w:rsidR="007F304F" w:rsidRPr="00532388">
        <w:rPr>
          <w:rFonts w:eastAsia="TimesNewRoman"/>
          <w:sz w:val="22"/>
          <w:szCs w:val="22"/>
          <w:lang w:val="lt-LT" w:eastAsia="en-US"/>
        </w:rPr>
        <w:t> </w:t>
      </w:r>
      <w:r w:rsidRPr="00532388">
        <w:rPr>
          <w:rFonts w:eastAsia="TimesNewRoman"/>
          <w:sz w:val="22"/>
          <w:szCs w:val="22"/>
          <w:lang w:val="lt-LT" w:eastAsia="en-US"/>
        </w:rPr>
        <w:t>kopijų/ml, buvo nustatytas (iš anksto nustačius 12 % pakankamumo (</w:t>
      </w:r>
      <w:r w:rsidRPr="00532388">
        <w:rPr>
          <w:rFonts w:eastAsia="TimesNewRoman"/>
          <w:i/>
          <w:iCs/>
          <w:sz w:val="22"/>
          <w:szCs w:val="22"/>
          <w:lang w:val="lt-LT" w:eastAsia="en-US"/>
        </w:rPr>
        <w:t>non-inferiority</w:t>
      </w:r>
      <w:r w:rsidRPr="00532388">
        <w:rPr>
          <w:rFonts w:eastAsia="TimesNewRoman"/>
          <w:sz w:val="22"/>
          <w:szCs w:val="22"/>
          <w:lang w:val="lt-LT" w:eastAsia="en-US"/>
        </w:rPr>
        <w:t>) ribą) ir numatytų</w:t>
      </w:r>
      <w:r w:rsidR="007F304F" w:rsidRPr="00532388">
        <w:rPr>
          <w:rFonts w:eastAsia="TimesNewRoman"/>
          <w:sz w:val="22"/>
          <w:szCs w:val="22"/>
          <w:lang w:val="lt-LT" w:eastAsia="en-US"/>
        </w:rPr>
        <w:t xml:space="preserve"> </w:t>
      </w:r>
      <w:r w:rsidRPr="00532388">
        <w:rPr>
          <w:rFonts w:eastAsia="TimesNewRoman"/>
          <w:sz w:val="22"/>
          <w:szCs w:val="22"/>
          <w:lang w:val="lt-LT" w:eastAsia="en-US"/>
        </w:rPr>
        <w:t xml:space="preserve">gydyti (angl. </w:t>
      </w:r>
      <w:r w:rsidRPr="00532388">
        <w:rPr>
          <w:rFonts w:eastAsia="TimesNewRoman"/>
          <w:i/>
          <w:iCs/>
          <w:sz w:val="22"/>
          <w:szCs w:val="22"/>
          <w:lang w:val="lt-LT" w:eastAsia="en-US"/>
        </w:rPr>
        <w:t>Intent-To-Treat</w:t>
      </w:r>
      <w:r w:rsidRPr="00532388">
        <w:rPr>
          <w:rFonts w:eastAsia="TimesNewRoman"/>
          <w:sz w:val="22"/>
          <w:szCs w:val="22"/>
          <w:lang w:val="lt-LT" w:eastAsia="en-US"/>
        </w:rPr>
        <w:t xml:space="preserve">, </w:t>
      </w:r>
      <w:r w:rsidRPr="00532388">
        <w:rPr>
          <w:rFonts w:eastAsia="TimesNewRoman"/>
          <w:i/>
          <w:iCs/>
          <w:sz w:val="22"/>
          <w:szCs w:val="22"/>
          <w:lang w:val="lt-LT" w:eastAsia="en-US"/>
        </w:rPr>
        <w:t>ITT</w:t>
      </w:r>
      <w:r w:rsidRPr="00532388">
        <w:rPr>
          <w:rFonts w:eastAsia="TimesNewRoman"/>
          <w:sz w:val="22"/>
          <w:szCs w:val="22"/>
          <w:lang w:val="lt-LT" w:eastAsia="en-US"/>
        </w:rPr>
        <w:t>) ir protokole esančioms pacientų populiacijoms. Šie rezultatai buvo</w:t>
      </w:r>
      <w:r w:rsidR="007F304F" w:rsidRPr="00532388">
        <w:rPr>
          <w:rFonts w:eastAsia="TimesNewRoman"/>
          <w:sz w:val="22"/>
          <w:szCs w:val="22"/>
          <w:lang w:val="lt-LT" w:eastAsia="en-US"/>
        </w:rPr>
        <w:t xml:space="preserve"> </w:t>
      </w:r>
      <w:r w:rsidRPr="00532388">
        <w:rPr>
          <w:rFonts w:eastAsia="TimesNewRoman"/>
          <w:sz w:val="22"/>
          <w:szCs w:val="22"/>
          <w:lang w:val="lt-LT" w:eastAsia="en-US"/>
        </w:rPr>
        <w:t xml:space="preserve">patvirtinti ir </w:t>
      </w:r>
      <w:r w:rsidRPr="00532388">
        <w:rPr>
          <w:rFonts w:eastAsia="TimesNewRoman"/>
          <w:i/>
          <w:iCs/>
          <w:sz w:val="22"/>
          <w:szCs w:val="22"/>
          <w:lang w:val="lt-LT" w:eastAsia="en-US"/>
        </w:rPr>
        <w:t xml:space="preserve">ARTEMIS </w:t>
      </w:r>
      <w:r w:rsidRPr="00532388">
        <w:rPr>
          <w:rFonts w:eastAsia="TimesNewRoman"/>
          <w:sz w:val="22"/>
          <w:szCs w:val="22"/>
          <w:lang w:val="lt-LT" w:eastAsia="en-US"/>
        </w:rPr>
        <w:t>klinikinio tyrimo 96 savaitės duomenų analizėje. Šie rezultatai išliko iki 192</w:t>
      </w:r>
      <w:r w:rsidR="007F304F" w:rsidRPr="00532388">
        <w:rPr>
          <w:rFonts w:eastAsia="TimesNewRoman"/>
          <w:sz w:val="22"/>
          <w:szCs w:val="22"/>
          <w:lang w:val="lt-LT" w:eastAsia="en-US"/>
        </w:rPr>
        <w:t xml:space="preserve"> </w:t>
      </w:r>
      <w:r w:rsidRPr="00532388">
        <w:rPr>
          <w:rFonts w:eastAsia="TimesNewRoman"/>
          <w:sz w:val="22"/>
          <w:szCs w:val="22"/>
          <w:lang w:val="lt-LT" w:eastAsia="en-US"/>
        </w:rPr>
        <w:t>gydymo savaitės ARTEMIS klinikiniame tyrime.</w:t>
      </w:r>
    </w:p>
    <w:p w14:paraId="1BD5154D" w14:textId="77777777" w:rsidR="007F304F" w:rsidRPr="00532388" w:rsidRDefault="007F304F" w:rsidP="007F304F">
      <w:pPr>
        <w:autoSpaceDE w:val="0"/>
        <w:autoSpaceDN w:val="0"/>
        <w:adjustRightInd w:val="0"/>
        <w:rPr>
          <w:b/>
          <w:bCs/>
          <w:i/>
          <w:iCs/>
          <w:sz w:val="22"/>
          <w:szCs w:val="22"/>
          <w:lang w:val="lt-LT" w:eastAsia="en-US"/>
        </w:rPr>
      </w:pPr>
    </w:p>
    <w:p w14:paraId="589EECE9" w14:textId="77777777" w:rsidR="007D46AF" w:rsidRPr="00532388" w:rsidRDefault="007F304F" w:rsidP="007F304F">
      <w:pPr>
        <w:autoSpaceDE w:val="0"/>
        <w:autoSpaceDN w:val="0"/>
        <w:adjustRightInd w:val="0"/>
        <w:rPr>
          <w:i/>
          <w:iCs/>
          <w:sz w:val="22"/>
          <w:szCs w:val="22"/>
          <w:u w:val="single"/>
          <w:lang w:val="lt-LT" w:eastAsia="en-US"/>
        </w:rPr>
      </w:pPr>
      <w:r w:rsidRPr="00532388">
        <w:rPr>
          <w:rFonts w:eastAsia="TimesNewRoman"/>
          <w:i/>
          <w:sz w:val="22"/>
          <w:szCs w:val="22"/>
          <w:u w:val="single"/>
          <w:lang w:val="lt-LT" w:eastAsia="en-US"/>
        </w:rPr>
        <w:t>Darunaviro</w:t>
      </w:r>
      <w:r w:rsidRPr="00532388">
        <w:rPr>
          <w:i/>
          <w:iCs/>
          <w:sz w:val="22"/>
          <w:szCs w:val="22"/>
          <w:u w:val="single"/>
          <w:lang w:val="lt-LT" w:eastAsia="en-US"/>
        </w:rPr>
        <w:t xml:space="preserve"> 800 mg vieną kartą per parą</w:t>
      </w:r>
      <w:r w:rsidR="007D46AF" w:rsidRPr="00532388">
        <w:rPr>
          <w:i/>
          <w:iCs/>
          <w:sz w:val="22"/>
          <w:szCs w:val="22"/>
          <w:u w:val="single"/>
          <w:lang w:val="lt-LT" w:eastAsia="en-US"/>
        </w:rPr>
        <w:t>, vartojamo kartu su 100 </w:t>
      </w:r>
      <w:r w:rsidRPr="00532388">
        <w:rPr>
          <w:i/>
          <w:iCs/>
          <w:sz w:val="22"/>
          <w:szCs w:val="22"/>
          <w:u w:val="single"/>
          <w:lang w:val="lt-LT" w:eastAsia="en-US"/>
        </w:rPr>
        <w:t>mg ritonaviro vieną kartą per parą,</w:t>
      </w:r>
      <w:r w:rsidR="007D46AF" w:rsidRPr="00532388">
        <w:rPr>
          <w:i/>
          <w:iCs/>
          <w:sz w:val="22"/>
          <w:szCs w:val="22"/>
          <w:u w:val="single"/>
          <w:lang w:val="lt-LT" w:eastAsia="en-US"/>
        </w:rPr>
        <w:t xml:space="preserve"> </w:t>
      </w:r>
      <w:r w:rsidRPr="00532388">
        <w:rPr>
          <w:i/>
          <w:iCs/>
          <w:sz w:val="22"/>
          <w:szCs w:val="22"/>
          <w:u w:val="single"/>
          <w:lang w:val="lt-LT" w:eastAsia="en-US"/>
        </w:rPr>
        <w:t>veiksmingumas pacientams, kuriems taikytas ARG</w:t>
      </w:r>
    </w:p>
    <w:p w14:paraId="63F37A7D" w14:textId="77777777" w:rsidR="007F304F" w:rsidRPr="00532388" w:rsidRDefault="007F304F" w:rsidP="007F304F">
      <w:pPr>
        <w:autoSpaceDE w:val="0"/>
        <w:autoSpaceDN w:val="0"/>
        <w:adjustRightInd w:val="0"/>
        <w:rPr>
          <w:rFonts w:eastAsia="TimesNewRoman"/>
          <w:sz w:val="22"/>
          <w:szCs w:val="22"/>
          <w:lang w:val="lt-LT" w:eastAsia="en-US"/>
        </w:rPr>
      </w:pPr>
      <w:r w:rsidRPr="00532388">
        <w:rPr>
          <w:b/>
          <w:bCs/>
          <w:i/>
          <w:iCs/>
          <w:sz w:val="22"/>
          <w:szCs w:val="22"/>
          <w:lang w:val="lt-LT" w:eastAsia="en-US"/>
        </w:rPr>
        <w:t xml:space="preserve">ODIN </w:t>
      </w:r>
      <w:r w:rsidRPr="00532388">
        <w:rPr>
          <w:rFonts w:eastAsia="TimesNewRoman"/>
          <w:sz w:val="22"/>
          <w:szCs w:val="22"/>
          <w:lang w:val="lt-LT" w:eastAsia="en-US"/>
        </w:rPr>
        <w:t>yra III fazės atsitiktinių imčių atviras klinikinis tyrimas, kurio metu ŽIV-1 infekuotų pacientų,</w:t>
      </w:r>
      <w:r w:rsidR="007D46AF" w:rsidRPr="00532388">
        <w:rPr>
          <w:rFonts w:eastAsia="TimesNewRoman"/>
          <w:sz w:val="22"/>
          <w:szCs w:val="22"/>
          <w:lang w:val="lt-LT" w:eastAsia="en-US"/>
        </w:rPr>
        <w:t xml:space="preserve"> </w:t>
      </w:r>
      <w:r w:rsidRPr="00532388">
        <w:rPr>
          <w:rFonts w:eastAsia="TimesNewRoman"/>
          <w:sz w:val="22"/>
          <w:szCs w:val="22"/>
          <w:lang w:val="lt-LT" w:eastAsia="en-US"/>
        </w:rPr>
        <w:t>kuriems anksčiau taikytas ARG, kuriems planiniai genotipinio atsparumo tyrimai nerodė ASM</w:t>
      </w:r>
      <w:r w:rsidR="007D46AF" w:rsidRPr="00532388">
        <w:rPr>
          <w:rFonts w:eastAsia="TimesNewRoman"/>
          <w:sz w:val="22"/>
          <w:szCs w:val="22"/>
          <w:lang w:val="lt-LT" w:eastAsia="en-US"/>
        </w:rPr>
        <w:t xml:space="preserve"> </w:t>
      </w:r>
      <w:r w:rsidRPr="00532388">
        <w:rPr>
          <w:rFonts w:eastAsia="TimesNewRoman"/>
          <w:sz w:val="22"/>
          <w:szCs w:val="22"/>
          <w:lang w:val="lt-LT" w:eastAsia="en-US"/>
        </w:rPr>
        <w:t>darunavirui (t. y. V11I, V32I, L33F, I47V, I50V, I54M, I54L, T74P, L76V, I84V, L89V) ir patikros</w:t>
      </w:r>
      <w:r w:rsidR="007D46AF" w:rsidRPr="00532388">
        <w:rPr>
          <w:rFonts w:eastAsia="TimesNewRoman"/>
          <w:sz w:val="22"/>
          <w:szCs w:val="22"/>
          <w:lang w:val="lt-LT" w:eastAsia="en-US"/>
        </w:rPr>
        <w:t xml:space="preserve"> </w:t>
      </w:r>
      <w:r w:rsidRPr="00532388">
        <w:rPr>
          <w:rFonts w:eastAsia="TimesNewRoman"/>
          <w:sz w:val="22"/>
          <w:szCs w:val="22"/>
          <w:lang w:val="lt-LT" w:eastAsia="en-US"/>
        </w:rPr>
        <w:t>metu ŽIV-1 RNR kiekis buvo &gt; 1 000 kopijų/ml, gydymas 800/100</w:t>
      </w:r>
      <w:r w:rsidR="007D46AF" w:rsidRPr="00532388">
        <w:rPr>
          <w:rFonts w:eastAsia="TimesNewRoman"/>
          <w:sz w:val="22"/>
          <w:szCs w:val="22"/>
          <w:lang w:val="lt-LT" w:eastAsia="en-US"/>
        </w:rPr>
        <w:t> m</w:t>
      </w:r>
      <w:r w:rsidRPr="00532388">
        <w:rPr>
          <w:rFonts w:eastAsia="TimesNewRoman"/>
          <w:sz w:val="22"/>
          <w:szCs w:val="22"/>
          <w:lang w:val="lt-LT" w:eastAsia="en-US"/>
        </w:rPr>
        <w:t xml:space="preserve">g </w:t>
      </w:r>
      <w:r w:rsidR="007D46AF" w:rsidRPr="00532388">
        <w:rPr>
          <w:rFonts w:eastAsia="TimesNewRoman"/>
          <w:sz w:val="22"/>
          <w:szCs w:val="22"/>
          <w:lang w:val="lt-LT" w:eastAsia="en-US"/>
        </w:rPr>
        <w:t>darunaviro</w:t>
      </w:r>
      <w:r w:rsidRPr="00532388">
        <w:rPr>
          <w:rFonts w:eastAsia="TimesNewRoman"/>
          <w:sz w:val="22"/>
          <w:szCs w:val="22"/>
          <w:lang w:val="lt-LT" w:eastAsia="en-US"/>
        </w:rPr>
        <w:t>/ritonaviro vieną</w:t>
      </w:r>
      <w:r w:rsidR="007D46AF" w:rsidRPr="00532388">
        <w:rPr>
          <w:rFonts w:eastAsia="TimesNewRoman"/>
          <w:sz w:val="22"/>
          <w:szCs w:val="22"/>
          <w:lang w:val="lt-LT" w:eastAsia="en-US"/>
        </w:rPr>
        <w:t xml:space="preserve"> </w:t>
      </w:r>
      <w:r w:rsidRPr="00532388">
        <w:rPr>
          <w:rFonts w:eastAsia="TimesNewRoman"/>
          <w:sz w:val="22"/>
          <w:szCs w:val="22"/>
          <w:lang w:val="lt-LT" w:eastAsia="en-US"/>
        </w:rPr>
        <w:t>kartą per parą buvo palygintas su gydymu 600/100</w:t>
      </w:r>
      <w:r w:rsidR="006E49FE" w:rsidRPr="00532388">
        <w:rPr>
          <w:rFonts w:eastAsia="TimesNewRoman"/>
          <w:sz w:val="22"/>
          <w:szCs w:val="22"/>
          <w:lang w:val="lt-LT" w:eastAsia="en-US"/>
        </w:rPr>
        <w:t> </w:t>
      </w:r>
      <w:r w:rsidRPr="00532388">
        <w:rPr>
          <w:rFonts w:eastAsia="TimesNewRoman"/>
          <w:sz w:val="22"/>
          <w:szCs w:val="22"/>
          <w:lang w:val="lt-LT" w:eastAsia="en-US"/>
        </w:rPr>
        <w:t xml:space="preserve">mg </w:t>
      </w:r>
      <w:r w:rsidR="006E49FE" w:rsidRPr="00532388">
        <w:rPr>
          <w:rFonts w:eastAsia="TimesNewRoman"/>
          <w:sz w:val="22"/>
          <w:szCs w:val="22"/>
          <w:lang w:val="lt-LT" w:eastAsia="en-US"/>
        </w:rPr>
        <w:t>darunaviro</w:t>
      </w:r>
      <w:r w:rsidRPr="00532388">
        <w:rPr>
          <w:rFonts w:eastAsia="TimesNewRoman"/>
          <w:sz w:val="22"/>
          <w:szCs w:val="22"/>
          <w:lang w:val="lt-LT" w:eastAsia="en-US"/>
        </w:rPr>
        <w:t>/ritonaviro du kartus per parą.</w:t>
      </w:r>
      <w:r w:rsidR="007D46AF" w:rsidRPr="00532388">
        <w:rPr>
          <w:rFonts w:eastAsia="TimesNewRoman"/>
          <w:sz w:val="22"/>
          <w:szCs w:val="22"/>
          <w:lang w:val="lt-LT" w:eastAsia="en-US"/>
        </w:rPr>
        <w:t xml:space="preserve"> </w:t>
      </w:r>
      <w:r w:rsidRPr="00532388">
        <w:rPr>
          <w:rFonts w:eastAsia="TimesNewRoman"/>
          <w:sz w:val="22"/>
          <w:szCs w:val="22"/>
          <w:lang w:val="lt-LT" w:eastAsia="en-US"/>
        </w:rPr>
        <w:t>Veiksmingumo analizė yra pagrįsta 48 savaičių gydymo duomenimis (žr. toliau esančią lentelę).</w:t>
      </w:r>
    </w:p>
    <w:p w14:paraId="0EAEF111" w14:textId="77777777" w:rsidR="0073095E" w:rsidRPr="00532388" w:rsidRDefault="007F304F" w:rsidP="007F304F">
      <w:pPr>
        <w:tabs>
          <w:tab w:val="left" w:pos="720"/>
        </w:tabs>
        <w:autoSpaceDE w:val="0"/>
        <w:autoSpaceDN w:val="0"/>
        <w:adjustRightInd w:val="0"/>
        <w:rPr>
          <w:rFonts w:eastAsia="TimesNewRoman"/>
          <w:sz w:val="22"/>
          <w:szCs w:val="22"/>
          <w:lang w:val="lt-LT" w:eastAsia="en-US"/>
        </w:rPr>
      </w:pPr>
      <w:r w:rsidRPr="00532388">
        <w:rPr>
          <w:rFonts w:eastAsia="TimesNewRoman"/>
          <w:sz w:val="22"/>
          <w:szCs w:val="22"/>
          <w:lang w:val="lt-LT" w:eastAsia="en-US"/>
        </w:rPr>
        <w:t>Abiejose grupėse buvo taikytas optimizuotas pagrindinis gydymo planas (OPP) ≥ 2 NATI.</w:t>
      </w:r>
    </w:p>
    <w:p w14:paraId="6862E2FA" w14:textId="77777777" w:rsidR="007D46AF" w:rsidRPr="00532388" w:rsidRDefault="007D46AF" w:rsidP="0073095E">
      <w:pPr>
        <w:autoSpaceDE w:val="0"/>
        <w:autoSpaceDN w:val="0"/>
        <w:adjustRightInd w:val="0"/>
        <w:rPr>
          <w:i/>
          <w:iCs/>
          <w:sz w:val="22"/>
          <w:szCs w:val="22"/>
          <w:u w:val="single"/>
          <w:lang w:val="lt-LT" w:eastAsia="en-US"/>
        </w:rPr>
      </w:pPr>
    </w:p>
    <w:p w14:paraId="34AA8DCD" w14:textId="77777777" w:rsidR="0073095E" w:rsidRPr="00532388" w:rsidRDefault="0073095E" w:rsidP="0073095E">
      <w:pPr>
        <w:tabs>
          <w:tab w:val="left" w:pos="720"/>
        </w:tabs>
        <w:autoSpaceDE w:val="0"/>
        <w:autoSpaceDN w:val="0"/>
        <w:adjustRightInd w:val="0"/>
        <w:jc w:val="both"/>
        <w:rPr>
          <w:rFonts w:eastAsia="Times New Roman"/>
          <w:sz w:val="22"/>
          <w:szCs w:val="22"/>
          <w:u w:val="single"/>
          <w:lang w:val="lt-LT" w:eastAsia="en-US"/>
        </w:rPr>
      </w:pPr>
    </w:p>
    <w:tbl>
      <w:tblPr>
        <w:tblpPr w:leftFromText="180" w:rightFromText="180" w:vertAnchor="text" w:tblpY="1"/>
        <w:tblOverlap w:val="never"/>
        <w:tblW w:w="9300" w:type="dxa"/>
        <w:tblLayout w:type="fixed"/>
        <w:tblLook w:val="04A0" w:firstRow="1" w:lastRow="0" w:firstColumn="1" w:lastColumn="0" w:noHBand="0" w:noVBand="1"/>
      </w:tblPr>
      <w:tblGrid>
        <w:gridCol w:w="2331"/>
        <w:gridCol w:w="2322"/>
        <w:gridCol w:w="2320"/>
        <w:gridCol w:w="2327"/>
      </w:tblGrid>
      <w:tr w:rsidR="0073095E" w:rsidRPr="00532388" w14:paraId="68780F49" w14:textId="77777777" w:rsidTr="00BB2F25">
        <w:trPr>
          <w:trHeight w:val="255"/>
        </w:trPr>
        <w:tc>
          <w:tcPr>
            <w:tcW w:w="9300" w:type="dxa"/>
            <w:gridSpan w:val="4"/>
            <w:tcBorders>
              <w:top w:val="single" w:sz="6" w:space="0" w:color="000000"/>
              <w:left w:val="single" w:sz="4" w:space="0" w:color="000000"/>
              <w:bottom w:val="single" w:sz="6" w:space="0" w:color="000000"/>
              <w:right w:val="single" w:sz="4" w:space="0" w:color="000000"/>
            </w:tcBorders>
            <w:hideMark/>
          </w:tcPr>
          <w:p w14:paraId="0E0ECA6A" w14:textId="77777777" w:rsidR="0073095E" w:rsidRPr="00532388" w:rsidRDefault="0073095E" w:rsidP="0073095E">
            <w:pPr>
              <w:autoSpaceDE w:val="0"/>
              <w:autoSpaceDN w:val="0"/>
              <w:adjustRightInd w:val="0"/>
              <w:jc w:val="center"/>
              <w:rPr>
                <w:rFonts w:eastAsia="Times New Roman"/>
                <w:sz w:val="20"/>
                <w:lang w:val="lt-LT" w:eastAsia="en-US"/>
              </w:rPr>
            </w:pPr>
            <w:r w:rsidRPr="00532388">
              <w:rPr>
                <w:rFonts w:eastAsia="Times New Roman"/>
                <w:sz w:val="20"/>
                <w:lang w:val="lt-LT" w:eastAsia="en-US"/>
              </w:rPr>
              <w:t>ODIN</w:t>
            </w:r>
          </w:p>
        </w:tc>
      </w:tr>
      <w:tr w:rsidR="0073095E" w:rsidRPr="00532388" w14:paraId="7B595C29" w14:textId="77777777" w:rsidTr="00BB2F25">
        <w:trPr>
          <w:trHeight w:val="930"/>
        </w:trPr>
        <w:tc>
          <w:tcPr>
            <w:tcW w:w="2331" w:type="dxa"/>
            <w:tcBorders>
              <w:top w:val="single" w:sz="6" w:space="0" w:color="000000"/>
              <w:left w:val="single" w:sz="4" w:space="0" w:color="000000"/>
              <w:bottom w:val="single" w:sz="6" w:space="0" w:color="000000"/>
              <w:right w:val="single" w:sz="4" w:space="0" w:color="000000"/>
            </w:tcBorders>
            <w:hideMark/>
          </w:tcPr>
          <w:p w14:paraId="60EF47FF" w14:textId="77777777" w:rsidR="0073095E" w:rsidRPr="00532388" w:rsidRDefault="00CA5B85" w:rsidP="0073095E">
            <w:pPr>
              <w:autoSpaceDE w:val="0"/>
              <w:autoSpaceDN w:val="0"/>
              <w:adjustRightInd w:val="0"/>
              <w:rPr>
                <w:rFonts w:eastAsia="Times New Roman"/>
                <w:sz w:val="20"/>
                <w:lang w:val="lt-LT" w:eastAsia="en-US"/>
              </w:rPr>
            </w:pPr>
            <w:r w:rsidRPr="00532388">
              <w:rPr>
                <w:rFonts w:eastAsia="Times New Roman"/>
                <w:i/>
                <w:iCs/>
                <w:sz w:val="20"/>
                <w:lang w:val="lt-LT" w:eastAsia="en-US"/>
              </w:rPr>
              <w:t xml:space="preserve">Vertinamosios baigtys </w:t>
            </w:r>
            <w:r w:rsidR="0073095E" w:rsidRPr="00532388">
              <w:rPr>
                <w:rFonts w:eastAsia="Times New Roman"/>
                <w:i/>
                <w:iCs/>
                <w:sz w:val="20"/>
                <w:lang w:val="lt-LT" w:eastAsia="en-US"/>
              </w:rPr>
              <w:t xml:space="preserve"> </w:t>
            </w:r>
          </w:p>
        </w:tc>
        <w:tc>
          <w:tcPr>
            <w:tcW w:w="2322" w:type="dxa"/>
            <w:tcBorders>
              <w:top w:val="single" w:sz="6" w:space="0" w:color="000000"/>
              <w:left w:val="single" w:sz="4" w:space="0" w:color="000000"/>
              <w:bottom w:val="single" w:sz="6" w:space="0" w:color="000000"/>
              <w:right w:val="single" w:sz="4" w:space="0" w:color="000000"/>
            </w:tcBorders>
            <w:hideMark/>
          </w:tcPr>
          <w:p w14:paraId="56A9F1BA"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Darunavir</w:t>
            </w:r>
            <w:r w:rsidR="00CA5B85" w:rsidRPr="00532388">
              <w:rPr>
                <w:rFonts w:eastAsia="Times New Roman"/>
                <w:sz w:val="20"/>
                <w:lang w:val="lt-LT" w:eastAsia="en-US"/>
              </w:rPr>
              <w:t>o</w:t>
            </w:r>
            <w:r w:rsidRPr="00532388">
              <w:rPr>
                <w:rFonts w:eastAsia="Times New Roman"/>
                <w:sz w:val="20"/>
                <w:lang w:val="lt-LT" w:eastAsia="en-US"/>
              </w:rPr>
              <w:t>/ritonavir</w:t>
            </w:r>
            <w:r w:rsidR="00CA5B85" w:rsidRPr="00532388">
              <w:rPr>
                <w:rFonts w:eastAsia="Times New Roman"/>
                <w:sz w:val="20"/>
                <w:lang w:val="lt-LT" w:eastAsia="en-US"/>
              </w:rPr>
              <w:t>o</w:t>
            </w:r>
            <w:r w:rsidRPr="00532388">
              <w:rPr>
                <w:rFonts w:eastAsia="Times New Roman"/>
                <w:sz w:val="20"/>
                <w:lang w:val="lt-LT" w:eastAsia="en-US"/>
              </w:rPr>
              <w:t xml:space="preserve"> 800/100</w:t>
            </w:r>
            <w:r w:rsidR="00CA5B85" w:rsidRPr="00532388">
              <w:rPr>
                <w:rFonts w:eastAsia="Times New Roman"/>
                <w:sz w:val="20"/>
                <w:lang w:val="lt-LT" w:eastAsia="en-US"/>
              </w:rPr>
              <w:t> </w:t>
            </w:r>
            <w:r w:rsidRPr="00532388">
              <w:rPr>
                <w:rFonts w:eastAsia="Times New Roman"/>
                <w:sz w:val="20"/>
                <w:lang w:val="lt-LT" w:eastAsia="en-US"/>
              </w:rPr>
              <w:t xml:space="preserve">mg </w:t>
            </w:r>
            <w:r w:rsidR="00CA5B85" w:rsidRPr="00532388">
              <w:rPr>
                <w:rFonts w:eastAsia="Times New Roman"/>
                <w:sz w:val="20"/>
                <w:lang w:val="lt-LT" w:eastAsia="en-US"/>
              </w:rPr>
              <w:t>vieną kartą per parą</w:t>
            </w:r>
            <w:r w:rsidRPr="00532388">
              <w:rPr>
                <w:rFonts w:eastAsia="Times New Roman"/>
                <w:sz w:val="20"/>
                <w:lang w:val="lt-LT" w:eastAsia="en-US"/>
              </w:rPr>
              <w:t xml:space="preserve"> + O</w:t>
            </w:r>
            <w:r w:rsidR="00CA5B85" w:rsidRPr="00532388">
              <w:rPr>
                <w:rFonts w:eastAsia="Times New Roman"/>
                <w:sz w:val="20"/>
                <w:lang w:val="lt-LT" w:eastAsia="en-US"/>
              </w:rPr>
              <w:t>PP</w:t>
            </w:r>
            <w:r w:rsidRPr="00532388">
              <w:rPr>
                <w:rFonts w:eastAsia="Times New Roman"/>
                <w:sz w:val="20"/>
                <w:lang w:val="lt-LT" w:eastAsia="en-US"/>
              </w:rPr>
              <w:t xml:space="preserve"> </w:t>
            </w:r>
          </w:p>
          <w:p w14:paraId="50AB6295"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N=294 </w:t>
            </w:r>
          </w:p>
        </w:tc>
        <w:tc>
          <w:tcPr>
            <w:tcW w:w="2320" w:type="dxa"/>
            <w:tcBorders>
              <w:top w:val="single" w:sz="6" w:space="0" w:color="000000"/>
              <w:left w:val="single" w:sz="4" w:space="0" w:color="000000"/>
              <w:bottom w:val="single" w:sz="6" w:space="0" w:color="000000"/>
              <w:right w:val="single" w:sz="4" w:space="0" w:color="000000"/>
            </w:tcBorders>
            <w:hideMark/>
          </w:tcPr>
          <w:p w14:paraId="59F1CB30" w14:textId="77777777" w:rsidR="00CA5B85" w:rsidRPr="00532388" w:rsidRDefault="0073095E" w:rsidP="00CA5B85">
            <w:pPr>
              <w:autoSpaceDE w:val="0"/>
              <w:autoSpaceDN w:val="0"/>
              <w:adjustRightInd w:val="0"/>
              <w:rPr>
                <w:rFonts w:eastAsia="Times New Roman"/>
                <w:sz w:val="20"/>
                <w:lang w:val="lt-LT" w:eastAsia="en-US"/>
              </w:rPr>
            </w:pPr>
            <w:r w:rsidRPr="00532388">
              <w:rPr>
                <w:rFonts w:eastAsia="Times New Roman"/>
                <w:sz w:val="20"/>
                <w:lang w:val="lt-LT" w:eastAsia="en-US"/>
              </w:rPr>
              <w:t>Darunavir</w:t>
            </w:r>
            <w:r w:rsidR="00CA5B85" w:rsidRPr="00532388">
              <w:rPr>
                <w:rFonts w:eastAsia="Times New Roman"/>
                <w:sz w:val="20"/>
                <w:lang w:val="lt-LT" w:eastAsia="en-US"/>
              </w:rPr>
              <w:t>o</w:t>
            </w:r>
            <w:r w:rsidRPr="00532388">
              <w:rPr>
                <w:rFonts w:eastAsia="Times New Roman"/>
                <w:sz w:val="20"/>
                <w:lang w:val="lt-LT" w:eastAsia="en-US"/>
              </w:rPr>
              <w:t>/ritonavir</w:t>
            </w:r>
            <w:r w:rsidR="00CA5B85" w:rsidRPr="00532388">
              <w:rPr>
                <w:rFonts w:eastAsia="Times New Roman"/>
                <w:sz w:val="20"/>
                <w:lang w:val="lt-LT" w:eastAsia="en-US"/>
              </w:rPr>
              <w:t>o 600/100 </w:t>
            </w:r>
            <w:r w:rsidRPr="00532388">
              <w:rPr>
                <w:rFonts w:eastAsia="Times New Roman"/>
                <w:sz w:val="20"/>
                <w:lang w:val="lt-LT" w:eastAsia="en-US"/>
              </w:rPr>
              <w:t xml:space="preserve">mg </w:t>
            </w:r>
            <w:r w:rsidR="00CA5B85" w:rsidRPr="00532388">
              <w:rPr>
                <w:rFonts w:eastAsia="Times New Roman"/>
                <w:sz w:val="20"/>
                <w:lang w:val="lt-LT" w:eastAsia="en-US"/>
              </w:rPr>
              <w:t>du kartus per parą + OPP</w:t>
            </w:r>
          </w:p>
          <w:p w14:paraId="2C0CE135" w14:textId="77777777" w:rsidR="0073095E" w:rsidRPr="00532388" w:rsidRDefault="0073095E" w:rsidP="00CA5B85">
            <w:pPr>
              <w:autoSpaceDE w:val="0"/>
              <w:autoSpaceDN w:val="0"/>
              <w:adjustRightInd w:val="0"/>
              <w:rPr>
                <w:rFonts w:eastAsia="Times New Roman"/>
                <w:sz w:val="20"/>
                <w:lang w:val="lt-LT" w:eastAsia="en-US"/>
              </w:rPr>
            </w:pPr>
            <w:r w:rsidRPr="00532388">
              <w:rPr>
                <w:rFonts w:eastAsia="Times New Roman"/>
                <w:sz w:val="20"/>
                <w:lang w:val="lt-LT" w:eastAsia="en-US"/>
              </w:rPr>
              <w:t xml:space="preserve">N=296 </w:t>
            </w:r>
          </w:p>
        </w:tc>
        <w:tc>
          <w:tcPr>
            <w:tcW w:w="2327" w:type="dxa"/>
            <w:tcBorders>
              <w:top w:val="single" w:sz="6" w:space="0" w:color="000000"/>
              <w:left w:val="single" w:sz="4" w:space="0" w:color="000000"/>
              <w:bottom w:val="single" w:sz="6" w:space="0" w:color="000000"/>
              <w:right w:val="single" w:sz="4" w:space="0" w:color="000000"/>
            </w:tcBorders>
            <w:hideMark/>
          </w:tcPr>
          <w:p w14:paraId="05286FE5" w14:textId="77777777" w:rsidR="0073095E" w:rsidRPr="00532388" w:rsidRDefault="00CA5B85" w:rsidP="00CA5B85">
            <w:pPr>
              <w:autoSpaceDE w:val="0"/>
              <w:autoSpaceDN w:val="0"/>
              <w:adjustRightInd w:val="0"/>
              <w:rPr>
                <w:rFonts w:eastAsia="Times New Roman"/>
                <w:sz w:val="20"/>
                <w:lang w:val="lt-LT" w:eastAsia="en-US"/>
              </w:rPr>
            </w:pPr>
            <w:r w:rsidRPr="00532388">
              <w:rPr>
                <w:rFonts w:eastAsia="Times New Roman"/>
                <w:sz w:val="20"/>
                <w:lang w:val="lt-LT" w:eastAsia="en-US"/>
              </w:rPr>
              <w:t>Gydymo skirtumas</w:t>
            </w:r>
            <w:r w:rsidR="0073095E" w:rsidRPr="00532388">
              <w:rPr>
                <w:rFonts w:eastAsia="Times New Roman"/>
                <w:sz w:val="20"/>
                <w:lang w:val="lt-LT" w:eastAsia="en-US"/>
              </w:rPr>
              <w:t xml:space="preserve"> (</w:t>
            </w:r>
            <w:r w:rsidRPr="00532388">
              <w:rPr>
                <w:rFonts w:eastAsia="Times New Roman"/>
                <w:sz w:val="20"/>
                <w:lang w:val="lt-LT" w:eastAsia="en-US"/>
              </w:rPr>
              <w:t xml:space="preserve">skirtumo </w:t>
            </w:r>
            <w:r w:rsidR="0073095E" w:rsidRPr="00532388">
              <w:rPr>
                <w:rFonts w:eastAsia="Times New Roman"/>
                <w:sz w:val="20"/>
                <w:lang w:val="lt-LT" w:eastAsia="en-US"/>
              </w:rPr>
              <w:t xml:space="preserve">95% </w:t>
            </w:r>
            <w:r w:rsidRPr="00532388">
              <w:rPr>
                <w:rFonts w:eastAsia="Times New Roman"/>
                <w:sz w:val="20"/>
                <w:lang w:val="lt-LT" w:eastAsia="en-US"/>
              </w:rPr>
              <w:t>P</w:t>
            </w:r>
            <w:r w:rsidR="0073095E" w:rsidRPr="00532388">
              <w:rPr>
                <w:rFonts w:eastAsia="Times New Roman"/>
                <w:sz w:val="20"/>
                <w:lang w:val="lt-LT" w:eastAsia="en-US"/>
              </w:rPr>
              <w:t xml:space="preserve">I) </w:t>
            </w:r>
          </w:p>
        </w:tc>
      </w:tr>
      <w:tr w:rsidR="0073095E" w:rsidRPr="00532388" w14:paraId="04BD3FF4" w14:textId="77777777" w:rsidTr="00BB2F25">
        <w:trPr>
          <w:trHeight w:val="907"/>
        </w:trPr>
        <w:tc>
          <w:tcPr>
            <w:tcW w:w="2331" w:type="dxa"/>
            <w:tcBorders>
              <w:top w:val="single" w:sz="6" w:space="0" w:color="000000"/>
              <w:left w:val="single" w:sz="4" w:space="0" w:color="000000"/>
              <w:bottom w:val="nil"/>
              <w:right w:val="single" w:sz="4" w:space="0" w:color="000000"/>
            </w:tcBorders>
            <w:hideMark/>
          </w:tcPr>
          <w:p w14:paraId="2E318509" w14:textId="77777777" w:rsidR="0073095E" w:rsidRPr="00532388" w:rsidRDefault="00CA5B85"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Ž</w:t>
            </w:r>
            <w:r w:rsidR="0073095E" w:rsidRPr="00532388">
              <w:rPr>
                <w:rFonts w:eastAsia="Times New Roman"/>
                <w:sz w:val="20"/>
                <w:lang w:val="lt-LT" w:eastAsia="en-US"/>
              </w:rPr>
              <w:t>IV-1 RN</w:t>
            </w:r>
            <w:r w:rsidRPr="00532388">
              <w:rPr>
                <w:rFonts w:eastAsia="Times New Roman"/>
                <w:sz w:val="20"/>
                <w:lang w:val="lt-LT" w:eastAsia="en-US"/>
              </w:rPr>
              <w:t>R</w:t>
            </w:r>
            <w:r w:rsidR="0073095E" w:rsidRPr="00532388">
              <w:rPr>
                <w:rFonts w:eastAsia="Times New Roman"/>
                <w:sz w:val="20"/>
                <w:lang w:val="lt-LT" w:eastAsia="en-US"/>
              </w:rPr>
              <w:t xml:space="preserve"> &lt; 50 </w:t>
            </w:r>
            <w:r w:rsidRPr="00532388">
              <w:rPr>
                <w:rFonts w:eastAsia="Times New Roman"/>
                <w:sz w:val="20"/>
                <w:lang w:val="lt-LT" w:eastAsia="en-US"/>
              </w:rPr>
              <w:t>k</w:t>
            </w:r>
            <w:r w:rsidR="0073095E" w:rsidRPr="00532388">
              <w:rPr>
                <w:rFonts w:eastAsia="Times New Roman"/>
                <w:sz w:val="20"/>
                <w:lang w:val="lt-LT" w:eastAsia="en-US"/>
              </w:rPr>
              <w:t>opi</w:t>
            </w:r>
            <w:r w:rsidRPr="00532388">
              <w:rPr>
                <w:rFonts w:eastAsia="Times New Roman"/>
                <w:sz w:val="20"/>
                <w:lang w:val="lt-LT" w:eastAsia="en-US"/>
              </w:rPr>
              <w:t>jų</w:t>
            </w:r>
            <w:r w:rsidR="0073095E" w:rsidRPr="00532388">
              <w:rPr>
                <w:rFonts w:eastAsia="Times New Roman"/>
                <w:sz w:val="20"/>
                <w:lang w:val="lt-LT" w:eastAsia="en-US"/>
              </w:rPr>
              <w:t>/ml</w:t>
            </w:r>
            <w:r w:rsidR="0073095E" w:rsidRPr="00532388">
              <w:rPr>
                <w:rFonts w:eastAsia="Times New Roman"/>
                <w:szCs w:val="13"/>
                <w:vertAlign w:val="superscript"/>
                <w:lang w:val="lt-LT" w:eastAsia="en-US"/>
              </w:rPr>
              <w:t xml:space="preserve">a </w:t>
            </w:r>
          </w:p>
          <w:p w14:paraId="3CC972BA" w14:textId="77777777" w:rsidR="0073095E" w:rsidRPr="00532388" w:rsidRDefault="00CA5B85" w:rsidP="00CA5B85">
            <w:pPr>
              <w:autoSpaceDE w:val="0"/>
              <w:autoSpaceDN w:val="0"/>
              <w:adjustRightInd w:val="0"/>
              <w:ind w:left="284"/>
              <w:rPr>
                <w:rFonts w:eastAsia="Times New Roman"/>
                <w:sz w:val="20"/>
                <w:lang w:val="lt-LT" w:eastAsia="en-US"/>
              </w:rPr>
            </w:pPr>
            <w:r w:rsidRPr="00532388">
              <w:rPr>
                <w:rFonts w:eastAsia="Times New Roman"/>
                <w:sz w:val="20"/>
                <w:lang w:val="lt-LT" w:eastAsia="en-US"/>
              </w:rPr>
              <w:t>Pradinis</w:t>
            </w:r>
            <w:r w:rsidR="0073095E" w:rsidRPr="00532388">
              <w:rPr>
                <w:rFonts w:eastAsia="Times New Roman"/>
                <w:sz w:val="20"/>
                <w:lang w:val="lt-LT" w:eastAsia="en-US"/>
              </w:rPr>
              <w:t xml:space="preserve"> </w:t>
            </w:r>
            <w:r w:rsidRPr="00532388">
              <w:rPr>
                <w:rFonts w:eastAsia="Times New Roman"/>
                <w:sz w:val="20"/>
                <w:lang w:val="lt-LT" w:eastAsia="en-US"/>
              </w:rPr>
              <w:t>Ž</w:t>
            </w:r>
            <w:r w:rsidR="0073095E" w:rsidRPr="00532388">
              <w:rPr>
                <w:rFonts w:eastAsia="Times New Roman"/>
                <w:sz w:val="20"/>
                <w:lang w:val="lt-LT" w:eastAsia="en-US"/>
              </w:rPr>
              <w:t>IV-1 RN</w:t>
            </w:r>
            <w:r w:rsidRPr="00532388">
              <w:rPr>
                <w:rFonts w:eastAsia="Times New Roman"/>
                <w:sz w:val="20"/>
                <w:lang w:val="lt-LT" w:eastAsia="en-US"/>
              </w:rPr>
              <w:t>R (k</w:t>
            </w:r>
            <w:r w:rsidR="0073095E" w:rsidRPr="00532388">
              <w:rPr>
                <w:rFonts w:eastAsia="Times New Roman"/>
                <w:sz w:val="20"/>
                <w:lang w:val="lt-LT" w:eastAsia="en-US"/>
              </w:rPr>
              <w:t>opi</w:t>
            </w:r>
            <w:r w:rsidRPr="00532388">
              <w:rPr>
                <w:rFonts w:eastAsia="Times New Roman"/>
                <w:sz w:val="20"/>
                <w:lang w:val="lt-LT" w:eastAsia="en-US"/>
              </w:rPr>
              <w:t>jų</w:t>
            </w:r>
            <w:r w:rsidR="0073095E" w:rsidRPr="00532388">
              <w:rPr>
                <w:rFonts w:eastAsia="Times New Roman"/>
                <w:sz w:val="20"/>
                <w:lang w:val="lt-LT" w:eastAsia="en-US"/>
              </w:rPr>
              <w:t xml:space="preserve">/ml) </w:t>
            </w:r>
          </w:p>
        </w:tc>
        <w:tc>
          <w:tcPr>
            <w:tcW w:w="2322" w:type="dxa"/>
            <w:tcBorders>
              <w:top w:val="single" w:sz="6" w:space="0" w:color="000000"/>
              <w:left w:val="single" w:sz="4" w:space="0" w:color="000000"/>
              <w:bottom w:val="nil"/>
              <w:right w:val="single" w:sz="4" w:space="0" w:color="000000"/>
            </w:tcBorders>
            <w:hideMark/>
          </w:tcPr>
          <w:p w14:paraId="174315DA" w14:textId="77777777" w:rsidR="0073095E" w:rsidRPr="00532388" w:rsidRDefault="0073095E" w:rsidP="007D46AF">
            <w:pPr>
              <w:autoSpaceDE w:val="0"/>
              <w:autoSpaceDN w:val="0"/>
              <w:adjustRightInd w:val="0"/>
              <w:rPr>
                <w:rFonts w:eastAsia="Times New Roman"/>
                <w:sz w:val="20"/>
                <w:lang w:val="lt-LT" w:eastAsia="en-US"/>
              </w:rPr>
            </w:pPr>
            <w:r w:rsidRPr="00532388">
              <w:rPr>
                <w:rFonts w:eastAsia="Times New Roman"/>
                <w:sz w:val="20"/>
                <w:lang w:val="lt-LT" w:eastAsia="en-US"/>
              </w:rPr>
              <w:t>72</w:t>
            </w:r>
            <w:r w:rsidR="007D46AF" w:rsidRPr="00532388">
              <w:rPr>
                <w:rFonts w:eastAsia="Times New Roman"/>
                <w:sz w:val="20"/>
                <w:lang w:val="lt-LT" w:eastAsia="en-US"/>
              </w:rPr>
              <w:t>,</w:t>
            </w:r>
            <w:r w:rsidRPr="00532388">
              <w:rPr>
                <w:rFonts w:eastAsia="Times New Roman"/>
                <w:sz w:val="20"/>
                <w:lang w:val="lt-LT" w:eastAsia="en-US"/>
              </w:rPr>
              <w:t xml:space="preserve">1% (212) </w:t>
            </w:r>
          </w:p>
        </w:tc>
        <w:tc>
          <w:tcPr>
            <w:tcW w:w="2320" w:type="dxa"/>
            <w:tcBorders>
              <w:top w:val="single" w:sz="6" w:space="0" w:color="000000"/>
              <w:left w:val="single" w:sz="4" w:space="0" w:color="000000"/>
              <w:bottom w:val="nil"/>
              <w:right w:val="single" w:sz="4" w:space="0" w:color="000000"/>
            </w:tcBorders>
            <w:hideMark/>
          </w:tcPr>
          <w:p w14:paraId="03A9FC3A"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70,</w:t>
            </w:r>
            <w:r w:rsidR="0073095E" w:rsidRPr="00532388">
              <w:rPr>
                <w:rFonts w:eastAsia="Times New Roman"/>
                <w:sz w:val="20"/>
                <w:lang w:val="lt-LT" w:eastAsia="en-US"/>
              </w:rPr>
              <w:t xml:space="preserve">9% (210) </w:t>
            </w:r>
          </w:p>
        </w:tc>
        <w:tc>
          <w:tcPr>
            <w:tcW w:w="2327" w:type="dxa"/>
            <w:tcBorders>
              <w:top w:val="single" w:sz="6" w:space="0" w:color="000000"/>
              <w:left w:val="single" w:sz="4" w:space="0" w:color="000000"/>
              <w:bottom w:val="nil"/>
              <w:right w:val="single" w:sz="4" w:space="0" w:color="000000"/>
            </w:tcBorders>
            <w:hideMark/>
          </w:tcPr>
          <w:p w14:paraId="2B3E011B" w14:textId="77777777" w:rsidR="0073095E" w:rsidRPr="00532388" w:rsidRDefault="007D46AF" w:rsidP="007D46AF">
            <w:pPr>
              <w:autoSpaceDE w:val="0"/>
              <w:autoSpaceDN w:val="0"/>
              <w:adjustRightInd w:val="0"/>
              <w:rPr>
                <w:rFonts w:eastAsia="Times New Roman"/>
                <w:sz w:val="20"/>
                <w:lang w:val="lt-LT" w:eastAsia="en-US"/>
              </w:rPr>
            </w:pPr>
            <w:r w:rsidRPr="00532388">
              <w:rPr>
                <w:rFonts w:eastAsia="Times New Roman"/>
                <w:sz w:val="20"/>
                <w:lang w:val="lt-LT" w:eastAsia="en-US"/>
              </w:rPr>
              <w:t>1,</w:t>
            </w:r>
            <w:r w:rsidR="0073095E" w:rsidRPr="00532388">
              <w:rPr>
                <w:rFonts w:eastAsia="Times New Roman"/>
                <w:sz w:val="20"/>
                <w:lang w:val="lt-LT" w:eastAsia="en-US"/>
              </w:rPr>
              <w:t>2% (-6</w:t>
            </w:r>
            <w:r w:rsidRPr="00532388">
              <w:rPr>
                <w:rFonts w:eastAsia="Times New Roman"/>
                <w:sz w:val="20"/>
                <w:lang w:val="lt-LT" w:eastAsia="en-US"/>
              </w:rPr>
              <w:t>,1; 8,</w:t>
            </w:r>
            <w:r w:rsidR="0073095E" w:rsidRPr="00532388">
              <w:rPr>
                <w:rFonts w:eastAsia="Times New Roman"/>
                <w:sz w:val="20"/>
                <w:lang w:val="lt-LT" w:eastAsia="en-US"/>
              </w:rPr>
              <w:t>5</w:t>
            </w:r>
            <w:r w:rsidR="0073095E" w:rsidRPr="00532388">
              <w:rPr>
                <w:rFonts w:eastAsia="Times New Roman"/>
                <w:sz w:val="22"/>
                <w:szCs w:val="22"/>
                <w:lang w:val="lt-LT" w:eastAsia="en-US"/>
              </w:rPr>
              <w:t>)</w:t>
            </w:r>
            <w:r w:rsidR="0073095E" w:rsidRPr="00532388">
              <w:rPr>
                <w:rFonts w:eastAsia="Times New Roman"/>
                <w:sz w:val="22"/>
                <w:szCs w:val="22"/>
                <w:vertAlign w:val="superscript"/>
                <w:lang w:val="lt-LT" w:eastAsia="en-US"/>
              </w:rPr>
              <w:t>b</w:t>
            </w:r>
            <w:r w:rsidR="0073095E" w:rsidRPr="00532388">
              <w:rPr>
                <w:rFonts w:eastAsia="Times New Roman"/>
                <w:sz w:val="18"/>
                <w:szCs w:val="14"/>
                <w:lang w:val="lt-LT" w:eastAsia="en-US"/>
              </w:rPr>
              <w:t xml:space="preserve"> </w:t>
            </w:r>
          </w:p>
        </w:tc>
      </w:tr>
      <w:tr w:rsidR="0073095E" w:rsidRPr="00532388" w14:paraId="703D91F1" w14:textId="77777777" w:rsidTr="00BB2F25">
        <w:trPr>
          <w:trHeight w:val="230"/>
        </w:trPr>
        <w:tc>
          <w:tcPr>
            <w:tcW w:w="2331" w:type="dxa"/>
            <w:tcBorders>
              <w:top w:val="nil"/>
              <w:left w:val="single" w:sz="4" w:space="0" w:color="000000"/>
              <w:bottom w:val="nil"/>
              <w:right w:val="single" w:sz="4" w:space="0" w:color="000000"/>
            </w:tcBorders>
            <w:vAlign w:val="center"/>
            <w:hideMark/>
          </w:tcPr>
          <w:p w14:paraId="6B4B30A1" w14:textId="77777777" w:rsidR="0073095E" w:rsidRPr="00532388" w:rsidRDefault="0073095E" w:rsidP="00CA5B85">
            <w:pPr>
              <w:autoSpaceDE w:val="0"/>
              <w:autoSpaceDN w:val="0"/>
              <w:adjustRightInd w:val="0"/>
              <w:ind w:left="284"/>
              <w:rPr>
                <w:rFonts w:eastAsia="Times New Roman"/>
                <w:sz w:val="20"/>
                <w:lang w:val="lt-LT" w:eastAsia="en-US"/>
              </w:rPr>
            </w:pPr>
            <w:r w:rsidRPr="00532388">
              <w:rPr>
                <w:rFonts w:eastAsia="Times New Roman"/>
                <w:sz w:val="20"/>
                <w:lang w:val="lt-LT" w:eastAsia="en-US"/>
              </w:rPr>
              <w:t>&lt; 100</w:t>
            </w:r>
            <w:r w:rsidR="00CA5B85" w:rsidRPr="00532388">
              <w:rPr>
                <w:rFonts w:eastAsia="Times New Roman"/>
                <w:sz w:val="20"/>
                <w:lang w:val="lt-LT" w:eastAsia="en-US"/>
              </w:rPr>
              <w:t xml:space="preserve"> </w:t>
            </w:r>
            <w:r w:rsidRPr="00532388">
              <w:rPr>
                <w:rFonts w:eastAsia="Times New Roman"/>
                <w:sz w:val="20"/>
                <w:lang w:val="lt-LT" w:eastAsia="en-US"/>
              </w:rPr>
              <w:t xml:space="preserve">000 </w:t>
            </w:r>
          </w:p>
        </w:tc>
        <w:tc>
          <w:tcPr>
            <w:tcW w:w="2322" w:type="dxa"/>
            <w:tcBorders>
              <w:top w:val="nil"/>
              <w:left w:val="single" w:sz="4" w:space="0" w:color="000000"/>
              <w:bottom w:val="nil"/>
              <w:right w:val="single" w:sz="4" w:space="0" w:color="000000"/>
            </w:tcBorders>
            <w:vAlign w:val="center"/>
            <w:hideMark/>
          </w:tcPr>
          <w:p w14:paraId="3E958B25" w14:textId="77777777" w:rsidR="0073095E" w:rsidRPr="00532388" w:rsidRDefault="0073095E" w:rsidP="007D46AF">
            <w:pPr>
              <w:autoSpaceDE w:val="0"/>
              <w:autoSpaceDN w:val="0"/>
              <w:adjustRightInd w:val="0"/>
              <w:rPr>
                <w:rFonts w:eastAsia="Times New Roman"/>
                <w:sz w:val="20"/>
                <w:lang w:val="lt-LT" w:eastAsia="en-US"/>
              </w:rPr>
            </w:pPr>
            <w:r w:rsidRPr="00532388">
              <w:rPr>
                <w:rFonts w:eastAsia="Times New Roman"/>
                <w:sz w:val="20"/>
                <w:lang w:val="lt-LT" w:eastAsia="en-US"/>
              </w:rPr>
              <w:t>77</w:t>
            </w:r>
            <w:r w:rsidR="007D46AF" w:rsidRPr="00532388">
              <w:rPr>
                <w:rFonts w:eastAsia="Times New Roman"/>
                <w:sz w:val="20"/>
                <w:lang w:val="lt-LT" w:eastAsia="en-US"/>
              </w:rPr>
              <w:t>,</w:t>
            </w:r>
            <w:r w:rsidRPr="00532388">
              <w:rPr>
                <w:rFonts w:eastAsia="Times New Roman"/>
                <w:sz w:val="20"/>
                <w:lang w:val="lt-LT" w:eastAsia="en-US"/>
              </w:rPr>
              <w:t xml:space="preserve">6% (198/255) </w:t>
            </w:r>
          </w:p>
        </w:tc>
        <w:tc>
          <w:tcPr>
            <w:tcW w:w="2320" w:type="dxa"/>
            <w:tcBorders>
              <w:top w:val="nil"/>
              <w:left w:val="single" w:sz="4" w:space="0" w:color="000000"/>
              <w:bottom w:val="nil"/>
              <w:right w:val="single" w:sz="4" w:space="0" w:color="000000"/>
            </w:tcBorders>
            <w:vAlign w:val="center"/>
            <w:hideMark/>
          </w:tcPr>
          <w:p w14:paraId="0A07F19F"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73,</w:t>
            </w:r>
            <w:r w:rsidR="0073095E" w:rsidRPr="00532388">
              <w:rPr>
                <w:rFonts w:eastAsia="Times New Roman"/>
                <w:sz w:val="20"/>
                <w:lang w:val="lt-LT" w:eastAsia="en-US"/>
              </w:rPr>
              <w:t xml:space="preserve">2% (194/265) </w:t>
            </w:r>
          </w:p>
        </w:tc>
        <w:tc>
          <w:tcPr>
            <w:tcW w:w="2327" w:type="dxa"/>
            <w:tcBorders>
              <w:top w:val="nil"/>
              <w:left w:val="single" w:sz="4" w:space="0" w:color="000000"/>
              <w:bottom w:val="nil"/>
              <w:right w:val="single" w:sz="4" w:space="0" w:color="000000"/>
            </w:tcBorders>
            <w:vAlign w:val="center"/>
            <w:hideMark/>
          </w:tcPr>
          <w:p w14:paraId="6DCD18CE"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4,4% (-3,0; 11,</w:t>
            </w:r>
            <w:r w:rsidR="0073095E" w:rsidRPr="00532388">
              <w:rPr>
                <w:rFonts w:eastAsia="Times New Roman"/>
                <w:sz w:val="20"/>
                <w:lang w:val="lt-LT" w:eastAsia="en-US"/>
              </w:rPr>
              <w:t xml:space="preserve">9) </w:t>
            </w:r>
          </w:p>
        </w:tc>
      </w:tr>
      <w:tr w:rsidR="0073095E" w:rsidRPr="00532388" w14:paraId="3A44F7FF" w14:textId="77777777" w:rsidTr="00BB2F25">
        <w:trPr>
          <w:trHeight w:val="695"/>
        </w:trPr>
        <w:tc>
          <w:tcPr>
            <w:tcW w:w="2331" w:type="dxa"/>
            <w:tcBorders>
              <w:top w:val="nil"/>
              <w:left w:val="single" w:sz="4" w:space="0" w:color="000000"/>
              <w:bottom w:val="nil"/>
              <w:right w:val="single" w:sz="4" w:space="0" w:color="000000"/>
            </w:tcBorders>
            <w:hideMark/>
          </w:tcPr>
          <w:p w14:paraId="0514B52D" w14:textId="77777777" w:rsidR="0073095E" w:rsidRPr="00532388" w:rsidRDefault="0073095E" w:rsidP="0073095E">
            <w:pPr>
              <w:autoSpaceDE w:val="0"/>
              <w:autoSpaceDN w:val="0"/>
              <w:adjustRightInd w:val="0"/>
              <w:ind w:left="284"/>
              <w:rPr>
                <w:rFonts w:eastAsia="Times New Roman"/>
                <w:sz w:val="20"/>
                <w:lang w:val="lt-LT" w:eastAsia="en-US"/>
              </w:rPr>
            </w:pPr>
            <w:r w:rsidRPr="00532388">
              <w:rPr>
                <w:rFonts w:eastAsia="Times New Roman"/>
                <w:sz w:val="20"/>
                <w:lang w:val="lt-LT" w:eastAsia="en-US"/>
              </w:rPr>
              <w:t>≥ 100</w:t>
            </w:r>
            <w:r w:rsidR="00CA5B85" w:rsidRPr="00532388">
              <w:rPr>
                <w:rFonts w:eastAsia="Times New Roman"/>
                <w:sz w:val="20"/>
                <w:lang w:val="lt-LT" w:eastAsia="en-US"/>
              </w:rPr>
              <w:t xml:space="preserve"> </w:t>
            </w:r>
            <w:r w:rsidRPr="00532388">
              <w:rPr>
                <w:rFonts w:eastAsia="Times New Roman"/>
                <w:sz w:val="20"/>
                <w:lang w:val="lt-LT" w:eastAsia="en-US"/>
              </w:rPr>
              <w:t xml:space="preserve">000 </w:t>
            </w:r>
          </w:p>
          <w:p w14:paraId="0677451C" w14:textId="77777777" w:rsidR="0073095E" w:rsidRPr="00532388" w:rsidRDefault="00CA5B85" w:rsidP="00CA5B85">
            <w:pPr>
              <w:autoSpaceDE w:val="0"/>
              <w:autoSpaceDN w:val="0"/>
              <w:adjustRightInd w:val="0"/>
              <w:ind w:left="284"/>
              <w:rPr>
                <w:rFonts w:eastAsia="Times New Roman"/>
                <w:sz w:val="20"/>
                <w:lang w:val="lt-LT" w:eastAsia="en-US"/>
              </w:rPr>
            </w:pPr>
            <w:r w:rsidRPr="00532388">
              <w:rPr>
                <w:rFonts w:eastAsia="Times New Roman"/>
                <w:sz w:val="20"/>
                <w:lang w:val="lt-LT" w:eastAsia="en-US"/>
              </w:rPr>
              <w:t>Pradinis</w:t>
            </w:r>
            <w:r w:rsidR="0073095E" w:rsidRPr="00532388">
              <w:rPr>
                <w:rFonts w:eastAsia="Times New Roman"/>
                <w:sz w:val="20"/>
                <w:lang w:val="lt-LT" w:eastAsia="en-US"/>
              </w:rPr>
              <w:t xml:space="preserve"> CD4+ </w:t>
            </w:r>
            <w:r w:rsidRPr="00532388">
              <w:rPr>
                <w:rFonts w:eastAsia="Times New Roman"/>
                <w:sz w:val="20"/>
                <w:lang w:val="lt-LT" w:eastAsia="en-US"/>
              </w:rPr>
              <w:t>ląstelių kiekis</w:t>
            </w:r>
            <w:r w:rsidR="0073095E" w:rsidRPr="00532388">
              <w:rPr>
                <w:rFonts w:eastAsia="Times New Roman"/>
                <w:sz w:val="20"/>
                <w:lang w:val="lt-LT" w:eastAsia="en-US"/>
              </w:rPr>
              <w:t xml:space="preserve"> (x 10</w:t>
            </w:r>
            <w:r w:rsidR="0073095E" w:rsidRPr="00532388">
              <w:rPr>
                <w:rFonts w:eastAsia="Times New Roman"/>
                <w:sz w:val="22"/>
                <w:szCs w:val="13"/>
                <w:vertAlign w:val="superscript"/>
                <w:lang w:val="lt-LT" w:eastAsia="en-US"/>
              </w:rPr>
              <w:t>6</w:t>
            </w:r>
            <w:r w:rsidR="0073095E" w:rsidRPr="00532388">
              <w:rPr>
                <w:rFonts w:eastAsia="Times New Roman"/>
                <w:sz w:val="20"/>
                <w:lang w:val="lt-LT" w:eastAsia="en-US"/>
              </w:rPr>
              <w:t xml:space="preserve">/l) </w:t>
            </w:r>
          </w:p>
        </w:tc>
        <w:tc>
          <w:tcPr>
            <w:tcW w:w="2322" w:type="dxa"/>
            <w:tcBorders>
              <w:top w:val="nil"/>
              <w:left w:val="single" w:sz="4" w:space="0" w:color="000000"/>
              <w:bottom w:val="nil"/>
              <w:right w:val="single" w:sz="4" w:space="0" w:color="000000"/>
            </w:tcBorders>
            <w:hideMark/>
          </w:tcPr>
          <w:p w14:paraId="28A2FAC5"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35,</w:t>
            </w:r>
            <w:r w:rsidR="0073095E" w:rsidRPr="00532388">
              <w:rPr>
                <w:rFonts w:eastAsia="Times New Roman"/>
                <w:sz w:val="20"/>
                <w:lang w:val="lt-LT" w:eastAsia="en-US"/>
              </w:rPr>
              <w:t xml:space="preserve">9% (14/39) </w:t>
            </w:r>
          </w:p>
        </w:tc>
        <w:tc>
          <w:tcPr>
            <w:tcW w:w="2320" w:type="dxa"/>
            <w:tcBorders>
              <w:top w:val="nil"/>
              <w:left w:val="single" w:sz="4" w:space="0" w:color="000000"/>
              <w:bottom w:val="nil"/>
              <w:right w:val="single" w:sz="4" w:space="0" w:color="000000"/>
            </w:tcBorders>
            <w:hideMark/>
          </w:tcPr>
          <w:p w14:paraId="0F7B28DE" w14:textId="77777777" w:rsidR="0073095E" w:rsidRPr="00532388" w:rsidRDefault="0073095E" w:rsidP="007D46AF">
            <w:pPr>
              <w:autoSpaceDE w:val="0"/>
              <w:autoSpaceDN w:val="0"/>
              <w:adjustRightInd w:val="0"/>
              <w:rPr>
                <w:rFonts w:eastAsia="Times New Roman"/>
                <w:sz w:val="20"/>
                <w:lang w:val="lt-LT" w:eastAsia="en-US"/>
              </w:rPr>
            </w:pPr>
            <w:r w:rsidRPr="00532388">
              <w:rPr>
                <w:rFonts w:eastAsia="Times New Roman"/>
                <w:sz w:val="20"/>
                <w:lang w:val="lt-LT" w:eastAsia="en-US"/>
              </w:rPr>
              <w:t>51</w:t>
            </w:r>
            <w:r w:rsidR="007D46AF" w:rsidRPr="00532388">
              <w:rPr>
                <w:rFonts w:eastAsia="Times New Roman"/>
                <w:sz w:val="20"/>
                <w:lang w:val="lt-LT" w:eastAsia="en-US"/>
              </w:rPr>
              <w:t>,</w:t>
            </w:r>
            <w:r w:rsidRPr="00532388">
              <w:rPr>
                <w:rFonts w:eastAsia="Times New Roman"/>
                <w:sz w:val="20"/>
                <w:lang w:val="lt-LT" w:eastAsia="en-US"/>
              </w:rPr>
              <w:t xml:space="preserve">6% (16/31) </w:t>
            </w:r>
          </w:p>
        </w:tc>
        <w:tc>
          <w:tcPr>
            <w:tcW w:w="2327" w:type="dxa"/>
            <w:tcBorders>
              <w:top w:val="nil"/>
              <w:left w:val="single" w:sz="4" w:space="0" w:color="000000"/>
              <w:bottom w:val="nil"/>
              <w:right w:val="single" w:sz="4" w:space="0" w:color="000000"/>
            </w:tcBorders>
            <w:hideMark/>
          </w:tcPr>
          <w:p w14:paraId="02DB8333"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-15,7% (-39,2; 7,</w:t>
            </w:r>
            <w:r w:rsidR="0073095E" w:rsidRPr="00532388">
              <w:rPr>
                <w:rFonts w:eastAsia="Times New Roman"/>
                <w:sz w:val="20"/>
                <w:lang w:val="lt-LT" w:eastAsia="en-US"/>
              </w:rPr>
              <w:t xml:space="preserve">7) </w:t>
            </w:r>
          </w:p>
        </w:tc>
      </w:tr>
      <w:tr w:rsidR="0073095E" w:rsidRPr="00532388" w14:paraId="0A45CA52" w14:textId="77777777" w:rsidTr="00BB2F25">
        <w:trPr>
          <w:trHeight w:val="230"/>
        </w:trPr>
        <w:tc>
          <w:tcPr>
            <w:tcW w:w="2331" w:type="dxa"/>
            <w:tcBorders>
              <w:top w:val="nil"/>
              <w:left w:val="single" w:sz="4" w:space="0" w:color="000000"/>
              <w:bottom w:val="nil"/>
              <w:right w:val="single" w:sz="4" w:space="0" w:color="000000"/>
            </w:tcBorders>
            <w:vAlign w:val="center"/>
            <w:hideMark/>
          </w:tcPr>
          <w:p w14:paraId="02EABB86" w14:textId="77777777" w:rsidR="0073095E" w:rsidRPr="00532388" w:rsidRDefault="0073095E" w:rsidP="0073095E">
            <w:pPr>
              <w:autoSpaceDE w:val="0"/>
              <w:autoSpaceDN w:val="0"/>
              <w:adjustRightInd w:val="0"/>
              <w:ind w:left="284"/>
              <w:rPr>
                <w:rFonts w:eastAsia="Times New Roman"/>
                <w:sz w:val="20"/>
                <w:lang w:val="lt-LT" w:eastAsia="en-US"/>
              </w:rPr>
            </w:pPr>
            <w:r w:rsidRPr="00532388">
              <w:rPr>
                <w:rFonts w:eastAsia="Times New Roman"/>
                <w:sz w:val="20"/>
                <w:lang w:val="lt-LT" w:eastAsia="en-US"/>
              </w:rPr>
              <w:t xml:space="preserve">≥ 100 </w:t>
            </w:r>
          </w:p>
        </w:tc>
        <w:tc>
          <w:tcPr>
            <w:tcW w:w="2322" w:type="dxa"/>
            <w:tcBorders>
              <w:top w:val="nil"/>
              <w:left w:val="single" w:sz="4" w:space="0" w:color="000000"/>
              <w:bottom w:val="nil"/>
              <w:right w:val="single" w:sz="4" w:space="0" w:color="000000"/>
            </w:tcBorders>
            <w:vAlign w:val="center"/>
            <w:hideMark/>
          </w:tcPr>
          <w:p w14:paraId="0228AB8C"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75,</w:t>
            </w:r>
            <w:r w:rsidR="0073095E" w:rsidRPr="00532388">
              <w:rPr>
                <w:rFonts w:eastAsia="Times New Roman"/>
                <w:sz w:val="20"/>
                <w:lang w:val="lt-LT" w:eastAsia="en-US"/>
              </w:rPr>
              <w:t xml:space="preserve">1% (184/245) </w:t>
            </w:r>
          </w:p>
        </w:tc>
        <w:tc>
          <w:tcPr>
            <w:tcW w:w="2320" w:type="dxa"/>
            <w:tcBorders>
              <w:top w:val="nil"/>
              <w:left w:val="single" w:sz="4" w:space="0" w:color="000000"/>
              <w:bottom w:val="nil"/>
              <w:right w:val="single" w:sz="4" w:space="0" w:color="000000"/>
            </w:tcBorders>
            <w:vAlign w:val="center"/>
            <w:hideMark/>
          </w:tcPr>
          <w:p w14:paraId="6D49BF40"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72,</w:t>
            </w:r>
            <w:r w:rsidR="0073095E" w:rsidRPr="00532388">
              <w:rPr>
                <w:rFonts w:eastAsia="Times New Roman"/>
                <w:sz w:val="20"/>
                <w:lang w:val="lt-LT" w:eastAsia="en-US"/>
              </w:rPr>
              <w:t xml:space="preserve">5% (187/258) </w:t>
            </w:r>
          </w:p>
        </w:tc>
        <w:tc>
          <w:tcPr>
            <w:tcW w:w="2327" w:type="dxa"/>
            <w:tcBorders>
              <w:top w:val="nil"/>
              <w:left w:val="single" w:sz="4" w:space="0" w:color="000000"/>
              <w:bottom w:val="nil"/>
              <w:right w:val="single" w:sz="4" w:space="0" w:color="000000"/>
            </w:tcBorders>
            <w:vAlign w:val="center"/>
            <w:hideMark/>
          </w:tcPr>
          <w:p w14:paraId="413ADD3A" w14:textId="77777777" w:rsidR="0073095E" w:rsidRPr="00532388" w:rsidRDefault="007D46AF" w:rsidP="007D46AF">
            <w:pPr>
              <w:autoSpaceDE w:val="0"/>
              <w:autoSpaceDN w:val="0"/>
              <w:adjustRightInd w:val="0"/>
              <w:rPr>
                <w:rFonts w:eastAsia="Times New Roman"/>
                <w:sz w:val="20"/>
                <w:lang w:val="lt-LT" w:eastAsia="en-US"/>
              </w:rPr>
            </w:pPr>
            <w:r w:rsidRPr="00532388">
              <w:rPr>
                <w:rFonts w:eastAsia="Times New Roman"/>
                <w:sz w:val="20"/>
                <w:lang w:val="lt-LT" w:eastAsia="en-US"/>
              </w:rPr>
              <w:t>2,6% (-5,</w:t>
            </w:r>
            <w:r w:rsidR="0073095E" w:rsidRPr="00532388">
              <w:rPr>
                <w:rFonts w:eastAsia="Times New Roman"/>
                <w:sz w:val="20"/>
                <w:lang w:val="lt-LT" w:eastAsia="en-US"/>
              </w:rPr>
              <w:t>1; 10</w:t>
            </w:r>
            <w:r w:rsidRPr="00532388">
              <w:rPr>
                <w:rFonts w:eastAsia="Times New Roman"/>
                <w:sz w:val="20"/>
                <w:lang w:val="lt-LT" w:eastAsia="en-US"/>
              </w:rPr>
              <w:t>,</w:t>
            </w:r>
            <w:r w:rsidR="0073095E" w:rsidRPr="00532388">
              <w:rPr>
                <w:rFonts w:eastAsia="Times New Roman"/>
                <w:sz w:val="20"/>
                <w:lang w:val="lt-LT" w:eastAsia="en-US"/>
              </w:rPr>
              <w:t xml:space="preserve">3) </w:t>
            </w:r>
          </w:p>
        </w:tc>
      </w:tr>
      <w:tr w:rsidR="0073095E" w:rsidRPr="00532388" w14:paraId="227EF63B" w14:textId="77777777" w:rsidTr="00BB2F25">
        <w:trPr>
          <w:trHeight w:val="460"/>
        </w:trPr>
        <w:tc>
          <w:tcPr>
            <w:tcW w:w="2331" w:type="dxa"/>
            <w:tcBorders>
              <w:top w:val="nil"/>
              <w:left w:val="single" w:sz="4" w:space="0" w:color="000000"/>
              <w:bottom w:val="nil"/>
              <w:right w:val="single" w:sz="4" w:space="0" w:color="000000"/>
            </w:tcBorders>
            <w:hideMark/>
          </w:tcPr>
          <w:p w14:paraId="326F73DF" w14:textId="77777777" w:rsidR="0073095E" w:rsidRPr="00532388" w:rsidRDefault="0073095E" w:rsidP="0073095E">
            <w:pPr>
              <w:autoSpaceDE w:val="0"/>
              <w:autoSpaceDN w:val="0"/>
              <w:adjustRightInd w:val="0"/>
              <w:ind w:left="284"/>
              <w:rPr>
                <w:rFonts w:eastAsia="Times New Roman"/>
                <w:sz w:val="20"/>
                <w:lang w:val="lt-LT" w:eastAsia="en-US"/>
              </w:rPr>
            </w:pPr>
            <w:r w:rsidRPr="00532388">
              <w:rPr>
                <w:rFonts w:eastAsia="Times New Roman"/>
                <w:sz w:val="20"/>
                <w:lang w:val="lt-LT" w:eastAsia="en-US"/>
              </w:rPr>
              <w:t xml:space="preserve">&lt; 100 </w:t>
            </w:r>
          </w:p>
          <w:p w14:paraId="78BD01CF" w14:textId="77777777" w:rsidR="0073095E" w:rsidRPr="00532388" w:rsidRDefault="00D0418C" w:rsidP="00D0418C">
            <w:pPr>
              <w:autoSpaceDE w:val="0"/>
              <w:autoSpaceDN w:val="0"/>
              <w:adjustRightInd w:val="0"/>
              <w:ind w:left="284"/>
              <w:rPr>
                <w:rFonts w:eastAsia="Times New Roman"/>
                <w:sz w:val="20"/>
                <w:lang w:val="lt-LT" w:eastAsia="en-US"/>
              </w:rPr>
            </w:pPr>
            <w:r w:rsidRPr="00532388">
              <w:rPr>
                <w:rFonts w:eastAsia="Times New Roman"/>
                <w:sz w:val="20"/>
                <w:lang w:val="lt-LT" w:eastAsia="en-US"/>
              </w:rPr>
              <w:t>Pradinis ŽIV-1</w:t>
            </w:r>
            <w:r w:rsidR="0073095E" w:rsidRPr="00532388">
              <w:rPr>
                <w:rFonts w:eastAsia="Times New Roman"/>
                <w:sz w:val="20"/>
                <w:lang w:val="lt-LT" w:eastAsia="en-US"/>
              </w:rPr>
              <w:t xml:space="preserve"> </w:t>
            </w:r>
          </w:p>
        </w:tc>
        <w:tc>
          <w:tcPr>
            <w:tcW w:w="2322" w:type="dxa"/>
            <w:tcBorders>
              <w:top w:val="nil"/>
              <w:left w:val="single" w:sz="4" w:space="0" w:color="000000"/>
              <w:bottom w:val="nil"/>
              <w:right w:val="single" w:sz="4" w:space="0" w:color="000000"/>
            </w:tcBorders>
            <w:hideMark/>
          </w:tcPr>
          <w:p w14:paraId="05FB4D33"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57,</w:t>
            </w:r>
            <w:r w:rsidR="0073095E" w:rsidRPr="00532388">
              <w:rPr>
                <w:rFonts w:eastAsia="Times New Roman"/>
                <w:sz w:val="20"/>
                <w:lang w:val="lt-LT" w:eastAsia="en-US"/>
              </w:rPr>
              <w:t xml:space="preserve">1% (28/49) </w:t>
            </w:r>
          </w:p>
        </w:tc>
        <w:tc>
          <w:tcPr>
            <w:tcW w:w="2320" w:type="dxa"/>
            <w:tcBorders>
              <w:top w:val="nil"/>
              <w:left w:val="single" w:sz="4" w:space="0" w:color="000000"/>
              <w:bottom w:val="nil"/>
              <w:right w:val="single" w:sz="4" w:space="0" w:color="000000"/>
            </w:tcBorders>
            <w:hideMark/>
          </w:tcPr>
          <w:p w14:paraId="14CD5FB1"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60,</w:t>
            </w:r>
            <w:r w:rsidR="0073095E" w:rsidRPr="00532388">
              <w:rPr>
                <w:rFonts w:eastAsia="Times New Roman"/>
                <w:sz w:val="20"/>
                <w:lang w:val="lt-LT" w:eastAsia="en-US"/>
              </w:rPr>
              <w:t xml:space="preserve">5% (23/38) </w:t>
            </w:r>
          </w:p>
        </w:tc>
        <w:tc>
          <w:tcPr>
            <w:tcW w:w="2327" w:type="dxa"/>
            <w:tcBorders>
              <w:top w:val="nil"/>
              <w:left w:val="single" w:sz="4" w:space="0" w:color="000000"/>
              <w:bottom w:val="nil"/>
              <w:right w:val="single" w:sz="4" w:space="0" w:color="000000"/>
            </w:tcBorders>
            <w:hideMark/>
          </w:tcPr>
          <w:p w14:paraId="25DCCBB0"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-3,4% (-24,5; 17,</w:t>
            </w:r>
            <w:r w:rsidR="0073095E" w:rsidRPr="00532388">
              <w:rPr>
                <w:rFonts w:eastAsia="Times New Roman"/>
                <w:sz w:val="20"/>
                <w:lang w:val="lt-LT" w:eastAsia="en-US"/>
              </w:rPr>
              <w:t xml:space="preserve">8) </w:t>
            </w:r>
          </w:p>
        </w:tc>
      </w:tr>
      <w:tr w:rsidR="0073095E" w:rsidRPr="00532388" w14:paraId="7A8E074E" w14:textId="77777777" w:rsidTr="00BB2F25">
        <w:trPr>
          <w:trHeight w:val="227"/>
        </w:trPr>
        <w:tc>
          <w:tcPr>
            <w:tcW w:w="2331" w:type="dxa"/>
            <w:tcBorders>
              <w:top w:val="nil"/>
              <w:left w:val="single" w:sz="4" w:space="0" w:color="000000"/>
              <w:bottom w:val="nil"/>
              <w:right w:val="single" w:sz="4" w:space="0" w:color="000000"/>
            </w:tcBorders>
            <w:vAlign w:val="center"/>
            <w:hideMark/>
          </w:tcPr>
          <w:p w14:paraId="7BB9005C" w14:textId="77777777" w:rsidR="0073095E" w:rsidRPr="00532388" w:rsidRDefault="00D0418C" w:rsidP="00D0418C">
            <w:pPr>
              <w:autoSpaceDE w:val="0"/>
              <w:autoSpaceDN w:val="0"/>
              <w:adjustRightInd w:val="0"/>
              <w:ind w:left="284"/>
              <w:rPr>
                <w:rFonts w:eastAsia="Times New Roman"/>
                <w:sz w:val="20"/>
                <w:lang w:val="lt-LT" w:eastAsia="en-US"/>
              </w:rPr>
            </w:pPr>
            <w:r w:rsidRPr="00532388">
              <w:rPr>
                <w:rFonts w:eastAsia="Times New Roman"/>
                <w:sz w:val="20"/>
                <w:lang w:val="lt-LT" w:eastAsia="en-US"/>
              </w:rPr>
              <w:t>B tipo</w:t>
            </w:r>
            <w:r w:rsidR="0073095E" w:rsidRPr="00532388">
              <w:rPr>
                <w:rFonts w:eastAsia="Times New Roman"/>
                <w:sz w:val="20"/>
                <w:lang w:val="lt-LT" w:eastAsia="en-US"/>
              </w:rPr>
              <w:t xml:space="preserve"> </w:t>
            </w:r>
          </w:p>
        </w:tc>
        <w:tc>
          <w:tcPr>
            <w:tcW w:w="2322" w:type="dxa"/>
            <w:tcBorders>
              <w:top w:val="nil"/>
              <w:left w:val="single" w:sz="4" w:space="0" w:color="000000"/>
              <w:bottom w:val="nil"/>
              <w:right w:val="single" w:sz="4" w:space="0" w:color="000000"/>
            </w:tcBorders>
            <w:vAlign w:val="center"/>
            <w:hideMark/>
          </w:tcPr>
          <w:p w14:paraId="034FBBD7"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70,</w:t>
            </w:r>
            <w:r w:rsidR="0073095E" w:rsidRPr="00532388">
              <w:rPr>
                <w:rFonts w:eastAsia="Times New Roman"/>
                <w:sz w:val="20"/>
                <w:lang w:val="lt-LT" w:eastAsia="en-US"/>
              </w:rPr>
              <w:t xml:space="preserve">4% (126/179) </w:t>
            </w:r>
          </w:p>
        </w:tc>
        <w:tc>
          <w:tcPr>
            <w:tcW w:w="2320" w:type="dxa"/>
            <w:tcBorders>
              <w:top w:val="nil"/>
              <w:left w:val="single" w:sz="4" w:space="0" w:color="000000"/>
              <w:bottom w:val="nil"/>
              <w:right w:val="single" w:sz="4" w:space="0" w:color="000000"/>
            </w:tcBorders>
            <w:vAlign w:val="center"/>
            <w:hideMark/>
          </w:tcPr>
          <w:p w14:paraId="24E5E8AB"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64,</w:t>
            </w:r>
            <w:r w:rsidR="0073095E" w:rsidRPr="00532388">
              <w:rPr>
                <w:rFonts w:eastAsia="Times New Roman"/>
                <w:sz w:val="20"/>
                <w:lang w:val="lt-LT" w:eastAsia="en-US"/>
              </w:rPr>
              <w:t xml:space="preserve">3% (128/199) </w:t>
            </w:r>
          </w:p>
        </w:tc>
        <w:tc>
          <w:tcPr>
            <w:tcW w:w="2327" w:type="dxa"/>
            <w:tcBorders>
              <w:top w:val="nil"/>
              <w:left w:val="single" w:sz="4" w:space="0" w:color="000000"/>
              <w:bottom w:val="nil"/>
              <w:right w:val="single" w:sz="4" w:space="0" w:color="000000"/>
            </w:tcBorders>
            <w:vAlign w:val="center"/>
            <w:hideMark/>
          </w:tcPr>
          <w:p w14:paraId="231BBF7E" w14:textId="77777777" w:rsidR="0073095E" w:rsidRPr="00532388" w:rsidRDefault="0073095E" w:rsidP="007D46AF">
            <w:pPr>
              <w:autoSpaceDE w:val="0"/>
              <w:autoSpaceDN w:val="0"/>
              <w:adjustRightInd w:val="0"/>
              <w:rPr>
                <w:rFonts w:eastAsia="Times New Roman"/>
                <w:sz w:val="20"/>
                <w:lang w:val="lt-LT" w:eastAsia="en-US"/>
              </w:rPr>
            </w:pPr>
            <w:r w:rsidRPr="00532388">
              <w:rPr>
                <w:rFonts w:eastAsia="Times New Roman"/>
                <w:sz w:val="20"/>
                <w:lang w:val="lt-LT" w:eastAsia="en-US"/>
              </w:rPr>
              <w:t>6</w:t>
            </w:r>
            <w:r w:rsidR="007D46AF" w:rsidRPr="00532388">
              <w:rPr>
                <w:rFonts w:eastAsia="Times New Roman"/>
                <w:sz w:val="20"/>
                <w:lang w:val="lt-LT" w:eastAsia="en-US"/>
              </w:rPr>
              <w:t>,1% (-3,4; 15,</w:t>
            </w:r>
            <w:r w:rsidRPr="00532388">
              <w:rPr>
                <w:rFonts w:eastAsia="Times New Roman"/>
                <w:sz w:val="20"/>
                <w:lang w:val="lt-LT" w:eastAsia="en-US"/>
              </w:rPr>
              <w:t xml:space="preserve">6) </w:t>
            </w:r>
          </w:p>
        </w:tc>
      </w:tr>
      <w:tr w:rsidR="0073095E" w:rsidRPr="00532388" w14:paraId="6C366064" w14:textId="77777777" w:rsidTr="00BB2F25">
        <w:trPr>
          <w:trHeight w:val="230"/>
        </w:trPr>
        <w:tc>
          <w:tcPr>
            <w:tcW w:w="2331" w:type="dxa"/>
            <w:tcBorders>
              <w:top w:val="nil"/>
              <w:left w:val="single" w:sz="4" w:space="0" w:color="000000"/>
              <w:bottom w:val="nil"/>
              <w:right w:val="single" w:sz="4" w:space="0" w:color="000000"/>
            </w:tcBorders>
            <w:vAlign w:val="center"/>
            <w:hideMark/>
          </w:tcPr>
          <w:p w14:paraId="35BB46EE" w14:textId="77777777" w:rsidR="0073095E" w:rsidRPr="00532388" w:rsidRDefault="0073095E" w:rsidP="0073095E">
            <w:pPr>
              <w:autoSpaceDE w:val="0"/>
              <w:autoSpaceDN w:val="0"/>
              <w:adjustRightInd w:val="0"/>
              <w:ind w:left="284"/>
              <w:rPr>
                <w:rFonts w:eastAsia="Times New Roman"/>
                <w:sz w:val="20"/>
                <w:lang w:val="lt-LT" w:eastAsia="en-US"/>
              </w:rPr>
            </w:pPr>
            <w:r w:rsidRPr="00532388">
              <w:rPr>
                <w:rFonts w:eastAsia="Times New Roman"/>
                <w:sz w:val="20"/>
                <w:lang w:val="lt-LT" w:eastAsia="en-US"/>
              </w:rPr>
              <w:t xml:space="preserve">AE </w:t>
            </w:r>
            <w:r w:rsidR="00D0418C" w:rsidRPr="00532388">
              <w:rPr>
                <w:rFonts w:eastAsia="Times New Roman"/>
                <w:sz w:val="20"/>
                <w:lang w:val="lt-LT" w:eastAsia="en-US"/>
              </w:rPr>
              <w:t>tipo</w:t>
            </w:r>
          </w:p>
        </w:tc>
        <w:tc>
          <w:tcPr>
            <w:tcW w:w="2322" w:type="dxa"/>
            <w:tcBorders>
              <w:top w:val="nil"/>
              <w:left w:val="single" w:sz="4" w:space="0" w:color="000000"/>
              <w:bottom w:val="nil"/>
              <w:right w:val="single" w:sz="4" w:space="0" w:color="000000"/>
            </w:tcBorders>
            <w:vAlign w:val="center"/>
            <w:hideMark/>
          </w:tcPr>
          <w:p w14:paraId="6C9CDB38"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90,</w:t>
            </w:r>
            <w:r w:rsidR="0073095E" w:rsidRPr="00532388">
              <w:rPr>
                <w:rFonts w:eastAsia="Times New Roman"/>
                <w:sz w:val="20"/>
                <w:lang w:val="lt-LT" w:eastAsia="en-US"/>
              </w:rPr>
              <w:t xml:space="preserve">5% (38/42) </w:t>
            </w:r>
          </w:p>
        </w:tc>
        <w:tc>
          <w:tcPr>
            <w:tcW w:w="2320" w:type="dxa"/>
            <w:tcBorders>
              <w:top w:val="nil"/>
              <w:left w:val="single" w:sz="4" w:space="0" w:color="000000"/>
              <w:bottom w:val="nil"/>
              <w:right w:val="single" w:sz="4" w:space="0" w:color="000000"/>
            </w:tcBorders>
            <w:vAlign w:val="center"/>
            <w:hideMark/>
          </w:tcPr>
          <w:p w14:paraId="5892ED7A"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91,</w:t>
            </w:r>
            <w:r w:rsidR="0073095E" w:rsidRPr="00532388">
              <w:rPr>
                <w:rFonts w:eastAsia="Times New Roman"/>
                <w:sz w:val="20"/>
                <w:lang w:val="lt-LT" w:eastAsia="en-US"/>
              </w:rPr>
              <w:t xml:space="preserve">2% (31/34) </w:t>
            </w:r>
          </w:p>
        </w:tc>
        <w:tc>
          <w:tcPr>
            <w:tcW w:w="2327" w:type="dxa"/>
            <w:tcBorders>
              <w:top w:val="nil"/>
              <w:left w:val="single" w:sz="4" w:space="0" w:color="000000"/>
              <w:bottom w:val="nil"/>
              <w:right w:val="single" w:sz="4" w:space="0" w:color="000000"/>
            </w:tcBorders>
            <w:vAlign w:val="center"/>
            <w:hideMark/>
          </w:tcPr>
          <w:p w14:paraId="17AD3E29"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-0,7% (-14,0; 12,</w:t>
            </w:r>
            <w:r w:rsidR="0073095E" w:rsidRPr="00532388">
              <w:rPr>
                <w:rFonts w:eastAsia="Times New Roman"/>
                <w:sz w:val="20"/>
                <w:lang w:val="lt-LT" w:eastAsia="en-US"/>
              </w:rPr>
              <w:t xml:space="preserve">6) </w:t>
            </w:r>
          </w:p>
        </w:tc>
      </w:tr>
      <w:tr w:rsidR="0073095E" w:rsidRPr="00532388" w14:paraId="50ECDF86" w14:textId="77777777" w:rsidTr="00BB2F25">
        <w:trPr>
          <w:trHeight w:val="227"/>
        </w:trPr>
        <w:tc>
          <w:tcPr>
            <w:tcW w:w="2331" w:type="dxa"/>
            <w:tcBorders>
              <w:top w:val="nil"/>
              <w:left w:val="single" w:sz="4" w:space="0" w:color="000000"/>
              <w:bottom w:val="nil"/>
              <w:right w:val="single" w:sz="4" w:space="0" w:color="000000"/>
            </w:tcBorders>
            <w:vAlign w:val="center"/>
            <w:hideMark/>
          </w:tcPr>
          <w:p w14:paraId="7D1CD0B0" w14:textId="77777777" w:rsidR="0073095E" w:rsidRPr="00532388" w:rsidRDefault="0073095E" w:rsidP="0073095E">
            <w:pPr>
              <w:autoSpaceDE w:val="0"/>
              <w:autoSpaceDN w:val="0"/>
              <w:adjustRightInd w:val="0"/>
              <w:ind w:left="284"/>
              <w:rPr>
                <w:rFonts w:eastAsia="Times New Roman"/>
                <w:sz w:val="20"/>
                <w:lang w:val="lt-LT" w:eastAsia="en-US"/>
              </w:rPr>
            </w:pPr>
            <w:r w:rsidRPr="00532388">
              <w:rPr>
                <w:rFonts w:eastAsia="Times New Roman"/>
                <w:sz w:val="20"/>
                <w:lang w:val="lt-LT" w:eastAsia="en-US"/>
              </w:rPr>
              <w:t xml:space="preserve">C </w:t>
            </w:r>
            <w:r w:rsidR="00D0418C" w:rsidRPr="00532388">
              <w:rPr>
                <w:rFonts w:eastAsia="Times New Roman"/>
                <w:sz w:val="20"/>
                <w:lang w:val="lt-LT" w:eastAsia="en-US"/>
              </w:rPr>
              <w:t>tipo</w:t>
            </w:r>
          </w:p>
        </w:tc>
        <w:tc>
          <w:tcPr>
            <w:tcW w:w="2322" w:type="dxa"/>
            <w:tcBorders>
              <w:top w:val="nil"/>
              <w:left w:val="single" w:sz="4" w:space="0" w:color="000000"/>
              <w:bottom w:val="nil"/>
              <w:right w:val="single" w:sz="4" w:space="0" w:color="000000"/>
            </w:tcBorders>
            <w:vAlign w:val="center"/>
            <w:hideMark/>
          </w:tcPr>
          <w:p w14:paraId="557EF396"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72,</w:t>
            </w:r>
            <w:r w:rsidR="0073095E" w:rsidRPr="00532388">
              <w:rPr>
                <w:rFonts w:eastAsia="Times New Roman"/>
                <w:sz w:val="20"/>
                <w:lang w:val="lt-LT" w:eastAsia="en-US"/>
              </w:rPr>
              <w:t xml:space="preserve">7% (32/44) </w:t>
            </w:r>
          </w:p>
        </w:tc>
        <w:tc>
          <w:tcPr>
            <w:tcW w:w="2320" w:type="dxa"/>
            <w:tcBorders>
              <w:top w:val="nil"/>
              <w:left w:val="single" w:sz="4" w:space="0" w:color="000000"/>
              <w:bottom w:val="nil"/>
              <w:right w:val="single" w:sz="4" w:space="0" w:color="000000"/>
            </w:tcBorders>
            <w:vAlign w:val="center"/>
            <w:hideMark/>
          </w:tcPr>
          <w:p w14:paraId="0253A0E1"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78,</w:t>
            </w:r>
            <w:r w:rsidR="0073095E" w:rsidRPr="00532388">
              <w:rPr>
                <w:rFonts w:eastAsia="Times New Roman"/>
                <w:sz w:val="20"/>
                <w:lang w:val="lt-LT" w:eastAsia="en-US"/>
              </w:rPr>
              <w:t xml:space="preserve">8% (26/33) </w:t>
            </w:r>
          </w:p>
        </w:tc>
        <w:tc>
          <w:tcPr>
            <w:tcW w:w="2327" w:type="dxa"/>
            <w:tcBorders>
              <w:top w:val="nil"/>
              <w:left w:val="single" w:sz="4" w:space="0" w:color="000000"/>
              <w:bottom w:val="nil"/>
              <w:right w:val="single" w:sz="4" w:space="0" w:color="000000"/>
            </w:tcBorders>
            <w:vAlign w:val="center"/>
            <w:hideMark/>
          </w:tcPr>
          <w:p w14:paraId="5D4F93FB"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-6,</w:t>
            </w:r>
            <w:r w:rsidR="0073095E" w:rsidRPr="00532388">
              <w:rPr>
                <w:rFonts w:eastAsia="Times New Roman"/>
                <w:sz w:val="20"/>
                <w:lang w:val="lt-LT" w:eastAsia="en-US"/>
              </w:rPr>
              <w:t>1% (-</w:t>
            </w:r>
            <w:r w:rsidRPr="00532388">
              <w:rPr>
                <w:rFonts w:eastAsia="Times New Roman"/>
                <w:sz w:val="20"/>
                <w:lang w:val="lt-LT" w:eastAsia="en-US"/>
              </w:rPr>
              <w:t>2,6; 13,</w:t>
            </w:r>
            <w:r w:rsidR="0073095E" w:rsidRPr="00532388">
              <w:rPr>
                <w:rFonts w:eastAsia="Times New Roman"/>
                <w:sz w:val="20"/>
                <w:lang w:val="lt-LT" w:eastAsia="en-US"/>
              </w:rPr>
              <w:t xml:space="preserve">7) </w:t>
            </w:r>
          </w:p>
        </w:tc>
      </w:tr>
      <w:tr w:rsidR="0073095E" w:rsidRPr="00532388" w14:paraId="44A568F8" w14:textId="77777777" w:rsidTr="00BB2F25">
        <w:trPr>
          <w:trHeight w:val="257"/>
        </w:trPr>
        <w:tc>
          <w:tcPr>
            <w:tcW w:w="2331" w:type="dxa"/>
            <w:tcBorders>
              <w:top w:val="nil"/>
              <w:left w:val="single" w:sz="4" w:space="0" w:color="000000"/>
              <w:bottom w:val="single" w:sz="6" w:space="0" w:color="000000"/>
              <w:right w:val="single" w:sz="4" w:space="0" w:color="000000"/>
            </w:tcBorders>
            <w:vAlign w:val="center"/>
            <w:hideMark/>
          </w:tcPr>
          <w:p w14:paraId="2A47F245" w14:textId="77777777" w:rsidR="0073095E" w:rsidRPr="00532388" w:rsidRDefault="00D0418C" w:rsidP="00D0418C">
            <w:pPr>
              <w:autoSpaceDE w:val="0"/>
              <w:autoSpaceDN w:val="0"/>
              <w:adjustRightInd w:val="0"/>
              <w:ind w:left="284"/>
              <w:rPr>
                <w:rFonts w:eastAsia="Times New Roman"/>
                <w:sz w:val="13"/>
                <w:szCs w:val="13"/>
                <w:lang w:val="lt-LT" w:eastAsia="en-US"/>
              </w:rPr>
            </w:pPr>
            <w:r w:rsidRPr="00532388">
              <w:rPr>
                <w:rFonts w:eastAsia="Times New Roman"/>
                <w:sz w:val="20"/>
                <w:lang w:val="lt-LT" w:eastAsia="en-US"/>
              </w:rPr>
              <w:t>Kitas</w:t>
            </w:r>
            <w:r w:rsidR="0073095E" w:rsidRPr="00532388">
              <w:rPr>
                <w:rFonts w:eastAsia="Times New Roman"/>
                <w:sz w:val="22"/>
                <w:szCs w:val="13"/>
                <w:vertAlign w:val="superscript"/>
                <w:lang w:val="lt-LT" w:eastAsia="en-US"/>
              </w:rPr>
              <w:t xml:space="preserve">c </w:t>
            </w:r>
          </w:p>
        </w:tc>
        <w:tc>
          <w:tcPr>
            <w:tcW w:w="2322" w:type="dxa"/>
            <w:tcBorders>
              <w:top w:val="nil"/>
              <w:left w:val="single" w:sz="4" w:space="0" w:color="000000"/>
              <w:bottom w:val="single" w:sz="6" w:space="0" w:color="000000"/>
              <w:right w:val="single" w:sz="4" w:space="0" w:color="000000"/>
            </w:tcBorders>
            <w:vAlign w:val="center"/>
            <w:hideMark/>
          </w:tcPr>
          <w:p w14:paraId="25260BB2"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55,</w:t>
            </w:r>
            <w:r w:rsidR="0073095E" w:rsidRPr="00532388">
              <w:rPr>
                <w:rFonts w:eastAsia="Times New Roman"/>
                <w:sz w:val="20"/>
                <w:lang w:val="lt-LT" w:eastAsia="en-US"/>
              </w:rPr>
              <w:t xml:space="preserve">2% (16/29) </w:t>
            </w:r>
          </w:p>
        </w:tc>
        <w:tc>
          <w:tcPr>
            <w:tcW w:w="2320" w:type="dxa"/>
            <w:tcBorders>
              <w:top w:val="nil"/>
              <w:left w:val="single" w:sz="4" w:space="0" w:color="000000"/>
              <w:bottom w:val="single" w:sz="6" w:space="0" w:color="000000"/>
              <w:right w:val="single" w:sz="4" w:space="0" w:color="000000"/>
            </w:tcBorders>
            <w:vAlign w:val="center"/>
            <w:hideMark/>
          </w:tcPr>
          <w:p w14:paraId="3F9B8235"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83,</w:t>
            </w:r>
            <w:r w:rsidR="0073095E" w:rsidRPr="00532388">
              <w:rPr>
                <w:rFonts w:eastAsia="Times New Roman"/>
                <w:sz w:val="20"/>
                <w:lang w:val="lt-LT" w:eastAsia="en-US"/>
              </w:rPr>
              <w:t xml:space="preserve">3% (25/30) </w:t>
            </w:r>
          </w:p>
        </w:tc>
        <w:tc>
          <w:tcPr>
            <w:tcW w:w="2327" w:type="dxa"/>
            <w:tcBorders>
              <w:top w:val="nil"/>
              <w:left w:val="single" w:sz="4" w:space="0" w:color="000000"/>
              <w:bottom w:val="single" w:sz="6" w:space="0" w:color="000000"/>
              <w:right w:val="single" w:sz="4" w:space="0" w:color="000000"/>
            </w:tcBorders>
            <w:vAlign w:val="center"/>
            <w:hideMark/>
          </w:tcPr>
          <w:p w14:paraId="4BDEFD3A" w14:textId="77777777" w:rsidR="0073095E" w:rsidRPr="00532388" w:rsidRDefault="007D46AF" w:rsidP="0073095E">
            <w:pPr>
              <w:autoSpaceDE w:val="0"/>
              <w:autoSpaceDN w:val="0"/>
              <w:adjustRightInd w:val="0"/>
              <w:rPr>
                <w:rFonts w:eastAsia="Times New Roman"/>
                <w:sz w:val="20"/>
                <w:lang w:val="lt-LT" w:eastAsia="en-US"/>
              </w:rPr>
            </w:pPr>
            <w:r w:rsidRPr="00532388">
              <w:rPr>
                <w:rFonts w:eastAsia="Times New Roman"/>
                <w:sz w:val="20"/>
                <w:lang w:val="lt-LT" w:eastAsia="en-US"/>
              </w:rPr>
              <w:t>-28,2% (-51,0; -5,</w:t>
            </w:r>
            <w:r w:rsidR="0073095E" w:rsidRPr="00532388">
              <w:rPr>
                <w:rFonts w:eastAsia="Times New Roman"/>
                <w:sz w:val="20"/>
                <w:lang w:val="lt-LT" w:eastAsia="en-US"/>
              </w:rPr>
              <w:t xml:space="preserve">3) </w:t>
            </w:r>
          </w:p>
        </w:tc>
      </w:tr>
      <w:tr w:rsidR="0073095E" w:rsidRPr="00532388" w14:paraId="7B49F867" w14:textId="77777777" w:rsidTr="00BB2F25">
        <w:trPr>
          <w:trHeight w:val="700"/>
        </w:trPr>
        <w:tc>
          <w:tcPr>
            <w:tcW w:w="2331" w:type="dxa"/>
            <w:tcBorders>
              <w:top w:val="single" w:sz="6" w:space="0" w:color="000000"/>
              <w:left w:val="single" w:sz="4" w:space="0" w:color="000000"/>
              <w:bottom w:val="single" w:sz="6" w:space="0" w:color="000000"/>
              <w:right w:val="single" w:sz="4" w:space="0" w:color="000000"/>
            </w:tcBorders>
            <w:hideMark/>
          </w:tcPr>
          <w:p w14:paraId="18B8D633" w14:textId="77777777" w:rsidR="0073095E" w:rsidRPr="00532388" w:rsidRDefault="00D0418C" w:rsidP="0073095E">
            <w:pPr>
              <w:autoSpaceDE w:val="0"/>
              <w:autoSpaceDN w:val="0"/>
              <w:adjustRightInd w:val="0"/>
              <w:rPr>
                <w:rFonts w:eastAsia="Times New Roman"/>
                <w:sz w:val="20"/>
                <w:lang w:val="lt-LT" w:eastAsia="en-US"/>
              </w:rPr>
            </w:pPr>
            <w:r w:rsidRPr="00532388">
              <w:rPr>
                <w:rFonts w:eastAsia="Times New Roman"/>
                <w:sz w:val="20"/>
                <w:lang w:val="lt-LT" w:eastAsia="en-US"/>
              </w:rPr>
              <w:t>Vidutinis CD4+ l</w:t>
            </w:r>
            <w:r w:rsidR="00BB2F25" w:rsidRPr="00532388">
              <w:rPr>
                <w:rFonts w:eastAsia="Times New Roman"/>
                <w:sz w:val="20"/>
                <w:lang w:val="lt-LT" w:eastAsia="en-US"/>
              </w:rPr>
              <w:t>ą</w:t>
            </w:r>
            <w:r w:rsidRPr="00532388">
              <w:rPr>
                <w:rFonts w:eastAsia="Times New Roman"/>
                <w:sz w:val="20"/>
                <w:lang w:val="lt-LT" w:eastAsia="en-US"/>
              </w:rPr>
              <w:t>steli</w:t>
            </w:r>
            <w:r w:rsidR="00BB2F25" w:rsidRPr="00532388">
              <w:rPr>
                <w:rFonts w:eastAsia="Times New Roman"/>
                <w:sz w:val="20"/>
                <w:lang w:val="lt-LT" w:eastAsia="en-US"/>
              </w:rPr>
              <w:t>ų kiekio pokytis palyginti su pradiniu</w:t>
            </w:r>
          </w:p>
          <w:p w14:paraId="05FE2FC8" w14:textId="77777777" w:rsidR="0073095E" w:rsidRPr="00532388" w:rsidRDefault="0073095E" w:rsidP="0073095E">
            <w:pPr>
              <w:autoSpaceDE w:val="0"/>
              <w:autoSpaceDN w:val="0"/>
              <w:adjustRightInd w:val="0"/>
              <w:rPr>
                <w:rFonts w:eastAsia="Times New Roman"/>
                <w:sz w:val="13"/>
                <w:szCs w:val="13"/>
                <w:lang w:val="lt-LT" w:eastAsia="en-US"/>
              </w:rPr>
            </w:pPr>
            <w:r w:rsidRPr="00532388">
              <w:rPr>
                <w:rFonts w:eastAsia="Times New Roman"/>
                <w:sz w:val="20"/>
                <w:lang w:val="lt-LT" w:eastAsia="en-US"/>
              </w:rPr>
              <w:t>(x 10</w:t>
            </w:r>
            <w:r w:rsidRPr="00532388">
              <w:rPr>
                <w:rFonts w:eastAsia="Times New Roman"/>
                <w:sz w:val="22"/>
                <w:szCs w:val="13"/>
                <w:vertAlign w:val="superscript"/>
                <w:lang w:val="lt-LT" w:eastAsia="en-US"/>
              </w:rPr>
              <w:t>6</w:t>
            </w:r>
            <w:r w:rsidRPr="00532388">
              <w:rPr>
                <w:rFonts w:eastAsia="Times New Roman"/>
                <w:sz w:val="20"/>
                <w:lang w:val="lt-LT" w:eastAsia="en-US"/>
              </w:rPr>
              <w:t>/l)</w:t>
            </w:r>
            <w:r w:rsidRPr="00532388">
              <w:rPr>
                <w:rFonts w:eastAsia="Times New Roman"/>
                <w:sz w:val="22"/>
                <w:szCs w:val="22"/>
                <w:vertAlign w:val="superscript"/>
                <w:lang w:val="lt-LT" w:eastAsia="en-US"/>
              </w:rPr>
              <w:t>e</w:t>
            </w:r>
            <w:r w:rsidRPr="00532388">
              <w:rPr>
                <w:rFonts w:eastAsia="Times New Roman"/>
                <w:sz w:val="13"/>
                <w:szCs w:val="13"/>
                <w:lang w:val="lt-LT" w:eastAsia="en-US"/>
              </w:rPr>
              <w:t xml:space="preserve"> </w:t>
            </w:r>
          </w:p>
        </w:tc>
        <w:tc>
          <w:tcPr>
            <w:tcW w:w="2322" w:type="dxa"/>
            <w:tcBorders>
              <w:top w:val="single" w:sz="6" w:space="0" w:color="000000"/>
              <w:left w:val="single" w:sz="4" w:space="0" w:color="000000"/>
              <w:bottom w:val="single" w:sz="6" w:space="0" w:color="000000"/>
              <w:right w:val="single" w:sz="4" w:space="0" w:color="000000"/>
            </w:tcBorders>
            <w:hideMark/>
          </w:tcPr>
          <w:p w14:paraId="037BC98D" w14:textId="77777777" w:rsidR="00BB2F25" w:rsidRPr="00532388" w:rsidRDefault="00BB2F25" w:rsidP="0073095E">
            <w:pPr>
              <w:autoSpaceDE w:val="0"/>
              <w:autoSpaceDN w:val="0"/>
              <w:adjustRightInd w:val="0"/>
              <w:rPr>
                <w:rFonts w:eastAsia="Times New Roman"/>
                <w:sz w:val="20"/>
                <w:lang w:val="lt-LT" w:eastAsia="en-US"/>
              </w:rPr>
            </w:pPr>
          </w:p>
          <w:p w14:paraId="3EEFDB0C" w14:textId="77777777" w:rsidR="00BB2F25" w:rsidRPr="00532388" w:rsidRDefault="00BB2F25" w:rsidP="0073095E">
            <w:pPr>
              <w:autoSpaceDE w:val="0"/>
              <w:autoSpaceDN w:val="0"/>
              <w:adjustRightInd w:val="0"/>
              <w:rPr>
                <w:rFonts w:eastAsia="Times New Roman"/>
                <w:sz w:val="20"/>
                <w:lang w:val="lt-LT" w:eastAsia="en-US"/>
              </w:rPr>
            </w:pPr>
          </w:p>
          <w:p w14:paraId="12B33760" w14:textId="77777777" w:rsidR="00BB2F25" w:rsidRPr="00532388" w:rsidRDefault="00BB2F25" w:rsidP="0073095E">
            <w:pPr>
              <w:autoSpaceDE w:val="0"/>
              <w:autoSpaceDN w:val="0"/>
              <w:adjustRightInd w:val="0"/>
              <w:rPr>
                <w:rFonts w:eastAsia="Times New Roman"/>
                <w:sz w:val="20"/>
                <w:lang w:val="lt-LT" w:eastAsia="en-US"/>
              </w:rPr>
            </w:pPr>
          </w:p>
          <w:p w14:paraId="00601374"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108 </w:t>
            </w:r>
          </w:p>
        </w:tc>
        <w:tc>
          <w:tcPr>
            <w:tcW w:w="2320" w:type="dxa"/>
            <w:tcBorders>
              <w:top w:val="single" w:sz="6" w:space="0" w:color="000000"/>
              <w:left w:val="single" w:sz="4" w:space="0" w:color="000000"/>
              <w:bottom w:val="single" w:sz="6" w:space="0" w:color="000000"/>
              <w:right w:val="single" w:sz="4" w:space="0" w:color="000000"/>
            </w:tcBorders>
            <w:hideMark/>
          </w:tcPr>
          <w:p w14:paraId="00D6F7C0" w14:textId="77777777" w:rsidR="00BB2F25" w:rsidRPr="00532388" w:rsidRDefault="00BB2F25" w:rsidP="0073095E">
            <w:pPr>
              <w:autoSpaceDE w:val="0"/>
              <w:autoSpaceDN w:val="0"/>
              <w:adjustRightInd w:val="0"/>
              <w:rPr>
                <w:rFonts w:eastAsia="Times New Roman"/>
                <w:sz w:val="20"/>
                <w:lang w:val="lt-LT" w:eastAsia="en-US"/>
              </w:rPr>
            </w:pPr>
          </w:p>
          <w:p w14:paraId="51EB337A" w14:textId="77777777" w:rsidR="00BB2F25" w:rsidRPr="00532388" w:rsidRDefault="00BB2F25" w:rsidP="0073095E">
            <w:pPr>
              <w:autoSpaceDE w:val="0"/>
              <w:autoSpaceDN w:val="0"/>
              <w:adjustRightInd w:val="0"/>
              <w:rPr>
                <w:rFonts w:eastAsia="Times New Roman"/>
                <w:sz w:val="20"/>
                <w:lang w:val="lt-LT" w:eastAsia="en-US"/>
              </w:rPr>
            </w:pPr>
          </w:p>
          <w:p w14:paraId="4722B669" w14:textId="77777777" w:rsidR="00BB2F25" w:rsidRPr="00532388" w:rsidRDefault="00BB2F25" w:rsidP="0073095E">
            <w:pPr>
              <w:autoSpaceDE w:val="0"/>
              <w:autoSpaceDN w:val="0"/>
              <w:adjustRightInd w:val="0"/>
              <w:rPr>
                <w:rFonts w:eastAsia="Times New Roman"/>
                <w:sz w:val="20"/>
                <w:lang w:val="lt-LT" w:eastAsia="en-US"/>
              </w:rPr>
            </w:pPr>
          </w:p>
          <w:p w14:paraId="19BCA633"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 xml:space="preserve">112 </w:t>
            </w:r>
          </w:p>
        </w:tc>
        <w:tc>
          <w:tcPr>
            <w:tcW w:w="2327" w:type="dxa"/>
            <w:tcBorders>
              <w:top w:val="single" w:sz="6" w:space="0" w:color="000000"/>
              <w:left w:val="single" w:sz="4" w:space="0" w:color="000000"/>
              <w:bottom w:val="single" w:sz="6" w:space="0" w:color="000000"/>
              <w:right w:val="single" w:sz="4" w:space="0" w:color="000000"/>
            </w:tcBorders>
            <w:hideMark/>
          </w:tcPr>
          <w:p w14:paraId="7540B403" w14:textId="77777777" w:rsidR="00BB2F25" w:rsidRPr="00532388" w:rsidRDefault="00BB2F25" w:rsidP="0073095E">
            <w:pPr>
              <w:autoSpaceDE w:val="0"/>
              <w:autoSpaceDN w:val="0"/>
              <w:adjustRightInd w:val="0"/>
              <w:rPr>
                <w:rFonts w:eastAsia="Times New Roman"/>
                <w:sz w:val="20"/>
                <w:lang w:val="lt-LT" w:eastAsia="en-US"/>
              </w:rPr>
            </w:pPr>
          </w:p>
          <w:p w14:paraId="4E46CDDA" w14:textId="77777777" w:rsidR="00BB2F25" w:rsidRPr="00532388" w:rsidRDefault="00BB2F25" w:rsidP="0073095E">
            <w:pPr>
              <w:autoSpaceDE w:val="0"/>
              <w:autoSpaceDN w:val="0"/>
              <w:adjustRightInd w:val="0"/>
              <w:rPr>
                <w:rFonts w:eastAsia="Times New Roman"/>
                <w:sz w:val="20"/>
                <w:lang w:val="lt-LT" w:eastAsia="en-US"/>
              </w:rPr>
            </w:pPr>
          </w:p>
          <w:p w14:paraId="0D53FA4B" w14:textId="77777777" w:rsidR="00BB2F25" w:rsidRPr="00532388" w:rsidRDefault="00BB2F25" w:rsidP="0073095E">
            <w:pPr>
              <w:autoSpaceDE w:val="0"/>
              <w:autoSpaceDN w:val="0"/>
              <w:adjustRightInd w:val="0"/>
              <w:rPr>
                <w:rFonts w:eastAsia="Times New Roman"/>
                <w:sz w:val="20"/>
                <w:lang w:val="lt-LT" w:eastAsia="en-US"/>
              </w:rPr>
            </w:pPr>
          </w:p>
          <w:p w14:paraId="69B5B768" w14:textId="77777777" w:rsidR="0073095E" w:rsidRPr="00532388" w:rsidRDefault="0073095E" w:rsidP="0073095E">
            <w:pPr>
              <w:autoSpaceDE w:val="0"/>
              <w:autoSpaceDN w:val="0"/>
              <w:adjustRightInd w:val="0"/>
              <w:rPr>
                <w:rFonts w:eastAsia="Times New Roman"/>
                <w:sz w:val="20"/>
                <w:lang w:val="lt-LT" w:eastAsia="en-US"/>
              </w:rPr>
            </w:pPr>
            <w:r w:rsidRPr="00532388">
              <w:rPr>
                <w:rFonts w:eastAsia="Times New Roman"/>
                <w:sz w:val="20"/>
                <w:lang w:val="lt-LT" w:eastAsia="en-US"/>
              </w:rPr>
              <w:t>-5</w:t>
            </w:r>
            <w:r w:rsidRPr="00532388">
              <w:rPr>
                <w:rFonts w:eastAsia="Times New Roman"/>
                <w:sz w:val="22"/>
                <w:szCs w:val="13"/>
                <w:vertAlign w:val="superscript"/>
                <w:lang w:val="lt-LT" w:eastAsia="en-US"/>
              </w:rPr>
              <w:t>d</w:t>
            </w:r>
            <w:r w:rsidRPr="00532388">
              <w:rPr>
                <w:rFonts w:eastAsia="Times New Roman"/>
                <w:sz w:val="13"/>
                <w:szCs w:val="13"/>
                <w:lang w:val="lt-LT" w:eastAsia="en-US"/>
              </w:rPr>
              <w:t xml:space="preserve"> </w:t>
            </w:r>
            <w:r w:rsidRPr="00532388">
              <w:rPr>
                <w:rFonts w:eastAsia="Times New Roman"/>
                <w:sz w:val="20"/>
                <w:lang w:val="lt-LT" w:eastAsia="en-US"/>
              </w:rPr>
              <w:t xml:space="preserve">(-25; 16) </w:t>
            </w:r>
          </w:p>
        </w:tc>
      </w:tr>
    </w:tbl>
    <w:p w14:paraId="5FCB8FA3" w14:textId="77777777" w:rsidR="00BB2F25" w:rsidRPr="00532388" w:rsidRDefault="00BB2F25" w:rsidP="00BB2F25">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a</w:t>
      </w:r>
      <w:r w:rsidRPr="00532388">
        <w:rPr>
          <w:rFonts w:eastAsia="TimesNewRoman"/>
          <w:sz w:val="18"/>
          <w:szCs w:val="18"/>
          <w:lang w:val="lt-LT" w:eastAsia="en-US"/>
        </w:rPr>
        <w:t xml:space="preserve">Vertinimas pagal </w:t>
      </w:r>
      <w:r w:rsidRPr="00532388">
        <w:rPr>
          <w:rFonts w:eastAsia="TimesNewRoman"/>
          <w:i/>
          <w:iCs/>
          <w:sz w:val="18"/>
          <w:szCs w:val="18"/>
          <w:lang w:val="lt-LT" w:eastAsia="en-US"/>
        </w:rPr>
        <w:t xml:space="preserve">TLOVR </w:t>
      </w:r>
      <w:r w:rsidRPr="00532388">
        <w:rPr>
          <w:rFonts w:eastAsia="TimesNewRoman"/>
          <w:sz w:val="18"/>
          <w:szCs w:val="18"/>
          <w:lang w:val="lt-LT" w:eastAsia="en-US"/>
        </w:rPr>
        <w:t>algoritmą.</w:t>
      </w:r>
    </w:p>
    <w:p w14:paraId="1F5242BF" w14:textId="77777777" w:rsidR="00BB2F25" w:rsidRPr="00532388" w:rsidRDefault="00BB2F25" w:rsidP="00BB2F25">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b</w:t>
      </w:r>
      <w:r w:rsidRPr="00532388">
        <w:rPr>
          <w:rFonts w:eastAsia="TimesNewRoman"/>
          <w:sz w:val="18"/>
          <w:szCs w:val="18"/>
          <w:lang w:val="lt-LT" w:eastAsia="en-US"/>
        </w:rPr>
        <w:t>Remiantis atsako % normaliu apytiksliu skirtumu.</w:t>
      </w:r>
    </w:p>
    <w:p w14:paraId="31D76DC2" w14:textId="77777777" w:rsidR="00BB2F25" w:rsidRPr="00532388" w:rsidRDefault="00BB2F25" w:rsidP="00BB2F25">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c</w:t>
      </w:r>
      <w:r w:rsidRPr="00532388">
        <w:rPr>
          <w:rFonts w:eastAsia="TimesNewRoman"/>
          <w:sz w:val="18"/>
          <w:szCs w:val="18"/>
          <w:lang w:val="lt-LT" w:eastAsia="en-US"/>
        </w:rPr>
        <w:t>A1, D, F1, G, K, CRF02_AG, CRF12_BF ir CRF06_CPX.</w:t>
      </w:r>
    </w:p>
    <w:p w14:paraId="309A732F" w14:textId="77777777" w:rsidR="00BB2F25" w:rsidRPr="00532388" w:rsidRDefault="00BB2F25" w:rsidP="00BB2F25">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d</w:t>
      </w:r>
      <w:r w:rsidRPr="00532388">
        <w:rPr>
          <w:rFonts w:eastAsia="TimesNewRoman"/>
          <w:sz w:val="18"/>
          <w:szCs w:val="18"/>
          <w:lang w:val="lt-LT" w:eastAsia="en-US"/>
        </w:rPr>
        <w:t>Vidurkio skirtumas.</w:t>
      </w:r>
    </w:p>
    <w:p w14:paraId="3041A565" w14:textId="77777777" w:rsidR="0073095E" w:rsidRPr="00532388" w:rsidRDefault="00BB2F25" w:rsidP="00BB2F25">
      <w:pPr>
        <w:tabs>
          <w:tab w:val="left" w:pos="567"/>
        </w:tabs>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e</w:t>
      </w:r>
      <w:r w:rsidRPr="00532388">
        <w:rPr>
          <w:rFonts w:eastAsia="TimesNewRoman"/>
          <w:sz w:val="14"/>
          <w:szCs w:val="14"/>
          <w:vertAlign w:val="superscript"/>
          <w:lang w:val="lt-LT" w:eastAsia="en-US"/>
        </w:rPr>
        <w:t xml:space="preserve"> </w:t>
      </w:r>
      <w:r w:rsidRPr="00532388">
        <w:rPr>
          <w:rFonts w:eastAsia="TimesNewRoman"/>
          <w:sz w:val="18"/>
          <w:szCs w:val="18"/>
          <w:lang w:val="lt-LT" w:eastAsia="en-US"/>
        </w:rPr>
        <w:t>Paskutiniojo stebėjimo perkelto į ateitį vertinimas.</w:t>
      </w:r>
    </w:p>
    <w:p w14:paraId="6172ECEE" w14:textId="77777777" w:rsidR="00BB2F25" w:rsidRPr="00532388" w:rsidRDefault="00BB2F25" w:rsidP="00BB2F25">
      <w:pPr>
        <w:tabs>
          <w:tab w:val="left" w:pos="567"/>
        </w:tabs>
        <w:autoSpaceDE w:val="0"/>
        <w:autoSpaceDN w:val="0"/>
        <w:adjustRightInd w:val="0"/>
        <w:rPr>
          <w:rFonts w:eastAsia="TimesNewRoman"/>
          <w:sz w:val="18"/>
          <w:szCs w:val="18"/>
          <w:lang w:val="lt-LT" w:eastAsia="en-US"/>
        </w:rPr>
      </w:pPr>
    </w:p>
    <w:p w14:paraId="10F84D1E" w14:textId="77777777" w:rsidR="00BB2F25" w:rsidRPr="00532388" w:rsidRDefault="00BB2F25" w:rsidP="00BB2F25">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Virusologinis atsakas 48-tą savaitę, apibūdinamas pacientų, kurių plazmoje ŽIV-1 RNR koncentracija buvo &lt; 50 kopijų/ml, procentine dalimi vartojant 800/100 mg </w:t>
      </w:r>
      <w:r w:rsidRPr="00532388">
        <w:rPr>
          <w:rFonts w:eastAsia="TimesNewRoman"/>
          <w:sz w:val="22"/>
          <w:szCs w:val="22"/>
          <w:lang w:val="lt-LT" w:eastAsia="en-US"/>
        </w:rPr>
        <w:lastRenderedPageBreak/>
        <w:t>darunaviro /ritonaviro vieną kartą per parą buvo neprastesnis (pagal prieš tyrimą numatytą 12 % neprastesnio atsako ribą), palyginti su 600/100 mg darunaviro /ritonaviro du kartus per parą numatytų gydyti ir OP grupėse.</w:t>
      </w:r>
    </w:p>
    <w:p w14:paraId="20B32588" w14:textId="77777777" w:rsidR="00BB2F25" w:rsidRPr="00532388" w:rsidRDefault="00BB2F25" w:rsidP="00BB2F25">
      <w:pPr>
        <w:autoSpaceDE w:val="0"/>
        <w:autoSpaceDN w:val="0"/>
        <w:adjustRightInd w:val="0"/>
        <w:rPr>
          <w:rFonts w:eastAsia="TimesNewRoman"/>
          <w:sz w:val="22"/>
          <w:szCs w:val="22"/>
          <w:lang w:val="lt-LT" w:eastAsia="en-US"/>
        </w:rPr>
      </w:pPr>
    </w:p>
    <w:p w14:paraId="13B39DA3" w14:textId="77777777" w:rsidR="00BB2F25" w:rsidRPr="00532388" w:rsidRDefault="00BB2F25" w:rsidP="00BB2F25">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Pacientams, kuriems buvo taikytas ARG, gydymas 800/100 mg darunaviro /ritonaviro vieną kartą per parą neturi būti taikomas, jeigu buvo nustatyta viena arba daugiau su atsparumu darunavirui susijusių </w:t>
      </w:r>
      <w:r w:rsidR="004635B8">
        <w:rPr>
          <w:rFonts w:eastAsia="TimesNewRoman"/>
          <w:sz w:val="22"/>
          <w:szCs w:val="22"/>
          <w:lang w:val="lt-LT" w:eastAsia="en-US"/>
        </w:rPr>
        <w:t>m</w:t>
      </w:r>
      <w:r w:rsidRPr="00532388">
        <w:rPr>
          <w:rFonts w:eastAsia="TimesNewRoman"/>
          <w:sz w:val="22"/>
          <w:szCs w:val="22"/>
          <w:lang w:val="lt-LT" w:eastAsia="en-US"/>
        </w:rPr>
        <w:t>utacijų (DRV-ASM) arba ŽIV-1 RNR kiekis yra ≥ 100 000 kopijų/ml, arba CD4+ ląstelių kiekis yra &lt; 100 ląstelių x 10</w:t>
      </w:r>
      <w:r w:rsidRPr="00532388">
        <w:rPr>
          <w:rFonts w:eastAsia="TimesNewRoman"/>
          <w:sz w:val="22"/>
          <w:szCs w:val="22"/>
          <w:vertAlign w:val="superscript"/>
          <w:lang w:val="lt-LT" w:eastAsia="en-US"/>
        </w:rPr>
        <w:t>6</w:t>
      </w:r>
      <w:r w:rsidRPr="00532388">
        <w:rPr>
          <w:rFonts w:eastAsia="TimesNewRoman"/>
          <w:sz w:val="22"/>
          <w:szCs w:val="22"/>
          <w:lang w:val="lt-LT" w:eastAsia="en-US"/>
        </w:rPr>
        <w:t>/l (žr. 4.2 ir 4.4 skyrius). Duomenys apie pacientus, infekuotus kitokiais nei B tipo ŽIV-1, yra riboti.</w:t>
      </w:r>
    </w:p>
    <w:p w14:paraId="6CB337C6" w14:textId="77777777" w:rsidR="00090990" w:rsidRPr="00532388" w:rsidRDefault="00090990" w:rsidP="00BB2F25">
      <w:pPr>
        <w:autoSpaceDE w:val="0"/>
        <w:autoSpaceDN w:val="0"/>
        <w:adjustRightInd w:val="0"/>
        <w:rPr>
          <w:rFonts w:eastAsia="TimesNewRoman"/>
          <w:sz w:val="22"/>
          <w:szCs w:val="22"/>
          <w:lang w:val="lt-LT" w:eastAsia="en-US"/>
        </w:rPr>
      </w:pPr>
    </w:p>
    <w:p w14:paraId="326FA4A9" w14:textId="77777777" w:rsidR="00090990" w:rsidRPr="00532388" w:rsidRDefault="00090990" w:rsidP="00090990">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Vaikų populiacija</w:t>
      </w:r>
    </w:p>
    <w:p w14:paraId="000CB972" w14:textId="77777777" w:rsidR="00090990" w:rsidRPr="00532388" w:rsidRDefault="00090990" w:rsidP="00090990">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Vaikų populiacijos pacientai, kuriems ARG netaikytas</w:t>
      </w:r>
      <w:r w:rsidR="00FF626E" w:rsidRPr="00532388">
        <w:rPr>
          <w:rFonts w:eastAsia="TimesNewRoman"/>
          <w:i/>
          <w:iCs/>
          <w:sz w:val="22"/>
          <w:szCs w:val="22"/>
          <w:lang w:val="lt-LT" w:eastAsia="en-US"/>
        </w:rPr>
        <w:t xml:space="preserve"> </w:t>
      </w:r>
      <w:r w:rsidRPr="00532388">
        <w:rPr>
          <w:rFonts w:eastAsia="TimesNewRoman"/>
          <w:i/>
          <w:iCs/>
          <w:sz w:val="22"/>
          <w:szCs w:val="22"/>
          <w:lang w:val="lt-LT" w:eastAsia="en-US"/>
        </w:rPr>
        <w:t>(nuo 12 iki &lt; 18 metų, kurie sveria ne mažiau</w:t>
      </w:r>
      <w:r w:rsidR="00FF626E" w:rsidRPr="00532388">
        <w:rPr>
          <w:rFonts w:eastAsia="TimesNewRoman"/>
          <w:i/>
          <w:iCs/>
          <w:sz w:val="22"/>
          <w:szCs w:val="22"/>
          <w:lang w:val="lt-LT" w:eastAsia="en-US"/>
        </w:rPr>
        <w:t xml:space="preserve"> </w:t>
      </w:r>
      <w:r w:rsidRPr="00532388">
        <w:rPr>
          <w:rFonts w:eastAsia="TimesNewRoman"/>
          <w:i/>
          <w:iCs/>
          <w:sz w:val="22"/>
          <w:szCs w:val="22"/>
          <w:lang w:val="lt-LT" w:eastAsia="en-US"/>
        </w:rPr>
        <w:t>kaip 40 kilogramų)</w:t>
      </w:r>
    </w:p>
    <w:p w14:paraId="0332F9EC" w14:textId="77777777" w:rsidR="00FF626E" w:rsidRPr="00532388" w:rsidRDefault="00FF626E" w:rsidP="00090990">
      <w:pPr>
        <w:autoSpaceDE w:val="0"/>
        <w:autoSpaceDN w:val="0"/>
        <w:adjustRightInd w:val="0"/>
        <w:rPr>
          <w:rFonts w:eastAsia="TimesNewRoman"/>
          <w:b/>
          <w:bCs/>
          <w:i/>
          <w:iCs/>
          <w:sz w:val="22"/>
          <w:szCs w:val="22"/>
          <w:lang w:val="lt-LT" w:eastAsia="en-US"/>
        </w:rPr>
      </w:pPr>
    </w:p>
    <w:p w14:paraId="55AA8C5B" w14:textId="77777777" w:rsidR="00090990" w:rsidRPr="00532388" w:rsidRDefault="00090990" w:rsidP="00090990">
      <w:pPr>
        <w:autoSpaceDE w:val="0"/>
        <w:autoSpaceDN w:val="0"/>
        <w:adjustRightInd w:val="0"/>
        <w:rPr>
          <w:rFonts w:eastAsia="TimesNewRoman"/>
          <w:sz w:val="22"/>
          <w:szCs w:val="22"/>
          <w:lang w:val="lt-LT" w:eastAsia="en-US"/>
        </w:rPr>
      </w:pPr>
      <w:r w:rsidRPr="00532388">
        <w:rPr>
          <w:rFonts w:eastAsia="TimesNewRoman"/>
          <w:b/>
          <w:bCs/>
          <w:i/>
          <w:iCs/>
          <w:sz w:val="22"/>
          <w:szCs w:val="22"/>
          <w:lang w:val="lt-LT" w:eastAsia="en-US"/>
        </w:rPr>
        <w:t xml:space="preserve">DIONE </w:t>
      </w:r>
      <w:r w:rsidRPr="00532388">
        <w:rPr>
          <w:rFonts w:eastAsia="TimesNewRoman"/>
          <w:sz w:val="22"/>
          <w:szCs w:val="22"/>
          <w:lang w:val="lt-LT" w:eastAsia="en-US"/>
        </w:rPr>
        <w:t xml:space="preserve">yra atviras II fazės </w:t>
      </w:r>
      <w:r w:rsidR="00FF626E" w:rsidRPr="00532388">
        <w:rPr>
          <w:rFonts w:eastAsia="TimesNewRoman"/>
          <w:sz w:val="22"/>
          <w:szCs w:val="22"/>
          <w:lang w:val="lt-LT" w:eastAsia="en-US"/>
        </w:rPr>
        <w:t>darunaviro</w:t>
      </w:r>
      <w:r w:rsidRPr="00532388">
        <w:rPr>
          <w:rFonts w:eastAsia="TimesNewRoman"/>
          <w:sz w:val="22"/>
          <w:szCs w:val="22"/>
          <w:lang w:val="lt-LT" w:eastAsia="en-US"/>
        </w:rPr>
        <w:t>, vartojamo kartu su maža ritonaviro doze, farmakokinetikos,</w:t>
      </w:r>
      <w:r w:rsidR="00FF626E" w:rsidRPr="00532388">
        <w:rPr>
          <w:rFonts w:eastAsia="TimesNewRoman"/>
          <w:sz w:val="22"/>
          <w:szCs w:val="22"/>
          <w:lang w:val="lt-LT" w:eastAsia="en-US"/>
        </w:rPr>
        <w:t xml:space="preserve"> </w:t>
      </w:r>
      <w:r w:rsidRPr="00532388">
        <w:rPr>
          <w:rFonts w:eastAsia="TimesNewRoman"/>
          <w:sz w:val="22"/>
          <w:szCs w:val="22"/>
          <w:lang w:val="lt-LT" w:eastAsia="en-US"/>
        </w:rPr>
        <w:t>saugumo, toleravimo ir veiksmingumo įvertinimo tyrimas, kuriame dalyvavo 12 ŽIV-1 užsikrėtusių</w:t>
      </w:r>
      <w:r w:rsidR="00FF626E" w:rsidRPr="00532388">
        <w:rPr>
          <w:rFonts w:eastAsia="TimesNewRoman"/>
          <w:sz w:val="22"/>
          <w:szCs w:val="22"/>
          <w:lang w:val="lt-LT" w:eastAsia="en-US"/>
        </w:rPr>
        <w:t xml:space="preserve"> </w:t>
      </w:r>
      <w:r w:rsidRPr="00532388">
        <w:rPr>
          <w:rFonts w:eastAsia="TimesNewRoman"/>
          <w:sz w:val="22"/>
          <w:szCs w:val="22"/>
          <w:lang w:val="lt-LT" w:eastAsia="en-US"/>
        </w:rPr>
        <w:t>nuo 12 iki 18 metų pacientų, sveriančių ne mažiau kaip 40</w:t>
      </w:r>
      <w:r w:rsidR="00FF626E" w:rsidRPr="00532388">
        <w:rPr>
          <w:rFonts w:eastAsia="TimesNewRoman"/>
          <w:sz w:val="22"/>
          <w:szCs w:val="22"/>
          <w:lang w:val="lt-LT" w:eastAsia="en-US"/>
        </w:rPr>
        <w:t> </w:t>
      </w:r>
      <w:r w:rsidRPr="00532388">
        <w:rPr>
          <w:rFonts w:eastAsia="TimesNewRoman"/>
          <w:sz w:val="22"/>
          <w:szCs w:val="22"/>
          <w:lang w:val="lt-LT" w:eastAsia="en-US"/>
        </w:rPr>
        <w:t>kg. Šie pacientai buvo gydyti</w:t>
      </w:r>
      <w:r w:rsidR="00FF626E" w:rsidRPr="00532388">
        <w:rPr>
          <w:rFonts w:eastAsia="TimesNewRoman"/>
          <w:sz w:val="22"/>
          <w:szCs w:val="22"/>
          <w:lang w:val="lt-LT" w:eastAsia="en-US"/>
        </w:rPr>
        <w:t xml:space="preserve"> </w:t>
      </w:r>
      <w:r w:rsidRPr="00532388">
        <w:rPr>
          <w:rFonts w:eastAsia="TimesNewRoman"/>
          <w:sz w:val="22"/>
          <w:szCs w:val="22"/>
          <w:lang w:val="lt-LT" w:eastAsia="en-US"/>
        </w:rPr>
        <w:t>800/100</w:t>
      </w:r>
      <w:r w:rsidR="00FF626E" w:rsidRPr="00532388">
        <w:rPr>
          <w:rFonts w:eastAsia="TimesNewRoman"/>
          <w:sz w:val="22"/>
          <w:szCs w:val="22"/>
          <w:lang w:val="lt-LT" w:eastAsia="en-US"/>
        </w:rPr>
        <w:t> </w:t>
      </w:r>
      <w:r w:rsidRPr="00532388">
        <w:rPr>
          <w:rFonts w:eastAsia="TimesNewRoman"/>
          <w:sz w:val="22"/>
          <w:szCs w:val="22"/>
          <w:lang w:val="lt-LT" w:eastAsia="en-US"/>
        </w:rPr>
        <w:t xml:space="preserve">mg </w:t>
      </w:r>
      <w:r w:rsidR="00FF626E" w:rsidRPr="00532388">
        <w:rPr>
          <w:rFonts w:eastAsia="TimesNewRoman"/>
          <w:sz w:val="22"/>
          <w:szCs w:val="22"/>
          <w:lang w:val="lt-LT" w:eastAsia="en-US"/>
        </w:rPr>
        <w:t>darunaviro</w:t>
      </w:r>
      <w:r w:rsidRPr="00532388">
        <w:rPr>
          <w:rFonts w:eastAsia="TimesNewRoman"/>
          <w:sz w:val="22"/>
          <w:szCs w:val="22"/>
          <w:lang w:val="lt-LT" w:eastAsia="en-US"/>
        </w:rPr>
        <w:t>/ritonaviro deriniu vieną kartą per parą kartu su kitais antiretrovirusiniais</w:t>
      </w:r>
      <w:r w:rsidR="00FF626E" w:rsidRPr="00532388">
        <w:rPr>
          <w:rFonts w:eastAsia="TimesNewRoman"/>
          <w:sz w:val="22"/>
          <w:szCs w:val="22"/>
          <w:lang w:val="lt-LT" w:eastAsia="en-US"/>
        </w:rPr>
        <w:t xml:space="preserve"> </w:t>
      </w:r>
      <w:r w:rsidRPr="00532388">
        <w:rPr>
          <w:rFonts w:eastAsia="TimesNewRoman"/>
          <w:sz w:val="22"/>
          <w:szCs w:val="22"/>
          <w:lang w:val="lt-LT" w:eastAsia="en-US"/>
        </w:rPr>
        <w:t>vaistiniais preparatais. Buvo vertinama, kad pasireiškė virusologinis atsakas, jeigu ŽIV-1 RNR kopijų</w:t>
      </w:r>
      <w:r w:rsidR="00FF626E" w:rsidRPr="00532388">
        <w:rPr>
          <w:rFonts w:eastAsia="TimesNewRoman"/>
          <w:sz w:val="22"/>
          <w:szCs w:val="22"/>
          <w:lang w:val="lt-LT" w:eastAsia="en-US"/>
        </w:rPr>
        <w:t xml:space="preserve"> plazmoje sumažėjo bent 1,0 </w:t>
      </w:r>
      <w:r w:rsidRPr="00532388">
        <w:rPr>
          <w:rFonts w:eastAsia="TimesNewRoman"/>
          <w:sz w:val="22"/>
          <w:szCs w:val="22"/>
          <w:lang w:val="lt-LT" w:eastAsia="en-US"/>
        </w:rPr>
        <w:t>log</w:t>
      </w:r>
      <w:r w:rsidRPr="00532388">
        <w:rPr>
          <w:rFonts w:eastAsia="TimesNewRoman"/>
          <w:sz w:val="14"/>
          <w:szCs w:val="14"/>
          <w:lang w:val="lt-LT" w:eastAsia="en-US"/>
        </w:rPr>
        <w:t>10</w:t>
      </w:r>
      <w:r w:rsidRPr="00532388">
        <w:rPr>
          <w:rFonts w:eastAsia="TimesNewRoman"/>
          <w:sz w:val="22"/>
          <w:szCs w:val="22"/>
          <w:lang w:val="lt-LT" w:eastAsia="en-US"/>
        </w:rPr>
        <w:t>, palyginti su kiekiu prieš pradedant tyrimą.</w:t>
      </w:r>
    </w:p>
    <w:p w14:paraId="0AD75A58" w14:textId="77777777" w:rsidR="00090990" w:rsidRPr="00532388" w:rsidRDefault="00090990" w:rsidP="00090990">
      <w:pPr>
        <w:autoSpaceDE w:val="0"/>
        <w:autoSpaceDN w:val="0"/>
        <w:adjustRightInd w:val="0"/>
        <w:rPr>
          <w:rFonts w:eastAsia="TimesNewRoman"/>
          <w:sz w:val="22"/>
          <w:szCs w:val="22"/>
          <w:lang w:val="lt-LT" w:eastAsia="en-US"/>
        </w:rPr>
      </w:pPr>
    </w:p>
    <w:p w14:paraId="02B196B9" w14:textId="77777777" w:rsidR="00090990" w:rsidRPr="00532388" w:rsidRDefault="00090990" w:rsidP="00090990">
      <w:pPr>
        <w:tabs>
          <w:tab w:val="left" w:pos="720"/>
        </w:tabs>
        <w:autoSpaceDE w:val="0"/>
        <w:autoSpaceDN w:val="0"/>
        <w:adjustRightInd w:val="0"/>
        <w:jc w:val="both"/>
        <w:rPr>
          <w:rFonts w:eastAsia="Times New Roman"/>
          <w:sz w:val="22"/>
          <w:szCs w:val="22"/>
          <w:lang w:val="lt-LT" w:eastAsia="en-US"/>
        </w:rPr>
      </w:pPr>
    </w:p>
    <w:tbl>
      <w:tblPr>
        <w:tblW w:w="9302" w:type="dxa"/>
        <w:tblLayout w:type="fixed"/>
        <w:tblLook w:val="04A0" w:firstRow="1" w:lastRow="0" w:firstColumn="1" w:lastColumn="0" w:noHBand="0" w:noVBand="1"/>
      </w:tblPr>
      <w:tblGrid>
        <w:gridCol w:w="5920"/>
        <w:gridCol w:w="3382"/>
      </w:tblGrid>
      <w:tr w:rsidR="00090990" w:rsidRPr="00532388" w14:paraId="1B531587" w14:textId="77777777" w:rsidTr="00C23338">
        <w:trPr>
          <w:trHeight w:val="277"/>
        </w:trPr>
        <w:tc>
          <w:tcPr>
            <w:tcW w:w="9302" w:type="dxa"/>
            <w:gridSpan w:val="2"/>
            <w:tcBorders>
              <w:top w:val="single" w:sz="6" w:space="0" w:color="000000"/>
              <w:left w:val="single" w:sz="4" w:space="0" w:color="000000"/>
              <w:bottom w:val="single" w:sz="6" w:space="0" w:color="000000"/>
              <w:right w:val="single" w:sz="4" w:space="0" w:color="000000"/>
            </w:tcBorders>
            <w:hideMark/>
          </w:tcPr>
          <w:p w14:paraId="71EFE5E2" w14:textId="77777777" w:rsidR="00090990" w:rsidRPr="00532388" w:rsidRDefault="00090990" w:rsidP="00090990">
            <w:pPr>
              <w:autoSpaceDE w:val="0"/>
              <w:autoSpaceDN w:val="0"/>
              <w:adjustRightInd w:val="0"/>
              <w:jc w:val="center"/>
              <w:rPr>
                <w:rFonts w:eastAsia="Times New Roman"/>
                <w:sz w:val="20"/>
                <w:lang w:val="lt-LT" w:eastAsia="en-US"/>
              </w:rPr>
            </w:pPr>
            <w:r w:rsidRPr="00532388">
              <w:rPr>
                <w:rFonts w:eastAsia="Times New Roman"/>
                <w:sz w:val="22"/>
                <w:szCs w:val="22"/>
                <w:lang w:val="lt-LT" w:eastAsia="en-US"/>
              </w:rPr>
              <w:t>DIONE</w:t>
            </w:r>
          </w:p>
        </w:tc>
      </w:tr>
      <w:tr w:rsidR="00090990" w:rsidRPr="00532388" w14:paraId="59028174" w14:textId="77777777" w:rsidTr="00C23338">
        <w:trPr>
          <w:trHeight w:val="515"/>
        </w:trPr>
        <w:tc>
          <w:tcPr>
            <w:tcW w:w="5920" w:type="dxa"/>
            <w:tcBorders>
              <w:top w:val="single" w:sz="6" w:space="0" w:color="000000"/>
              <w:left w:val="single" w:sz="4" w:space="0" w:color="000000"/>
              <w:bottom w:val="single" w:sz="6" w:space="0" w:color="000000"/>
              <w:right w:val="single" w:sz="4" w:space="0" w:color="000000"/>
            </w:tcBorders>
            <w:vAlign w:val="center"/>
            <w:hideMark/>
          </w:tcPr>
          <w:p w14:paraId="5D6DA15A" w14:textId="77777777" w:rsidR="00090990" w:rsidRPr="00532388" w:rsidRDefault="00FF626E" w:rsidP="00A473B5">
            <w:pPr>
              <w:autoSpaceDE w:val="0"/>
              <w:autoSpaceDN w:val="0"/>
              <w:adjustRightInd w:val="0"/>
              <w:jc w:val="center"/>
              <w:rPr>
                <w:rFonts w:eastAsia="Times New Roman"/>
                <w:sz w:val="22"/>
                <w:szCs w:val="22"/>
                <w:lang w:val="lt-LT" w:eastAsia="en-US"/>
              </w:rPr>
            </w:pPr>
            <w:r w:rsidRPr="00532388">
              <w:rPr>
                <w:i/>
                <w:iCs/>
                <w:sz w:val="22"/>
                <w:szCs w:val="22"/>
                <w:lang w:val="lt-LT" w:eastAsia="en-US"/>
              </w:rPr>
              <w:t>Baigtys 48-tą savaitę</w:t>
            </w:r>
          </w:p>
        </w:tc>
        <w:tc>
          <w:tcPr>
            <w:tcW w:w="3382" w:type="dxa"/>
            <w:tcBorders>
              <w:top w:val="single" w:sz="6" w:space="0" w:color="000000"/>
              <w:left w:val="single" w:sz="4" w:space="0" w:color="000000"/>
              <w:bottom w:val="single" w:sz="6" w:space="0" w:color="000000"/>
              <w:right w:val="single" w:sz="4" w:space="0" w:color="000000"/>
            </w:tcBorders>
            <w:hideMark/>
          </w:tcPr>
          <w:p w14:paraId="51D3D435" w14:textId="77777777" w:rsidR="00090990" w:rsidRPr="00532388" w:rsidRDefault="00090990" w:rsidP="00A473B5">
            <w:pPr>
              <w:autoSpaceDE w:val="0"/>
              <w:autoSpaceDN w:val="0"/>
              <w:adjustRightInd w:val="0"/>
              <w:jc w:val="center"/>
              <w:rPr>
                <w:rFonts w:eastAsia="Times New Roman"/>
                <w:sz w:val="22"/>
                <w:szCs w:val="22"/>
                <w:lang w:val="lt-LT" w:eastAsia="en-US"/>
              </w:rPr>
            </w:pPr>
            <w:r w:rsidRPr="00532388">
              <w:rPr>
                <w:rFonts w:eastAsia="Times New Roman"/>
                <w:sz w:val="22"/>
                <w:szCs w:val="22"/>
                <w:lang w:val="lt-LT" w:eastAsia="en-US"/>
              </w:rPr>
              <w:t>Darunavir</w:t>
            </w:r>
            <w:r w:rsidR="00C23338" w:rsidRPr="00532388">
              <w:rPr>
                <w:rFonts w:eastAsia="Times New Roman"/>
                <w:sz w:val="22"/>
                <w:szCs w:val="22"/>
                <w:lang w:val="lt-LT" w:eastAsia="en-US"/>
              </w:rPr>
              <w:t>as</w:t>
            </w:r>
            <w:r w:rsidRPr="00532388">
              <w:rPr>
                <w:rFonts w:eastAsia="Times New Roman"/>
                <w:sz w:val="22"/>
                <w:szCs w:val="22"/>
                <w:lang w:val="lt-LT" w:eastAsia="en-US"/>
              </w:rPr>
              <w:t>/ritonavir</w:t>
            </w:r>
            <w:r w:rsidR="00C23338" w:rsidRPr="00532388">
              <w:rPr>
                <w:rFonts w:eastAsia="Times New Roman"/>
                <w:sz w:val="22"/>
                <w:szCs w:val="22"/>
                <w:lang w:val="lt-LT" w:eastAsia="en-US"/>
              </w:rPr>
              <w:t>as</w:t>
            </w:r>
          </w:p>
          <w:p w14:paraId="4680DF47" w14:textId="77777777" w:rsidR="00090990" w:rsidRPr="00532388" w:rsidRDefault="00090990" w:rsidP="00A473B5">
            <w:pPr>
              <w:autoSpaceDE w:val="0"/>
              <w:autoSpaceDN w:val="0"/>
              <w:adjustRightInd w:val="0"/>
              <w:jc w:val="center"/>
              <w:rPr>
                <w:rFonts w:eastAsia="Times New Roman"/>
                <w:sz w:val="22"/>
                <w:szCs w:val="22"/>
                <w:lang w:val="lt-LT" w:eastAsia="en-US"/>
              </w:rPr>
            </w:pPr>
            <w:r w:rsidRPr="00532388">
              <w:rPr>
                <w:rFonts w:eastAsia="Times New Roman"/>
                <w:sz w:val="22"/>
                <w:szCs w:val="22"/>
                <w:lang w:val="lt-LT" w:eastAsia="en-US"/>
              </w:rPr>
              <w:t>N=12</w:t>
            </w:r>
          </w:p>
        </w:tc>
      </w:tr>
      <w:tr w:rsidR="00090990" w:rsidRPr="00532388" w14:paraId="4985C0FF" w14:textId="77777777" w:rsidTr="00A473B5">
        <w:trPr>
          <w:trHeight w:val="329"/>
        </w:trPr>
        <w:tc>
          <w:tcPr>
            <w:tcW w:w="5920" w:type="dxa"/>
            <w:tcBorders>
              <w:top w:val="single" w:sz="6" w:space="0" w:color="000000"/>
              <w:left w:val="single" w:sz="4" w:space="0" w:color="000000"/>
              <w:bottom w:val="single" w:sz="6" w:space="0" w:color="000000"/>
              <w:right w:val="single" w:sz="4" w:space="0" w:color="000000"/>
            </w:tcBorders>
            <w:hideMark/>
          </w:tcPr>
          <w:p w14:paraId="502D371A" w14:textId="77777777" w:rsidR="00090990" w:rsidRPr="00532388" w:rsidRDefault="00FF626E" w:rsidP="00264F4B">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ŽIV-1 RN</w:t>
            </w:r>
            <w:r w:rsidR="00264F4B" w:rsidRPr="00532388">
              <w:rPr>
                <w:rFonts w:eastAsia="Times New Roman"/>
                <w:sz w:val="22"/>
                <w:szCs w:val="22"/>
                <w:lang w:val="lt-LT" w:eastAsia="en-US"/>
              </w:rPr>
              <w:t>R</w:t>
            </w:r>
            <w:r w:rsidRPr="00532388">
              <w:rPr>
                <w:rFonts w:eastAsia="Times New Roman"/>
                <w:sz w:val="22"/>
                <w:szCs w:val="22"/>
                <w:lang w:val="lt-LT" w:eastAsia="en-US"/>
              </w:rPr>
              <w:t xml:space="preserve"> &lt; 50 k</w:t>
            </w:r>
            <w:r w:rsidR="00090990" w:rsidRPr="00532388">
              <w:rPr>
                <w:rFonts w:eastAsia="Times New Roman"/>
                <w:sz w:val="22"/>
                <w:szCs w:val="22"/>
                <w:lang w:val="lt-LT" w:eastAsia="en-US"/>
              </w:rPr>
              <w:t>opi</w:t>
            </w:r>
            <w:r w:rsidRPr="00532388">
              <w:rPr>
                <w:rFonts w:eastAsia="Times New Roman"/>
                <w:sz w:val="22"/>
                <w:szCs w:val="22"/>
                <w:lang w:val="lt-LT" w:eastAsia="en-US"/>
              </w:rPr>
              <w:t>jų</w:t>
            </w:r>
            <w:r w:rsidR="00090990" w:rsidRPr="00532388">
              <w:rPr>
                <w:rFonts w:eastAsia="Times New Roman"/>
                <w:sz w:val="22"/>
                <w:szCs w:val="22"/>
                <w:lang w:val="lt-LT" w:eastAsia="en-US"/>
              </w:rPr>
              <w:t>/ml</w:t>
            </w:r>
            <w:r w:rsidR="00090990" w:rsidRPr="00532388">
              <w:rPr>
                <w:rFonts w:eastAsia="Times New Roman"/>
                <w:sz w:val="22"/>
                <w:szCs w:val="22"/>
                <w:vertAlign w:val="superscript"/>
                <w:lang w:val="lt-LT" w:eastAsia="en-US"/>
              </w:rPr>
              <w:t xml:space="preserve">a </w:t>
            </w:r>
          </w:p>
        </w:tc>
        <w:tc>
          <w:tcPr>
            <w:tcW w:w="3382" w:type="dxa"/>
            <w:tcBorders>
              <w:top w:val="single" w:sz="6" w:space="0" w:color="000000"/>
              <w:left w:val="single" w:sz="4" w:space="0" w:color="000000"/>
              <w:bottom w:val="single" w:sz="6" w:space="0" w:color="000000"/>
              <w:right w:val="single" w:sz="4" w:space="0" w:color="000000"/>
            </w:tcBorders>
            <w:hideMark/>
          </w:tcPr>
          <w:p w14:paraId="71A7B2DD" w14:textId="77777777" w:rsidR="00090990" w:rsidRPr="00532388" w:rsidRDefault="00C23338" w:rsidP="00090990">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83,</w:t>
            </w:r>
            <w:r w:rsidR="00090990" w:rsidRPr="00532388">
              <w:rPr>
                <w:rFonts w:eastAsia="Times New Roman"/>
                <w:sz w:val="22"/>
                <w:szCs w:val="22"/>
                <w:lang w:val="lt-LT" w:eastAsia="en-US"/>
              </w:rPr>
              <w:t xml:space="preserve">3% (10) </w:t>
            </w:r>
          </w:p>
        </w:tc>
      </w:tr>
      <w:tr w:rsidR="00090990" w:rsidRPr="00532388" w14:paraId="09E9E3A9" w14:textId="77777777" w:rsidTr="00C23338">
        <w:trPr>
          <w:trHeight w:val="265"/>
        </w:trPr>
        <w:tc>
          <w:tcPr>
            <w:tcW w:w="5920" w:type="dxa"/>
            <w:tcBorders>
              <w:top w:val="single" w:sz="6" w:space="0" w:color="000000"/>
              <w:left w:val="single" w:sz="4" w:space="0" w:color="000000"/>
              <w:bottom w:val="single" w:sz="6" w:space="0" w:color="000000"/>
              <w:right w:val="single" w:sz="4" w:space="0" w:color="000000"/>
            </w:tcBorders>
            <w:hideMark/>
          </w:tcPr>
          <w:p w14:paraId="2B49C217" w14:textId="77777777" w:rsidR="00090990" w:rsidRPr="00532388" w:rsidRDefault="004F689A" w:rsidP="00FF626E">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xml:space="preserve">CD4+ ląstelių </w:t>
            </w:r>
            <w:r w:rsidR="00FF626E" w:rsidRPr="00532388">
              <w:rPr>
                <w:rFonts w:eastAsia="Times New Roman"/>
                <w:sz w:val="22"/>
                <w:szCs w:val="22"/>
                <w:lang w:val="lt-LT" w:eastAsia="en-US"/>
              </w:rPr>
              <w:t>procentinis pokytis palyginti su pradiniu</w:t>
            </w:r>
            <w:r w:rsidR="00C23338" w:rsidRPr="00532388">
              <w:rPr>
                <w:rFonts w:eastAsia="Times New Roman"/>
                <w:sz w:val="22"/>
                <w:szCs w:val="22"/>
                <w:vertAlign w:val="superscript"/>
                <w:lang w:val="lt-LT" w:eastAsia="en-US"/>
              </w:rPr>
              <w:t>b</w:t>
            </w:r>
          </w:p>
        </w:tc>
        <w:tc>
          <w:tcPr>
            <w:tcW w:w="3382" w:type="dxa"/>
            <w:tcBorders>
              <w:top w:val="single" w:sz="6" w:space="0" w:color="000000"/>
              <w:left w:val="single" w:sz="4" w:space="0" w:color="000000"/>
              <w:bottom w:val="single" w:sz="6" w:space="0" w:color="000000"/>
              <w:right w:val="single" w:sz="4" w:space="0" w:color="000000"/>
            </w:tcBorders>
            <w:hideMark/>
          </w:tcPr>
          <w:p w14:paraId="47A7C2D3" w14:textId="77777777" w:rsidR="00090990" w:rsidRPr="00532388" w:rsidRDefault="00090990" w:rsidP="00090990">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xml:space="preserve">14 </w:t>
            </w:r>
          </w:p>
        </w:tc>
      </w:tr>
      <w:tr w:rsidR="00090990" w:rsidRPr="00532388" w14:paraId="06055FFE" w14:textId="77777777" w:rsidTr="00C23338">
        <w:trPr>
          <w:trHeight w:val="262"/>
        </w:trPr>
        <w:tc>
          <w:tcPr>
            <w:tcW w:w="5920" w:type="dxa"/>
            <w:tcBorders>
              <w:top w:val="single" w:sz="6" w:space="0" w:color="000000"/>
              <w:left w:val="single" w:sz="4" w:space="0" w:color="000000"/>
              <w:bottom w:val="single" w:sz="6" w:space="0" w:color="000000"/>
              <w:right w:val="single" w:sz="4" w:space="0" w:color="000000"/>
            </w:tcBorders>
            <w:hideMark/>
          </w:tcPr>
          <w:p w14:paraId="6CCF770D" w14:textId="77777777" w:rsidR="00090990" w:rsidRPr="00532388" w:rsidRDefault="00090990" w:rsidP="00C23338">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xml:space="preserve">CD4+ </w:t>
            </w:r>
            <w:r w:rsidR="00C23338" w:rsidRPr="00532388">
              <w:rPr>
                <w:rFonts w:eastAsia="Times New Roman"/>
                <w:sz w:val="22"/>
                <w:szCs w:val="22"/>
                <w:lang w:val="lt-LT" w:eastAsia="en-US"/>
              </w:rPr>
              <w:t>ląstelių kiekio vidutinis pokytis</w:t>
            </w:r>
            <w:r w:rsidR="004F689A" w:rsidRPr="00532388">
              <w:rPr>
                <w:rFonts w:eastAsia="Times New Roman"/>
                <w:sz w:val="22"/>
                <w:szCs w:val="22"/>
                <w:lang w:val="lt-LT" w:eastAsia="en-US"/>
              </w:rPr>
              <w:t xml:space="preserve"> </w:t>
            </w:r>
            <w:r w:rsidR="00C23338" w:rsidRPr="00532388">
              <w:rPr>
                <w:rFonts w:eastAsia="Times New Roman"/>
                <w:sz w:val="22"/>
                <w:szCs w:val="22"/>
                <w:lang w:val="lt-LT" w:eastAsia="en-US"/>
              </w:rPr>
              <w:t>palyginti su pradiniu</w:t>
            </w:r>
            <w:r w:rsidRPr="00532388">
              <w:rPr>
                <w:rFonts w:eastAsia="Times New Roman"/>
                <w:sz w:val="22"/>
                <w:szCs w:val="22"/>
                <w:vertAlign w:val="superscript"/>
                <w:lang w:val="lt-LT" w:eastAsia="en-US"/>
              </w:rPr>
              <w:t>b</w:t>
            </w:r>
            <w:r w:rsidRPr="00532388">
              <w:rPr>
                <w:rFonts w:eastAsia="Times New Roman"/>
                <w:sz w:val="22"/>
                <w:szCs w:val="22"/>
                <w:lang w:val="lt-LT" w:eastAsia="en-US"/>
              </w:rPr>
              <w:t xml:space="preserve"> </w:t>
            </w:r>
          </w:p>
        </w:tc>
        <w:tc>
          <w:tcPr>
            <w:tcW w:w="3382" w:type="dxa"/>
            <w:tcBorders>
              <w:top w:val="single" w:sz="6" w:space="0" w:color="000000"/>
              <w:left w:val="single" w:sz="4" w:space="0" w:color="000000"/>
              <w:bottom w:val="single" w:sz="6" w:space="0" w:color="000000"/>
              <w:right w:val="single" w:sz="4" w:space="0" w:color="000000"/>
            </w:tcBorders>
            <w:hideMark/>
          </w:tcPr>
          <w:p w14:paraId="6E171173" w14:textId="77777777" w:rsidR="00090990" w:rsidRPr="00532388" w:rsidRDefault="00090990" w:rsidP="00090990">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xml:space="preserve">221 </w:t>
            </w:r>
          </w:p>
        </w:tc>
      </w:tr>
      <w:tr w:rsidR="00090990" w:rsidRPr="00532388" w14:paraId="5BAE320F" w14:textId="77777777" w:rsidTr="00C23338">
        <w:trPr>
          <w:trHeight w:val="265"/>
        </w:trPr>
        <w:tc>
          <w:tcPr>
            <w:tcW w:w="5920" w:type="dxa"/>
            <w:tcBorders>
              <w:top w:val="single" w:sz="6" w:space="0" w:color="000000"/>
              <w:left w:val="single" w:sz="4" w:space="0" w:color="000000"/>
              <w:bottom w:val="single" w:sz="6" w:space="0" w:color="000000"/>
              <w:right w:val="single" w:sz="4" w:space="0" w:color="000000"/>
            </w:tcBorders>
            <w:hideMark/>
          </w:tcPr>
          <w:p w14:paraId="17404674" w14:textId="77777777" w:rsidR="00090990" w:rsidRPr="00532388" w:rsidRDefault="00090990" w:rsidP="00C23338">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1.0 log</w:t>
            </w:r>
            <w:r w:rsidRPr="00532388">
              <w:rPr>
                <w:rFonts w:eastAsia="Times New Roman"/>
                <w:sz w:val="22"/>
                <w:szCs w:val="22"/>
                <w:vertAlign w:val="subscript"/>
                <w:lang w:val="lt-LT" w:eastAsia="en-US"/>
              </w:rPr>
              <w:t>10</w:t>
            </w:r>
            <w:r w:rsidR="00264F4B" w:rsidRPr="00532388">
              <w:rPr>
                <w:rFonts w:eastAsia="Times New Roman"/>
                <w:sz w:val="22"/>
                <w:szCs w:val="22"/>
                <w:lang w:val="lt-LT" w:eastAsia="en-US"/>
              </w:rPr>
              <w:t xml:space="preserve"> virusinio krūv</w:t>
            </w:r>
            <w:r w:rsidR="00C23338" w:rsidRPr="00532388">
              <w:rPr>
                <w:rFonts w:eastAsia="Times New Roman"/>
                <w:sz w:val="22"/>
                <w:szCs w:val="22"/>
                <w:lang w:val="lt-LT" w:eastAsia="en-US"/>
              </w:rPr>
              <w:t>io sumažėjimas kraujo plazmoje palyginti su pradiniu</w:t>
            </w:r>
          </w:p>
        </w:tc>
        <w:tc>
          <w:tcPr>
            <w:tcW w:w="3382" w:type="dxa"/>
            <w:tcBorders>
              <w:top w:val="single" w:sz="6" w:space="0" w:color="000000"/>
              <w:left w:val="single" w:sz="4" w:space="0" w:color="000000"/>
              <w:bottom w:val="single" w:sz="6" w:space="0" w:color="000000"/>
              <w:right w:val="single" w:sz="4" w:space="0" w:color="000000"/>
            </w:tcBorders>
            <w:hideMark/>
          </w:tcPr>
          <w:p w14:paraId="17DB85F1" w14:textId="77777777" w:rsidR="00090990" w:rsidRPr="00532388" w:rsidRDefault="00090990" w:rsidP="00090990">
            <w:pPr>
              <w:autoSpaceDE w:val="0"/>
              <w:autoSpaceDN w:val="0"/>
              <w:adjustRightInd w:val="0"/>
              <w:rPr>
                <w:rFonts w:eastAsia="Times New Roman"/>
                <w:sz w:val="22"/>
                <w:szCs w:val="22"/>
                <w:lang w:val="lt-LT" w:eastAsia="en-US"/>
              </w:rPr>
            </w:pPr>
            <w:r w:rsidRPr="00532388">
              <w:rPr>
                <w:rFonts w:eastAsia="Times New Roman"/>
                <w:sz w:val="22"/>
                <w:szCs w:val="22"/>
                <w:lang w:val="lt-LT" w:eastAsia="en-US"/>
              </w:rPr>
              <w:t xml:space="preserve">100% </w:t>
            </w:r>
          </w:p>
        </w:tc>
      </w:tr>
    </w:tbl>
    <w:p w14:paraId="44C35C8A" w14:textId="77777777" w:rsidR="00C23338" w:rsidRPr="00532388" w:rsidRDefault="00C23338" w:rsidP="00C23338">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 xml:space="preserve">a </w:t>
      </w:r>
      <w:r w:rsidRPr="00532388">
        <w:rPr>
          <w:rFonts w:eastAsia="TimesNewRoman"/>
          <w:sz w:val="18"/>
          <w:szCs w:val="18"/>
          <w:lang w:val="lt-LT" w:eastAsia="en-US"/>
        </w:rPr>
        <w:t xml:space="preserve">Vertinimai pagal </w:t>
      </w:r>
      <w:r w:rsidRPr="00532388">
        <w:rPr>
          <w:rFonts w:eastAsia="TimesNewRoman"/>
          <w:i/>
          <w:iCs/>
          <w:sz w:val="18"/>
          <w:szCs w:val="18"/>
          <w:lang w:val="lt-LT" w:eastAsia="en-US"/>
        </w:rPr>
        <w:t xml:space="preserve">TLOVR </w:t>
      </w:r>
      <w:r w:rsidRPr="00532388">
        <w:rPr>
          <w:rFonts w:eastAsia="TimesNewRoman"/>
          <w:sz w:val="18"/>
          <w:szCs w:val="18"/>
          <w:lang w:val="lt-LT" w:eastAsia="en-US"/>
        </w:rPr>
        <w:t>algoritmą.</w:t>
      </w:r>
    </w:p>
    <w:p w14:paraId="15C1F3FA" w14:textId="77777777" w:rsidR="00090990" w:rsidRPr="00532388" w:rsidRDefault="00C23338" w:rsidP="00C23338">
      <w:pPr>
        <w:autoSpaceDE w:val="0"/>
        <w:autoSpaceDN w:val="0"/>
        <w:adjustRightInd w:val="0"/>
        <w:rPr>
          <w:rFonts w:eastAsia="TimesNewRoman"/>
          <w:sz w:val="18"/>
          <w:szCs w:val="18"/>
          <w:lang w:val="lt-LT" w:eastAsia="en-US"/>
        </w:rPr>
      </w:pPr>
      <w:r w:rsidRPr="00532388">
        <w:rPr>
          <w:rFonts w:eastAsia="TimesNewRoman"/>
          <w:sz w:val="20"/>
          <w:vertAlign w:val="superscript"/>
          <w:lang w:val="lt-LT" w:eastAsia="en-US"/>
        </w:rPr>
        <w:t>b</w:t>
      </w:r>
      <w:r w:rsidRPr="00532388">
        <w:rPr>
          <w:rFonts w:eastAsia="TimesNewRoman"/>
          <w:sz w:val="14"/>
          <w:szCs w:val="14"/>
          <w:lang w:val="lt-LT" w:eastAsia="en-US"/>
        </w:rPr>
        <w:t xml:space="preserve"> </w:t>
      </w:r>
      <w:r w:rsidRPr="00532388">
        <w:rPr>
          <w:rFonts w:eastAsia="TimesNewRoman"/>
          <w:sz w:val="18"/>
          <w:szCs w:val="18"/>
          <w:lang w:val="lt-LT" w:eastAsia="en-US"/>
        </w:rPr>
        <w:t>Nebaigimas reiškia nesėkmę: pacientai, nutraukę gydymą pirma laiko, priskiriami pokyčiui 0.</w:t>
      </w:r>
    </w:p>
    <w:p w14:paraId="4CB96921" w14:textId="77777777" w:rsidR="00C23338" w:rsidRPr="00532388" w:rsidRDefault="00C23338" w:rsidP="00C23338">
      <w:pPr>
        <w:autoSpaceDE w:val="0"/>
        <w:autoSpaceDN w:val="0"/>
        <w:adjustRightInd w:val="0"/>
        <w:rPr>
          <w:rFonts w:eastAsia="TimesNewRoman"/>
          <w:sz w:val="18"/>
          <w:szCs w:val="18"/>
          <w:lang w:val="lt-LT" w:eastAsia="en-US"/>
        </w:rPr>
      </w:pPr>
    </w:p>
    <w:p w14:paraId="0002F062"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Daugiau klinikinių tyrimų su suaugusiais ir pediatriniais pacientais, kuriems taikytas ARG, duomenų</w:t>
      </w:r>
      <w:r w:rsidR="004F689A" w:rsidRPr="00532388">
        <w:rPr>
          <w:rFonts w:eastAsia="TimesNewRoman"/>
          <w:sz w:val="22"/>
          <w:szCs w:val="22"/>
          <w:lang w:val="lt-LT" w:eastAsia="en-US"/>
        </w:rPr>
        <w:t xml:space="preserve"> </w:t>
      </w:r>
      <w:r w:rsidRPr="00532388">
        <w:rPr>
          <w:rFonts w:eastAsia="TimesNewRoman"/>
          <w:sz w:val="22"/>
          <w:szCs w:val="22"/>
          <w:lang w:val="lt-LT" w:eastAsia="en-US"/>
        </w:rPr>
        <w:t xml:space="preserve">žr. </w:t>
      </w:r>
      <w:r w:rsidR="004F689A" w:rsidRPr="00532388">
        <w:rPr>
          <w:rFonts w:eastAsia="TimesNewRoman"/>
          <w:sz w:val="22"/>
          <w:szCs w:val="22"/>
          <w:lang w:val="lt-LT" w:eastAsia="en-US"/>
        </w:rPr>
        <w:t>Darunavir Teva</w:t>
      </w:r>
      <w:r w:rsidRPr="00532388">
        <w:rPr>
          <w:rFonts w:eastAsia="TimesNewRoman"/>
          <w:sz w:val="22"/>
          <w:szCs w:val="22"/>
          <w:lang w:val="lt-LT" w:eastAsia="en-US"/>
        </w:rPr>
        <w:t xml:space="preserve"> 600</w:t>
      </w:r>
      <w:r w:rsidR="004F689A" w:rsidRPr="00532388">
        <w:rPr>
          <w:rFonts w:eastAsia="TimesNewRoman"/>
          <w:sz w:val="22"/>
          <w:szCs w:val="22"/>
          <w:lang w:val="lt-LT" w:eastAsia="en-US"/>
        </w:rPr>
        <w:t> </w:t>
      </w:r>
      <w:r w:rsidRPr="00532388">
        <w:rPr>
          <w:rFonts w:eastAsia="TimesNewRoman"/>
          <w:sz w:val="22"/>
          <w:szCs w:val="22"/>
          <w:lang w:val="lt-LT" w:eastAsia="en-US"/>
        </w:rPr>
        <w:t>mg tablečių</w:t>
      </w:r>
      <w:r w:rsidR="004F689A" w:rsidRPr="00532388">
        <w:rPr>
          <w:rFonts w:eastAsia="TimesNewRoman"/>
          <w:sz w:val="22"/>
          <w:szCs w:val="22"/>
          <w:lang w:val="lt-LT" w:eastAsia="en-US"/>
        </w:rPr>
        <w:t xml:space="preserve"> P</w:t>
      </w:r>
      <w:r w:rsidRPr="00532388">
        <w:rPr>
          <w:rFonts w:eastAsia="TimesNewRoman"/>
          <w:sz w:val="22"/>
          <w:szCs w:val="22"/>
          <w:lang w:val="lt-LT" w:eastAsia="en-US"/>
        </w:rPr>
        <w:t>reparato charakteristikų santrauko</w:t>
      </w:r>
      <w:r w:rsidR="004F689A" w:rsidRPr="00532388">
        <w:rPr>
          <w:rFonts w:eastAsia="TimesNewRoman"/>
          <w:sz w:val="22"/>
          <w:szCs w:val="22"/>
          <w:lang w:val="lt-LT" w:eastAsia="en-US"/>
        </w:rPr>
        <w:t>j</w:t>
      </w:r>
      <w:r w:rsidRPr="00532388">
        <w:rPr>
          <w:rFonts w:eastAsia="TimesNewRoman"/>
          <w:sz w:val="22"/>
          <w:szCs w:val="22"/>
          <w:lang w:val="lt-LT" w:eastAsia="en-US"/>
        </w:rPr>
        <w:t>e.</w:t>
      </w:r>
    </w:p>
    <w:p w14:paraId="0BCC8778" w14:textId="77777777" w:rsidR="00C23338" w:rsidRPr="00532388" w:rsidRDefault="00C23338" w:rsidP="00C23338">
      <w:pPr>
        <w:autoSpaceDE w:val="0"/>
        <w:autoSpaceDN w:val="0"/>
        <w:adjustRightInd w:val="0"/>
        <w:rPr>
          <w:rFonts w:eastAsia="TimesNewRoman"/>
          <w:i/>
          <w:iCs/>
          <w:sz w:val="22"/>
          <w:szCs w:val="22"/>
          <w:lang w:val="lt-LT" w:eastAsia="en-US"/>
        </w:rPr>
      </w:pPr>
    </w:p>
    <w:p w14:paraId="4075ABFC"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Nėštumas ir pogimdyminis laikotarpis</w:t>
      </w:r>
    </w:p>
    <w:p w14:paraId="7D53BC5B"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Darunaviro/ritonaviro (600/100</w:t>
      </w:r>
      <w:r w:rsidR="004F689A" w:rsidRPr="00532388">
        <w:rPr>
          <w:rFonts w:eastAsia="TimesNewRoman"/>
          <w:sz w:val="22"/>
          <w:szCs w:val="22"/>
          <w:lang w:val="lt-LT" w:eastAsia="en-US"/>
        </w:rPr>
        <w:t> </w:t>
      </w:r>
      <w:r w:rsidRPr="00532388">
        <w:rPr>
          <w:rFonts w:eastAsia="TimesNewRoman"/>
          <w:sz w:val="22"/>
          <w:szCs w:val="22"/>
          <w:lang w:val="lt-LT" w:eastAsia="en-US"/>
        </w:rPr>
        <w:t>mg du kartu</w:t>
      </w:r>
      <w:r w:rsidR="004F689A" w:rsidRPr="00532388">
        <w:rPr>
          <w:rFonts w:eastAsia="TimesNewRoman"/>
          <w:sz w:val="22"/>
          <w:szCs w:val="22"/>
          <w:lang w:val="lt-LT" w:eastAsia="en-US"/>
        </w:rPr>
        <w:t>s per parą arba 800/100 </w:t>
      </w:r>
      <w:r w:rsidRPr="00532388">
        <w:rPr>
          <w:rFonts w:eastAsia="TimesNewRoman"/>
          <w:sz w:val="22"/>
          <w:szCs w:val="22"/>
          <w:lang w:val="lt-LT" w:eastAsia="en-US"/>
        </w:rPr>
        <w:t>mg vieną kartą per parą) derinio</w:t>
      </w:r>
      <w:r w:rsidR="004F689A" w:rsidRPr="00532388">
        <w:rPr>
          <w:rFonts w:eastAsia="TimesNewRoman"/>
          <w:sz w:val="22"/>
          <w:szCs w:val="22"/>
          <w:lang w:val="lt-LT" w:eastAsia="en-US"/>
        </w:rPr>
        <w:t xml:space="preserve"> </w:t>
      </w:r>
      <w:r w:rsidRPr="00532388">
        <w:rPr>
          <w:rFonts w:eastAsia="TimesNewRoman"/>
          <w:sz w:val="22"/>
          <w:szCs w:val="22"/>
          <w:lang w:val="lt-LT" w:eastAsia="en-US"/>
        </w:rPr>
        <w:t>vartojimas kartu su pagrindiniu gydymo planu buvo įvertintas klinikiniame tyrime, kuriame dalyvavo</w:t>
      </w:r>
      <w:r w:rsidR="004F689A" w:rsidRPr="00532388">
        <w:rPr>
          <w:rFonts w:eastAsia="TimesNewRoman"/>
          <w:sz w:val="22"/>
          <w:szCs w:val="22"/>
          <w:lang w:val="lt-LT" w:eastAsia="en-US"/>
        </w:rPr>
        <w:t xml:space="preserve"> </w:t>
      </w:r>
      <w:r w:rsidRPr="00532388">
        <w:rPr>
          <w:rFonts w:eastAsia="TimesNewRoman"/>
          <w:sz w:val="22"/>
          <w:szCs w:val="22"/>
          <w:lang w:val="lt-LT" w:eastAsia="en-US"/>
        </w:rPr>
        <w:t>34 nėščios moterys (po 17 kiekvienoje grupėje) antrąjį ir trečiąjį nėštumo trimestrais ir pogimdyminiu</w:t>
      </w:r>
      <w:r w:rsidR="004F689A" w:rsidRPr="00532388">
        <w:rPr>
          <w:rFonts w:eastAsia="TimesNewRoman"/>
          <w:sz w:val="22"/>
          <w:szCs w:val="22"/>
          <w:lang w:val="lt-LT" w:eastAsia="en-US"/>
        </w:rPr>
        <w:t xml:space="preserve"> </w:t>
      </w:r>
    </w:p>
    <w:p w14:paraId="106DDFAE"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laikotarpiu. Virusų slopinimo atsakas išsilaikė per visą tiriamąjį laikotarpį abiejose grupėse. Dvidešimt</w:t>
      </w:r>
      <w:r w:rsidR="004F689A" w:rsidRPr="00532388">
        <w:rPr>
          <w:rFonts w:eastAsia="TimesNewRoman"/>
          <w:sz w:val="22"/>
          <w:szCs w:val="22"/>
          <w:lang w:val="lt-LT" w:eastAsia="en-US"/>
        </w:rPr>
        <w:t xml:space="preserve"> </w:t>
      </w:r>
      <w:r w:rsidRPr="00532388">
        <w:rPr>
          <w:rFonts w:eastAsia="TimesNewRoman"/>
          <w:sz w:val="22"/>
          <w:szCs w:val="22"/>
          <w:lang w:val="lt-LT" w:eastAsia="en-US"/>
        </w:rPr>
        <w:t>devynių (29) tiriamųjų, kurioms gimdymo metu buvo tęsiamas antiretrovirusinis gydymas, kūdikių užsikrėtimo infekcijos nuo motinos atvejų</w:t>
      </w:r>
      <w:r w:rsidR="004F689A" w:rsidRPr="00532388">
        <w:rPr>
          <w:rFonts w:eastAsia="TimesNewRoman"/>
          <w:sz w:val="22"/>
          <w:szCs w:val="22"/>
          <w:lang w:val="lt-LT" w:eastAsia="en-US"/>
        </w:rPr>
        <w:t xml:space="preserve"> nebuvo nustatyta</w:t>
      </w:r>
      <w:r w:rsidRPr="00532388">
        <w:rPr>
          <w:rFonts w:eastAsia="TimesNewRoman"/>
          <w:sz w:val="22"/>
          <w:szCs w:val="22"/>
          <w:lang w:val="lt-LT" w:eastAsia="en-US"/>
        </w:rPr>
        <w:t>. Naujų kliniškai reikšmingų</w:t>
      </w:r>
      <w:r w:rsidR="004F689A" w:rsidRPr="00532388">
        <w:rPr>
          <w:rFonts w:eastAsia="TimesNewRoman"/>
          <w:sz w:val="22"/>
          <w:szCs w:val="22"/>
          <w:lang w:val="lt-LT" w:eastAsia="en-US"/>
        </w:rPr>
        <w:t xml:space="preserve"> </w:t>
      </w:r>
      <w:r w:rsidRPr="00532388">
        <w:rPr>
          <w:rFonts w:eastAsia="TimesNewRoman"/>
          <w:sz w:val="22"/>
          <w:szCs w:val="22"/>
          <w:lang w:val="lt-LT" w:eastAsia="en-US"/>
        </w:rPr>
        <w:t>saugumo duomenų, palyginti su jau žinomais darunaviro/ritonaviro vartojimo saugumo ŽIV-1</w:t>
      </w:r>
      <w:r w:rsidR="004F689A" w:rsidRPr="00532388">
        <w:rPr>
          <w:rFonts w:eastAsia="TimesNewRoman"/>
          <w:sz w:val="22"/>
          <w:szCs w:val="22"/>
          <w:lang w:val="lt-LT" w:eastAsia="en-US"/>
        </w:rPr>
        <w:t xml:space="preserve"> </w:t>
      </w:r>
      <w:r w:rsidRPr="00532388">
        <w:rPr>
          <w:rFonts w:eastAsia="TimesNewRoman"/>
          <w:sz w:val="22"/>
          <w:szCs w:val="22"/>
          <w:lang w:val="lt-LT" w:eastAsia="en-US"/>
        </w:rPr>
        <w:t>užsikrėtusiems suaugusiesiems duomenimis, negauta (žr. 4.2, 4.4 ir 5.2 skyrius).</w:t>
      </w:r>
    </w:p>
    <w:p w14:paraId="622AC9FC" w14:textId="77777777" w:rsidR="00C23338" w:rsidRPr="00532388" w:rsidRDefault="00C23338" w:rsidP="00C23338">
      <w:pPr>
        <w:autoSpaceDE w:val="0"/>
        <w:autoSpaceDN w:val="0"/>
        <w:adjustRightInd w:val="0"/>
        <w:rPr>
          <w:rFonts w:eastAsia="TimesNewRoman"/>
          <w:sz w:val="22"/>
          <w:szCs w:val="22"/>
          <w:lang w:val="lt-LT" w:eastAsia="en-US"/>
        </w:rPr>
      </w:pPr>
    </w:p>
    <w:p w14:paraId="1E93B618" w14:textId="77777777" w:rsidR="00C23338" w:rsidRPr="00532388" w:rsidRDefault="00C23338" w:rsidP="00C23338">
      <w:pPr>
        <w:keepNext/>
        <w:numPr>
          <w:ilvl w:val="1"/>
          <w:numId w:val="1"/>
        </w:numPr>
        <w:tabs>
          <w:tab w:val="left" w:pos="567"/>
        </w:tabs>
        <w:spacing w:line="260" w:lineRule="exact"/>
        <w:outlineLvl w:val="0"/>
        <w:rPr>
          <w:rFonts w:eastAsia="Times New Roman"/>
          <w:b/>
          <w:noProof/>
          <w:sz w:val="22"/>
          <w:szCs w:val="22"/>
          <w:lang w:val="lt-LT" w:eastAsia="lt-LT" w:bidi="lt-LT"/>
        </w:rPr>
      </w:pPr>
      <w:r w:rsidRPr="00532388">
        <w:rPr>
          <w:rFonts w:eastAsia="Times New Roman"/>
          <w:b/>
          <w:noProof/>
          <w:sz w:val="22"/>
          <w:lang w:val="lt-LT" w:eastAsia="lt-LT" w:bidi="lt-LT"/>
        </w:rPr>
        <w:t>Farmakokinetinės savybės</w:t>
      </w:r>
    </w:p>
    <w:p w14:paraId="23BD7FA0" w14:textId="77777777" w:rsidR="004F689A" w:rsidRPr="00532388" w:rsidRDefault="004F689A" w:rsidP="00C23338">
      <w:pPr>
        <w:autoSpaceDE w:val="0"/>
        <w:autoSpaceDN w:val="0"/>
        <w:adjustRightInd w:val="0"/>
        <w:rPr>
          <w:rFonts w:eastAsia="TimesNewRoman"/>
          <w:sz w:val="22"/>
          <w:szCs w:val="22"/>
          <w:lang w:val="lt-LT" w:eastAsia="en-US"/>
        </w:rPr>
      </w:pPr>
    </w:p>
    <w:p w14:paraId="37D5ECD9"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Darunaviro, vartojamo su kobicistatu arba ritonaviru, farmakokinetinės savybės įvertintos, tiriant</w:t>
      </w:r>
      <w:r w:rsidR="004F689A" w:rsidRPr="00532388">
        <w:rPr>
          <w:rFonts w:eastAsia="TimesNewRoman"/>
          <w:sz w:val="22"/>
          <w:szCs w:val="22"/>
          <w:lang w:val="lt-LT" w:eastAsia="en-US"/>
        </w:rPr>
        <w:t xml:space="preserve"> </w:t>
      </w:r>
      <w:r w:rsidRPr="00532388">
        <w:rPr>
          <w:rFonts w:eastAsia="TimesNewRoman"/>
          <w:sz w:val="22"/>
          <w:szCs w:val="22"/>
          <w:lang w:val="lt-LT" w:eastAsia="en-US"/>
        </w:rPr>
        <w:t>sveikus suaugusius savanorius ir ŽIV-1 infekuotus asmenis. Darunaviro ekspozicija ŽIV-1 infekuotų</w:t>
      </w:r>
      <w:r w:rsidR="004F689A" w:rsidRPr="00532388">
        <w:rPr>
          <w:rFonts w:eastAsia="TimesNewRoman"/>
          <w:sz w:val="22"/>
          <w:szCs w:val="22"/>
          <w:lang w:val="lt-LT" w:eastAsia="en-US"/>
        </w:rPr>
        <w:t xml:space="preserve"> pacientų</w:t>
      </w:r>
      <w:r w:rsidRPr="00532388">
        <w:rPr>
          <w:rFonts w:eastAsia="TimesNewRoman"/>
          <w:sz w:val="22"/>
          <w:szCs w:val="22"/>
          <w:lang w:val="lt-LT" w:eastAsia="en-US"/>
        </w:rPr>
        <w:t xml:space="preserve"> organizme buvo didesnė negu sveikų asmenų. Darunaviro ekspozicijos padidėjimą ŽIV-1</w:t>
      </w:r>
      <w:r w:rsidR="004F689A" w:rsidRPr="00532388">
        <w:rPr>
          <w:rFonts w:eastAsia="TimesNewRoman"/>
          <w:sz w:val="22"/>
          <w:szCs w:val="22"/>
          <w:lang w:val="lt-LT" w:eastAsia="en-US"/>
        </w:rPr>
        <w:t xml:space="preserve"> </w:t>
      </w:r>
      <w:r w:rsidRPr="00532388">
        <w:rPr>
          <w:rFonts w:eastAsia="TimesNewRoman"/>
          <w:sz w:val="22"/>
          <w:szCs w:val="22"/>
          <w:lang w:val="lt-LT" w:eastAsia="en-US"/>
        </w:rPr>
        <w:t xml:space="preserve">apkrėstų </w:t>
      </w:r>
      <w:r w:rsidR="004F689A" w:rsidRPr="00532388">
        <w:rPr>
          <w:rFonts w:eastAsia="TimesNewRoman"/>
          <w:sz w:val="22"/>
          <w:szCs w:val="22"/>
          <w:lang w:val="lt-LT" w:eastAsia="en-US"/>
        </w:rPr>
        <w:t>pacientų</w:t>
      </w:r>
      <w:r w:rsidRPr="00532388">
        <w:rPr>
          <w:rFonts w:eastAsia="TimesNewRoman"/>
          <w:sz w:val="22"/>
          <w:szCs w:val="22"/>
          <w:lang w:val="lt-LT" w:eastAsia="en-US"/>
        </w:rPr>
        <w:t xml:space="preserve"> organizme, palyginti su sveikų asmenų, galima paaiškinti didesne alfa-1 rūgščiojo</w:t>
      </w:r>
      <w:r w:rsidR="004F689A" w:rsidRPr="00532388">
        <w:rPr>
          <w:rFonts w:eastAsia="TimesNewRoman"/>
          <w:sz w:val="22"/>
          <w:szCs w:val="22"/>
          <w:lang w:val="lt-LT" w:eastAsia="en-US"/>
        </w:rPr>
        <w:t xml:space="preserve"> </w:t>
      </w:r>
      <w:r w:rsidRPr="00532388">
        <w:rPr>
          <w:rFonts w:eastAsia="TimesNewRoman"/>
          <w:sz w:val="22"/>
          <w:szCs w:val="22"/>
          <w:lang w:val="lt-LT" w:eastAsia="en-US"/>
        </w:rPr>
        <w:t>glikoproteino (ARG) koncentracija</w:t>
      </w:r>
      <w:r w:rsidR="004F689A" w:rsidRPr="00532388">
        <w:rPr>
          <w:rFonts w:eastAsia="TimesNewRoman"/>
          <w:sz w:val="22"/>
          <w:szCs w:val="22"/>
          <w:lang w:val="lt-LT" w:eastAsia="en-US"/>
        </w:rPr>
        <w:t xml:space="preserve"> ŽIV-1 apkrėstų asmenų plazmoje. D</w:t>
      </w:r>
      <w:r w:rsidRPr="00532388">
        <w:rPr>
          <w:rFonts w:eastAsia="TimesNewRoman"/>
          <w:sz w:val="22"/>
          <w:szCs w:val="22"/>
          <w:lang w:val="lt-LT" w:eastAsia="en-US"/>
        </w:rPr>
        <w:t>ėl to daugiau darunaviro</w:t>
      </w:r>
      <w:r w:rsidR="004F689A" w:rsidRPr="00532388">
        <w:rPr>
          <w:rFonts w:eastAsia="TimesNewRoman"/>
          <w:sz w:val="22"/>
          <w:szCs w:val="22"/>
          <w:lang w:val="lt-LT" w:eastAsia="en-US"/>
        </w:rPr>
        <w:t xml:space="preserve"> </w:t>
      </w:r>
      <w:r w:rsidRPr="00532388">
        <w:rPr>
          <w:rFonts w:eastAsia="TimesNewRoman"/>
          <w:sz w:val="22"/>
          <w:szCs w:val="22"/>
          <w:lang w:val="lt-LT" w:eastAsia="en-US"/>
        </w:rPr>
        <w:t>jungiasi su plazmos ARG, taigi susidaro didesnė vaistinio preparato koncentracija plazmoje.</w:t>
      </w:r>
    </w:p>
    <w:p w14:paraId="24EC24DD" w14:textId="77777777" w:rsidR="004F689A" w:rsidRPr="00532388" w:rsidRDefault="004F689A" w:rsidP="00C23338">
      <w:pPr>
        <w:autoSpaceDE w:val="0"/>
        <w:autoSpaceDN w:val="0"/>
        <w:adjustRightInd w:val="0"/>
        <w:rPr>
          <w:rFonts w:eastAsia="TimesNewRoman"/>
          <w:sz w:val="22"/>
          <w:szCs w:val="22"/>
          <w:lang w:val="lt-LT" w:eastAsia="en-US"/>
        </w:rPr>
      </w:pPr>
    </w:p>
    <w:p w14:paraId="124EF892"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Darunavirą daugiausia metabolizuoja CYP3A. Kobicistatas arba ritonaviras slopina CYP3A, tuo labai</w:t>
      </w:r>
      <w:r w:rsidR="004F689A" w:rsidRPr="00532388">
        <w:rPr>
          <w:rFonts w:eastAsia="TimesNewRoman"/>
          <w:sz w:val="22"/>
          <w:szCs w:val="22"/>
          <w:lang w:val="lt-LT" w:eastAsia="en-US"/>
        </w:rPr>
        <w:t xml:space="preserve"> </w:t>
      </w:r>
      <w:r w:rsidRPr="00532388">
        <w:rPr>
          <w:rFonts w:eastAsia="TimesNewRoman"/>
          <w:sz w:val="22"/>
          <w:szCs w:val="22"/>
          <w:lang w:val="lt-LT" w:eastAsia="en-US"/>
        </w:rPr>
        <w:t>didindami darunaviro koncentraciją plazmoje.</w:t>
      </w:r>
    </w:p>
    <w:p w14:paraId="7AA2BB0C" w14:textId="77777777" w:rsidR="004F689A" w:rsidRPr="00532388" w:rsidRDefault="004F689A" w:rsidP="00C23338">
      <w:pPr>
        <w:autoSpaceDE w:val="0"/>
        <w:autoSpaceDN w:val="0"/>
        <w:adjustRightInd w:val="0"/>
        <w:rPr>
          <w:rFonts w:eastAsia="TimesNewRoman"/>
          <w:sz w:val="22"/>
          <w:szCs w:val="22"/>
          <w:lang w:val="lt-LT" w:eastAsia="en-US"/>
        </w:rPr>
      </w:pPr>
    </w:p>
    <w:p w14:paraId="4FEEBC89"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Informacijos apie kobicistato farmakokinetines savybes žr. kobicist</w:t>
      </w:r>
      <w:r w:rsidR="004F689A" w:rsidRPr="00532388">
        <w:rPr>
          <w:rFonts w:eastAsia="TimesNewRoman"/>
          <w:sz w:val="22"/>
          <w:szCs w:val="22"/>
          <w:lang w:val="lt-LT" w:eastAsia="en-US"/>
        </w:rPr>
        <w:t>ato P</w:t>
      </w:r>
      <w:r w:rsidRPr="00532388">
        <w:rPr>
          <w:rFonts w:eastAsia="TimesNewRoman"/>
          <w:sz w:val="22"/>
          <w:szCs w:val="22"/>
          <w:lang w:val="lt-LT" w:eastAsia="en-US"/>
        </w:rPr>
        <w:t>reparato charakteristikų</w:t>
      </w:r>
      <w:r w:rsidR="004F689A" w:rsidRPr="00532388">
        <w:rPr>
          <w:rFonts w:eastAsia="TimesNewRoman"/>
          <w:sz w:val="22"/>
          <w:szCs w:val="22"/>
          <w:lang w:val="lt-LT" w:eastAsia="en-US"/>
        </w:rPr>
        <w:t xml:space="preserve"> </w:t>
      </w:r>
      <w:r w:rsidRPr="00532388">
        <w:rPr>
          <w:rFonts w:eastAsia="TimesNewRoman"/>
          <w:sz w:val="22"/>
          <w:szCs w:val="22"/>
          <w:lang w:val="lt-LT" w:eastAsia="en-US"/>
        </w:rPr>
        <w:t>santraukoje.</w:t>
      </w:r>
    </w:p>
    <w:p w14:paraId="14C3B34E" w14:textId="77777777" w:rsidR="004F689A" w:rsidRPr="00532388" w:rsidRDefault="004F689A" w:rsidP="00C23338">
      <w:pPr>
        <w:autoSpaceDE w:val="0"/>
        <w:autoSpaceDN w:val="0"/>
        <w:adjustRightInd w:val="0"/>
        <w:rPr>
          <w:rFonts w:eastAsia="TimesNewRoman"/>
          <w:sz w:val="22"/>
          <w:szCs w:val="22"/>
          <w:lang w:val="lt-LT" w:eastAsia="en-US"/>
        </w:rPr>
      </w:pPr>
    </w:p>
    <w:p w14:paraId="32C28184" w14:textId="77777777" w:rsidR="00C23338" w:rsidRPr="00532388" w:rsidRDefault="00C23338" w:rsidP="00C23338">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Absorbcija</w:t>
      </w:r>
    </w:p>
    <w:p w14:paraId="6AEF780C"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Išgertas darunaviras greitai absorbuojamas. Didžiausia darunaviro koncentracija plazmoje, kartu</w:t>
      </w:r>
      <w:r w:rsidR="00D00CDE" w:rsidRPr="00532388">
        <w:rPr>
          <w:rFonts w:eastAsia="TimesNewRoman"/>
          <w:sz w:val="22"/>
          <w:szCs w:val="22"/>
          <w:lang w:val="lt-LT" w:eastAsia="en-US"/>
        </w:rPr>
        <w:t xml:space="preserve"> </w:t>
      </w:r>
      <w:r w:rsidRPr="00532388">
        <w:rPr>
          <w:rFonts w:eastAsia="TimesNewRoman"/>
          <w:sz w:val="22"/>
          <w:szCs w:val="22"/>
          <w:lang w:val="lt-LT" w:eastAsia="en-US"/>
        </w:rPr>
        <w:t>vartojant nedidelę ritonaviro dozę, paprastai susidaro po 2,5-4,0 valandų.</w:t>
      </w:r>
    </w:p>
    <w:p w14:paraId="7FDD4F0E"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Išgertos vienkartinės vieno darunaviro 600</w:t>
      </w:r>
      <w:r w:rsidR="00D00CDE" w:rsidRPr="00532388">
        <w:rPr>
          <w:rFonts w:eastAsia="TimesNewRoman"/>
          <w:sz w:val="22"/>
          <w:szCs w:val="22"/>
          <w:lang w:val="lt-LT" w:eastAsia="en-US"/>
        </w:rPr>
        <w:t> </w:t>
      </w:r>
      <w:r w:rsidRPr="00532388">
        <w:rPr>
          <w:rFonts w:eastAsia="TimesNewRoman"/>
          <w:sz w:val="22"/>
          <w:szCs w:val="22"/>
          <w:lang w:val="lt-LT" w:eastAsia="en-US"/>
        </w:rPr>
        <w:t>mg dozės absoliutus biologinis prieinamumas yra maždaug</w:t>
      </w:r>
      <w:r w:rsidR="00D00CDE" w:rsidRPr="00532388">
        <w:rPr>
          <w:rFonts w:eastAsia="TimesNewRoman"/>
          <w:sz w:val="22"/>
          <w:szCs w:val="22"/>
          <w:lang w:val="lt-LT" w:eastAsia="en-US"/>
        </w:rPr>
        <w:t xml:space="preserve"> 37 %, o geriamos kartu su 100 </w:t>
      </w:r>
      <w:r w:rsidRPr="00532388">
        <w:rPr>
          <w:rFonts w:eastAsia="TimesNewRoman"/>
          <w:sz w:val="22"/>
          <w:szCs w:val="22"/>
          <w:lang w:val="lt-LT" w:eastAsia="en-US"/>
        </w:rPr>
        <w:t>mg ritonaviro du kartus per parą padidėja apytikriai iki 82 %. Bendras</w:t>
      </w:r>
      <w:r w:rsidR="00D00CDE" w:rsidRPr="00532388">
        <w:rPr>
          <w:rFonts w:eastAsia="TimesNewRoman"/>
          <w:sz w:val="22"/>
          <w:szCs w:val="22"/>
          <w:lang w:val="lt-LT" w:eastAsia="en-US"/>
        </w:rPr>
        <w:t xml:space="preserve"> </w:t>
      </w:r>
      <w:r w:rsidRPr="00532388">
        <w:rPr>
          <w:rFonts w:eastAsia="TimesNewRoman"/>
          <w:sz w:val="22"/>
          <w:szCs w:val="22"/>
          <w:lang w:val="lt-LT" w:eastAsia="en-US"/>
        </w:rPr>
        <w:t>stiprinamasis farmakokinetinis ritonaviro poveikis, kai viena 600</w:t>
      </w:r>
      <w:r w:rsidR="00D00CDE" w:rsidRPr="00532388">
        <w:rPr>
          <w:rFonts w:eastAsia="TimesNewRoman"/>
          <w:sz w:val="22"/>
          <w:szCs w:val="22"/>
          <w:lang w:val="lt-LT" w:eastAsia="en-US"/>
        </w:rPr>
        <w:t> </w:t>
      </w:r>
      <w:r w:rsidRPr="00532388">
        <w:rPr>
          <w:rFonts w:eastAsia="TimesNewRoman"/>
          <w:sz w:val="22"/>
          <w:szCs w:val="22"/>
          <w:lang w:val="lt-LT" w:eastAsia="en-US"/>
        </w:rPr>
        <w:t>mg darunaviro dozė geriama su</w:t>
      </w:r>
      <w:r w:rsidR="00D00CDE" w:rsidRPr="00532388">
        <w:rPr>
          <w:rFonts w:eastAsia="TimesNewRoman"/>
          <w:sz w:val="22"/>
          <w:szCs w:val="22"/>
          <w:lang w:val="lt-LT" w:eastAsia="en-US"/>
        </w:rPr>
        <w:t xml:space="preserve"> </w:t>
      </w:r>
      <w:r w:rsidRPr="00532388">
        <w:rPr>
          <w:rFonts w:eastAsia="TimesNewRoman"/>
          <w:sz w:val="22"/>
          <w:szCs w:val="22"/>
          <w:lang w:val="lt-LT" w:eastAsia="en-US"/>
        </w:rPr>
        <w:t>ritonaviru po 100</w:t>
      </w:r>
      <w:r w:rsidR="00D00CDE" w:rsidRPr="00532388">
        <w:rPr>
          <w:rFonts w:eastAsia="TimesNewRoman"/>
          <w:sz w:val="22"/>
          <w:szCs w:val="22"/>
          <w:lang w:val="lt-LT" w:eastAsia="en-US"/>
        </w:rPr>
        <w:t> </w:t>
      </w:r>
      <w:r w:rsidRPr="00532388">
        <w:rPr>
          <w:rFonts w:eastAsia="TimesNewRoman"/>
          <w:sz w:val="22"/>
          <w:szCs w:val="22"/>
          <w:lang w:val="lt-LT" w:eastAsia="en-US"/>
        </w:rPr>
        <w:t>mg du kartus per parą, yra maždaug 14 kartų padidėjusi sisteminė darunaviro</w:t>
      </w:r>
      <w:r w:rsidR="00D00CDE" w:rsidRPr="00532388">
        <w:rPr>
          <w:rFonts w:eastAsia="TimesNewRoman"/>
          <w:sz w:val="22"/>
          <w:szCs w:val="22"/>
          <w:lang w:val="lt-LT" w:eastAsia="en-US"/>
        </w:rPr>
        <w:t xml:space="preserve"> </w:t>
      </w:r>
      <w:r w:rsidRPr="00532388">
        <w:rPr>
          <w:rFonts w:eastAsia="TimesNewRoman"/>
          <w:sz w:val="22"/>
          <w:szCs w:val="22"/>
          <w:lang w:val="lt-LT" w:eastAsia="en-US"/>
        </w:rPr>
        <w:t>ekspozicija (žr. 4.4 skyrių).</w:t>
      </w:r>
    </w:p>
    <w:p w14:paraId="682EBF19" w14:textId="77777777" w:rsidR="00D00CDE" w:rsidRPr="00532388" w:rsidRDefault="00D00CDE" w:rsidP="00C23338">
      <w:pPr>
        <w:autoSpaceDE w:val="0"/>
        <w:autoSpaceDN w:val="0"/>
        <w:adjustRightInd w:val="0"/>
        <w:rPr>
          <w:rFonts w:eastAsia="TimesNewRoman"/>
          <w:sz w:val="22"/>
          <w:szCs w:val="22"/>
          <w:lang w:val="lt-LT" w:eastAsia="en-US"/>
        </w:rPr>
      </w:pPr>
    </w:p>
    <w:p w14:paraId="64661B64"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Vartojant darunavirą nevalgius kartu su kobicistatu arba maža ritonaviro doze, reliatyvus jo biologinis</w:t>
      </w:r>
      <w:r w:rsidR="00D00CDE" w:rsidRPr="00532388">
        <w:rPr>
          <w:rFonts w:eastAsia="TimesNewRoman"/>
          <w:sz w:val="22"/>
          <w:szCs w:val="22"/>
          <w:lang w:val="lt-LT" w:eastAsia="en-US"/>
        </w:rPr>
        <w:t xml:space="preserve"> </w:t>
      </w:r>
      <w:r w:rsidRPr="00532388">
        <w:rPr>
          <w:rFonts w:eastAsia="TimesNewRoman"/>
          <w:sz w:val="22"/>
          <w:szCs w:val="22"/>
          <w:lang w:val="lt-LT" w:eastAsia="en-US"/>
        </w:rPr>
        <w:t xml:space="preserve">prieinamumas yra mažesnis negu vartojant pavalgius. Taigi </w:t>
      </w:r>
      <w:r w:rsidR="00D00CDE" w:rsidRPr="00532388">
        <w:rPr>
          <w:rFonts w:eastAsia="TimesNewRoman"/>
          <w:sz w:val="22"/>
          <w:szCs w:val="22"/>
          <w:lang w:val="lt-LT" w:eastAsia="en-US"/>
        </w:rPr>
        <w:t>darunaviro</w:t>
      </w:r>
      <w:r w:rsidRPr="00532388">
        <w:rPr>
          <w:rFonts w:eastAsia="TimesNewRoman"/>
          <w:sz w:val="22"/>
          <w:szCs w:val="22"/>
          <w:lang w:val="lt-LT" w:eastAsia="en-US"/>
        </w:rPr>
        <w:t xml:space="preserve"> tabletes reikia vartoti kartu su</w:t>
      </w:r>
      <w:r w:rsidR="00D00CDE" w:rsidRPr="00532388">
        <w:rPr>
          <w:rFonts w:eastAsia="TimesNewRoman"/>
          <w:sz w:val="22"/>
          <w:szCs w:val="22"/>
          <w:lang w:val="lt-LT" w:eastAsia="en-US"/>
        </w:rPr>
        <w:t xml:space="preserve"> </w:t>
      </w:r>
      <w:r w:rsidRPr="00532388">
        <w:rPr>
          <w:rFonts w:eastAsia="TimesNewRoman"/>
          <w:sz w:val="22"/>
          <w:szCs w:val="22"/>
          <w:lang w:val="lt-LT" w:eastAsia="en-US"/>
        </w:rPr>
        <w:t>kobicistatu arba ritonaviru valgant. Maisto rūšis darunaviro ekspozicijos neveikia.</w:t>
      </w:r>
    </w:p>
    <w:p w14:paraId="3C35A817" w14:textId="77777777" w:rsidR="00D00CDE" w:rsidRPr="00532388" w:rsidRDefault="00D00CDE" w:rsidP="00C23338">
      <w:pPr>
        <w:autoSpaceDE w:val="0"/>
        <w:autoSpaceDN w:val="0"/>
        <w:adjustRightInd w:val="0"/>
        <w:rPr>
          <w:rFonts w:eastAsia="TimesNewRoman"/>
          <w:sz w:val="22"/>
          <w:szCs w:val="22"/>
          <w:lang w:val="lt-LT" w:eastAsia="en-US"/>
        </w:rPr>
      </w:pPr>
    </w:p>
    <w:p w14:paraId="717E4F3F" w14:textId="77777777" w:rsidR="00C23338" w:rsidRPr="00532388" w:rsidRDefault="00C23338" w:rsidP="00C23338">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Pasiskirstymas</w:t>
      </w:r>
    </w:p>
    <w:p w14:paraId="15B31C60"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Apie 95 % darunaviro jungiasi su plazmos baltymais, daugiausia su plazmos alfa-1 rūgščiuoju</w:t>
      </w:r>
      <w:r w:rsidR="00D00CDE" w:rsidRPr="00532388">
        <w:rPr>
          <w:rFonts w:eastAsia="TimesNewRoman"/>
          <w:sz w:val="22"/>
          <w:szCs w:val="22"/>
          <w:lang w:val="lt-LT" w:eastAsia="en-US"/>
        </w:rPr>
        <w:t xml:space="preserve"> </w:t>
      </w:r>
      <w:r w:rsidRPr="00532388">
        <w:rPr>
          <w:rFonts w:eastAsia="TimesNewRoman"/>
          <w:sz w:val="22"/>
          <w:szCs w:val="22"/>
          <w:lang w:val="lt-LT" w:eastAsia="en-US"/>
        </w:rPr>
        <w:t>glikoproteinu.</w:t>
      </w:r>
    </w:p>
    <w:p w14:paraId="1354455A" w14:textId="77777777" w:rsidR="00D00CDE" w:rsidRPr="00532388" w:rsidRDefault="00D00CDE" w:rsidP="00C23338">
      <w:pPr>
        <w:autoSpaceDE w:val="0"/>
        <w:autoSpaceDN w:val="0"/>
        <w:adjustRightInd w:val="0"/>
        <w:rPr>
          <w:rFonts w:eastAsia="TimesNewRoman"/>
          <w:sz w:val="22"/>
          <w:szCs w:val="22"/>
          <w:lang w:val="lt-LT" w:eastAsia="en-US"/>
        </w:rPr>
      </w:pPr>
    </w:p>
    <w:p w14:paraId="22F54332"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Suleidus į veną vieno darunaviro pasiskirstymo tūris buvo 88,1 ± 59,0</w:t>
      </w:r>
      <w:r w:rsidR="00D00CDE" w:rsidRPr="00532388">
        <w:rPr>
          <w:rFonts w:eastAsia="TimesNewRoman"/>
          <w:sz w:val="22"/>
          <w:szCs w:val="22"/>
          <w:lang w:val="lt-LT" w:eastAsia="en-US"/>
        </w:rPr>
        <w:t> </w:t>
      </w:r>
      <w:r w:rsidRPr="00532388">
        <w:rPr>
          <w:rFonts w:eastAsia="TimesNewRoman"/>
          <w:sz w:val="22"/>
          <w:szCs w:val="22"/>
          <w:lang w:val="lt-LT" w:eastAsia="en-US"/>
        </w:rPr>
        <w:t>l (vidurkis ± standartinis</w:t>
      </w:r>
      <w:r w:rsidR="00D00CDE" w:rsidRPr="00532388">
        <w:rPr>
          <w:rFonts w:eastAsia="TimesNewRoman"/>
          <w:sz w:val="22"/>
          <w:szCs w:val="22"/>
          <w:lang w:val="lt-LT" w:eastAsia="en-US"/>
        </w:rPr>
        <w:t xml:space="preserve"> </w:t>
      </w:r>
      <w:r w:rsidRPr="00532388">
        <w:rPr>
          <w:rFonts w:eastAsia="TimesNewRoman"/>
          <w:sz w:val="22"/>
          <w:szCs w:val="22"/>
          <w:lang w:val="lt-LT" w:eastAsia="en-US"/>
        </w:rPr>
        <w:t>nuokrypis), ir padidėjo iki 131 ± 49,9</w:t>
      </w:r>
      <w:r w:rsidR="00D00CDE" w:rsidRPr="00532388">
        <w:rPr>
          <w:rFonts w:eastAsia="TimesNewRoman"/>
          <w:sz w:val="22"/>
          <w:szCs w:val="22"/>
          <w:lang w:val="lt-LT" w:eastAsia="en-US"/>
        </w:rPr>
        <w:t> </w:t>
      </w:r>
      <w:r w:rsidRPr="00532388">
        <w:rPr>
          <w:rFonts w:eastAsia="TimesNewRoman"/>
          <w:sz w:val="22"/>
          <w:szCs w:val="22"/>
          <w:lang w:val="lt-LT" w:eastAsia="en-US"/>
        </w:rPr>
        <w:t>l (vidurkis ± standartinis nuokrypis) kartu pavartojus 100</w:t>
      </w:r>
      <w:r w:rsidR="00D00CDE" w:rsidRPr="00532388">
        <w:rPr>
          <w:rFonts w:eastAsia="TimesNewRoman"/>
          <w:sz w:val="22"/>
          <w:szCs w:val="22"/>
          <w:lang w:val="lt-LT" w:eastAsia="en-US"/>
        </w:rPr>
        <w:t> </w:t>
      </w:r>
      <w:r w:rsidRPr="00532388">
        <w:rPr>
          <w:rFonts w:eastAsia="TimesNewRoman"/>
          <w:sz w:val="22"/>
          <w:szCs w:val="22"/>
          <w:lang w:val="lt-LT" w:eastAsia="en-US"/>
        </w:rPr>
        <w:t>mg</w:t>
      </w:r>
      <w:r w:rsidR="00D00CDE" w:rsidRPr="00532388">
        <w:rPr>
          <w:rFonts w:eastAsia="TimesNewRoman"/>
          <w:sz w:val="22"/>
          <w:szCs w:val="22"/>
          <w:lang w:val="lt-LT" w:eastAsia="en-US"/>
        </w:rPr>
        <w:t xml:space="preserve"> </w:t>
      </w:r>
      <w:r w:rsidRPr="00532388">
        <w:rPr>
          <w:rFonts w:eastAsia="TimesNewRoman"/>
          <w:sz w:val="22"/>
          <w:szCs w:val="22"/>
          <w:lang w:val="lt-LT" w:eastAsia="en-US"/>
        </w:rPr>
        <w:t>ritonaviro 2 kartus per parą.</w:t>
      </w:r>
    </w:p>
    <w:p w14:paraId="361FA32A" w14:textId="77777777" w:rsidR="00D00CDE" w:rsidRPr="00532388" w:rsidRDefault="00D00CDE" w:rsidP="00C23338">
      <w:pPr>
        <w:autoSpaceDE w:val="0"/>
        <w:autoSpaceDN w:val="0"/>
        <w:adjustRightInd w:val="0"/>
        <w:rPr>
          <w:rFonts w:eastAsia="TimesNewRoman"/>
          <w:sz w:val="22"/>
          <w:szCs w:val="22"/>
          <w:lang w:val="lt-LT" w:eastAsia="en-US"/>
        </w:rPr>
      </w:pPr>
    </w:p>
    <w:p w14:paraId="76C35F77" w14:textId="77777777" w:rsidR="00C23338" w:rsidRPr="00532388" w:rsidRDefault="00C23338" w:rsidP="00C23338">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Biotransformacija</w:t>
      </w:r>
    </w:p>
    <w:p w14:paraId="403256EF"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i/>
          <w:iCs/>
          <w:sz w:val="22"/>
          <w:szCs w:val="22"/>
          <w:lang w:val="lt-LT" w:eastAsia="en-US"/>
        </w:rPr>
        <w:t xml:space="preserve">In vitro </w:t>
      </w:r>
      <w:r w:rsidRPr="00532388">
        <w:rPr>
          <w:rFonts w:eastAsia="TimesNewRoman"/>
          <w:sz w:val="22"/>
          <w:szCs w:val="22"/>
          <w:lang w:val="lt-LT" w:eastAsia="en-US"/>
        </w:rPr>
        <w:t xml:space="preserve">eksperimentai su žmogaus kepenų mikrosomomis (ŽKM) </w:t>
      </w:r>
      <w:r w:rsidR="00D00CDE" w:rsidRPr="00532388">
        <w:rPr>
          <w:rFonts w:eastAsia="TimesNewRoman"/>
          <w:sz w:val="22"/>
          <w:szCs w:val="22"/>
          <w:lang w:val="lt-LT" w:eastAsia="en-US"/>
        </w:rPr>
        <w:t>nustatė</w:t>
      </w:r>
      <w:r w:rsidRPr="00532388">
        <w:rPr>
          <w:rFonts w:eastAsia="TimesNewRoman"/>
          <w:sz w:val="22"/>
          <w:szCs w:val="22"/>
          <w:lang w:val="lt-LT" w:eastAsia="en-US"/>
        </w:rPr>
        <w:t>, kad daugiausia vyksta</w:t>
      </w:r>
      <w:r w:rsidR="00D00CDE" w:rsidRPr="00532388">
        <w:rPr>
          <w:rFonts w:eastAsia="TimesNewRoman"/>
          <w:sz w:val="22"/>
          <w:szCs w:val="22"/>
          <w:lang w:val="lt-LT" w:eastAsia="en-US"/>
        </w:rPr>
        <w:t xml:space="preserve"> </w:t>
      </w:r>
      <w:r w:rsidRPr="00532388">
        <w:rPr>
          <w:rFonts w:eastAsia="TimesNewRoman"/>
          <w:sz w:val="22"/>
          <w:szCs w:val="22"/>
          <w:lang w:val="lt-LT" w:eastAsia="en-US"/>
        </w:rPr>
        <w:t>darunaviro oksidacinis metabolizmas. Darunavirą žymiu mastu metabolizuoja kepenų CYP sistema,</w:t>
      </w:r>
      <w:r w:rsidR="00D00CDE" w:rsidRPr="00532388">
        <w:rPr>
          <w:rFonts w:eastAsia="TimesNewRoman"/>
          <w:sz w:val="22"/>
          <w:szCs w:val="22"/>
          <w:lang w:val="lt-LT" w:eastAsia="en-US"/>
        </w:rPr>
        <w:t xml:space="preserve"> </w:t>
      </w:r>
      <w:r w:rsidRPr="00532388">
        <w:rPr>
          <w:rFonts w:eastAsia="TimesNewRoman"/>
          <w:sz w:val="22"/>
          <w:szCs w:val="22"/>
          <w:lang w:val="lt-LT" w:eastAsia="en-US"/>
        </w:rPr>
        <w:t>beveik išimtinai izofermentas CYP3A4.</w:t>
      </w:r>
      <w:r w:rsidRPr="00532388">
        <w:rPr>
          <w:rFonts w:eastAsia="TimesNewRoman"/>
          <w:sz w:val="22"/>
          <w:szCs w:val="22"/>
          <w:vertAlign w:val="superscript"/>
          <w:lang w:val="lt-LT" w:eastAsia="en-US"/>
        </w:rPr>
        <w:t xml:space="preserve"> 14</w:t>
      </w:r>
      <w:r w:rsidRPr="00532388">
        <w:rPr>
          <w:rFonts w:eastAsia="TimesNewRoman"/>
          <w:sz w:val="22"/>
          <w:szCs w:val="22"/>
          <w:lang w:val="lt-LT" w:eastAsia="en-US"/>
        </w:rPr>
        <w:t>C-darunaviro tyrimas su sveikais savanoriais parodė, kad</w:t>
      </w:r>
      <w:r w:rsidR="00D00CDE" w:rsidRPr="00532388">
        <w:rPr>
          <w:rFonts w:eastAsia="TimesNewRoman"/>
          <w:sz w:val="22"/>
          <w:szCs w:val="22"/>
          <w:lang w:val="lt-LT" w:eastAsia="en-US"/>
        </w:rPr>
        <w:t xml:space="preserve"> </w:t>
      </w:r>
      <w:r w:rsidRPr="00532388">
        <w:rPr>
          <w:rFonts w:eastAsia="TimesNewRoman"/>
          <w:sz w:val="22"/>
          <w:szCs w:val="22"/>
          <w:lang w:val="lt-LT" w:eastAsia="en-US"/>
        </w:rPr>
        <w:t>didžiąją plazmos radioaktyvu</w:t>
      </w:r>
      <w:r w:rsidR="00D00CDE" w:rsidRPr="00532388">
        <w:rPr>
          <w:rFonts w:eastAsia="TimesNewRoman"/>
          <w:sz w:val="22"/>
          <w:szCs w:val="22"/>
          <w:lang w:val="lt-LT" w:eastAsia="en-US"/>
        </w:rPr>
        <w:t>mo dalį po vienkartinės 400/100 </w:t>
      </w:r>
      <w:r w:rsidRPr="00532388">
        <w:rPr>
          <w:rFonts w:eastAsia="TimesNewRoman"/>
          <w:sz w:val="22"/>
          <w:szCs w:val="22"/>
          <w:lang w:val="lt-LT" w:eastAsia="en-US"/>
        </w:rPr>
        <w:t>mg darunaviro ir ritonaviro dozės lėmė</w:t>
      </w:r>
      <w:r w:rsidR="00D00CDE" w:rsidRPr="00532388">
        <w:rPr>
          <w:rFonts w:eastAsia="TimesNewRoman"/>
          <w:sz w:val="22"/>
          <w:szCs w:val="22"/>
          <w:lang w:val="lt-LT" w:eastAsia="en-US"/>
        </w:rPr>
        <w:t xml:space="preserve"> </w:t>
      </w:r>
      <w:r w:rsidRPr="00532388">
        <w:rPr>
          <w:rFonts w:eastAsia="TimesNewRoman"/>
          <w:sz w:val="22"/>
          <w:szCs w:val="22"/>
          <w:lang w:val="lt-LT" w:eastAsia="en-US"/>
        </w:rPr>
        <w:t>pradinė veiklioji medžiaga. Žmogaus organizme aptikti ne mažiau kaip 3 darunaviro oksidaci</w:t>
      </w:r>
      <w:r w:rsidR="00D00CDE" w:rsidRPr="00532388">
        <w:rPr>
          <w:rFonts w:eastAsia="TimesNewRoman"/>
          <w:sz w:val="22"/>
          <w:szCs w:val="22"/>
          <w:lang w:val="lt-LT" w:eastAsia="en-US"/>
        </w:rPr>
        <w:t xml:space="preserve">jos </w:t>
      </w:r>
      <w:r w:rsidRPr="00532388">
        <w:rPr>
          <w:rFonts w:eastAsia="TimesNewRoman"/>
          <w:sz w:val="22"/>
          <w:szCs w:val="22"/>
          <w:lang w:val="lt-LT" w:eastAsia="en-US"/>
        </w:rPr>
        <w:t>metabolitai; visi jie įprastines ŽIV padermes veikė bent 10 kartų silpniau negu darunaviras.</w:t>
      </w:r>
    </w:p>
    <w:p w14:paraId="663DEEA8" w14:textId="77777777" w:rsidR="00D00CDE" w:rsidRPr="00532388" w:rsidRDefault="00D00CDE" w:rsidP="00C23338">
      <w:pPr>
        <w:autoSpaceDE w:val="0"/>
        <w:autoSpaceDN w:val="0"/>
        <w:adjustRightInd w:val="0"/>
        <w:rPr>
          <w:rFonts w:eastAsia="TimesNewRoman"/>
          <w:sz w:val="22"/>
          <w:szCs w:val="22"/>
          <w:lang w:val="lt-LT" w:eastAsia="en-US"/>
        </w:rPr>
      </w:pPr>
    </w:p>
    <w:p w14:paraId="70F98915" w14:textId="77777777" w:rsidR="00C23338" w:rsidRPr="00532388" w:rsidRDefault="00C23338" w:rsidP="00C23338">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Eliminacija</w:t>
      </w:r>
    </w:p>
    <w:p w14:paraId="300CD39B"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Po 400/100</w:t>
      </w:r>
      <w:r w:rsidR="00D00CDE" w:rsidRPr="00532388">
        <w:rPr>
          <w:rFonts w:eastAsia="TimesNewRoman"/>
          <w:sz w:val="22"/>
          <w:szCs w:val="22"/>
          <w:lang w:val="lt-LT" w:eastAsia="en-US"/>
        </w:rPr>
        <w:t> </w:t>
      </w:r>
      <w:r w:rsidRPr="00532388">
        <w:rPr>
          <w:rFonts w:eastAsia="TimesNewRoman"/>
          <w:sz w:val="22"/>
          <w:szCs w:val="22"/>
          <w:lang w:val="lt-LT" w:eastAsia="en-US"/>
        </w:rPr>
        <w:t xml:space="preserve">mg </w:t>
      </w:r>
      <w:r w:rsidRPr="00532388">
        <w:rPr>
          <w:rFonts w:eastAsia="TimesNewRoman"/>
          <w:sz w:val="22"/>
          <w:szCs w:val="22"/>
          <w:vertAlign w:val="superscript"/>
          <w:lang w:val="lt-LT" w:eastAsia="en-US"/>
        </w:rPr>
        <w:t>14</w:t>
      </w:r>
      <w:r w:rsidRPr="00532388">
        <w:rPr>
          <w:rFonts w:eastAsia="TimesNewRoman"/>
          <w:sz w:val="22"/>
          <w:szCs w:val="22"/>
          <w:lang w:val="lt-LT" w:eastAsia="en-US"/>
        </w:rPr>
        <w:t>C-darunaviro ir ritonaviro dozės pavartojimo apie 79,5 % šios dozės buvo randama</w:t>
      </w:r>
      <w:r w:rsidR="00D00CDE" w:rsidRPr="00532388">
        <w:rPr>
          <w:rFonts w:eastAsia="TimesNewRoman"/>
          <w:sz w:val="22"/>
          <w:szCs w:val="22"/>
          <w:lang w:val="lt-LT" w:eastAsia="en-US"/>
        </w:rPr>
        <w:t xml:space="preserve"> </w:t>
      </w:r>
      <w:r w:rsidRPr="00532388">
        <w:rPr>
          <w:rFonts w:eastAsia="TimesNewRoman"/>
          <w:sz w:val="22"/>
          <w:szCs w:val="22"/>
          <w:lang w:val="lt-LT" w:eastAsia="en-US"/>
        </w:rPr>
        <w:t xml:space="preserve">išmatose ir 13,9 % šlapime. Nepakitusio darunaviro išmatose ir </w:t>
      </w:r>
      <w:r w:rsidRPr="00532388">
        <w:rPr>
          <w:rFonts w:eastAsia="TimesNewRoman"/>
          <w:sz w:val="22"/>
          <w:szCs w:val="22"/>
          <w:lang w:val="lt-LT" w:eastAsia="en-US"/>
        </w:rPr>
        <w:lastRenderedPageBreak/>
        <w:t>šlapime buvo atitinkamai 41,2 % ir</w:t>
      </w:r>
      <w:r w:rsidR="00157BDE">
        <w:rPr>
          <w:rFonts w:eastAsia="TimesNewRoman"/>
          <w:sz w:val="22"/>
          <w:szCs w:val="22"/>
          <w:lang w:val="lt-LT" w:eastAsia="en-US"/>
        </w:rPr>
        <w:t xml:space="preserve"> </w:t>
      </w:r>
      <w:r w:rsidRPr="00532388">
        <w:rPr>
          <w:rFonts w:eastAsia="TimesNewRoman"/>
          <w:sz w:val="22"/>
          <w:szCs w:val="22"/>
          <w:lang w:val="lt-LT" w:eastAsia="en-US"/>
        </w:rPr>
        <w:t>7,7</w:t>
      </w:r>
      <w:r w:rsidR="00D00CDE" w:rsidRPr="00532388">
        <w:rPr>
          <w:rFonts w:eastAsia="TimesNewRoman"/>
          <w:sz w:val="22"/>
          <w:szCs w:val="22"/>
          <w:lang w:val="lt-LT" w:eastAsia="en-US"/>
        </w:rPr>
        <w:t> </w:t>
      </w:r>
      <w:r w:rsidRPr="00532388">
        <w:rPr>
          <w:rFonts w:eastAsia="TimesNewRoman"/>
          <w:sz w:val="22"/>
          <w:szCs w:val="22"/>
          <w:lang w:val="lt-LT" w:eastAsia="en-US"/>
        </w:rPr>
        <w:t>% suvartotos dozės. Darunaviro, vartoto su ritonaviru, galutinis pusinės eliminacijos periodas buvo</w:t>
      </w:r>
      <w:r w:rsidR="00D00CDE" w:rsidRPr="00532388">
        <w:rPr>
          <w:rFonts w:eastAsia="TimesNewRoman"/>
          <w:sz w:val="22"/>
          <w:szCs w:val="22"/>
          <w:lang w:val="lt-LT" w:eastAsia="en-US"/>
        </w:rPr>
        <w:t xml:space="preserve"> </w:t>
      </w:r>
      <w:r w:rsidRPr="00532388">
        <w:rPr>
          <w:rFonts w:eastAsia="TimesNewRoman"/>
          <w:sz w:val="22"/>
          <w:szCs w:val="22"/>
          <w:lang w:val="lt-LT" w:eastAsia="en-US"/>
        </w:rPr>
        <w:t>apie 15 valandų.</w:t>
      </w:r>
    </w:p>
    <w:p w14:paraId="771EA737" w14:textId="77777777" w:rsidR="00D00CDE" w:rsidRPr="00532388" w:rsidRDefault="00D00CDE" w:rsidP="00C23338">
      <w:pPr>
        <w:autoSpaceDE w:val="0"/>
        <w:autoSpaceDN w:val="0"/>
        <w:adjustRightInd w:val="0"/>
        <w:rPr>
          <w:rFonts w:eastAsia="TimesNewRoman"/>
          <w:sz w:val="22"/>
          <w:szCs w:val="22"/>
          <w:lang w:val="lt-LT" w:eastAsia="en-US"/>
        </w:rPr>
      </w:pPr>
    </w:p>
    <w:p w14:paraId="6E01D4E0"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Į veną suleisto </w:t>
      </w:r>
      <w:r w:rsidR="00D00CDE" w:rsidRPr="00532388">
        <w:rPr>
          <w:rFonts w:eastAsia="TimesNewRoman"/>
          <w:sz w:val="22"/>
          <w:szCs w:val="22"/>
          <w:lang w:val="lt-LT" w:eastAsia="en-US"/>
        </w:rPr>
        <w:t xml:space="preserve">tik </w:t>
      </w:r>
      <w:r w:rsidRPr="00532388">
        <w:rPr>
          <w:rFonts w:eastAsia="TimesNewRoman"/>
          <w:sz w:val="22"/>
          <w:szCs w:val="22"/>
          <w:lang w:val="lt-LT" w:eastAsia="en-US"/>
        </w:rPr>
        <w:t>darunaviro (150</w:t>
      </w:r>
      <w:r w:rsidR="00D00CDE" w:rsidRPr="00532388">
        <w:rPr>
          <w:rFonts w:eastAsia="TimesNewRoman"/>
          <w:sz w:val="22"/>
          <w:szCs w:val="22"/>
          <w:lang w:val="lt-LT" w:eastAsia="en-US"/>
        </w:rPr>
        <w:t> </w:t>
      </w:r>
      <w:r w:rsidRPr="00532388">
        <w:rPr>
          <w:rFonts w:eastAsia="TimesNewRoman"/>
          <w:sz w:val="22"/>
          <w:szCs w:val="22"/>
          <w:lang w:val="lt-LT" w:eastAsia="en-US"/>
        </w:rPr>
        <w:t>mg) ir pavartoto su nedidele ritonaviro doze klirensas buvo</w:t>
      </w:r>
      <w:r w:rsidR="00D00CDE" w:rsidRPr="00532388">
        <w:rPr>
          <w:rFonts w:eastAsia="TimesNewRoman"/>
          <w:sz w:val="22"/>
          <w:szCs w:val="22"/>
          <w:lang w:val="lt-LT" w:eastAsia="en-US"/>
        </w:rPr>
        <w:t xml:space="preserve"> </w:t>
      </w:r>
      <w:r w:rsidRPr="00532388">
        <w:rPr>
          <w:rFonts w:eastAsia="TimesNewRoman"/>
          <w:sz w:val="22"/>
          <w:szCs w:val="22"/>
          <w:lang w:val="lt-LT" w:eastAsia="en-US"/>
        </w:rPr>
        <w:t>atitinkamai 32,8</w:t>
      </w:r>
      <w:r w:rsidR="00D00CDE" w:rsidRPr="00532388">
        <w:rPr>
          <w:rFonts w:eastAsia="TimesNewRoman"/>
          <w:sz w:val="22"/>
          <w:szCs w:val="22"/>
          <w:lang w:val="lt-LT" w:eastAsia="en-US"/>
        </w:rPr>
        <w:t> </w:t>
      </w:r>
      <w:r w:rsidRPr="00532388">
        <w:rPr>
          <w:rFonts w:eastAsia="TimesNewRoman"/>
          <w:sz w:val="22"/>
          <w:szCs w:val="22"/>
          <w:lang w:val="lt-LT" w:eastAsia="en-US"/>
        </w:rPr>
        <w:t>l/val. ir 5,9</w:t>
      </w:r>
      <w:r w:rsidR="00D00CDE" w:rsidRPr="00532388">
        <w:rPr>
          <w:rFonts w:eastAsia="TimesNewRoman"/>
          <w:sz w:val="22"/>
          <w:szCs w:val="22"/>
          <w:lang w:val="lt-LT" w:eastAsia="en-US"/>
        </w:rPr>
        <w:t> </w:t>
      </w:r>
      <w:r w:rsidRPr="00532388">
        <w:rPr>
          <w:rFonts w:eastAsia="TimesNewRoman"/>
          <w:sz w:val="22"/>
          <w:szCs w:val="22"/>
          <w:lang w:val="lt-LT" w:eastAsia="en-US"/>
        </w:rPr>
        <w:t>l/val.</w:t>
      </w:r>
    </w:p>
    <w:p w14:paraId="575084CB" w14:textId="77777777" w:rsidR="00D00CDE" w:rsidRPr="00532388" w:rsidRDefault="00D00CDE" w:rsidP="00C23338">
      <w:pPr>
        <w:autoSpaceDE w:val="0"/>
        <w:autoSpaceDN w:val="0"/>
        <w:adjustRightInd w:val="0"/>
        <w:rPr>
          <w:rFonts w:eastAsia="TimesNewRoman"/>
          <w:sz w:val="22"/>
          <w:szCs w:val="22"/>
          <w:lang w:val="lt-LT" w:eastAsia="en-US"/>
        </w:rPr>
      </w:pPr>
    </w:p>
    <w:p w14:paraId="47033D7B" w14:textId="77777777" w:rsidR="00C23338" w:rsidRPr="00532388" w:rsidRDefault="00C23338" w:rsidP="00C23338">
      <w:pPr>
        <w:autoSpaceDE w:val="0"/>
        <w:autoSpaceDN w:val="0"/>
        <w:adjustRightInd w:val="0"/>
        <w:rPr>
          <w:rFonts w:eastAsia="TimesNewRoman"/>
          <w:sz w:val="22"/>
          <w:szCs w:val="22"/>
          <w:u w:val="single"/>
          <w:lang w:val="lt-LT" w:eastAsia="en-US"/>
        </w:rPr>
      </w:pPr>
      <w:r w:rsidRPr="00532388">
        <w:rPr>
          <w:rFonts w:eastAsia="TimesNewRoman"/>
          <w:sz w:val="22"/>
          <w:szCs w:val="22"/>
          <w:u w:val="single"/>
          <w:lang w:val="lt-LT" w:eastAsia="en-US"/>
        </w:rPr>
        <w:t>Ypatingos populiacijos</w:t>
      </w:r>
    </w:p>
    <w:p w14:paraId="625A7A70" w14:textId="77777777" w:rsidR="00D00CDE" w:rsidRPr="00532388" w:rsidRDefault="00D00CDE" w:rsidP="00C23338">
      <w:pPr>
        <w:autoSpaceDE w:val="0"/>
        <w:autoSpaceDN w:val="0"/>
        <w:adjustRightInd w:val="0"/>
        <w:rPr>
          <w:rFonts w:eastAsia="TimesNewRoman"/>
          <w:i/>
          <w:iCs/>
          <w:sz w:val="22"/>
          <w:szCs w:val="22"/>
          <w:lang w:val="lt-LT" w:eastAsia="en-US"/>
        </w:rPr>
      </w:pPr>
    </w:p>
    <w:p w14:paraId="441803F6"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Vaikų populiacija</w:t>
      </w:r>
    </w:p>
    <w:p w14:paraId="685CD612"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vartojamo kartu su ritonaviru du kartus per parą, farmakokinetikos 74 anksčiau gydytų</w:t>
      </w:r>
      <w:r w:rsidR="00D00CDE" w:rsidRPr="00532388">
        <w:rPr>
          <w:rFonts w:eastAsia="TimesNewRoman"/>
          <w:sz w:val="22"/>
          <w:szCs w:val="22"/>
          <w:lang w:val="lt-LT" w:eastAsia="en-US"/>
        </w:rPr>
        <w:t xml:space="preserve">  </w:t>
      </w:r>
      <w:r w:rsidRPr="00532388">
        <w:rPr>
          <w:rFonts w:eastAsia="TimesNewRoman"/>
          <w:sz w:val="22"/>
          <w:szCs w:val="22"/>
          <w:lang w:val="lt-LT" w:eastAsia="en-US"/>
        </w:rPr>
        <w:t>6</w:t>
      </w:r>
      <w:r w:rsidR="00D00CDE" w:rsidRPr="00532388">
        <w:rPr>
          <w:rFonts w:eastAsia="TimesNewRoman"/>
          <w:sz w:val="22"/>
          <w:szCs w:val="22"/>
          <w:lang w:val="lt-LT" w:eastAsia="en-US"/>
        </w:rPr>
        <w:t> </w:t>
      </w:r>
      <w:r w:rsidRPr="00532388">
        <w:rPr>
          <w:rFonts w:eastAsia="TimesNewRoman"/>
          <w:sz w:val="22"/>
          <w:szCs w:val="22"/>
          <w:lang w:val="lt-LT" w:eastAsia="en-US"/>
        </w:rPr>
        <w:t>-</w:t>
      </w:r>
      <w:r w:rsidR="00D00CDE" w:rsidRPr="00532388">
        <w:rPr>
          <w:rFonts w:eastAsia="TimesNewRoman"/>
          <w:sz w:val="22"/>
          <w:szCs w:val="22"/>
          <w:lang w:val="lt-LT" w:eastAsia="en-US"/>
        </w:rPr>
        <w:t> </w:t>
      </w:r>
      <w:r w:rsidRPr="00532388">
        <w:rPr>
          <w:rFonts w:eastAsia="TimesNewRoman"/>
          <w:sz w:val="22"/>
          <w:szCs w:val="22"/>
          <w:lang w:val="lt-LT" w:eastAsia="en-US"/>
        </w:rPr>
        <w:t>17 metų bei ne mažiau kaip 20</w:t>
      </w:r>
      <w:r w:rsidR="00D00CDE" w:rsidRPr="00532388">
        <w:rPr>
          <w:rFonts w:eastAsia="TimesNewRoman"/>
          <w:sz w:val="22"/>
          <w:szCs w:val="22"/>
          <w:lang w:val="lt-LT" w:eastAsia="en-US"/>
        </w:rPr>
        <w:t> </w:t>
      </w:r>
      <w:r w:rsidRPr="00532388">
        <w:rPr>
          <w:rFonts w:eastAsia="TimesNewRoman"/>
          <w:sz w:val="22"/>
          <w:szCs w:val="22"/>
          <w:lang w:val="lt-LT" w:eastAsia="en-US"/>
        </w:rPr>
        <w:t>kg sveriančių vaikų ir paauglių organizme duomenys rodo, kad,</w:t>
      </w:r>
      <w:r w:rsidR="00D00CDE" w:rsidRPr="00532388">
        <w:rPr>
          <w:rFonts w:eastAsia="TimesNewRoman"/>
          <w:sz w:val="22"/>
          <w:szCs w:val="22"/>
          <w:lang w:val="lt-LT" w:eastAsia="en-US"/>
        </w:rPr>
        <w:t xml:space="preserve"> </w:t>
      </w:r>
      <w:r w:rsidRPr="00532388">
        <w:rPr>
          <w:rFonts w:eastAsia="TimesNewRoman"/>
          <w:sz w:val="22"/>
          <w:szCs w:val="22"/>
          <w:lang w:val="lt-LT" w:eastAsia="en-US"/>
        </w:rPr>
        <w:t xml:space="preserve">vartojant pagal kūno svorį apskaičiuotas </w:t>
      </w:r>
      <w:r w:rsidR="00D00CDE" w:rsidRPr="00532388">
        <w:rPr>
          <w:rFonts w:eastAsia="TimesNewRoman"/>
          <w:sz w:val="22"/>
          <w:szCs w:val="22"/>
          <w:lang w:val="lt-LT" w:eastAsia="en-US"/>
        </w:rPr>
        <w:t xml:space="preserve">darunaviro </w:t>
      </w:r>
      <w:r w:rsidRPr="00532388">
        <w:rPr>
          <w:rFonts w:eastAsia="TimesNewRoman"/>
          <w:sz w:val="22"/>
          <w:szCs w:val="22"/>
          <w:lang w:val="lt-LT" w:eastAsia="en-US"/>
        </w:rPr>
        <w:t>/ritonaviro dozes, darunaviro ekspozicija būna</w:t>
      </w:r>
      <w:r w:rsidR="00D00CDE" w:rsidRPr="00532388">
        <w:rPr>
          <w:rFonts w:eastAsia="TimesNewRoman"/>
          <w:sz w:val="22"/>
          <w:szCs w:val="22"/>
          <w:lang w:val="lt-LT" w:eastAsia="en-US"/>
        </w:rPr>
        <w:t xml:space="preserve"> </w:t>
      </w:r>
      <w:r w:rsidRPr="00532388">
        <w:rPr>
          <w:rFonts w:eastAsia="TimesNewRoman"/>
          <w:sz w:val="22"/>
          <w:szCs w:val="22"/>
          <w:lang w:val="lt-LT" w:eastAsia="en-US"/>
        </w:rPr>
        <w:t>panaši į suaugusiųjų, kurie vartoja 600/100</w:t>
      </w:r>
      <w:r w:rsidR="00D00CDE" w:rsidRPr="00532388">
        <w:rPr>
          <w:rFonts w:eastAsia="TimesNewRoman"/>
          <w:sz w:val="22"/>
          <w:szCs w:val="22"/>
          <w:lang w:val="lt-LT" w:eastAsia="en-US"/>
        </w:rPr>
        <w:t xml:space="preserve"> mg darunaviro </w:t>
      </w:r>
      <w:r w:rsidRPr="00532388">
        <w:rPr>
          <w:rFonts w:eastAsia="TimesNewRoman"/>
          <w:sz w:val="22"/>
          <w:szCs w:val="22"/>
          <w:lang w:val="lt-LT" w:eastAsia="en-US"/>
        </w:rPr>
        <w:t>/ritonaviro dozes du kartus per parą (žr.4.2 skyrių).</w:t>
      </w:r>
    </w:p>
    <w:p w14:paraId="4C8D6B59" w14:textId="77777777" w:rsidR="00D00CDE" w:rsidRPr="00532388" w:rsidRDefault="00D00CDE" w:rsidP="00C23338">
      <w:pPr>
        <w:autoSpaceDE w:val="0"/>
        <w:autoSpaceDN w:val="0"/>
        <w:adjustRightInd w:val="0"/>
        <w:rPr>
          <w:rFonts w:eastAsia="TimesNewRoman"/>
          <w:sz w:val="22"/>
          <w:szCs w:val="22"/>
          <w:lang w:val="lt-LT" w:eastAsia="en-US"/>
        </w:rPr>
      </w:pPr>
    </w:p>
    <w:p w14:paraId="685C0401"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vartojamo kartu su ritonaviru du kartus per parą, farmakokinetikos 14 anksčiau gydytų</w:t>
      </w:r>
      <w:r w:rsidR="00D00CDE" w:rsidRPr="00532388">
        <w:rPr>
          <w:rFonts w:eastAsia="TimesNewRoman"/>
          <w:sz w:val="22"/>
          <w:szCs w:val="22"/>
          <w:lang w:val="lt-LT" w:eastAsia="en-US"/>
        </w:rPr>
        <w:t xml:space="preserve"> </w:t>
      </w:r>
      <w:r w:rsidRPr="00532388">
        <w:rPr>
          <w:rFonts w:eastAsia="TimesNewRoman"/>
          <w:sz w:val="22"/>
          <w:szCs w:val="22"/>
          <w:lang w:val="lt-LT" w:eastAsia="en-US"/>
        </w:rPr>
        <w:t>nuo 3 iki &lt; 6 metų amžiaus bei nuo 15</w:t>
      </w:r>
      <w:r w:rsidR="00D00CDE" w:rsidRPr="00532388">
        <w:rPr>
          <w:rFonts w:eastAsia="TimesNewRoman"/>
          <w:sz w:val="22"/>
          <w:szCs w:val="22"/>
          <w:lang w:val="lt-LT" w:eastAsia="en-US"/>
        </w:rPr>
        <w:t> kg iki &lt; 20 </w:t>
      </w:r>
      <w:r w:rsidRPr="00532388">
        <w:rPr>
          <w:rFonts w:eastAsia="TimesNewRoman"/>
          <w:sz w:val="22"/>
          <w:szCs w:val="22"/>
          <w:lang w:val="lt-LT" w:eastAsia="en-US"/>
        </w:rPr>
        <w:t>kg sveriančių vaikų ir paauglių organizme</w:t>
      </w:r>
      <w:r w:rsidR="00D00CDE" w:rsidRPr="00532388">
        <w:rPr>
          <w:rFonts w:eastAsia="TimesNewRoman"/>
          <w:sz w:val="22"/>
          <w:szCs w:val="22"/>
          <w:lang w:val="lt-LT" w:eastAsia="en-US"/>
        </w:rPr>
        <w:t xml:space="preserve"> </w:t>
      </w:r>
      <w:r w:rsidRPr="00532388">
        <w:rPr>
          <w:rFonts w:eastAsia="TimesNewRoman"/>
          <w:sz w:val="22"/>
          <w:szCs w:val="22"/>
          <w:lang w:val="lt-LT" w:eastAsia="en-US"/>
        </w:rPr>
        <w:t>duomenys parodė, kad, darunavirą dozuojant pagal kūno svorį jo ekspozicija buvo panaši į</w:t>
      </w:r>
      <w:r w:rsidR="00D00CDE" w:rsidRPr="00532388">
        <w:rPr>
          <w:rFonts w:eastAsia="TimesNewRoman"/>
          <w:sz w:val="22"/>
          <w:szCs w:val="22"/>
          <w:lang w:val="lt-LT" w:eastAsia="en-US"/>
        </w:rPr>
        <w:t xml:space="preserve"> </w:t>
      </w:r>
      <w:r w:rsidRPr="00532388">
        <w:rPr>
          <w:rFonts w:eastAsia="TimesNewRoman"/>
          <w:sz w:val="22"/>
          <w:szCs w:val="22"/>
          <w:lang w:val="lt-LT" w:eastAsia="en-US"/>
        </w:rPr>
        <w:t>suaugusiųjų, kurie vartoja 600/100</w:t>
      </w:r>
      <w:r w:rsidR="00D00CDE" w:rsidRPr="00532388">
        <w:rPr>
          <w:rFonts w:eastAsia="TimesNewRoman"/>
          <w:sz w:val="22"/>
          <w:szCs w:val="22"/>
          <w:lang w:val="lt-LT" w:eastAsia="en-US"/>
        </w:rPr>
        <w:t> </w:t>
      </w:r>
      <w:r w:rsidRPr="00532388">
        <w:rPr>
          <w:rFonts w:eastAsia="TimesNewRoman"/>
          <w:sz w:val="22"/>
          <w:szCs w:val="22"/>
          <w:lang w:val="lt-LT" w:eastAsia="en-US"/>
        </w:rPr>
        <w:t xml:space="preserve">mg </w:t>
      </w:r>
      <w:r w:rsidR="00D00CDE" w:rsidRPr="00532388">
        <w:rPr>
          <w:rFonts w:eastAsia="TimesNewRoman"/>
          <w:sz w:val="22"/>
          <w:szCs w:val="22"/>
          <w:lang w:val="lt-LT" w:eastAsia="en-US"/>
        </w:rPr>
        <w:t>darunaviro</w:t>
      </w:r>
      <w:r w:rsidRPr="00532388">
        <w:rPr>
          <w:rFonts w:eastAsia="TimesNewRoman"/>
          <w:sz w:val="22"/>
          <w:szCs w:val="22"/>
          <w:lang w:val="lt-LT" w:eastAsia="en-US"/>
        </w:rPr>
        <w:t>/ritonaviro dozę du kartus per parą (žr. 4.2 skyrių).</w:t>
      </w:r>
    </w:p>
    <w:p w14:paraId="2D128FED" w14:textId="77777777" w:rsidR="00D00CDE" w:rsidRPr="00532388" w:rsidRDefault="00D00CDE" w:rsidP="00C23338">
      <w:pPr>
        <w:autoSpaceDE w:val="0"/>
        <w:autoSpaceDN w:val="0"/>
        <w:adjustRightInd w:val="0"/>
        <w:rPr>
          <w:rFonts w:eastAsia="TimesNewRoman"/>
          <w:sz w:val="22"/>
          <w:szCs w:val="22"/>
          <w:lang w:val="lt-LT" w:eastAsia="en-US"/>
        </w:rPr>
      </w:pPr>
    </w:p>
    <w:p w14:paraId="3C2850B6"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vartojamo kartu su ritonaviru vieną kartą per parą, farmakokinetikos 12 anksčiau ARG</w:t>
      </w:r>
      <w:r w:rsidR="00D00CDE" w:rsidRPr="00532388">
        <w:rPr>
          <w:rFonts w:eastAsia="TimesNewRoman"/>
          <w:sz w:val="22"/>
          <w:szCs w:val="22"/>
          <w:lang w:val="lt-LT" w:eastAsia="en-US"/>
        </w:rPr>
        <w:t xml:space="preserve"> </w:t>
      </w:r>
      <w:r w:rsidRPr="00532388">
        <w:rPr>
          <w:rFonts w:eastAsia="TimesNewRoman"/>
          <w:sz w:val="22"/>
          <w:szCs w:val="22"/>
          <w:lang w:val="lt-LT" w:eastAsia="en-US"/>
        </w:rPr>
        <w:t>ne</w:t>
      </w:r>
      <w:r w:rsidR="00D00CDE" w:rsidRPr="00532388">
        <w:rPr>
          <w:rFonts w:eastAsia="TimesNewRoman"/>
          <w:sz w:val="22"/>
          <w:szCs w:val="22"/>
          <w:lang w:val="lt-LT" w:eastAsia="en-US"/>
        </w:rPr>
        <w:t>taikytų</w:t>
      </w:r>
      <w:r w:rsidRPr="00532388">
        <w:rPr>
          <w:rFonts w:eastAsia="TimesNewRoman"/>
          <w:sz w:val="22"/>
          <w:szCs w:val="22"/>
          <w:lang w:val="lt-LT" w:eastAsia="en-US"/>
        </w:rPr>
        <w:t xml:space="preserve"> nuo 12 iki &lt; 18 metų bei ne mažiau kaip 40</w:t>
      </w:r>
      <w:r w:rsidR="00D00CDE" w:rsidRPr="00532388">
        <w:rPr>
          <w:rFonts w:eastAsia="TimesNewRoman"/>
          <w:sz w:val="22"/>
          <w:szCs w:val="22"/>
          <w:lang w:val="lt-LT" w:eastAsia="en-US"/>
        </w:rPr>
        <w:t> </w:t>
      </w:r>
      <w:r w:rsidRPr="00532388">
        <w:rPr>
          <w:rFonts w:eastAsia="TimesNewRoman"/>
          <w:sz w:val="22"/>
          <w:szCs w:val="22"/>
          <w:lang w:val="lt-LT" w:eastAsia="en-US"/>
        </w:rPr>
        <w:t>kg sveriančių vaikų ir paauglių organizme</w:t>
      </w:r>
      <w:r w:rsidR="00D00CDE" w:rsidRPr="00532388">
        <w:rPr>
          <w:rFonts w:eastAsia="TimesNewRoman"/>
          <w:sz w:val="22"/>
          <w:szCs w:val="22"/>
          <w:lang w:val="lt-LT" w:eastAsia="en-US"/>
        </w:rPr>
        <w:t xml:space="preserve"> </w:t>
      </w:r>
      <w:r w:rsidRPr="00532388">
        <w:rPr>
          <w:rFonts w:eastAsia="TimesNewRoman"/>
          <w:sz w:val="22"/>
          <w:szCs w:val="22"/>
          <w:lang w:val="lt-LT" w:eastAsia="en-US"/>
        </w:rPr>
        <w:t>duomenys rodo, kad, vartojant 800/100</w:t>
      </w:r>
      <w:r w:rsidR="00D00CDE" w:rsidRPr="00532388">
        <w:rPr>
          <w:rFonts w:eastAsia="TimesNewRoman"/>
          <w:sz w:val="22"/>
          <w:szCs w:val="22"/>
          <w:lang w:val="lt-LT" w:eastAsia="en-US"/>
        </w:rPr>
        <w:t> </w:t>
      </w:r>
      <w:r w:rsidRPr="00532388">
        <w:rPr>
          <w:rFonts w:eastAsia="TimesNewRoman"/>
          <w:sz w:val="22"/>
          <w:szCs w:val="22"/>
          <w:lang w:val="lt-LT" w:eastAsia="en-US"/>
        </w:rPr>
        <w:t xml:space="preserve">mg </w:t>
      </w:r>
      <w:r w:rsidR="00D00CDE" w:rsidRPr="00532388">
        <w:rPr>
          <w:rFonts w:eastAsia="TimesNewRoman"/>
          <w:sz w:val="22"/>
          <w:szCs w:val="22"/>
          <w:lang w:val="lt-LT" w:eastAsia="en-US"/>
        </w:rPr>
        <w:t>darunaviro</w:t>
      </w:r>
      <w:r w:rsidRPr="00532388">
        <w:rPr>
          <w:rFonts w:eastAsia="TimesNewRoman"/>
          <w:sz w:val="22"/>
          <w:szCs w:val="22"/>
          <w:lang w:val="lt-LT" w:eastAsia="en-US"/>
        </w:rPr>
        <w:t>/ritonaviro dozes vieną kartą per parą,</w:t>
      </w:r>
      <w:r w:rsidR="00D00CDE" w:rsidRPr="00532388">
        <w:rPr>
          <w:rFonts w:eastAsia="TimesNewRoman"/>
          <w:sz w:val="22"/>
          <w:szCs w:val="22"/>
          <w:lang w:val="lt-LT" w:eastAsia="en-US"/>
        </w:rPr>
        <w:t xml:space="preserve"> </w:t>
      </w:r>
      <w:r w:rsidRPr="00532388">
        <w:rPr>
          <w:rFonts w:eastAsia="TimesNewRoman"/>
          <w:sz w:val="22"/>
          <w:szCs w:val="22"/>
          <w:lang w:val="lt-LT" w:eastAsia="en-US"/>
        </w:rPr>
        <w:t>darunaviro ekspozicija buvo panaši į suaugusiųjų, kurie vartoja 800/100</w:t>
      </w:r>
      <w:r w:rsidR="00D00CDE" w:rsidRPr="00532388">
        <w:rPr>
          <w:rFonts w:eastAsia="TimesNewRoman"/>
          <w:sz w:val="22"/>
          <w:szCs w:val="22"/>
          <w:lang w:val="lt-LT" w:eastAsia="en-US"/>
        </w:rPr>
        <w:t> </w:t>
      </w:r>
      <w:r w:rsidRPr="00532388">
        <w:rPr>
          <w:rFonts w:eastAsia="TimesNewRoman"/>
          <w:sz w:val="22"/>
          <w:szCs w:val="22"/>
          <w:lang w:val="lt-LT" w:eastAsia="en-US"/>
        </w:rPr>
        <w:t xml:space="preserve">mg </w:t>
      </w:r>
      <w:r w:rsidR="00D00CDE" w:rsidRPr="00532388">
        <w:rPr>
          <w:rFonts w:eastAsia="TimesNewRoman"/>
          <w:sz w:val="22"/>
          <w:szCs w:val="22"/>
          <w:lang w:val="lt-LT" w:eastAsia="en-US"/>
        </w:rPr>
        <w:t xml:space="preserve">darunaviro </w:t>
      </w:r>
      <w:r w:rsidRPr="00532388">
        <w:rPr>
          <w:rFonts w:eastAsia="TimesNewRoman"/>
          <w:sz w:val="22"/>
          <w:szCs w:val="22"/>
          <w:lang w:val="lt-LT" w:eastAsia="en-US"/>
        </w:rPr>
        <w:t>/ritonaviro</w:t>
      </w:r>
      <w:r w:rsidR="00D00CDE" w:rsidRPr="00532388">
        <w:rPr>
          <w:rFonts w:eastAsia="TimesNewRoman"/>
          <w:sz w:val="22"/>
          <w:szCs w:val="22"/>
          <w:lang w:val="lt-LT" w:eastAsia="en-US"/>
        </w:rPr>
        <w:t xml:space="preserve"> </w:t>
      </w:r>
      <w:r w:rsidRPr="00532388">
        <w:rPr>
          <w:rFonts w:eastAsia="TimesNewRoman"/>
          <w:sz w:val="22"/>
          <w:szCs w:val="22"/>
          <w:lang w:val="lt-LT" w:eastAsia="en-US"/>
        </w:rPr>
        <w:t>dozę vieną kartą per parą. Todėl pirmiau gydytiems paaugliams nuo 12 iki &lt; 18 metų, sveriantiems ne</w:t>
      </w:r>
      <w:r w:rsidR="00A53B61" w:rsidRPr="00532388">
        <w:rPr>
          <w:rFonts w:eastAsia="TimesNewRoman"/>
          <w:sz w:val="22"/>
          <w:szCs w:val="22"/>
          <w:lang w:val="lt-LT" w:eastAsia="en-US"/>
        </w:rPr>
        <w:t xml:space="preserve"> </w:t>
      </w:r>
      <w:r w:rsidRPr="00532388">
        <w:rPr>
          <w:rFonts w:eastAsia="TimesNewRoman"/>
          <w:sz w:val="22"/>
          <w:szCs w:val="22"/>
          <w:lang w:val="lt-LT" w:eastAsia="en-US"/>
        </w:rPr>
        <w:t>mažiau kaip 40</w:t>
      </w:r>
      <w:r w:rsidR="00A53B61" w:rsidRPr="00532388">
        <w:rPr>
          <w:rFonts w:eastAsia="TimesNewRoman"/>
          <w:sz w:val="22"/>
          <w:szCs w:val="22"/>
          <w:lang w:val="lt-LT" w:eastAsia="en-US"/>
        </w:rPr>
        <w:t> </w:t>
      </w:r>
      <w:r w:rsidRPr="00532388">
        <w:rPr>
          <w:rFonts w:eastAsia="TimesNewRoman"/>
          <w:sz w:val="22"/>
          <w:szCs w:val="22"/>
          <w:lang w:val="lt-LT" w:eastAsia="en-US"/>
        </w:rPr>
        <w:t>kg ir neturintiems su mutacijomis (DRV-A</w:t>
      </w:r>
      <w:r w:rsidR="00A53B61" w:rsidRPr="00532388">
        <w:rPr>
          <w:rFonts w:eastAsia="TimesNewRoman"/>
          <w:sz w:val="22"/>
          <w:szCs w:val="22"/>
          <w:lang w:val="lt-LT" w:eastAsia="en-US"/>
        </w:rPr>
        <w:t>S</w:t>
      </w:r>
      <w:r w:rsidRPr="00532388">
        <w:rPr>
          <w:rFonts w:eastAsia="TimesNewRoman"/>
          <w:sz w:val="22"/>
          <w:szCs w:val="22"/>
          <w:lang w:val="lt-LT" w:eastAsia="en-US"/>
        </w:rPr>
        <w:t>M)* susijusio atsparumo darunavirui,</w:t>
      </w:r>
      <w:r w:rsidR="00A53B61" w:rsidRPr="00532388">
        <w:rPr>
          <w:rFonts w:eastAsia="TimesNewRoman"/>
          <w:sz w:val="22"/>
          <w:szCs w:val="22"/>
          <w:lang w:val="lt-LT" w:eastAsia="en-US"/>
        </w:rPr>
        <w:t xml:space="preserve"> </w:t>
      </w:r>
      <w:r w:rsidRPr="00532388">
        <w:rPr>
          <w:rFonts w:eastAsia="TimesNewRoman"/>
          <w:sz w:val="22"/>
          <w:szCs w:val="22"/>
          <w:lang w:val="lt-LT" w:eastAsia="en-US"/>
        </w:rPr>
        <w:t>kurių plazmoje yra &lt; 100 000 ŽIV-1 RNR kopijų/ml ir CD4+ ląstelių kiekis yra ≥ 100 ląstelių x 10</w:t>
      </w:r>
      <w:r w:rsidRPr="00532388">
        <w:rPr>
          <w:rFonts w:eastAsia="TimesNewRoman"/>
          <w:sz w:val="22"/>
          <w:szCs w:val="22"/>
          <w:vertAlign w:val="superscript"/>
          <w:lang w:val="lt-LT" w:eastAsia="en-US"/>
        </w:rPr>
        <w:t>6</w:t>
      </w:r>
      <w:r w:rsidRPr="00532388">
        <w:rPr>
          <w:rFonts w:eastAsia="TimesNewRoman"/>
          <w:sz w:val="22"/>
          <w:szCs w:val="22"/>
          <w:lang w:val="lt-LT" w:eastAsia="en-US"/>
        </w:rPr>
        <w:t>/l,</w:t>
      </w:r>
    </w:p>
    <w:p w14:paraId="71AD393F"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galima vartoti tokią pa</w:t>
      </w:r>
      <w:r w:rsidR="00036FCB">
        <w:rPr>
          <w:rFonts w:eastAsia="TimesNewRoman"/>
          <w:sz w:val="22"/>
          <w:szCs w:val="22"/>
          <w:lang w:val="lt-LT" w:eastAsia="en-US"/>
        </w:rPr>
        <w:t>či</w:t>
      </w:r>
      <w:r w:rsidRPr="00532388">
        <w:rPr>
          <w:rFonts w:eastAsia="TimesNewRoman"/>
          <w:sz w:val="22"/>
          <w:szCs w:val="22"/>
          <w:lang w:val="lt-LT" w:eastAsia="en-US"/>
        </w:rPr>
        <w:t>ą dozę (žr. 4.2 skyrių).</w:t>
      </w:r>
    </w:p>
    <w:p w14:paraId="1D7A0BA4" w14:textId="77777777" w:rsidR="00C23338" w:rsidRPr="00532388" w:rsidRDefault="00C23338" w:rsidP="00C23338">
      <w:pPr>
        <w:autoSpaceDE w:val="0"/>
        <w:autoSpaceDN w:val="0"/>
        <w:adjustRightInd w:val="0"/>
        <w:rPr>
          <w:rFonts w:eastAsia="TimesNewRoman"/>
          <w:sz w:val="18"/>
          <w:szCs w:val="18"/>
          <w:lang w:val="lt-LT" w:eastAsia="en-US"/>
        </w:rPr>
      </w:pPr>
      <w:r w:rsidRPr="00532388">
        <w:rPr>
          <w:rFonts w:eastAsia="TimesNewRoman"/>
          <w:sz w:val="22"/>
          <w:szCs w:val="22"/>
          <w:lang w:val="lt-LT" w:eastAsia="en-US"/>
        </w:rPr>
        <w:t xml:space="preserve">* </w:t>
      </w:r>
      <w:r w:rsidRPr="00532388">
        <w:rPr>
          <w:rFonts w:eastAsia="TimesNewRoman"/>
          <w:sz w:val="18"/>
          <w:szCs w:val="18"/>
          <w:lang w:val="lt-LT" w:eastAsia="en-US"/>
        </w:rPr>
        <w:t>DRV-ASM: V11I, V32I, L33F, I47V, I50V, I54M, I54L, T74P, L76V, I84V ir L89V.</w:t>
      </w:r>
    </w:p>
    <w:p w14:paraId="6E1D5FD4" w14:textId="77777777" w:rsidR="00A53B61" w:rsidRPr="00532388" w:rsidRDefault="00A53B61" w:rsidP="00C23338">
      <w:pPr>
        <w:autoSpaceDE w:val="0"/>
        <w:autoSpaceDN w:val="0"/>
        <w:adjustRightInd w:val="0"/>
        <w:rPr>
          <w:rFonts w:eastAsia="TimesNewRoman"/>
          <w:sz w:val="22"/>
          <w:szCs w:val="22"/>
          <w:lang w:val="lt-LT" w:eastAsia="en-US"/>
        </w:rPr>
      </w:pPr>
    </w:p>
    <w:p w14:paraId="77F22C44"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vartojamo kartu su ritonaviru vieną kartą per parą, farmakokinetikos 10 anksčiau gydytų</w:t>
      </w:r>
      <w:r w:rsidR="00330BF3" w:rsidRPr="00532388">
        <w:rPr>
          <w:rFonts w:eastAsia="TimesNewRoman"/>
          <w:sz w:val="22"/>
          <w:szCs w:val="22"/>
          <w:lang w:val="lt-LT" w:eastAsia="en-US"/>
        </w:rPr>
        <w:t xml:space="preserve"> </w:t>
      </w:r>
      <w:r w:rsidRPr="00532388">
        <w:rPr>
          <w:rFonts w:eastAsia="TimesNewRoman"/>
          <w:sz w:val="22"/>
          <w:szCs w:val="22"/>
          <w:lang w:val="lt-LT" w:eastAsia="en-US"/>
        </w:rPr>
        <w:t>nuo 3 iki &lt; 6 metų bei mažiausiai nuo 14 iki &lt; 20</w:t>
      </w:r>
      <w:r w:rsidR="00330BF3" w:rsidRPr="00532388">
        <w:rPr>
          <w:rFonts w:eastAsia="TimesNewRoman"/>
          <w:sz w:val="22"/>
          <w:szCs w:val="22"/>
          <w:lang w:val="lt-LT" w:eastAsia="en-US"/>
        </w:rPr>
        <w:t> </w:t>
      </w:r>
      <w:r w:rsidRPr="00532388">
        <w:rPr>
          <w:rFonts w:eastAsia="TimesNewRoman"/>
          <w:sz w:val="22"/>
          <w:szCs w:val="22"/>
          <w:lang w:val="lt-LT" w:eastAsia="en-US"/>
        </w:rPr>
        <w:t>kg sveriančių vaikų ir paauglių organizme duomenys</w:t>
      </w:r>
      <w:r w:rsidR="00330BF3" w:rsidRPr="00532388">
        <w:rPr>
          <w:rFonts w:eastAsia="TimesNewRoman"/>
          <w:sz w:val="22"/>
          <w:szCs w:val="22"/>
          <w:lang w:val="lt-LT" w:eastAsia="en-US"/>
        </w:rPr>
        <w:t xml:space="preserve"> </w:t>
      </w:r>
      <w:r w:rsidRPr="00532388">
        <w:rPr>
          <w:rFonts w:eastAsia="TimesNewRoman"/>
          <w:sz w:val="22"/>
          <w:szCs w:val="22"/>
          <w:lang w:val="lt-LT" w:eastAsia="en-US"/>
        </w:rPr>
        <w:t>rodo, kad, vartojant pagal svorį paskirtas dozes, darunaviro ekspozicija buvo panaši į suaugusiųjų,</w:t>
      </w:r>
      <w:r w:rsidR="00330BF3" w:rsidRPr="00532388">
        <w:rPr>
          <w:rFonts w:eastAsia="TimesNewRoman"/>
          <w:sz w:val="22"/>
          <w:szCs w:val="22"/>
          <w:lang w:val="lt-LT" w:eastAsia="en-US"/>
        </w:rPr>
        <w:t xml:space="preserve"> </w:t>
      </w:r>
      <w:r w:rsidRPr="00532388">
        <w:rPr>
          <w:rFonts w:eastAsia="TimesNewRoman"/>
          <w:sz w:val="22"/>
          <w:szCs w:val="22"/>
          <w:lang w:val="lt-LT" w:eastAsia="en-US"/>
        </w:rPr>
        <w:t>kurie vartoja 800/100</w:t>
      </w:r>
      <w:r w:rsidR="00330BF3" w:rsidRPr="00532388">
        <w:rPr>
          <w:rFonts w:eastAsia="TimesNewRoman"/>
          <w:sz w:val="22"/>
          <w:szCs w:val="22"/>
          <w:lang w:val="lt-LT" w:eastAsia="en-US"/>
        </w:rPr>
        <w:t> </w:t>
      </w:r>
      <w:r w:rsidRPr="00532388">
        <w:rPr>
          <w:rFonts w:eastAsia="TimesNewRoman"/>
          <w:sz w:val="22"/>
          <w:szCs w:val="22"/>
          <w:lang w:val="lt-LT" w:eastAsia="en-US"/>
        </w:rPr>
        <w:t xml:space="preserve">mg </w:t>
      </w:r>
      <w:r w:rsidR="006E49FE" w:rsidRPr="00532388">
        <w:rPr>
          <w:rFonts w:eastAsia="TimesNewRoman"/>
          <w:sz w:val="22"/>
          <w:szCs w:val="22"/>
          <w:lang w:val="lt-LT" w:eastAsia="en-US"/>
        </w:rPr>
        <w:t>darunaviro</w:t>
      </w:r>
      <w:r w:rsidRPr="00532388">
        <w:rPr>
          <w:rFonts w:eastAsia="TimesNewRoman"/>
          <w:sz w:val="22"/>
          <w:szCs w:val="22"/>
          <w:lang w:val="lt-LT" w:eastAsia="en-US"/>
        </w:rPr>
        <w:t>/ritonaviro dozę vieną kartą per parą (žr. 4.2 skyrių). Be to,</w:t>
      </w:r>
      <w:r w:rsidR="00330BF3" w:rsidRPr="00532388">
        <w:rPr>
          <w:rFonts w:eastAsia="TimesNewRoman"/>
          <w:sz w:val="22"/>
          <w:szCs w:val="22"/>
          <w:lang w:val="lt-LT" w:eastAsia="en-US"/>
        </w:rPr>
        <w:t xml:space="preserve"> </w:t>
      </w:r>
      <w:r w:rsidRPr="00532388">
        <w:rPr>
          <w:rFonts w:eastAsia="TimesNewRoman"/>
          <w:sz w:val="22"/>
          <w:szCs w:val="22"/>
          <w:lang w:val="lt-LT" w:eastAsia="en-US"/>
        </w:rPr>
        <w:t>darunaviro ekspozicijos farmakokinetinio modeliavimo ir simuliacijos vaikų populiacijos pacientų nuo 3 iki &lt; 18 metų organizme tyrimai patvirtino, kad darunaviro ekspozicijos yra tokios pat, kokios buvo</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nustatytos klinikinių tyrimų metu, ir </w:t>
      </w:r>
      <w:r w:rsidR="00330BF3" w:rsidRPr="00532388">
        <w:rPr>
          <w:rFonts w:eastAsia="TimesNewRoman"/>
          <w:sz w:val="22"/>
          <w:szCs w:val="22"/>
          <w:lang w:val="lt-LT" w:eastAsia="en-US"/>
        </w:rPr>
        <w:t xml:space="preserve">atsižvelgiant į svorį </w:t>
      </w:r>
      <w:r w:rsidRPr="00532388">
        <w:rPr>
          <w:rFonts w:eastAsia="TimesNewRoman"/>
          <w:sz w:val="22"/>
          <w:szCs w:val="22"/>
          <w:lang w:val="lt-LT" w:eastAsia="en-US"/>
        </w:rPr>
        <w:t xml:space="preserve">leido nustatyti </w:t>
      </w:r>
      <w:r w:rsidR="00330BF3" w:rsidRPr="00532388">
        <w:rPr>
          <w:rFonts w:eastAsia="TimesNewRoman"/>
          <w:sz w:val="22"/>
          <w:szCs w:val="22"/>
          <w:lang w:val="lt-LT" w:eastAsia="en-US"/>
        </w:rPr>
        <w:t xml:space="preserve">darunaviro </w:t>
      </w:r>
      <w:r w:rsidRPr="00532388">
        <w:rPr>
          <w:rFonts w:eastAsia="TimesNewRoman"/>
          <w:sz w:val="22"/>
          <w:szCs w:val="22"/>
          <w:lang w:val="lt-LT" w:eastAsia="en-US"/>
        </w:rPr>
        <w:t xml:space="preserve">/ritonaviro dozavimo planą vieną kartą per parą vaikų populiacijos pacientams, kurių </w:t>
      </w:r>
      <w:r w:rsidR="00330BF3" w:rsidRPr="00532388">
        <w:rPr>
          <w:rFonts w:eastAsia="TimesNewRoman"/>
          <w:sz w:val="22"/>
          <w:szCs w:val="22"/>
          <w:lang w:val="lt-LT" w:eastAsia="en-US"/>
        </w:rPr>
        <w:t>svoris</w:t>
      </w:r>
      <w:r w:rsidRPr="00532388">
        <w:rPr>
          <w:rFonts w:eastAsia="TimesNewRoman"/>
          <w:sz w:val="22"/>
          <w:szCs w:val="22"/>
          <w:lang w:val="lt-LT" w:eastAsia="en-US"/>
        </w:rPr>
        <w:t xml:space="preserve"> yra ne</w:t>
      </w:r>
      <w:r w:rsidR="00330BF3" w:rsidRPr="00532388">
        <w:rPr>
          <w:rFonts w:eastAsia="TimesNewRoman"/>
          <w:sz w:val="22"/>
          <w:szCs w:val="22"/>
          <w:lang w:val="lt-LT" w:eastAsia="en-US"/>
        </w:rPr>
        <w:t xml:space="preserve"> </w:t>
      </w:r>
      <w:r w:rsidRPr="00532388">
        <w:rPr>
          <w:rFonts w:eastAsia="TimesNewRoman"/>
          <w:sz w:val="22"/>
          <w:szCs w:val="22"/>
          <w:lang w:val="lt-LT" w:eastAsia="en-US"/>
        </w:rPr>
        <w:t>mažesn</w:t>
      </w:r>
      <w:r w:rsidR="00330BF3" w:rsidRPr="00532388">
        <w:rPr>
          <w:rFonts w:eastAsia="TimesNewRoman"/>
          <w:sz w:val="22"/>
          <w:szCs w:val="22"/>
          <w:lang w:val="lt-LT" w:eastAsia="en-US"/>
        </w:rPr>
        <w:t>is kaip 15 </w:t>
      </w:r>
      <w:r w:rsidRPr="00532388">
        <w:rPr>
          <w:rFonts w:eastAsia="TimesNewRoman"/>
          <w:sz w:val="22"/>
          <w:szCs w:val="22"/>
          <w:lang w:val="lt-LT" w:eastAsia="en-US"/>
        </w:rPr>
        <w:t>kg, kuriems arba nebuvo, arba buvo</w:t>
      </w:r>
      <w:r w:rsidR="00330BF3" w:rsidRPr="00532388">
        <w:rPr>
          <w:rFonts w:eastAsia="TimesNewRoman"/>
          <w:sz w:val="22"/>
          <w:szCs w:val="22"/>
          <w:lang w:val="lt-LT" w:eastAsia="en-US"/>
        </w:rPr>
        <w:t xml:space="preserve"> taikytas ARG, nenustačius DRV-</w:t>
      </w:r>
      <w:r w:rsidRPr="00532388">
        <w:rPr>
          <w:rFonts w:eastAsia="TimesNewRoman"/>
          <w:sz w:val="22"/>
          <w:szCs w:val="22"/>
          <w:lang w:val="lt-LT" w:eastAsia="en-US"/>
        </w:rPr>
        <w:t>A</w:t>
      </w:r>
      <w:r w:rsidR="00330BF3" w:rsidRPr="00532388">
        <w:rPr>
          <w:rFonts w:eastAsia="TimesNewRoman"/>
          <w:sz w:val="22"/>
          <w:szCs w:val="22"/>
          <w:lang w:val="lt-LT" w:eastAsia="en-US"/>
        </w:rPr>
        <w:t>S</w:t>
      </w:r>
      <w:r w:rsidRPr="00532388">
        <w:rPr>
          <w:rFonts w:eastAsia="TimesNewRoman"/>
          <w:sz w:val="22"/>
          <w:szCs w:val="22"/>
          <w:lang w:val="lt-LT" w:eastAsia="en-US"/>
        </w:rPr>
        <w:t>M* ir</w:t>
      </w:r>
      <w:r w:rsidR="00330BF3" w:rsidRPr="00532388">
        <w:rPr>
          <w:rFonts w:eastAsia="TimesNewRoman"/>
          <w:sz w:val="22"/>
          <w:szCs w:val="22"/>
          <w:lang w:val="lt-LT" w:eastAsia="en-US"/>
        </w:rPr>
        <w:t xml:space="preserve"> </w:t>
      </w:r>
      <w:r w:rsidRPr="00532388">
        <w:rPr>
          <w:rFonts w:eastAsia="TimesNewRoman"/>
          <w:sz w:val="22"/>
          <w:szCs w:val="22"/>
          <w:lang w:val="lt-LT" w:eastAsia="en-US"/>
        </w:rPr>
        <w:t>kurių ŽIV-1 RNR koncentracijos plazmoje yra &lt; 100 000 kopijų/ml bei CD4+ ląstelių kiekis yra</w:t>
      </w:r>
      <w:r w:rsidR="00330BF3" w:rsidRPr="00532388">
        <w:rPr>
          <w:rFonts w:eastAsia="TimesNewRoman"/>
          <w:sz w:val="22"/>
          <w:szCs w:val="22"/>
          <w:lang w:val="lt-LT" w:eastAsia="en-US"/>
        </w:rPr>
        <w:t xml:space="preserve"> </w:t>
      </w:r>
      <w:r w:rsidRPr="00532388">
        <w:rPr>
          <w:rFonts w:eastAsia="TimesNewRoman"/>
          <w:sz w:val="22"/>
          <w:szCs w:val="22"/>
          <w:lang w:val="lt-LT" w:eastAsia="en-US"/>
        </w:rPr>
        <w:t>≥ 100 ląstelių x 10</w:t>
      </w:r>
      <w:r w:rsidRPr="00532388">
        <w:rPr>
          <w:rFonts w:eastAsia="TimesNewRoman"/>
          <w:sz w:val="22"/>
          <w:szCs w:val="22"/>
          <w:vertAlign w:val="superscript"/>
          <w:lang w:val="lt-LT" w:eastAsia="en-US"/>
        </w:rPr>
        <w:t>6</w:t>
      </w:r>
      <w:r w:rsidRPr="00532388">
        <w:rPr>
          <w:rFonts w:eastAsia="TimesNewRoman"/>
          <w:sz w:val="22"/>
          <w:szCs w:val="22"/>
          <w:lang w:val="lt-LT" w:eastAsia="en-US"/>
        </w:rPr>
        <w:t>/l (žr. 4.2 skyrių).</w:t>
      </w:r>
    </w:p>
    <w:p w14:paraId="20992E68" w14:textId="77777777" w:rsidR="00C23338" w:rsidRPr="00532388" w:rsidRDefault="00C23338" w:rsidP="00C23338">
      <w:pPr>
        <w:autoSpaceDE w:val="0"/>
        <w:autoSpaceDN w:val="0"/>
        <w:adjustRightInd w:val="0"/>
        <w:rPr>
          <w:rFonts w:eastAsia="TimesNewRoman"/>
          <w:sz w:val="18"/>
          <w:szCs w:val="18"/>
          <w:lang w:val="lt-LT" w:eastAsia="en-US"/>
        </w:rPr>
      </w:pPr>
      <w:r w:rsidRPr="00532388">
        <w:rPr>
          <w:rFonts w:eastAsia="TimesNewRoman"/>
          <w:sz w:val="22"/>
          <w:szCs w:val="22"/>
          <w:lang w:val="lt-LT" w:eastAsia="en-US"/>
        </w:rPr>
        <w:t xml:space="preserve">* </w:t>
      </w:r>
      <w:r w:rsidRPr="00532388">
        <w:rPr>
          <w:rFonts w:eastAsia="TimesNewRoman"/>
          <w:sz w:val="18"/>
          <w:szCs w:val="18"/>
          <w:lang w:val="lt-LT" w:eastAsia="en-US"/>
        </w:rPr>
        <w:t>DRV-ASM: V11I, V32I, L33F, I47V, I50V, I54M, I54L, T74P, L76V, I84V ir L89V.</w:t>
      </w:r>
    </w:p>
    <w:p w14:paraId="2F960F71" w14:textId="77777777" w:rsidR="00330BF3" w:rsidRPr="00532388" w:rsidRDefault="00330BF3" w:rsidP="00C23338">
      <w:pPr>
        <w:autoSpaceDE w:val="0"/>
        <w:autoSpaceDN w:val="0"/>
        <w:adjustRightInd w:val="0"/>
        <w:rPr>
          <w:rFonts w:eastAsia="TimesNewRoman"/>
          <w:i/>
          <w:iCs/>
          <w:sz w:val="22"/>
          <w:szCs w:val="22"/>
          <w:lang w:val="lt-LT" w:eastAsia="en-US"/>
        </w:rPr>
      </w:pPr>
    </w:p>
    <w:p w14:paraId="2ADB3CB7" w14:textId="77777777" w:rsidR="00C23338" w:rsidRPr="00532388" w:rsidRDefault="00330BF3"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Senyviems žmonėms</w:t>
      </w:r>
    </w:p>
    <w:p w14:paraId="37B50A14" w14:textId="77777777" w:rsidR="00C23338" w:rsidRPr="00532388" w:rsidRDefault="00330BF3"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ŽIV infekuotų pacientų</w:t>
      </w:r>
      <w:r w:rsidR="00C23338" w:rsidRPr="00532388">
        <w:rPr>
          <w:rFonts w:eastAsia="TimesNewRoman"/>
          <w:sz w:val="22"/>
          <w:szCs w:val="22"/>
          <w:lang w:val="lt-LT" w:eastAsia="en-US"/>
        </w:rPr>
        <w:t xml:space="preserve"> (n=12, ≥ 65 metų) populiacinės farmakokinetikos tyrimo duomenimis,</w:t>
      </w:r>
      <w:r w:rsidRPr="00532388">
        <w:rPr>
          <w:rFonts w:eastAsia="TimesNewRoman"/>
          <w:sz w:val="22"/>
          <w:szCs w:val="22"/>
          <w:lang w:val="lt-LT" w:eastAsia="en-US"/>
        </w:rPr>
        <w:t xml:space="preserve"> </w:t>
      </w:r>
      <w:r w:rsidR="00C23338" w:rsidRPr="00532388">
        <w:rPr>
          <w:rFonts w:eastAsia="TimesNewRoman"/>
          <w:sz w:val="22"/>
          <w:szCs w:val="22"/>
          <w:lang w:val="lt-LT" w:eastAsia="en-US"/>
        </w:rPr>
        <w:t xml:space="preserve">darunaviro farmakokinetika nelabai priklauso nuo amžiaus (nuo 18 iki </w:t>
      </w:r>
      <w:r w:rsidR="00C23338" w:rsidRPr="00532388">
        <w:rPr>
          <w:rFonts w:eastAsia="TimesNewRoman"/>
          <w:sz w:val="22"/>
          <w:szCs w:val="22"/>
          <w:lang w:val="lt-LT" w:eastAsia="en-US"/>
        </w:rPr>
        <w:lastRenderedPageBreak/>
        <w:t>75 metų) (žr. 4.4 skyrių). Vis</w:t>
      </w:r>
      <w:r w:rsidRPr="00532388">
        <w:rPr>
          <w:rFonts w:eastAsia="TimesNewRoman"/>
          <w:sz w:val="22"/>
          <w:szCs w:val="22"/>
          <w:lang w:val="lt-LT" w:eastAsia="en-US"/>
        </w:rPr>
        <w:t xml:space="preserve"> </w:t>
      </w:r>
      <w:r w:rsidR="00C23338" w:rsidRPr="00532388">
        <w:rPr>
          <w:rFonts w:eastAsia="TimesNewRoman"/>
          <w:sz w:val="22"/>
          <w:szCs w:val="22"/>
          <w:lang w:val="lt-LT" w:eastAsia="en-US"/>
        </w:rPr>
        <w:t>dėlto duomenys apie farmakokinetiką vyresnių kaip 65 metų pacientų organizme yra riboti.</w:t>
      </w:r>
    </w:p>
    <w:p w14:paraId="375073B0" w14:textId="77777777" w:rsidR="00330BF3" w:rsidRPr="00532388" w:rsidRDefault="00330BF3" w:rsidP="00C23338">
      <w:pPr>
        <w:autoSpaceDE w:val="0"/>
        <w:autoSpaceDN w:val="0"/>
        <w:adjustRightInd w:val="0"/>
        <w:rPr>
          <w:rFonts w:eastAsia="TimesNewRoman"/>
          <w:i/>
          <w:iCs/>
          <w:sz w:val="22"/>
          <w:szCs w:val="22"/>
          <w:lang w:val="lt-LT" w:eastAsia="en-US"/>
        </w:rPr>
      </w:pPr>
    </w:p>
    <w:p w14:paraId="2472F949"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Lytis</w:t>
      </w:r>
    </w:p>
    <w:p w14:paraId="69D230E5"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Populiacinės farmakokinetikos tyrimo duomenimis, ŽIV infekuotų moterų organizme darunaviro</w:t>
      </w:r>
      <w:r w:rsidR="00330BF3" w:rsidRPr="00532388">
        <w:rPr>
          <w:rFonts w:eastAsia="TimesNewRoman"/>
          <w:sz w:val="22"/>
          <w:szCs w:val="22"/>
          <w:lang w:val="lt-LT" w:eastAsia="en-US"/>
        </w:rPr>
        <w:t xml:space="preserve"> </w:t>
      </w:r>
      <w:r w:rsidRPr="00532388">
        <w:rPr>
          <w:rFonts w:eastAsia="TimesNewRoman"/>
          <w:sz w:val="22"/>
          <w:szCs w:val="22"/>
          <w:lang w:val="lt-LT" w:eastAsia="en-US"/>
        </w:rPr>
        <w:t>ekspozicija buvo šiek tiek didesnė (16,8 %), palyginti su vyrų. Šis skirtumas nėra kliniškai svarbus.</w:t>
      </w:r>
    </w:p>
    <w:p w14:paraId="3FAAB70E" w14:textId="77777777" w:rsidR="00330BF3" w:rsidRPr="00532388" w:rsidRDefault="00330BF3" w:rsidP="00C23338">
      <w:pPr>
        <w:autoSpaceDE w:val="0"/>
        <w:autoSpaceDN w:val="0"/>
        <w:adjustRightInd w:val="0"/>
        <w:rPr>
          <w:rFonts w:eastAsia="TimesNewRoman"/>
          <w:i/>
          <w:iCs/>
          <w:sz w:val="22"/>
          <w:szCs w:val="22"/>
          <w:lang w:val="lt-LT" w:eastAsia="en-US"/>
        </w:rPr>
      </w:pPr>
    </w:p>
    <w:p w14:paraId="133D6337"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Inkstų funkcijos sutrikimas</w:t>
      </w:r>
    </w:p>
    <w:p w14:paraId="3513E144"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vertAlign w:val="superscript"/>
          <w:lang w:val="lt-LT" w:eastAsia="en-US"/>
        </w:rPr>
        <w:t>14</w:t>
      </w:r>
      <w:r w:rsidRPr="00532388">
        <w:rPr>
          <w:rFonts w:eastAsia="TimesNewRoman"/>
          <w:sz w:val="22"/>
          <w:szCs w:val="22"/>
          <w:lang w:val="lt-LT" w:eastAsia="en-US"/>
        </w:rPr>
        <w:t>C darunaviro ir ritonaviro masės balanso tyrimo duomenimis, apie 7,7 % suvartoto darunaviro</w:t>
      </w:r>
      <w:r w:rsidR="00330BF3" w:rsidRPr="00532388">
        <w:rPr>
          <w:rFonts w:eastAsia="TimesNewRoman"/>
          <w:sz w:val="22"/>
          <w:szCs w:val="22"/>
          <w:lang w:val="lt-LT" w:eastAsia="en-US"/>
        </w:rPr>
        <w:t xml:space="preserve"> </w:t>
      </w:r>
      <w:r w:rsidRPr="00532388">
        <w:rPr>
          <w:rFonts w:eastAsia="TimesNewRoman"/>
          <w:sz w:val="22"/>
          <w:szCs w:val="22"/>
          <w:lang w:val="lt-LT" w:eastAsia="en-US"/>
        </w:rPr>
        <w:t>išsiskiria su šlapimu nepakitusiu pavidalu.</w:t>
      </w:r>
    </w:p>
    <w:p w14:paraId="56B5AE97" w14:textId="77777777" w:rsidR="00330BF3" w:rsidRPr="00532388" w:rsidRDefault="00330BF3" w:rsidP="00C23338">
      <w:pPr>
        <w:autoSpaceDE w:val="0"/>
        <w:autoSpaceDN w:val="0"/>
        <w:adjustRightInd w:val="0"/>
        <w:rPr>
          <w:rFonts w:eastAsia="TimesNewRoman"/>
          <w:sz w:val="22"/>
          <w:szCs w:val="22"/>
          <w:lang w:val="lt-LT" w:eastAsia="en-US"/>
        </w:rPr>
      </w:pPr>
    </w:p>
    <w:p w14:paraId="12F7BC3D"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Nors darunaviro apykaita ligonių, kurių inkstų veikla sutrikusi, organizme netirta, populiacinės</w:t>
      </w:r>
      <w:r w:rsidR="00330BF3" w:rsidRPr="00532388">
        <w:rPr>
          <w:rFonts w:eastAsia="TimesNewRoman"/>
          <w:sz w:val="22"/>
          <w:szCs w:val="22"/>
          <w:lang w:val="lt-LT" w:eastAsia="en-US"/>
        </w:rPr>
        <w:t xml:space="preserve"> </w:t>
      </w:r>
      <w:r w:rsidRPr="00532388">
        <w:rPr>
          <w:rFonts w:eastAsia="TimesNewRoman"/>
          <w:sz w:val="22"/>
          <w:szCs w:val="22"/>
          <w:lang w:val="lt-LT" w:eastAsia="en-US"/>
        </w:rPr>
        <w:t>farmakokinetikos analizės duomenys parodė, kad darunaviro farmakokinetika nebuvo labai pakitusi,</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kai ŽIV infekuotų </w:t>
      </w:r>
      <w:r w:rsidR="00330BF3" w:rsidRPr="00532388">
        <w:rPr>
          <w:rFonts w:eastAsia="TimesNewRoman"/>
          <w:sz w:val="22"/>
          <w:szCs w:val="22"/>
          <w:lang w:val="lt-LT" w:eastAsia="en-US"/>
        </w:rPr>
        <w:t xml:space="preserve">pacientų </w:t>
      </w:r>
      <w:r w:rsidRPr="00532388">
        <w:rPr>
          <w:rFonts w:eastAsia="TimesNewRoman"/>
          <w:sz w:val="22"/>
          <w:szCs w:val="22"/>
          <w:lang w:val="lt-LT" w:eastAsia="en-US"/>
        </w:rPr>
        <w:t>inkstų funkcija buvo vidutiniškai sutrikusi (kreatinino klirensas</w:t>
      </w:r>
      <w:r w:rsidR="00330BF3" w:rsidRPr="00532388">
        <w:rPr>
          <w:rFonts w:eastAsia="TimesNewRoman"/>
          <w:sz w:val="22"/>
          <w:szCs w:val="22"/>
          <w:lang w:val="lt-LT" w:eastAsia="en-US"/>
        </w:rPr>
        <w:t xml:space="preserve">            </w:t>
      </w:r>
      <w:r w:rsidRPr="00532388">
        <w:rPr>
          <w:rFonts w:eastAsia="TimesNewRoman"/>
          <w:sz w:val="22"/>
          <w:szCs w:val="22"/>
          <w:lang w:val="lt-LT" w:eastAsia="en-US"/>
        </w:rPr>
        <w:t>30</w:t>
      </w:r>
      <w:r w:rsidR="00330BF3" w:rsidRPr="00532388">
        <w:rPr>
          <w:rFonts w:eastAsia="TimesNewRoman"/>
          <w:sz w:val="22"/>
          <w:szCs w:val="22"/>
          <w:lang w:val="lt-LT" w:eastAsia="en-US"/>
        </w:rPr>
        <w:t> </w:t>
      </w:r>
      <w:r w:rsidRPr="00532388">
        <w:rPr>
          <w:rFonts w:eastAsia="TimesNewRoman"/>
          <w:sz w:val="22"/>
          <w:szCs w:val="22"/>
          <w:lang w:val="lt-LT" w:eastAsia="en-US"/>
        </w:rPr>
        <w:t>-</w:t>
      </w:r>
      <w:r w:rsidR="00330BF3" w:rsidRPr="00532388">
        <w:rPr>
          <w:rFonts w:eastAsia="TimesNewRoman"/>
          <w:sz w:val="22"/>
          <w:szCs w:val="22"/>
          <w:lang w:val="lt-LT" w:eastAsia="en-US"/>
        </w:rPr>
        <w:t> </w:t>
      </w:r>
      <w:r w:rsidRPr="00532388">
        <w:rPr>
          <w:rFonts w:eastAsia="TimesNewRoman"/>
          <w:sz w:val="22"/>
          <w:szCs w:val="22"/>
          <w:lang w:val="lt-LT" w:eastAsia="en-US"/>
        </w:rPr>
        <w:t>60</w:t>
      </w:r>
      <w:r w:rsidR="00330BF3" w:rsidRPr="00532388">
        <w:rPr>
          <w:rFonts w:eastAsia="TimesNewRoman"/>
          <w:sz w:val="22"/>
          <w:szCs w:val="22"/>
          <w:lang w:val="lt-LT" w:eastAsia="en-US"/>
        </w:rPr>
        <w:t> </w:t>
      </w:r>
      <w:r w:rsidRPr="00532388">
        <w:rPr>
          <w:rFonts w:eastAsia="TimesNewRoman"/>
          <w:sz w:val="22"/>
          <w:szCs w:val="22"/>
          <w:lang w:val="lt-LT" w:eastAsia="en-US"/>
        </w:rPr>
        <w:t>ml/min., n=20) (žr. 4.2 ir 4.4 skyrius).</w:t>
      </w:r>
    </w:p>
    <w:p w14:paraId="44FD1A6B" w14:textId="77777777" w:rsidR="00330BF3" w:rsidRPr="00532388" w:rsidRDefault="00330BF3" w:rsidP="00C23338">
      <w:pPr>
        <w:autoSpaceDE w:val="0"/>
        <w:autoSpaceDN w:val="0"/>
        <w:adjustRightInd w:val="0"/>
        <w:rPr>
          <w:rFonts w:eastAsia="TimesNewRoman"/>
          <w:i/>
          <w:iCs/>
          <w:sz w:val="22"/>
          <w:szCs w:val="22"/>
          <w:lang w:val="lt-LT" w:eastAsia="en-US"/>
        </w:rPr>
      </w:pPr>
    </w:p>
    <w:p w14:paraId="3CEB65CB"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Kepenų funkcijos sutrikimas</w:t>
      </w:r>
    </w:p>
    <w:p w14:paraId="2DACFE4E"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Darunavirą daugiausia metabolizuoja ir šalina kepenys. Kartotinių vaistinio preparato dozių tyrime</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skiriant </w:t>
      </w:r>
      <w:r w:rsidR="00330BF3" w:rsidRPr="00532388">
        <w:rPr>
          <w:rFonts w:eastAsia="TimesNewRoman"/>
          <w:sz w:val="22"/>
          <w:szCs w:val="22"/>
          <w:lang w:val="lt-LT" w:eastAsia="en-US"/>
        </w:rPr>
        <w:t>darunaviro</w:t>
      </w:r>
      <w:r w:rsidRPr="00532388">
        <w:rPr>
          <w:rFonts w:eastAsia="TimesNewRoman"/>
          <w:sz w:val="22"/>
          <w:szCs w:val="22"/>
          <w:lang w:val="lt-LT" w:eastAsia="en-US"/>
        </w:rPr>
        <w:t xml:space="preserve"> ir ritonaviro (600/100</w:t>
      </w:r>
      <w:r w:rsidR="00330BF3" w:rsidRPr="00532388">
        <w:rPr>
          <w:rFonts w:eastAsia="TimesNewRoman"/>
          <w:sz w:val="22"/>
          <w:szCs w:val="22"/>
          <w:lang w:val="lt-LT" w:eastAsia="en-US"/>
        </w:rPr>
        <w:t> </w:t>
      </w:r>
      <w:r w:rsidRPr="00532388">
        <w:rPr>
          <w:rFonts w:eastAsia="TimesNewRoman"/>
          <w:sz w:val="22"/>
          <w:szCs w:val="22"/>
          <w:lang w:val="lt-LT" w:eastAsia="en-US"/>
        </w:rPr>
        <w:t>mg) derinį du kartus per parą nustatyta, kad bendros</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darunaviro koncentracijos plazmoje rodikliai pacientų, kurie serga lengvu (A klasės pagal </w:t>
      </w:r>
      <w:r w:rsidRPr="00532388">
        <w:rPr>
          <w:rFonts w:eastAsia="TimesNewRoman"/>
          <w:i/>
          <w:iCs/>
          <w:sz w:val="22"/>
          <w:szCs w:val="22"/>
          <w:lang w:val="lt-LT" w:eastAsia="en-US"/>
        </w:rPr>
        <w:t>Child-Pugh</w:t>
      </w:r>
      <w:r w:rsidRPr="00532388">
        <w:rPr>
          <w:rFonts w:eastAsia="TimesNewRoman"/>
          <w:sz w:val="22"/>
          <w:szCs w:val="22"/>
          <w:lang w:val="lt-LT" w:eastAsia="en-US"/>
        </w:rPr>
        <w:t>,</w:t>
      </w:r>
    </w:p>
    <w:p w14:paraId="60A4BCD7"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n=8) ir vidutinio sunkumo (B klasės pagal </w:t>
      </w:r>
      <w:r w:rsidRPr="00532388">
        <w:rPr>
          <w:rFonts w:eastAsia="TimesNewRoman"/>
          <w:i/>
          <w:iCs/>
          <w:sz w:val="22"/>
          <w:szCs w:val="22"/>
          <w:lang w:val="lt-LT" w:eastAsia="en-US"/>
        </w:rPr>
        <w:t>Child-Pugh</w:t>
      </w:r>
      <w:r w:rsidRPr="00532388">
        <w:rPr>
          <w:rFonts w:eastAsia="TimesNewRoman"/>
          <w:sz w:val="22"/>
          <w:szCs w:val="22"/>
          <w:lang w:val="lt-LT" w:eastAsia="en-US"/>
        </w:rPr>
        <w:t>, n=8) kepenų funkcijos sutrikimu, organizme</w:t>
      </w:r>
      <w:r w:rsidR="00330BF3" w:rsidRPr="00532388">
        <w:rPr>
          <w:rFonts w:eastAsia="TimesNewRoman"/>
          <w:sz w:val="22"/>
          <w:szCs w:val="22"/>
          <w:lang w:val="lt-LT" w:eastAsia="en-US"/>
        </w:rPr>
        <w:t xml:space="preserve"> </w:t>
      </w:r>
      <w:r w:rsidRPr="00532388">
        <w:rPr>
          <w:rFonts w:eastAsia="TimesNewRoman"/>
          <w:sz w:val="22"/>
          <w:szCs w:val="22"/>
          <w:lang w:val="lt-LT" w:eastAsia="en-US"/>
        </w:rPr>
        <w:t>buvo panašūs į sveikų žmonių rodiklius</w:t>
      </w:r>
      <w:r w:rsidR="00133CC5">
        <w:rPr>
          <w:rFonts w:eastAsia="TimesNewRoman"/>
          <w:sz w:val="22"/>
          <w:szCs w:val="22"/>
          <w:lang w:val="lt-LT" w:eastAsia="en-US"/>
        </w:rPr>
        <w:t>.T</w:t>
      </w:r>
      <w:r w:rsidRPr="00532388">
        <w:rPr>
          <w:rFonts w:eastAsia="TimesNewRoman"/>
          <w:sz w:val="22"/>
          <w:szCs w:val="22"/>
          <w:lang w:val="lt-LT" w:eastAsia="en-US"/>
        </w:rPr>
        <w:t>ačiau nesusijungusio darunaviro koncentracijos plazmoje</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rodikliai pacientų, kurie serga lengvu (A klasės pagal </w:t>
      </w:r>
      <w:r w:rsidRPr="00532388">
        <w:rPr>
          <w:rFonts w:eastAsia="TimesNewRoman"/>
          <w:i/>
          <w:iCs/>
          <w:sz w:val="22"/>
          <w:szCs w:val="22"/>
          <w:lang w:val="lt-LT" w:eastAsia="en-US"/>
        </w:rPr>
        <w:t>Child-Pugh</w:t>
      </w:r>
      <w:r w:rsidRPr="00532388">
        <w:rPr>
          <w:rFonts w:eastAsia="TimesNewRoman"/>
          <w:sz w:val="22"/>
          <w:szCs w:val="22"/>
          <w:lang w:val="lt-LT" w:eastAsia="en-US"/>
        </w:rPr>
        <w:t>) ir vidutinio sunkumo (B klasės</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pagal </w:t>
      </w:r>
      <w:r w:rsidRPr="00532388">
        <w:rPr>
          <w:rFonts w:eastAsia="TimesNewRoman"/>
          <w:i/>
          <w:iCs/>
          <w:sz w:val="22"/>
          <w:szCs w:val="22"/>
          <w:lang w:val="lt-LT" w:eastAsia="en-US"/>
        </w:rPr>
        <w:t>Child-Pugh</w:t>
      </w:r>
      <w:r w:rsidRPr="00532388">
        <w:rPr>
          <w:rFonts w:eastAsia="TimesNewRoman"/>
          <w:sz w:val="22"/>
          <w:szCs w:val="22"/>
          <w:lang w:val="lt-LT" w:eastAsia="en-US"/>
        </w:rPr>
        <w:t>) kepenų funkcijos sutrikimu, organizme buvo atitinkamai apytiksliai 55 % ir 100 %</w:t>
      </w:r>
      <w:r w:rsidR="00330BF3" w:rsidRPr="00532388">
        <w:rPr>
          <w:rFonts w:eastAsia="TimesNewRoman"/>
          <w:sz w:val="22"/>
          <w:szCs w:val="22"/>
          <w:lang w:val="lt-LT" w:eastAsia="en-US"/>
        </w:rPr>
        <w:t xml:space="preserve"> </w:t>
      </w:r>
      <w:r w:rsidRPr="00532388">
        <w:rPr>
          <w:rFonts w:eastAsia="TimesNewRoman"/>
          <w:sz w:val="22"/>
          <w:szCs w:val="22"/>
          <w:lang w:val="lt-LT" w:eastAsia="en-US"/>
        </w:rPr>
        <w:t xml:space="preserve">didesni. Klinikinė šio padidėjimo reikšmė nėra žinoma, todėl </w:t>
      </w:r>
      <w:r w:rsidR="00330BF3" w:rsidRPr="00532388">
        <w:rPr>
          <w:rFonts w:eastAsia="TimesNewRoman"/>
          <w:sz w:val="22"/>
          <w:szCs w:val="22"/>
          <w:lang w:val="lt-LT" w:eastAsia="en-US"/>
        </w:rPr>
        <w:t>darunaviro</w:t>
      </w:r>
      <w:r w:rsidRPr="00532388">
        <w:rPr>
          <w:rFonts w:eastAsia="TimesNewRoman"/>
          <w:sz w:val="22"/>
          <w:szCs w:val="22"/>
          <w:lang w:val="lt-LT" w:eastAsia="en-US"/>
        </w:rPr>
        <w:t xml:space="preserve"> reikia vartoti atsargiai.</w:t>
      </w:r>
      <w:r w:rsidR="00330BF3" w:rsidRPr="00532388">
        <w:rPr>
          <w:rFonts w:eastAsia="TimesNewRoman"/>
          <w:sz w:val="22"/>
          <w:szCs w:val="22"/>
          <w:lang w:val="lt-LT" w:eastAsia="en-US"/>
        </w:rPr>
        <w:t xml:space="preserve"> </w:t>
      </w:r>
      <w:r w:rsidRPr="00532388">
        <w:rPr>
          <w:rFonts w:eastAsia="TimesNewRoman"/>
          <w:sz w:val="22"/>
          <w:szCs w:val="22"/>
          <w:lang w:val="lt-LT" w:eastAsia="en-US"/>
        </w:rPr>
        <w:t>Sunkaus kepenų funkcijos sutrikimo poveikis darunaviro farmakokinetikai dar nėra tirtas (žr. 4.2,</w:t>
      </w:r>
      <w:r w:rsidR="00330BF3" w:rsidRPr="00532388">
        <w:rPr>
          <w:rFonts w:eastAsia="TimesNewRoman"/>
          <w:sz w:val="22"/>
          <w:szCs w:val="22"/>
          <w:lang w:val="lt-LT" w:eastAsia="en-US"/>
        </w:rPr>
        <w:t xml:space="preserve"> </w:t>
      </w:r>
      <w:r w:rsidRPr="00532388">
        <w:rPr>
          <w:rFonts w:eastAsia="TimesNewRoman"/>
          <w:sz w:val="22"/>
          <w:szCs w:val="22"/>
          <w:lang w:val="lt-LT" w:eastAsia="en-US"/>
        </w:rPr>
        <w:t>4.3 ir 4.4 skyrius).</w:t>
      </w:r>
    </w:p>
    <w:p w14:paraId="2AED8163" w14:textId="77777777" w:rsidR="00330BF3" w:rsidRPr="00532388" w:rsidRDefault="00330BF3" w:rsidP="00C23338">
      <w:pPr>
        <w:autoSpaceDE w:val="0"/>
        <w:autoSpaceDN w:val="0"/>
        <w:adjustRightInd w:val="0"/>
        <w:rPr>
          <w:rFonts w:eastAsia="TimesNewRoman"/>
          <w:i/>
          <w:iCs/>
          <w:sz w:val="22"/>
          <w:szCs w:val="22"/>
          <w:lang w:val="lt-LT" w:eastAsia="en-US"/>
        </w:rPr>
      </w:pPr>
    </w:p>
    <w:p w14:paraId="74898169" w14:textId="77777777" w:rsidR="00C23338" w:rsidRPr="00532388" w:rsidRDefault="00C23338" w:rsidP="00C23338">
      <w:pPr>
        <w:autoSpaceDE w:val="0"/>
        <w:autoSpaceDN w:val="0"/>
        <w:adjustRightInd w:val="0"/>
        <w:rPr>
          <w:rFonts w:eastAsia="TimesNewRoman"/>
          <w:i/>
          <w:iCs/>
          <w:sz w:val="22"/>
          <w:szCs w:val="22"/>
          <w:lang w:val="lt-LT" w:eastAsia="en-US"/>
        </w:rPr>
      </w:pPr>
      <w:r w:rsidRPr="00532388">
        <w:rPr>
          <w:rFonts w:eastAsia="TimesNewRoman"/>
          <w:i/>
          <w:iCs/>
          <w:sz w:val="22"/>
          <w:szCs w:val="22"/>
          <w:lang w:val="lt-LT" w:eastAsia="en-US"/>
        </w:rPr>
        <w:t>Nėštumas ir pogimdyminis laikotarpis</w:t>
      </w:r>
    </w:p>
    <w:p w14:paraId="5A36A02A"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Bendroji darunaviro ir ritonaviro ekspozicija nėštumo metu po 600/100</w:t>
      </w:r>
      <w:r w:rsidR="00330BF3" w:rsidRPr="00532388">
        <w:rPr>
          <w:rFonts w:eastAsia="TimesNewRoman"/>
          <w:sz w:val="22"/>
          <w:szCs w:val="22"/>
          <w:lang w:val="lt-LT" w:eastAsia="en-US"/>
        </w:rPr>
        <w:t> </w:t>
      </w:r>
      <w:r w:rsidRPr="00532388">
        <w:rPr>
          <w:rFonts w:eastAsia="TimesNewRoman"/>
          <w:sz w:val="22"/>
          <w:szCs w:val="22"/>
          <w:lang w:val="lt-LT" w:eastAsia="en-US"/>
        </w:rPr>
        <w:t>mg darunaviro/ritonaviro</w:t>
      </w:r>
      <w:r w:rsidR="00330BF3" w:rsidRPr="00532388">
        <w:rPr>
          <w:rFonts w:eastAsia="TimesNewRoman"/>
          <w:sz w:val="22"/>
          <w:szCs w:val="22"/>
          <w:lang w:val="lt-LT" w:eastAsia="en-US"/>
        </w:rPr>
        <w:t xml:space="preserve"> </w:t>
      </w:r>
      <w:r w:rsidRPr="00532388">
        <w:rPr>
          <w:rFonts w:eastAsia="TimesNewRoman"/>
          <w:sz w:val="22"/>
          <w:szCs w:val="22"/>
          <w:lang w:val="lt-LT" w:eastAsia="en-US"/>
        </w:rPr>
        <w:t>dozės du kartus per parą ir 800/100</w:t>
      </w:r>
      <w:r w:rsidR="00330BF3" w:rsidRPr="00532388">
        <w:rPr>
          <w:rFonts w:eastAsia="TimesNewRoman"/>
          <w:sz w:val="22"/>
          <w:szCs w:val="22"/>
          <w:lang w:val="lt-LT" w:eastAsia="en-US"/>
        </w:rPr>
        <w:t> </w:t>
      </w:r>
      <w:r w:rsidRPr="00532388">
        <w:rPr>
          <w:rFonts w:eastAsia="TimesNewRoman"/>
          <w:sz w:val="22"/>
          <w:szCs w:val="22"/>
          <w:lang w:val="lt-LT" w:eastAsia="en-US"/>
        </w:rPr>
        <w:t xml:space="preserve">mg darunaviro/ritonaviro dozės vieną kartą per parą </w:t>
      </w:r>
      <w:r w:rsidR="00330BF3" w:rsidRPr="00532388">
        <w:rPr>
          <w:rFonts w:eastAsia="TimesNewRoman"/>
          <w:sz w:val="22"/>
          <w:szCs w:val="22"/>
          <w:lang w:val="lt-LT" w:eastAsia="en-US"/>
        </w:rPr>
        <w:t xml:space="preserve">vartojimo atvejais </w:t>
      </w:r>
      <w:r w:rsidR="00155A3B" w:rsidRPr="00532388">
        <w:rPr>
          <w:rFonts w:eastAsia="TimesNewRoman"/>
          <w:sz w:val="22"/>
          <w:szCs w:val="22"/>
          <w:lang w:val="lt-LT" w:eastAsia="en-US"/>
        </w:rPr>
        <w:t xml:space="preserve">gydant </w:t>
      </w:r>
      <w:r w:rsidRPr="00532388">
        <w:rPr>
          <w:rFonts w:eastAsia="TimesNewRoman"/>
          <w:sz w:val="22"/>
          <w:szCs w:val="22"/>
          <w:lang w:val="lt-LT" w:eastAsia="en-US"/>
        </w:rPr>
        <w:t>antiretrovirusiniais vaistiniais preparatais paprastai buvo mažesnė, palyginti su</w:t>
      </w:r>
      <w:r w:rsidR="00330BF3" w:rsidRPr="00532388">
        <w:rPr>
          <w:rFonts w:eastAsia="TimesNewRoman"/>
          <w:sz w:val="22"/>
          <w:szCs w:val="22"/>
          <w:lang w:val="lt-LT" w:eastAsia="en-US"/>
        </w:rPr>
        <w:t xml:space="preserve"> </w:t>
      </w:r>
      <w:r w:rsidRPr="00532388">
        <w:rPr>
          <w:rFonts w:eastAsia="TimesNewRoman"/>
          <w:sz w:val="22"/>
          <w:szCs w:val="22"/>
          <w:lang w:val="lt-LT" w:eastAsia="en-US"/>
        </w:rPr>
        <w:t>ekspozicija po gimdymo. Vis dėlto, neprisijungusio (t. y. veikliojo) darunaviro farmakokinetiniai</w:t>
      </w:r>
      <w:r w:rsidR="00155A3B" w:rsidRPr="00532388">
        <w:rPr>
          <w:rFonts w:eastAsia="TimesNewRoman"/>
          <w:sz w:val="22"/>
          <w:szCs w:val="22"/>
          <w:lang w:val="lt-LT" w:eastAsia="en-US"/>
        </w:rPr>
        <w:t xml:space="preserve"> </w:t>
      </w:r>
      <w:r w:rsidRPr="00532388">
        <w:rPr>
          <w:rFonts w:eastAsia="TimesNewRoman"/>
          <w:sz w:val="22"/>
          <w:szCs w:val="22"/>
          <w:lang w:val="lt-LT" w:eastAsia="en-US"/>
        </w:rPr>
        <w:t>rodmenys nėštumo metu sumažėjo mažiau, palyginti su rodmenimis po gimdymo, dėl to, kad</w:t>
      </w:r>
      <w:r w:rsidR="00155A3B" w:rsidRPr="00532388">
        <w:rPr>
          <w:rFonts w:eastAsia="TimesNewRoman"/>
          <w:sz w:val="22"/>
          <w:szCs w:val="22"/>
          <w:lang w:val="lt-LT" w:eastAsia="en-US"/>
        </w:rPr>
        <w:t xml:space="preserve"> </w:t>
      </w:r>
      <w:r w:rsidRPr="00532388">
        <w:rPr>
          <w:rFonts w:eastAsia="TimesNewRoman"/>
          <w:sz w:val="22"/>
          <w:szCs w:val="22"/>
          <w:lang w:val="lt-LT" w:eastAsia="en-US"/>
        </w:rPr>
        <w:t>neprisijungusio darunaviro frakcija nėštumo metu būna didesnė, palyginti su šia frakcija po gimdymo.</w:t>
      </w:r>
    </w:p>
    <w:p w14:paraId="7CAB5162" w14:textId="77777777" w:rsidR="00C23338" w:rsidRPr="00532388" w:rsidRDefault="00C23338" w:rsidP="00C23338">
      <w:pPr>
        <w:tabs>
          <w:tab w:val="left" w:pos="567"/>
        </w:tabs>
        <w:spacing w:line="260" w:lineRule="exact"/>
        <w:rPr>
          <w:rFonts w:eastAsia="Times New Roman"/>
          <w:iCs/>
          <w:noProof/>
          <w:sz w:val="22"/>
          <w:szCs w:val="22"/>
          <w:lang w:val="lt-LT" w:eastAsia="en-US"/>
        </w:rPr>
      </w:pPr>
    </w:p>
    <w:tbl>
      <w:tblPr>
        <w:tblW w:w="9074" w:type="dxa"/>
        <w:tblInd w:w="110" w:type="dxa"/>
        <w:tblLayout w:type="fixed"/>
        <w:tblCellMar>
          <w:left w:w="0" w:type="dxa"/>
          <w:right w:w="0" w:type="dxa"/>
        </w:tblCellMar>
        <w:tblLook w:val="04A0" w:firstRow="1" w:lastRow="0" w:firstColumn="1" w:lastColumn="0" w:noHBand="0" w:noVBand="1"/>
      </w:tblPr>
      <w:tblGrid>
        <w:gridCol w:w="2270"/>
        <w:gridCol w:w="2303"/>
        <w:gridCol w:w="2233"/>
        <w:gridCol w:w="2268"/>
      </w:tblGrid>
      <w:tr w:rsidR="00C23338" w:rsidRPr="00532388" w14:paraId="5A1418B8" w14:textId="77777777" w:rsidTr="00C23338">
        <w:trPr>
          <w:trHeight w:val="768"/>
        </w:trPr>
        <w:tc>
          <w:tcPr>
            <w:tcW w:w="9074" w:type="dxa"/>
            <w:gridSpan w:val="4"/>
            <w:tcBorders>
              <w:top w:val="single" w:sz="4" w:space="0" w:color="000000"/>
              <w:left w:val="single" w:sz="4" w:space="0" w:color="000000"/>
              <w:bottom w:val="single" w:sz="4" w:space="0" w:color="000000"/>
              <w:right w:val="single" w:sz="4" w:space="0" w:color="000000"/>
            </w:tcBorders>
            <w:hideMark/>
          </w:tcPr>
          <w:p w14:paraId="535E0C8B" w14:textId="77777777" w:rsidR="00C23338" w:rsidRPr="00532388" w:rsidRDefault="00155A3B" w:rsidP="00155A3B">
            <w:pPr>
              <w:autoSpaceDE w:val="0"/>
              <w:autoSpaceDN w:val="0"/>
              <w:adjustRightInd w:val="0"/>
              <w:jc w:val="center"/>
              <w:rPr>
                <w:rFonts w:eastAsia="Times New Roman"/>
                <w:b/>
                <w:sz w:val="22"/>
                <w:lang w:val="lt-LT" w:eastAsia="en-US"/>
              </w:rPr>
            </w:pPr>
            <w:r w:rsidRPr="00532388">
              <w:rPr>
                <w:rFonts w:eastAsia="TimesNewRoman,Bold"/>
                <w:b/>
                <w:bCs/>
                <w:sz w:val="22"/>
                <w:szCs w:val="22"/>
                <w:lang w:val="lt-LT" w:eastAsia="en-US"/>
              </w:rPr>
              <w:t>Bendrojo darunaviro farmakokinetiniai rodmenys vartojant 600/100 mg darunaviro/ritonaviro dozę du kartus per parą kartu su kitais vaistiniais preparatais pagal antiretrovirusinio gydymo planą antrąjį nėštumo trimestrą, trečiąjį nėštumo trimestrą ir pogimdyminiu laikotarpiu</w:t>
            </w:r>
          </w:p>
        </w:tc>
      </w:tr>
      <w:tr w:rsidR="00C23338" w:rsidRPr="00532388" w14:paraId="62C11AB4" w14:textId="77777777" w:rsidTr="00155A3B">
        <w:trPr>
          <w:trHeight w:hRule="exact" w:val="741"/>
        </w:trPr>
        <w:tc>
          <w:tcPr>
            <w:tcW w:w="2270" w:type="dxa"/>
            <w:tcBorders>
              <w:top w:val="single" w:sz="4" w:space="0" w:color="000000"/>
              <w:left w:val="single" w:sz="4" w:space="0" w:color="000000"/>
              <w:bottom w:val="single" w:sz="4" w:space="0" w:color="000000"/>
              <w:right w:val="single" w:sz="4" w:space="0" w:color="000000"/>
            </w:tcBorders>
            <w:hideMark/>
          </w:tcPr>
          <w:p w14:paraId="50053E15"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Bendrojo darunaviro</w:t>
            </w:r>
          </w:p>
          <w:p w14:paraId="742B9367"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farmakokinetika</w:t>
            </w:r>
          </w:p>
          <w:p w14:paraId="46C2C636"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NewRoman"/>
                <w:sz w:val="22"/>
                <w:szCs w:val="22"/>
                <w:lang w:val="lt-LT" w:eastAsia="en-US"/>
              </w:rPr>
              <w:t>(vidutinis rodmuo ± SN)</w:t>
            </w:r>
          </w:p>
        </w:tc>
        <w:tc>
          <w:tcPr>
            <w:tcW w:w="2303" w:type="dxa"/>
            <w:tcBorders>
              <w:top w:val="single" w:sz="4" w:space="0" w:color="000000"/>
              <w:left w:val="single" w:sz="4" w:space="0" w:color="000000"/>
              <w:bottom w:val="single" w:sz="4" w:space="0" w:color="000000"/>
              <w:right w:val="single" w:sz="4" w:space="0" w:color="000000"/>
            </w:tcBorders>
            <w:hideMark/>
          </w:tcPr>
          <w:p w14:paraId="393ADFC2"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Antrasis nėštumo</w:t>
            </w:r>
          </w:p>
          <w:p w14:paraId="22A6DCA9"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trimestras</w:t>
            </w:r>
          </w:p>
          <w:p w14:paraId="766C084C"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NewRoman,Bold"/>
                <w:b/>
                <w:bCs/>
                <w:sz w:val="22"/>
                <w:szCs w:val="22"/>
                <w:lang w:val="lt-LT" w:eastAsia="en-US"/>
              </w:rPr>
              <w:t>(n=11)</w:t>
            </w:r>
            <w:r w:rsidRPr="00532388">
              <w:rPr>
                <w:rFonts w:eastAsia="TimesNewRoman,Bold"/>
                <w:b/>
                <w:bCs/>
                <w:sz w:val="20"/>
                <w:vertAlign w:val="superscript"/>
                <w:lang w:val="lt-LT" w:eastAsia="en-US"/>
              </w:rPr>
              <w:t>a</w:t>
            </w:r>
          </w:p>
        </w:tc>
        <w:tc>
          <w:tcPr>
            <w:tcW w:w="2233" w:type="dxa"/>
            <w:tcBorders>
              <w:top w:val="single" w:sz="4" w:space="0" w:color="000000"/>
              <w:left w:val="single" w:sz="4" w:space="0" w:color="000000"/>
              <w:bottom w:val="single" w:sz="4" w:space="0" w:color="000000"/>
              <w:right w:val="single" w:sz="4" w:space="0" w:color="000000"/>
            </w:tcBorders>
            <w:hideMark/>
          </w:tcPr>
          <w:p w14:paraId="298741B3"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Trečiasis nėštumo</w:t>
            </w:r>
          </w:p>
          <w:p w14:paraId="44F02DB1"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trimestras</w:t>
            </w:r>
          </w:p>
          <w:p w14:paraId="4D15CBF2"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NewRoman,Bold"/>
                <w:b/>
                <w:bCs/>
                <w:sz w:val="22"/>
                <w:szCs w:val="22"/>
                <w:lang w:val="lt-LT" w:eastAsia="en-US"/>
              </w:rPr>
              <w:t>(n=11)</w:t>
            </w:r>
          </w:p>
        </w:tc>
        <w:tc>
          <w:tcPr>
            <w:tcW w:w="2268" w:type="dxa"/>
            <w:tcBorders>
              <w:top w:val="single" w:sz="4" w:space="0" w:color="000000"/>
              <w:left w:val="single" w:sz="4" w:space="0" w:color="000000"/>
              <w:bottom w:val="single" w:sz="4" w:space="0" w:color="000000"/>
              <w:right w:val="single" w:sz="4" w:space="0" w:color="000000"/>
            </w:tcBorders>
            <w:hideMark/>
          </w:tcPr>
          <w:p w14:paraId="583DEB4A"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Pogimdyminis</w:t>
            </w:r>
          </w:p>
          <w:p w14:paraId="5A7850B2" w14:textId="77777777" w:rsidR="00155A3B" w:rsidRPr="00532388" w:rsidRDefault="00155A3B" w:rsidP="00155A3B">
            <w:pPr>
              <w:autoSpaceDE w:val="0"/>
              <w:autoSpaceDN w:val="0"/>
              <w:adjustRightInd w:val="0"/>
              <w:jc w:val="center"/>
              <w:rPr>
                <w:rFonts w:eastAsia="TimesNewRoman,Bold"/>
                <w:b/>
                <w:bCs/>
                <w:sz w:val="22"/>
                <w:szCs w:val="22"/>
                <w:lang w:val="lt-LT" w:eastAsia="en-US"/>
              </w:rPr>
            </w:pPr>
            <w:r w:rsidRPr="00532388">
              <w:rPr>
                <w:rFonts w:eastAsia="TimesNewRoman,Bold"/>
                <w:b/>
                <w:bCs/>
                <w:sz w:val="22"/>
                <w:szCs w:val="22"/>
                <w:lang w:val="lt-LT" w:eastAsia="en-US"/>
              </w:rPr>
              <w:t>laikotarpis</w:t>
            </w:r>
          </w:p>
          <w:p w14:paraId="54BC9C32" w14:textId="77777777" w:rsidR="00C23338" w:rsidRPr="00532388" w:rsidRDefault="00155A3B" w:rsidP="00155A3B">
            <w:pPr>
              <w:autoSpaceDE w:val="0"/>
              <w:autoSpaceDN w:val="0"/>
              <w:adjustRightInd w:val="0"/>
              <w:jc w:val="center"/>
              <w:rPr>
                <w:rFonts w:eastAsia="Times New Roman"/>
                <w:b/>
                <w:sz w:val="22"/>
                <w:lang w:val="lt-LT" w:eastAsia="en-US"/>
              </w:rPr>
            </w:pPr>
            <w:r w:rsidRPr="00532388">
              <w:rPr>
                <w:rFonts w:eastAsia="TimesNewRoman,Bold"/>
                <w:b/>
                <w:bCs/>
                <w:sz w:val="22"/>
                <w:szCs w:val="22"/>
                <w:lang w:val="lt-LT" w:eastAsia="en-US"/>
              </w:rPr>
              <w:t>(6-12 savaičių) (n=11)</w:t>
            </w:r>
          </w:p>
        </w:tc>
      </w:tr>
      <w:tr w:rsidR="00C23338" w:rsidRPr="00532388" w14:paraId="33B49695" w14:textId="77777777" w:rsidTr="00155A3B">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252A64DA"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C</w:t>
            </w:r>
            <w:r w:rsidRPr="00532388">
              <w:rPr>
                <w:rFonts w:eastAsia="Times New Roman"/>
                <w:sz w:val="22"/>
                <w:vertAlign w:val="subscript"/>
                <w:lang w:val="lt-LT" w:eastAsia="en-US"/>
              </w:rPr>
              <w:t>max</w:t>
            </w:r>
            <w:r w:rsidRPr="00532388">
              <w:rPr>
                <w:rFonts w:eastAsia="Times New Roman"/>
                <w:sz w:val="22"/>
                <w:lang w:val="lt-LT" w:eastAsia="en-US"/>
              </w:rPr>
              <w:t>, ng/ml</w:t>
            </w:r>
          </w:p>
        </w:tc>
        <w:tc>
          <w:tcPr>
            <w:tcW w:w="2303" w:type="dxa"/>
            <w:tcBorders>
              <w:top w:val="single" w:sz="4" w:space="0" w:color="000000"/>
              <w:left w:val="single" w:sz="4" w:space="0" w:color="000000"/>
              <w:bottom w:val="single" w:sz="4" w:space="0" w:color="000000"/>
              <w:right w:val="single" w:sz="4" w:space="0" w:color="000000"/>
            </w:tcBorders>
            <w:hideMark/>
          </w:tcPr>
          <w:p w14:paraId="666BC387"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4,601 ± 1,125</w:t>
            </w:r>
          </w:p>
        </w:tc>
        <w:tc>
          <w:tcPr>
            <w:tcW w:w="2233" w:type="dxa"/>
            <w:tcBorders>
              <w:top w:val="single" w:sz="4" w:space="0" w:color="000000"/>
              <w:left w:val="single" w:sz="4" w:space="0" w:color="000000"/>
              <w:bottom w:val="single" w:sz="4" w:space="0" w:color="000000"/>
              <w:right w:val="single" w:sz="4" w:space="0" w:color="000000"/>
            </w:tcBorders>
            <w:hideMark/>
          </w:tcPr>
          <w:p w14:paraId="4F39050F"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5,111 ± 1,517</w:t>
            </w:r>
          </w:p>
        </w:tc>
        <w:tc>
          <w:tcPr>
            <w:tcW w:w="2268" w:type="dxa"/>
            <w:tcBorders>
              <w:top w:val="single" w:sz="4" w:space="0" w:color="000000"/>
              <w:left w:val="single" w:sz="4" w:space="0" w:color="000000"/>
              <w:bottom w:val="single" w:sz="4" w:space="0" w:color="000000"/>
              <w:right w:val="single" w:sz="4" w:space="0" w:color="000000"/>
            </w:tcBorders>
            <w:hideMark/>
          </w:tcPr>
          <w:p w14:paraId="5983E352"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6,499 ± 2,411</w:t>
            </w:r>
          </w:p>
        </w:tc>
      </w:tr>
      <w:tr w:rsidR="00C23338" w:rsidRPr="00532388" w14:paraId="11F93B1C" w14:textId="77777777" w:rsidTr="00155A3B">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3201AB25"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AUC</w:t>
            </w:r>
            <w:r w:rsidRPr="00532388">
              <w:rPr>
                <w:rFonts w:eastAsia="Times New Roman"/>
                <w:sz w:val="22"/>
                <w:vertAlign w:val="subscript"/>
                <w:lang w:val="lt-LT" w:eastAsia="en-US"/>
              </w:rPr>
              <w:t>12h</w:t>
            </w:r>
            <w:r w:rsidRPr="00532388">
              <w:rPr>
                <w:rFonts w:eastAsia="Times New Roman"/>
                <w:sz w:val="22"/>
                <w:lang w:val="lt-LT" w:eastAsia="en-US"/>
              </w:rPr>
              <w:t>, ng.h/ml</w:t>
            </w:r>
          </w:p>
        </w:tc>
        <w:tc>
          <w:tcPr>
            <w:tcW w:w="2303" w:type="dxa"/>
            <w:tcBorders>
              <w:top w:val="single" w:sz="4" w:space="0" w:color="000000"/>
              <w:left w:val="single" w:sz="4" w:space="0" w:color="000000"/>
              <w:bottom w:val="single" w:sz="4" w:space="0" w:color="000000"/>
              <w:right w:val="single" w:sz="4" w:space="0" w:color="000000"/>
            </w:tcBorders>
            <w:hideMark/>
          </w:tcPr>
          <w:p w14:paraId="050F7C31"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38,950 ± 10,010</w:t>
            </w:r>
          </w:p>
        </w:tc>
        <w:tc>
          <w:tcPr>
            <w:tcW w:w="2233" w:type="dxa"/>
            <w:tcBorders>
              <w:top w:val="single" w:sz="4" w:space="0" w:color="000000"/>
              <w:left w:val="single" w:sz="4" w:space="0" w:color="000000"/>
              <w:bottom w:val="single" w:sz="4" w:space="0" w:color="000000"/>
              <w:right w:val="single" w:sz="4" w:space="0" w:color="000000"/>
            </w:tcBorders>
            <w:hideMark/>
          </w:tcPr>
          <w:p w14:paraId="3E1C1DCC"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43,700 ± 16,400</w:t>
            </w:r>
          </w:p>
        </w:tc>
        <w:tc>
          <w:tcPr>
            <w:tcW w:w="2268" w:type="dxa"/>
            <w:tcBorders>
              <w:top w:val="single" w:sz="4" w:space="0" w:color="000000"/>
              <w:left w:val="single" w:sz="4" w:space="0" w:color="000000"/>
              <w:bottom w:val="single" w:sz="4" w:space="0" w:color="000000"/>
              <w:right w:val="single" w:sz="4" w:space="0" w:color="000000"/>
            </w:tcBorders>
            <w:hideMark/>
          </w:tcPr>
          <w:p w14:paraId="57AFE536"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55,300 ± 27,020</w:t>
            </w:r>
          </w:p>
        </w:tc>
      </w:tr>
      <w:tr w:rsidR="00C23338" w:rsidRPr="00532388" w14:paraId="2240C38B" w14:textId="77777777" w:rsidTr="00155A3B">
        <w:trPr>
          <w:trHeight w:hRule="exact" w:val="262"/>
        </w:trPr>
        <w:tc>
          <w:tcPr>
            <w:tcW w:w="2270" w:type="dxa"/>
            <w:tcBorders>
              <w:top w:val="single" w:sz="4" w:space="0" w:color="000000"/>
              <w:left w:val="single" w:sz="4" w:space="0" w:color="000000"/>
              <w:bottom w:val="single" w:sz="4" w:space="0" w:color="000000"/>
              <w:right w:val="single" w:sz="4" w:space="0" w:color="000000"/>
            </w:tcBorders>
            <w:hideMark/>
          </w:tcPr>
          <w:p w14:paraId="215D69A1"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C</w:t>
            </w:r>
            <w:r w:rsidRPr="00532388">
              <w:rPr>
                <w:rFonts w:eastAsia="Times New Roman"/>
                <w:sz w:val="22"/>
                <w:vertAlign w:val="subscript"/>
                <w:lang w:val="lt-LT" w:eastAsia="en-US"/>
              </w:rPr>
              <w:t>min</w:t>
            </w:r>
            <w:r w:rsidRPr="00532388">
              <w:rPr>
                <w:rFonts w:eastAsia="Times New Roman"/>
                <w:sz w:val="22"/>
                <w:lang w:val="lt-LT" w:eastAsia="en-US"/>
              </w:rPr>
              <w:t>, ng/ml</w:t>
            </w:r>
            <w:r w:rsidRPr="00532388">
              <w:rPr>
                <w:rFonts w:eastAsia="Times New Roman"/>
                <w:sz w:val="22"/>
                <w:vertAlign w:val="superscript"/>
                <w:lang w:val="lt-LT" w:eastAsia="en-US"/>
              </w:rPr>
              <w:t>b</w:t>
            </w:r>
          </w:p>
        </w:tc>
        <w:tc>
          <w:tcPr>
            <w:tcW w:w="2303" w:type="dxa"/>
            <w:tcBorders>
              <w:top w:val="single" w:sz="4" w:space="0" w:color="000000"/>
              <w:left w:val="single" w:sz="4" w:space="0" w:color="000000"/>
              <w:bottom w:val="single" w:sz="4" w:space="0" w:color="000000"/>
              <w:right w:val="single" w:sz="4" w:space="0" w:color="000000"/>
            </w:tcBorders>
            <w:hideMark/>
          </w:tcPr>
          <w:p w14:paraId="17AA11C5"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1,980 ± 839.9</w:t>
            </w:r>
          </w:p>
        </w:tc>
        <w:tc>
          <w:tcPr>
            <w:tcW w:w="2233" w:type="dxa"/>
            <w:tcBorders>
              <w:top w:val="single" w:sz="4" w:space="0" w:color="000000"/>
              <w:left w:val="single" w:sz="4" w:space="0" w:color="000000"/>
              <w:bottom w:val="single" w:sz="4" w:space="0" w:color="000000"/>
              <w:right w:val="single" w:sz="4" w:space="0" w:color="000000"/>
            </w:tcBorders>
            <w:hideMark/>
          </w:tcPr>
          <w:p w14:paraId="72786298"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2,498 ± 1,193</w:t>
            </w:r>
          </w:p>
        </w:tc>
        <w:tc>
          <w:tcPr>
            <w:tcW w:w="2268" w:type="dxa"/>
            <w:tcBorders>
              <w:top w:val="single" w:sz="4" w:space="0" w:color="000000"/>
              <w:left w:val="single" w:sz="4" w:space="0" w:color="000000"/>
              <w:bottom w:val="single" w:sz="4" w:space="0" w:color="000000"/>
              <w:right w:val="single" w:sz="4" w:space="0" w:color="000000"/>
            </w:tcBorders>
            <w:hideMark/>
          </w:tcPr>
          <w:p w14:paraId="0F6B4B9F" w14:textId="77777777" w:rsidR="00C23338" w:rsidRPr="00532388" w:rsidRDefault="00C23338" w:rsidP="00155A3B">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2,711 ± 2,268</w:t>
            </w:r>
          </w:p>
        </w:tc>
      </w:tr>
    </w:tbl>
    <w:p w14:paraId="299A687D" w14:textId="77777777" w:rsidR="00C23338" w:rsidRPr="00532388" w:rsidRDefault="00C23338" w:rsidP="00C23338">
      <w:pPr>
        <w:autoSpaceDE w:val="0"/>
        <w:autoSpaceDN w:val="0"/>
        <w:adjustRightInd w:val="0"/>
        <w:rPr>
          <w:rFonts w:eastAsia="TimesNewRoman"/>
          <w:sz w:val="12"/>
          <w:szCs w:val="12"/>
          <w:lang w:val="lt-LT" w:eastAsia="en-US"/>
        </w:rPr>
      </w:pPr>
      <w:r w:rsidRPr="00532388">
        <w:rPr>
          <w:rFonts w:eastAsia="TimesNewRoman"/>
          <w:sz w:val="18"/>
          <w:szCs w:val="18"/>
          <w:vertAlign w:val="superscript"/>
          <w:lang w:val="lt-LT" w:eastAsia="en-US"/>
        </w:rPr>
        <w:lastRenderedPageBreak/>
        <w:t xml:space="preserve">a </w:t>
      </w:r>
      <w:r w:rsidRPr="00532388">
        <w:rPr>
          <w:rFonts w:eastAsia="TimesNewRoman"/>
          <w:sz w:val="18"/>
          <w:szCs w:val="18"/>
          <w:lang w:val="lt-LT" w:eastAsia="en-US"/>
        </w:rPr>
        <w:t>n=10, įvertinat AUC</w:t>
      </w:r>
      <w:r w:rsidRPr="00532388">
        <w:rPr>
          <w:rFonts w:eastAsia="TimesNewRoman"/>
          <w:sz w:val="12"/>
          <w:szCs w:val="12"/>
          <w:lang w:val="lt-LT" w:eastAsia="en-US"/>
        </w:rPr>
        <w:t>12 val.</w:t>
      </w:r>
    </w:p>
    <w:p w14:paraId="23A757B5" w14:textId="77777777" w:rsidR="00C23338" w:rsidRPr="00532388" w:rsidRDefault="00C23338" w:rsidP="00155A3B">
      <w:pPr>
        <w:autoSpaceDE w:val="0"/>
        <w:autoSpaceDN w:val="0"/>
        <w:adjustRightInd w:val="0"/>
        <w:rPr>
          <w:rFonts w:eastAsia="Times New Roman"/>
          <w:b/>
          <w:sz w:val="22"/>
          <w:lang w:val="lt-LT" w:eastAsia="en-US"/>
        </w:rPr>
      </w:pPr>
      <w:r w:rsidRPr="00532388">
        <w:rPr>
          <w:rFonts w:eastAsia="TimesNewRoman"/>
          <w:sz w:val="18"/>
          <w:szCs w:val="18"/>
          <w:vertAlign w:val="superscript"/>
          <w:lang w:val="lt-LT" w:eastAsia="en-US"/>
        </w:rPr>
        <w:t>b</w:t>
      </w:r>
      <w:r w:rsidRPr="00532388">
        <w:rPr>
          <w:rFonts w:eastAsia="TimesNewRoman"/>
          <w:sz w:val="14"/>
          <w:szCs w:val="14"/>
          <w:lang w:val="lt-LT" w:eastAsia="en-US"/>
        </w:rPr>
        <w:t xml:space="preserve"> </w:t>
      </w:r>
      <w:r w:rsidRPr="00532388">
        <w:rPr>
          <w:rFonts w:eastAsia="TimesNewRoman"/>
          <w:sz w:val="18"/>
          <w:szCs w:val="18"/>
          <w:lang w:val="lt-LT" w:eastAsia="en-US"/>
        </w:rPr>
        <w:t xml:space="preserve">Išskyrus </w:t>
      </w:r>
      <w:r w:rsidRPr="00532388">
        <w:rPr>
          <w:rFonts w:eastAsia="TimesNewRoman"/>
          <w:i/>
          <w:iCs/>
          <w:sz w:val="18"/>
          <w:szCs w:val="18"/>
          <w:lang w:val="lt-LT" w:eastAsia="en-US"/>
        </w:rPr>
        <w:t>C</w:t>
      </w:r>
      <w:r w:rsidRPr="00532388">
        <w:rPr>
          <w:rFonts w:eastAsia="TimesNewRoman"/>
          <w:i/>
          <w:iCs/>
          <w:sz w:val="12"/>
          <w:szCs w:val="12"/>
          <w:lang w:val="lt-LT" w:eastAsia="en-US"/>
        </w:rPr>
        <w:t xml:space="preserve">min </w:t>
      </w:r>
      <w:r w:rsidRPr="00532388">
        <w:rPr>
          <w:rFonts w:eastAsia="TimesNewRoman"/>
          <w:sz w:val="18"/>
          <w:szCs w:val="18"/>
          <w:lang w:val="lt-LT" w:eastAsia="en-US"/>
        </w:rPr>
        <w:t>rodmenį, kuris yra mažesnis už apatinę kiekybinio nustatymo ribą (angl.</w:t>
      </w:r>
      <w:r w:rsidR="00155A3B" w:rsidRPr="00532388">
        <w:rPr>
          <w:rFonts w:eastAsia="TimesNewRoman"/>
          <w:sz w:val="18"/>
          <w:szCs w:val="18"/>
          <w:lang w:val="lt-LT" w:eastAsia="en-US"/>
        </w:rPr>
        <w:t>:</w:t>
      </w:r>
      <w:r w:rsidRPr="00532388">
        <w:rPr>
          <w:rFonts w:eastAsia="TimesNewRoman"/>
          <w:sz w:val="18"/>
          <w:szCs w:val="18"/>
          <w:lang w:val="lt-LT" w:eastAsia="en-US"/>
        </w:rPr>
        <w:t xml:space="preserve"> </w:t>
      </w:r>
      <w:r w:rsidRPr="00532388">
        <w:rPr>
          <w:rFonts w:eastAsia="TimesNewRoman"/>
          <w:i/>
          <w:iCs/>
          <w:sz w:val="18"/>
          <w:szCs w:val="18"/>
          <w:lang w:val="lt-LT" w:eastAsia="en-US"/>
        </w:rPr>
        <w:t>lower limit of quantification</w:t>
      </w:r>
      <w:r w:rsidR="00155A3B" w:rsidRPr="00532388">
        <w:rPr>
          <w:rFonts w:eastAsia="TimesNewRoman"/>
          <w:i/>
          <w:iCs/>
          <w:sz w:val="18"/>
          <w:szCs w:val="18"/>
          <w:lang w:val="lt-LT" w:eastAsia="en-US"/>
        </w:rPr>
        <w:t xml:space="preserve"> </w:t>
      </w:r>
      <w:r w:rsidRPr="00532388">
        <w:rPr>
          <w:rFonts w:eastAsia="TimesNewRoman"/>
          <w:i/>
          <w:iCs/>
          <w:sz w:val="18"/>
          <w:szCs w:val="18"/>
          <w:lang w:val="lt-LT" w:eastAsia="en-US"/>
        </w:rPr>
        <w:t>[LLOQ]</w:t>
      </w:r>
      <w:r w:rsidRPr="00532388">
        <w:rPr>
          <w:rFonts w:eastAsia="TimesNewRoman"/>
          <w:sz w:val="18"/>
          <w:szCs w:val="18"/>
          <w:lang w:val="lt-LT" w:eastAsia="en-US"/>
        </w:rPr>
        <w:t>), n = 10 nuorodai.</w:t>
      </w:r>
    </w:p>
    <w:p w14:paraId="65DC7B7D" w14:textId="77777777" w:rsidR="00C23338" w:rsidRPr="00532388" w:rsidRDefault="00C23338" w:rsidP="00C23338">
      <w:pPr>
        <w:autoSpaceDE w:val="0"/>
        <w:autoSpaceDN w:val="0"/>
        <w:adjustRightInd w:val="0"/>
        <w:rPr>
          <w:rFonts w:eastAsia="TimesNewRoman"/>
          <w:sz w:val="22"/>
          <w:szCs w:val="22"/>
          <w:lang w:val="lt-LT" w:eastAsia="en-US"/>
        </w:rPr>
      </w:pPr>
    </w:p>
    <w:p w14:paraId="567A6837" w14:textId="77777777" w:rsidR="00C23338" w:rsidRPr="00532388" w:rsidRDefault="00C23338" w:rsidP="00C23338">
      <w:pPr>
        <w:autoSpaceDE w:val="0"/>
        <w:autoSpaceDN w:val="0"/>
        <w:adjustRightInd w:val="0"/>
        <w:rPr>
          <w:rFonts w:eastAsia="TimesNewRoman"/>
          <w:sz w:val="22"/>
          <w:szCs w:val="22"/>
          <w:lang w:val="lt-LT" w:eastAsia="en-US"/>
        </w:rPr>
      </w:pPr>
    </w:p>
    <w:tbl>
      <w:tblPr>
        <w:tblW w:w="0" w:type="auto"/>
        <w:tblInd w:w="110" w:type="dxa"/>
        <w:tblLayout w:type="fixed"/>
        <w:tblCellMar>
          <w:left w:w="0" w:type="dxa"/>
          <w:right w:w="0" w:type="dxa"/>
        </w:tblCellMar>
        <w:tblLook w:val="04A0" w:firstRow="1" w:lastRow="0" w:firstColumn="1" w:lastColumn="0" w:noHBand="0" w:noVBand="1"/>
      </w:tblPr>
      <w:tblGrid>
        <w:gridCol w:w="2270"/>
        <w:gridCol w:w="2268"/>
        <w:gridCol w:w="2268"/>
        <w:gridCol w:w="2268"/>
      </w:tblGrid>
      <w:tr w:rsidR="00C23338" w:rsidRPr="00532388" w14:paraId="6FFDEEA4" w14:textId="77777777" w:rsidTr="00C23338">
        <w:trPr>
          <w:trHeight w:val="770"/>
        </w:trPr>
        <w:tc>
          <w:tcPr>
            <w:tcW w:w="9074" w:type="dxa"/>
            <w:gridSpan w:val="4"/>
            <w:tcBorders>
              <w:top w:val="single" w:sz="4" w:space="0" w:color="000000"/>
              <w:left w:val="single" w:sz="4" w:space="0" w:color="000000"/>
              <w:bottom w:val="single" w:sz="4" w:space="0" w:color="000000"/>
              <w:right w:val="single" w:sz="4" w:space="0" w:color="000000"/>
            </w:tcBorders>
            <w:hideMark/>
          </w:tcPr>
          <w:p w14:paraId="30FCDED9" w14:textId="77777777" w:rsidR="00C23338" w:rsidRPr="00532388" w:rsidRDefault="00155A3B" w:rsidP="00155A3B">
            <w:pPr>
              <w:autoSpaceDE w:val="0"/>
              <w:autoSpaceDN w:val="0"/>
              <w:adjustRightInd w:val="0"/>
              <w:jc w:val="center"/>
              <w:rPr>
                <w:rFonts w:eastAsia="Times New Roman"/>
                <w:b/>
                <w:sz w:val="22"/>
                <w:lang w:val="lt-LT" w:eastAsia="en-US"/>
              </w:rPr>
            </w:pPr>
            <w:r w:rsidRPr="00532388">
              <w:rPr>
                <w:rFonts w:eastAsia="TimesNewRoman,Bold"/>
                <w:b/>
                <w:bCs/>
                <w:sz w:val="22"/>
                <w:szCs w:val="22"/>
                <w:lang w:val="lt-LT" w:eastAsia="en-US"/>
              </w:rPr>
              <w:t>Bendrojo darunaviro farmakokinetiniai rodmenys vartojant 800/100 mg darunaviro/ritonaviro dozę vieną kartą per parą kartu su kitais vaistiniais preparatais pagal antiretrovirusinio gydymo planą antrąjį nėštumo trimestrą, trečiąjį nėštumo trimestrą ir pogimdyminiu laikotarpiu</w:t>
            </w:r>
          </w:p>
        </w:tc>
      </w:tr>
      <w:tr w:rsidR="00C23338" w:rsidRPr="00532388" w14:paraId="1224E48B" w14:textId="77777777" w:rsidTr="00C23338">
        <w:trPr>
          <w:trHeight w:hRule="exact" w:val="768"/>
        </w:trPr>
        <w:tc>
          <w:tcPr>
            <w:tcW w:w="2270" w:type="dxa"/>
            <w:tcBorders>
              <w:top w:val="single" w:sz="4" w:space="0" w:color="000000"/>
              <w:left w:val="single" w:sz="4" w:space="0" w:color="000000"/>
              <w:bottom w:val="single" w:sz="4" w:space="0" w:color="000000"/>
              <w:right w:val="single" w:sz="4" w:space="0" w:color="000000"/>
            </w:tcBorders>
            <w:hideMark/>
          </w:tcPr>
          <w:p w14:paraId="7BB8F22D" w14:textId="77777777" w:rsidR="00155A3B" w:rsidRPr="00532388" w:rsidRDefault="00155A3B" w:rsidP="00155A3B">
            <w:pPr>
              <w:autoSpaceDE w:val="0"/>
              <w:autoSpaceDN w:val="0"/>
              <w:adjustRightInd w:val="0"/>
              <w:rPr>
                <w:rFonts w:eastAsia="TimesNewRoman,Bold"/>
                <w:b/>
                <w:bCs/>
                <w:sz w:val="22"/>
                <w:szCs w:val="22"/>
                <w:lang w:val="lt-LT" w:eastAsia="en-US"/>
              </w:rPr>
            </w:pPr>
            <w:r w:rsidRPr="00532388">
              <w:rPr>
                <w:rFonts w:eastAsia="TimesNewRoman,Bold"/>
                <w:b/>
                <w:bCs/>
                <w:sz w:val="22"/>
                <w:szCs w:val="22"/>
                <w:lang w:val="lt-LT" w:eastAsia="en-US"/>
              </w:rPr>
              <w:t>Bendrojo darunaviro</w:t>
            </w:r>
          </w:p>
          <w:p w14:paraId="012F9812" w14:textId="77777777" w:rsidR="00155A3B" w:rsidRPr="00532388" w:rsidRDefault="00155A3B" w:rsidP="00155A3B">
            <w:pPr>
              <w:autoSpaceDE w:val="0"/>
              <w:autoSpaceDN w:val="0"/>
              <w:adjustRightInd w:val="0"/>
              <w:rPr>
                <w:rFonts w:eastAsia="TimesNewRoman,Bold"/>
                <w:b/>
                <w:bCs/>
                <w:sz w:val="22"/>
                <w:szCs w:val="22"/>
                <w:lang w:val="lt-LT" w:eastAsia="en-US"/>
              </w:rPr>
            </w:pPr>
            <w:r w:rsidRPr="00532388">
              <w:rPr>
                <w:rFonts w:eastAsia="TimesNewRoman,Bold"/>
                <w:b/>
                <w:bCs/>
                <w:sz w:val="22"/>
                <w:szCs w:val="22"/>
                <w:lang w:val="lt-LT" w:eastAsia="en-US"/>
              </w:rPr>
              <w:t>farmakokinetika</w:t>
            </w:r>
          </w:p>
          <w:p w14:paraId="19E9976C"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NewRoman"/>
                <w:sz w:val="22"/>
                <w:szCs w:val="22"/>
                <w:lang w:val="lt-LT" w:eastAsia="en-US"/>
              </w:rPr>
              <w:t>(vidutinis rodmuo ± SN)</w:t>
            </w:r>
          </w:p>
        </w:tc>
        <w:tc>
          <w:tcPr>
            <w:tcW w:w="2268" w:type="dxa"/>
            <w:tcBorders>
              <w:top w:val="single" w:sz="4" w:space="0" w:color="000000"/>
              <w:left w:val="single" w:sz="4" w:space="0" w:color="000000"/>
              <w:bottom w:val="single" w:sz="4" w:space="0" w:color="000000"/>
              <w:right w:val="single" w:sz="4" w:space="0" w:color="000000"/>
            </w:tcBorders>
            <w:hideMark/>
          </w:tcPr>
          <w:p w14:paraId="3162DC82" w14:textId="77777777" w:rsidR="00155A3B" w:rsidRPr="00532388" w:rsidRDefault="00155A3B" w:rsidP="00155A3B">
            <w:pPr>
              <w:tabs>
                <w:tab w:val="left" w:pos="567"/>
              </w:tabs>
              <w:spacing w:line="260" w:lineRule="exact"/>
              <w:jc w:val="center"/>
              <w:rPr>
                <w:rFonts w:eastAsia="Times New Roman"/>
                <w:b/>
                <w:bCs/>
                <w:sz w:val="22"/>
                <w:lang w:val="lt-LT" w:eastAsia="en-US"/>
              </w:rPr>
            </w:pPr>
            <w:r w:rsidRPr="00532388">
              <w:rPr>
                <w:rFonts w:eastAsia="Times New Roman"/>
                <w:b/>
                <w:bCs/>
                <w:sz w:val="22"/>
                <w:lang w:val="lt-LT" w:eastAsia="en-US"/>
              </w:rPr>
              <w:t>Antrasis nėštumo trimestras</w:t>
            </w:r>
          </w:p>
          <w:p w14:paraId="38B23723"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 New Roman"/>
                <w:b/>
                <w:bCs/>
                <w:sz w:val="22"/>
                <w:lang w:val="lt-LT" w:eastAsia="en-US"/>
              </w:rPr>
              <w:t>(n=16)</w:t>
            </w:r>
          </w:p>
        </w:tc>
        <w:tc>
          <w:tcPr>
            <w:tcW w:w="2268" w:type="dxa"/>
            <w:tcBorders>
              <w:top w:val="single" w:sz="4" w:space="0" w:color="000000"/>
              <w:left w:val="single" w:sz="4" w:space="0" w:color="000000"/>
              <w:bottom w:val="single" w:sz="4" w:space="0" w:color="000000"/>
              <w:right w:val="single" w:sz="4" w:space="0" w:color="000000"/>
            </w:tcBorders>
            <w:hideMark/>
          </w:tcPr>
          <w:p w14:paraId="27FA1BFC" w14:textId="77777777" w:rsidR="00155A3B" w:rsidRPr="00532388" w:rsidRDefault="00155A3B" w:rsidP="00155A3B">
            <w:pPr>
              <w:tabs>
                <w:tab w:val="left" w:pos="567"/>
              </w:tabs>
              <w:spacing w:line="260" w:lineRule="exact"/>
              <w:jc w:val="center"/>
              <w:rPr>
                <w:rFonts w:eastAsia="Times New Roman"/>
                <w:b/>
                <w:bCs/>
                <w:sz w:val="22"/>
                <w:lang w:val="lt-LT" w:eastAsia="en-US"/>
              </w:rPr>
            </w:pPr>
            <w:r w:rsidRPr="00532388">
              <w:rPr>
                <w:rFonts w:eastAsia="Times New Roman"/>
                <w:b/>
                <w:bCs/>
                <w:sz w:val="22"/>
                <w:lang w:val="lt-LT" w:eastAsia="en-US"/>
              </w:rPr>
              <w:t xml:space="preserve">Trečiasis nėštumo trimestras </w:t>
            </w:r>
          </w:p>
          <w:p w14:paraId="411061AC"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 New Roman"/>
                <w:b/>
                <w:bCs/>
                <w:sz w:val="22"/>
                <w:lang w:val="lt-LT" w:eastAsia="en-US"/>
              </w:rPr>
              <w:t>(n=14)</w:t>
            </w:r>
          </w:p>
        </w:tc>
        <w:tc>
          <w:tcPr>
            <w:tcW w:w="2268" w:type="dxa"/>
            <w:tcBorders>
              <w:top w:val="single" w:sz="4" w:space="0" w:color="000000"/>
              <w:left w:val="single" w:sz="4" w:space="0" w:color="000000"/>
              <w:bottom w:val="single" w:sz="4" w:space="0" w:color="000000"/>
              <w:right w:val="single" w:sz="4" w:space="0" w:color="000000"/>
            </w:tcBorders>
            <w:hideMark/>
          </w:tcPr>
          <w:p w14:paraId="2C7FD622" w14:textId="77777777" w:rsidR="00155A3B" w:rsidRPr="00532388" w:rsidRDefault="00155A3B" w:rsidP="00155A3B">
            <w:pPr>
              <w:tabs>
                <w:tab w:val="left" w:pos="567"/>
              </w:tabs>
              <w:spacing w:line="260" w:lineRule="exact"/>
              <w:jc w:val="center"/>
              <w:rPr>
                <w:rFonts w:eastAsia="Times New Roman"/>
                <w:b/>
                <w:bCs/>
                <w:sz w:val="22"/>
                <w:lang w:val="lt-LT" w:eastAsia="en-US"/>
              </w:rPr>
            </w:pPr>
            <w:r w:rsidRPr="00532388">
              <w:rPr>
                <w:rFonts w:eastAsia="Times New Roman"/>
                <w:b/>
                <w:bCs/>
                <w:sz w:val="22"/>
                <w:lang w:val="lt-LT" w:eastAsia="en-US"/>
              </w:rPr>
              <w:t>Pogimdyminis laikotarpis</w:t>
            </w:r>
          </w:p>
          <w:p w14:paraId="3F46973D" w14:textId="77777777" w:rsidR="00C23338" w:rsidRPr="00532388" w:rsidRDefault="00155A3B" w:rsidP="00155A3B">
            <w:pPr>
              <w:tabs>
                <w:tab w:val="left" w:pos="567"/>
              </w:tabs>
              <w:spacing w:line="260" w:lineRule="exact"/>
              <w:jc w:val="center"/>
              <w:rPr>
                <w:rFonts w:eastAsia="Times New Roman"/>
                <w:b/>
                <w:sz w:val="22"/>
                <w:lang w:val="lt-LT" w:eastAsia="en-US"/>
              </w:rPr>
            </w:pPr>
            <w:r w:rsidRPr="00532388">
              <w:rPr>
                <w:rFonts w:eastAsia="Times New Roman"/>
                <w:b/>
                <w:bCs/>
                <w:sz w:val="22"/>
                <w:lang w:val="lt-LT" w:eastAsia="en-US"/>
              </w:rPr>
              <w:t>(6-12 savaičių)(n=15)</w:t>
            </w:r>
          </w:p>
        </w:tc>
      </w:tr>
      <w:tr w:rsidR="00C23338" w:rsidRPr="00532388" w14:paraId="44591999" w14:textId="77777777" w:rsidTr="00C2333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2C6052C2"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C</w:t>
            </w:r>
            <w:r w:rsidRPr="00532388">
              <w:rPr>
                <w:rFonts w:eastAsia="Times New Roman"/>
                <w:sz w:val="22"/>
                <w:vertAlign w:val="subscript"/>
                <w:lang w:val="lt-LT" w:eastAsia="en-US"/>
              </w:rPr>
              <w:t>max</w:t>
            </w:r>
            <w:r w:rsidRPr="00532388">
              <w:rPr>
                <w:rFonts w:eastAsia="Times New Roman"/>
                <w:sz w:val="22"/>
                <w:lang w:val="lt-LT" w:eastAsia="en-US"/>
              </w:rPr>
              <w:t>, ng/ml</w:t>
            </w:r>
          </w:p>
        </w:tc>
        <w:tc>
          <w:tcPr>
            <w:tcW w:w="2268" w:type="dxa"/>
            <w:tcBorders>
              <w:top w:val="single" w:sz="4" w:space="0" w:color="000000"/>
              <w:left w:val="single" w:sz="4" w:space="0" w:color="000000"/>
              <w:bottom w:val="single" w:sz="4" w:space="0" w:color="000000"/>
              <w:right w:val="single" w:sz="4" w:space="0" w:color="000000"/>
            </w:tcBorders>
            <w:hideMark/>
          </w:tcPr>
          <w:p w14:paraId="0653A10A"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4,988 ± 1,551</w:t>
            </w:r>
          </w:p>
        </w:tc>
        <w:tc>
          <w:tcPr>
            <w:tcW w:w="2268" w:type="dxa"/>
            <w:tcBorders>
              <w:top w:val="single" w:sz="4" w:space="0" w:color="000000"/>
              <w:left w:val="single" w:sz="4" w:space="0" w:color="000000"/>
              <w:bottom w:val="single" w:sz="4" w:space="0" w:color="000000"/>
              <w:right w:val="single" w:sz="4" w:space="0" w:color="000000"/>
            </w:tcBorders>
            <w:hideMark/>
          </w:tcPr>
          <w:p w14:paraId="5155B7D3"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5,138 ± 1,243</w:t>
            </w:r>
          </w:p>
        </w:tc>
        <w:tc>
          <w:tcPr>
            <w:tcW w:w="2268" w:type="dxa"/>
            <w:tcBorders>
              <w:top w:val="single" w:sz="4" w:space="0" w:color="000000"/>
              <w:left w:val="single" w:sz="4" w:space="0" w:color="000000"/>
              <w:bottom w:val="single" w:sz="4" w:space="0" w:color="000000"/>
              <w:right w:val="single" w:sz="4" w:space="0" w:color="000000"/>
            </w:tcBorders>
            <w:hideMark/>
          </w:tcPr>
          <w:p w14:paraId="607A0686"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7,445 ± 1,674</w:t>
            </w:r>
          </w:p>
        </w:tc>
      </w:tr>
      <w:tr w:rsidR="00C23338" w:rsidRPr="00532388" w14:paraId="349ED6C9" w14:textId="77777777" w:rsidTr="00C23338">
        <w:trPr>
          <w:trHeight w:hRule="exact" w:val="262"/>
        </w:trPr>
        <w:tc>
          <w:tcPr>
            <w:tcW w:w="2270" w:type="dxa"/>
            <w:tcBorders>
              <w:top w:val="single" w:sz="4" w:space="0" w:color="000000"/>
              <w:left w:val="single" w:sz="4" w:space="0" w:color="000000"/>
              <w:bottom w:val="single" w:sz="4" w:space="0" w:color="000000"/>
              <w:right w:val="single" w:sz="4" w:space="0" w:color="000000"/>
            </w:tcBorders>
            <w:hideMark/>
          </w:tcPr>
          <w:p w14:paraId="2937D109"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AUC</w:t>
            </w:r>
            <w:r w:rsidRPr="00532388">
              <w:rPr>
                <w:rFonts w:eastAsia="Times New Roman"/>
                <w:sz w:val="22"/>
                <w:vertAlign w:val="subscript"/>
                <w:lang w:val="lt-LT" w:eastAsia="en-US"/>
              </w:rPr>
              <w:t>12h</w:t>
            </w:r>
            <w:r w:rsidRPr="00532388">
              <w:rPr>
                <w:rFonts w:eastAsia="Times New Roman"/>
                <w:sz w:val="22"/>
                <w:lang w:val="lt-LT" w:eastAsia="en-US"/>
              </w:rPr>
              <w:t>, ng.h/ml</w:t>
            </w:r>
          </w:p>
        </w:tc>
        <w:tc>
          <w:tcPr>
            <w:tcW w:w="2268" w:type="dxa"/>
            <w:tcBorders>
              <w:top w:val="single" w:sz="4" w:space="0" w:color="000000"/>
              <w:left w:val="single" w:sz="4" w:space="0" w:color="000000"/>
              <w:bottom w:val="single" w:sz="4" w:space="0" w:color="000000"/>
              <w:right w:val="single" w:sz="4" w:space="0" w:color="000000"/>
            </w:tcBorders>
            <w:hideMark/>
          </w:tcPr>
          <w:p w14:paraId="5D5B0090"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61,303 ± 16,232</w:t>
            </w:r>
          </w:p>
        </w:tc>
        <w:tc>
          <w:tcPr>
            <w:tcW w:w="2268" w:type="dxa"/>
            <w:tcBorders>
              <w:top w:val="single" w:sz="4" w:space="0" w:color="000000"/>
              <w:left w:val="single" w:sz="4" w:space="0" w:color="000000"/>
              <w:bottom w:val="single" w:sz="4" w:space="0" w:color="000000"/>
              <w:right w:val="single" w:sz="4" w:space="0" w:color="000000"/>
            </w:tcBorders>
            <w:hideMark/>
          </w:tcPr>
          <w:p w14:paraId="07317A4B"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60,439 ± 14,052</w:t>
            </w:r>
          </w:p>
        </w:tc>
        <w:tc>
          <w:tcPr>
            <w:tcW w:w="2268" w:type="dxa"/>
            <w:tcBorders>
              <w:top w:val="single" w:sz="4" w:space="0" w:color="000000"/>
              <w:left w:val="single" w:sz="4" w:space="0" w:color="000000"/>
              <w:bottom w:val="single" w:sz="4" w:space="0" w:color="000000"/>
              <w:right w:val="single" w:sz="4" w:space="0" w:color="000000"/>
            </w:tcBorders>
            <w:hideMark/>
          </w:tcPr>
          <w:p w14:paraId="102D4AE4"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94,529 ± 28,572</w:t>
            </w:r>
          </w:p>
        </w:tc>
      </w:tr>
      <w:tr w:rsidR="00C23338" w:rsidRPr="00532388" w14:paraId="0467AD27" w14:textId="77777777" w:rsidTr="00C23338">
        <w:trPr>
          <w:trHeight w:hRule="exact" w:val="264"/>
        </w:trPr>
        <w:tc>
          <w:tcPr>
            <w:tcW w:w="2270" w:type="dxa"/>
            <w:tcBorders>
              <w:top w:val="single" w:sz="4" w:space="0" w:color="000000"/>
              <w:left w:val="single" w:sz="4" w:space="0" w:color="000000"/>
              <w:bottom w:val="single" w:sz="4" w:space="0" w:color="000000"/>
              <w:right w:val="single" w:sz="4" w:space="0" w:color="000000"/>
            </w:tcBorders>
            <w:hideMark/>
          </w:tcPr>
          <w:p w14:paraId="4CA29B36"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C</w:t>
            </w:r>
            <w:r w:rsidRPr="00532388">
              <w:rPr>
                <w:rFonts w:eastAsia="Times New Roman"/>
                <w:sz w:val="22"/>
                <w:vertAlign w:val="subscript"/>
                <w:lang w:val="lt-LT" w:eastAsia="en-US"/>
              </w:rPr>
              <w:t>min</w:t>
            </w:r>
            <w:r w:rsidRPr="00532388">
              <w:rPr>
                <w:rFonts w:eastAsia="Times New Roman"/>
                <w:sz w:val="22"/>
                <w:lang w:val="lt-LT" w:eastAsia="en-US"/>
              </w:rPr>
              <w:t>, ng/ml</w:t>
            </w:r>
            <w:r w:rsidRPr="00532388">
              <w:rPr>
                <w:rFonts w:eastAsia="Times New Roman"/>
                <w:sz w:val="22"/>
                <w:vertAlign w:val="superscript"/>
                <w:lang w:val="lt-LT" w:eastAsia="en-US"/>
              </w:rPr>
              <w:t>a</w:t>
            </w:r>
          </w:p>
        </w:tc>
        <w:tc>
          <w:tcPr>
            <w:tcW w:w="2268" w:type="dxa"/>
            <w:tcBorders>
              <w:top w:val="single" w:sz="4" w:space="0" w:color="000000"/>
              <w:left w:val="single" w:sz="4" w:space="0" w:color="000000"/>
              <w:bottom w:val="single" w:sz="4" w:space="0" w:color="000000"/>
              <w:right w:val="single" w:sz="4" w:space="0" w:color="000000"/>
            </w:tcBorders>
            <w:hideMark/>
          </w:tcPr>
          <w:p w14:paraId="15293751"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1,193 ± 509</w:t>
            </w:r>
          </w:p>
        </w:tc>
        <w:tc>
          <w:tcPr>
            <w:tcW w:w="2268" w:type="dxa"/>
            <w:tcBorders>
              <w:top w:val="single" w:sz="4" w:space="0" w:color="000000"/>
              <w:left w:val="single" w:sz="4" w:space="0" w:color="000000"/>
              <w:bottom w:val="single" w:sz="4" w:space="0" w:color="000000"/>
              <w:right w:val="single" w:sz="4" w:space="0" w:color="000000"/>
            </w:tcBorders>
            <w:hideMark/>
          </w:tcPr>
          <w:p w14:paraId="693BE9F4"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1,098 ± 609</w:t>
            </w:r>
          </w:p>
        </w:tc>
        <w:tc>
          <w:tcPr>
            <w:tcW w:w="2268" w:type="dxa"/>
            <w:tcBorders>
              <w:top w:val="single" w:sz="4" w:space="0" w:color="000000"/>
              <w:left w:val="single" w:sz="4" w:space="0" w:color="000000"/>
              <w:bottom w:val="single" w:sz="4" w:space="0" w:color="000000"/>
              <w:right w:val="single" w:sz="4" w:space="0" w:color="000000"/>
            </w:tcBorders>
            <w:hideMark/>
          </w:tcPr>
          <w:p w14:paraId="3A8B1314" w14:textId="77777777" w:rsidR="00C23338" w:rsidRPr="00532388" w:rsidRDefault="00C23338" w:rsidP="00DE3254">
            <w:pPr>
              <w:tabs>
                <w:tab w:val="left" w:pos="567"/>
              </w:tabs>
              <w:spacing w:line="260" w:lineRule="exact"/>
              <w:jc w:val="center"/>
              <w:rPr>
                <w:rFonts w:eastAsia="Times New Roman"/>
                <w:sz w:val="22"/>
                <w:lang w:val="lt-LT" w:eastAsia="en-US"/>
              </w:rPr>
            </w:pPr>
            <w:r w:rsidRPr="00532388">
              <w:rPr>
                <w:rFonts w:eastAsia="Times New Roman"/>
                <w:sz w:val="22"/>
                <w:lang w:val="lt-LT" w:eastAsia="en-US"/>
              </w:rPr>
              <w:t>1,572 ± 1,108</w:t>
            </w:r>
          </w:p>
        </w:tc>
      </w:tr>
    </w:tbl>
    <w:p w14:paraId="186A5E34" w14:textId="77777777" w:rsidR="00C23338" w:rsidRPr="00532388" w:rsidRDefault="00DE3254" w:rsidP="00C23338">
      <w:pPr>
        <w:autoSpaceDE w:val="0"/>
        <w:autoSpaceDN w:val="0"/>
        <w:adjustRightInd w:val="0"/>
        <w:rPr>
          <w:rFonts w:eastAsia="TimesNewRoman"/>
          <w:sz w:val="18"/>
          <w:szCs w:val="18"/>
          <w:lang w:val="lt-LT" w:eastAsia="en-US"/>
        </w:rPr>
      </w:pPr>
      <w:r w:rsidRPr="00532388">
        <w:rPr>
          <w:rFonts w:eastAsia="TimesNewRoman"/>
          <w:sz w:val="18"/>
          <w:szCs w:val="18"/>
          <w:vertAlign w:val="superscript"/>
          <w:lang w:val="lt-LT" w:eastAsia="en-US"/>
        </w:rPr>
        <w:t>a</w:t>
      </w:r>
      <w:r w:rsidR="00C23338" w:rsidRPr="00532388">
        <w:rPr>
          <w:rFonts w:eastAsia="TimesNewRoman"/>
          <w:sz w:val="18"/>
          <w:szCs w:val="18"/>
          <w:lang w:val="lt-LT" w:eastAsia="en-US"/>
        </w:rPr>
        <w:t>n = 12 pogimdyminiu laikotarpiu, n = 15 antrąjį nėštumo trimestrą ir n = 14 trečiąjį nėštumo trimestrą.</w:t>
      </w:r>
    </w:p>
    <w:p w14:paraId="43ACAABC" w14:textId="77777777" w:rsidR="00DE3254" w:rsidRPr="00532388" w:rsidRDefault="00DE3254" w:rsidP="00C23338">
      <w:pPr>
        <w:autoSpaceDE w:val="0"/>
        <w:autoSpaceDN w:val="0"/>
        <w:adjustRightInd w:val="0"/>
        <w:rPr>
          <w:rFonts w:eastAsia="TimesNewRoman"/>
          <w:sz w:val="22"/>
          <w:szCs w:val="22"/>
          <w:lang w:val="lt-LT" w:eastAsia="en-US"/>
        </w:rPr>
      </w:pPr>
    </w:p>
    <w:p w14:paraId="521ED0D4" w14:textId="77777777" w:rsidR="00C2333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Remiantis moterų, kurios antrąjį nėštumo trimestrą vartojo 600/100</w:t>
      </w:r>
      <w:r w:rsidR="00DE3254" w:rsidRPr="00532388">
        <w:rPr>
          <w:rFonts w:eastAsia="TimesNewRoman"/>
          <w:sz w:val="22"/>
          <w:szCs w:val="22"/>
          <w:lang w:val="lt-LT" w:eastAsia="en-US"/>
        </w:rPr>
        <w:t> </w:t>
      </w:r>
      <w:r w:rsidRPr="00532388">
        <w:rPr>
          <w:rFonts w:eastAsia="TimesNewRoman"/>
          <w:sz w:val="22"/>
          <w:szCs w:val="22"/>
          <w:lang w:val="lt-LT" w:eastAsia="en-US"/>
        </w:rPr>
        <w:t>mg darunaviro/ritonaviro dozę du</w:t>
      </w:r>
      <w:r w:rsidR="00DE3254" w:rsidRPr="00532388">
        <w:rPr>
          <w:rFonts w:eastAsia="TimesNewRoman"/>
          <w:sz w:val="22"/>
          <w:szCs w:val="22"/>
          <w:lang w:val="lt-LT" w:eastAsia="en-US"/>
        </w:rPr>
        <w:t xml:space="preserve"> </w:t>
      </w:r>
      <w:r w:rsidRPr="00532388">
        <w:rPr>
          <w:rFonts w:eastAsia="TimesNewRoman"/>
          <w:sz w:val="22"/>
          <w:szCs w:val="22"/>
          <w:lang w:val="lt-LT" w:eastAsia="en-US"/>
        </w:rPr>
        <w:t xml:space="preserve">kartus per parą, duomenimis, vidutiniai skirtingų tiriamųjų bendrojo darunaviro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 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min</w:t>
      </w:r>
      <w:r w:rsidR="00DE3254" w:rsidRPr="00532388">
        <w:rPr>
          <w:rFonts w:eastAsia="TimesNewRoman"/>
          <w:iCs/>
          <w:sz w:val="14"/>
          <w:szCs w:val="14"/>
          <w:lang w:val="lt-LT" w:eastAsia="en-US"/>
        </w:rPr>
        <w:t xml:space="preserve"> </w:t>
      </w:r>
      <w:r w:rsidRPr="00532388">
        <w:rPr>
          <w:rFonts w:eastAsia="TimesNewRoman"/>
          <w:sz w:val="22"/>
          <w:szCs w:val="22"/>
          <w:lang w:val="lt-LT" w:eastAsia="en-US"/>
        </w:rPr>
        <w:t>rodmenys buvo atitinkamai 28 %, 24 % ir 17 % mažesni, palyginti su rodmenimis po gimdymo.</w:t>
      </w:r>
      <w:r w:rsidR="00DE3254" w:rsidRPr="00532388">
        <w:rPr>
          <w:rFonts w:eastAsia="TimesNewRoman"/>
          <w:sz w:val="22"/>
          <w:szCs w:val="22"/>
          <w:lang w:val="lt-LT" w:eastAsia="en-US"/>
        </w:rPr>
        <w:t xml:space="preserve"> </w:t>
      </w:r>
      <w:r w:rsidRPr="00532388">
        <w:rPr>
          <w:rFonts w:eastAsia="TimesNewRoman"/>
          <w:sz w:val="22"/>
          <w:szCs w:val="22"/>
          <w:lang w:val="lt-LT" w:eastAsia="en-US"/>
        </w:rPr>
        <w:t xml:space="preserve">Trečiąjį nėštumo trimestrą bendrojo darunaviro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 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min</w:t>
      </w:r>
      <w:r w:rsidRPr="00532388">
        <w:rPr>
          <w:rFonts w:eastAsia="TimesNewRoman"/>
          <w:i/>
          <w:iCs/>
          <w:sz w:val="14"/>
          <w:szCs w:val="14"/>
          <w:lang w:val="lt-LT" w:eastAsia="en-US"/>
        </w:rPr>
        <w:t xml:space="preserve"> </w:t>
      </w:r>
      <w:r w:rsidRPr="00532388">
        <w:rPr>
          <w:rFonts w:eastAsia="TimesNewRoman"/>
          <w:sz w:val="22"/>
          <w:szCs w:val="22"/>
          <w:lang w:val="lt-LT" w:eastAsia="en-US"/>
        </w:rPr>
        <w:t>rodmenys buvo atitinkamai</w:t>
      </w:r>
      <w:r w:rsidR="00DE3254" w:rsidRPr="00532388">
        <w:rPr>
          <w:rFonts w:eastAsia="TimesNewRoman"/>
          <w:sz w:val="22"/>
          <w:szCs w:val="22"/>
          <w:lang w:val="lt-LT" w:eastAsia="en-US"/>
        </w:rPr>
        <w:t xml:space="preserve"> </w:t>
      </w:r>
      <w:r w:rsidRPr="00532388">
        <w:rPr>
          <w:rFonts w:eastAsia="TimesNewRoman"/>
          <w:sz w:val="22"/>
          <w:szCs w:val="22"/>
          <w:lang w:val="lt-LT" w:eastAsia="en-US"/>
        </w:rPr>
        <w:t>19</w:t>
      </w:r>
      <w:r w:rsidR="00DE3254" w:rsidRPr="00532388">
        <w:rPr>
          <w:rFonts w:eastAsia="TimesNewRoman"/>
          <w:sz w:val="22"/>
          <w:szCs w:val="22"/>
          <w:lang w:val="lt-LT" w:eastAsia="en-US"/>
        </w:rPr>
        <w:t> </w:t>
      </w:r>
      <w:r w:rsidRPr="00532388">
        <w:rPr>
          <w:rFonts w:eastAsia="TimesNewRoman"/>
          <w:sz w:val="22"/>
          <w:szCs w:val="22"/>
          <w:lang w:val="lt-LT" w:eastAsia="en-US"/>
        </w:rPr>
        <w:t xml:space="preserve"> %, 17 % mažesni ir 2 % didesni, palyginti su rodmenimis po gimdymo.</w:t>
      </w:r>
    </w:p>
    <w:p w14:paraId="033E2964" w14:textId="77777777" w:rsidR="00E74DE2" w:rsidRDefault="00E74DE2" w:rsidP="00C23338">
      <w:pPr>
        <w:autoSpaceDE w:val="0"/>
        <w:autoSpaceDN w:val="0"/>
        <w:adjustRightInd w:val="0"/>
        <w:rPr>
          <w:rFonts w:eastAsia="TimesNewRoman"/>
          <w:sz w:val="22"/>
          <w:szCs w:val="22"/>
          <w:lang w:val="lt-LT" w:eastAsia="en-US"/>
        </w:rPr>
      </w:pPr>
    </w:p>
    <w:p w14:paraId="02C682AD" w14:textId="77777777" w:rsidR="00E74DE2" w:rsidRPr="00E74DE2" w:rsidRDefault="00E74DE2" w:rsidP="00C23338">
      <w:pPr>
        <w:autoSpaceDE w:val="0"/>
        <w:autoSpaceDN w:val="0"/>
        <w:adjustRightInd w:val="0"/>
        <w:rPr>
          <w:rFonts w:eastAsia="TimesNewRoman"/>
          <w:sz w:val="22"/>
          <w:szCs w:val="22"/>
          <w:lang w:val="lt-LT" w:eastAsia="en-US"/>
        </w:rPr>
      </w:pPr>
      <w:r>
        <w:rPr>
          <w:rFonts w:eastAsia="TimesNewRoman"/>
          <w:sz w:val="22"/>
          <w:szCs w:val="22"/>
          <w:lang w:val="lt-LT" w:eastAsia="en-US"/>
        </w:rPr>
        <w:t>Remiantis moterų, kurios antrą nėštumo trimestrą vartojo 800/100 mg darunaviro/ritonaviro dozę vieną kartą per parą, duomenimis, vidutiniai skirtingų tiriamųjų bendrojo darunaviro</w:t>
      </w:r>
      <w:r w:rsidRPr="00E74DE2">
        <w:rPr>
          <w:rFonts w:eastAsia="TimesNewRoman"/>
          <w:iCs/>
          <w:sz w:val="22"/>
          <w:szCs w:val="22"/>
          <w:lang w:val="lt-LT" w:eastAsia="en-US"/>
        </w:rPr>
        <w:t xml:space="preserve">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w:t>
      </w:r>
      <w:r>
        <w:rPr>
          <w:rFonts w:eastAsia="TimesNewRoman"/>
          <w:iCs/>
          <w:sz w:val="22"/>
          <w:szCs w:val="22"/>
          <w:lang w:val="lt-LT" w:eastAsia="en-US"/>
        </w:rPr>
        <w:t xml:space="preserve"> </w:t>
      </w:r>
      <w:r w:rsidRPr="00532388">
        <w:rPr>
          <w:rFonts w:eastAsia="TimesNewRoman"/>
          <w:iCs/>
          <w:sz w:val="22"/>
          <w:szCs w:val="22"/>
          <w:lang w:val="lt-LT" w:eastAsia="en-US"/>
        </w:rPr>
        <w:t>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 xml:space="preserve">min </w:t>
      </w:r>
      <w:r w:rsidRPr="00532388">
        <w:rPr>
          <w:rFonts w:eastAsia="TimesNewRoman"/>
          <w:sz w:val="22"/>
          <w:szCs w:val="22"/>
          <w:lang w:val="lt-LT" w:eastAsia="en-US"/>
        </w:rPr>
        <w:t>rodmenys buvo atitinkamai</w:t>
      </w:r>
      <w:r>
        <w:rPr>
          <w:rFonts w:eastAsia="TimesNewRoman"/>
          <w:sz w:val="22"/>
          <w:szCs w:val="22"/>
          <w:lang w:val="lt-LT" w:eastAsia="en-US"/>
        </w:rPr>
        <w:t xml:space="preserve"> 34</w:t>
      </w:r>
      <w:r w:rsidRPr="00532388">
        <w:rPr>
          <w:rFonts w:eastAsia="TimesNewRoman"/>
          <w:sz w:val="22"/>
          <w:szCs w:val="22"/>
          <w:lang w:val="lt-LT" w:eastAsia="en-US"/>
        </w:rPr>
        <w:t>%,</w:t>
      </w:r>
      <w:r>
        <w:rPr>
          <w:rFonts w:eastAsia="TimesNewRoman"/>
          <w:sz w:val="22"/>
          <w:szCs w:val="22"/>
          <w:lang w:val="lt-LT" w:eastAsia="en-US"/>
        </w:rPr>
        <w:t xml:space="preserve"> 34</w:t>
      </w:r>
      <w:r w:rsidRPr="00532388">
        <w:rPr>
          <w:rFonts w:eastAsia="TimesNewRoman"/>
          <w:sz w:val="22"/>
          <w:szCs w:val="22"/>
          <w:lang w:val="lt-LT" w:eastAsia="en-US"/>
        </w:rPr>
        <w:t>%</w:t>
      </w:r>
      <w:r>
        <w:rPr>
          <w:rFonts w:eastAsia="TimesNewRoman"/>
          <w:sz w:val="22"/>
          <w:szCs w:val="22"/>
          <w:lang w:val="lt-LT" w:eastAsia="en-US"/>
        </w:rPr>
        <w:t xml:space="preserve"> ir 32</w:t>
      </w:r>
      <w:r w:rsidRPr="00B85E79">
        <w:rPr>
          <w:rFonts w:eastAsia="TimesNewRoman"/>
          <w:sz w:val="22"/>
          <w:szCs w:val="22"/>
          <w:lang w:val="lt-LT" w:eastAsia="en-US"/>
        </w:rPr>
        <w:t>%</w:t>
      </w:r>
      <w:r>
        <w:rPr>
          <w:rFonts w:eastAsia="TimesNewRoman"/>
          <w:sz w:val="22"/>
          <w:szCs w:val="22"/>
          <w:lang w:val="lt-LT" w:eastAsia="en-US"/>
        </w:rPr>
        <w:t xml:space="preserve"> mažesni, palyginti su rodmenimis po gimdymo. Trečiajį nėštumo trimestrą bedrojo darunaviro </w:t>
      </w:r>
      <w:r w:rsidRPr="00532388">
        <w:rPr>
          <w:rFonts w:eastAsia="TimesNewRoman"/>
          <w:iCs/>
          <w:sz w:val="22"/>
          <w:szCs w:val="22"/>
          <w:lang w:val="lt-LT" w:eastAsia="en-US"/>
        </w:rPr>
        <w:t>C</w:t>
      </w:r>
      <w:r w:rsidRPr="00532388">
        <w:rPr>
          <w:rFonts w:eastAsia="TimesNewRoman"/>
          <w:iCs/>
          <w:sz w:val="14"/>
          <w:szCs w:val="14"/>
          <w:lang w:val="lt-LT" w:eastAsia="en-US"/>
        </w:rPr>
        <w:t>max</w:t>
      </w:r>
      <w:r w:rsidRPr="00532388">
        <w:rPr>
          <w:rFonts w:eastAsia="TimesNewRoman"/>
          <w:iCs/>
          <w:sz w:val="22"/>
          <w:szCs w:val="22"/>
          <w:lang w:val="lt-LT" w:eastAsia="en-US"/>
        </w:rPr>
        <w:t>, AUC</w:t>
      </w:r>
      <w:r w:rsidRPr="00532388">
        <w:rPr>
          <w:rFonts w:eastAsia="TimesNewRoman"/>
          <w:iCs/>
          <w:sz w:val="14"/>
          <w:szCs w:val="14"/>
          <w:lang w:val="lt-LT" w:eastAsia="en-US"/>
        </w:rPr>
        <w:t xml:space="preserve">12 val. </w:t>
      </w:r>
      <w:r w:rsidRPr="00532388">
        <w:rPr>
          <w:rFonts w:eastAsia="TimesNewRoman"/>
          <w:sz w:val="22"/>
          <w:szCs w:val="22"/>
          <w:lang w:val="lt-LT" w:eastAsia="en-US"/>
        </w:rPr>
        <w:t xml:space="preserve">ir </w:t>
      </w:r>
      <w:r w:rsidRPr="00532388">
        <w:rPr>
          <w:rFonts w:eastAsia="TimesNewRoman"/>
          <w:iCs/>
          <w:sz w:val="22"/>
          <w:szCs w:val="22"/>
          <w:lang w:val="lt-LT" w:eastAsia="en-US"/>
        </w:rPr>
        <w:t>C</w:t>
      </w:r>
      <w:r w:rsidRPr="00532388">
        <w:rPr>
          <w:rFonts w:eastAsia="TimesNewRoman"/>
          <w:iCs/>
          <w:sz w:val="14"/>
          <w:szCs w:val="14"/>
          <w:lang w:val="lt-LT" w:eastAsia="en-US"/>
        </w:rPr>
        <w:t>min</w:t>
      </w:r>
      <w:r w:rsidRPr="00532388">
        <w:rPr>
          <w:rFonts w:eastAsia="TimesNewRoman"/>
          <w:i/>
          <w:iCs/>
          <w:sz w:val="14"/>
          <w:szCs w:val="14"/>
          <w:lang w:val="lt-LT" w:eastAsia="en-US"/>
        </w:rPr>
        <w:t xml:space="preserve"> </w:t>
      </w:r>
      <w:r w:rsidRPr="00532388">
        <w:rPr>
          <w:rFonts w:eastAsia="TimesNewRoman"/>
          <w:sz w:val="22"/>
          <w:szCs w:val="22"/>
          <w:lang w:val="lt-LT" w:eastAsia="en-US"/>
        </w:rPr>
        <w:t>rodmenys buvo atitinkamai</w:t>
      </w:r>
      <w:r>
        <w:rPr>
          <w:rFonts w:eastAsia="TimesNewRoman"/>
          <w:sz w:val="22"/>
          <w:szCs w:val="22"/>
          <w:lang w:val="lt-LT" w:eastAsia="en-US"/>
        </w:rPr>
        <w:t xml:space="preserve"> 31</w:t>
      </w:r>
      <w:r w:rsidRPr="00B85E79">
        <w:rPr>
          <w:rFonts w:eastAsia="TimesNewRoman"/>
          <w:sz w:val="22"/>
          <w:szCs w:val="22"/>
          <w:lang w:val="lt-LT" w:eastAsia="en-US"/>
        </w:rPr>
        <w:t>%, 35% ir 50% ma</w:t>
      </w:r>
      <w:r>
        <w:rPr>
          <w:rFonts w:eastAsia="TimesNewRoman"/>
          <w:sz w:val="22"/>
          <w:szCs w:val="22"/>
          <w:lang w:val="lt-LT" w:eastAsia="en-US"/>
        </w:rPr>
        <w:t>žesni</w:t>
      </w:r>
      <w:r w:rsidR="004D526C">
        <w:rPr>
          <w:rFonts w:eastAsia="TimesNewRoman"/>
          <w:sz w:val="22"/>
          <w:szCs w:val="22"/>
          <w:lang w:val="lt-LT" w:eastAsia="en-US"/>
        </w:rPr>
        <w:t>, palyginti su rodmenimis po gimdymo.</w:t>
      </w:r>
    </w:p>
    <w:p w14:paraId="148FD3CF" w14:textId="77777777" w:rsidR="00DE3254" w:rsidRPr="00532388" w:rsidRDefault="00DE3254" w:rsidP="00C23338">
      <w:pPr>
        <w:autoSpaceDE w:val="0"/>
        <w:autoSpaceDN w:val="0"/>
        <w:adjustRightInd w:val="0"/>
        <w:rPr>
          <w:rFonts w:eastAsia="TimesNewRoman"/>
          <w:sz w:val="22"/>
          <w:szCs w:val="22"/>
          <w:lang w:val="lt-LT" w:eastAsia="en-US"/>
        </w:rPr>
      </w:pPr>
    </w:p>
    <w:p w14:paraId="6CBD7612" w14:textId="77777777" w:rsidR="00C23338" w:rsidRPr="00532388" w:rsidRDefault="00C23338" w:rsidP="00C23338">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t>Ikiklinikinių saugumo tyrimų duomenys</w:t>
      </w:r>
    </w:p>
    <w:p w14:paraId="3B678CDD" w14:textId="77777777" w:rsidR="00C23338" w:rsidRPr="00532388" w:rsidRDefault="00C23338" w:rsidP="00C23338">
      <w:pPr>
        <w:autoSpaceDE w:val="0"/>
        <w:autoSpaceDN w:val="0"/>
        <w:adjustRightInd w:val="0"/>
        <w:rPr>
          <w:rFonts w:eastAsia="TimesNewRoman"/>
          <w:sz w:val="22"/>
          <w:szCs w:val="22"/>
          <w:lang w:val="lt-LT" w:eastAsia="en-US"/>
        </w:rPr>
      </w:pPr>
    </w:p>
    <w:p w14:paraId="0E93D986"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Darunaviro toksikologiniai tyrimai, kurių metu preparato ekspozicija buvo artima klinikinei, buvo</w:t>
      </w:r>
      <w:r w:rsidR="002139AD" w:rsidRPr="00532388">
        <w:rPr>
          <w:rFonts w:eastAsia="TimesNewRoman"/>
          <w:sz w:val="22"/>
          <w:szCs w:val="22"/>
          <w:lang w:val="lt-LT" w:eastAsia="en-US"/>
        </w:rPr>
        <w:t xml:space="preserve"> </w:t>
      </w:r>
      <w:r w:rsidRPr="00532388">
        <w:rPr>
          <w:rFonts w:eastAsia="TimesNewRoman"/>
          <w:sz w:val="22"/>
          <w:szCs w:val="22"/>
          <w:lang w:val="lt-LT" w:eastAsia="en-US"/>
        </w:rPr>
        <w:t>atlikti su pelėmis, žiurkėmis ir šunimis, o darunaviro ir ritonaviro derinio su žiurkėmis ir šunimis.</w:t>
      </w:r>
    </w:p>
    <w:p w14:paraId="590C97FC" w14:textId="77777777" w:rsidR="002139AD" w:rsidRPr="00532388" w:rsidRDefault="002139AD" w:rsidP="00C23338">
      <w:pPr>
        <w:autoSpaceDE w:val="0"/>
        <w:autoSpaceDN w:val="0"/>
        <w:adjustRightInd w:val="0"/>
        <w:rPr>
          <w:rFonts w:eastAsia="TimesNewRoman"/>
          <w:sz w:val="22"/>
          <w:szCs w:val="22"/>
          <w:lang w:val="lt-LT" w:eastAsia="en-US"/>
        </w:rPr>
      </w:pPr>
    </w:p>
    <w:p w14:paraId="532F8220"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Kartotinių dozių toksinio poveikio tyrimų su žiurkėmis ir šunimis duomenimis, darunaviro poveikis</w:t>
      </w:r>
      <w:r w:rsidR="002139AD" w:rsidRPr="00532388">
        <w:rPr>
          <w:rFonts w:eastAsia="TimesNewRoman"/>
          <w:sz w:val="22"/>
          <w:szCs w:val="22"/>
          <w:lang w:val="lt-LT" w:eastAsia="en-US"/>
        </w:rPr>
        <w:t xml:space="preserve"> </w:t>
      </w:r>
      <w:r w:rsidRPr="00532388">
        <w:rPr>
          <w:rFonts w:eastAsia="TimesNewRoman"/>
          <w:sz w:val="22"/>
          <w:szCs w:val="22"/>
          <w:lang w:val="lt-LT" w:eastAsia="en-US"/>
        </w:rPr>
        <w:t>buvo ribotas. Graužikų organizme daugiausiai veikiami organai buvo kraujodaros sistema, kraujo</w:t>
      </w:r>
      <w:r w:rsidR="002139AD" w:rsidRPr="00532388">
        <w:rPr>
          <w:rFonts w:eastAsia="TimesNewRoman"/>
          <w:sz w:val="22"/>
          <w:szCs w:val="22"/>
          <w:lang w:val="lt-LT" w:eastAsia="en-US"/>
        </w:rPr>
        <w:t xml:space="preserve"> </w:t>
      </w:r>
      <w:r w:rsidRPr="00532388">
        <w:rPr>
          <w:rFonts w:eastAsia="TimesNewRoman"/>
          <w:sz w:val="22"/>
          <w:szCs w:val="22"/>
          <w:lang w:val="lt-LT" w:eastAsia="en-US"/>
        </w:rPr>
        <w:t>krešėjimo sistema, kepenys ir skydliaukė. Įvairiai, tačiau nedaug sumažėjo su raudonosiomis kraujo</w:t>
      </w:r>
      <w:r w:rsidR="002139AD" w:rsidRPr="00532388">
        <w:rPr>
          <w:rFonts w:eastAsia="TimesNewRoman"/>
          <w:sz w:val="22"/>
          <w:szCs w:val="22"/>
          <w:lang w:val="lt-LT" w:eastAsia="en-US"/>
        </w:rPr>
        <w:t xml:space="preserve"> </w:t>
      </w:r>
      <w:r w:rsidRPr="00532388">
        <w:rPr>
          <w:rFonts w:eastAsia="TimesNewRoman"/>
          <w:sz w:val="22"/>
          <w:szCs w:val="22"/>
          <w:lang w:val="lt-LT" w:eastAsia="en-US"/>
        </w:rPr>
        <w:t>ląstelėmis susiję rodmenys, kartu pailgėjo aktyvinto dalinio tromboplastino laikas.</w:t>
      </w:r>
    </w:p>
    <w:p w14:paraId="609FEED3" w14:textId="77777777" w:rsidR="002139AD" w:rsidRPr="00532388" w:rsidRDefault="002139AD" w:rsidP="00C23338">
      <w:pPr>
        <w:autoSpaceDE w:val="0"/>
        <w:autoSpaceDN w:val="0"/>
        <w:adjustRightInd w:val="0"/>
        <w:rPr>
          <w:rFonts w:eastAsia="TimesNewRoman"/>
          <w:sz w:val="22"/>
          <w:szCs w:val="22"/>
          <w:lang w:val="lt-LT" w:eastAsia="en-US"/>
        </w:rPr>
      </w:pPr>
    </w:p>
    <w:p w14:paraId="7299EF63"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Pokyčiai buvo pastebėti kepenyse (hepatocitų hipertrofija, vakuolizacija, padidėjęs kepenų fermentų</w:t>
      </w:r>
      <w:r w:rsidR="002139AD" w:rsidRPr="00532388">
        <w:rPr>
          <w:rFonts w:eastAsia="TimesNewRoman"/>
          <w:sz w:val="22"/>
          <w:szCs w:val="22"/>
          <w:lang w:val="lt-LT" w:eastAsia="en-US"/>
        </w:rPr>
        <w:t xml:space="preserve"> </w:t>
      </w:r>
      <w:r w:rsidRPr="00532388">
        <w:rPr>
          <w:rFonts w:eastAsia="TimesNewRoman"/>
          <w:sz w:val="22"/>
          <w:szCs w:val="22"/>
          <w:lang w:val="lt-LT" w:eastAsia="en-US"/>
        </w:rPr>
        <w:t xml:space="preserve">aktyvumas) ir skydliaukėje (folikulų hipertrofija). Darunavirą </w:t>
      </w:r>
      <w:r w:rsidR="002139AD" w:rsidRPr="00532388">
        <w:rPr>
          <w:rFonts w:eastAsia="TimesNewRoman"/>
          <w:sz w:val="22"/>
          <w:szCs w:val="22"/>
          <w:lang w:val="lt-LT" w:eastAsia="en-US"/>
        </w:rPr>
        <w:t>duodant</w:t>
      </w:r>
      <w:r w:rsidRPr="00532388">
        <w:rPr>
          <w:rFonts w:eastAsia="TimesNewRoman"/>
          <w:sz w:val="22"/>
          <w:szCs w:val="22"/>
          <w:lang w:val="lt-LT" w:eastAsia="en-US"/>
        </w:rPr>
        <w:t xml:space="preserve"> kartu su ritonaviru žiurkėms,</w:t>
      </w:r>
      <w:r w:rsidR="002139AD" w:rsidRPr="00532388">
        <w:rPr>
          <w:rFonts w:eastAsia="TimesNewRoman"/>
          <w:sz w:val="22"/>
          <w:szCs w:val="22"/>
          <w:lang w:val="lt-LT" w:eastAsia="en-US"/>
        </w:rPr>
        <w:t xml:space="preserve"> </w:t>
      </w:r>
      <w:r w:rsidRPr="00532388">
        <w:rPr>
          <w:rFonts w:eastAsia="TimesNewRoman"/>
          <w:sz w:val="22"/>
          <w:szCs w:val="22"/>
          <w:lang w:val="lt-LT" w:eastAsia="en-US"/>
        </w:rPr>
        <w:t>nežymiai sustiprėjo poveikis raudonųjų kraujo ląstelių rodmenims, kepenims ir skydliaukei bei</w:t>
      </w:r>
      <w:r w:rsidR="002139AD" w:rsidRPr="00532388">
        <w:rPr>
          <w:rFonts w:eastAsia="TimesNewRoman"/>
          <w:sz w:val="22"/>
          <w:szCs w:val="22"/>
          <w:lang w:val="lt-LT" w:eastAsia="en-US"/>
        </w:rPr>
        <w:t xml:space="preserve"> </w:t>
      </w:r>
      <w:r w:rsidRPr="00532388">
        <w:rPr>
          <w:rFonts w:eastAsia="TimesNewRoman"/>
          <w:sz w:val="22"/>
          <w:szCs w:val="22"/>
          <w:lang w:val="lt-LT" w:eastAsia="en-US"/>
        </w:rPr>
        <w:t>padažnėjo kasos salelių fibrozė (tik žiurkių patinams), palyginti su poveikiu skiriant vien darunavirą.</w:t>
      </w:r>
      <w:r w:rsidR="002139AD" w:rsidRPr="00532388">
        <w:rPr>
          <w:rFonts w:eastAsia="TimesNewRoman"/>
          <w:sz w:val="22"/>
          <w:szCs w:val="22"/>
          <w:lang w:val="lt-LT" w:eastAsia="en-US"/>
        </w:rPr>
        <w:t xml:space="preserve"> </w:t>
      </w:r>
      <w:r w:rsidRPr="00532388">
        <w:rPr>
          <w:rFonts w:eastAsia="TimesNewRoman"/>
          <w:sz w:val="22"/>
          <w:szCs w:val="22"/>
          <w:lang w:val="lt-LT" w:eastAsia="en-US"/>
        </w:rPr>
        <w:t>Tiriant šunis, jokio ryškaus toksinio poveikio ar veikiamo organo nenustatyta, esanttolygiai klinikinei ekspozicijai, kai gydoma rekomenduojamomis dozėmis.</w:t>
      </w:r>
    </w:p>
    <w:p w14:paraId="1681A7E5" w14:textId="77777777" w:rsidR="002139AD" w:rsidRPr="00532388" w:rsidRDefault="002139AD" w:rsidP="00C23338">
      <w:pPr>
        <w:autoSpaceDE w:val="0"/>
        <w:autoSpaceDN w:val="0"/>
        <w:adjustRightInd w:val="0"/>
        <w:rPr>
          <w:rFonts w:eastAsia="TimesNewRoman"/>
          <w:sz w:val="22"/>
          <w:szCs w:val="22"/>
          <w:lang w:val="lt-LT" w:eastAsia="en-US"/>
        </w:rPr>
      </w:pPr>
    </w:p>
    <w:p w14:paraId="0712CAA5" w14:textId="77777777" w:rsidR="002139AD"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Tyrimo su žiurkėmis metu, esant toksiniam poveikiui patelei, sumažėjo geltonkūnių ir implantacijų</w:t>
      </w:r>
      <w:r w:rsidR="002139AD" w:rsidRPr="00532388">
        <w:rPr>
          <w:rFonts w:eastAsia="TimesNewRoman"/>
          <w:sz w:val="22"/>
          <w:szCs w:val="22"/>
          <w:lang w:val="lt-LT" w:eastAsia="en-US"/>
        </w:rPr>
        <w:t xml:space="preserve"> </w:t>
      </w:r>
      <w:r w:rsidRPr="00532388">
        <w:rPr>
          <w:rFonts w:eastAsia="TimesNewRoman"/>
          <w:sz w:val="22"/>
          <w:szCs w:val="22"/>
          <w:lang w:val="lt-LT" w:eastAsia="en-US"/>
        </w:rPr>
        <w:t>skaičius. Priešingai, darunaviras neveikė poravimosi ar vislumo, dozuojant jį iki 1 000</w:t>
      </w:r>
      <w:r w:rsidR="002139AD" w:rsidRPr="00532388">
        <w:rPr>
          <w:rFonts w:eastAsia="TimesNewRoman"/>
          <w:sz w:val="22"/>
          <w:szCs w:val="22"/>
          <w:lang w:val="lt-LT" w:eastAsia="en-US"/>
        </w:rPr>
        <w:t> </w:t>
      </w:r>
      <w:r w:rsidRPr="00532388">
        <w:rPr>
          <w:rFonts w:eastAsia="TimesNewRoman"/>
          <w:sz w:val="22"/>
          <w:szCs w:val="22"/>
          <w:lang w:val="lt-LT" w:eastAsia="en-US"/>
        </w:rPr>
        <w:t xml:space="preserve">mg/kg </w:t>
      </w:r>
      <w:r w:rsidR="002139AD" w:rsidRPr="00532388">
        <w:rPr>
          <w:rFonts w:eastAsia="TimesNewRoman"/>
          <w:sz w:val="22"/>
          <w:szCs w:val="22"/>
          <w:lang w:val="lt-LT" w:eastAsia="en-US"/>
        </w:rPr>
        <w:t>k</w:t>
      </w:r>
      <w:r w:rsidR="004D526C">
        <w:rPr>
          <w:rFonts w:eastAsia="TimesNewRoman"/>
          <w:sz w:val="22"/>
          <w:szCs w:val="22"/>
          <w:lang w:val="lt-LT" w:eastAsia="en-US"/>
        </w:rPr>
        <w:t>ū</w:t>
      </w:r>
      <w:r w:rsidR="002139AD" w:rsidRPr="00532388">
        <w:rPr>
          <w:rFonts w:eastAsia="TimesNewRoman"/>
          <w:sz w:val="22"/>
          <w:szCs w:val="22"/>
          <w:lang w:val="lt-LT" w:eastAsia="en-US"/>
        </w:rPr>
        <w:t xml:space="preserve">no svorio </w:t>
      </w:r>
      <w:r w:rsidRPr="00532388">
        <w:rPr>
          <w:rFonts w:eastAsia="TimesNewRoman"/>
          <w:sz w:val="22"/>
          <w:szCs w:val="22"/>
          <w:lang w:val="lt-LT" w:eastAsia="en-US"/>
        </w:rPr>
        <w:t>per parą</w:t>
      </w:r>
      <w:r w:rsidR="002139AD" w:rsidRPr="00532388">
        <w:rPr>
          <w:rFonts w:eastAsia="TimesNewRoman"/>
          <w:sz w:val="22"/>
          <w:szCs w:val="22"/>
          <w:lang w:val="lt-LT" w:eastAsia="en-US"/>
        </w:rPr>
        <w:t xml:space="preserve"> </w:t>
      </w:r>
      <w:r w:rsidRPr="00532388">
        <w:rPr>
          <w:rFonts w:eastAsia="TimesNewRoman"/>
          <w:sz w:val="22"/>
          <w:szCs w:val="22"/>
          <w:lang w:val="lt-LT" w:eastAsia="en-US"/>
        </w:rPr>
        <w:t>ir esant mažesnei ekspozicijai (AUC – 0,5 karto) už ekspoziciją žmogui, gydomam kliniškai</w:t>
      </w:r>
      <w:r w:rsidR="002139AD" w:rsidRPr="00532388">
        <w:rPr>
          <w:rFonts w:eastAsia="TimesNewRoman"/>
          <w:sz w:val="22"/>
          <w:szCs w:val="22"/>
          <w:lang w:val="lt-LT" w:eastAsia="en-US"/>
        </w:rPr>
        <w:t xml:space="preserve"> </w:t>
      </w:r>
      <w:r w:rsidRPr="00532388">
        <w:rPr>
          <w:rFonts w:eastAsia="TimesNewRoman"/>
          <w:sz w:val="22"/>
          <w:szCs w:val="22"/>
          <w:lang w:val="lt-LT" w:eastAsia="en-US"/>
        </w:rPr>
        <w:t xml:space="preserve">rekomenduojamomis dozėmis. </w:t>
      </w:r>
    </w:p>
    <w:p w14:paraId="76F4D63C" w14:textId="77777777" w:rsidR="00C23338" w:rsidRPr="00532388" w:rsidRDefault="002139AD"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Ž</w:t>
      </w:r>
      <w:r w:rsidR="00C23338" w:rsidRPr="00532388">
        <w:rPr>
          <w:rFonts w:eastAsia="TimesNewRoman"/>
          <w:sz w:val="22"/>
          <w:szCs w:val="22"/>
          <w:lang w:val="lt-LT" w:eastAsia="en-US"/>
        </w:rPr>
        <w:t>iurkėms ir triušiams</w:t>
      </w:r>
      <w:r w:rsidRPr="00532388">
        <w:rPr>
          <w:rFonts w:eastAsia="TimesNewRoman"/>
          <w:sz w:val="22"/>
          <w:szCs w:val="22"/>
          <w:lang w:val="lt-LT" w:eastAsia="en-US"/>
        </w:rPr>
        <w:t xml:space="preserve"> duodant </w:t>
      </w:r>
      <w:r w:rsidR="00C23338" w:rsidRPr="00532388">
        <w:rPr>
          <w:rFonts w:eastAsia="TimesNewRoman"/>
          <w:sz w:val="22"/>
          <w:szCs w:val="22"/>
          <w:lang w:val="lt-LT" w:eastAsia="en-US"/>
        </w:rPr>
        <w:t xml:space="preserve">vien darunavirą minėtomis dozėmis, o pelėms – </w:t>
      </w:r>
      <w:r w:rsidRPr="00532388">
        <w:rPr>
          <w:rFonts w:eastAsia="TimesNewRoman"/>
          <w:sz w:val="22"/>
          <w:szCs w:val="22"/>
          <w:lang w:val="lt-LT" w:eastAsia="en-US"/>
        </w:rPr>
        <w:t>duodant jo derinį su ritonaviru teratogeninio poveikio nebuvo pastebėta.</w:t>
      </w:r>
      <w:r w:rsidR="00C23338" w:rsidRPr="00532388">
        <w:rPr>
          <w:rFonts w:eastAsia="TimesNewRoman"/>
          <w:sz w:val="22"/>
          <w:szCs w:val="22"/>
          <w:lang w:val="lt-LT" w:eastAsia="en-US"/>
        </w:rPr>
        <w:t>Ekspozicijos lygis buvo mažesnis negu gydant žmones kliniškai rekomenduojamomis dozėmis.</w:t>
      </w:r>
      <w:r w:rsidRPr="00532388">
        <w:rPr>
          <w:rFonts w:eastAsia="TimesNewRoman"/>
          <w:sz w:val="22"/>
          <w:szCs w:val="22"/>
          <w:lang w:val="lt-LT" w:eastAsia="en-US"/>
        </w:rPr>
        <w:t xml:space="preserve"> </w:t>
      </w:r>
      <w:r w:rsidR="00C23338" w:rsidRPr="00532388">
        <w:rPr>
          <w:rFonts w:eastAsia="TimesNewRoman"/>
          <w:sz w:val="22"/>
          <w:szCs w:val="22"/>
          <w:lang w:val="lt-LT" w:eastAsia="en-US"/>
        </w:rPr>
        <w:t>Prenatalinės ir postnatalinės žiurkių raidos tyrimo duomenimis, darunaviras (su ritonaviru ar be jo)</w:t>
      </w:r>
      <w:r w:rsidRPr="00532388">
        <w:rPr>
          <w:rFonts w:eastAsia="TimesNewRoman"/>
          <w:sz w:val="22"/>
          <w:szCs w:val="22"/>
          <w:lang w:val="lt-LT" w:eastAsia="en-US"/>
        </w:rPr>
        <w:t xml:space="preserve"> </w:t>
      </w:r>
      <w:r w:rsidR="00C23338" w:rsidRPr="00532388">
        <w:rPr>
          <w:rFonts w:eastAsia="TimesNewRoman"/>
          <w:sz w:val="22"/>
          <w:szCs w:val="22"/>
          <w:lang w:val="lt-LT" w:eastAsia="en-US"/>
        </w:rPr>
        <w:t>laikinai mažino palikuonių kūno svorį žindymo laikotarpiu ir nežymiai vėlino akių ir ausų atsivėrimą.</w:t>
      </w:r>
      <w:r w:rsidRPr="00532388">
        <w:rPr>
          <w:rFonts w:eastAsia="TimesNewRoman"/>
          <w:sz w:val="22"/>
          <w:szCs w:val="22"/>
          <w:lang w:val="lt-LT" w:eastAsia="en-US"/>
        </w:rPr>
        <w:t xml:space="preserve"> </w:t>
      </w:r>
      <w:r w:rsidR="00C23338" w:rsidRPr="00532388">
        <w:rPr>
          <w:rFonts w:eastAsia="TimesNewRoman"/>
          <w:sz w:val="22"/>
          <w:szCs w:val="22"/>
          <w:lang w:val="lt-LT" w:eastAsia="en-US"/>
        </w:rPr>
        <w:t>Darunaviro derinys su ritonaviru sumažino 15-ą žindymo dieną į gąsdinimą reagavusių šuniukų</w:t>
      </w:r>
      <w:r w:rsidRPr="00532388">
        <w:rPr>
          <w:rFonts w:eastAsia="TimesNewRoman"/>
          <w:sz w:val="22"/>
          <w:szCs w:val="22"/>
          <w:lang w:val="lt-LT" w:eastAsia="en-US"/>
        </w:rPr>
        <w:t xml:space="preserve"> </w:t>
      </w:r>
      <w:r w:rsidR="00C23338" w:rsidRPr="00532388">
        <w:rPr>
          <w:rFonts w:eastAsia="TimesNewRoman"/>
          <w:sz w:val="22"/>
          <w:szCs w:val="22"/>
          <w:lang w:val="lt-LT" w:eastAsia="en-US"/>
        </w:rPr>
        <w:t>skaičių ir trumpino šuniukų išgyvenamumą žindymo metu. Šie reiškiniai gali būti antriniai ir</w:t>
      </w:r>
      <w:r w:rsidRPr="00532388">
        <w:rPr>
          <w:rFonts w:eastAsia="TimesNewRoman"/>
          <w:sz w:val="22"/>
          <w:szCs w:val="22"/>
          <w:lang w:val="lt-LT" w:eastAsia="en-US"/>
        </w:rPr>
        <w:t xml:space="preserve"> </w:t>
      </w:r>
      <w:r w:rsidR="00C23338" w:rsidRPr="00532388">
        <w:rPr>
          <w:rFonts w:eastAsia="TimesNewRoman"/>
          <w:sz w:val="22"/>
          <w:szCs w:val="22"/>
          <w:lang w:val="lt-LT" w:eastAsia="en-US"/>
        </w:rPr>
        <w:t>priskiriami su pienu išsiskiriančios ir (ar) toksinį poveikį patelei sukeliančios veikliosios medžiagos poveikiui. Nei vienas darunaviras, nei jo derinys su ritonaviru neveikė po atjunkymo. Jauno</w:t>
      </w:r>
      <w:r w:rsidRPr="00532388">
        <w:rPr>
          <w:rFonts w:eastAsia="TimesNewRoman"/>
          <w:sz w:val="22"/>
          <w:szCs w:val="22"/>
          <w:lang w:val="lt-LT" w:eastAsia="en-US"/>
        </w:rPr>
        <w:t xml:space="preserve">s </w:t>
      </w:r>
      <w:r w:rsidR="00C23338" w:rsidRPr="00532388">
        <w:rPr>
          <w:rFonts w:eastAsia="TimesNewRoman"/>
          <w:sz w:val="22"/>
          <w:szCs w:val="22"/>
          <w:lang w:val="lt-LT" w:eastAsia="en-US"/>
        </w:rPr>
        <w:t xml:space="preserve">žiurkės, kurios nuo 23 iki 26 dienų laikotarpyje gaudavo darunaviro, </w:t>
      </w:r>
      <w:r w:rsidRPr="00532388">
        <w:rPr>
          <w:rFonts w:eastAsia="TimesNewRoman"/>
          <w:sz w:val="22"/>
          <w:szCs w:val="22"/>
          <w:lang w:val="lt-LT" w:eastAsia="en-US"/>
        </w:rPr>
        <w:t>dažniau žuvo</w:t>
      </w:r>
      <w:r w:rsidR="00C23338" w:rsidRPr="00532388">
        <w:rPr>
          <w:rFonts w:eastAsia="TimesNewRoman"/>
          <w:sz w:val="22"/>
          <w:szCs w:val="22"/>
          <w:lang w:val="lt-LT" w:eastAsia="en-US"/>
        </w:rPr>
        <w:t xml:space="preserve">, o kai kuriems gyvūnams kartu </w:t>
      </w:r>
      <w:r w:rsidR="0073510A" w:rsidRPr="00532388">
        <w:rPr>
          <w:rFonts w:eastAsia="TimesNewRoman"/>
          <w:sz w:val="22"/>
          <w:szCs w:val="22"/>
          <w:lang w:val="lt-LT" w:eastAsia="en-US"/>
        </w:rPr>
        <w:t>buvo</w:t>
      </w:r>
      <w:r w:rsidR="00C23338" w:rsidRPr="00532388">
        <w:rPr>
          <w:rFonts w:eastAsia="TimesNewRoman"/>
          <w:sz w:val="22"/>
          <w:szCs w:val="22"/>
          <w:lang w:val="lt-LT" w:eastAsia="en-US"/>
        </w:rPr>
        <w:t xml:space="preserve"> traukuli</w:t>
      </w:r>
      <w:r w:rsidR="0073510A" w:rsidRPr="00532388">
        <w:rPr>
          <w:rFonts w:eastAsia="TimesNewRoman"/>
          <w:sz w:val="22"/>
          <w:szCs w:val="22"/>
          <w:lang w:val="lt-LT" w:eastAsia="en-US"/>
        </w:rPr>
        <w:t>ų</w:t>
      </w:r>
      <w:r w:rsidR="00C23338" w:rsidRPr="00532388">
        <w:rPr>
          <w:rFonts w:eastAsia="TimesNewRoman"/>
          <w:sz w:val="22"/>
          <w:szCs w:val="22"/>
          <w:lang w:val="lt-LT" w:eastAsia="en-US"/>
        </w:rPr>
        <w:t>. Pavartojus panašias mg/kg kūno svorio</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dozes tarp 5 ir 11 gyvenimo dienos jaunų žiurkių grupėje, vaistinio preparato ekspozicija plazmoje,</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kepenyse ir smegenyse buvo žymiai didesnė nei suaugusių žiurkių tarpe, o po 23 gyvenimo dienos</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ekspozicijos rodikliai abiejose grupėse tapo panašūs. Tikėtina, kad tokį ekspozicijos padidėjimą</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dalinai galima paaiškinti jaunų žiurkių vaistinį preparatą metabolizuojančių fermentų nebrandumu. 26</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gyvenimo dieną vienkartinę 1 000</w:t>
      </w:r>
      <w:r w:rsidR="0073510A" w:rsidRPr="00532388">
        <w:rPr>
          <w:rFonts w:eastAsia="TimesNewRoman"/>
          <w:sz w:val="22"/>
          <w:szCs w:val="22"/>
          <w:lang w:val="lt-LT" w:eastAsia="en-US"/>
        </w:rPr>
        <w:t> </w:t>
      </w:r>
      <w:r w:rsidR="00C23338" w:rsidRPr="00532388">
        <w:rPr>
          <w:rFonts w:eastAsia="TimesNewRoman"/>
          <w:sz w:val="22"/>
          <w:szCs w:val="22"/>
          <w:lang w:val="lt-LT" w:eastAsia="en-US"/>
        </w:rPr>
        <w:t>mg/kg kūno svorio dozę ar nuo 23 iki 50 gyvenimo dienos</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kartotines 500</w:t>
      </w:r>
      <w:r w:rsidR="0073510A" w:rsidRPr="00532388">
        <w:rPr>
          <w:rFonts w:eastAsia="TimesNewRoman"/>
          <w:sz w:val="22"/>
          <w:szCs w:val="22"/>
          <w:lang w:val="lt-LT" w:eastAsia="en-US"/>
        </w:rPr>
        <w:t> </w:t>
      </w:r>
      <w:r w:rsidR="00C23338" w:rsidRPr="00532388">
        <w:rPr>
          <w:rFonts w:eastAsia="TimesNewRoman"/>
          <w:sz w:val="22"/>
          <w:szCs w:val="22"/>
          <w:lang w:val="lt-LT" w:eastAsia="en-US"/>
        </w:rPr>
        <w:t xml:space="preserve">mg/kg kūno svorio vaistinio preparato dozes gavusių jaunų žiurkių tarpe </w:t>
      </w:r>
      <w:r w:rsidR="0073510A" w:rsidRPr="00532388">
        <w:rPr>
          <w:rFonts w:eastAsia="TimesNewRoman"/>
          <w:sz w:val="22"/>
          <w:szCs w:val="22"/>
          <w:lang w:val="lt-LT" w:eastAsia="en-US"/>
        </w:rPr>
        <w:t xml:space="preserve">vaistų </w:t>
      </w:r>
      <w:r w:rsidR="00C23338" w:rsidRPr="00532388">
        <w:rPr>
          <w:rFonts w:eastAsia="TimesNewRoman"/>
          <w:sz w:val="22"/>
          <w:szCs w:val="22"/>
          <w:lang w:val="lt-LT" w:eastAsia="en-US"/>
        </w:rPr>
        <w:t>sąlygoto mirtingumo nebuvo stebėta, o ekspozicijos ir toksiškumo rodikliai buvo panašūs į suaugusių</w:t>
      </w:r>
      <w:r w:rsidR="0073510A" w:rsidRPr="00532388">
        <w:rPr>
          <w:rFonts w:eastAsia="TimesNewRoman"/>
          <w:sz w:val="22"/>
          <w:szCs w:val="22"/>
          <w:lang w:val="lt-LT" w:eastAsia="en-US"/>
        </w:rPr>
        <w:t xml:space="preserve"> </w:t>
      </w:r>
      <w:r w:rsidR="00C23338" w:rsidRPr="00532388">
        <w:rPr>
          <w:rFonts w:eastAsia="TimesNewRoman"/>
          <w:sz w:val="22"/>
          <w:szCs w:val="22"/>
          <w:lang w:val="lt-LT" w:eastAsia="en-US"/>
        </w:rPr>
        <w:t>žiurkių.</w:t>
      </w:r>
    </w:p>
    <w:p w14:paraId="29CBA1C7" w14:textId="77777777" w:rsidR="0073510A" w:rsidRPr="00532388" w:rsidRDefault="0073510A" w:rsidP="00C23338">
      <w:pPr>
        <w:autoSpaceDE w:val="0"/>
        <w:autoSpaceDN w:val="0"/>
        <w:adjustRightInd w:val="0"/>
        <w:rPr>
          <w:rFonts w:eastAsia="TimesNewRoman"/>
          <w:sz w:val="22"/>
          <w:szCs w:val="22"/>
          <w:lang w:val="lt-LT" w:eastAsia="en-US"/>
        </w:rPr>
      </w:pPr>
    </w:p>
    <w:p w14:paraId="040A0B04"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Kadangi neaišku, kada susiformuoja hematoencefalinis barjeras ir pradeda gamintis kepenų fermentai</w:t>
      </w:r>
      <w:r w:rsidR="0073510A" w:rsidRPr="00532388">
        <w:rPr>
          <w:rFonts w:eastAsia="TimesNewRoman"/>
          <w:sz w:val="22"/>
          <w:szCs w:val="22"/>
          <w:lang w:val="lt-LT" w:eastAsia="en-US"/>
        </w:rPr>
        <w:t xml:space="preserve"> </w:t>
      </w:r>
      <w:r w:rsidRPr="00532388">
        <w:rPr>
          <w:rFonts w:eastAsia="TimesNewRoman"/>
          <w:sz w:val="22"/>
          <w:szCs w:val="22"/>
          <w:lang w:val="lt-LT" w:eastAsia="en-US"/>
        </w:rPr>
        <w:t xml:space="preserve">žmogaus organizme, </w:t>
      </w:r>
      <w:r w:rsidR="0073510A" w:rsidRPr="00532388">
        <w:rPr>
          <w:rFonts w:eastAsia="TimesNewRoman"/>
          <w:sz w:val="22"/>
          <w:szCs w:val="22"/>
          <w:lang w:val="lt-LT" w:eastAsia="en-US"/>
        </w:rPr>
        <w:t xml:space="preserve">darunaviro </w:t>
      </w:r>
      <w:r w:rsidRPr="00532388">
        <w:rPr>
          <w:rFonts w:eastAsia="TimesNewRoman"/>
          <w:sz w:val="22"/>
          <w:szCs w:val="22"/>
          <w:lang w:val="lt-LT" w:eastAsia="en-US"/>
        </w:rPr>
        <w:t>kartu su maža ritonaviro doze jaunesniems kaip 3 metų vaikams</w:t>
      </w:r>
      <w:r w:rsidR="0073510A" w:rsidRPr="00532388">
        <w:rPr>
          <w:rFonts w:eastAsia="TimesNewRoman"/>
          <w:sz w:val="22"/>
          <w:szCs w:val="22"/>
          <w:lang w:val="lt-LT" w:eastAsia="en-US"/>
        </w:rPr>
        <w:t xml:space="preserve"> </w:t>
      </w:r>
      <w:r w:rsidRPr="00532388">
        <w:rPr>
          <w:rFonts w:eastAsia="TimesNewRoman"/>
          <w:sz w:val="22"/>
          <w:szCs w:val="22"/>
          <w:lang w:val="lt-LT" w:eastAsia="en-US"/>
        </w:rPr>
        <w:t>vartoti negalima.</w:t>
      </w:r>
    </w:p>
    <w:p w14:paraId="10554304" w14:textId="77777777" w:rsidR="0073510A" w:rsidRPr="00532388" w:rsidRDefault="0073510A" w:rsidP="00C23338">
      <w:pPr>
        <w:autoSpaceDE w:val="0"/>
        <w:autoSpaceDN w:val="0"/>
        <w:adjustRightInd w:val="0"/>
        <w:rPr>
          <w:rFonts w:eastAsia="TimesNewRoman"/>
          <w:sz w:val="22"/>
          <w:szCs w:val="22"/>
          <w:lang w:val="lt-LT" w:eastAsia="en-US"/>
        </w:rPr>
      </w:pPr>
    </w:p>
    <w:p w14:paraId="31F8AA86"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Darunaviro kancerogeninis poveikis buvo tiriamas iki 104 savaičių laikotarpyje </w:t>
      </w:r>
      <w:r w:rsidR="0073510A" w:rsidRPr="00532388">
        <w:rPr>
          <w:rFonts w:eastAsia="TimesNewRoman"/>
          <w:sz w:val="22"/>
          <w:szCs w:val="22"/>
          <w:lang w:val="lt-LT" w:eastAsia="en-US"/>
        </w:rPr>
        <w:t>duodant</w:t>
      </w:r>
      <w:r w:rsidRPr="00532388">
        <w:rPr>
          <w:rFonts w:eastAsia="TimesNewRoman"/>
          <w:sz w:val="22"/>
          <w:szCs w:val="22"/>
          <w:lang w:val="lt-LT" w:eastAsia="en-US"/>
        </w:rPr>
        <w:t xml:space="preserve"> vaistinį</w:t>
      </w:r>
      <w:r w:rsidR="0073510A" w:rsidRPr="00532388">
        <w:rPr>
          <w:rFonts w:eastAsia="TimesNewRoman"/>
          <w:sz w:val="22"/>
          <w:szCs w:val="22"/>
          <w:lang w:val="lt-LT" w:eastAsia="en-US"/>
        </w:rPr>
        <w:t xml:space="preserve"> </w:t>
      </w:r>
      <w:r w:rsidRPr="00532388">
        <w:rPr>
          <w:rFonts w:eastAsia="TimesNewRoman"/>
          <w:sz w:val="22"/>
          <w:szCs w:val="22"/>
          <w:lang w:val="lt-LT" w:eastAsia="en-US"/>
        </w:rPr>
        <w:t>preparatą pelėms ir žiurkėms per įvestą enterinį zondą. Pelėms buvo skirtos 150, 450 ir 1 000</w:t>
      </w:r>
      <w:r w:rsidR="0073510A" w:rsidRPr="00532388">
        <w:rPr>
          <w:rFonts w:eastAsia="TimesNewRoman"/>
          <w:sz w:val="22"/>
          <w:szCs w:val="22"/>
          <w:lang w:val="lt-LT" w:eastAsia="en-US"/>
        </w:rPr>
        <w:t> </w:t>
      </w:r>
      <w:r w:rsidRPr="00532388">
        <w:rPr>
          <w:rFonts w:eastAsia="TimesNewRoman"/>
          <w:sz w:val="22"/>
          <w:szCs w:val="22"/>
          <w:lang w:val="lt-LT" w:eastAsia="en-US"/>
        </w:rPr>
        <w:t>mg/kg</w:t>
      </w:r>
      <w:r w:rsidR="0073510A" w:rsidRPr="00532388">
        <w:rPr>
          <w:rFonts w:eastAsia="TimesNewRoman"/>
          <w:sz w:val="22"/>
          <w:szCs w:val="22"/>
          <w:lang w:val="lt-LT" w:eastAsia="en-US"/>
        </w:rPr>
        <w:t xml:space="preserve"> </w:t>
      </w:r>
      <w:r w:rsidRPr="00532388">
        <w:rPr>
          <w:rFonts w:eastAsia="TimesNewRoman"/>
          <w:sz w:val="22"/>
          <w:szCs w:val="22"/>
          <w:lang w:val="lt-LT" w:eastAsia="en-US"/>
        </w:rPr>
        <w:t>kūno svorio per parą dozės, tuo tarpu žiurkės gavo 50, 150 ir 500</w:t>
      </w:r>
      <w:r w:rsidR="0073510A" w:rsidRPr="00532388">
        <w:rPr>
          <w:rFonts w:eastAsia="TimesNewRoman"/>
          <w:sz w:val="22"/>
          <w:szCs w:val="22"/>
          <w:lang w:val="lt-LT" w:eastAsia="en-US"/>
        </w:rPr>
        <w:t> </w:t>
      </w:r>
      <w:r w:rsidRPr="00532388">
        <w:rPr>
          <w:rFonts w:eastAsia="TimesNewRoman"/>
          <w:sz w:val="22"/>
          <w:szCs w:val="22"/>
          <w:lang w:val="lt-LT" w:eastAsia="en-US"/>
        </w:rPr>
        <w:t>mg/kg kūno svorio per parą dozes.</w:t>
      </w:r>
      <w:r w:rsidR="0073510A" w:rsidRPr="00532388">
        <w:rPr>
          <w:rFonts w:eastAsia="TimesNewRoman"/>
          <w:sz w:val="22"/>
          <w:szCs w:val="22"/>
          <w:lang w:val="lt-LT" w:eastAsia="en-US"/>
        </w:rPr>
        <w:t xml:space="preserve"> </w:t>
      </w:r>
      <w:r w:rsidRPr="00532388">
        <w:rPr>
          <w:rFonts w:eastAsia="TimesNewRoman"/>
          <w:sz w:val="22"/>
          <w:szCs w:val="22"/>
          <w:lang w:val="lt-LT" w:eastAsia="en-US"/>
        </w:rPr>
        <w:t>Abiejų rūšių patinų ir patelių tarpe buvo stebimas nuo dozės priklausomas hepatoceliulinių adenomų ir</w:t>
      </w:r>
      <w:r w:rsidR="0073510A" w:rsidRPr="00532388">
        <w:rPr>
          <w:rFonts w:eastAsia="TimesNewRoman"/>
          <w:sz w:val="22"/>
          <w:szCs w:val="22"/>
          <w:lang w:val="lt-LT" w:eastAsia="en-US"/>
        </w:rPr>
        <w:t xml:space="preserve"> </w:t>
      </w:r>
      <w:r w:rsidRPr="00532388">
        <w:rPr>
          <w:rFonts w:eastAsia="TimesNewRoman"/>
          <w:sz w:val="22"/>
          <w:szCs w:val="22"/>
          <w:lang w:val="lt-LT" w:eastAsia="en-US"/>
        </w:rPr>
        <w:t>karcinomų atsiradimo skaičiaus padidėjimas. Žiurkių patinų tarpe buvo pastebėtos skydliaukės</w:t>
      </w:r>
      <w:r w:rsidR="0073510A" w:rsidRPr="00532388">
        <w:rPr>
          <w:rFonts w:eastAsia="TimesNewRoman"/>
          <w:sz w:val="22"/>
          <w:szCs w:val="22"/>
          <w:lang w:val="lt-LT" w:eastAsia="en-US"/>
        </w:rPr>
        <w:t xml:space="preserve"> </w:t>
      </w:r>
      <w:r w:rsidRPr="00532388">
        <w:rPr>
          <w:rFonts w:eastAsia="TimesNewRoman"/>
          <w:sz w:val="22"/>
          <w:szCs w:val="22"/>
          <w:lang w:val="lt-LT" w:eastAsia="en-US"/>
        </w:rPr>
        <w:t xml:space="preserve">folikulinės adenomos. Darunaviro </w:t>
      </w:r>
      <w:r w:rsidR="0073510A" w:rsidRPr="00532388">
        <w:rPr>
          <w:rFonts w:eastAsia="TimesNewRoman"/>
          <w:sz w:val="22"/>
          <w:szCs w:val="22"/>
          <w:lang w:val="lt-LT" w:eastAsia="en-US"/>
        </w:rPr>
        <w:t>davimas</w:t>
      </w:r>
      <w:r w:rsidRPr="00532388">
        <w:rPr>
          <w:rFonts w:eastAsia="TimesNewRoman"/>
          <w:sz w:val="22"/>
          <w:szCs w:val="22"/>
          <w:lang w:val="lt-LT" w:eastAsia="en-US"/>
        </w:rPr>
        <w:t xml:space="preserve"> nesukėlė statistiškai reikšmingo kitų rūšių gerybinių ar</w:t>
      </w:r>
      <w:r w:rsidR="0073510A" w:rsidRPr="00532388">
        <w:rPr>
          <w:rFonts w:eastAsia="TimesNewRoman"/>
          <w:sz w:val="22"/>
          <w:szCs w:val="22"/>
          <w:lang w:val="lt-LT" w:eastAsia="en-US"/>
        </w:rPr>
        <w:t xml:space="preserve"> </w:t>
      </w:r>
      <w:r w:rsidRPr="00532388">
        <w:rPr>
          <w:rFonts w:eastAsia="TimesNewRoman"/>
          <w:sz w:val="22"/>
          <w:szCs w:val="22"/>
          <w:lang w:val="lt-LT" w:eastAsia="en-US"/>
        </w:rPr>
        <w:t>piktybinių navikų atsiradimo atvejų pelėms ir žiurkėms padažnėjimo. Manoma, kad graužikų tarpe</w:t>
      </w:r>
      <w:r w:rsidR="0073510A" w:rsidRPr="00532388">
        <w:rPr>
          <w:rFonts w:eastAsia="TimesNewRoman"/>
          <w:sz w:val="22"/>
          <w:szCs w:val="22"/>
          <w:lang w:val="lt-LT" w:eastAsia="en-US"/>
        </w:rPr>
        <w:t xml:space="preserve"> </w:t>
      </w:r>
      <w:r w:rsidRPr="00532388">
        <w:rPr>
          <w:rFonts w:eastAsia="TimesNewRoman"/>
          <w:sz w:val="22"/>
          <w:szCs w:val="22"/>
          <w:lang w:val="lt-LT" w:eastAsia="en-US"/>
        </w:rPr>
        <w:t>stebėto hepatoceliulinių ir skydliaukės navikų atsiradimo klinikinė reikšmė žmogui yra nedidelė.</w:t>
      </w:r>
      <w:r w:rsidR="0073510A" w:rsidRPr="00532388">
        <w:rPr>
          <w:rFonts w:eastAsia="TimesNewRoman"/>
          <w:sz w:val="22"/>
          <w:szCs w:val="22"/>
          <w:lang w:val="lt-LT" w:eastAsia="en-US"/>
        </w:rPr>
        <w:t xml:space="preserve"> Davus</w:t>
      </w:r>
      <w:r w:rsidRPr="00532388">
        <w:rPr>
          <w:rFonts w:eastAsia="TimesNewRoman"/>
          <w:sz w:val="22"/>
          <w:szCs w:val="22"/>
          <w:lang w:val="lt-LT" w:eastAsia="en-US"/>
        </w:rPr>
        <w:t xml:space="preserve"> kartotines darunaviro dozes žiurkėms, stebėta kepenų mikrosomų fermentų indukcija ir</w:t>
      </w:r>
      <w:r w:rsidR="0073510A" w:rsidRPr="00532388">
        <w:rPr>
          <w:rFonts w:eastAsia="TimesNewRoman"/>
          <w:sz w:val="22"/>
          <w:szCs w:val="22"/>
          <w:lang w:val="lt-LT" w:eastAsia="en-US"/>
        </w:rPr>
        <w:t xml:space="preserve"> </w:t>
      </w:r>
      <w:r w:rsidRPr="00532388">
        <w:rPr>
          <w:rFonts w:eastAsia="TimesNewRoman"/>
          <w:sz w:val="22"/>
          <w:szCs w:val="22"/>
          <w:lang w:val="lt-LT" w:eastAsia="en-US"/>
        </w:rPr>
        <w:t>padidėjusi skydliaukės hormonų eliminacija</w:t>
      </w:r>
      <w:r w:rsidR="0073510A" w:rsidRPr="00532388">
        <w:rPr>
          <w:rFonts w:eastAsia="TimesNewRoman"/>
          <w:sz w:val="22"/>
          <w:szCs w:val="22"/>
          <w:lang w:val="lt-LT" w:eastAsia="en-US"/>
        </w:rPr>
        <w:t>; tai</w:t>
      </w:r>
      <w:r w:rsidRPr="00532388">
        <w:rPr>
          <w:rFonts w:eastAsia="TimesNewRoman"/>
          <w:sz w:val="22"/>
          <w:szCs w:val="22"/>
          <w:lang w:val="lt-LT" w:eastAsia="en-US"/>
        </w:rPr>
        <w:t xml:space="preserve"> žiurkėms (bet ne žmonėms) sąlygojo polinkį</w:t>
      </w:r>
      <w:r w:rsidR="0073510A" w:rsidRPr="00532388">
        <w:rPr>
          <w:rFonts w:eastAsia="TimesNewRoman"/>
          <w:sz w:val="22"/>
          <w:szCs w:val="22"/>
          <w:lang w:val="lt-LT" w:eastAsia="en-US"/>
        </w:rPr>
        <w:t xml:space="preserve"> </w:t>
      </w:r>
      <w:r w:rsidRPr="00532388">
        <w:rPr>
          <w:rFonts w:eastAsia="TimesNewRoman"/>
          <w:sz w:val="22"/>
          <w:szCs w:val="22"/>
          <w:lang w:val="lt-LT" w:eastAsia="en-US"/>
        </w:rPr>
        <w:t xml:space="preserve">skydliaukės navikų atsiradimui. </w:t>
      </w:r>
      <w:r w:rsidR="0073510A" w:rsidRPr="00532388">
        <w:rPr>
          <w:rFonts w:eastAsia="TimesNewRoman"/>
          <w:sz w:val="22"/>
          <w:szCs w:val="22"/>
          <w:lang w:val="lt-LT" w:eastAsia="en-US"/>
        </w:rPr>
        <w:t>Duodant</w:t>
      </w:r>
      <w:r w:rsidRPr="00532388">
        <w:rPr>
          <w:rFonts w:eastAsia="TimesNewRoman"/>
          <w:sz w:val="22"/>
          <w:szCs w:val="22"/>
          <w:lang w:val="lt-LT" w:eastAsia="en-US"/>
        </w:rPr>
        <w:t xml:space="preserve"> didžiausias vaistinio preparato dozes, bendrosios darunaviro</w:t>
      </w:r>
      <w:r w:rsidR="0073510A" w:rsidRPr="00532388">
        <w:rPr>
          <w:rFonts w:eastAsia="TimesNewRoman"/>
          <w:sz w:val="22"/>
          <w:szCs w:val="22"/>
          <w:lang w:val="lt-LT" w:eastAsia="en-US"/>
        </w:rPr>
        <w:t xml:space="preserve"> </w:t>
      </w:r>
      <w:r w:rsidRPr="00532388">
        <w:rPr>
          <w:rFonts w:eastAsia="TimesNewRoman"/>
          <w:sz w:val="22"/>
          <w:szCs w:val="22"/>
          <w:lang w:val="lt-LT" w:eastAsia="en-US"/>
        </w:rPr>
        <w:t>ekspozicijos (remiantis AUC) santykis su ekspozicija žmonių organizme vartojant rekomenduojamas</w:t>
      </w:r>
      <w:r w:rsidR="0073510A" w:rsidRPr="00532388">
        <w:rPr>
          <w:rFonts w:eastAsia="TimesNewRoman"/>
          <w:sz w:val="22"/>
          <w:szCs w:val="22"/>
          <w:lang w:val="lt-LT" w:eastAsia="en-US"/>
        </w:rPr>
        <w:t xml:space="preserve"> </w:t>
      </w:r>
      <w:r w:rsidRPr="00532388">
        <w:rPr>
          <w:rFonts w:eastAsia="TimesNewRoman"/>
          <w:sz w:val="22"/>
          <w:szCs w:val="22"/>
          <w:lang w:val="lt-LT" w:eastAsia="en-US"/>
        </w:rPr>
        <w:t>terapines vaistinio preparato dozes sudarė 0,4-0,7 pel</w:t>
      </w:r>
      <w:r w:rsidR="0073510A" w:rsidRPr="00532388">
        <w:rPr>
          <w:rFonts w:eastAsia="TimesNewRoman"/>
          <w:sz w:val="22"/>
          <w:szCs w:val="22"/>
          <w:lang w:val="lt-LT" w:eastAsia="en-US"/>
        </w:rPr>
        <w:t>ėms</w:t>
      </w:r>
      <w:r w:rsidRPr="00532388">
        <w:rPr>
          <w:rFonts w:eastAsia="TimesNewRoman"/>
          <w:sz w:val="22"/>
          <w:szCs w:val="22"/>
          <w:lang w:val="lt-LT" w:eastAsia="en-US"/>
        </w:rPr>
        <w:t xml:space="preserve"> ir 0,7-1,0 žiurk</w:t>
      </w:r>
      <w:r w:rsidR="0073510A" w:rsidRPr="00532388">
        <w:rPr>
          <w:rFonts w:eastAsia="TimesNewRoman"/>
          <w:sz w:val="22"/>
          <w:szCs w:val="22"/>
          <w:lang w:val="lt-LT" w:eastAsia="en-US"/>
        </w:rPr>
        <w:t>ėms</w:t>
      </w:r>
      <w:r w:rsidRPr="00532388">
        <w:rPr>
          <w:rFonts w:eastAsia="TimesNewRoman"/>
          <w:sz w:val="22"/>
          <w:szCs w:val="22"/>
          <w:lang w:val="lt-LT" w:eastAsia="en-US"/>
        </w:rPr>
        <w:t>.</w:t>
      </w:r>
    </w:p>
    <w:p w14:paraId="2BB2A7C1" w14:textId="77777777" w:rsidR="0073510A" w:rsidRPr="00532388" w:rsidRDefault="0073510A" w:rsidP="00C23338">
      <w:pPr>
        <w:autoSpaceDE w:val="0"/>
        <w:autoSpaceDN w:val="0"/>
        <w:adjustRightInd w:val="0"/>
        <w:rPr>
          <w:rFonts w:eastAsia="TimesNewRoman"/>
          <w:sz w:val="22"/>
          <w:szCs w:val="22"/>
          <w:lang w:val="lt-LT" w:eastAsia="en-US"/>
        </w:rPr>
      </w:pPr>
    </w:p>
    <w:p w14:paraId="7FDA5F1E"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 xml:space="preserve">2 metus </w:t>
      </w:r>
      <w:r w:rsidR="0073510A" w:rsidRPr="00532388">
        <w:rPr>
          <w:rFonts w:eastAsia="TimesNewRoman"/>
          <w:sz w:val="22"/>
          <w:szCs w:val="22"/>
          <w:lang w:val="lt-LT" w:eastAsia="en-US"/>
        </w:rPr>
        <w:t>duodant</w:t>
      </w:r>
      <w:r w:rsidRPr="00532388">
        <w:rPr>
          <w:rFonts w:eastAsia="TimesNewRoman"/>
          <w:sz w:val="22"/>
          <w:szCs w:val="22"/>
          <w:lang w:val="lt-LT" w:eastAsia="en-US"/>
        </w:rPr>
        <w:t xml:space="preserve"> darunavirą tokia pačia, kaip ir </w:t>
      </w:r>
      <w:r w:rsidR="0073510A" w:rsidRPr="00532388">
        <w:rPr>
          <w:rFonts w:eastAsia="TimesNewRoman"/>
          <w:sz w:val="22"/>
          <w:szCs w:val="22"/>
          <w:lang w:val="lt-LT" w:eastAsia="en-US"/>
        </w:rPr>
        <w:t xml:space="preserve">skiriant vartoti </w:t>
      </w:r>
      <w:r w:rsidRPr="00532388">
        <w:rPr>
          <w:rFonts w:eastAsia="TimesNewRoman"/>
          <w:sz w:val="22"/>
          <w:szCs w:val="22"/>
          <w:lang w:val="lt-LT" w:eastAsia="en-US"/>
        </w:rPr>
        <w:t>žmogui, ar mažesne ekspozicija, buvo stebimi inkstų</w:t>
      </w:r>
      <w:r w:rsidR="0073510A" w:rsidRPr="00532388">
        <w:rPr>
          <w:rFonts w:eastAsia="TimesNewRoman"/>
          <w:sz w:val="22"/>
          <w:szCs w:val="22"/>
          <w:lang w:val="lt-LT" w:eastAsia="en-US"/>
        </w:rPr>
        <w:t xml:space="preserve"> </w:t>
      </w:r>
      <w:r w:rsidRPr="00532388">
        <w:rPr>
          <w:rFonts w:eastAsia="TimesNewRoman"/>
          <w:sz w:val="22"/>
          <w:szCs w:val="22"/>
          <w:lang w:val="lt-LT" w:eastAsia="en-US"/>
        </w:rPr>
        <w:t>pakitimai pelėms (nefrozė) ir žiurkėms (lėtinė progresuojanti nefropatija).</w:t>
      </w:r>
    </w:p>
    <w:p w14:paraId="777FF117" w14:textId="77777777" w:rsidR="0073510A" w:rsidRPr="00532388" w:rsidRDefault="0073510A" w:rsidP="00C23338">
      <w:pPr>
        <w:autoSpaceDE w:val="0"/>
        <w:autoSpaceDN w:val="0"/>
        <w:adjustRightInd w:val="0"/>
        <w:rPr>
          <w:rFonts w:eastAsia="TimesNewRoman"/>
          <w:sz w:val="22"/>
          <w:szCs w:val="22"/>
          <w:lang w:val="lt-LT" w:eastAsia="en-US"/>
        </w:rPr>
      </w:pPr>
    </w:p>
    <w:p w14:paraId="0250EE7A"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lastRenderedPageBreak/>
        <w:t xml:space="preserve">Atlikus seriją </w:t>
      </w:r>
      <w:r w:rsidRPr="00532388">
        <w:rPr>
          <w:rFonts w:eastAsia="TimesNewRoman"/>
          <w:i/>
          <w:iCs/>
          <w:sz w:val="22"/>
          <w:szCs w:val="22"/>
          <w:lang w:val="lt-LT" w:eastAsia="en-US"/>
        </w:rPr>
        <w:t xml:space="preserve">in vitro </w:t>
      </w:r>
      <w:r w:rsidRPr="00532388">
        <w:rPr>
          <w:rFonts w:eastAsia="TimesNewRoman"/>
          <w:sz w:val="22"/>
          <w:szCs w:val="22"/>
          <w:lang w:val="lt-LT" w:eastAsia="en-US"/>
        </w:rPr>
        <w:t xml:space="preserve">ir </w:t>
      </w:r>
      <w:r w:rsidRPr="00532388">
        <w:rPr>
          <w:rFonts w:eastAsia="TimesNewRoman"/>
          <w:i/>
          <w:iCs/>
          <w:sz w:val="22"/>
          <w:szCs w:val="22"/>
          <w:lang w:val="lt-LT" w:eastAsia="en-US"/>
        </w:rPr>
        <w:t xml:space="preserve">in vivo </w:t>
      </w:r>
      <w:r w:rsidRPr="00532388">
        <w:rPr>
          <w:rFonts w:eastAsia="TimesNewRoman"/>
          <w:sz w:val="22"/>
          <w:szCs w:val="22"/>
          <w:lang w:val="lt-LT" w:eastAsia="en-US"/>
        </w:rPr>
        <w:t xml:space="preserve">tyrimų, tarp jų </w:t>
      </w:r>
      <w:r w:rsidRPr="00532388">
        <w:rPr>
          <w:rFonts w:eastAsia="TimesNewRoman"/>
          <w:i/>
          <w:iCs/>
          <w:sz w:val="22"/>
          <w:szCs w:val="22"/>
          <w:lang w:val="lt-LT" w:eastAsia="en-US"/>
        </w:rPr>
        <w:t xml:space="preserve">Ames </w:t>
      </w:r>
      <w:r w:rsidRPr="00532388">
        <w:rPr>
          <w:rFonts w:eastAsia="TimesNewRoman"/>
          <w:sz w:val="22"/>
          <w:szCs w:val="22"/>
          <w:lang w:val="lt-LT" w:eastAsia="en-US"/>
        </w:rPr>
        <w:t>atvirkštinės mutacijos tyrimą, chromosomų</w:t>
      </w:r>
      <w:r w:rsidR="0073510A" w:rsidRPr="00532388">
        <w:rPr>
          <w:rFonts w:eastAsia="TimesNewRoman"/>
          <w:sz w:val="22"/>
          <w:szCs w:val="22"/>
          <w:lang w:val="lt-LT" w:eastAsia="en-US"/>
        </w:rPr>
        <w:t xml:space="preserve"> </w:t>
      </w:r>
      <w:r w:rsidRPr="00532388">
        <w:rPr>
          <w:rFonts w:eastAsia="TimesNewRoman"/>
          <w:sz w:val="22"/>
          <w:szCs w:val="22"/>
          <w:lang w:val="lt-LT" w:eastAsia="en-US"/>
        </w:rPr>
        <w:t xml:space="preserve">aberacijos žmogaus limfocituose tyrimą bei </w:t>
      </w:r>
      <w:r w:rsidRPr="00532388">
        <w:rPr>
          <w:rFonts w:eastAsia="TimesNewRoman"/>
          <w:i/>
          <w:iCs/>
          <w:sz w:val="22"/>
          <w:szCs w:val="22"/>
          <w:lang w:val="lt-LT" w:eastAsia="en-US"/>
        </w:rPr>
        <w:t xml:space="preserve">in vivo </w:t>
      </w:r>
      <w:r w:rsidRPr="00532388">
        <w:rPr>
          <w:rFonts w:eastAsia="TimesNewRoman"/>
          <w:sz w:val="22"/>
          <w:szCs w:val="22"/>
          <w:lang w:val="lt-LT" w:eastAsia="en-US"/>
        </w:rPr>
        <w:t>pelių mikrobranduolių mėginį, mutageninio ar</w:t>
      </w:r>
      <w:r w:rsidR="0073510A" w:rsidRPr="00532388">
        <w:rPr>
          <w:rFonts w:eastAsia="TimesNewRoman"/>
          <w:sz w:val="22"/>
          <w:szCs w:val="22"/>
          <w:lang w:val="lt-LT" w:eastAsia="en-US"/>
        </w:rPr>
        <w:t xml:space="preserve"> </w:t>
      </w:r>
      <w:r w:rsidRPr="00532388">
        <w:rPr>
          <w:rFonts w:eastAsia="TimesNewRoman"/>
          <w:sz w:val="22"/>
          <w:szCs w:val="22"/>
          <w:lang w:val="lt-LT" w:eastAsia="en-US"/>
        </w:rPr>
        <w:t>genotoksinio darunaviro poveikio nenustatyta.</w:t>
      </w:r>
    </w:p>
    <w:p w14:paraId="75D9802E" w14:textId="77777777" w:rsidR="00C23338" w:rsidRPr="00532388" w:rsidRDefault="00C23338" w:rsidP="00C23338">
      <w:pPr>
        <w:autoSpaceDE w:val="0"/>
        <w:autoSpaceDN w:val="0"/>
        <w:adjustRightInd w:val="0"/>
        <w:rPr>
          <w:rFonts w:eastAsia="TimesNewRoman"/>
          <w:sz w:val="22"/>
          <w:szCs w:val="22"/>
          <w:lang w:val="lt-LT" w:eastAsia="en-US"/>
        </w:rPr>
      </w:pPr>
    </w:p>
    <w:p w14:paraId="341757F4" w14:textId="77777777" w:rsidR="00C23338" w:rsidRPr="00532388" w:rsidRDefault="00C23338" w:rsidP="00C23338">
      <w:pPr>
        <w:tabs>
          <w:tab w:val="left" w:pos="567"/>
        </w:tabs>
        <w:rPr>
          <w:rFonts w:eastAsia="Times New Roman"/>
          <w:noProof/>
          <w:sz w:val="22"/>
          <w:szCs w:val="22"/>
          <w:lang w:val="lt-LT" w:eastAsia="lt-LT" w:bidi="lt-LT"/>
        </w:rPr>
      </w:pPr>
    </w:p>
    <w:p w14:paraId="7E960421" w14:textId="77777777" w:rsidR="00C23338" w:rsidRPr="00532388" w:rsidRDefault="00C23338" w:rsidP="00C23338">
      <w:pPr>
        <w:keepNext/>
        <w:numPr>
          <w:ilvl w:val="0"/>
          <w:numId w:val="1"/>
        </w:numPr>
        <w:tabs>
          <w:tab w:val="left" w:pos="567"/>
        </w:tabs>
        <w:suppressAutoHyphens/>
        <w:spacing w:line="260" w:lineRule="exact"/>
        <w:rPr>
          <w:rFonts w:eastAsia="Times New Roman"/>
          <w:b/>
          <w:noProof/>
          <w:sz w:val="22"/>
          <w:szCs w:val="22"/>
          <w:lang w:val="lt-LT" w:eastAsia="lt-LT" w:bidi="lt-LT"/>
        </w:rPr>
      </w:pPr>
      <w:r w:rsidRPr="00532388">
        <w:rPr>
          <w:rFonts w:eastAsia="Times New Roman"/>
          <w:b/>
          <w:noProof/>
          <w:sz w:val="22"/>
          <w:lang w:val="lt-LT" w:eastAsia="lt-LT" w:bidi="lt-LT"/>
        </w:rPr>
        <w:t>FARMACINĖ INFORMACIJA</w:t>
      </w:r>
    </w:p>
    <w:p w14:paraId="5C2953AF" w14:textId="77777777" w:rsidR="00C23338" w:rsidRPr="00532388" w:rsidRDefault="00C23338" w:rsidP="00C23338">
      <w:pPr>
        <w:keepNext/>
        <w:tabs>
          <w:tab w:val="left" w:pos="567"/>
        </w:tabs>
        <w:rPr>
          <w:rFonts w:eastAsia="Times New Roman"/>
          <w:noProof/>
          <w:sz w:val="22"/>
          <w:szCs w:val="22"/>
          <w:lang w:val="lt-LT" w:eastAsia="lt-LT" w:bidi="lt-LT"/>
        </w:rPr>
      </w:pPr>
    </w:p>
    <w:p w14:paraId="387C376B" w14:textId="77777777" w:rsidR="00C23338" w:rsidRPr="00532388" w:rsidRDefault="00C23338" w:rsidP="00C23338">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t>Pagalbinių medžiagų sąrašas</w:t>
      </w:r>
    </w:p>
    <w:p w14:paraId="1066CB5B" w14:textId="77777777" w:rsidR="00C23338" w:rsidRPr="00532388" w:rsidRDefault="00C23338" w:rsidP="00C23338">
      <w:pPr>
        <w:keepNext/>
        <w:tabs>
          <w:tab w:val="left" w:pos="567"/>
        </w:tabs>
        <w:rPr>
          <w:rFonts w:eastAsia="Times New Roman"/>
          <w:i/>
          <w:noProof/>
          <w:sz w:val="22"/>
          <w:szCs w:val="22"/>
          <w:lang w:val="lt-LT" w:eastAsia="lt-LT" w:bidi="lt-LT"/>
        </w:rPr>
      </w:pPr>
    </w:p>
    <w:p w14:paraId="52942079" w14:textId="77777777" w:rsidR="00C23338" w:rsidRPr="00532388" w:rsidRDefault="0073510A" w:rsidP="00C23338">
      <w:pPr>
        <w:autoSpaceDE w:val="0"/>
        <w:autoSpaceDN w:val="0"/>
        <w:adjustRightInd w:val="0"/>
        <w:rPr>
          <w:rFonts w:eastAsia="TimesNewRoman"/>
          <w:i/>
          <w:sz w:val="22"/>
          <w:szCs w:val="22"/>
          <w:lang w:val="lt-LT" w:eastAsia="en-US"/>
        </w:rPr>
      </w:pPr>
      <w:r w:rsidRPr="00532388">
        <w:rPr>
          <w:rFonts w:eastAsia="TimesNewRoman"/>
          <w:i/>
          <w:sz w:val="22"/>
          <w:szCs w:val="22"/>
          <w:lang w:val="lt-LT" w:eastAsia="en-US"/>
        </w:rPr>
        <w:t>Tabletės branduo</w:t>
      </w:r>
      <w:r w:rsidR="00F93D8C">
        <w:rPr>
          <w:rFonts w:eastAsia="TimesNewRoman"/>
          <w:i/>
          <w:sz w:val="22"/>
          <w:szCs w:val="22"/>
          <w:lang w:val="lt-LT" w:eastAsia="en-US"/>
        </w:rPr>
        <w:t>l</w:t>
      </w:r>
      <w:r w:rsidRPr="00532388">
        <w:rPr>
          <w:rFonts w:eastAsia="TimesNewRoman"/>
          <w:i/>
          <w:sz w:val="22"/>
          <w:szCs w:val="22"/>
          <w:lang w:val="lt-LT" w:eastAsia="en-US"/>
        </w:rPr>
        <w:t>ys</w:t>
      </w:r>
    </w:p>
    <w:p w14:paraId="17AEA790"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Mikrokristalinė celiuliozė</w:t>
      </w:r>
    </w:p>
    <w:p w14:paraId="225EFE7B"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Koloidinis bevandenis silicio dioksidas</w:t>
      </w:r>
    </w:p>
    <w:p w14:paraId="31556CE2"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Krospovidonas</w:t>
      </w:r>
    </w:p>
    <w:p w14:paraId="353ED66B"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Magnio stearatas</w:t>
      </w:r>
    </w:p>
    <w:p w14:paraId="46B4A92D" w14:textId="77777777" w:rsidR="0073510A" w:rsidRPr="00532388" w:rsidRDefault="0073510A" w:rsidP="00C23338">
      <w:pPr>
        <w:autoSpaceDE w:val="0"/>
        <w:autoSpaceDN w:val="0"/>
        <w:adjustRightInd w:val="0"/>
        <w:rPr>
          <w:rFonts w:eastAsia="TimesNewRoman"/>
          <w:sz w:val="22"/>
          <w:szCs w:val="22"/>
          <w:lang w:val="lt-LT" w:eastAsia="en-US"/>
        </w:rPr>
      </w:pPr>
    </w:p>
    <w:p w14:paraId="1BCB092E" w14:textId="77777777" w:rsidR="00C23338" w:rsidRPr="00532388" w:rsidRDefault="00C23338" w:rsidP="00C23338">
      <w:pPr>
        <w:autoSpaceDE w:val="0"/>
        <w:autoSpaceDN w:val="0"/>
        <w:adjustRightInd w:val="0"/>
        <w:rPr>
          <w:rFonts w:eastAsia="TimesNewRoman"/>
          <w:i/>
          <w:sz w:val="22"/>
          <w:szCs w:val="22"/>
          <w:lang w:val="lt-LT" w:eastAsia="en-US"/>
        </w:rPr>
      </w:pPr>
      <w:r w:rsidRPr="00532388">
        <w:rPr>
          <w:rFonts w:eastAsia="TimesNewRoman"/>
          <w:i/>
          <w:sz w:val="22"/>
          <w:szCs w:val="22"/>
          <w:lang w:val="lt-LT" w:eastAsia="en-US"/>
        </w:rPr>
        <w:t>Tabletę dengian</w:t>
      </w:r>
      <w:r w:rsidR="0073510A" w:rsidRPr="00532388">
        <w:rPr>
          <w:rFonts w:eastAsia="TimesNewRoman"/>
          <w:i/>
          <w:sz w:val="22"/>
          <w:szCs w:val="22"/>
          <w:lang w:val="lt-LT" w:eastAsia="en-US"/>
        </w:rPr>
        <w:t>ti</w:t>
      </w:r>
      <w:r w:rsidRPr="00532388">
        <w:rPr>
          <w:rFonts w:eastAsia="TimesNewRoman"/>
          <w:i/>
          <w:sz w:val="22"/>
          <w:szCs w:val="22"/>
          <w:lang w:val="lt-LT" w:eastAsia="en-US"/>
        </w:rPr>
        <w:t xml:space="preserve"> plėvelė</w:t>
      </w:r>
    </w:p>
    <w:p w14:paraId="572BD76B"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Polivinilo alkoholis – dalinai hidrolizuotas</w:t>
      </w:r>
    </w:p>
    <w:p w14:paraId="47F3F611" w14:textId="77777777" w:rsidR="0073510A" w:rsidRPr="00532388" w:rsidRDefault="0073510A" w:rsidP="0073510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Titano dioksidas (E171)</w:t>
      </w:r>
    </w:p>
    <w:p w14:paraId="7533CDFA"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Makrogolis 3350</w:t>
      </w:r>
    </w:p>
    <w:p w14:paraId="5F71EDEC"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Talkas</w:t>
      </w:r>
    </w:p>
    <w:p w14:paraId="30C16B8D" w14:textId="77777777" w:rsidR="0073510A" w:rsidRPr="00532388" w:rsidRDefault="0073510A" w:rsidP="0073510A">
      <w:pPr>
        <w:tabs>
          <w:tab w:val="left" w:pos="567"/>
        </w:tabs>
        <w:rPr>
          <w:rFonts w:eastAsia="TimesNewRoman"/>
          <w:sz w:val="22"/>
          <w:szCs w:val="22"/>
          <w:lang w:val="lt-LT" w:eastAsia="en-US"/>
        </w:rPr>
      </w:pPr>
      <w:r w:rsidRPr="00532388">
        <w:rPr>
          <w:rFonts w:eastAsia="TimesNewRoman"/>
          <w:sz w:val="22"/>
          <w:szCs w:val="22"/>
          <w:lang w:val="lt-LT" w:eastAsia="en-US"/>
        </w:rPr>
        <w:t>Geltonasis geležies oksidas (E172)</w:t>
      </w:r>
    </w:p>
    <w:p w14:paraId="0747BA85" w14:textId="77777777" w:rsidR="00C23338" w:rsidRPr="00532388" w:rsidRDefault="00C23338" w:rsidP="00C23338">
      <w:pPr>
        <w:tabs>
          <w:tab w:val="left" w:pos="567"/>
        </w:tabs>
        <w:rPr>
          <w:rFonts w:eastAsia="TimesNewRoman"/>
          <w:sz w:val="22"/>
          <w:szCs w:val="22"/>
          <w:lang w:val="lt-LT" w:eastAsia="en-US"/>
        </w:rPr>
      </w:pPr>
      <w:r w:rsidRPr="00532388">
        <w:rPr>
          <w:rFonts w:eastAsia="TimesNewRoman"/>
          <w:sz w:val="22"/>
          <w:szCs w:val="22"/>
          <w:lang w:val="lt-LT" w:eastAsia="en-US"/>
        </w:rPr>
        <w:t>Raudonasis geležies oksidas (E172)</w:t>
      </w:r>
    </w:p>
    <w:p w14:paraId="65CB3FEE" w14:textId="77777777" w:rsidR="0073510A" w:rsidRPr="00532388" w:rsidRDefault="0073510A" w:rsidP="0073510A">
      <w:pPr>
        <w:tabs>
          <w:tab w:val="left" w:pos="567"/>
        </w:tabs>
        <w:rPr>
          <w:rFonts w:eastAsia="TimesNewRoman"/>
          <w:sz w:val="22"/>
          <w:szCs w:val="22"/>
          <w:lang w:val="lt-LT" w:eastAsia="en-US"/>
        </w:rPr>
      </w:pPr>
      <w:r w:rsidRPr="00532388">
        <w:rPr>
          <w:rFonts w:eastAsia="TimesNewRoman"/>
          <w:sz w:val="22"/>
          <w:szCs w:val="22"/>
          <w:lang w:val="lt-LT" w:eastAsia="en-US"/>
        </w:rPr>
        <w:t>Juodasis geležies oksidas (E172)</w:t>
      </w:r>
    </w:p>
    <w:p w14:paraId="41606F78" w14:textId="77777777" w:rsidR="00C23338" w:rsidRPr="00532388" w:rsidRDefault="00C23338" w:rsidP="00C23338">
      <w:pPr>
        <w:tabs>
          <w:tab w:val="left" w:pos="567"/>
        </w:tabs>
        <w:rPr>
          <w:rFonts w:eastAsia="Times New Roman"/>
          <w:noProof/>
          <w:sz w:val="22"/>
          <w:szCs w:val="22"/>
          <w:lang w:val="lt-LT" w:eastAsia="lt-LT" w:bidi="lt-LT"/>
        </w:rPr>
      </w:pPr>
    </w:p>
    <w:p w14:paraId="2BA1188D" w14:textId="77777777" w:rsidR="00C23338" w:rsidRPr="00532388" w:rsidRDefault="00C23338" w:rsidP="00C23338">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t>Nesuderinamumas</w:t>
      </w:r>
    </w:p>
    <w:p w14:paraId="5E379769" w14:textId="77777777" w:rsidR="00C23338" w:rsidRPr="00532388" w:rsidRDefault="00C23338" w:rsidP="00C23338">
      <w:pPr>
        <w:keepNext/>
        <w:tabs>
          <w:tab w:val="left" w:pos="567"/>
        </w:tabs>
        <w:rPr>
          <w:rFonts w:eastAsia="Times New Roman"/>
          <w:noProof/>
          <w:sz w:val="22"/>
          <w:szCs w:val="22"/>
          <w:lang w:val="lt-LT" w:eastAsia="lt-LT" w:bidi="lt-LT"/>
        </w:rPr>
      </w:pPr>
    </w:p>
    <w:p w14:paraId="15B88E35" w14:textId="77777777" w:rsidR="00C23338" w:rsidRPr="00532388" w:rsidRDefault="0073510A" w:rsidP="00C23338">
      <w:pPr>
        <w:tabs>
          <w:tab w:val="left" w:pos="567"/>
        </w:tabs>
        <w:rPr>
          <w:rFonts w:eastAsia="Times New Roman"/>
          <w:sz w:val="22"/>
          <w:lang w:val="lt-LT" w:eastAsia="lt-LT" w:bidi="lt-LT"/>
        </w:rPr>
      </w:pPr>
      <w:r w:rsidRPr="00532388">
        <w:rPr>
          <w:rFonts w:eastAsia="Times New Roman"/>
          <w:sz w:val="22"/>
          <w:lang w:val="lt-LT" w:eastAsia="lt-LT" w:bidi="lt-LT"/>
        </w:rPr>
        <w:t>Duomenys nebūtini.</w:t>
      </w:r>
    </w:p>
    <w:p w14:paraId="643452C8" w14:textId="77777777" w:rsidR="004E2DDE" w:rsidRPr="00532388" w:rsidRDefault="004E2DDE" w:rsidP="00C23338">
      <w:pPr>
        <w:tabs>
          <w:tab w:val="left" w:pos="567"/>
        </w:tabs>
        <w:rPr>
          <w:rFonts w:eastAsia="Times New Roman"/>
          <w:noProof/>
          <w:sz w:val="22"/>
          <w:szCs w:val="22"/>
          <w:lang w:val="lt-LT" w:eastAsia="lt-LT" w:bidi="lt-LT"/>
        </w:rPr>
      </w:pPr>
    </w:p>
    <w:p w14:paraId="4658A017" w14:textId="77777777" w:rsidR="00C23338" w:rsidRPr="00532388" w:rsidRDefault="00C23338" w:rsidP="00C23338">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t>Tinkamumo laikas</w:t>
      </w:r>
    </w:p>
    <w:p w14:paraId="51027F9A" w14:textId="77777777" w:rsidR="00C23338" w:rsidRPr="00532388" w:rsidRDefault="00C23338" w:rsidP="00C23338">
      <w:pPr>
        <w:autoSpaceDE w:val="0"/>
        <w:autoSpaceDN w:val="0"/>
        <w:adjustRightInd w:val="0"/>
        <w:rPr>
          <w:rFonts w:eastAsia="TimesNewRoman"/>
          <w:sz w:val="22"/>
          <w:szCs w:val="22"/>
          <w:lang w:val="lt-LT" w:eastAsia="en-US"/>
        </w:rPr>
      </w:pPr>
    </w:p>
    <w:p w14:paraId="67E60A57" w14:textId="77777777" w:rsidR="0073510A" w:rsidRPr="00532388" w:rsidRDefault="0073510A"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2 metai.</w:t>
      </w:r>
    </w:p>
    <w:p w14:paraId="7F278BCF" w14:textId="77777777" w:rsidR="0073510A" w:rsidRPr="00532388" w:rsidRDefault="0073510A" w:rsidP="00C23338">
      <w:pPr>
        <w:autoSpaceDE w:val="0"/>
        <w:autoSpaceDN w:val="0"/>
        <w:adjustRightInd w:val="0"/>
        <w:rPr>
          <w:rFonts w:eastAsia="TimesNewRoman"/>
          <w:sz w:val="22"/>
          <w:szCs w:val="22"/>
          <w:lang w:val="lt-LT" w:eastAsia="en-US"/>
        </w:rPr>
      </w:pPr>
    </w:p>
    <w:p w14:paraId="2B2B8D18" w14:textId="77777777" w:rsidR="00C23338" w:rsidRPr="00532388" w:rsidRDefault="00C23338" w:rsidP="00C23338">
      <w:pPr>
        <w:keepNext/>
        <w:numPr>
          <w:ilvl w:val="1"/>
          <w:numId w:val="1"/>
        </w:numPr>
        <w:tabs>
          <w:tab w:val="left" w:pos="567"/>
        </w:tabs>
        <w:spacing w:line="260" w:lineRule="exact"/>
        <w:outlineLvl w:val="0"/>
        <w:rPr>
          <w:rFonts w:eastAsia="Times New Roman"/>
          <w:b/>
          <w:noProof/>
          <w:sz w:val="22"/>
          <w:szCs w:val="22"/>
          <w:lang w:val="lt-LT" w:eastAsia="lt-LT" w:bidi="lt-LT"/>
        </w:rPr>
      </w:pPr>
      <w:r w:rsidRPr="00532388">
        <w:rPr>
          <w:rFonts w:eastAsia="Times New Roman"/>
          <w:b/>
          <w:noProof/>
          <w:sz w:val="22"/>
          <w:lang w:val="lt-LT" w:eastAsia="lt-LT" w:bidi="lt-LT"/>
        </w:rPr>
        <w:t>Specialios laikymo sąlygos</w:t>
      </w:r>
    </w:p>
    <w:p w14:paraId="40D0A62A" w14:textId="77777777" w:rsidR="00C23338" w:rsidRPr="00532388" w:rsidRDefault="00C23338" w:rsidP="00C23338">
      <w:pPr>
        <w:keepNext/>
        <w:tabs>
          <w:tab w:val="left" w:pos="567"/>
        </w:tabs>
        <w:ind w:left="567" w:hanging="567"/>
        <w:outlineLvl w:val="0"/>
        <w:rPr>
          <w:rFonts w:eastAsia="Times New Roman"/>
          <w:noProof/>
          <w:sz w:val="22"/>
          <w:szCs w:val="22"/>
          <w:lang w:val="lt-LT" w:eastAsia="lt-LT" w:bidi="lt-LT"/>
        </w:rPr>
      </w:pPr>
    </w:p>
    <w:p w14:paraId="1F8367EF" w14:textId="77777777" w:rsidR="0073510A" w:rsidRPr="00532388" w:rsidRDefault="0073510A" w:rsidP="0073510A">
      <w:pPr>
        <w:pStyle w:val="BTEMEASMCA"/>
      </w:pPr>
      <w:r w:rsidRPr="00532388">
        <w:t>Šiam vaistiniam preparatui specialių laikymo sąlygų nereikia.</w:t>
      </w:r>
    </w:p>
    <w:p w14:paraId="0F370B07" w14:textId="77777777" w:rsidR="00C23338" w:rsidRPr="00532388" w:rsidRDefault="00C23338" w:rsidP="00C23338">
      <w:pPr>
        <w:tabs>
          <w:tab w:val="left" w:pos="567"/>
        </w:tabs>
        <w:rPr>
          <w:rFonts w:eastAsia="Times New Roman"/>
          <w:noProof/>
          <w:sz w:val="22"/>
          <w:szCs w:val="22"/>
          <w:lang w:val="lt-LT" w:eastAsia="lt-LT" w:bidi="lt-LT"/>
        </w:rPr>
      </w:pPr>
    </w:p>
    <w:p w14:paraId="4DAEBECB" w14:textId="77777777" w:rsidR="0058454E" w:rsidRPr="00532388" w:rsidRDefault="00C23338" w:rsidP="0058454E">
      <w:pPr>
        <w:keepNext/>
        <w:widowControl w:val="0"/>
        <w:numPr>
          <w:ilvl w:val="1"/>
          <w:numId w:val="1"/>
        </w:numPr>
        <w:tabs>
          <w:tab w:val="left" w:pos="567"/>
        </w:tabs>
        <w:spacing w:line="260" w:lineRule="exact"/>
        <w:ind w:left="0" w:firstLine="0"/>
        <w:outlineLvl w:val="0"/>
        <w:rPr>
          <w:rFonts w:eastAsia="TimesNewRoman"/>
          <w:sz w:val="22"/>
          <w:szCs w:val="22"/>
          <w:lang w:val="lt-LT" w:eastAsia="en-US"/>
        </w:rPr>
      </w:pPr>
      <w:r w:rsidRPr="00532388">
        <w:rPr>
          <w:rFonts w:eastAsia="Times New Roman"/>
          <w:b/>
          <w:noProof/>
          <w:sz w:val="22"/>
          <w:lang w:val="lt-LT" w:eastAsia="lt-LT" w:bidi="lt-LT"/>
        </w:rPr>
        <w:t xml:space="preserve">Talpyklės pobūdis ir jos turinys </w:t>
      </w:r>
    </w:p>
    <w:p w14:paraId="43DA54E0" w14:textId="77777777" w:rsidR="0058454E" w:rsidRPr="00532388" w:rsidRDefault="0058454E" w:rsidP="0058454E">
      <w:pPr>
        <w:widowControl w:val="0"/>
        <w:tabs>
          <w:tab w:val="left" w:pos="567"/>
        </w:tabs>
        <w:rPr>
          <w:rFonts w:eastAsia="Times New Roman"/>
          <w:snapToGrid w:val="0"/>
          <w:sz w:val="22"/>
          <w:szCs w:val="22"/>
          <w:lang w:val="lt-LT" w:eastAsia="en-US"/>
        </w:rPr>
      </w:pPr>
    </w:p>
    <w:p w14:paraId="29F6FB21" w14:textId="77777777" w:rsidR="0058454E" w:rsidRPr="00532388" w:rsidRDefault="0058454E" w:rsidP="0058454E">
      <w:pPr>
        <w:widowControl w:val="0"/>
        <w:tabs>
          <w:tab w:val="left" w:pos="567"/>
        </w:tabs>
        <w:rPr>
          <w:rFonts w:eastAsia="Times New Roman"/>
          <w:sz w:val="22"/>
          <w:szCs w:val="22"/>
          <w:lang w:val="lt-LT" w:eastAsia="en-US"/>
        </w:rPr>
      </w:pPr>
      <w:r w:rsidRPr="00532388">
        <w:rPr>
          <w:rFonts w:eastAsia="Times New Roman"/>
          <w:snapToGrid w:val="0"/>
          <w:sz w:val="22"/>
          <w:szCs w:val="22"/>
          <w:lang w:val="lt-LT" w:eastAsia="en-US"/>
        </w:rPr>
        <w:t>Aliuminio-aliuminio (PVC/Al/OPA) lizdin</w:t>
      </w:r>
      <w:r w:rsidR="00F93D8C">
        <w:rPr>
          <w:rFonts w:eastAsia="Times New Roman"/>
          <w:snapToGrid w:val="0"/>
          <w:sz w:val="22"/>
          <w:szCs w:val="22"/>
          <w:lang w:val="lt-LT" w:eastAsia="en-US"/>
        </w:rPr>
        <w:t>ių</w:t>
      </w:r>
      <w:r w:rsidRPr="00532388">
        <w:rPr>
          <w:rFonts w:eastAsia="Times New Roman"/>
          <w:snapToGrid w:val="0"/>
          <w:sz w:val="22"/>
          <w:szCs w:val="22"/>
          <w:lang w:val="lt-LT" w:eastAsia="en-US"/>
        </w:rPr>
        <w:t xml:space="preserve"> plokštel</w:t>
      </w:r>
      <w:r w:rsidR="00F93D8C">
        <w:rPr>
          <w:rFonts w:eastAsia="Times New Roman"/>
          <w:snapToGrid w:val="0"/>
          <w:sz w:val="22"/>
          <w:szCs w:val="22"/>
          <w:lang w:val="lt-LT" w:eastAsia="en-US"/>
        </w:rPr>
        <w:t>ių pakuotė</w:t>
      </w:r>
      <w:r w:rsidRPr="00532388">
        <w:rPr>
          <w:rFonts w:eastAsia="Times New Roman"/>
          <w:snapToGrid w:val="0"/>
          <w:sz w:val="22"/>
          <w:szCs w:val="22"/>
          <w:lang w:val="lt-LT" w:eastAsia="en-US"/>
        </w:rPr>
        <w:t xml:space="preserve">, kurioje yra 20, </w:t>
      </w:r>
      <w:r w:rsidRPr="00532388">
        <w:rPr>
          <w:rFonts w:eastAsia="Times New Roman"/>
          <w:sz w:val="22"/>
          <w:szCs w:val="22"/>
          <w:lang w:val="lt-LT" w:eastAsia="en-US"/>
        </w:rPr>
        <w:t xml:space="preserve">20x1, 60, 60x1, 200, 200x1, 240 </w:t>
      </w:r>
      <w:r w:rsidR="00F93D8C">
        <w:rPr>
          <w:rFonts w:eastAsia="Times New Roman"/>
          <w:sz w:val="22"/>
          <w:szCs w:val="22"/>
          <w:lang w:val="lt-LT" w:eastAsia="en-US"/>
        </w:rPr>
        <w:t>arba</w:t>
      </w:r>
      <w:r w:rsidRPr="00532388">
        <w:rPr>
          <w:rFonts w:eastAsia="Times New Roman"/>
          <w:sz w:val="22"/>
          <w:szCs w:val="22"/>
          <w:lang w:val="lt-LT" w:eastAsia="en-US"/>
        </w:rPr>
        <w:t xml:space="preserve"> 240x1 plėvele dengtų tablečių.</w:t>
      </w:r>
    </w:p>
    <w:p w14:paraId="030CEE18" w14:textId="77777777" w:rsidR="0058454E" w:rsidRPr="00532388" w:rsidRDefault="0058454E" w:rsidP="0058454E">
      <w:pPr>
        <w:widowControl w:val="0"/>
        <w:tabs>
          <w:tab w:val="left" w:pos="567"/>
        </w:tabs>
        <w:rPr>
          <w:rFonts w:eastAsia="Times New Roman"/>
          <w:sz w:val="22"/>
          <w:szCs w:val="22"/>
          <w:lang w:val="lt-LT" w:eastAsia="en-US"/>
        </w:rPr>
      </w:pPr>
    </w:p>
    <w:p w14:paraId="2216BEAD" w14:textId="77777777" w:rsidR="0058454E" w:rsidRPr="00532388" w:rsidRDefault="0058454E" w:rsidP="0058454E">
      <w:pPr>
        <w:widowControl w:val="0"/>
        <w:tabs>
          <w:tab w:val="left" w:pos="567"/>
        </w:tabs>
        <w:rPr>
          <w:rFonts w:eastAsia="Times New Roman"/>
          <w:sz w:val="22"/>
          <w:szCs w:val="22"/>
          <w:lang w:val="lt-LT" w:eastAsia="en-US"/>
        </w:rPr>
      </w:pPr>
      <w:r w:rsidRPr="00532388">
        <w:rPr>
          <w:rFonts w:eastAsia="Times New Roman"/>
          <w:sz w:val="22"/>
          <w:szCs w:val="22"/>
          <w:lang w:val="lt-LT" w:eastAsia="en-US"/>
        </w:rPr>
        <w:t>Skaidr</w:t>
      </w:r>
      <w:r w:rsidR="00F93D8C">
        <w:rPr>
          <w:rFonts w:eastAsia="Times New Roman"/>
          <w:sz w:val="22"/>
          <w:szCs w:val="22"/>
          <w:lang w:val="lt-LT" w:eastAsia="en-US"/>
        </w:rPr>
        <w:t>ių</w:t>
      </w:r>
      <w:r w:rsidRPr="00532388">
        <w:rPr>
          <w:rFonts w:eastAsia="Times New Roman"/>
          <w:sz w:val="22"/>
          <w:szCs w:val="22"/>
          <w:lang w:val="lt-LT" w:eastAsia="en-US"/>
        </w:rPr>
        <w:t xml:space="preserve"> </w:t>
      </w:r>
      <w:r w:rsidRPr="00532388">
        <w:rPr>
          <w:rFonts w:eastAsia="Times New Roman"/>
          <w:snapToGrid w:val="0"/>
          <w:sz w:val="22"/>
          <w:szCs w:val="22"/>
          <w:lang w:val="lt-LT" w:eastAsia="en-US"/>
        </w:rPr>
        <w:t>PVC/ACLAR/PVC –</w:t>
      </w:r>
      <w:r w:rsidR="004E2DDE" w:rsidRPr="00532388">
        <w:rPr>
          <w:rFonts w:eastAsia="Times New Roman"/>
          <w:snapToGrid w:val="0"/>
          <w:sz w:val="22"/>
          <w:szCs w:val="22"/>
          <w:lang w:val="lt-LT" w:eastAsia="en-US"/>
        </w:rPr>
        <w:t xml:space="preserve"> </w:t>
      </w:r>
      <w:r w:rsidRPr="00532388">
        <w:rPr>
          <w:rFonts w:eastAsia="Times New Roman"/>
          <w:snapToGrid w:val="0"/>
          <w:sz w:val="22"/>
          <w:szCs w:val="22"/>
          <w:lang w:val="lt-LT" w:eastAsia="en-US"/>
        </w:rPr>
        <w:t>aliuminio lizdin</w:t>
      </w:r>
      <w:r w:rsidR="00F93D8C">
        <w:rPr>
          <w:rFonts w:eastAsia="Times New Roman"/>
          <w:snapToGrid w:val="0"/>
          <w:sz w:val="22"/>
          <w:szCs w:val="22"/>
          <w:lang w:val="lt-LT" w:eastAsia="en-US"/>
        </w:rPr>
        <w:t>ių</w:t>
      </w:r>
      <w:r w:rsidRPr="00532388">
        <w:rPr>
          <w:rFonts w:eastAsia="Times New Roman"/>
          <w:snapToGrid w:val="0"/>
          <w:sz w:val="22"/>
          <w:szCs w:val="22"/>
          <w:lang w:val="lt-LT" w:eastAsia="en-US"/>
        </w:rPr>
        <w:t xml:space="preserve"> plokštel</w:t>
      </w:r>
      <w:r w:rsidR="00F93D8C">
        <w:rPr>
          <w:rFonts w:eastAsia="Times New Roman"/>
          <w:snapToGrid w:val="0"/>
          <w:sz w:val="22"/>
          <w:szCs w:val="22"/>
          <w:lang w:val="lt-LT" w:eastAsia="en-US"/>
        </w:rPr>
        <w:t>ių pakuotė</w:t>
      </w:r>
      <w:r w:rsidRPr="00532388">
        <w:rPr>
          <w:rFonts w:eastAsia="Times New Roman"/>
          <w:snapToGrid w:val="0"/>
          <w:sz w:val="22"/>
          <w:szCs w:val="22"/>
          <w:lang w:val="lt-LT" w:eastAsia="en-US"/>
        </w:rPr>
        <w:t xml:space="preserve">, kurioje yra 20, </w:t>
      </w:r>
      <w:r w:rsidRPr="00532388">
        <w:rPr>
          <w:rFonts w:eastAsia="Times New Roman"/>
          <w:sz w:val="22"/>
          <w:szCs w:val="22"/>
          <w:lang w:val="lt-LT" w:eastAsia="en-US"/>
        </w:rPr>
        <w:t xml:space="preserve">20x1, 60, 60x1, 200, 200x1, 240 </w:t>
      </w:r>
      <w:r w:rsidR="00F93D8C">
        <w:rPr>
          <w:rFonts w:eastAsia="Times New Roman"/>
          <w:sz w:val="22"/>
          <w:szCs w:val="22"/>
          <w:lang w:val="lt-LT" w:eastAsia="en-US"/>
        </w:rPr>
        <w:t>arba</w:t>
      </w:r>
      <w:r w:rsidR="00F93D8C" w:rsidRPr="00532388">
        <w:rPr>
          <w:rFonts w:eastAsia="Times New Roman"/>
          <w:sz w:val="22"/>
          <w:szCs w:val="22"/>
          <w:lang w:val="lt-LT" w:eastAsia="en-US"/>
        </w:rPr>
        <w:t xml:space="preserve"> </w:t>
      </w:r>
      <w:r w:rsidRPr="00532388">
        <w:rPr>
          <w:rFonts w:eastAsia="Times New Roman"/>
          <w:sz w:val="22"/>
          <w:szCs w:val="22"/>
          <w:lang w:val="lt-LT" w:eastAsia="en-US"/>
        </w:rPr>
        <w:t>240x1 plėvele dengtų tablečių.</w:t>
      </w:r>
    </w:p>
    <w:p w14:paraId="5D9DAFEA" w14:textId="77777777" w:rsidR="00D2001C" w:rsidRPr="00532388" w:rsidRDefault="00D2001C" w:rsidP="0058454E">
      <w:pPr>
        <w:widowControl w:val="0"/>
        <w:tabs>
          <w:tab w:val="left" w:pos="567"/>
        </w:tabs>
        <w:rPr>
          <w:rFonts w:eastAsia="Times New Roman"/>
          <w:sz w:val="22"/>
          <w:szCs w:val="22"/>
          <w:lang w:val="lt-LT" w:eastAsia="en-US"/>
        </w:rPr>
      </w:pPr>
    </w:p>
    <w:p w14:paraId="05729647" w14:textId="77777777" w:rsidR="0058454E" w:rsidRPr="00532388" w:rsidRDefault="0058454E" w:rsidP="0058454E">
      <w:pPr>
        <w:widowControl w:val="0"/>
        <w:tabs>
          <w:tab w:val="left" w:pos="567"/>
        </w:tabs>
        <w:rPr>
          <w:rFonts w:eastAsia="Times New Roman"/>
          <w:sz w:val="22"/>
          <w:szCs w:val="22"/>
          <w:lang w:val="lt-LT" w:eastAsia="en-US"/>
        </w:rPr>
      </w:pPr>
      <w:r w:rsidRPr="00532388">
        <w:rPr>
          <w:rFonts w:eastAsia="Times New Roman"/>
          <w:sz w:val="22"/>
          <w:szCs w:val="22"/>
          <w:lang w:val="lt-LT" w:eastAsia="en-US"/>
        </w:rPr>
        <w:t>Skaidri</w:t>
      </w:r>
      <w:r w:rsidR="00F93D8C">
        <w:rPr>
          <w:rFonts w:eastAsia="Times New Roman"/>
          <w:sz w:val="22"/>
          <w:szCs w:val="22"/>
          <w:lang w:val="lt-LT" w:eastAsia="en-US"/>
        </w:rPr>
        <w:t>ų</w:t>
      </w:r>
      <w:r w:rsidRPr="00532388">
        <w:rPr>
          <w:rFonts w:eastAsia="Times New Roman"/>
          <w:sz w:val="22"/>
          <w:szCs w:val="22"/>
          <w:lang w:val="lt-LT" w:eastAsia="en-US"/>
        </w:rPr>
        <w:t xml:space="preserve"> </w:t>
      </w:r>
      <w:r w:rsidRPr="00532388">
        <w:rPr>
          <w:rFonts w:eastAsia="Times New Roman"/>
          <w:snapToGrid w:val="0"/>
          <w:sz w:val="22"/>
          <w:szCs w:val="22"/>
          <w:lang w:val="lt-LT" w:eastAsia="en-US"/>
        </w:rPr>
        <w:t>PVC/ACLAR/P</w:t>
      </w:r>
      <w:r w:rsidR="00F93D8C">
        <w:rPr>
          <w:rFonts w:eastAsia="Times New Roman"/>
          <w:snapToGrid w:val="0"/>
          <w:sz w:val="22"/>
          <w:szCs w:val="22"/>
          <w:lang w:val="lt-LT" w:eastAsia="en-US"/>
        </w:rPr>
        <w:t>Vd</w:t>
      </w:r>
      <w:r w:rsidRPr="00532388">
        <w:rPr>
          <w:rFonts w:eastAsia="Times New Roman"/>
          <w:snapToGrid w:val="0"/>
          <w:sz w:val="22"/>
          <w:szCs w:val="22"/>
          <w:lang w:val="lt-LT" w:eastAsia="en-US"/>
        </w:rPr>
        <w:t>C/PVC –</w:t>
      </w:r>
      <w:r w:rsidR="004E2DDE" w:rsidRPr="00532388">
        <w:rPr>
          <w:rFonts w:eastAsia="Times New Roman"/>
          <w:snapToGrid w:val="0"/>
          <w:sz w:val="22"/>
          <w:szCs w:val="22"/>
          <w:lang w:val="lt-LT" w:eastAsia="en-US"/>
        </w:rPr>
        <w:t xml:space="preserve"> </w:t>
      </w:r>
      <w:r w:rsidRPr="00532388">
        <w:rPr>
          <w:rFonts w:eastAsia="Times New Roman"/>
          <w:snapToGrid w:val="0"/>
          <w:sz w:val="22"/>
          <w:szCs w:val="22"/>
          <w:lang w:val="lt-LT" w:eastAsia="en-US"/>
        </w:rPr>
        <w:t>aliuminio lizdin</w:t>
      </w:r>
      <w:r w:rsidR="00F93D8C">
        <w:rPr>
          <w:rFonts w:eastAsia="Times New Roman"/>
          <w:snapToGrid w:val="0"/>
          <w:sz w:val="22"/>
          <w:szCs w:val="22"/>
          <w:lang w:val="lt-LT" w:eastAsia="en-US"/>
        </w:rPr>
        <w:t>ių</w:t>
      </w:r>
      <w:r w:rsidRPr="00532388">
        <w:rPr>
          <w:rFonts w:eastAsia="Times New Roman"/>
          <w:snapToGrid w:val="0"/>
          <w:sz w:val="22"/>
          <w:szCs w:val="22"/>
          <w:lang w:val="lt-LT" w:eastAsia="en-US"/>
        </w:rPr>
        <w:t xml:space="preserve"> plokštel</w:t>
      </w:r>
      <w:r w:rsidR="00F93D8C">
        <w:rPr>
          <w:rFonts w:eastAsia="Times New Roman"/>
          <w:snapToGrid w:val="0"/>
          <w:sz w:val="22"/>
          <w:szCs w:val="22"/>
          <w:lang w:val="lt-LT" w:eastAsia="en-US"/>
        </w:rPr>
        <w:t>ių pakuotė</w:t>
      </w:r>
      <w:r w:rsidRPr="00532388">
        <w:rPr>
          <w:rFonts w:eastAsia="Times New Roman"/>
          <w:snapToGrid w:val="0"/>
          <w:sz w:val="22"/>
          <w:szCs w:val="22"/>
          <w:lang w:val="lt-LT" w:eastAsia="en-US"/>
        </w:rPr>
        <w:t xml:space="preserve">, kurioje yra 20, </w:t>
      </w:r>
      <w:r w:rsidRPr="00532388">
        <w:rPr>
          <w:rFonts w:eastAsia="Times New Roman"/>
          <w:sz w:val="22"/>
          <w:szCs w:val="22"/>
          <w:lang w:val="lt-LT" w:eastAsia="en-US"/>
        </w:rPr>
        <w:t xml:space="preserve">20x1, 60, 60x1, 200, 200x1, 240 </w:t>
      </w:r>
      <w:r w:rsidR="00F93D8C">
        <w:rPr>
          <w:rFonts w:eastAsia="Times New Roman"/>
          <w:sz w:val="22"/>
          <w:szCs w:val="22"/>
          <w:lang w:val="lt-LT" w:eastAsia="en-US"/>
        </w:rPr>
        <w:t>arba</w:t>
      </w:r>
      <w:r w:rsidR="00F93D8C" w:rsidRPr="00532388">
        <w:rPr>
          <w:rFonts w:eastAsia="Times New Roman"/>
          <w:sz w:val="22"/>
          <w:szCs w:val="22"/>
          <w:lang w:val="lt-LT" w:eastAsia="en-US"/>
        </w:rPr>
        <w:t xml:space="preserve"> </w:t>
      </w:r>
      <w:r w:rsidRPr="00532388">
        <w:rPr>
          <w:rFonts w:eastAsia="Times New Roman"/>
          <w:sz w:val="22"/>
          <w:szCs w:val="22"/>
          <w:lang w:val="lt-LT" w:eastAsia="en-US"/>
        </w:rPr>
        <w:t>240x1 plėvele dengtų tablečių.</w:t>
      </w:r>
    </w:p>
    <w:p w14:paraId="17FBD559" w14:textId="77777777" w:rsidR="0058454E" w:rsidRPr="00532388" w:rsidRDefault="0058454E" w:rsidP="00C23338">
      <w:pPr>
        <w:autoSpaceDE w:val="0"/>
        <w:autoSpaceDN w:val="0"/>
        <w:adjustRightInd w:val="0"/>
        <w:rPr>
          <w:rFonts w:eastAsia="TimesNewRoman"/>
          <w:sz w:val="22"/>
          <w:szCs w:val="22"/>
          <w:lang w:val="lt-LT" w:eastAsia="en-US"/>
        </w:rPr>
      </w:pPr>
    </w:p>
    <w:p w14:paraId="3334699C" w14:textId="77777777" w:rsidR="00C23338" w:rsidRPr="00532388" w:rsidRDefault="0058454E"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B</w:t>
      </w:r>
      <w:r w:rsidR="00C23338" w:rsidRPr="00532388">
        <w:rPr>
          <w:rFonts w:eastAsia="TimesNewRoman"/>
          <w:sz w:val="22"/>
          <w:szCs w:val="22"/>
          <w:lang w:val="lt-LT" w:eastAsia="en-US"/>
        </w:rPr>
        <w:t>altas</w:t>
      </w:r>
      <w:r w:rsidRPr="00532388">
        <w:rPr>
          <w:rFonts w:eastAsia="TimesNewRoman"/>
          <w:sz w:val="22"/>
          <w:szCs w:val="22"/>
          <w:lang w:val="lt-LT" w:eastAsia="en-US"/>
        </w:rPr>
        <w:t xml:space="preserve"> </w:t>
      </w:r>
      <w:r w:rsidR="00F93D8C">
        <w:rPr>
          <w:rFonts w:eastAsia="TimesNewRoman"/>
          <w:sz w:val="22"/>
          <w:szCs w:val="22"/>
          <w:lang w:val="lt-LT" w:eastAsia="en-US"/>
        </w:rPr>
        <w:t>DT</w:t>
      </w:r>
      <w:r w:rsidR="00F93D8C" w:rsidRPr="00532388">
        <w:rPr>
          <w:rFonts w:eastAsia="TimesNewRoman"/>
          <w:sz w:val="22"/>
          <w:szCs w:val="22"/>
          <w:lang w:val="lt-LT" w:eastAsia="en-US"/>
        </w:rPr>
        <w:t xml:space="preserve">PE </w:t>
      </w:r>
      <w:r w:rsidR="00C23338" w:rsidRPr="00532388">
        <w:rPr>
          <w:rFonts w:eastAsia="TimesNewRoman"/>
          <w:sz w:val="22"/>
          <w:szCs w:val="22"/>
          <w:lang w:val="lt-LT" w:eastAsia="en-US"/>
        </w:rPr>
        <w:t>buteliukas</w:t>
      </w:r>
      <w:r w:rsidRPr="00532388">
        <w:rPr>
          <w:rFonts w:eastAsia="TimesNewRoman"/>
          <w:sz w:val="22"/>
          <w:szCs w:val="22"/>
          <w:lang w:val="lt-LT" w:eastAsia="en-US"/>
        </w:rPr>
        <w:t xml:space="preserve"> su sausikliu</w:t>
      </w:r>
      <w:r w:rsidR="00C23338" w:rsidRPr="00532388">
        <w:rPr>
          <w:rFonts w:eastAsia="TimesNewRoman"/>
          <w:sz w:val="22"/>
          <w:szCs w:val="22"/>
          <w:lang w:val="lt-LT" w:eastAsia="en-US"/>
        </w:rPr>
        <w:t xml:space="preserve">, </w:t>
      </w:r>
      <w:r w:rsidRPr="00532388">
        <w:rPr>
          <w:rFonts w:eastAsia="TimesNewRoman"/>
          <w:sz w:val="22"/>
          <w:szCs w:val="22"/>
          <w:lang w:val="lt-LT" w:eastAsia="en-US"/>
        </w:rPr>
        <w:t xml:space="preserve">užsuktas </w:t>
      </w:r>
      <w:r w:rsidR="004E2DDE" w:rsidRPr="00532388">
        <w:rPr>
          <w:rFonts w:eastAsia="TimesNewRoman"/>
          <w:sz w:val="22"/>
          <w:szCs w:val="22"/>
          <w:lang w:val="lt-LT" w:eastAsia="en-US"/>
        </w:rPr>
        <w:t xml:space="preserve">vaikų sunkiai atidaromu </w:t>
      </w:r>
      <w:r w:rsidR="00F93D8C">
        <w:rPr>
          <w:rFonts w:eastAsia="TimesNewRoman"/>
          <w:sz w:val="22"/>
          <w:szCs w:val="22"/>
          <w:lang w:val="lt-LT" w:eastAsia="en-US"/>
        </w:rPr>
        <w:t>dangteliu</w:t>
      </w:r>
      <w:r w:rsidR="004E2DDE" w:rsidRPr="00532388">
        <w:rPr>
          <w:rFonts w:eastAsia="TimesNewRoman"/>
          <w:sz w:val="22"/>
          <w:szCs w:val="22"/>
          <w:lang w:val="lt-LT" w:eastAsia="en-US"/>
        </w:rPr>
        <w:t xml:space="preserve">, </w:t>
      </w:r>
      <w:r w:rsidR="00C23338" w:rsidRPr="00532388">
        <w:rPr>
          <w:rFonts w:eastAsia="TimesNewRoman"/>
          <w:sz w:val="22"/>
          <w:szCs w:val="22"/>
          <w:lang w:val="lt-LT" w:eastAsia="en-US"/>
        </w:rPr>
        <w:t>kuriame yra</w:t>
      </w:r>
      <w:r w:rsidRPr="00532388">
        <w:rPr>
          <w:rFonts w:eastAsia="TimesNewRoman"/>
          <w:sz w:val="22"/>
          <w:szCs w:val="22"/>
          <w:lang w:val="lt-LT" w:eastAsia="en-US"/>
        </w:rPr>
        <w:t xml:space="preserve"> 6</w:t>
      </w:r>
      <w:r w:rsidR="00C23338" w:rsidRPr="00532388">
        <w:rPr>
          <w:rFonts w:eastAsia="TimesNewRoman"/>
          <w:sz w:val="22"/>
          <w:szCs w:val="22"/>
          <w:lang w:val="lt-LT" w:eastAsia="en-US"/>
        </w:rPr>
        <w:t>0</w:t>
      </w:r>
      <w:r w:rsidRPr="00532388">
        <w:rPr>
          <w:rFonts w:eastAsia="TimesNewRoman"/>
          <w:sz w:val="22"/>
          <w:szCs w:val="22"/>
          <w:lang w:val="lt-LT" w:eastAsia="en-US"/>
        </w:rPr>
        <w:t xml:space="preserve">, 180 (60x3) </w:t>
      </w:r>
      <w:r w:rsidR="00F93D8C">
        <w:rPr>
          <w:rFonts w:eastAsia="TimesNewRoman"/>
          <w:sz w:val="22"/>
          <w:szCs w:val="22"/>
          <w:lang w:val="lt-LT" w:eastAsia="en-US"/>
        </w:rPr>
        <w:t>arba</w:t>
      </w:r>
      <w:r w:rsidR="00F93D8C" w:rsidRPr="00532388">
        <w:rPr>
          <w:rFonts w:eastAsia="TimesNewRoman"/>
          <w:sz w:val="22"/>
          <w:szCs w:val="22"/>
          <w:lang w:val="lt-LT" w:eastAsia="en-US"/>
        </w:rPr>
        <w:t xml:space="preserve"> </w:t>
      </w:r>
      <w:r w:rsidRPr="00532388">
        <w:rPr>
          <w:rFonts w:eastAsia="TimesNewRoman"/>
          <w:sz w:val="22"/>
          <w:szCs w:val="22"/>
          <w:lang w:val="lt-LT" w:eastAsia="en-US"/>
        </w:rPr>
        <w:t>200 plėvele dengtų</w:t>
      </w:r>
      <w:r w:rsidR="00C23338" w:rsidRPr="00532388">
        <w:rPr>
          <w:rFonts w:eastAsia="TimesNewRoman"/>
          <w:sz w:val="22"/>
          <w:szCs w:val="22"/>
          <w:lang w:val="lt-LT" w:eastAsia="en-US"/>
        </w:rPr>
        <w:t xml:space="preserve"> tableč</w:t>
      </w:r>
      <w:r w:rsidRPr="00532388">
        <w:rPr>
          <w:rFonts w:eastAsia="TimesNewRoman"/>
          <w:sz w:val="22"/>
          <w:szCs w:val="22"/>
          <w:lang w:val="lt-LT" w:eastAsia="en-US"/>
        </w:rPr>
        <w:t>ių.</w:t>
      </w:r>
    </w:p>
    <w:p w14:paraId="7CC45AF0" w14:textId="77777777" w:rsidR="0058454E" w:rsidRPr="00532388" w:rsidRDefault="0058454E" w:rsidP="00C23338">
      <w:pPr>
        <w:autoSpaceDE w:val="0"/>
        <w:autoSpaceDN w:val="0"/>
        <w:adjustRightInd w:val="0"/>
        <w:rPr>
          <w:rFonts w:eastAsia="TimesNewRoman"/>
          <w:sz w:val="22"/>
          <w:szCs w:val="22"/>
          <w:lang w:val="lt-LT" w:eastAsia="en-US"/>
        </w:rPr>
      </w:pPr>
    </w:p>
    <w:p w14:paraId="13E19E27" w14:textId="77777777" w:rsidR="00C23338" w:rsidRPr="00532388" w:rsidRDefault="00C23338" w:rsidP="00C23338">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Gali būti tiekiamos ne visų dydžių pakuotės.</w:t>
      </w:r>
    </w:p>
    <w:p w14:paraId="517D0679" w14:textId="77777777" w:rsidR="004F689A" w:rsidRPr="00532388" w:rsidRDefault="004F689A" w:rsidP="00C23338">
      <w:pPr>
        <w:autoSpaceDE w:val="0"/>
        <w:autoSpaceDN w:val="0"/>
        <w:adjustRightInd w:val="0"/>
        <w:rPr>
          <w:rFonts w:eastAsia="TimesNewRoman"/>
          <w:sz w:val="22"/>
          <w:szCs w:val="22"/>
          <w:lang w:val="lt-LT" w:eastAsia="en-US"/>
        </w:rPr>
      </w:pPr>
    </w:p>
    <w:p w14:paraId="446E34A9" w14:textId="77777777" w:rsidR="004F689A" w:rsidRPr="00532388" w:rsidRDefault="004F689A" w:rsidP="004F689A">
      <w:pPr>
        <w:keepNext/>
        <w:numPr>
          <w:ilvl w:val="1"/>
          <w:numId w:val="1"/>
        </w:numPr>
        <w:tabs>
          <w:tab w:val="left" w:pos="567"/>
        </w:tabs>
        <w:spacing w:line="260" w:lineRule="exact"/>
        <w:outlineLvl w:val="0"/>
        <w:rPr>
          <w:rFonts w:eastAsia="Times New Roman"/>
          <w:noProof/>
          <w:sz w:val="22"/>
          <w:szCs w:val="22"/>
          <w:lang w:val="lt-LT" w:eastAsia="lt-LT" w:bidi="lt-LT"/>
        </w:rPr>
      </w:pPr>
      <w:r w:rsidRPr="00532388">
        <w:rPr>
          <w:rFonts w:eastAsia="Times New Roman"/>
          <w:b/>
          <w:noProof/>
          <w:sz w:val="22"/>
          <w:lang w:val="lt-LT" w:eastAsia="lt-LT" w:bidi="lt-LT"/>
        </w:rPr>
        <w:lastRenderedPageBreak/>
        <w:t xml:space="preserve">Specialūs reikalavimai atliekoms tvarkyti </w:t>
      </w:r>
    </w:p>
    <w:p w14:paraId="52E71607" w14:textId="77777777" w:rsidR="004F689A" w:rsidRPr="00532388" w:rsidRDefault="004F689A" w:rsidP="00C23338">
      <w:pPr>
        <w:autoSpaceDE w:val="0"/>
        <w:autoSpaceDN w:val="0"/>
        <w:adjustRightInd w:val="0"/>
        <w:rPr>
          <w:rFonts w:eastAsia="TimesNewRoman"/>
          <w:sz w:val="22"/>
          <w:szCs w:val="22"/>
          <w:lang w:val="lt-LT" w:eastAsia="en-US"/>
        </w:rPr>
      </w:pPr>
    </w:p>
    <w:p w14:paraId="0644F432" w14:textId="77777777" w:rsidR="000A6085" w:rsidRPr="00532388" w:rsidRDefault="000A6085" w:rsidP="000A6085">
      <w:pPr>
        <w:rPr>
          <w:rFonts w:eastAsia="Times New Roman"/>
          <w:snapToGrid w:val="0"/>
          <w:sz w:val="22"/>
          <w:szCs w:val="24"/>
          <w:lang w:val="lt-LT" w:eastAsia="en-US"/>
        </w:rPr>
      </w:pPr>
      <w:r w:rsidRPr="00532388">
        <w:rPr>
          <w:rFonts w:eastAsia="Times New Roman"/>
          <w:noProof/>
          <w:snapToGrid w:val="0"/>
          <w:sz w:val="22"/>
          <w:szCs w:val="24"/>
          <w:lang w:val="lt-LT" w:eastAsia="en-US"/>
        </w:rPr>
        <w:t>Nesuvartotą vaistinį preparatą ar atliekas reikia tvarkyti laikantis vietinių reikalavimų.</w:t>
      </w:r>
    </w:p>
    <w:p w14:paraId="1E58D9FD" w14:textId="77777777" w:rsidR="004F689A" w:rsidRPr="00532388" w:rsidRDefault="004F689A" w:rsidP="00C23338">
      <w:pPr>
        <w:autoSpaceDE w:val="0"/>
        <w:autoSpaceDN w:val="0"/>
        <w:adjustRightInd w:val="0"/>
        <w:rPr>
          <w:rFonts w:eastAsia="TimesNewRoman"/>
          <w:sz w:val="22"/>
          <w:szCs w:val="22"/>
          <w:lang w:val="lt-LT" w:eastAsia="en-US"/>
        </w:rPr>
      </w:pPr>
    </w:p>
    <w:p w14:paraId="51AF7EC0" w14:textId="77777777" w:rsidR="000A6085" w:rsidRPr="00532388" w:rsidRDefault="000A6085" w:rsidP="00C23338">
      <w:pPr>
        <w:autoSpaceDE w:val="0"/>
        <w:autoSpaceDN w:val="0"/>
        <w:adjustRightInd w:val="0"/>
        <w:rPr>
          <w:rFonts w:eastAsia="TimesNewRoman"/>
          <w:sz w:val="22"/>
          <w:szCs w:val="22"/>
          <w:lang w:val="lt-LT" w:eastAsia="en-US"/>
        </w:rPr>
      </w:pPr>
    </w:p>
    <w:p w14:paraId="549E5C4C" w14:textId="77777777" w:rsidR="004F689A" w:rsidRPr="00532388" w:rsidRDefault="004F689A" w:rsidP="004F689A">
      <w:pPr>
        <w:keepNext/>
        <w:numPr>
          <w:ilvl w:val="0"/>
          <w:numId w:val="1"/>
        </w:numPr>
        <w:tabs>
          <w:tab w:val="left" w:pos="567"/>
        </w:tabs>
        <w:spacing w:line="260" w:lineRule="exact"/>
        <w:rPr>
          <w:rFonts w:eastAsia="Times New Roman"/>
          <w:noProof/>
          <w:sz w:val="22"/>
          <w:szCs w:val="22"/>
          <w:lang w:val="lt-LT" w:eastAsia="lt-LT" w:bidi="lt-LT"/>
        </w:rPr>
      </w:pPr>
      <w:r w:rsidRPr="00532388">
        <w:rPr>
          <w:rFonts w:eastAsia="Times New Roman"/>
          <w:b/>
          <w:noProof/>
          <w:sz w:val="22"/>
          <w:lang w:val="lt-LT" w:eastAsia="lt-LT" w:bidi="lt-LT"/>
        </w:rPr>
        <w:t>REGISTRUOTOJAS</w:t>
      </w:r>
    </w:p>
    <w:p w14:paraId="5A47B390" w14:textId="77777777" w:rsidR="004F689A" w:rsidRPr="00532388" w:rsidRDefault="004F689A" w:rsidP="004F689A">
      <w:pPr>
        <w:keepNext/>
        <w:tabs>
          <w:tab w:val="left" w:pos="567"/>
        </w:tabs>
        <w:rPr>
          <w:rFonts w:eastAsia="Times New Roman"/>
          <w:noProof/>
          <w:sz w:val="22"/>
          <w:szCs w:val="22"/>
          <w:lang w:val="lt-LT" w:eastAsia="lt-LT" w:bidi="lt-LT"/>
        </w:rPr>
      </w:pPr>
    </w:p>
    <w:p w14:paraId="0BC080FE" w14:textId="77777777" w:rsidR="000A6085" w:rsidRPr="00532388" w:rsidRDefault="000A6085" w:rsidP="000A6085">
      <w:pPr>
        <w:shd w:val="clear" w:color="auto" w:fill="FFFFFF"/>
        <w:rPr>
          <w:rFonts w:eastAsia="Times New Roman"/>
          <w:color w:val="000000"/>
          <w:sz w:val="22"/>
          <w:szCs w:val="22"/>
          <w:lang w:val="lt-LT" w:eastAsia="en-GB"/>
        </w:rPr>
      </w:pPr>
      <w:r w:rsidRPr="00532388">
        <w:rPr>
          <w:rFonts w:eastAsia="Times New Roman"/>
          <w:color w:val="000000"/>
          <w:sz w:val="22"/>
          <w:szCs w:val="22"/>
          <w:lang w:val="lt-LT" w:eastAsia="en-GB"/>
        </w:rPr>
        <w:t>Teva B.V.</w:t>
      </w:r>
    </w:p>
    <w:p w14:paraId="73215667" w14:textId="77777777" w:rsidR="000A6085" w:rsidRPr="00532388" w:rsidRDefault="000A6085" w:rsidP="000A6085">
      <w:pPr>
        <w:shd w:val="clear" w:color="auto" w:fill="FFFFFF"/>
        <w:rPr>
          <w:rFonts w:eastAsia="Times New Roman"/>
          <w:color w:val="000000"/>
          <w:sz w:val="22"/>
          <w:szCs w:val="22"/>
          <w:lang w:val="lt-LT" w:eastAsia="en-GB"/>
        </w:rPr>
      </w:pPr>
      <w:r w:rsidRPr="00532388">
        <w:rPr>
          <w:rFonts w:eastAsia="Times New Roman"/>
          <w:color w:val="000000"/>
          <w:sz w:val="22"/>
          <w:szCs w:val="22"/>
          <w:lang w:val="lt-LT" w:eastAsia="en-GB"/>
        </w:rPr>
        <w:t>Swensweg 5</w:t>
      </w:r>
    </w:p>
    <w:p w14:paraId="60FCAE38" w14:textId="77777777" w:rsidR="000A6085" w:rsidRPr="00532388" w:rsidRDefault="000A6085" w:rsidP="000A6085">
      <w:pPr>
        <w:shd w:val="clear" w:color="auto" w:fill="FFFFFF"/>
        <w:rPr>
          <w:rFonts w:eastAsia="Times New Roman"/>
          <w:color w:val="000000"/>
          <w:sz w:val="22"/>
          <w:szCs w:val="22"/>
          <w:lang w:val="lt-LT" w:eastAsia="en-GB"/>
        </w:rPr>
      </w:pPr>
      <w:r w:rsidRPr="00532388">
        <w:rPr>
          <w:rFonts w:eastAsia="Times New Roman"/>
          <w:color w:val="000000"/>
          <w:sz w:val="22"/>
          <w:szCs w:val="22"/>
          <w:lang w:val="lt-LT" w:eastAsia="en-GB"/>
        </w:rPr>
        <w:t>2031 GA, Haarlem</w:t>
      </w:r>
    </w:p>
    <w:p w14:paraId="58B47D79" w14:textId="77777777" w:rsidR="000A6085" w:rsidRPr="00532388" w:rsidRDefault="000A6085" w:rsidP="000A6085">
      <w:pPr>
        <w:shd w:val="clear" w:color="auto" w:fill="FFFFFF"/>
        <w:rPr>
          <w:rFonts w:eastAsia="Times New Roman"/>
          <w:color w:val="000000"/>
          <w:sz w:val="22"/>
          <w:szCs w:val="22"/>
          <w:lang w:val="lt-LT" w:eastAsia="en-GB"/>
        </w:rPr>
      </w:pPr>
      <w:r w:rsidRPr="00532388">
        <w:rPr>
          <w:rFonts w:eastAsia="Times New Roman"/>
          <w:color w:val="000000"/>
          <w:sz w:val="22"/>
          <w:szCs w:val="22"/>
          <w:lang w:val="lt-LT" w:eastAsia="en-GB"/>
        </w:rPr>
        <w:t>Nyderlandai</w:t>
      </w:r>
    </w:p>
    <w:p w14:paraId="1F3E70B6" w14:textId="77777777" w:rsidR="004F689A" w:rsidRPr="00532388" w:rsidRDefault="004F689A" w:rsidP="004F689A">
      <w:pPr>
        <w:tabs>
          <w:tab w:val="left" w:pos="567"/>
        </w:tabs>
        <w:rPr>
          <w:rFonts w:eastAsia="Times New Roman"/>
          <w:noProof/>
          <w:color w:val="000000"/>
          <w:sz w:val="22"/>
          <w:szCs w:val="22"/>
          <w:lang w:val="lt-LT" w:eastAsia="lt-LT" w:bidi="lt-LT"/>
        </w:rPr>
      </w:pPr>
    </w:p>
    <w:p w14:paraId="3976C338" w14:textId="77777777" w:rsidR="004F689A" w:rsidRPr="00532388" w:rsidRDefault="004F689A" w:rsidP="004F689A">
      <w:pPr>
        <w:tabs>
          <w:tab w:val="left" w:pos="567"/>
        </w:tabs>
        <w:rPr>
          <w:rFonts w:eastAsia="Times New Roman"/>
          <w:noProof/>
          <w:sz w:val="22"/>
          <w:szCs w:val="22"/>
          <w:lang w:val="lt-LT" w:eastAsia="lt-LT" w:bidi="lt-LT"/>
        </w:rPr>
      </w:pPr>
    </w:p>
    <w:p w14:paraId="1C2C11AA" w14:textId="77777777" w:rsidR="004F689A" w:rsidRPr="00532388" w:rsidRDefault="004F689A" w:rsidP="004F689A">
      <w:pPr>
        <w:keepNext/>
        <w:numPr>
          <w:ilvl w:val="0"/>
          <w:numId w:val="1"/>
        </w:numPr>
        <w:tabs>
          <w:tab w:val="left" w:pos="567"/>
        </w:tabs>
        <w:spacing w:line="260" w:lineRule="exact"/>
        <w:rPr>
          <w:rFonts w:eastAsia="Times New Roman"/>
          <w:b/>
          <w:noProof/>
          <w:sz w:val="22"/>
          <w:szCs w:val="22"/>
          <w:lang w:val="lt-LT" w:eastAsia="lt-LT" w:bidi="lt-LT"/>
        </w:rPr>
      </w:pPr>
      <w:r w:rsidRPr="00532388">
        <w:rPr>
          <w:rFonts w:eastAsia="Times New Roman"/>
          <w:b/>
          <w:noProof/>
          <w:sz w:val="22"/>
          <w:lang w:val="lt-LT" w:eastAsia="lt-LT" w:bidi="lt-LT"/>
        </w:rPr>
        <w:t xml:space="preserve">REGISTRACIJOS PAŽYMĖJIMO NUMERIS (-IAI) </w:t>
      </w:r>
    </w:p>
    <w:p w14:paraId="7A3870E9" w14:textId="77777777" w:rsidR="004F689A" w:rsidRDefault="004F689A" w:rsidP="004F689A">
      <w:pPr>
        <w:tabs>
          <w:tab w:val="left" w:pos="567"/>
        </w:tabs>
        <w:rPr>
          <w:rFonts w:eastAsia="Times New Roman"/>
          <w:noProof/>
          <w:sz w:val="22"/>
          <w:szCs w:val="22"/>
          <w:lang w:val="lt-LT" w:eastAsia="lt-LT" w:bidi="lt-LT"/>
        </w:rPr>
      </w:pPr>
    </w:p>
    <w:p w14:paraId="183D3C1C" w14:textId="1D9192C0" w:rsidR="0014002C" w:rsidRPr="0014002C" w:rsidRDefault="0014002C" w:rsidP="004F689A">
      <w:pPr>
        <w:tabs>
          <w:tab w:val="left" w:pos="567"/>
        </w:tabs>
        <w:rPr>
          <w:rFonts w:eastAsia="Times New Roman"/>
          <w:noProof/>
          <w:sz w:val="22"/>
          <w:szCs w:val="22"/>
          <w:u w:val="single"/>
          <w:lang w:val="lt-LT" w:eastAsia="lt-LT" w:bidi="lt-LT"/>
        </w:rPr>
      </w:pPr>
      <w:r w:rsidRPr="0014002C">
        <w:rPr>
          <w:rFonts w:eastAsia="Times New Roman"/>
          <w:bCs/>
          <w:sz w:val="22"/>
          <w:szCs w:val="22"/>
          <w:u w:val="single"/>
          <w:lang w:val="lt-LT" w:eastAsia="en-US"/>
        </w:rPr>
        <w:t>Lizdinė plokštelė:</w:t>
      </w:r>
    </w:p>
    <w:p w14:paraId="06302548" w14:textId="5D163775"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N20 - </w:t>
      </w:r>
      <w:r w:rsidRPr="0014002C">
        <w:rPr>
          <w:rFonts w:eastAsia="Times New Roman"/>
          <w:sz w:val="22"/>
          <w:szCs w:val="22"/>
          <w:lang w:val="lt-LT" w:eastAsia="en-US"/>
        </w:rPr>
        <w:t>LT/1/17/4034/001</w:t>
      </w:r>
      <w:r w:rsidRPr="0014002C">
        <w:rPr>
          <w:rFonts w:eastAsia="Times New Roman"/>
          <w:bCs/>
          <w:sz w:val="22"/>
          <w:szCs w:val="22"/>
          <w:lang w:val="lt-LT" w:eastAsia="en-US"/>
        </w:rPr>
        <w:t xml:space="preserve"> </w:t>
      </w:r>
    </w:p>
    <w:p w14:paraId="0012ED70" w14:textId="385A6AFB"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N20x1 - </w:t>
      </w:r>
      <w:r w:rsidRPr="0014002C">
        <w:rPr>
          <w:rFonts w:eastAsia="Times New Roman"/>
          <w:sz w:val="22"/>
          <w:szCs w:val="22"/>
          <w:lang w:val="lt-LT" w:eastAsia="en-US"/>
        </w:rPr>
        <w:t>LT/1/17/4034/002</w:t>
      </w:r>
      <w:r w:rsidRPr="0014002C">
        <w:rPr>
          <w:rFonts w:eastAsia="Times New Roman"/>
          <w:bCs/>
          <w:sz w:val="22"/>
          <w:szCs w:val="22"/>
          <w:lang w:val="lt-LT" w:eastAsia="en-US"/>
        </w:rPr>
        <w:t xml:space="preserve"> </w:t>
      </w:r>
    </w:p>
    <w:p w14:paraId="712B9097" w14:textId="7FC6F31A"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LT/1/17/4034/003</w:t>
      </w:r>
      <w:r w:rsidRPr="0014002C">
        <w:rPr>
          <w:rFonts w:eastAsia="Times New Roman"/>
          <w:bCs/>
          <w:sz w:val="22"/>
          <w:szCs w:val="22"/>
          <w:lang w:val="lt-LT" w:eastAsia="en-US"/>
        </w:rPr>
        <w:t xml:space="preserve"> </w:t>
      </w:r>
    </w:p>
    <w:p w14:paraId="2F56E5D2" w14:textId="0E691712"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N60x1 - </w:t>
      </w:r>
      <w:r w:rsidRPr="0014002C">
        <w:rPr>
          <w:rFonts w:eastAsia="Times New Roman"/>
          <w:sz w:val="22"/>
          <w:szCs w:val="22"/>
          <w:lang w:val="lt-LT" w:eastAsia="en-US"/>
        </w:rPr>
        <w:t>LT/1/17/4034/004</w:t>
      </w:r>
      <w:r w:rsidRPr="0014002C">
        <w:rPr>
          <w:rFonts w:eastAsia="Times New Roman"/>
          <w:bCs/>
          <w:sz w:val="22"/>
          <w:szCs w:val="22"/>
          <w:lang w:val="lt-LT" w:eastAsia="en-US"/>
        </w:rPr>
        <w:t xml:space="preserve"> </w:t>
      </w:r>
    </w:p>
    <w:p w14:paraId="33BB7F3C" w14:textId="70A6D34B"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LT/1/17/4034/005</w:t>
      </w:r>
      <w:r w:rsidRPr="0014002C">
        <w:rPr>
          <w:rFonts w:eastAsia="Times New Roman"/>
          <w:bCs/>
          <w:sz w:val="22"/>
          <w:szCs w:val="22"/>
          <w:lang w:val="lt-LT" w:eastAsia="en-US"/>
        </w:rPr>
        <w:t xml:space="preserve"> </w:t>
      </w:r>
    </w:p>
    <w:p w14:paraId="3B0CE163" w14:textId="4B04E892"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N200x1 - </w:t>
      </w:r>
      <w:r w:rsidRPr="0014002C">
        <w:rPr>
          <w:rFonts w:eastAsia="Times New Roman"/>
          <w:sz w:val="22"/>
          <w:szCs w:val="22"/>
          <w:lang w:val="lt-LT" w:eastAsia="en-US"/>
        </w:rPr>
        <w:t>LT/1/17/4034/006</w:t>
      </w:r>
      <w:r w:rsidRPr="0014002C">
        <w:rPr>
          <w:rFonts w:eastAsia="Times New Roman"/>
          <w:bCs/>
          <w:sz w:val="22"/>
          <w:szCs w:val="22"/>
          <w:lang w:val="lt-LT" w:eastAsia="en-US"/>
        </w:rPr>
        <w:t xml:space="preserve"> </w:t>
      </w:r>
    </w:p>
    <w:p w14:paraId="782F5C77" w14:textId="165AFA7D"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N240 - </w:t>
      </w:r>
      <w:r w:rsidRPr="0014002C">
        <w:rPr>
          <w:rFonts w:eastAsia="Times New Roman"/>
          <w:sz w:val="22"/>
          <w:szCs w:val="22"/>
          <w:lang w:val="lt-LT" w:eastAsia="en-US"/>
        </w:rPr>
        <w:t>LT/1/17/4034/007</w:t>
      </w:r>
      <w:r w:rsidRPr="0014002C">
        <w:rPr>
          <w:rFonts w:eastAsia="Times New Roman"/>
          <w:bCs/>
          <w:sz w:val="22"/>
          <w:szCs w:val="22"/>
          <w:lang w:val="lt-LT" w:eastAsia="en-US"/>
        </w:rPr>
        <w:t xml:space="preserve"> </w:t>
      </w:r>
    </w:p>
    <w:p w14:paraId="4BFB48B3" w14:textId="3B4851E5" w:rsidR="0014002C" w:rsidRDefault="0014002C" w:rsidP="0014002C">
      <w:pPr>
        <w:rPr>
          <w:rFonts w:eastAsia="Times New Roman"/>
          <w:bCs/>
          <w:sz w:val="22"/>
          <w:szCs w:val="22"/>
          <w:lang w:val="lt-LT" w:eastAsia="en-US"/>
        </w:rPr>
      </w:pPr>
      <w:r>
        <w:rPr>
          <w:rFonts w:eastAsia="Times New Roman"/>
          <w:sz w:val="22"/>
          <w:szCs w:val="22"/>
          <w:lang w:val="lt-LT" w:eastAsia="en-US"/>
        </w:rPr>
        <w:t xml:space="preserve">N240x1 - </w:t>
      </w:r>
      <w:r w:rsidRPr="0014002C">
        <w:rPr>
          <w:rFonts w:eastAsia="Times New Roman"/>
          <w:sz w:val="22"/>
          <w:szCs w:val="22"/>
          <w:lang w:val="lt-LT" w:eastAsia="en-US"/>
        </w:rPr>
        <w:t>LT/1/17/4034/008</w:t>
      </w:r>
      <w:r w:rsidRPr="0014002C">
        <w:rPr>
          <w:rFonts w:eastAsia="Times New Roman"/>
          <w:bCs/>
          <w:sz w:val="22"/>
          <w:szCs w:val="22"/>
          <w:lang w:val="lt-LT" w:eastAsia="en-US"/>
        </w:rPr>
        <w:t xml:space="preserve"> </w:t>
      </w:r>
    </w:p>
    <w:p w14:paraId="6E58D160" w14:textId="6FC26436" w:rsidR="0014002C" w:rsidRPr="0014002C" w:rsidRDefault="0014002C" w:rsidP="0014002C">
      <w:pPr>
        <w:rPr>
          <w:rFonts w:eastAsia="Times New Roman"/>
          <w:bCs/>
          <w:sz w:val="22"/>
          <w:szCs w:val="22"/>
          <w:u w:val="single"/>
          <w:lang w:val="lt-LT" w:eastAsia="en-US"/>
        </w:rPr>
      </w:pPr>
      <w:r w:rsidRPr="0014002C">
        <w:rPr>
          <w:rFonts w:eastAsia="Times New Roman"/>
          <w:bCs/>
          <w:sz w:val="22"/>
          <w:szCs w:val="22"/>
          <w:u w:val="single"/>
          <w:lang w:val="lt-LT" w:eastAsia="en-US"/>
        </w:rPr>
        <w:t>Buteliukas:</w:t>
      </w:r>
    </w:p>
    <w:p w14:paraId="0220E475" w14:textId="607A98C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LT/1/17/4034/009</w:t>
      </w:r>
      <w:r w:rsidRPr="0014002C">
        <w:rPr>
          <w:rFonts w:eastAsia="Times New Roman"/>
          <w:bCs/>
          <w:sz w:val="22"/>
          <w:szCs w:val="22"/>
          <w:lang w:val="lt-LT" w:eastAsia="en-US"/>
        </w:rPr>
        <w:t xml:space="preserve"> </w:t>
      </w:r>
    </w:p>
    <w:p w14:paraId="42E8FF6C" w14:textId="5A43FB49"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N180 (60x3) - </w:t>
      </w:r>
      <w:r w:rsidRPr="0014002C">
        <w:rPr>
          <w:rFonts w:eastAsia="Times New Roman"/>
          <w:sz w:val="22"/>
          <w:szCs w:val="22"/>
          <w:lang w:val="lt-LT" w:eastAsia="en-US"/>
        </w:rPr>
        <w:t>LT/1/17/4034/010</w:t>
      </w:r>
      <w:r w:rsidRPr="0014002C">
        <w:rPr>
          <w:rFonts w:eastAsia="Times New Roman"/>
          <w:bCs/>
          <w:sz w:val="22"/>
          <w:szCs w:val="22"/>
          <w:lang w:val="lt-LT" w:eastAsia="en-US"/>
        </w:rPr>
        <w:t xml:space="preserve"> </w:t>
      </w:r>
    </w:p>
    <w:p w14:paraId="643CA9EF" w14:textId="7D0BF60F" w:rsidR="0014002C" w:rsidRDefault="0014002C" w:rsidP="0014002C">
      <w:pPr>
        <w:tabs>
          <w:tab w:val="left" w:pos="567"/>
        </w:tabs>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LT/1/17/4034/011</w:t>
      </w:r>
      <w:r w:rsidRPr="0014002C">
        <w:rPr>
          <w:rFonts w:eastAsia="Times New Roman"/>
          <w:bCs/>
          <w:sz w:val="22"/>
          <w:szCs w:val="22"/>
          <w:lang w:val="lt-LT" w:eastAsia="en-US"/>
        </w:rPr>
        <w:t xml:space="preserve"> </w:t>
      </w:r>
    </w:p>
    <w:p w14:paraId="101A151E" w14:textId="77777777" w:rsidR="0014002C" w:rsidRDefault="0014002C" w:rsidP="0014002C">
      <w:pPr>
        <w:tabs>
          <w:tab w:val="left" w:pos="567"/>
        </w:tabs>
        <w:rPr>
          <w:rFonts w:eastAsia="Times New Roman"/>
          <w:bCs/>
          <w:sz w:val="22"/>
          <w:szCs w:val="22"/>
          <w:lang w:val="lt-LT" w:eastAsia="en-US"/>
        </w:rPr>
      </w:pPr>
    </w:p>
    <w:p w14:paraId="53A8DF10" w14:textId="77777777" w:rsidR="0014002C" w:rsidRPr="00532388" w:rsidRDefault="0014002C" w:rsidP="0014002C">
      <w:pPr>
        <w:tabs>
          <w:tab w:val="left" w:pos="567"/>
        </w:tabs>
        <w:rPr>
          <w:rFonts w:eastAsia="Times New Roman"/>
          <w:noProof/>
          <w:sz w:val="22"/>
          <w:szCs w:val="22"/>
          <w:lang w:val="lt-LT" w:eastAsia="lt-LT" w:bidi="lt-LT"/>
        </w:rPr>
      </w:pPr>
    </w:p>
    <w:p w14:paraId="6250A3FC" w14:textId="77777777" w:rsidR="004F689A" w:rsidRPr="00532388" w:rsidRDefault="004F689A" w:rsidP="004F689A">
      <w:pPr>
        <w:keepNext/>
        <w:numPr>
          <w:ilvl w:val="0"/>
          <w:numId w:val="1"/>
        </w:numPr>
        <w:tabs>
          <w:tab w:val="left" w:pos="567"/>
        </w:tabs>
        <w:spacing w:line="260" w:lineRule="exact"/>
        <w:rPr>
          <w:rFonts w:eastAsia="Times New Roman"/>
          <w:noProof/>
          <w:sz w:val="22"/>
          <w:szCs w:val="22"/>
          <w:lang w:val="lt-LT" w:eastAsia="lt-LT" w:bidi="lt-LT"/>
        </w:rPr>
      </w:pPr>
      <w:r w:rsidRPr="00532388">
        <w:rPr>
          <w:rFonts w:eastAsia="Times New Roman"/>
          <w:b/>
          <w:noProof/>
          <w:sz w:val="22"/>
          <w:lang w:val="lt-LT" w:eastAsia="lt-LT" w:bidi="lt-LT"/>
        </w:rPr>
        <w:t>REGISTRAVIMO / PERREGISTRAVIMO DATA</w:t>
      </w:r>
    </w:p>
    <w:p w14:paraId="1C31B2DE" w14:textId="77777777" w:rsidR="0014002C" w:rsidRDefault="0014002C" w:rsidP="004F689A">
      <w:pPr>
        <w:tabs>
          <w:tab w:val="left" w:pos="567"/>
        </w:tabs>
        <w:rPr>
          <w:rFonts w:eastAsia="Times New Roman"/>
          <w:sz w:val="22"/>
          <w:lang w:val="lt-LT" w:eastAsia="lt-LT" w:bidi="lt-LT"/>
        </w:rPr>
      </w:pPr>
    </w:p>
    <w:p w14:paraId="0E2FA78F" w14:textId="77777777" w:rsidR="0014002C" w:rsidRPr="0014002C" w:rsidRDefault="0014002C" w:rsidP="0014002C">
      <w:pPr>
        <w:widowControl w:val="0"/>
        <w:tabs>
          <w:tab w:val="left" w:pos="567"/>
        </w:tabs>
        <w:rPr>
          <w:rFonts w:eastAsia="Times New Roman"/>
          <w:sz w:val="22"/>
          <w:szCs w:val="22"/>
          <w:lang w:val="lt-LT" w:eastAsia="en-US"/>
        </w:rPr>
      </w:pPr>
      <w:r w:rsidRPr="0014002C">
        <w:rPr>
          <w:rFonts w:eastAsia="Times New Roman"/>
          <w:sz w:val="22"/>
          <w:szCs w:val="22"/>
          <w:lang w:val="lt-LT" w:eastAsia="en-US"/>
        </w:rPr>
        <w:t>Registravimo data 2017 m. sausio mėn. 26 d.</w:t>
      </w:r>
    </w:p>
    <w:p w14:paraId="08396C78" w14:textId="77777777" w:rsidR="004F689A" w:rsidRPr="00532388" w:rsidRDefault="004F689A" w:rsidP="004F689A">
      <w:pPr>
        <w:tabs>
          <w:tab w:val="left" w:pos="567"/>
        </w:tabs>
        <w:rPr>
          <w:rFonts w:eastAsia="Times New Roman"/>
          <w:noProof/>
          <w:sz w:val="22"/>
          <w:szCs w:val="22"/>
          <w:lang w:val="lt-LT" w:eastAsia="lt-LT" w:bidi="lt-LT"/>
        </w:rPr>
      </w:pPr>
    </w:p>
    <w:p w14:paraId="1E02FC15" w14:textId="77777777" w:rsidR="004E2DDE" w:rsidRPr="00532388" w:rsidRDefault="004E2DDE" w:rsidP="004F689A">
      <w:pPr>
        <w:tabs>
          <w:tab w:val="left" w:pos="567"/>
        </w:tabs>
        <w:rPr>
          <w:rFonts w:eastAsia="Times New Roman"/>
          <w:noProof/>
          <w:sz w:val="22"/>
          <w:szCs w:val="22"/>
          <w:lang w:val="lt-LT" w:eastAsia="lt-LT" w:bidi="lt-LT"/>
        </w:rPr>
      </w:pPr>
    </w:p>
    <w:p w14:paraId="553BE394" w14:textId="3C081F06" w:rsidR="0014002C" w:rsidRPr="0014002C" w:rsidRDefault="004F689A" w:rsidP="004F689A">
      <w:pPr>
        <w:keepNext/>
        <w:numPr>
          <w:ilvl w:val="0"/>
          <w:numId w:val="1"/>
        </w:numPr>
        <w:tabs>
          <w:tab w:val="left" w:pos="567"/>
        </w:tabs>
        <w:spacing w:line="260" w:lineRule="exact"/>
        <w:rPr>
          <w:rFonts w:eastAsia="Times New Roman"/>
          <w:b/>
          <w:noProof/>
          <w:sz w:val="22"/>
          <w:szCs w:val="22"/>
          <w:lang w:val="lt-LT" w:eastAsia="lt-LT" w:bidi="lt-LT"/>
        </w:rPr>
      </w:pPr>
      <w:r w:rsidRPr="00532388">
        <w:rPr>
          <w:rFonts w:eastAsia="Times New Roman"/>
          <w:b/>
          <w:noProof/>
          <w:sz w:val="22"/>
          <w:lang w:val="lt-LT" w:eastAsia="lt-LT" w:bidi="lt-LT"/>
        </w:rPr>
        <w:t>TEKSTO PERŽIŪROS DATA</w:t>
      </w:r>
    </w:p>
    <w:p w14:paraId="1E9AFD54" w14:textId="77777777" w:rsidR="0014002C" w:rsidRDefault="0014002C" w:rsidP="004F689A">
      <w:pPr>
        <w:tabs>
          <w:tab w:val="left" w:pos="567"/>
        </w:tabs>
        <w:rPr>
          <w:rFonts w:eastAsia="Times New Roman"/>
          <w:sz w:val="22"/>
          <w:lang w:val="lt-LT" w:eastAsia="lt-LT" w:bidi="lt-LT"/>
        </w:rPr>
      </w:pPr>
    </w:p>
    <w:p w14:paraId="1EDA57FF" w14:textId="396EA1A9" w:rsidR="0014002C" w:rsidRPr="0014002C" w:rsidRDefault="0014002C" w:rsidP="0014002C">
      <w:pPr>
        <w:widowControl w:val="0"/>
        <w:tabs>
          <w:tab w:val="left" w:pos="567"/>
        </w:tabs>
        <w:rPr>
          <w:rFonts w:eastAsia="Times New Roman"/>
          <w:sz w:val="22"/>
          <w:szCs w:val="22"/>
          <w:lang w:val="lt-LT" w:eastAsia="en-US"/>
        </w:rPr>
      </w:pPr>
      <w:r w:rsidRPr="0014002C">
        <w:rPr>
          <w:rFonts w:eastAsia="Times New Roman"/>
          <w:sz w:val="22"/>
          <w:szCs w:val="22"/>
          <w:lang w:val="lt-LT" w:eastAsia="en-US"/>
        </w:rPr>
        <w:t>2017 m. sausio mėn. 26 d.</w:t>
      </w:r>
    </w:p>
    <w:p w14:paraId="49296F28" w14:textId="77777777" w:rsidR="004F689A" w:rsidRPr="00532388" w:rsidRDefault="004F689A" w:rsidP="00C23338">
      <w:pPr>
        <w:autoSpaceDE w:val="0"/>
        <w:autoSpaceDN w:val="0"/>
        <w:adjustRightInd w:val="0"/>
        <w:rPr>
          <w:rFonts w:eastAsia="TimesNewRoman"/>
          <w:sz w:val="22"/>
          <w:szCs w:val="22"/>
          <w:lang w:val="lt-LT" w:eastAsia="en-US"/>
        </w:rPr>
      </w:pPr>
    </w:p>
    <w:p w14:paraId="559A206E" w14:textId="77777777" w:rsidR="004F689A" w:rsidRPr="00532388" w:rsidRDefault="004F689A" w:rsidP="00C23338">
      <w:pPr>
        <w:autoSpaceDE w:val="0"/>
        <w:autoSpaceDN w:val="0"/>
        <w:adjustRightInd w:val="0"/>
        <w:rPr>
          <w:rFonts w:eastAsia="TimesNewRoman"/>
          <w:sz w:val="22"/>
          <w:szCs w:val="22"/>
          <w:lang w:val="lt-LT" w:eastAsia="en-US"/>
        </w:rPr>
      </w:pPr>
    </w:p>
    <w:p w14:paraId="14DB0011" w14:textId="77777777" w:rsidR="004F689A" w:rsidRPr="00532388" w:rsidRDefault="004F689A" w:rsidP="00DD4E66">
      <w:pPr>
        <w:tabs>
          <w:tab w:val="left" w:pos="5954"/>
          <w:tab w:val="left" w:pos="6237"/>
          <w:tab w:val="left" w:pos="6663"/>
          <w:tab w:val="left" w:pos="6946"/>
        </w:tabs>
        <w:rPr>
          <w:rFonts w:eastAsia="SimSun"/>
          <w:sz w:val="20"/>
          <w:lang w:val="lt-LT" w:eastAsia="en-US"/>
        </w:rPr>
      </w:pPr>
      <w:r w:rsidRPr="00532388">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532388">
        <w:rPr>
          <w:rFonts w:eastAsia="SimSun"/>
          <w:i/>
          <w:noProof/>
          <w:sz w:val="22"/>
          <w:szCs w:val="22"/>
          <w:lang w:val="lt-LT" w:eastAsia="en-US"/>
        </w:rPr>
        <w:t xml:space="preserve"> </w:t>
      </w:r>
      <w:hyperlink r:id="rId9" w:history="1">
        <w:r w:rsidRPr="00532388">
          <w:rPr>
            <w:rFonts w:eastAsia="SimSun"/>
            <w:color w:val="0000FF"/>
            <w:sz w:val="22"/>
            <w:u w:val="single"/>
            <w:lang w:val="lt-LT" w:eastAsia="en-US"/>
          </w:rPr>
          <w:t>http://www.vvkt.lt</w:t>
        </w:r>
      </w:hyperlink>
    </w:p>
    <w:p w14:paraId="309E596E" w14:textId="77777777" w:rsidR="007E09CE" w:rsidRPr="00F50B84" w:rsidRDefault="007E09CE" w:rsidP="007E09CE">
      <w:pPr>
        <w:rPr>
          <w:noProof/>
          <w:sz w:val="22"/>
          <w:szCs w:val="22"/>
        </w:rPr>
      </w:pPr>
      <w:r w:rsidRPr="00F50B84">
        <w:rPr>
          <w:noProof/>
          <w:sz w:val="22"/>
          <w:szCs w:val="22"/>
        </w:rPr>
        <w:br w:type="page"/>
      </w:r>
    </w:p>
    <w:p w14:paraId="45D98EDA" w14:textId="77777777" w:rsidR="007E09CE" w:rsidRDefault="007E09CE" w:rsidP="007E09CE">
      <w:pPr>
        <w:rPr>
          <w:noProof/>
          <w:sz w:val="22"/>
          <w:szCs w:val="22"/>
        </w:rPr>
      </w:pPr>
    </w:p>
    <w:p w14:paraId="464A1C62" w14:textId="77777777" w:rsidR="00F50B84" w:rsidRDefault="00F50B84" w:rsidP="007E09CE">
      <w:pPr>
        <w:rPr>
          <w:noProof/>
          <w:sz w:val="22"/>
          <w:szCs w:val="22"/>
        </w:rPr>
      </w:pPr>
    </w:p>
    <w:p w14:paraId="242FB79E" w14:textId="77777777" w:rsidR="00F50B84" w:rsidRPr="00F50B84" w:rsidRDefault="00F50B84" w:rsidP="007E09CE">
      <w:pPr>
        <w:rPr>
          <w:noProof/>
          <w:sz w:val="22"/>
          <w:szCs w:val="22"/>
        </w:rPr>
      </w:pPr>
    </w:p>
    <w:p w14:paraId="55A3DDF9" w14:textId="77777777" w:rsidR="007E09CE" w:rsidRPr="00F50B84" w:rsidRDefault="007E09CE" w:rsidP="007E09CE">
      <w:pPr>
        <w:rPr>
          <w:noProof/>
          <w:sz w:val="22"/>
          <w:szCs w:val="22"/>
        </w:rPr>
      </w:pPr>
    </w:p>
    <w:p w14:paraId="0A876E6E" w14:textId="77777777" w:rsidR="007E09CE" w:rsidRPr="00F50B84" w:rsidRDefault="007E09CE" w:rsidP="007E09CE">
      <w:pPr>
        <w:rPr>
          <w:noProof/>
          <w:sz w:val="22"/>
          <w:szCs w:val="22"/>
        </w:rPr>
      </w:pPr>
    </w:p>
    <w:p w14:paraId="08A424B1" w14:textId="77777777" w:rsidR="007E09CE" w:rsidRPr="00F50B84" w:rsidRDefault="007E09CE" w:rsidP="007E09CE">
      <w:pPr>
        <w:rPr>
          <w:noProof/>
          <w:sz w:val="22"/>
          <w:szCs w:val="22"/>
        </w:rPr>
      </w:pPr>
    </w:p>
    <w:p w14:paraId="1C204CA8" w14:textId="77777777" w:rsidR="007E09CE" w:rsidRPr="00F50B84" w:rsidRDefault="007E09CE" w:rsidP="007E09CE">
      <w:pPr>
        <w:rPr>
          <w:noProof/>
          <w:sz w:val="22"/>
          <w:szCs w:val="22"/>
        </w:rPr>
      </w:pPr>
    </w:p>
    <w:p w14:paraId="1E297EE8" w14:textId="77777777" w:rsidR="007E09CE" w:rsidRPr="00F50B84" w:rsidRDefault="007E09CE" w:rsidP="007E09CE">
      <w:pPr>
        <w:rPr>
          <w:noProof/>
          <w:sz w:val="22"/>
          <w:szCs w:val="22"/>
        </w:rPr>
      </w:pPr>
    </w:p>
    <w:p w14:paraId="38F654C3" w14:textId="77777777" w:rsidR="007E09CE" w:rsidRPr="00F50B84" w:rsidRDefault="007E09CE" w:rsidP="007E09CE">
      <w:pPr>
        <w:rPr>
          <w:noProof/>
          <w:sz w:val="22"/>
          <w:szCs w:val="22"/>
        </w:rPr>
      </w:pPr>
    </w:p>
    <w:p w14:paraId="5D1E8572" w14:textId="77777777" w:rsidR="007E09CE" w:rsidRPr="00F50B84" w:rsidRDefault="007E09CE" w:rsidP="007E09CE">
      <w:pPr>
        <w:rPr>
          <w:noProof/>
          <w:sz w:val="22"/>
          <w:szCs w:val="22"/>
        </w:rPr>
      </w:pPr>
    </w:p>
    <w:p w14:paraId="76F240A0" w14:textId="77777777" w:rsidR="007E09CE" w:rsidRPr="00F50B84" w:rsidRDefault="007E09CE" w:rsidP="007E09CE">
      <w:pPr>
        <w:rPr>
          <w:noProof/>
          <w:sz w:val="22"/>
          <w:szCs w:val="22"/>
        </w:rPr>
      </w:pPr>
    </w:p>
    <w:p w14:paraId="46A62EA3" w14:textId="77777777" w:rsidR="007E09CE" w:rsidRPr="00F50B84" w:rsidRDefault="007E09CE" w:rsidP="007E09CE">
      <w:pPr>
        <w:rPr>
          <w:noProof/>
          <w:sz w:val="22"/>
          <w:szCs w:val="22"/>
        </w:rPr>
      </w:pPr>
    </w:p>
    <w:p w14:paraId="70580E6F" w14:textId="77777777" w:rsidR="00F93D8C" w:rsidRDefault="00F93D8C" w:rsidP="007E09CE">
      <w:pPr>
        <w:jc w:val="center"/>
        <w:rPr>
          <w:b/>
          <w:noProof/>
          <w:sz w:val="22"/>
          <w:szCs w:val="22"/>
        </w:rPr>
      </w:pPr>
    </w:p>
    <w:p w14:paraId="7D2EB5C0" w14:textId="77777777" w:rsidR="00F93D8C" w:rsidRDefault="00F93D8C" w:rsidP="007E09CE">
      <w:pPr>
        <w:jc w:val="center"/>
        <w:rPr>
          <w:b/>
          <w:noProof/>
          <w:sz w:val="22"/>
          <w:szCs w:val="22"/>
        </w:rPr>
      </w:pPr>
    </w:p>
    <w:p w14:paraId="03FF89A7" w14:textId="77777777" w:rsidR="00F93D8C" w:rsidRDefault="00F93D8C" w:rsidP="007E09CE">
      <w:pPr>
        <w:jc w:val="center"/>
        <w:rPr>
          <w:b/>
          <w:noProof/>
          <w:sz w:val="22"/>
          <w:szCs w:val="22"/>
        </w:rPr>
      </w:pPr>
    </w:p>
    <w:p w14:paraId="7D508BBA" w14:textId="77777777" w:rsidR="00F93D8C" w:rsidRDefault="00F93D8C" w:rsidP="007E09CE">
      <w:pPr>
        <w:jc w:val="center"/>
        <w:rPr>
          <w:b/>
          <w:noProof/>
          <w:sz w:val="22"/>
          <w:szCs w:val="22"/>
        </w:rPr>
      </w:pPr>
    </w:p>
    <w:p w14:paraId="160D6A64" w14:textId="77777777" w:rsidR="00F93D8C" w:rsidRDefault="00F93D8C" w:rsidP="007E09CE">
      <w:pPr>
        <w:jc w:val="center"/>
        <w:rPr>
          <w:b/>
          <w:noProof/>
          <w:sz w:val="22"/>
          <w:szCs w:val="22"/>
        </w:rPr>
      </w:pPr>
    </w:p>
    <w:p w14:paraId="1BB72FB5" w14:textId="77777777" w:rsidR="00F93D8C" w:rsidRDefault="00F93D8C" w:rsidP="007E09CE">
      <w:pPr>
        <w:jc w:val="center"/>
        <w:rPr>
          <w:b/>
          <w:noProof/>
          <w:sz w:val="22"/>
          <w:szCs w:val="22"/>
        </w:rPr>
      </w:pPr>
    </w:p>
    <w:p w14:paraId="5DAE0121" w14:textId="77777777" w:rsidR="00F93D8C" w:rsidRDefault="00F93D8C" w:rsidP="007E09CE">
      <w:pPr>
        <w:jc w:val="center"/>
        <w:rPr>
          <w:b/>
          <w:noProof/>
          <w:sz w:val="22"/>
          <w:szCs w:val="22"/>
        </w:rPr>
      </w:pPr>
    </w:p>
    <w:p w14:paraId="776E28AD" w14:textId="77777777" w:rsidR="00F93D8C" w:rsidRDefault="00F93D8C" w:rsidP="007E09CE">
      <w:pPr>
        <w:jc w:val="center"/>
        <w:rPr>
          <w:b/>
          <w:noProof/>
          <w:sz w:val="22"/>
          <w:szCs w:val="22"/>
        </w:rPr>
      </w:pPr>
    </w:p>
    <w:p w14:paraId="581B5EF2" w14:textId="77777777" w:rsidR="00F93D8C" w:rsidRDefault="00F93D8C" w:rsidP="007E09CE">
      <w:pPr>
        <w:jc w:val="center"/>
        <w:rPr>
          <w:b/>
          <w:noProof/>
          <w:sz w:val="22"/>
          <w:szCs w:val="22"/>
        </w:rPr>
      </w:pPr>
    </w:p>
    <w:p w14:paraId="2D164B8C" w14:textId="77777777" w:rsidR="00F93D8C" w:rsidRDefault="00F93D8C" w:rsidP="007E09CE">
      <w:pPr>
        <w:jc w:val="center"/>
        <w:rPr>
          <w:b/>
          <w:noProof/>
          <w:sz w:val="22"/>
          <w:szCs w:val="22"/>
        </w:rPr>
      </w:pPr>
    </w:p>
    <w:p w14:paraId="339AC750" w14:textId="77777777" w:rsidR="0014002C" w:rsidRDefault="0014002C" w:rsidP="007E09CE">
      <w:pPr>
        <w:jc w:val="center"/>
        <w:rPr>
          <w:b/>
          <w:noProof/>
          <w:sz w:val="22"/>
          <w:szCs w:val="22"/>
        </w:rPr>
      </w:pPr>
    </w:p>
    <w:p w14:paraId="4B5D0756" w14:textId="77777777" w:rsidR="007E09CE" w:rsidRDefault="007E09CE" w:rsidP="007E09CE">
      <w:pPr>
        <w:jc w:val="center"/>
        <w:rPr>
          <w:b/>
          <w:noProof/>
          <w:sz w:val="22"/>
          <w:szCs w:val="22"/>
        </w:rPr>
      </w:pPr>
      <w:r w:rsidRPr="00F50B84">
        <w:rPr>
          <w:b/>
          <w:noProof/>
          <w:sz w:val="22"/>
          <w:szCs w:val="22"/>
        </w:rPr>
        <w:t>II PRIEDAS</w:t>
      </w:r>
    </w:p>
    <w:p w14:paraId="4AEF410A" w14:textId="77777777" w:rsidR="00F93D8C" w:rsidRDefault="00F93D8C" w:rsidP="007E09CE">
      <w:pPr>
        <w:jc w:val="center"/>
        <w:rPr>
          <w:b/>
          <w:noProof/>
          <w:sz w:val="22"/>
          <w:szCs w:val="22"/>
        </w:rPr>
      </w:pPr>
    </w:p>
    <w:p w14:paraId="579EEB75" w14:textId="77777777" w:rsidR="00F93D8C" w:rsidRPr="00F50B84" w:rsidRDefault="00F93D8C" w:rsidP="007E09CE">
      <w:pPr>
        <w:jc w:val="center"/>
        <w:rPr>
          <w:noProof/>
          <w:sz w:val="22"/>
          <w:szCs w:val="22"/>
        </w:rPr>
      </w:pPr>
      <w:r>
        <w:rPr>
          <w:b/>
          <w:noProof/>
          <w:sz w:val="22"/>
          <w:szCs w:val="22"/>
        </w:rPr>
        <w:t>REGISTRACIJOS SĄLYGOS</w:t>
      </w:r>
    </w:p>
    <w:p w14:paraId="06BBC4A5" w14:textId="77777777" w:rsidR="007E09CE" w:rsidRPr="00F50B84" w:rsidRDefault="007E09CE" w:rsidP="007E09CE">
      <w:pPr>
        <w:ind w:right="1416"/>
        <w:rPr>
          <w:noProof/>
          <w:sz w:val="22"/>
          <w:szCs w:val="22"/>
        </w:rPr>
      </w:pPr>
    </w:p>
    <w:p w14:paraId="6C7398F3" w14:textId="77777777" w:rsidR="007E09CE" w:rsidRPr="00F50B84" w:rsidRDefault="007E09CE" w:rsidP="007E09CE">
      <w:pPr>
        <w:numPr>
          <w:ilvl w:val="0"/>
          <w:numId w:val="18"/>
        </w:numPr>
        <w:tabs>
          <w:tab w:val="left" w:pos="567"/>
          <w:tab w:val="left" w:pos="1701"/>
        </w:tabs>
        <w:ind w:right="1418"/>
        <w:rPr>
          <w:b/>
          <w:noProof/>
          <w:sz w:val="22"/>
          <w:szCs w:val="22"/>
        </w:rPr>
      </w:pPr>
      <w:r w:rsidRPr="00F50B84">
        <w:rPr>
          <w:b/>
          <w:noProof/>
          <w:sz w:val="22"/>
          <w:szCs w:val="22"/>
        </w:rPr>
        <w:t>GAMINTOJAS (-AI), ATSAKINGAS (-I) UŽ SERIJŲ IŠLEIDIMĄ</w:t>
      </w:r>
    </w:p>
    <w:p w14:paraId="29BF8629" w14:textId="77777777" w:rsidR="007E09CE" w:rsidRPr="00F50B84" w:rsidRDefault="007E09CE" w:rsidP="007E09CE">
      <w:pPr>
        <w:ind w:left="567" w:hanging="1701"/>
        <w:rPr>
          <w:noProof/>
          <w:sz w:val="22"/>
          <w:szCs w:val="22"/>
        </w:rPr>
      </w:pPr>
    </w:p>
    <w:p w14:paraId="338A8B51" w14:textId="77777777" w:rsidR="007E09CE" w:rsidRPr="00F50B84" w:rsidRDefault="007E09CE" w:rsidP="007E09CE">
      <w:pPr>
        <w:numPr>
          <w:ilvl w:val="0"/>
          <w:numId w:val="18"/>
        </w:numPr>
        <w:tabs>
          <w:tab w:val="left" w:pos="567"/>
          <w:tab w:val="left" w:pos="1701"/>
        </w:tabs>
        <w:ind w:right="1418"/>
        <w:rPr>
          <w:b/>
          <w:noProof/>
          <w:sz w:val="22"/>
          <w:szCs w:val="22"/>
        </w:rPr>
      </w:pPr>
      <w:r w:rsidRPr="00F50B84">
        <w:rPr>
          <w:b/>
          <w:noProof/>
          <w:sz w:val="22"/>
          <w:szCs w:val="22"/>
        </w:rPr>
        <w:t>TIEKIMO IR VARTOJIMO SĄLYGOS AR APRIBOJIMAI</w:t>
      </w:r>
    </w:p>
    <w:p w14:paraId="650F73A5" w14:textId="77777777" w:rsidR="007E09CE" w:rsidRPr="00F50B84" w:rsidRDefault="007E09CE" w:rsidP="007E09CE">
      <w:pPr>
        <w:ind w:left="567" w:hanging="567"/>
        <w:rPr>
          <w:noProof/>
          <w:sz w:val="22"/>
          <w:szCs w:val="22"/>
        </w:rPr>
      </w:pPr>
    </w:p>
    <w:p w14:paraId="1CD47D40" w14:textId="77777777" w:rsidR="007E09CE" w:rsidRPr="00F50B84" w:rsidRDefault="007E09CE" w:rsidP="007E09CE">
      <w:pPr>
        <w:keepNext/>
        <w:numPr>
          <w:ilvl w:val="0"/>
          <w:numId w:val="19"/>
        </w:numPr>
        <w:tabs>
          <w:tab w:val="left" w:pos="567"/>
        </w:tabs>
        <w:ind w:left="567" w:hanging="567"/>
        <w:rPr>
          <w:noProof/>
          <w:sz w:val="22"/>
          <w:szCs w:val="22"/>
        </w:rPr>
      </w:pPr>
      <w:r w:rsidRPr="00F50B84">
        <w:rPr>
          <w:sz w:val="22"/>
          <w:szCs w:val="22"/>
        </w:rPr>
        <w:br w:type="page"/>
      </w:r>
      <w:r w:rsidRPr="00F50B84">
        <w:rPr>
          <w:b/>
          <w:noProof/>
          <w:sz w:val="22"/>
          <w:szCs w:val="22"/>
        </w:rPr>
        <w:lastRenderedPageBreak/>
        <w:t>GAMINTOJAS (-AI), ATSAKINGAS (-I) UŽ SERIJŲ IŠLEIDIMĄ</w:t>
      </w:r>
    </w:p>
    <w:p w14:paraId="1ED5C0D7" w14:textId="77777777" w:rsidR="007E09CE" w:rsidRPr="00F50B84" w:rsidRDefault="007E09CE" w:rsidP="007E09CE">
      <w:pPr>
        <w:keepNext/>
        <w:ind w:right="1416"/>
        <w:rPr>
          <w:noProof/>
          <w:sz w:val="22"/>
          <w:szCs w:val="22"/>
        </w:rPr>
      </w:pPr>
    </w:p>
    <w:p w14:paraId="0953C19D" w14:textId="77777777" w:rsidR="007E09CE" w:rsidRPr="00F50B84" w:rsidRDefault="007E09CE" w:rsidP="007E09CE">
      <w:pPr>
        <w:outlineLvl w:val="0"/>
        <w:rPr>
          <w:noProof/>
          <w:sz w:val="22"/>
          <w:szCs w:val="22"/>
        </w:rPr>
      </w:pPr>
      <w:r w:rsidRPr="00F50B84">
        <w:rPr>
          <w:noProof/>
          <w:sz w:val="22"/>
          <w:szCs w:val="22"/>
          <w:u w:val="single"/>
        </w:rPr>
        <w:t>Gamintojo (-ų), atsakingo (-ų) už serijų išleidimą, pavadinimas (-ai) ir adresas (-ai)</w:t>
      </w:r>
    </w:p>
    <w:p w14:paraId="6D375EC7" w14:textId="77777777" w:rsidR="007E09CE" w:rsidRPr="00F50B84" w:rsidRDefault="007E09CE" w:rsidP="007E09CE">
      <w:pPr>
        <w:rPr>
          <w:noProof/>
          <w:sz w:val="22"/>
          <w:szCs w:val="22"/>
        </w:rPr>
      </w:pPr>
    </w:p>
    <w:p w14:paraId="003BE1B9"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Teva Operations Poland Sp. z.o.o</w:t>
      </w:r>
    </w:p>
    <w:p w14:paraId="144F1934"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ul. Mogilska 80.</w:t>
      </w:r>
    </w:p>
    <w:p w14:paraId="39868CB3"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Krakow, 31-546</w:t>
      </w:r>
    </w:p>
    <w:p w14:paraId="79D088B2" w14:textId="77777777" w:rsidR="007E09CE" w:rsidRPr="00F50B84" w:rsidRDefault="000C4DBA" w:rsidP="007E09CE">
      <w:pPr>
        <w:rPr>
          <w:rFonts w:eastAsia="TimesNewRoman,Bold"/>
          <w:bCs/>
          <w:sz w:val="22"/>
          <w:szCs w:val="22"/>
          <w:lang w:val="lt-LT" w:eastAsia="lt-LT"/>
        </w:rPr>
      </w:pPr>
      <w:r w:rsidRPr="00F50B84">
        <w:rPr>
          <w:rFonts w:eastAsia="TimesNewRoman,Bold"/>
          <w:bCs/>
          <w:sz w:val="22"/>
          <w:szCs w:val="22"/>
          <w:lang w:val="lt-LT" w:eastAsia="lt-LT"/>
        </w:rPr>
        <w:t>Lenkija</w:t>
      </w:r>
    </w:p>
    <w:p w14:paraId="501906A1" w14:textId="77777777" w:rsidR="000C4DBA" w:rsidRPr="00F50B84" w:rsidRDefault="000C4DBA" w:rsidP="007E09CE">
      <w:pPr>
        <w:rPr>
          <w:rFonts w:eastAsia="TimesNewRoman,Bold"/>
          <w:bCs/>
          <w:sz w:val="22"/>
          <w:szCs w:val="22"/>
          <w:lang w:val="lt-LT" w:eastAsia="lt-LT"/>
        </w:rPr>
      </w:pPr>
    </w:p>
    <w:p w14:paraId="6B2032F7" w14:textId="77777777" w:rsidR="000C4DBA" w:rsidRPr="00F50B84" w:rsidRDefault="000C4DBA" w:rsidP="007E09CE">
      <w:pPr>
        <w:rPr>
          <w:rFonts w:eastAsia="TimesNewRoman,Bold"/>
          <w:bCs/>
          <w:sz w:val="22"/>
          <w:szCs w:val="22"/>
          <w:lang w:val="lt-LT" w:eastAsia="lt-LT"/>
        </w:rPr>
      </w:pPr>
      <w:r w:rsidRPr="00F50B84">
        <w:rPr>
          <w:rFonts w:eastAsia="TimesNewRoman,Bold"/>
          <w:bCs/>
          <w:sz w:val="22"/>
          <w:szCs w:val="22"/>
          <w:lang w:val="lt-LT" w:eastAsia="lt-LT"/>
        </w:rPr>
        <w:t>arba</w:t>
      </w:r>
    </w:p>
    <w:p w14:paraId="4D501DD3" w14:textId="77777777" w:rsidR="000C4DBA" w:rsidRPr="00F50B84" w:rsidRDefault="000C4DBA" w:rsidP="007E09CE">
      <w:pPr>
        <w:rPr>
          <w:rFonts w:eastAsia="TimesNewRoman,Bold"/>
          <w:bCs/>
          <w:sz w:val="22"/>
          <w:szCs w:val="22"/>
          <w:lang w:val="lt-LT" w:eastAsia="lt-LT"/>
        </w:rPr>
      </w:pPr>
    </w:p>
    <w:p w14:paraId="1594F74E"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Merckle GmbH</w:t>
      </w:r>
    </w:p>
    <w:p w14:paraId="0EE02209"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Ludwig-Merckle-Straße 3</w:t>
      </w:r>
    </w:p>
    <w:p w14:paraId="47867DAC"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Blaubeuren, 89143</w:t>
      </w:r>
    </w:p>
    <w:p w14:paraId="0D90177D" w14:textId="77777777" w:rsidR="000C4DBA" w:rsidRPr="00F50B84" w:rsidRDefault="000C4DBA" w:rsidP="007E09CE">
      <w:pPr>
        <w:rPr>
          <w:rFonts w:eastAsia="TimesNewRoman,Bold"/>
          <w:bCs/>
          <w:sz w:val="22"/>
          <w:szCs w:val="22"/>
          <w:lang w:val="lt-LT" w:eastAsia="lt-LT"/>
        </w:rPr>
      </w:pPr>
      <w:r w:rsidRPr="00F50B84">
        <w:rPr>
          <w:rFonts w:eastAsia="TimesNewRoman,Bold"/>
          <w:bCs/>
          <w:sz w:val="22"/>
          <w:szCs w:val="22"/>
          <w:lang w:val="lt-LT" w:eastAsia="lt-LT"/>
        </w:rPr>
        <w:t>Vokietija</w:t>
      </w:r>
    </w:p>
    <w:p w14:paraId="6BE1CE61" w14:textId="77777777" w:rsidR="000C4DBA" w:rsidRPr="00F50B84" w:rsidRDefault="000C4DBA" w:rsidP="007E09CE">
      <w:pPr>
        <w:rPr>
          <w:rFonts w:eastAsia="TimesNewRoman,Bold"/>
          <w:bCs/>
          <w:sz w:val="22"/>
          <w:szCs w:val="22"/>
          <w:lang w:val="lt-LT" w:eastAsia="lt-LT"/>
        </w:rPr>
      </w:pPr>
    </w:p>
    <w:p w14:paraId="50B75360" w14:textId="77777777" w:rsidR="000C4DBA" w:rsidRPr="00F50B84" w:rsidRDefault="000C4DBA" w:rsidP="007E09CE">
      <w:pPr>
        <w:rPr>
          <w:noProof/>
          <w:sz w:val="22"/>
          <w:szCs w:val="22"/>
        </w:rPr>
      </w:pPr>
      <w:r w:rsidRPr="00F50B84">
        <w:rPr>
          <w:rFonts w:eastAsia="TimesNewRoman,Bold"/>
          <w:bCs/>
          <w:sz w:val="22"/>
          <w:szCs w:val="22"/>
          <w:lang w:val="lt-LT" w:eastAsia="lt-LT"/>
        </w:rPr>
        <w:t>arba</w:t>
      </w:r>
    </w:p>
    <w:p w14:paraId="240678B2" w14:textId="77777777" w:rsidR="007E09CE" w:rsidRPr="00F50B84" w:rsidRDefault="007E09CE" w:rsidP="007E09CE">
      <w:pPr>
        <w:rPr>
          <w:noProof/>
          <w:sz w:val="22"/>
          <w:szCs w:val="22"/>
        </w:rPr>
      </w:pPr>
    </w:p>
    <w:p w14:paraId="275110F1"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Teva Pharma B.V.</w:t>
      </w:r>
    </w:p>
    <w:p w14:paraId="6C03C3F1"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Swensweg 5</w:t>
      </w:r>
    </w:p>
    <w:p w14:paraId="6780DEF2"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Haarlem, 2031 GA</w:t>
      </w:r>
    </w:p>
    <w:p w14:paraId="55F5E76B" w14:textId="77777777" w:rsidR="000C4DBA" w:rsidRPr="00F50B84" w:rsidRDefault="000C4DBA" w:rsidP="007E09CE">
      <w:pPr>
        <w:rPr>
          <w:rFonts w:eastAsia="TimesNewRoman,Bold"/>
          <w:bCs/>
          <w:sz w:val="22"/>
          <w:szCs w:val="22"/>
          <w:lang w:val="lt-LT" w:eastAsia="lt-LT"/>
        </w:rPr>
      </w:pPr>
      <w:r w:rsidRPr="00F50B84">
        <w:rPr>
          <w:rFonts w:eastAsia="TimesNewRoman,Bold"/>
          <w:bCs/>
          <w:sz w:val="22"/>
          <w:szCs w:val="22"/>
          <w:lang w:val="lt-LT" w:eastAsia="lt-LT"/>
        </w:rPr>
        <w:t>Nyderlandai</w:t>
      </w:r>
    </w:p>
    <w:p w14:paraId="55BBD73A" w14:textId="77777777" w:rsidR="000C4DBA" w:rsidRPr="00F50B84" w:rsidRDefault="000C4DBA" w:rsidP="007E09CE">
      <w:pPr>
        <w:rPr>
          <w:rFonts w:eastAsia="TimesNewRoman,Bold"/>
          <w:bCs/>
          <w:sz w:val="22"/>
          <w:szCs w:val="22"/>
          <w:lang w:val="lt-LT" w:eastAsia="lt-LT"/>
        </w:rPr>
      </w:pPr>
    </w:p>
    <w:p w14:paraId="223CA05E" w14:textId="77777777" w:rsidR="000C4DBA" w:rsidRPr="00F50B84" w:rsidRDefault="000C4DBA" w:rsidP="000C4DBA">
      <w:pPr>
        <w:rPr>
          <w:noProof/>
          <w:sz w:val="22"/>
          <w:szCs w:val="22"/>
        </w:rPr>
      </w:pPr>
      <w:r w:rsidRPr="00F50B84">
        <w:rPr>
          <w:rFonts w:eastAsia="TimesNewRoman,Bold"/>
          <w:bCs/>
          <w:sz w:val="22"/>
          <w:szCs w:val="22"/>
          <w:lang w:val="lt-LT" w:eastAsia="lt-LT"/>
        </w:rPr>
        <w:t>arba</w:t>
      </w:r>
    </w:p>
    <w:p w14:paraId="0AE0F6E4" w14:textId="77777777" w:rsidR="000C4DBA" w:rsidRPr="00F50B84" w:rsidRDefault="000C4DBA" w:rsidP="007E09CE">
      <w:pPr>
        <w:rPr>
          <w:rFonts w:eastAsia="TimesNewRoman,Bold"/>
          <w:bCs/>
          <w:sz w:val="22"/>
          <w:szCs w:val="22"/>
          <w:lang w:val="lt-LT" w:eastAsia="lt-LT"/>
        </w:rPr>
      </w:pPr>
    </w:p>
    <w:p w14:paraId="736C39E7"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PLIVA Hrvatska d.o.o. (PLIVA Croatia Ltd.)</w:t>
      </w:r>
    </w:p>
    <w:p w14:paraId="19F65226"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Prilaz baruna Filipovica 25</w:t>
      </w:r>
    </w:p>
    <w:p w14:paraId="19BA3FC4" w14:textId="77777777" w:rsidR="00F93D8C" w:rsidRDefault="000C4DBA" w:rsidP="007E09CE">
      <w:pPr>
        <w:rPr>
          <w:rFonts w:eastAsia="TimesNewRoman,Bold"/>
          <w:bCs/>
          <w:sz w:val="22"/>
          <w:szCs w:val="22"/>
          <w:lang w:val="lt-LT" w:eastAsia="lt-LT"/>
        </w:rPr>
      </w:pPr>
      <w:r w:rsidRPr="00F50B84">
        <w:rPr>
          <w:rFonts w:eastAsia="TimesNewRoman,Bold"/>
          <w:bCs/>
          <w:sz w:val="22"/>
          <w:szCs w:val="22"/>
          <w:lang w:val="lt-LT" w:eastAsia="lt-LT"/>
        </w:rPr>
        <w:t>Zagreb, 10000</w:t>
      </w:r>
    </w:p>
    <w:p w14:paraId="192D1261" w14:textId="77777777" w:rsidR="000C4DBA" w:rsidRPr="00F50B84" w:rsidRDefault="000C4DBA" w:rsidP="007E09CE">
      <w:pPr>
        <w:rPr>
          <w:noProof/>
          <w:sz w:val="22"/>
          <w:szCs w:val="22"/>
        </w:rPr>
      </w:pPr>
      <w:r w:rsidRPr="00F50B84">
        <w:rPr>
          <w:rFonts w:eastAsia="TimesNewRoman,Bold"/>
          <w:bCs/>
          <w:sz w:val="22"/>
          <w:szCs w:val="22"/>
          <w:lang w:val="lt-LT" w:eastAsia="lt-LT"/>
        </w:rPr>
        <w:t>Kroatija</w:t>
      </w:r>
    </w:p>
    <w:p w14:paraId="7126D459" w14:textId="77777777" w:rsidR="000C4DBA" w:rsidRPr="00F50B84" w:rsidRDefault="000C4DBA" w:rsidP="007E09CE">
      <w:pPr>
        <w:rPr>
          <w:noProof/>
          <w:sz w:val="22"/>
          <w:szCs w:val="22"/>
        </w:rPr>
      </w:pPr>
    </w:p>
    <w:p w14:paraId="79AD549D" w14:textId="77777777" w:rsidR="007E09CE" w:rsidRPr="00F50B84" w:rsidRDefault="007E09CE" w:rsidP="007E09CE">
      <w:pPr>
        <w:rPr>
          <w:noProof/>
          <w:sz w:val="22"/>
          <w:szCs w:val="22"/>
        </w:rPr>
      </w:pPr>
      <w:r w:rsidRPr="00F50B84">
        <w:rPr>
          <w:sz w:val="22"/>
          <w:szCs w:val="22"/>
        </w:rPr>
        <w:t>Su pakuote pateikiamame lapelyje nurodomas gamintojo, atsakingo už konkrečios serijos išleidimą, pavadinimas ir adresas.</w:t>
      </w:r>
    </w:p>
    <w:p w14:paraId="0993F5A9" w14:textId="77777777" w:rsidR="007E09CE" w:rsidRPr="00F50B84" w:rsidRDefault="007E09CE" w:rsidP="007E09CE">
      <w:pPr>
        <w:rPr>
          <w:noProof/>
          <w:sz w:val="22"/>
          <w:szCs w:val="22"/>
        </w:rPr>
      </w:pPr>
    </w:p>
    <w:p w14:paraId="0C441A28" w14:textId="77777777" w:rsidR="007E09CE" w:rsidRPr="00F50B84" w:rsidRDefault="007E09CE" w:rsidP="007E09CE">
      <w:pPr>
        <w:rPr>
          <w:noProof/>
          <w:sz w:val="22"/>
          <w:szCs w:val="22"/>
        </w:rPr>
      </w:pPr>
    </w:p>
    <w:p w14:paraId="2BAC2821" w14:textId="77777777" w:rsidR="007E09CE" w:rsidRPr="00F50B84" w:rsidRDefault="007E09CE" w:rsidP="007E09CE">
      <w:pPr>
        <w:keepNext/>
        <w:numPr>
          <w:ilvl w:val="0"/>
          <w:numId w:val="19"/>
        </w:numPr>
        <w:tabs>
          <w:tab w:val="left" w:pos="567"/>
        </w:tabs>
        <w:ind w:left="567" w:hanging="567"/>
        <w:rPr>
          <w:b/>
          <w:noProof/>
          <w:sz w:val="22"/>
          <w:szCs w:val="22"/>
        </w:rPr>
      </w:pPr>
      <w:r w:rsidRPr="00F50B84">
        <w:rPr>
          <w:b/>
          <w:noProof/>
          <w:sz w:val="22"/>
          <w:szCs w:val="22"/>
        </w:rPr>
        <w:t xml:space="preserve">TIEKIMO IR VARTOJIMO SĄLYGOS AR APRIBOJIMAI </w:t>
      </w:r>
    </w:p>
    <w:p w14:paraId="068C4B4A" w14:textId="77777777" w:rsidR="007E09CE" w:rsidRPr="00F50B84" w:rsidRDefault="007E09CE" w:rsidP="007E09CE">
      <w:pPr>
        <w:keepNext/>
        <w:rPr>
          <w:noProof/>
          <w:sz w:val="22"/>
          <w:szCs w:val="22"/>
        </w:rPr>
      </w:pPr>
    </w:p>
    <w:p w14:paraId="4F310C6E" w14:textId="77777777" w:rsidR="007E09CE" w:rsidRPr="00F50B84" w:rsidRDefault="007E09CE" w:rsidP="007E09CE">
      <w:pPr>
        <w:numPr>
          <w:ilvl w:val="12"/>
          <w:numId w:val="0"/>
        </w:numPr>
        <w:rPr>
          <w:noProof/>
          <w:sz w:val="22"/>
          <w:szCs w:val="22"/>
        </w:rPr>
      </w:pPr>
      <w:r w:rsidRPr="00F50B84">
        <w:rPr>
          <w:sz w:val="22"/>
          <w:szCs w:val="22"/>
        </w:rPr>
        <w:t>R</w:t>
      </w:r>
      <w:r w:rsidR="000C4DBA" w:rsidRPr="00F50B84">
        <w:rPr>
          <w:sz w:val="22"/>
          <w:szCs w:val="22"/>
        </w:rPr>
        <w:t>eceptinis vaistinis preparatas.</w:t>
      </w:r>
    </w:p>
    <w:p w14:paraId="27B6BACB" w14:textId="77777777" w:rsidR="007E09CE" w:rsidRPr="00F50B84" w:rsidRDefault="000C4DBA" w:rsidP="007E09CE">
      <w:pPr>
        <w:ind w:right="566"/>
        <w:rPr>
          <w:noProof/>
          <w:sz w:val="22"/>
          <w:szCs w:val="22"/>
        </w:rPr>
      </w:pPr>
      <w:r w:rsidRPr="00F50B84">
        <w:rPr>
          <w:noProof/>
          <w:sz w:val="22"/>
          <w:szCs w:val="22"/>
        </w:rPr>
        <w:br w:type="page"/>
      </w:r>
    </w:p>
    <w:p w14:paraId="2828C7A1" w14:textId="77777777" w:rsidR="007E09CE" w:rsidRPr="00F50B84" w:rsidRDefault="007E09CE" w:rsidP="007E09CE">
      <w:pPr>
        <w:rPr>
          <w:noProof/>
          <w:sz w:val="22"/>
          <w:szCs w:val="22"/>
        </w:rPr>
      </w:pPr>
    </w:p>
    <w:p w14:paraId="3F7F22B6" w14:textId="77777777" w:rsidR="007E09CE" w:rsidRPr="00F50B84" w:rsidRDefault="007E09CE" w:rsidP="007E09CE">
      <w:pPr>
        <w:rPr>
          <w:noProof/>
          <w:sz w:val="22"/>
          <w:szCs w:val="22"/>
        </w:rPr>
      </w:pPr>
    </w:p>
    <w:p w14:paraId="0B6374F1" w14:textId="77777777" w:rsidR="007E09CE" w:rsidRPr="00F50B84" w:rsidRDefault="007E09CE" w:rsidP="007E09CE">
      <w:pPr>
        <w:rPr>
          <w:noProof/>
          <w:sz w:val="22"/>
          <w:szCs w:val="22"/>
        </w:rPr>
      </w:pPr>
    </w:p>
    <w:p w14:paraId="0189E658" w14:textId="77777777" w:rsidR="007E09CE" w:rsidRPr="00F50B84" w:rsidRDefault="007E09CE" w:rsidP="007E09CE">
      <w:pPr>
        <w:rPr>
          <w:noProof/>
          <w:sz w:val="22"/>
          <w:szCs w:val="22"/>
        </w:rPr>
      </w:pPr>
    </w:p>
    <w:p w14:paraId="22567891" w14:textId="77777777" w:rsidR="007E09CE" w:rsidRPr="00F50B84" w:rsidRDefault="007E09CE" w:rsidP="007E09CE">
      <w:pPr>
        <w:rPr>
          <w:sz w:val="22"/>
          <w:szCs w:val="22"/>
        </w:rPr>
      </w:pPr>
    </w:p>
    <w:p w14:paraId="6A5C07CD" w14:textId="77777777" w:rsidR="007E09CE" w:rsidRPr="00F50B84" w:rsidRDefault="007E09CE" w:rsidP="007E09CE">
      <w:pPr>
        <w:rPr>
          <w:sz w:val="22"/>
          <w:szCs w:val="22"/>
        </w:rPr>
      </w:pPr>
    </w:p>
    <w:p w14:paraId="67A4207E" w14:textId="77777777" w:rsidR="007E09CE" w:rsidRPr="00F50B84" w:rsidRDefault="007E09CE" w:rsidP="007E09CE">
      <w:pPr>
        <w:rPr>
          <w:sz w:val="22"/>
          <w:szCs w:val="22"/>
        </w:rPr>
      </w:pPr>
    </w:p>
    <w:p w14:paraId="1E7F8234" w14:textId="77777777" w:rsidR="007E09CE" w:rsidRPr="00F50B84" w:rsidRDefault="007E09CE" w:rsidP="007E09CE">
      <w:pPr>
        <w:rPr>
          <w:sz w:val="22"/>
          <w:szCs w:val="22"/>
        </w:rPr>
      </w:pPr>
    </w:p>
    <w:p w14:paraId="1CB2C51B" w14:textId="77777777" w:rsidR="007E09CE" w:rsidRPr="00F50B84" w:rsidRDefault="007E09CE" w:rsidP="007E09CE">
      <w:pPr>
        <w:rPr>
          <w:sz w:val="22"/>
          <w:szCs w:val="22"/>
        </w:rPr>
      </w:pPr>
    </w:p>
    <w:p w14:paraId="114069D7" w14:textId="77777777" w:rsidR="007E09CE" w:rsidRPr="00F50B84" w:rsidRDefault="007E09CE" w:rsidP="007E09CE">
      <w:pPr>
        <w:rPr>
          <w:noProof/>
          <w:sz w:val="22"/>
          <w:szCs w:val="22"/>
        </w:rPr>
      </w:pPr>
    </w:p>
    <w:p w14:paraId="6F290617" w14:textId="77777777" w:rsidR="007E09CE" w:rsidRPr="00F50B84" w:rsidRDefault="007E09CE" w:rsidP="007E09CE">
      <w:pPr>
        <w:rPr>
          <w:noProof/>
          <w:sz w:val="22"/>
          <w:szCs w:val="22"/>
        </w:rPr>
      </w:pPr>
    </w:p>
    <w:p w14:paraId="13DB87E9" w14:textId="77777777" w:rsidR="007E09CE" w:rsidRPr="00F50B84" w:rsidRDefault="007E09CE" w:rsidP="007E09CE">
      <w:pPr>
        <w:rPr>
          <w:noProof/>
          <w:sz w:val="22"/>
          <w:szCs w:val="22"/>
        </w:rPr>
      </w:pPr>
    </w:p>
    <w:p w14:paraId="67F9AA51" w14:textId="77777777" w:rsidR="007E09CE" w:rsidRPr="00F50B84" w:rsidRDefault="007E09CE" w:rsidP="007E09CE">
      <w:pPr>
        <w:rPr>
          <w:noProof/>
          <w:sz w:val="22"/>
          <w:szCs w:val="22"/>
        </w:rPr>
      </w:pPr>
    </w:p>
    <w:p w14:paraId="7007D9DD" w14:textId="77777777" w:rsidR="007E09CE" w:rsidRPr="00F50B84" w:rsidRDefault="007E09CE" w:rsidP="007E09CE">
      <w:pPr>
        <w:rPr>
          <w:noProof/>
          <w:sz w:val="22"/>
          <w:szCs w:val="22"/>
        </w:rPr>
      </w:pPr>
    </w:p>
    <w:p w14:paraId="783DD776" w14:textId="77777777" w:rsidR="007E09CE" w:rsidRPr="00F50B84" w:rsidRDefault="007E09CE" w:rsidP="007E09CE">
      <w:pPr>
        <w:rPr>
          <w:noProof/>
          <w:sz w:val="22"/>
          <w:szCs w:val="22"/>
        </w:rPr>
      </w:pPr>
    </w:p>
    <w:p w14:paraId="777FC486" w14:textId="77777777" w:rsidR="007E09CE" w:rsidRPr="00F50B84" w:rsidRDefault="007E09CE" w:rsidP="007E09CE">
      <w:pPr>
        <w:rPr>
          <w:noProof/>
          <w:sz w:val="22"/>
          <w:szCs w:val="22"/>
        </w:rPr>
      </w:pPr>
    </w:p>
    <w:p w14:paraId="7BA32FDA" w14:textId="77777777" w:rsidR="007E09CE" w:rsidRPr="00F50B84" w:rsidRDefault="007E09CE" w:rsidP="007E09CE">
      <w:pPr>
        <w:outlineLvl w:val="0"/>
        <w:rPr>
          <w:b/>
          <w:noProof/>
          <w:sz w:val="22"/>
          <w:szCs w:val="22"/>
        </w:rPr>
      </w:pPr>
    </w:p>
    <w:p w14:paraId="3E6FC30B" w14:textId="77777777" w:rsidR="007E09CE" w:rsidRPr="00F50B84" w:rsidRDefault="007E09CE" w:rsidP="007E09CE">
      <w:pPr>
        <w:outlineLvl w:val="0"/>
        <w:rPr>
          <w:b/>
          <w:noProof/>
          <w:sz w:val="22"/>
          <w:szCs w:val="22"/>
        </w:rPr>
      </w:pPr>
    </w:p>
    <w:p w14:paraId="609A58C8" w14:textId="77777777" w:rsidR="007E09CE" w:rsidRPr="00F50B84" w:rsidRDefault="007E09CE" w:rsidP="007E09CE">
      <w:pPr>
        <w:outlineLvl w:val="0"/>
        <w:rPr>
          <w:b/>
          <w:noProof/>
          <w:sz w:val="22"/>
          <w:szCs w:val="22"/>
        </w:rPr>
      </w:pPr>
    </w:p>
    <w:p w14:paraId="1C4CDE0E" w14:textId="77777777" w:rsidR="007E09CE" w:rsidRPr="00F50B84" w:rsidRDefault="007E09CE" w:rsidP="007E09CE">
      <w:pPr>
        <w:outlineLvl w:val="0"/>
        <w:rPr>
          <w:b/>
          <w:noProof/>
          <w:sz w:val="22"/>
          <w:szCs w:val="22"/>
        </w:rPr>
      </w:pPr>
    </w:p>
    <w:p w14:paraId="4BEF7A0E" w14:textId="77777777" w:rsidR="007E09CE" w:rsidRPr="00F50B84" w:rsidRDefault="007E09CE" w:rsidP="007E09CE">
      <w:pPr>
        <w:outlineLvl w:val="0"/>
        <w:rPr>
          <w:b/>
          <w:noProof/>
          <w:sz w:val="22"/>
          <w:szCs w:val="22"/>
        </w:rPr>
      </w:pPr>
    </w:p>
    <w:p w14:paraId="3D2A430D" w14:textId="77777777" w:rsidR="007E09CE" w:rsidRDefault="007E09CE" w:rsidP="007E09CE">
      <w:pPr>
        <w:outlineLvl w:val="0"/>
        <w:rPr>
          <w:b/>
          <w:noProof/>
          <w:sz w:val="22"/>
          <w:szCs w:val="22"/>
        </w:rPr>
      </w:pPr>
    </w:p>
    <w:p w14:paraId="53DD1D54" w14:textId="77777777" w:rsidR="0014002C" w:rsidRPr="00F50B84" w:rsidRDefault="0014002C" w:rsidP="007E09CE">
      <w:pPr>
        <w:outlineLvl w:val="0"/>
        <w:rPr>
          <w:b/>
          <w:noProof/>
          <w:sz w:val="22"/>
          <w:szCs w:val="22"/>
        </w:rPr>
      </w:pPr>
    </w:p>
    <w:p w14:paraId="195B2D01" w14:textId="77777777" w:rsidR="007E09CE" w:rsidRPr="00F50B84" w:rsidRDefault="007E09CE" w:rsidP="007E09CE">
      <w:pPr>
        <w:jc w:val="center"/>
        <w:outlineLvl w:val="0"/>
        <w:rPr>
          <w:b/>
          <w:noProof/>
          <w:sz w:val="22"/>
          <w:szCs w:val="22"/>
        </w:rPr>
      </w:pPr>
      <w:r w:rsidRPr="00F50B84">
        <w:rPr>
          <w:b/>
          <w:noProof/>
          <w:sz w:val="22"/>
          <w:szCs w:val="22"/>
        </w:rPr>
        <w:t>III PRIEDAS</w:t>
      </w:r>
    </w:p>
    <w:p w14:paraId="59DA4CB0" w14:textId="77777777" w:rsidR="007E09CE" w:rsidRPr="00F50B84" w:rsidRDefault="007E09CE" w:rsidP="007E09CE">
      <w:pPr>
        <w:jc w:val="center"/>
        <w:rPr>
          <w:b/>
          <w:noProof/>
          <w:sz w:val="22"/>
          <w:szCs w:val="22"/>
        </w:rPr>
      </w:pPr>
    </w:p>
    <w:p w14:paraId="26BCE729" w14:textId="77777777" w:rsidR="007E09CE" w:rsidRPr="00F50B84" w:rsidRDefault="007E09CE" w:rsidP="007E09CE">
      <w:pPr>
        <w:jc w:val="center"/>
        <w:outlineLvl w:val="0"/>
        <w:rPr>
          <w:b/>
          <w:noProof/>
          <w:sz w:val="22"/>
          <w:szCs w:val="22"/>
        </w:rPr>
      </w:pPr>
      <w:r w:rsidRPr="00F50B84">
        <w:rPr>
          <w:b/>
          <w:noProof/>
          <w:sz w:val="22"/>
          <w:szCs w:val="22"/>
        </w:rPr>
        <w:t>ŽENKLINIMAS IR PAKUOTĖS LAPELIS</w:t>
      </w:r>
    </w:p>
    <w:p w14:paraId="37FCE6F6" w14:textId="77777777" w:rsidR="007E09CE" w:rsidRPr="00F50B84" w:rsidRDefault="007E09CE" w:rsidP="007E09CE">
      <w:pPr>
        <w:rPr>
          <w:b/>
          <w:noProof/>
          <w:sz w:val="22"/>
          <w:szCs w:val="22"/>
        </w:rPr>
      </w:pPr>
      <w:r w:rsidRPr="00F50B84">
        <w:rPr>
          <w:sz w:val="22"/>
          <w:szCs w:val="22"/>
        </w:rPr>
        <w:br w:type="page"/>
      </w:r>
    </w:p>
    <w:p w14:paraId="7C3547C0" w14:textId="77777777" w:rsidR="007E09CE" w:rsidRPr="00F50B84" w:rsidRDefault="007E09CE" w:rsidP="007E09CE">
      <w:pPr>
        <w:outlineLvl w:val="0"/>
        <w:rPr>
          <w:b/>
          <w:noProof/>
          <w:sz w:val="22"/>
          <w:szCs w:val="22"/>
        </w:rPr>
      </w:pPr>
    </w:p>
    <w:p w14:paraId="230E8F88" w14:textId="77777777" w:rsidR="007E09CE" w:rsidRPr="00F50B84" w:rsidRDefault="007E09CE" w:rsidP="007E09CE">
      <w:pPr>
        <w:outlineLvl w:val="0"/>
        <w:rPr>
          <w:b/>
          <w:noProof/>
          <w:sz w:val="22"/>
          <w:szCs w:val="22"/>
        </w:rPr>
      </w:pPr>
    </w:p>
    <w:p w14:paraId="00A514C6" w14:textId="77777777" w:rsidR="007E09CE" w:rsidRPr="00F50B84" w:rsidRDefault="007E09CE" w:rsidP="007E09CE">
      <w:pPr>
        <w:outlineLvl w:val="0"/>
        <w:rPr>
          <w:b/>
          <w:noProof/>
          <w:sz w:val="22"/>
          <w:szCs w:val="22"/>
        </w:rPr>
      </w:pPr>
    </w:p>
    <w:p w14:paraId="581AA487" w14:textId="77777777" w:rsidR="007E09CE" w:rsidRPr="00F50B84" w:rsidRDefault="007E09CE" w:rsidP="007E09CE">
      <w:pPr>
        <w:outlineLvl w:val="0"/>
        <w:rPr>
          <w:b/>
          <w:noProof/>
          <w:sz w:val="22"/>
          <w:szCs w:val="22"/>
        </w:rPr>
      </w:pPr>
    </w:p>
    <w:p w14:paraId="1126BC84" w14:textId="77777777" w:rsidR="007E09CE" w:rsidRPr="00F50B84" w:rsidRDefault="007E09CE" w:rsidP="007E09CE">
      <w:pPr>
        <w:outlineLvl w:val="0"/>
        <w:rPr>
          <w:b/>
          <w:noProof/>
          <w:sz w:val="22"/>
          <w:szCs w:val="22"/>
        </w:rPr>
      </w:pPr>
    </w:p>
    <w:p w14:paraId="161AE15B" w14:textId="77777777" w:rsidR="007E09CE" w:rsidRPr="00F50B84" w:rsidRDefault="007E09CE" w:rsidP="007E09CE">
      <w:pPr>
        <w:outlineLvl w:val="0"/>
        <w:rPr>
          <w:b/>
          <w:noProof/>
          <w:sz w:val="22"/>
          <w:szCs w:val="22"/>
        </w:rPr>
      </w:pPr>
    </w:p>
    <w:p w14:paraId="20442BE3" w14:textId="77777777" w:rsidR="007E09CE" w:rsidRPr="00F50B84" w:rsidRDefault="007E09CE" w:rsidP="007E09CE">
      <w:pPr>
        <w:outlineLvl w:val="0"/>
        <w:rPr>
          <w:b/>
          <w:noProof/>
          <w:sz w:val="22"/>
          <w:szCs w:val="22"/>
        </w:rPr>
      </w:pPr>
    </w:p>
    <w:p w14:paraId="72547668" w14:textId="77777777" w:rsidR="007E09CE" w:rsidRPr="00F50B84" w:rsidRDefault="007E09CE" w:rsidP="007E09CE">
      <w:pPr>
        <w:outlineLvl w:val="0"/>
        <w:rPr>
          <w:b/>
          <w:noProof/>
          <w:sz w:val="22"/>
          <w:szCs w:val="22"/>
        </w:rPr>
      </w:pPr>
    </w:p>
    <w:p w14:paraId="2D4F76E8" w14:textId="77777777" w:rsidR="007E09CE" w:rsidRPr="00F50B84" w:rsidRDefault="007E09CE" w:rsidP="007E09CE">
      <w:pPr>
        <w:outlineLvl w:val="0"/>
        <w:rPr>
          <w:b/>
          <w:noProof/>
          <w:sz w:val="22"/>
          <w:szCs w:val="22"/>
        </w:rPr>
      </w:pPr>
    </w:p>
    <w:p w14:paraId="5C917753" w14:textId="77777777" w:rsidR="007E09CE" w:rsidRPr="00F50B84" w:rsidRDefault="007E09CE" w:rsidP="007E09CE">
      <w:pPr>
        <w:outlineLvl w:val="0"/>
        <w:rPr>
          <w:b/>
          <w:noProof/>
          <w:sz w:val="22"/>
          <w:szCs w:val="22"/>
        </w:rPr>
      </w:pPr>
    </w:p>
    <w:p w14:paraId="539B8B36" w14:textId="77777777" w:rsidR="007E09CE" w:rsidRPr="00F50B84" w:rsidRDefault="007E09CE" w:rsidP="007E09CE">
      <w:pPr>
        <w:outlineLvl w:val="0"/>
        <w:rPr>
          <w:b/>
          <w:noProof/>
          <w:sz w:val="22"/>
          <w:szCs w:val="22"/>
        </w:rPr>
      </w:pPr>
    </w:p>
    <w:p w14:paraId="11386B37" w14:textId="77777777" w:rsidR="007E09CE" w:rsidRPr="00F50B84" w:rsidRDefault="007E09CE" w:rsidP="007E09CE">
      <w:pPr>
        <w:outlineLvl w:val="0"/>
        <w:rPr>
          <w:b/>
          <w:noProof/>
          <w:sz w:val="22"/>
          <w:szCs w:val="22"/>
        </w:rPr>
      </w:pPr>
    </w:p>
    <w:p w14:paraId="3C75D33B" w14:textId="77777777" w:rsidR="007E09CE" w:rsidRPr="00F50B84" w:rsidRDefault="007E09CE" w:rsidP="007E09CE">
      <w:pPr>
        <w:outlineLvl w:val="0"/>
        <w:rPr>
          <w:b/>
          <w:noProof/>
          <w:sz w:val="22"/>
          <w:szCs w:val="22"/>
        </w:rPr>
      </w:pPr>
    </w:p>
    <w:p w14:paraId="0F354565" w14:textId="77777777" w:rsidR="007E09CE" w:rsidRPr="00F50B84" w:rsidRDefault="007E09CE" w:rsidP="007E09CE">
      <w:pPr>
        <w:outlineLvl w:val="0"/>
        <w:rPr>
          <w:b/>
          <w:noProof/>
          <w:sz w:val="22"/>
          <w:szCs w:val="22"/>
        </w:rPr>
      </w:pPr>
    </w:p>
    <w:p w14:paraId="09B3E7B2" w14:textId="77777777" w:rsidR="007E09CE" w:rsidRPr="00F50B84" w:rsidRDefault="007E09CE" w:rsidP="007E09CE">
      <w:pPr>
        <w:outlineLvl w:val="0"/>
        <w:rPr>
          <w:b/>
          <w:noProof/>
          <w:sz w:val="22"/>
          <w:szCs w:val="22"/>
        </w:rPr>
      </w:pPr>
    </w:p>
    <w:p w14:paraId="55CC4D63" w14:textId="77777777" w:rsidR="007E09CE" w:rsidRPr="00F50B84" w:rsidRDefault="007E09CE" w:rsidP="007E09CE">
      <w:pPr>
        <w:outlineLvl w:val="0"/>
        <w:rPr>
          <w:b/>
          <w:noProof/>
          <w:sz w:val="22"/>
          <w:szCs w:val="22"/>
        </w:rPr>
      </w:pPr>
    </w:p>
    <w:p w14:paraId="19C1B1DF" w14:textId="77777777" w:rsidR="007E09CE" w:rsidRPr="00F50B84" w:rsidRDefault="007E09CE" w:rsidP="007E09CE">
      <w:pPr>
        <w:outlineLvl w:val="0"/>
        <w:rPr>
          <w:b/>
          <w:noProof/>
          <w:sz w:val="22"/>
          <w:szCs w:val="22"/>
        </w:rPr>
      </w:pPr>
    </w:p>
    <w:p w14:paraId="36D188DC" w14:textId="77777777" w:rsidR="007E09CE" w:rsidRPr="00F50B84" w:rsidRDefault="007E09CE" w:rsidP="007E09CE">
      <w:pPr>
        <w:outlineLvl w:val="0"/>
        <w:rPr>
          <w:b/>
          <w:noProof/>
          <w:sz w:val="22"/>
          <w:szCs w:val="22"/>
        </w:rPr>
      </w:pPr>
    </w:p>
    <w:p w14:paraId="1F7C3963" w14:textId="77777777" w:rsidR="007E09CE" w:rsidRPr="00F50B84" w:rsidRDefault="007E09CE" w:rsidP="007E09CE">
      <w:pPr>
        <w:outlineLvl w:val="0"/>
        <w:rPr>
          <w:b/>
          <w:noProof/>
          <w:sz w:val="22"/>
          <w:szCs w:val="22"/>
        </w:rPr>
      </w:pPr>
    </w:p>
    <w:p w14:paraId="7BB26028" w14:textId="77777777" w:rsidR="007E09CE" w:rsidRPr="00F50B84" w:rsidRDefault="007E09CE" w:rsidP="007E09CE">
      <w:pPr>
        <w:outlineLvl w:val="0"/>
        <w:rPr>
          <w:b/>
          <w:noProof/>
          <w:sz w:val="22"/>
          <w:szCs w:val="22"/>
        </w:rPr>
      </w:pPr>
    </w:p>
    <w:p w14:paraId="051FCC88" w14:textId="77777777" w:rsidR="007E09CE" w:rsidRPr="00F50B84" w:rsidRDefault="007E09CE" w:rsidP="007E09CE">
      <w:pPr>
        <w:outlineLvl w:val="0"/>
        <w:rPr>
          <w:b/>
          <w:noProof/>
          <w:sz w:val="22"/>
          <w:szCs w:val="22"/>
        </w:rPr>
      </w:pPr>
    </w:p>
    <w:p w14:paraId="2FF62365" w14:textId="77777777" w:rsidR="007E09CE" w:rsidRDefault="007E09CE" w:rsidP="007E09CE">
      <w:pPr>
        <w:outlineLvl w:val="0"/>
        <w:rPr>
          <w:b/>
          <w:noProof/>
          <w:sz w:val="22"/>
          <w:szCs w:val="22"/>
        </w:rPr>
      </w:pPr>
    </w:p>
    <w:p w14:paraId="64BB147A" w14:textId="77777777" w:rsidR="0014002C" w:rsidRPr="00F50B84" w:rsidRDefault="0014002C" w:rsidP="007E09CE">
      <w:pPr>
        <w:outlineLvl w:val="0"/>
        <w:rPr>
          <w:b/>
          <w:noProof/>
          <w:sz w:val="22"/>
          <w:szCs w:val="22"/>
        </w:rPr>
      </w:pPr>
    </w:p>
    <w:p w14:paraId="10B8B70E" w14:textId="77777777" w:rsidR="007E09CE" w:rsidRPr="00F50B84" w:rsidRDefault="007E09CE" w:rsidP="007E09CE">
      <w:pPr>
        <w:jc w:val="center"/>
        <w:outlineLvl w:val="0"/>
        <w:rPr>
          <w:noProof/>
          <w:sz w:val="22"/>
          <w:szCs w:val="22"/>
        </w:rPr>
      </w:pPr>
      <w:r w:rsidRPr="00F50B84">
        <w:rPr>
          <w:rStyle w:val="DoNotTranslateExternal1"/>
          <w:sz w:val="22"/>
        </w:rPr>
        <w:t>A.</w:t>
      </w:r>
      <w:r w:rsidRPr="00F50B84">
        <w:rPr>
          <w:b/>
          <w:noProof/>
          <w:sz w:val="22"/>
          <w:szCs w:val="22"/>
        </w:rPr>
        <w:t xml:space="preserve"> ŽENKLINIMAS</w:t>
      </w:r>
    </w:p>
    <w:p w14:paraId="19535401" w14:textId="77777777" w:rsidR="007E09CE" w:rsidRPr="00F50B84" w:rsidRDefault="007E09CE" w:rsidP="007E09CE">
      <w:pPr>
        <w:shd w:val="clear" w:color="auto" w:fill="FFFFFF"/>
        <w:rPr>
          <w:noProof/>
          <w:sz w:val="22"/>
          <w:szCs w:val="22"/>
        </w:rPr>
      </w:pPr>
      <w:r w:rsidRPr="00F50B84">
        <w:rPr>
          <w:sz w:val="22"/>
          <w:szCs w:val="22"/>
        </w:rPr>
        <w:br w:type="page"/>
      </w:r>
    </w:p>
    <w:p w14:paraId="2CCA5B85" w14:textId="77777777" w:rsidR="007E09CE" w:rsidRPr="00F50B84" w:rsidRDefault="000C4DBA" w:rsidP="007E09CE">
      <w:pPr>
        <w:pBdr>
          <w:top w:val="single" w:sz="4" w:space="1" w:color="auto"/>
          <w:left w:val="single" w:sz="4" w:space="4" w:color="auto"/>
          <w:bottom w:val="single" w:sz="4" w:space="1" w:color="auto"/>
          <w:right w:val="single" w:sz="4" w:space="4" w:color="auto"/>
        </w:pBdr>
        <w:rPr>
          <w:b/>
          <w:noProof/>
          <w:sz w:val="22"/>
          <w:szCs w:val="22"/>
        </w:rPr>
      </w:pPr>
      <w:bookmarkStart w:id="0" w:name="_GoBack"/>
      <w:bookmarkEnd w:id="0"/>
      <w:r w:rsidRPr="00F50B84">
        <w:rPr>
          <w:b/>
          <w:noProof/>
          <w:sz w:val="22"/>
          <w:szCs w:val="22"/>
        </w:rPr>
        <w:lastRenderedPageBreak/>
        <w:t xml:space="preserve">INFORMACIJA ANT </w:t>
      </w:r>
      <w:r w:rsidR="007E09CE" w:rsidRPr="00F50B84">
        <w:rPr>
          <w:b/>
          <w:noProof/>
          <w:sz w:val="22"/>
          <w:szCs w:val="22"/>
        </w:rPr>
        <w:t xml:space="preserve">IŠORINĖS </w:t>
      </w:r>
      <w:r w:rsidR="00F93D8C">
        <w:rPr>
          <w:b/>
          <w:noProof/>
          <w:sz w:val="22"/>
          <w:szCs w:val="22"/>
        </w:rPr>
        <w:t xml:space="preserve">IR VIDINĖS </w:t>
      </w:r>
      <w:r w:rsidR="007E09CE" w:rsidRPr="00F50B84">
        <w:rPr>
          <w:b/>
          <w:noProof/>
          <w:sz w:val="22"/>
          <w:szCs w:val="22"/>
        </w:rPr>
        <w:t>PAKUOTĖS</w:t>
      </w:r>
    </w:p>
    <w:p w14:paraId="6A25B6C9" w14:textId="77777777" w:rsidR="007E09CE" w:rsidRPr="00F50B84" w:rsidRDefault="007E09CE" w:rsidP="007E09CE">
      <w:pPr>
        <w:pBdr>
          <w:top w:val="single" w:sz="4" w:space="1" w:color="auto"/>
          <w:left w:val="single" w:sz="4" w:space="4" w:color="auto"/>
          <w:bottom w:val="single" w:sz="4" w:space="1" w:color="auto"/>
          <w:right w:val="single" w:sz="4" w:space="4" w:color="auto"/>
        </w:pBdr>
        <w:ind w:left="567" w:hanging="567"/>
        <w:rPr>
          <w:bCs/>
          <w:noProof/>
          <w:sz w:val="22"/>
          <w:szCs w:val="22"/>
        </w:rPr>
      </w:pPr>
    </w:p>
    <w:p w14:paraId="43E22312" w14:textId="77777777" w:rsidR="007E09CE" w:rsidRPr="00F50B84" w:rsidRDefault="000C4DBA" w:rsidP="007E09CE">
      <w:pPr>
        <w:pBdr>
          <w:top w:val="single" w:sz="4" w:space="1" w:color="auto"/>
          <w:left w:val="single" w:sz="4" w:space="4" w:color="auto"/>
          <w:bottom w:val="single" w:sz="4" w:space="1" w:color="auto"/>
          <w:right w:val="single" w:sz="4" w:space="4" w:color="auto"/>
        </w:pBdr>
        <w:rPr>
          <w:bCs/>
          <w:noProof/>
          <w:sz w:val="22"/>
          <w:szCs w:val="22"/>
        </w:rPr>
      </w:pPr>
      <w:r w:rsidRPr="00F50B84">
        <w:rPr>
          <w:b/>
          <w:noProof/>
          <w:sz w:val="22"/>
          <w:szCs w:val="22"/>
        </w:rPr>
        <w:t>Kartono dėžutė</w:t>
      </w:r>
      <w:r w:rsidR="00022A16" w:rsidRPr="00F50B84">
        <w:rPr>
          <w:b/>
          <w:noProof/>
          <w:sz w:val="22"/>
          <w:szCs w:val="22"/>
        </w:rPr>
        <w:t xml:space="preserve"> lizdinėms plokštelėms ir buteliuko etiketė</w:t>
      </w:r>
    </w:p>
    <w:p w14:paraId="55685283" w14:textId="77777777" w:rsidR="007E09CE" w:rsidRPr="00F50B84" w:rsidRDefault="007E09CE" w:rsidP="007E09CE">
      <w:pPr>
        <w:rPr>
          <w:sz w:val="22"/>
          <w:szCs w:val="22"/>
        </w:rPr>
      </w:pPr>
    </w:p>
    <w:p w14:paraId="1E3257CA" w14:textId="77777777" w:rsidR="007E09CE" w:rsidRPr="00F50B84" w:rsidRDefault="007E09CE" w:rsidP="007E09CE">
      <w:pPr>
        <w:rPr>
          <w:noProof/>
          <w:sz w:val="22"/>
          <w:szCs w:val="22"/>
        </w:rPr>
      </w:pPr>
    </w:p>
    <w:p w14:paraId="0C5E9EF4"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50B84">
        <w:rPr>
          <w:b/>
          <w:sz w:val="22"/>
          <w:szCs w:val="22"/>
        </w:rPr>
        <w:t>VAISTINIO PREPARATO PAVADINIMAS</w:t>
      </w:r>
    </w:p>
    <w:p w14:paraId="25049D75" w14:textId="77777777" w:rsidR="007E09CE" w:rsidRPr="00F50B84" w:rsidRDefault="007E09CE" w:rsidP="007E09CE">
      <w:pPr>
        <w:keepNext/>
        <w:rPr>
          <w:noProof/>
          <w:sz w:val="22"/>
          <w:szCs w:val="22"/>
        </w:rPr>
      </w:pPr>
    </w:p>
    <w:p w14:paraId="3D19486D" w14:textId="77777777" w:rsidR="007E09CE" w:rsidRPr="00F50B84" w:rsidRDefault="000C4DBA" w:rsidP="007E09CE">
      <w:pPr>
        <w:rPr>
          <w:noProof/>
          <w:sz w:val="22"/>
          <w:szCs w:val="22"/>
        </w:rPr>
      </w:pPr>
      <w:r w:rsidRPr="00F50B84">
        <w:rPr>
          <w:sz w:val="22"/>
          <w:szCs w:val="22"/>
        </w:rPr>
        <w:t>Darunavir Teva 400</w:t>
      </w:r>
      <w:r w:rsidR="00F93D8C">
        <w:rPr>
          <w:sz w:val="22"/>
          <w:szCs w:val="22"/>
        </w:rPr>
        <w:t> </w:t>
      </w:r>
      <w:r w:rsidRPr="00F50B84">
        <w:rPr>
          <w:sz w:val="22"/>
          <w:szCs w:val="22"/>
        </w:rPr>
        <w:t>mg plėvele dengtos tabletės</w:t>
      </w:r>
      <w:r w:rsidR="007E09CE" w:rsidRPr="00F50B84">
        <w:rPr>
          <w:sz w:val="22"/>
          <w:szCs w:val="22"/>
        </w:rPr>
        <w:t xml:space="preserve"> </w:t>
      </w:r>
    </w:p>
    <w:p w14:paraId="0DFC5CE9" w14:textId="77777777" w:rsidR="007E09CE" w:rsidRPr="00F50B84" w:rsidRDefault="000C4DBA" w:rsidP="007E09CE">
      <w:pPr>
        <w:rPr>
          <w:b/>
          <w:sz w:val="22"/>
          <w:szCs w:val="22"/>
        </w:rPr>
      </w:pPr>
      <w:r w:rsidRPr="00F50B84">
        <w:rPr>
          <w:sz w:val="22"/>
          <w:szCs w:val="22"/>
        </w:rPr>
        <w:t>Darunavirum</w:t>
      </w:r>
      <w:r w:rsidR="007E09CE" w:rsidRPr="00F50B84">
        <w:rPr>
          <w:b/>
          <w:sz w:val="22"/>
          <w:szCs w:val="22"/>
        </w:rPr>
        <w:t xml:space="preserve"> </w:t>
      </w:r>
    </w:p>
    <w:p w14:paraId="25850BEC" w14:textId="77777777" w:rsidR="007E09CE" w:rsidRPr="00F50B84" w:rsidRDefault="007E09CE" w:rsidP="007E09CE">
      <w:pPr>
        <w:rPr>
          <w:noProof/>
          <w:sz w:val="22"/>
          <w:szCs w:val="22"/>
        </w:rPr>
      </w:pPr>
    </w:p>
    <w:p w14:paraId="7C2715D4" w14:textId="77777777" w:rsidR="007E09CE" w:rsidRPr="00F50B84" w:rsidRDefault="007E09CE" w:rsidP="007E09CE">
      <w:pPr>
        <w:rPr>
          <w:noProof/>
          <w:sz w:val="22"/>
          <w:szCs w:val="22"/>
        </w:rPr>
      </w:pPr>
    </w:p>
    <w:p w14:paraId="027D4F98"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50B84">
        <w:rPr>
          <w:b/>
          <w:noProof/>
          <w:sz w:val="22"/>
          <w:szCs w:val="22"/>
        </w:rPr>
        <w:t>VEIKLIOJI (-IOS) MEDŽIAGA (-OS) IR JOS (-Ų) KIEKIS (-IAI)</w:t>
      </w:r>
    </w:p>
    <w:p w14:paraId="1C632B26" w14:textId="77777777" w:rsidR="007E09CE" w:rsidRPr="00F50B84" w:rsidRDefault="007E09CE" w:rsidP="007E09CE">
      <w:pPr>
        <w:keepNext/>
        <w:rPr>
          <w:noProof/>
          <w:sz w:val="22"/>
          <w:szCs w:val="22"/>
        </w:rPr>
      </w:pPr>
    </w:p>
    <w:p w14:paraId="237B1BBD" w14:textId="77777777" w:rsidR="007E09CE" w:rsidRPr="00F50B84" w:rsidRDefault="000C4DBA" w:rsidP="007E09CE">
      <w:pPr>
        <w:rPr>
          <w:rFonts w:eastAsia="TimesNewRoman"/>
          <w:sz w:val="22"/>
          <w:szCs w:val="22"/>
          <w:lang w:val="lt-LT" w:eastAsia="en-US"/>
        </w:rPr>
      </w:pPr>
      <w:r w:rsidRPr="00F50B84">
        <w:rPr>
          <w:rFonts w:eastAsia="TimesNewRoman"/>
          <w:sz w:val="22"/>
          <w:szCs w:val="22"/>
          <w:lang w:val="lt-LT" w:eastAsia="en-US"/>
        </w:rPr>
        <w:t>Kiekvienoje plėvele dengtoje tabletėje yra 400 mg darunaviro.</w:t>
      </w:r>
    </w:p>
    <w:p w14:paraId="44E3DE5A" w14:textId="77777777" w:rsidR="000C4DBA" w:rsidRPr="00F50B84" w:rsidRDefault="000C4DBA" w:rsidP="007E09CE">
      <w:pPr>
        <w:rPr>
          <w:noProof/>
          <w:sz w:val="22"/>
          <w:szCs w:val="22"/>
        </w:rPr>
      </w:pPr>
    </w:p>
    <w:p w14:paraId="74D6017A" w14:textId="77777777" w:rsidR="007E09CE" w:rsidRPr="00F50B84" w:rsidRDefault="007E09CE" w:rsidP="007E09CE">
      <w:pPr>
        <w:rPr>
          <w:noProof/>
          <w:sz w:val="22"/>
          <w:szCs w:val="22"/>
        </w:rPr>
      </w:pPr>
    </w:p>
    <w:p w14:paraId="51039CE8"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PAGALBINIŲ MEDŽIAGŲ SĄRAŠAS</w:t>
      </w:r>
    </w:p>
    <w:p w14:paraId="12A7463A" w14:textId="77777777" w:rsidR="007E09CE" w:rsidRPr="00F50B84" w:rsidRDefault="007E09CE" w:rsidP="007E09CE">
      <w:pPr>
        <w:rPr>
          <w:noProof/>
          <w:sz w:val="22"/>
          <w:szCs w:val="22"/>
        </w:rPr>
      </w:pPr>
    </w:p>
    <w:p w14:paraId="363DDFA9" w14:textId="77777777" w:rsidR="007E09CE" w:rsidRPr="00F50B84" w:rsidRDefault="007E09CE" w:rsidP="007E09CE">
      <w:pPr>
        <w:rPr>
          <w:noProof/>
          <w:sz w:val="22"/>
          <w:szCs w:val="22"/>
        </w:rPr>
      </w:pPr>
    </w:p>
    <w:p w14:paraId="7EBA1FE5"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FARMACINĖ FORMA IR KIEKIS PAKUOTĖJE</w:t>
      </w:r>
    </w:p>
    <w:p w14:paraId="45669BA9" w14:textId="77777777" w:rsidR="007E09CE" w:rsidRPr="00F50B84" w:rsidRDefault="007E09CE" w:rsidP="007E09CE">
      <w:pPr>
        <w:rPr>
          <w:noProof/>
          <w:sz w:val="22"/>
          <w:szCs w:val="22"/>
        </w:rPr>
      </w:pPr>
    </w:p>
    <w:p w14:paraId="0C6E8BD2" w14:textId="77777777" w:rsidR="007E09CE" w:rsidRPr="00F50B84" w:rsidRDefault="005C2964" w:rsidP="007E09CE">
      <w:pPr>
        <w:rPr>
          <w:noProof/>
          <w:sz w:val="22"/>
          <w:szCs w:val="22"/>
        </w:rPr>
      </w:pPr>
      <w:r w:rsidRPr="00F50B84">
        <w:rPr>
          <w:noProof/>
          <w:sz w:val="22"/>
          <w:szCs w:val="22"/>
        </w:rPr>
        <w:t>Plėvele dengta tabletė</w:t>
      </w:r>
    </w:p>
    <w:p w14:paraId="07F6C093" w14:textId="77777777" w:rsidR="005C2964" w:rsidRPr="00F50B84" w:rsidRDefault="005C2964" w:rsidP="007E09CE">
      <w:pPr>
        <w:rPr>
          <w:noProof/>
          <w:sz w:val="22"/>
          <w:szCs w:val="22"/>
        </w:rPr>
      </w:pPr>
    </w:p>
    <w:p w14:paraId="20466D3E" w14:textId="77777777" w:rsidR="005C2964" w:rsidRPr="00F50B84" w:rsidRDefault="004C4D39" w:rsidP="007E09CE">
      <w:pPr>
        <w:rPr>
          <w:noProof/>
          <w:sz w:val="22"/>
          <w:szCs w:val="22"/>
        </w:rPr>
      </w:pPr>
      <w:r>
        <w:rPr>
          <w:noProof/>
          <w:sz w:val="22"/>
          <w:szCs w:val="22"/>
        </w:rPr>
        <w:t>[</w:t>
      </w:r>
      <w:r w:rsidR="005C2964" w:rsidRPr="00DD4E66">
        <w:rPr>
          <w:i/>
          <w:noProof/>
          <w:sz w:val="22"/>
          <w:szCs w:val="22"/>
        </w:rPr>
        <w:t>Lizdin</w:t>
      </w:r>
      <w:r w:rsidRPr="00DD4E66">
        <w:rPr>
          <w:i/>
          <w:noProof/>
          <w:sz w:val="22"/>
          <w:szCs w:val="22"/>
        </w:rPr>
        <w:t>ių</w:t>
      </w:r>
      <w:r w:rsidR="005C2964" w:rsidRPr="00DD4E66">
        <w:rPr>
          <w:i/>
          <w:noProof/>
          <w:sz w:val="22"/>
          <w:szCs w:val="22"/>
        </w:rPr>
        <w:t xml:space="preserve"> plokštel</w:t>
      </w:r>
      <w:r w:rsidR="005D38B1" w:rsidRPr="00DD4E66">
        <w:rPr>
          <w:i/>
          <w:noProof/>
          <w:sz w:val="22"/>
          <w:szCs w:val="22"/>
        </w:rPr>
        <w:t>ių pakuotė</w:t>
      </w:r>
      <w:r>
        <w:rPr>
          <w:noProof/>
          <w:sz w:val="22"/>
          <w:szCs w:val="22"/>
        </w:rPr>
        <w:t>]</w:t>
      </w:r>
    </w:p>
    <w:p w14:paraId="48D9B2F2" w14:textId="77777777" w:rsidR="006D2DE3" w:rsidRPr="00F50B84" w:rsidRDefault="006D2DE3" w:rsidP="007E09CE">
      <w:pPr>
        <w:rPr>
          <w:noProof/>
          <w:sz w:val="22"/>
          <w:szCs w:val="22"/>
        </w:rPr>
      </w:pPr>
      <w:r w:rsidRPr="00F50B84">
        <w:rPr>
          <w:noProof/>
          <w:sz w:val="22"/>
          <w:szCs w:val="22"/>
        </w:rPr>
        <w:t>20 plėvele dengtų tablečių</w:t>
      </w:r>
    </w:p>
    <w:p w14:paraId="62B2DC6E" w14:textId="77777777" w:rsidR="006D2DE3" w:rsidRPr="00E34993" w:rsidRDefault="006D2DE3" w:rsidP="007E09CE">
      <w:pPr>
        <w:rPr>
          <w:sz w:val="22"/>
          <w:highlight w:val="lightGray"/>
        </w:rPr>
      </w:pPr>
      <w:r w:rsidRPr="00E34993">
        <w:rPr>
          <w:sz w:val="22"/>
          <w:highlight w:val="lightGray"/>
        </w:rPr>
        <w:t>20x1 plėvele dengtų tablečių</w:t>
      </w:r>
    </w:p>
    <w:p w14:paraId="02BF6518" w14:textId="77777777" w:rsidR="006D2DE3" w:rsidRPr="00E34993" w:rsidRDefault="006D2DE3" w:rsidP="007E09CE">
      <w:pPr>
        <w:rPr>
          <w:sz w:val="22"/>
          <w:highlight w:val="lightGray"/>
        </w:rPr>
      </w:pPr>
      <w:r w:rsidRPr="00E34993">
        <w:rPr>
          <w:sz w:val="22"/>
          <w:highlight w:val="lightGray"/>
        </w:rPr>
        <w:t>60 plėvele dengtų tablečių</w:t>
      </w:r>
    </w:p>
    <w:p w14:paraId="03960A3C" w14:textId="77777777" w:rsidR="006D2DE3" w:rsidRPr="00E34993" w:rsidRDefault="006D2DE3" w:rsidP="007E09CE">
      <w:pPr>
        <w:rPr>
          <w:sz w:val="22"/>
          <w:highlight w:val="lightGray"/>
        </w:rPr>
      </w:pPr>
      <w:r w:rsidRPr="00E34993">
        <w:rPr>
          <w:sz w:val="22"/>
          <w:highlight w:val="lightGray"/>
        </w:rPr>
        <w:t>60x1 plėvele dengtų tablečių</w:t>
      </w:r>
    </w:p>
    <w:p w14:paraId="2E136256" w14:textId="77777777" w:rsidR="006D2DE3" w:rsidRPr="00E34993" w:rsidRDefault="006D2DE3" w:rsidP="007E09CE">
      <w:pPr>
        <w:rPr>
          <w:sz w:val="22"/>
          <w:highlight w:val="lightGray"/>
        </w:rPr>
      </w:pPr>
      <w:r w:rsidRPr="00E34993">
        <w:rPr>
          <w:sz w:val="22"/>
          <w:highlight w:val="lightGray"/>
        </w:rPr>
        <w:t>200 plėvele dengtų tablečių</w:t>
      </w:r>
    </w:p>
    <w:p w14:paraId="38B0531A" w14:textId="77777777" w:rsidR="006D2DE3" w:rsidRPr="00E34993" w:rsidRDefault="006D2DE3" w:rsidP="007E09CE">
      <w:pPr>
        <w:rPr>
          <w:sz w:val="22"/>
          <w:highlight w:val="lightGray"/>
        </w:rPr>
      </w:pPr>
      <w:r w:rsidRPr="00E34993">
        <w:rPr>
          <w:sz w:val="22"/>
          <w:highlight w:val="lightGray"/>
        </w:rPr>
        <w:t>200x1 plėvele dengtų tablečių</w:t>
      </w:r>
    </w:p>
    <w:p w14:paraId="5F70DD2E" w14:textId="77777777" w:rsidR="006D2DE3" w:rsidRPr="00E34993" w:rsidRDefault="006D2DE3" w:rsidP="007E09CE">
      <w:pPr>
        <w:rPr>
          <w:sz w:val="22"/>
          <w:highlight w:val="lightGray"/>
        </w:rPr>
      </w:pPr>
      <w:r w:rsidRPr="00E34993">
        <w:rPr>
          <w:sz w:val="22"/>
          <w:highlight w:val="lightGray"/>
        </w:rPr>
        <w:t>240 plėvele dengtų tablečių</w:t>
      </w:r>
    </w:p>
    <w:p w14:paraId="07E20FDF" w14:textId="77777777" w:rsidR="006D2DE3" w:rsidRPr="00F50B84" w:rsidRDefault="006D2DE3" w:rsidP="007E09CE">
      <w:pPr>
        <w:rPr>
          <w:noProof/>
          <w:sz w:val="22"/>
          <w:szCs w:val="22"/>
        </w:rPr>
      </w:pPr>
      <w:r w:rsidRPr="00E34993">
        <w:rPr>
          <w:sz w:val="22"/>
          <w:highlight w:val="lightGray"/>
        </w:rPr>
        <w:t>240x1 plėvele dengtų tablečių</w:t>
      </w:r>
    </w:p>
    <w:p w14:paraId="06878F8B" w14:textId="77777777" w:rsidR="006D2DE3" w:rsidRPr="00F50B84" w:rsidRDefault="006D2DE3" w:rsidP="007E09CE">
      <w:pPr>
        <w:rPr>
          <w:noProof/>
          <w:sz w:val="22"/>
          <w:szCs w:val="22"/>
        </w:rPr>
      </w:pPr>
    </w:p>
    <w:p w14:paraId="199A7D72" w14:textId="77777777" w:rsidR="006D2DE3" w:rsidRPr="00F50B84" w:rsidRDefault="004C4D39" w:rsidP="007E09CE">
      <w:pPr>
        <w:rPr>
          <w:noProof/>
          <w:sz w:val="22"/>
          <w:szCs w:val="22"/>
        </w:rPr>
      </w:pPr>
      <w:r>
        <w:rPr>
          <w:noProof/>
          <w:sz w:val="22"/>
          <w:szCs w:val="22"/>
        </w:rPr>
        <w:t>[</w:t>
      </w:r>
      <w:r w:rsidR="006D2DE3" w:rsidRPr="00DD4E66">
        <w:rPr>
          <w:i/>
          <w:noProof/>
          <w:sz w:val="22"/>
          <w:szCs w:val="22"/>
        </w:rPr>
        <w:t>Buteliuk</w:t>
      </w:r>
      <w:r w:rsidR="005D38B1" w:rsidRPr="00DD4E66">
        <w:rPr>
          <w:i/>
          <w:noProof/>
          <w:sz w:val="22"/>
          <w:szCs w:val="22"/>
        </w:rPr>
        <w:t>ų pakuotė</w:t>
      </w:r>
      <w:r>
        <w:rPr>
          <w:noProof/>
          <w:sz w:val="22"/>
          <w:szCs w:val="22"/>
        </w:rPr>
        <w:t>]</w:t>
      </w:r>
    </w:p>
    <w:p w14:paraId="56CB4FDC" w14:textId="77777777" w:rsidR="006D2DE3" w:rsidRPr="00F50B84" w:rsidRDefault="006D2DE3" w:rsidP="007E09CE">
      <w:pPr>
        <w:rPr>
          <w:noProof/>
          <w:sz w:val="22"/>
          <w:szCs w:val="22"/>
        </w:rPr>
      </w:pPr>
      <w:r w:rsidRPr="00F50B84">
        <w:rPr>
          <w:noProof/>
          <w:sz w:val="22"/>
          <w:szCs w:val="22"/>
        </w:rPr>
        <w:t>60 plėvele dengtų tablečių</w:t>
      </w:r>
    </w:p>
    <w:p w14:paraId="50C395C5" w14:textId="77777777" w:rsidR="006D2DE3" w:rsidRPr="00E34993" w:rsidRDefault="006D2DE3" w:rsidP="007E09CE">
      <w:pPr>
        <w:rPr>
          <w:sz w:val="22"/>
          <w:highlight w:val="lightGray"/>
        </w:rPr>
      </w:pPr>
      <w:r w:rsidRPr="00E34993">
        <w:rPr>
          <w:sz w:val="22"/>
          <w:highlight w:val="lightGray"/>
        </w:rPr>
        <w:t>180 (60x3) plėvele dengtų tablečių</w:t>
      </w:r>
    </w:p>
    <w:p w14:paraId="7A558127" w14:textId="77777777" w:rsidR="006D2DE3" w:rsidRPr="00F50B84" w:rsidRDefault="006D2DE3" w:rsidP="007E09CE">
      <w:pPr>
        <w:rPr>
          <w:noProof/>
          <w:sz w:val="22"/>
          <w:szCs w:val="22"/>
        </w:rPr>
      </w:pPr>
      <w:r w:rsidRPr="00E34993">
        <w:rPr>
          <w:sz w:val="22"/>
          <w:highlight w:val="lightGray"/>
        </w:rPr>
        <w:t>200 plėvele dengtų tablečių</w:t>
      </w:r>
    </w:p>
    <w:p w14:paraId="3D48A629" w14:textId="77777777" w:rsidR="006D2DE3" w:rsidRPr="00F50B84" w:rsidRDefault="006D2DE3" w:rsidP="007E09CE">
      <w:pPr>
        <w:rPr>
          <w:noProof/>
          <w:sz w:val="22"/>
          <w:szCs w:val="22"/>
        </w:rPr>
      </w:pPr>
    </w:p>
    <w:p w14:paraId="271B4970" w14:textId="77777777" w:rsidR="005C2964" w:rsidRPr="00F50B84" w:rsidRDefault="005C2964" w:rsidP="007E09CE">
      <w:pPr>
        <w:rPr>
          <w:noProof/>
          <w:sz w:val="22"/>
          <w:szCs w:val="22"/>
        </w:rPr>
      </w:pPr>
    </w:p>
    <w:p w14:paraId="5CDD1FA8"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VARTOJIMO METODAS IR BŪDAS (-AI)</w:t>
      </w:r>
    </w:p>
    <w:p w14:paraId="2A14654C" w14:textId="77777777" w:rsidR="007E09CE" w:rsidRPr="00F50B84" w:rsidRDefault="007E09CE" w:rsidP="007E09CE">
      <w:pPr>
        <w:keepNext/>
        <w:rPr>
          <w:noProof/>
          <w:sz w:val="22"/>
          <w:szCs w:val="22"/>
        </w:rPr>
      </w:pPr>
    </w:p>
    <w:p w14:paraId="6B7ED259" w14:textId="77777777" w:rsidR="006D2DE3" w:rsidRPr="00F50B84" w:rsidRDefault="006D2DE3" w:rsidP="007E09CE">
      <w:pPr>
        <w:rPr>
          <w:sz w:val="22"/>
          <w:szCs w:val="22"/>
        </w:rPr>
      </w:pPr>
      <w:r w:rsidRPr="00F50B84">
        <w:rPr>
          <w:sz w:val="22"/>
          <w:szCs w:val="22"/>
        </w:rPr>
        <w:t>Vartoti per burną.</w:t>
      </w:r>
    </w:p>
    <w:p w14:paraId="7B5893F1" w14:textId="77777777" w:rsidR="007E09CE" w:rsidRPr="00F50B84" w:rsidRDefault="007E09CE" w:rsidP="007E09CE">
      <w:pPr>
        <w:rPr>
          <w:noProof/>
          <w:sz w:val="22"/>
          <w:szCs w:val="22"/>
        </w:rPr>
      </w:pPr>
      <w:r w:rsidRPr="00F50B84">
        <w:rPr>
          <w:sz w:val="22"/>
          <w:szCs w:val="22"/>
        </w:rPr>
        <w:t>Prieš vartojimą perskaitykite pakuotės lapelį.</w:t>
      </w:r>
    </w:p>
    <w:p w14:paraId="10308F3F" w14:textId="77777777" w:rsidR="007E09CE" w:rsidRPr="00F50B84" w:rsidRDefault="007E09CE" w:rsidP="007E09CE">
      <w:pPr>
        <w:rPr>
          <w:noProof/>
          <w:sz w:val="22"/>
          <w:szCs w:val="22"/>
        </w:rPr>
      </w:pPr>
    </w:p>
    <w:p w14:paraId="31F41FC1" w14:textId="77777777" w:rsidR="007E09CE" w:rsidRPr="00F50B84" w:rsidRDefault="007E09CE" w:rsidP="007E09CE">
      <w:pPr>
        <w:rPr>
          <w:noProof/>
          <w:sz w:val="22"/>
          <w:szCs w:val="22"/>
        </w:rPr>
      </w:pPr>
    </w:p>
    <w:p w14:paraId="7D730DF8"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SPECIALUS ĮSPĖJIMAS, KAD VAISTINĮ PREPARATĄ BŪTINA LAIKYTI VAIKAMS NEPASTEBIMOJE IR NEPASIEKIAMOJE VIETOJE</w:t>
      </w:r>
    </w:p>
    <w:p w14:paraId="41EBE1A6" w14:textId="77777777" w:rsidR="007E09CE" w:rsidRPr="00F50B84" w:rsidRDefault="007E09CE" w:rsidP="007E09CE">
      <w:pPr>
        <w:keepNext/>
        <w:rPr>
          <w:noProof/>
          <w:sz w:val="22"/>
          <w:szCs w:val="22"/>
        </w:rPr>
      </w:pPr>
    </w:p>
    <w:p w14:paraId="113C6F34" w14:textId="77777777" w:rsidR="007E09CE" w:rsidRPr="00F50B84" w:rsidRDefault="007E09CE" w:rsidP="007E09CE">
      <w:pPr>
        <w:outlineLvl w:val="0"/>
        <w:rPr>
          <w:noProof/>
          <w:sz w:val="22"/>
          <w:szCs w:val="22"/>
        </w:rPr>
      </w:pPr>
      <w:r w:rsidRPr="00F50B84">
        <w:rPr>
          <w:sz w:val="22"/>
          <w:szCs w:val="22"/>
        </w:rPr>
        <w:t>Laikyti vaikams nepastebimoje ir nepasiekiamoje vietoje.</w:t>
      </w:r>
    </w:p>
    <w:p w14:paraId="5682E5D2" w14:textId="77777777" w:rsidR="007E09CE" w:rsidRPr="00F50B84" w:rsidRDefault="007E09CE" w:rsidP="007E09CE">
      <w:pPr>
        <w:rPr>
          <w:noProof/>
          <w:sz w:val="22"/>
          <w:szCs w:val="22"/>
        </w:rPr>
      </w:pPr>
    </w:p>
    <w:p w14:paraId="76B79183" w14:textId="77777777" w:rsidR="007E09CE" w:rsidRPr="00F50B84" w:rsidRDefault="007E09CE" w:rsidP="007E09CE">
      <w:pPr>
        <w:rPr>
          <w:noProof/>
          <w:sz w:val="22"/>
          <w:szCs w:val="22"/>
        </w:rPr>
      </w:pPr>
    </w:p>
    <w:p w14:paraId="7B5641D4"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KITAS (-I) SPECIALUS (-ŪS) ĮSPĖJIMAS (-AI) (JEI REIKIA)</w:t>
      </w:r>
    </w:p>
    <w:p w14:paraId="372849F1" w14:textId="77777777" w:rsidR="007E09CE" w:rsidRPr="00F50B84" w:rsidRDefault="007E09CE" w:rsidP="007E09CE">
      <w:pPr>
        <w:keepNext/>
        <w:rPr>
          <w:noProof/>
          <w:sz w:val="22"/>
          <w:szCs w:val="22"/>
        </w:rPr>
      </w:pPr>
    </w:p>
    <w:p w14:paraId="1FA979FF" w14:textId="77777777" w:rsidR="007E09CE" w:rsidRPr="00F50B84" w:rsidRDefault="007E09CE" w:rsidP="007E09CE">
      <w:pPr>
        <w:tabs>
          <w:tab w:val="left" w:pos="749"/>
        </w:tabs>
        <w:rPr>
          <w:sz w:val="22"/>
          <w:szCs w:val="22"/>
        </w:rPr>
      </w:pPr>
    </w:p>
    <w:p w14:paraId="43B9DE23"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F50B84">
        <w:rPr>
          <w:b/>
          <w:sz w:val="22"/>
          <w:szCs w:val="22"/>
        </w:rPr>
        <w:t>TINKAMUMO LAIKAS</w:t>
      </w:r>
    </w:p>
    <w:p w14:paraId="4C8BCEE3" w14:textId="77777777" w:rsidR="007E09CE" w:rsidRPr="00F50B84" w:rsidRDefault="007E09CE" w:rsidP="007E09CE">
      <w:pPr>
        <w:keepNext/>
        <w:rPr>
          <w:sz w:val="22"/>
          <w:szCs w:val="22"/>
        </w:rPr>
      </w:pPr>
    </w:p>
    <w:p w14:paraId="2A8CC311" w14:textId="77777777" w:rsidR="007E09CE" w:rsidRPr="00F50B84" w:rsidRDefault="006D2DE3" w:rsidP="007E09CE">
      <w:pPr>
        <w:rPr>
          <w:noProof/>
          <w:sz w:val="22"/>
          <w:szCs w:val="22"/>
        </w:rPr>
      </w:pPr>
      <w:r w:rsidRPr="00F50B84">
        <w:rPr>
          <w:noProof/>
          <w:sz w:val="22"/>
          <w:szCs w:val="22"/>
        </w:rPr>
        <w:t>Tinka ik</w:t>
      </w:r>
      <w:r w:rsidR="004C4D39">
        <w:rPr>
          <w:noProof/>
          <w:sz w:val="22"/>
          <w:szCs w:val="22"/>
        </w:rPr>
        <w:t>i</w:t>
      </w:r>
      <w:r w:rsidRPr="00F50B84">
        <w:rPr>
          <w:noProof/>
          <w:sz w:val="22"/>
          <w:szCs w:val="22"/>
        </w:rPr>
        <w:t xml:space="preserve"> {mm MMMM}</w:t>
      </w:r>
    </w:p>
    <w:p w14:paraId="75242C87" w14:textId="77777777" w:rsidR="006D2DE3" w:rsidRDefault="006D2DE3" w:rsidP="007E09CE">
      <w:pPr>
        <w:rPr>
          <w:noProof/>
          <w:sz w:val="22"/>
          <w:szCs w:val="22"/>
        </w:rPr>
      </w:pPr>
    </w:p>
    <w:p w14:paraId="07CD3095" w14:textId="77777777" w:rsidR="004C4D39" w:rsidRPr="00F50B84" w:rsidRDefault="004C4D39" w:rsidP="007E09CE">
      <w:pPr>
        <w:rPr>
          <w:noProof/>
          <w:sz w:val="22"/>
          <w:szCs w:val="22"/>
        </w:rPr>
      </w:pPr>
    </w:p>
    <w:p w14:paraId="65CD6937"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SPECIALIOS LAIKYMO SĄLYGOS</w:t>
      </w:r>
    </w:p>
    <w:p w14:paraId="144A5FD0" w14:textId="77777777" w:rsidR="007E09CE" w:rsidRPr="00F50B84" w:rsidRDefault="007E09CE" w:rsidP="007E09CE">
      <w:pPr>
        <w:keepNext/>
        <w:rPr>
          <w:noProof/>
          <w:sz w:val="22"/>
          <w:szCs w:val="22"/>
        </w:rPr>
      </w:pPr>
    </w:p>
    <w:p w14:paraId="044A7992" w14:textId="77777777" w:rsidR="007E09CE" w:rsidRPr="00F50B84" w:rsidRDefault="007E09CE" w:rsidP="007E09CE">
      <w:pPr>
        <w:ind w:left="567" w:hanging="567"/>
        <w:rPr>
          <w:noProof/>
          <w:sz w:val="22"/>
          <w:szCs w:val="22"/>
        </w:rPr>
      </w:pPr>
    </w:p>
    <w:p w14:paraId="382682B2"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50B84">
        <w:rPr>
          <w:b/>
          <w:noProof/>
          <w:sz w:val="22"/>
          <w:szCs w:val="22"/>
        </w:rPr>
        <w:t>SPECIALIOS ATSARGUMO PRIEMONĖS DĖL NESUVARTOTO VAISTINIO PREPARATO AR JO ATLIEKŲ TVARKYMO (JEI REIKIA)</w:t>
      </w:r>
    </w:p>
    <w:p w14:paraId="3870CA65" w14:textId="77777777" w:rsidR="007E09CE" w:rsidRPr="00F50B84" w:rsidRDefault="007E09CE" w:rsidP="007E09CE">
      <w:pPr>
        <w:rPr>
          <w:noProof/>
          <w:sz w:val="22"/>
          <w:szCs w:val="22"/>
        </w:rPr>
      </w:pPr>
    </w:p>
    <w:p w14:paraId="5A115576" w14:textId="77777777" w:rsidR="007E09CE" w:rsidRPr="00F50B84" w:rsidRDefault="007E09CE" w:rsidP="007E09CE">
      <w:pPr>
        <w:rPr>
          <w:noProof/>
          <w:sz w:val="22"/>
          <w:szCs w:val="22"/>
        </w:rPr>
      </w:pPr>
    </w:p>
    <w:p w14:paraId="660888B9"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b/>
          <w:noProof/>
          <w:sz w:val="22"/>
          <w:szCs w:val="22"/>
        </w:rPr>
      </w:pPr>
      <w:r w:rsidRPr="00F50B84">
        <w:rPr>
          <w:b/>
          <w:noProof/>
          <w:sz w:val="22"/>
          <w:szCs w:val="22"/>
        </w:rPr>
        <w:t>REGISTRUOTOJO PAVADINIMAS IR ADRESAS</w:t>
      </w:r>
    </w:p>
    <w:p w14:paraId="707220E2" w14:textId="77777777" w:rsidR="007E09CE" w:rsidRPr="00F50B84" w:rsidRDefault="007E09CE" w:rsidP="007E09CE">
      <w:pPr>
        <w:rPr>
          <w:noProof/>
          <w:sz w:val="22"/>
          <w:szCs w:val="22"/>
        </w:rPr>
      </w:pPr>
    </w:p>
    <w:p w14:paraId="65646BB8" w14:textId="77777777" w:rsidR="00022A16" w:rsidRPr="00F50B84" w:rsidRDefault="00022A16" w:rsidP="00022A16">
      <w:pPr>
        <w:shd w:val="clear" w:color="auto" w:fill="FFFFFF"/>
        <w:rPr>
          <w:rFonts w:eastAsia="Times New Roman"/>
          <w:color w:val="000000"/>
          <w:sz w:val="22"/>
          <w:szCs w:val="22"/>
          <w:lang w:val="lt-LT" w:eastAsia="en-GB"/>
        </w:rPr>
      </w:pPr>
      <w:r w:rsidRPr="00F50B84">
        <w:rPr>
          <w:rFonts w:eastAsia="Times New Roman"/>
          <w:color w:val="000000"/>
          <w:sz w:val="22"/>
          <w:szCs w:val="22"/>
          <w:lang w:val="lt-LT" w:eastAsia="en-GB"/>
        </w:rPr>
        <w:t>Teva B.V.</w:t>
      </w:r>
    </w:p>
    <w:p w14:paraId="58856828" w14:textId="77777777" w:rsidR="00022A16" w:rsidRPr="00F50B84" w:rsidRDefault="00022A16" w:rsidP="00022A16">
      <w:pPr>
        <w:shd w:val="clear" w:color="auto" w:fill="FFFFFF"/>
        <w:rPr>
          <w:rFonts w:eastAsia="Times New Roman"/>
          <w:color w:val="000000"/>
          <w:sz w:val="22"/>
          <w:szCs w:val="22"/>
          <w:lang w:val="lt-LT" w:eastAsia="en-GB"/>
        </w:rPr>
      </w:pPr>
      <w:r w:rsidRPr="00F50B84">
        <w:rPr>
          <w:rFonts w:eastAsia="Times New Roman"/>
          <w:color w:val="000000"/>
          <w:sz w:val="22"/>
          <w:szCs w:val="22"/>
          <w:lang w:val="lt-LT" w:eastAsia="en-GB"/>
        </w:rPr>
        <w:t>Swensweg 5</w:t>
      </w:r>
    </w:p>
    <w:p w14:paraId="10F9991B" w14:textId="77777777" w:rsidR="00022A16" w:rsidRPr="00F50B84" w:rsidRDefault="00022A16" w:rsidP="00022A16">
      <w:pPr>
        <w:shd w:val="clear" w:color="auto" w:fill="FFFFFF"/>
        <w:rPr>
          <w:rFonts w:eastAsia="Times New Roman"/>
          <w:color w:val="000000"/>
          <w:sz w:val="22"/>
          <w:szCs w:val="22"/>
          <w:lang w:val="lt-LT" w:eastAsia="en-GB"/>
        </w:rPr>
      </w:pPr>
      <w:r w:rsidRPr="00F50B84">
        <w:rPr>
          <w:rFonts w:eastAsia="Times New Roman"/>
          <w:color w:val="000000"/>
          <w:sz w:val="22"/>
          <w:szCs w:val="22"/>
          <w:lang w:val="lt-LT" w:eastAsia="en-GB"/>
        </w:rPr>
        <w:t>2031 GA, Haarlem</w:t>
      </w:r>
    </w:p>
    <w:p w14:paraId="52735ABA" w14:textId="77777777" w:rsidR="007E09CE" w:rsidRPr="00F50B84" w:rsidRDefault="00022A16" w:rsidP="00022A16">
      <w:pPr>
        <w:rPr>
          <w:noProof/>
          <w:sz w:val="22"/>
          <w:szCs w:val="22"/>
        </w:rPr>
      </w:pPr>
      <w:r w:rsidRPr="00F50B84">
        <w:rPr>
          <w:rFonts w:eastAsia="Times New Roman"/>
          <w:color w:val="000000"/>
          <w:sz w:val="22"/>
          <w:szCs w:val="22"/>
          <w:lang w:val="lt-LT" w:eastAsia="en-GB"/>
        </w:rPr>
        <w:t>Nyderlandai</w:t>
      </w:r>
      <w:r w:rsidR="007E09CE" w:rsidRPr="00F50B84">
        <w:rPr>
          <w:i/>
          <w:noProof/>
          <w:sz w:val="22"/>
          <w:szCs w:val="22"/>
        </w:rPr>
        <w:t xml:space="preserve"> </w:t>
      </w:r>
    </w:p>
    <w:p w14:paraId="2E6C7B12" w14:textId="77777777" w:rsidR="007E09CE" w:rsidRPr="00F50B84" w:rsidRDefault="007E09CE" w:rsidP="007E09CE">
      <w:pPr>
        <w:rPr>
          <w:noProof/>
          <w:sz w:val="22"/>
          <w:szCs w:val="22"/>
        </w:rPr>
      </w:pPr>
    </w:p>
    <w:p w14:paraId="12BA31CA" w14:textId="77777777" w:rsidR="007E09CE" w:rsidRPr="00F50B84" w:rsidRDefault="007E09CE" w:rsidP="007E09CE">
      <w:pPr>
        <w:rPr>
          <w:noProof/>
          <w:sz w:val="22"/>
          <w:szCs w:val="22"/>
        </w:rPr>
      </w:pPr>
    </w:p>
    <w:p w14:paraId="0C14DA78"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 xml:space="preserve">REGISTRACIJOS PAŽYMĖJIMO NUMERIS (-IAI) </w:t>
      </w:r>
    </w:p>
    <w:p w14:paraId="170DD708" w14:textId="77777777" w:rsidR="007E09CE" w:rsidRPr="00F50B84" w:rsidRDefault="007E09CE" w:rsidP="007E09CE">
      <w:pPr>
        <w:rPr>
          <w:noProof/>
          <w:sz w:val="22"/>
          <w:szCs w:val="22"/>
        </w:rPr>
      </w:pPr>
    </w:p>
    <w:p w14:paraId="548D9BDA" w14:textId="77777777" w:rsidR="0014002C" w:rsidRPr="0014002C" w:rsidRDefault="0014002C" w:rsidP="0014002C">
      <w:pPr>
        <w:tabs>
          <w:tab w:val="left" w:pos="567"/>
        </w:tabs>
        <w:rPr>
          <w:rFonts w:eastAsia="Times New Roman"/>
          <w:noProof/>
          <w:sz w:val="22"/>
          <w:szCs w:val="22"/>
          <w:u w:val="single"/>
          <w:lang w:val="lt-LT" w:eastAsia="lt-LT" w:bidi="lt-LT"/>
        </w:rPr>
      </w:pPr>
      <w:r w:rsidRPr="0014002C">
        <w:rPr>
          <w:rFonts w:eastAsia="Times New Roman"/>
          <w:bCs/>
          <w:sz w:val="22"/>
          <w:szCs w:val="22"/>
          <w:u w:val="single"/>
          <w:lang w:val="lt-LT" w:eastAsia="en-US"/>
        </w:rPr>
        <w:t>Lizdinė plokštelė:</w:t>
      </w:r>
    </w:p>
    <w:p w14:paraId="57A0EA70"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N20 - </w:t>
      </w:r>
      <w:r w:rsidRPr="0014002C">
        <w:rPr>
          <w:rFonts w:eastAsia="Times New Roman"/>
          <w:sz w:val="22"/>
          <w:szCs w:val="22"/>
          <w:lang w:val="lt-LT" w:eastAsia="en-US"/>
        </w:rPr>
        <w:t>LT/1/17/4034/001</w:t>
      </w:r>
      <w:r w:rsidRPr="0014002C">
        <w:rPr>
          <w:rFonts w:eastAsia="Times New Roman"/>
          <w:bCs/>
          <w:sz w:val="22"/>
          <w:szCs w:val="22"/>
          <w:lang w:val="lt-LT" w:eastAsia="en-US"/>
        </w:rPr>
        <w:t xml:space="preserve"> </w:t>
      </w:r>
    </w:p>
    <w:p w14:paraId="534EA846"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N20x1 - </w:t>
      </w:r>
      <w:r w:rsidRPr="0014002C">
        <w:rPr>
          <w:rFonts w:eastAsia="Times New Roman"/>
          <w:sz w:val="22"/>
          <w:szCs w:val="22"/>
          <w:lang w:val="lt-LT" w:eastAsia="en-US"/>
        </w:rPr>
        <w:t>LT/1/17/4034/002</w:t>
      </w:r>
      <w:r w:rsidRPr="0014002C">
        <w:rPr>
          <w:rFonts w:eastAsia="Times New Roman"/>
          <w:bCs/>
          <w:sz w:val="22"/>
          <w:szCs w:val="22"/>
          <w:lang w:val="lt-LT" w:eastAsia="en-US"/>
        </w:rPr>
        <w:t xml:space="preserve"> </w:t>
      </w:r>
    </w:p>
    <w:p w14:paraId="0B9A5A41"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LT/1/17/4034/003</w:t>
      </w:r>
      <w:r w:rsidRPr="0014002C">
        <w:rPr>
          <w:rFonts w:eastAsia="Times New Roman"/>
          <w:bCs/>
          <w:sz w:val="22"/>
          <w:szCs w:val="22"/>
          <w:lang w:val="lt-LT" w:eastAsia="en-US"/>
        </w:rPr>
        <w:t xml:space="preserve"> </w:t>
      </w:r>
    </w:p>
    <w:p w14:paraId="3B851467"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N60x1 - </w:t>
      </w:r>
      <w:r w:rsidRPr="0014002C">
        <w:rPr>
          <w:rFonts w:eastAsia="Times New Roman"/>
          <w:sz w:val="22"/>
          <w:szCs w:val="22"/>
          <w:lang w:val="lt-LT" w:eastAsia="en-US"/>
        </w:rPr>
        <w:t>LT/1/17/4034/004</w:t>
      </w:r>
      <w:r w:rsidRPr="0014002C">
        <w:rPr>
          <w:rFonts w:eastAsia="Times New Roman"/>
          <w:bCs/>
          <w:sz w:val="22"/>
          <w:szCs w:val="22"/>
          <w:lang w:val="lt-LT" w:eastAsia="en-US"/>
        </w:rPr>
        <w:t xml:space="preserve"> </w:t>
      </w:r>
    </w:p>
    <w:p w14:paraId="7B6C945F"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LT/1/17/4034/005</w:t>
      </w:r>
      <w:r w:rsidRPr="0014002C">
        <w:rPr>
          <w:rFonts w:eastAsia="Times New Roman"/>
          <w:bCs/>
          <w:sz w:val="22"/>
          <w:szCs w:val="22"/>
          <w:lang w:val="lt-LT" w:eastAsia="en-US"/>
        </w:rPr>
        <w:t xml:space="preserve"> </w:t>
      </w:r>
    </w:p>
    <w:p w14:paraId="0F85025E"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N200x1 - </w:t>
      </w:r>
      <w:r w:rsidRPr="0014002C">
        <w:rPr>
          <w:rFonts w:eastAsia="Times New Roman"/>
          <w:sz w:val="22"/>
          <w:szCs w:val="22"/>
          <w:lang w:val="lt-LT" w:eastAsia="en-US"/>
        </w:rPr>
        <w:t>LT/1/17/4034/006</w:t>
      </w:r>
      <w:r w:rsidRPr="0014002C">
        <w:rPr>
          <w:rFonts w:eastAsia="Times New Roman"/>
          <w:bCs/>
          <w:sz w:val="22"/>
          <w:szCs w:val="22"/>
          <w:lang w:val="lt-LT" w:eastAsia="en-US"/>
        </w:rPr>
        <w:t xml:space="preserve"> </w:t>
      </w:r>
    </w:p>
    <w:p w14:paraId="7CB87B61"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N240 - </w:t>
      </w:r>
      <w:r w:rsidRPr="0014002C">
        <w:rPr>
          <w:rFonts w:eastAsia="Times New Roman"/>
          <w:sz w:val="22"/>
          <w:szCs w:val="22"/>
          <w:lang w:val="lt-LT" w:eastAsia="en-US"/>
        </w:rPr>
        <w:t>LT/1/17/4034/007</w:t>
      </w:r>
      <w:r w:rsidRPr="0014002C">
        <w:rPr>
          <w:rFonts w:eastAsia="Times New Roman"/>
          <w:bCs/>
          <w:sz w:val="22"/>
          <w:szCs w:val="22"/>
          <w:lang w:val="lt-LT" w:eastAsia="en-US"/>
        </w:rPr>
        <w:t xml:space="preserve"> </w:t>
      </w:r>
    </w:p>
    <w:p w14:paraId="4C623106" w14:textId="77777777" w:rsidR="0014002C" w:rsidRDefault="0014002C" w:rsidP="0014002C">
      <w:pPr>
        <w:rPr>
          <w:rFonts w:eastAsia="Times New Roman"/>
          <w:bCs/>
          <w:sz w:val="22"/>
          <w:szCs w:val="22"/>
          <w:lang w:val="lt-LT" w:eastAsia="en-US"/>
        </w:rPr>
      </w:pPr>
      <w:r>
        <w:rPr>
          <w:rFonts w:eastAsia="Times New Roman"/>
          <w:sz w:val="22"/>
          <w:szCs w:val="22"/>
          <w:lang w:val="lt-LT" w:eastAsia="en-US"/>
        </w:rPr>
        <w:t xml:space="preserve">N240x1 - </w:t>
      </w:r>
      <w:r w:rsidRPr="0014002C">
        <w:rPr>
          <w:rFonts w:eastAsia="Times New Roman"/>
          <w:sz w:val="22"/>
          <w:szCs w:val="22"/>
          <w:lang w:val="lt-LT" w:eastAsia="en-US"/>
        </w:rPr>
        <w:t>LT/1/17/4034/008</w:t>
      </w:r>
      <w:r w:rsidRPr="0014002C">
        <w:rPr>
          <w:rFonts w:eastAsia="Times New Roman"/>
          <w:bCs/>
          <w:sz w:val="22"/>
          <w:szCs w:val="22"/>
          <w:lang w:val="lt-LT" w:eastAsia="en-US"/>
        </w:rPr>
        <w:t xml:space="preserve"> </w:t>
      </w:r>
    </w:p>
    <w:p w14:paraId="6DFF8586" w14:textId="77777777" w:rsidR="0014002C" w:rsidRPr="0014002C" w:rsidRDefault="0014002C" w:rsidP="0014002C">
      <w:pPr>
        <w:rPr>
          <w:rFonts w:eastAsia="Times New Roman"/>
          <w:bCs/>
          <w:sz w:val="22"/>
          <w:szCs w:val="22"/>
          <w:u w:val="single"/>
          <w:lang w:val="lt-LT" w:eastAsia="en-US"/>
        </w:rPr>
      </w:pPr>
      <w:r w:rsidRPr="0014002C">
        <w:rPr>
          <w:rFonts w:eastAsia="Times New Roman"/>
          <w:bCs/>
          <w:sz w:val="22"/>
          <w:szCs w:val="22"/>
          <w:u w:val="single"/>
          <w:lang w:val="lt-LT" w:eastAsia="en-US"/>
        </w:rPr>
        <w:t>Buteliukas:</w:t>
      </w:r>
    </w:p>
    <w:p w14:paraId="7EB2576B"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N60 - </w:t>
      </w:r>
      <w:r w:rsidRPr="0014002C">
        <w:rPr>
          <w:rFonts w:eastAsia="Times New Roman"/>
          <w:sz w:val="22"/>
          <w:szCs w:val="22"/>
          <w:lang w:val="lt-LT" w:eastAsia="en-US"/>
        </w:rPr>
        <w:t>LT/1/17/4034/009</w:t>
      </w:r>
      <w:r w:rsidRPr="0014002C">
        <w:rPr>
          <w:rFonts w:eastAsia="Times New Roman"/>
          <w:bCs/>
          <w:sz w:val="22"/>
          <w:szCs w:val="22"/>
          <w:lang w:val="lt-LT" w:eastAsia="en-US"/>
        </w:rPr>
        <w:t xml:space="preserve"> </w:t>
      </w:r>
    </w:p>
    <w:p w14:paraId="1AD099E3" w14:textId="77777777" w:rsidR="0014002C" w:rsidRPr="0014002C" w:rsidRDefault="0014002C" w:rsidP="0014002C">
      <w:pPr>
        <w:rPr>
          <w:rFonts w:eastAsia="Times New Roman"/>
          <w:bCs/>
          <w:sz w:val="22"/>
          <w:szCs w:val="22"/>
          <w:lang w:val="lt-LT" w:eastAsia="en-US"/>
        </w:rPr>
      </w:pPr>
      <w:r>
        <w:rPr>
          <w:rFonts w:eastAsia="Times New Roman"/>
          <w:sz w:val="22"/>
          <w:szCs w:val="22"/>
          <w:lang w:val="lt-LT" w:eastAsia="en-US"/>
        </w:rPr>
        <w:t xml:space="preserve">N180 (60x3) - </w:t>
      </w:r>
      <w:r w:rsidRPr="0014002C">
        <w:rPr>
          <w:rFonts w:eastAsia="Times New Roman"/>
          <w:sz w:val="22"/>
          <w:szCs w:val="22"/>
          <w:lang w:val="lt-LT" w:eastAsia="en-US"/>
        </w:rPr>
        <w:t>LT/1/17/4034/010</w:t>
      </w:r>
      <w:r w:rsidRPr="0014002C">
        <w:rPr>
          <w:rFonts w:eastAsia="Times New Roman"/>
          <w:bCs/>
          <w:sz w:val="22"/>
          <w:szCs w:val="22"/>
          <w:lang w:val="lt-LT" w:eastAsia="en-US"/>
        </w:rPr>
        <w:t xml:space="preserve"> </w:t>
      </w:r>
    </w:p>
    <w:p w14:paraId="4FAC503D" w14:textId="77777777" w:rsidR="0014002C" w:rsidRDefault="0014002C" w:rsidP="0014002C">
      <w:pPr>
        <w:tabs>
          <w:tab w:val="left" w:pos="567"/>
        </w:tabs>
        <w:rPr>
          <w:rFonts w:eastAsia="Times New Roman"/>
          <w:bCs/>
          <w:sz w:val="22"/>
          <w:szCs w:val="22"/>
          <w:lang w:val="lt-LT" w:eastAsia="en-US"/>
        </w:rPr>
      </w:pPr>
      <w:r>
        <w:rPr>
          <w:rFonts w:eastAsia="Times New Roman"/>
          <w:sz w:val="22"/>
          <w:szCs w:val="22"/>
          <w:lang w:val="lt-LT" w:eastAsia="en-US"/>
        </w:rPr>
        <w:t xml:space="preserve">N200 - </w:t>
      </w:r>
      <w:r w:rsidRPr="0014002C">
        <w:rPr>
          <w:rFonts w:eastAsia="Times New Roman"/>
          <w:sz w:val="22"/>
          <w:szCs w:val="22"/>
          <w:lang w:val="lt-LT" w:eastAsia="en-US"/>
        </w:rPr>
        <w:t>LT/1/17/4034/011</w:t>
      </w:r>
      <w:r w:rsidRPr="0014002C">
        <w:rPr>
          <w:rFonts w:eastAsia="Times New Roman"/>
          <w:bCs/>
          <w:sz w:val="22"/>
          <w:szCs w:val="22"/>
          <w:lang w:val="lt-LT" w:eastAsia="en-US"/>
        </w:rPr>
        <w:t xml:space="preserve"> </w:t>
      </w:r>
    </w:p>
    <w:p w14:paraId="3C7720A9" w14:textId="77777777" w:rsidR="007E09CE" w:rsidRPr="00F50B84" w:rsidRDefault="007E09CE" w:rsidP="007E09CE">
      <w:pPr>
        <w:rPr>
          <w:noProof/>
          <w:sz w:val="22"/>
          <w:szCs w:val="22"/>
        </w:rPr>
      </w:pPr>
    </w:p>
    <w:p w14:paraId="412CB5C8" w14:textId="77777777" w:rsidR="007E09CE" w:rsidRPr="00F50B84" w:rsidRDefault="007E09CE" w:rsidP="007E09CE">
      <w:pPr>
        <w:rPr>
          <w:noProof/>
          <w:sz w:val="22"/>
          <w:szCs w:val="22"/>
        </w:rPr>
      </w:pPr>
    </w:p>
    <w:p w14:paraId="6B4690F2"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SERIJOS NUMERIS</w:t>
      </w:r>
    </w:p>
    <w:p w14:paraId="0D338536" w14:textId="77777777" w:rsidR="007E09CE" w:rsidRPr="00F50B84" w:rsidRDefault="007E09CE" w:rsidP="007E09CE">
      <w:pPr>
        <w:rPr>
          <w:i/>
          <w:noProof/>
          <w:sz w:val="22"/>
          <w:szCs w:val="22"/>
        </w:rPr>
      </w:pPr>
    </w:p>
    <w:p w14:paraId="0C8A0E4F" w14:textId="77777777" w:rsidR="007E09CE" w:rsidRPr="00F50B84" w:rsidRDefault="00022A16" w:rsidP="007E09CE">
      <w:pPr>
        <w:rPr>
          <w:noProof/>
          <w:sz w:val="22"/>
          <w:szCs w:val="22"/>
        </w:rPr>
      </w:pPr>
      <w:r w:rsidRPr="00F50B84">
        <w:rPr>
          <w:noProof/>
          <w:sz w:val="22"/>
          <w:szCs w:val="22"/>
        </w:rPr>
        <w:t xml:space="preserve">Serija </w:t>
      </w:r>
    </w:p>
    <w:p w14:paraId="2753AE30" w14:textId="77777777" w:rsidR="00022A16" w:rsidRDefault="00022A16" w:rsidP="007E09CE">
      <w:pPr>
        <w:rPr>
          <w:noProof/>
          <w:sz w:val="22"/>
          <w:szCs w:val="22"/>
        </w:rPr>
      </w:pPr>
    </w:p>
    <w:p w14:paraId="504E37D6" w14:textId="77777777" w:rsidR="004C4D39" w:rsidRPr="00F50B84" w:rsidRDefault="004C4D39" w:rsidP="007E09CE">
      <w:pPr>
        <w:rPr>
          <w:noProof/>
          <w:sz w:val="22"/>
          <w:szCs w:val="22"/>
        </w:rPr>
      </w:pPr>
    </w:p>
    <w:p w14:paraId="63C0E2C2"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PARDAVIMO (IŠDAVIMO) TVARKA</w:t>
      </w:r>
    </w:p>
    <w:p w14:paraId="79C81A65" w14:textId="77777777" w:rsidR="007E09CE" w:rsidRPr="00F50B84" w:rsidRDefault="007E09CE" w:rsidP="007E09CE">
      <w:pPr>
        <w:rPr>
          <w:i/>
          <w:noProof/>
          <w:sz w:val="22"/>
          <w:szCs w:val="22"/>
        </w:rPr>
      </w:pPr>
    </w:p>
    <w:p w14:paraId="0CA98071" w14:textId="77777777" w:rsidR="007E09CE" w:rsidRPr="00F50B84" w:rsidRDefault="00022A16" w:rsidP="007E09CE">
      <w:pPr>
        <w:rPr>
          <w:sz w:val="22"/>
          <w:szCs w:val="22"/>
        </w:rPr>
      </w:pPr>
      <w:r w:rsidRPr="00F50B84">
        <w:rPr>
          <w:sz w:val="22"/>
          <w:szCs w:val="22"/>
        </w:rPr>
        <w:lastRenderedPageBreak/>
        <w:t>Receptinis vaistas.</w:t>
      </w:r>
    </w:p>
    <w:p w14:paraId="5DB12A51" w14:textId="77777777" w:rsidR="00022A16" w:rsidRDefault="00022A16" w:rsidP="007E09CE">
      <w:pPr>
        <w:rPr>
          <w:noProof/>
          <w:sz w:val="22"/>
          <w:szCs w:val="22"/>
        </w:rPr>
      </w:pPr>
    </w:p>
    <w:p w14:paraId="70B15943" w14:textId="77777777" w:rsidR="004C4D39" w:rsidRPr="00F50B84" w:rsidRDefault="004C4D39" w:rsidP="007E09CE">
      <w:pPr>
        <w:rPr>
          <w:noProof/>
          <w:sz w:val="22"/>
          <w:szCs w:val="22"/>
        </w:rPr>
      </w:pPr>
    </w:p>
    <w:p w14:paraId="5EBA587F"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VARTOJIMO INSTRUKCIJA</w:t>
      </w:r>
    </w:p>
    <w:p w14:paraId="2DE1F567" w14:textId="77777777" w:rsidR="007E09CE" w:rsidRPr="00F50B84" w:rsidRDefault="007E09CE" w:rsidP="007E09CE">
      <w:pPr>
        <w:rPr>
          <w:noProof/>
          <w:sz w:val="22"/>
          <w:szCs w:val="22"/>
        </w:rPr>
      </w:pPr>
    </w:p>
    <w:p w14:paraId="50902E28" w14:textId="77777777" w:rsidR="007E09CE" w:rsidRPr="00F50B84" w:rsidRDefault="007E09CE" w:rsidP="007E09CE">
      <w:pPr>
        <w:rPr>
          <w:noProof/>
          <w:sz w:val="22"/>
          <w:szCs w:val="22"/>
        </w:rPr>
      </w:pPr>
    </w:p>
    <w:p w14:paraId="4647A825"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noProof/>
          <w:sz w:val="22"/>
          <w:szCs w:val="22"/>
        </w:rPr>
      </w:pPr>
      <w:r w:rsidRPr="00F50B84">
        <w:rPr>
          <w:b/>
          <w:noProof/>
          <w:sz w:val="22"/>
          <w:szCs w:val="22"/>
        </w:rPr>
        <w:t>INFORMACIJA BRAILIO RAŠTU</w:t>
      </w:r>
    </w:p>
    <w:p w14:paraId="460A77B2" w14:textId="77777777" w:rsidR="007E09CE" w:rsidRPr="00F50B84" w:rsidRDefault="007E09CE" w:rsidP="007E09CE">
      <w:pPr>
        <w:rPr>
          <w:noProof/>
          <w:sz w:val="22"/>
          <w:szCs w:val="22"/>
        </w:rPr>
      </w:pPr>
    </w:p>
    <w:p w14:paraId="1A9EC2DB" w14:textId="77777777" w:rsidR="007E09CE" w:rsidRPr="00F50B84" w:rsidRDefault="00022A16" w:rsidP="007E09CE">
      <w:pPr>
        <w:rPr>
          <w:noProof/>
          <w:sz w:val="22"/>
          <w:szCs w:val="22"/>
          <w:shd w:val="clear" w:color="auto" w:fill="CCCCCC"/>
        </w:rPr>
      </w:pPr>
      <w:r w:rsidRPr="00F50B84">
        <w:rPr>
          <w:sz w:val="22"/>
          <w:szCs w:val="22"/>
        </w:rPr>
        <w:t>Darunavir Teva 400</w:t>
      </w:r>
      <w:r w:rsidR="004C4D39">
        <w:rPr>
          <w:sz w:val="22"/>
          <w:szCs w:val="22"/>
        </w:rPr>
        <w:t> </w:t>
      </w:r>
      <w:r w:rsidRPr="00F50B84">
        <w:rPr>
          <w:sz w:val="22"/>
          <w:szCs w:val="22"/>
        </w:rPr>
        <w:t>mg</w:t>
      </w:r>
    </w:p>
    <w:p w14:paraId="57A60135" w14:textId="77777777" w:rsidR="007E09CE" w:rsidRPr="00F50B84" w:rsidRDefault="007E09CE" w:rsidP="007E09CE">
      <w:pPr>
        <w:rPr>
          <w:noProof/>
          <w:sz w:val="22"/>
          <w:szCs w:val="22"/>
          <w:shd w:val="clear" w:color="auto" w:fill="CCCCCC"/>
        </w:rPr>
      </w:pPr>
    </w:p>
    <w:p w14:paraId="16892A32" w14:textId="77777777" w:rsidR="007E09CE" w:rsidRPr="00F50B84" w:rsidRDefault="007E09CE" w:rsidP="007E09CE">
      <w:pPr>
        <w:rPr>
          <w:noProof/>
          <w:sz w:val="22"/>
          <w:szCs w:val="22"/>
          <w:shd w:val="clear" w:color="auto" w:fill="CCCCCC"/>
        </w:rPr>
      </w:pPr>
    </w:p>
    <w:p w14:paraId="27246EC5"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F50B84">
        <w:rPr>
          <w:b/>
          <w:noProof/>
          <w:sz w:val="22"/>
          <w:szCs w:val="22"/>
        </w:rPr>
        <w:t>UNIKALUS IDENTIFIKATORIUS – 2D BRŪKŠNINIS KODAS</w:t>
      </w:r>
    </w:p>
    <w:p w14:paraId="3BBA54A8" w14:textId="77777777" w:rsidR="007E09CE" w:rsidRPr="00F50B84" w:rsidRDefault="007E09CE" w:rsidP="007E09CE">
      <w:pPr>
        <w:rPr>
          <w:noProof/>
          <w:sz w:val="22"/>
          <w:szCs w:val="22"/>
        </w:rPr>
      </w:pPr>
    </w:p>
    <w:p w14:paraId="764E89BE" w14:textId="77777777" w:rsidR="007E09CE" w:rsidRPr="00F50B84" w:rsidRDefault="007E09CE" w:rsidP="007E09CE">
      <w:pPr>
        <w:rPr>
          <w:noProof/>
          <w:sz w:val="22"/>
          <w:szCs w:val="22"/>
          <w:shd w:val="clear" w:color="auto" w:fill="CCCCCC"/>
        </w:rPr>
      </w:pPr>
      <w:r w:rsidRPr="00E34993">
        <w:rPr>
          <w:sz w:val="22"/>
          <w:highlight w:val="lightGray"/>
        </w:rPr>
        <w:t>2D brūkšninis kodas su nurodytu unikaliu identifikatoriu</w:t>
      </w:r>
      <w:r w:rsidR="00022A16" w:rsidRPr="00E34993">
        <w:rPr>
          <w:sz w:val="22"/>
          <w:highlight w:val="lightGray"/>
        </w:rPr>
        <w:t>mi.</w:t>
      </w:r>
    </w:p>
    <w:p w14:paraId="3E0740A0" w14:textId="77777777" w:rsidR="007E09CE" w:rsidRPr="00F50B84" w:rsidRDefault="007E09CE" w:rsidP="007E09CE">
      <w:pPr>
        <w:rPr>
          <w:noProof/>
          <w:vanish/>
          <w:sz w:val="22"/>
          <w:szCs w:val="22"/>
        </w:rPr>
      </w:pPr>
    </w:p>
    <w:p w14:paraId="374704AE" w14:textId="77777777" w:rsidR="007E09CE" w:rsidRPr="00F50B84" w:rsidRDefault="007E09CE" w:rsidP="007E09CE">
      <w:pPr>
        <w:rPr>
          <w:noProof/>
          <w:sz w:val="22"/>
          <w:szCs w:val="22"/>
        </w:rPr>
      </w:pPr>
    </w:p>
    <w:p w14:paraId="3A8B56C9" w14:textId="77777777" w:rsidR="007E09CE" w:rsidRPr="00F50B84" w:rsidRDefault="007E09CE" w:rsidP="007E09CE">
      <w:pPr>
        <w:keepNext/>
        <w:numPr>
          <w:ilvl w:val="1"/>
          <w:numId w:val="19"/>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sidRPr="00F50B84">
        <w:rPr>
          <w:b/>
          <w:noProof/>
          <w:sz w:val="22"/>
          <w:szCs w:val="22"/>
        </w:rPr>
        <w:t>UNIKALUS IDENTIFIKATORIUS – ŽMONĖMS SUPRANTAMI DUOMENYS</w:t>
      </w:r>
    </w:p>
    <w:p w14:paraId="0E8D331E" w14:textId="77777777" w:rsidR="007E09CE" w:rsidRPr="00F50B84" w:rsidRDefault="007E09CE" w:rsidP="007E09CE">
      <w:pPr>
        <w:rPr>
          <w:noProof/>
          <w:sz w:val="22"/>
          <w:szCs w:val="22"/>
        </w:rPr>
      </w:pPr>
    </w:p>
    <w:p w14:paraId="59EEAE0F" w14:textId="77777777" w:rsidR="007E09CE" w:rsidRPr="00F50B84" w:rsidRDefault="007E09CE" w:rsidP="007E09CE">
      <w:pPr>
        <w:rPr>
          <w:color w:val="008000"/>
          <w:sz w:val="22"/>
          <w:szCs w:val="22"/>
        </w:rPr>
      </w:pPr>
      <w:r w:rsidRPr="00F50B84">
        <w:rPr>
          <w:sz w:val="22"/>
          <w:szCs w:val="22"/>
        </w:rPr>
        <w:t xml:space="preserve">PC: {numeris} </w:t>
      </w:r>
    </w:p>
    <w:p w14:paraId="34985D13" w14:textId="77777777" w:rsidR="007E09CE" w:rsidRPr="00F50B84" w:rsidRDefault="007E09CE" w:rsidP="007E09CE">
      <w:pPr>
        <w:rPr>
          <w:sz w:val="22"/>
          <w:szCs w:val="22"/>
        </w:rPr>
      </w:pPr>
      <w:r w:rsidRPr="00F50B84">
        <w:rPr>
          <w:sz w:val="22"/>
          <w:szCs w:val="22"/>
        </w:rPr>
        <w:t xml:space="preserve">SN: {numeris} </w:t>
      </w:r>
    </w:p>
    <w:p w14:paraId="543783C2" w14:textId="77777777" w:rsidR="007E09CE" w:rsidRPr="00F50B84" w:rsidRDefault="00022A16" w:rsidP="007E09CE">
      <w:pPr>
        <w:rPr>
          <w:sz w:val="22"/>
          <w:szCs w:val="22"/>
        </w:rPr>
      </w:pPr>
      <w:r w:rsidRPr="00F50B84">
        <w:rPr>
          <w:sz w:val="22"/>
          <w:szCs w:val="22"/>
        </w:rPr>
        <w:t>NN: {numeris}</w:t>
      </w:r>
    </w:p>
    <w:p w14:paraId="70C68BDB" w14:textId="77777777" w:rsidR="007E09CE" w:rsidRPr="00F50B84" w:rsidRDefault="007E09CE" w:rsidP="007E09CE">
      <w:pPr>
        <w:rPr>
          <w:noProof/>
          <w:sz w:val="22"/>
          <w:szCs w:val="22"/>
          <w:shd w:val="clear" w:color="auto" w:fill="CCCCCC"/>
        </w:rPr>
      </w:pPr>
    </w:p>
    <w:p w14:paraId="0BF03D5C" w14:textId="77777777" w:rsidR="007E09CE" w:rsidRPr="00F50B84" w:rsidRDefault="007E09CE" w:rsidP="007E09CE">
      <w:pPr>
        <w:rPr>
          <w:b/>
          <w:noProof/>
          <w:sz w:val="22"/>
          <w:szCs w:val="22"/>
        </w:rPr>
      </w:pPr>
      <w:r w:rsidRPr="00F50B84">
        <w:rPr>
          <w:sz w:val="22"/>
          <w:szCs w:val="22"/>
        </w:rPr>
        <w:br w:type="page"/>
      </w:r>
    </w:p>
    <w:p w14:paraId="1A6E9C02" w14:textId="77777777" w:rsidR="007E09CE" w:rsidRPr="00F50B84" w:rsidRDefault="007E09CE" w:rsidP="007E09CE">
      <w:pPr>
        <w:pBdr>
          <w:top w:val="single" w:sz="4" w:space="1" w:color="auto"/>
          <w:left w:val="single" w:sz="4" w:space="4" w:color="auto"/>
          <w:bottom w:val="single" w:sz="4" w:space="1" w:color="auto"/>
          <w:right w:val="single" w:sz="4" w:space="4" w:color="auto"/>
        </w:pBdr>
        <w:tabs>
          <w:tab w:val="left" w:pos="0"/>
        </w:tabs>
        <w:rPr>
          <w:b/>
          <w:noProof/>
          <w:sz w:val="22"/>
          <w:szCs w:val="22"/>
        </w:rPr>
      </w:pPr>
      <w:r w:rsidRPr="00F50B84">
        <w:rPr>
          <w:b/>
          <w:noProof/>
          <w:sz w:val="22"/>
          <w:szCs w:val="22"/>
        </w:rPr>
        <w:lastRenderedPageBreak/>
        <w:t>MINIMALI INFOR</w:t>
      </w:r>
      <w:r w:rsidR="00022A16" w:rsidRPr="00F50B84">
        <w:rPr>
          <w:b/>
          <w:noProof/>
          <w:sz w:val="22"/>
          <w:szCs w:val="22"/>
        </w:rPr>
        <w:t>MACIJA ANT LIZDINIŲ PLOKŠTELIŲ</w:t>
      </w:r>
      <w:r w:rsidR="004C4D39">
        <w:rPr>
          <w:b/>
          <w:noProof/>
          <w:sz w:val="22"/>
          <w:szCs w:val="22"/>
        </w:rPr>
        <w:t xml:space="preserve"> ARBA DVISLUOKSNIŲ JUOSTELIŲ</w:t>
      </w:r>
    </w:p>
    <w:p w14:paraId="2063CB4D" w14:textId="77777777" w:rsidR="007E09CE" w:rsidRPr="00F50B84" w:rsidRDefault="007E09CE" w:rsidP="007E09CE">
      <w:pPr>
        <w:pBdr>
          <w:top w:val="single" w:sz="4" w:space="1" w:color="auto"/>
          <w:left w:val="single" w:sz="4" w:space="4" w:color="auto"/>
          <w:bottom w:val="single" w:sz="4" w:space="1" w:color="auto"/>
          <w:right w:val="single" w:sz="4" w:space="4" w:color="auto"/>
        </w:pBdr>
        <w:ind w:left="567" w:hanging="567"/>
        <w:rPr>
          <w:b/>
          <w:noProof/>
          <w:sz w:val="22"/>
          <w:szCs w:val="22"/>
        </w:rPr>
      </w:pPr>
    </w:p>
    <w:p w14:paraId="2F7B02E5" w14:textId="77777777" w:rsidR="007E09CE" w:rsidRPr="00F50B84" w:rsidRDefault="00022A16" w:rsidP="007E09CE">
      <w:pPr>
        <w:pBdr>
          <w:top w:val="single" w:sz="4" w:space="1" w:color="auto"/>
          <w:left w:val="single" w:sz="4" w:space="4" w:color="auto"/>
          <w:bottom w:val="single" w:sz="4" w:space="1" w:color="auto"/>
          <w:right w:val="single" w:sz="4" w:space="4" w:color="auto"/>
        </w:pBdr>
        <w:ind w:left="567" w:hanging="567"/>
        <w:rPr>
          <w:b/>
          <w:noProof/>
          <w:sz w:val="22"/>
          <w:szCs w:val="22"/>
        </w:rPr>
      </w:pPr>
      <w:r w:rsidRPr="00F50B84">
        <w:rPr>
          <w:b/>
          <w:noProof/>
          <w:sz w:val="22"/>
          <w:szCs w:val="22"/>
        </w:rPr>
        <w:t>Lizdinė</w:t>
      </w:r>
      <w:r w:rsidR="004C4D39">
        <w:rPr>
          <w:b/>
          <w:noProof/>
          <w:sz w:val="22"/>
          <w:szCs w:val="22"/>
        </w:rPr>
        <w:t>s</w:t>
      </w:r>
      <w:r w:rsidRPr="00F50B84">
        <w:rPr>
          <w:b/>
          <w:noProof/>
          <w:sz w:val="22"/>
          <w:szCs w:val="22"/>
        </w:rPr>
        <w:t xml:space="preserve"> plokštelė</w:t>
      </w:r>
      <w:r w:rsidR="004C4D39">
        <w:rPr>
          <w:b/>
          <w:noProof/>
          <w:sz w:val="22"/>
          <w:szCs w:val="22"/>
        </w:rPr>
        <w:t>s</w:t>
      </w:r>
      <w:r w:rsidR="007E09CE" w:rsidRPr="00F50B84">
        <w:rPr>
          <w:b/>
          <w:noProof/>
          <w:sz w:val="22"/>
          <w:szCs w:val="22"/>
        </w:rPr>
        <w:t xml:space="preserve"> </w:t>
      </w:r>
    </w:p>
    <w:p w14:paraId="1D2ACE54" w14:textId="77777777" w:rsidR="007E09CE" w:rsidRPr="00F50B84" w:rsidRDefault="007E09CE" w:rsidP="007E09CE">
      <w:pPr>
        <w:rPr>
          <w:noProof/>
          <w:sz w:val="22"/>
          <w:szCs w:val="22"/>
        </w:rPr>
      </w:pPr>
    </w:p>
    <w:p w14:paraId="0E3A3CC4" w14:textId="77777777" w:rsidR="007E09CE" w:rsidRPr="00F50B84" w:rsidRDefault="007E09CE" w:rsidP="007E09CE">
      <w:pPr>
        <w:rPr>
          <w:noProof/>
          <w:sz w:val="22"/>
          <w:szCs w:val="22"/>
        </w:rPr>
      </w:pPr>
    </w:p>
    <w:p w14:paraId="6B39F348" w14:textId="77777777" w:rsidR="007E09CE" w:rsidRPr="00F50B84" w:rsidRDefault="007E09CE" w:rsidP="007E09CE">
      <w:pPr>
        <w:numPr>
          <w:ilvl w:val="1"/>
          <w:numId w:val="1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50B84">
        <w:rPr>
          <w:b/>
          <w:noProof/>
          <w:sz w:val="22"/>
          <w:szCs w:val="22"/>
        </w:rPr>
        <w:t>VAISTINIO PREPARATO PAVADINIMAS</w:t>
      </w:r>
    </w:p>
    <w:p w14:paraId="29370752" w14:textId="77777777" w:rsidR="007E09CE" w:rsidRPr="00F50B84" w:rsidRDefault="007E09CE" w:rsidP="007E09CE">
      <w:pPr>
        <w:rPr>
          <w:i/>
          <w:noProof/>
          <w:sz w:val="22"/>
          <w:szCs w:val="22"/>
        </w:rPr>
      </w:pPr>
    </w:p>
    <w:p w14:paraId="3F209980" w14:textId="77777777" w:rsidR="007E09CE" w:rsidRPr="00F50B84" w:rsidRDefault="00022A16" w:rsidP="007E09CE">
      <w:pPr>
        <w:ind w:left="567" w:hanging="567"/>
        <w:rPr>
          <w:sz w:val="22"/>
          <w:szCs w:val="22"/>
        </w:rPr>
      </w:pPr>
      <w:r w:rsidRPr="00F50B84">
        <w:rPr>
          <w:sz w:val="22"/>
          <w:szCs w:val="22"/>
        </w:rPr>
        <w:t>Darunavir Teva 400</w:t>
      </w:r>
      <w:r w:rsidR="004C4D39">
        <w:rPr>
          <w:sz w:val="22"/>
          <w:szCs w:val="22"/>
        </w:rPr>
        <w:t> </w:t>
      </w:r>
      <w:r w:rsidRPr="00F50B84">
        <w:rPr>
          <w:sz w:val="22"/>
          <w:szCs w:val="22"/>
        </w:rPr>
        <w:t>mg plėvele dengtos tabletės</w:t>
      </w:r>
    </w:p>
    <w:p w14:paraId="60AD8CA1" w14:textId="77777777" w:rsidR="007E09CE" w:rsidRPr="00F50B84" w:rsidRDefault="00022A16" w:rsidP="007E09CE">
      <w:pPr>
        <w:ind w:left="567" w:hanging="567"/>
        <w:rPr>
          <w:sz w:val="22"/>
          <w:szCs w:val="22"/>
        </w:rPr>
      </w:pPr>
      <w:r w:rsidRPr="00F50B84">
        <w:rPr>
          <w:sz w:val="22"/>
          <w:szCs w:val="22"/>
        </w:rPr>
        <w:t>Darunavirum</w:t>
      </w:r>
    </w:p>
    <w:p w14:paraId="7CF8E11D" w14:textId="77777777" w:rsidR="007E09CE" w:rsidRPr="00F50B84" w:rsidRDefault="007E09CE" w:rsidP="007E09CE">
      <w:pPr>
        <w:rPr>
          <w:sz w:val="22"/>
          <w:szCs w:val="22"/>
        </w:rPr>
      </w:pPr>
    </w:p>
    <w:p w14:paraId="72E11390" w14:textId="77777777" w:rsidR="007E09CE" w:rsidRPr="00F50B84" w:rsidRDefault="007E09CE" w:rsidP="007E09CE">
      <w:pPr>
        <w:rPr>
          <w:sz w:val="22"/>
          <w:szCs w:val="22"/>
        </w:rPr>
      </w:pPr>
    </w:p>
    <w:p w14:paraId="3FB8693C" w14:textId="77777777" w:rsidR="007E09CE" w:rsidRPr="00F50B84" w:rsidRDefault="007E09CE" w:rsidP="007E09CE">
      <w:pPr>
        <w:numPr>
          <w:ilvl w:val="1"/>
          <w:numId w:val="18"/>
        </w:numPr>
        <w:pBdr>
          <w:top w:val="single" w:sz="4" w:space="1" w:color="auto"/>
          <w:left w:val="single" w:sz="4" w:space="4" w:color="auto"/>
          <w:bottom w:val="single" w:sz="4" w:space="1" w:color="auto"/>
          <w:right w:val="single" w:sz="4" w:space="4" w:color="auto"/>
        </w:pBdr>
        <w:tabs>
          <w:tab w:val="left" w:pos="567"/>
        </w:tabs>
        <w:ind w:left="567" w:hanging="555"/>
        <w:outlineLvl w:val="0"/>
        <w:rPr>
          <w:b/>
          <w:sz w:val="22"/>
          <w:szCs w:val="22"/>
        </w:rPr>
      </w:pPr>
      <w:r w:rsidRPr="00F50B84">
        <w:rPr>
          <w:b/>
          <w:sz w:val="22"/>
          <w:szCs w:val="22"/>
        </w:rPr>
        <w:t>REGISTRUOTOJO PAVADINIMAS</w:t>
      </w:r>
    </w:p>
    <w:p w14:paraId="20A9E842" w14:textId="77777777" w:rsidR="007E09CE" w:rsidRPr="00F50B84" w:rsidRDefault="007E09CE" w:rsidP="007E09CE">
      <w:pPr>
        <w:rPr>
          <w:noProof/>
          <w:sz w:val="22"/>
          <w:szCs w:val="22"/>
        </w:rPr>
      </w:pPr>
    </w:p>
    <w:p w14:paraId="313FEE11" w14:textId="77777777" w:rsidR="007E09CE" w:rsidRPr="00F50B84" w:rsidRDefault="00022A16" w:rsidP="007E09CE">
      <w:pPr>
        <w:rPr>
          <w:noProof/>
          <w:sz w:val="22"/>
          <w:szCs w:val="22"/>
        </w:rPr>
      </w:pPr>
      <w:r w:rsidRPr="00F50B84">
        <w:rPr>
          <w:sz w:val="22"/>
          <w:szCs w:val="22"/>
        </w:rPr>
        <w:t>Teva</w:t>
      </w:r>
    </w:p>
    <w:p w14:paraId="7C9CBD97" w14:textId="77777777" w:rsidR="007E09CE" w:rsidRPr="00F50B84" w:rsidRDefault="007E09CE" w:rsidP="007E09CE">
      <w:pPr>
        <w:rPr>
          <w:noProof/>
          <w:sz w:val="22"/>
          <w:szCs w:val="22"/>
        </w:rPr>
      </w:pPr>
    </w:p>
    <w:p w14:paraId="24224BA2" w14:textId="77777777" w:rsidR="007E09CE" w:rsidRPr="00F50B84" w:rsidRDefault="007E09CE" w:rsidP="007E09CE">
      <w:pPr>
        <w:rPr>
          <w:noProof/>
          <w:sz w:val="22"/>
          <w:szCs w:val="22"/>
        </w:rPr>
      </w:pPr>
    </w:p>
    <w:p w14:paraId="52BC5068" w14:textId="77777777" w:rsidR="007E09CE" w:rsidRPr="00F50B84" w:rsidRDefault="007E09CE" w:rsidP="007E09CE">
      <w:pPr>
        <w:numPr>
          <w:ilvl w:val="1"/>
          <w:numId w:val="1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50B84">
        <w:rPr>
          <w:b/>
          <w:noProof/>
          <w:sz w:val="22"/>
          <w:szCs w:val="22"/>
        </w:rPr>
        <w:t>TINKAMUMO LAIKAS</w:t>
      </w:r>
    </w:p>
    <w:p w14:paraId="1D65755C" w14:textId="77777777" w:rsidR="007E09CE" w:rsidRPr="00F50B84" w:rsidRDefault="007E09CE" w:rsidP="007E09CE">
      <w:pPr>
        <w:rPr>
          <w:noProof/>
          <w:sz w:val="22"/>
          <w:szCs w:val="22"/>
        </w:rPr>
      </w:pPr>
    </w:p>
    <w:p w14:paraId="5853FA26" w14:textId="77777777" w:rsidR="007E09CE" w:rsidRPr="00F50B84" w:rsidRDefault="00022A16" w:rsidP="007E09CE">
      <w:pPr>
        <w:rPr>
          <w:noProof/>
          <w:sz w:val="22"/>
          <w:szCs w:val="22"/>
        </w:rPr>
      </w:pPr>
      <w:r w:rsidRPr="00F50B84">
        <w:rPr>
          <w:noProof/>
          <w:sz w:val="22"/>
          <w:szCs w:val="22"/>
        </w:rPr>
        <w:t>EXP</w:t>
      </w:r>
      <w:r w:rsidR="00AB79FE">
        <w:rPr>
          <w:noProof/>
          <w:sz w:val="22"/>
          <w:szCs w:val="22"/>
        </w:rPr>
        <w:t xml:space="preserve"> {mm MMMM}</w:t>
      </w:r>
    </w:p>
    <w:p w14:paraId="28B078B2" w14:textId="77777777" w:rsidR="00022A16" w:rsidRDefault="00022A16" w:rsidP="007E09CE">
      <w:pPr>
        <w:rPr>
          <w:noProof/>
          <w:sz w:val="22"/>
          <w:szCs w:val="22"/>
        </w:rPr>
      </w:pPr>
    </w:p>
    <w:p w14:paraId="151305EE" w14:textId="77777777" w:rsidR="004C4D39" w:rsidRPr="00F50B84" w:rsidRDefault="004C4D39" w:rsidP="007E09CE">
      <w:pPr>
        <w:rPr>
          <w:noProof/>
          <w:sz w:val="22"/>
          <w:szCs w:val="22"/>
        </w:rPr>
      </w:pPr>
    </w:p>
    <w:p w14:paraId="15D736F5" w14:textId="77777777" w:rsidR="007E09CE" w:rsidRPr="00F50B84" w:rsidRDefault="007E09CE" w:rsidP="007E09CE">
      <w:pPr>
        <w:numPr>
          <w:ilvl w:val="1"/>
          <w:numId w:val="1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50B84">
        <w:rPr>
          <w:b/>
          <w:noProof/>
          <w:sz w:val="22"/>
          <w:szCs w:val="22"/>
        </w:rPr>
        <w:t>SERIJOS NUMERIS</w:t>
      </w:r>
    </w:p>
    <w:p w14:paraId="7C641105" w14:textId="77777777" w:rsidR="007E09CE" w:rsidRPr="00F50B84" w:rsidRDefault="007E09CE" w:rsidP="007E09CE">
      <w:pPr>
        <w:rPr>
          <w:noProof/>
          <w:sz w:val="22"/>
          <w:szCs w:val="22"/>
        </w:rPr>
      </w:pPr>
    </w:p>
    <w:p w14:paraId="25EDD99D" w14:textId="77777777" w:rsidR="007E09CE" w:rsidRPr="00F50B84" w:rsidRDefault="00022A16" w:rsidP="007E09CE">
      <w:pPr>
        <w:rPr>
          <w:noProof/>
          <w:sz w:val="22"/>
          <w:szCs w:val="22"/>
        </w:rPr>
      </w:pPr>
      <w:r w:rsidRPr="00F50B84">
        <w:rPr>
          <w:noProof/>
          <w:sz w:val="22"/>
          <w:szCs w:val="22"/>
        </w:rPr>
        <w:t>Lot</w:t>
      </w:r>
    </w:p>
    <w:p w14:paraId="30C22BFC" w14:textId="77777777" w:rsidR="00022A16" w:rsidRDefault="00022A16" w:rsidP="007E09CE">
      <w:pPr>
        <w:rPr>
          <w:noProof/>
          <w:sz w:val="22"/>
          <w:szCs w:val="22"/>
        </w:rPr>
      </w:pPr>
    </w:p>
    <w:p w14:paraId="241E351F" w14:textId="77777777" w:rsidR="004C4D39" w:rsidRPr="00F50B84" w:rsidRDefault="004C4D39" w:rsidP="007E09CE">
      <w:pPr>
        <w:rPr>
          <w:noProof/>
          <w:sz w:val="22"/>
          <w:szCs w:val="22"/>
        </w:rPr>
      </w:pPr>
    </w:p>
    <w:p w14:paraId="35E8A02F" w14:textId="77777777" w:rsidR="007E09CE" w:rsidRPr="00F50B84" w:rsidRDefault="007E09CE" w:rsidP="007E09CE">
      <w:pPr>
        <w:numPr>
          <w:ilvl w:val="1"/>
          <w:numId w:val="18"/>
        </w:numPr>
        <w:pBdr>
          <w:top w:val="single" w:sz="4" w:space="1" w:color="auto"/>
          <w:left w:val="single" w:sz="4" w:space="4" w:color="auto"/>
          <w:bottom w:val="single" w:sz="4" w:space="1" w:color="auto"/>
          <w:right w:val="single" w:sz="4" w:space="4" w:color="auto"/>
        </w:pBdr>
        <w:tabs>
          <w:tab w:val="left" w:pos="567"/>
        </w:tabs>
        <w:ind w:left="567" w:hanging="555"/>
        <w:outlineLvl w:val="0"/>
        <w:rPr>
          <w:b/>
          <w:noProof/>
          <w:sz w:val="22"/>
          <w:szCs w:val="22"/>
        </w:rPr>
      </w:pPr>
      <w:r w:rsidRPr="00F50B84">
        <w:rPr>
          <w:b/>
          <w:noProof/>
          <w:sz w:val="22"/>
          <w:szCs w:val="22"/>
        </w:rPr>
        <w:t>KITA</w:t>
      </w:r>
    </w:p>
    <w:p w14:paraId="3855EE36" w14:textId="77777777" w:rsidR="007E09CE" w:rsidRPr="00F50B84" w:rsidRDefault="007E09CE" w:rsidP="007E09CE">
      <w:pPr>
        <w:rPr>
          <w:noProof/>
          <w:sz w:val="22"/>
          <w:szCs w:val="22"/>
        </w:rPr>
      </w:pPr>
    </w:p>
    <w:p w14:paraId="53A05DDD" w14:textId="77777777" w:rsidR="007E09CE" w:rsidRPr="00F50B84" w:rsidRDefault="007E09CE" w:rsidP="007E09CE">
      <w:pPr>
        <w:rPr>
          <w:sz w:val="22"/>
          <w:szCs w:val="22"/>
        </w:rPr>
      </w:pPr>
    </w:p>
    <w:p w14:paraId="4A3DD5BB" w14:textId="77777777" w:rsidR="007E09CE" w:rsidRPr="00DD4E66" w:rsidRDefault="004C4D39" w:rsidP="007E09CE">
      <w:pPr>
        <w:outlineLvl w:val="0"/>
        <w:rPr>
          <w:b/>
          <w:noProof/>
          <w:sz w:val="22"/>
          <w:szCs w:val="22"/>
        </w:rPr>
      </w:pPr>
      <w:r>
        <w:rPr>
          <w:sz w:val="22"/>
          <w:szCs w:val="22"/>
        </w:rPr>
        <w:br w:type="page"/>
      </w:r>
    </w:p>
    <w:p w14:paraId="413D36BC" w14:textId="77777777" w:rsidR="007E09CE" w:rsidRPr="00DD4E66" w:rsidRDefault="007E09CE" w:rsidP="007E09CE">
      <w:pPr>
        <w:outlineLvl w:val="0"/>
        <w:rPr>
          <w:b/>
          <w:noProof/>
          <w:sz w:val="22"/>
          <w:szCs w:val="22"/>
        </w:rPr>
      </w:pPr>
    </w:p>
    <w:p w14:paraId="64698EEE" w14:textId="77777777" w:rsidR="007E09CE" w:rsidRPr="00DD4E66" w:rsidRDefault="007E09CE" w:rsidP="007E09CE">
      <w:pPr>
        <w:outlineLvl w:val="0"/>
        <w:rPr>
          <w:b/>
          <w:noProof/>
          <w:sz w:val="22"/>
          <w:szCs w:val="22"/>
        </w:rPr>
      </w:pPr>
    </w:p>
    <w:p w14:paraId="409D28FC" w14:textId="77777777" w:rsidR="007E09CE" w:rsidRPr="00DD4E66" w:rsidRDefault="007E09CE" w:rsidP="007E09CE">
      <w:pPr>
        <w:outlineLvl w:val="0"/>
        <w:rPr>
          <w:b/>
          <w:noProof/>
          <w:sz w:val="22"/>
          <w:szCs w:val="22"/>
        </w:rPr>
      </w:pPr>
    </w:p>
    <w:p w14:paraId="683A344B" w14:textId="77777777" w:rsidR="007E09CE" w:rsidRPr="00DD4E66" w:rsidRDefault="007E09CE" w:rsidP="007E09CE">
      <w:pPr>
        <w:outlineLvl w:val="0"/>
        <w:rPr>
          <w:b/>
          <w:noProof/>
          <w:sz w:val="22"/>
          <w:szCs w:val="22"/>
        </w:rPr>
      </w:pPr>
    </w:p>
    <w:p w14:paraId="1BF51EE7" w14:textId="77777777" w:rsidR="007E09CE" w:rsidRPr="00DD4E66" w:rsidRDefault="007E09CE" w:rsidP="007E09CE">
      <w:pPr>
        <w:outlineLvl w:val="0"/>
        <w:rPr>
          <w:b/>
          <w:noProof/>
          <w:sz w:val="22"/>
          <w:szCs w:val="22"/>
        </w:rPr>
      </w:pPr>
    </w:p>
    <w:p w14:paraId="25AF4ED9" w14:textId="77777777" w:rsidR="007E09CE" w:rsidRPr="00DD4E66" w:rsidRDefault="007E09CE" w:rsidP="007E09CE">
      <w:pPr>
        <w:outlineLvl w:val="0"/>
        <w:rPr>
          <w:b/>
          <w:noProof/>
          <w:sz w:val="22"/>
          <w:szCs w:val="22"/>
        </w:rPr>
      </w:pPr>
    </w:p>
    <w:p w14:paraId="5170A6E2" w14:textId="77777777" w:rsidR="007E09CE" w:rsidRPr="00DD4E66" w:rsidRDefault="007E09CE" w:rsidP="007E09CE">
      <w:pPr>
        <w:outlineLvl w:val="0"/>
        <w:rPr>
          <w:b/>
          <w:noProof/>
          <w:sz w:val="22"/>
          <w:szCs w:val="22"/>
        </w:rPr>
      </w:pPr>
    </w:p>
    <w:p w14:paraId="69BF13F3" w14:textId="77777777" w:rsidR="007E09CE" w:rsidRPr="00DD4E66" w:rsidRDefault="007E09CE" w:rsidP="007E09CE">
      <w:pPr>
        <w:outlineLvl w:val="0"/>
        <w:rPr>
          <w:b/>
          <w:noProof/>
          <w:sz w:val="22"/>
          <w:szCs w:val="22"/>
        </w:rPr>
      </w:pPr>
    </w:p>
    <w:p w14:paraId="626D4809" w14:textId="77777777" w:rsidR="007E09CE" w:rsidRPr="00DD4E66" w:rsidRDefault="007E09CE" w:rsidP="007E09CE">
      <w:pPr>
        <w:outlineLvl w:val="0"/>
        <w:rPr>
          <w:b/>
          <w:noProof/>
          <w:sz w:val="22"/>
          <w:szCs w:val="22"/>
        </w:rPr>
      </w:pPr>
    </w:p>
    <w:p w14:paraId="15717DA7" w14:textId="77777777" w:rsidR="007E09CE" w:rsidRPr="00DD4E66" w:rsidRDefault="007E09CE" w:rsidP="007E09CE">
      <w:pPr>
        <w:outlineLvl w:val="0"/>
        <w:rPr>
          <w:b/>
          <w:noProof/>
          <w:sz w:val="22"/>
          <w:szCs w:val="22"/>
        </w:rPr>
      </w:pPr>
    </w:p>
    <w:p w14:paraId="3DEE373A" w14:textId="77777777" w:rsidR="007E09CE" w:rsidRPr="00DD4E66" w:rsidRDefault="007E09CE" w:rsidP="007E09CE">
      <w:pPr>
        <w:outlineLvl w:val="0"/>
        <w:rPr>
          <w:b/>
          <w:noProof/>
          <w:sz w:val="22"/>
          <w:szCs w:val="22"/>
        </w:rPr>
      </w:pPr>
    </w:p>
    <w:p w14:paraId="76C97173" w14:textId="77777777" w:rsidR="007E09CE" w:rsidRPr="00DD4E66" w:rsidRDefault="007E09CE" w:rsidP="007E09CE">
      <w:pPr>
        <w:outlineLvl w:val="0"/>
        <w:rPr>
          <w:b/>
          <w:noProof/>
          <w:sz w:val="22"/>
          <w:szCs w:val="22"/>
        </w:rPr>
      </w:pPr>
    </w:p>
    <w:p w14:paraId="291250A0" w14:textId="77777777" w:rsidR="007E09CE" w:rsidRPr="00DD4E66" w:rsidRDefault="007E09CE" w:rsidP="007E09CE">
      <w:pPr>
        <w:outlineLvl w:val="0"/>
        <w:rPr>
          <w:b/>
          <w:noProof/>
          <w:sz w:val="22"/>
          <w:szCs w:val="22"/>
        </w:rPr>
      </w:pPr>
    </w:p>
    <w:p w14:paraId="3EABC9BD" w14:textId="77777777" w:rsidR="007E09CE" w:rsidRPr="00DD4E66" w:rsidRDefault="007E09CE" w:rsidP="007E09CE">
      <w:pPr>
        <w:outlineLvl w:val="0"/>
        <w:rPr>
          <w:b/>
          <w:noProof/>
          <w:sz w:val="22"/>
          <w:szCs w:val="22"/>
        </w:rPr>
      </w:pPr>
    </w:p>
    <w:p w14:paraId="5F6739AA" w14:textId="77777777" w:rsidR="007E09CE" w:rsidRPr="00DD4E66" w:rsidRDefault="007E09CE" w:rsidP="007E09CE">
      <w:pPr>
        <w:outlineLvl w:val="0"/>
        <w:rPr>
          <w:b/>
          <w:noProof/>
          <w:sz w:val="22"/>
          <w:szCs w:val="22"/>
        </w:rPr>
      </w:pPr>
    </w:p>
    <w:p w14:paraId="161C1F14" w14:textId="77777777" w:rsidR="007E09CE" w:rsidRPr="00DD4E66" w:rsidRDefault="007E09CE" w:rsidP="007E09CE">
      <w:pPr>
        <w:outlineLvl w:val="0"/>
        <w:rPr>
          <w:b/>
          <w:noProof/>
          <w:sz w:val="22"/>
          <w:szCs w:val="22"/>
        </w:rPr>
      </w:pPr>
    </w:p>
    <w:p w14:paraId="4FE10075" w14:textId="77777777" w:rsidR="007E09CE" w:rsidRPr="00DD4E66" w:rsidRDefault="007E09CE" w:rsidP="007E09CE">
      <w:pPr>
        <w:outlineLvl w:val="0"/>
        <w:rPr>
          <w:b/>
          <w:noProof/>
          <w:sz w:val="22"/>
          <w:szCs w:val="22"/>
        </w:rPr>
      </w:pPr>
    </w:p>
    <w:p w14:paraId="05DB5935" w14:textId="77777777" w:rsidR="007E09CE" w:rsidRPr="00DD4E66" w:rsidRDefault="007E09CE" w:rsidP="007E09CE">
      <w:pPr>
        <w:outlineLvl w:val="0"/>
        <w:rPr>
          <w:b/>
          <w:noProof/>
          <w:sz w:val="22"/>
          <w:szCs w:val="22"/>
        </w:rPr>
      </w:pPr>
    </w:p>
    <w:p w14:paraId="4AF9EB6B" w14:textId="77777777" w:rsidR="007E09CE" w:rsidRPr="00DD4E66" w:rsidRDefault="007E09CE" w:rsidP="007E09CE">
      <w:pPr>
        <w:outlineLvl w:val="0"/>
        <w:rPr>
          <w:b/>
          <w:noProof/>
          <w:sz w:val="22"/>
          <w:szCs w:val="22"/>
        </w:rPr>
      </w:pPr>
    </w:p>
    <w:p w14:paraId="70C9454E" w14:textId="77777777" w:rsidR="007E09CE" w:rsidRPr="00DD4E66" w:rsidRDefault="007E09CE" w:rsidP="007E09CE">
      <w:pPr>
        <w:outlineLvl w:val="0"/>
        <w:rPr>
          <w:b/>
          <w:noProof/>
          <w:sz w:val="22"/>
          <w:szCs w:val="22"/>
        </w:rPr>
      </w:pPr>
    </w:p>
    <w:p w14:paraId="7474AE94" w14:textId="77777777" w:rsidR="007E09CE" w:rsidRPr="00DD4E66" w:rsidRDefault="007E09CE" w:rsidP="007E09CE">
      <w:pPr>
        <w:outlineLvl w:val="0"/>
        <w:rPr>
          <w:b/>
          <w:noProof/>
          <w:sz w:val="22"/>
          <w:szCs w:val="22"/>
        </w:rPr>
      </w:pPr>
    </w:p>
    <w:p w14:paraId="3B5A5DAD" w14:textId="77777777" w:rsidR="007E09CE" w:rsidRDefault="007E09CE" w:rsidP="007E09CE">
      <w:pPr>
        <w:jc w:val="center"/>
        <w:outlineLvl w:val="0"/>
        <w:rPr>
          <w:rStyle w:val="DoNotTranslateExternal1"/>
          <w:sz w:val="22"/>
        </w:rPr>
      </w:pPr>
    </w:p>
    <w:p w14:paraId="208F0589" w14:textId="77777777" w:rsidR="0014002C" w:rsidRPr="00DD4E66" w:rsidRDefault="0014002C" w:rsidP="007E09CE">
      <w:pPr>
        <w:jc w:val="center"/>
        <w:outlineLvl w:val="0"/>
        <w:rPr>
          <w:rStyle w:val="DoNotTranslateExternal1"/>
          <w:sz w:val="22"/>
        </w:rPr>
      </w:pPr>
    </w:p>
    <w:p w14:paraId="14C87DB5" w14:textId="77777777" w:rsidR="007E09CE" w:rsidRPr="00DD4E66" w:rsidRDefault="007E09CE" w:rsidP="007E09CE">
      <w:pPr>
        <w:jc w:val="center"/>
        <w:outlineLvl w:val="0"/>
        <w:rPr>
          <w:b/>
          <w:noProof/>
          <w:sz w:val="22"/>
          <w:szCs w:val="22"/>
        </w:rPr>
      </w:pPr>
      <w:r w:rsidRPr="00DD4E66">
        <w:rPr>
          <w:rStyle w:val="DoNotTranslateExternal1"/>
          <w:sz w:val="22"/>
        </w:rPr>
        <w:t>B.</w:t>
      </w:r>
      <w:r w:rsidRPr="00DD4E66">
        <w:rPr>
          <w:b/>
          <w:noProof/>
          <w:sz w:val="22"/>
          <w:szCs w:val="22"/>
        </w:rPr>
        <w:t xml:space="preserve"> PAKUOTĖS LAPELIS</w:t>
      </w:r>
    </w:p>
    <w:p w14:paraId="6A8B43A5" w14:textId="77777777" w:rsidR="00505EBA" w:rsidRPr="00532388" w:rsidRDefault="007E09CE" w:rsidP="00505EBA">
      <w:pPr>
        <w:jc w:val="center"/>
        <w:outlineLvl w:val="0"/>
        <w:rPr>
          <w:rFonts w:eastAsia="Times New Roman"/>
          <w:noProof/>
          <w:sz w:val="22"/>
          <w:lang w:val="lt-LT" w:eastAsia="lt-LT" w:bidi="lt-LT"/>
        </w:rPr>
      </w:pPr>
      <w:r w:rsidRPr="00DD4E66">
        <w:rPr>
          <w:sz w:val="22"/>
          <w:szCs w:val="22"/>
        </w:rPr>
        <w:br w:type="page"/>
      </w:r>
      <w:r w:rsidR="00505EBA" w:rsidRPr="00532388">
        <w:rPr>
          <w:rFonts w:eastAsia="Times New Roman"/>
          <w:b/>
          <w:noProof/>
          <w:sz w:val="22"/>
          <w:lang w:val="lt-LT" w:eastAsia="lt-LT" w:bidi="lt-LT"/>
        </w:rPr>
        <w:lastRenderedPageBreak/>
        <w:t>Pakuotės lapelis: informacija vartotojui</w:t>
      </w:r>
    </w:p>
    <w:p w14:paraId="7BAF084D" w14:textId="77777777" w:rsidR="00505EBA" w:rsidRPr="00532388" w:rsidRDefault="00505EBA" w:rsidP="00505EBA">
      <w:pPr>
        <w:numPr>
          <w:ilvl w:val="12"/>
          <w:numId w:val="0"/>
        </w:numPr>
        <w:shd w:val="clear" w:color="auto" w:fill="FFFFFF"/>
        <w:jc w:val="center"/>
        <w:rPr>
          <w:rFonts w:eastAsia="Times New Roman"/>
          <w:noProof/>
          <w:sz w:val="22"/>
          <w:lang w:val="lt-LT" w:eastAsia="lt-LT" w:bidi="lt-LT"/>
        </w:rPr>
      </w:pPr>
    </w:p>
    <w:p w14:paraId="04DE5961" w14:textId="77777777" w:rsidR="00505EBA" w:rsidRPr="00532388" w:rsidRDefault="00505EBA" w:rsidP="00505EBA">
      <w:pPr>
        <w:jc w:val="center"/>
        <w:rPr>
          <w:lang w:val="lt-LT"/>
        </w:rPr>
      </w:pPr>
      <w:r w:rsidRPr="00532388">
        <w:rPr>
          <w:rFonts w:eastAsia="Times New Roman"/>
          <w:b/>
          <w:noProof/>
          <w:sz w:val="22"/>
          <w:lang w:val="lt-LT" w:eastAsia="lt-LT" w:bidi="lt-LT"/>
        </w:rPr>
        <w:t>Darunavir Teva</w:t>
      </w:r>
      <w:r w:rsidRPr="00532388">
        <w:rPr>
          <w:b/>
          <w:lang w:val="lt-LT"/>
        </w:rPr>
        <w:t xml:space="preserve"> 400 mg plėvele dengtos tabletės</w:t>
      </w:r>
    </w:p>
    <w:p w14:paraId="611784D3" w14:textId="77777777" w:rsidR="00505EBA" w:rsidRPr="00532388" w:rsidRDefault="00505EBA" w:rsidP="00505EBA">
      <w:pPr>
        <w:numPr>
          <w:ilvl w:val="12"/>
          <w:numId w:val="0"/>
        </w:numPr>
        <w:jc w:val="center"/>
        <w:rPr>
          <w:rFonts w:eastAsia="Times New Roman"/>
          <w:noProof/>
          <w:sz w:val="22"/>
          <w:lang w:val="lt-LT" w:eastAsia="lt-LT" w:bidi="lt-LT"/>
        </w:rPr>
      </w:pPr>
      <w:r w:rsidRPr="00532388">
        <w:rPr>
          <w:rFonts w:eastAsia="Times New Roman"/>
          <w:sz w:val="22"/>
          <w:lang w:val="lt-LT" w:eastAsia="lt-LT" w:bidi="lt-LT"/>
        </w:rPr>
        <w:t>Darunaviras</w:t>
      </w:r>
    </w:p>
    <w:p w14:paraId="5E4F8165" w14:textId="77777777" w:rsidR="00505EBA" w:rsidRPr="00532388" w:rsidRDefault="00505EBA" w:rsidP="00505EBA">
      <w:pPr>
        <w:rPr>
          <w:rFonts w:eastAsia="Times New Roman"/>
          <w:noProof/>
          <w:sz w:val="22"/>
          <w:lang w:val="lt-LT" w:eastAsia="lt-LT" w:bidi="lt-LT"/>
        </w:rPr>
      </w:pPr>
    </w:p>
    <w:p w14:paraId="2B23EB5D" w14:textId="77777777" w:rsidR="00505EBA" w:rsidRPr="00532388" w:rsidRDefault="00505EBA" w:rsidP="00505EBA">
      <w:pPr>
        <w:suppressAutoHyphens/>
        <w:rPr>
          <w:rFonts w:eastAsia="Times New Roman"/>
          <w:noProof/>
          <w:sz w:val="22"/>
          <w:lang w:val="lt-LT" w:eastAsia="lt-LT" w:bidi="lt-LT"/>
        </w:rPr>
      </w:pPr>
      <w:r w:rsidRPr="00532388">
        <w:rPr>
          <w:rFonts w:eastAsia="Times New Roman"/>
          <w:b/>
          <w:sz w:val="22"/>
          <w:lang w:val="lt-LT" w:eastAsia="lt-LT" w:bidi="lt-LT"/>
        </w:rPr>
        <w:t>Atidžiai perskaitykite visą šį lapelį, prieš pradėdami vartoti vaistą, nes jame pateikiama Jums svarbi informacija</w:t>
      </w:r>
      <w:r w:rsidRPr="00532388">
        <w:rPr>
          <w:rFonts w:eastAsia="Times New Roman"/>
          <w:b/>
          <w:noProof/>
          <w:sz w:val="22"/>
          <w:lang w:val="lt-LT" w:eastAsia="lt-LT" w:bidi="lt-LT"/>
        </w:rPr>
        <w:t>.</w:t>
      </w:r>
    </w:p>
    <w:p w14:paraId="1C09294D" w14:textId="77777777" w:rsidR="00505EBA" w:rsidRPr="00532388" w:rsidRDefault="00505EBA" w:rsidP="00505EBA">
      <w:pPr>
        <w:numPr>
          <w:ilvl w:val="0"/>
          <w:numId w:val="21"/>
        </w:numPr>
        <w:tabs>
          <w:tab w:val="left" w:pos="567"/>
        </w:tabs>
        <w:spacing w:line="260" w:lineRule="exact"/>
        <w:ind w:left="567" w:right="-2" w:hanging="567"/>
        <w:rPr>
          <w:rFonts w:eastAsia="Times New Roman"/>
          <w:noProof/>
          <w:sz w:val="22"/>
          <w:lang w:val="lt-LT" w:eastAsia="lt-LT" w:bidi="lt-LT"/>
        </w:rPr>
      </w:pPr>
      <w:r w:rsidRPr="00532388">
        <w:rPr>
          <w:rFonts w:eastAsia="Times New Roman"/>
          <w:sz w:val="22"/>
          <w:lang w:val="lt-LT" w:eastAsia="lt-LT" w:bidi="lt-LT"/>
        </w:rPr>
        <w:t xml:space="preserve">Neišmeskite šio lapelio, nes vėl gali prireikti jį perskaityti. </w:t>
      </w:r>
    </w:p>
    <w:p w14:paraId="268232A3" w14:textId="77777777" w:rsidR="00505EBA" w:rsidRPr="00532388" w:rsidRDefault="00505EBA" w:rsidP="00505EBA">
      <w:pPr>
        <w:numPr>
          <w:ilvl w:val="0"/>
          <w:numId w:val="21"/>
        </w:numPr>
        <w:tabs>
          <w:tab w:val="left" w:pos="567"/>
        </w:tabs>
        <w:spacing w:line="260" w:lineRule="exact"/>
        <w:ind w:left="567" w:right="-2" w:hanging="567"/>
        <w:rPr>
          <w:rFonts w:eastAsia="Times New Roman"/>
          <w:noProof/>
          <w:sz w:val="22"/>
          <w:lang w:val="lt-LT" w:eastAsia="lt-LT" w:bidi="lt-LT"/>
        </w:rPr>
      </w:pPr>
      <w:r w:rsidRPr="00532388">
        <w:rPr>
          <w:rFonts w:eastAsia="Times New Roman"/>
          <w:sz w:val="22"/>
          <w:lang w:val="lt-LT" w:eastAsia="lt-LT" w:bidi="lt-LT"/>
        </w:rPr>
        <w:t>Jeigu kiltų daugiau klausimų, kreipkitės į gydytoją</w:t>
      </w:r>
      <w:r w:rsidR="004C4D39">
        <w:rPr>
          <w:rFonts w:eastAsia="Times New Roman"/>
          <w:sz w:val="22"/>
          <w:lang w:val="lt-LT" w:eastAsia="lt-LT" w:bidi="lt-LT"/>
        </w:rPr>
        <w:t>,</w:t>
      </w:r>
      <w:r w:rsidRPr="00532388">
        <w:rPr>
          <w:rFonts w:eastAsia="Times New Roman"/>
          <w:sz w:val="22"/>
          <w:lang w:val="lt-LT" w:eastAsia="lt-LT" w:bidi="lt-LT"/>
        </w:rPr>
        <w:t xml:space="preserve"> vaistininką</w:t>
      </w:r>
      <w:r w:rsidR="004C4D39" w:rsidRPr="004C4D39">
        <w:rPr>
          <w:rFonts w:eastAsia="Times New Roman"/>
          <w:sz w:val="22"/>
          <w:lang w:val="lt-LT" w:eastAsia="lt-LT" w:bidi="lt-LT"/>
        </w:rPr>
        <w:t xml:space="preserve"> </w:t>
      </w:r>
      <w:r w:rsidR="004C4D39" w:rsidRPr="00532388">
        <w:rPr>
          <w:rFonts w:eastAsia="Times New Roman"/>
          <w:sz w:val="22"/>
          <w:lang w:val="lt-LT" w:eastAsia="lt-LT" w:bidi="lt-LT"/>
        </w:rPr>
        <w:t>arba</w:t>
      </w:r>
      <w:r w:rsidR="00194EBB">
        <w:rPr>
          <w:rFonts w:eastAsia="Times New Roman"/>
          <w:sz w:val="22"/>
          <w:lang w:val="lt-LT" w:eastAsia="lt-LT" w:bidi="lt-LT"/>
        </w:rPr>
        <w:t xml:space="preserve"> s</w:t>
      </w:r>
      <w:r w:rsidR="004C4D39">
        <w:rPr>
          <w:rFonts w:eastAsia="Times New Roman"/>
          <w:sz w:val="22"/>
          <w:lang w:val="lt-LT" w:eastAsia="lt-LT" w:bidi="lt-LT"/>
        </w:rPr>
        <w:t>l</w:t>
      </w:r>
      <w:r w:rsidR="00194EBB">
        <w:rPr>
          <w:rFonts w:eastAsia="Times New Roman"/>
          <w:sz w:val="22"/>
          <w:lang w:val="lt-LT" w:eastAsia="lt-LT" w:bidi="lt-LT"/>
        </w:rPr>
        <w:t>a</w:t>
      </w:r>
      <w:r w:rsidR="004C4D39">
        <w:rPr>
          <w:rFonts w:eastAsia="Times New Roman"/>
          <w:sz w:val="22"/>
          <w:lang w:val="lt-LT" w:eastAsia="lt-LT" w:bidi="lt-LT"/>
        </w:rPr>
        <w:t>ugytoją</w:t>
      </w:r>
      <w:r w:rsidRPr="00532388">
        <w:rPr>
          <w:rFonts w:eastAsia="Times New Roman"/>
          <w:sz w:val="22"/>
          <w:lang w:val="lt-LT" w:eastAsia="lt-LT" w:bidi="lt-LT"/>
        </w:rPr>
        <w:t>.</w:t>
      </w:r>
    </w:p>
    <w:p w14:paraId="6BDD4B83" w14:textId="77777777" w:rsidR="00505EBA" w:rsidRPr="00532388" w:rsidRDefault="00505EBA" w:rsidP="00505EBA">
      <w:pPr>
        <w:tabs>
          <w:tab w:val="left" w:pos="567"/>
        </w:tabs>
        <w:ind w:left="567" w:right="-2" w:hanging="567"/>
        <w:rPr>
          <w:rFonts w:eastAsia="Times New Roman"/>
          <w:noProof/>
          <w:sz w:val="22"/>
          <w:lang w:val="lt-LT" w:eastAsia="lt-LT" w:bidi="lt-LT"/>
        </w:rPr>
      </w:pPr>
      <w:r w:rsidRPr="00532388">
        <w:rPr>
          <w:rFonts w:eastAsia="Times New Roman"/>
          <w:sz w:val="22"/>
          <w:lang w:val="lt-LT" w:eastAsia="lt-LT" w:bidi="lt-LT"/>
        </w:rPr>
        <w:t>-</w:t>
      </w:r>
      <w:r w:rsidRPr="00532388">
        <w:rPr>
          <w:rFonts w:eastAsia="Times New Roman"/>
          <w:sz w:val="22"/>
          <w:lang w:val="lt-LT" w:eastAsia="lt-LT" w:bidi="lt-LT"/>
        </w:rPr>
        <w:tab/>
        <w:t>Šis vaistas skirtas tik Jums, todėl kitiems žmonėms jo duoti negalima. Vaistas gali jiems pakenkti (net tiems, kurių ligos požymiai yra tokie patys kaip Jūsų).</w:t>
      </w:r>
    </w:p>
    <w:p w14:paraId="23A6D88D" w14:textId="77777777" w:rsidR="00505EBA" w:rsidRPr="00532388" w:rsidRDefault="00505EBA" w:rsidP="00505EBA">
      <w:pPr>
        <w:numPr>
          <w:ilvl w:val="0"/>
          <w:numId w:val="21"/>
        </w:numPr>
        <w:tabs>
          <w:tab w:val="left" w:pos="567"/>
        </w:tabs>
        <w:spacing w:line="260" w:lineRule="exact"/>
        <w:ind w:left="567" w:hanging="567"/>
        <w:rPr>
          <w:rFonts w:eastAsia="Times New Roman"/>
          <w:sz w:val="22"/>
          <w:lang w:val="lt-LT" w:eastAsia="lt-LT" w:bidi="lt-LT"/>
        </w:rPr>
      </w:pPr>
      <w:r w:rsidRPr="00532388">
        <w:rPr>
          <w:rFonts w:eastAsia="Times New Roman"/>
          <w:sz w:val="22"/>
          <w:lang w:val="lt-LT" w:eastAsia="lt-LT" w:bidi="lt-LT"/>
        </w:rPr>
        <w:t>Jeigu pasireiškė šalutinis poveikis (net jeigu jis šiame lapelyje nenurodytas),</w:t>
      </w:r>
      <w:r w:rsidRPr="00532388">
        <w:rPr>
          <w:rFonts w:eastAsia="Times New Roman"/>
          <w:color w:val="FF0000"/>
          <w:sz w:val="22"/>
          <w:lang w:val="lt-LT" w:eastAsia="lt-LT" w:bidi="lt-LT"/>
        </w:rPr>
        <w:t xml:space="preserve"> </w:t>
      </w:r>
      <w:r w:rsidRPr="00532388">
        <w:rPr>
          <w:rFonts w:eastAsia="Times New Roman"/>
          <w:sz w:val="22"/>
          <w:lang w:val="lt-LT" w:eastAsia="lt-LT" w:bidi="lt-LT"/>
        </w:rPr>
        <w:t>kreipkitės į gydytoją</w:t>
      </w:r>
      <w:r w:rsidR="004C4D39">
        <w:rPr>
          <w:rFonts w:eastAsia="Times New Roman"/>
          <w:sz w:val="22"/>
          <w:lang w:val="lt-LT" w:eastAsia="lt-LT" w:bidi="lt-LT"/>
        </w:rPr>
        <w:t>,</w:t>
      </w:r>
      <w:r w:rsidRPr="00532388">
        <w:rPr>
          <w:rFonts w:eastAsia="Times New Roman"/>
          <w:sz w:val="22"/>
          <w:lang w:val="lt-LT" w:eastAsia="lt-LT" w:bidi="lt-LT"/>
        </w:rPr>
        <w:t xml:space="preserve"> vaistininką</w:t>
      </w:r>
      <w:r w:rsidR="004C4D39" w:rsidRPr="004C4D39">
        <w:rPr>
          <w:rFonts w:eastAsia="Times New Roman"/>
          <w:sz w:val="22"/>
          <w:lang w:val="lt-LT" w:eastAsia="lt-LT" w:bidi="lt-LT"/>
        </w:rPr>
        <w:t xml:space="preserve"> </w:t>
      </w:r>
      <w:r w:rsidR="004C4D39" w:rsidRPr="00532388">
        <w:rPr>
          <w:rFonts w:eastAsia="Times New Roman"/>
          <w:sz w:val="22"/>
          <w:lang w:val="lt-LT" w:eastAsia="lt-LT" w:bidi="lt-LT"/>
        </w:rPr>
        <w:t>arba</w:t>
      </w:r>
      <w:r w:rsidR="004C4D39">
        <w:rPr>
          <w:rFonts w:eastAsia="Times New Roman"/>
          <w:sz w:val="22"/>
          <w:lang w:val="lt-LT" w:eastAsia="lt-LT" w:bidi="lt-LT"/>
        </w:rPr>
        <w:t xml:space="preserve"> slaugytoją</w:t>
      </w:r>
      <w:r w:rsidRPr="00532388">
        <w:rPr>
          <w:rFonts w:eastAsia="Times New Roman"/>
          <w:sz w:val="22"/>
          <w:lang w:val="lt-LT" w:eastAsia="lt-LT" w:bidi="lt-LT"/>
        </w:rPr>
        <w:t>. Žr. 4 skyrių.</w:t>
      </w:r>
    </w:p>
    <w:p w14:paraId="52CE6BB8" w14:textId="77777777" w:rsidR="00505EBA" w:rsidRPr="00532388" w:rsidRDefault="00505EBA" w:rsidP="00505EBA">
      <w:pPr>
        <w:ind w:right="-2"/>
        <w:rPr>
          <w:rFonts w:eastAsia="Times New Roman"/>
          <w:sz w:val="22"/>
          <w:lang w:val="lt-LT" w:eastAsia="lt-LT" w:bidi="lt-LT"/>
        </w:rPr>
      </w:pPr>
    </w:p>
    <w:p w14:paraId="54074B28" w14:textId="77777777" w:rsidR="00505EBA" w:rsidRPr="00532388" w:rsidRDefault="00505EBA" w:rsidP="00505EBA">
      <w:pPr>
        <w:ind w:right="-2"/>
        <w:rPr>
          <w:rFonts w:eastAsia="Times New Roman"/>
          <w:noProof/>
          <w:sz w:val="22"/>
          <w:lang w:val="lt-LT" w:eastAsia="lt-LT" w:bidi="lt-LT"/>
        </w:rPr>
      </w:pPr>
    </w:p>
    <w:p w14:paraId="36DB2B27" w14:textId="77777777" w:rsidR="00505EBA" w:rsidRPr="00532388" w:rsidRDefault="00505EBA" w:rsidP="00505EBA">
      <w:pPr>
        <w:keepNext/>
        <w:numPr>
          <w:ilvl w:val="12"/>
          <w:numId w:val="0"/>
        </w:numPr>
        <w:ind w:right="-2"/>
        <w:outlineLvl w:val="0"/>
        <w:rPr>
          <w:rFonts w:eastAsia="Times New Roman"/>
          <w:noProof/>
          <w:sz w:val="22"/>
          <w:lang w:val="lt-LT" w:eastAsia="lt-LT" w:bidi="lt-LT"/>
        </w:rPr>
      </w:pPr>
      <w:r w:rsidRPr="00532388">
        <w:rPr>
          <w:rFonts w:eastAsia="Times New Roman"/>
          <w:b/>
          <w:sz w:val="22"/>
          <w:lang w:val="lt-LT" w:eastAsia="lt-LT" w:bidi="lt-LT"/>
        </w:rPr>
        <w:t>Apie ką rašoma šiame lapelyje?</w:t>
      </w:r>
    </w:p>
    <w:p w14:paraId="1113470B"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 xml:space="preserve">Kas yra Darunavir Teva ir kam jis vartojamas </w:t>
      </w:r>
    </w:p>
    <w:p w14:paraId="2B993C9A"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 xml:space="preserve">Kas žinotina prieš vartojant Darunavir Teva </w:t>
      </w:r>
    </w:p>
    <w:p w14:paraId="30B69DFD"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 xml:space="preserve">Kaip vartoti Darunavir Teva </w:t>
      </w:r>
    </w:p>
    <w:p w14:paraId="68D7B5AB"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 xml:space="preserve">Galimas šalutinis poveikis </w:t>
      </w:r>
    </w:p>
    <w:p w14:paraId="36615B41"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 xml:space="preserve">Kaip laikyti Darunavir Teva </w:t>
      </w:r>
    </w:p>
    <w:p w14:paraId="4FF6A94D" w14:textId="77777777" w:rsidR="00505EBA" w:rsidRPr="00532388" w:rsidRDefault="00505EBA" w:rsidP="00505EBA">
      <w:pPr>
        <w:numPr>
          <w:ilvl w:val="0"/>
          <w:numId w:val="22"/>
        </w:numPr>
        <w:tabs>
          <w:tab w:val="left" w:pos="426"/>
          <w:tab w:val="left" w:pos="567"/>
        </w:tabs>
        <w:spacing w:line="260" w:lineRule="exact"/>
        <w:ind w:left="426" w:right="-29"/>
        <w:contextualSpacing/>
        <w:rPr>
          <w:rFonts w:eastAsia="Times New Roman"/>
          <w:noProof/>
          <w:sz w:val="22"/>
          <w:lang w:val="lt-LT" w:eastAsia="lt-LT" w:bidi="lt-LT"/>
        </w:rPr>
      </w:pPr>
      <w:r w:rsidRPr="00532388">
        <w:rPr>
          <w:rFonts w:eastAsia="Times New Roman"/>
          <w:sz w:val="22"/>
          <w:lang w:val="lt-LT" w:eastAsia="lt-LT" w:bidi="lt-LT"/>
        </w:rPr>
        <w:t>Pakuotės turinys ir kita informacija</w:t>
      </w:r>
    </w:p>
    <w:p w14:paraId="44C9BCE6" w14:textId="77777777" w:rsidR="00505EBA" w:rsidRPr="00532388" w:rsidRDefault="00505EBA" w:rsidP="00505EBA">
      <w:pPr>
        <w:numPr>
          <w:ilvl w:val="12"/>
          <w:numId w:val="0"/>
        </w:numPr>
        <w:ind w:right="-2"/>
        <w:rPr>
          <w:rFonts w:eastAsia="Times New Roman"/>
          <w:noProof/>
          <w:sz w:val="22"/>
          <w:lang w:val="lt-LT" w:eastAsia="lt-LT" w:bidi="lt-LT"/>
        </w:rPr>
      </w:pPr>
    </w:p>
    <w:p w14:paraId="0A6099CD" w14:textId="77777777" w:rsidR="00505EBA" w:rsidRPr="00532388" w:rsidRDefault="00505EBA" w:rsidP="00505EBA">
      <w:pPr>
        <w:rPr>
          <w:lang w:val="lt-LT"/>
        </w:rPr>
      </w:pPr>
    </w:p>
    <w:p w14:paraId="36F90392" w14:textId="77777777" w:rsidR="00505EBA" w:rsidRPr="00532388" w:rsidRDefault="00505EBA" w:rsidP="00505EBA">
      <w:pPr>
        <w:keepNext/>
        <w:numPr>
          <w:ilvl w:val="0"/>
          <w:numId w:val="23"/>
        </w:numPr>
        <w:tabs>
          <w:tab w:val="left" w:pos="567"/>
        </w:tabs>
        <w:spacing w:line="260" w:lineRule="exact"/>
        <w:ind w:left="567" w:right="-2"/>
        <w:rPr>
          <w:rFonts w:eastAsia="Times New Roman"/>
          <w:b/>
          <w:noProof/>
          <w:sz w:val="22"/>
          <w:szCs w:val="22"/>
          <w:lang w:val="lt-LT" w:eastAsia="lt-LT" w:bidi="lt-LT"/>
        </w:rPr>
      </w:pPr>
      <w:r w:rsidRPr="00532388">
        <w:rPr>
          <w:rFonts w:eastAsia="Times New Roman"/>
          <w:b/>
          <w:noProof/>
          <w:sz w:val="22"/>
          <w:lang w:val="lt-LT" w:eastAsia="lt-LT" w:bidi="lt-LT"/>
        </w:rPr>
        <w:t>Kas yra Darunavir Teva ir kam jis vartojamas</w:t>
      </w:r>
    </w:p>
    <w:p w14:paraId="0A0AD76D" w14:textId="77777777" w:rsidR="00505EBA" w:rsidRPr="00532388" w:rsidRDefault="00505EBA" w:rsidP="00505EBA">
      <w:pPr>
        <w:numPr>
          <w:ilvl w:val="12"/>
          <w:numId w:val="0"/>
        </w:numPr>
        <w:rPr>
          <w:rFonts w:eastAsia="Times New Roman"/>
          <w:noProof/>
          <w:sz w:val="22"/>
          <w:szCs w:val="22"/>
          <w:lang w:val="lt-LT" w:eastAsia="lt-LT" w:bidi="lt-LT"/>
        </w:rPr>
      </w:pPr>
    </w:p>
    <w:p w14:paraId="5CF72CD7" w14:textId="77777777" w:rsidR="00505EBA" w:rsidRPr="00532388" w:rsidRDefault="00505EBA" w:rsidP="00505EBA">
      <w:pPr>
        <w:rPr>
          <w:b/>
          <w:sz w:val="22"/>
          <w:szCs w:val="22"/>
          <w:lang w:val="lt-LT"/>
        </w:rPr>
      </w:pPr>
      <w:r w:rsidRPr="00532388">
        <w:rPr>
          <w:b/>
          <w:sz w:val="22"/>
          <w:szCs w:val="22"/>
          <w:lang w:val="lt-LT"/>
        </w:rPr>
        <w:t xml:space="preserve">Kas yra </w:t>
      </w:r>
      <w:r w:rsidRPr="00532388">
        <w:rPr>
          <w:rFonts w:eastAsia="Times New Roman"/>
          <w:b/>
          <w:sz w:val="22"/>
          <w:szCs w:val="22"/>
          <w:lang w:val="lt-LT" w:eastAsia="lt-LT" w:bidi="lt-LT"/>
        </w:rPr>
        <w:t>Darunavir Teva</w:t>
      </w:r>
      <w:r w:rsidRPr="00532388">
        <w:rPr>
          <w:b/>
          <w:sz w:val="22"/>
          <w:szCs w:val="22"/>
          <w:lang w:val="lt-LT"/>
        </w:rPr>
        <w:t>?</w:t>
      </w:r>
    </w:p>
    <w:p w14:paraId="11800F72" w14:textId="77777777" w:rsidR="00505EBA" w:rsidRPr="00532388" w:rsidRDefault="00505EBA" w:rsidP="00505EBA">
      <w:pPr>
        <w:rPr>
          <w:sz w:val="22"/>
          <w:szCs w:val="22"/>
          <w:lang w:val="lt-LT"/>
        </w:rPr>
      </w:pPr>
      <w:r w:rsidRPr="00532388">
        <w:rPr>
          <w:rFonts w:eastAsia="Times New Roman"/>
          <w:sz w:val="22"/>
          <w:szCs w:val="22"/>
          <w:lang w:val="lt-LT" w:eastAsia="lt-LT" w:bidi="lt-LT"/>
        </w:rPr>
        <w:t>Darunavir Teva</w:t>
      </w:r>
      <w:r w:rsidRPr="00532388">
        <w:rPr>
          <w:sz w:val="22"/>
          <w:szCs w:val="22"/>
          <w:lang w:val="lt-LT"/>
        </w:rPr>
        <w:t xml:space="preserve"> sudėtyje yra veikliosios medžiagos darunaviro. </w:t>
      </w:r>
      <w:r w:rsidRPr="00532388">
        <w:rPr>
          <w:rFonts w:eastAsia="Times New Roman"/>
          <w:sz w:val="22"/>
          <w:szCs w:val="22"/>
          <w:lang w:val="lt-LT" w:eastAsia="lt-LT" w:bidi="lt-LT"/>
        </w:rPr>
        <w:t>Darunavir Teva</w:t>
      </w:r>
      <w:r w:rsidRPr="00532388">
        <w:rPr>
          <w:sz w:val="22"/>
          <w:szCs w:val="22"/>
          <w:lang w:val="lt-LT"/>
        </w:rPr>
        <w:t xml:space="preserve"> yra antiretrovirusinis vaistas žmogaus imunodeficito viruso (ŽIV) infekcijai gydyti. Jis priklauso vadinamųjų proteazės inhibitorių grupei. </w:t>
      </w:r>
      <w:r w:rsidRPr="00532388">
        <w:rPr>
          <w:rFonts w:eastAsia="Times New Roman"/>
          <w:sz w:val="22"/>
          <w:szCs w:val="22"/>
          <w:lang w:val="lt-LT" w:eastAsia="lt-LT" w:bidi="lt-LT"/>
        </w:rPr>
        <w:t>Darunavir Teva</w:t>
      </w:r>
      <w:r w:rsidRPr="00532388">
        <w:rPr>
          <w:sz w:val="22"/>
          <w:szCs w:val="22"/>
          <w:lang w:val="lt-LT"/>
        </w:rPr>
        <w:t xml:space="preserve"> veikia mažindamas žmogaus imunodeficito virusų (ŽIV) kiekį organizme. Tai sustiprins Jūsų imuninę sistemą ir sumažins su ŽIV infekcija susijusių ligų pavojų.</w:t>
      </w:r>
    </w:p>
    <w:p w14:paraId="78DD4BFF" w14:textId="77777777" w:rsidR="00505EBA" w:rsidRPr="00532388" w:rsidRDefault="00505EBA" w:rsidP="00505EBA">
      <w:pPr>
        <w:rPr>
          <w:sz w:val="22"/>
          <w:szCs w:val="22"/>
          <w:lang w:val="lt-LT"/>
        </w:rPr>
      </w:pPr>
    </w:p>
    <w:p w14:paraId="5CB96FB2" w14:textId="77777777" w:rsidR="00505EBA" w:rsidRPr="00532388" w:rsidRDefault="00505EBA" w:rsidP="00505EBA">
      <w:pPr>
        <w:rPr>
          <w:b/>
          <w:sz w:val="22"/>
          <w:szCs w:val="22"/>
          <w:lang w:val="lt-LT"/>
        </w:rPr>
      </w:pPr>
      <w:r w:rsidRPr="00532388">
        <w:rPr>
          <w:b/>
          <w:sz w:val="22"/>
          <w:szCs w:val="22"/>
          <w:lang w:val="lt-LT"/>
        </w:rPr>
        <w:t>Kam jis vartojamas?</w:t>
      </w:r>
    </w:p>
    <w:p w14:paraId="50FED575" w14:textId="77777777" w:rsidR="00505EBA" w:rsidRPr="00532388" w:rsidRDefault="00505EBA" w:rsidP="00505EBA">
      <w:pPr>
        <w:rPr>
          <w:sz w:val="22"/>
          <w:szCs w:val="22"/>
          <w:lang w:val="lt-LT"/>
        </w:rPr>
      </w:pPr>
      <w:r w:rsidRPr="00532388">
        <w:rPr>
          <w:rFonts w:eastAsia="Times New Roman"/>
          <w:sz w:val="22"/>
          <w:szCs w:val="22"/>
          <w:lang w:val="lt-LT" w:eastAsia="lt-LT" w:bidi="lt-LT"/>
        </w:rPr>
        <w:t>Darunavir Teva</w:t>
      </w:r>
      <w:r w:rsidRPr="00532388">
        <w:rPr>
          <w:sz w:val="22"/>
          <w:szCs w:val="22"/>
          <w:lang w:val="lt-LT"/>
        </w:rPr>
        <w:t xml:space="preserve"> 400 mg gydomi suaugusieji ir vaikai (3 metų ir vyresni vaikai, kurie sveria ne mažiau kaip 40 kilogramų), užsikrėtę ŽIV,</w:t>
      </w:r>
    </w:p>
    <w:p w14:paraId="5B4FC28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kurie anksčiau negydyti antiretrovirusiniais vaistais;</w:t>
      </w:r>
    </w:p>
    <w:p w14:paraId="1DE63A11"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kai kurie pacientai, kurie anksčiau gydyti antiretrovirusiniais vaistais (tai nustatys gydytojas).</w:t>
      </w:r>
    </w:p>
    <w:p w14:paraId="244E582C" w14:textId="77777777" w:rsidR="00505EBA" w:rsidRPr="00532388" w:rsidRDefault="00505EBA" w:rsidP="00505EBA">
      <w:pPr>
        <w:rPr>
          <w:sz w:val="22"/>
          <w:szCs w:val="22"/>
          <w:lang w:val="lt-LT"/>
        </w:rPr>
      </w:pPr>
    </w:p>
    <w:p w14:paraId="6C995A16" w14:textId="77777777" w:rsidR="00505EBA" w:rsidRPr="00532388" w:rsidRDefault="00505EBA" w:rsidP="00505EBA">
      <w:pPr>
        <w:rPr>
          <w:sz w:val="22"/>
          <w:szCs w:val="22"/>
          <w:lang w:val="lt-LT"/>
        </w:rPr>
      </w:pPr>
      <w:r w:rsidRPr="00532388">
        <w:rPr>
          <w:rFonts w:eastAsia="Times New Roman"/>
          <w:sz w:val="22"/>
          <w:lang w:val="lt-LT" w:eastAsia="lt-LT" w:bidi="lt-LT"/>
        </w:rPr>
        <w:t>Darunavir Teva</w:t>
      </w:r>
      <w:r w:rsidRPr="00532388">
        <w:rPr>
          <w:sz w:val="22"/>
          <w:szCs w:val="22"/>
          <w:lang w:val="lt-LT"/>
        </w:rPr>
        <w:t xml:space="preserve"> būtina vartoti kartu su maža kobicistato arba ritonaviro doze ir kitais vaistais nuo ŽIV. Gydytojas aptars su Jumis, koks vaistų derinys Jums geriausias.</w:t>
      </w:r>
    </w:p>
    <w:p w14:paraId="5221F07B" w14:textId="77777777" w:rsidR="00505EBA" w:rsidRPr="00532388" w:rsidRDefault="00505EBA" w:rsidP="00505EBA">
      <w:pPr>
        <w:rPr>
          <w:sz w:val="22"/>
          <w:szCs w:val="22"/>
          <w:lang w:val="lt-LT"/>
        </w:rPr>
      </w:pPr>
    </w:p>
    <w:p w14:paraId="7B138D80" w14:textId="77777777" w:rsidR="00505EBA" w:rsidRPr="00532388" w:rsidRDefault="00505EBA" w:rsidP="00505EBA">
      <w:pPr>
        <w:rPr>
          <w:sz w:val="22"/>
          <w:szCs w:val="22"/>
          <w:lang w:val="lt-LT"/>
        </w:rPr>
      </w:pPr>
    </w:p>
    <w:p w14:paraId="38285A24" w14:textId="77777777" w:rsidR="00505EBA" w:rsidRPr="00532388" w:rsidRDefault="00505EBA" w:rsidP="00505EBA">
      <w:pPr>
        <w:keepNext/>
        <w:numPr>
          <w:ilvl w:val="0"/>
          <w:numId w:val="23"/>
        </w:numPr>
        <w:tabs>
          <w:tab w:val="left" w:pos="567"/>
        </w:tabs>
        <w:spacing w:line="260" w:lineRule="exact"/>
        <w:ind w:left="567" w:right="-2"/>
        <w:rPr>
          <w:rFonts w:eastAsia="Times New Roman"/>
          <w:b/>
          <w:noProof/>
          <w:sz w:val="22"/>
          <w:szCs w:val="22"/>
          <w:lang w:val="lt-LT" w:eastAsia="lt-LT" w:bidi="lt-LT"/>
        </w:rPr>
      </w:pPr>
      <w:r w:rsidRPr="00532388">
        <w:rPr>
          <w:rFonts w:eastAsia="Times New Roman"/>
          <w:b/>
          <w:noProof/>
          <w:sz w:val="22"/>
          <w:lang w:val="lt-LT" w:eastAsia="lt-LT" w:bidi="lt-LT"/>
        </w:rPr>
        <w:t>Kas žinotina prieš vartojant Darunavir Teva</w:t>
      </w:r>
      <w:r w:rsidRPr="00532388">
        <w:rPr>
          <w:rFonts w:eastAsia="Times New Roman"/>
          <w:sz w:val="22"/>
          <w:lang w:val="lt-LT" w:eastAsia="lt-LT" w:bidi="lt-LT"/>
        </w:rPr>
        <w:t xml:space="preserve"> </w:t>
      </w:r>
    </w:p>
    <w:p w14:paraId="7F16ED9E" w14:textId="77777777" w:rsidR="00505EBA" w:rsidRPr="00532388" w:rsidRDefault="00505EBA" w:rsidP="00505EBA">
      <w:pPr>
        <w:rPr>
          <w:rFonts w:eastAsia="Times New Roman"/>
          <w:b/>
          <w:sz w:val="22"/>
          <w:lang w:val="lt-LT" w:eastAsia="lt-LT" w:bidi="lt-LT"/>
        </w:rPr>
      </w:pPr>
    </w:p>
    <w:p w14:paraId="2DA6BEBC" w14:textId="77777777" w:rsidR="00505EBA" w:rsidRPr="00532388" w:rsidRDefault="00505EBA" w:rsidP="00505EBA">
      <w:pPr>
        <w:rPr>
          <w:b/>
          <w:sz w:val="22"/>
          <w:szCs w:val="22"/>
          <w:lang w:val="lt-LT"/>
        </w:rPr>
      </w:pPr>
      <w:r w:rsidRPr="00532388">
        <w:rPr>
          <w:rFonts w:eastAsia="Times New Roman"/>
          <w:b/>
          <w:sz w:val="22"/>
          <w:lang w:val="lt-LT" w:eastAsia="lt-LT" w:bidi="lt-LT"/>
        </w:rPr>
        <w:t xml:space="preserve">Darunavir Teva </w:t>
      </w:r>
      <w:r w:rsidRPr="00532388">
        <w:rPr>
          <w:b/>
          <w:sz w:val="22"/>
          <w:szCs w:val="22"/>
          <w:lang w:val="lt-LT"/>
        </w:rPr>
        <w:t>vartoti negalima:</w:t>
      </w:r>
    </w:p>
    <w:p w14:paraId="70F00158"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jeigu yra </w:t>
      </w:r>
      <w:r w:rsidRPr="00532388">
        <w:rPr>
          <w:b/>
          <w:sz w:val="22"/>
          <w:szCs w:val="22"/>
          <w:lang w:val="lt-LT"/>
        </w:rPr>
        <w:t>alergija</w:t>
      </w:r>
      <w:r w:rsidRPr="00532388">
        <w:rPr>
          <w:sz w:val="22"/>
          <w:szCs w:val="22"/>
          <w:lang w:val="lt-LT"/>
        </w:rPr>
        <w:t xml:space="preserve"> darunavirui arba bet kuriai pagalbinei šio vaisto medžiagai (jos išvardytos</w:t>
      </w:r>
    </w:p>
    <w:p w14:paraId="42707F03"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6 skyriuje), kobicistatui, arba ritonavirui;</w:t>
      </w:r>
    </w:p>
    <w:p w14:paraId="70C55B3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lastRenderedPageBreak/>
        <w:t xml:space="preserve">jeigu sergate </w:t>
      </w:r>
      <w:r w:rsidRPr="00532388">
        <w:rPr>
          <w:b/>
          <w:sz w:val="22"/>
          <w:szCs w:val="22"/>
          <w:lang w:val="lt-LT"/>
        </w:rPr>
        <w:t>sunkia kepenų liga</w:t>
      </w:r>
      <w:r w:rsidRPr="00532388">
        <w:rPr>
          <w:sz w:val="22"/>
          <w:szCs w:val="22"/>
          <w:lang w:val="lt-LT"/>
        </w:rPr>
        <w:t>. Jeigu Jums reikia informacijos apie Jūsų kepenų ligos sunkumą, kreipkitės į savo gydytoją. Tokiais atvejais gali prireikti atlikti papildomus tyrimus.</w:t>
      </w:r>
    </w:p>
    <w:p w14:paraId="5E4A72D3" w14:textId="77777777" w:rsidR="00505EBA" w:rsidRPr="00532388" w:rsidRDefault="00505EBA" w:rsidP="00505EBA">
      <w:pPr>
        <w:rPr>
          <w:sz w:val="22"/>
          <w:szCs w:val="22"/>
          <w:lang w:val="lt-LT"/>
        </w:rPr>
      </w:pPr>
    </w:p>
    <w:p w14:paraId="6923FB11" w14:textId="77777777" w:rsidR="00505EBA" w:rsidRPr="00532388" w:rsidRDefault="00505EBA" w:rsidP="00505EBA">
      <w:pPr>
        <w:rPr>
          <w:b/>
          <w:sz w:val="22"/>
          <w:szCs w:val="22"/>
          <w:lang w:val="lt-LT"/>
        </w:rPr>
      </w:pPr>
      <w:r w:rsidRPr="00532388">
        <w:rPr>
          <w:b/>
          <w:sz w:val="22"/>
          <w:szCs w:val="22"/>
          <w:lang w:val="lt-LT"/>
        </w:rPr>
        <w:t xml:space="preserve">Nevartokite </w:t>
      </w:r>
      <w:r w:rsidRPr="00532388">
        <w:rPr>
          <w:rFonts w:eastAsia="Times New Roman"/>
          <w:b/>
          <w:noProof/>
          <w:sz w:val="22"/>
          <w:lang w:val="lt-LT" w:eastAsia="lt-LT" w:bidi="lt-LT"/>
        </w:rPr>
        <w:t xml:space="preserve">Darunavir Teva </w:t>
      </w:r>
      <w:r w:rsidRPr="00532388">
        <w:rPr>
          <w:b/>
          <w:sz w:val="22"/>
          <w:szCs w:val="22"/>
          <w:lang w:val="lt-LT"/>
        </w:rPr>
        <w:t xml:space="preserve"> su bet kuriuo iš toliau išvardytų vaistų</w:t>
      </w:r>
    </w:p>
    <w:p w14:paraId="2463A307" w14:textId="77777777" w:rsidR="00505EBA" w:rsidRPr="00532388" w:rsidRDefault="00505EBA" w:rsidP="00505EBA">
      <w:pPr>
        <w:rPr>
          <w:sz w:val="22"/>
          <w:szCs w:val="22"/>
          <w:lang w:val="lt-LT"/>
        </w:rPr>
      </w:pPr>
      <w:r w:rsidRPr="00532388">
        <w:rPr>
          <w:sz w:val="22"/>
          <w:szCs w:val="22"/>
          <w:lang w:val="lt-LT"/>
        </w:rPr>
        <w:t>Jeigu vartojate kurį nors iš šių vaistų, prašykite gydytojo pakeisti jį kitu.</w:t>
      </w:r>
    </w:p>
    <w:p w14:paraId="1D7213F2" w14:textId="77777777" w:rsidR="00505EBA" w:rsidRPr="00532388" w:rsidRDefault="00505EBA" w:rsidP="00505EBA">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0"/>
      </w:tblGrid>
      <w:tr w:rsidR="00505EBA" w:rsidRPr="00532388" w14:paraId="4092E4F7" w14:textId="77777777" w:rsidTr="005E73A6">
        <w:tc>
          <w:tcPr>
            <w:tcW w:w="4927" w:type="dxa"/>
            <w:shd w:val="clear" w:color="auto" w:fill="auto"/>
          </w:tcPr>
          <w:p w14:paraId="3C73DA92" w14:textId="77777777" w:rsidR="00505EBA" w:rsidRPr="005E73A6" w:rsidRDefault="00505EBA" w:rsidP="005E73A6">
            <w:pPr>
              <w:jc w:val="center"/>
              <w:rPr>
                <w:b/>
                <w:sz w:val="22"/>
                <w:szCs w:val="22"/>
                <w:lang w:val="lt-LT"/>
              </w:rPr>
            </w:pPr>
            <w:r w:rsidRPr="005E73A6">
              <w:rPr>
                <w:b/>
                <w:sz w:val="22"/>
                <w:szCs w:val="22"/>
                <w:lang w:val="lt-LT"/>
              </w:rPr>
              <w:t>Vaistas</w:t>
            </w:r>
          </w:p>
        </w:tc>
        <w:tc>
          <w:tcPr>
            <w:tcW w:w="4927" w:type="dxa"/>
            <w:shd w:val="clear" w:color="auto" w:fill="auto"/>
          </w:tcPr>
          <w:p w14:paraId="4394DA98" w14:textId="77777777" w:rsidR="00505EBA" w:rsidRPr="005E73A6" w:rsidRDefault="00505EBA" w:rsidP="005E73A6">
            <w:pPr>
              <w:jc w:val="center"/>
              <w:rPr>
                <w:b/>
                <w:sz w:val="22"/>
                <w:szCs w:val="22"/>
                <w:lang w:val="lt-LT"/>
              </w:rPr>
            </w:pPr>
            <w:r w:rsidRPr="005E73A6">
              <w:rPr>
                <w:b/>
                <w:sz w:val="22"/>
                <w:szCs w:val="22"/>
                <w:lang w:val="lt-LT"/>
              </w:rPr>
              <w:t>Šio vaisto vartojimo tikslas</w:t>
            </w:r>
          </w:p>
        </w:tc>
      </w:tr>
      <w:tr w:rsidR="00505EBA" w:rsidRPr="00532388" w14:paraId="0B8AF35C" w14:textId="77777777" w:rsidTr="005E73A6">
        <w:tc>
          <w:tcPr>
            <w:tcW w:w="4927" w:type="dxa"/>
            <w:shd w:val="clear" w:color="auto" w:fill="auto"/>
          </w:tcPr>
          <w:p w14:paraId="5E66B936" w14:textId="77777777" w:rsidR="00505EBA" w:rsidRPr="005E73A6" w:rsidRDefault="00505EBA" w:rsidP="00E4206E">
            <w:pPr>
              <w:rPr>
                <w:i/>
                <w:sz w:val="22"/>
                <w:szCs w:val="22"/>
                <w:lang w:val="lt-LT"/>
              </w:rPr>
            </w:pPr>
            <w:r w:rsidRPr="005E73A6">
              <w:rPr>
                <w:i/>
                <w:sz w:val="22"/>
                <w:szCs w:val="22"/>
                <w:lang w:val="lt-LT"/>
              </w:rPr>
              <w:t>Avanafilis</w:t>
            </w:r>
          </w:p>
        </w:tc>
        <w:tc>
          <w:tcPr>
            <w:tcW w:w="4927" w:type="dxa"/>
            <w:shd w:val="clear" w:color="auto" w:fill="auto"/>
          </w:tcPr>
          <w:p w14:paraId="25DC3286" w14:textId="77777777" w:rsidR="00505EBA" w:rsidRPr="005E73A6" w:rsidRDefault="00001FC1" w:rsidP="00E4206E">
            <w:pPr>
              <w:rPr>
                <w:sz w:val="22"/>
                <w:szCs w:val="22"/>
                <w:lang w:val="lt-LT"/>
              </w:rPr>
            </w:pPr>
            <w:r w:rsidRPr="005E73A6">
              <w:rPr>
                <w:sz w:val="22"/>
                <w:szCs w:val="22"/>
                <w:lang w:val="lt-LT"/>
              </w:rPr>
              <w:t>gydomi erekcijos sutrikimai</w:t>
            </w:r>
          </w:p>
        </w:tc>
      </w:tr>
      <w:tr w:rsidR="00505EBA" w:rsidRPr="00532388" w14:paraId="48D039B3" w14:textId="77777777" w:rsidTr="005E73A6">
        <w:tc>
          <w:tcPr>
            <w:tcW w:w="4927" w:type="dxa"/>
            <w:shd w:val="clear" w:color="auto" w:fill="auto"/>
          </w:tcPr>
          <w:p w14:paraId="6CA6B822" w14:textId="77777777" w:rsidR="00505EBA" w:rsidRPr="005E73A6" w:rsidRDefault="00505EBA" w:rsidP="00E4206E">
            <w:pPr>
              <w:rPr>
                <w:i/>
                <w:sz w:val="22"/>
                <w:szCs w:val="22"/>
                <w:lang w:val="lt-LT"/>
              </w:rPr>
            </w:pPr>
            <w:r w:rsidRPr="005E73A6">
              <w:rPr>
                <w:i/>
                <w:sz w:val="22"/>
                <w:szCs w:val="22"/>
                <w:lang w:val="lt-LT"/>
              </w:rPr>
              <w:t>Astemizolas ar terfenadinas</w:t>
            </w:r>
          </w:p>
        </w:tc>
        <w:tc>
          <w:tcPr>
            <w:tcW w:w="4927" w:type="dxa"/>
            <w:shd w:val="clear" w:color="auto" w:fill="auto"/>
          </w:tcPr>
          <w:p w14:paraId="52F2D488" w14:textId="77777777" w:rsidR="00505EBA" w:rsidRPr="005E73A6" w:rsidRDefault="00001FC1" w:rsidP="00E4206E">
            <w:pPr>
              <w:rPr>
                <w:sz w:val="22"/>
                <w:szCs w:val="22"/>
                <w:lang w:val="lt-LT"/>
              </w:rPr>
            </w:pPr>
            <w:r w:rsidRPr="005E73A6">
              <w:rPr>
                <w:sz w:val="22"/>
                <w:szCs w:val="22"/>
                <w:lang w:val="lt-LT"/>
              </w:rPr>
              <w:t>g</w:t>
            </w:r>
            <w:r w:rsidR="00505EBA" w:rsidRPr="005E73A6">
              <w:rPr>
                <w:sz w:val="22"/>
                <w:szCs w:val="22"/>
                <w:lang w:val="lt-LT"/>
              </w:rPr>
              <w:t>ydomi alergijos simptomai</w:t>
            </w:r>
          </w:p>
        </w:tc>
      </w:tr>
      <w:tr w:rsidR="00505EBA" w:rsidRPr="00532388" w14:paraId="60AEE8B2" w14:textId="77777777" w:rsidTr="005E73A6">
        <w:tc>
          <w:tcPr>
            <w:tcW w:w="4927" w:type="dxa"/>
            <w:shd w:val="clear" w:color="auto" w:fill="auto"/>
          </w:tcPr>
          <w:p w14:paraId="77426F20" w14:textId="77777777" w:rsidR="00505EBA" w:rsidRPr="005E73A6" w:rsidRDefault="00505EBA" w:rsidP="00E4206E">
            <w:pPr>
              <w:rPr>
                <w:i/>
                <w:sz w:val="22"/>
                <w:szCs w:val="22"/>
                <w:lang w:val="lt-LT"/>
              </w:rPr>
            </w:pPr>
            <w:r w:rsidRPr="005E73A6">
              <w:rPr>
                <w:i/>
                <w:sz w:val="22"/>
                <w:szCs w:val="22"/>
                <w:lang w:val="lt-LT"/>
              </w:rPr>
              <w:t>Triazolamas ir geriamasis (per burną vartojamas)</w:t>
            </w:r>
          </w:p>
          <w:p w14:paraId="4AAE1C6E" w14:textId="77777777" w:rsidR="00505EBA" w:rsidRPr="005E73A6" w:rsidRDefault="00505EBA" w:rsidP="00E4206E">
            <w:pPr>
              <w:rPr>
                <w:i/>
                <w:sz w:val="22"/>
                <w:szCs w:val="22"/>
                <w:lang w:val="lt-LT"/>
              </w:rPr>
            </w:pPr>
            <w:r w:rsidRPr="005E73A6">
              <w:rPr>
                <w:i/>
                <w:sz w:val="22"/>
                <w:szCs w:val="22"/>
                <w:lang w:val="lt-LT"/>
              </w:rPr>
              <w:t>midazolamas</w:t>
            </w:r>
          </w:p>
        </w:tc>
        <w:tc>
          <w:tcPr>
            <w:tcW w:w="4927" w:type="dxa"/>
            <w:shd w:val="clear" w:color="auto" w:fill="auto"/>
          </w:tcPr>
          <w:p w14:paraId="148580E7" w14:textId="77777777" w:rsidR="00505EBA" w:rsidRPr="005E73A6" w:rsidRDefault="00001FC1" w:rsidP="00E4206E">
            <w:pPr>
              <w:rPr>
                <w:sz w:val="22"/>
                <w:szCs w:val="22"/>
                <w:lang w:val="lt-LT"/>
              </w:rPr>
            </w:pPr>
            <w:r w:rsidRPr="005E73A6">
              <w:rPr>
                <w:sz w:val="22"/>
                <w:szCs w:val="22"/>
                <w:lang w:val="lt-LT"/>
              </w:rPr>
              <w:t>p</w:t>
            </w:r>
            <w:r w:rsidR="00505EBA" w:rsidRPr="005E73A6">
              <w:rPr>
                <w:sz w:val="22"/>
                <w:szCs w:val="22"/>
                <w:lang w:val="lt-LT"/>
              </w:rPr>
              <w:t>adeda užmigti ir (arba) slopina</w:t>
            </w:r>
          </w:p>
        </w:tc>
      </w:tr>
      <w:tr w:rsidR="00505EBA" w:rsidRPr="00532388" w14:paraId="2122A9A3" w14:textId="77777777" w:rsidTr="005E73A6">
        <w:tc>
          <w:tcPr>
            <w:tcW w:w="4927" w:type="dxa"/>
            <w:shd w:val="clear" w:color="auto" w:fill="auto"/>
          </w:tcPr>
          <w:p w14:paraId="3121D925" w14:textId="77777777" w:rsidR="00505EBA" w:rsidRPr="005E73A6" w:rsidRDefault="00505EBA" w:rsidP="00E4206E">
            <w:pPr>
              <w:rPr>
                <w:i/>
                <w:sz w:val="22"/>
                <w:szCs w:val="22"/>
                <w:lang w:val="lt-LT"/>
              </w:rPr>
            </w:pPr>
            <w:r w:rsidRPr="005E73A6">
              <w:rPr>
                <w:i/>
                <w:sz w:val="22"/>
                <w:szCs w:val="22"/>
                <w:lang w:val="lt-LT"/>
              </w:rPr>
              <w:t>Cisapridas</w:t>
            </w:r>
          </w:p>
        </w:tc>
        <w:tc>
          <w:tcPr>
            <w:tcW w:w="4927" w:type="dxa"/>
            <w:shd w:val="clear" w:color="auto" w:fill="auto"/>
          </w:tcPr>
          <w:p w14:paraId="7A942A2B" w14:textId="77777777" w:rsidR="00505EBA" w:rsidRPr="005E73A6" w:rsidRDefault="00001FC1" w:rsidP="00E4206E">
            <w:pPr>
              <w:rPr>
                <w:sz w:val="22"/>
                <w:szCs w:val="22"/>
                <w:lang w:val="lt-LT"/>
              </w:rPr>
            </w:pPr>
            <w:r w:rsidRPr="005E73A6">
              <w:rPr>
                <w:sz w:val="22"/>
                <w:szCs w:val="22"/>
                <w:lang w:val="lt-LT"/>
              </w:rPr>
              <w:t>g</w:t>
            </w:r>
            <w:r w:rsidR="00505EBA" w:rsidRPr="005E73A6">
              <w:rPr>
                <w:sz w:val="22"/>
                <w:szCs w:val="22"/>
                <w:lang w:val="lt-LT"/>
              </w:rPr>
              <w:t>ydomos tam tikros skrandžio būklės</w:t>
            </w:r>
          </w:p>
        </w:tc>
      </w:tr>
      <w:tr w:rsidR="00505EBA" w:rsidRPr="00532388" w14:paraId="60FC6509" w14:textId="77777777" w:rsidTr="005E73A6">
        <w:tc>
          <w:tcPr>
            <w:tcW w:w="4927" w:type="dxa"/>
            <w:shd w:val="clear" w:color="auto" w:fill="auto"/>
          </w:tcPr>
          <w:p w14:paraId="49D288FD" w14:textId="77777777" w:rsidR="00505EBA" w:rsidRPr="005E73A6" w:rsidRDefault="00505EBA" w:rsidP="00E4206E">
            <w:pPr>
              <w:rPr>
                <w:i/>
                <w:sz w:val="22"/>
                <w:szCs w:val="22"/>
                <w:lang w:val="lt-LT"/>
              </w:rPr>
            </w:pPr>
            <w:r w:rsidRPr="005E73A6">
              <w:rPr>
                <w:i/>
                <w:sz w:val="22"/>
                <w:szCs w:val="22"/>
                <w:lang w:val="lt-LT"/>
              </w:rPr>
              <w:t>Kolchicinas (jeigu Jums yra inkstų ir (arba) kepenų veiklos sutrikimų)</w:t>
            </w:r>
          </w:p>
        </w:tc>
        <w:tc>
          <w:tcPr>
            <w:tcW w:w="4927" w:type="dxa"/>
            <w:shd w:val="clear" w:color="auto" w:fill="auto"/>
          </w:tcPr>
          <w:p w14:paraId="2CDE2349" w14:textId="77777777" w:rsidR="00505EBA" w:rsidRPr="005E73A6" w:rsidRDefault="00001FC1" w:rsidP="00001FC1">
            <w:pPr>
              <w:rPr>
                <w:sz w:val="22"/>
                <w:szCs w:val="22"/>
                <w:lang w:val="lt-LT"/>
              </w:rPr>
            </w:pPr>
            <w:r w:rsidRPr="005E73A6">
              <w:rPr>
                <w:sz w:val="22"/>
                <w:szCs w:val="22"/>
                <w:lang w:val="lt-LT"/>
              </w:rPr>
              <w:t>g</w:t>
            </w:r>
            <w:r w:rsidR="00505EBA" w:rsidRPr="005E73A6">
              <w:rPr>
                <w:sz w:val="22"/>
                <w:szCs w:val="22"/>
                <w:lang w:val="lt-LT"/>
              </w:rPr>
              <w:t>ydoma podagra</w:t>
            </w:r>
          </w:p>
        </w:tc>
      </w:tr>
      <w:tr w:rsidR="00505EBA" w:rsidRPr="00532388" w14:paraId="105135C1" w14:textId="77777777" w:rsidTr="005E73A6">
        <w:tc>
          <w:tcPr>
            <w:tcW w:w="4927" w:type="dxa"/>
            <w:shd w:val="clear" w:color="auto" w:fill="auto"/>
          </w:tcPr>
          <w:p w14:paraId="4DBCE8FA" w14:textId="77777777" w:rsidR="00505EBA" w:rsidRPr="005E73A6" w:rsidRDefault="00505EBA" w:rsidP="00E4206E">
            <w:pPr>
              <w:rPr>
                <w:i/>
                <w:sz w:val="22"/>
                <w:szCs w:val="22"/>
                <w:lang w:val="lt-LT"/>
              </w:rPr>
            </w:pPr>
            <w:r w:rsidRPr="005E73A6">
              <w:rPr>
                <w:i/>
                <w:sz w:val="22"/>
                <w:szCs w:val="22"/>
                <w:lang w:val="lt-LT"/>
              </w:rPr>
              <w:t>Pimozidas, kvetiapinas ar sertindolas</w:t>
            </w:r>
          </w:p>
        </w:tc>
        <w:tc>
          <w:tcPr>
            <w:tcW w:w="4927" w:type="dxa"/>
            <w:shd w:val="clear" w:color="auto" w:fill="auto"/>
          </w:tcPr>
          <w:p w14:paraId="6342AF70" w14:textId="77777777" w:rsidR="00505EBA" w:rsidRPr="005E73A6" w:rsidRDefault="00001FC1" w:rsidP="00E4206E">
            <w:pPr>
              <w:rPr>
                <w:sz w:val="22"/>
                <w:szCs w:val="22"/>
                <w:lang w:val="lt-LT"/>
              </w:rPr>
            </w:pPr>
            <w:r w:rsidRPr="005E73A6">
              <w:rPr>
                <w:sz w:val="22"/>
                <w:szCs w:val="22"/>
                <w:lang w:val="lt-LT"/>
              </w:rPr>
              <w:t>gydomi psichikos sutrikimai</w:t>
            </w:r>
          </w:p>
        </w:tc>
      </w:tr>
      <w:tr w:rsidR="00505EBA" w:rsidRPr="00532388" w14:paraId="15BEAFD9" w14:textId="77777777" w:rsidTr="005E73A6">
        <w:tc>
          <w:tcPr>
            <w:tcW w:w="4927" w:type="dxa"/>
            <w:shd w:val="clear" w:color="auto" w:fill="auto"/>
          </w:tcPr>
          <w:p w14:paraId="1687ED54" w14:textId="77777777" w:rsidR="00505EBA" w:rsidRPr="005E73A6" w:rsidRDefault="00505EBA" w:rsidP="00001FC1">
            <w:pPr>
              <w:rPr>
                <w:i/>
                <w:sz w:val="22"/>
                <w:szCs w:val="22"/>
                <w:lang w:val="lt-LT"/>
              </w:rPr>
            </w:pPr>
            <w:r w:rsidRPr="005E73A6">
              <w:rPr>
                <w:i/>
                <w:sz w:val="22"/>
                <w:szCs w:val="22"/>
                <w:lang w:val="lt-LT"/>
              </w:rPr>
              <w:t xml:space="preserve">Skalsių alkaloidai, pavyzdžiui, ergotaminas, dihidroergotaminas, </w:t>
            </w:r>
            <w:r w:rsidR="00001FC1" w:rsidRPr="005E73A6">
              <w:rPr>
                <w:i/>
                <w:sz w:val="22"/>
                <w:szCs w:val="22"/>
                <w:lang w:val="lt-LT"/>
              </w:rPr>
              <w:t>ergometrinas ir metilergonovinas</w:t>
            </w:r>
          </w:p>
        </w:tc>
        <w:tc>
          <w:tcPr>
            <w:tcW w:w="4927" w:type="dxa"/>
            <w:shd w:val="clear" w:color="auto" w:fill="auto"/>
          </w:tcPr>
          <w:p w14:paraId="77A87C8A" w14:textId="77777777" w:rsidR="00505EBA" w:rsidRPr="005E73A6" w:rsidRDefault="00001FC1" w:rsidP="00E4206E">
            <w:pPr>
              <w:rPr>
                <w:sz w:val="22"/>
                <w:szCs w:val="22"/>
                <w:lang w:val="lt-LT"/>
              </w:rPr>
            </w:pPr>
            <w:r w:rsidRPr="005E73A6">
              <w:rPr>
                <w:sz w:val="22"/>
                <w:szCs w:val="22"/>
                <w:lang w:val="lt-LT"/>
              </w:rPr>
              <w:t>g</w:t>
            </w:r>
            <w:r w:rsidR="00505EBA" w:rsidRPr="005E73A6">
              <w:rPr>
                <w:sz w:val="22"/>
                <w:szCs w:val="22"/>
                <w:lang w:val="lt-LT"/>
              </w:rPr>
              <w:t>y</w:t>
            </w:r>
            <w:r w:rsidRPr="005E73A6">
              <w:rPr>
                <w:sz w:val="22"/>
                <w:szCs w:val="22"/>
                <w:lang w:val="lt-LT"/>
              </w:rPr>
              <w:t>doma migrena ir galvos skausmas</w:t>
            </w:r>
          </w:p>
        </w:tc>
      </w:tr>
      <w:tr w:rsidR="00505EBA" w:rsidRPr="00532388" w14:paraId="01E69CCA" w14:textId="77777777" w:rsidTr="005E73A6">
        <w:tc>
          <w:tcPr>
            <w:tcW w:w="4927" w:type="dxa"/>
            <w:shd w:val="clear" w:color="auto" w:fill="auto"/>
          </w:tcPr>
          <w:p w14:paraId="4F6CD918" w14:textId="77777777" w:rsidR="00505EBA" w:rsidRPr="005E73A6" w:rsidRDefault="00505EBA" w:rsidP="00E4206E">
            <w:pPr>
              <w:rPr>
                <w:i/>
                <w:sz w:val="22"/>
                <w:szCs w:val="22"/>
                <w:lang w:val="lt-LT"/>
              </w:rPr>
            </w:pPr>
            <w:r w:rsidRPr="005E73A6">
              <w:rPr>
                <w:i/>
                <w:sz w:val="22"/>
                <w:szCs w:val="22"/>
                <w:lang w:val="lt-LT"/>
              </w:rPr>
              <w:t>Amjodaronas, bepridilis, dronedaronas, chinidinas, ranolazinas ir sisteminio poveikio lidokainas</w:t>
            </w:r>
          </w:p>
        </w:tc>
        <w:tc>
          <w:tcPr>
            <w:tcW w:w="4927" w:type="dxa"/>
            <w:shd w:val="clear" w:color="auto" w:fill="auto"/>
          </w:tcPr>
          <w:p w14:paraId="1DD14F94" w14:textId="77777777" w:rsidR="00505EBA" w:rsidRPr="005E73A6" w:rsidRDefault="00001FC1" w:rsidP="00E4206E">
            <w:pPr>
              <w:rPr>
                <w:sz w:val="22"/>
                <w:szCs w:val="22"/>
                <w:lang w:val="lt-LT"/>
              </w:rPr>
            </w:pPr>
            <w:r w:rsidRPr="005E73A6">
              <w:rPr>
                <w:sz w:val="22"/>
                <w:szCs w:val="22"/>
                <w:lang w:val="lt-LT"/>
              </w:rPr>
              <w:t>g</w:t>
            </w:r>
            <w:r w:rsidR="00505EBA" w:rsidRPr="005E73A6">
              <w:rPr>
                <w:sz w:val="22"/>
                <w:szCs w:val="22"/>
                <w:lang w:val="lt-LT"/>
              </w:rPr>
              <w:t>ydomi tam tikri širdies sutrikimai, pavyzdži</w:t>
            </w:r>
            <w:r w:rsidRPr="005E73A6">
              <w:rPr>
                <w:sz w:val="22"/>
                <w:szCs w:val="22"/>
                <w:lang w:val="lt-LT"/>
              </w:rPr>
              <w:t>ui, nenormalus širdies plakimas</w:t>
            </w:r>
          </w:p>
        </w:tc>
      </w:tr>
      <w:tr w:rsidR="00505EBA" w:rsidRPr="00532388" w14:paraId="12945EEC" w14:textId="77777777" w:rsidTr="005E73A6">
        <w:tc>
          <w:tcPr>
            <w:tcW w:w="4927" w:type="dxa"/>
            <w:shd w:val="clear" w:color="auto" w:fill="auto"/>
          </w:tcPr>
          <w:p w14:paraId="07199175" w14:textId="77777777" w:rsidR="00505EBA" w:rsidRPr="005E73A6" w:rsidRDefault="00505EBA" w:rsidP="00E4206E">
            <w:pPr>
              <w:rPr>
                <w:i/>
                <w:sz w:val="22"/>
                <w:szCs w:val="22"/>
                <w:lang w:val="lt-LT"/>
              </w:rPr>
            </w:pPr>
            <w:r w:rsidRPr="005E73A6">
              <w:rPr>
                <w:i/>
                <w:sz w:val="22"/>
                <w:szCs w:val="22"/>
                <w:lang w:val="lt-LT"/>
              </w:rPr>
              <w:t>Lovastatinas ir simvastatinas</w:t>
            </w:r>
          </w:p>
        </w:tc>
        <w:tc>
          <w:tcPr>
            <w:tcW w:w="4927" w:type="dxa"/>
            <w:shd w:val="clear" w:color="auto" w:fill="auto"/>
          </w:tcPr>
          <w:p w14:paraId="7AEDDF17" w14:textId="77777777" w:rsidR="00505EBA" w:rsidRPr="005E73A6" w:rsidRDefault="00DE0287" w:rsidP="00E4206E">
            <w:pPr>
              <w:rPr>
                <w:sz w:val="22"/>
                <w:szCs w:val="22"/>
                <w:lang w:val="lt-LT"/>
              </w:rPr>
            </w:pPr>
            <w:r w:rsidRPr="005E73A6">
              <w:rPr>
                <w:sz w:val="22"/>
                <w:szCs w:val="22"/>
                <w:lang w:val="lt-LT"/>
              </w:rPr>
              <w:t>m</w:t>
            </w:r>
            <w:r w:rsidR="00505EBA" w:rsidRPr="005E73A6">
              <w:rPr>
                <w:sz w:val="22"/>
                <w:szCs w:val="22"/>
                <w:lang w:val="lt-LT"/>
              </w:rPr>
              <w:t>až</w:t>
            </w:r>
            <w:r w:rsidRPr="005E73A6">
              <w:rPr>
                <w:sz w:val="22"/>
                <w:szCs w:val="22"/>
                <w:lang w:val="lt-LT"/>
              </w:rPr>
              <w:t>ina cholesterolio koncentraciją</w:t>
            </w:r>
          </w:p>
        </w:tc>
      </w:tr>
      <w:tr w:rsidR="00505EBA" w:rsidRPr="00532388" w14:paraId="58441A50" w14:textId="77777777" w:rsidTr="005E73A6">
        <w:tc>
          <w:tcPr>
            <w:tcW w:w="4927" w:type="dxa"/>
            <w:shd w:val="clear" w:color="auto" w:fill="auto"/>
          </w:tcPr>
          <w:p w14:paraId="610A4BBD" w14:textId="77777777" w:rsidR="00505EBA" w:rsidRPr="005E73A6" w:rsidRDefault="00505EBA" w:rsidP="00E4206E">
            <w:pPr>
              <w:rPr>
                <w:i/>
                <w:sz w:val="22"/>
                <w:szCs w:val="22"/>
                <w:lang w:val="lt-LT"/>
              </w:rPr>
            </w:pPr>
            <w:r w:rsidRPr="005E73A6">
              <w:rPr>
                <w:i/>
                <w:sz w:val="22"/>
                <w:szCs w:val="22"/>
                <w:lang w:val="lt-LT"/>
              </w:rPr>
              <w:t>Rifampicinas</w:t>
            </w:r>
          </w:p>
        </w:tc>
        <w:tc>
          <w:tcPr>
            <w:tcW w:w="4927" w:type="dxa"/>
            <w:shd w:val="clear" w:color="auto" w:fill="auto"/>
          </w:tcPr>
          <w:p w14:paraId="630880DA" w14:textId="77777777" w:rsidR="00505EBA" w:rsidRPr="005E73A6" w:rsidRDefault="00DE0287" w:rsidP="00E4206E">
            <w:pPr>
              <w:rPr>
                <w:sz w:val="22"/>
                <w:szCs w:val="22"/>
                <w:lang w:val="lt-LT"/>
              </w:rPr>
            </w:pPr>
            <w:r w:rsidRPr="005E73A6">
              <w:rPr>
                <w:sz w:val="22"/>
                <w:szCs w:val="22"/>
                <w:lang w:val="lt-LT"/>
              </w:rPr>
              <w:t>g</w:t>
            </w:r>
            <w:r w:rsidR="00505EBA" w:rsidRPr="005E73A6">
              <w:rPr>
                <w:sz w:val="22"/>
                <w:szCs w:val="22"/>
                <w:lang w:val="lt-LT"/>
              </w:rPr>
              <w:t>ydomos kai kurios infek</w:t>
            </w:r>
            <w:r w:rsidRPr="005E73A6">
              <w:rPr>
                <w:sz w:val="22"/>
                <w:szCs w:val="22"/>
                <w:lang w:val="lt-LT"/>
              </w:rPr>
              <w:t>cijos, pavyzdžiui, tuberkuliozė</w:t>
            </w:r>
          </w:p>
        </w:tc>
      </w:tr>
      <w:tr w:rsidR="00505EBA" w:rsidRPr="00532388" w14:paraId="6E84565C" w14:textId="77777777" w:rsidTr="005E73A6">
        <w:tc>
          <w:tcPr>
            <w:tcW w:w="4927" w:type="dxa"/>
            <w:shd w:val="clear" w:color="auto" w:fill="auto"/>
          </w:tcPr>
          <w:p w14:paraId="47B25736" w14:textId="77777777" w:rsidR="00505EBA" w:rsidRPr="005E73A6" w:rsidRDefault="00505EBA" w:rsidP="00E4206E">
            <w:pPr>
              <w:rPr>
                <w:i/>
                <w:sz w:val="22"/>
                <w:szCs w:val="22"/>
                <w:lang w:val="lt-LT"/>
              </w:rPr>
            </w:pPr>
            <w:r w:rsidRPr="005E73A6">
              <w:rPr>
                <w:i/>
                <w:sz w:val="22"/>
                <w:szCs w:val="22"/>
                <w:lang w:val="lt-LT"/>
              </w:rPr>
              <w:t>Lopinaviro/ritonaviro derinys</w:t>
            </w:r>
          </w:p>
        </w:tc>
        <w:tc>
          <w:tcPr>
            <w:tcW w:w="4927" w:type="dxa"/>
            <w:shd w:val="clear" w:color="auto" w:fill="auto"/>
          </w:tcPr>
          <w:p w14:paraId="1FC89EE4" w14:textId="77777777" w:rsidR="00505EBA" w:rsidRPr="005E73A6" w:rsidRDefault="00DE0287" w:rsidP="00E4206E">
            <w:pPr>
              <w:rPr>
                <w:sz w:val="22"/>
                <w:szCs w:val="22"/>
                <w:lang w:val="lt-LT"/>
              </w:rPr>
            </w:pPr>
            <w:r w:rsidRPr="005E73A6">
              <w:rPr>
                <w:sz w:val="22"/>
                <w:szCs w:val="22"/>
                <w:lang w:val="lt-LT"/>
              </w:rPr>
              <w:t>š</w:t>
            </w:r>
            <w:r w:rsidR="00505EBA" w:rsidRPr="005E73A6">
              <w:rPr>
                <w:sz w:val="22"/>
                <w:szCs w:val="22"/>
                <w:lang w:val="lt-LT"/>
              </w:rPr>
              <w:t xml:space="preserve">is vaistas nuo ŽIV priklauso tai pačiai vaistų grupei, kaip </w:t>
            </w:r>
            <w:r w:rsidR="00505EBA" w:rsidRPr="005E73A6">
              <w:rPr>
                <w:rFonts w:eastAsia="Times New Roman"/>
                <w:sz w:val="22"/>
                <w:lang w:val="lt-LT" w:eastAsia="lt-LT" w:bidi="lt-LT"/>
              </w:rPr>
              <w:t>Darunavir Teva</w:t>
            </w:r>
          </w:p>
        </w:tc>
      </w:tr>
      <w:tr w:rsidR="00505EBA" w:rsidRPr="00532388" w14:paraId="6343E1DC" w14:textId="77777777" w:rsidTr="005E73A6">
        <w:tc>
          <w:tcPr>
            <w:tcW w:w="4927" w:type="dxa"/>
            <w:shd w:val="clear" w:color="auto" w:fill="auto"/>
          </w:tcPr>
          <w:p w14:paraId="65F1F6D7" w14:textId="77777777" w:rsidR="00505EBA" w:rsidRPr="005E73A6" w:rsidRDefault="00505EBA" w:rsidP="00E4206E">
            <w:pPr>
              <w:rPr>
                <w:i/>
                <w:sz w:val="22"/>
                <w:szCs w:val="22"/>
                <w:lang w:val="lt-LT"/>
              </w:rPr>
            </w:pPr>
            <w:r w:rsidRPr="005E73A6">
              <w:rPr>
                <w:i/>
                <w:sz w:val="22"/>
                <w:szCs w:val="22"/>
                <w:lang w:val="lt-LT"/>
              </w:rPr>
              <w:t>Alfuzozinas</w:t>
            </w:r>
          </w:p>
        </w:tc>
        <w:tc>
          <w:tcPr>
            <w:tcW w:w="4927" w:type="dxa"/>
            <w:shd w:val="clear" w:color="auto" w:fill="auto"/>
          </w:tcPr>
          <w:p w14:paraId="0E9773D8" w14:textId="77777777" w:rsidR="00505EBA" w:rsidRPr="005E73A6" w:rsidRDefault="00DE0287" w:rsidP="00E4206E">
            <w:pPr>
              <w:rPr>
                <w:sz w:val="22"/>
                <w:szCs w:val="22"/>
                <w:lang w:val="lt-LT"/>
              </w:rPr>
            </w:pPr>
            <w:r w:rsidRPr="005E73A6">
              <w:rPr>
                <w:sz w:val="22"/>
                <w:szCs w:val="22"/>
                <w:lang w:val="lt-LT"/>
              </w:rPr>
              <w:t>g</w:t>
            </w:r>
            <w:r w:rsidR="00505EBA" w:rsidRPr="005E73A6">
              <w:rPr>
                <w:sz w:val="22"/>
                <w:szCs w:val="22"/>
                <w:lang w:val="lt-LT"/>
              </w:rPr>
              <w:t>ydoma</w:t>
            </w:r>
            <w:r w:rsidRPr="005E73A6">
              <w:rPr>
                <w:sz w:val="22"/>
                <w:szCs w:val="22"/>
                <w:lang w:val="lt-LT"/>
              </w:rPr>
              <w:t>s priešinės liaukos padidėjimas</w:t>
            </w:r>
          </w:p>
        </w:tc>
      </w:tr>
      <w:tr w:rsidR="00505EBA" w:rsidRPr="00532388" w14:paraId="77ECD074" w14:textId="77777777" w:rsidTr="005E73A6">
        <w:tc>
          <w:tcPr>
            <w:tcW w:w="4927" w:type="dxa"/>
            <w:shd w:val="clear" w:color="auto" w:fill="auto"/>
          </w:tcPr>
          <w:p w14:paraId="3E3C9E32" w14:textId="77777777" w:rsidR="00505EBA" w:rsidRPr="005E73A6" w:rsidRDefault="00505EBA" w:rsidP="00E4206E">
            <w:pPr>
              <w:rPr>
                <w:i/>
                <w:sz w:val="22"/>
                <w:szCs w:val="22"/>
                <w:lang w:val="lt-LT"/>
              </w:rPr>
            </w:pPr>
            <w:r w:rsidRPr="005E73A6">
              <w:rPr>
                <w:i/>
                <w:sz w:val="22"/>
                <w:szCs w:val="22"/>
                <w:lang w:val="lt-LT"/>
              </w:rPr>
              <w:t>Sildenafilis</w:t>
            </w:r>
          </w:p>
        </w:tc>
        <w:tc>
          <w:tcPr>
            <w:tcW w:w="4927" w:type="dxa"/>
            <w:shd w:val="clear" w:color="auto" w:fill="auto"/>
          </w:tcPr>
          <w:p w14:paraId="368DC5DF" w14:textId="77777777" w:rsidR="00505EBA" w:rsidRPr="005E73A6" w:rsidRDefault="00DE0287" w:rsidP="00E4206E">
            <w:pPr>
              <w:rPr>
                <w:sz w:val="22"/>
                <w:szCs w:val="22"/>
                <w:lang w:val="lt-LT"/>
              </w:rPr>
            </w:pPr>
            <w:r w:rsidRPr="005E73A6">
              <w:rPr>
                <w:sz w:val="22"/>
                <w:szCs w:val="22"/>
                <w:lang w:val="lt-LT"/>
              </w:rPr>
              <w:t>p</w:t>
            </w:r>
            <w:r w:rsidR="00505EBA" w:rsidRPr="005E73A6">
              <w:rPr>
                <w:sz w:val="22"/>
                <w:szCs w:val="22"/>
                <w:lang w:val="lt-LT"/>
              </w:rPr>
              <w:t>adidėjusiam kraujospūdžiui plaučių kraujagyslėse gydyti</w:t>
            </w:r>
          </w:p>
        </w:tc>
      </w:tr>
      <w:tr w:rsidR="00505EBA" w:rsidRPr="00532388" w14:paraId="421CEA00" w14:textId="77777777" w:rsidTr="005E73A6">
        <w:tc>
          <w:tcPr>
            <w:tcW w:w="4927" w:type="dxa"/>
            <w:shd w:val="clear" w:color="auto" w:fill="auto"/>
          </w:tcPr>
          <w:p w14:paraId="5305E72E" w14:textId="77777777" w:rsidR="00505EBA" w:rsidRPr="005E73A6" w:rsidRDefault="00505EBA" w:rsidP="00E4206E">
            <w:pPr>
              <w:rPr>
                <w:i/>
                <w:sz w:val="22"/>
                <w:szCs w:val="22"/>
                <w:lang w:val="lt-LT"/>
              </w:rPr>
            </w:pPr>
            <w:r w:rsidRPr="005E73A6">
              <w:rPr>
                <w:i/>
                <w:sz w:val="22"/>
                <w:szCs w:val="22"/>
                <w:lang w:val="lt-LT"/>
              </w:rPr>
              <w:t>Tikagreloras</w:t>
            </w:r>
          </w:p>
        </w:tc>
        <w:tc>
          <w:tcPr>
            <w:tcW w:w="4927" w:type="dxa"/>
            <w:shd w:val="clear" w:color="auto" w:fill="auto"/>
          </w:tcPr>
          <w:p w14:paraId="24829F10" w14:textId="77777777" w:rsidR="00505EBA" w:rsidRPr="005E73A6" w:rsidRDefault="00DE0287" w:rsidP="00E4206E">
            <w:pPr>
              <w:rPr>
                <w:sz w:val="22"/>
                <w:szCs w:val="22"/>
                <w:lang w:val="lt-LT"/>
              </w:rPr>
            </w:pPr>
            <w:r w:rsidRPr="005E73A6">
              <w:rPr>
                <w:sz w:val="22"/>
                <w:szCs w:val="22"/>
                <w:lang w:val="lt-LT"/>
              </w:rPr>
              <w:t>p</w:t>
            </w:r>
            <w:r w:rsidR="00505EBA" w:rsidRPr="005E73A6">
              <w:rPr>
                <w:sz w:val="22"/>
                <w:szCs w:val="22"/>
                <w:lang w:val="lt-LT"/>
              </w:rPr>
              <w:t>adeda sumažinti trombocitų sukibimą, gydant pacientus, kuriems yra buvęs širdies priepuolis</w:t>
            </w:r>
          </w:p>
        </w:tc>
      </w:tr>
    </w:tbl>
    <w:p w14:paraId="6A49DCE3" w14:textId="77777777" w:rsidR="00505EBA" w:rsidRPr="00532388" w:rsidRDefault="00505EBA" w:rsidP="00505EBA">
      <w:pPr>
        <w:rPr>
          <w:lang w:val="lt-LT"/>
        </w:rPr>
      </w:pPr>
    </w:p>
    <w:p w14:paraId="2EABD6F8" w14:textId="77777777" w:rsidR="00505EBA" w:rsidRPr="00532388" w:rsidRDefault="00505EBA" w:rsidP="00505EBA">
      <w:pPr>
        <w:rPr>
          <w:sz w:val="22"/>
          <w:szCs w:val="22"/>
          <w:lang w:val="lt-LT"/>
        </w:rPr>
      </w:pPr>
      <w:r w:rsidRPr="00532388">
        <w:rPr>
          <w:sz w:val="22"/>
          <w:szCs w:val="22"/>
          <w:lang w:val="lt-LT"/>
        </w:rPr>
        <w:t xml:space="preserve">Nevartokite </w:t>
      </w:r>
      <w:r w:rsidRPr="00532388">
        <w:rPr>
          <w:rFonts w:eastAsia="Times New Roman"/>
          <w:sz w:val="22"/>
          <w:lang w:val="lt-LT" w:eastAsia="lt-LT" w:bidi="lt-LT"/>
        </w:rPr>
        <w:t xml:space="preserve">Darunavir Teva </w:t>
      </w:r>
      <w:r w:rsidRPr="00532388">
        <w:rPr>
          <w:sz w:val="22"/>
          <w:szCs w:val="22"/>
          <w:lang w:val="lt-LT"/>
        </w:rPr>
        <w:t>kartu su vaistais, kurių sudėtyje yra jonažolių (</w:t>
      </w:r>
      <w:r w:rsidRPr="00532388">
        <w:rPr>
          <w:i/>
          <w:sz w:val="22"/>
          <w:szCs w:val="22"/>
          <w:lang w:val="lt-LT"/>
        </w:rPr>
        <w:t>Hypericum perforatum</w:t>
      </w:r>
      <w:r w:rsidRPr="00532388">
        <w:rPr>
          <w:sz w:val="22"/>
          <w:szCs w:val="22"/>
          <w:lang w:val="lt-LT"/>
        </w:rPr>
        <w:t>).</w:t>
      </w:r>
    </w:p>
    <w:p w14:paraId="1162AE28" w14:textId="77777777" w:rsidR="00505EBA" w:rsidRPr="00532388" w:rsidRDefault="00505EBA" w:rsidP="00505EBA">
      <w:pPr>
        <w:rPr>
          <w:sz w:val="22"/>
          <w:szCs w:val="22"/>
          <w:lang w:val="lt-LT"/>
        </w:rPr>
      </w:pPr>
    </w:p>
    <w:p w14:paraId="11BFE1A4" w14:textId="77777777" w:rsidR="00505EBA" w:rsidRPr="00532388" w:rsidRDefault="00505EBA" w:rsidP="00505EBA">
      <w:pPr>
        <w:rPr>
          <w:b/>
          <w:sz w:val="22"/>
          <w:szCs w:val="22"/>
          <w:lang w:val="lt-LT"/>
        </w:rPr>
      </w:pPr>
      <w:r w:rsidRPr="00532388">
        <w:rPr>
          <w:b/>
          <w:sz w:val="22"/>
          <w:szCs w:val="22"/>
          <w:lang w:val="lt-LT"/>
        </w:rPr>
        <w:t>Įspėjimai ir atsargumo priemonės</w:t>
      </w:r>
    </w:p>
    <w:p w14:paraId="09401165" w14:textId="77777777" w:rsidR="00505EBA" w:rsidRPr="00532388" w:rsidRDefault="00505EBA" w:rsidP="00505EBA">
      <w:pPr>
        <w:rPr>
          <w:sz w:val="22"/>
          <w:szCs w:val="22"/>
          <w:lang w:val="lt-LT"/>
        </w:rPr>
      </w:pPr>
      <w:r w:rsidRPr="00532388">
        <w:rPr>
          <w:sz w:val="22"/>
          <w:szCs w:val="22"/>
          <w:lang w:val="lt-LT"/>
        </w:rPr>
        <w:t xml:space="preserve">Pasitarkite su gydytoju, vaistininku arba slaugytoja, prieš pradėdami vartoti </w:t>
      </w:r>
      <w:r w:rsidRPr="00532388">
        <w:rPr>
          <w:rFonts w:eastAsia="Times New Roman"/>
          <w:sz w:val="22"/>
          <w:lang w:val="lt-LT" w:eastAsia="lt-LT" w:bidi="lt-LT"/>
        </w:rPr>
        <w:t>Darunavir Teva</w:t>
      </w:r>
      <w:r w:rsidRPr="00532388">
        <w:rPr>
          <w:sz w:val="22"/>
          <w:szCs w:val="22"/>
          <w:lang w:val="lt-LT"/>
        </w:rPr>
        <w:t>.</w:t>
      </w:r>
    </w:p>
    <w:p w14:paraId="79E807BC" w14:textId="77777777" w:rsidR="00505EBA" w:rsidRPr="00532388" w:rsidRDefault="00505EBA" w:rsidP="00505EBA">
      <w:pPr>
        <w:rPr>
          <w:sz w:val="22"/>
          <w:szCs w:val="22"/>
          <w:lang w:val="lt-LT"/>
        </w:rPr>
      </w:pPr>
      <w:r w:rsidRPr="00532388">
        <w:rPr>
          <w:rFonts w:eastAsia="Times New Roman"/>
          <w:sz w:val="22"/>
          <w:lang w:val="lt-LT" w:eastAsia="lt-LT" w:bidi="lt-LT"/>
        </w:rPr>
        <w:t xml:space="preserve">Darunavir Teva </w:t>
      </w:r>
      <w:r w:rsidRPr="00532388">
        <w:rPr>
          <w:sz w:val="22"/>
          <w:szCs w:val="22"/>
          <w:lang w:val="lt-LT"/>
        </w:rPr>
        <w:t>neišgydo ŽIV infekcijos. Vartodami šį vaistą, Jūs vis dar galite užkrėsti ŽIV kitus žmones, nors rizika dėl efektyvaus antiretrovirusinio gydymo yra sumažėjusi. Pasitarkite su gydytoju dėl atsargumo priemonių, kad neužkrėstumėte kitų žmonių.</w:t>
      </w:r>
    </w:p>
    <w:p w14:paraId="557DB267" w14:textId="77777777" w:rsidR="00505EBA" w:rsidRPr="00532388" w:rsidRDefault="00505EBA" w:rsidP="00505EBA">
      <w:pPr>
        <w:rPr>
          <w:sz w:val="22"/>
          <w:szCs w:val="22"/>
          <w:lang w:val="lt-LT"/>
        </w:rPr>
      </w:pPr>
    </w:p>
    <w:p w14:paraId="5232040A" w14:textId="77777777" w:rsidR="00505EBA" w:rsidRPr="00532388" w:rsidRDefault="00505EBA" w:rsidP="00505EBA">
      <w:pPr>
        <w:rPr>
          <w:sz w:val="22"/>
          <w:szCs w:val="22"/>
          <w:lang w:val="lt-LT"/>
        </w:rPr>
      </w:pPr>
      <w:r w:rsidRPr="00532388">
        <w:rPr>
          <w:sz w:val="22"/>
          <w:szCs w:val="22"/>
          <w:lang w:val="lt-LT"/>
        </w:rPr>
        <w:t xml:space="preserve">Asmenys, vartojantys </w:t>
      </w:r>
      <w:r w:rsidRPr="00532388">
        <w:rPr>
          <w:rFonts w:eastAsia="Times New Roman"/>
          <w:sz w:val="22"/>
          <w:lang w:val="lt-LT" w:eastAsia="lt-LT" w:bidi="lt-LT"/>
        </w:rPr>
        <w:t>Darunavir Teva</w:t>
      </w:r>
      <w:r w:rsidRPr="00532388">
        <w:rPr>
          <w:sz w:val="22"/>
          <w:szCs w:val="22"/>
          <w:lang w:val="lt-LT"/>
        </w:rPr>
        <w:t>, vis tiek gali susirgti kitomis infekcijomis ar kitomis ligomis, susijusiomis su ŽIV infekcija. Būtina palaikyti pastovų ryšį su savo gydytoju.</w:t>
      </w:r>
    </w:p>
    <w:p w14:paraId="63D1DFAD" w14:textId="77777777" w:rsidR="00505EBA" w:rsidRPr="00532388" w:rsidRDefault="00505EBA" w:rsidP="00505EBA">
      <w:pPr>
        <w:rPr>
          <w:sz w:val="22"/>
          <w:szCs w:val="22"/>
          <w:lang w:val="lt-LT"/>
        </w:rPr>
      </w:pPr>
    </w:p>
    <w:p w14:paraId="057EED35" w14:textId="77777777" w:rsidR="00505EBA" w:rsidRPr="00532388" w:rsidRDefault="00505EBA" w:rsidP="00505EBA">
      <w:pPr>
        <w:rPr>
          <w:sz w:val="22"/>
          <w:szCs w:val="22"/>
          <w:lang w:val="lt-LT"/>
        </w:rPr>
      </w:pPr>
      <w:r w:rsidRPr="00532388">
        <w:rPr>
          <w:rFonts w:eastAsia="Times New Roman"/>
          <w:sz w:val="22"/>
          <w:lang w:val="lt-LT" w:eastAsia="lt-LT" w:bidi="lt-LT"/>
        </w:rPr>
        <w:t>Darunavir Teva</w:t>
      </w:r>
      <w:r w:rsidRPr="00532388">
        <w:rPr>
          <w:sz w:val="22"/>
          <w:szCs w:val="22"/>
          <w:lang w:val="lt-LT"/>
        </w:rPr>
        <w:t xml:space="preserve"> vartojantiems žmonėms gali pasireikšti odos išbėrimas. Nedažnais atvejais išbėrimas gali būti sunkus arba kelti pavojų gyvybei. Jeigu atsirado odos išbėrimas, kreipkitės į gydytoją.</w:t>
      </w:r>
    </w:p>
    <w:p w14:paraId="715EB94E" w14:textId="77777777" w:rsidR="00505EBA" w:rsidRPr="00532388" w:rsidRDefault="00505EBA" w:rsidP="00505EBA">
      <w:pPr>
        <w:rPr>
          <w:sz w:val="22"/>
          <w:szCs w:val="22"/>
          <w:lang w:val="lt-LT"/>
        </w:rPr>
      </w:pPr>
    </w:p>
    <w:p w14:paraId="59F7E83C" w14:textId="77777777" w:rsidR="00505EBA" w:rsidRPr="00532388" w:rsidRDefault="00505EBA" w:rsidP="00505EBA">
      <w:pPr>
        <w:rPr>
          <w:sz w:val="22"/>
          <w:szCs w:val="22"/>
          <w:lang w:val="lt-LT"/>
        </w:rPr>
      </w:pPr>
      <w:r w:rsidRPr="00532388">
        <w:rPr>
          <w:rFonts w:eastAsia="Times New Roman"/>
          <w:sz w:val="22"/>
          <w:szCs w:val="22"/>
          <w:lang w:val="lt-LT" w:eastAsia="lt-LT" w:bidi="lt-LT"/>
        </w:rPr>
        <w:lastRenderedPageBreak/>
        <w:t>Darunavir Teva</w:t>
      </w:r>
      <w:r w:rsidRPr="00532388">
        <w:rPr>
          <w:sz w:val="22"/>
          <w:szCs w:val="22"/>
          <w:lang w:val="lt-LT"/>
        </w:rPr>
        <w:t xml:space="preserve"> ir raltegravirą (ŽIV infekcijai gydyti) kartu vartojantiems žmonėms išbėrimas (dažniausiai lengvas ar vidutinio sunkumo) gali pasireikšti dažniau nei kiekvieną iš šių vaistų atskirai vartojantiems žmonėms.</w:t>
      </w:r>
    </w:p>
    <w:p w14:paraId="16952C3A" w14:textId="77777777" w:rsidR="00505EBA" w:rsidRPr="00532388" w:rsidRDefault="00505EBA" w:rsidP="00505EBA">
      <w:pPr>
        <w:rPr>
          <w:sz w:val="22"/>
          <w:szCs w:val="22"/>
          <w:lang w:val="lt-LT"/>
        </w:rPr>
      </w:pPr>
    </w:p>
    <w:p w14:paraId="73CE6C28" w14:textId="77777777" w:rsidR="00505EBA" w:rsidRPr="00532388" w:rsidRDefault="00505EBA" w:rsidP="00505EBA">
      <w:pPr>
        <w:rPr>
          <w:sz w:val="22"/>
          <w:szCs w:val="22"/>
          <w:lang w:val="lt-LT"/>
        </w:rPr>
      </w:pPr>
      <w:r w:rsidRPr="00532388">
        <w:rPr>
          <w:rFonts w:eastAsia="Times New Roman"/>
          <w:sz w:val="22"/>
          <w:lang w:val="lt-LT" w:eastAsia="lt-LT" w:bidi="lt-LT"/>
        </w:rPr>
        <w:t>Darunavir Teva</w:t>
      </w:r>
      <w:r w:rsidRPr="00532388">
        <w:rPr>
          <w:sz w:val="22"/>
          <w:szCs w:val="22"/>
          <w:lang w:val="lt-LT"/>
        </w:rPr>
        <w:t xml:space="preserve"> vartojo nedaug 65 metų ir vyresnių žmonių. Jeigu Jūs priklausote šiai amžiaus grupei, pasitarkite su savo gydytoju, ar galite vartoti </w:t>
      </w:r>
      <w:r w:rsidRPr="00532388">
        <w:rPr>
          <w:rFonts w:eastAsia="Times New Roman"/>
          <w:sz w:val="22"/>
          <w:lang w:val="lt-LT" w:eastAsia="lt-LT" w:bidi="lt-LT"/>
        </w:rPr>
        <w:t>Darunavir Teva</w:t>
      </w:r>
      <w:r w:rsidRPr="00532388">
        <w:rPr>
          <w:sz w:val="22"/>
          <w:szCs w:val="22"/>
          <w:lang w:val="lt-LT"/>
        </w:rPr>
        <w:t>.</w:t>
      </w:r>
    </w:p>
    <w:p w14:paraId="5118387C" w14:textId="77777777" w:rsidR="00505EBA" w:rsidRPr="00532388" w:rsidRDefault="00505EBA" w:rsidP="00505EBA">
      <w:pPr>
        <w:rPr>
          <w:sz w:val="22"/>
          <w:szCs w:val="22"/>
          <w:lang w:val="lt-LT"/>
        </w:rPr>
      </w:pPr>
    </w:p>
    <w:p w14:paraId="293BD3ED" w14:textId="77777777" w:rsidR="00505EBA" w:rsidRPr="00532388" w:rsidRDefault="00505EBA" w:rsidP="00505EBA">
      <w:pPr>
        <w:rPr>
          <w:b/>
          <w:sz w:val="22"/>
          <w:szCs w:val="22"/>
          <w:lang w:val="lt-LT"/>
        </w:rPr>
      </w:pPr>
      <w:r w:rsidRPr="00532388">
        <w:rPr>
          <w:b/>
          <w:sz w:val="22"/>
          <w:szCs w:val="22"/>
          <w:lang w:val="lt-LT"/>
        </w:rPr>
        <w:t>Pasakykite gydytojui apie savo būklę PRIEŠ pradedant gydymą ir GYDYMO METU</w:t>
      </w:r>
    </w:p>
    <w:p w14:paraId="773DEDA2" w14:textId="77777777" w:rsidR="00505EBA" w:rsidRPr="00532388" w:rsidRDefault="00505EBA" w:rsidP="00505EBA">
      <w:pPr>
        <w:rPr>
          <w:sz w:val="22"/>
          <w:szCs w:val="22"/>
          <w:lang w:val="lt-LT"/>
        </w:rPr>
      </w:pPr>
      <w:r w:rsidRPr="00532388">
        <w:rPr>
          <w:sz w:val="22"/>
          <w:szCs w:val="22"/>
          <w:lang w:val="lt-LT"/>
        </w:rPr>
        <w:t>Atkreipkite dėmesį į šiuos dalykus ir pasakykite gydytojui, ar Jūsų būklė su jais susijusi.</w:t>
      </w:r>
    </w:p>
    <w:p w14:paraId="1DD24515"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Pasakykite gydytojui, jeigu sergate ar esate sirgęs </w:t>
      </w:r>
      <w:r w:rsidRPr="00532388">
        <w:rPr>
          <w:b/>
          <w:sz w:val="22"/>
          <w:szCs w:val="22"/>
          <w:lang w:val="lt-LT"/>
        </w:rPr>
        <w:t>kepenų ligomis</w:t>
      </w:r>
      <w:r w:rsidRPr="00532388">
        <w:rPr>
          <w:sz w:val="22"/>
          <w:szCs w:val="22"/>
          <w:lang w:val="lt-LT"/>
        </w:rPr>
        <w:t xml:space="preserve">, įskaitant hepatitą B ar C. Prieš spręsdamas, ar galite vartoti </w:t>
      </w:r>
      <w:r w:rsidRPr="00532388">
        <w:rPr>
          <w:rFonts w:eastAsia="Times New Roman"/>
          <w:sz w:val="22"/>
          <w:lang w:val="lt-LT" w:eastAsia="lt-LT" w:bidi="lt-LT"/>
        </w:rPr>
        <w:t>Darunavir Teva</w:t>
      </w:r>
      <w:r w:rsidRPr="00532388">
        <w:rPr>
          <w:sz w:val="22"/>
          <w:szCs w:val="22"/>
          <w:lang w:val="lt-LT"/>
        </w:rPr>
        <w:t>, gydytojas įvertins Jūsų kepenų ligos sunkumą.</w:t>
      </w:r>
    </w:p>
    <w:p w14:paraId="26B0F96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Pasakykite gydytojui, jei sergate </w:t>
      </w:r>
      <w:r w:rsidRPr="00532388">
        <w:rPr>
          <w:b/>
          <w:sz w:val="22"/>
          <w:szCs w:val="22"/>
          <w:lang w:val="lt-LT"/>
        </w:rPr>
        <w:t>cukriniu diabetu</w:t>
      </w:r>
      <w:r w:rsidRPr="00532388">
        <w:rPr>
          <w:sz w:val="22"/>
          <w:szCs w:val="22"/>
          <w:lang w:val="lt-LT"/>
        </w:rPr>
        <w:t xml:space="preserve">. </w:t>
      </w:r>
      <w:r w:rsidRPr="00532388">
        <w:rPr>
          <w:rFonts w:eastAsia="Times New Roman"/>
          <w:sz w:val="22"/>
          <w:lang w:val="lt-LT" w:eastAsia="lt-LT" w:bidi="lt-LT"/>
        </w:rPr>
        <w:t xml:space="preserve">Darunavir Teva </w:t>
      </w:r>
      <w:r w:rsidRPr="00532388">
        <w:rPr>
          <w:sz w:val="22"/>
          <w:szCs w:val="22"/>
          <w:lang w:val="lt-LT"/>
        </w:rPr>
        <w:t>gali didinti cukraus koncentraciją kraujyje.</w:t>
      </w:r>
    </w:p>
    <w:p w14:paraId="6E5C4518"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Nedelsdami pasakykite gydytojui, pastebėję bet kokius </w:t>
      </w:r>
      <w:r w:rsidRPr="00532388">
        <w:rPr>
          <w:b/>
          <w:sz w:val="22"/>
          <w:szCs w:val="22"/>
          <w:lang w:val="lt-LT"/>
        </w:rPr>
        <w:t>infekcijos simptomus</w:t>
      </w:r>
      <w:r w:rsidRPr="00532388">
        <w:rPr>
          <w:sz w:val="22"/>
          <w:szCs w:val="22"/>
          <w:lang w:val="lt-LT"/>
        </w:rPr>
        <w:t xml:space="preserve"> (pavyzdžiui, limfmazgių padidėjimas ir karščiavimas). Kartais netrukus po to, kai pradedama gydyti nuo įsisenėjusios ŽIV infekcijos ir kitų sukėlėjų sukeltų infekcijų, gali atsirasti uždegimo požymių ir simptomų dėl anksčiau buvusios infekcijos. Manoma, kad šie simptomai atsiranda dėl pagerėjusio organizmo imuninio atsako, įgalinančio organizmą kovoti su infekcija, kuri galėjo nepasireikšti jokiais aiškiais simptomais.</w:t>
      </w:r>
    </w:p>
    <w:p w14:paraId="64D3ACC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Pradėjus vartoti vaistų ŽIV sukeltai infekcinei ligai gydyti, be oportunistinių infekcijų, Jums gali atsirasti ir autoimuninių sutrikimų (tai būklės, kurios pasireiškia imuninei sistemai atakuojant sveikus kūno audinius). Autoimuniniai sutrikimai gali pasireikšti po daugelio mėnesių nuo gydymo pradžios. Jeigu pastebite bet kokius infekcijos simptomus ar kitokius simptomus, pvz., raumenų silpnumą, silpnumą, prasidedantį nuo plaštakų ar pėdų ir plintantį į liemenį, palpitaciją (dažną juntamą širdies plakimą), drebulį arba padidėjusį aktyvumą, nedelsdami kreipkitės į savo gydytoją dėl būtino gydymo.</w:t>
      </w:r>
    </w:p>
    <w:p w14:paraId="2797CF92"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Pasakykite gydytojui, jei sergate </w:t>
      </w:r>
      <w:r w:rsidRPr="00532388">
        <w:rPr>
          <w:b/>
          <w:sz w:val="22"/>
          <w:szCs w:val="22"/>
          <w:lang w:val="lt-LT"/>
        </w:rPr>
        <w:t>hemofilija</w:t>
      </w:r>
      <w:r w:rsidRPr="00532388">
        <w:rPr>
          <w:sz w:val="22"/>
          <w:szCs w:val="22"/>
          <w:lang w:val="lt-LT"/>
        </w:rPr>
        <w:t xml:space="preserve">. </w:t>
      </w:r>
      <w:r w:rsidRPr="00532388">
        <w:rPr>
          <w:rFonts w:eastAsia="Times New Roman"/>
          <w:sz w:val="22"/>
          <w:lang w:val="lt-LT" w:eastAsia="lt-LT" w:bidi="lt-LT"/>
        </w:rPr>
        <w:t xml:space="preserve">Darunavir Teva </w:t>
      </w:r>
      <w:r w:rsidRPr="00532388">
        <w:rPr>
          <w:sz w:val="22"/>
          <w:szCs w:val="22"/>
          <w:lang w:val="lt-LT"/>
        </w:rPr>
        <w:t>gali padidinti kraujavimo pavojų.</w:t>
      </w:r>
    </w:p>
    <w:p w14:paraId="0602CAE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Pasakykite gydytojui, jeigu esate </w:t>
      </w:r>
      <w:r w:rsidRPr="00532388">
        <w:rPr>
          <w:b/>
          <w:sz w:val="22"/>
          <w:szCs w:val="22"/>
          <w:lang w:val="lt-LT"/>
        </w:rPr>
        <w:t>alergiškas sulfonamidams</w:t>
      </w:r>
      <w:r w:rsidRPr="00532388">
        <w:rPr>
          <w:sz w:val="22"/>
          <w:szCs w:val="22"/>
          <w:lang w:val="lt-LT"/>
        </w:rPr>
        <w:t xml:space="preserve"> (vaistams tam tikroms infekcijoms gydyti).</w:t>
      </w:r>
    </w:p>
    <w:p w14:paraId="342E3ECE"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Pasakykite gydytojui, jeigu Jums atsiranda bet kokie </w:t>
      </w:r>
      <w:r w:rsidRPr="00532388">
        <w:rPr>
          <w:b/>
          <w:sz w:val="22"/>
          <w:szCs w:val="22"/>
          <w:lang w:val="lt-LT"/>
        </w:rPr>
        <w:t>kaulų ir raumenų pažeidimo</w:t>
      </w:r>
      <w:r w:rsidRPr="00532388">
        <w:rPr>
          <w:sz w:val="22"/>
          <w:szCs w:val="22"/>
          <w:lang w:val="lt-LT"/>
        </w:rPr>
        <w:t xml:space="preserve"> simptomai. Kai kuriems gydomiems antiretrovirusinių vaistų deriniu pacientams gali išsivystyti kaulų liga, kuri vadinama osteonekroze (kaulinio audinio žuvimas dėl sutrikusio aprūpinimo krauju). Gydymo antiretrovirusinių vaistų deriniu trukmė, kortikosteroidų vartojimas, alkoholio vartojimas, sunkus imuninės sistemos slopinimas, didesnis kūno masės indeksas kartu su kitais yra rizikos faktoriai tokiai ligai išsivystyti. Osteonekrozės požymiai yra sąnarių sustingimas, skausmas (ypač klubo, kelio ir peties sąnariuose) ir pasunkėję judesiai. Atsiradus bet kuriam iš šių simptomų, praneškite savo gydytojui.</w:t>
      </w:r>
    </w:p>
    <w:p w14:paraId="6D2C4498" w14:textId="77777777" w:rsidR="00505EBA" w:rsidRPr="00532388" w:rsidRDefault="00505EBA" w:rsidP="00505EBA">
      <w:pPr>
        <w:rPr>
          <w:sz w:val="22"/>
          <w:szCs w:val="22"/>
          <w:lang w:val="lt-LT"/>
        </w:rPr>
      </w:pPr>
    </w:p>
    <w:p w14:paraId="56505A4D" w14:textId="77777777" w:rsidR="00505EBA" w:rsidRPr="00532388" w:rsidRDefault="00505EBA" w:rsidP="00505EBA">
      <w:pPr>
        <w:rPr>
          <w:b/>
          <w:sz w:val="22"/>
          <w:szCs w:val="22"/>
          <w:lang w:val="lt-LT"/>
        </w:rPr>
      </w:pPr>
      <w:r w:rsidRPr="00532388">
        <w:rPr>
          <w:b/>
          <w:sz w:val="22"/>
          <w:szCs w:val="22"/>
          <w:lang w:val="lt-LT"/>
        </w:rPr>
        <w:t>Vartojimas vaikams ir paaugliams</w:t>
      </w:r>
    </w:p>
    <w:p w14:paraId="63A52924" w14:textId="77777777" w:rsidR="00505EBA" w:rsidRPr="00532388" w:rsidRDefault="00505EBA" w:rsidP="00505EBA">
      <w:pPr>
        <w:rPr>
          <w:sz w:val="22"/>
          <w:szCs w:val="22"/>
          <w:lang w:val="lt-LT"/>
        </w:rPr>
      </w:pPr>
      <w:r w:rsidRPr="00532388">
        <w:rPr>
          <w:rFonts w:eastAsia="Times New Roman"/>
          <w:sz w:val="22"/>
          <w:lang w:val="lt-LT" w:eastAsia="lt-LT" w:bidi="lt-LT"/>
        </w:rPr>
        <w:t xml:space="preserve">Darunavir Teva </w:t>
      </w:r>
      <w:r w:rsidRPr="00532388">
        <w:rPr>
          <w:sz w:val="22"/>
          <w:szCs w:val="22"/>
          <w:lang w:val="lt-LT"/>
        </w:rPr>
        <w:t>400 mg tablečių negalima vartoti jaunesniems nei 3 metų vaikams ir paaugliams, kurie sveria mažiau kaip 15 kilogramų.</w:t>
      </w:r>
    </w:p>
    <w:p w14:paraId="52283CDE" w14:textId="77777777" w:rsidR="00505EBA" w:rsidRPr="00532388" w:rsidRDefault="00505EBA" w:rsidP="00505EBA">
      <w:pPr>
        <w:rPr>
          <w:sz w:val="22"/>
          <w:szCs w:val="22"/>
          <w:lang w:val="lt-LT"/>
        </w:rPr>
      </w:pPr>
    </w:p>
    <w:p w14:paraId="6CB3F4FA" w14:textId="77777777" w:rsidR="00505EBA" w:rsidRPr="00532388" w:rsidRDefault="00505EBA" w:rsidP="00505EBA">
      <w:pPr>
        <w:rPr>
          <w:b/>
          <w:sz w:val="22"/>
          <w:szCs w:val="22"/>
          <w:lang w:val="lt-LT"/>
        </w:rPr>
      </w:pPr>
      <w:r w:rsidRPr="00532388">
        <w:rPr>
          <w:b/>
          <w:sz w:val="22"/>
          <w:szCs w:val="22"/>
          <w:lang w:val="lt-LT"/>
        </w:rPr>
        <w:t xml:space="preserve">Kiti vaistai ir </w:t>
      </w:r>
      <w:r w:rsidRPr="00532388">
        <w:rPr>
          <w:rFonts w:eastAsia="Times New Roman"/>
          <w:b/>
          <w:sz w:val="22"/>
          <w:lang w:val="lt-LT" w:eastAsia="lt-LT" w:bidi="lt-LT"/>
        </w:rPr>
        <w:t xml:space="preserve">Darunavir Teva </w:t>
      </w:r>
      <w:r w:rsidRPr="00532388">
        <w:rPr>
          <w:b/>
          <w:sz w:val="22"/>
          <w:szCs w:val="22"/>
          <w:lang w:val="lt-LT"/>
        </w:rPr>
        <w:t xml:space="preserve"> </w:t>
      </w:r>
    </w:p>
    <w:p w14:paraId="4EC9FCFA" w14:textId="77777777" w:rsidR="00505EBA" w:rsidRPr="00532388" w:rsidRDefault="00505EBA" w:rsidP="00505EBA">
      <w:pPr>
        <w:rPr>
          <w:sz w:val="22"/>
          <w:szCs w:val="22"/>
          <w:lang w:val="lt-LT"/>
        </w:rPr>
      </w:pPr>
      <w:r w:rsidRPr="00532388">
        <w:rPr>
          <w:sz w:val="22"/>
          <w:szCs w:val="22"/>
          <w:lang w:val="lt-LT"/>
        </w:rPr>
        <w:lastRenderedPageBreak/>
        <w:t>Jeigu vartojate ar neseniai vartojote kitų vaistų arba dėl to nesate tikri, apie tai pasakykite gydytojui arba vaistininkui.</w:t>
      </w:r>
    </w:p>
    <w:p w14:paraId="35FADADD" w14:textId="77777777" w:rsidR="00505EBA" w:rsidRPr="00532388" w:rsidRDefault="00505EBA" w:rsidP="00505EBA">
      <w:pPr>
        <w:rPr>
          <w:sz w:val="22"/>
          <w:szCs w:val="22"/>
          <w:lang w:val="lt-LT"/>
        </w:rPr>
      </w:pPr>
    </w:p>
    <w:p w14:paraId="73AB142B" w14:textId="77777777" w:rsidR="00505EBA" w:rsidRPr="00532388" w:rsidRDefault="00505EBA" w:rsidP="00505EBA">
      <w:pPr>
        <w:rPr>
          <w:sz w:val="22"/>
          <w:szCs w:val="22"/>
          <w:lang w:val="lt-LT"/>
        </w:rPr>
      </w:pPr>
      <w:r w:rsidRPr="00532388">
        <w:rPr>
          <w:sz w:val="22"/>
          <w:szCs w:val="22"/>
          <w:lang w:val="lt-LT"/>
        </w:rPr>
        <w:t xml:space="preserve">Yra keletas vaistų, kurių </w:t>
      </w:r>
      <w:r w:rsidRPr="00532388">
        <w:rPr>
          <w:b/>
          <w:sz w:val="22"/>
          <w:szCs w:val="22"/>
          <w:lang w:val="lt-LT"/>
        </w:rPr>
        <w:t>negalima vartoti kartu</w:t>
      </w:r>
      <w:r w:rsidRPr="00532388">
        <w:rPr>
          <w:sz w:val="22"/>
          <w:szCs w:val="22"/>
          <w:lang w:val="lt-LT"/>
        </w:rPr>
        <w:t xml:space="preserve"> su </w:t>
      </w:r>
      <w:r w:rsidRPr="00532388">
        <w:rPr>
          <w:rFonts w:eastAsia="Times New Roman"/>
          <w:sz w:val="22"/>
          <w:lang w:val="lt-LT" w:eastAsia="lt-LT" w:bidi="lt-LT"/>
        </w:rPr>
        <w:t>Darunavir Teva</w:t>
      </w:r>
      <w:r w:rsidRPr="00532388">
        <w:rPr>
          <w:sz w:val="22"/>
          <w:szCs w:val="22"/>
          <w:lang w:val="lt-LT"/>
        </w:rPr>
        <w:t xml:space="preserve">. Jie yra išvardyti anksčiau pastraipoje „Nevartokite </w:t>
      </w:r>
      <w:r w:rsidRPr="00532388">
        <w:rPr>
          <w:rFonts w:eastAsia="Times New Roman"/>
          <w:sz w:val="22"/>
          <w:lang w:val="lt-LT" w:eastAsia="lt-LT" w:bidi="lt-LT"/>
        </w:rPr>
        <w:t xml:space="preserve">Darunavir Teva </w:t>
      </w:r>
      <w:r w:rsidRPr="00532388">
        <w:rPr>
          <w:sz w:val="22"/>
          <w:szCs w:val="22"/>
          <w:lang w:val="lt-LT"/>
        </w:rPr>
        <w:t xml:space="preserve"> su bet kuriuo iš toliau išvardytų vaistų“.</w:t>
      </w:r>
    </w:p>
    <w:p w14:paraId="0531A531" w14:textId="77777777" w:rsidR="00505EBA" w:rsidRPr="00532388" w:rsidRDefault="00505EBA" w:rsidP="00505EBA">
      <w:pPr>
        <w:rPr>
          <w:sz w:val="22"/>
          <w:szCs w:val="22"/>
          <w:lang w:val="lt-LT"/>
        </w:rPr>
      </w:pPr>
    </w:p>
    <w:p w14:paraId="5C9B0E1C" w14:textId="77777777" w:rsidR="00505EBA" w:rsidRPr="00532388" w:rsidRDefault="00505EBA" w:rsidP="00505EBA">
      <w:pPr>
        <w:rPr>
          <w:sz w:val="22"/>
          <w:szCs w:val="22"/>
          <w:lang w:val="lt-LT"/>
        </w:rPr>
      </w:pPr>
      <w:r w:rsidRPr="00532388">
        <w:rPr>
          <w:sz w:val="22"/>
          <w:szCs w:val="22"/>
          <w:lang w:val="lt-LT"/>
        </w:rPr>
        <w:t xml:space="preserve">Daugumoje atvejų </w:t>
      </w:r>
      <w:r w:rsidRPr="00532388">
        <w:rPr>
          <w:rFonts w:eastAsia="Times New Roman"/>
          <w:sz w:val="22"/>
          <w:lang w:val="lt-LT" w:eastAsia="lt-LT" w:bidi="lt-LT"/>
        </w:rPr>
        <w:t xml:space="preserve">Darunavir Teva </w:t>
      </w:r>
      <w:r w:rsidRPr="00532388">
        <w:rPr>
          <w:sz w:val="22"/>
          <w:szCs w:val="22"/>
          <w:lang w:val="lt-LT"/>
        </w:rPr>
        <w:t xml:space="preserve">galima derinti su kitai grupei priklausančiais vaistais nuo ŽIV infekcijos [t.y. NATI (nukleozidų atvirkštinės transkriptazės inhibitoriais), NNATI (nenukleozidiniais atvirkštinės transkriptazės inhibitoriais), CCR5 antagonistais ir FI (fuzijos inhibitoriais)]. Galimybė vartoti </w:t>
      </w:r>
      <w:r w:rsidRPr="00532388">
        <w:rPr>
          <w:rFonts w:eastAsia="Times New Roman"/>
          <w:sz w:val="22"/>
          <w:lang w:val="lt-LT" w:eastAsia="lt-LT" w:bidi="lt-LT"/>
        </w:rPr>
        <w:t>Darunavir Teva</w:t>
      </w:r>
      <w:r w:rsidRPr="00532388">
        <w:rPr>
          <w:sz w:val="22"/>
          <w:szCs w:val="22"/>
          <w:lang w:val="lt-LT"/>
        </w:rPr>
        <w:t xml:space="preserve"> ir kobicistato arba ritonaviro derinį su kitais PI (proteazės inhibitoriais) nebuvo ištirta su visais PI, ir minėtą derinį draudžiama vartoti su kitais ŽIV proteazės inhibitoriais. Kai kuriais atvejais gali tekti keisti kai kurių kitų vaistų dozes. Visada pasakykite gydytojui, jeigu vartojate kitų vaistų nuo ŽIV, ir laikykitės jo nurodymų dėl vaistų, kurie gali būti vartojami kartu.</w:t>
      </w:r>
    </w:p>
    <w:p w14:paraId="437922AF" w14:textId="77777777" w:rsidR="00505EBA" w:rsidRPr="00532388" w:rsidRDefault="00505EBA" w:rsidP="00505EBA">
      <w:pPr>
        <w:rPr>
          <w:rFonts w:eastAsia="Times New Roman"/>
          <w:sz w:val="22"/>
          <w:lang w:val="lt-LT" w:eastAsia="lt-LT" w:bidi="lt-LT"/>
        </w:rPr>
      </w:pPr>
    </w:p>
    <w:p w14:paraId="19347D9A" w14:textId="77777777" w:rsidR="00505EBA" w:rsidRPr="00532388" w:rsidRDefault="00505EBA" w:rsidP="00505EBA">
      <w:pPr>
        <w:rPr>
          <w:sz w:val="22"/>
          <w:szCs w:val="22"/>
          <w:lang w:val="lt-LT"/>
        </w:rPr>
      </w:pPr>
      <w:r w:rsidRPr="00532388">
        <w:rPr>
          <w:rFonts w:eastAsia="Times New Roman"/>
          <w:sz w:val="22"/>
          <w:lang w:val="lt-LT" w:eastAsia="lt-LT" w:bidi="lt-LT"/>
        </w:rPr>
        <w:t xml:space="preserve">Darunavir Teva </w:t>
      </w:r>
      <w:r w:rsidRPr="00532388">
        <w:rPr>
          <w:sz w:val="22"/>
          <w:szCs w:val="22"/>
          <w:lang w:val="lt-LT"/>
        </w:rPr>
        <w:t>poveikis gali susilpnėti, jei vartojate kurį nors iš toliau išvardytų preparatų. Pasakykite gydytojui, jei vartojate:</w:t>
      </w:r>
    </w:p>
    <w:p w14:paraId="0DC33140"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fenobarbitalį, fenitoiną</w:t>
      </w:r>
      <w:r w:rsidRPr="00532388">
        <w:rPr>
          <w:sz w:val="22"/>
          <w:szCs w:val="22"/>
          <w:lang w:val="lt-LT"/>
        </w:rPr>
        <w:t xml:space="preserve"> (vaistus nuo traukulių);</w:t>
      </w:r>
    </w:p>
    <w:p w14:paraId="14450F7D"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deksametazoną</w:t>
      </w:r>
      <w:r w:rsidRPr="00532388">
        <w:rPr>
          <w:sz w:val="22"/>
          <w:szCs w:val="22"/>
          <w:lang w:val="lt-LT"/>
        </w:rPr>
        <w:t xml:space="preserve"> (kortikosteroidą);</w:t>
      </w:r>
    </w:p>
    <w:p w14:paraId="386FDA78"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efavirenzą</w:t>
      </w:r>
      <w:r w:rsidRPr="00532388">
        <w:rPr>
          <w:sz w:val="22"/>
          <w:szCs w:val="22"/>
          <w:lang w:val="lt-LT"/>
        </w:rPr>
        <w:t xml:space="preserve"> (ŽIV infekcijai gydyti);</w:t>
      </w:r>
    </w:p>
    <w:p w14:paraId="361CFFF1"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telaprevirą, boceprevirą</w:t>
      </w:r>
      <w:r w:rsidRPr="00532388">
        <w:rPr>
          <w:sz w:val="22"/>
          <w:szCs w:val="22"/>
          <w:lang w:val="lt-LT"/>
        </w:rPr>
        <w:t xml:space="preserve"> (hepatito C viruso infekcijai gydyti);</w:t>
      </w:r>
    </w:p>
    <w:p w14:paraId="11938BEF"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rifapentiną, rifabutiną</w:t>
      </w:r>
      <w:r w:rsidRPr="00532388">
        <w:rPr>
          <w:sz w:val="22"/>
          <w:szCs w:val="22"/>
          <w:lang w:val="lt-LT"/>
        </w:rPr>
        <w:t xml:space="preserve"> (vaistus, kai kurioms infekcijoms gydyti, tokioms kaip tuberkuliozė);</w:t>
      </w:r>
    </w:p>
    <w:p w14:paraId="646BF8F5"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sakvinavirą</w:t>
      </w:r>
      <w:r w:rsidRPr="00532388">
        <w:rPr>
          <w:sz w:val="22"/>
          <w:szCs w:val="22"/>
          <w:lang w:val="lt-LT"/>
        </w:rPr>
        <w:t xml:space="preserve"> (ŽIV infekcijai gydyti).</w:t>
      </w:r>
    </w:p>
    <w:p w14:paraId="1D3AC47E" w14:textId="77777777" w:rsidR="00505EBA" w:rsidRPr="00532388" w:rsidRDefault="00505EBA" w:rsidP="00505EBA">
      <w:pPr>
        <w:rPr>
          <w:sz w:val="22"/>
          <w:szCs w:val="22"/>
          <w:lang w:val="lt-LT"/>
        </w:rPr>
      </w:pPr>
    </w:p>
    <w:p w14:paraId="7290E86B" w14:textId="77777777" w:rsidR="00505EBA" w:rsidRPr="00532388" w:rsidRDefault="00505EBA" w:rsidP="00505EBA">
      <w:pPr>
        <w:rPr>
          <w:sz w:val="22"/>
          <w:szCs w:val="22"/>
          <w:lang w:val="lt-LT"/>
        </w:rPr>
      </w:pPr>
      <w:r w:rsidRPr="00532388">
        <w:rPr>
          <w:sz w:val="22"/>
          <w:szCs w:val="22"/>
          <w:lang w:val="lt-LT"/>
        </w:rPr>
        <w:t xml:space="preserve">Jei vartojate </w:t>
      </w:r>
      <w:r w:rsidRPr="00532388">
        <w:rPr>
          <w:rFonts w:eastAsia="Times New Roman"/>
          <w:sz w:val="22"/>
          <w:lang w:val="lt-LT" w:eastAsia="lt-LT" w:bidi="lt-LT"/>
        </w:rPr>
        <w:t>Darunavir Teva</w:t>
      </w:r>
      <w:r w:rsidRPr="00532388">
        <w:rPr>
          <w:sz w:val="22"/>
          <w:szCs w:val="22"/>
          <w:lang w:val="lt-LT"/>
        </w:rPr>
        <w:t>, gali pakisti kitų vaistų poveikis. Pasakykite gydytojui, jei vartojate:</w:t>
      </w:r>
    </w:p>
    <w:p w14:paraId="3C31381F"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amlodipiną, diltiazemą, dizopiramidą, karvedilolį, felodipiną, flekainidą, metoprololį, meksiletiną, nifedipiną, nikardipiną, propafenoną, timololį, verapamilį</w:t>
      </w:r>
      <w:r w:rsidRPr="00532388">
        <w:rPr>
          <w:sz w:val="22"/>
          <w:szCs w:val="22"/>
          <w:lang w:val="lt-LT"/>
        </w:rPr>
        <w:t xml:space="preserve"> (vaistus nuo širdies ligų), nes gali sustiprėti šių vaistų gydomasis ar šalutinis poveikis;</w:t>
      </w:r>
    </w:p>
    <w:p w14:paraId="4742E2CA"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apiksabaną</w:t>
      </w:r>
      <w:r w:rsidRPr="00532388">
        <w:rPr>
          <w:sz w:val="22"/>
          <w:szCs w:val="22"/>
          <w:lang w:val="lt-LT"/>
        </w:rPr>
        <w:t xml:space="preserve">, </w:t>
      </w:r>
      <w:r w:rsidRPr="00532388">
        <w:rPr>
          <w:i/>
          <w:sz w:val="22"/>
          <w:szCs w:val="22"/>
          <w:lang w:val="lt-LT"/>
        </w:rPr>
        <w:t>dabigatrano eteksilatą, rivaroksabaną, varfariną</w:t>
      </w:r>
      <w:r w:rsidRPr="00532388">
        <w:rPr>
          <w:sz w:val="22"/>
          <w:szCs w:val="22"/>
          <w:lang w:val="lt-LT"/>
        </w:rPr>
        <w:t xml:space="preserve"> (vaistą, mažinantį kraujo krešėjimą), nes gali pasikeisti šio medikamento gydomasis ar šalutinis poveikis; Jūsų gydytojui gali tekti atlikti Jūsų kraujo tyrimus;</w:t>
      </w:r>
    </w:p>
    <w:p w14:paraId="6C033DF1"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hormoninius kontraceptikus, kurių sudėtyje yra estrogeno, ir pakaitinę hormonų terapiją. </w:t>
      </w:r>
      <w:r w:rsidRPr="00532388">
        <w:rPr>
          <w:rFonts w:eastAsia="Times New Roman"/>
          <w:sz w:val="22"/>
          <w:szCs w:val="22"/>
          <w:lang w:val="lt-LT" w:eastAsia="lt-LT" w:bidi="lt-LT"/>
        </w:rPr>
        <w:t>Darunavir Teva</w:t>
      </w:r>
      <w:r w:rsidRPr="00532388">
        <w:rPr>
          <w:sz w:val="22"/>
          <w:szCs w:val="22"/>
          <w:lang w:val="lt-LT"/>
        </w:rPr>
        <w:t xml:space="preserve"> gali mažinti hormoninių kontraceptikų veiksmingumą, todėl, norint išvengti nėštumo, rekomenduojama naudotis nehormoninės kontracepcijos metodais;</w:t>
      </w:r>
    </w:p>
    <w:p w14:paraId="536C293B"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atorvastatiną, pravastatiną, rozuvastatiną</w:t>
      </w:r>
      <w:r w:rsidRPr="00532388">
        <w:rPr>
          <w:sz w:val="22"/>
          <w:szCs w:val="22"/>
          <w:lang w:val="lt-LT"/>
        </w:rPr>
        <w:t xml:space="preserve"> (vaistus cholesterolio koncentracijai mažinti). Dėl to gali padidėti raumenų pažeidimo pavojus. Jūsų gydytojas nustatys, kuris gydymo būdas cholesterolio koncentracijai mažinti Jums yra tinkamiausias;</w:t>
      </w:r>
    </w:p>
    <w:p w14:paraId="77769ED0"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klaritromiciną</w:t>
      </w:r>
      <w:r w:rsidRPr="00532388">
        <w:rPr>
          <w:sz w:val="22"/>
          <w:szCs w:val="22"/>
          <w:lang w:val="lt-LT"/>
        </w:rPr>
        <w:t xml:space="preserve"> (antibiotiką);</w:t>
      </w:r>
    </w:p>
    <w:p w14:paraId="1CB77E5C"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ciklosporiną, everolimuzą, takrolimuzą, sirolimuzą</w:t>
      </w:r>
      <w:r w:rsidRPr="00532388">
        <w:rPr>
          <w:sz w:val="22"/>
          <w:szCs w:val="22"/>
          <w:lang w:val="lt-LT"/>
        </w:rPr>
        <w:t xml:space="preserve"> (vaistus, veikiančius imuninę sistemą), nes gali sustiprėti šių vaistų gydomasis ar šalutinis poveikis. Gydytojas gali siūlyti atlikti kai kuriuos papildomus tyrimus;</w:t>
      </w:r>
    </w:p>
    <w:p w14:paraId="46775F5F"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flutikazoną, budezonidą</w:t>
      </w:r>
      <w:r w:rsidRPr="00532388">
        <w:rPr>
          <w:sz w:val="22"/>
          <w:szCs w:val="22"/>
          <w:lang w:val="lt-LT"/>
        </w:rPr>
        <w:t xml:space="preserve"> (vaistus astmai gydyti). Šiuos vaistus galima vartoti tik po medicininio ištyrimo ir atidžiai prižiūrint gydytojui dėl kortikosteroidų sukeliamų šalutinių reiškinių;</w:t>
      </w:r>
    </w:p>
    <w:p w14:paraId="6C929215"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lastRenderedPageBreak/>
        <w:t>buprenorfiną</w:t>
      </w:r>
      <w:r w:rsidRPr="00532388">
        <w:rPr>
          <w:sz w:val="22"/>
          <w:szCs w:val="22"/>
          <w:lang w:val="lt-LT"/>
        </w:rPr>
        <w:t xml:space="preserve"> ar </w:t>
      </w:r>
      <w:r w:rsidRPr="00532388">
        <w:rPr>
          <w:i/>
          <w:sz w:val="22"/>
          <w:szCs w:val="22"/>
          <w:lang w:val="lt-LT"/>
        </w:rPr>
        <w:t>naloksoną</w:t>
      </w:r>
      <w:r w:rsidRPr="00532388">
        <w:rPr>
          <w:sz w:val="22"/>
          <w:szCs w:val="22"/>
          <w:lang w:val="lt-LT"/>
        </w:rPr>
        <w:t xml:space="preserve"> (vaistus, kuriais gydoma priklausomybė nuo opijaus preparatų);</w:t>
      </w:r>
    </w:p>
    <w:p w14:paraId="4DFB0FE9"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salmeterolį</w:t>
      </w:r>
      <w:r w:rsidRPr="00532388">
        <w:rPr>
          <w:sz w:val="22"/>
          <w:szCs w:val="22"/>
          <w:lang w:val="lt-LT"/>
        </w:rPr>
        <w:t xml:space="preserve"> (vaistą astmai gydyti);</w:t>
      </w:r>
    </w:p>
    <w:p w14:paraId="339E4738"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artemeterą ir lumefantriną</w:t>
      </w:r>
      <w:r w:rsidRPr="00532388">
        <w:rPr>
          <w:sz w:val="22"/>
          <w:szCs w:val="22"/>
          <w:lang w:val="lt-LT"/>
        </w:rPr>
        <w:t xml:space="preserve"> (vaistų derinį maliarijai gydyti);</w:t>
      </w:r>
    </w:p>
    <w:p w14:paraId="5A1F068F"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dazatinibą, everolimuzą, nilotinibą, vinblastiną, vinkristiną</w:t>
      </w:r>
      <w:r w:rsidRPr="00532388">
        <w:rPr>
          <w:sz w:val="22"/>
          <w:szCs w:val="22"/>
          <w:lang w:val="lt-LT"/>
        </w:rPr>
        <w:t xml:space="preserve"> (vaistus vėžiui gydyti);</w:t>
      </w:r>
    </w:p>
    <w:p w14:paraId="734B8645"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prednizoną</w:t>
      </w:r>
      <w:r w:rsidRPr="00532388">
        <w:rPr>
          <w:sz w:val="22"/>
          <w:szCs w:val="22"/>
          <w:lang w:val="lt-LT"/>
        </w:rPr>
        <w:t xml:space="preserve"> (kortikosteroidą);</w:t>
      </w:r>
    </w:p>
    <w:p w14:paraId="336AFB9B"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sildenafilį, tadalafilį, vardenafilį</w:t>
      </w:r>
      <w:r w:rsidRPr="00532388">
        <w:rPr>
          <w:sz w:val="22"/>
          <w:szCs w:val="22"/>
          <w:lang w:val="lt-LT"/>
        </w:rPr>
        <w:t xml:space="preserve"> (vaistus erekcijos disfunkcijai arba širdies ir plaučių sutrikimui, vadinamam plaučių arterine hipertenzija, gydyti).</w:t>
      </w:r>
    </w:p>
    <w:p w14:paraId="2A432A93" w14:textId="77777777" w:rsidR="00505EBA" w:rsidRPr="00532388" w:rsidRDefault="00505EBA" w:rsidP="00505EBA">
      <w:pPr>
        <w:rPr>
          <w:sz w:val="22"/>
          <w:szCs w:val="22"/>
          <w:lang w:val="lt-LT"/>
        </w:rPr>
      </w:pPr>
    </w:p>
    <w:p w14:paraId="6DC504E5" w14:textId="77777777" w:rsidR="00505EBA" w:rsidRPr="00532388" w:rsidRDefault="00505EBA" w:rsidP="00505EBA">
      <w:pPr>
        <w:rPr>
          <w:sz w:val="22"/>
          <w:szCs w:val="22"/>
          <w:lang w:val="lt-LT"/>
        </w:rPr>
      </w:pPr>
      <w:r w:rsidRPr="00532388">
        <w:rPr>
          <w:sz w:val="22"/>
          <w:szCs w:val="22"/>
          <w:lang w:val="lt-LT"/>
        </w:rPr>
        <w:t xml:space="preserve">Gali prireikti keisti kitų vaistų dozavimą, nes vartojant juos kartu, gali kisti jų arba </w:t>
      </w:r>
      <w:r w:rsidRPr="00532388">
        <w:rPr>
          <w:rFonts w:eastAsia="Times New Roman"/>
          <w:sz w:val="22"/>
          <w:szCs w:val="22"/>
          <w:lang w:val="lt-LT" w:eastAsia="lt-LT" w:bidi="lt-LT"/>
        </w:rPr>
        <w:t xml:space="preserve">Darunavir Teva </w:t>
      </w:r>
      <w:r w:rsidRPr="00532388">
        <w:rPr>
          <w:sz w:val="22"/>
          <w:szCs w:val="22"/>
          <w:lang w:val="lt-LT"/>
        </w:rPr>
        <w:t>gydomasis ar šalutinis poveikis.</w:t>
      </w:r>
    </w:p>
    <w:p w14:paraId="3A59A793" w14:textId="77777777" w:rsidR="00505EBA" w:rsidRPr="00532388" w:rsidRDefault="00505EBA" w:rsidP="00505EBA">
      <w:pPr>
        <w:rPr>
          <w:sz w:val="22"/>
          <w:szCs w:val="22"/>
          <w:lang w:val="lt-LT"/>
        </w:rPr>
      </w:pPr>
      <w:r w:rsidRPr="00532388">
        <w:rPr>
          <w:sz w:val="22"/>
          <w:szCs w:val="22"/>
          <w:lang w:val="lt-LT"/>
        </w:rPr>
        <w:t>Pasakykite gydytojui, jei vartojate:</w:t>
      </w:r>
    </w:p>
    <w:p w14:paraId="1C7E78EA" w14:textId="77777777" w:rsidR="00E94FB8" w:rsidRPr="00532388" w:rsidRDefault="00E94FB8" w:rsidP="00505EBA">
      <w:pPr>
        <w:rPr>
          <w:sz w:val="22"/>
          <w:szCs w:val="22"/>
          <w:lang w:val="lt-LT"/>
        </w:rPr>
      </w:pPr>
    </w:p>
    <w:p w14:paraId="3AF15990" w14:textId="2A4EF936"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alfentanilį</w:t>
      </w:r>
      <w:r w:rsidRPr="00532388">
        <w:rPr>
          <w:sz w:val="22"/>
          <w:szCs w:val="22"/>
          <w:lang w:val="lt-LT"/>
        </w:rPr>
        <w:t xml:space="preserve"> (injekcinius stiprius ir trumpai veikiančiu</w:t>
      </w:r>
      <w:r w:rsidR="00D50B1D">
        <w:rPr>
          <w:sz w:val="22"/>
          <w:szCs w:val="22"/>
          <w:lang w:val="lt-LT"/>
        </w:rPr>
        <w:t>s</w:t>
      </w:r>
      <w:r w:rsidRPr="00532388">
        <w:rPr>
          <w:sz w:val="22"/>
          <w:szCs w:val="22"/>
          <w:lang w:val="lt-LT"/>
        </w:rPr>
        <w:t xml:space="preserve"> nuskausminamuosius vaistus, kurie yra vartojami chirurginių procedūrų metu);</w:t>
      </w:r>
    </w:p>
    <w:p w14:paraId="5805B7C3"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digoksiną</w:t>
      </w:r>
      <w:r w:rsidRPr="00532388">
        <w:rPr>
          <w:sz w:val="22"/>
          <w:szCs w:val="22"/>
          <w:lang w:val="lt-LT"/>
        </w:rPr>
        <w:t xml:space="preserve"> (vaistą nuo širdies sutrikimo);</w:t>
      </w:r>
    </w:p>
    <w:p w14:paraId="6E67947F"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klaritromiciną</w:t>
      </w:r>
      <w:r w:rsidRPr="00532388">
        <w:rPr>
          <w:sz w:val="22"/>
          <w:szCs w:val="22"/>
          <w:lang w:val="lt-LT"/>
        </w:rPr>
        <w:t xml:space="preserve"> (antibiotiką);</w:t>
      </w:r>
    </w:p>
    <w:p w14:paraId="16B8B21E" w14:textId="77777777" w:rsidR="00505EBA" w:rsidRPr="00532388" w:rsidRDefault="00505EBA" w:rsidP="00505EBA">
      <w:pPr>
        <w:pStyle w:val="BT-EMEASMCA"/>
        <w:numPr>
          <w:ilvl w:val="0"/>
          <w:numId w:val="24"/>
        </w:numPr>
        <w:ind w:left="567" w:hanging="567"/>
        <w:rPr>
          <w:sz w:val="22"/>
          <w:szCs w:val="22"/>
          <w:lang w:val="lt-LT"/>
        </w:rPr>
      </w:pPr>
      <w:r w:rsidRPr="00E34993">
        <w:rPr>
          <w:i/>
          <w:sz w:val="22"/>
          <w:lang w:val="lt-LT"/>
        </w:rPr>
        <w:t>k</w:t>
      </w:r>
      <w:r w:rsidRPr="00532388">
        <w:rPr>
          <w:i/>
          <w:sz w:val="22"/>
          <w:szCs w:val="22"/>
          <w:lang w:val="lt-LT"/>
        </w:rPr>
        <w:t>etokonazolą, itrakonazolą, flukonazolą, pozakonazolą, klotrimazolą</w:t>
      </w:r>
      <w:r w:rsidRPr="00532388">
        <w:rPr>
          <w:sz w:val="22"/>
          <w:szCs w:val="22"/>
          <w:lang w:val="lt-LT"/>
        </w:rPr>
        <w:t xml:space="preserve"> (grybelių sukeltoms infekcijoms gydyti). Vorikonazolą galima vartoti tik po medicininio ištyrimo;</w:t>
      </w:r>
    </w:p>
    <w:p w14:paraId="4695E49E"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rifabutiną</w:t>
      </w:r>
      <w:r w:rsidRPr="00532388">
        <w:rPr>
          <w:sz w:val="22"/>
          <w:szCs w:val="22"/>
          <w:lang w:val="lt-LT"/>
        </w:rPr>
        <w:t xml:space="preserve"> (vaistą nuo bakterijų sukeltų infekcijų);</w:t>
      </w:r>
    </w:p>
    <w:p w14:paraId="7F705251"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sildenafilį, vardenafilį, tadalafilį</w:t>
      </w:r>
      <w:r w:rsidRPr="00532388">
        <w:rPr>
          <w:sz w:val="22"/>
          <w:szCs w:val="22"/>
          <w:lang w:val="lt-LT"/>
        </w:rPr>
        <w:t xml:space="preserve"> (vaistus nuo erekcijos sutrikimo arba padidėjusio kraujospūdžio plaučių kraujagyslėse);</w:t>
      </w:r>
    </w:p>
    <w:p w14:paraId="1312F43A" w14:textId="32BB5E24"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amitriptiliną, dezipraminą, imiprami</w:t>
      </w:r>
      <w:r w:rsidR="00D50B1D">
        <w:rPr>
          <w:i/>
          <w:sz w:val="22"/>
          <w:szCs w:val="22"/>
          <w:lang w:val="lt-LT"/>
        </w:rPr>
        <w:t>n</w:t>
      </w:r>
      <w:r w:rsidRPr="00532388">
        <w:rPr>
          <w:i/>
          <w:sz w:val="22"/>
          <w:szCs w:val="22"/>
          <w:lang w:val="lt-LT"/>
        </w:rPr>
        <w:t>ą, nortriptiliną, paroksetiną, sertraliną, trazodoną</w:t>
      </w:r>
      <w:r w:rsidRPr="00532388">
        <w:rPr>
          <w:sz w:val="22"/>
          <w:szCs w:val="22"/>
          <w:lang w:val="lt-LT"/>
        </w:rPr>
        <w:t xml:space="preserve"> (vaistus depresijai ir nerimui gydyti);</w:t>
      </w:r>
    </w:p>
    <w:p w14:paraId="592FFFDA"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maraviroką</w:t>
      </w:r>
      <w:r w:rsidRPr="00532388">
        <w:rPr>
          <w:sz w:val="22"/>
          <w:szCs w:val="22"/>
          <w:lang w:val="lt-LT"/>
        </w:rPr>
        <w:t xml:space="preserve"> (ŽIV infekcijai gydyti);</w:t>
      </w:r>
    </w:p>
    <w:p w14:paraId="21774389"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metadoną</w:t>
      </w:r>
      <w:r w:rsidRPr="00532388">
        <w:rPr>
          <w:sz w:val="22"/>
          <w:szCs w:val="22"/>
          <w:lang w:val="lt-LT"/>
        </w:rPr>
        <w:t xml:space="preserve"> (priklausomybei nuo opiatų gydyti);</w:t>
      </w:r>
    </w:p>
    <w:p w14:paraId="7766A37A"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karbamazepiną</w:t>
      </w:r>
      <w:r w:rsidRPr="00532388">
        <w:rPr>
          <w:sz w:val="22"/>
          <w:szCs w:val="22"/>
          <w:lang w:val="lt-LT"/>
        </w:rPr>
        <w:t xml:space="preserve"> (nuo priepuolių ar tam tikro nervinio skausmo);</w:t>
      </w:r>
    </w:p>
    <w:p w14:paraId="379A6ED0"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kolchiciną</w:t>
      </w:r>
      <w:r w:rsidRPr="00532388">
        <w:rPr>
          <w:sz w:val="22"/>
          <w:szCs w:val="22"/>
          <w:lang w:val="lt-LT"/>
        </w:rPr>
        <w:t xml:space="preserve"> (podagrai gydyti);</w:t>
      </w:r>
    </w:p>
    <w:p w14:paraId="3A9A0631"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bozentaną</w:t>
      </w:r>
      <w:r w:rsidRPr="00532388">
        <w:rPr>
          <w:sz w:val="22"/>
          <w:szCs w:val="22"/>
          <w:lang w:val="lt-LT"/>
        </w:rPr>
        <w:t xml:space="preserve"> (padidėjusiam kraujospūdžiui plaučių kraujagyslėse gydyti);</w:t>
      </w:r>
    </w:p>
    <w:p w14:paraId="41EC5D78"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buspironą, klorazepatą, diazepamą, estazolamą, flurazepamą, ne per burną vartojamą midazolamą, zoldipemą</w:t>
      </w:r>
      <w:r w:rsidRPr="00532388">
        <w:rPr>
          <w:sz w:val="22"/>
          <w:szCs w:val="22"/>
          <w:lang w:val="lt-LT"/>
        </w:rPr>
        <w:t xml:space="preserve"> (raminamuosius vaistus);</w:t>
      </w:r>
    </w:p>
    <w:p w14:paraId="23CA8C01"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perfenaziną, risperidoną, tioridaziną</w:t>
      </w:r>
      <w:r w:rsidRPr="00532388">
        <w:rPr>
          <w:sz w:val="22"/>
          <w:szCs w:val="22"/>
          <w:lang w:val="lt-LT"/>
        </w:rPr>
        <w:t xml:space="preserve"> (psichinėms būklėms gydyti);</w:t>
      </w:r>
    </w:p>
    <w:p w14:paraId="2C69B9D0" w14:textId="77777777" w:rsidR="00505EBA" w:rsidRPr="00532388" w:rsidRDefault="00505EBA" w:rsidP="00505EBA">
      <w:pPr>
        <w:pStyle w:val="BT-EMEASMCA"/>
        <w:numPr>
          <w:ilvl w:val="0"/>
          <w:numId w:val="24"/>
        </w:numPr>
        <w:ind w:left="567" w:hanging="567"/>
        <w:rPr>
          <w:sz w:val="22"/>
          <w:szCs w:val="22"/>
          <w:lang w:val="lt-LT"/>
        </w:rPr>
      </w:pPr>
      <w:r w:rsidRPr="00532388">
        <w:rPr>
          <w:i/>
          <w:sz w:val="22"/>
          <w:szCs w:val="22"/>
          <w:lang w:val="lt-LT"/>
        </w:rPr>
        <w:t>metforminą</w:t>
      </w:r>
      <w:r w:rsidRPr="00532388">
        <w:rPr>
          <w:sz w:val="22"/>
          <w:szCs w:val="22"/>
          <w:lang w:val="lt-LT"/>
        </w:rPr>
        <w:t xml:space="preserve"> (2 tipo cukriniam diabetui gydyti).</w:t>
      </w:r>
    </w:p>
    <w:p w14:paraId="6F0A23EC" w14:textId="77777777" w:rsidR="00505EBA" w:rsidRPr="00532388" w:rsidRDefault="00505EBA" w:rsidP="00505EBA">
      <w:pPr>
        <w:rPr>
          <w:sz w:val="22"/>
          <w:szCs w:val="22"/>
          <w:lang w:val="lt-LT"/>
        </w:rPr>
      </w:pPr>
    </w:p>
    <w:p w14:paraId="7310F9E3" w14:textId="77777777" w:rsidR="00505EBA" w:rsidRPr="00532388" w:rsidRDefault="00505EBA" w:rsidP="00505EBA">
      <w:pPr>
        <w:rPr>
          <w:lang w:val="lt-LT"/>
        </w:rPr>
      </w:pPr>
      <w:r w:rsidRPr="00532388">
        <w:rPr>
          <w:sz w:val="22"/>
          <w:szCs w:val="22"/>
          <w:lang w:val="lt-LT"/>
        </w:rPr>
        <w:t xml:space="preserve">Šis vaistų sąrašas </w:t>
      </w:r>
      <w:r w:rsidRPr="00532388">
        <w:rPr>
          <w:b/>
          <w:sz w:val="22"/>
          <w:szCs w:val="22"/>
          <w:lang w:val="lt-LT"/>
        </w:rPr>
        <w:t>nėra</w:t>
      </w:r>
      <w:r w:rsidRPr="00532388">
        <w:rPr>
          <w:sz w:val="22"/>
          <w:szCs w:val="22"/>
          <w:lang w:val="lt-LT"/>
        </w:rPr>
        <w:t xml:space="preserve"> baigtinis. Pasakykite sveikatos priežiūros specialistui apie </w:t>
      </w:r>
      <w:r w:rsidRPr="00532388">
        <w:rPr>
          <w:b/>
          <w:sz w:val="22"/>
          <w:szCs w:val="22"/>
          <w:lang w:val="lt-LT"/>
        </w:rPr>
        <w:t>visus</w:t>
      </w:r>
      <w:r w:rsidRPr="00532388">
        <w:rPr>
          <w:sz w:val="22"/>
          <w:szCs w:val="22"/>
          <w:lang w:val="lt-LT"/>
        </w:rPr>
        <w:t xml:space="preserve"> vaistus, kuriuos vartojate</w:t>
      </w:r>
      <w:r w:rsidRPr="00532388">
        <w:rPr>
          <w:lang w:val="lt-LT"/>
        </w:rPr>
        <w:t>.</w:t>
      </w:r>
    </w:p>
    <w:p w14:paraId="6D4F5BB2" w14:textId="77777777" w:rsidR="00505EBA" w:rsidRPr="00532388" w:rsidRDefault="00505EBA" w:rsidP="00505EBA">
      <w:pPr>
        <w:rPr>
          <w:rFonts w:eastAsia="Times New Roman"/>
          <w:sz w:val="22"/>
          <w:szCs w:val="22"/>
          <w:lang w:val="lt-LT" w:eastAsia="lt-LT" w:bidi="lt-LT"/>
        </w:rPr>
      </w:pPr>
    </w:p>
    <w:p w14:paraId="187D9A9A" w14:textId="77777777" w:rsidR="00505EBA" w:rsidRPr="00532388" w:rsidRDefault="00505EBA" w:rsidP="00505EBA">
      <w:pPr>
        <w:rPr>
          <w:b/>
          <w:sz w:val="22"/>
          <w:szCs w:val="22"/>
          <w:lang w:val="lt-LT"/>
        </w:rPr>
      </w:pPr>
      <w:r w:rsidRPr="00532388">
        <w:rPr>
          <w:rFonts w:eastAsia="Times New Roman"/>
          <w:b/>
          <w:sz w:val="22"/>
          <w:szCs w:val="22"/>
          <w:lang w:val="lt-LT" w:eastAsia="lt-LT" w:bidi="lt-LT"/>
        </w:rPr>
        <w:t xml:space="preserve">Darunavir Teva </w:t>
      </w:r>
      <w:r w:rsidRPr="00532388">
        <w:rPr>
          <w:b/>
          <w:sz w:val="22"/>
          <w:szCs w:val="22"/>
          <w:lang w:val="lt-LT"/>
        </w:rPr>
        <w:t>vartojimas su maistu ir gėrimais</w:t>
      </w:r>
    </w:p>
    <w:p w14:paraId="25A0BED1" w14:textId="77777777" w:rsidR="00505EBA" w:rsidRPr="00532388" w:rsidRDefault="00505EBA" w:rsidP="00505EBA">
      <w:pPr>
        <w:rPr>
          <w:sz w:val="22"/>
          <w:szCs w:val="22"/>
          <w:lang w:val="lt-LT"/>
        </w:rPr>
      </w:pPr>
      <w:r w:rsidRPr="00532388">
        <w:rPr>
          <w:sz w:val="22"/>
          <w:szCs w:val="22"/>
          <w:lang w:val="lt-LT"/>
        </w:rPr>
        <w:t xml:space="preserve">Žr. 3 skyrių „Kaip vartoti </w:t>
      </w:r>
      <w:r w:rsidR="00E94FB8" w:rsidRPr="00532388">
        <w:rPr>
          <w:rFonts w:eastAsia="Times New Roman"/>
          <w:sz w:val="22"/>
          <w:szCs w:val="22"/>
          <w:lang w:val="lt-LT" w:eastAsia="lt-LT" w:bidi="lt-LT"/>
        </w:rPr>
        <w:t>Darunavir Teva</w:t>
      </w:r>
      <w:r w:rsidRPr="00532388">
        <w:rPr>
          <w:sz w:val="22"/>
          <w:szCs w:val="22"/>
          <w:lang w:val="lt-LT"/>
        </w:rPr>
        <w:t>“.</w:t>
      </w:r>
    </w:p>
    <w:p w14:paraId="22C52C99" w14:textId="77777777" w:rsidR="00505EBA" w:rsidRPr="00532388" w:rsidRDefault="00505EBA" w:rsidP="00505EBA">
      <w:pPr>
        <w:rPr>
          <w:sz w:val="22"/>
          <w:szCs w:val="22"/>
          <w:lang w:val="lt-LT"/>
        </w:rPr>
      </w:pPr>
    </w:p>
    <w:p w14:paraId="014CA6CD" w14:textId="77777777" w:rsidR="00505EBA" w:rsidRPr="00532388" w:rsidRDefault="00505EBA" w:rsidP="00505EBA">
      <w:pPr>
        <w:rPr>
          <w:b/>
          <w:sz w:val="22"/>
          <w:szCs w:val="22"/>
          <w:lang w:val="lt-LT"/>
        </w:rPr>
      </w:pPr>
      <w:r w:rsidRPr="00532388">
        <w:rPr>
          <w:b/>
          <w:sz w:val="22"/>
          <w:szCs w:val="22"/>
          <w:lang w:val="lt-LT"/>
        </w:rPr>
        <w:t>Nėštumas ir žindymo laikotarpis</w:t>
      </w:r>
    </w:p>
    <w:p w14:paraId="74A7C94E" w14:textId="77777777" w:rsidR="00505EBA" w:rsidRPr="00532388" w:rsidRDefault="00505EBA" w:rsidP="00505EBA">
      <w:pPr>
        <w:rPr>
          <w:sz w:val="22"/>
          <w:szCs w:val="22"/>
          <w:lang w:val="lt-LT"/>
        </w:rPr>
      </w:pPr>
      <w:r w:rsidRPr="00532388">
        <w:rPr>
          <w:sz w:val="22"/>
          <w:szCs w:val="22"/>
          <w:lang w:val="lt-LT"/>
        </w:rPr>
        <w:t xml:space="preserve">Jei esate nėščia ar žindote kūdikį, nedelsdama pasakykite gydytojui. </w:t>
      </w:r>
      <w:r w:rsidRPr="00532388">
        <w:rPr>
          <w:rFonts w:eastAsia="Times New Roman"/>
          <w:sz w:val="22"/>
          <w:lang w:val="lt-LT" w:eastAsia="lt-LT" w:bidi="lt-LT"/>
        </w:rPr>
        <w:t xml:space="preserve">Darunavir Teva </w:t>
      </w:r>
      <w:r w:rsidRPr="00532388">
        <w:rPr>
          <w:sz w:val="22"/>
          <w:szCs w:val="22"/>
          <w:lang w:val="lt-LT"/>
        </w:rPr>
        <w:t>nėštumo metu ir žindymo laikotarpiu vartoti negalima, išskyrus atvejus, kai tai daryti nurodė gydytojas. Rekomenduojama, kad ŽIV infekuota motina nežindytų kūdikių, nes yra galimybė, kad kūdikis užsikrės ŽIV per Jūsų pieną, be to, nėra žinoma apie vaisto poveikį Jūsų vaikui.</w:t>
      </w:r>
    </w:p>
    <w:p w14:paraId="63E2B670" w14:textId="77777777" w:rsidR="00505EBA" w:rsidRPr="00532388" w:rsidRDefault="00505EBA" w:rsidP="00505EBA">
      <w:pPr>
        <w:rPr>
          <w:sz w:val="22"/>
          <w:szCs w:val="22"/>
          <w:lang w:val="lt-LT"/>
        </w:rPr>
      </w:pPr>
    </w:p>
    <w:p w14:paraId="0B7DCADF" w14:textId="77777777" w:rsidR="00505EBA" w:rsidRPr="00532388" w:rsidRDefault="00505EBA" w:rsidP="00505EBA">
      <w:pPr>
        <w:rPr>
          <w:b/>
          <w:sz w:val="22"/>
          <w:szCs w:val="22"/>
          <w:lang w:val="lt-LT"/>
        </w:rPr>
      </w:pPr>
      <w:r w:rsidRPr="00532388">
        <w:rPr>
          <w:b/>
          <w:sz w:val="22"/>
          <w:szCs w:val="22"/>
          <w:lang w:val="lt-LT"/>
        </w:rPr>
        <w:t>Vairavimas ir mechanizmų valdymas</w:t>
      </w:r>
    </w:p>
    <w:p w14:paraId="73DC7ADD" w14:textId="77777777" w:rsidR="00505EBA" w:rsidRPr="00532388" w:rsidRDefault="00505EBA" w:rsidP="00505EBA">
      <w:pPr>
        <w:rPr>
          <w:sz w:val="22"/>
          <w:szCs w:val="22"/>
          <w:lang w:val="lt-LT"/>
        </w:rPr>
      </w:pPr>
      <w:r w:rsidRPr="00532388">
        <w:rPr>
          <w:sz w:val="22"/>
          <w:szCs w:val="22"/>
          <w:lang w:val="lt-LT"/>
        </w:rPr>
        <w:t xml:space="preserve">Mechanizmų valdyti ir vairuoti negalima, jeigu pavartojus </w:t>
      </w:r>
      <w:r w:rsidRPr="00532388">
        <w:rPr>
          <w:rFonts w:eastAsia="Times New Roman"/>
          <w:sz w:val="22"/>
          <w:lang w:val="lt-LT" w:eastAsia="lt-LT" w:bidi="lt-LT"/>
        </w:rPr>
        <w:t>Darunavir Teva</w:t>
      </w:r>
      <w:r w:rsidRPr="00532388">
        <w:rPr>
          <w:sz w:val="22"/>
          <w:szCs w:val="22"/>
          <w:lang w:val="lt-LT"/>
        </w:rPr>
        <w:t>, juntamas galvos svaig</w:t>
      </w:r>
      <w:r w:rsidR="008F0D80">
        <w:rPr>
          <w:sz w:val="22"/>
          <w:szCs w:val="22"/>
          <w:lang w:val="lt-LT"/>
        </w:rPr>
        <w:t>ulys</w:t>
      </w:r>
      <w:r w:rsidRPr="00532388">
        <w:rPr>
          <w:sz w:val="22"/>
          <w:szCs w:val="22"/>
          <w:lang w:val="lt-LT"/>
        </w:rPr>
        <w:t>.</w:t>
      </w:r>
    </w:p>
    <w:p w14:paraId="6C6276C7" w14:textId="77777777" w:rsidR="00505EBA" w:rsidRDefault="00505EBA" w:rsidP="00505EBA">
      <w:pPr>
        <w:rPr>
          <w:sz w:val="22"/>
          <w:szCs w:val="22"/>
          <w:lang w:val="lt-LT"/>
        </w:rPr>
      </w:pPr>
    </w:p>
    <w:p w14:paraId="29D4164A" w14:textId="77777777" w:rsidR="0014002C" w:rsidRPr="00532388" w:rsidRDefault="0014002C" w:rsidP="00505EBA">
      <w:pPr>
        <w:rPr>
          <w:sz w:val="22"/>
          <w:szCs w:val="22"/>
          <w:lang w:val="lt-LT"/>
        </w:rPr>
      </w:pPr>
    </w:p>
    <w:p w14:paraId="1873B24C" w14:textId="77777777" w:rsidR="00505EBA" w:rsidRPr="00532388" w:rsidRDefault="00505EBA" w:rsidP="00505EBA">
      <w:pPr>
        <w:keepNext/>
        <w:keepLines/>
        <w:tabs>
          <w:tab w:val="left" w:pos="567"/>
        </w:tabs>
        <w:outlineLvl w:val="2"/>
        <w:rPr>
          <w:b/>
          <w:sz w:val="22"/>
          <w:szCs w:val="22"/>
          <w:lang w:val="lt-LT"/>
        </w:rPr>
      </w:pPr>
      <w:r w:rsidRPr="00532388">
        <w:rPr>
          <w:rFonts w:eastAsia="Times New Roman"/>
          <w:b/>
          <w:bCs/>
          <w:snapToGrid w:val="0"/>
          <w:sz w:val="22"/>
          <w:szCs w:val="26"/>
          <w:lang w:val="lt-LT" w:eastAsia="x-none"/>
        </w:rPr>
        <w:t>3.</w:t>
      </w:r>
      <w:r w:rsidRPr="00532388">
        <w:rPr>
          <w:rFonts w:eastAsia="Times New Roman"/>
          <w:b/>
          <w:bCs/>
          <w:snapToGrid w:val="0"/>
          <w:sz w:val="22"/>
          <w:szCs w:val="26"/>
          <w:lang w:val="lt-LT" w:eastAsia="x-none"/>
        </w:rPr>
        <w:tab/>
        <w:t xml:space="preserve">Kaip vartoti </w:t>
      </w:r>
      <w:r w:rsidRPr="00532388">
        <w:rPr>
          <w:rFonts w:eastAsia="Times New Roman"/>
          <w:b/>
          <w:sz w:val="22"/>
          <w:lang w:val="lt-LT" w:eastAsia="lt-LT" w:bidi="lt-LT"/>
        </w:rPr>
        <w:t>Darunavir Teva</w:t>
      </w:r>
    </w:p>
    <w:p w14:paraId="298BC6C8" w14:textId="77777777" w:rsidR="00505EBA" w:rsidRPr="00532388" w:rsidRDefault="00505EBA" w:rsidP="00505EBA">
      <w:pPr>
        <w:rPr>
          <w:sz w:val="22"/>
          <w:szCs w:val="22"/>
          <w:lang w:val="lt-LT"/>
        </w:rPr>
      </w:pPr>
    </w:p>
    <w:p w14:paraId="7255B0D5" w14:textId="6F5F75DF" w:rsidR="00505EBA" w:rsidRPr="00532388" w:rsidRDefault="00505EBA" w:rsidP="00505EBA">
      <w:pPr>
        <w:rPr>
          <w:sz w:val="22"/>
          <w:szCs w:val="22"/>
          <w:lang w:val="lt-LT"/>
        </w:rPr>
      </w:pPr>
      <w:r w:rsidRPr="00532388">
        <w:rPr>
          <w:sz w:val="22"/>
          <w:szCs w:val="22"/>
          <w:lang w:val="lt-LT"/>
        </w:rPr>
        <w:t xml:space="preserve">Visada vartokite šį vaistą tiksliai kaip aprašyta šiame lapelyje arba kaip nurodė gydytojas, vaistininkas arba slaugytoja. Jeigu abejojate, kreipkitės į gydytoją, vaistininką arba slaugytoją. Net jei pasijutote geriau, be gydytojo leidimo nenustokite vartoti </w:t>
      </w:r>
      <w:r w:rsidRPr="00532388">
        <w:rPr>
          <w:rFonts w:eastAsia="Times New Roman"/>
          <w:sz w:val="22"/>
          <w:lang w:val="lt-LT" w:eastAsia="lt-LT" w:bidi="lt-LT"/>
        </w:rPr>
        <w:t xml:space="preserve">Darunavir Teva </w:t>
      </w:r>
      <w:r w:rsidRPr="00532388">
        <w:rPr>
          <w:sz w:val="22"/>
          <w:szCs w:val="22"/>
          <w:lang w:val="lt-LT"/>
        </w:rPr>
        <w:t xml:space="preserve"> ir </w:t>
      </w:r>
      <w:r w:rsidR="007D3078" w:rsidRPr="00532388">
        <w:rPr>
          <w:sz w:val="22"/>
          <w:szCs w:val="22"/>
          <w:lang w:val="lt-LT"/>
        </w:rPr>
        <w:t>kobicistat</w:t>
      </w:r>
      <w:r w:rsidR="007D3078">
        <w:rPr>
          <w:sz w:val="22"/>
          <w:szCs w:val="22"/>
          <w:lang w:val="lt-LT"/>
        </w:rPr>
        <w:t>o</w:t>
      </w:r>
      <w:r w:rsidR="007D3078" w:rsidRPr="00532388">
        <w:rPr>
          <w:sz w:val="22"/>
          <w:szCs w:val="22"/>
          <w:lang w:val="lt-LT"/>
        </w:rPr>
        <w:t xml:space="preserve"> </w:t>
      </w:r>
      <w:r w:rsidRPr="00532388">
        <w:rPr>
          <w:sz w:val="22"/>
          <w:szCs w:val="22"/>
          <w:lang w:val="lt-LT"/>
        </w:rPr>
        <w:t xml:space="preserve">arba </w:t>
      </w:r>
      <w:r w:rsidR="007D3078" w:rsidRPr="00532388">
        <w:rPr>
          <w:sz w:val="22"/>
          <w:szCs w:val="22"/>
          <w:lang w:val="lt-LT"/>
        </w:rPr>
        <w:t>ritonavir</w:t>
      </w:r>
      <w:r w:rsidR="007D3078">
        <w:rPr>
          <w:sz w:val="22"/>
          <w:szCs w:val="22"/>
          <w:lang w:val="lt-LT"/>
        </w:rPr>
        <w:t>o</w:t>
      </w:r>
      <w:r w:rsidRPr="00532388">
        <w:rPr>
          <w:sz w:val="22"/>
          <w:szCs w:val="22"/>
          <w:lang w:val="lt-LT"/>
        </w:rPr>
        <w:t>.</w:t>
      </w:r>
    </w:p>
    <w:p w14:paraId="5C6DD4D6" w14:textId="77777777" w:rsidR="00505EBA" w:rsidRPr="00532388" w:rsidRDefault="00505EBA" w:rsidP="00505EBA">
      <w:pPr>
        <w:rPr>
          <w:sz w:val="22"/>
          <w:szCs w:val="22"/>
          <w:lang w:val="lt-LT"/>
        </w:rPr>
      </w:pPr>
    </w:p>
    <w:p w14:paraId="7C8B0083" w14:textId="12EEA556" w:rsidR="00633B31" w:rsidRPr="00532388" w:rsidRDefault="00505EBA" w:rsidP="00505EBA">
      <w:pPr>
        <w:rPr>
          <w:sz w:val="22"/>
          <w:szCs w:val="22"/>
          <w:lang w:val="lt-LT"/>
        </w:rPr>
      </w:pPr>
      <w:r w:rsidRPr="00532388">
        <w:rPr>
          <w:sz w:val="22"/>
          <w:szCs w:val="22"/>
          <w:lang w:val="lt-LT"/>
        </w:rPr>
        <w:t>Pradėjus gydymą, dozės</w:t>
      </w:r>
      <w:r w:rsidR="007D3078">
        <w:rPr>
          <w:sz w:val="22"/>
          <w:szCs w:val="22"/>
          <w:lang w:val="lt-LT"/>
        </w:rPr>
        <w:t xml:space="preserve"> ar</w:t>
      </w:r>
      <w:r w:rsidR="007D3078" w:rsidRPr="00532388">
        <w:rPr>
          <w:sz w:val="22"/>
          <w:szCs w:val="22"/>
          <w:lang w:val="lt-LT"/>
        </w:rPr>
        <w:t xml:space="preserve"> </w:t>
      </w:r>
      <w:r w:rsidRPr="00532388">
        <w:rPr>
          <w:sz w:val="22"/>
          <w:szCs w:val="22"/>
          <w:lang w:val="lt-LT"/>
        </w:rPr>
        <w:t xml:space="preserve">vaisto </w:t>
      </w:r>
      <w:r w:rsidR="007D3078" w:rsidRPr="00532388">
        <w:rPr>
          <w:sz w:val="22"/>
          <w:szCs w:val="22"/>
          <w:lang w:val="lt-LT"/>
        </w:rPr>
        <w:t>form</w:t>
      </w:r>
      <w:r w:rsidR="007D3078">
        <w:rPr>
          <w:sz w:val="22"/>
          <w:szCs w:val="22"/>
          <w:lang w:val="lt-LT"/>
        </w:rPr>
        <w:t>os</w:t>
      </w:r>
      <w:r w:rsidR="007D3078" w:rsidRPr="00532388">
        <w:rPr>
          <w:sz w:val="22"/>
          <w:szCs w:val="22"/>
          <w:lang w:val="lt-LT"/>
        </w:rPr>
        <w:t xml:space="preserve"> </w:t>
      </w:r>
      <w:r w:rsidRPr="00532388">
        <w:rPr>
          <w:sz w:val="22"/>
          <w:szCs w:val="22"/>
          <w:lang w:val="lt-LT"/>
        </w:rPr>
        <w:t xml:space="preserve">keisti arba gydymo nutraukti be gydytojo nurodymo negalima. </w:t>
      </w:r>
    </w:p>
    <w:p w14:paraId="7B9F9B92" w14:textId="77777777" w:rsidR="00633B31" w:rsidRPr="00532388" w:rsidRDefault="00633B31" w:rsidP="00505EBA">
      <w:pPr>
        <w:rPr>
          <w:sz w:val="22"/>
          <w:szCs w:val="22"/>
          <w:lang w:val="lt-LT"/>
        </w:rPr>
      </w:pPr>
    </w:p>
    <w:p w14:paraId="35202527" w14:textId="77777777" w:rsidR="00505EBA" w:rsidRPr="00532388" w:rsidRDefault="00505EBA" w:rsidP="00505EBA">
      <w:pPr>
        <w:rPr>
          <w:sz w:val="22"/>
          <w:szCs w:val="22"/>
          <w:lang w:val="lt-LT"/>
        </w:rPr>
      </w:pPr>
      <w:r w:rsidRPr="00532388">
        <w:rPr>
          <w:rFonts w:eastAsia="Times New Roman"/>
          <w:sz w:val="22"/>
          <w:lang w:val="lt-LT" w:eastAsia="lt-LT" w:bidi="lt-LT"/>
        </w:rPr>
        <w:t xml:space="preserve">Darunavir Teva </w:t>
      </w:r>
      <w:r w:rsidRPr="00532388">
        <w:rPr>
          <w:sz w:val="22"/>
          <w:szCs w:val="22"/>
          <w:lang w:val="lt-LT"/>
        </w:rPr>
        <w:t>400 miligramų tabletes tinka vartoti tik pagal 800 miligramų dozavimo vieną kartą per parą planą.</w:t>
      </w:r>
    </w:p>
    <w:p w14:paraId="2D3E1F69" w14:textId="77777777" w:rsidR="00505EBA" w:rsidRPr="00532388" w:rsidRDefault="00505EBA" w:rsidP="00505EBA">
      <w:pPr>
        <w:rPr>
          <w:sz w:val="22"/>
          <w:szCs w:val="22"/>
          <w:lang w:val="lt-LT"/>
        </w:rPr>
      </w:pPr>
    </w:p>
    <w:p w14:paraId="4347DB9B" w14:textId="77777777" w:rsidR="00505EBA" w:rsidRPr="00532388" w:rsidRDefault="00505EBA" w:rsidP="00505EBA">
      <w:pPr>
        <w:rPr>
          <w:b/>
          <w:sz w:val="22"/>
          <w:szCs w:val="22"/>
          <w:lang w:val="lt-LT"/>
        </w:rPr>
      </w:pPr>
      <w:r w:rsidRPr="00532388">
        <w:rPr>
          <w:b/>
          <w:sz w:val="22"/>
          <w:szCs w:val="22"/>
          <w:lang w:val="lt-LT"/>
        </w:rPr>
        <w:t>Dozė suaugusiesiems, kurie anksčiau nevartojo antiretrovirusinių vaistų (ją nustatys gydytojas)</w:t>
      </w:r>
    </w:p>
    <w:p w14:paraId="36C0A8B1" w14:textId="77777777" w:rsidR="00505EBA" w:rsidRPr="00532388" w:rsidRDefault="00505EBA" w:rsidP="00505EBA">
      <w:pPr>
        <w:rPr>
          <w:rFonts w:eastAsia="Times New Roman"/>
          <w:sz w:val="22"/>
          <w:lang w:val="lt-LT" w:eastAsia="lt-LT" w:bidi="lt-LT"/>
        </w:rPr>
      </w:pPr>
      <w:r w:rsidRPr="00532388">
        <w:rPr>
          <w:sz w:val="22"/>
          <w:szCs w:val="22"/>
          <w:lang w:val="lt-LT"/>
        </w:rPr>
        <w:t xml:space="preserve">Įprasta </w:t>
      </w:r>
      <w:r w:rsidRPr="00532388">
        <w:rPr>
          <w:rFonts w:eastAsia="Times New Roman"/>
          <w:sz w:val="22"/>
          <w:lang w:val="lt-LT" w:eastAsia="lt-LT" w:bidi="lt-LT"/>
        </w:rPr>
        <w:t xml:space="preserve">Darunavir Teva </w:t>
      </w:r>
      <w:r w:rsidRPr="00532388">
        <w:rPr>
          <w:sz w:val="22"/>
          <w:szCs w:val="22"/>
          <w:lang w:val="lt-LT"/>
        </w:rPr>
        <w:t xml:space="preserve"> dozė yra 800 miligramų (2 tabletės, kurių sudėtyje yra 400 miligramų </w:t>
      </w:r>
      <w:r w:rsidRPr="00532388">
        <w:rPr>
          <w:rFonts w:eastAsia="Times New Roman"/>
          <w:sz w:val="22"/>
          <w:lang w:val="lt-LT" w:eastAsia="lt-LT" w:bidi="lt-LT"/>
        </w:rPr>
        <w:t>Darunavir Teva</w:t>
      </w:r>
      <w:r w:rsidR="00633B31" w:rsidRPr="00532388">
        <w:rPr>
          <w:rFonts w:eastAsia="Times New Roman"/>
          <w:sz w:val="22"/>
          <w:lang w:val="lt-LT" w:eastAsia="lt-LT" w:bidi="lt-LT"/>
        </w:rPr>
        <w:t>) per parą</w:t>
      </w:r>
      <w:r w:rsidRPr="00532388">
        <w:rPr>
          <w:rFonts w:eastAsia="Times New Roman"/>
          <w:sz w:val="22"/>
          <w:lang w:val="lt-LT" w:eastAsia="lt-LT" w:bidi="lt-LT"/>
        </w:rPr>
        <w:t>.</w:t>
      </w:r>
    </w:p>
    <w:p w14:paraId="181470E9" w14:textId="77777777" w:rsidR="00505EBA" w:rsidRPr="00532388" w:rsidRDefault="00505EBA" w:rsidP="00505EBA">
      <w:pPr>
        <w:rPr>
          <w:sz w:val="22"/>
          <w:szCs w:val="22"/>
          <w:lang w:val="lt-LT"/>
        </w:rPr>
      </w:pPr>
      <w:r w:rsidRPr="00532388">
        <w:rPr>
          <w:sz w:val="22"/>
          <w:szCs w:val="22"/>
          <w:lang w:val="lt-LT"/>
        </w:rPr>
        <w:t xml:space="preserve">Turite vartoti </w:t>
      </w:r>
      <w:r w:rsidRPr="00532388">
        <w:rPr>
          <w:rFonts w:eastAsia="Times New Roman"/>
          <w:sz w:val="22"/>
          <w:lang w:val="lt-LT" w:eastAsia="lt-LT" w:bidi="lt-LT"/>
        </w:rPr>
        <w:t xml:space="preserve">Darunavir Teva </w:t>
      </w:r>
      <w:r w:rsidRPr="00532388">
        <w:rPr>
          <w:sz w:val="22"/>
          <w:szCs w:val="22"/>
          <w:lang w:val="lt-LT"/>
        </w:rPr>
        <w:t xml:space="preserve">kiekvieną dieną kartu su 150 miligramų kobicistato arba 100 miligramų ritonaviro doze ir maistu. </w:t>
      </w:r>
      <w:r w:rsidRPr="00532388">
        <w:rPr>
          <w:rFonts w:eastAsia="Times New Roman"/>
          <w:sz w:val="22"/>
          <w:lang w:val="lt-LT" w:eastAsia="lt-LT" w:bidi="lt-LT"/>
        </w:rPr>
        <w:t xml:space="preserve">Darunavir Teva </w:t>
      </w:r>
      <w:r w:rsidRPr="00532388">
        <w:rPr>
          <w:sz w:val="22"/>
          <w:szCs w:val="22"/>
          <w:lang w:val="lt-LT"/>
        </w:rPr>
        <w:t xml:space="preserve">negali veikti tinkamai, jeigu vartojamas be kobicistato arba ritonaviro ir maisto. 30 minučių prieš </w:t>
      </w:r>
      <w:r w:rsidRPr="00532388">
        <w:rPr>
          <w:rFonts w:eastAsia="Times New Roman"/>
          <w:sz w:val="22"/>
          <w:lang w:val="lt-LT" w:eastAsia="lt-LT" w:bidi="lt-LT"/>
        </w:rPr>
        <w:t>Darunavir Teva</w:t>
      </w:r>
      <w:r w:rsidRPr="00532388">
        <w:rPr>
          <w:sz w:val="22"/>
          <w:szCs w:val="22"/>
          <w:lang w:val="lt-LT"/>
        </w:rPr>
        <w:t xml:space="preserve"> ir kobicistato arba ritonaviro vartojimą turite pavalgyti ar užkąsti. Kokį maistą valgyti, nėra svarbu. Net jei pasijutote geriau, be gydytojo leidimo nenustokite vartoti </w:t>
      </w:r>
      <w:r w:rsidRPr="00532388">
        <w:rPr>
          <w:rFonts w:eastAsia="Times New Roman"/>
          <w:sz w:val="22"/>
          <w:lang w:val="lt-LT" w:eastAsia="lt-LT" w:bidi="lt-LT"/>
        </w:rPr>
        <w:t xml:space="preserve">Darunavir Teva </w:t>
      </w:r>
      <w:r w:rsidRPr="00532388">
        <w:rPr>
          <w:sz w:val="22"/>
          <w:szCs w:val="22"/>
          <w:lang w:val="lt-LT"/>
        </w:rPr>
        <w:t>ir kobicistato arba ritonaviro.</w:t>
      </w:r>
    </w:p>
    <w:p w14:paraId="633C4F9E" w14:textId="77777777" w:rsidR="00505EBA" w:rsidRPr="00532388" w:rsidRDefault="00505EBA" w:rsidP="00505EBA">
      <w:pPr>
        <w:rPr>
          <w:b/>
          <w:sz w:val="22"/>
          <w:szCs w:val="22"/>
          <w:lang w:val="lt-LT"/>
        </w:rPr>
      </w:pPr>
    </w:p>
    <w:p w14:paraId="1BC74A59" w14:textId="77777777" w:rsidR="00505EBA" w:rsidRPr="00532388" w:rsidRDefault="00505EBA" w:rsidP="00505EBA">
      <w:pPr>
        <w:rPr>
          <w:b/>
          <w:sz w:val="22"/>
          <w:szCs w:val="22"/>
          <w:lang w:val="lt-LT"/>
        </w:rPr>
      </w:pPr>
      <w:r w:rsidRPr="00532388">
        <w:rPr>
          <w:b/>
          <w:sz w:val="22"/>
          <w:szCs w:val="22"/>
          <w:lang w:val="lt-LT"/>
        </w:rPr>
        <w:t>Instrukcijos suaugusiesiems</w:t>
      </w:r>
    </w:p>
    <w:p w14:paraId="477C0C07"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Gerkite po dvi 400 miligramų tabletes tuo pačiu metu vieną kartą per parą kiekvieną dieną.</w:t>
      </w:r>
    </w:p>
    <w:p w14:paraId="7CE63E42" w14:textId="77777777" w:rsidR="00505EBA" w:rsidRPr="00532388" w:rsidRDefault="00505EBA" w:rsidP="00505EBA">
      <w:pPr>
        <w:pStyle w:val="BT-EMEASMCA"/>
        <w:numPr>
          <w:ilvl w:val="0"/>
          <w:numId w:val="24"/>
        </w:numPr>
        <w:ind w:left="567" w:hanging="567"/>
        <w:rPr>
          <w:sz w:val="22"/>
          <w:szCs w:val="22"/>
          <w:lang w:val="lt-LT"/>
        </w:rPr>
      </w:pPr>
      <w:r w:rsidRPr="00532388">
        <w:rPr>
          <w:rFonts w:eastAsia="Times New Roman"/>
          <w:sz w:val="22"/>
          <w:lang w:val="lt-LT" w:eastAsia="lt-LT" w:bidi="lt-LT"/>
        </w:rPr>
        <w:t xml:space="preserve">Darunavir Teva </w:t>
      </w:r>
      <w:r w:rsidRPr="00532388">
        <w:rPr>
          <w:sz w:val="22"/>
          <w:szCs w:val="22"/>
          <w:lang w:val="lt-LT"/>
        </w:rPr>
        <w:t>visada vartokite kartu su 150 miligramų kobicistato arba 100 miligramų ritonaviro.</w:t>
      </w:r>
    </w:p>
    <w:p w14:paraId="27EF6263" w14:textId="77777777" w:rsidR="00505EBA" w:rsidRPr="00532388" w:rsidRDefault="00505EBA" w:rsidP="00505EBA">
      <w:pPr>
        <w:pStyle w:val="BT-EMEASMCA"/>
        <w:numPr>
          <w:ilvl w:val="0"/>
          <w:numId w:val="24"/>
        </w:numPr>
        <w:ind w:left="567" w:hanging="567"/>
        <w:rPr>
          <w:sz w:val="22"/>
          <w:szCs w:val="22"/>
          <w:lang w:val="lt-LT"/>
        </w:rPr>
      </w:pPr>
      <w:r w:rsidRPr="00532388">
        <w:rPr>
          <w:rFonts w:eastAsia="Times New Roman"/>
          <w:sz w:val="22"/>
          <w:lang w:val="lt-LT" w:eastAsia="lt-LT" w:bidi="lt-LT"/>
        </w:rPr>
        <w:t xml:space="preserve">Darunavir Teva </w:t>
      </w:r>
      <w:r w:rsidRPr="00532388">
        <w:rPr>
          <w:sz w:val="22"/>
          <w:szCs w:val="22"/>
          <w:lang w:val="lt-LT"/>
        </w:rPr>
        <w:t>vartokite kartu su maistu.</w:t>
      </w:r>
    </w:p>
    <w:p w14:paraId="259E45E9"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Tabletę nurykite užsigerdami, pavyzdžiui, vandeniu ar pienu.</w:t>
      </w:r>
    </w:p>
    <w:p w14:paraId="43ECBC3C"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Kitą vaistą nuo ŽIV kartu su </w:t>
      </w:r>
      <w:r w:rsidRPr="00532388">
        <w:rPr>
          <w:rFonts w:eastAsia="Times New Roman"/>
          <w:sz w:val="22"/>
          <w:lang w:val="lt-LT" w:eastAsia="lt-LT" w:bidi="lt-LT"/>
        </w:rPr>
        <w:t xml:space="preserve">Darunavir Teva </w:t>
      </w:r>
      <w:r w:rsidRPr="00532388">
        <w:rPr>
          <w:sz w:val="22"/>
          <w:szCs w:val="22"/>
          <w:lang w:val="lt-LT"/>
        </w:rPr>
        <w:t xml:space="preserve"> ir kobicistatu arba ritonaviru vartokite taip, kaip nurodė gydytojas.</w:t>
      </w:r>
    </w:p>
    <w:p w14:paraId="6BFE134D" w14:textId="77777777" w:rsidR="00505EBA" w:rsidRPr="00532388" w:rsidRDefault="00505EBA" w:rsidP="00505EBA">
      <w:pPr>
        <w:pStyle w:val="BT-EMEASMCA"/>
        <w:numPr>
          <w:ilvl w:val="0"/>
          <w:numId w:val="0"/>
        </w:numPr>
        <w:rPr>
          <w:sz w:val="22"/>
          <w:szCs w:val="22"/>
          <w:lang w:val="lt-LT"/>
        </w:rPr>
      </w:pPr>
    </w:p>
    <w:p w14:paraId="0D375215" w14:textId="77777777" w:rsidR="00505EBA" w:rsidRPr="00532388" w:rsidRDefault="00505EBA" w:rsidP="00505EBA">
      <w:pPr>
        <w:pStyle w:val="BT-EMEASMCA"/>
        <w:numPr>
          <w:ilvl w:val="0"/>
          <w:numId w:val="0"/>
        </w:numPr>
        <w:rPr>
          <w:b/>
          <w:sz w:val="22"/>
          <w:szCs w:val="22"/>
          <w:lang w:val="lt-LT"/>
        </w:rPr>
      </w:pPr>
      <w:r w:rsidRPr="00532388">
        <w:rPr>
          <w:b/>
          <w:sz w:val="22"/>
          <w:szCs w:val="22"/>
          <w:lang w:val="lt-LT"/>
        </w:rPr>
        <w:t>Dozė suaugusiesiems, kurie anksčiau vartojo antiretrovirusinių vaistų (ją nustatys gydytojas)</w:t>
      </w:r>
    </w:p>
    <w:p w14:paraId="1E54B2B1" w14:textId="77777777" w:rsidR="00505EBA" w:rsidRPr="00532388" w:rsidRDefault="00505EBA" w:rsidP="00505EBA">
      <w:pPr>
        <w:pStyle w:val="BT-EMEASMCA"/>
        <w:numPr>
          <w:ilvl w:val="0"/>
          <w:numId w:val="0"/>
        </w:numPr>
        <w:rPr>
          <w:sz w:val="22"/>
          <w:szCs w:val="22"/>
          <w:lang w:val="lt-LT"/>
        </w:rPr>
      </w:pPr>
      <w:r w:rsidRPr="00532388">
        <w:rPr>
          <w:sz w:val="22"/>
          <w:szCs w:val="22"/>
          <w:lang w:val="lt-LT"/>
        </w:rPr>
        <w:t>Dozė gali būti:</w:t>
      </w:r>
    </w:p>
    <w:p w14:paraId="3257F995"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800 miligramų </w:t>
      </w:r>
      <w:r w:rsidRPr="00532388">
        <w:rPr>
          <w:rFonts w:eastAsia="Times New Roman"/>
          <w:sz w:val="22"/>
          <w:lang w:val="lt-LT" w:eastAsia="lt-LT" w:bidi="lt-LT"/>
        </w:rPr>
        <w:t xml:space="preserve">Darunavir Teva </w:t>
      </w:r>
      <w:r w:rsidRPr="00532388">
        <w:rPr>
          <w:sz w:val="22"/>
          <w:szCs w:val="22"/>
          <w:lang w:val="lt-LT"/>
        </w:rPr>
        <w:t xml:space="preserve">(2 tabletės, kuriose yra po 400 miligramų </w:t>
      </w:r>
      <w:r w:rsidRPr="00532388">
        <w:rPr>
          <w:rFonts w:eastAsia="Times New Roman"/>
          <w:sz w:val="22"/>
          <w:lang w:val="lt-LT" w:eastAsia="lt-LT" w:bidi="lt-LT"/>
        </w:rPr>
        <w:t>Darunavir Teva</w:t>
      </w:r>
      <w:r w:rsidRPr="00532388">
        <w:rPr>
          <w:sz w:val="22"/>
          <w:szCs w:val="22"/>
          <w:lang w:val="lt-LT"/>
        </w:rPr>
        <w:t>) kartu su 150 miligramų kobicistato arba 100 miligramų ritonaviro vieną kartą per parą;</w:t>
      </w:r>
    </w:p>
    <w:p w14:paraId="740E9554" w14:textId="77777777" w:rsidR="00505EBA" w:rsidRPr="00532388" w:rsidRDefault="00505EBA" w:rsidP="00505EBA">
      <w:pPr>
        <w:pStyle w:val="BT-EMEASMCA"/>
        <w:numPr>
          <w:ilvl w:val="0"/>
          <w:numId w:val="0"/>
        </w:numPr>
        <w:rPr>
          <w:sz w:val="22"/>
          <w:szCs w:val="22"/>
          <w:lang w:val="lt-LT"/>
        </w:rPr>
      </w:pPr>
      <w:r w:rsidRPr="00532388">
        <w:rPr>
          <w:sz w:val="22"/>
          <w:szCs w:val="22"/>
          <w:lang w:val="lt-LT"/>
        </w:rPr>
        <w:t>ARBA</w:t>
      </w:r>
    </w:p>
    <w:p w14:paraId="6E83AD4D"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600 miligramų </w:t>
      </w:r>
      <w:r w:rsidRPr="00532388">
        <w:rPr>
          <w:rFonts w:eastAsia="Times New Roman"/>
          <w:sz w:val="22"/>
          <w:lang w:val="lt-LT" w:eastAsia="lt-LT" w:bidi="lt-LT"/>
        </w:rPr>
        <w:t>Darunavir Teva</w:t>
      </w:r>
      <w:r w:rsidRPr="00532388">
        <w:rPr>
          <w:sz w:val="22"/>
          <w:szCs w:val="22"/>
          <w:lang w:val="lt-LT"/>
        </w:rPr>
        <w:t xml:space="preserve"> (2 tabletės, kuriose yra po 300 miligramų </w:t>
      </w:r>
      <w:r w:rsidRPr="00532388">
        <w:rPr>
          <w:rFonts w:eastAsia="Times New Roman"/>
          <w:sz w:val="22"/>
          <w:lang w:val="lt-LT" w:eastAsia="lt-LT" w:bidi="lt-LT"/>
        </w:rPr>
        <w:t>Darunavir Teva</w:t>
      </w:r>
      <w:r w:rsidRPr="00532388">
        <w:rPr>
          <w:sz w:val="22"/>
          <w:szCs w:val="22"/>
          <w:lang w:val="lt-LT"/>
        </w:rPr>
        <w:t xml:space="preserve">, arba viena tabletė, kurioje yra 600 miligramų </w:t>
      </w:r>
      <w:r w:rsidRPr="00532388">
        <w:rPr>
          <w:rFonts w:eastAsia="Times New Roman"/>
          <w:sz w:val="22"/>
          <w:lang w:val="lt-LT" w:eastAsia="lt-LT" w:bidi="lt-LT"/>
        </w:rPr>
        <w:t>Darunavir Teva</w:t>
      </w:r>
      <w:r w:rsidRPr="00532388">
        <w:rPr>
          <w:sz w:val="22"/>
          <w:szCs w:val="22"/>
          <w:lang w:val="lt-LT"/>
        </w:rPr>
        <w:t>) kartu su 100 miligramų ritonaviro du kartus per parą.</w:t>
      </w:r>
    </w:p>
    <w:p w14:paraId="4C9C517E" w14:textId="77777777" w:rsidR="00505EBA" w:rsidRPr="00532388" w:rsidRDefault="00505EBA" w:rsidP="00505EBA">
      <w:pPr>
        <w:rPr>
          <w:sz w:val="22"/>
          <w:szCs w:val="22"/>
          <w:lang w:val="lt-LT"/>
        </w:rPr>
      </w:pPr>
    </w:p>
    <w:p w14:paraId="23EF259E" w14:textId="77777777" w:rsidR="00505EBA" w:rsidRPr="00532388" w:rsidRDefault="00505EBA" w:rsidP="00505EBA">
      <w:pPr>
        <w:rPr>
          <w:sz w:val="22"/>
          <w:szCs w:val="22"/>
          <w:lang w:val="lt-LT"/>
        </w:rPr>
      </w:pPr>
      <w:r w:rsidRPr="00532388">
        <w:rPr>
          <w:sz w:val="22"/>
          <w:szCs w:val="22"/>
          <w:lang w:val="lt-LT"/>
        </w:rPr>
        <w:t>Pasitarkite su gydytoju, kuri dozė Jums tinka.</w:t>
      </w:r>
    </w:p>
    <w:p w14:paraId="2882E5E2" w14:textId="77777777" w:rsidR="00505EBA" w:rsidRPr="00532388" w:rsidRDefault="00505EBA" w:rsidP="00505EBA">
      <w:pPr>
        <w:rPr>
          <w:sz w:val="22"/>
          <w:szCs w:val="22"/>
          <w:lang w:val="lt-LT"/>
        </w:rPr>
      </w:pPr>
    </w:p>
    <w:p w14:paraId="40B9CD84" w14:textId="77777777" w:rsidR="00505EBA" w:rsidRPr="00532388" w:rsidRDefault="00505EBA" w:rsidP="00505EBA">
      <w:pPr>
        <w:rPr>
          <w:b/>
          <w:sz w:val="22"/>
          <w:szCs w:val="22"/>
          <w:lang w:val="lt-LT"/>
        </w:rPr>
      </w:pPr>
      <w:r w:rsidRPr="00532388">
        <w:rPr>
          <w:b/>
          <w:sz w:val="22"/>
          <w:szCs w:val="22"/>
          <w:lang w:val="lt-LT"/>
        </w:rPr>
        <w:t>Dozė 3 metų ir vyresniems vaikams, kurie sveria ne mažiau kaip 40 kilogramų ir kurie anksčiau nevartojo antiretrovirusinių vaistų (ją nustatys Jūsų vaiko gydytojas)</w:t>
      </w:r>
    </w:p>
    <w:p w14:paraId="330E268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lastRenderedPageBreak/>
        <w:t xml:space="preserve">Įprastinė </w:t>
      </w:r>
      <w:r w:rsidRPr="00532388">
        <w:rPr>
          <w:rFonts w:eastAsia="Times New Roman"/>
          <w:sz w:val="22"/>
          <w:lang w:val="lt-LT" w:eastAsia="lt-LT" w:bidi="lt-LT"/>
        </w:rPr>
        <w:t>Darunavir Teva</w:t>
      </w:r>
      <w:r w:rsidRPr="00532388">
        <w:rPr>
          <w:sz w:val="22"/>
          <w:szCs w:val="22"/>
          <w:lang w:val="lt-LT"/>
        </w:rPr>
        <w:t xml:space="preserve"> dozė yra 800 miligramų (2 tabletės, kuriose yra po 400 miligramų </w:t>
      </w:r>
      <w:r w:rsidRPr="00532388">
        <w:rPr>
          <w:rFonts w:eastAsia="Times New Roman"/>
          <w:sz w:val="22"/>
          <w:lang w:val="lt-LT" w:eastAsia="lt-LT" w:bidi="lt-LT"/>
        </w:rPr>
        <w:t>Darunavir Teva</w:t>
      </w:r>
      <w:r w:rsidRPr="00532388">
        <w:rPr>
          <w:sz w:val="22"/>
          <w:szCs w:val="22"/>
          <w:lang w:val="lt-LT"/>
        </w:rPr>
        <w:t xml:space="preserve"> arba 1 tabletė, kurioje yra 800 miligramų </w:t>
      </w:r>
      <w:r w:rsidRPr="00532388">
        <w:rPr>
          <w:rFonts w:eastAsia="Times New Roman"/>
          <w:sz w:val="22"/>
          <w:lang w:val="lt-LT" w:eastAsia="lt-LT" w:bidi="lt-LT"/>
        </w:rPr>
        <w:t>Darunavir Teva</w:t>
      </w:r>
      <w:r w:rsidRPr="00532388">
        <w:rPr>
          <w:sz w:val="22"/>
          <w:szCs w:val="22"/>
          <w:lang w:val="lt-LT"/>
        </w:rPr>
        <w:t>), kartu su 100 miligramų ritonaviro vieną kartą per parą.</w:t>
      </w:r>
    </w:p>
    <w:p w14:paraId="40E9FB1D" w14:textId="77777777" w:rsidR="00505EBA" w:rsidRPr="00532388" w:rsidRDefault="00505EBA" w:rsidP="00505EBA">
      <w:pPr>
        <w:pStyle w:val="BT-EMEASMCA"/>
        <w:numPr>
          <w:ilvl w:val="0"/>
          <w:numId w:val="0"/>
        </w:numPr>
        <w:ind w:left="360"/>
        <w:rPr>
          <w:sz w:val="22"/>
          <w:szCs w:val="22"/>
          <w:lang w:val="lt-LT"/>
        </w:rPr>
      </w:pPr>
    </w:p>
    <w:p w14:paraId="6B536618" w14:textId="77777777" w:rsidR="00505EBA" w:rsidRPr="00532388" w:rsidRDefault="00505EBA" w:rsidP="00505EBA">
      <w:pPr>
        <w:pStyle w:val="BT-EMEASMCA"/>
        <w:numPr>
          <w:ilvl w:val="0"/>
          <w:numId w:val="0"/>
        </w:numPr>
        <w:rPr>
          <w:sz w:val="22"/>
          <w:szCs w:val="22"/>
          <w:lang w:val="lt-LT"/>
        </w:rPr>
      </w:pPr>
      <w:r w:rsidRPr="00532388">
        <w:rPr>
          <w:b/>
          <w:sz w:val="22"/>
          <w:szCs w:val="22"/>
          <w:lang w:val="lt-LT"/>
        </w:rPr>
        <w:t>Dozė 3 metų ir vyresniems vaikams, kurie sveria ne mažiau kaip 40 kilogramų ir kurie anksčiau vartojo antiretrovirusinių vaistų (ją nustatys Jūsų vaiko gydytojas</w:t>
      </w:r>
      <w:r w:rsidRPr="00532388">
        <w:rPr>
          <w:sz w:val="22"/>
          <w:szCs w:val="22"/>
          <w:lang w:val="lt-LT"/>
        </w:rPr>
        <w:t>)</w:t>
      </w:r>
    </w:p>
    <w:p w14:paraId="79808965" w14:textId="77777777" w:rsidR="00505EBA" w:rsidRPr="00532388" w:rsidRDefault="00505EBA" w:rsidP="00505EBA">
      <w:pPr>
        <w:pStyle w:val="BT-EMEASMCA"/>
        <w:numPr>
          <w:ilvl w:val="0"/>
          <w:numId w:val="0"/>
        </w:numPr>
        <w:rPr>
          <w:sz w:val="22"/>
          <w:szCs w:val="22"/>
          <w:lang w:val="lt-LT"/>
        </w:rPr>
      </w:pPr>
      <w:r w:rsidRPr="00532388">
        <w:rPr>
          <w:sz w:val="22"/>
          <w:szCs w:val="22"/>
          <w:lang w:val="lt-LT"/>
        </w:rPr>
        <w:t>Dozė gali būti:</w:t>
      </w:r>
    </w:p>
    <w:p w14:paraId="5323F06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800 miligramų </w:t>
      </w:r>
      <w:r w:rsidRPr="00532388">
        <w:rPr>
          <w:rFonts w:eastAsia="Times New Roman"/>
          <w:sz w:val="22"/>
          <w:lang w:val="lt-LT" w:eastAsia="lt-LT" w:bidi="lt-LT"/>
        </w:rPr>
        <w:t>Darunavir Teva</w:t>
      </w:r>
      <w:r w:rsidRPr="00532388">
        <w:rPr>
          <w:sz w:val="22"/>
          <w:szCs w:val="22"/>
          <w:lang w:val="lt-LT"/>
        </w:rPr>
        <w:t xml:space="preserve"> (2 tabletės, kuriose yra po 400 miligramų </w:t>
      </w:r>
      <w:r w:rsidRPr="00532388">
        <w:rPr>
          <w:rFonts w:eastAsia="Times New Roman"/>
          <w:sz w:val="22"/>
          <w:lang w:val="lt-LT" w:eastAsia="lt-LT" w:bidi="lt-LT"/>
        </w:rPr>
        <w:t>Darunavir Teva</w:t>
      </w:r>
      <w:r w:rsidRPr="00532388">
        <w:rPr>
          <w:sz w:val="22"/>
          <w:szCs w:val="22"/>
          <w:lang w:val="lt-LT"/>
        </w:rPr>
        <w:t xml:space="preserve"> ar 1 tabletė, kurioje yra 800 miligramų </w:t>
      </w:r>
      <w:r w:rsidRPr="00532388">
        <w:rPr>
          <w:rFonts w:eastAsia="Times New Roman"/>
          <w:sz w:val="22"/>
          <w:lang w:val="lt-LT" w:eastAsia="lt-LT" w:bidi="lt-LT"/>
        </w:rPr>
        <w:t>Darunavir Teva</w:t>
      </w:r>
      <w:r w:rsidRPr="00532388">
        <w:rPr>
          <w:sz w:val="22"/>
          <w:szCs w:val="22"/>
          <w:lang w:val="lt-LT"/>
        </w:rPr>
        <w:t>), kartu su 100 miligramų ritonaviro vieną kartą per parą.</w:t>
      </w:r>
    </w:p>
    <w:p w14:paraId="24CBBF32" w14:textId="77777777" w:rsidR="00505EBA" w:rsidRPr="00532388" w:rsidRDefault="00505EBA" w:rsidP="00505EBA">
      <w:pPr>
        <w:rPr>
          <w:sz w:val="22"/>
          <w:szCs w:val="22"/>
          <w:lang w:val="lt-LT"/>
        </w:rPr>
      </w:pPr>
    </w:p>
    <w:p w14:paraId="3772B815" w14:textId="77777777" w:rsidR="00505EBA" w:rsidRPr="00532388" w:rsidRDefault="00505EBA" w:rsidP="00505EBA">
      <w:pPr>
        <w:rPr>
          <w:sz w:val="22"/>
          <w:szCs w:val="22"/>
          <w:lang w:val="lt-LT"/>
        </w:rPr>
      </w:pPr>
      <w:r w:rsidRPr="00532388">
        <w:rPr>
          <w:sz w:val="22"/>
          <w:szCs w:val="22"/>
          <w:lang w:val="lt-LT"/>
        </w:rPr>
        <w:t>ARBA</w:t>
      </w:r>
    </w:p>
    <w:p w14:paraId="470CCC1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600 miligramų </w:t>
      </w:r>
      <w:r w:rsidRPr="00532388">
        <w:rPr>
          <w:rFonts w:eastAsia="Times New Roman"/>
          <w:sz w:val="22"/>
          <w:lang w:val="lt-LT" w:eastAsia="lt-LT" w:bidi="lt-LT"/>
        </w:rPr>
        <w:t>Darunavir Teva</w:t>
      </w:r>
      <w:r w:rsidRPr="00532388">
        <w:rPr>
          <w:sz w:val="22"/>
          <w:szCs w:val="22"/>
          <w:lang w:val="lt-LT"/>
        </w:rPr>
        <w:t xml:space="preserve"> (2 tabletės, kuriose yra po 300 miligramų </w:t>
      </w:r>
      <w:r w:rsidRPr="00532388">
        <w:rPr>
          <w:rFonts w:eastAsia="Times New Roman"/>
          <w:sz w:val="22"/>
          <w:lang w:val="lt-LT" w:eastAsia="lt-LT" w:bidi="lt-LT"/>
        </w:rPr>
        <w:t>Darunavir Teva</w:t>
      </w:r>
      <w:r w:rsidRPr="00532388">
        <w:rPr>
          <w:sz w:val="22"/>
          <w:szCs w:val="22"/>
          <w:lang w:val="lt-LT"/>
        </w:rPr>
        <w:t xml:space="preserve"> ar 1 tabletė, kurioje yra 600 miligramų </w:t>
      </w:r>
      <w:r w:rsidRPr="00532388">
        <w:rPr>
          <w:rFonts w:eastAsia="Times New Roman"/>
          <w:sz w:val="22"/>
          <w:lang w:val="lt-LT" w:eastAsia="lt-LT" w:bidi="lt-LT"/>
        </w:rPr>
        <w:t>Darunavir Teva</w:t>
      </w:r>
      <w:r w:rsidRPr="00532388">
        <w:rPr>
          <w:sz w:val="22"/>
          <w:szCs w:val="22"/>
          <w:lang w:val="lt-LT"/>
        </w:rPr>
        <w:t>), kartu su 100 miligramų ritonaviro du kartus per parą.</w:t>
      </w:r>
    </w:p>
    <w:p w14:paraId="50FDFBEC" w14:textId="77777777" w:rsidR="00505EBA" w:rsidRPr="00532388" w:rsidRDefault="00505EBA" w:rsidP="00505EBA">
      <w:pPr>
        <w:rPr>
          <w:sz w:val="22"/>
          <w:szCs w:val="22"/>
          <w:lang w:val="lt-LT"/>
        </w:rPr>
      </w:pPr>
    </w:p>
    <w:p w14:paraId="3AB672B6" w14:textId="77777777" w:rsidR="00505EBA" w:rsidRPr="00532388" w:rsidRDefault="00505EBA" w:rsidP="00505EBA">
      <w:pPr>
        <w:rPr>
          <w:sz w:val="22"/>
          <w:szCs w:val="22"/>
          <w:lang w:val="lt-LT"/>
        </w:rPr>
      </w:pPr>
      <w:r w:rsidRPr="00532388">
        <w:rPr>
          <w:sz w:val="22"/>
          <w:szCs w:val="22"/>
          <w:lang w:val="lt-LT"/>
        </w:rPr>
        <w:t>Pasitarkite su gydytoju, kuri dozė Jums tinka.</w:t>
      </w:r>
    </w:p>
    <w:p w14:paraId="045B9221" w14:textId="77777777" w:rsidR="00505EBA" w:rsidRPr="00532388" w:rsidRDefault="00505EBA" w:rsidP="00505EBA">
      <w:pPr>
        <w:rPr>
          <w:sz w:val="22"/>
          <w:szCs w:val="22"/>
          <w:lang w:val="lt-LT"/>
        </w:rPr>
      </w:pPr>
    </w:p>
    <w:p w14:paraId="48019F94" w14:textId="77777777" w:rsidR="00505EBA" w:rsidRPr="00532388" w:rsidRDefault="00505EBA" w:rsidP="00505EBA">
      <w:pPr>
        <w:rPr>
          <w:b/>
          <w:i/>
          <w:sz w:val="22"/>
          <w:szCs w:val="22"/>
          <w:lang w:val="lt-LT"/>
        </w:rPr>
      </w:pPr>
      <w:r w:rsidRPr="00532388">
        <w:rPr>
          <w:b/>
          <w:i/>
          <w:sz w:val="22"/>
          <w:szCs w:val="22"/>
          <w:lang w:val="lt-LT"/>
        </w:rPr>
        <w:t xml:space="preserve">Instrukcijos 3 metų ir vyresniems </w:t>
      </w:r>
      <w:r w:rsidR="00A564AF">
        <w:rPr>
          <w:b/>
          <w:i/>
          <w:sz w:val="22"/>
          <w:szCs w:val="22"/>
          <w:lang w:val="lt-LT"/>
        </w:rPr>
        <w:t>vaikams</w:t>
      </w:r>
      <w:r w:rsidRPr="00532388">
        <w:rPr>
          <w:b/>
          <w:i/>
          <w:sz w:val="22"/>
          <w:szCs w:val="22"/>
          <w:lang w:val="lt-LT"/>
        </w:rPr>
        <w:t xml:space="preserve">, kurie sveria daugiau kaip 40 kilogramų </w:t>
      </w:r>
    </w:p>
    <w:p w14:paraId="0153D553"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Vartokite 800 miligramų </w:t>
      </w:r>
      <w:r w:rsidRPr="00532388">
        <w:rPr>
          <w:rFonts w:eastAsia="Times New Roman"/>
          <w:sz w:val="22"/>
          <w:lang w:val="lt-LT" w:eastAsia="lt-LT" w:bidi="lt-LT"/>
        </w:rPr>
        <w:t>Darunavir Teva</w:t>
      </w:r>
      <w:r w:rsidRPr="00532388">
        <w:rPr>
          <w:sz w:val="22"/>
          <w:szCs w:val="22"/>
          <w:lang w:val="lt-LT"/>
        </w:rPr>
        <w:t xml:space="preserve"> (2 tabletes, kuriose yra po 400 miligramų </w:t>
      </w:r>
      <w:r w:rsidRPr="00532388">
        <w:rPr>
          <w:rFonts w:eastAsia="Times New Roman"/>
          <w:sz w:val="22"/>
          <w:lang w:val="lt-LT" w:eastAsia="lt-LT" w:bidi="lt-LT"/>
        </w:rPr>
        <w:t>Darunavir Teva</w:t>
      </w:r>
      <w:r w:rsidRPr="00532388">
        <w:rPr>
          <w:sz w:val="22"/>
          <w:szCs w:val="22"/>
          <w:lang w:val="lt-LT"/>
        </w:rPr>
        <w:t xml:space="preserve"> ar 1 tabletę, kurioje yra 800 miligramų of </w:t>
      </w:r>
      <w:r w:rsidRPr="00532388">
        <w:rPr>
          <w:rFonts w:eastAsia="Times New Roman"/>
          <w:sz w:val="22"/>
          <w:lang w:val="lt-LT" w:eastAsia="lt-LT" w:bidi="lt-LT"/>
        </w:rPr>
        <w:t>Darunavir Teva</w:t>
      </w:r>
      <w:r w:rsidRPr="00532388">
        <w:rPr>
          <w:sz w:val="22"/>
          <w:szCs w:val="22"/>
          <w:lang w:val="lt-LT"/>
        </w:rPr>
        <w:t>) iš karto (vieną kartą per parą) kiekvieną dieną.</w:t>
      </w:r>
    </w:p>
    <w:p w14:paraId="082B7B7E"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Vartokite </w:t>
      </w:r>
      <w:r w:rsidRPr="00532388">
        <w:rPr>
          <w:rFonts w:eastAsia="Times New Roman"/>
          <w:sz w:val="22"/>
          <w:lang w:val="lt-LT" w:eastAsia="lt-LT" w:bidi="lt-LT"/>
        </w:rPr>
        <w:t>Darunavir Teva</w:t>
      </w:r>
      <w:r w:rsidRPr="00532388">
        <w:rPr>
          <w:sz w:val="22"/>
          <w:szCs w:val="22"/>
          <w:lang w:val="lt-LT"/>
        </w:rPr>
        <w:t xml:space="preserve"> visada kartu su 100 miligramų ritonaviro.</w:t>
      </w:r>
    </w:p>
    <w:p w14:paraId="072D35F1"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Vartokite </w:t>
      </w:r>
      <w:r w:rsidRPr="00532388">
        <w:rPr>
          <w:rFonts w:eastAsia="Times New Roman"/>
          <w:sz w:val="22"/>
          <w:lang w:val="lt-LT" w:eastAsia="lt-LT" w:bidi="lt-LT"/>
        </w:rPr>
        <w:t>Darunavir Teva</w:t>
      </w:r>
      <w:r w:rsidRPr="00532388">
        <w:rPr>
          <w:sz w:val="22"/>
          <w:szCs w:val="22"/>
          <w:lang w:val="lt-LT"/>
        </w:rPr>
        <w:t xml:space="preserve"> kartu su maistu.</w:t>
      </w:r>
    </w:p>
    <w:p w14:paraId="6C7B211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Nurykite visą tabletę užsigeriant gėrimu, pavyzdžiui, vandeniu ar pienu.</w:t>
      </w:r>
    </w:p>
    <w:p w14:paraId="4AB29E28"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 xml:space="preserve">Vartokite kitus paskirtus vaistus nuo ŽIV, kurie vartojami kartu su </w:t>
      </w:r>
      <w:r w:rsidRPr="00532388">
        <w:rPr>
          <w:rFonts w:eastAsia="Times New Roman"/>
          <w:sz w:val="22"/>
          <w:lang w:val="lt-LT" w:eastAsia="lt-LT" w:bidi="lt-LT"/>
        </w:rPr>
        <w:t>Darunavir Teva</w:t>
      </w:r>
      <w:r w:rsidRPr="00532388">
        <w:rPr>
          <w:sz w:val="22"/>
          <w:szCs w:val="22"/>
          <w:lang w:val="lt-LT"/>
        </w:rPr>
        <w:t xml:space="preserve"> ir ritonaviru kaip rekomendavo gydytojas.</w:t>
      </w:r>
    </w:p>
    <w:p w14:paraId="416A3860" w14:textId="77777777" w:rsidR="00505EBA" w:rsidRPr="00532388" w:rsidRDefault="00505EBA" w:rsidP="00505EBA">
      <w:pPr>
        <w:rPr>
          <w:sz w:val="22"/>
          <w:szCs w:val="22"/>
          <w:lang w:val="lt-LT"/>
        </w:rPr>
      </w:pPr>
    </w:p>
    <w:p w14:paraId="23019E88" w14:textId="77777777" w:rsidR="00505EBA" w:rsidRPr="00532388" w:rsidRDefault="00505EBA" w:rsidP="00505EBA">
      <w:pPr>
        <w:rPr>
          <w:b/>
          <w:sz w:val="22"/>
          <w:szCs w:val="22"/>
          <w:lang w:val="lt-LT"/>
        </w:rPr>
      </w:pPr>
      <w:r w:rsidRPr="00532388">
        <w:rPr>
          <w:b/>
          <w:sz w:val="22"/>
          <w:szCs w:val="22"/>
          <w:lang w:val="lt-LT"/>
        </w:rPr>
        <w:t xml:space="preserve">Ką daryti pavartojus per didelę </w:t>
      </w:r>
      <w:r w:rsidRPr="00532388">
        <w:rPr>
          <w:rFonts w:eastAsia="Times New Roman"/>
          <w:b/>
          <w:sz w:val="22"/>
          <w:lang w:val="lt-LT" w:eastAsia="lt-LT" w:bidi="lt-LT"/>
        </w:rPr>
        <w:t>Darunavir Teva</w:t>
      </w:r>
      <w:r w:rsidRPr="00532388">
        <w:rPr>
          <w:b/>
          <w:sz w:val="22"/>
          <w:szCs w:val="22"/>
          <w:lang w:val="lt-LT"/>
        </w:rPr>
        <w:t xml:space="preserve"> dozę?</w:t>
      </w:r>
    </w:p>
    <w:p w14:paraId="102B9137" w14:textId="77777777" w:rsidR="00505EBA" w:rsidRPr="00532388" w:rsidRDefault="00505EBA" w:rsidP="00505EBA">
      <w:pPr>
        <w:rPr>
          <w:sz w:val="22"/>
          <w:szCs w:val="22"/>
          <w:lang w:val="lt-LT"/>
        </w:rPr>
      </w:pPr>
      <w:r w:rsidRPr="00532388">
        <w:rPr>
          <w:sz w:val="22"/>
          <w:szCs w:val="22"/>
          <w:lang w:val="lt-LT"/>
        </w:rPr>
        <w:t>Nedelsdami kreipkitės į gydytoją, vaistininką arba slaugytoją.</w:t>
      </w:r>
    </w:p>
    <w:p w14:paraId="726E9B3B" w14:textId="77777777" w:rsidR="00505EBA" w:rsidRPr="00532388" w:rsidRDefault="00505EBA" w:rsidP="00505EBA">
      <w:pPr>
        <w:rPr>
          <w:sz w:val="22"/>
          <w:szCs w:val="22"/>
          <w:lang w:val="lt-LT"/>
        </w:rPr>
      </w:pPr>
    </w:p>
    <w:p w14:paraId="184625BD" w14:textId="77777777" w:rsidR="00505EBA" w:rsidRPr="00532388" w:rsidRDefault="00505EBA" w:rsidP="00505EBA">
      <w:pPr>
        <w:rPr>
          <w:b/>
          <w:sz w:val="22"/>
          <w:szCs w:val="22"/>
          <w:lang w:val="lt-LT"/>
        </w:rPr>
      </w:pPr>
      <w:r w:rsidRPr="00532388">
        <w:rPr>
          <w:b/>
          <w:sz w:val="22"/>
          <w:szCs w:val="22"/>
          <w:lang w:val="lt-LT"/>
        </w:rPr>
        <w:t xml:space="preserve">Pamiršus pavartoti </w:t>
      </w:r>
      <w:r w:rsidRPr="00532388">
        <w:rPr>
          <w:rFonts w:eastAsia="Times New Roman"/>
          <w:b/>
          <w:sz w:val="22"/>
          <w:lang w:val="lt-LT" w:eastAsia="lt-LT" w:bidi="lt-LT"/>
        </w:rPr>
        <w:t>Darunavir Teva</w:t>
      </w:r>
    </w:p>
    <w:p w14:paraId="56228E83" w14:textId="77777777" w:rsidR="00505EBA" w:rsidRPr="00532388" w:rsidRDefault="00505EBA" w:rsidP="00505EBA">
      <w:pPr>
        <w:rPr>
          <w:sz w:val="22"/>
          <w:szCs w:val="22"/>
          <w:lang w:val="lt-LT"/>
        </w:rPr>
      </w:pPr>
      <w:r w:rsidRPr="00532388">
        <w:rPr>
          <w:sz w:val="22"/>
          <w:szCs w:val="22"/>
          <w:lang w:val="lt-LT"/>
        </w:rPr>
        <w:t xml:space="preserve">Jei tai pastebėjote </w:t>
      </w:r>
      <w:r w:rsidRPr="00532388">
        <w:rPr>
          <w:b/>
          <w:sz w:val="22"/>
          <w:szCs w:val="22"/>
          <w:lang w:val="lt-LT"/>
        </w:rPr>
        <w:t>ne vėliau kaip po 12 valandų</w:t>
      </w:r>
      <w:r w:rsidRPr="00532388">
        <w:rPr>
          <w:sz w:val="22"/>
          <w:szCs w:val="22"/>
          <w:lang w:val="lt-LT"/>
        </w:rPr>
        <w:t xml:space="preserve">, išgerkite pamirštą dozę nedelsiant. Visada vartokite tabletes kartu su kobicistatu arba ritonaviru ir maistu. Jei prisiminėte </w:t>
      </w:r>
      <w:r w:rsidRPr="00532388">
        <w:rPr>
          <w:b/>
          <w:sz w:val="22"/>
          <w:szCs w:val="22"/>
          <w:lang w:val="lt-LT"/>
        </w:rPr>
        <w:t>po 12 valandų</w:t>
      </w:r>
      <w:r w:rsidRPr="00532388">
        <w:rPr>
          <w:sz w:val="22"/>
          <w:szCs w:val="22"/>
          <w:lang w:val="lt-LT"/>
        </w:rPr>
        <w:t>, praleiskite užmirštąją dozę, o kitą gerkite įprastu laiku. Negalima vartoti dvigubos dozės norint kompensuoti praleistą dozę.</w:t>
      </w:r>
    </w:p>
    <w:p w14:paraId="06C2230A" w14:textId="77777777" w:rsidR="00505EBA" w:rsidRPr="00532388" w:rsidRDefault="00505EBA" w:rsidP="00505EBA">
      <w:pPr>
        <w:rPr>
          <w:sz w:val="22"/>
          <w:szCs w:val="22"/>
          <w:lang w:val="lt-LT"/>
        </w:rPr>
      </w:pPr>
    </w:p>
    <w:p w14:paraId="60C6FC3D" w14:textId="77777777" w:rsidR="00505EBA" w:rsidRPr="00532388" w:rsidRDefault="00505EBA" w:rsidP="00505EBA">
      <w:pPr>
        <w:rPr>
          <w:b/>
          <w:sz w:val="22"/>
          <w:szCs w:val="22"/>
          <w:lang w:val="lt-LT"/>
        </w:rPr>
      </w:pPr>
      <w:r w:rsidRPr="00532388">
        <w:rPr>
          <w:b/>
          <w:sz w:val="22"/>
          <w:szCs w:val="22"/>
          <w:lang w:val="lt-LT"/>
        </w:rPr>
        <w:t xml:space="preserve">Nenustokite vartoti </w:t>
      </w:r>
      <w:r w:rsidRPr="00532388">
        <w:rPr>
          <w:rFonts w:eastAsia="Times New Roman"/>
          <w:b/>
          <w:sz w:val="22"/>
          <w:lang w:val="lt-LT" w:eastAsia="lt-LT" w:bidi="lt-LT"/>
        </w:rPr>
        <w:t>Darunavir Teva</w:t>
      </w:r>
      <w:r w:rsidRPr="00532388">
        <w:rPr>
          <w:b/>
          <w:sz w:val="22"/>
          <w:szCs w:val="22"/>
          <w:lang w:val="lt-LT"/>
        </w:rPr>
        <w:t xml:space="preserve"> nepasitarę su gydytoju</w:t>
      </w:r>
    </w:p>
    <w:p w14:paraId="4CC7A68C" w14:textId="77777777" w:rsidR="00505EBA" w:rsidRPr="00532388" w:rsidRDefault="00505EBA" w:rsidP="00505EBA">
      <w:pPr>
        <w:rPr>
          <w:sz w:val="22"/>
          <w:szCs w:val="22"/>
          <w:lang w:val="lt-LT"/>
        </w:rPr>
      </w:pPr>
      <w:r w:rsidRPr="00532388">
        <w:rPr>
          <w:sz w:val="22"/>
          <w:szCs w:val="22"/>
          <w:lang w:val="lt-LT"/>
        </w:rPr>
        <w:t xml:space="preserve">ŽIV infekcijos gydymas gali padidinti geros savijautos įspūdį. Net pasijutę geriau, nesiliaukite vartoję </w:t>
      </w:r>
      <w:r w:rsidRPr="00532388">
        <w:rPr>
          <w:rFonts w:eastAsia="Times New Roman"/>
          <w:sz w:val="22"/>
          <w:lang w:val="lt-LT" w:eastAsia="lt-LT" w:bidi="lt-LT"/>
        </w:rPr>
        <w:t>Darunavir Teva</w:t>
      </w:r>
      <w:r w:rsidRPr="00532388">
        <w:rPr>
          <w:sz w:val="22"/>
          <w:szCs w:val="22"/>
          <w:lang w:val="lt-LT"/>
        </w:rPr>
        <w:t>. Pirmiau pasitarkite su gydytoju.</w:t>
      </w:r>
    </w:p>
    <w:p w14:paraId="224D2267" w14:textId="77777777" w:rsidR="00505EBA" w:rsidRPr="00532388" w:rsidRDefault="00505EBA" w:rsidP="00505EBA">
      <w:pPr>
        <w:rPr>
          <w:sz w:val="22"/>
          <w:szCs w:val="22"/>
          <w:lang w:val="lt-LT"/>
        </w:rPr>
      </w:pPr>
    </w:p>
    <w:p w14:paraId="042D7F38" w14:textId="77777777" w:rsidR="00505EBA" w:rsidRPr="00532388" w:rsidRDefault="00505EBA" w:rsidP="00505EBA">
      <w:pPr>
        <w:rPr>
          <w:sz w:val="22"/>
          <w:szCs w:val="22"/>
          <w:lang w:val="lt-LT"/>
        </w:rPr>
      </w:pPr>
      <w:r w:rsidRPr="00532388">
        <w:rPr>
          <w:sz w:val="22"/>
          <w:szCs w:val="22"/>
          <w:lang w:val="lt-LT"/>
        </w:rPr>
        <w:t>Jeigu kiltų daugiau klausimų dėl šio vaisto vartojimo, kreipkitės į gydytoją, vaistininką arba</w:t>
      </w:r>
    </w:p>
    <w:p w14:paraId="60764ADA" w14:textId="77777777" w:rsidR="00505EBA" w:rsidRPr="00532388" w:rsidRDefault="00505EBA" w:rsidP="00505EBA">
      <w:pPr>
        <w:rPr>
          <w:sz w:val="22"/>
          <w:szCs w:val="22"/>
          <w:lang w:val="lt-LT"/>
        </w:rPr>
      </w:pPr>
      <w:r w:rsidRPr="00532388">
        <w:rPr>
          <w:sz w:val="22"/>
          <w:szCs w:val="22"/>
          <w:lang w:val="lt-LT"/>
        </w:rPr>
        <w:t>slaugytoją.</w:t>
      </w:r>
    </w:p>
    <w:p w14:paraId="35228049" w14:textId="77777777" w:rsidR="00505EBA" w:rsidRPr="00532388" w:rsidRDefault="00505EBA" w:rsidP="00505EBA">
      <w:pPr>
        <w:rPr>
          <w:sz w:val="22"/>
          <w:szCs w:val="22"/>
          <w:lang w:val="lt-LT"/>
        </w:rPr>
      </w:pPr>
    </w:p>
    <w:p w14:paraId="07A04A5D" w14:textId="77777777" w:rsidR="00505EBA" w:rsidRPr="00532388" w:rsidRDefault="00505EBA" w:rsidP="00505EBA">
      <w:pPr>
        <w:keepNext/>
        <w:keepLines/>
        <w:tabs>
          <w:tab w:val="left" w:pos="567"/>
        </w:tabs>
        <w:outlineLvl w:val="2"/>
        <w:rPr>
          <w:rFonts w:eastAsia="Times New Roman"/>
          <w:b/>
          <w:bCs/>
          <w:snapToGrid w:val="0"/>
          <w:sz w:val="22"/>
          <w:szCs w:val="26"/>
          <w:lang w:val="lt-LT" w:eastAsia="x-none"/>
        </w:rPr>
      </w:pPr>
    </w:p>
    <w:p w14:paraId="2B517D18" w14:textId="77777777" w:rsidR="00505EBA" w:rsidRPr="00532388" w:rsidRDefault="00505EBA" w:rsidP="00505EBA">
      <w:pPr>
        <w:keepNext/>
        <w:keepLines/>
        <w:tabs>
          <w:tab w:val="left" w:pos="567"/>
        </w:tabs>
        <w:outlineLvl w:val="2"/>
        <w:rPr>
          <w:rFonts w:eastAsia="Times New Roman"/>
          <w:b/>
          <w:bCs/>
          <w:snapToGrid w:val="0"/>
          <w:sz w:val="22"/>
          <w:szCs w:val="26"/>
          <w:lang w:val="lt-LT" w:eastAsia="x-none"/>
        </w:rPr>
      </w:pPr>
      <w:r w:rsidRPr="00532388">
        <w:rPr>
          <w:rFonts w:eastAsia="Times New Roman"/>
          <w:b/>
          <w:bCs/>
          <w:snapToGrid w:val="0"/>
          <w:sz w:val="22"/>
          <w:szCs w:val="26"/>
          <w:lang w:val="lt-LT" w:eastAsia="x-none"/>
        </w:rPr>
        <w:t>4.</w:t>
      </w:r>
      <w:r w:rsidRPr="00532388">
        <w:rPr>
          <w:rFonts w:eastAsia="Times New Roman"/>
          <w:b/>
          <w:bCs/>
          <w:snapToGrid w:val="0"/>
          <w:sz w:val="22"/>
          <w:szCs w:val="26"/>
          <w:lang w:val="lt-LT" w:eastAsia="x-none"/>
        </w:rPr>
        <w:tab/>
        <w:t>Galimas šalutinis poveikis</w:t>
      </w:r>
    </w:p>
    <w:p w14:paraId="7038DB1B" w14:textId="77777777" w:rsidR="00505EBA" w:rsidRPr="00532388" w:rsidRDefault="00505EBA" w:rsidP="00505EBA">
      <w:pPr>
        <w:rPr>
          <w:sz w:val="22"/>
          <w:szCs w:val="22"/>
          <w:lang w:val="lt-LT"/>
        </w:rPr>
      </w:pPr>
    </w:p>
    <w:p w14:paraId="503A8F65" w14:textId="77777777" w:rsidR="00505EBA" w:rsidRPr="00532388" w:rsidRDefault="00505EBA" w:rsidP="00505EBA">
      <w:pPr>
        <w:rPr>
          <w:sz w:val="22"/>
          <w:szCs w:val="22"/>
          <w:lang w:val="lt-LT"/>
        </w:rPr>
      </w:pPr>
      <w:r w:rsidRPr="00532388">
        <w:rPr>
          <w:sz w:val="22"/>
          <w:szCs w:val="22"/>
          <w:lang w:val="lt-LT"/>
        </w:rPr>
        <w:t xml:space="preserve">Gydymo nuo ŽIV metu gali padidėti svoris ir lipidų bei gliukozės koncentracijos kraujyje. Tokie pokyčiai iš dalies gali būti susiję su sveikatos būklės pagerėjimu ir </w:t>
      </w:r>
      <w:r w:rsidRPr="00532388">
        <w:rPr>
          <w:sz w:val="22"/>
          <w:szCs w:val="22"/>
          <w:lang w:val="lt-LT"/>
        </w:rPr>
        <w:lastRenderedPageBreak/>
        <w:t>gyvenimo būdu, o lipidų pokyčiai kai kuriais atvejais yra susiję su vaistų nuo ŽIV vartojimu. Jūsų gydytojas tirs, ar neatsiranda tokių pokyčių.</w:t>
      </w:r>
    </w:p>
    <w:p w14:paraId="719C07CE" w14:textId="77777777" w:rsidR="00505EBA" w:rsidRPr="00532388" w:rsidRDefault="00505EBA" w:rsidP="00505EBA">
      <w:pPr>
        <w:rPr>
          <w:sz w:val="22"/>
          <w:szCs w:val="22"/>
          <w:lang w:val="lt-LT"/>
        </w:rPr>
      </w:pPr>
    </w:p>
    <w:p w14:paraId="09E45C2E" w14:textId="77777777" w:rsidR="00505EBA" w:rsidRPr="00532388" w:rsidRDefault="00505EBA" w:rsidP="00505EBA">
      <w:pPr>
        <w:rPr>
          <w:sz w:val="22"/>
          <w:szCs w:val="22"/>
          <w:lang w:val="lt-LT"/>
        </w:rPr>
      </w:pPr>
      <w:r w:rsidRPr="00532388">
        <w:rPr>
          <w:sz w:val="22"/>
          <w:szCs w:val="22"/>
          <w:lang w:val="lt-LT"/>
        </w:rPr>
        <w:t>Šis vaistas, kaip ir visi kiti, gali sukelti šalutinį poveikį, nors jis pasireiškia ne visiems žmonėms.</w:t>
      </w:r>
    </w:p>
    <w:p w14:paraId="18B10B62" w14:textId="77777777" w:rsidR="00505EBA" w:rsidRPr="00532388" w:rsidRDefault="00505EBA" w:rsidP="00505EBA">
      <w:pPr>
        <w:rPr>
          <w:sz w:val="22"/>
          <w:szCs w:val="22"/>
          <w:lang w:val="lt-LT"/>
        </w:rPr>
      </w:pPr>
    </w:p>
    <w:p w14:paraId="5B0E6AB1" w14:textId="77777777" w:rsidR="00505EBA" w:rsidRPr="00532388" w:rsidRDefault="00505EBA" w:rsidP="00505EBA">
      <w:pPr>
        <w:rPr>
          <w:b/>
          <w:sz w:val="22"/>
          <w:szCs w:val="22"/>
          <w:lang w:val="lt-LT"/>
        </w:rPr>
      </w:pPr>
      <w:r w:rsidRPr="00532388">
        <w:rPr>
          <w:b/>
          <w:sz w:val="22"/>
          <w:szCs w:val="22"/>
          <w:lang w:val="lt-LT"/>
        </w:rPr>
        <w:t>Jeigu pasireiškia bet kuris nurodytas šalutinis poveikis, apie tai pasakykite gydytojui.</w:t>
      </w:r>
    </w:p>
    <w:p w14:paraId="531FFC10" w14:textId="77777777" w:rsidR="00505EBA" w:rsidRPr="00532388" w:rsidRDefault="00505EBA" w:rsidP="00505EBA">
      <w:pPr>
        <w:rPr>
          <w:sz w:val="22"/>
          <w:szCs w:val="22"/>
          <w:lang w:val="lt-LT"/>
        </w:rPr>
      </w:pPr>
      <w:r w:rsidRPr="00532388">
        <w:rPr>
          <w:sz w:val="22"/>
          <w:szCs w:val="22"/>
          <w:lang w:val="lt-LT"/>
        </w:rPr>
        <w:t xml:space="preserve">Gauta pranešimų apie kepenų sutrikimus, kurie kartais gali būti sunkūs. Jūsų gydytojas turės atlikti kraujo tyrimus prieš pradedant vartoti </w:t>
      </w:r>
      <w:r w:rsidRPr="00532388">
        <w:rPr>
          <w:rFonts w:eastAsia="Times New Roman"/>
          <w:sz w:val="22"/>
          <w:lang w:val="lt-LT" w:eastAsia="lt-LT" w:bidi="lt-LT"/>
        </w:rPr>
        <w:t>Darunavir Teva</w:t>
      </w:r>
      <w:r w:rsidRPr="00532388">
        <w:rPr>
          <w:sz w:val="22"/>
          <w:szCs w:val="22"/>
          <w:lang w:val="lt-LT"/>
        </w:rPr>
        <w:t>. Jeigu Jums yra lėtinė hepatito B ar C infekcija, Jūsų gydytojas turės Jums dažniau atlikti kraujo tyrimus, nes gali padidėti kepenų sutrikimų atsiradimo rizika. Pasakykite savo gydytojui apie kepenų sutrikimų požymius ir simptomus. Tai gali būti Jūsų odos ar akių baltymo pageltimas, tamsus (arbatos spalvos) šlapimas, blyški išmatų spalva, pykinimas, vėmimas, apetito nebuvimas arba skausmas, diegliai arba skausmingumas dešinėje pusėje žemiau šonkaulių.</w:t>
      </w:r>
    </w:p>
    <w:p w14:paraId="0D15E402" w14:textId="77777777" w:rsidR="00505EBA" w:rsidRPr="00532388" w:rsidRDefault="00505EBA" w:rsidP="00505EBA">
      <w:pPr>
        <w:rPr>
          <w:sz w:val="22"/>
          <w:szCs w:val="22"/>
          <w:lang w:val="lt-LT"/>
        </w:rPr>
      </w:pPr>
    </w:p>
    <w:p w14:paraId="1BD8CD50" w14:textId="77777777" w:rsidR="00505EBA" w:rsidRPr="00532388" w:rsidRDefault="00505EBA" w:rsidP="00505EBA">
      <w:pPr>
        <w:rPr>
          <w:sz w:val="22"/>
          <w:szCs w:val="22"/>
          <w:lang w:val="lt-LT"/>
        </w:rPr>
      </w:pPr>
      <w:r w:rsidRPr="00532388">
        <w:rPr>
          <w:sz w:val="22"/>
          <w:szCs w:val="22"/>
          <w:lang w:val="lt-LT"/>
        </w:rPr>
        <w:t xml:space="preserve">Odos išbėrimas (pasireiškia dažniau vaistą vartojant kartu su raltegraviru), niežulys. Išbėrimas paprastai būna lengvas arba vidutinio sunkumo. Odos išbėrimas taip pat gali būti retai pasitaikančios sunkios būklės simptomas. Dėl to atsiradus išbėrimui, reikia pranešti savo gydytojui. Jis paaiškins, ką reikia daryti, ir ar reikia nutraukti gydymą </w:t>
      </w:r>
      <w:r w:rsidRPr="00532388">
        <w:rPr>
          <w:rFonts w:eastAsia="Times New Roman"/>
          <w:sz w:val="22"/>
          <w:lang w:val="lt-LT" w:eastAsia="lt-LT" w:bidi="lt-LT"/>
        </w:rPr>
        <w:t>Darunavir Teva</w:t>
      </w:r>
      <w:r w:rsidRPr="00532388">
        <w:rPr>
          <w:sz w:val="22"/>
          <w:szCs w:val="22"/>
          <w:lang w:val="lt-LT"/>
        </w:rPr>
        <w:t>.</w:t>
      </w:r>
    </w:p>
    <w:p w14:paraId="67492C75" w14:textId="77777777" w:rsidR="00505EBA" w:rsidRPr="00532388" w:rsidRDefault="00505EBA" w:rsidP="00505EBA">
      <w:pPr>
        <w:rPr>
          <w:sz w:val="22"/>
          <w:szCs w:val="22"/>
          <w:lang w:val="lt-LT"/>
        </w:rPr>
      </w:pPr>
    </w:p>
    <w:p w14:paraId="7D3B7FC2" w14:textId="77777777" w:rsidR="00505EBA" w:rsidRPr="00532388" w:rsidRDefault="00505EBA" w:rsidP="00505EBA">
      <w:pPr>
        <w:rPr>
          <w:sz w:val="22"/>
          <w:szCs w:val="22"/>
          <w:lang w:val="lt-LT"/>
        </w:rPr>
      </w:pPr>
      <w:r w:rsidRPr="00532388">
        <w:rPr>
          <w:sz w:val="22"/>
          <w:szCs w:val="22"/>
          <w:lang w:val="lt-LT"/>
        </w:rPr>
        <w:t>Kitas klinikiniu požiūriu svarbus sunkus šalutinis poveikis buvo cukrinis diabetas (dažnas) ir kasos uždegimas (nedažnas).</w:t>
      </w:r>
    </w:p>
    <w:p w14:paraId="6EA12DF5" w14:textId="77777777" w:rsidR="00505EBA" w:rsidRPr="00532388" w:rsidRDefault="00505EBA" w:rsidP="00505EBA">
      <w:pPr>
        <w:rPr>
          <w:sz w:val="22"/>
          <w:szCs w:val="22"/>
          <w:lang w:val="lt-LT"/>
        </w:rPr>
      </w:pPr>
    </w:p>
    <w:p w14:paraId="386D1334" w14:textId="77777777" w:rsidR="00505EBA" w:rsidRPr="00532388" w:rsidRDefault="00505EBA" w:rsidP="00505EBA">
      <w:pPr>
        <w:rPr>
          <w:sz w:val="22"/>
          <w:szCs w:val="22"/>
          <w:lang w:val="lt-LT"/>
        </w:rPr>
      </w:pPr>
      <w:r w:rsidRPr="00532388">
        <w:rPr>
          <w:sz w:val="22"/>
          <w:szCs w:val="22"/>
          <w:lang w:val="lt-LT"/>
        </w:rPr>
        <w:t>Labai dažnas šalutinis poveikis (gali pasireikšti daugiau kaip 1 iš 10 žmonių)</w:t>
      </w:r>
    </w:p>
    <w:p w14:paraId="4B868DD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Viduriavimas.</w:t>
      </w:r>
    </w:p>
    <w:p w14:paraId="03FBD2FD" w14:textId="77777777" w:rsidR="00505EBA" w:rsidRPr="00532388" w:rsidRDefault="00505EBA" w:rsidP="00505EBA">
      <w:pPr>
        <w:pStyle w:val="BT-EMEASMCA"/>
        <w:numPr>
          <w:ilvl w:val="0"/>
          <w:numId w:val="0"/>
        </w:numPr>
        <w:rPr>
          <w:sz w:val="22"/>
          <w:szCs w:val="22"/>
          <w:lang w:val="lt-LT"/>
        </w:rPr>
      </w:pPr>
    </w:p>
    <w:p w14:paraId="6ED9E6A2" w14:textId="77777777" w:rsidR="00505EBA" w:rsidRPr="00532388" w:rsidRDefault="00505EBA" w:rsidP="00505EBA">
      <w:pPr>
        <w:pStyle w:val="BT-EMEASMCA"/>
        <w:numPr>
          <w:ilvl w:val="0"/>
          <w:numId w:val="0"/>
        </w:numPr>
        <w:rPr>
          <w:sz w:val="22"/>
          <w:szCs w:val="22"/>
          <w:lang w:val="lt-LT"/>
        </w:rPr>
      </w:pPr>
      <w:r w:rsidRPr="00532388">
        <w:rPr>
          <w:sz w:val="22"/>
          <w:szCs w:val="22"/>
          <w:lang w:val="lt-LT"/>
        </w:rPr>
        <w:t xml:space="preserve">Dažnas šalutinis poveikis (gali pasireikšti </w:t>
      </w:r>
      <w:r w:rsidR="007171A2">
        <w:rPr>
          <w:sz w:val="22"/>
          <w:szCs w:val="22"/>
          <w:lang w:val="lt-LT"/>
        </w:rPr>
        <w:t xml:space="preserve">rečiau </w:t>
      </w:r>
      <w:r w:rsidRPr="00532388">
        <w:rPr>
          <w:sz w:val="22"/>
          <w:szCs w:val="22"/>
          <w:lang w:val="lt-LT"/>
        </w:rPr>
        <w:t xml:space="preserve"> kaip 1 iš 10 žmonių)</w:t>
      </w:r>
    </w:p>
    <w:p w14:paraId="3871D3EE"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Vėmimas, pykinimas, pilvo skausmas ar pilvo įtempimas, nevirškinimas, dujų susikaupimas virškinimo trakte.</w:t>
      </w:r>
    </w:p>
    <w:p w14:paraId="01DC2DB4"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Galvos skausmas, nuovargis, svaigulys, mieguistumas, tirpulys, rankų ar kojų dilgčiojimas ar skausmas, jėgų neturėjimas, negalėjimas užmigti.</w:t>
      </w:r>
    </w:p>
    <w:p w14:paraId="76D1F681" w14:textId="77777777" w:rsidR="00505EBA" w:rsidRPr="00532388" w:rsidRDefault="00505EBA" w:rsidP="00505EBA">
      <w:pPr>
        <w:pStyle w:val="BT-EMEASMCA"/>
        <w:numPr>
          <w:ilvl w:val="0"/>
          <w:numId w:val="0"/>
        </w:numPr>
        <w:rPr>
          <w:sz w:val="22"/>
          <w:szCs w:val="22"/>
          <w:lang w:val="lt-LT"/>
        </w:rPr>
      </w:pPr>
    </w:p>
    <w:p w14:paraId="6FEAA1D5" w14:textId="77777777" w:rsidR="00505EBA" w:rsidRPr="00532388" w:rsidRDefault="00505EBA" w:rsidP="00505EBA">
      <w:pPr>
        <w:pStyle w:val="BT-EMEASMCA"/>
        <w:numPr>
          <w:ilvl w:val="0"/>
          <w:numId w:val="0"/>
        </w:numPr>
        <w:rPr>
          <w:sz w:val="22"/>
          <w:szCs w:val="22"/>
          <w:lang w:val="lt-LT"/>
        </w:rPr>
      </w:pPr>
      <w:r w:rsidRPr="00532388">
        <w:rPr>
          <w:sz w:val="22"/>
          <w:szCs w:val="22"/>
          <w:lang w:val="lt-LT"/>
        </w:rPr>
        <w:t xml:space="preserve">Nedažnas šalutinis poveikis (gali pasireikšti </w:t>
      </w:r>
      <w:r w:rsidR="007171A2">
        <w:rPr>
          <w:sz w:val="22"/>
          <w:szCs w:val="22"/>
          <w:lang w:val="lt-LT"/>
        </w:rPr>
        <w:t>rečiau kaip</w:t>
      </w:r>
      <w:r w:rsidRPr="00532388">
        <w:rPr>
          <w:sz w:val="22"/>
          <w:szCs w:val="22"/>
          <w:lang w:val="lt-LT"/>
        </w:rPr>
        <w:t xml:space="preserve">  1 iš 100 žmonių)</w:t>
      </w:r>
    </w:p>
    <w:p w14:paraId="174F5999"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Krūtinės skausmas, elektrokardiogramos pokyčiai, dažnas širdies plakimas.</w:t>
      </w:r>
    </w:p>
    <w:p w14:paraId="5A2D07BD"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Odos jautrumo susilpnėjimas ar išnykimas, dilgsėjimas ir dilgčiojimas, dėmesio sutrikimas, atminties nebuvimas, pusiausvyros sutrikimai.</w:t>
      </w:r>
    </w:p>
    <w:p w14:paraId="0C8ED09B"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Kvėpavimo pasunkėjimas, kosulys, kraujavimas iš nosies, gerklės dirginimas.</w:t>
      </w:r>
    </w:p>
    <w:p w14:paraId="5DE56FD9"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Skrandžio ar burnos uždegimas, rėmuo, žagsėjimas, burnos džiūvimas, nemalonūs pojūčiai pilve, vidurių užkietėjimas, raugėjimas.</w:t>
      </w:r>
    </w:p>
    <w:p w14:paraId="4600B1B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Inkstų funkcijos nepakankamumas, akmenys inkstuose, negalėjimas pasišlapinti, dažnas arba gausus šlapinimasis, kartais naktį.</w:t>
      </w:r>
    </w:p>
    <w:p w14:paraId="23AFC507"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Dilgėlinė, sunkus odos ir kitų audinių (dažniausiai lūpų ar akių) patinimas, egzema, gausus prakaitavimas, prakaitavimas naktį, nuplikimas, spuogai, žvynelinė, nagų spalvos pokyčiai.</w:t>
      </w:r>
    </w:p>
    <w:p w14:paraId="292672D0"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Raumenų skausmas, raumenų mėšlungis ar silpnumas, galūnės skausmas, osteoporozė.</w:t>
      </w:r>
    </w:p>
    <w:p w14:paraId="430F642A"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Skydliaukės funkcijos sulėtėjimas. Tai gali rodyti kraujo tyrimai.</w:t>
      </w:r>
    </w:p>
    <w:p w14:paraId="4082677D"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Kraujospūdžio padidėjimas, kraujo samplūdis į veidą ir kaklą.</w:t>
      </w:r>
    </w:p>
    <w:p w14:paraId="65C90425"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Akių paraudimas ir sausumas.</w:t>
      </w:r>
    </w:p>
    <w:p w14:paraId="6BB0E232"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lastRenderedPageBreak/>
        <w:t>Karščiavimas, apatinių galūnių tinimas dėl skysčių kaupimosi, negalavimas, dirglumas, skausmas.</w:t>
      </w:r>
    </w:p>
    <w:p w14:paraId="7BE2816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Infekcijos simptomai, paprastoji pūslelinė.</w:t>
      </w:r>
    </w:p>
    <w:p w14:paraId="3B8C8778"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Erekcijos sutrikimas, krūtų padidėjimas.</w:t>
      </w:r>
    </w:p>
    <w:p w14:paraId="1935E215"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Miego sutrikimai, mieguistumas, depresija, nerimas, nenormalūs sapnai, lytinio potraukio susilpnėjimas.</w:t>
      </w:r>
    </w:p>
    <w:p w14:paraId="432F1127" w14:textId="77777777" w:rsidR="00505EBA" w:rsidRPr="00532388" w:rsidRDefault="00505EBA" w:rsidP="00505EBA">
      <w:pPr>
        <w:rPr>
          <w:lang w:val="lt-LT"/>
        </w:rPr>
      </w:pPr>
    </w:p>
    <w:p w14:paraId="7FB1D09E" w14:textId="77777777" w:rsidR="00505EBA" w:rsidRPr="00532388" w:rsidRDefault="00505EBA" w:rsidP="00505EBA">
      <w:pPr>
        <w:rPr>
          <w:sz w:val="22"/>
          <w:szCs w:val="22"/>
          <w:lang w:val="lt-LT"/>
        </w:rPr>
      </w:pPr>
      <w:r w:rsidRPr="00532388">
        <w:rPr>
          <w:sz w:val="22"/>
          <w:szCs w:val="22"/>
          <w:lang w:val="lt-LT"/>
        </w:rPr>
        <w:t xml:space="preserve">Retas šalutinis poveikis (gali pasireikšti </w:t>
      </w:r>
      <w:r w:rsidR="007171A2">
        <w:rPr>
          <w:sz w:val="22"/>
          <w:szCs w:val="22"/>
          <w:lang w:val="lt-LT"/>
        </w:rPr>
        <w:t xml:space="preserve">rečiau kaip </w:t>
      </w:r>
      <w:r w:rsidRPr="00532388">
        <w:rPr>
          <w:sz w:val="22"/>
          <w:szCs w:val="22"/>
          <w:lang w:val="lt-LT"/>
        </w:rPr>
        <w:t xml:space="preserve"> 1 iš 1 000 žmonių)</w:t>
      </w:r>
    </w:p>
    <w:p w14:paraId="639D3A3A"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Reakcija, kuri vadinama DRESS [sunkus išbėrimas, kuris gali būti susijęs su karščiavimu, nuovargiu, vei</w:t>
      </w:r>
      <w:r w:rsidR="00532388" w:rsidRPr="00532388">
        <w:rPr>
          <w:sz w:val="22"/>
          <w:szCs w:val="22"/>
          <w:lang w:val="lt-LT"/>
        </w:rPr>
        <w:t>d</w:t>
      </w:r>
      <w:r w:rsidRPr="00532388">
        <w:rPr>
          <w:sz w:val="22"/>
          <w:szCs w:val="22"/>
          <w:lang w:val="lt-LT"/>
        </w:rPr>
        <w:t>o ar limfmazgių patinimu, eozinofilų (baltųjų kraujo ląstelių rūšis) kiekio padidėjimu, poveikiu kepenims, inkstams ir plaučiams].</w:t>
      </w:r>
    </w:p>
    <w:p w14:paraId="21CFB497"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Širdies priepuolis, retas širdies plakimas, širdies plakimo jutimas.</w:t>
      </w:r>
    </w:p>
    <w:p w14:paraId="384FBF73"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Regėjimo sutrikimas.</w:t>
      </w:r>
    </w:p>
    <w:p w14:paraId="66707A43"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Šaltkrėtis, nenormalūs jutimai.</w:t>
      </w:r>
    </w:p>
    <w:p w14:paraId="040F543B"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Sumišimo jutimas ar orientacijos sutrikimas, nuotaikos pokyčiai, nerimastingumas.</w:t>
      </w:r>
    </w:p>
    <w:p w14:paraId="5B1F0086"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Apalpimas, epilepsijos priepuoliai, skonio pojūčio pokyčiai arba išnykimas.</w:t>
      </w:r>
    </w:p>
    <w:p w14:paraId="4F63EB25"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Burnos opos, vėmimas krauju, lūpų uždegimas, lūpų džiūvimas, liežuvio apnašos.</w:t>
      </w:r>
    </w:p>
    <w:p w14:paraId="4740DBCF"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Skystos išskyros iš nosies.</w:t>
      </w:r>
    </w:p>
    <w:p w14:paraId="1E3D6739"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Odos pažeidimai, odos sausumas.</w:t>
      </w:r>
    </w:p>
    <w:p w14:paraId="34ADB313"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Raumenų ar sąnarių sąstingis, sąnarių skausmas, pasireiškiantis su ar be uždegimo.</w:t>
      </w:r>
    </w:p>
    <w:p w14:paraId="06BBB0AE"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Kai kurių kraujo ląstelių ar cheminės sudėties rodmenų pokyčiai, kurie gali būti matomi atlikus kraujo tyrimus. Jūsų gydytojas apie tai paaiškins. Tokie pokyčiai gali būti: kai kurių baltųjų kraujo ląstelių kiekio padidėjimas.</w:t>
      </w:r>
    </w:p>
    <w:p w14:paraId="6975AF57" w14:textId="77777777" w:rsidR="00505EBA" w:rsidRPr="00532388" w:rsidRDefault="00505EBA" w:rsidP="00505EBA">
      <w:pPr>
        <w:rPr>
          <w:lang w:val="lt-LT"/>
        </w:rPr>
      </w:pPr>
    </w:p>
    <w:p w14:paraId="62D49C48" w14:textId="77777777" w:rsidR="00505EBA" w:rsidRPr="00532388" w:rsidRDefault="00505EBA" w:rsidP="00505EBA">
      <w:pPr>
        <w:rPr>
          <w:sz w:val="22"/>
          <w:szCs w:val="22"/>
          <w:lang w:val="lt-LT"/>
        </w:rPr>
      </w:pPr>
      <w:r w:rsidRPr="00532388">
        <w:rPr>
          <w:sz w:val="22"/>
          <w:szCs w:val="22"/>
          <w:lang w:val="lt-LT"/>
        </w:rPr>
        <w:t xml:space="preserve">Kai kuris šalutinis poveikis būdingas tos pačios grupės, kuriai priklauso </w:t>
      </w:r>
      <w:r w:rsidRPr="00532388">
        <w:rPr>
          <w:rFonts w:eastAsia="Times New Roman"/>
          <w:sz w:val="22"/>
          <w:szCs w:val="22"/>
          <w:lang w:val="lt-LT" w:eastAsia="lt-LT" w:bidi="lt-LT"/>
        </w:rPr>
        <w:t>Darunavir Teva</w:t>
      </w:r>
      <w:r w:rsidRPr="00532388">
        <w:rPr>
          <w:sz w:val="22"/>
          <w:szCs w:val="22"/>
          <w:lang w:val="lt-LT"/>
        </w:rPr>
        <w:t>, vaistams nuo ŽIV. Tai</w:t>
      </w:r>
      <w:r w:rsidR="00532388" w:rsidRPr="00532388">
        <w:rPr>
          <w:sz w:val="22"/>
          <w:szCs w:val="22"/>
          <w:lang w:val="lt-LT"/>
        </w:rPr>
        <w:t xml:space="preserve"> yra</w:t>
      </w:r>
      <w:r w:rsidRPr="00532388">
        <w:rPr>
          <w:sz w:val="22"/>
          <w:szCs w:val="22"/>
          <w:lang w:val="lt-LT"/>
        </w:rPr>
        <w:t>:</w:t>
      </w:r>
    </w:p>
    <w:p w14:paraId="117C63C8"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raumenų skausmas, jautrumas ir silpnumas. Kartais šie raumenų sutrikimai gali būti sunkūs.</w:t>
      </w:r>
    </w:p>
    <w:p w14:paraId="6C0C992A" w14:textId="77777777" w:rsidR="00505EBA" w:rsidRPr="00532388" w:rsidRDefault="00505EBA" w:rsidP="00505EBA">
      <w:pPr>
        <w:rPr>
          <w:lang w:val="lt-LT"/>
        </w:rPr>
      </w:pPr>
    </w:p>
    <w:p w14:paraId="3A5CD239" w14:textId="77777777" w:rsidR="00505EBA" w:rsidRPr="00532388" w:rsidRDefault="00505EBA" w:rsidP="00505EBA">
      <w:pPr>
        <w:widowControl w:val="0"/>
        <w:tabs>
          <w:tab w:val="left" w:pos="567"/>
        </w:tabs>
        <w:rPr>
          <w:rFonts w:eastAsia="Times New Roman"/>
          <w:b/>
          <w:snapToGrid w:val="0"/>
          <w:sz w:val="22"/>
          <w:szCs w:val="22"/>
          <w:lang w:val="lt-LT" w:eastAsia="en-US"/>
        </w:rPr>
      </w:pPr>
      <w:r w:rsidRPr="00532388">
        <w:rPr>
          <w:rFonts w:eastAsia="Times New Roman"/>
          <w:b/>
          <w:noProof/>
          <w:snapToGrid w:val="0"/>
          <w:sz w:val="22"/>
          <w:szCs w:val="22"/>
          <w:lang w:val="lt-LT" w:eastAsia="en-US"/>
        </w:rPr>
        <w:t>Pranešimas apie šalutinį poveikį</w:t>
      </w:r>
    </w:p>
    <w:p w14:paraId="15F9B930" w14:textId="77777777" w:rsidR="00505EBA" w:rsidRPr="00532388" w:rsidRDefault="00505EBA" w:rsidP="00505EBA">
      <w:pPr>
        <w:widowControl w:val="0"/>
        <w:ind w:right="-449"/>
        <w:rPr>
          <w:rFonts w:eastAsia="Times New Roman"/>
          <w:noProof/>
          <w:snapToGrid w:val="0"/>
          <w:sz w:val="22"/>
          <w:szCs w:val="22"/>
          <w:lang w:val="lt-LT" w:eastAsia="en-US"/>
        </w:rPr>
      </w:pPr>
      <w:r w:rsidRPr="00532388">
        <w:rPr>
          <w:rFonts w:eastAsia="Times New Roman"/>
          <w:snapToGrid w:val="0"/>
          <w:sz w:val="22"/>
          <w:szCs w:val="22"/>
          <w:lang w:val="lt-LT" w:eastAsia="en-US"/>
        </w:rPr>
        <w:t>Jeigu pasireiškia stiprus šalutinis poveikis arba jeigu atsiranda šiame lapelyje nepaminėtas šalutinis poveikis, pasakykite gydytojui arba vaistininkui. Apie šalutinį poveikį taip pat galite pranešti Valstybinei vaistų kontrolės tarnybai prie Lietuvos Respublikos sveikatos apsaugos ministerijos nemokamu t</w:t>
      </w:r>
      <w:r w:rsidRPr="00532388">
        <w:rPr>
          <w:rFonts w:eastAsia="Times New Roman"/>
          <w:snapToGrid w:val="0"/>
          <w:sz w:val="22"/>
          <w:szCs w:val="22"/>
          <w:lang w:val="lt-LT" w:eastAsia="zh-CN"/>
        </w:rPr>
        <w:t>elefonu 8 800 73568</w:t>
      </w:r>
      <w:r w:rsidRPr="00532388">
        <w:rPr>
          <w:rFonts w:eastAsia="Times New Roman"/>
          <w:snapToGrid w:val="0"/>
          <w:sz w:val="22"/>
          <w:szCs w:val="22"/>
          <w:lang w:val="lt-LT" w:eastAsia="en-US"/>
        </w:rPr>
        <w:t xml:space="preserve"> arba užpildyti interneto svetainėje </w:t>
      </w:r>
      <w:hyperlink r:id="rId10" w:history="1">
        <w:r w:rsidRPr="00532388">
          <w:rPr>
            <w:rFonts w:eastAsia="SimSun"/>
            <w:snapToGrid w:val="0"/>
            <w:color w:val="0000FF"/>
            <w:sz w:val="22"/>
            <w:szCs w:val="22"/>
            <w:u w:val="single"/>
            <w:lang w:val="lt-LT" w:eastAsia="en-US"/>
          </w:rPr>
          <w:t>www.vvkt.lt</w:t>
        </w:r>
      </w:hyperlink>
      <w:r w:rsidRPr="00532388">
        <w:rPr>
          <w:rFonts w:eastAsia="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532388">
        <w:rPr>
          <w:rFonts w:eastAsia="Times New Roman"/>
          <w:snapToGrid w:val="0"/>
          <w:sz w:val="22"/>
          <w:szCs w:val="22"/>
          <w:lang w:val="lt-LT" w:eastAsia="zh-CN"/>
        </w:rPr>
        <w:t xml:space="preserve">nemokamu </w:t>
      </w:r>
      <w:r w:rsidRPr="00532388">
        <w:rPr>
          <w:rFonts w:eastAsia="Times New Roman"/>
          <w:snapToGrid w:val="0"/>
          <w:sz w:val="22"/>
          <w:szCs w:val="22"/>
          <w:lang w:val="lt-LT" w:eastAsia="en-US"/>
        </w:rPr>
        <w:t>fakso numeriu 8 800 20131</w:t>
      </w:r>
      <w:r w:rsidRPr="00532388">
        <w:rPr>
          <w:rFonts w:eastAsia="Times New Roman"/>
          <w:snapToGrid w:val="0"/>
          <w:sz w:val="22"/>
          <w:szCs w:val="22"/>
          <w:lang w:val="lt-LT" w:eastAsia="zh-CN"/>
        </w:rPr>
        <w:t xml:space="preserve">, </w:t>
      </w:r>
      <w:r w:rsidRPr="00532388">
        <w:rPr>
          <w:rFonts w:eastAsia="Times New Roman"/>
          <w:snapToGrid w:val="0"/>
          <w:sz w:val="22"/>
          <w:szCs w:val="22"/>
          <w:lang w:val="lt-LT" w:eastAsia="en-US"/>
        </w:rPr>
        <w:t xml:space="preserve">el. paštu </w:t>
      </w:r>
      <w:hyperlink r:id="rId11" w:history="1">
        <w:r w:rsidRPr="00532388">
          <w:rPr>
            <w:rFonts w:eastAsia="SimSun"/>
            <w:snapToGrid w:val="0"/>
            <w:color w:val="0000FF"/>
            <w:sz w:val="22"/>
            <w:szCs w:val="22"/>
            <w:u w:val="single"/>
            <w:lang w:val="lt-LT" w:eastAsia="en-US"/>
          </w:rPr>
          <w:t>NepageidaujamaR@vvkt.lt</w:t>
        </w:r>
      </w:hyperlink>
      <w:r w:rsidRPr="00532388">
        <w:rPr>
          <w:rFonts w:eastAsia="Times New Roman"/>
          <w:snapToGrid w:val="0"/>
          <w:sz w:val="22"/>
          <w:szCs w:val="22"/>
          <w:lang w:val="lt-LT" w:eastAsia="en-US"/>
        </w:rPr>
        <w:t xml:space="preserve">, taip pat per Valstybinės vaistų kontrolės tarnybos prie Lietuvos Respublikos sveikatos apsaugos ministerijos interneto svetainę (adresu </w:t>
      </w:r>
      <w:hyperlink r:id="rId12" w:history="1">
        <w:r w:rsidRPr="00532388">
          <w:rPr>
            <w:rFonts w:eastAsia="SimSun"/>
            <w:snapToGrid w:val="0"/>
            <w:color w:val="0000FF"/>
            <w:sz w:val="22"/>
            <w:szCs w:val="22"/>
            <w:u w:val="single"/>
            <w:lang w:val="lt-LT" w:eastAsia="en-US"/>
          </w:rPr>
          <w:t>http://www.vvkt.lt</w:t>
        </w:r>
      </w:hyperlink>
      <w:r w:rsidRPr="00532388">
        <w:rPr>
          <w:rFonts w:eastAsia="Times New Roman"/>
          <w:snapToGrid w:val="0"/>
          <w:sz w:val="22"/>
          <w:szCs w:val="22"/>
          <w:lang w:val="lt-LT" w:eastAsia="en-US"/>
        </w:rPr>
        <w:t>). Pranešdami apie šalutinį poveikį galite mums padėti gauti daugiau informacijos apie šio vaisto saugumą.</w:t>
      </w:r>
    </w:p>
    <w:p w14:paraId="2842302B" w14:textId="77777777" w:rsidR="00505EBA" w:rsidRPr="00532388" w:rsidRDefault="00505EBA" w:rsidP="00505EBA">
      <w:pPr>
        <w:widowControl w:val="0"/>
        <w:tabs>
          <w:tab w:val="left" w:pos="567"/>
        </w:tabs>
        <w:ind w:right="-449"/>
        <w:rPr>
          <w:rFonts w:eastAsia="Times New Roman"/>
          <w:noProof/>
          <w:snapToGrid w:val="0"/>
          <w:sz w:val="22"/>
          <w:szCs w:val="22"/>
          <w:lang w:val="lt-LT" w:eastAsia="en-US"/>
        </w:rPr>
      </w:pPr>
    </w:p>
    <w:p w14:paraId="0E3EB146" w14:textId="77777777" w:rsidR="00505EBA" w:rsidRPr="00532388" w:rsidRDefault="00505EBA" w:rsidP="00505EBA">
      <w:pPr>
        <w:rPr>
          <w:lang w:val="lt-LT"/>
        </w:rPr>
      </w:pPr>
    </w:p>
    <w:p w14:paraId="16238121" w14:textId="77777777" w:rsidR="00505EBA" w:rsidRPr="00532388" w:rsidRDefault="00505EBA" w:rsidP="00505EBA">
      <w:pPr>
        <w:keepNext/>
        <w:keepLines/>
        <w:tabs>
          <w:tab w:val="left" w:pos="567"/>
        </w:tabs>
        <w:outlineLvl w:val="2"/>
        <w:rPr>
          <w:rFonts w:eastAsia="Times New Roman"/>
          <w:b/>
          <w:bCs/>
          <w:snapToGrid w:val="0"/>
          <w:sz w:val="22"/>
          <w:szCs w:val="26"/>
          <w:lang w:val="lt-LT" w:eastAsia="x-none"/>
        </w:rPr>
      </w:pPr>
      <w:r w:rsidRPr="00532388">
        <w:rPr>
          <w:rFonts w:eastAsia="Times New Roman"/>
          <w:b/>
          <w:bCs/>
          <w:snapToGrid w:val="0"/>
          <w:sz w:val="22"/>
          <w:szCs w:val="26"/>
          <w:lang w:val="lt-LT" w:eastAsia="x-none"/>
        </w:rPr>
        <w:t>5.</w:t>
      </w:r>
      <w:r w:rsidRPr="00532388">
        <w:rPr>
          <w:rFonts w:eastAsia="Times New Roman"/>
          <w:b/>
          <w:bCs/>
          <w:snapToGrid w:val="0"/>
          <w:sz w:val="22"/>
          <w:szCs w:val="26"/>
          <w:lang w:val="lt-LT" w:eastAsia="x-none"/>
        </w:rPr>
        <w:tab/>
        <w:t xml:space="preserve">Kaip laikyti </w:t>
      </w:r>
      <w:r w:rsidRPr="00532388">
        <w:rPr>
          <w:rFonts w:eastAsia="Times New Roman"/>
          <w:b/>
          <w:sz w:val="22"/>
          <w:lang w:val="lt-LT" w:eastAsia="lt-LT" w:bidi="lt-LT"/>
        </w:rPr>
        <w:t>Darunavir Teva</w:t>
      </w:r>
    </w:p>
    <w:p w14:paraId="6B1D9964" w14:textId="77777777" w:rsidR="00505EBA" w:rsidRPr="00532388" w:rsidRDefault="00505EBA" w:rsidP="00505EBA">
      <w:pPr>
        <w:rPr>
          <w:lang w:val="lt-LT"/>
        </w:rPr>
      </w:pPr>
    </w:p>
    <w:p w14:paraId="69927954" w14:textId="77777777" w:rsidR="00505EBA" w:rsidRPr="00532388" w:rsidRDefault="00505EBA" w:rsidP="00505EBA">
      <w:pPr>
        <w:rPr>
          <w:sz w:val="22"/>
          <w:szCs w:val="22"/>
          <w:lang w:val="lt-LT"/>
        </w:rPr>
      </w:pPr>
      <w:r w:rsidRPr="00532388">
        <w:rPr>
          <w:sz w:val="22"/>
          <w:szCs w:val="22"/>
          <w:lang w:val="lt-LT"/>
        </w:rPr>
        <w:t>Šį vaistą laikykite vaikams nepastebimoje ir nepasiekiamoje vietoje.</w:t>
      </w:r>
    </w:p>
    <w:p w14:paraId="334569DA" w14:textId="77777777" w:rsidR="00505EBA" w:rsidRPr="00532388" w:rsidRDefault="00505EBA" w:rsidP="00505EBA">
      <w:pPr>
        <w:rPr>
          <w:lang w:val="lt-LT"/>
        </w:rPr>
      </w:pPr>
    </w:p>
    <w:p w14:paraId="08FA9DF9" w14:textId="77777777" w:rsidR="00505EBA" w:rsidRPr="00532388" w:rsidRDefault="00505EBA" w:rsidP="00505EBA">
      <w:pPr>
        <w:rPr>
          <w:sz w:val="22"/>
          <w:szCs w:val="22"/>
          <w:lang w:val="lt-LT"/>
        </w:rPr>
      </w:pPr>
      <w:r w:rsidRPr="00532388">
        <w:rPr>
          <w:sz w:val="22"/>
          <w:szCs w:val="22"/>
          <w:lang w:val="lt-LT"/>
        </w:rPr>
        <w:lastRenderedPageBreak/>
        <w:t>Ant dėžutės</w:t>
      </w:r>
      <w:r w:rsidR="00532388" w:rsidRPr="00532388">
        <w:rPr>
          <w:sz w:val="22"/>
          <w:szCs w:val="22"/>
          <w:lang w:val="lt-LT"/>
        </w:rPr>
        <w:t>, lizdinės plokštelės</w:t>
      </w:r>
      <w:r w:rsidRPr="00532388">
        <w:rPr>
          <w:sz w:val="22"/>
          <w:szCs w:val="22"/>
          <w:lang w:val="lt-LT"/>
        </w:rPr>
        <w:t xml:space="preserve"> ir buteliuko po ,,Tinka iki“</w:t>
      </w:r>
      <w:r w:rsidR="00532388" w:rsidRPr="00532388">
        <w:rPr>
          <w:sz w:val="22"/>
          <w:szCs w:val="22"/>
          <w:lang w:val="lt-LT"/>
        </w:rPr>
        <w:t xml:space="preserve"> / ,,EXP“ </w:t>
      </w:r>
      <w:r w:rsidRPr="00532388">
        <w:rPr>
          <w:sz w:val="22"/>
          <w:szCs w:val="22"/>
          <w:lang w:val="lt-LT"/>
        </w:rPr>
        <w:t>nurodytam tinkamumo laikui pasibaigus, šio vaisto vartoti negalima. Vaistas tinkamas vartoti iki paskutinės nurodyto mėnesio dienos.</w:t>
      </w:r>
    </w:p>
    <w:p w14:paraId="118B21C4" w14:textId="77777777" w:rsidR="00505EBA" w:rsidRPr="00532388" w:rsidRDefault="00505EBA" w:rsidP="00505EBA">
      <w:pPr>
        <w:rPr>
          <w:sz w:val="22"/>
          <w:szCs w:val="22"/>
          <w:lang w:val="lt-LT"/>
        </w:rPr>
      </w:pPr>
    </w:p>
    <w:p w14:paraId="219B1A8C" w14:textId="77777777" w:rsidR="00505EBA" w:rsidRPr="00532388" w:rsidRDefault="00505EBA" w:rsidP="00505EBA">
      <w:pPr>
        <w:rPr>
          <w:sz w:val="22"/>
          <w:szCs w:val="22"/>
          <w:lang w:val="lt-LT"/>
        </w:rPr>
      </w:pPr>
      <w:r w:rsidRPr="00532388">
        <w:rPr>
          <w:sz w:val="22"/>
          <w:szCs w:val="22"/>
          <w:lang w:val="lt-LT"/>
        </w:rPr>
        <w:t xml:space="preserve">Šiam </w:t>
      </w:r>
      <w:r w:rsidR="00E01243">
        <w:rPr>
          <w:sz w:val="22"/>
          <w:szCs w:val="22"/>
          <w:lang w:val="lt-LT"/>
        </w:rPr>
        <w:t>vaistui</w:t>
      </w:r>
      <w:r w:rsidRPr="00532388">
        <w:rPr>
          <w:sz w:val="22"/>
          <w:szCs w:val="22"/>
          <w:lang w:val="lt-LT"/>
        </w:rPr>
        <w:t xml:space="preserve"> specialių laikymo sąlygų nereikia.</w:t>
      </w:r>
    </w:p>
    <w:p w14:paraId="56562521" w14:textId="77777777" w:rsidR="00505EBA" w:rsidRPr="00532388" w:rsidRDefault="00505EBA" w:rsidP="00505EBA">
      <w:pPr>
        <w:rPr>
          <w:sz w:val="22"/>
          <w:szCs w:val="22"/>
          <w:lang w:val="lt-LT"/>
        </w:rPr>
      </w:pPr>
    </w:p>
    <w:p w14:paraId="41DB4CA3" w14:textId="77777777" w:rsidR="00505EBA" w:rsidRPr="00532388" w:rsidRDefault="00505EBA" w:rsidP="00505EBA">
      <w:pPr>
        <w:rPr>
          <w:sz w:val="22"/>
          <w:szCs w:val="22"/>
          <w:lang w:val="lt-LT"/>
        </w:rPr>
      </w:pPr>
      <w:r w:rsidRPr="00532388">
        <w:rPr>
          <w:sz w:val="22"/>
          <w:szCs w:val="22"/>
          <w:lang w:val="lt-LT"/>
        </w:rPr>
        <w:t>Vaistų negalima išmesti į kanalizaciją arba su buitinėmis atliekomis. Kaip išmesti nereikalingus vaistus, klauskite vaistininko. Šios priemonės padės apsaugoti aplinką.</w:t>
      </w:r>
    </w:p>
    <w:p w14:paraId="1517E767" w14:textId="77777777" w:rsidR="00505EBA" w:rsidRPr="00532388" w:rsidRDefault="00505EBA" w:rsidP="00505EBA">
      <w:pPr>
        <w:rPr>
          <w:lang w:val="lt-LT"/>
        </w:rPr>
      </w:pPr>
    </w:p>
    <w:p w14:paraId="51151A42" w14:textId="77777777" w:rsidR="00532388" w:rsidRPr="00532388" w:rsidRDefault="00532388" w:rsidP="00505EBA">
      <w:pPr>
        <w:rPr>
          <w:lang w:val="lt-LT"/>
        </w:rPr>
      </w:pPr>
    </w:p>
    <w:p w14:paraId="319D2687" w14:textId="77777777" w:rsidR="00505EBA" w:rsidRPr="00532388" w:rsidRDefault="00505EBA" w:rsidP="00505EBA">
      <w:pPr>
        <w:keepNext/>
        <w:keepLines/>
        <w:tabs>
          <w:tab w:val="left" w:pos="567"/>
        </w:tabs>
        <w:outlineLvl w:val="2"/>
        <w:rPr>
          <w:rFonts w:eastAsia="Times New Roman"/>
          <w:b/>
          <w:bCs/>
          <w:snapToGrid w:val="0"/>
          <w:sz w:val="22"/>
          <w:szCs w:val="26"/>
          <w:lang w:val="lt-LT" w:eastAsia="x-none"/>
        </w:rPr>
      </w:pPr>
      <w:r w:rsidRPr="00532388">
        <w:rPr>
          <w:rFonts w:eastAsia="Times New Roman"/>
          <w:b/>
          <w:bCs/>
          <w:snapToGrid w:val="0"/>
          <w:sz w:val="22"/>
          <w:szCs w:val="26"/>
          <w:lang w:val="lt-LT" w:eastAsia="x-none"/>
        </w:rPr>
        <w:t>6.</w:t>
      </w:r>
      <w:r w:rsidRPr="00532388">
        <w:rPr>
          <w:rFonts w:eastAsia="Times New Roman"/>
          <w:bCs/>
          <w:snapToGrid w:val="0"/>
          <w:sz w:val="22"/>
          <w:szCs w:val="26"/>
          <w:lang w:val="lt-LT" w:eastAsia="x-none"/>
        </w:rPr>
        <w:tab/>
      </w:r>
      <w:r w:rsidRPr="00532388">
        <w:rPr>
          <w:rFonts w:eastAsia="Times New Roman"/>
          <w:b/>
          <w:bCs/>
          <w:snapToGrid w:val="0"/>
          <w:sz w:val="22"/>
          <w:szCs w:val="26"/>
          <w:lang w:val="lt-LT" w:eastAsia="x-none"/>
        </w:rPr>
        <w:t>Pakuotės turinys ir kita informacija</w:t>
      </w:r>
    </w:p>
    <w:p w14:paraId="74DBC6A2" w14:textId="77777777" w:rsidR="00505EBA" w:rsidRPr="00532388" w:rsidRDefault="00505EBA" w:rsidP="00505EBA">
      <w:pPr>
        <w:rPr>
          <w:b/>
          <w:lang w:val="lt-LT"/>
        </w:rPr>
      </w:pPr>
    </w:p>
    <w:p w14:paraId="2E601A88" w14:textId="77777777" w:rsidR="00505EBA" w:rsidRPr="00532388" w:rsidRDefault="00505EBA" w:rsidP="00505EBA">
      <w:pPr>
        <w:rPr>
          <w:b/>
          <w:sz w:val="22"/>
          <w:szCs w:val="22"/>
          <w:lang w:val="lt-LT"/>
        </w:rPr>
      </w:pPr>
      <w:r w:rsidRPr="00532388">
        <w:rPr>
          <w:rFonts w:eastAsia="Times New Roman"/>
          <w:b/>
          <w:sz w:val="22"/>
          <w:szCs w:val="22"/>
          <w:lang w:val="lt-LT" w:eastAsia="lt-LT" w:bidi="lt-LT"/>
        </w:rPr>
        <w:t>Darunavir Teva</w:t>
      </w:r>
      <w:r w:rsidRPr="00532388">
        <w:rPr>
          <w:rFonts w:eastAsia="Times New Roman"/>
          <w:sz w:val="22"/>
          <w:szCs w:val="22"/>
          <w:lang w:val="lt-LT" w:eastAsia="lt-LT" w:bidi="lt-LT"/>
        </w:rPr>
        <w:t xml:space="preserve"> </w:t>
      </w:r>
      <w:r w:rsidRPr="00532388">
        <w:rPr>
          <w:b/>
          <w:sz w:val="22"/>
          <w:szCs w:val="22"/>
          <w:lang w:val="lt-LT"/>
        </w:rPr>
        <w:t>sudėtis</w:t>
      </w:r>
    </w:p>
    <w:p w14:paraId="37E6999D" w14:textId="77777777" w:rsidR="00505EBA" w:rsidRPr="00532388" w:rsidRDefault="00505EBA" w:rsidP="00505EBA">
      <w:pPr>
        <w:rPr>
          <w:b/>
          <w:sz w:val="22"/>
          <w:szCs w:val="22"/>
          <w:lang w:val="lt-LT"/>
        </w:rPr>
      </w:pPr>
    </w:p>
    <w:p w14:paraId="249FFD72"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Veiklioji medžiaga yra darunaviras. Kiekvienoje tabletėje yra 400 miligramų darunaviro.</w:t>
      </w:r>
    </w:p>
    <w:p w14:paraId="28CAB6FD" w14:textId="77777777" w:rsidR="00505EBA" w:rsidRPr="00532388" w:rsidRDefault="00505EBA" w:rsidP="00505EBA">
      <w:pPr>
        <w:pStyle w:val="BT-EMEASMCA"/>
        <w:numPr>
          <w:ilvl w:val="0"/>
          <w:numId w:val="24"/>
        </w:numPr>
        <w:ind w:left="567" w:hanging="567"/>
        <w:rPr>
          <w:sz w:val="22"/>
          <w:szCs w:val="22"/>
          <w:lang w:val="lt-LT"/>
        </w:rPr>
      </w:pPr>
      <w:r w:rsidRPr="00532388">
        <w:rPr>
          <w:sz w:val="22"/>
          <w:szCs w:val="22"/>
          <w:lang w:val="lt-LT"/>
        </w:rPr>
        <w:t>Pagalbinės medžiagos yra:</w:t>
      </w:r>
    </w:p>
    <w:p w14:paraId="03DAC0B6" w14:textId="77777777" w:rsidR="00505EBA" w:rsidRPr="00532388" w:rsidRDefault="00505EBA" w:rsidP="00505EBA">
      <w:pPr>
        <w:pStyle w:val="BT-EMEASMCA"/>
        <w:numPr>
          <w:ilvl w:val="0"/>
          <w:numId w:val="0"/>
        </w:numPr>
        <w:ind w:left="567"/>
        <w:rPr>
          <w:sz w:val="22"/>
          <w:szCs w:val="22"/>
          <w:lang w:val="lt-LT"/>
        </w:rPr>
      </w:pPr>
      <w:r w:rsidRPr="00532388">
        <w:rPr>
          <w:sz w:val="22"/>
          <w:szCs w:val="22"/>
          <w:lang w:val="lt-LT"/>
        </w:rPr>
        <w:t>tabletės branduo</w:t>
      </w:r>
      <w:r w:rsidR="004C4D39">
        <w:rPr>
          <w:sz w:val="22"/>
          <w:szCs w:val="22"/>
          <w:lang w:val="lt-LT"/>
        </w:rPr>
        <w:t>l</w:t>
      </w:r>
      <w:r w:rsidRPr="00532388">
        <w:rPr>
          <w:sz w:val="22"/>
          <w:szCs w:val="22"/>
          <w:lang w:val="lt-LT"/>
        </w:rPr>
        <w:t>ys: mikrokristalinė celiuliozė, koloidinis bevandenis silicio dioksidas, krospovidonas, magnio stearatas;</w:t>
      </w:r>
    </w:p>
    <w:p w14:paraId="7A1FAD74" w14:textId="77777777" w:rsidR="00505EBA" w:rsidRPr="00532388" w:rsidRDefault="00505EBA" w:rsidP="00505EBA">
      <w:pPr>
        <w:pStyle w:val="BT-EMEASMCA"/>
        <w:numPr>
          <w:ilvl w:val="0"/>
          <w:numId w:val="0"/>
        </w:numPr>
        <w:ind w:left="567"/>
        <w:rPr>
          <w:sz w:val="22"/>
          <w:szCs w:val="22"/>
          <w:lang w:val="lt-LT"/>
        </w:rPr>
      </w:pPr>
      <w:r w:rsidRPr="00532388">
        <w:rPr>
          <w:sz w:val="22"/>
          <w:szCs w:val="22"/>
          <w:lang w:val="lt-LT"/>
        </w:rPr>
        <w:t xml:space="preserve">tabletę dengianti plėvelė: </w:t>
      </w:r>
      <w:r w:rsidR="004C4D39" w:rsidRPr="00532388">
        <w:rPr>
          <w:sz w:val="22"/>
          <w:szCs w:val="22"/>
          <w:lang w:val="lt-LT"/>
        </w:rPr>
        <w:t xml:space="preserve">dalinai hidrolizuotas </w:t>
      </w:r>
      <w:r w:rsidRPr="00532388">
        <w:rPr>
          <w:sz w:val="22"/>
          <w:szCs w:val="22"/>
          <w:lang w:val="lt-LT"/>
        </w:rPr>
        <w:t>polivinilo alkoholis, titano dioksidas (E171), makrogolis 3350, talkas, geltonasis geležies oksidas (E172), raudonasis geležies oksidas (E172), juodasis geležies oksidas</w:t>
      </w:r>
      <w:r w:rsidR="004C4D39">
        <w:rPr>
          <w:sz w:val="22"/>
          <w:szCs w:val="22"/>
          <w:lang w:val="lt-LT"/>
        </w:rPr>
        <w:t xml:space="preserve"> (E172)</w:t>
      </w:r>
      <w:r w:rsidRPr="00532388">
        <w:rPr>
          <w:sz w:val="22"/>
          <w:szCs w:val="22"/>
          <w:lang w:val="lt-LT"/>
        </w:rPr>
        <w:t>.</w:t>
      </w:r>
    </w:p>
    <w:p w14:paraId="2C4E22D8" w14:textId="77777777" w:rsidR="00505EBA" w:rsidRPr="00532388" w:rsidRDefault="00505EBA" w:rsidP="00505EBA">
      <w:pPr>
        <w:rPr>
          <w:sz w:val="22"/>
          <w:szCs w:val="22"/>
          <w:lang w:val="lt-LT"/>
        </w:rPr>
      </w:pPr>
    </w:p>
    <w:p w14:paraId="4C9B7AEE" w14:textId="77777777" w:rsidR="00505EBA" w:rsidRPr="00532388" w:rsidRDefault="00505EBA" w:rsidP="00505EBA">
      <w:pPr>
        <w:rPr>
          <w:b/>
          <w:sz w:val="22"/>
          <w:szCs w:val="22"/>
          <w:lang w:val="lt-LT"/>
        </w:rPr>
      </w:pPr>
      <w:r w:rsidRPr="00532388">
        <w:rPr>
          <w:rFonts w:eastAsia="Times New Roman"/>
          <w:b/>
          <w:sz w:val="22"/>
          <w:szCs w:val="22"/>
          <w:lang w:val="lt-LT" w:eastAsia="lt-LT" w:bidi="lt-LT"/>
        </w:rPr>
        <w:t>Darunavir Teva</w:t>
      </w:r>
      <w:r w:rsidRPr="00532388">
        <w:rPr>
          <w:b/>
          <w:sz w:val="22"/>
          <w:szCs w:val="22"/>
          <w:lang w:val="lt-LT"/>
        </w:rPr>
        <w:t xml:space="preserve"> išvaizda ir kiekis pakuotėje</w:t>
      </w:r>
    </w:p>
    <w:p w14:paraId="03C7DABA" w14:textId="77777777" w:rsidR="00505EBA" w:rsidRPr="00532388" w:rsidRDefault="004C4D39" w:rsidP="00505EBA">
      <w:pPr>
        <w:autoSpaceDE w:val="0"/>
        <w:autoSpaceDN w:val="0"/>
        <w:adjustRightInd w:val="0"/>
        <w:rPr>
          <w:rFonts w:eastAsia="TimesNewRoman"/>
          <w:sz w:val="22"/>
          <w:szCs w:val="22"/>
          <w:lang w:val="lt-LT" w:eastAsia="en-US"/>
        </w:rPr>
      </w:pPr>
      <w:r w:rsidRPr="004C4D39">
        <w:rPr>
          <w:rFonts w:eastAsia="TimesNewRoman"/>
          <w:sz w:val="22"/>
          <w:szCs w:val="22"/>
          <w:lang w:val="lt-LT" w:eastAsia="en-US"/>
        </w:rPr>
        <w:t xml:space="preserve">Darunavir Teva </w:t>
      </w:r>
      <w:r>
        <w:rPr>
          <w:rFonts w:eastAsia="TimesNewRoman"/>
          <w:sz w:val="22"/>
          <w:szCs w:val="22"/>
          <w:lang w:val="lt-LT" w:eastAsia="en-US"/>
        </w:rPr>
        <w:t>400 mg yra o</w:t>
      </w:r>
      <w:r w:rsidR="00505EBA" w:rsidRPr="00532388">
        <w:rPr>
          <w:rFonts w:eastAsia="TimesNewRoman"/>
          <w:sz w:val="22"/>
          <w:szCs w:val="22"/>
          <w:lang w:val="lt-LT" w:eastAsia="en-US"/>
        </w:rPr>
        <w:t>ranžinė ovali plėvele dengta tabletė, kurios vienoje pusėje pažymėta „400“, o kita pusė lygi, dydis maždaug 18,8 mm</w:t>
      </w:r>
      <w:r w:rsidR="00532388" w:rsidRPr="00532388">
        <w:rPr>
          <w:rFonts w:eastAsia="TimesNewRoman"/>
          <w:sz w:val="22"/>
          <w:szCs w:val="22"/>
          <w:lang w:val="lt-LT" w:eastAsia="en-US"/>
        </w:rPr>
        <w:t xml:space="preserve"> </w:t>
      </w:r>
      <w:r w:rsidR="00505EBA" w:rsidRPr="00532388">
        <w:rPr>
          <w:rFonts w:eastAsia="TimesNewRoman"/>
          <w:sz w:val="22"/>
          <w:szCs w:val="22"/>
          <w:lang w:val="lt-LT" w:eastAsia="en-US"/>
        </w:rPr>
        <w:t>x</w:t>
      </w:r>
      <w:r w:rsidR="00532388" w:rsidRPr="00532388">
        <w:rPr>
          <w:rFonts w:eastAsia="TimesNewRoman"/>
          <w:sz w:val="22"/>
          <w:szCs w:val="22"/>
          <w:lang w:val="lt-LT" w:eastAsia="en-US"/>
        </w:rPr>
        <w:t xml:space="preserve"> </w:t>
      </w:r>
      <w:r w:rsidR="00505EBA" w:rsidRPr="00532388">
        <w:rPr>
          <w:rFonts w:eastAsia="TimesNewRoman"/>
          <w:sz w:val="22"/>
          <w:szCs w:val="22"/>
          <w:lang w:val="lt-LT" w:eastAsia="en-US"/>
        </w:rPr>
        <w:t>9,2 mm.</w:t>
      </w:r>
    </w:p>
    <w:p w14:paraId="251EB204" w14:textId="77777777" w:rsidR="00505EBA" w:rsidRPr="00532388" w:rsidRDefault="00505EBA" w:rsidP="00505EBA">
      <w:pPr>
        <w:autoSpaceDE w:val="0"/>
        <w:autoSpaceDN w:val="0"/>
        <w:adjustRightInd w:val="0"/>
        <w:rPr>
          <w:rFonts w:eastAsia="TimesNewRoman"/>
          <w:sz w:val="22"/>
          <w:szCs w:val="22"/>
          <w:lang w:val="lt-LT" w:eastAsia="en-US"/>
        </w:rPr>
      </w:pPr>
    </w:p>
    <w:p w14:paraId="25A00FE2" w14:textId="77777777" w:rsidR="00505EBA" w:rsidRPr="00532388" w:rsidRDefault="00505EBA" w:rsidP="00505EBA">
      <w:pPr>
        <w:widowControl w:val="0"/>
        <w:tabs>
          <w:tab w:val="left" w:pos="567"/>
        </w:tabs>
        <w:rPr>
          <w:rFonts w:eastAsia="Times New Roman"/>
          <w:sz w:val="22"/>
          <w:szCs w:val="22"/>
          <w:lang w:val="lt-LT" w:eastAsia="en-US"/>
        </w:rPr>
      </w:pPr>
      <w:r w:rsidRPr="00532388">
        <w:rPr>
          <w:rFonts w:eastAsia="Times New Roman"/>
          <w:sz w:val="22"/>
          <w:lang w:val="lt-LT" w:eastAsia="lt-LT" w:bidi="lt-LT"/>
        </w:rPr>
        <w:t>Darunavir Teva 400 mg tiekiam</w:t>
      </w:r>
      <w:r w:rsidR="004C4D39">
        <w:rPr>
          <w:rFonts w:eastAsia="Times New Roman"/>
          <w:sz w:val="22"/>
          <w:lang w:val="lt-LT" w:eastAsia="lt-LT" w:bidi="lt-LT"/>
        </w:rPr>
        <w:t>a</w:t>
      </w:r>
      <w:r w:rsidRPr="00532388">
        <w:rPr>
          <w:rFonts w:eastAsia="Times New Roman"/>
          <w:sz w:val="22"/>
          <w:lang w:val="lt-LT" w:eastAsia="lt-LT" w:bidi="lt-LT"/>
        </w:rPr>
        <w:t xml:space="preserve">s po </w:t>
      </w:r>
      <w:r w:rsidRPr="00532388">
        <w:rPr>
          <w:rFonts w:eastAsia="Times New Roman"/>
          <w:snapToGrid w:val="0"/>
          <w:sz w:val="22"/>
          <w:szCs w:val="22"/>
          <w:lang w:val="lt-LT" w:eastAsia="en-US"/>
        </w:rPr>
        <w:t xml:space="preserve">20, </w:t>
      </w:r>
      <w:r w:rsidRPr="00532388">
        <w:rPr>
          <w:rFonts w:eastAsia="Times New Roman"/>
          <w:sz w:val="22"/>
          <w:szCs w:val="22"/>
          <w:lang w:val="lt-LT" w:eastAsia="en-US"/>
        </w:rPr>
        <w:t xml:space="preserve">20x1, 60, 60x1, 200, 200x1, 240 </w:t>
      </w:r>
      <w:r w:rsidR="004C4D39">
        <w:rPr>
          <w:rFonts w:eastAsia="Times New Roman"/>
          <w:sz w:val="22"/>
          <w:szCs w:val="22"/>
          <w:lang w:val="lt-LT" w:eastAsia="en-US"/>
        </w:rPr>
        <w:t>arba</w:t>
      </w:r>
      <w:r w:rsidRPr="00532388">
        <w:rPr>
          <w:rFonts w:eastAsia="Times New Roman"/>
          <w:sz w:val="22"/>
          <w:szCs w:val="22"/>
          <w:lang w:val="lt-LT" w:eastAsia="en-US"/>
        </w:rPr>
        <w:t xml:space="preserve"> 240x1 plėvele dengtų tablečių lizdinėse plokštelėse ir po </w:t>
      </w:r>
      <w:r w:rsidRPr="00532388">
        <w:rPr>
          <w:rFonts w:eastAsia="TimesNewRoman"/>
          <w:sz w:val="22"/>
          <w:szCs w:val="22"/>
          <w:lang w:val="lt-LT" w:eastAsia="en-US"/>
        </w:rPr>
        <w:t xml:space="preserve">60, 180 (60x3) </w:t>
      </w:r>
      <w:r w:rsidR="004C4D39">
        <w:rPr>
          <w:rFonts w:eastAsia="TimesNewRoman"/>
          <w:sz w:val="22"/>
          <w:szCs w:val="22"/>
          <w:lang w:val="lt-LT" w:eastAsia="en-US"/>
        </w:rPr>
        <w:t>arba</w:t>
      </w:r>
      <w:r w:rsidR="004C4D39" w:rsidRPr="00532388">
        <w:rPr>
          <w:rFonts w:eastAsia="TimesNewRoman"/>
          <w:sz w:val="22"/>
          <w:szCs w:val="22"/>
          <w:lang w:val="lt-LT" w:eastAsia="en-US"/>
        </w:rPr>
        <w:t xml:space="preserve"> </w:t>
      </w:r>
      <w:r w:rsidRPr="00532388">
        <w:rPr>
          <w:rFonts w:eastAsia="TimesNewRoman"/>
          <w:sz w:val="22"/>
          <w:szCs w:val="22"/>
          <w:lang w:val="lt-LT" w:eastAsia="en-US"/>
        </w:rPr>
        <w:t xml:space="preserve">200 plėvele dengtų tablečių </w:t>
      </w:r>
      <w:r w:rsidR="004C4D39">
        <w:rPr>
          <w:rFonts w:eastAsia="TimesNewRoman"/>
          <w:sz w:val="22"/>
          <w:szCs w:val="22"/>
          <w:lang w:val="lt-LT" w:eastAsia="en-US"/>
        </w:rPr>
        <w:t>DT</w:t>
      </w:r>
      <w:r w:rsidR="004C4D39" w:rsidRPr="00532388">
        <w:rPr>
          <w:rFonts w:eastAsia="TimesNewRoman"/>
          <w:sz w:val="22"/>
          <w:szCs w:val="22"/>
          <w:lang w:val="lt-LT" w:eastAsia="en-US"/>
        </w:rPr>
        <w:t xml:space="preserve">PE </w:t>
      </w:r>
      <w:r w:rsidRPr="00532388">
        <w:rPr>
          <w:rFonts w:eastAsia="TimesNewRoman"/>
          <w:sz w:val="22"/>
          <w:szCs w:val="22"/>
          <w:lang w:val="lt-LT" w:eastAsia="en-US"/>
        </w:rPr>
        <w:t>buteliukuose.</w:t>
      </w:r>
    </w:p>
    <w:p w14:paraId="088E0F12" w14:textId="77777777" w:rsidR="00505EBA" w:rsidRPr="00532388" w:rsidRDefault="00505EBA" w:rsidP="00505EBA">
      <w:pPr>
        <w:autoSpaceDE w:val="0"/>
        <w:autoSpaceDN w:val="0"/>
        <w:adjustRightInd w:val="0"/>
        <w:rPr>
          <w:rFonts w:eastAsia="TimesNewRoman"/>
          <w:sz w:val="22"/>
          <w:szCs w:val="22"/>
          <w:lang w:val="lt-LT" w:eastAsia="en-US"/>
        </w:rPr>
      </w:pPr>
    </w:p>
    <w:p w14:paraId="4CE4E155" w14:textId="77777777" w:rsidR="00505EBA" w:rsidRPr="00532388" w:rsidRDefault="00505EBA" w:rsidP="00505EBA">
      <w:pPr>
        <w:autoSpaceDE w:val="0"/>
        <w:autoSpaceDN w:val="0"/>
        <w:adjustRightInd w:val="0"/>
        <w:rPr>
          <w:rFonts w:eastAsia="TimesNewRoman"/>
          <w:sz w:val="22"/>
          <w:szCs w:val="22"/>
          <w:lang w:val="lt-LT" w:eastAsia="en-US"/>
        </w:rPr>
      </w:pPr>
      <w:r w:rsidRPr="00532388">
        <w:rPr>
          <w:rFonts w:eastAsia="TimesNewRoman"/>
          <w:sz w:val="22"/>
          <w:szCs w:val="22"/>
          <w:lang w:val="lt-LT" w:eastAsia="en-US"/>
        </w:rPr>
        <w:t>Gali būti tiekiamos ne visų dydžių pakuotės.</w:t>
      </w:r>
    </w:p>
    <w:p w14:paraId="03A551C6" w14:textId="77777777" w:rsidR="00505EBA" w:rsidRPr="00532388" w:rsidRDefault="00505EBA" w:rsidP="00505EBA">
      <w:pPr>
        <w:rPr>
          <w:b/>
          <w:sz w:val="22"/>
          <w:lang w:val="lt-LT"/>
        </w:rPr>
      </w:pPr>
    </w:p>
    <w:p w14:paraId="783ECEE0" w14:textId="77777777" w:rsidR="00505EBA" w:rsidRPr="00532388" w:rsidRDefault="00505EBA" w:rsidP="00505EBA">
      <w:pPr>
        <w:rPr>
          <w:lang w:val="lt-LT"/>
        </w:rPr>
      </w:pPr>
      <w:r w:rsidRPr="00532388">
        <w:rPr>
          <w:b/>
          <w:sz w:val="22"/>
          <w:lang w:val="lt-LT"/>
        </w:rPr>
        <w:t>Registruotojas ir gamintojas</w:t>
      </w:r>
      <w:r w:rsidRPr="00532388">
        <w:rPr>
          <w:lang w:val="lt-LT"/>
        </w:rPr>
        <w:t xml:space="preserve"> </w:t>
      </w:r>
    </w:p>
    <w:p w14:paraId="1C935F30" w14:textId="77777777" w:rsidR="00505EBA" w:rsidRPr="00532388" w:rsidRDefault="00505EBA" w:rsidP="00505EBA">
      <w:pPr>
        <w:rPr>
          <w:sz w:val="22"/>
          <w:szCs w:val="22"/>
          <w:lang w:val="lt-LT"/>
        </w:rPr>
      </w:pPr>
    </w:p>
    <w:p w14:paraId="5CB778FF" w14:textId="77777777" w:rsidR="00505EBA" w:rsidRPr="00532388" w:rsidRDefault="00505EBA" w:rsidP="00505EBA">
      <w:pPr>
        <w:rPr>
          <w:i/>
          <w:sz w:val="22"/>
          <w:szCs w:val="22"/>
          <w:lang w:val="lt-LT"/>
        </w:rPr>
      </w:pPr>
      <w:r w:rsidRPr="00532388">
        <w:rPr>
          <w:i/>
          <w:sz w:val="22"/>
          <w:szCs w:val="22"/>
          <w:lang w:val="lt-LT"/>
        </w:rPr>
        <w:t>Registruotojas</w:t>
      </w:r>
    </w:p>
    <w:p w14:paraId="05A9B032" w14:textId="77777777" w:rsidR="00505EBA" w:rsidRPr="00532388" w:rsidRDefault="00505EBA" w:rsidP="00505EBA">
      <w:pPr>
        <w:shd w:val="clear" w:color="auto" w:fill="FFFFFF"/>
        <w:rPr>
          <w:rFonts w:eastAsia="Times New Roman"/>
          <w:sz w:val="22"/>
          <w:szCs w:val="22"/>
          <w:lang w:val="lt-LT" w:eastAsia="en-GB"/>
        </w:rPr>
      </w:pPr>
      <w:r w:rsidRPr="00532388">
        <w:rPr>
          <w:rFonts w:eastAsia="Times New Roman"/>
          <w:sz w:val="22"/>
          <w:szCs w:val="22"/>
          <w:lang w:val="lt-LT" w:eastAsia="en-GB"/>
        </w:rPr>
        <w:t>Teva B.V.</w:t>
      </w:r>
    </w:p>
    <w:p w14:paraId="59D934AC" w14:textId="77777777" w:rsidR="00505EBA" w:rsidRPr="00532388" w:rsidRDefault="00505EBA" w:rsidP="00505EBA">
      <w:pPr>
        <w:shd w:val="clear" w:color="auto" w:fill="FFFFFF"/>
        <w:rPr>
          <w:rFonts w:eastAsia="Times New Roman"/>
          <w:sz w:val="22"/>
          <w:szCs w:val="22"/>
          <w:lang w:val="lt-LT" w:eastAsia="en-GB"/>
        </w:rPr>
      </w:pPr>
      <w:r w:rsidRPr="00532388">
        <w:rPr>
          <w:rFonts w:eastAsia="Times New Roman"/>
          <w:sz w:val="22"/>
          <w:szCs w:val="22"/>
          <w:lang w:val="lt-LT" w:eastAsia="en-GB"/>
        </w:rPr>
        <w:t>Swensweg 5</w:t>
      </w:r>
    </w:p>
    <w:p w14:paraId="7CC68166" w14:textId="77777777" w:rsidR="00505EBA" w:rsidRPr="00532388" w:rsidRDefault="00505EBA" w:rsidP="00505EBA">
      <w:pPr>
        <w:shd w:val="clear" w:color="auto" w:fill="FFFFFF"/>
        <w:rPr>
          <w:rFonts w:eastAsia="Times New Roman"/>
          <w:sz w:val="22"/>
          <w:szCs w:val="22"/>
          <w:lang w:val="lt-LT" w:eastAsia="en-GB"/>
        </w:rPr>
      </w:pPr>
      <w:r w:rsidRPr="00532388">
        <w:rPr>
          <w:rFonts w:eastAsia="Times New Roman"/>
          <w:sz w:val="22"/>
          <w:szCs w:val="22"/>
          <w:lang w:val="lt-LT" w:eastAsia="en-GB"/>
        </w:rPr>
        <w:t>2031 GA, Haarlem</w:t>
      </w:r>
    </w:p>
    <w:p w14:paraId="665F1ADE" w14:textId="77777777" w:rsidR="00505EBA" w:rsidRPr="00532388" w:rsidRDefault="00505EBA" w:rsidP="00505EBA">
      <w:pPr>
        <w:shd w:val="clear" w:color="auto" w:fill="FFFFFF"/>
        <w:rPr>
          <w:rFonts w:eastAsia="Times New Roman"/>
          <w:sz w:val="22"/>
          <w:szCs w:val="22"/>
          <w:lang w:val="lt-LT" w:eastAsia="en-GB"/>
        </w:rPr>
      </w:pPr>
      <w:r w:rsidRPr="00532388">
        <w:rPr>
          <w:rFonts w:eastAsia="Times New Roman"/>
          <w:sz w:val="22"/>
          <w:szCs w:val="22"/>
          <w:lang w:val="lt-LT" w:eastAsia="en-GB"/>
        </w:rPr>
        <w:t>Nyderlandai</w:t>
      </w:r>
    </w:p>
    <w:p w14:paraId="69969761" w14:textId="77777777" w:rsidR="00505EBA" w:rsidRPr="00532388" w:rsidRDefault="00505EBA" w:rsidP="00505EBA">
      <w:pPr>
        <w:rPr>
          <w:lang w:val="lt-LT"/>
        </w:rPr>
      </w:pPr>
    </w:p>
    <w:p w14:paraId="513A512F" w14:textId="77777777" w:rsidR="00505EBA" w:rsidRPr="00532388" w:rsidRDefault="00505EBA" w:rsidP="00505EBA">
      <w:pPr>
        <w:rPr>
          <w:i/>
          <w:sz w:val="22"/>
          <w:szCs w:val="22"/>
          <w:lang w:val="lt-LT"/>
        </w:rPr>
      </w:pPr>
      <w:r w:rsidRPr="00532388">
        <w:rPr>
          <w:i/>
          <w:sz w:val="22"/>
          <w:szCs w:val="22"/>
          <w:lang w:val="lt-LT"/>
        </w:rPr>
        <w:t>Gamintojas</w:t>
      </w:r>
    </w:p>
    <w:p w14:paraId="454955F6"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Teva Operations Poland Sp. z.o.o</w:t>
      </w:r>
    </w:p>
    <w:p w14:paraId="297388B3"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ul. Mogilska 80.</w:t>
      </w:r>
    </w:p>
    <w:p w14:paraId="504FF5B2"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Krakow, 31-546</w:t>
      </w:r>
    </w:p>
    <w:p w14:paraId="2691901F" w14:textId="77777777" w:rsidR="00532388" w:rsidRPr="00532388" w:rsidRDefault="00532388" w:rsidP="00532388">
      <w:pPr>
        <w:rPr>
          <w:rFonts w:eastAsia="TimesNewRoman,Bold"/>
          <w:bCs/>
          <w:sz w:val="22"/>
          <w:szCs w:val="22"/>
          <w:lang w:val="lt-LT" w:eastAsia="lt-LT"/>
        </w:rPr>
      </w:pPr>
      <w:r w:rsidRPr="00532388">
        <w:rPr>
          <w:rFonts w:eastAsia="TimesNewRoman,Bold"/>
          <w:bCs/>
          <w:sz w:val="22"/>
          <w:szCs w:val="22"/>
          <w:lang w:val="lt-LT" w:eastAsia="lt-LT"/>
        </w:rPr>
        <w:t>Lenkija</w:t>
      </w:r>
    </w:p>
    <w:p w14:paraId="3952C2AA" w14:textId="77777777" w:rsidR="00532388" w:rsidRPr="00532388" w:rsidRDefault="00532388" w:rsidP="00532388">
      <w:pPr>
        <w:rPr>
          <w:rFonts w:eastAsia="TimesNewRoman,Bold"/>
          <w:bCs/>
          <w:sz w:val="22"/>
          <w:szCs w:val="22"/>
          <w:lang w:val="lt-LT" w:eastAsia="lt-LT"/>
        </w:rPr>
      </w:pPr>
    </w:p>
    <w:p w14:paraId="3702BF96" w14:textId="77777777" w:rsidR="00532388" w:rsidRPr="00532388" w:rsidRDefault="00532388" w:rsidP="00532388">
      <w:pPr>
        <w:rPr>
          <w:rFonts w:eastAsia="TimesNewRoman,Bold"/>
          <w:bCs/>
          <w:sz w:val="22"/>
          <w:szCs w:val="22"/>
          <w:lang w:val="lt-LT" w:eastAsia="lt-LT"/>
        </w:rPr>
      </w:pPr>
      <w:r w:rsidRPr="00532388">
        <w:rPr>
          <w:rFonts w:eastAsia="TimesNewRoman,Bold"/>
          <w:bCs/>
          <w:sz w:val="22"/>
          <w:szCs w:val="22"/>
          <w:lang w:val="lt-LT" w:eastAsia="lt-LT"/>
        </w:rPr>
        <w:t>arba</w:t>
      </w:r>
    </w:p>
    <w:p w14:paraId="7F7CB06F" w14:textId="77777777" w:rsidR="00532388" w:rsidRPr="00532388" w:rsidRDefault="00532388" w:rsidP="00532388">
      <w:pPr>
        <w:rPr>
          <w:rFonts w:eastAsia="TimesNewRoman,Bold"/>
          <w:bCs/>
          <w:sz w:val="22"/>
          <w:szCs w:val="22"/>
          <w:lang w:val="lt-LT" w:eastAsia="lt-LT"/>
        </w:rPr>
      </w:pPr>
    </w:p>
    <w:p w14:paraId="6D899572"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Merckle GmbH</w:t>
      </w:r>
    </w:p>
    <w:p w14:paraId="523731D2"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Ludwig-Merckle-Straße 3</w:t>
      </w:r>
    </w:p>
    <w:p w14:paraId="2A7F256C"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Blaubeuren, 89143</w:t>
      </w:r>
    </w:p>
    <w:p w14:paraId="6ACB7BCB" w14:textId="77777777" w:rsidR="00532388" w:rsidRPr="00532388" w:rsidRDefault="00532388" w:rsidP="00532388">
      <w:pPr>
        <w:rPr>
          <w:rFonts w:eastAsia="TimesNewRoman,Bold"/>
          <w:bCs/>
          <w:sz w:val="22"/>
          <w:szCs w:val="22"/>
          <w:lang w:val="lt-LT" w:eastAsia="lt-LT"/>
        </w:rPr>
      </w:pPr>
      <w:r w:rsidRPr="00532388">
        <w:rPr>
          <w:rFonts w:eastAsia="TimesNewRoman,Bold"/>
          <w:bCs/>
          <w:sz w:val="22"/>
          <w:szCs w:val="22"/>
          <w:lang w:val="lt-LT" w:eastAsia="lt-LT"/>
        </w:rPr>
        <w:lastRenderedPageBreak/>
        <w:t>Vokietija</w:t>
      </w:r>
    </w:p>
    <w:p w14:paraId="1B59199A" w14:textId="77777777" w:rsidR="00532388" w:rsidRPr="00532388" w:rsidRDefault="00532388" w:rsidP="00532388">
      <w:pPr>
        <w:rPr>
          <w:rFonts w:eastAsia="TimesNewRoman,Bold"/>
          <w:bCs/>
          <w:sz w:val="22"/>
          <w:szCs w:val="22"/>
          <w:lang w:val="lt-LT" w:eastAsia="lt-LT"/>
        </w:rPr>
      </w:pPr>
    </w:p>
    <w:p w14:paraId="4437F05A" w14:textId="77777777" w:rsidR="00532388" w:rsidRPr="00532388" w:rsidRDefault="00532388" w:rsidP="00532388">
      <w:pPr>
        <w:rPr>
          <w:noProof/>
          <w:sz w:val="22"/>
          <w:szCs w:val="22"/>
        </w:rPr>
      </w:pPr>
      <w:r w:rsidRPr="00532388">
        <w:rPr>
          <w:rFonts w:eastAsia="TimesNewRoman,Bold"/>
          <w:bCs/>
          <w:sz w:val="22"/>
          <w:szCs w:val="22"/>
          <w:lang w:val="lt-LT" w:eastAsia="lt-LT"/>
        </w:rPr>
        <w:t>arba</w:t>
      </w:r>
    </w:p>
    <w:p w14:paraId="310C8A82" w14:textId="77777777" w:rsidR="00532388" w:rsidRPr="00532388" w:rsidRDefault="00532388" w:rsidP="00532388">
      <w:pPr>
        <w:rPr>
          <w:noProof/>
          <w:sz w:val="22"/>
          <w:szCs w:val="22"/>
        </w:rPr>
      </w:pPr>
    </w:p>
    <w:p w14:paraId="492A6096"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Teva Pharma B.V.</w:t>
      </w:r>
    </w:p>
    <w:p w14:paraId="79C83FA4"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Swensweg 5</w:t>
      </w:r>
    </w:p>
    <w:p w14:paraId="123E7F07"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Haarlem, 2031 GA</w:t>
      </w:r>
    </w:p>
    <w:p w14:paraId="029BDA2E" w14:textId="77777777" w:rsidR="00532388" w:rsidRPr="00532388" w:rsidRDefault="00532388" w:rsidP="00532388">
      <w:pPr>
        <w:rPr>
          <w:rFonts w:eastAsia="TimesNewRoman,Bold"/>
          <w:bCs/>
          <w:sz w:val="22"/>
          <w:szCs w:val="22"/>
          <w:lang w:val="lt-LT" w:eastAsia="lt-LT"/>
        </w:rPr>
      </w:pPr>
      <w:r w:rsidRPr="00532388">
        <w:rPr>
          <w:rFonts w:eastAsia="TimesNewRoman,Bold"/>
          <w:bCs/>
          <w:sz w:val="22"/>
          <w:szCs w:val="22"/>
          <w:lang w:val="lt-LT" w:eastAsia="lt-LT"/>
        </w:rPr>
        <w:t>Nyderlandai</w:t>
      </w:r>
    </w:p>
    <w:p w14:paraId="300DD7C0" w14:textId="77777777" w:rsidR="00532388" w:rsidRPr="00532388" w:rsidRDefault="00532388" w:rsidP="00532388">
      <w:pPr>
        <w:rPr>
          <w:rFonts w:eastAsia="TimesNewRoman,Bold"/>
          <w:bCs/>
          <w:sz w:val="22"/>
          <w:szCs w:val="22"/>
          <w:lang w:val="lt-LT" w:eastAsia="lt-LT"/>
        </w:rPr>
      </w:pPr>
    </w:p>
    <w:p w14:paraId="1E1AADB5" w14:textId="77777777" w:rsidR="00532388" w:rsidRPr="00532388" w:rsidRDefault="00532388" w:rsidP="00532388">
      <w:pPr>
        <w:rPr>
          <w:noProof/>
          <w:sz w:val="22"/>
          <w:szCs w:val="22"/>
        </w:rPr>
      </w:pPr>
      <w:r w:rsidRPr="00532388">
        <w:rPr>
          <w:rFonts w:eastAsia="TimesNewRoman,Bold"/>
          <w:bCs/>
          <w:sz w:val="22"/>
          <w:szCs w:val="22"/>
          <w:lang w:val="lt-LT" w:eastAsia="lt-LT"/>
        </w:rPr>
        <w:t>arba</w:t>
      </w:r>
    </w:p>
    <w:p w14:paraId="0086B1C7" w14:textId="77777777" w:rsidR="00532388" w:rsidRPr="00532388" w:rsidRDefault="00532388" w:rsidP="00532388">
      <w:pPr>
        <w:rPr>
          <w:rFonts w:eastAsia="TimesNewRoman,Bold"/>
          <w:bCs/>
          <w:sz w:val="22"/>
          <w:szCs w:val="22"/>
          <w:lang w:val="lt-LT" w:eastAsia="lt-LT"/>
        </w:rPr>
      </w:pPr>
    </w:p>
    <w:p w14:paraId="4A5EDB89"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PLIVA Hrvatska d.o.o. (PLIVA Croatia Ltd.)</w:t>
      </w:r>
    </w:p>
    <w:p w14:paraId="3418F21C"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Prilaz baruna Filipovica 25</w:t>
      </w:r>
    </w:p>
    <w:p w14:paraId="3C0CEB39" w14:textId="77777777" w:rsidR="004C4D39" w:rsidRDefault="00532388" w:rsidP="00532388">
      <w:pPr>
        <w:rPr>
          <w:rFonts w:eastAsia="TimesNewRoman,Bold"/>
          <w:bCs/>
          <w:sz w:val="22"/>
          <w:szCs w:val="22"/>
          <w:lang w:val="lt-LT" w:eastAsia="lt-LT"/>
        </w:rPr>
      </w:pPr>
      <w:r w:rsidRPr="00532388">
        <w:rPr>
          <w:rFonts w:eastAsia="TimesNewRoman,Bold"/>
          <w:bCs/>
          <w:sz w:val="22"/>
          <w:szCs w:val="22"/>
          <w:lang w:val="lt-LT" w:eastAsia="lt-LT"/>
        </w:rPr>
        <w:t>Zagreb, 10000</w:t>
      </w:r>
    </w:p>
    <w:p w14:paraId="56A8B562" w14:textId="77777777" w:rsidR="00532388" w:rsidRPr="00532388" w:rsidRDefault="00532388" w:rsidP="00532388">
      <w:pPr>
        <w:rPr>
          <w:noProof/>
          <w:sz w:val="22"/>
          <w:szCs w:val="22"/>
        </w:rPr>
      </w:pPr>
      <w:r w:rsidRPr="00532388">
        <w:rPr>
          <w:rFonts w:eastAsia="TimesNewRoman,Bold"/>
          <w:bCs/>
          <w:sz w:val="22"/>
          <w:szCs w:val="22"/>
          <w:lang w:val="lt-LT" w:eastAsia="lt-LT"/>
        </w:rPr>
        <w:t>Kroatija</w:t>
      </w:r>
    </w:p>
    <w:p w14:paraId="21435BFA" w14:textId="77777777" w:rsidR="00505EBA" w:rsidRPr="00532388" w:rsidRDefault="00505EBA" w:rsidP="00505EBA">
      <w:pPr>
        <w:rPr>
          <w:lang w:val="lt-LT"/>
        </w:rPr>
      </w:pPr>
    </w:p>
    <w:p w14:paraId="302C4476" w14:textId="77777777" w:rsidR="00505EBA" w:rsidRPr="00532388" w:rsidRDefault="00505EBA" w:rsidP="00505EBA">
      <w:pPr>
        <w:widowControl w:val="0"/>
        <w:numPr>
          <w:ilvl w:val="12"/>
          <w:numId w:val="0"/>
        </w:numPr>
        <w:tabs>
          <w:tab w:val="left" w:pos="567"/>
        </w:tabs>
        <w:ind w:right="-2"/>
        <w:rPr>
          <w:rFonts w:eastAsia="Times New Roman"/>
          <w:noProof/>
          <w:snapToGrid w:val="0"/>
          <w:sz w:val="22"/>
          <w:szCs w:val="22"/>
          <w:lang w:val="lt-LT" w:eastAsia="en-US"/>
        </w:rPr>
      </w:pPr>
      <w:r w:rsidRPr="00532388">
        <w:rPr>
          <w:rFonts w:eastAsia="Times New Roman"/>
          <w:noProof/>
          <w:snapToGrid w:val="0"/>
          <w:sz w:val="22"/>
          <w:szCs w:val="22"/>
          <w:lang w:val="lt-LT" w:eastAsia="en-US"/>
        </w:rPr>
        <w:t>Jeigu apie šį vaistą norite sužinoti daugiau, kreipkitės į vietinį registruotojo atstovą.</w:t>
      </w:r>
    </w:p>
    <w:p w14:paraId="2D4B3703" w14:textId="77777777" w:rsidR="00505EBA" w:rsidRPr="00532388" w:rsidRDefault="00505EBA" w:rsidP="00505EBA">
      <w:pPr>
        <w:widowControl w:val="0"/>
        <w:tabs>
          <w:tab w:val="left" w:pos="567"/>
        </w:tabs>
        <w:rPr>
          <w:rFonts w:eastAsia="Times New Roman"/>
          <w:noProof/>
          <w:snapToGrid w:val="0"/>
          <w:sz w:val="22"/>
          <w:szCs w:val="22"/>
          <w:lang w:val="lt-LT" w:eastAsia="en-US"/>
        </w:rPr>
      </w:pPr>
    </w:p>
    <w:p w14:paraId="398A4741" w14:textId="77777777" w:rsidR="00505EBA" w:rsidRPr="00532388" w:rsidRDefault="00505EBA" w:rsidP="00505EBA">
      <w:pPr>
        <w:rPr>
          <w:rFonts w:eastAsia="Times New Roman"/>
          <w:sz w:val="22"/>
          <w:szCs w:val="22"/>
          <w:lang w:val="lt-LT" w:eastAsia="lt-LT"/>
        </w:rPr>
      </w:pPr>
      <w:r w:rsidRPr="00532388">
        <w:rPr>
          <w:rFonts w:eastAsia="Times New Roman"/>
          <w:sz w:val="22"/>
          <w:szCs w:val="22"/>
          <w:lang w:val="lt-LT" w:eastAsia="lt-LT"/>
        </w:rPr>
        <w:t>UAB „Sicor Biotech“</w:t>
      </w:r>
    </w:p>
    <w:p w14:paraId="08DC684D" w14:textId="77777777" w:rsidR="00505EBA" w:rsidRPr="00532388" w:rsidRDefault="00532388" w:rsidP="00505EBA">
      <w:pPr>
        <w:rPr>
          <w:rFonts w:eastAsia="Times New Roman"/>
          <w:sz w:val="22"/>
          <w:szCs w:val="22"/>
          <w:lang w:val="lt-LT" w:eastAsia="lt-LT"/>
        </w:rPr>
      </w:pPr>
      <w:r>
        <w:rPr>
          <w:rFonts w:eastAsia="Times New Roman"/>
          <w:sz w:val="22"/>
          <w:szCs w:val="22"/>
          <w:lang w:val="lt-LT" w:eastAsia="lt-LT"/>
        </w:rPr>
        <w:t xml:space="preserve">Molėtų pl. </w:t>
      </w:r>
      <w:r w:rsidR="00505EBA" w:rsidRPr="00532388">
        <w:rPr>
          <w:rFonts w:eastAsia="Times New Roman"/>
          <w:sz w:val="22"/>
          <w:szCs w:val="22"/>
          <w:lang w:val="lt-LT" w:eastAsia="lt-LT"/>
        </w:rPr>
        <w:t>5</w:t>
      </w:r>
    </w:p>
    <w:p w14:paraId="0A9A03BB" w14:textId="77777777" w:rsidR="00505EBA" w:rsidRPr="00532388" w:rsidRDefault="00505EBA" w:rsidP="00505EBA">
      <w:pPr>
        <w:rPr>
          <w:rFonts w:eastAsia="Times New Roman"/>
          <w:sz w:val="22"/>
          <w:szCs w:val="22"/>
          <w:lang w:val="lt-LT" w:eastAsia="lt-LT"/>
        </w:rPr>
      </w:pPr>
      <w:r w:rsidRPr="00532388">
        <w:rPr>
          <w:rFonts w:eastAsia="Times New Roman"/>
          <w:sz w:val="22"/>
          <w:szCs w:val="22"/>
          <w:lang w:val="lt-LT" w:eastAsia="lt-LT"/>
        </w:rPr>
        <w:t>LT-</w:t>
      </w:r>
      <w:r w:rsidR="00532388">
        <w:rPr>
          <w:rFonts w:eastAsia="Times New Roman"/>
          <w:sz w:val="22"/>
          <w:szCs w:val="22"/>
          <w:lang w:val="lt-LT" w:eastAsia="lt-LT"/>
        </w:rPr>
        <w:t>08409</w:t>
      </w:r>
      <w:r w:rsidRPr="00532388">
        <w:rPr>
          <w:rFonts w:eastAsia="Times New Roman"/>
          <w:sz w:val="22"/>
          <w:szCs w:val="22"/>
          <w:lang w:val="lt-LT" w:eastAsia="lt-LT"/>
        </w:rPr>
        <w:t xml:space="preserve"> Vilnius</w:t>
      </w:r>
    </w:p>
    <w:p w14:paraId="518DC16C" w14:textId="77777777" w:rsidR="00505EBA" w:rsidRPr="00532388" w:rsidRDefault="00505EBA" w:rsidP="00505EBA">
      <w:pPr>
        <w:widowControl w:val="0"/>
        <w:numPr>
          <w:ilvl w:val="12"/>
          <w:numId w:val="0"/>
        </w:numPr>
        <w:tabs>
          <w:tab w:val="left" w:pos="567"/>
        </w:tabs>
        <w:ind w:right="-2"/>
        <w:rPr>
          <w:rFonts w:eastAsia="Times New Roman"/>
          <w:snapToGrid w:val="0"/>
          <w:sz w:val="22"/>
          <w:szCs w:val="22"/>
          <w:lang w:val="lt-LT" w:eastAsia="en-US"/>
        </w:rPr>
      </w:pPr>
      <w:r w:rsidRPr="00532388">
        <w:rPr>
          <w:rFonts w:eastAsia="Times New Roman"/>
          <w:sz w:val="22"/>
          <w:szCs w:val="22"/>
          <w:lang w:val="lt-LT" w:eastAsia="lt-LT"/>
        </w:rPr>
        <w:t>Tel. + 370 5 266 02 03</w:t>
      </w:r>
    </w:p>
    <w:p w14:paraId="464237AE" w14:textId="77777777" w:rsidR="00505EBA" w:rsidRPr="00532388" w:rsidRDefault="00505EBA" w:rsidP="00505EBA">
      <w:pPr>
        <w:widowControl w:val="0"/>
        <w:numPr>
          <w:ilvl w:val="12"/>
          <w:numId w:val="0"/>
        </w:numPr>
        <w:tabs>
          <w:tab w:val="left" w:pos="567"/>
        </w:tabs>
        <w:ind w:right="-2"/>
        <w:rPr>
          <w:rFonts w:eastAsia="Times New Roman"/>
          <w:b/>
          <w:snapToGrid w:val="0"/>
          <w:sz w:val="22"/>
          <w:szCs w:val="22"/>
          <w:lang w:val="lt-LT" w:eastAsia="en-US"/>
        </w:rPr>
      </w:pPr>
    </w:p>
    <w:p w14:paraId="755EFA2E" w14:textId="77777777" w:rsidR="00505EBA" w:rsidRPr="00532388" w:rsidRDefault="00505EBA" w:rsidP="00505EBA">
      <w:pPr>
        <w:widowControl w:val="0"/>
        <w:numPr>
          <w:ilvl w:val="12"/>
          <w:numId w:val="0"/>
        </w:numPr>
        <w:tabs>
          <w:tab w:val="left" w:pos="567"/>
        </w:tabs>
        <w:ind w:right="-2"/>
        <w:rPr>
          <w:rFonts w:eastAsia="Times New Roman"/>
          <w:snapToGrid w:val="0"/>
          <w:sz w:val="22"/>
          <w:szCs w:val="22"/>
          <w:lang w:val="lt-LT" w:eastAsia="en-US"/>
        </w:rPr>
      </w:pPr>
      <w:r w:rsidRPr="00532388">
        <w:rPr>
          <w:rFonts w:eastAsia="Times New Roman"/>
          <w:b/>
          <w:snapToGrid w:val="0"/>
          <w:sz w:val="22"/>
          <w:szCs w:val="22"/>
          <w:lang w:val="lt-LT" w:eastAsia="en-US"/>
        </w:rPr>
        <w:t>Šis vaistas EEE valstybėse narėse registruotas tokiais pavadinimais</w:t>
      </w:r>
      <w:r w:rsidRPr="00532388">
        <w:rPr>
          <w:rFonts w:eastAsia="Times New Roman"/>
          <w:snapToGrid w:val="0"/>
          <w:sz w:val="22"/>
          <w:szCs w:val="22"/>
          <w:lang w:val="lt-LT" w:eastAsia="en-US"/>
        </w:rPr>
        <w:t>:</w:t>
      </w:r>
    </w:p>
    <w:p w14:paraId="57B0AD19" w14:textId="77777777" w:rsidR="00505EBA" w:rsidRPr="009C7FE1" w:rsidRDefault="00532388" w:rsidP="009C7FE1">
      <w:pPr>
        <w:autoSpaceDE w:val="0"/>
        <w:autoSpaceDN w:val="0"/>
        <w:adjustRightInd w:val="0"/>
        <w:rPr>
          <w:sz w:val="22"/>
          <w:szCs w:val="22"/>
          <w:lang w:val="lt-LT" w:eastAsia="lt-LT"/>
        </w:rPr>
      </w:pPr>
      <w:r w:rsidRPr="009C7FE1">
        <w:rPr>
          <w:rFonts w:eastAsia="Times New Roman"/>
          <w:b/>
          <w:snapToGrid w:val="0"/>
          <w:sz w:val="22"/>
          <w:szCs w:val="22"/>
          <w:lang w:val="lt-LT" w:eastAsia="en-US"/>
        </w:rPr>
        <w:t>Belgija:</w:t>
      </w:r>
      <w:r w:rsidRPr="009C7FE1">
        <w:rPr>
          <w:rFonts w:eastAsia="Times New Roman"/>
          <w:snapToGrid w:val="0"/>
          <w:sz w:val="22"/>
          <w:szCs w:val="22"/>
          <w:lang w:val="lt-LT" w:eastAsia="en-US"/>
        </w:rPr>
        <w:t xml:space="preserve"> </w:t>
      </w:r>
      <w:r w:rsidRPr="009C7FE1">
        <w:rPr>
          <w:sz w:val="22"/>
          <w:szCs w:val="22"/>
          <w:lang w:val="lt-LT" w:eastAsia="lt-LT"/>
        </w:rPr>
        <w:t xml:space="preserve">Darunavir Teva 400 mg filmomhulde tabletten/comprimés pelliculés/Filmtabletten; </w:t>
      </w:r>
      <w:r w:rsidRPr="009C7FE1">
        <w:rPr>
          <w:b/>
          <w:sz w:val="22"/>
          <w:szCs w:val="22"/>
          <w:lang w:val="lt-LT" w:eastAsia="lt-LT"/>
        </w:rPr>
        <w:t>Kipras:</w:t>
      </w:r>
      <w:r w:rsidRPr="009C7FE1">
        <w:rPr>
          <w:sz w:val="22"/>
          <w:szCs w:val="22"/>
          <w:lang w:val="lt-LT" w:eastAsia="lt-LT"/>
        </w:rPr>
        <w:t xml:space="preserve"> Darunavir/Teva 400 mg Επικαλυμμένα με λεπτό υμένιο δισκία; </w:t>
      </w:r>
      <w:r w:rsidRPr="009C7FE1">
        <w:rPr>
          <w:b/>
          <w:sz w:val="22"/>
          <w:szCs w:val="22"/>
          <w:lang w:val="lt-LT" w:eastAsia="lt-LT"/>
        </w:rPr>
        <w:t>Čekija:</w:t>
      </w:r>
      <w:r w:rsidRPr="009C7FE1">
        <w:rPr>
          <w:sz w:val="22"/>
          <w:szCs w:val="22"/>
          <w:lang w:val="lt-LT" w:eastAsia="lt-LT"/>
        </w:rPr>
        <w:t xml:space="preserve"> Darunavir Teva 400 mg potahované tablety; </w:t>
      </w:r>
      <w:r w:rsidRPr="009C7FE1">
        <w:rPr>
          <w:b/>
          <w:sz w:val="22"/>
          <w:szCs w:val="22"/>
          <w:lang w:val="lt-LT" w:eastAsia="lt-LT"/>
        </w:rPr>
        <w:t>Vokietija:</w:t>
      </w:r>
      <w:r w:rsidRPr="009C7FE1">
        <w:rPr>
          <w:sz w:val="22"/>
          <w:szCs w:val="22"/>
          <w:lang w:val="lt-LT" w:eastAsia="lt-LT"/>
        </w:rPr>
        <w:t xml:space="preserve"> Darunavir-ratiopharm 400 mg Filmtabletten; </w:t>
      </w:r>
      <w:r w:rsidRPr="009C7FE1">
        <w:rPr>
          <w:b/>
          <w:sz w:val="22"/>
          <w:szCs w:val="22"/>
          <w:lang w:val="lt-LT" w:eastAsia="lt-LT"/>
        </w:rPr>
        <w:t>Danija</w:t>
      </w:r>
      <w:r w:rsidR="00FB459B">
        <w:rPr>
          <w:b/>
          <w:sz w:val="22"/>
          <w:szCs w:val="22"/>
          <w:lang w:val="lt-LT" w:eastAsia="lt-LT"/>
        </w:rPr>
        <w:t>,</w:t>
      </w:r>
      <w:r w:rsidR="00FB459B" w:rsidRPr="00FB459B">
        <w:rPr>
          <w:b/>
          <w:sz w:val="22"/>
          <w:szCs w:val="22"/>
          <w:lang w:val="lt-LT" w:eastAsia="lt-LT"/>
        </w:rPr>
        <w:t xml:space="preserve"> </w:t>
      </w:r>
      <w:r w:rsidR="00FB459B" w:rsidRPr="009C7FE1">
        <w:rPr>
          <w:b/>
          <w:sz w:val="22"/>
          <w:szCs w:val="22"/>
          <w:lang w:val="lt-LT" w:eastAsia="lt-LT"/>
        </w:rPr>
        <w:t>Estija</w:t>
      </w:r>
      <w:r w:rsidR="009128F3">
        <w:rPr>
          <w:b/>
          <w:sz w:val="22"/>
          <w:szCs w:val="22"/>
          <w:lang w:val="lt-LT" w:eastAsia="lt-LT"/>
        </w:rPr>
        <w:t>,</w:t>
      </w:r>
      <w:r w:rsidR="009128F3" w:rsidRPr="009128F3">
        <w:rPr>
          <w:b/>
          <w:sz w:val="22"/>
          <w:szCs w:val="22"/>
          <w:lang w:val="lt-LT" w:eastAsia="lt-LT"/>
        </w:rPr>
        <w:t xml:space="preserve"> </w:t>
      </w:r>
      <w:r w:rsidR="009128F3" w:rsidRPr="009C7FE1">
        <w:rPr>
          <w:b/>
          <w:sz w:val="22"/>
          <w:szCs w:val="22"/>
          <w:lang w:val="lt-LT" w:eastAsia="lt-LT"/>
        </w:rPr>
        <w:t>Lenkija, Portugalija</w:t>
      </w:r>
      <w:r w:rsidRPr="009C7FE1">
        <w:rPr>
          <w:b/>
          <w:sz w:val="22"/>
          <w:szCs w:val="22"/>
          <w:lang w:val="lt-LT" w:eastAsia="lt-LT"/>
        </w:rPr>
        <w:t>:</w:t>
      </w:r>
      <w:r w:rsidR="00FB459B">
        <w:rPr>
          <w:sz w:val="22"/>
          <w:szCs w:val="22"/>
          <w:lang w:val="lt-LT" w:eastAsia="lt-LT"/>
        </w:rPr>
        <w:t xml:space="preserve"> Darunavir Teva</w:t>
      </w:r>
      <w:r w:rsidR="009128F3">
        <w:rPr>
          <w:sz w:val="22"/>
          <w:szCs w:val="22"/>
          <w:lang w:val="lt-LT" w:eastAsia="lt-LT"/>
        </w:rPr>
        <w:t>;</w:t>
      </w:r>
      <w:r w:rsidR="00FB459B">
        <w:rPr>
          <w:sz w:val="22"/>
          <w:szCs w:val="22"/>
          <w:lang w:val="lt-LT" w:eastAsia="lt-LT"/>
        </w:rPr>
        <w:t xml:space="preserve"> </w:t>
      </w:r>
      <w:r w:rsidRPr="009C7FE1">
        <w:rPr>
          <w:b/>
          <w:sz w:val="22"/>
          <w:szCs w:val="22"/>
          <w:lang w:val="lt-LT" w:eastAsia="lt-LT"/>
        </w:rPr>
        <w:t>Graikija:</w:t>
      </w:r>
      <w:r w:rsidRPr="009C7FE1">
        <w:rPr>
          <w:sz w:val="22"/>
          <w:szCs w:val="22"/>
          <w:lang w:val="lt-LT" w:eastAsia="lt-LT"/>
        </w:rPr>
        <w:t xml:space="preserve"> Darunavir/Teva 400 mg Επικαλυμμένα με λεπτό υμένιο Δισκία; </w:t>
      </w:r>
      <w:r w:rsidR="009C7FE1" w:rsidRPr="009C7FE1">
        <w:rPr>
          <w:b/>
          <w:sz w:val="22"/>
          <w:szCs w:val="22"/>
          <w:lang w:val="lt-LT" w:eastAsia="lt-LT"/>
        </w:rPr>
        <w:t>Prancūzija:</w:t>
      </w:r>
      <w:r w:rsidR="009C7FE1" w:rsidRPr="009C7FE1">
        <w:rPr>
          <w:sz w:val="22"/>
          <w:szCs w:val="22"/>
          <w:lang w:val="lt-LT" w:eastAsia="lt-LT"/>
        </w:rPr>
        <w:t xml:space="preserve"> DARUNAVIR TEVA 400 mg comprimé pelliculé; </w:t>
      </w:r>
      <w:r w:rsidR="009C7FE1" w:rsidRPr="009C7FE1">
        <w:rPr>
          <w:b/>
          <w:sz w:val="22"/>
          <w:szCs w:val="22"/>
          <w:lang w:val="lt-LT" w:eastAsia="lt-LT"/>
        </w:rPr>
        <w:t>Kroatija:</w:t>
      </w:r>
      <w:r w:rsidR="009C7FE1" w:rsidRPr="009C7FE1">
        <w:rPr>
          <w:sz w:val="22"/>
          <w:szCs w:val="22"/>
          <w:lang w:val="lt-LT" w:eastAsia="lt-LT"/>
        </w:rPr>
        <w:t xml:space="preserve"> Darunavir Pliva 400 mg filmom obložene tablete; </w:t>
      </w:r>
      <w:r w:rsidR="009C7FE1" w:rsidRPr="009C7FE1">
        <w:rPr>
          <w:b/>
          <w:sz w:val="22"/>
          <w:szCs w:val="22"/>
          <w:lang w:val="lt-LT" w:eastAsia="lt-LT"/>
        </w:rPr>
        <w:t>Airija:</w:t>
      </w:r>
      <w:r w:rsidR="009C7FE1" w:rsidRPr="009C7FE1">
        <w:rPr>
          <w:sz w:val="22"/>
          <w:szCs w:val="22"/>
          <w:lang w:val="lt-LT" w:eastAsia="lt-LT"/>
        </w:rPr>
        <w:t xml:space="preserve"> Darunavir Teva 400 mg Filmcoated Tablets; </w:t>
      </w:r>
      <w:r w:rsidR="009C7FE1" w:rsidRPr="009C7FE1">
        <w:rPr>
          <w:b/>
          <w:sz w:val="22"/>
          <w:szCs w:val="22"/>
          <w:lang w:val="lt-LT" w:eastAsia="lt-LT"/>
        </w:rPr>
        <w:t>Italija:</w:t>
      </w:r>
      <w:r w:rsidR="009C7FE1" w:rsidRPr="009C7FE1">
        <w:rPr>
          <w:sz w:val="22"/>
          <w:szCs w:val="22"/>
          <w:lang w:val="lt-LT" w:eastAsia="lt-LT"/>
        </w:rPr>
        <w:t xml:space="preserve"> DARUNAVIR TEVA; </w:t>
      </w:r>
      <w:r w:rsidR="009C7FE1" w:rsidRPr="009C7FE1">
        <w:rPr>
          <w:b/>
          <w:sz w:val="22"/>
          <w:szCs w:val="22"/>
          <w:lang w:val="lt-LT" w:eastAsia="lt-LT"/>
        </w:rPr>
        <w:t>Latvija:</w:t>
      </w:r>
      <w:r w:rsidR="009C7FE1" w:rsidRPr="009C7FE1">
        <w:rPr>
          <w:sz w:val="22"/>
          <w:szCs w:val="22"/>
          <w:lang w:val="lt-LT" w:eastAsia="lt-LT"/>
        </w:rPr>
        <w:t xml:space="preserve"> Darunavir Teva 400 </w:t>
      </w:r>
      <w:r w:rsidR="009C7FE1">
        <w:rPr>
          <w:sz w:val="22"/>
          <w:szCs w:val="22"/>
          <w:lang w:val="lt-LT" w:eastAsia="lt-LT"/>
        </w:rPr>
        <w:t xml:space="preserve">mg </w:t>
      </w:r>
      <w:r w:rsidR="009C7FE1" w:rsidRPr="009C7FE1">
        <w:rPr>
          <w:sz w:val="22"/>
          <w:szCs w:val="22"/>
          <w:lang w:val="lt-LT" w:eastAsia="lt-LT"/>
        </w:rPr>
        <w:t xml:space="preserve">apvalkotās tabletes; </w:t>
      </w:r>
      <w:r w:rsidR="009C7FE1" w:rsidRPr="009C7FE1">
        <w:rPr>
          <w:b/>
          <w:sz w:val="22"/>
          <w:szCs w:val="22"/>
          <w:lang w:val="lt-LT" w:eastAsia="lt-LT"/>
        </w:rPr>
        <w:t>Malta:</w:t>
      </w:r>
      <w:r w:rsidR="009C7FE1" w:rsidRPr="009C7FE1">
        <w:rPr>
          <w:sz w:val="22"/>
          <w:szCs w:val="22"/>
          <w:lang w:val="lt-LT" w:eastAsia="lt-LT"/>
        </w:rPr>
        <w:t xml:space="preserve"> Darunavir Teva 400 mg Filmcoated Tablets; </w:t>
      </w:r>
      <w:r w:rsidR="009C7FE1" w:rsidRPr="009C7FE1">
        <w:rPr>
          <w:b/>
          <w:sz w:val="22"/>
          <w:szCs w:val="22"/>
          <w:lang w:val="lt-LT" w:eastAsia="lt-LT"/>
        </w:rPr>
        <w:t>Nyderlandai:</w:t>
      </w:r>
      <w:r w:rsidR="009C7FE1" w:rsidRPr="009C7FE1">
        <w:rPr>
          <w:sz w:val="22"/>
          <w:szCs w:val="22"/>
          <w:lang w:val="lt-LT" w:eastAsia="lt-LT"/>
        </w:rPr>
        <w:t xml:space="preserve"> Darunavir Teva 400 mg, filmomhulde tabletten; </w:t>
      </w:r>
      <w:r w:rsidR="009C7FE1" w:rsidRPr="009C7FE1">
        <w:rPr>
          <w:b/>
          <w:sz w:val="22"/>
          <w:szCs w:val="22"/>
          <w:lang w:val="lt-LT" w:eastAsia="lt-LT"/>
        </w:rPr>
        <w:t>Rumunija:</w:t>
      </w:r>
      <w:r w:rsidR="009C7FE1" w:rsidRPr="009C7FE1">
        <w:rPr>
          <w:sz w:val="22"/>
          <w:szCs w:val="22"/>
          <w:lang w:val="lt-LT" w:eastAsia="lt-LT"/>
        </w:rPr>
        <w:t xml:space="preserve"> DARUNAVIR TEVA 400 mg comprimate filmate.</w:t>
      </w:r>
    </w:p>
    <w:p w14:paraId="2FED719F" w14:textId="77777777" w:rsidR="00505EBA" w:rsidRDefault="00505EBA" w:rsidP="00505EBA">
      <w:pPr>
        <w:rPr>
          <w:lang w:val="lt-LT"/>
        </w:rPr>
      </w:pPr>
    </w:p>
    <w:p w14:paraId="4867CD3B" w14:textId="77777777" w:rsidR="0014002C" w:rsidRPr="00532388" w:rsidRDefault="0014002C" w:rsidP="00505EBA">
      <w:pPr>
        <w:rPr>
          <w:lang w:val="lt-LT"/>
        </w:rPr>
      </w:pPr>
    </w:p>
    <w:p w14:paraId="432CBCEC" w14:textId="4A42E8F4" w:rsidR="00505EBA" w:rsidRPr="00532388" w:rsidRDefault="00505EBA" w:rsidP="00505EBA">
      <w:pPr>
        <w:rPr>
          <w:b/>
          <w:sz w:val="22"/>
          <w:szCs w:val="22"/>
          <w:lang w:val="lt-LT"/>
        </w:rPr>
      </w:pPr>
      <w:r w:rsidRPr="00532388">
        <w:rPr>
          <w:b/>
          <w:sz w:val="22"/>
          <w:szCs w:val="22"/>
          <w:lang w:val="lt-LT"/>
        </w:rPr>
        <w:t>Šis pakuotės lapelis paskut</w:t>
      </w:r>
      <w:r w:rsidR="0014002C">
        <w:rPr>
          <w:b/>
          <w:sz w:val="22"/>
          <w:szCs w:val="22"/>
          <w:lang w:val="lt-LT"/>
        </w:rPr>
        <w:t>inį kartą peržiūrėtas 2017-01-26</w:t>
      </w:r>
    </w:p>
    <w:p w14:paraId="2658939C" w14:textId="77777777" w:rsidR="00505EBA" w:rsidRDefault="00505EBA" w:rsidP="00505EBA">
      <w:pPr>
        <w:rPr>
          <w:b/>
          <w:sz w:val="22"/>
          <w:szCs w:val="22"/>
          <w:lang w:val="lt-LT"/>
        </w:rPr>
      </w:pPr>
    </w:p>
    <w:p w14:paraId="51391AB0" w14:textId="77777777" w:rsidR="0014002C" w:rsidRPr="00532388" w:rsidRDefault="0014002C" w:rsidP="00505EBA">
      <w:pPr>
        <w:rPr>
          <w:b/>
          <w:sz w:val="22"/>
          <w:szCs w:val="22"/>
          <w:lang w:val="lt-LT"/>
        </w:rPr>
      </w:pPr>
    </w:p>
    <w:p w14:paraId="2F239466" w14:textId="77777777" w:rsidR="00505EBA" w:rsidRPr="00532388" w:rsidRDefault="00505EBA" w:rsidP="00505EBA">
      <w:pPr>
        <w:rPr>
          <w:sz w:val="22"/>
          <w:szCs w:val="22"/>
          <w:lang w:val="lt-LT"/>
        </w:rPr>
      </w:pPr>
      <w:r w:rsidRPr="00532388">
        <w:rPr>
          <w:sz w:val="22"/>
          <w:szCs w:val="22"/>
          <w:lang w:val="lt-LT"/>
        </w:rPr>
        <w:t>Išsami informacija apie šį vaistą pateikiama Valstybinės vaistų kontrolės tarnybos prie Lietuvos Respublikos sveikatos apsaugos ministerijos tinklalapyje</w:t>
      </w:r>
      <w:r w:rsidRPr="00532388">
        <w:rPr>
          <w:i/>
          <w:sz w:val="22"/>
          <w:szCs w:val="22"/>
          <w:lang w:val="lt-LT"/>
        </w:rPr>
        <w:t xml:space="preserve"> </w:t>
      </w:r>
      <w:hyperlink r:id="rId13" w:history="1">
        <w:r w:rsidRPr="00532388">
          <w:rPr>
            <w:rStyle w:val="Hipersaitas"/>
            <w:rFonts w:eastAsia="SimSun"/>
            <w:sz w:val="22"/>
            <w:szCs w:val="22"/>
            <w:lang w:val="lt-LT"/>
          </w:rPr>
          <w:t>http://www.vvkt.lt/</w:t>
        </w:r>
      </w:hyperlink>
    </w:p>
    <w:p w14:paraId="54A6B0DD" w14:textId="77777777" w:rsidR="004F689A" w:rsidRPr="0014002C" w:rsidRDefault="004F689A" w:rsidP="00DD4E66">
      <w:pPr>
        <w:rPr>
          <w:b/>
          <w:sz w:val="22"/>
        </w:rPr>
      </w:pPr>
    </w:p>
    <w:sectPr w:rsidR="004F689A" w:rsidRPr="0014002C" w:rsidSect="008F4EBC">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0F33A" w14:textId="77777777" w:rsidR="00560F40" w:rsidRDefault="00560F40" w:rsidP="000A6085">
      <w:r>
        <w:separator/>
      </w:r>
    </w:p>
  </w:endnote>
  <w:endnote w:type="continuationSeparator" w:id="0">
    <w:p w14:paraId="1FC296C5" w14:textId="77777777" w:rsidR="00560F40" w:rsidRDefault="00560F40" w:rsidP="000A6085">
      <w:r>
        <w:continuationSeparator/>
      </w:r>
    </w:p>
  </w:endnote>
  <w:endnote w:type="continuationNotice" w:id="1">
    <w:p w14:paraId="4468E43D" w14:textId="77777777" w:rsidR="00560F40" w:rsidRDefault="00560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9"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96AF4" w14:textId="77777777" w:rsidR="004C7F63" w:rsidRPr="0014002C" w:rsidRDefault="004C7F63">
    <w:pPr>
      <w:pStyle w:val="Porat"/>
      <w:jc w:val="right"/>
      <w:rPr>
        <w:sz w:val="22"/>
      </w:rPr>
    </w:pPr>
    <w:r w:rsidRPr="0014002C">
      <w:rPr>
        <w:sz w:val="22"/>
      </w:rPr>
      <w:fldChar w:fldCharType="begin"/>
    </w:r>
    <w:r w:rsidRPr="0014002C">
      <w:rPr>
        <w:sz w:val="22"/>
      </w:rPr>
      <w:instrText xml:space="preserve"> PAGE   \* MERGEFORMAT </w:instrText>
    </w:r>
    <w:r w:rsidRPr="0014002C">
      <w:rPr>
        <w:sz w:val="22"/>
      </w:rPr>
      <w:fldChar w:fldCharType="separate"/>
    </w:r>
    <w:r w:rsidR="00B85E79">
      <w:rPr>
        <w:noProof/>
        <w:sz w:val="22"/>
      </w:rPr>
      <w:t>48</w:t>
    </w:r>
    <w:r w:rsidRPr="0014002C">
      <w:rPr>
        <w:noProof/>
        <w:sz w:val="22"/>
      </w:rPr>
      <w:fldChar w:fldCharType="end"/>
    </w:r>
  </w:p>
  <w:p w14:paraId="21D8DF72" w14:textId="77777777" w:rsidR="004C7F63" w:rsidRDefault="004C7F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69F0E" w14:textId="77777777" w:rsidR="00560F40" w:rsidRDefault="00560F40" w:rsidP="000A6085">
      <w:r>
        <w:separator/>
      </w:r>
    </w:p>
  </w:footnote>
  <w:footnote w:type="continuationSeparator" w:id="0">
    <w:p w14:paraId="2255D683" w14:textId="77777777" w:rsidR="00560F40" w:rsidRDefault="00560F40" w:rsidP="000A6085">
      <w:r>
        <w:continuationSeparator/>
      </w:r>
    </w:p>
  </w:footnote>
  <w:footnote w:type="continuationNotice" w:id="1">
    <w:p w14:paraId="454191A2" w14:textId="77777777" w:rsidR="00560F40" w:rsidRDefault="00560F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03FCE"/>
    <w:multiLevelType w:val="hybridMultilevel"/>
    <w:tmpl w:val="6568A0D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246F7CC5"/>
    <w:multiLevelType w:val="hybridMultilevel"/>
    <w:tmpl w:val="6464D57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603D2"/>
    <w:multiLevelType w:val="hybridMultilevel"/>
    <w:tmpl w:val="D4D204B8"/>
    <w:lvl w:ilvl="0" w:tplc="C6042084">
      <w:numFmt w:val="bullet"/>
      <w:lvlText w:val=""/>
      <w:lvlJc w:val="left"/>
      <w:pPr>
        <w:ind w:left="720" w:hanging="360"/>
      </w:pPr>
      <w:rPr>
        <w:rFonts w:ascii="Times New Roman" w:eastAsia="TimesNewRoman,Bold"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99C6486"/>
    <w:multiLevelType w:val="hybridMultilevel"/>
    <w:tmpl w:val="626A0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342FF"/>
    <w:multiLevelType w:val="hybridMultilevel"/>
    <w:tmpl w:val="FD8A3E9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A61BC"/>
    <w:multiLevelType w:val="hybridMultilevel"/>
    <w:tmpl w:val="4BC2E5E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F448C"/>
    <w:multiLevelType w:val="hybridMultilevel"/>
    <w:tmpl w:val="D3F2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22F02"/>
    <w:multiLevelType w:val="hybridMultilevel"/>
    <w:tmpl w:val="B10479FA"/>
    <w:lvl w:ilvl="0" w:tplc="E6E232E0">
      <w:start w:val="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B677A67"/>
    <w:multiLevelType w:val="hybridMultilevel"/>
    <w:tmpl w:val="4454984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B4BAD"/>
    <w:multiLevelType w:val="hybridMultilevel"/>
    <w:tmpl w:val="F2CC30E0"/>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606B35DA"/>
    <w:multiLevelType w:val="hybridMultilevel"/>
    <w:tmpl w:val="E588156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70EE6"/>
    <w:multiLevelType w:val="hybridMultilevel"/>
    <w:tmpl w:val="486E209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65FE0125"/>
    <w:multiLevelType w:val="hybridMultilevel"/>
    <w:tmpl w:val="2766028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BB4097C"/>
    <w:multiLevelType w:val="hybridMultilevel"/>
    <w:tmpl w:val="C4906BD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5"/>
  </w:num>
  <w:num w:numId="4">
    <w:abstractNumId w:val="9"/>
  </w:num>
  <w:num w:numId="5">
    <w:abstractNumId w:val="22"/>
  </w:num>
  <w:num w:numId="6">
    <w:abstractNumId w:val="12"/>
  </w:num>
  <w:num w:numId="7">
    <w:abstractNumId w:val="10"/>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17"/>
  </w:num>
  <w:num w:numId="13">
    <w:abstractNumId w:val="14"/>
  </w:num>
  <w:num w:numId="14">
    <w:abstractNumId w:val="8"/>
  </w:num>
  <w:num w:numId="15">
    <w:abstractNumId w:val="11"/>
  </w:num>
  <w:num w:numId="16">
    <w:abstractNumId w:val="2"/>
  </w:num>
  <w:num w:numId="17">
    <w:abstractNumId w:val="20"/>
  </w:num>
  <w:num w:numId="18">
    <w:abstractNumId w:val="15"/>
  </w:num>
  <w:num w:numId="19">
    <w:abstractNumId w:val="21"/>
  </w:num>
  <w:num w:numId="20">
    <w:abstractNumId w:val="3"/>
  </w:num>
  <w:num w:numId="21">
    <w:abstractNumId w:val="0"/>
    <w:lvlOverride w:ilvl="0">
      <w:lvl w:ilvl="0">
        <w:start w:val="1"/>
        <w:numFmt w:val="bullet"/>
        <w:lvlText w:val="-"/>
        <w:legacy w:legacy="1" w:legacySpace="0" w:legacyIndent="360"/>
        <w:lvlJc w:val="left"/>
        <w:pPr>
          <w:ind w:left="360" w:hanging="360"/>
        </w:pPr>
      </w:lvl>
    </w:lvlOverride>
  </w:num>
  <w:num w:numId="22">
    <w:abstractNumId w:val="6"/>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wWqx045LFNpeQ5IbC5tM1ZsIPqAa/X2eoC68Mw9uQSxeJd5iUqDjUcx8B0jygyOo1XVj2gSwMjs5UK5KWGKjtg==" w:salt="kgmV3cladQihYf2AxMKtl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41"/>
    <w:rsid w:val="00001FC1"/>
    <w:rsid w:val="00022A16"/>
    <w:rsid w:val="00032DCE"/>
    <w:rsid w:val="00036FCB"/>
    <w:rsid w:val="00050DCE"/>
    <w:rsid w:val="00071B69"/>
    <w:rsid w:val="00076290"/>
    <w:rsid w:val="00090990"/>
    <w:rsid w:val="000A6085"/>
    <w:rsid w:val="000B5740"/>
    <w:rsid w:val="000C4DBA"/>
    <w:rsid w:val="000C5B76"/>
    <w:rsid w:val="000E3433"/>
    <w:rsid w:val="000E442A"/>
    <w:rsid w:val="00133CC5"/>
    <w:rsid w:val="0013608A"/>
    <w:rsid w:val="001379A4"/>
    <w:rsid w:val="0014002C"/>
    <w:rsid w:val="00154784"/>
    <w:rsid w:val="00155584"/>
    <w:rsid w:val="00155A3B"/>
    <w:rsid w:val="00157BDE"/>
    <w:rsid w:val="001633E8"/>
    <w:rsid w:val="00174F36"/>
    <w:rsid w:val="00194EBB"/>
    <w:rsid w:val="001A7268"/>
    <w:rsid w:val="001B3122"/>
    <w:rsid w:val="001B345A"/>
    <w:rsid w:val="001C17C9"/>
    <w:rsid w:val="001F7A0E"/>
    <w:rsid w:val="002139AD"/>
    <w:rsid w:val="002148DA"/>
    <w:rsid w:val="0022722F"/>
    <w:rsid w:val="002477A7"/>
    <w:rsid w:val="0026057E"/>
    <w:rsid w:val="002641C5"/>
    <w:rsid w:val="00264F4B"/>
    <w:rsid w:val="00276598"/>
    <w:rsid w:val="002A24C2"/>
    <w:rsid w:val="002B0799"/>
    <w:rsid w:val="002E1E30"/>
    <w:rsid w:val="003253D7"/>
    <w:rsid w:val="00330BF3"/>
    <w:rsid w:val="00332D6E"/>
    <w:rsid w:val="00335A73"/>
    <w:rsid w:val="0035687B"/>
    <w:rsid w:val="00374A27"/>
    <w:rsid w:val="003A521E"/>
    <w:rsid w:val="003B0978"/>
    <w:rsid w:val="003B402A"/>
    <w:rsid w:val="003B593C"/>
    <w:rsid w:val="003D7109"/>
    <w:rsid w:val="003F59DB"/>
    <w:rsid w:val="00406C34"/>
    <w:rsid w:val="00407693"/>
    <w:rsid w:val="004375E7"/>
    <w:rsid w:val="004635B8"/>
    <w:rsid w:val="004712BD"/>
    <w:rsid w:val="0047689A"/>
    <w:rsid w:val="004A083E"/>
    <w:rsid w:val="004B2D99"/>
    <w:rsid w:val="004B7CF5"/>
    <w:rsid w:val="004C4D39"/>
    <w:rsid w:val="004C5E5E"/>
    <w:rsid w:val="004C7F63"/>
    <w:rsid w:val="004D526C"/>
    <w:rsid w:val="004E2DDE"/>
    <w:rsid w:val="004F616E"/>
    <w:rsid w:val="004F689A"/>
    <w:rsid w:val="005016F7"/>
    <w:rsid w:val="00503314"/>
    <w:rsid w:val="00505EBA"/>
    <w:rsid w:val="00511F98"/>
    <w:rsid w:val="00532388"/>
    <w:rsid w:val="00546D8A"/>
    <w:rsid w:val="005537A3"/>
    <w:rsid w:val="00560F40"/>
    <w:rsid w:val="0058454E"/>
    <w:rsid w:val="005943EC"/>
    <w:rsid w:val="005A3DA1"/>
    <w:rsid w:val="005C2964"/>
    <w:rsid w:val="005D38B1"/>
    <w:rsid w:val="005E73A6"/>
    <w:rsid w:val="005F4528"/>
    <w:rsid w:val="005F7DD1"/>
    <w:rsid w:val="00601DBB"/>
    <w:rsid w:val="00611815"/>
    <w:rsid w:val="006160D7"/>
    <w:rsid w:val="00631150"/>
    <w:rsid w:val="00633B31"/>
    <w:rsid w:val="00645841"/>
    <w:rsid w:val="006726C0"/>
    <w:rsid w:val="0069570E"/>
    <w:rsid w:val="006A30D2"/>
    <w:rsid w:val="006D2DE3"/>
    <w:rsid w:val="006E49FE"/>
    <w:rsid w:val="006F312F"/>
    <w:rsid w:val="00714EDA"/>
    <w:rsid w:val="007171A2"/>
    <w:rsid w:val="0073095E"/>
    <w:rsid w:val="0073510A"/>
    <w:rsid w:val="00745115"/>
    <w:rsid w:val="00757C11"/>
    <w:rsid w:val="00765000"/>
    <w:rsid w:val="0076502C"/>
    <w:rsid w:val="0079657F"/>
    <w:rsid w:val="007C2DC8"/>
    <w:rsid w:val="007C5F75"/>
    <w:rsid w:val="007D3078"/>
    <w:rsid w:val="007D46AF"/>
    <w:rsid w:val="007E0426"/>
    <w:rsid w:val="007E09CE"/>
    <w:rsid w:val="007E4E8E"/>
    <w:rsid w:val="007E6596"/>
    <w:rsid w:val="007F2C1D"/>
    <w:rsid w:val="007F304F"/>
    <w:rsid w:val="007F447B"/>
    <w:rsid w:val="00841FE0"/>
    <w:rsid w:val="00875A14"/>
    <w:rsid w:val="008A7818"/>
    <w:rsid w:val="008C099E"/>
    <w:rsid w:val="008D3ED5"/>
    <w:rsid w:val="008D5707"/>
    <w:rsid w:val="008E7EF3"/>
    <w:rsid w:val="008F0D80"/>
    <w:rsid w:val="008F4EBC"/>
    <w:rsid w:val="00911D88"/>
    <w:rsid w:val="009128F3"/>
    <w:rsid w:val="009306EC"/>
    <w:rsid w:val="009374BD"/>
    <w:rsid w:val="00950F73"/>
    <w:rsid w:val="00953E0A"/>
    <w:rsid w:val="009543C0"/>
    <w:rsid w:val="00962FBC"/>
    <w:rsid w:val="00965228"/>
    <w:rsid w:val="00981930"/>
    <w:rsid w:val="00985FD5"/>
    <w:rsid w:val="009A18C4"/>
    <w:rsid w:val="009C1071"/>
    <w:rsid w:val="009C7FE1"/>
    <w:rsid w:val="00A134C7"/>
    <w:rsid w:val="00A3528B"/>
    <w:rsid w:val="00A422CC"/>
    <w:rsid w:val="00A473B5"/>
    <w:rsid w:val="00A53B61"/>
    <w:rsid w:val="00A564AF"/>
    <w:rsid w:val="00A57D4C"/>
    <w:rsid w:val="00A62128"/>
    <w:rsid w:val="00A7162C"/>
    <w:rsid w:val="00A76926"/>
    <w:rsid w:val="00A92F05"/>
    <w:rsid w:val="00A96AA2"/>
    <w:rsid w:val="00AA49EE"/>
    <w:rsid w:val="00AB1548"/>
    <w:rsid w:val="00AB79FE"/>
    <w:rsid w:val="00B02B2D"/>
    <w:rsid w:val="00B0349C"/>
    <w:rsid w:val="00B04A59"/>
    <w:rsid w:val="00B45700"/>
    <w:rsid w:val="00B468C7"/>
    <w:rsid w:val="00B74B74"/>
    <w:rsid w:val="00B85E79"/>
    <w:rsid w:val="00B912D9"/>
    <w:rsid w:val="00BB2F25"/>
    <w:rsid w:val="00BD049A"/>
    <w:rsid w:val="00C01EC1"/>
    <w:rsid w:val="00C0285C"/>
    <w:rsid w:val="00C16343"/>
    <w:rsid w:val="00C211AD"/>
    <w:rsid w:val="00C225EE"/>
    <w:rsid w:val="00C23338"/>
    <w:rsid w:val="00C326F9"/>
    <w:rsid w:val="00C727A5"/>
    <w:rsid w:val="00C952E7"/>
    <w:rsid w:val="00CA5B85"/>
    <w:rsid w:val="00CC0318"/>
    <w:rsid w:val="00CD0659"/>
    <w:rsid w:val="00CF1C3A"/>
    <w:rsid w:val="00D00CDE"/>
    <w:rsid w:val="00D0418C"/>
    <w:rsid w:val="00D05261"/>
    <w:rsid w:val="00D2001C"/>
    <w:rsid w:val="00D32C26"/>
    <w:rsid w:val="00D332AD"/>
    <w:rsid w:val="00D37DA7"/>
    <w:rsid w:val="00D42586"/>
    <w:rsid w:val="00D50B1D"/>
    <w:rsid w:val="00D55761"/>
    <w:rsid w:val="00D73665"/>
    <w:rsid w:val="00D8095C"/>
    <w:rsid w:val="00D87856"/>
    <w:rsid w:val="00DA674D"/>
    <w:rsid w:val="00DD4E66"/>
    <w:rsid w:val="00DE0287"/>
    <w:rsid w:val="00DE3254"/>
    <w:rsid w:val="00E01243"/>
    <w:rsid w:val="00E06B45"/>
    <w:rsid w:val="00E1094C"/>
    <w:rsid w:val="00E17E27"/>
    <w:rsid w:val="00E34993"/>
    <w:rsid w:val="00E4206E"/>
    <w:rsid w:val="00E51CF4"/>
    <w:rsid w:val="00E709EB"/>
    <w:rsid w:val="00E71CF6"/>
    <w:rsid w:val="00E74DE2"/>
    <w:rsid w:val="00E779B9"/>
    <w:rsid w:val="00E84A1A"/>
    <w:rsid w:val="00E94FB8"/>
    <w:rsid w:val="00E97BBC"/>
    <w:rsid w:val="00EB15DE"/>
    <w:rsid w:val="00EB4E53"/>
    <w:rsid w:val="00ED6723"/>
    <w:rsid w:val="00EE5417"/>
    <w:rsid w:val="00F31E56"/>
    <w:rsid w:val="00F36135"/>
    <w:rsid w:val="00F36A3B"/>
    <w:rsid w:val="00F44562"/>
    <w:rsid w:val="00F5005B"/>
    <w:rsid w:val="00F50B84"/>
    <w:rsid w:val="00F71C8B"/>
    <w:rsid w:val="00F93D8C"/>
    <w:rsid w:val="00FA2383"/>
    <w:rsid w:val="00FB459B"/>
    <w:rsid w:val="00FC09B9"/>
    <w:rsid w:val="00FD0DCF"/>
    <w:rsid w:val="00FF4E92"/>
    <w:rsid w:val="00FF6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20B5A-8048-45FC-9276-9BFF245C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87B"/>
    <w:rPr>
      <w:rFonts w:ascii="Times New Roman" w:hAnsi="Times New Roman"/>
      <w:sz w:val="24"/>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lang w:val="en-GB"/>
    </w:rPr>
  </w:style>
  <w:style w:type="paragraph" w:styleId="Pavadinimas">
    <w:name w:val="Title"/>
    <w:basedOn w:val="prastasis"/>
    <w:link w:val="PavadinimasDiagrama"/>
    <w:uiPriority w:val="99"/>
    <w:qFormat/>
    <w:rsid w:val="00EB15DE"/>
    <w:pPr>
      <w:jc w:val="center"/>
    </w:pPr>
    <w:rPr>
      <w:rFonts w:eastAsia="SimSun"/>
      <w:b/>
      <w:sz w:val="22"/>
      <w:lang w:val="en-GB" w:eastAsia="en-US"/>
    </w:rPr>
  </w:style>
  <w:style w:type="character" w:customStyle="1" w:styleId="PavadinimasDiagrama">
    <w:name w:val="Pavadinimas Diagrama"/>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EB15DE"/>
    <w:pPr>
      <w:ind w:left="720"/>
      <w:contextualSpacing/>
    </w:pPr>
    <w:rPr>
      <w:rFonts w:eastAsia="Times New Roman"/>
    </w:rPr>
  </w:style>
  <w:style w:type="paragraph" w:customStyle="1" w:styleId="BT-EMEASMCA">
    <w:name w:val="BT- EMEA_SMCA"/>
    <w:basedOn w:val="prastasis"/>
    <w:rsid w:val="00645841"/>
    <w:pPr>
      <w:numPr>
        <w:numId w:val="13"/>
      </w:numPr>
    </w:pPr>
  </w:style>
  <w:style w:type="table" w:styleId="Lentelstinklelis">
    <w:name w:val="Table Grid"/>
    <w:basedOn w:val="prastojilentel"/>
    <w:uiPriority w:val="59"/>
    <w:rsid w:val="0064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689A"/>
    <w:rPr>
      <w:rFonts w:ascii="Tahoma" w:hAnsi="Tahoma" w:cs="Tahoma"/>
      <w:sz w:val="16"/>
      <w:szCs w:val="16"/>
    </w:rPr>
  </w:style>
  <w:style w:type="character" w:customStyle="1" w:styleId="DebesliotekstasDiagrama">
    <w:name w:val="Debesėlio tekstas Diagrama"/>
    <w:link w:val="Debesliotekstas"/>
    <w:uiPriority w:val="99"/>
    <w:semiHidden/>
    <w:rsid w:val="004F689A"/>
    <w:rPr>
      <w:rFonts w:ascii="Tahoma" w:hAnsi="Tahoma" w:cs="Tahoma"/>
      <w:sz w:val="16"/>
      <w:szCs w:val="16"/>
      <w:lang w:val="sl-SI" w:eastAsia="sl-SI"/>
    </w:rPr>
  </w:style>
  <w:style w:type="paragraph" w:customStyle="1" w:styleId="BTEMEASMCA">
    <w:name w:val="BT EMEA_SMCA"/>
    <w:basedOn w:val="prastasis"/>
    <w:link w:val="BTEMEASMCAChar"/>
    <w:autoRedefine/>
    <w:rsid w:val="0073510A"/>
    <w:rPr>
      <w:rFonts w:eastAsia="Times New Roman"/>
      <w:noProof/>
      <w:sz w:val="22"/>
      <w:szCs w:val="22"/>
      <w:lang w:val="lt-LT" w:eastAsia="en-US"/>
    </w:rPr>
  </w:style>
  <w:style w:type="character" w:customStyle="1" w:styleId="BTEMEASMCAChar">
    <w:name w:val="BT EMEA_SMCA Char"/>
    <w:link w:val="BTEMEASMCA"/>
    <w:rsid w:val="0073510A"/>
    <w:rPr>
      <w:rFonts w:ascii="Times New Roman" w:eastAsia="Times New Roman" w:hAnsi="Times New Roman" w:cs="Times New Roman"/>
      <w:noProof/>
    </w:rPr>
  </w:style>
  <w:style w:type="paragraph" w:styleId="Antrats">
    <w:name w:val="header"/>
    <w:basedOn w:val="prastasis"/>
    <w:link w:val="AntratsDiagrama"/>
    <w:uiPriority w:val="99"/>
    <w:unhideWhenUsed/>
    <w:rsid w:val="000A6085"/>
    <w:pPr>
      <w:tabs>
        <w:tab w:val="center" w:pos="4819"/>
        <w:tab w:val="right" w:pos="9638"/>
      </w:tabs>
    </w:pPr>
  </w:style>
  <w:style w:type="character" w:customStyle="1" w:styleId="AntratsDiagrama">
    <w:name w:val="Antraštės Diagrama"/>
    <w:link w:val="Antrats"/>
    <w:uiPriority w:val="99"/>
    <w:rsid w:val="000A6085"/>
    <w:rPr>
      <w:rFonts w:ascii="Times New Roman" w:hAnsi="Times New Roman"/>
      <w:sz w:val="24"/>
      <w:szCs w:val="20"/>
      <w:lang w:val="sl-SI" w:eastAsia="sl-SI"/>
    </w:rPr>
  </w:style>
  <w:style w:type="paragraph" w:styleId="Porat">
    <w:name w:val="footer"/>
    <w:basedOn w:val="prastasis"/>
    <w:link w:val="PoratDiagrama"/>
    <w:uiPriority w:val="99"/>
    <w:unhideWhenUsed/>
    <w:rsid w:val="000A6085"/>
    <w:pPr>
      <w:tabs>
        <w:tab w:val="center" w:pos="4819"/>
        <w:tab w:val="right" w:pos="9638"/>
      </w:tabs>
    </w:pPr>
  </w:style>
  <w:style w:type="character" w:customStyle="1" w:styleId="PoratDiagrama">
    <w:name w:val="Poraštė Diagrama"/>
    <w:link w:val="Porat"/>
    <w:uiPriority w:val="99"/>
    <w:rsid w:val="000A6085"/>
    <w:rPr>
      <w:rFonts w:ascii="Times New Roman" w:hAnsi="Times New Roman"/>
      <w:sz w:val="24"/>
      <w:szCs w:val="20"/>
      <w:lang w:val="sl-SI" w:eastAsia="sl-SI"/>
    </w:rPr>
  </w:style>
  <w:style w:type="paragraph" w:customStyle="1" w:styleId="BodytextAgency">
    <w:name w:val="Body text (Agency)"/>
    <w:basedOn w:val="prastasis"/>
    <w:link w:val="BodytextAgencyChar"/>
    <w:rsid w:val="007E09C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7E09CE"/>
    <w:rPr>
      <w:rFonts w:ascii="Verdana" w:eastAsia="Verdana" w:hAnsi="Verdana" w:cs="Verdana"/>
      <w:sz w:val="18"/>
      <w:szCs w:val="18"/>
      <w:lang w:bidi="lt-LT"/>
    </w:rPr>
  </w:style>
  <w:style w:type="paragraph" w:customStyle="1" w:styleId="NormalAgency">
    <w:name w:val="Normal (Agency)"/>
    <w:link w:val="NormalAgencyChar"/>
    <w:rsid w:val="007E09CE"/>
    <w:rPr>
      <w:rFonts w:ascii="Verdana" w:eastAsia="Verdana" w:hAnsi="Verdana" w:cs="Verdana"/>
      <w:sz w:val="18"/>
      <w:szCs w:val="18"/>
      <w:lang w:bidi="lt-LT"/>
    </w:rPr>
  </w:style>
  <w:style w:type="paragraph" w:customStyle="1" w:styleId="TabletextrowsAgency">
    <w:name w:val="Table text rows (Agency)"/>
    <w:basedOn w:val="prastasis"/>
    <w:rsid w:val="007E09C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7E09CE"/>
    <w:rPr>
      <w:rFonts w:ascii="Verdana" w:eastAsia="Verdana" w:hAnsi="Verdana" w:cs="Verdana"/>
      <w:sz w:val="18"/>
      <w:szCs w:val="18"/>
      <w:lang w:bidi="lt-LT"/>
    </w:rPr>
  </w:style>
  <w:style w:type="character" w:customStyle="1" w:styleId="DoNotTranslateExternal1">
    <w:name w:val="DoNotTranslateExternal1"/>
    <w:qFormat/>
    <w:rsid w:val="007E09CE"/>
    <w:rPr>
      <w:b/>
      <w:noProof/>
      <w:szCs w:val="22"/>
    </w:rPr>
  </w:style>
  <w:style w:type="character" w:styleId="Hipersaitas">
    <w:name w:val="Hyperlink"/>
    <w:uiPriority w:val="99"/>
    <w:rsid w:val="00505EBA"/>
    <w:rPr>
      <w:color w:val="0000FF"/>
      <w:u w:val="single"/>
    </w:rPr>
  </w:style>
  <w:style w:type="character" w:styleId="Komentaronuoroda">
    <w:name w:val="annotation reference"/>
    <w:uiPriority w:val="99"/>
    <w:semiHidden/>
    <w:unhideWhenUsed/>
    <w:rsid w:val="00F93D8C"/>
    <w:rPr>
      <w:sz w:val="16"/>
      <w:szCs w:val="16"/>
    </w:rPr>
  </w:style>
  <w:style w:type="paragraph" w:styleId="Komentarotekstas">
    <w:name w:val="annotation text"/>
    <w:basedOn w:val="prastasis"/>
    <w:link w:val="KomentarotekstasDiagrama"/>
    <w:uiPriority w:val="99"/>
    <w:semiHidden/>
    <w:unhideWhenUsed/>
    <w:rsid w:val="00F93D8C"/>
    <w:rPr>
      <w:sz w:val="20"/>
    </w:rPr>
  </w:style>
  <w:style w:type="character" w:customStyle="1" w:styleId="KomentarotekstasDiagrama">
    <w:name w:val="Komentaro tekstas Diagrama"/>
    <w:link w:val="Komentarotekstas"/>
    <w:uiPriority w:val="99"/>
    <w:semiHidden/>
    <w:rsid w:val="00F93D8C"/>
    <w:rPr>
      <w:rFonts w:ascii="Times New Roman" w:hAnsi="Times New Roman"/>
      <w:lang w:val="sl-SI" w:eastAsia="sl-SI"/>
    </w:rPr>
  </w:style>
  <w:style w:type="paragraph" w:styleId="Komentarotema">
    <w:name w:val="annotation subject"/>
    <w:basedOn w:val="Komentarotekstas"/>
    <w:next w:val="Komentarotekstas"/>
    <w:link w:val="KomentarotemaDiagrama"/>
    <w:uiPriority w:val="99"/>
    <w:semiHidden/>
    <w:unhideWhenUsed/>
    <w:rsid w:val="00F93D8C"/>
    <w:rPr>
      <w:b/>
      <w:bCs/>
    </w:rPr>
  </w:style>
  <w:style w:type="character" w:customStyle="1" w:styleId="KomentarotemaDiagrama">
    <w:name w:val="Komentaro tema Diagrama"/>
    <w:link w:val="Komentarotema"/>
    <w:uiPriority w:val="99"/>
    <w:semiHidden/>
    <w:rsid w:val="00F93D8C"/>
    <w:rPr>
      <w:rFonts w:ascii="Times New Roman" w:hAnsi="Times New Roman"/>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98951">
      <w:bodyDiv w:val="1"/>
      <w:marLeft w:val="0"/>
      <w:marRight w:val="0"/>
      <w:marTop w:val="0"/>
      <w:marBottom w:val="0"/>
      <w:divBdr>
        <w:top w:val="none" w:sz="0" w:space="0" w:color="auto"/>
        <w:left w:val="none" w:sz="0" w:space="0" w:color="auto"/>
        <w:bottom w:val="none" w:sz="0" w:space="0" w:color="auto"/>
        <w:right w:val="none" w:sz="0" w:space="0" w:color="auto"/>
      </w:divBdr>
    </w:div>
    <w:div w:id="329333128">
      <w:bodyDiv w:val="1"/>
      <w:marLeft w:val="0"/>
      <w:marRight w:val="0"/>
      <w:marTop w:val="0"/>
      <w:marBottom w:val="0"/>
      <w:divBdr>
        <w:top w:val="none" w:sz="0" w:space="0" w:color="auto"/>
        <w:left w:val="none" w:sz="0" w:space="0" w:color="auto"/>
        <w:bottom w:val="none" w:sz="0" w:space="0" w:color="auto"/>
        <w:right w:val="none" w:sz="0" w:space="0" w:color="auto"/>
      </w:divBdr>
    </w:div>
    <w:div w:id="487673984">
      <w:bodyDiv w:val="1"/>
      <w:marLeft w:val="0"/>
      <w:marRight w:val="0"/>
      <w:marTop w:val="0"/>
      <w:marBottom w:val="0"/>
      <w:divBdr>
        <w:top w:val="none" w:sz="0" w:space="0" w:color="auto"/>
        <w:left w:val="none" w:sz="0" w:space="0" w:color="auto"/>
        <w:bottom w:val="none" w:sz="0" w:space="0" w:color="auto"/>
        <w:right w:val="none" w:sz="0" w:space="0" w:color="auto"/>
      </w:divBdr>
    </w:div>
    <w:div w:id="498228309">
      <w:bodyDiv w:val="1"/>
      <w:marLeft w:val="0"/>
      <w:marRight w:val="0"/>
      <w:marTop w:val="0"/>
      <w:marBottom w:val="0"/>
      <w:divBdr>
        <w:top w:val="none" w:sz="0" w:space="0" w:color="auto"/>
        <w:left w:val="none" w:sz="0" w:space="0" w:color="auto"/>
        <w:bottom w:val="none" w:sz="0" w:space="0" w:color="auto"/>
        <w:right w:val="none" w:sz="0" w:space="0" w:color="auto"/>
      </w:divBdr>
    </w:div>
    <w:div w:id="618999862">
      <w:bodyDiv w:val="1"/>
      <w:marLeft w:val="0"/>
      <w:marRight w:val="0"/>
      <w:marTop w:val="0"/>
      <w:marBottom w:val="0"/>
      <w:divBdr>
        <w:top w:val="none" w:sz="0" w:space="0" w:color="auto"/>
        <w:left w:val="none" w:sz="0" w:space="0" w:color="auto"/>
        <w:bottom w:val="none" w:sz="0" w:space="0" w:color="auto"/>
        <w:right w:val="none" w:sz="0" w:space="0" w:color="auto"/>
      </w:divBdr>
    </w:div>
    <w:div w:id="735009925">
      <w:bodyDiv w:val="1"/>
      <w:marLeft w:val="0"/>
      <w:marRight w:val="0"/>
      <w:marTop w:val="0"/>
      <w:marBottom w:val="0"/>
      <w:divBdr>
        <w:top w:val="none" w:sz="0" w:space="0" w:color="auto"/>
        <w:left w:val="none" w:sz="0" w:space="0" w:color="auto"/>
        <w:bottom w:val="none" w:sz="0" w:space="0" w:color="auto"/>
        <w:right w:val="none" w:sz="0" w:space="0" w:color="auto"/>
      </w:divBdr>
    </w:div>
    <w:div w:id="808668745">
      <w:bodyDiv w:val="1"/>
      <w:marLeft w:val="0"/>
      <w:marRight w:val="0"/>
      <w:marTop w:val="0"/>
      <w:marBottom w:val="0"/>
      <w:divBdr>
        <w:top w:val="none" w:sz="0" w:space="0" w:color="auto"/>
        <w:left w:val="none" w:sz="0" w:space="0" w:color="auto"/>
        <w:bottom w:val="none" w:sz="0" w:space="0" w:color="auto"/>
        <w:right w:val="none" w:sz="0" w:space="0" w:color="auto"/>
      </w:divBdr>
    </w:div>
    <w:div w:id="949363067">
      <w:bodyDiv w:val="1"/>
      <w:marLeft w:val="0"/>
      <w:marRight w:val="0"/>
      <w:marTop w:val="0"/>
      <w:marBottom w:val="0"/>
      <w:divBdr>
        <w:top w:val="none" w:sz="0" w:space="0" w:color="auto"/>
        <w:left w:val="none" w:sz="0" w:space="0" w:color="auto"/>
        <w:bottom w:val="none" w:sz="0" w:space="0" w:color="auto"/>
        <w:right w:val="none" w:sz="0" w:space="0" w:color="auto"/>
      </w:divBdr>
    </w:div>
    <w:div w:id="969095467">
      <w:bodyDiv w:val="1"/>
      <w:marLeft w:val="0"/>
      <w:marRight w:val="0"/>
      <w:marTop w:val="0"/>
      <w:marBottom w:val="0"/>
      <w:divBdr>
        <w:top w:val="none" w:sz="0" w:space="0" w:color="auto"/>
        <w:left w:val="none" w:sz="0" w:space="0" w:color="auto"/>
        <w:bottom w:val="none" w:sz="0" w:space="0" w:color="auto"/>
        <w:right w:val="none" w:sz="0" w:space="0" w:color="auto"/>
      </w:divBdr>
    </w:div>
    <w:div w:id="1151142638">
      <w:bodyDiv w:val="1"/>
      <w:marLeft w:val="0"/>
      <w:marRight w:val="0"/>
      <w:marTop w:val="0"/>
      <w:marBottom w:val="0"/>
      <w:divBdr>
        <w:top w:val="none" w:sz="0" w:space="0" w:color="auto"/>
        <w:left w:val="none" w:sz="0" w:space="0" w:color="auto"/>
        <w:bottom w:val="none" w:sz="0" w:space="0" w:color="auto"/>
        <w:right w:val="none" w:sz="0" w:space="0" w:color="auto"/>
      </w:divBdr>
    </w:div>
    <w:div w:id="1171336204">
      <w:bodyDiv w:val="1"/>
      <w:marLeft w:val="0"/>
      <w:marRight w:val="0"/>
      <w:marTop w:val="0"/>
      <w:marBottom w:val="0"/>
      <w:divBdr>
        <w:top w:val="none" w:sz="0" w:space="0" w:color="auto"/>
        <w:left w:val="none" w:sz="0" w:space="0" w:color="auto"/>
        <w:bottom w:val="none" w:sz="0" w:space="0" w:color="auto"/>
        <w:right w:val="none" w:sz="0" w:space="0" w:color="auto"/>
      </w:divBdr>
    </w:div>
    <w:div w:id="1208376953">
      <w:bodyDiv w:val="1"/>
      <w:marLeft w:val="0"/>
      <w:marRight w:val="0"/>
      <w:marTop w:val="0"/>
      <w:marBottom w:val="0"/>
      <w:divBdr>
        <w:top w:val="none" w:sz="0" w:space="0" w:color="auto"/>
        <w:left w:val="none" w:sz="0" w:space="0" w:color="auto"/>
        <w:bottom w:val="none" w:sz="0" w:space="0" w:color="auto"/>
        <w:right w:val="none" w:sz="0" w:space="0" w:color="auto"/>
      </w:divBdr>
    </w:div>
    <w:div w:id="1222134724">
      <w:bodyDiv w:val="1"/>
      <w:marLeft w:val="0"/>
      <w:marRight w:val="0"/>
      <w:marTop w:val="0"/>
      <w:marBottom w:val="0"/>
      <w:divBdr>
        <w:top w:val="none" w:sz="0" w:space="0" w:color="auto"/>
        <w:left w:val="none" w:sz="0" w:space="0" w:color="auto"/>
        <w:bottom w:val="none" w:sz="0" w:space="0" w:color="auto"/>
        <w:right w:val="none" w:sz="0" w:space="0" w:color="auto"/>
      </w:divBdr>
    </w:div>
    <w:div w:id="1227182469">
      <w:bodyDiv w:val="1"/>
      <w:marLeft w:val="0"/>
      <w:marRight w:val="0"/>
      <w:marTop w:val="0"/>
      <w:marBottom w:val="0"/>
      <w:divBdr>
        <w:top w:val="none" w:sz="0" w:space="0" w:color="auto"/>
        <w:left w:val="none" w:sz="0" w:space="0" w:color="auto"/>
        <w:bottom w:val="none" w:sz="0" w:space="0" w:color="auto"/>
        <w:right w:val="none" w:sz="0" w:space="0" w:color="auto"/>
      </w:divBdr>
    </w:div>
    <w:div w:id="1237787138">
      <w:bodyDiv w:val="1"/>
      <w:marLeft w:val="0"/>
      <w:marRight w:val="0"/>
      <w:marTop w:val="0"/>
      <w:marBottom w:val="0"/>
      <w:divBdr>
        <w:top w:val="none" w:sz="0" w:space="0" w:color="auto"/>
        <w:left w:val="none" w:sz="0" w:space="0" w:color="auto"/>
        <w:bottom w:val="none" w:sz="0" w:space="0" w:color="auto"/>
        <w:right w:val="none" w:sz="0" w:space="0" w:color="auto"/>
      </w:divBdr>
    </w:div>
    <w:div w:id="1407264176">
      <w:bodyDiv w:val="1"/>
      <w:marLeft w:val="0"/>
      <w:marRight w:val="0"/>
      <w:marTop w:val="0"/>
      <w:marBottom w:val="0"/>
      <w:divBdr>
        <w:top w:val="none" w:sz="0" w:space="0" w:color="auto"/>
        <w:left w:val="none" w:sz="0" w:space="0" w:color="auto"/>
        <w:bottom w:val="none" w:sz="0" w:space="0" w:color="auto"/>
        <w:right w:val="none" w:sz="0" w:space="0" w:color="auto"/>
      </w:divBdr>
    </w:div>
    <w:div w:id="1504584042">
      <w:bodyDiv w:val="1"/>
      <w:marLeft w:val="0"/>
      <w:marRight w:val="0"/>
      <w:marTop w:val="0"/>
      <w:marBottom w:val="0"/>
      <w:divBdr>
        <w:top w:val="none" w:sz="0" w:space="0" w:color="auto"/>
        <w:left w:val="none" w:sz="0" w:space="0" w:color="auto"/>
        <w:bottom w:val="none" w:sz="0" w:space="0" w:color="auto"/>
        <w:right w:val="none" w:sz="0" w:space="0" w:color="auto"/>
      </w:divBdr>
    </w:div>
    <w:div w:id="2039043482">
      <w:bodyDiv w:val="1"/>
      <w:marLeft w:val="0"/>
      <w:marRight w:val="0"/>
      <w:marTop w:val="0"/>
      <w:marBottom w:val="0"/>
      <w:divBdr>
        <w:top w:val="none" w:sz="0" w:space="0" w:color="auto"/>
        <w:left w:val="none" w:sz="0" w:space="0" w:color="auto"/>
        <w:bottom w:val="none" w:sz="0" w:space="0" w:color="auto"/>
        <w:right w:val="none" w:sz="0" w:space="0" w:color="auto"/>
      </w:divBdr>
    </w:div>
    <w:div w:id="20746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95563</Words>
  <Characters>54472</Characters>
  <Application>Microsoft Office Word</Application>
  <DocSecurity>8</DocSecurity>
  <Lines>453</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149736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Birutė Valkauskaitė</cp:lastModifiedBy>
  <cp:revision>3</cp:revision>
  <dcterms:created xsi:type="dcterms:W3CDTF">2017-01-31T13:18:00Z</dcterms:created>
  <dcterms:modified xsi:type="dcterms:W3CDTF">2017-01-31T13:19:00Z</dcterms:modified>
</cp:coreProperties>
</file>