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3947D" w14:textId="77777777" w:rsidR="009F5848" w:rsidRPr="004509B9" w:rsidRDefault="009F5848" w:rsidP="009F5848">
      <w:pPr>
        <w:tabs>
          <w:tab w:val="left" w:pos="567"/>
        </w:tabs>
        <w:jc w:val="center"/>
        <w:outlineLvl w:val="0"/>
        <w:rPr>
          <w:rFonts w:eastAsia="Times New Roman"/>
          <w:b/>
          <w:sz w:val="22"/>
          <w:lang w:val="lt-LT" w:eastAsia="lt-LT" w:bidi="lt-LT"/>
        </w:rPr>
      </w:pPr>
    </w:p>
    <w:p w14:paraId="3D043A62" w14:textId="77777777" w:rsidR="009F5848" w:rsidRPr="004509B9" w:rsidRDefault="009F5848" w:rsidP="009F5848">
      <w:pPr>
        <w:tabs>
          <w:tab w:val="left" w:pos="567"/>
        </w:tabs>
        <w:jc w:val="center"/>
        <w:outlineLvl w:val="0"/>
        <w:rPr>
          <w:rFonts w:eastAsia="Times New Roman"/>
          <w:b/>
          <w:sz w:val="22"/>
          <w:lang w:val="lt-LT" w:eastAsia="lt-LT" w:bidi="lt-LT"/>
        </w:rPr>
      </w:pPr>
    </w:p>
    <w:p w14:paraId="66408A34" w14:textId="77777777" w:rsidR="009F5848" w:rsidRPr="004509B9" w:rsidRDefault="009F5848" w:rsidP="009F5848">
      <w:pPr>
        <w:tabs>
          <w:tab w:val="left" w:pos="567"/>
        </w:tabs>
        <w:jc w:val="center"/>
        <w:outlineLvl w:val="0"/>
        <w:rPr>
          <w:rFonts w:eastAsia="Times New Roman"/>
          <w:b/>
          <w:sz w:val="22"/>
          <w:lang w:val="lt-LT" w:eastAsia="lt-LT" w:bidi="lt-LT"/>
        </w:rPr>
      </w:pPr>
    </w:p>
    <w:p w14:paraId="5502ED77" w14:textId="77777777" w:rsidR="009F5848" w:rsidRPr="004509B9" w:rsidRDefault="009F5848" w:rsidP="009F5848">
      <w:pPr>
        <w:tabs>
          <w:tab w:val="left" w:pos="567"/>
        </w:tabs>
        <w:jc w:val="center"/>
        <w:outlineLvl w:val="0"/>
        <w:rPr>
          <w:rFonts w:eastAsia="Times New Roman"/>
          <w:b/>
          <w:sz w:val="22"/>
          <w:lang w:val="lt-LT" w:eastAsia="lt-LT" w:bidi="lt-LT"/>
        </w:rPr>
      </w:pPr>
    </w:p>
    <w:p w14:paraId="6C5CE2BE" w14:textId="77777777" w:rsidR="009F5848" w:rsidRPr="004509B9" w:rsidRDefault="009F5848" w:rsidP="009F5848">
      <w:pPr>
        <w:tabs>
          <w:tab w:val="left" w:pos="567"/>
        </w:tabs>
        <w:jc w:val="center"/>
        <w:outlineLvl w:val="0"/>
        <w:rPr>
          <w:rFonts w:eastAsia="Times New Roman"/>
          <w:b/>
          <w:sz w:val="22"/>
          <w:lang w:val="lt-LT" w:eastAsia="lt-LT" w:bidi="lt-LT"/>
        </w:rPr>
      </w:pPr>
    </w:p>
    <w:p w14:paraId="42737E2C" w14:textId="77777777" w:rsidR="009F5848" w:rsidRPr="004509B9" w:rsidRDefault="009F5848" w:rsidP="009F5848">
      <w:pPr>
        <w:tabs>
          <w:tab w:val="left" w:pos="567"/>
        </w:tabs>
        <w:jc w:val="center"/>
        <w:outlineLvl w:val="0"/>
        <w:rPr>
          <w:rFonts w:eastAsia="Times New Roman"/>
          <w:b/>
          <w:sz w:val="22"/>
          <w:lang w:val="lt-LT" w:eastAsia="lt-LT" w:bidi="lt-LT"/>
        </w:rPr>
      </w:pPr>
    </w:p>
    <w:p w14:paraId="63BC2E3B" w14:textId="77777777" w:rsidR="009F5848" w:rsidRPr="004509B9" w:rsidRDefault="009F5848" w:rsidP="009F5848">
      <w:pPr>
        <w:tabs>
          <w:tab w:val="left" w:pos="567"/>
        </w:tabs>
        <w:jc w:val="center"/>
        <w:outlineLvl w:val="0"/>
        <w:rPr>
          <w:rFonts w:eastAsia="Times New Roman"/>
          <w:b/>
          <w:sz w:val="22"/>
          <w:lang w:val="lt-LT" w:eastAsia="lt-LT" w:bidi="lt-LT"/>
        </w:rPr>
      </w:pPr>
    </w:p>
    <w:p w14:paraId="45467BE1" w14:textId="77777777" w:rsidR="009F5848" w:rsidRPr="004509B9" w:rsidRDefault="009F5848" w:rsidP="009F5848">
      <w:pPr>
        <w:tabs>
          <w:tab w:val="left" w:pos="567"/>
        </w:tabs>
        <w:jc w:val="center"/>
        <w:outlineLvl w:val="0"/>
        <w:rPr>
          <w:rFonts w:eastAsia="Times New Roman"/>
          <w:b/>
          <w:sz w:val="22"/>
          <w:lang w:val="lt-LT" w:eastAsia="lt-LT" w:bidi="lt-LT"/>
        </w:rPr>
      </w:pPr>
    </w:p>
    <w:p w14:paraId="3C0B368A" w14:textId="77777777" w:rsidR="009F5848" w:rsidRPr="004509B9" w:rsidRDefault="009F5848" w:rsidP="009F5848">
      <w:pPr>
        <w:tabs>
          <w:tab w:val="left" w:pos="567"/>
        </w:tabs>
        <w:jc w:val="center"/>
        <w:outlineLvl w:val="0"/>
        <w:rPr>
          <w:rFonts w:eastAsia="Times New Roman"/>
          <w:b/>
          <w:sz w:val="22"/>
          <w:lang w:val="lt-LT" w:eastAsia="lt-LT" w:bidi="lt-LT"/>
        </w:rPr>
      </w:pPr>
    </w:p>
    <w:p w14:paraId="153810C5" w14:textId="77777777" w:rsidR="009F5848" w:rsidRPr="004509B9" w:rsidRDefault="009F5848" w:rsidP="009F5848">
      <w:pPr>
        <w:tabs>
          <w:tab w:val="left" w:pos="567"/>
        </w:tabs>
        <w:jc w:val="center"/>
        <w:outlineLvl w:val="0"/>
        <w:rPr>
          <w:rFonts w:eastAsia="Times New Roman"/>
          <w:b/>
          <w:sz w:val="22"/>
          <w:lang w:val="lt-LT" w:eastAsia="lt-LT" w:bidi="lt-LT"/>
        </w:rPr>
      </w:pPr>
    </w:p>
    <w:p w14:paraId="22E817BB" w14:textId="77777777" w:rsidR="009F5848" w:rsidRPr="004509B9" w:rsidRDefault="009F5848" w:rsidP="009F5848">
      <w:pPr>
        <w:tabs>
          <w:tab w:val="left" w:pos="567"/>
        </w:tabs>
        <w:jc w:val="center"/>
        <w:outlineLvl w:val="0"/>
        <w:rPr>
          <w:rFonts w:eastAsia="Times New Roman"/>
          <w:b/>
          <w:sz w:val="22"/>
          <w:lang w:val="lt-LT" w:eastAsia="lt-LT" w:bidi="lt-LT"/>
        </w:rPr>
      </w:pPr>
    </w:p>
    <w:p w14:paraId="3CE32352" w14:textId="77777777" w:rsidR="009F5848" w:rsidRPr="004509B9" w:rsidRDefault="009F5848" w:rsidP="009F5848">
      <w:pPr>
        <w:tabs>
          <w:tab w:val="left" w:pos="567"/>
        </w:tabs>
        <w:jc w:val="center"/>
        <w:outlineLvl w:val="0"/>
        <w:rPr>
          <w:rFonts w:eastAsia="Times New Roman"/>
          <w:b/>
          <w:sz w:val="22"/>
          <w:lang w:val="lt-LT" w:eastAsia="lt-LT" w:bidi="lt-LT"/>
        </w:rPr>
      </w:pPr>
    </w:p>
    <w:p w14:paraId="70CED814" w14:textId="77777777" w:rsidR="009F5848" w:rsidRPr="004509B9" w:rsidRDefault="009F5848" w:rsidP="009F5848">
      <w:pPr>
        <w:tabs>
          <w:tab w:val="left" w:pos="567"/>
        </w:tabs>
        <w:jc w:val="center"/>
        <w:outlineLvl w:val="0"/>
        <w:rPr>
          <w:rFonts w:eastAsia="Times New Roman"/>
          <w:b/>
          <w:sz w:val="22"/>
          <w:lang w:val="lt-LT" w:eastAsia="lt-LT" w:bidi="lt-LT"/>
        </w:rPr>
      </w:pPr>
    </w:p>
    <w:p w14:paraId="4A44688F" w14:textId="77777777" w:rsidR="009F5848" w:rsidRPr="004509B9" w:rsidRDefault="009F5848" w:rsidP="009F5848">
      <w:pPr>
        <w:tabs>
          <w:tab w:val="left" w:pos="567"/>
        </w:tabs>
        <w:jc w:val="center"/>
        <w:outlineLvl w:val="0"/>
        <w:rPr>
          <w:rFonts w:eastAsia="Times New Roman"/>
          <w:b/>
          <w:sz w:val="22"/>
          <w:lang w:val="lt-LT" w:eastAsia="lt-LT" w:bidi="lt-LT"/>
        </w:rPr>
      </w:pPr>
    </w:p>
    <w:p w14:paraId="3D6C0200" w14:textId="77777777" w:rsidR="009F5848" w:rsidRPr="004509B9" w:rsidRDefault="009F5848" w:rsidP="009F5848">
      <w:pPr>
        <w:tabs>
          <w:tab w:val="left" w:pos="567"/>
        </w:tabs>
        <w:jc w:val="center"/>
        <w:outlineLvl w:val="0"/>
        <w:rPr>
          <w:rFonts w:eastAsia="Times New Roman"/>
          <w:b/>
          <w:sz w:val="22"/>
          <w:lang w:val="lt-LT" w:eastAsia="lt-LT" w:bidi="lt-LT"/>
        </w:rPr>
      </w:pPr>
    </w:p>
    <w:p w14:paraId="7395A1D9" w14:textId="77777777" w:rsidR="009F5848" w:rsidRPr="004509B9" w:rsidRDefault="009F5848" w:rsidP="009F5848">
      <w:pPr>
        <w:tabs>
          <w:tab w:val="left" w:pos="567"/>
        </w:tabs>
        <w:jc w:val="center"/>
        <w:outlineLvl w:val="0"/>
        <w:rPr>
          <w:rFonts w:eastAsia="Times New Roman"/>
          <w:b/>
          <w:sz w:val="22"/>
          <w:lang w:val="lt-LT" w:eastAsia="lt-LT" w:bidi="lt-LT"/>
        </w:rPr>
      </w:pPr>
    </w:p>
    <w:p w14:paraId="4E6EF898" w14:textId="77777777" w:rsidR="009F5848" w:rsidRPr="004509B9" w:rsidRDefault="009F5848" w:rsidP="009F5848">
      <w:pPr>
        <w:tabs>
          <w:tab w:val="left" w:pos="567"/>
        </w:tabs>
        <w:jc w:val="center"/>
        <w:outlineLvl w:val="0"/>
        <w:rPr>
          <w:rFonts w:eastAsia="Times New Roman"/>
          <w:b/>
          <w:sz w:val="22"/>
          <w:lang w:val="lt-LT" w:eastAsia="lt-LT" w:bidi="lt-LT"/>
        </w:rPr>
      </w:pPr>
    </w:p>
    <w:p w14:paraId="1243B551" w14:textId="77777777" w:rsidR="009F5848" w:rsidRPr="004509B9" w:rsidRDefault="009F5848" w:rsidP="009F5848">
      <w:pPr>
        <w:tabs>
          <w:tab w:val="left" w:pos="567"/>
        </w:tabs>
        <w:jc w:val="center"/>
        <w:outlineLvl w:val="0"/>
        <w:rPr>
          <w:rFonts w:eastAsia="Times New Roman"/>
          <w:b/>
          <w:sz w:val="22"/>
          <w:lang w:val="lt-LT" w:eastAsia="lt-LT" w:bidi="lt-LT"/>
        </w:rPr>
      </w:pPr>
    </w:p>
    <w:p w14:paraId="4A8F8C96" w14:textId="77777777" w:rsidR="009F5848" w:rsidRPr="004509B9" w:rsidRDefault="009F5848" w:rsidP="009F5848">
      <w:pPr>
        <w:tabs>
          <w:tab w:val="left" w:pos="567"/>
        </w:tabs>
        <w:jc w:val="center"/>
        <w:outlineLvl w:val="0"/>
        <w:rPr>
          <w:rFonts w:eastAsia="Times New Roman"/>
          <w:b/>
          <w:sz w:val="22"/>
          <w:lang w:val="lt-LT" w:eastAsia="lt-LT" w:bidi="lt-LT"/>
        </w:rPr>
      </w:pPr>
    </w:p>
    <w:p w14:paraId="00113E1F" w14:textId="77777777" w:rsidR="009F5848" w:rsidRPr="004509B9" w:rsidRDefault="009F5848" w:rsidP="009F5848">
      <w:pPr>
        <w:tabs>
          <w:tab w:val="left" w:pos="567"/>
        </w:tabs>
        <w:jc w:val="center"/>
        <w:outlineLvl w:val="0"/>
        <w:rPr>
          <w:rFonts w:eastAsia="Times New Roman"/>
          <w:b/>
          <w:sz w:val="22"/>
          <w:lang w:val="lt-LT" w:eastAsia="lt-LT" w:bidi="lt-LT"/>
        </w:rPr>
      </w:pPr>
    </w:p>
    <w:p w14:paraId="3088E6C2" w14:textId="77777777" w:rsidR="009F5848" w:rsidRPr="004509B9" w:rsidRDefault="009F5848" w:rsidP="009F5848">
      <w:pPr>
        <w:tabs>
          <w:tab w:val="left" w:pos="567"/>
        </w:tabs>
        <w:jc w:val="center"/>
        <w:outlineLvl w:val="0"/>
        <w:rPr>
          <w:rFonts w:eastAsia="Times New Roman"/>
          <w:b/>
          <w:sz w:val="22"/>
          <w:lang w:val="lt-LT" w:eastAsia="lt-LT" w:bidi="lt-LT"/>
        </w:rPr>
      </w:pPr>
    </w:p>
    <w:p w14:paraId="0F095C80" w14:textId="77777777" w:rsidR="009F5848" w:rsidRPr="004509B9" w:rsidRDefault="009F5848" w:rsidP="009F5848">
      <w:pPr>
        <w:tabs>
          <w:tab w:val="left" w:pos="567"/>
        </w:tabs>
        <w:jc w:val="center"/>
        <w:outlineLvl w:val="0"/>
        <w:rPr>
          <w:rFonts w:eastAsia="Times New Roman"/>
          <w:b/>
          <w:sz w:val="22"/>
          <w:lang w:val="lt-LT" w:eastAsia="lt-LT" w:bidi="lt-LT"/>
        </w:rPr>
      </w:pPr>
    </w:p>
    <w:p w14:paraId="752E4834" w14:textId="77777777" w:rsidR="00FE4CE4" w:rsidRDefault="00FE4CE4" w:rsidP="009F5848">
      <w:pPr>
        <w:tabs>
          <w:tab w:val="left" w:pos="567"/>
        </w:tabs>
        <w:jc w:val="center"/>
        <w:outlineLvl w:val="0"/>
        <w:rPr>
          <w:rFonts w:eastAsia="Times New Roman"/>
          <w:b/>
          <w:sz w:val="22"/>
          <w:lang w:val="lt-LT" w:eastAsia="lt-LT" w:bidi="lt-LT"/>
        </w:rPr>
      </w:pPr>
    </w:p>
    <w:p w14:paraId="0B94EB74" w14:textId="77777777" w:rsidR="009F5848" w:rsidRPr="004509B9" w:rsidRDefault="009F5848" w:rsidP="009F5848">
      <w:pPr>
        <w:tabs>
          <w:tab w:val="left" w:pos="567"/>
        </w:tabs>
        <w:jc w:val="center"/>
        <w:outlineLvl w:val="0"/>
        <w:rPr>
          <w:rFonts w:eastAsia="Times New Roman"/>
          <w:sz w:val="22"/>
          <w:lang w:val="lt-LT" w:eastAsia="lt-LT" w:bidi="lt-LT"/>
        </w:rPr>
      </w:pPr>
      <w:r w:rsidRPr="004509B9">
        <w:rPr>
          <w:rFonts w:eastAsia="Times New Roman"/>
          <w:b/>
          <w:sz w:val="22"/>
          <w:lang w:val="lt-LT" w:eastAsia="lt-LT" w:bidi="lt-LT"/>
        </w:rPr>
        <w:t>I PRIEDAS</w:t>
      </w:r>
    </w:p>
    <w:p w14:paraId="6B197EA8" w14:textId="77777777" w:rsidR="009F5848" w:rsidRPr="004509B9" w:rsidRDefault="009F5848" w:rsidP="009F5848">
      <w:pPr>
        <w:tabs>
          <w:tab w:val="left" w:pos="567"/>
        </w:tabs>
        <w:jc w:val="center"/>
        <w:outlineLvl w:val="0"/>
        <w:rPr>
          <w:rFonts w:eastAsia="Times New Roman"/>
          <w:sz w:val="22"/>
          <w:lang w:val="lt-LT" w:eastAsia="lt-LT" w:bidi="lt-LT"/>
        </w:rPr>
      </w:pPr>
    </w:p>
    <w:p w14:paraId="4C1CD1BD" w14:textId="77777777" w:rsidR="009F5848" w:rsidRPr="004509B9" w:rsidRDefault="009F5848" w:rsidP="009F5848">
      <w:pPr>
        <w:tabs>
          <w:tab w:val="left" w:pos="567"/>
        </w:tabs>
        <w:jc w:val="center"/>
        <w:outlineLvl w:val="0"/>
        <w:rPr>
          <w:rFonts w:eastAsia="Times New Roman"/>
          <w:sz w:val="22"/>
          <w:lang w:val="lt-LT" w:eastAsia="lt-LT" w:bidi="lt-LT"/>
        </w:rPr>
      </w:pPr>
      <w:r w:rsidRPr="004509B9">
        <w:rPr>
          <w:rFonts w:eastAsia="Times New Roman"/>
          <w:b/>
          <w:sz w:val="22"/>
          <w:lang w:val="lt-LT" w:eastAsia="lt-LT" w:bidi="lt-LT"/>
        </w:rPr>
        <w:t>PREPARATO CHARAKTERISTIKŲ SANTRAUKA</w:t>
      </w:r>
    </w:p>
    <w:p w14:paraId="08A73048" w14:textId="77777777" w:rsidR="009F5848" w:rsidRPr="004509B9" w:rsidRDefault="009F5848" w:rsidP="009F5848">
      <w:pPr>
        <w:autoSpaceDE w:val="0"/>
        <w:autoSpaceDN w:val="0"/>
        <w:adjustRightInd w:val="0"/>
        <w:rPr>
          <w:rFonts w:eastAsia="TimesNewRoman,Bold"/>
          <w:b/>
          <w:bCs/>
          <w:sz w:val="22"/>
          <w:szCs w:val="22"/>
          <w:lang w:val="lt-LT" w:eastAsia="en-US"/>
        </w:rPr>
      </w:pPr>
    </w:p>
    <w:p w14:paraId="10F3EDDC" w14:textId="77777777" w:rsidR="009F5848" w:rsidRPr="004509B9" w:rsidRDefault="009F5848" w:rsidP="009F5848">
      <w:pPr>
        <w:autoSpaceDE w:val="0"/>
        <w:autoSpaceDN w:val="0"/>
        <w:adjustRightInd w:val="0"/>
        <w:rPr>
          <w:rFonts w:eastAsia="TimesNewRoman,Bold"/>
          <w:b/>
          <w:bCs/>
          <w:sz w:val="22"/>
          <w:szCs w:val="22"/>
          <w:lang w:val="lt-LT" w:eastAsia="en-US"/>
        </w:rPr>
      </w:pPr>
    </w:p>
    <w:p w14:paraId="78F8D122" w14:textId="77777777" w:rsidR="009F5848" w:rsidRPr="004509B9" w:rsidRDefault="009F5848" w:rsidP="009F5848">
      <w:pPr>
        <w:autoSpaceDE w:val="0"/>
        <w:autoSpaceDN w:val="0"/>
        <w:adjustRightInd w:val="0"/>
        <w:rPr>
          <w:rFonts w:eastAsia="TimesNewRoman,Bold"/>
          <w:b/>
          <w:bCs/>
          <w:sz w:val="22"/>
          <w:szCs w:val="22"/>
          <w:lang w:val="lt-LT" w:eastAsia="en-US"/>
        </w:rPr>
      </w:pPr>
    </w:p>
    <w:p w14:paraId="7C7BF8BD" w14:textId="77777777" w:rsidR="009F5848" w:rsidRPr="004509B9" w:rsidRDefault="009F5848" w:rsidP="009F5848">
      <w:pPr>
        <w:autoSpaceDE w:val="0"/>
        <w:autoSpaceDN w:val="0"/>
        <w:adjustRightInd w:val="0"/>
        <w:rPr>
          <w:rFonts w:eastAsia="TimesNewRoman,Bold"/>
          <w:b/>
          <w:bCs/>
          <w:sz w:val="22"/>
          <w:szCs w:val="22"/>
          <w:lang w:val="lt-LT" w:eastAsia="en-US"/>
        </w:rPr>
      </w:pPr>
    </w:p>
    <w:p w14:paraId="3B026060" w14:textId="77777777" w:rsidR="009F5848" w:rsidRPr="004509B9" w:rsidRDefault="009F5848" w:rsidP="009F5848">
      <w:pPr>
        <w:autoSpaceDE w:val="0"/>
        <w:autoSpaceDN w:val="0"/>
        <w:adjustRightInd w:val="0"/>
        <w:rPr>
          <w:rFonts w:eastAsia="TimesNewRoman,Bold"/>
          <w:b/>
          <w:bCs/>
          <w:sz w:val="22"/>
          <w:szCs w:val="22"/>
          <w:lang w:val="lt-LT" w:eastAsia="en-US"/>
        </w:rPr>
      </w:pPr>
    </w:p>
    <w:p w14:paraId="65380423" w14:textId="77777777" w:rsidR="009F5848" w:rsidRPr="004509B9" w:rsidRDefault="009F5848" w:rsidP="009F5848">
      <w:pPr>
        <w:autoSpaceDE w:val="0"/>
        <w:autoSpaceDN w:val="0"/>
        <w:adjustRightInd w:val="0"/>
        <w:rPr>
          <w:rFonts w:eastAsia="TimesNewRoman,Bold"/>
          <w:b/>
          <w:bCs/>
          <w:sz w:val="22"/>
          <w:szCs w:val="22"/>
          <w:lang w:val="lt-LT" w:eastAsia="en-US"/>
        </w:rPr>
      </w:pPr>
    </w:p>
    <w:p w14:paraId="31039493" w14:textId="77777777" w:rsidR="009F5848" w:rsidRPr="004509B9" w:rsidRDefault="009F5848" w:rsidP="009F5848">
      <w:pPr>
        <w:autoSpaceDE w:val="0"/>
        <w:autoSpaceDN w:val="0"/>
        <w:adjustRightInd w:val="0"/>
        <w:rPr>
          <w:rFonts w:eastAsia="TimesNewRoman,Bold"/>
          <w:b/>
          <w:bCs/>
          <w:sz w:val="22"/>
          <w:szCs w:val="22"/>
          <w:lang w:val="lt-LT" w:eastAsia="en-US"/>
        </w:rPr>
      </w:pPr>
    </w:p>
    <w:p w14:paraId="7167876B" w14:textId="77777777" w:rsidR="009F5848" w:rsidRPr="004509B9" w:rsidRDefault="009F5848" w:rsidP="009F5848">
      <w:pPr>
        <w:autoSpaceDE w:val="0"/>
        <w:autoSpaceDN w:val="0"/>
        <w:adjustRightInd w:val="0"/>
        <w:rPr>
          <w:rFonts w:eastAsia="TimesNewRoman,Bold"/>
          <w:b/>
          <w:bCs/>
          <w:sz w:val="22"/>
          <w:szCs w:val="22"/>
          <w:lang w:val="lt-LT" w:eastAsia="en-US"/>
        </w:rPr>
      </w:pPr>
    </w:p>
    <w:p w14:paraId="2BC300AB" w14:textId="77777777" w:rsidR="009F5848" w:rsidRPr="004509B9" w:rsidRDefault="009F5848" w:rsidP="009F5848">
      <w:pPr>
        <w:autoSpaceDE w:val="0"/>
        <w:autoSpaceDN w:val="0"/>
        <w:adjustRightInd w:val="0"/>
        <w:rPr>
          <w:rFonts w:eastAsia="TimesNewRoman,Bold"/>
          <w:b/>
          <w:bCs/>
          <w:sz w:val="22"/>
          <w:szCs w:val="22"/>
          <w:lang w:val="lt-LT" w:eastAsia="en-US"/>
        </w:rPr>
      </w:pPr>
    </w:p>
    <w:p w14:paraId="72FD7011" w14:textId="77777777" w:rsidR="009F5848" w:rsidRPr="004509B9" w:rsidRDefault="009F5848" w:rsidP="009F5848">
      <w:pPr>
        <w:autoSpaceDE w:val="0"/>
        <w:autoSpaceDN w:val="0"/>
        <w:adjustRightInd w:val="0"/>
        <w:rPr>
          <w:rFonts w:eastAsia="TimesNewRoman,Bold"/>
          <w:b/>
          <w:bCs/>
          <w:sz w:val="22"/>
          <w:szCs w:val="22"/>
          <w:lang w:val="lt-LT" w:eastAsia="en-US"/>
        </w:rPr>
      </w:pPr>
    </w:p>
    <w:p w14:paraId="7FC1351B" w14:textId="77777777" w:rsidR="009F5848" w:rsidRPr="004509B9" w:rsidRDefault="009F5848" w:rsidP="009F5848">
      <w:pPr>
        <w:autoSpaceDE w:val="0"/>
        <w:autoSpaceDN w:val="0"/>
        <w:adjustRightInd w:val="0"/>
        <w:rPr>
          <w:rFonts w:eastAsia="TimesNewRoman,Bold"/>
          <w:b/>
          <w:bCs/>
          <w:sz w:val="22"/>
          <w:szCs w:val="22"/>
          <w:lang w:val="lt-LT" w:eastAsia="en-US"/>
        </w:rPr>
      </w:pPr>
    </w:p>
    <w:p w14:paraId="321F539B" w14:textId="77777777" w:rsidR="009F5848" w:rsidRPr="004509B9" w:rsidRDefault="009F5848" w:rsidP="009F5848">
      <w:pPr>
        <w:autoSpaceDE w:val="0"/>
        <w:autoSpaceDN w:val="0"/>
        <w:adjustRightInd w:val="0"/>
        <w:rPr>
          <w:rFonts w:eastAsia="TimesNewRoman,Bold"/>
          <w:b/>
          <w:bCs/>
          <w:sz w:val="22"/>
          <w:szCs w:val="22"/>
          <w:lang w:val="lt-LT" w:eastAsia="en-US"/>
        </w:rPr>
      </w:pPr>
    </w:p>
    <w:p w14:paraId="76D73274" w14:textId="77777777" w:rsidR="009F5848" w:rsidRPr="004509B9" w:rsidRDefault="009F5848" w:rsidP="009F5848">
      <w:pPr>
        <w:autoSpaceDE w:val="0"/>
        <w:autoSpaceDN w:val="0"/>
        <w:adjustRightInd w:val="0"/>
        <w:rPr>
          <w:rFonts w:eastAsia="TimesNewRoman,Bold"/>
          <w:b/>
          <w:bCs/>
          <w:sz w:val="22"/>
          <w:szCs w:val="22"/>
          <w:lang w:val="lt-LT" w:eastAsia="en-US"/>
        </w:rPr>
      </w:pPr>
    </w:p>
    <w:p w14:paraId="38B7817B" w14:textId="77777777" w:rsidR="009F5848" w:rsidRPr="004509B9" w:rsidRDefault="009F5848" w:rsidP="009F5848">
      <w:pPr>
        <w:autoSpaceDE w:val="0"/>
        <w:autoSpaceDN w:val="0"/>
        <w:adjustRightInd w:val="0"/>
        <w:rPr>
          <w:rFonts w:eastAsia="TimesNewRoman,Bold"/>
          <w:b/>
          <w:bCs/>
          <w:sz w:val="22"/>
          <w:szCs w:val="22"/>
          <w:lang w:val="lt-LT" w:eastAsia="en-US"/>
        </w:rPr>
      </w:pPr>
    </w:p>
    <w:p w14:paraId="72EF108A" w14:textId="77777777" w:rsidR="009F5848" w:rsidRPr="004509B9" w:rsidRDefault="009F5848" w:rsidP="009F5848">
      <w:pPr>
        <w:autoSpaceDE w:val="0"/>
        <w:autoSpaceDN w:val="0"/>
        <w:adjustRightInd w:val="0"/>
        <w:rPr>
          <w:rFonts w:eastAsia="TimesNewRoman,Bold"/>
          <w:b/>
          <w:bCs/>
          <w:sz w:val="22"/>
          <w:szCs w:val="22"/>
          <w:lang w:val="lt-LT" w:eastAsia="en-US"/>
        </w:rPr>
      </w:pPr>
    </w:p>
    <w:p w14:paraId="585A7B90" w14:textId="77777777" w:rsidR="009F5848" w:rsidRPr="004509B9" w:rsidRDefault="009F5848" w:rsidP="009F5848">
      <w:pPr>
        <w:autoSpaceDE w:val="0"/>
        <w:autoSpaceDN w:val="0"/>
        <w:adjustRightInd w:val="0"/>
        <w:rPr>
          <w:rFonts w:eastAsia="TimesNewRoman,Bold"/>
          <w:b/>
          <w:bCs/>
          <w:sz w:val="22"/>
          <w:szCs w:val="22"/>
          <w:lang w:val="lt-LT" w:eastAsia="en-US"/>
        </w:rPr>
      </w:pPr>
    </w:p>
    <w:p w14:paraId="22431FDA" w14:textId="77777777" w:rsidR="009F5848" w:rsidRPr="004509B9" w:rsidRDefault="009F5848" w:rsidP="009F5848">
      <w:pPr>
        <w:autoSpaceDE w:val="0"/>
        <w:autoSpaceDN w:val="0"/>
        <w:adjustRightInd w:val="0"/>
        <w:rPr>
          <w:rFonts w:eastAsia="TimesNewRoman,Bold"/>
          <w:b/>
          <w:bCs/>
          <w:sz w:val="22"/>
          <w:szCs w:val="22"/>
          <w:lang w:val="lt-LT" w:eastAsia="en-US"/>
        </w:rPr>
      </w:pPr>
    </w:p>
    <w:p w14:paraId="0429AE30" w14:textId="77777777" w:rsidR="009F5848" w:rsidRPr="004509B9" w:rsidRDefault="009F5848" w:rsidP="009F5848">
      <w:pPr>
        <w:autoSpaceDE w:val="0"/>
        <w:autoSpaceDN w:val="0"/>
        <w:adjustRightInd w:val="0"/>
        <w:rPr>
          <w:rFonts w:eastAsia="TimesNewRoman,Bold"/>
          <w:b/>
          <w:bCs/>
          <w:sz w:val="22"/>
          <w:szCs w:val="22"/>
          <w:lang w:val="lt-LT" w:eastAsia="en-US"/>
        </w:rPr>
      </w:pPr>
    </w:p>
    <w:p w14:paraId="4E0C1F8F" w14:textId="77777777" w:rsidR="009F5848" w:rsidRPr="004509B9" w:rsidRDefault="009F5848" w:rsidP="009F5848">
      <w:pPr>
        <w:autoSpaceDE w:val="0"/>
        <w:autoSpaceDN w:val="0"/>
        <w:adjustRightInd w:val="0"/>
        <w:rPr>
          <w:rFonts w:eastAsia="TimesNewRoman,Bold"/>
          <w:b/>
          <w:bCs/>
          <w:sz w:val="22"/>
          <w:szCs w:val="22"/>
          <w:lang w:val="lt-LT" w:eastAsia="en-US"/>
        </w:rPr>
      </w:pPr>
    </w:p>
    <w:p w14:paraId="42238CA9" w14:textId="77777777" w:rsidR="009F5848" w:rsidRPr="004509B9" w:rsidRDefault="009F5848" w:rsidP="009F5848">
      <w:pPr>
        <w:autoSpaceDE w:val="0"/>
        <w:autoSpaceDN w:val="0"/>
        <w:adjustRightInd w:val="0"/>
        <w:rPr>
          <w:rFonts w:eastAsia="TimesNewRoman,Bold"/>
          <w:b/>
          <w:bCs/>
          <w:sz w:val="22"/>
          <w:szCs w:val="22"/>
          <w:lang w:val="lt-LT" w:eastAsia="en-US"/>
        </w:rPr>
      </w:pPr>
    </w:p>
    <w:p w14:paraId="68D815D2" w14:textId="77777777" w:rsidR="009F5848" w:rsidRPr="004509B9" w:rsidRDefault="009F5848" w:rsidP="009F5848">
      <w:pPr>
        <w:autoSpaceDE w:val="0"/>
        <w:autoSpaceDN w:val="0"/>
        <w:adjustRightInd w:val="0"/>
        <w:rPr>
          <w:rFonts w:eastAsia="TimesNewRoman,Bold"/>
          <w:b/>
          <w:bCs/>
          <w:sz w:val="22"/>
          <w:szCs w:val="22"/>
          <w:lang w:val="lt-LT" w:eastAsia="en-US"/>
        </w:rPr>
      </w:pPr>
    </w:p>
    <w:p w14:paraId="44C9FEBE" w14:textId="77777777" w:rsidR="009F5848" w:rsidRPr="004509B9" w:rsidRDefault="009F5848" w:rsidP="009F5848">
      <w:pPr>
        <w:autoSpaceDE w:val="0"/>
        <w:autoSpaceDN w:val="0"/>
        <w:adjustRightInd w:val="0"/>
        <w:rPr>
          <w:rFonts w:eastAsia="TimesNewRoman,Bold"/>
          <w:b/>
          <w:bCs/>
          <w:sz w:val="22"/>
          <w:szCs w:val="22"/>
          <w:lang w:val="lt-LT" w:eastAsia="en-US"/>
        </w:rPr>
      </w:pPr>
    </w:p>
    <w:p w14:paraId="143E969E" w14:textId="77777777" w:rsidR="009F5848" w:rsidRPr="004509B9" w:rsidRDefault="009F5848" w:rsidP="009F5848">
      <w:pPr>
        <w:autoSpaceDE w:val="0"/>
        <w:autoSpaceDN w:val="0"/>
        <w:adjustRightInd w:val="0"/>
        <w:rPr>
          <w:rFonts w:eastAsia="TimesNewRoman,Bold"/>
          <w:b/>
          <w:bCs/>
          <w:sz w:val="22"/>
          <w:szCs w:val="22"/>
          <w:lang w:val="lt-LT" w:eastAsia="en-US"/>
        </w:rPr>
      </w:pPr>
    </w:p>
    <w:p w14:paraId="4024EBD6" w14:textId="77777777" w:rsidR="009F5848" w:rsidRPr="004509B9" w:rsidRDefault="009F5848" w:rsidP="009F5848">
      <w:pPr>
        <w:autoSpaceDE w:val="0"/>
        <w:autoSpaceDN w:val="0"/>
        <w:adjustRightInd w:val="0"/>
        <w:rPr>
          <w:rFonts w:eastAsia="TimesNewRoman,Bold"/>
          <w:b/>
          <w:bCs/>
          <w:sz w:val="22"/>
          <w:szCs w:val="22"/>
          <w:lang w:val="lt-LT" w:eastAsia="en-US"/>
        </w:rPr>
      </w:pPr>
    </w:p>
    <w:p w14:paraId="637852AC" w14:textId="77777777" w:rsidR="009F5848" w:rsidRPr="004509B9" w:rsidRDefault="009F5848" w:rsidP="009F5848">
      <w:pPr>
        <w:autoSpaceDE w:val="0"/>
        <w:autoSpaceDN w:val="0"/>
        <w:adjustRightInd w:val="0"/>
        <w:rPr>
          <w:rFonts w:eastAsia="TimesNewRoman,Bold"/>
          <w:b/>
          <w:bCs/>
          <w:sz w:val="22"/>
          <w:szCs w:val="22"/>
          <w:lang w:val="lt-LT" w:eastAsia="en-US"/>
        </w:rPr>
      </w:pPr>
    </w:p>
    <w:p w14:paraId="1A0879D6" w14:textId="77777777" w:rsidR="009F5848" w:rsidRPr="004509B9" w:rsidRDefault="009F5848" w:rsidP="009F5848">
      <w:pPr>
        <w:autoSpaceDE w:val="0"/>
        <w:autoSpaceDN w:val="0"/>
        <w:adjustRightInd w:val="0"/>
        <w:rPr>
          <w:rFonts w:eastAsia="TimesNewRoman,Bold"/>
          <w:b/>
          <w:bCs/>
          <w:sz w:val="22"/>
          <w:szCs w:val="22"/>
          <w:lang w:val="lt-LT" w:eastAsia="en-US"/>
        </w:rPr>
      </w:pPr>
    </w:p>
    <w:p w14:paraId="5236C90E" w14:textId="77777777" w:rsidR="009F5848" w:rsidRPr="004509B9" w:rsidRDefault="009F5848" w:rsidP="009F5848">
      <w:pPr>
        <w:autoSpaceDE w:val="0"/>
        <w:autoSpaceDN w:val="0"/>
        <w:adjustRightInd w:val="0"/>
        <w:rPr>
          <w:rFonts w:eastAsia="TimesNewRoman,Bold"/>
          <w:b/>
          <w:bCs/>
          <w:sz w:val="22"/>
          <w:szCs w:val="22"/>
          <w:lang w:val="lt-LT" w:eastAsia="en-US"/>
        </w:rPr>
      </w:pPr>
    </w:p>
    <w:p w14:paraId="1ACBEE69" w14:textId="77777777" w:rsidR="009F5848" w:rsidRPr="004509B9" w:rsidRDefault="009F5848" w:rsidP="009F5848">
      <w:pPr>
        <w:autoSpaceDE w:val="0"/>
        <w:autoSpaceDN w:val="0"/>
        <w:adjustRightInd w:val="0"/>
        <w:rPr>
          <w:rFonts w:eastAsia="TimesNewRoman,Bold"/>
          <w:b/>
          <w:bCs/>
          <w:sz w:val="22"/>
          <w:szCs w:val="22"/>
          <w:lang w:val="lt-LT" w:eastAsia="en-US"/>
        </w:rPr>
      </w:pPr>
    </w:p>
    <w:p w14:paraId="1C860132" w14:textId="77777777" w:rsidR="009F5848" w:rsidRPr="004509B9" w:rsidRDefault="009F5848" w:rsidP="009F5848">
      <w:pPr>
        <w:autoSpaceDE w:val="0"/>
        <w:autoSpaceDN w:val="0"/>
        <w:adjustRightInd w:val="0"/>
        <w:rPr>
          <w:rFonts w:eastAsia="TimesNewRoman,Bold"/>
          <w:b/>
          <w:bCs/>
          <w:sz w:val="22"/>
          <w:szCs w:val="22"/>
          <w:lang w:val="lt-LT" w:eastAsia="en-US"/>
        </w:rPr>
      </w:pPr>
    </w:p>
    <w:p w14:paraId="5BE8A6D7" w14:textId="77777777" w:rsidR="009F5848" w:rsidRPr="004509B9" w:rsidRDefault="009F5848" w:rsidP="009F5848">
      <w:pPr>
        <w:autoSpaceDE w:val="0"/>
        <w:autoSpaceDN w:val="0"/>
        <w:adjustRightInd w:val="0"/>
        <w:rPr>
          <w:rFonts w:eastAsia="TimesNewRoman,Bold"/>
          <w:b/>
          <w:bCs/>
          <w:sz w:val="22"/>
          <w:szCs w:val="22"/>
          <w:lang w:val="lt-LT" w:eastAsia="en-US"/>
        </w:rPr>
      </w:pPr>
    </w:p>
    <w:p w14:paraId="0755717B" w14:textId="77777777" w:rsidR="009F5848" w:rsidRPr="004509B9" w:rsidRDefault="009F5848" w:rsidP="009F5848">
      <w:pPr>
        <w:keepNext/>
        <w:numPr>
          <w:ilvl w:val="0"/>
          <w:numId w:val="1"/>
        </w:numPr>
        <w:tabs>
          <w:tab w:val="left" w:pos="567"/>
        </w:tabs>
        <w:suppressAutoHyphens/>
        <w:spacing w:line="260" w:lineRule="exact"/>
        <w:rPr>
          <w:rFonts w:eastAsia="Times New Roman"/>
          <w:noProof/>
          <w:sz w:val="22"/>
          <w:szCs w:val="22"/>
          <w:lang w:val="lt-LT" w:eastAsia="lt-LT" w:bidi="lt-LT"/>
        </w:rPr>
      </w:pPr>
      <w:r w:rsidRPr="004509B9">
        <w:rPr>
          <w:rFonts w:eastAsia="Times New Roman"/>
          <w:b/>
          <w:noProof/>
          <w:sz w:val="22"/>
          <w:lang w:val="lt-LT" w:eastAsia="lt-LT" w:bidi="lt-LT"/>
        </w:rPr>
        <w:t>VAISTINIO PREPARATO PAVADINIMAS</w:t>
      </w:r>
    </w:p>
    <w:p w14:paraId="73EF3A52" w14:textId="77777777" w:rsidR="009F5848" w:rsidRPr="004509B9" w:rsidRDefault="009F5848" w:rsidP="009F5848">
      <w:pPr>
        <w:autoSpaceDE w:val="0"/>
        <w:autoSpaceDN w:val="0"/>
        <w:adjustRightInd w:val="0"/>
        <w:rPr>
          <w:rFonts w:eastAsia="TimesNewRoman"/>
          <w:sz w:val="22"/>
          <w:szCs w:val="22"/>
          <w:lang w:val="lt-LT" w:eastAsia="en-US"/>
        </w:rPr>
      </w:pPr>
    </w:p>
    <w:p w14:paraId="3B9D564C"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Darunavir Teva 600 mg plėvele dengtos tabletės</w:t>
      </w:r>
    </w:p>
    <w:p w14:paraId="1E047ADA" w14:textId="77777777" w:rsidR="009F5848" w:rsidRPr="004509B9" w:rsidRDefault="009F5848" w:rsidP="009F5848">
      <w:pPr>
        <w:autoSpaceDE w:val="0"/>
        <w:autoSpaceDN w:val="0"/>
        <w:adjustRightInd w:val="0"/>
        <w:rPr>
          <w:rFonts w:eastAsia="TimesNewRoman,Bold"/>
          <w:b/>
          <w:bCs/>
          <w:sz w:val="22"/>
          <w:szCs w:val="22"/>
          <w:lang w:val="lt-LT" w:eastAsia="en-US"/>
        </w:rPr>
      </w:pPr>
    </w:p>
    <w:p w14:paraId="2CE9BD7C" w14:textId="77777777" w:rsidR="009F5848" w:rsidRPr="004509B9" w:rsidRDefault="009F5848" w:rsidP="009F5848">
      <w:pPr>
        <w:autoSpaceDE w:val="0"/>
        <w:autoSpaceDN w:val="0"/>
        <w:adjustRightInd w:val="0"/>
        <w:rPr>
          <w:rFonts w:eastAsia="TimesNewRoman,Bold"/>
          <w:b/>
          <w:bCs/>
          <w:sz w:val="22"/>
          <w:szCs w:val="22"/>
          <w:lang w:val="lt-LT" w:eastAsia="en-US"/>
        </w:rPr>
      </w:pPr>
    </w:p>
    <w:p w14:paraId="1E17120B" w14:textId="77777777" w:rsidR="009F5848" w:rsidRPr="004509B9" w:rsidRDefault="009F5848" w:rsidP="009F5848">
      <w:pPr>
        <w:keepNext/>
        <w:numPr>
          <w:ilvl w:val="0"/>
          <w:numId w:val="1"/>
        </w:numPr>
        <w:tabs>
          <w:tab w:val="left" w:pos="567"/>
        </w:tabs>
        <w:suppressAutoHyphens/>
        <w:spacing w:line="260" w:lineRule="exact"/>
        <w:rPr>
          <w:rFonts w:eastAsia="Times New Roman"/>
          <w:noProof/>
          <w:sz w:val="22"/>
          <w:szCs w:val="22"/>
          <w:lang w:val="lt-LT" w:eastAsia="lt-LT" w:bidi="lt-LT"/>
        </w:rPr>
      </w:pPr>
      <w:r w:rsidRPr="004509B9">
        <w:rPr>
          <w:rFonts w:eastAsia="Times New Roman"/>
          <w:b/>
          <w:noProof/>
          <w:sz w:val="22"/>
          <w:lang w:val="lt-LT" w:eastAsia="lt-LT" w:bidi="lt-LT"/>
        </w:rPr>
        <w:t>KOKYBINĖ IR KIEKYBINĖ SUDĖTIS</w:t>
      </w:r>
    </w:p>
    <w:p w14:paraId="761BFB39" w14:textId="77777777" w:rsidR="009F5848" w:rsidRPr="004509B9" w:rsidRDefault="009F5848" w:rsidP="009F5848">
      <w:pPr>
        <w:autoSpaceDE w:val="0"/>
        <w:autoSpaceDN w:val="0"/>
        <w:adjustRightInd w:val="0"/>
        <w:rPr>
          <w:rFonts w:eastAsia="TimesNewRoman"/>
          <w:sz w:val="22"/>
          <w:szCs w:val="22"/>
          <w:lang w:val="lt-LT" w:eastAsia="en-US"/>
        </w:rPr>
      </w:pPr>
    </w:p>
    <w:p w14:paraId="2A81A1A2"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Kiekvienoje plėvele dengtoje tabletėje yra 600 mg darunaviro.</w:t>
      </w:r>
    </w:p>
    <w:p w14:paraId="4A229B4B" w14:textId="77777777" w:rsidR="009F5848" w:rsidRPr="004509B9" w:rsidRDefault="009F5848" w:rsidP="009F5848">
      <w:pPr>
        <w:autoSpaceDE w:val="0"/>
        <w:autoSpaceDN w:val="0"/>
        <w:adjustRightInd w:val="0"/>
        <w:rPr>
          <w:rFonts w:eastAsia="TimesNewRoman"/>
          <w:sz w:val="22"/>
          <w:szCs w:val="22"/>
          <w:lang w:val="lt-LT" w:eastAsia="en-US"/>
        </w:rPr>
      </w:pPr>
    </w:p>
    <w:p w14:paraId="2CAC651D"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Visos pagalbinės medžiagos išvardytos 6.1 skyriuje.</w:t>
      </w:r>
    </w:p>
    <w:p w14:paraId="6CAFCD58" w14:textId="77777777" w:rsidR="009F5848" w:rsidRPr="004509B9" w:rsidRDefault="009F5848" w:rsidP="009F5848">
      <w:pPr>
        <w:autoSpaceDE w:val="0"/>
        <w:autoSpaceDN w:val="0"/>
        <w:adjustRightInd w:val="0"/>
        <w:rPr>
          <w:rFonts w:eastAsia="TimesNewRoman,Bold"/>
          <w:b/>
          <w:bCs/>
          <w:sz w:val="22"/>
          <w:szCs w:val="22"/>
          <w:lang w:val="lt-LT" w:eastAsia="en-US"/>
        </w:rPr>
      </w:pPr>
    </w:p>
    <w:p w14:paraId="2F659192" w14:textId="77777777" w:rsidR="009F5848" w:rsidRPr="004509B9" w:rsidRDefault="009F5848" w:rsidP="009F5848">
      <w:pPr>
        <w:autoSpaceDE w:val="0"/>
        <w:autoSpaceDN w:val="0"/>
        <w:adjustRightInd w:val="0"/>
        <w:rPr>
          <w:rFonts w:eastAsia="TimesNewRoman,Bold"/>
          <w:b/>
          <w:bCs/>
          <w:sz w:val="22"/>
          <w:szCs w:val="22"/>
          <w:lang w:val="lt-LT" w:eastAsia="en-US"/>
        </w:rPr>
      </w:pPr>
    </w:p>
    <w:p w14:paraId="668E5764" w14:textId="77777777" w:rsidR="009F5848" w:rsidRPr="004509B9" w:rsidRDefault="009F5848" w:rsidP="009F5848">
      <w:pPr>
        <w:keepNext/>
        <w:numPr>
          <w:ilvl w:val="0"/>
          <w:numId w:val="1"/>
        </w:numPr>
        <w:tabs>
          <w:tab w:val="left" w:pos="567"/>
        </w:tabs>
        <w:suppressAutoHyphens/>
        <w:spacing w:line="260" w:lineRule="exact"/>
        <w:rPr>
          <w:rFonts w:eastAsia="Times New Roman"/>
          <w:caps/>
          <w:noProof/>
          <w:sz w:val="22"/>
          <w:szCs w:val="22"/>
          <w:lang w:val="lt-LT" w:eastAsia="lt-LT" w:bidi="lt-LT"/>
        </w:rPr>
      </w:pPr>
      <w:r w:rsidRPr="004509B9">
        <w:rPr>
          <w:rFonts w:eastAsia="Times New Roman"/>
          <w:b/>
          <w:noProof/>
          <w:sz w:val="22"/>
          <w:lang w:val="lt-LT" w:eastAsia="lt-LT" w:bidi="lt-LT"/>
        </w:rPr>
        <w:t>FARMACINĖ FORMA</w:t>
      </w:r>
    </w:p>
    <w:p w14:paraId="7DBB90DC" w14:textId="77777777" w:rsidR="009F5848" w:rsidRPr="004509B9" w:rsidRDefault="009F5848" w:rsidP="009F5848">
      <w:pPr>
        <w:autoSpaceDE w:val="0"/>
        <w:autoSpaceDN w:val="0"/>
        <w:adjustRightInd w:val="0"/>
        <w:rPr>
          <w:rFonts w:eastAsia="TimesNewRoman"/>
          <w:sz w:val="22"/>
          <w:szCs w:val="22"/>
          <w:lang w:val="lt-LT" w:eastAsia="en-US"/>
        </w:rPr>
      </w:pPr>
    </w:p>
    <w:p w14:paraId="1FB13997"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Plėvele dengta tabletė</w:t>
      </w:r>
    </w:p>
    <w:p w14:paraId="6CFB1E75" w14:textId="77777777" w:rsidR="00646DFE" w:rsidRDefault="00646DFE" w:rsidP="009F5848">
      <w:pPr>
        <w:autoSpaceDE w:val="0"/>
        <w:autoSpaceDN w:val="0"/>
        <w:adjustRightInd w:val="0"/>
        <w:rPr>
          <w:rFonts w:eastAsia="TimesNewRoman"/>
          <w:sz w:val="22"/>
          <w:szCs w:val="22"/>
          <w:lang w:val="lt-LT" w:eastAsia="en-US"/>
        </w:rPr>
      </w:pPr>
    </w:p>
    <w:p w14:paraId="78CC6F14"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Darunavir Teva 600 mg</w:t>
      </w:r>
      <w:r w:rsidR="003448FD">
        <w:rPr>
          <w:rFonts w:eastAsia="TimesNewRoman"/>
          <w:sz w:val="22"/>
          <w:szCs w:val="22"/>
          <w:lang w:val="lt-LT" w:eastAsia="en-US"/>
        </w:rPr>
        <w:t xml:space="preserve"> yra</w:t>
      </w:r>
      <w:r w:rsidRPr="004509B9">
        <w:rPr>
          <w:rFonts w:eastAsia="TimesNewRoman"/>
          <w:sz w:val="22"/>
          <w:szCs w:val="22"/>
          <w:lang w:val="lt-LT" w:eastAsia="en-US"/>
        </w:rPr>
        <w:t xml:space="preserve"> oranžinė ovali maždaug 21,4-21,9</w:t>
      </w:r>
      <w:r w:rsidR="003448FD">
        <w:rPr>
          <w:rFonts w:eastAsia="TimesNewRoman"/>
          <w:sz w:val="22"/>
          <w:szCs w:val="22"/>
          <w:lang w:val="lt-LT" w:eastAsia="en-US"/>
        </w:rPr>
        <w:t xml:space="preserve"> </w:t>
      </w:r>
      <w:r w:rsidRPr="004509B9">
        <w:rPr>
          <w:rFonts w:eastAsia="TimesNewRoman"/>
          <w:sz w:val="22"/>
          <w:szCs w:val="22"/>
          <w:lang w:val="lt-LT" w:eastAsia="en-US"/>
        </w:rPr>
        <w:t>x</w:t>
      </w:r>
      <w:r w:rsidR="003448FD">
        <w:rPr>
          <w:rFonts w:eastAsia="TimesNewRoman"/>
          <w:sz w:val="22"/>
          <w:szCs w:val="22"/>
          <w:lang w:val="lt-LT" w:eastAsia="en-US"/>
        </w:rPr>
        <w:t xml:space="preserve"> </w:t>
      </w:r>
      <w:r w:rsidRPr="004509B9">
        <w:rPr>
          <w:rFonts w:eastAsia="TimesNewRoman"/>
          <w:sz w:val="22"/>
          <w:szCs w:val="22"/>
          <w:lang w:val="lt-LT" w:eastAsia="en-US"/>
        </w:rPr>
        <w:t>10,4-10,9 m</w:t>
      </w:r>
      <w:r w:rsidR="00220897" w:rsidRPr="004509B9">
        <w:rPr>
          <w:rFonts w:eastAsia="TimesNewRoman"/>
          <w:sz w:val="22"/>
          <w:szCs w:val="22"/>
          <w:lang w:val="lt-LT" w:eastAsia="en-US"/>
        </w:rPr>
        <w:t>m dydžio plėvele dengta tabletė</w:t>
      </w:r>
      <w:r w:rsidRPr="004509B9">
        <w:rPr>
          <w:rFonts w:eastAsia="TimesNewRoman"/>
          <w:sz w:val="22"/>
          <w:szCs w:val="22"/>
          <w:lang w:val="lt-LT" w:eastAsia="en-US"/>
        </w:rPr>
        <w:t>, kurios vienoje pusėje yra vagelė ir įspaudas „600“</w:t>
      </w:r>
      <w:r w:rsidR="00646DFE">
        <w:rPr>
          <w:rFonts w:eastAsia="TimesNewRoman"/>
          <w:sz w:val="22"/>
          <w:szCs w:val="22"/>
          <w:lang w:val="lt-LT" w:eastAsia="en-US"/>
        </w:rPr>
        <w:t xml:space="preserve"> (kairėje </w:t>
      </w:r>
      <w:r w:rsidR="00896C8E">
        <w:rPr>
          <w:rFonts w:eastAsia="TimesNewRoman"/>
          <w:sz w:val="22"/>
          <w:szCs w:val="22"/>
          <w:lang w:val="lt-LT" w:eastAsia="en-US"/>
        </w:rPr>
        <w:t xml:space="preserve">vagelės </w:t>
      </w:r>
      <w:r w:rsidR="00646DFE">
        <w:rPr>
          <w:rFonts w:eastAsia="TimesNewRoman"/>
          <w:sz w:val="22"/>
          <w:szCs w:val="22"/>
          <w:lang w:val="lt-LT" w:eastAsia="en-US"/>
        </w:rPr>
        <w:t>pusėje)</w:t>
      </w:r>
      <w:r w:rsidRPr="004509B9">
        <w:rPr>
          <w:rFonts w:eastAsia="TimesNewRoman"/>
          <w:sz w:val="22"/>
          <w:szCs w:val="22"/>
          <w:lang w:val="lt-LT" w:eastAsia="en-US"/>
        </w:rPr>
        <w:t xml:space="preserve">, o kita </w:t>
      </w:r>
      <w:r w:rsidR="00896C8E">
        <w:rPr>
          <w:rFonts w:eastAsia="TimesNewRoman"/>
          <w:sz w:val="22"/>
          <w:szCs w:val="22"/>
          <w:lang w:val="lt-LT" w:eastAsia="en-US"/>
        </w:rPr>
        <w:t xml:space="preserve">tabletės </w:t>
      </w:r>
      <w:r w:rsidRPr="004509B9">
        <w:rPr>
          <w:rFonts w:eastAsia="TimesNewRoman"/>
          <w:sz w:val="22"/>
          <w:szCs w:val="22"/>
          <w:lang w:val="lt-LT" w:eastAsia="en-US"/>
        </w:rPr>
        <w:t>pusė lygi.</w:t>
      </w:r>
    </w:p>
    <w:p w14:paraId="55CE46C7"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Tabletę galima padalyti į lygias dozes.</w:t>
      </w:r>
    </w:p>
    <w:p w14:paraId="657E2B83" w14:textId="77777777" w:rsidR="009F5848" w:rsidRPr="004509B9" w:rsidRDefault="009F5848" w:rsidP="009F5848">
      <w:pPr>
        <w:autoSpaceDE w:val="0"/>
        <w:autoSpaceDN w:val="0"/>
        <w:adjustRightInd w:val="0"/>
        <w:rPr>
          <w:rFonts w:eastAsia="TimesNewRoman"/>
          <w:sz w:val="22"/>
          <w:szCs w:val="22"/>
          <w:lang w:val="lt-LT" w:eastAsia="en-US"/>
        </w:rPr>
      </w:pPr>
    </w:p>
    <w:p w14:paraId="34583E05" w14:textId="77777777" w:rsidR="009F5848" w:rsidRPr="004509B9" w:rsidRDefault="009F5848" w:rsidP="009F5848">
      <w:pPr>
        <w:autoSpaceDE w:val="0"/>
        <w:autoSpaceDN w:val="0"/>
        <w:adjustRightInd w:val="0"/>
        <w:rPr>
          <w:rFonts w:eastAsia="TimesNewRoman,Bold"/>
          <w:b/>
          <w:bCs/>
          <w:sz w:val="22"/>
          <w:szCs w:val="22"/>
          <w:lang w:val="lt-LT" w:eastAsia="en-US"/>
        </w:rPr>
      </w:pPr>
    </w:p>
    <w:p w14:paraId="38502234" w14:textId="77777777" w:rsidR="009F5848" w:rsidRPr="004509B9" w:rsidRDefault="009F5848" w:rsidP="009F5848">
      <w:pPr>
        <w:keepNext/>
        <w:numPr>
          <w:ilvl w:val="0"/>
          <w:numId w:val="1"/>
        </w:numPr>
        <w:tabs>
          <w:tab w:val="left" w:pos="567"/>
        </w:tabs>
        <w:suppressAutoHyphens/>
        <w:spacing w:line="260" w:lineRule="exact"/>
        <w:rPr>
          <w:rFonts w:eastAsia="Times New Roman"/>
          <w:caps/>
          <w:noProof/>
          <w:sz w:val="22"/>
          <w:szCs w:val="22"/>
          <w:lang w:val="lt-LT" w:eastAsia="lt-LT" w:bidi="lt-LT"/>
        </w:rPr>
      </w:pPr>
      <w:r w:rsidRPr="004509B9">
        <w:rPr>
          <w:rFonts w:eastAsia="Times New Roman"/>
          <w:b/>
          <w:noProof/>
          <w:sz w:val="22"/>
          <w:lang w:val="lt-LT" w:eastAsia="lt-LT" w:bidi="lt-LT"/>
        </w:rPr>
        <w:t>KLINIKINĖ INFORMACIJA</w:t>
      </w:r>
    </w:p>
    <w:p w14:paraId="753CFD4E" w14:textId="77777777" w:rsidR="009F5848" w:rsidRPr="004509B9" w:rsidRDefault="009F5848" w:rsidP="009F5848">
      <w:pPr>
        <w:keepNext/>
        <w:tabs>
          <w:tab w:val="left" w:pos="567"/>
        </w:tabs>
        <w:rPr>
          <w:rFonts w:eastAsia="Times New Roman"/>
          <w:noProof/>
          <w:sz w:val="22"/>
          <w:szCs w:val="22"/>
          <w:lang w:val="lt-LT" w:eastAsia="lt-LT" w:bidi="lt-LT"/>
        </w:rPr>
      </w:pPr>
    </w:p>
    <w:p w14:paraId="3FCE8010" w14:textId="77777777" w:rsidR="009F5848" w:rsidRPr="004509B9" w:rsidRDefault="009F5848" w:rsidP="009F5848">
      <w:pPr>
        <w:keepNext/>
        <w:numPr>
          <w:ilvl w:val="1"/>
          <w:numId w:val="1"/>
        </w:numPr>
        <w:tabs>
          <w:tab w:val="left" w:pos="567"/>
        </w:tabs>
        <w:spacing w:line="260" w:lineRule="exact"/>
        <w:outlineLvl w:val="0"/>
        <w:rPr>
          <w:rFonts w:eastAsia="Times New Roman"/>
          <w:noProof/>
          <w:sz w:val="22"/>
          <w:szCs w:val="22"/>
          <w:lang w:val="lt-LT" w:eastAsia="lt-LT" w:bidi="lt-LT"/>
        </w:rPr>
      </w:pPr>
      <w:r w:rsidRPr="004509B9">
        <w:rPr>
          <w:rFonts w:eastAsia="Times New Roman"/>
          <w:b/>
          <w:noProof/>
          <w:sz w:val="22"/>
          <w:lang w:val="lt-LT" w:eastAsia="lt-LT" w:bidi="lt-LT"/>
        </w:rPr>
        <w:t>Terapinės indikacijos</w:t>
      </w:r>
    </w:p>
    <w:p w14:paraId="7013C0D9" w14:textId="77777777" w:rsidR="009F5848" w:rsidRPr="004509B9" w:rsidRDefault="009F5848" w:rsidP="009F5848">
      <w:pPr>
        <w:autoSpaceDE w:val="0"/>
        <w:autoSpaceDN w:val="0"/>
        <w:adjustRightInd w:val="0"/>
        <w:rPr>
          <w:rFonts w:eastAsia="TimesNewRoman"/>
          <w:sz w:val="22"/>
          <w:szCs w:val="22"/>
          <w:lang w:val="lt-LT" w:eastAsia="en-US"/>
        </w:rPr>
      </w:pPr>
    </w:p>
    <w:p w14:paraId="40DA3945"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Pacientų, kuriems diagnozuota žmogaus imunodeficito viruso (ŽIV-1) infekcija, gydymas darunaviru kartu su maža ritonaviro doze ir derinyje su kitais antiretrovirusiniais vaistiniais preparatais.</w:t>
      </w:r>
    </w:p>
    <w:p w14:paraId="0ED3F066" w14:textId="77777777" w:rsidR="009F5848" w:rsidRPr="004509B9" w:rsidRDefault="009F5848" w:rsidP="009F5848">
      <w:pPr>
        <w:autoSpaceDE w:val="0"/>
        <w:autoSpaceDN w:val="0"/>
        <w:adjustRightInd w:val="0"/>
        <w:rPr>
          <w:rFonts w:eastAsia="TimesNewRoman"/>
          <w:sz w:val="22"/>
          <w:szCs w:val="22"/>
          <w:lang w:val="lt-LT" w:eastAsia="en-US"/>
        </w:rPr>
      </w:pPr>
    </w:p>
    <w:p w14:paraId="73BA34D8"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Darunavir Teva 600 mg galima vartoti pagal tinkamą dozavimo planą (žr. 4.2 skyrių):</w:t>
      </w:r>
    </w:p>
    <w:p w14:paraId="498A40B9" w14:textId="77777777" w:rsidR="009F5848" w:rsidRPr="004509B9" w:rsidRDefault="009F5848" w:rsidP="009F5848">
      <w:pPr>
        <w:pStyle w:val="BT-EMEASMCA"/>
        <w:rPr>
          <w:sz w:val="22"/>
          <w:szCs w:val="22"/>
          <w:lang w:val="lt-LT" w:eastAsia="en-US"/>
        </w:rPr>
      </w:pPr>
      <w:r w:rsidRPr="004509B9">
        <w:rPr>
          <w:sz w:val="22"/>
          <w:szCs w:val="22"/>
          <w:lang w:val="lt-LT" w:eastAsia="en-US"/>
        </w:rPr>
        <w:t>antiretrovirusinį gydymą (ARG) gavusių suaugusių pacientų, įskaitant anksčiau tinkamai gydytus daugeliu antiretrovirusinių vaistinių preparatų, ŽIV-1 infekcijai gydyti;</w:t>
      </w:r>
    </w:p>
    <w:p w14:paraId="57E1D598" w14:textId="77777777" w:rsidR="009F5848" w:rsidRPr="004509B9" w:rsidRDefault="009F5848" w:rsidP="009F5848">
      <w:pPr>
        <w:pStyle w:val="BT-EMEASMCA"/>
        <w:rPr>
          <w:sz w:val="22"/>
          <w:szCs w:val="22"/>
          <w:lang w:val="lt-LT" w:eastAsia="en-US"/>
        </w:rPr>
      </w:pPr>
      <w:r w:rsidRPr="004509B9">
        <w:rPr>
          <w:sz w:val="22"/>
          <w:szCs w:val="22"/>
          <w:lang w:val="lt-LT" w:eastAsia="en-US"/>
        </w:rPr>
        <w:t>vyresnių kaip 3 metų vaikų ir paauglių, kurių kūno svoris ne mažesnis kaip 15</w:t>
      </w:r>
      <w:r w:rsidR="00026AAE" w:rsidRPr="004509B9">
        <w:rPr>
          <w:sz w:val="22"/>
          <w:szCs w:val="22"/>
          <w:lang w:val="lt-LT" w:eastAsia="en-US"/>
        </w:rPr>
        <w:t> </w:t>
      </w:r>
      <w:r w:rsidRPr="004509B9">
        <w:rPr>
          <w:sz w:val="22"/>
          <w:szCs w:val="22"/>
          <w:lang w:val="lt-LT" w:eastAsia="en-US"/>
        </w:rPr>
        <w:t>kg, ŽIV-1 infekcijai gydyti.</w:t>
      </w:r>
    </w:p>
    <w:p w14:paraId="0DCC00A3" w14:textId="77777777" w:rsidR="00026AAE" w:rsidRPr="004509B9" w:rsidRDefault="00026AAE" w:rsidP="00026AAE">
      <w:pPr>
        <w:autoSpaceDE w:val="0"/>
        <w:autoSpaceDN w:val="0"/>
        <w:adjustRightInd w:val="0"/>
        <w:rPr>
          <w:rFonts w:eastAsia="TimesNewRoman"/>
          <w:sz w:val="22"/>
          <w:szCs w:val="22"/>
          <w:lang w:val="lt-LT" w:eastAsia="en-US"/>
        </w:rPr>
      </w:pPr>
    </w:p>
    <w:p w14:paraId="66412D94" w14:textId="77777777" w:rsidR="00026AAE" w:rsidRPr="004509B9" w:rsidRDefault="00026AAE"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Sprendžiant, ar pradėti gydyti pacientus Darunavir Teva 600 mg kartu su maža ritonaviro doze, reikia atidžiai išnagrinėti kiekvieno paciento ankstesnį gydymą ir su skirtingų vaistinių preparatų vartojimu susijusias būdingas viruso mutacijas. Gydymas Darunavir Teva 600 mg turi būti skiriamas, atsižvelgiant į genotipinio ar fenotipinio tyrimo rezultatus (jei tai atliekama) ir paciento ankstesnį gydymą. </w:t>
      </w:r>
    </w:p>
    <w:p w14:paraId="6D7E61BA" w14:textId="77777777" w:rsidR="009F5848" w:rsidRPr="004509B9" w:rsidRDefault="009F5848" w:rsidP="009F5848">
      <w:pPr>
        <w:pStyle w:val="Sraopastraipa"/>
        <w:autoSpaceDE w:val="0"/>
        <w:autoSpaceDN w:val="0"/>
        <w:adjustRightInd w:val="0"/>
        <w:ind w:left="567"/>
        <w:rPr>
          <w:rFonts w:eastAsia="TimesNewRoman"/>
          <w:sz w:val="22"/>
          <w:szCs w:val="22"/>
          <w:lang w:val="lt-LT" w:eastAsia="en-US"/>
        </w:rPr>
      </w:pPr>
    </w:p>
    <w:p w14:paraId="24780A0B" w14:textId="77777777" w:rsidR="009F5848" w:rsidRPr="004509B9" w:rsidRDefault="009F5848" w:rsidP="009F5848">
      <w:pPr>
        <w:keepNext/>
        <w:numPr>
          <w:ilvl w:val="1"/>
          <w:numId w:val="1"/>
        </w:numPr>
        <w:tabs>
          <w:tab w:val="left" w:pos="567"/>
        </w:tabs>
        <w:spacing w:line="260" w:lineRule="exact"/>
        <w:outlineLvl w:val="0"/>
        <w:rPr>
          <w:rFonts w:eastAsia="Times New Roman"/>
          <w:b/>
          <w:noProof/>
          <w:sz w:val="22"/>
          <w:szCs w:val="22"/>
          <w:lang w:val="lt-LT" w:eastAsia="lt-LT" w:bidi="lt-LT"/>
        </w:rPr>
      </w:pPr>
      <w:r w:rsidRPr="004509B9">
        <w:rPr>
          <w:rFonts w:eastAsia="Times New Roman"/>
          <w:b/>
          <w:noProof/>
          <w:sz w:val="22"/>
          <w:lang w:val="lt-LT" w:eastAsia="lt-LT" w:bidi="lt-LT"/>
        </w:rPr>
        <w:lastRenderedPageBreak/>
        <w:t>Dozavimas ir vartojimo metodas</w:t>
      </w:r>
    </w:p>
    <w:p w14:paraId="2C260A02" w14:textId="77777777" w:rsidR="009F5848" w:rsidRPr="004509B9" w:rsidRDefault="009F5848" w:rsidP="009F5848">
      <w:pPr>
        <w:keepNext/>
        <w:tabs>
          <w:tab w:val="left" w:pos="567"/>
        </w:tabs>
        <w:rPr>
          <w:rFonts w:eastAsia="Times New Roman"/>
          <w:sz w:val="22"/>
          <w:szCs w:val="22"/>
          <w:lang w:val="lt-LT" w:eastAsia="lt-LT" w:bidi="lt-LT"/>
        </w:rPr>
      </w:pPr>
    </w:p>
    <w:p w14:paraId="4A5AC98A"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Gydymą turi pradėti ŽIV infekcijos gydymo patirties turintis sveikatos priežiūros specialistas. Pradėjus gydymą Darunavir Teva, pacientams reikia patarti, kad nekeistų dozavimo, vaisto formos ir nenutrauktų gydymo nepasitarę su sveikatos priežiūros specialistu.</w:t>
      </w:r>
    </w:p>
    <w:p w14:paraId="17F292AB" w14:textId="77777777" w:rsidR="009F5848" w:rsidRPr="004509B9" w:rsidRDefault="009F5848" w:rsidP="009F5848">
      <w:pPr>
        <w:autoSpaceDE w:val="0"/>
        <w:autoSpaceDN w:val="0"/>
        <w:adjustRightInd w:val="0"/>
        <w:rPr>
          <w:rFonts w:eastAsia="TimesNewRoman"/>
          <w:sz w:val="22"/>
          <w:szCs w:val="22"/>
          <w:u w:val="single"/>
          <w:lang w:val="lt-LT" w:eastAsia="en-US"/>
        </w:rPr>
      </w:pPr>
    </w:p>
    <w:p w14:paraId="4FF1744D" w14:textId="77777777" w:rsidR="009F5848" w:rsidRPr="00B801ED" w:rsidRDefault="009F5848" w:rsidP="009F5848">
      <w:pPr>
        <w:autoSpaceDE w:val="0"/>
        <w:autoSpaceDN w:val="0"/>
        <w:adjustRightInd w:val="0"/>
        <w:rPr>
          <w:rFonts w:eastAsia="TimesNewRoman"/>
          <w:sz w:val="22"/>
          <w:szCs w:val="22"/>
          <w:u w:val="single"/>
          <w:lang w:val="lt-LT" w:eastAsia="en-US"/>
        </w:rPr>
      </w:pPr>
      <w:r w:rsidRPr="00B801ED">
        <w:rPr>
          <w:rFonts w:eastAsia="TimesNewRoman"/>
          <w:sz w:val="22"/>
          <w:szCs w:val="22"/>
          <w:u w:val="single"/>
          <w:lang w:val="lt-LT" w:eastAsia="en-US"/>
        </w:rPr>
        <w:t>Dozavimas</w:t>
      </w:r>
    </w:p>
    <w:p w14:paraId="7D078111"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Darunavir Teva visada reikia vartoti per burną kartu su maža ritonaviro, stiprinančio farmakokinetiką, doze ir taip pat kartu su kitais antiretrovirusiniais vaistiniais preparatais. Todėl prieš </w:t>
      </w:r>
      <w:r w:rsidR="00B07A28" w:rsidRPr="004509B9">
        <w:rPr>
          <w:rFonts w:eastAsia="TimesNewRoman"/>
          <w:sz w:val="22"/>
          <w:szCs w:val="22"/>
          <w:lang w:val="lt-LT" w:eastAsia="en-US"/>
        </w:rPr>
        <w:t xml:space="preserve">skiriant </w:t>
      </w:r>
      <w:r w:rsidRPr="004509B9">
        <w:rPr>
          <w:rFonts w:eastAsia="TimesNewRoman"/>
          <w:sz w:val="22"/>
          <w:szCs w:val="22"/>
          <w:lang w:val="lt-LT" w:eastAsia="en-US"/>
        </w:rPr>
        <w:t xml:space="preserve">Darunavir Teva, reikia susipažinti su ritonaviro Preparato charakteristikų santrauka. </w:t>
      </w:r>
    </w:p>
    <w:p w14:paraId="23EF53E0" w14:textId="77777777" w:rsidR="009F5848" w:rsidRPr="004509B9" w:rsidRDefault="009F5848" w:rsidP="009F5848">
      <w:pPr>
        <w:rPr>
          <w:rFonts w:eastAsia="TimesNewRoman"/>
          <w:sz w:val="22"/>
          <w:szCs w:val="22"/>
          <w:lang w:val="lt-LT" w:eastAsia="en-US"/>
        </w:rPr>
      </w:pPr>
    </w:p>
    <w:p w14:paraId="2F718507" w14:textId="77777777" w:rsidR="009F5848" w:rsidRPr="004509B9" w:rsidRDefault="009F5848" w:rsidP="009F5848">
      <w:pPr>
        <w:autoSpaceDE w:val="0"/>
        <w:autoSpaceDN w:val="0"/>
        <w:adjustRightInd w:val="0"/>
        <w:rPr>
          <w:i/>
          <w:iCs/>
          <w:sz w:val="22"/>
          <w:szCs w:val="22"/>
          <w:lang w:val="lt-LT" w:eastAsia="en-US"/>
        </w:rPr>
      </w:pPr>
      <w:r w:rsidRPr="004509B9">
        <w:rPr>
          <w:i/>
          <w:iCs/>
          <w:sz w:val="22"/>
          <w:szCs w:val="22"/>
          <w:lang w:val="lt-LT" w:eastAsia="en-US"/>
        </w:rPr>
        <w:t>Suaugusieji pacientai, kuriems taikytas ARG</w:t>
      </w:r>
    </w:p>
    <w:p w14:paraId="3109306A" w14:textId="77777777" w:rsidR="00B07A28" w:rsidRPr="004509B9" w:rsidRDefault="00B07A28" w:rsidP="009F5848">
      <w:pPr>
        <w:pStyle w:val="BT-EMEASMCA"/>
        <w:numPr>
          <w:ilvl w:val="0"/>
          <w:numId w:val="0"/>
        </w:numPr>
        <w:rPr>
          <w:sz w:val="22"/>
          <w:szCs w:val="22"/>
          <w:lang w:val="lt-LT" w:eastAsia="en-US"/>
        </w:rPr>
      </w:pPr>
      <w:r w:rsidRPr="004509B9">
        <w:rPr>
          <w:sz w:val="22"/>
          <w:szCs w:val="22"/>
          <w:lang w:val="lt-LT" w:eastAsia="en-US"/>
        </w:rPr>
        <w:t>Rekomenduojama</w:t>
      </w:r>
      <w:r w:rsidR="009F5848" w:rsidRPr="004509B9">
        <w:rPr>
          <w:sz w:val="22"/>
          <w:szCs w:val="22"/>
          <w:lang w:val="lt-LT" w:eastAsia="en-US"/>
        </w:rPr>
        <w:t>s dozavimas yra 600 mg vaistinio preparato du kartus per parą kartu su 100 mg ritonav</w:t>
      </w:r>
      <w:r w:rsidR="00B801ED">
        <w:rPr>
          <w:sz w:val="22"/>
          <w:szCs w:val="22"/>
          <w:lang w:val="lt-LT" w:eastAsia="en-US"/>
        </w:rPr>
        <w:t>iro du kartus per parą valgant.</w:t>
      </w:r>
      <w:r w:rsidR="005A132A">
        <w:rPr>
          <w:sz w:val="22"/>
          <w:szCs w:val="22"/>
          <w:lang w:val="lt-LT" w:eastAsia="en-US"/>
        </w:rPr>
        <w:t xml:space="preserve"> Darunavir Teva 600 mg tabletės gali būti vartojamos du kartus per parą 600mg dozavimu.</w:t>
      </w:r>
    </w:p>
    <w:p w14:paraId="4893284D" w14:textId="77777777" w:rsidR="00646B80" w:rsidRPr="004509B9" w:rsidRDefault="00646B80" w:rsidP="009F5848">
      <w:pPr>
        <w:pStyle w:val="BT-EMEASMCA"/>
        <w:numPr>
          <w:ilvl w:val="0"/>
          <w:numId w:val="0"/>
        </w:numPr>
        <w:rPr>
          <w:sz w:val="22"/>
          <w:szCs w:val="22"/>
          <w:lang w:val="lt-LT" w:eastAsia="en-US"/>
        </w:rPr>
      </w:pPr>
    </w:p>
    <w:p w14:paraId="507DEAFD" w14:textId="77777777" w:rsidR="00B07A28" w:rsidRPr="004509B9" w:rsidRDefault="00B07A28" w:rsidP="009F5848">
      <w:pPr>
        <w:pStyle w:val="BT-EMEASMCA"/>
        <w:numPr>
          <w:ilvl w:val="0"/>
          <w:numId w:val="0"/>
        </w:numPr>
        <w:rPr>
          <w:sz w:val="22"/>
          <w:szCs w:val="22"/>
          <w:lang w:val="lt-LT" w:eastAsia="en-US"/>
        </w:rPr>
      </w:pPr>
      <w:r w:rsidRPr="004509B9">
        <w:rPr>
          <w:sz w:val="22"/>
          <w:szCs w:val="22"/>
          <w:lang w:val="lt-LT" w:eastAsia="en-US"/>
        </w:rPr>
        <w:t>Jeigu pacientui sunku nuryti 600 mg tabletes, rekomenduojamai dozei galima vartoti 150 mg tabletes.</w:t>
      </w:r>
    </w:p>
    <w:p w14:paraId="09ACBDA9" w14:textId="77777777" w:rsidR="00646B80" w:rsidRPr="004509B9" w:rsidRDefault="00646B80" w:rsidP="00B07A28">
      <w:pPr>
        <w:rPr>
          <w:sz w:val="22"/>
          <w:szCs w:val="22"/>
          <w:lang w:val="lt-LT" w:eastAsia="en-US"/>
        </w:rPr>
      </w:pPr>
    </w:p>
    <w:p w14:paraId="42F4B664" w14:textId="77777777" w:rsidR="00646B80" w:rsidRPr="004509B9" w:rsidRDefault="00B07A28" w:rsidP="00B07A28">
      <w:pPr>
        <w:rPr>
          <w:sz w:val="22"/>
          <w:szCs w:val="22"/>
          <w:lang w:val="lt-LT" w:eastAsia="en-US"/>
        </w:rPr>
      </w:pPr>
      <w:r w:rsidRPr="004509B9">
        <w:rPr>
          <w:sz w:val="22"/>
          <w:szCs w:val="22"/>
          <w:lang w:val="lt-LT" w:eastAsia="en-US"/>
        </w:rPr>
        <w:t>Pacientams, kuriems buvo taikytas ARG bei nėra su mutacijomis susijusio atsparumo</w:t>
      </w:r>
      <w:r w:rsidR="00B801ED">
        <w:rPr>
          <w:sz w:val="22"/>
          <w:szCs w:val="22"/>
          <w:lang w:val="lt-LT" w:eastAsia="en-US"/>
        </w:rPr>
        <w:t xml:space="preserve"> darunavir</w:t>
      </w:r>
      <w:r w:rsidRPr="004509B9">
        <w:rPr>
          <w:sz w:val="22"/>
          <w:szCs w:val="22"/>
          <w:lang w:val="lt-LT" w:eastAsia="en-US"/>
        </w:rPr>
        <w:t>ui (DRV-ASM)* ir kurių ŽIV-1 RNR kiekis plazmoje &lt; 100 000 kopijų/ml, o CD4+ ląstelių kiekis ≥ 100 ląstelių x 10</w:t>
      </w:r>
      <w:r w:rsidRPr="004509B9">
        <w:rPr>
          <w:sz w:val="22"/>
          <w:szCs w:val="22"/>
          <w:vertAlign w:val="superscript"/>
          <w:lang w:val="lt-LT" w:eastAsia="en-US"/>
        </w:rPr>
        <w:t>6</w:t>
      </w:r>
      <w:r w:rsidRPr="004509B9">
        <w:rPr>
          <w:sz w:val="22"/>
          <w:szCs w:val="22"/>
          <w:lang w:val="lt-LT" w:eastAsia="en-US"/>
        </w:rPr>
        <w:t>/l (žr. 4.1 skyrių), galima taikyti dozavimo planą, pagal kurį reikia vartoti 800 mg dozę</w:t>
      </w:r>
      <w:r w:rsidR="001564C8">
        <w:rPr>
          <w:sz w:val="22"/>
          <w:szCs w:val="22"/>
          <w:lang w:val="lt-LT" w:eastAsia="en-US"/>
        </w:rPr>
        <w:t xml:space="preserve"> su k</w:t>
      </w:r>
      <w:r w:rsidR="001002DC">
        <w:rPr>
          <w:sz w:val="22"/>
          <w:szCs w:val="22"/>
          <w:lang w:val="lt-LT" w:eastAsia="en-US"/>
        </w:rPr>
        <w:t xml:space="preserve">obicistato 150 mg arba ritonaviro 100 mg kartą per parą su maistu. </w:t>
      </w:r>
      <w:r w:rsidRPr="004509B9">
        <w:rPr>
          <w:sz w:val="22"/>
          <w:szCs w:val="22"/>
          <w:lang w:val="lt-LT" w:eastAsia="en-US"/>
        </w:rPr>
        <w:t xml:space="preserve"> (žr. </w:t>
      </w:r>
      <w:r w:rsidR="00646B80" w:rsidRPr="004509B9">
        <w:rPr>
          <w:rFonts w:eastAsia="TimesNewRoman"/>
          <w:sz w:val="22"/>
          <w:szCs w:val="22"/>
          <w:lang w:val="lt-LT" w:eastAsia="en-US"/>
        </w:rPr>
        <w:t>Darunavir Teva</w:t>
      </w:r>
      <w:r w:rsidR="00646B80" w:rsidRPr="004509B9">
        <w:rPr>
          <w:sz w:val="22"/>
          <w:szCs w:val="22"/>
          <w:lang w:val="lt-LT" w:eastAsia="en-US"/>
        </w:rPr>
        <w:t xml:space="preserve"> 400 mg tablečių Preparato charakteristikų santrauką).</w:t>
      </w:r>
    </w:p>
    <w:p w14:paraId="4105E46F" w14:textId="77777777" w:rsidR="009F5848" w:rsidRPr="004509B9" w:rsidRDefault="009F5848" w:rsidP="009F5848">
      <w:pPr>
        <w:pStyle w:val="BT-EMEASMCA"/>
        <w:numPr>
          <w:ilvl w:val="0"/>
          <w:numId w:val="0"/>
        </w:numPr>
        <w:rPr>
          <w:sz w:val="20"/>
          <w:lang w:val="lt-LT" w:eastAsia="en-US"/>
        </w:rPr>
      </w:pPr>
      <w:r w:rsidRPr="004509B9">
        <w:rPr>
          <w:sz w:val="20"/>
          <w:lang w:val="lt-LT" w:eastAsia="en-US"/>
        </w:rPr>
        <w:t>*DRV-ASM: V11I, V32I, L33F, I47V, I50V, I54M, I54L, T74P, L76V, I84V ir L89V.</w:t>
      </w:r>
    </w:p>
    <w:p w14:paraId="1A194274" w14:textId="77777777" w:rsidR="009F5848" w:rsidRPr="004509B9" w:rsidRDefault="009F5848" w:rsidP="009F5848">
      <w:pPr>
        <w:autoSpaceDE w:val="0"/>
        <w:autoSpaceDN w:val="0"/>
        <w:adjustRightInd w:val="0"/>
        <w:rPr>
          <w:i/>
          <w:iCs/>
          <w:sz w:val="22"/>
          <w:szCs w:val="22"/>
          <w:lang w:val="lt-LT" w:eastAsia="en-US"/>
        </w:rPr>
      </w:pPr>
    </w:p>
    <w:p w14:paraId="56172498" w14:textId="77777777" w:rsidR="00646B80" w:rsidRPr="004509B9" w:rsidRDefault="00646B80" w:rsidP="00646B80">
      <w:pPr>
        <w:autoSpaceDE w:val="0"/>
        <w:autoSpaceDN w:val="0"/>
        <w:adjustRightInd w:val="0"/>
        <w:rPr>
          <w:i/>
          <w:iCs/>
          <w:sz w:val="22"/>
          <w:szCs w:val="22"/>
          <w:lang w:val="lt-LT" w:eastAsia="en-US"/>
        </w:rPr>
      </w:pPr>
      <w:r w:rsidRPr="004509B9">
        <w:rPr>
          <w:i/>
          <w:iCs/>
          <w:sz w:val="22"/>
          <w:szCs w:val="22"/>
          <w:lang w:val="lt-LT" w:eastAsia="en-US"/>
        </w:rPr>
        <w:t>Suaugusieji pacientai, kuriems ARG netaikytas</w:t>
      </w:r>
    </w:p>
    <w:p w14:paraId="50E3CDDC" w14:textId="77777777" w:rsidR="00646B80" w:rsidRPr="004509B9" w:rsidRDefault="00646B80" w:rsidP="00646B80">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Apie šiems pacientams rekomenduojamą dozavimo planą žr. Darunavir Teva 400 mg tablečių </w:t>
      </w:r>
      <w:r w:rsidR="00756286">
        <w:rPr>
          <w:rFonts w:eastAsia="TimesNewRoman"/>
          <w:sz w:val="22"/>
          <w:szCs w:val="22"/>
          <w:lang w:val="lt-LT" w:eastAsia="en-US"/>
        </w:rPr>
        <w:t>p</w:t>
      </w:r>
      <w:r w:rsidRPr="004509B9">
        <w:rPr>
          <w:rFonts w:eastAsia="TimesNewRoman"/>
          <w:sz w:val="22"/>
          <w:szCs w:val="22"/>
          <w:lang w:val="lt-LT" w:eastAsia="en-US"/>
        </w:rPr>
        <w:t>reparato charakteristikų santraukoje.</w:t>
      </w:r>
    </w:p>
    <w:p w14:paraId="4E5D4750" w14:textId="77777777" w:rsidR="00646B80" w:rsidRPr="004509B9" w:rsidRDefault="00646B80" w:rsidP="009F5848">
      <w:pPr>
        <w:autoSpaceDE w:val="0"/>
        <w:autoSpaceDN w:val="0"/>
        <w:adjustRightInd w:val="0"/>
        <w:rPr>
          <w:i/>
          <w:iCs/>
          <w:sz w:val="22"/>
          <w:szCs w:val="22"/>
          <w:lang w:val="lt-LT" w:eastAsia="en-US"/>
        </w:rPr>
      </w:pPr>
    </w:p>
    <w:p w14:paraId="6B85B275" w14:textId="77777777" w:rsidR="009F5848" w:rsidRPr="004509B9" w:rsidRDefault="009F5848" w:rsidP="009F5848">
      <w:pPr>
        <w:autoSpaceDE w:val="0"/>
        <w:autoSpaceDN w:val="0"/>
        <w:adjustRightInd w:val="0"/>
        <w:rPr>
          <w:i/>
          <w:iCs/>
          <w:sz w:val="22"/>
          <w:szCs w:val="22"/>
          <w:lang w:val="lt-LT" w:eastAsia="en-US"/>
        </w:rPr>
      </w:pPr>
      <w:r w:rsidRPr="004509B9">
        <w:rPr>
          <w:i/>
          <w:iCs/>
          <w:sz w:val="22"/>
          <w:szCs w:val="22"/>
          <w:lang w:val="lt-LT" w:eastAsia="en-US"/>
        </w:rPr>
        <w:t>Vaikų populiacijos pacientai, kuriems nebuvo taikytas ARG (nuo 3 iki 17</w:t>
      </w:r>
      <w:r w:rsidR="00646B80" w:rsidRPr="004509B9">
        <w:rPr>
          <w:i/>
          <w:iCs/>
          <w:sz w:val="22"/>
          <w:szCs w:val="22"/>
          <w:lang w:val="lt-LT" w:eastAsia="en-US"/>
        </w:rPr>
        <w:t xml:space="preserve"> metų, kurie sveria mažiausiai 15</w:t>
      </w:r>
      <w:r w:rsidRPr="004509B9">
        <w:rPr>
          <w:i/>
          <w:iCs/>
          <w:sz w:val="22"/>
          <w:szCs w:val="22"/>
          <w:lang w:val="lt-LT" w:eastAsia="en-US"/>
        </w:rPr>
        <w:t> kilogramų)</w:t>
      </w:r>
    </w:p>
    <w:p w14:paraId="031C3003" w14:textId="77777777" w:rsidR="00646B80"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Rekomenduojam</w:t>
      </w:r>
      <w:r w:rsidR="00646B80" w:rsidRPr="004509B9">
        <w:rPr>
          <w:rFonts w:eastAsia="TimesNewRoman"/>
          <w:sz w:val="22"/>
          <w:szCs w:val="22"/>
          <w:lang w:val="lt-LT" w:eastAsia="en-US"/>
        </w:rPr>
        <w:t>as Darunavir Teva ir ritonaviro dozavimas vaikų populiacijos pacientams pagal kūno svorį pateikiamas žemiau esančioje lentelėje.</w:t>
      </w:r>
    </w:p>
    <w:p w14:paraId="6B6AA027" w14:textId="77777777" w:rsidR="00EE2CC9" w:rsidRPr="00C75EC3" w:rsidRDefault="00EE2CC9" w:rsidP="00EE2CC9">
      <w:pPr>
        <w:autoSpaceDE w:val="0"/>
        <w:autoSpaceDN w:val="0"/>
        <w:adjustRightInd w:val="0"/>
        <w:rPr>
          <w:rFonts w:ascii="TimesNewRoman" w:eastAsia="TimesNewRoman" w:hAnsi="Calibri" w:cs="TimesNewRoman"/>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6318"/>
      </w:tblGrid>
      <w:tr w:rsidR="00EE2CC9" w:rsidRPr="00C75EC3" w14:paraId="2C11DACE" w14:textId="77777777" w:rsidTr="00C75EC3">
        <w:tc>
          <w:tcPr>
            <w:tcW w:w="9288" w:type="dxa"/>
            <w:gridSpan w:val="2"/>
            <w:shd w:val="clear" w:color="auto" w:fill="auto"/>
          </w:tcPr>
          <w:p w14:paraId="748EF9CB" w14:textId="77777777" w:rsidR="00EE2CC9" w:rsidRPr="00C75EC3" w:rsidRDefault="00EE2CC9" w:rsidP="00C75EC3">
            <w:pPr>
              <w:autoSpaceDE w:val="0"/>
              <w:autoSpaceDN w:val="0"/>
              <w:adjustRightInd w:val="0"/>
              <w:jc w:val="center"/>
              <w:rPr>
                <w:rFonts w:ascii="TimesNewRoman" w:eastAsia="TimesNewRoman" w:hAnsi="Calibri" w:cs="TimesNewRoman"/>
                <w:sz w:val="22"/>
                <w:szCs w:val="22"/>
                <w:lang w:val="lt-LT" w:eastAsia="en-US"/>
              </w:rPr>
            </w:pPr>
            <w:r w:rsidRPr="00C75EC3">
              <w:rPr>
                <w:rFonts w:eastAsia="TimesNewRoman,Bold"/>
                <w:b/>
                <w:bCs/>
                <w:sz w:val="22"/>
                <w:szCs w:val="22"/>
                <w:lang w:val="lt-LT" w:eastAsia="en-US"/>
              </w:rPr>
              <w:t xml:space="preserve">Rekomenduojama </w:t>
            </w:r>
            <w:r w:rsidRPr="00C75EC3">
              <w:rPr>
                <w:rFonts w:eastAsia="TimesNewRoman"/>
                <w:b/>
                <w:sz w:val="22"/>
                <w:szCs w:val="22"/>
                <w:lang w:val="lt-LT" w:eastAsia="en-US"/>
              </w:rPr>
              <w:t>Darunavir Teva</w:t>
            </w:r>
            <w:r w:rsidRPr="00C75EC3">
              <w:rPr>
                <w:rFonts w:eastAsia="TimesNewRoman,Bold"/>
                <w:b/>
                <w:bCs/>
                <w:sz w:val="22"/>
                <w:szCs w:val="22"/>
                <w:lang w:val="lt-LT" w:eastAsia="en-US"/>
              </w:rPr>
              <w:t xml:space="preserve"> ir ritonaviro dozė negydytiems vaikų populiacijos pacientams (3-17 metų)</w:t>
            </w:r>
            <w:r w:rsidRPr="00C75EC3">
              <w:rPr>
                <w:rFonts w:eastAsia="TimesNewRoman,Bold"/>
                <w:b/>
                <w:bCs/>
                <w:sz w:val="22"/>
                <w:szCs w:val="22"/>
                <w:vertAlign w:val="superscript"/>
                <w:lang w:val="lt-LT" w:eastAsia="en-US"/>
              </w:rPr>
              <w:t>a</w:t>
            </w:r>
          </w:p>
        </w:tc>
      </w:tr>
      <w:tr w:rsidR="00EE2CC9" w:rsidRPr="00C75EC3" w14:paraId="5662319C" w14:textId="77777777" w:rsidTr="00C75EC3">
        <w:tc>
          <w:tcPr>
            <w:tcW w:w="2802" w:type="dxa"/>
            <w:shd w:val="clear" w:color="auto" w:fill="auto"/>
          </w:tcPr>
          <w:p w14:paraId="4403E6A1" w14:textId="77777777" w:rsidR="00EE2CC9" w:rsidRPr="00C75EC3" w:rsidRDefault="00EE2CC9" w:rsidP="00C75EC3">
            <w:pPr>
              <w:autoSpaceDE w:val="0"/>
              <w:autoSpaceDN w:val="0"/>
              <w:adjustRightInd w:val="0"/>
              <w:rPr>
                <w:rFonts w:eastAsia="TimesNewRoman"/>
                <w:sz w:val="22"/>
                <w:szCs w:val="22"/>
                <w:lang w:val="lt-LT" w:eastAsia="en-US"/>
              </w:rPr>
            </w:pPr>
            <w:r w:rsidRPr="00C75EC3">
              <w:rPr>
                <w:rFonts w:eastAsia="TimesNewRoman,Bold"/>
                <w:b/>
                <w:bCs/>
                <w:sz w:val="22"/>
                <w:szCs w:val="22"/>
                <w:lang w:val="lt-LT" w:eastAsia="en-US"/>
              </w:rPr>
              <w:t>Kūno svoris (kg)</w:t>
            </w:r>
          </w:p>
        </w:tc>
        <w:tc>
          <w:tcPr>
            <w:tcW w:w="6486" w:type="dxa"/>
            <w:shd w:val="clear" w:color="auto" w:fill="auto"/>
          </w:tcPr>
          <w:p w14:paraId="64B38780" w14:textId="77777777" w:rsidR="00EE2CC9" w:rsidRPr="00C75EC3" w:rsidRDefault="00EE2CC9" w:rsidP="00C75EC3">
            <w:pPr>
              <w:autoSpaceDE w:val="0"/>
              <w:autoSpaceDN w:val="0"/>
              <w:adjustRightInd w:val="0"/>
              <w:rPr>
                <w:rFonts w:eastAsia="TimesNewRoman"/>
                <w:sz w:val="22"/>
                <w:szCs w:val="22"/>
                <w:lang w:val="lt-LT" w:eastAsia="en-US"/>
              </w:rPr>
            </w:pPr>
            <w:r w:rsidRPr="00C75EC3">
              <w:rPr>
                <w:rFonts w:eastAsia="TimesNewRoman,Bold"/>
                <w:b/>
                <w:bCs/>
                <w:sz w:val="22"/>
                <w:szCs w:val="22"/>
                <w:lang w:val="lt-LT" w:eastAsia="en-US"/>
              </w:rPr>
              <w:t>Dozė (vieną kartą per parą valgant)</w:t>
            </w:r>
          </w:p>
        </w:tc>
      </w:tr>
      <w:tr w:rsidR="00EE2CC9" w:rsidRPr="00C75EC3" w14:paraId="5E572637" w14:textId="77777777" w:rsidTr="00C75EC3">
        <w:tc>
          <w:tcPr>
            <w:tcW w:w="2802" w:type="dxa"/>
            <w:shd w:val="clear" w:color="auto" w:fill="auto"/>
          </w:tcPr>
          <w:p w14:paraId="10160E08" w14:textId="77777777" w:rsidR="00EE2CC9" w:rsidRPr="00C75EC3" w:rsidRDefault="00EE2CC9"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 15 kg - &lt; 30 kg</w:t>
            </w:r>
          </w:p>
        </w:tc>
        <w:tc>
          <w:tcPr>
            <w:tcW w:w="6486" w:type="dxa"/>
            <w:shd w:val="clear" w:color="auto" w:fill="auto"/>
          </w:tcPr>
          <w:p w14:paraId="39251303" w14:textId="77777777" w:rsidR="00EE2CC9" w:rsidRPr="00C75EC3" w:rsidRDefault="00EE2CC9"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600 mg Darunavir Teva /100 mg ritonaviro (vieną kartą per parą)</w:t>
            </w:r>
          </w:p>
        </w:tc>
      </w:tr>
      <w:tr w:rsidR="00EE2CC9" w:rsidRPr="00C75EC3" w14:paraId="680FDA24" w14:textId="77777777" w:rsidTr="00C75EC3">
        <w:tc>
          <w:tcPr>
            <w:tcW w:w="2802" w:type="dxa"/>
            <w:shd w:val="clear" w:color="auto" w:fill="auto"/>
          </w:tcPr>
          <w:p w14:paraId="5061FACC" w14:textId="77777777" w:rsidR="00EE2CC9" w:rsidRPr="00C75EC3" w:rsidRDefault="00EE2CC9"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 30 kg - &lt; 40 kg</w:t>
            </w:r>
          </w:p>
        </w:tc>
        <w:tc>
          <w:tcPr>
            <w:tcW w:w="6486" w:type="dxa"/>
            <w:shd w:val="clear" w:color="auto" w:fill="auto"/>
          </w:tcPr>
          <w:p w14:paraId="59DF56C0" w14:textId="77777777" w:rsidR="00EE2CC9" w:rsidRPr="00C75EC3" w:rsidRDefault="00EE2CC9"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675 mg Darunavir Teva /100 mg ritonaviro (vieną kartą per parą)</w:t>
            </w:r>
          </w:p>
        </w:tc>
      </w:tr>
      <w:tr w:rsidR="00EE2CC9" w:rsidRPr="00C75EC3" w14:paraId="63591E38" w14:textId="77777777" w:rsidTr="00C75EC3">
        <w:tc>
          <w:tcPr>
            <w:tcW w:w="2802" w:type="dxa"/>
            <w:shd w:val="clear" w:color="auto" w:fill="auto"/>
          </w:tcPr>
          <w:p w14:paraId="4330817A" w14:textId="77777777" w:rsidR="00EE2CC9" w:rsidRPr="00C75EC3" w:rsidRDefault="00EE2CC9"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&gt; 40 kg</w:t>
            </w:r>
          </w:p>
        </w:tc>
        <w:tc>
          <w:tcPr>
            <w:tcW w:w="6486" w:type="dxa"/>
            <w:shd w:val="clear" w:color="auto" w:fill="auto"/>
          </w:tcPr>
          <w:p w14:paraId="36E3FC76" w14:textId="77777777" w:rsidR="00EE2CC9" w:rsidRPr="00C75EC3" w:rsidRDefault="00EE2CC9"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800 mg Darunavir Teva /100 mg ritonaviro (vieną kartą per parą)</w:t>
            </w:r>
          </w:p>
        </w:tc>
      </w:tr>
    </w:tbl>
    <w:p w14:paraId="6CE94500" w14:textId="77777777" w:rsidR="00646B80" w:rsidRPr="004509B9" w:rsidRDefault="00EE2CC9" w:rsidP="00EE2CC9">
      <w:pPr>
        <w:autoSpaceDE w:val="0"/>
        <w:autoSpaceDN w:val="0"/>
        <w:adjustRightInd w:val="0"/>
        <w:rPr>
          <w:rFonts w:eastAsia="TimesNewRoman"/>
          <w:sz w:val="22"/>
          <w:szCs w:val="22"/>
          <w:lang w:val="lt-LT" w:eastAsia="en-US"/>
        </w:rPr>
      </w:pPr>
      <w:r w:rsidRPr="004509B9">
        <w:rPr>
          <w:rFonts w:eastAsia="TimesNewRoman"/>
          <w:sz w:val="18"/>
          <w:szCs w:val="18"/>
          <w:vertAlign w:val="superscript"/>
          <w:lang w:val="lt-LT" w:eastAsia="en-US"/>
        </w:rPr>
        <w:t xml:space="preserve">a </w:t>
      </w:r>
      <w:r w:rsidRPr="004509B9">
        <w:rPr>
          <w:rFonts w:eastAsia="TimesNewRoman"/>
          <w:sz w:val="18"/>
          <w:szCs w:val="18"/>
          <w:lang w:val="lt-LT" w:eastAsia="en-US"/>
        </w:rPr>
        <w:t>Ritonaviro geriamas</w:t>
      </w:r>
      <w:r w:rsidR="00E16C6C" w:rsidRPr="004509B9">
        <w:rPr>
          <w:rFonts w:eastAsia="TimesNewRoman"/>
          <w:sz w:val="18"/>
          <w:szCs w:val="18"/>
          <w:lang w:val="lt-LT" w:eastAsia="en-US"/>
        </w:rPr>
        <w:t>is</w:t>
      </w:r>
      <w:r w:rsidRPr="004509B9">
        <w:rPr>
          <w:rFonts w:eastAsia="TimesNewRoman"/>
          <w:sz w:val="18"/>
          <w:szCs w:val="18"/>
          <w:lang w:val="lt-LT" w:eastAsia="en-US"/>
        </w:rPr>
        <w:t xml:space="preserve"> tirpalas: 80 mg/ml.</w:t>
      </w:r>
    </w:p>
    <w:p w14:paraId="4C08F81A" w14:textId="77777777" w:rsidR="00EE2CC9" w:rsidRDefault="00EE2CC9" w:rsidP="009F5848">
      <w:pPr>
        <w:autoSpaceDE w:val="0"/>
        <w:autoSpaceDN w:val="0"/>
        <w:adjustRightInd w:val="0"/>
        <w:rPr>
          <w:rFonts w:eastAsia="TimesNewRoman"/>
          <w:sz w:val="22"/>
          <w:szCs w:val="22"/>
          <w:lang w:val="lt-LT" w:eastAsia="en-US"/>
        </w:rPr>
      </w:pPr>
    </w:p>
    <w:p w14:paraId="0F22D4E4" w14:textId="77777777" w:rsidR="00912F9A" w:rsidRPr="00912F9A" w:rsidRDefault="00912F9A" w:rsidP="00912F9A">
      <w:pPr>
        <w:rPr>
          <w:sz w:val="22"/>
          <w:szCs w:val="22"/>
          <w:lang w:val="lt-LT"/>
        </w:rPr>
      </w:pPr>
      <w:r w:rsidRPr="00832FC3">
        <w:rPr>
          <w:sz w:val="22"/>
          <w:szCs w:val="22"/>
          <w:lang w:val="lt-LT"/>
        </w:rPr>
        <w:t xml:space="preserve">Šio vaistinio preparato visų stiprumo formų nėra. Dėl to nėra galimybių vartoti 675 mg dozę. Norint vartoti šią dozę reikia naudoti kitus rinkoje </w:t>
      </w:r>
      <w:r>
        <w:rPr>
          <w:sz w:val="22"/>
          <w:szCs w:val="22"/>
          <w:lang w:val="lt-LT"/>
        </w:rPr>
        <w:t>esančius darunaviro preparatus.</w:t>
      </w:r>
    </w:p>
    <w:p w14:paraId="464DE154" w14:textId="77777777" w:rsidR="00912F9A" w:rsidRPr="004509B9" w:rsidRDefault="00912F9A" w:rsidP="009F5848">
      <w:pPr>
        <w:autoSpaceDE w:val="0"/>
        <w:autoSpaceDN w:val="0"/>
        <w:adjustRightInd w:val="0"/>
        <w:rPr>
          <w:rFonts w:eastAsia="TimesNewRoman"/>
          <w:sz w:val="22"/>
          <w:szCs w:val="22"/>
          <w:lang w:val="lt-LT" w:eastAsia="en-US"/>
        </w:rPr>
      </w:pPr>
    </w:p>
    <w:p w14:paraId="34CA3DB1" w14:textId="77777777" w:rsidR="00FC7B00" w:rsidRPr="004509B9" w:rsidRDefault="00FC7B00" w:rsidP="00FC7B00">
      <w:pPr>
        <w:autoSpaceDE w:val="0"/>
        <w:autoSpaceDN w:val="0"/>
        <w:adjustRightInd w:val="0"/>
        <w:rPr>
          <w:i/>
          <w:iCs/>
          <w:sz w:val="22"/>
          <w:szCs w:val="22"/>
          <w:lang w:val="lt-LT" w:eastAsia="en-US"/>
        </w:rPr>
      </w:pPr>
      <w:r w:rsidRPr="004509B9">
        <w:rPr>
          <w:i/>
          <w:iCs/>
          <w:sz w:val="22"/>
          <w:szCs w:val="22"/>
          <w:lang w:val="lt-LT" w:eastAsia="en-US"/>
        </w:rPr>
        <w:lastRenderedPageBreak/>
        <w:t>Vaikų populiacijos pacientai (nuo 3 iki 17 metų, kurie sveria ne mažiau kaip 15 kg), kuriems taikytas ARG</w:t>
      </w:r>
    </w:p>
    <w:p w14:paraId="4DAD7189" w14:textId="77777777" w:rsidR="00FC7B00" w:rsidRPr="004509B9" w:rsidRDefault="00FC7B00" w:rsidP="00FC7B00">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Paprastai rekomenduojama vartoti Darunavir Teva du kartus per parą kartu su ritonaviru, valgant.</w:t>
      </w:r>
    </w:p>
    <w:p w14:paraId="11E9847E" w14:textId="77777777" w:rsidR="00FC7B00" w:rsidRPr="004509B9" w:rsidRDefault="00FC7B00" w:rsidP="009F5848">
      <w:pPr>
        <w:autoSpaceDE w:val="0"/>
        <w:autoSpaceDN w:val="0"/>
        <w:adjustRightInd w:val="0"/>
        <w:rPr>
          <w:rFonts w:eastAsia="TimesNewRoman"/>
          <w:sz w:val="22"/>
          <w:szCs w:val="22"/>
          <w:lang w:val="lt-LT" w:eastAsia="en-US"/>
        </w:rPr>
      </w:pPr>
    </w:p>
    <w:p w14:paraId="468C8295" w14:textId="77777777" w:rsidR="00FC7B00" w:rsidRPr="004509B9" w:rsidRDefault="00FC7B00" w:rsidP="00FC7B00">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Galima taikyti dozavimo planą, pagal kurį </w:t>
      </w:r>
      <w:r w:rsidR="006470F4" w:rsidRPr="004509B9">
        <w:rPr>
          <w:rFonts w:eastAsia="TimesNewRoman"/>
          <w:sz w:val="22"/>
          <w:szCs w:val="22"/>
          <w:lang w:val="lt-LT" w:eastAsia="en-US"/>
        </w:rPr>
        <w:t>Darunavir Teva</w:t>
      </w:r>
      <w:r w:rsidRPr="004509B9">
        <w:rPr>
          <w:rFonts w:eastAsia="TimesNewRoman"/>
          <w:sz w:val="22"/>
          <w:szCs w:val="22"/>
          <w:lang w:val="lt-LT" w:eastAsia="en-US"/>
        </w:rPr>
        <w:t>, vartojant vieną kartą per parą kartu su</w:t>
      </w:r>
      <w:r w:rsidR="007F62DB" w:rsidRPr="004509B9">
        <w:rPr>
          <w:rFonts w:eastAsia="TimesNewRoman"/>
          <w:sz w:val="22"/>
          <w:szCs w:val="22"/>
          <w:lang w:val="lt-LT" w:eastAsia="en-US"/>
        </w:rPr>
        <w:t xml:space="preserve"> </w:t>
      </w:r>
      <w:r w:rsidRPr="004509B9">
        <w:rPr>
          <w:rFonts w:eastAsia="TimesNewRoman"/>
          <w:sz w:val="22"/>
          <w:szCs w:val="22"/>
          <w:lang w:val="lt-LT" w:eastAsia="en-US"/>
        </w:rPr>
        <w:t>ritonaviru valgio metu, galima gydyti pacientus, kurie pirmiau buvo gydyti antiretrovirusiniais</w:t>
      </w:r>
      <w:r w:rsidR="007F62DB" w:rsidRPr="004509B9">
        <w:rPr>
          <w:rFonts w:eastAsia="TimesNewRoman"/>
          <w:sz w:val="22"/>
          <w:szCs w:val="22"/>
          <w:lang w:val="lt-LT" w:eastAsia="en-US"/>
        </w:rPr>
        <w:t xml:space="preserve"> </w:t>
      </w:r>
      <w:r w:rsidRPr="004509B9">
        <w:rPr>
          <w:rFonts w:eastAsia="TimesNewRoman"/>
          <w:sz w:val="22"/>
          <w:szCs w:val="22"/>
          <w:lang w:val="lt-LT" w:eastAsia="en-US"/>
        </w:rPr>
        <w:t>vaistiniais preparatais, bet neturi su mutacijomis susijusio atsparumo darunavirui (DRV-ASM)</w:t>
      </w:r>
      <w:r w:rsidR="007F62DB" w:rsidRPr="004509B9">
        <w:rPr>
          <w:rFonts w:eastAsia="TimesNewRoman"/>
          <w:sz w:val="22"/>
          <w:szCs w:val="22"/>
          <w:vertAlign w:val="superscript"/>
          <w:lang w:val="lt-LT" w:eastAsia="en-US"/>
        </w:rPr>
        <w:t>*</w:t>
      </w:r>
      <w:r w:rsidR="00B801ED">
        <w:rPr>
          <w:rFonts w:eastAsia="TimesNewRoman"/>
          <w:sz w:val="22"/>
          <w:szCs w:val="22"/>
          <w:vertAlign w:val="superscript"/>
          <w:lang w:val="lt-LT" w:eastAsia="en-US"/>
        </w:rPr>
        <w:t xml:space="preserve"> </w:t>
      </w:r>
      <w:r w:rsidRPr="004509B9">
        <w:rPr>
          <w:rFonts w:eastAsia="TimesNewRoman"/>
          <w:sz w:val="22"/>
          <w:szCs w:val="22"/>
          <w:lang w:val="lt-LT" w:eastAsia="en-US"/>
        </w:rPr>
        <w:t>ir</w:t>
      </w:r>
      <w:r w:rsidR="007F62DB" w:rsidRPr="004509B9">
        <w:rPr>
          <w:rFonts w:eastAsia="TimesNewRoman"/>
          <w:sz w:val="22"/>
          <w:szCs w:val="22"/>
          <w:lang w:val="lt-LT" w:eastAsia="en-US"/>
        </w:rPr>
        <w:t xml:space="preserve"> </w:t>
      </w:r>
      <w:r w:rsidRPr="004509B9">
        <w:rPr>
          <w:rFonts w:eastAsia="TimesNewRoman"/>
          <w:sz w:val="22"/>
          <w:szCs w:val="22"/>
          <w:lang w:val="lt-LT" w:eastAsia="en-US"/>
        </w:rPr>
        <w:t>kurių ŽIV-1 RNR kiekis plazmoje &lt; 100 000 kopijų/ml, o CD4+ ląstelių kiekis ≥ 100 ląstelių x 10</w:t>
      </w:r>
      <w:r w:rsidRPr="004509B9">
        <w:rPr>
          <w:rFonts w:eastAsia="TimesNewRoman"/>
          <w:sz w:val="22"/>
          <w:szCs w:val="22"/>
          <w:vertAlign w:val="superscript"/>
          <w:lang w:val="lt-LT" w:eastAsia="en-US"/>
        </w:rPr>
        <w:t>6</w:t>
      </w:r>
      <w:r w:rsidRPr="004509B9">
        <w:rPr>
          <w:rFonts w:eastAsia="TimesNewRoman"/>
          <w:sz w:val="22"/>
          <w:szCs w:val="22"/>
          <w:lang w:val="lt-LT" w:eastAsia="en-US"/>
        </w:rPr>
        <w:t>/l.</w:t>
      </w:r>
    </w:p>
    <w:p w14:paraId="177A596F" w14:textId="77777777" w:rsidR="007F62DB" w:rsidRPr="004509B9" w:rsidRDefault="00FC7B00" w:rsidP="00FC7B00">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 </w:t>
      </w:r>
      <w:r w:rsidRPr="004509B9">
        <w:rPr>
          <w:rFonts w:eastAsia="TimesNewRoman"/>
          <w:sz w:val="18"/>
          <w:szCs w:val="18"/>
          <w:lang w:val="lt-LT" w:eastAsia="en-US"/>
        </w:rPr>
        <w:t>DRV-ASM: V11I, V32I, L33F, I47V, I50V, I54M, I54L, T74P, L76V, I84V ir L89V.</w:t>
      </w:r>
    </w:p>
    <w:p w14:paraId="4BC5BFDB" w14:textId="77777777" w:rsidR="007F62DB" w:rsidRPr="004509B9" w:rsidRDefault="007F62DB" w:rsidP="00FC7B00">
      <w:pPr>
        <w:autoSpaceDE w:val="0"/>
        <w:autoSpaceDN w:val="0"/>
        <w:adjustRightInd w:val="0"/>
        <w:rPr>
          <w:rFonts w:eastAsia="TimesNewRoman"/>
          <w:sz w:val="22"/>
          <w:szCs w:val="22"/>
          <w:lang w:val="lt-LT" w:eastAsia="en-US"/>
        </w:rPr>
      </w:pPr>
    </w:p>
    <w:p w14:paraId="7C5E07CD" w14:textId="77777777" w:rsidR="007F62DB" w:rsidRPr="004509B9" w:rsidRDefault="007F62DB" w:rsidP="007F62DB">
      <w:pPr>
        <w:tabs>
          <w:tab w:val="left" w:pos="1985"/>
        </w:tabs>
        <w:autoSpaceDE w:val="0"/>
        <w:autoSpaceDN w:val="0"/>
        <w:adjustRightInd w:val="0"/>
        <w:rPr>
          <w:rFonts w:eastAsia="TimesNewRoman"/>
          <w:sz w:val="22"/>
          <w:szCs w:val="22"/>
          <w:lang w:val="lt-LT" w:eastAsia="en-US"/>
        </w:rPr>
      </w:pPr>
      <w:r w:rsidRPr="004509B9">
        <w:rPr>
          <w:rFonts w:eastAsia="TimesNewRoman"/>
          <w:sz w:val="22"/>
          <w:szCs w:val="22"/>
          <w:lang w:val="lt-LT" w:eastAsia="en-US"/>
        </w:rPr>
        <w:t>Rekomenduojama Darunavir Teva dozė, kurią reikia vartoti kartu su maža ritonaviro doze vaikams ir paaugliams, priklauso nuo paciento kūno svorio ir negali viršyti suaugusiems pacientams rekomenduojamos dozės (600/100 mg du kartus per parą arba 800/100 mg vieną kartą per parą).</w:t>
      </w:r>
    </w:p>
    <w:p w14:paraId="3E5E3C1C" w14:textId="77777777" w:rsidR="007F62DB" w:rsidRPr="004509B9" w:rsidRDefault="007F62DB" w:rsidP="00FC7B00">
      <w:pPr>
        <w:autoSpaceDE w:val="0"/>
        <w:autoSpaceDN w:val="0"/>
        <w:adjustRightInd w:val="0"/>
        <w:rPr>
          <w:rFonts w:eastAsia="TimesNewRoman"/>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3809"/>
        <w:gridCol w:w="3400"/>
      </w:tblGrid>
      <w:tr w:rsidR="00E16C6C" w:rsidRPr="00C75EC3" w14:paraId="431F617E" w14:textId="77777777" w:rsidTr="00C75EC3">
        <w:tc>
          <w:tcPr>
            <w:tcW w:w="9288" w:type="dxa"/>
            <w:gridSpan w:val="3"/>
            <w:shd w:val="clear" w:color="auto" w:fill="auto"/>
          </w:tcPr>
          <w:p w14:paraId="4034C2BB" w14:textId="77777777" w:rsidR="00E16C6C" w:rsidRPr="00C75EC3" w:rsidRDefault="00E16C6C" w:rsidP="00C75EC3">
            <w:pPr>
              <w:autoSpaceDE w:val="0"/>
              <w:autoSpaceDN w:val="0"/>
              <w:adjustRightInd w:val="0"/>
              <w:jc w:val="center"/>
              <w:rPr>
                <w:rFonts w:eastAsia="TimesNewRoman,Bold"/>
                <w:b/>
                <w:bCs/>
                <w:sz w:val="22"/>
                <w:szCs w:val="22"/>
                <w:lang w:val="lt-LT" w:eastAsia="en-US"/>
              </w:rPr>
            </w:pPr>
            <w:r w:rsidRPr="00C75EC3">
              <w:rPr>
                <w:rFonts w:eastAsia="TimesNewRoman,Bold"/>
                <w:b/>
                <w:bCs/>
                <w:sz w:val="22"/>
                <w:szCs w:val="22"/>
                <w:lang w:val="lt-LT" w:eastAsia="en-US"/>
              </w:rPr>
              <w:t xml:space="preserve">Rekomenduojama </w:t>
            </w:r>
            <w:r w:rsidRPr="00C75EC3">
              <w:rPr>
                <w:rFonts w:eastAsia="TimesNewRoman"/>
                <w:b/>
                <w:sz w:val="22"/>
                <w:szCs w:val="22"/>
                <w:lang w:val="lt-LT" w:eastAsia="en-US"/>
              </w:rPr>
              <w:t>Darunavir Teva</w:t>
            </w:r>
            <w:r w:rsidRPr="00C75EC3">
              <w:rPr>
                <w:rFonts w:eastAsia="TimesNewRoman,Bold"/>
                <w:b/>
                <w:bCs/>
                <w:sz w:val="22"/>
                <w:szCs w:val="22"/>
                <w:lang w:val="lt-LT" w:eastAsia="en-US"/>
              </w:rPr>
              <w:t xml:space="preserve"> ir ritonaviro dozė gydytiems vaikų populiacijos pacientams (3-17 metų)</w:t>
            </w:r>
            <w:r w:rsidRPr="00C75EC3">
              <w:rPr>
                <w:rFonts w:eastAsia="TimesNewRoman,Bold"/>
                <w:b/>
                <w:bCs/>
                <w:sz w:val="22"/>
                <w:szCs w:val="22"/>
                <w:vertAlign w:val="superscript"/>
                <w:lang w:val="lt-LT" w:eastAsia="en-US"/>
              </w:rPr>
              <w:t>a</w:t>
            </w:r>
          </w:p>
        </w:tc>
      </w:tr>
      <w:tr w:rsidR="00E16C6C" w:rsidRPr="00C75EC3" w14:paraId="6081EA5A" w14:textId="77777777" w:rsidTr="00C75EC3">
        <w:tc>
          <w:tcPr>
            <w:tcW w:w="1888" w:type="dxa"/>
            <w:shd w:val="clear" w:color="auto" w:fill="auto"/>
          </w:tcPr>
          <w:p w14:paraId="25EBE548" w14:textId="77777777" w:rsidR="00E16C6C" w:rsidRPr="00C75EC3" w:rsidRDefault="00E16C6C" w:rsidP="00C75EC3">
            <w:pPr>
              <w:autoSpaceDE w:val="0"/>
              <w:autoSpaceDN w:val="0"/>
              <w:adjustRightInd w:val="0"/>
              <w:rPr>
                <w:rFonts w:eastAsia="TimesNewRoman"/>
                <w:sz w:val="22"/>
                <w:szCs w:val="22"/>
                <w:lang w:val="lt-LT" w:eastAsia="en-US"/>
              </w:rPr>
            </w:pPr>
            <w:r w:rsidRPr="00C75EC3">
              <w:rPr>
                <w:rFonts w:eastAsia="TimesNewRoman,Bold"/>
                <w:b/>
                <w:bCs/>
                <w:sz w:val="22"/>
                <w:szCs w:val="22"/>
                <w:lang w:val="lt-LT" w:eastAsia="en-US"/>
              </w:rPr>
              <w:t>Kūno svoris (kg)</w:t>
            </w:r>
          </w:p>
        </w:tc>
        <w:tc>
          <w:tcPr>
            <w:tcW w:w="3912" w:type="dxa"/>
            <w:shd w:val="clear" w:color="auto" w:fill="auto"/>
          </w:tcPr>
          <w:p w14:paraId="65C7D212" w14:textId="77777777" w:rsidR="00E16C6C" w:rsidRPr="00C75EC3" w:rsidRDefault="00E16C6C" w:rsidP="00C75EC3">
            <w:pPr>
              <w:autoSpaceDE w:val="0"/>
              <w:autoSpaceDN w:val="0"/>
              <w:adjustRightInd w:val="0"/>
              <w:rPr>
                <w:rFonts w:eastAsia="TimesNewRoman"/>
                <w:sz w:val="22"/>
                <w:szCs w:val="22"/>
                <w:lang w:val="lt-LT" w:eastAsia="en-US"/>
              </w:rPr>
            </w:pPr>
            <w:r w:rsidRPr="00C75EC3">
              <w:rPr>
                <w:rFonts w:eastAsia="TimesNewRoman,Bold"/>
                <w:b/>
                <w:bCs/>
                <w:sz w:val="22"/>
                <w:szCs w:val="22"/>
                <w:lang w:val="lt-LT" w:eastAsia="en-US"/>
              </w:rPr>
              <w:t>Dozė (vieną kartą per parą valgant)</w:t>
            </w:r>
          </w:p>
        </w:tc>
        <w:tc>
          <w:tcPr>
            <w:tcW w:w="3488" w:type="dxa"/>
            <w:shd w:val="clear" w:color="auto" w:fill="auto"/>
          </w:tcPr>
          <w:p w14:paraId="3DD2F15A" w14:textId="77777777" w:rsidR="00E16C6C" w:rsidRPr="00C75EC3" w:rsidRDefault="00E16C6C" w:rsidP="00C75EC3">
            <w:pPr>
              <w:autoSpaceDE w:val="0"/>
              <w:autoSpaceDN w:val="0"/>
              <w:adjustRightInd w:val="0"/>
              <w:rPr>
                <w:rFonts w:eastAsia="TimesNewRoman,Bold"/>
                <w:b/>
                <w:bCs/>
                <w:sz w:val="22"/>
                <w:szCs w:val="22"/>
                <w:lang w:val="lt-LT" w:eastAsia="en-US"/>
              </w:rPr>
            </w:pPr>
            <w:r w:rsidRPr="00C75EC3">
              <w:rPr>
                <w:rFonts w:eastAsia="TimesNewRoman,Bold"/>
                <w:b/>
                <w:bCs/>
                <w:sz w:val="22"/>
                <w:szCs w:val="22"/>
                <w:lang w:val="lt-LT" w:eastAsia="en-US"/>
              </w:rPr>
              <w:t>Dozė (du kartus per parą valgant)</w:t>
            </w:r>
          </w:p>
        </w:tc>
      </w:tr>
      <w:tr w:rsidR="00E16C6C" w:rsidRPr="00C75EC3" w14:paraId="15B7BF21" w14:textId="77777777" w:rsidTr="00C75EC3">
        <w:tc>
          <w:tcPr>
            <w:tcW w:w="1888" w:type="dxa"/>
            <w:shd w:val="clear" w:color="auto" w:fill="auto"/>
          </w:tcPr>
          <w:p w14:paraId="730864AC" w14:textId="77777777" w:rsidR="00E16C6C" w:rsidRPr="00C75EC3" w:rsidRDefault="00E16C6C"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 15 kg - &lt; 30 kg</w:t>
            </w:r>
          </w:p>
        </w:tc>
        <w:tc>
          <w:tcPr>
            <w:tcW w:w="3912" w:type="dxa"/>
            <w:shd w:val="clear" w:color="auto" w:fill="auto"/>
          </w:tcPr>
          <w:p w14:paraId="240AFC7E" w14:textId="77777777" w:rsidR="00E16C6C" w:rsidRPr="00C75EC3" w:rsidRDefault="00E16C6C"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 xml:space="preserve">600 mg Darunavir Teva /100 mg ritonaviro </w:t>
            </w:r>
          </w:p>
        </w:tc>
        <w:tc>
          <w:tcPr>
            <w:tcW w:w="3488" w:type="dxa"/>
            <w:shd w:val="clear" w:color="auto" w:fill="auto"/>
          </w:tcPr>
          <w:p w14:paraId="548537BA" w14:textId="77777777" w:rsidR="00E16C6C" w:rsidRPr="00C75EC3" w:rsidRDefault="00E16C6C"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375 mg Darunavir Teva /50 mg ritonaviro</w:t>
            </w:r>
          </w:p>
        </w:tc>
      </w:tr>
      <w:tr w:rsidR="00E16C6C" w:rsidRPr="00C75EC3" w14:paraId="125D2531" w14:textId="77777777" w:rsidTr="00C75EC3">
        <w:tc>
          <w:tcPr>
            <w:tcW w:w="1888" w:type="dxa"/>
            <w:shd w:val="clear" w:color="auto" w:fill="auto"/>
          </w:tcPr>
          <w:p w14:paraId="452BFF53" w14:textId="77777777" w:rsidR="00E16C6C" w:rsidRPr="00C75EC3" w:rsidRDefault="00E16C6C"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 30 kg - &lt; 40 kg</w:t>
            </w:r>
          </w:p>
        </w:tc>
        <w:tc>
          <w:tcPr>
            <w:tcW w:w="3912" w:type="dxa"/>
            <w:shd w:val="clear" w:color="auto" w:fill="auto"/>
          </w:tcPr>
          <w:p w14:paraId="43EEDEAE" w14:textId="77777777" w:rsidR="00E16C6C" w:rsidRPr="00C75EC3" w:rsidRDefault="00E16C6C"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 xml:space="preserve">675 mg Darunavir Teva /100 mg ritonaviro </w:t>
            </w:r>
          </w:p>
        </w:tc>
        <w:tc>
          <w:tcPr>
            <w:tcW w:w="3488" w:type="dxa"/>
            <w:shd w:val="clear" w:color="auto" w:fill="auto"/>
          </w:tcPr>
          <w:p w14:paraId="3DE196A6" w14:textId="77777777" w:rsidR="00E16C6C" w:rsidRPr="00C75EC3" w:rsidRDefault="00E16C6C"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450 mg Darunavir Teva /60 mg ritonaviro</w:t>
            </w:r>
          </w:p>
        </w:tc>
      </w:tr>
      <w:tr w:rsidR="00E16C6C" w:rsidRPr="00C75EC3" w14:paraId="22312F8D" w14:textId="77777777" w:rsidTr="00C75EC3">
        <w:tc>
          <w:tcPr>
            <w:tcW w:w="1888" w:type="dxa"/>
            <w:shd w:val="clear" w:color="auto" w:fill="auto"/>
          </w:tcPr>
          <w:p w14:paraId="1A6875D6" w14:textId="77777777" w:rsidR="00E16C6C" w:rsidRPr="00C75EC3" w:rsidRDefault="00E16C6C"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&gt; 40 kg</w:t>
            </w:r>
          </w:p>
        </w:tc>
        <w:tc>
          <w:tcPr>
            <w:tcW w:w="3912" w:type="dxa"/>
            <w:shd w:val="clear" w:color="auto" w:fill="auto"/>
          </w:tcPr>
          <w:p w14:paraId="347D4C96" w14:textId="77777777" w:rsidR="00E16C6C" w:rsidRPr="00C75EC3" w:rsidRDefault="00E16C6C"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 xml:space="preserve">800 mg Darunavir Teva /100 mg ritonaviro </w:t>
            </w:r>
          </w:p>
        </w:tc>
        <w:tc>
          <w:tcPr>
            <w:tcW w:w="3488" w:type="dxa"/>
            <w:shd w:val="clear" w:color="auto" w:fill="auto"/>
          </w:tcPr>
          <w:p w14:paraId="45EFF906" w14:textId="77777777" w:rsidR="00E16C6C" w:rsidRPr="00C75EC3" w:rsidRDefault="00E16C6C"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600 mg Darunavir Teva /100 mg ritonaviro</w:t>
            </w:r>
          </w:p>
        </w:tc>
      </w:tr>
    </w:tbl>
    <w:p w14:paraId="53F9FBEE" w14:textId="77777777" w:rsidR="007F62DB" w:rsidRPr="004509B9" w:rsidRDefault="007F62DB" w:rsidP="007F62DB">
      <w:pPr>
        <w:autoSpaceDE w:val="0"/>
        <w:autoSpaceDN w:val="0"/>
        <w:adjustRightInd w:val="0"/>
        <w:rPr>
          <w:rFonts w:eastAsia="TimesNewRoman"/>
          <w:sz w:val="22"/>
          <w:szCs w:val="22"/>
          <w:lang w:val="lt-LT" w:eastAsia="en-US"/>
        </w:rPr>
      </w:pPr>
      <w:r w:rsidRPr="004509B9">
        <w:rPr>
          <w:rFonts w:eastAsia="TimesNewRoman"/>
          <w:sz w:val="18"/>
          <w:szCs w:val="18"/>
          <w:vertAlign w:val="superscript"/>
          <w:lang w:val="lt-LT" w:eastAsia="en-US"/>
        </w:rPr>
        <w:t xml:space="preserve">a </w:t>
      </w:r>
      <w:r w:rsidRPr="004509B9">
        <w:rPr>
          <w:rFonts w:eastAsia="TimesNewRoman"/>
          <w:sz w:val="18"/>
          <w:szCs w:val="18"/>
          <w:lang w:val="lt-LT" w:eastAsia="en-US"/>
        </w:rPr>
        <w:t>Ritonaviro geriamas</w:t>
      </w:r>
      <w:r w:rsidR="00E16C6C" w:rsidRPr="004509B9">
        <w:rPr>
          <w:rFonts w:eastAsia="TimesNewRoman"/>
          <w:sz w:val="18"/>
          <w:szCs w:val="18"/>
          <w:lang w:val="lt-LT" w:eastAsia="en-US"/>
        </w:rPr>
        <w:t>is</w:t>
      </w:r>
      <w:r w:rsidRPr="004509B9">
        <w:rPr>
          <w:rFonts w:eastAsia="TimesNewRoman"/>
          <w:sz w:val="18"/>
          <w:szCs w:val="18"/>
          <w:lang w:val="lt-LT" w:eastAsia="en-US"/>
        </w:rPr>
        <w:t xml:space="preserve"> tirpalas: 80 mg/ml.</w:t>
      </w:r>
    </w:p>
    <w:p w14:paraId="3842ACC8" w14:textId="77777777" w:rsidR="00634C1C" w:rsidRPr="00912F9A" w:rsidRDefault="00634C1C" w:rsidP="00634C1C">
      <w:pPr>
        <w:rPr>
          <w:sz w:val="22"/>
          <w:szCs w:val="22"/>
          <w:lang w:val="lt-LT"/>
        </w:rPr>
      </w:pPr>
      <w:r w:rsidRPr="00832FC3">
        <w:rPr>
          <w:sz w:val="22"/>
          <w:szCs w:val="22"/>
          <w:lang w:val="lt-LT"/>
        </w:rPr>
        <w:t xml:space="preserve">Šio vaistinio preparato visų stiprumo formų nėra. Dėl to nėra galimybių vartoti </w:t>
      </w:r>
      <w:r>
        <w:rPr>
          <w:sz w:val="22"/>
          <w:szCs w:val="22"/>
          <w:lang w:val="lt-LT"/>
        </w:rPr>
        <w:t>375 mg ir 675 mg dozių. Norint vartoti šias dozes</w:t>
      </w:r>
      <w:r w:rsidRPr="00832FC3">
        <w:rPr>
          <w:sz w:val="22"/>
          <w:szCs w:val="22"/>
          <w:lang w:val="lt-LT"/>
        </w:rPr>
        <w:t xml:space="preserve"> reikia naudoti kitus rinkoje </w:t>
      </w:r>
      <w:r>
        <w:rPr>
          <w:sz w:val="22"/>
          <w:szCs w:val="22"/>
          <w:lang w:val="lt-LT"/>
        </w:rPr>
        <w:t>esančius darunaviro preparatus.</w:t>
      </w:r>
    </w:p>
    <w:p w14:paraId="70EB4DE5" w14:textId="77777777" w:rsidR="007F62DB" w:rsidRPr="004509B9" w:rsidRDefault="007F62DB" w:rsidP="00FC7B00">
      <w:pPr>
        <w:autoSpaceDE w:val="0"/>
        <w:autoSpaceDN w:val="0"/>
        <w:adjustRightInd w:val="0"/>
        <w:rPr>
          <w:rFonts w:eastAsia="TimesNewRoman"/>
          <w:sz w:val="22"/>
          <w:szCs w:val="22"/>
          <w:lang w:val="lt-LT" w:eastAsia="en-US"/>
        </w:rPr>
      </w:pPr>
    </w:p>
    <w:p w14:paraId="0E1830D9" w14:textId="77777777" w:rsidR="007F62DB" w:rsidRPr="004509B9" w:rsidRDefault="00E16C6C" w:rsidP="00E16C6C">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Vaikų populiacijos pacientams, kuriems pirmiau buvo taikytas ARG, rekomenduojama nustatyti ŽIV genotipą. Tačiau, jeigu ŽIV genotipavimo tyrimo atlikti neįmanoma, ŽIV proteazės inhibitoriumi pirmiau negydytiems vaikų populiacijos pacientams rekomenduojama skirti darunavirą ir ritonavirą pagal dozavimo planą vieną kartą per parą, o pacientams, kurie buvo gydyti ŽIV proteazės inhibitoriumi, pagal dozavimo planą du kartus per parą.</w:t>
      </w:r>
    </w:p>
    <w:p w14:paraId="5116A29D" w14:textId="77777777" w:rsidR="009F5848" w:rsidRPr="004509B9" w:rsidRDefault="009F5848" w:rsidP="009F5848">
      <w:pPr>
        <w:autoSpaceDE w:val="0"/>
        <w:autoSpaceDN w:val="0"/>
        <w:adjustRightInd w:val="0"/>
        <w:rPr>
          <w:i/>
          <w:iCs/>
          <w:sz w:val="22"/>
          <w:szCs w:val="22"/>
          <w:lang w:val="lt-LT" w:eastAsia="en-US"/>
        </w:rPr>
      </w:pPr>
    </w:p>
    <w:p w14:paraId="6C693A33" w14:textId="77777777" w:rsidR="009F5848" w:rsidRPr="004509B9" w:rsidRDefault="009F5848" w:rsidP="009F5848">
      <w:pPr>
        <w:autoSpaceDE w:val="0"/>
        <w:autoSpaceDN w:val="0"/>
        <w:adjustRightInd w:val="0"/>
        <w:rPr>
          <w:i/>
          <w:iCs/>
          <w:sz w:val="22"/>
          <w:szCs w:val="22"/>
          <w:lang w:val="lt-LT" w:eastAsia="en-US"/>
        </w:rPr>
      </w:pPr>
      <w:r w:rsidRPr="004509B9">
        <w:rPr>
          <w:i/>
          <w:iCs/>
          <w:sz w:val="22"/>
          <w:szCs w:val="22"/>
          <w:lang w:val="lt-LT" w:eastAsia="en-US"/>
        </w:rPr>
        <w:t>Patarimas praleidus dozę</w:t>
      </w:r>
    </w:p>
    <w:p w14:paraId="1BEA9637"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Jei Darunavir Teva </w:t>
      </w:r>
      <w:r w:rsidR="00634C1C">
        <w:rPr>
          <w:rFonts w:eastAsia="TimesNewRoman"/>
          <w:sz w:val="22"/>
          <w:szCs w:val="22"/>
          <w:lang w:val="lt-LT" w:eastAsia="en-US"/>
        </w:rPr>
        <w:t xml:space="preserve">600 mg </w:t>
      </w:r>
      <w:r w:rsidRPr="004509B9">
        <w:rPr>
          <w:rFonts w:eastAsia="TimesNewRoman"/>
          <w:sz w:val="22"/>
          <w:szCs w:val="22"/>
          <w:lang w:val="lt-LT" w:eastAsia="en-US"/>
        </w:rPr>
        <w:t>ir (ar</w:t>
      </w:r>
      <w:r w:rsidR="00E16C6C" w:rsidRPr="004509B9">
        <w:rPr>
          <w:rFonts w:eastAsia="TimesNewRoman"/>
          <w:sz w:val="22"/>
          <w:szCs w:val="22"/>
          <w:lang w:val="lt-LT" w:eastAsia="en-US"/>
        </w:rPr>
        <w:t>ba</w:t>
      </w:r>
      <w:r w:rsidRPr="004509B9">
        <w:rPr>
          <w:rFonts w:eastAsia="TimesNewRoman"/>
          <w:sz w:val="22"/>
          <w:szCs w:val="22"/>
          <w:lang w:val="lt-LT" w:eastAsia="en-US"/>
        </w:rPr>
        <w:t xml:space="preserve">) ritonaviro dozė buvo praleista ir dar nepraėjo </w:t>
      </w:r>
      <w:r w:rsidR="00E16C6C" w:rsidRPr="004509B9">
        <w:rPr>
          <w:rFonts w:eastAsia="TimesNewRoman"/>
          <w:sz w:val="22"/>
          <w:szCs w:val="22"/>
          <w:lang w:val="lt-LT" w:eastAsia="en-US"/>
        </w:rPr>
        <w:t>6 valandos</w:t>
      </w:r>
      <w:r w:rsidRPr="004509B9">
        <w:rPr>
          <w:rFonts w:eastAsia="TimesNewRoman"/>
          <w:sz w:val="22"/>
          <w:szCs w:val="22"/>
          <w:lang w:val="lt-LT" w:eastAsia="en-US"/>
        </w:rPr>
        <w:t xml:space="preserve"> nuo įprastinio dozės vartojimo laiko, pacientams reikia pata</w:t>
      </w:r>
      <w:r w:rsidR="00E16C6C" w:rsidRPr="004509B9">
        <w:rPr>
          <w:rFonts w:eastAsia="TimesNewRoman"/>
          <w:sz w:val="22"/>
          <w:szCs w:val="22"/>
          <w:lang w:val="lt-LT" w:eastAsia="en-US"/>
        </w:rPr>
        <w:t xml:space="preserve">rti </w:t>
      </w:r>
      <w:r w:rsidR="00634C1C">
        <w:rPr>
          <w:rFonts w:eastAsia="TimesNewRoman"/>
          <w:sz w:val="22"/>
          <w:szCs w:val="22"/>
          <w:lang w:val="lt-LT" w:eastAsia="en-US"/>
        </w:rPr>
        <w:t xml:space="preserve">suvartoti </w:t>
      </w:r>
      <w:r w:rsidR="00E16C6C" w:rsidRPr="004509B9">
        <w:rPr>
          <w:rFonts w:eastAsia="TimesNewRoman"/>
          <w:sz w:val="22"/>
          <w:szCs w:val="22"/>
          <w:lang w:val="lt-LT" w:eastAsia="en-US"/>
        </w:rPr>
        <w:t xml:space="preserve">paskirtą Darunavir Teva ir </w:t>
      </w:r>
      <w:r w:rsidRPr="004509B9">
        <w:rPr>
          <w:rFonts w:eastAsia="TimesNewRoman"/>
          <w:sz w:val="22"/>
          <w:szCs w:val="22"/>
          <w:lang w:val="lt-LT" w:eastAsia="en-US"/>
        </w:rPr>
        <w:t xml:space="preserve">ritonaviro dozę kartu su maistu kaip įmanoma greičiau. Jei nuo įprastinio dozės vartojimo praėjo daugiau nei </w:t>
      </w:r>
      <w:r w:rsidR="00E16C6C" w:rsidRPr="004509B9">
        <w:rPr>
          <w:rFonts w:eastAsia="TimesNewRoman"/>
          <w:sz w:val="22"/>
          <w:szCs w:val="22"/>
          <w:lang w:val="lt-LT" w:eastAsia="en-US"/>
        </w:rPr>
        <w:t>6</w:t>
      </w:r>
      <w:r w:rsidRPr="004509B9">
        <w:rPr>
          <w:rFonts w:eastAsia="TimesNewRoman"/>
          <w:sz w:val="22"/>
          <w:szCs w:val="22"/>
          <w:lang w:val="lt-LT" w:eastAsia="en-US"/>
        </w:rPr>
        <w:t xml:space="preserve"> valand</w:t>
      </w:r>
      <w:r w:rsidR="00E16C6C" w:rsidRPr="004509B9">
        <w:rPr>
          <w:rFonts w:eastAsia="TimesNewRoman"/>
          <w:sz w:val="22"/>
          <w:szCs w:val="22"/>
          <w:lang w:val="lt-LT" w:eastAsia="en-US"/>
        </w:rPr>
        <w:t>os</w:t>
      </w:r>
      <w:r w:rsidRPr="004509B9">
        <w:rPr>
          <w:rFonts w:eastAsia="TimesNewRoman"/>
          <w:sz w:val="22"/>
          <w:szCs w:val="22"/>
          <w:lang w:val="lt-LT" w:eastAsia="en-US"/>
        </w:rPr>
        <w:t xml:space="preserve">, pacientas šią dozę turi praleisti ir toliau vaistą gerti įprastiniu laiku. </w:t>
      </w:r>
    </w:p>
    <w:p w14:paraId="11916DD0" w14:textId="77777777" w:rsidR="009F5848" w:rsidRPr="004509B9" w:rsidRDefault="009F5848" w:rsidP="009F5848">
      <w:pPr>
        <w:autoSpaceDE w:val="0"/>
        <w:autoSpaceDN w:val="0"/>
        <w:adjustRightInd w:val="0"/>
        <w:rPr>
          <w:rFonts w:eastAsia="TimesNewRoman"/>
          <w:sz w:val="22"/>
          <w:szCs w:val="22"/>
          <w:lang w:val="lt-LT" w:eastAsia="en-US"/>
        </w:rPr>
      </w:pPr>
    </w:p>
    <w:p w14:paraId="132E7006"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Ši rekomendacija yra paremta duomenimis apie darunaviro, vartoto kartu</w:t>
      </w:r>
      <w:r w:rsidR="00E16C6C" w:rsidRPr="004509B9">
        <w:rPr>
          <w:rFonts w:eastAsia="TimesNewRoman"/>
          <w:sz w:val="22"/>
          <w:szCs w:val="22"/>
          <w:lang w:val="lt-LT" w:eastAsia="en-US"/>
        </w:rPr>
        <w:t xml:space="preserve"> su</w:t>
      </w:r>
      <w:r w:rsidRPr="004509B9">
        <w:rPr>
          <w:rFonts w:eastAsia="TimesNewRoman"/>
          <w:sz w:val="22"/>
          <w:szCs w:val="22"/>
          <w:lang w:val="lt-LT" w:eastAsia="en-US"/>
        </w:rPr>
        <w:t xml:space="preserve"> ritonaviru, </w:t>
      </w:r>
      <w:r w:rsidR="00E16C6C" w:rsidRPr="004509B9">
        <w:rPr>
          <w:rFonts w:eastAsia="TimesNewRoman"/>
          <w:sz w:val="22"/>
          <w:szCs w:val="22"/>
          <w:lang w:val="lt-LT" w:eastAsia="en-US"/>
        </w:rPr>
        <w:t xml:space="preserve">15 valandų </w:t>
      </w:r>
      <w:r w:rsidRPr="004509B9">
        <w:rPr>
          <w:rFonts w:eastAsia="TimesNewRoman"/>
          <w:sz w:val="22"/>
          <w:szCs w:val="22"/>
          <w:lang w:val="lt-LT" w:eastAsia="en-US"/>
        </w:rPr>
        <w:t xml:space="preserve">pusinės eliminacijos periodą ir rekomenduojamą intervalą tarp vaistinio preparato dozių maždaug </w:t>
      </w:r>
      <w:r w:rsidR="00E16C6C" w:rsidRPr="004509B9">
        <w:rPr>
          <w:rFonts w:eastAsia="TimesNewRoman"/>
          <w:sz w:val="22"/>
          <w:szCs w:val="22"/>
          <w:lang w:val="lt-LT" w:eastAsia="en-US"/>
        </w:rPr>
        <w:t>1</w:t>
      </w:r>
      <w:r w:rsidRPr="004509B9">
        <w:rPr>
          <w:rFonts w:eastAsia="TimesNewRoman"/>
          <w:sz w:val="22"/>
          <w:szCs w:val="22"/>
          <w:lang w:val="lt-LT" w:eastAsia="en-US"/>
        </w:rPr>
        <w:t>2 val.</w:t>
      </w:r>
    </w:p>
    <w:p w14:paraId="778C5724" w14:textId="77777777" w:rsidR="009F5848" w:rsidRPr="004509B9" w:rsidRDefault="009F5848" w:rsidP="009F5848">
      <w:pPr>
        <w:autoSpaceDE w:val="0"/>
        <w:autoSpaceDN w:val="0"/>
        <w:adjustRightInd w:val="0"/>
        <w:rPr>
          <w:rFonts w:eastAsia="TimesNewRoman"/>
          <w:i/>
          <w:iCs/>
          <w:sz w:val="22"/>
          <w:szCs w:val="22"/>
          <w:lang w:val="lt-LT" w:eastAsia="en-US"/>
        </w:rPr>
      </w:pPr>
    </w:p>
    <w:p w14:paraId="5DF7EC6C" w14:textId="77777777" w:rsidR="009F5848" w:rsidRPr="00B801ED" w:rsidRDefault="009F5848" w:rsidP="009F5848">
      <w:pPr>
        <w:autoSpaceDE w:val="0"/>
        <w:autoSpaceDN w:val="0"/>
        <w:adjustRightInd w:val="0"/>
        <w:rPr>
          <w:rFonts w:eastAsia="TimesNewRoman"/>
          <w:i/>
          <w:sz w:val="22"/>
          <w:szCs w:val="22"/>
          <w:lang w:val="lt-LT" w:eastAsia="en-US"/>
        </w:rPr>
      </w:pPr>
      <w:r w:rsidRPr="00B801ED">
        <w:rPr>
          <w:rFonts w:eastAsia="TimesNewRoman"/>
          <w:i/>
          <w:sz w:val="22"/>
          <w:szCs w:val="22"/>
          <w:lang w:val="lt-LT" w:eastAsia="en-US"/>
        </w:rPr>
        <w:t>Ypatingos populiacijos</w:t>
      </w:r>
    </w:p>
    <w:p w14:paraId="0B35DE41" w14:textId="77777777" w:rsidR="009F5848" w:rsidRPr="004509B9" w:rsidRDefault="009F5848" w:rsidP="009F5848">
      <w:pPr>
        <w:autoSpaceDE w:val="0"/>
        <w:autoSpaceDN w:val="0"/>
        <w:adjustRightInd w:val="0"/>
        <w:rPr>
          <w:rFonts w:eastAsia="TimesNewRoman"/>
          <w:i/>
          <w:iCs/>
          <w:sz w:val="22"/>
          <w:szCs w:val="22"/>
          <w:lang w:val="lt-LT" w:eastAsia="en-US"/>
        </w:rPr>
      </w:pPr>
    </w:p>
    <w:p w14:paraId="2C9C101F" w14:textId="77777777" w:rsidR="009F5848" w:rsidRPr="004509B9" w:rsidRDefault="009F5848" w:rsidP="009F5848">
      <w:pPr>
        <w:autoSpaceDE w:val="0"/>
        <w:autoSpaceDN w:val="0"/>
        <w:adjustRightInd w:val="0"/>
        <w:rPr>
          <w:rFonts w:eastAsia="TimesNewRoman"/>
          <w:i/>
          <w:iCs/>
          <w:sz w:val="22"/>
          <w:szCs w:val="22"/>
          <w:lang w:val="lt-LT" w:eastAsia="en-US"/>
        </w:rPr>
      </w:pPr>
      <w:r w:rsidRPr="004509B9">
        <w:rPr>
          <w:rFonts w:eastAsia="TimesNewRoman"/>
          <w:i/>
          <w:iCs/>
          <w:sz w:val="22"/>
          <w:szCs w:val="22"/>
          <w:lang w:val="lt-LT" w:eastAsia="en-US"/>
        </w:rPr>
        <w:t>Senyviems pacientams</w:t>
      </w:r>
    </w:p>
    <w:p w14:paraId="7A234B0D"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lastRenderedPageBreak/>
        <w:t>Duomenys apie šios grupės pacientus yra riboti, todėl šios grupės pacientams Darunavir Teva vartoti reikia atsargiai (žr. 4.4 ir 5.2 skyrius).</w:t>
      </w:r>
    </w:p>
    <w:p w14:paraId="3703311A" w14:textId="77777777" w:rsidR="009F5848" w:rsidRPr="004509B9" w:rsidRDefault="009F5848" w:rsidP="009F5848">
      <w:pPr>
        <w:autoSpaceDE w:val="0"/>
        <w:autoSpaceDN w:val="0"/>
        <w:adjustRightInd w:val="0"/>
        <w:rPr>
          <w:rFonts w:eastAsia="TimesNewRoman"/>
          <w:i/>
          <w:iCs/>
          <w:sz w:val="22"/>
          <w:szCs w:val="22"/>
          <w:lang w:val="lt-LT" w:eastAsia="en-US"/>
        </w:rPr>
      </w:pPr>
    </w:p>
    <w:p w14:paraId="107F8432" w14:textId="77777777" w:rsidR="009F5848" w:rsidRPr="004509B9" w:rsidRDefault="009F5848" w:rsidP="009F5848">
      <w:pPr>
        <w:autoSpaceDE w:val="0"/>
        <w:autoSpaceDN w:val="0"/>
        <w:adjustRightInd w:val="0"/>
        <w:rPr>
          <w:rFonts w:eastAsia="TimesNewRoman"/>
          <w:i/>
          <w:iCs/>
          <w:sz w:val="22"/>
          <w:szCs w:val="22"/>
          <w:lang w:val="lt-LT" w:eastAsia="en-US"/>
        </w:rPr>
      </w:pPr>
      <w:r w:rsidRPr="004509B9">
        <w:rPr>
          <w:rFonts w:eastAsia="TimesNewRoman"/>
          <w:i/>
          <w:iCs/>
          <w:sz w:val="22"/>
          <w:szCs w:val="22"/>
          <w:lang w:val="lt-LT" w:eastAsia="en-US"/>
        </w:rPr>
        <w:t>Kepenų funkcijos sutrikimas</w:t>
      </w:r>
    </w:p>
    <w:p w14:paraId="06FF2C2A"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Darunaviras metabolizuojamas kepenų fermentinėje sistemoje. Pacientams, kurie serga lengvu (A klasės pagal </w:t>
      </w:r>
      <w:r w:rsidRPr="004509B9">
        <w:rPr>
          <w:rFonts w:eastAsia="TimesNewRoman"/>
          <w:i/>
          <w:iCs/>
          <w:sz w:val="22"/>
          <w:szCs w:val="22"/>
          <w:lang w:val="lt-LT" w:eastAsia="en-US"/>
        </w:rPr>
        <w:t>Child-Pugh</w:t>
      </w:r>
      <w:r w:rsidRPr="004509B9">
        <w:rPr>
          <w:rFonts w:eastAsia="TimesNewRoman"/>
          <w:sz w:val="22"/>
          <w:szCs w:val="22"/>
          <w:lang w:val="lt-LT" w:eastAsia="en-US"/>
        </w:rPr>
        <w:t xml:space="preserve">) arba vidutinio sunkumo (B klasės pagal </w:t>
      </w:r>
      <w:r w:rsidRPr="004509B9">
        <w:rPr>
          <w:rFonts w:eastAsia="TimesNewRoman"/>
          <w:i/>
          <w:iCs/>
          <w:sz w:val="22"/>
          <w:szCs w:val="22"/>
          <w:lang w:val="lt-LT" w:eastAsia="en-US"/>
        </w:rPr>
        <w:t>Child-Pugh</w:t>
      </w:r>
      <w:r w:rsidRPr="004509B9">
        <w:rPr>
          <w:rFonts w:eastAsia="TimesNewRoman"/>
          <w:sz w:val="22"/>
          <w:szCs w:val="22"/>
          <w:lang w:val="lt-LT" w:eastAsia="en-US"/>
        </w:rPr>
        <w:t xml:space="preserve">) kepenų funkcijos sutrikimu, vaistinio preparato dozės keisti nereikia, tačiau šiems pacientams Darunavir Teva vartoti reikia atsargiai. Duomenų apie vaistinio preparato farmakokinetiką ligonių, kurie serga sunkiu kepenų funkcijos sutrikimu, organizme nėra. Esant sunkiam kepenų funkcijos sutrikimui, darunaviro ekspozicija organizme galėtų didėti, o vaistinio preparato saugumo savybės pablogėti. Dėl šių ypatumų Darunavir Teva draudžiama skirti pacientams, kurie serga sunkiu (C klasės pagal </w:t>
      </w:r>
      <w:r w:rsidRPr="004509B9">
        <w:rPr>
          <w:rFonts w:eastAsia="TimesNewRoman"/>
          <w:i/>
          <w:iCs/>
          <w:sz w:val="22"/>
          <w:szCs w:val="22"/>
          <w:lang w:val="lt-LT" w:eastAsia="en-US"/>
        </w:rPr>
        <w:t>Child-Pugh</w:t>
      </w:r>
      <w:r w:rsidRPr="004509B9">
        <w:rPr>
          <w:rFonts w:eastAsia="TimesNewRoman"/>
          <w:sz w:val="22"/>
          <w:szCs w:val="22"/>
          <w:lang w:val="lt-LT" w:eastAsia="en-US"/>
        </w:rPr>
        <w:t>) kepenų funkcijos sutrikimu (žr. 4.3, 4.4 ir 5.2 skyrius).</w:t>
      </w:r>
    </w:p>
    <w:p w14:paraId="064DEB01" w14:textId="77777777" w:rsidR="009F5848" w:rsidRPr="004509B9" w:rsidRDefault="009F5848" w:rsidP="009F5848">
      <w:pPr>
        <w:autoSpaceDE w:val="0"/>
        <w:autoSpaceDN w:val="0"/>
        <w:adjustRightInd w:val="0"/>
        <w:rPr>
          <w:rFonts w:eastAsia="TimesNewRoman"/>
          <w:i/>
          <w:iCs/>
          <w:sz w:val="22"/>
          <w:szCs w:val="22"/>
          <w:lang w:val="lt-LT" w:eastAsia="en-US"/>
        </w:rPr>
      </w:pPr>
    </w:p>
    <w:p w14:paraId="763D2B20" w14:textId="77777777" w:rsidR="009F5848" w:rsidRPr="004509B9" w:rsidRDefault="009F5848" w:rsidP="009F5848">
      <w:pPr>
        <w:autoSpaceDE w:val="0"/>
        <w:autoSpaceDN w:val="0"/>
        <w:adjustRightInd w:val="0"/>
        <w:rPr>
          <w:rFonts w:eastAsia="TimesNewRoman"/>
          <w:i/>
          <w:iCs/>
          <w:sz w:val="22"/>
          <w:szCs w:val="22"/>
          <w:lang w:val="lt-LT" w:eastAsia="en-US"/>
        </w:rPr>
      </w:pPr>
      <w:r w:rsidRPr="004509B9">
        <w:rPr>
          <w:rFonts w:eastAsia="TimesNewRoman"/>
          <w:i/>
          <w:iCs/>
          <w:sz w:val="22"/>
          <w:szCs w:val="22"/>
          <w:lang w:val="lt-LT" w:eastAsia="en-US"/>
        </w:rPr>
        <w:t>Inkstų funkcijos sutrikimas</w:t>
      </w:r>
    </w:p>
    <w:p w14:paraId="23AC5972" w14:textId="77777777" w:rsidR="00706B0D"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Pacientams, kurių inkstų veikla sutrikusi, darunaviro ir ritonaviro dozės keisti nereikia (žr. 4.4 ir 5.2 skyrius). </w:t>
      </w:r>
    </w:p>
    <w:p w14:paraId="25F036C5" w14:textId="77777777" w:rsidR="00706B0D" w:rsidRPr="004509B9" w:rsidRDefault="00706B0D" w:rsidP="009F5848">
      <w:pPr>
        <w:autoSpaceDE w:val="0"/>
        <w:autoSpaceDN w:val="0"/>
        <w:adjustRightInd w:val="0"/>
        <w:rPr>
          <w:rFonts w:eastAsia="TimesNewRoman"/>
          <w:sz w:val="22"/>
          <w:szCs w:val="22"/>
          <w:lang w:val="lt-LT" w:eastAsia="en-US"/>
        </w:rPr>
      </w:pPr>
    </w:p>
    <w:p w14:paraId="0B71DA91" w14:textId="77777777" w:rsidR="009F5848" w:rsidRPr="004509B9" w:rsidRDefault="009F5848" w:rsidP="009F5848">
      <w:pPr>
        <w:autoSpaceDE w:val="0"/>
        <w:autoSpaceDN w:val="0"/>
        <w:adjustRightInd w:val="0"/>
        <w:rPr>
          <w:rFonts w:eastAsia="TimesNewRoman"/>
          <w:i/>
          <w:iCs/>
          <w:sz w:val="22"/>
          <w:szCs w:val="22"/>
          <w:lang w:val="lt-LT" w:eastAsia="en-US"/>
        </w:rPr>
      </w:pPr>
      <w:r w:rsidRPr="004509B9">
        <w:rPr>
          <w:rFonts w:eastAsia="TimesNewRoman"/>
          <w:i/>
          <w:iCs/>
          <w:sz w:val="22"/>
          <w:szCs w:val="22"/>
          <w:lang w:val="lt-LT" w:eastAsia="en-US"/>
        </w:rPr>
        <w:t>Vaikų populiacija</w:t>
      </w:r>
    </w:p>
    <w:p w14:paraId="29DAAC97" w14:textId="77777777" w:rsidR="00706B0D" w:rsidRPr="004509B9" w:rsidRDefault="009F5848" w:rsidP="00706B0D">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Darunavir</w:t>
      </w:r>
      <w:r w:rsidR="00634C1C">
        <w:rPr>
          <w:rFonts w:eastAsia="TimesNewRoman"/>
          <w:sz w:val="22"/>
          <w:szCs w:val="22"/>
          <w:lang w:val="lt-LT" w:eastAsia="en-US"/>
        </w:rPr>
        <w:t>o/ritonaviro</w:t>
      </w:r>
      <w:r w:rsidRPr="004509B9">
        <w:rPr>
          <w:rFonts w:eastAsia="TimesNewRoman"/>
          <w:sz w:val="22"/>
          <w:szCs w:val="22"/>
          <w:lang w:val="lt-LT" w:eastAsia="en-US"/>
        </w:rPr>
        <w:t xml:space="preserve"> negalima vartoti jaunesniems mažesnio kaip 15 kg svori</w:t>
      </w:r>
      <w:r w:rsidR="00FD6BC3">
        <w:rPr>
          <w:rFonts w:eastAsia="TimesNewRoman"/>
          <w:sz w:val="22"/>
          <w:szCs w:val="22"/>
          <w:lang w:val="lt-LT" w:eastAsia="en-US"/>
        </w:rPr>
        <w:t>o vaikų populiacijos pacientams</w:t>
      </w:r>
      <w:r w:rsidR="00706B0D" w:rsidRPr="004509B9">
        <w:rPr>
          <w:rFonts w:eastAsia="TimesNewRoman"/>
          <w:sz w:val="22"/>
          <w:szCs w:val="22"/>
          <w:lang w:val="lt-LT" w:eastAsia="en-US"/>
        </w:rPr>
        <w:t>, nes šios populiacijos pacientams nenustatyta dėl nepakankamo pacientų skaičiaus (žr. 5.1 skyrių). Darunaviro/ritonaviro negalima vartoti jaunesniems kaip 3 metų vaikams dėl saugumo problemų (žr. 4.4 ir 5.3 skyrius).</w:t>
      </w:r>
    </w:p>
    <w:p w14:paraId="451BF45F" w14:textId="77777777" w:rsidR="00706B0D" w:rsidRPr="004509B9" w:rsidRDefault="00706B0D" w:rsidP="00706B0D">
      <w:pPr>
        <w:autoSpaceDE w:val="0"/>
        <w:autoSpaceDN w:val="0"/>
        <w:adjustRightInd w:val="0"/>
        <w:rPr>
          <w:rFonts w:eastAsia="TimesNewRoman"/>
          <w:sz w:val="22"/>
          <w:szCs w:val="22"/>
          <w:lang w:val="lt-LT" w:eastAsia="en-US"/>
        </w:rPr>
      </w:pPr>
    </w:p>
    <w:p w14:paraId="5C7AC058" w14:textId="77777777" w:rsidR="00706B0D" w:rsidRPr="004509B9" w:rsidRDefault="00706B0D" w:rsidP="00706B0D">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Buvo išmatuotos darunaviro ekspozicijos pirmiau negydytų paauglių nuo 12 iki 17 metų, sveriančių ne mažiau kaip 40 kg, organizme vartojant darunaviro 800 mg dozę vieną kartą per parą ir nustatyta, kad jos yra gydomųjų ekspozicijų ribose, kurios buvo nustatytos suaugusiesiems, vartojantiems darunaviro 800 mg dozę vieną kartą per parą. Dėl to, kadangi Darunavir Teva </w:t>
      </w:r>
      <w:r w:rsidR="00634C1C">
        <w:rPr>
          <w:rFonts w:eastAsia="TimesNewRoman"/>
          <w:sz w:val="22"/>
          <w:szCs w:val="22"/>
          <w:lang w:val="lt-LT" w:eastAsia="en-US"/>
        </w:rPr>
        <w:t xml:space="preserve">600 mg </w:t>
      </w:r>
      <w:r w:rsidRPr="004509B9">
        <w:rPr>
          <w:rFonts w:eastAsia="TimesNewRoman"/>
          <w:sz w:val="22"/>
          <w:szCs w:val="22"/>
          <w:lang w:val="lt-LT" w:eastAsia="en-US"/>
        </w:rPr>
        <w:t>dozė vieną kartą per parą taip pat yra registruota vartoti pirmiau gydytiems suaugusiesiems, net</w:t>
      </w:r>
      <w:r w:rsidR="00FD6BC3" w:rsidRPr="004509B9">
        <w:rPr>
          <w:rFonts w:eastAsia="TimesNewRoman"/>
          <w:sz w:val="22"/>
          <w:szCs w:val="22"/>
          <w:lang w:val="lt-LT" w:eastAsia="en-US"/>
        </w:rPr>
        <w:t>u</w:t>
      </w:r>
      <w:r w:rsidRPr="004509B9">
        <w:rPr>
          <w:rFonts w:eastAsia="TimesNewRoman"/>
          <w:sz w:val="22"/>
          <w:szCs w:val="22"/>
          <w:lang w:val="lt-LT" w:eastAsia="en-US"/>
        </w:rPr>
        <w:t>rintiems su mutacijomis (DRV-ASM)* susijusio atsprumo darunavirui ir kurių plazmoje yra &lt; 100 000 ŽIV-1 RNR kopijų/ml ir CD4+ ląstelių kiekis yra ≥ 100 ląstelių x 10</w:t>
      </w:r>
      <w:r w:rsidRPr="004509B9">
        <w:rPr>
          <w:rFonts w:eastAsia="TimesNewRoman"/>
          <w:sz w:val="22"/>
          <w:szCs w:val="22"/>
          <w:vertAlign w:val="superscript"/>
          <w:lang w:val="lt-LT" w:eastAsia="en-US"/>
        </w:rPr>
        <w:t>6</w:t>
      </w:r>
      <w:r w:rsidRPr="004509B9">
        <w:rPr>
          <w:rFonts w:eastAsia="TimesNewRoman"/>
          <w:sz w:val="22"/>
          <w:szCs w:val="22"/>
          <w:lang w:val="lt-LT" w:eastAsia="en-US"/>
        </w:rPr>
        <w:t>/l, ta pati Darunavir Teva</w:t>
      </w:r>
      <w:r w:rsidR="005145B9">
        <w:rPr>
          <w:rFonts w:eastAsia="TimesNewRoman"/>
          <w:sz w:val="22"/>
          <w:szCs w:val="22"/>
          <w:lang w:val="lt-LT" w:eastAsia="en-US"/>
        </w:rPr>
        <w:t xml:space="preserve"> 600 mg</w:t>
      </w:r>
      <w:r w:rsidRPr="004509B9">
        <w:rPr>
          <w:rFonts w:eastAsia="TimesNewRoman"/>
          <w:sz w:val="22"/>
          <w:szCs w:val="22"/>
          <w:lang w:val="lt-LT" w:eastAsia="en-US"/>
        </w:rPr>
        <w:t xml:space="preserve"> vieną kartą per parą vartojimo indikacija tinka ir pirmiau gydytiems vaikams nuo 3 iki 17 metų, sveriantiems ne mažiau kaip 15 kg.</w:t>
      </w:r>
    </w:p>
    <w:p w14:paraId="6C31D605" w14:textId="77777777" w:rsidR="009F5848" w:rsidRPr="004509B9" w:rsidRDefault="00706B0D" w:rsidP="00706B0D">
      <w:pPr>
        <w:autoSpaceDE w:val="0"/>
        <w:autoSpaceDN w:val="0"/>
        <w:adjustRightInd w:val="0"/>
        <w:rPr>
          <w:rFonts w:eastAsia="TimesNewRoman"/>
          <w:sz w:val="18"/>
          <w:szCs w:val="18"/>
          <w:lang w:val="lt-LT" w:eastAsia="en-US"/>
        </w:rPr>
      </w:pPr>
      <w:r w:rsidRPr="004509B9">
        <w:rPr>
          <w:rFonts w:eastAsia="TimesNewRoman"/>
          <w:sz w:val="22"/>
          <w:szCs w:val="22"/>
          <w:lang w:val="lt-LT" w:eastAsia="en-US"/>
        </w:rPr>
        <w:t xml:space="preserve">* </w:t>
      </w:r>
      <w:r w:rsidRPr="004509B9">
        <w:rPr>
          <w:rFonts w:eastAsia="TimesNewRoman"/>
          <w:sz w:val="18"/>
          <w:szCs w:val="18"/>
          <w:lang w:val="lt-LT" w:eastAsia="en-US"/>
        </w:rPr>
        <w:t>DRV-ASM: V11I, V32I, L33F, I47V, I50V, I54M, I54L, T74P, L76V, I84V ir L89V.</w:t>
      </w:r>
    </w:p>
    <w:p w14:paraId="4EEC66CA" w14:textId="77777777" w:rsidR="00FD6BC3" w:rsidRDefault="00FD6BC3" w:rsidP="009F5848">
      <w:pPr>
        <w:autoSpaceDE w:val="0"/>
        <w:autoSpaceDN w:val="0"/>
        <w:adjustRightInd w:val="0"/>
        <w:rPr>
          <w:rFonts w:eastAsia="TimesNewRoman"/>
          <w:i/>
          <w:iCs/>
          <w:sz w:val="22"/>
          <w:szCs w:val="22"/>
          <w:lang w:val="lt-LT" w:eastAsia="en-US"/>
        </w:rPr>
      </w:pPr>
    </w:p>
    <w:p w14:paraId="5E303FA7" w14:textId="77777777" w:rsidR="009F5848" w:rsidRPr="004509B9" w:rsidRDefault="009F5848" w:rsidP="009F5848">
      <w:pPr>
        <w:autoSpaceDE w:val="0"/>
        <w:autoSpaceDN w:val="0"/>
        <w:adjustRightInd w:val="0"/>
        <w:rPr>
          <w:rFonts w:eastAsia="TimesNewRoman"/>
          <w:i/>
          <w:iCs/>
          <w:sz w:val="22"/>
          <w:szCs w:val="22"/>
          <w:lang w:val="lt-LT" w:eastAsia="en-US"/>
        </w:rPr>
      </w:pPr>
      <w:r w:rsidRPr="004509B9">
        <w:rPr>
          <w:rFonts w:eastAsia="TimesNewRoman"/>
          <w:i/>
          <w:iCs/>
          <w:sz w:val="22"/>
          <w:szCs w:val="22"/>
          <w:lang w:val="lt-LT" w:eastAsia="en-US"/>
        </w:rPr>
        <w:t>Nėštumas ir pogimdyminis laikotarpis</w:t>
      </w:r>
    </w:p>
    <w:p w14:paraId="7C06D590"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Nėštumo ir pogimdyminiu laikotarpiu darunaviro/ritonaviro dozės keisti nereikia. </w:t>
      </w:r>
      <w:r w:rsidR="00706B0D" w:rsidRPr="004509B9">
        <w:rPr>
          <w:rFonts w:eastAsia="TimesNewRoman"/>
          <w:sz w:val="22"/>
          <w:szCs w:val="22"/>
          <w:lang w:val="lt-LT" w:eastAsia="en-US"/>
        </w:rPr>
        <w:t xml:space="preserve">Darunavir Teva </w:t>
      </w:r>
      <w:r w:rsidRPr="004509B9">
        <w:rPr>
          <w:rFonts w:eastAsia="TimesNewRoman"/>
          <w:sz w:val="22"/>
          <w:szCs w:val="22"/>
          <w:lang w:val="lt-LT" w:eastAsia="en-US"/>
        </w:rPr>
        <w:t>turi būti vartojamas nėštumo metu tik tada, kai galima nauda pateisina galimą riziką (žr. 4.4, 4.6 ir 5.2 skyrius).</w:t>
      </w:r>
    </w:p>
    <w:p w14:paraId="2D3BE4BB" w14:textId="77777777" w:rsidR="009F5848" w:rsidRPr="004509B9" w:rsidRDefault="009F5848" w:rsidP="009F5848">
      <w:pPr>
        <w:autoSpaceDE w:val="0"/>
        <w:autoSpaceDN w:val="0"/>
        <w:adjustRightInd w:val="0"/>
        <w:rPr>
          <w:rFonts w:eastAsia="TimesNewRoman"/>
          <w:sz w:val="22"/>
          <w:szCs w:val="22"/>
          <w:lang w:val="lt-LT" w:eastAsia="en-US"/>
        </w:rPr>
      </w:pPr>
    </w:p>
    <w:p w14:paraId="6DC2B7AB" w14:textId="77777777" w:rsidR="009F5848" w:rsidRPr="004509B9" w:rsidRDefault="009F5848" w:rsidP="009F5848">
      <w:pPr>
        <w:autoSpaceDE w:val="0"/>
        <w:autoSpaceDN w:val="0"/>
        <w:adjustRightInd w:val="0"/>
        <w:rPr>
          <w:rFonts w:eastAsia="TimesNewRoman"/>
          <w:sz w:val="22"/>
          <w:szCs w:val="22"/>
          <w:u w:val="single"/>
          <w:lang w:val="lt-LT" w:eastAsia="en-US"/>
        </w:rPr>
      </w:pPr>
      <w:r w:rsidRPr="004509B9">
        <w:rPr>
          <w:rFonts w:eastAsia="TimesNewRoman"/>
          <w:sz w:val="22"/>
          <w:szCs w:val="22"/>
          <w:u w:val="single"/>
          <w:lang w:val="lt-LT" w:eastAsia="en-US"/>
        </w:rPr>
        <w:t>Vartojimo metodas</w:t>
      </w:r>
    </w:p>
    <w:p w14:paraId="620CFDE0"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Pacientams reikia patarti vartoti Darunavir Teva kartu su maža ritonaviro doze 30 minučių l</w:t>
      </w:r>
      <w:r w:rsidR="00FD6BC3">
        <w:rPr>
          <w:rFonts w:eastAsia="TimesNewRoman"/>
          <w:sz w:val="22"/>
          <w:szCs w:val="22"/>
          <w:lang w:val="lt-LT" w:eastAsia="en-US"/>
        </w:rPr>
        <w:t xml:space="preserve">aikotarpiu po valgymo pabaigos. </w:t>
      </w:r>
      <w:r w:rsidRPr="004509B9">
        <w:rPr>
          <w:rFonts w:eastAsia="TimesNewRoman"/>
          <w:sz w:val="22"/>
          <w:szCs w:val="22"/>
          <w:lang w:val="lt-LT" w:eastAsia="en-US"/>
        </w:rPr>
        <w:t>Maisto rūšis darunaviro ekspozicijos neveikia (žr. 4.4, 4.5 ir 5.2 skyrius).</w:t>
      </w:r>
    </w:p>
    <w:p w14:paraId="277463CD" w14:textId="77777777" w:rsidR="009F5848" w:rsidRPr="004509B9" w:rsidRDefault="009F5848" w:rsidP="009F5848">
      <w:pPr>
        <w:autoSpaceDE w:val="0"/>
        <w:autoSpaceDN w:val="0"/>
        <w:adjustRightInd w:val="0"/>
        <w:rPr>
          <w:rFonts w:eastAsia="TimesNewRoman"/>
          <w:sz w:val="22"/>
          <w:szCs w:val="22"/>
          <w:lang w:val="lt-LT" w:eastAsia="en-US"/>
        </w:rPr>
      </w:pPr>
    </w:p>
    <w:p w14:paraId="372578C1" w14:textId="77777777" w:rsidR="009F5848" w:rsidRPr="00FD6BC3" w:rsidRDefault="009F5848" w:rsidP="00FD6BC3">
      <w:pPr>
        <w:keepNext/>
        <w:numPr>
          <w:ilvl w:val="1"/>
          <w:numId w:val="1"/>
        </w:numPr>
        <w:tabs>
          <w:tab w:val="left" w:pos="567"/>
        </w:tabs>
        <w:outlineLvl w:val="0"/>
        <w:rPr>
          <w:noProof/>
          <w:sz w:val="22"/>
          <w:szCs w:val="22"/>
          <w:lang w:val="lt-LT"/>
        </w:rPr>
      </w:pPr>
      <w:r w:rsidRPr="00FD6BC3">
        <w:rPr>
          <w:b/>
          <w:noProof/>
          <w:sz w:val="22"/>
          <w:szCs w:val="22"/>
          <w:lang w:val="lt-LT"/>
        </w:rPr>
        <w:t>Kontraindikacijos</w:t>
      </w:r>
    </w:p>
    <w:p w14:paraId="33965051" w14:textId="77777777" w:rsidR="009F5848" w:rsidRPr="004509B9" w:rsidRDefault="009F5848" w:rsidP="009F5848">
      <w:pPr>
        <w:autoSpaceDE w:val="0"/>
        <w:autoSpaceDN w:val="0"/>
        <w:adjustRightInd w:val="0"/>
        <w:rPr>
          <w:rFonts w:eastAsia="TimesNewRoman"/>
          <w:sz w:val="22"/>
          <w:szCs w:val="22"/>
          <w:lang w:val="lt-LT" w:eastAsia="en-US"/>
        </w:rPr>
      </w:pPr>
    </w:p>
    <w:p w14:paraId="289402DA" w14:textId="77777777" w:rsidR="009F5848"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Padidėjęs jautrumas veikliajai arba bet kuriai 6.1 skyriuje nurodytai pagalbinei medžiagai.</w:t>
      </w:r>
    </w:p>
    <w:p w14:paraId="513E2D5A" w14:textId="77777777" w:rsidR="00FD6BC3" w:rsidRPr="004509B9" w:rsidRDefault="00FD6BC3" w:rsidP="009F5848">
      <w:pPr>
        <w:autoSpaceDE w:val="0"/>
        <w:autoSpaceDN w:val="0"/>
        <w:adjustRightInd w:val="0"/>
        <w:rPr>
          <w:rFonts w:eastAsia="TimesNewRoman"/>
          <w:sz w:val="22"/>
          <w:szCs w:val="22"/>
          <w:lang w:val="lt-LT" w:eastAsia="en-US"/>
        </w:rPr>
      </w:pPr>
    </w:p>
    <w:p w14:paraId="595EAC76" w14:textId="77777777" w:rsidR="009F5848"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lastRenderedPageBreak/>
        <w:t xml:space="preserve">Pacientai, kurie serga sunkiu (C klasės pagal </w:t>
      </w:r>
      <w:r w:rsidRPr="004509B9">
        <w:rPr>
          <w:rFonts w:eastAsia="TimesNewRoman"/>
          <w:i/>
          <w:iCs/>
          <w:sz w:val="22"/>
          <w:szCs w:val="22"/>
          <w:lang w:val="lt-LT" w:eastAsia="en-US"/>
        </w:rPr>
        <w:t>Child-Pugh</w:t>
      </w:r>
      <w:r w:rsidRPr="004509B9">
        <w:rPr>
          <w:rFonts w:eastAsia="TimesNewRoman"/>
          <w:sz w:val="22"/>
          <w:szCs w:val="22"/>
          <w:lang w:val="lt-LT" w:eastAsia="en-US"/>
        </w:rPr>
        <w:t>) kepenų funkcijos sutrikimu.</w:t>
      </w:r>
    </w:p>
    <w:p w14:paraId="200B11BF" w14:textId="77777777" w:rsidR="00FD6BC3" w:rsidRPr="004509B9" w:rsidRDefault="00FD6BC3" w:rsidP="009F5848">
      <w:pPr>
        <w:autoSpaceDE w:val="0"/>
        <w:autoSpaceDN w:val="0"/>
        <w:adjustRightInd w:val="0"/>
        <w:rPr>
          <w:rFonts w:eastAsia="TimesNewRoman"/>
          <w:sz w:val="22"/>
          <w:szCs w:val="22"/>
          <w:lang w:val="lt-LT" w:eastAsia="en-US"/>
        </w:rPr>
      </w:pPr>
    </w:p>
    <w:p w14:paraId="63B48EEC" w14:textId="77777777" w:rsidR="00ED5338" w:rsidRDefault="00ED5338" w:rsidP="00ED533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Rifampicino vartojimas kartu su darunaviru ir maža ritonaviro doze (žr. 4.5 skyrių).</w:t>
      </w:r>
    </w:p>
    <w:p w14:paraId="20DBD8F7" w14:textId="77777777" w:rsidR="00FD6BC3" w:rsidRPr="004509B9" w:rsidRDefault="00FD6BC3" w:rsidP="00ED5338">
      <w:pPr>
        <w:autoSpaceDE w:val="0"/>
        <w:autoSpaceDN w:val="0"/>
        <w:adjustRightInd w:val="0"/>
        <w:rPr>
          <w:rFonts w:eastAsia="TimesNewRoman"/>
          <w:sz w:val="22"/>
          <w:szCs w:val="22"/>
          <w:lang w:val="lt-LT" w:eastAsia="en-US"/>
        </w:rPr>
      </w:pPr>
    </w:p>
    <w:p w14:paraId="2D1F3E6B" w14:textId="77777777" w:rsidR="00ED5338" w:rsidRDefault="00ED5338" w:rsidP="00ED533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Vartojimas kartu su lopinaviro ir ritonaviro deriniu (žr. 4.5 skyrių).</w:t>
      </w:r>
    </w:p>
    <w:p w14:paraId="22AA5BAD" w14:textId="77777777" w:rsidR="00FD6BC3" w:rsidRPr="004509B9" w:rsidRDefault="00FD6BC3" w:rsidP="00ED5338">
      <w:pPr>
        <w:autoSpaceDE w:val="0"/>
        <w:autoSpaceDN w:val="0"/>
        <w:adjustRightInd w:val="0"/>
        <w:rPr>
          <w:rFonts w:eastAsia="TimesNewRoman"/>
          <w:sz w:val="22"/>
          <w:szCs w:val="22"/>
          <w:lang w:val="lt-LT" w:eastAsia="en-US"/>
        </w:rPr>
      </w:pPr>
    </w:p>
    <w:p w14:paraId="7C8BB64A" w14:textId="77777777" w:rsidR="00ED5338" w:rsidRPr="004509B9" w:rsidRDefault="00ED5338" w:rsidP="00ED533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Vartojimas kartu su jonažolių (</w:t>
      </w:r>
      <w:r w:rsidRPr="00FD6BC3">
        <w:rPr>
          <w:rFonts w:eastAsia="TimesNewRoman"/>
          <w:i/>
          <w:sz w:val="22"/>
          <w:szCs w:val="22"/>
          <w:lang w:val="lt-LT" w:eastAsia="en-US"/>
        </w:rPr>
        <w:t>Hypericum perforatum</w:t>
      </w:r>
      <w:r w:rsidRPr="004509B9">
        <w:rPr>
          <w:rFonts w:eastAsia="TimesNewRoman"/>
          <w:sz w:val="22"/>
          <w:szCs w:val="22"/>
          <w:lang w:val="lt-LT" w:eastAsia="en-US"/>
        </w:rPr>
        <w:t>) turinčiais preparatais (žr. 4.5 skyrių).</w:t>
      </w:r>
    </w:p>
    <w:p w14:paraId="16DD28CD" w14:textId="77777777" w:rsidR="00ED5338" w:rsidRPr="004509B9" w:rsidRDefault="00ED5338" w:rsidP="00ED5338">
      <w:pPr>
        <w:autoSpaceDE w:val="0"/>
        <w:autoSpaceDN w:val="0"/>
        <w:adjustRightInd w:val="0"/>
        <w:rPr>
          <w:rFonts w:eastAsia="TimesNewRoman"/>
          <w:sz w:val="22"/>
          <w:szCs w:val="22"/>
          <w:lang w:val="lt-LT" w:eastAsia="en-US"/>
        </w:rPr>
      </w:pPr>
    </w:p>
    <w:p w14:paraId="3D72F3F3" w14:textId="77777777" w:rsidR="009F5848" w:rsidRPr="004509B9" w:rsidRDefault="00ED533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Darunaviro kartu su maža ritonaviro doze vartojimas kartu su veikliosiomis medžiagomis, kurių klirensas labai priklauso nuo CYP3A ir kurių koncentracijos plazmoje padidėjimas yra susijęs su sunkiais ir (arba) gyvybei pavojingais reiškiniais. </w:t>
      </w:r>
      <w:r w:rsidR="009F5848" w:rsidRPr="004509B9">
        <w:rPr>
          <w:rFonts w:eastAsia="TimesNewRoman"/>
          <w:sz w:val="22"/>
          <w:szCs w:val="22"/>
          <w:lang w:val="lt-LT" w:eastAsia="en-US"/>
        </w:rPr>
        <w:t>Tokios veikliosios medžiagos yra:</w:t>
      </w:r>
    </w:p>
    <w:p w14:paraId="7E0582F2" w14:textId="77777777" w:rsidR="009F5848" w:rsidRPr="004509B9" w:rsidRDefault="009F5848" w:rsidP="009F5848">
      <w:pPr>
        <w:pStyle w:val="BT-EMEASMCA"/>
        <w:ind w:left="567" w:hanging="567"/>
        <w:rPr>
          <w:sz w:val="22"/>
          <w:szCs w:val="22"/>
          <w:lang w:val="lt-LT" w:eastAsia="en-US"/>
        </w:rPr>
      </w:pPr>
      <w:r w:rsidRPr="004509B9">
        <w:rPr>
          <w:sz w:val="22"/>
          <w:szCs w:val="22"/>
          <w:lang w:val="lt-LT" w:eastAsia="en-US"/>
        </w:rPr>
        <w:t>alfuzozinas (alfa 1-adrenoreceptorių antagonistas);</w:t>
      </w:r>
    </w:p>
    <w:p w14:paraId="347D7DAB" w14:textId="77777777" w:rsidR="009F5848" w:rsidRPr="004509B9" w:rsidRDefault="009F5848" w:rsidP="009F5848">
      <w:pPr>
        <w:pStyle w:val="BT-EMEASMCA"/>
        <w:ind w:left="567" w:hanging="567"/>
        <w:rPr>
          <w:sz w:val="22"/>
          <w:szCs w:val="22"/>
          <w:lang w:val="lt-LT" w:eastAsia="en-US"/>
        </w:rPr>
      </w:pPr>
      <w:r w:rsidRPr="004509B9">
        <w:rPr>
          <w:sz w:val="22"/>
          <w:szCs w:val="22"/>
          <w:lang w:val="lt-LT" w:eastAsia="en-US"/>
        </w:rPr>
        <w:t>amjodaronas, bepridilis, dronedaronas, chinidinas, ranolazinas, sisteminiu būdu vartojamas lidokainas (antiaritminiai vaistiniai preparatai arba vaistai nuo krūtinės anginos);</w:t>
      </w:r>
    </w:p>
    <w:p w14:paraId="4D4AD76C" w14:textId="77777777" w:rsidR="009F5848" w:rsidRPr="004509B9" w:rsidRDefault="009F5848" w:rsidP="009F5848">
      <w:pPr>
        <w:pStyle w:val="BT-EMEASMCA"/>
        <w:ind w:left="567" w:hanging="567"/>
        <w:rPr>
          <w:sz w:val="22"/>
          <w:szCs w:val="22"/>
          <w:lang w:val="lt-LT" w:eastAsia="en-US"/>
        </w:rPr>
      </w:pPr>
      <w:r w:rsidRPr="004509B9">
        <w:rPr>
          <w:sz w:val="22"/>
          <w:szCs w:val="22"/>
          <w:lang w:val="lt-LT" w:eastAsia="en-US"/>
        </w:rPr>
        <w:t>astemizolas, terfenadinas (antihistamininiai vaistiniai preparatai);</w:t>
      </w:r>
    </w:p>
    <w:p w14:paraId="4B371CF4" w14:textId="77777777" w:rsidR="009F5848" w:rsidRPr="004509B9" w:rsidRDefault="009F5848" w:rsidP="009F5848">
      <w:pPr>
        <w:pStyle w:val="BT-EMEASMCA"/>
        <w:ind w:left="567" w:hanging="567"/>
        <w:rPr>
          <w:sz w:val="22"/>
          <w:szCs w:val="22"/>
          <w:lang w:val="lt-LT" w:eastAsia="en-US"/>
        </w:rPr>
      </w:pPr>
      <w:r w:rsidRPr="004509B9">
        <w:rPr>
          <w:sz w:val="22"/>
          <w:szCs w:val="22"/>
          <w:lang w:val="lt-LT" w:eastAsia="en-US"/>
        </w:rPr>
        <w:t>kolchicinas, kai vartojamas pacientams, kuriems yra inkstų lėtinė liga ir (arba) kepenų nepakankamumas (nuo podagros) (žr. 4.5 skyrių);</w:t>
      </w:r>
    </w:p>
    <w:p w14:paraId="1C5EAADD" w14:textId="77777777" w:rsidR="009F5848" w:rsidRPr="004509B9" w:rsidRDefault="009F5848" w:rsidP="009F5848">
      <w:pPr>
        <w:pStyle w:val="BT-EMEASMCA"/>
        <w:ind w:left="567" w:hanging="567"/>
        <w:rPr>
          <w:sz w:val="22"/>
          <w:szCs w:val="22"/>
          <w:lang w:val="lt-LT" w:eastAsia="en-US"/>
        </w:rPr>
      </w:pPr>
      <w:r w:rsidRPr="004509B9">
        <w:rPr>
          <w:sz w:val="22"/>
          <w:szCs w:val="22"/>
          <w:lang w:val="lt-LT" w:eastAsia="en-US"/>
        </w:rPr>
        <w:t>skalsių alkaloidai (pvz.: dihidroergotaminas, ergometrinas, ergotaminas, metilergonovinas);</w:t>
      </w:r>
    </w:p>
    <w:p w14:paraId="76CD9B2D" w14:textId="77777777" w:rsidR="009F5848" w:rsidRPr="004509B9" w:rsidRDefault="009F5848" w:rsidP="009F5848">
      <w:pPr>
        <w:pStyle w:val="BT-EMEASMCA"/>
        <w:ind w:left="567" w:hanging="567"/>
        <w:rPr>
          <w:sz w:val="22"/>
          <w:szCs w:val="22"/>
          <w:lang w:val="lt-LT" w:eastAsia="en-US"/>
        </w:rPr>
      </w:pPr>
      <w:r w:rsidRPr="004509B9">
        <w:rPr>
          <w:sz w:val="22"/>
          <w:szCs w:val="22"/>
          <w:lang w:val="lt-LT" w:eastAsia="en-US"/>
        </w:rPr>
        <w:t>cisapridas (virškinimo trakto peristaltiką skatinantys vaistiniai preparatai);</w:t>
      </w:r>
    </w:p>
    <w:p w14:paraId="48C704B5" w14:textId="77777777" w:rsidR="009F5848" w:rsidRPr="004509B9" w:rsidRDefault="009F5848" w:rsidP="009F5848">
      <w:pPr>
        <w:pStyle w:val="BT-EMEASMCA"/>
        <w:ind w:left="567" w:hanging="567"/>
        <w:rPr>
          <w:sz w:val="22"/>
          <w:szCs w:val="22"/>
          <w:lang w:val="lt-LT" w:eastAsia="en-US"/>
        </w:rPr>
      </w:pPr>
      <w:r w:rsidRPr="004509B9">
        <w:rPr>
          <w:sz w:val="22"/>
          <w:szCs w:val="22"/>
          <w:lang w:val="lt-LT" w:eastAsia="en-US"/>
        </w:rPr>
        <w:t>pimozidas, kvetiapinas, sertindolas (antipsichoziniai vaistiniai preparatai arba neuroleptikai) (žr. 4.5 skyrių);</w:t>
      </w:r>
    </w:p>
    <w:p w14:paraId="160C7B3C" w14:textId="77777777" w:rsidR="009F5848" w:rsidRPr="004509B9" w:rsidRDefault="009F5848" w:rsidP="009F5848">
      <w:pPr>
        <w:pStyle w:val="BT-EMEASMCA"/>
        <w:ind w:left="567" w:hanging="567"/>
        <w:rPr>
          <w:sz w:val="22"/>
          <w:szCs w:val="22"/>
          <w:lang w:val="lt-LT" w:eastAsia="en-US"/>
        </w:rPr>
      </w:pPr>
      <w:r w:rsidRPr="004509B9">
        <w:rPr>
          <w:sz w:val="22"/>
          <w:szCs w:val="22"/>
          <w:lang w:val="lt-LT" w:eastAsia="en-US"/>
        </w:rPr>
        <w:t>triazolamas, geriamasis midazolamas (migdomieji ir raminamieji vaistiniai preparatai) (apie atsargumo priemones vartojant midazolamą parenteriniu būdu, žr. 4.5 skyriuje);</w:t>
      </w:r>
    </w:p>
    <w:p w14:paraId="77E05A5A" w14:textId="77777777" w:rsidR="009F5848" w:rsidRPr="004509B9" w:rsidRDefault="009F5848" w:rsidP="009F5848">
      <w:pPr>
        <w:pStyle w:val="BT-EMEASMCA"/>
        <w:ind w:left="567" w:hanging="567"/>
        <w:rPr>
          <w:sz w:val="22"/>
          <w:szCs w:val="22"/>
          <w:lang w:val="lt-LT" w:eastAsia="en-US"/>
        </w:rPr>
      </w:pPr>
      <w:r w:rsidRPr="004509B9">
        <w:rPr>
          <w:sz w:val="22"/>
          <w:szCs w:val="22"/>
          <w:lang w:val="lt-LT" w:eastAsia="en-US"/>
        </w:rPr>
        <w:t>sildenafilis - kai vartojamas plautinei arterinei hipertenzijai gydyti, avanafilis (FDE-5 inhibitoriai);</w:t>
      </w:r>
    </w:p>
    <w:p w14:paraId="74F71951" w14:textId="77777777" w:rsidR="009F5848" w:rsidRPr="004509B9" w:rsidRDefault="009F5848" w:rsidP="009F5848">
      <w:pPr>
        <w:pStyle w:val="BT-EMEASMCA"/>
        <w:ind w:left="567" w:hanging="567"/>
        <w:rPr>
          <w:sz w:val="22"/>
          <w:szCs w:val="22"/>
          <w:lang w:val="lt-LT" w:eastAsia="en-US"/>
        </w:rPr>
      </w:pPr>
      <w:r w:rsidRPr="004509B9">
        <w:rPr>
          <w:sz w:val="22"/>
          <w:szCs w:val="22"/>
          <w:lang w:val="lt-LT" w:eastAsia="en-US"/>
        </w:rPr>
        <w:t>simvastatinas ir lovastatinas (HMG-CoA reduktazės inhibitoriai) (žr. 4.5 skyrių);</w:t>
      </w:r>
    </w:p>
    <w:p w14:paraId="4693248C" w14:textId="77777777" w:rsidR="009F5848" w:rsidRPr="004509B9" w:rsidRDefault="009F5848" w:rsidP="009F5848">
      <w:pPr>
        <w:pStyle w:val="BT-EMEASMCA"/>
        <w:ind w:left="567" w:hanging="567"/>
        <w:rPr>
          <w:sz w:val="22"/>
          <w:szCs w:val="22"/>
          <w:u w:val="single"/>
          <w:lang w:val="lt-LT" w:eastAsia="en-US"/>
        </w:rPr>
      </w:pPr>
      <w:r w:rsidRPr="004509B9">
        <w:rPr>
          <w:sz w:val="22"/>
          <w:szCs w:val="22"/>
          <w:lang w:val="lt-LT" w:eastAsia="en-US"/>
        </w:rPr>
        <w:t>tikagreloras (antitrombocitiniai vaistai) (žr. 4.5 skyrių).</w:t>
      </w:r>
    </w:p>
    <w:p w14:paraId="15EDECE6" w14:textId="77777777" w:rsidR="009F5848" w:rsidRPr="004509B9" w:rsidRDefault="009F5848" w:rsidP="009F5848">
      <w:pPr>
        <w:autoSpaceDE w:val="0"/>
        <w:autoSpaceDN w:val="0"/>
        <w:adjustRightInd w:val="0"/>
        <w:ind w:left="567" w:hanging="567"/>
        <w:rPr>
          <w:rFonts w:eastAsia="TimesNewRoman"/>
          <w:sz w:val="22"/>
          <w:szCs w:val="22"/>
          <w:u w:val="single"/>
          <w:lang w:val="lt-LT" w:eastAsia="en-US"/>
        </w:rPr>
      </w:pPr>
    </w:p>
    <w:p w14:paraId="63A5E575" w14:textId="77777777" w:rsidR="009F5848" w:rsidRPr="004509B9" w:rsidRDefault="009F5848" w:rsidP="009F5848">
      <w:pPr>
        <w:autoSpaceDE w:val="0"/>
        <w:autoSpaceDN w:val="0"/>
        <w:adjustRightInd w:val="0"/>
        <w:rPr>
          <w:rFonts w:eastAsia="TimesNewRoman,Bold"/>
          <w:b/>
          <w:bCs/>
          <w:sz w:val="22"/>
          <w:szCs w:val="22"/>
          <w:lang w:val="lt-LT" w:eastAsia="en-US"/>
        </w:rPr>
      </w:pPr>
      <w:r w:rsidRPr="004509B9">
        <w:rPr>
          <w:rFonts w:eastAsia="TimesNewRoman,Bold"/>
          <w:b/>
          <w:bCs/>
          <w:sz w:val="22"/>
          <w:szCs w:val="22"/>
          <w:lang w:val="lt-LT" w:eastAsia="en-US"/>
        </w:rPr>
        <w:t>4.4 Specialūs įspėjimai ir atsargumo priemonės</w:t>
      </w:r>
    </w:p>
    <w:p w14:paraId="6E60924B" w14:textId="77777777" w:rsidR="009F5848" w:rsidRPr="004509B9" w:rsidRDefault="009F5848" w:rsidP="009F5848">
      <w:pPr>
        <w:autoSpaceDE w:val="0"/>
        <w:autoSpaceDN w:val="0"/>
        <w:adjustRightInd w:val="0"/>
        <w:rPr>
          <w:rFonts w:eastAsia="TimesNewRoman"/>
          <w:sz w:val="22"/>
          <w:szCs w:val="22"/>
          <w:lang w:val="lt-LT" w:eastAsia="en-US"/>
        </w:rPr>
      </w:pPr>
    </w:p>
    <w:p w14:paraId="09D92A74"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Nors įrodytas antiretrovirusinio gydymo virusų slopinimo veiksmingumas reikšmingai sumažinant kitų asmenų užkrėtimo virusais lytiniu keliu riziką, liekamosios rizikos paneigti negalima. Kad būtų išvengta kitų asmenų užkrėtimo virusais, reikia laikytis atsargumo priemonių pagal nacionalines rekomendacijas.</w:t>
      </w:r>
    </w:p>
    <w:p w14:paraId="6B3E6A7F" w14:textId="77777777" w:rsidR="009F5848" w:rsidRPr="004509B9" w:rsidRDefault="009F5848" w:rsidP="009F5848">
      <w:pPr>
        <w:autoSpaceDE w:val="0"/>
        <w:autoSpaceDN w:val="0"/>
        <w:adjustRightInd w:val="0"/>
        <w:rPr>
          <w:rFonts w:eastAsia="TimesNewRoman"/>
          <w:sz w:val="22"/>
          <w:szCs w:val="22"/>
          <w:lang w:val="lt-LT" w:eastAsia="en-US"/>
        </w:rPr>
      </w:pPr>
    </w:p>
    <w:p w14:paraId="5488797B"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Patariama reguliariai įvertinti virusologinį atsaką. Jeigu virusologinis atsakas yra nepakankamas arba jo nėra, reikia atlikti atsparumo mėginius.</w:t>
      </w:r>
    </w:p>
    <w:p w14:paraId="12A93A87" w14:textId="77777777" w:rsidR="009F5848" w:rsidRPr="004509B9" w:rsidRDefault="009F5848" w:rsidP="009F5848">
      <w:pPr>
        <w:autoSpaceDE w:val="0"/>
        <w:autoSpaceDN w:val="0"/>
        <w:adjustRightInd w:val="0"/>
        <w:rPr>
          <w:rFonts w:eastAsia="TimesNewRoman"/>
          <w:sz w:val="22"/>
          <w:szCs w:val="22"/>
          <w:lang w:val="lt-LT" w:eastAsia="en-US"/>
        </w:rPr>
      </w:pPr>
    </w:p>
    <w:p w14:paraId="01371487"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Darunaviras visada turi būti vartojamas per burną kartu su maža ritonaviro doze</w:t>
      </w:r>
      <w:r w:rsidR="00ED5338" w:rsidRPr="004509B9">
        <w:rPr>
          <w:rFonts w:eastAsia="TimesNewRoman"/>
          <w:sz w:val="22"/>
          <w:szCs w:val="22"/>
          <w:lang w:val="lt-LT" w:eastAsia="en-US"/>
        </w:rPr>
        <w:t>, stiprinančia farmakokinetiką</w:t>
      </w:r>
      <w:r w:rsidRPr="004509B9">
        <w:rPr>
          <w:rFonts w:eastAsia="TimesNewRoman"/>
          <w:sz w:val="22"/>
          <w:szCs w:val="22"/>
          <w:lang w:val="lt-LT" w:eastAsia="en-US"/>
        </w:rPr>
        <w:t xml:space="preserve"> (žr. 5.2 skyrių).</w:t>
      </w:r>
    </w:p>
    <w:p w14:paraId="391B3D76" w14:textId="77777777" w:rsidR="009F5848" w:rsidRPr="004509B9" w:rsidRDefault="009F5848" w:rsidP="009F5848">
      <w:pPr>
        <w:autoSpaceDE w:val="0"/>
        <w:autoSpaceDN w:val="0"/>
        <w:adjustRightInd w:val="0"/>
        <w:rPr>
          <w:rFonts w:eastAsia="TimesNewRoman"/>
          <w:sz w:val="22"/>
          <w:szCs w:val="22"/>
          <w:lang w:val="lt-LT" w:eastAsia="en-US"/>
        </w:rPr>
      </w:pPr>
    </w:p>
    <w:p w14:paraId="6511971B"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Ritonaviro dozės didinimas virš rekomenduojamos 4.2 skyriuje</w:t>
      </w:r>
      <w:r w:rsidR="008C3C9D">
        <w:rPr>
          <w:rFonts w:eastAsia="TimesNewRoman"/>
          <w:sz w:val="22"/>
          <w:szCs w:val="22"/>
          <w:lang w:val="lt-LT" w:eastAsia="en-US"/>
        </w:rPr>
        <w:t>,</w:t>
      </w:r>
      <w:r w:rsidRPr="004509B9">
        <w:rPr>
          <w:rFonts w:eastAsia="TimesNewRoman"/>
          <w:sz w:val="22"/>
          <w:szCs w:val="22"/>
          <w:lang w:val="lt-LT" w:eastAsia="en-US"/>
        </w:rPr>
        <w:t xml:space="preserve"> ryškiau neveikia darunaviro koncentracijos</w:t>
      </w:r>
      <w:r w:rsidR="00ED5338" w:rsidRPr="004509B9">
        <w:rPr>
          <w:rFonts w:eastAsia="TimesNewRoman"/>
          <w:sz w:val="22"/>
          <w:szCs w:val="22"/>
          <w:lang w:val="lt-LT" w:eastAsia="en-US"/>
        </w:rPr>
        <w:t xml:space="preserve"> ir todėl n</w:t>
      </w:r>
      <w:r w:rsidRPr="004509B9">
        <w:rPr>
          <w:rFonts w:eastAsia="TimesNewRoman"/>
          <w:sz w:val="22"/>
          <w:szCs w:val="22"/>
          <w:lang w:val="lt-LT" w:eastAsia="en-US"/>
        </w:rPr>
        <w:t>erekomenduojam</w:t>
      </w:r>
      <w:r w:rsidR="00ED5338" w:rsidRPr="004509B9">
        <w:rPr>
          <w:rFonts w:eastAsia="TimesNewRoman"/>
          <w:sz w:val="22"/>
          <w:szCs w:val="22"/>
          <w:lang w:val="lt-LT" w:eastAsia="en-US"/>
        </w:rPr>
        <w:t>as</w:t>
      </w:r>
      <w:r w:rsidRPr="004509B9">
        <w:rPr>
          <w:rFonts w:eastAsia="TimesNewRoman"/>
          <w:sz w:val="22"/>
          <w:szCs w:val="22"/>
          <w:lang w:val="lt-LT" w:eastAsia="en-US"/>
        </w:rPr>
        <w:t>.</w:t>
      </w:r>
    </w:p>
    <w:p w14:paraId="6EDED7CC" w14:textId="77777777" w:rsidR="009F5848" w:rsidRPr="004509B9" w:rsidRDefault="009F5848" w:rsidP="009F5848">
      <w:pPr>
        <w:autoSpaceDE w:val="0"/>
        <w:autoSpaceDN w:val="0"/>
        <w:adjustRightInd w:val="0"/>
        <w:rPr>
          <w:rFonts w:eastAsia="TimesNewRoman"/>
          <w:sz w:val="22"/>
          <w:szCs w:val="22"/>
          <w:lang w:val="lt-LT" w:eastAsia="en-US"/>
        </w:rPr>
      </w:pPr>
    </w:p>
    <w:p w14:paraId="7609AA03"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lastRenderedPageBreak/>
        <w:t>Darunaviras daugiausia jungiasi su plazmos alfa-1 rūgščiuoju glikoproteinu. Šis prisijungimas prie baltymo priklauso nuo koncentracijos ir nurodo jungimosi įsotinimą. Todėl negalima paneigti, kad vaistiniai preparatai, kurių didelė dalis susijungia su alfa-1 rūgščiuoju glikoproteinu, gali būti išstumti iš jungties su baltymu (žr. 4.5 skyrių).</w:t>
      </w:r>
    </w:p>
    <w:p w14:paraId="6BCC2D7F" w14:textId="77777777" w:rsidR="009F5848" w:rsidRPr="004509B9" w:rsidRDefault="009F5848" w:rsidP="009F5848">
      <w:pPr>
        <w:autoSpaceDE w:val="0"/>
        <w:autoSpaceDN w:val="0"/>
        <w:adjustRightInd w:val="0"/>
        <w:rPr>
          <w:rFonts w:eastAsia="TimesNewRoman"/>
          <w:sz w:val="22"/>
          <w:szCs w:val="22"/>
          <w:lang w:val="lt-LT" w:eastAsia="en-US"/>
        </w:rPr>
      </w:pPr>
    </w:p>
    <w:p w14:paraId="12FA5D72" w14:textId="77777777" w:rsidR="009F5848" w:rsidRPr="004509B9" w:rsidRDefault="009F5848" w:rsidP="009F5848">
      <w:pPr>
        <w:autoSpaceDE w:val="0"/>
        <w:autoSpaceDN w:val="0"/>
        <w:adjustRightInd w:val="0"/>
        <w:rPr>
          <w:rFonts w:eastAsia="TimesNewRoman"/>
          <w:sz w:val="22"/>
          <w:szCs w:val="22"/>
          <w:u w:val="single"/>
          <w:lang w:val="lt-LT" w:eastAsia="en-US"/>
        </w:rPr>
      </w:pPr>
      <w:r w:rsidRPr="004509B9">
        <w:rPr>
          <w:rFonts w:eastAsia="TimesNewRoman"/>
          <w:sz w:val="22"/>
          <w:szCs w:val="22"/>
          <w:u w:val="single"/>
          <w:lang w:val="lt-LT" w:eastAsia="en-US"/>
        </w:rPr>
        <w:t>Pacientai, kuriems taikytas ARG – dozavimas vieną kartą per parą</w:t>
      </w:r>
    </w:p>
    <w:p w14:paraId="29DF9F14"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Darunavir</w:t>
      </w:r>
      <w:r w:rsidR="00ED5338" w:rsidRPr="004509B9">
        <w:rPr>
          <w:rFonts w:eastAsia="TimesNewRoman"/>
          <w:sz w:val="22"/>
          <w:szCs w:val="22"/>
          <w:lang w:val="lt-LT" w:eastAsia="en-US"/>
        </w:rPr>
        <w:t>as</w:t>
      </w:r>
      <w:r w:rsidRPr="004509B9">
        <w:rPr>
          <w:rFonts w:eastAsia="TimesNewRoman"/>
          <w:sz w:val="22"/>
          <w:szCs w:val="22"/>
          <w:lang w:val="lt-LT" w:eastAsia="en-US"/>
        </w:rPr>
        <w:t xml:space="preserve"> kartu su kobicistatu ar maža ritonaviro doze vieną kartą per parą pacientams, kuriems taikytas ARG, negalima taikyti tiems pacientams, kuriems yra atsiradusi viena ar daugiau su atsparumu darunavirui susijusių mutacijų (DRV-ASM) arba ŽIV-1 RNR kiekis yra ≥ 100 000 kopijų/ml, arba CD4+ ląstelių kiekis yra &lt; 100 ląstelių x 10</w:t>
      </w:r>
      <w:r w:rsidRPr="004509B9">
        <w:rPr>
          <w:rFonts w:eastAsia="TimesNewRoman"/>
          <w:sz w:val="22"/>
          <w:szCs w:val="22"/>
          <w:vertAlign w:val="superscript"/>
          <w:lang w:val="lt-LT" w:eastAsia="en-US"/>
        </w:rPr>
        <w:t>6</w:t>
      </w:r>
      <w:r w:rsidRPr="004509B9">
        <w:rPr>
          <w:rFonts w:eastAsia="TimesNewRoman"/>
          <w:sz w:val="22"/>
          <w:szCs w:val="22"/>
          <w:lang w:val="lt-LT" w:eastAsia="en-US"/>
        </w:rPr>
        <w:t xml:space="preserve">/l (žr. 4.2 skyrių). Gydymas kartu su optimizuotu pagrindiniu planu (OPP), kitokiu nei gydymu ≥ 2 </w:t>
      </w:r>
      <w:r w:rsidRPr="004509B9">
        <w:rPr>
          <w:bCs/>
          <w:iCs/>
          <w:sz w:val="22"/>
          <w:szCs w:val="22"/>
          <w:lang w:val="lt-LT" w:eastAsia="en-US"/>
        </w:rPr>
        <w:t xml:space="preserve">nukleo(z/t)ido </w:t>
      </w:r>
      <w:r w:rsidR="005145B9">
        <w:rPr>
          <w:bCs/>
          <w:iCs/>
          <w:sz w:val="22"/>
          <w:szCs w:val="22"/>
          <w:lang w:val="lt-LT" w:eastAsia="en-US"/>
        </w:rPr>
        <w:t>atvirkštinės</w:t>
      </w:r>
      <w:r w:rsidR="00277835">
        <w:rPr>
          <w:bCs/>
          <w:iCs/>
          <w:sz w:val="22"/>
          <w:szCs w:val="22"/>
          <w:lang w:val="lt-LT" w:eastAsia="en-US"/>
        </w:rPr>
        <w:t xml:space="preserve"> </w:t>
      </w:r>
      <w:r w:rsidRPr="004509B9">
        <w:rPr>
          <w:bCs/>
          <w:iCs/>
          <w:sz w:val="22"/>
          <w:szCs w:val="22"/>
          <w:lang w:val="lt-LT" w:eastAsia="en-US"/>
        </w:rPr>
        <w:t xml:space="preserve"> transkriptazės</w:t>
      </w:r>
      <w:r w:rsidRPr="004509B9">
        <w:rPr>
          <w:bCs/>
          <w:iCs/>
          <w:sz w:val="20"/>
          <w:lang w:val="lt-LT" w:eastAsia="en-US"/>
        </w:rPr>
        <w:t xml:space="preserve"> </w:t>
      </w:r>
      <w:r w:rsidRPr="004509B9">
        <w:rPr>
          <w:bCs/>
          <w:iCs/>
          <w:sz w:val="22"/>
          <w:szCs w:val="22"/>
          <w:lang w:val="lt-LT" w:eastAsia="en-US"/>
        </w:rPr>
        <w:t>inhibitoriais</w:t>
      </w:r>
      <w:r w:rsidRPr="004509B9">
        <w:rPr>
          <w:bCs/>
          <w:iCs/>
          <w:sz w:val="20"/>
          <w:lang w:val="lt-LT" w:eastAsia="en-US"/>
        </w:rPr>
        <w:t xml:space="preserve"> (</w:t>
      </w:r>
      <w:r w:rsidRPr="004509B9">
        <w:rPr>
          <w:rFonts w:eastAsia="TimesNewRoman"/>
          <w:sz w:val="22"/>
          <w:szCs w:val="22"/>
          <w:lang w:val="lt-LT" w:eastAsia="en-US"/>
        </w:rPr>
        <w:t>NATI), šioje grupėje netirtas. Duomenys apie pacientus, užsikrėtusius kitokiais nei B tipo ŽIV-1, yra riboti (žr. 5.1 skyrių).</w:t>
      </w:r>
    </w:p>
    <w:p w14:paraId="02E692BE" w14:textId="77777777" w:rsidR="009F5848" w:rsidRPr="004509B9" w:rsidRDefault="009F5848" w:rsidP="009F5848">
      <w:pPr>
        <w:autoSpaceDE w:val="0"/>
        <w:autoSpaceDN w:val="0"/>
        <w:adjustRightInd w:val="0"/>
        <w:rPr>
          <w:rFonts w:eastAsia="TimesNewRoman"/>
          <w:sz w:val="22"/>
          <w:szCs w:val="22"/>
          <w:lang w:val="lt-LT" w:eastAsia="en-US"/>
        </w:rPr>
      </w:pPr>
    </w:p>
    <w:p w14:paraId="629839A5" w14:textId="77777777" w:rsidR="009F5848" w:rsidRPr="004509B9" w:rsidRDefault="009F5848" w:rsidP="009F5848">
      <w:pPr>
        <w:autoSpaceDE w:val="0"/>
        <w:autoSpaceDN w:val="0"/>
        <w:adjustRightInd w:val="0"/>
        <w:rPr>
          <w:rFonts w:eastAsia="TimesNewRoman"/>
          <w:sz w:val="22"/>
          <w:szCs w:val="22"/>
          <w:u w:val="single"/>
          <w:lang w:val="lt-LT" w:eastAsia="en-US"/>
        </w:rPr>
      </w:pPr>
      <w:r w:rsidRPr="004509B9">
        <w:rPr>
          <w:rFonts w:eastAsia="TimesNewRoman"/>
          <w:sz w:val="22"/>
          <w:szCs w:val="22"/>
          <w:u w:val="single"/>
          <w:lang w:val="lt-LT" w:eastAsia="en-US"/>
        </w:rPr>
        <w:t>Vaikų populiacija</w:t>
      </w:r>
    </w:p>
    <w:p w14:paraId="04E858BF"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Darunaviro nerekomenduojama vartoti jaunesniems kaip 3 metų arba sveriantiems mažiau kaip 15 kg vaikams ir paaugliams (žr. 4.2 ir 5.3 skyrius).</w:t>
      </w:r>
    </w:p>
    <w:p w14:paraId="60A14DC8" w14:textId="77777777" w:rsidR="009F5848" w:rsidRPr="004509B9" w:rsidRDefault="009F5848" w:rsidP="009F5848">
      <w:pPr>
        <w:autoSpaceDE w:val="0"/>
        <w:autoSpaceDN w:val="0"/>
        <w:adjustRightInd w:val="0"/>
        <w:rPr>
          <w:rFonts w:eastAsia="TimesNewRoman"/>
          <w:sz w:val="22"/>
          <w:szCs w:val="22"/>
          <w:lang w:val="lt-LT" w:eastAsia="en-US"/>
        </w:rPr>
      </w:pPr>
    </w:p>
    <w:p w14:paraId="2731ECEA" w14:textId="77777777" w:rsidR="009F5848" w:rsidRPr="004509B9" w:rsidRDefault="009F5848" w:rsidP="009F5848">
      <w:pPr>
        <w:autoSpaceDE w:val="0"/>
        <w:autoSpaceDN w:val="0"/>
        <w:adjustRightInd w:val="0"/>
        <w:rPr>
          <w:rFonts w:eastAsia="TimesNewRoman"/>
          <w:iCs/>
          <w:sz w:val="22"/>
          <w:szCs w:val="22"/>
          <w:u w:val="single"/>
          <w:lang w:val="lt-LT" w:eastAsia="en-US"/>
        </w:rPr>
      </w:pPr>
      <w:r w:rsidRPr="004509B9">
        <w:rPr>
          <w:rFonts w:eastAsia="TimesNewRoman"/>
          <w:iCs/>
          <w:sz w:val="22"/>
          <w:szCs w:val="22"/>
          <w:u w:val="single"/>
          <w:lang w:val="lt-LT" w:eastAsia="en-US"/>
        </w:rPr>
        <w:t>Nėštumas</w:t>
      </w:r>
    </w:p>
    <w:p w14:paraId="415A9F21"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Darunaviro nėštumo metu turi būti vartojama tik tada, kai galima nauda pateisina galimą riziką. Reikėtų atsargiai skirti nėščioms moterims, kurioms kartu reikia vartoti kitų vaistinių preparatų, nes tai gali dar sumažinti darunaviro ekspoziciją (žr. 4.5 ir 5.2 skyrius).</w:t>
      </w:r>
    </w:p>
    <w:p w14:paraId="4C9791D3" w14:textId="77777777" w:rsidR="009F5848" w:rsidRPr="004509B9" w:rsidRDefault="009F5848" w:rsidP="009F5848">
      <w:pPr>
        <w:autoSpaceDE w:val="0"/>
        <w:autoSpaceDN w:val="0"/>
        <w:adjustRightInd w:val="0"/>
        <w:rPr>
          <w:rFonts w:eastAsia="TimesNewRoman"/>
          <w:sz w:val="22"/>
          <w:szCs w:val="22"/>
          <w:lang w:val="lt-LT" w:eastAsia="en-US"/>
        </w:rPr>
      </w:pPr>
    </w:p>
    <w:p w14:paraId="6DC22783" w14:textId="77777777" w:rsidR="009F5848" w:rsidRPr="004509B9" w:rsidRDefault="009F5848" w:rsidP="009F5848">
      <w:pPr>
        <w:autoSpaceDE w:val="0"/>
        <w:autoSpaceDN w:val="0"/>
        <w:adjustRightInd w:val="0"/>
        <w:rPr>
          <w:rFonts w:eastAsia="TimesNewRoman"/>
          <w:sz w:val="22"/>
          <w:szCs w:val="22"/>
          <w:u w:val="single"/>
          <w:lang w:val="lt-LT" w:eastAsia="en-US"/>
        </w:rPr>
      </w:pPr>
      <w:r w:rsidRPr="004509B9">
        <w:rPr>
          <w:rFonts w:eastAsia="TimesNewRoman"/>
          <w:sz w:val="22"/>
          <w:szCs w:val="22"/>
          <w:u w:val="single"/>
          <w:lang w:val="lt-LT" w:eastAsia="en-US"/>
        </w:rPr>
        <w:t>Senyviems žmonėms</w:t>
      </w:r>
    </w:p>
    <w:p w14:paraId="4C72C0F4"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Duomenys apie 65 metų ir vyresnių ligonių gydymą darunaviru yra nepakankami, todėl vyresniems pacientams darunaviro reikia skirti atsargiai, nes jų kepenų funkcija dažniau būna susilpnėjusi, jie dažniau serga kitomis ligomis ir dažniau gydomi kitais vaistiniais preparatais (žr. 4.2 ir 5.2 skyrius).</w:t>
      </w:r>
    </w:p>
    <w:p w14:paraId="69612DED" w14:textId="77777777" w:rsidR="009F5848" w:rsidRPr="004509B9" w:rsidRDefault="009F5848" w:rsidP="009F5848">
      <w:pPr>
        <w:autoSpaceDE w:val="0"/>
        <w:autoSpaceDN w:val="0"/>
        <w:adjustRightInd w:val="0"/>
        <w:rPr>
          <w:rFonts w:eastAsia="TimesNewRoman"/>
          <w:sz w:val="22"/>
          <w:szCs w:val="22"/>
          <w:lang w:val="lt-LT" w:eastAsia="en-US"/>
        </w:rPr>
      </w:pPr>
    </w:p>
    <w:p w14:paraId="502BBC68" w14:textId="77777777" w:rsidR="009F5848" w:rsidRPr="004B61CB" w:rsidRDefault="009F5848" w:rsidP="009F5848">
      <w:pPr>
        <w:autoSpaceDE w:val="0"/>
        <w:autoSpaceDN w:val="0"/>
        <w:adjustRightInd w:val="0"/>
        <w:rPr>
          <w:rFonts w:eastAsia="TimesNewRoman"/>
          <w:sz w:val="22"/>
          <w:szCs w:val="22"/>
          <w:u w:val="single"/>
          <w:lang w:val="lt-LT" w:eastAsia="en-US"/>
        </w:rPr>
      </w:pPr>
      <w:r w:rsidRPr="004B61CB">
        <w:rPr>
          <w:rFonts w:eastAsia="TimesNewRoman"/>
          <w:sz w:val="22"/>
          <w:szCs w:val="22"/>
          <w:u w:val="single"/>
          <w:lang w:val="lt-LT" w:eastAsia="en-US"/>
        </w:rPr>
        <w:t>Sunkios odos reakcijos</w:t>
      </w:r>
    </w:p>
    <w:p w14:paraId="38E7BD6B"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Klinikinio vystymo programos metu (n=3 063) sunkių odos reakcijų, kurios gali būti susijusios su karščiavimu ir (arba) transaminazių suaktyvėjimu, buvo nustatyta 0,4 % pacientų. Retais atvejais (&lt; 0,1 %) pasireiškė vaistų sukeltas bėrimas su eozinofilija ir sisteminiais simptomais (angl. </w:t>
      </w:r>
      <w:r w:rsidRPr="004509B9">
        <w:rPr>
          <w:rFonts w:eastAsia="TimesNewRoman"/>
          <w:i/>
          <w:sz w:val="22"/>
          <w:szCs w:val="22"/>
          <w:lang w:val="lt-LT" w:eastAsia="en-US"/>
        </w:rPr>
        <w:t xml:space="preserve">DRESS, </w:t>
      </w:r>
      <w:r w:rsidRPr="004509B9">
        <w:rPr>
          <w:rFonts w:eastAsia="TimesNewRoman"/>
          <w:i/>
          <w:iCs/>
          <w:sz w:val="22"/>
          <w:szCs w:val="22"/>
          <w:lang w:val="lt-LT" w:eastAsia="en-US"/>
        </w:rPr>
        <w:t>Drug Rash with Eosinophilia and Systemic Symptoms</w:t>
      </w:r>
      <w:r w:rsidRPr="004509B9">
        <w:rPr>
          <w:rFonts w:eastAsia="TimesNewRoman"/>
          <w:sz w:val="22"/>
          <w:szCs w:val="22"/>
          <w:lang w:val="lt-LT" w:eastAsia="en-US"/>
        </w:rPr>
        <w:t>) ir Stivenso ir Džonsono sindromas, o po vaistinio preparato registracijos gauta pranešimų apie toksinę epidermio nekrolizę ir ūminę generalizuotą egzanteminę pustuliozę. Jeigu atsiranda sunkios odos reakcijos požymių ar simptomų, darunaviro ir ritonaviro derinio vartojimas turi būti nedelsiant nutrauktas. Tokie požymiai arba simptomai gali būti (bet ne vien tik šie) sunkus išbėrimas arba išbėrimas, pasireiškiantis kartu su karščiavimu, bendru negalavimu, nuovargiu, raumenų ar sąnarių skausmais, pūslėmis, burnos pažaidomis, konjunktyvitu, hepatitu ir (arba) eozinofilija.</w:t>
      </w:r>
    </w:p>
    <w:p w14:paraId="2D5A9155" w14:textId="77777777" w:rsidR="009F5848" w:rsidRPr="004509B9" w:rsidRDefault="009F5848" w:rsidP="009F5848">
      <w:pPr>
        <w:autoSpaceDE w:val="0"/>
        <w:autoSpaceDN w:val="0"/>
        <w:adjustRightInd w:val="0"/>
        <w:rPr>
          <w:rFonts w:eastAsia="TimesNewRoman"/>
          <w:sz w:val="22"/>
          <w:szCs w:val="22"/>
          <w:lang w:val="lt-LT" w:eastAsia="en-US"/>
        </w:rPr>
      </w:pPr>
    </w:p>
    <w:p w14:paraId="06862D18"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Išbėrimas dažniau pasireiškė anksčiau gydytiems pacientams, kuriems buvo taikyti gydymo režimai su darunaviru ir raltegraviru, palyginti su pacientais, kurie vartojo darunaviro be raltegraviro arba raltegravirą be darunaviro (žr. 4.8 skyrių).</w:t>
      </w:r>
    </w:p>
    <w:p w14:paraId="647CA292" w14:textId="77777777" w:rsidR="009F5848" w:rsidRPr="004509B9" w:rsidRDefault="009F5848" w:rsidP="009F5848">
      <w:pPr>
        <w:autoSpaceDE w:val="0"/>
        <w:autoSpaceDN w:val="0"/>
        <w:adjustRightInd w:val="0"/>
        <w:rPr>
          <w:rFonts w:eastAsia="TimesNewRoman"/>
          <w:sz w:val="22"/>
          <w:szCs w:val="22"/>
          <w:lang w:val="lt-LT" w:eastAsia="en-US"/>
        </w:rPr>
      </w:pPr>
    </w:p>
    <w:p w14:paraId="1C75A55D"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Darunaviro struktūroje yra dalis sulfonamido. Pacientams, kuriems nustatyta alergija sulfonamidams, darunaviro vartoti reikia atsargiai.</w:t>
      </w:r>
    </w:p>
    <w:p w14:paraId="6855B0F5" w14:textId="77777777" w:rsidR="009F5848" w:rsidRPr="004509B9" w:rsidRDefault="009F5848" w:rsidP="009F5848">
      <w:pPr>
        <w:autoSpaceDE w:val="0"/>
        <w:autoSpaceDN w:val="0"/>
        <w:adjustRightInd w:val="0"/>
        <w:rPr>
          <w:rFonts w:eastAsia="TimesNewRoman"/>
          <w:sz w:val="22"/>
          <w:szCs w:val="22"/>
          <w:lang w:val="lt-LT" w:eastAsia="en-US"/>
        </w:rPr>
      </w:pPr>
    </w:p>
    <w:p w14:paraId="3A728E7B" w14:textId="77777777" w:rsidR="009F5848" w:rsidRPr="00255546" w:rsidRDefault="009F5848" w:rsidP="009F5848">
      <w:pPr>
        <w:autoSpaceDE w:val="0"/>
        <w:autoSpaceDN w:val="0"/>
        <w:adjustRightInd w:val="0"/>
        <w:rPr>
          <w:rFonts w:eastAsia="TimesNewRoman"/>
          <w:sz w:val="22"/>
          <w:szCs w:val="22"/>
          <w:u w:val="single"/>
          <w:lang w:val="lt-LT" w:eastAsia="en-US"/>
        </w:rPr>
      </w:pPr>
      <w:r w:rsidRPr="00255546">
        <w:rPr>
          <w:rFonts w:eastAsia="TimesNewRoman"/>
          <w:sz w:val="22"/>
          <w:szCs w:val="22"/>
          <w:u w:val="single"/>
          <w:lang w:val="lt-LT" w:eastAsia="en-US"/>
        </w:rPr>
        <w:t>Hepatotoksinis poveikis</w:t>
      </w:r>
    </w:p>
    <w:p w14:paraId="57D0D89A"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Vartojant darunaviro, buvo pranešimų</w:t>
      </w:r>
      <w:r w:rsidR="00277835">
        <w:rPr>
          <w:rFonts w:eastAsia="TimesNewRoman"/>
          <w:sz w:val="22"/>
          <w:szCs w:val="22"/>
          <w:lang w:val="lt-LT" w:eastAsia="en-US"/>
        </w:rPr>
        <w:t xml:space="preserve"> </w:t>
      </w:r>
      <w:r w:rsidRPr="004509B9">
        <w:rPr>
          <w:rFonts w:eastAsia="TimesNewRoman"/>
          <w:sz w:val="22"/>
          <w:szCs w:val="22"/>
          <w:lang w:val="lt-LT" w:eastAsia="en-US"/>
        </w:rPr>
        <w:t xml:space="preserve"> apie vaistinių preparatų sukeltą hepatitą (t. y. ūminis hepatitas, citolizinis hepatitas). Klinikinio vystymo programos metu (n=3 063) hepatitas buvo diagnozuotas 0,5 % pacientų, kuriems buvo taikytas sudėtinis antiretrovirusinis gydymas darunaviro ir ritonaviro deriniu. Pacientams, kurių kepenų funkcija buvo sutrikusi prieš pradedant gydymą, įskaitant sergantiesiems lėtiniu aktyviu hepatitu B ar C, kepenų funkcijos sutrikimų rizika yra didesnė, įskaitant sunkias kepenų nepageidaujamas reakcijas, kurios gali būti mirtinos. Jeigu kartu yra taikomas antivirusinis gydymas nuo hepatito B ar C, žr. atitinkamų vaistų Preparato charakteristikų santraukas.</w:t>
      </w:r>
    </w:p>
    <w:p w14:paraId="02127693" w14:textId="77777777" w:rsidR="009F5848" w:rsidRPr="004509B9" w:rsidRDefault="009F5848" w:rsidP="009F5848">
      <w:pPr>
        <w:autoSpaceDE w:val="0"/>
        <w:autoSpaceDN w:val="0"/>
        <w:adjustRightInd w:val="0"/>
        <w:rPr>
          <w:rFonts w:eastAsia="TimesNewRoman"/>
          <w:sz w:val="22"/>
          <w:szCs w:val="22"/>
          <w:lang w:val="lt-LT" w:eastAsia="en-US"/>
        </w:rPr>
      </w:pPr>
    </w:p>
    <w:p w14:paraId="195B84BA"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Prieš pradedant gydymą darunaviro ir ritonaviro deriniu, turi būti atlikti atitinkami laboratoriniai tyrimai ir pacientai turi būti stebimi gydymo metu. Reikia apsvarstyti būtinybę įdėmiau stebėti pacientų, kurie kartu serga lėtiniu hepatitu, kepenų ciroze arba kurių transaminazės prieš gydymą yra suaktyvėjusios, AST ir (arba) ALT, ypač keletą pirmų gydymo darunaviro ir ritonaviro deriniu mėnesių.</w:t>
      </w:r>
    </w:p>
    <w:p w14:paraId="66FF8433" w14:textId="77777777" w:rsidR="009F5848" w:rsidRPr="004509B9" w:rsidRDefault="009F5848" w:rsidP="009F5848">
      <w:pPr>
        <w:autoSpaceDE w:val="0"/>
        <w:autoSpaceDN w:val="0"/>
        <w:adjustRightInd w:val="0"/>
        <w:rPr>
          <w:rFonts w:eastAsia="TimesNewRoman"/>
          <w:sz w:val="22"/>
          <w:szCs w:val="22"/>
          <w:lang w:val="lt-LT" w:eastAsia="en-US"/>
        </w:rPr>
      </w:pPr>
    </w:p>
    <w:p w14:paraId="737F84F2"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Jeigu pacientui vartojant darunaviro su ritonaviru atsiranda arba pasunkėja buvęs kepenų funkcijos sutrikimas (įskaitant kliniškai reikšmingą kepenų fermentų suaktyvėjimą ir [arba] tokius simptomus kaip nuovargis, anoreksija, pykinimas, gelta, tamsus šlapimas, kepenų skausmingumas, hepatomegaliją), reikia skubiai apsvarstyti būtinybę pertraukti arba nutraukti gydymą.</w:t>
      </w:r>
    </w:p>
    <w:p w14:paraId="7E1C31BE" w14:textId="77777777" w:rsidR="009F5848" w:rsidRPr="004509B9" w:rsidRDefault="009F5848" w:rsidP="009F5848">
      <w:pPr>
        <w:autoSpaceDE w:val="0"/>
        <w:autoSpaceDN w:val="0"/>
        <w:adjustRightInd w:val="0"/>
        <w:rPr>
          <w:rFonts w:eastAsia="TimesNewRoman"/>
          <w:sz w:val="22"/>
          <w:szCs w:val="22"/>
          <w:lang w:val="lt-LT" w:eastAsia="en-US"/>
        </w:rPr>
      </w:pPr>
    </w:p>
    <w:p w14:paraId="1AAD53B7" w14:textId="77777777" w:rsidR="009F5848" w:rsidRPr="004509B9" w:rsidRDefault="009F5848" w:rsidP="009F5848">
      <w:pPr>
        <w:autoSpaceDE w:val="0"/>
        <w:autoSpaceDN w:val="0"/>
        <w:adjustRightInd w:val="0"/>
        <w:rPr>
          <w:rFonts w:eastAsia="TimesNewRoman"/>
          <w:sz w:val="22"/>
          <w:szCs w:val="22"/>
          <w:u w:val="single"/>
          <w:lang w:val="lt-LT" w:eastAsia="en-US"/>
        </w:rPr>
      </w:pPr>
      <w:r w:rsidRPr="004509B9">
        <w:rPr>
          <w:rFonts w:eastAsia="TimesNewRoman"/>
          <w:sz w:val="22"/>
          <w:szCs w:val="22"/>
          <w:u w:val="single"/>
          <w:lang w:val="lt-LT" w:eastAsia="en-US"/>
        </w:rPr>
        <w:t>Gretutinės pacientų būklės</w:t>
      </w:r>
    </w:p>
    <w:p w14:paraId="0671598B" w14:textId="77777777" w:rsidR="009F5848" w:rsidRPr="004509B9" w:rsidRDefault="009F5848" w:rsidP="009F5848">
      <w:pPr>
        <w:autoSpaceDE w:val="0"/>
        <w:autoSpaceDN w:val="0"/>
        <w:adjustRightInd w:val="0"/>
        <w:rPr>
          <w:rFonts w:eastAsia="TimesNewRoman"/>
          <w:i/>
          <w:iCs/>
          <w:sz w:val="22"/>
          <w:szCs w:val="22"/>
          <w:lang w:val="lt-LT" w:eastAsia="en-US"/>
        </w:rPr>
      </w:pPr>
    </w:p>
    <w:p w14:paraId="4584D69A" w14:textId="77777777" w:rsidR="009F5848" w:rsidRPr="004509B9" w:rsidRDefault="009F5848" w:rsidP="009F5848">
      <w:pPr>
        <w:autoSpaceDE w:val="0"/>
        <w:autoSpaceDN w:val="0"/>
        <w:adjustRightInd w:val="0"/>
        <w:rPr>
          <w:rFonts w:eastAsia="TimesNewRoman"/>
          <w:i/>
          <w:iCs/>
          <w:sz w:val="22"/>
          <w:szCs w:val="22"/>
          <w:lang w:val="lt-LT" w:eastAsia="en-US"/>
        </w:rPr>
      </w:pPr>
      <w:r w:rsidRPr="004509B9">
        <w:rPr>
          <w:rFonts w:eastAsia="TimesNewRoman"/>
          <w:i/>
          <w:iCs/>
          <w:sz w:val="22"/>
          <w:szCs w:val="22"/>
          <w:lang w:val="lt-LT" w:eastAsia="en-US"/>
        </w:rPr>
        <w:t>Kepenų funkcijos sutrikimas</w:t>
      </w:r>
    </w:p>
    <w:p w14:paraId="1429B920"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Darunaviro veiksmingumas ir saugumas pacientams, kurie serga sunkiais gretutiniais kepenų funkcijos sutrikimais, nebuvo nustatytas, todėl sergantiems sunkiu kepenų funkcijos sutrikimu jo vartoti negalima. Dėl nesusijungusio darunaviro koncentracijos plazmoje padidėjimo pacientams, kurie serga lengvu ar vidutinio sunkumo kepenų funkcijos sutrikimu, darunovirą vartoti reikia atsargiai (žr. 4.2, 4.3 ir 5.2 skyrius).</w:t>
      </w:r>
    </w:p>
    <w:p w14:paraId="1FAFB8AC" w14:textId="77777777" w:rsidR="009F5848" w:rsidRPr="004509B9" w:rsidRDefault="009F5848" w:rsidP="009F5848">
      <w:pPr>
        <w:autoSpaceDE w:val="0"/>
        <w:autoSpaceDN w:val="0"/>
        <w:adjustRightInd w:val="0"/>
        <w:rPr>
          <w:rFonts w:eastAsia="TimesNewRoman"/>
          <w:i/>
          <w:iCs/>
          <w:sz w:val="22"/>
          <w:szCs w:val="22"/>
          <w:lang w:val="lt-LT" w:eastAsia="en-US"/>
        </w:rPr>
      </w:pPr>
    </w:p>
    <w:p w14:paraId="334C733B" w14:textId="77777777" w:rsidR="009F5848" w:rsidRPr="004509B9" w:rsidRDefault="009F5848" w:rsidP="009F5848">
      <w:pPr>
        <w:autoSpaceDE w:val="0"/>
        <w:autoSpaceDN w:val="0"/>
        <w:adjustRightInd w:val="0"/>
        <w:rPr>
          <w:rFonts w:eastAsia="TimesNewRoman"/>
          <w:i/>
          <w:iCs/>
          <w:sz w:val="22"/>
          <w:szCs w:val="22"/>
          <w:lang w:val="lt-LT" w:eastAsia="en-US"/>
        </w:rPr>
      </w:pPr>
      <w:r w:rsidRPr="004509B9">
        <w:rPr>
          <w:rFonts w:eastAsia="TimesNewRoman"/>
          <w:i/>
          <w:iCs/>
          <w:sz w:val="22"/>
          <w:szCs w:val="22"/>
          <w:lang w:val="lt-LT" w:eastAsia="en-US"/>
        </w:rPr>
        <w:t>Inkstų funkcijos sutrikimas</w:t>
      </w:r>
    </w:p>
    <w:p w14:paraId="16ED629F"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Pacientams, kurių inkstų veikla sutrikusi, specialių atsargumo priemonių ar būtinybės keisti dozę nėra. Darunaviras ir ritonaviras būna stipriai susijungę su kraujo plazmos baltymais, todėl mažai tikėtina, kad daug jų pasišalintų atliekant hemodializę ar peritoninę dializę. Taigi dializuojamiems pacientams specialių atsargumo priemonių ar būtinybės keisti dozę nėra (žr. 4.2 ir 5.2 skyrius). </w:t>
      </w:r>
    </w:p>
    <w:p w14:paraId="2BED2C7A" w14:textId="77777777" w:rsidR="00ED5338" w:rsidRPr="004509B9" w:rsidRDefault="00ED5338" w:rsidP="009F5848">
      <w:pPr>
        <w:autoSpaceDE w:val="0"/>
        <w:autoSpaceDN w:val="0"/>
        <w:adjustRightInd w:val="0"/>
        <w:rPr>
          <w:rFonts w:eastAsia="TimesNewRoman"/>
          <w:sz w:val="22"/>
          <w:szCs w:val="22"/>
          <w:lang w:val="lt-LT" w:eastAsia="en-US"/>
        </w:rPr>
      </w:pPr>
    </w:p>
    <w:p w14:paraId="44D01F6F" w14:textId="77777777" w:rsidR="009F5848" w:rsidRPr="004509B9" w:rsidRDefault="009F5848" w:rsidP="009F5848">
      <w:pPr>
        <w:autoSpaceDE w:val="0"/>
        <w:autoSpaceDN w:val="0"/>
        <w:adjustRightInd w:val="0"/>
        <w:rPr>
          <w:rFonts w:eastAsia="TimesNewRoman"/>
          <w:i/>
          <w:iCs/>
          <w:sz w:val="22"/>
          <w:szCs w:val="22"/>
          <w:lang w:val="lt-LT" w:eastAsia="en-US"/>
        </w:rPr>
      </w:pPr>
      <w:r w:rsidRPr="004509B9">
        <w:rPr>
          <w:rFonts w:eastAsia="TimesNewRoman"/>
          <w:i/>
          <w:iCs/>
          <w:sz w:val="22"/>
          <w:szCs w:val="22"/>
          <w:lang w:val="lt-LT" w:eastAsia="en-US"/>
        </w:rPr>
        <w:t>Hemofilija sergantys pacientai</w:t>
      </w:r>
    </w:p>
    <w:p w14:paraId="7F52BA5D"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Esama pranešimų apie sustiprėjusį kraujavimą, įskaitant savaimines odos hematomas ir hemartrozes, gydant proteazių inhibitoriais (PI) asmenis, sergančius A ir B tipo hemofilija. Kai kuriems pacientams papildomai buvo skiriama VIII faktoriaus. Daugiau kaip pusei pacientų gydymas PI buvo tęsiamas arba atnaujinamas, jeigu jis buvo nutrauktas. Manoma, kad tarp kraujavimo ir gydymo PI yra priežastinis ryšys, tačiau jo mechanizmas neišaiškintas. Hemofilija sergančius asmenis reikia įspėti apie sustiprėjusio kraujavimo galimybę.</w:t>
      </w:r>
    </w:p>
    <w:p w14:paraId="23C48835" w14:textId="77777777" w:rsidR="009F5848" w:rsidRPr="004509B9" w:rsidRDefault="009F5848" w:rsidP="009F5848">
      <w:pPr>
        <w:autoSpaceDE w:val="0"/>
        <w:autoSpaceDN w:val="0"/>
        <w:adjustRightInd w:val="0"/>
        <w:rPr>
          <w:rFonts w:eastAsia="TimesNewRoman"/>
          <w:i/>
          <w:iCs/>
          <w:sz w:val="22"/>
          <w:szCs w:val="22"/>
          <w:lang w:val="lt-LT" w:eastAsia="en-US"/>
        </w:rPr>
      </w:pPr>
    </w:p>
    <w:p w14:paraId="45AA2DFF" w14:textId="77777777" w:rsidR="009F5848" w:rsidRPr="004509B9" w:rsidRDefault="009F5848" w:rsidP="009F5848">
      <w:pPr>
        <w:autoSpaceDE w:val="0"/>
        <w:autoSpaceDN w:val="0"/>
        <w:adjustRightInd w:val="0"/>
        <w:rPr>
          <w:rFonts w:eastAsia="TimesNewRoman"/>
          <w:i/>
          <w:iCs/>
          <w:sz w:val="22"/>
          <w:szCs w:val="22"/>
          <w:lang w:val="lt-LT" w:eastAsia="en-US"/>
        </w:rPr>
      </w:pPr>
      <w:r w:rsidRPr="004509B9">
        <w:rPr>
          <w:rFonts w:eastAsia="TimesNewRoman"/>
          <w:i/>
          <w:iCs/>
          <w:sz w:val="22"/>
          <w:szCs w:val="22"/>
          <w:lang w:val="lt-LT" w:eastAsia="en-US"/>
        </w:rPr>
        <w:t>Kūno svoris ir metabolizmo rodmenys</w:t>
      </w:r>
    </w:p>
    <w:p w14:paraId="2CB37A30"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lastRenderedPageBreak/>
        <w:t>Gydymo antiretrovirusiniais preparatais metu gali padidėti svoris ir lipidų bei gliukozės koncentracijos kraujyje. Tokie pokyčiai iš dalies gali būti susiję su ligos kontroliavimu ir gyvenimo būdu. Buvo gauta įrodymų, kad kai kuriais atvejais lipidų pokyčiai yra su gydymu susijęs poveikis, bet kad svorio pokyčiai būtų susiję su tam tikru gydymu, tvirtų įrodymų nėra. Į nustatytas ŽIV gydymo gaires yra įtraukta nuoroda matuoti lipidų ir gliukozės koncentracijas kraujyje. Lipidų sutrikimus reikia gydyti, atsižvelgiant į klinikinę situaciją.</w:t>
      </w:r>
    </w:p>
    <w:p w14:paraId="7C634226" w14:textId="77777777" w:rsidR="009F5848" w:rsidRPr="004509B9" w:rsidRDefault="009F5848" w:rsidP="009F5848">
      <w:pPr>
        <w:autoSpaceDE w:val="0"/>
        <w:autoSpaceDN w:val="0"/>
        <w:adjustRightInd w:val="0"/>
        <w:rPr>
          <w:rFonts w:eastAsia="TimesNewRoman"/>
          <w:sz w:val="22"/>
          <w:szCs w:val="22"/>
          <w:lang w:val="lt-LT" w:eastAsia="en-US"/>
        </w:rPr>
      </w:pPr>
    </w:p>
    <w:p w14:paraId="06EDAD49" w14:textId="77777777" w:rsidR="009F5848" w:rsidRPr="00255546" w:rsidRDefault="009F5848" w:rsidP="009F5848">
      <w:pPr>
        <w:autoSpaceDE w:val="0"/>
        <w:autoSpaceDN w:val="0"/>
        <w:adjustRightInd w:val="0"/>
        <w:rPr>
          <w:rFonts w:eastAsia="TimesNewRoman"/>
          <w:i/>
          <w:sz w:val="22"/>
          <w:szCs w:val="22"/>
          <w:lang w:val="lt-LT" w:eastAsia="en-US"/>
        </w:rPr>
      </w:pPr>
      <w:r w:rsidRPr="00255546">
        <w:rPr>
          <w:rFonts w:eastAsia="TimesNewRoman"/>
          <w:i/>
          <w:sz w:val="22"/>
          <w:szCs w:val="22"/>
          <w:lang w:val="lt-LT" w:eastAsia="en-US"/>
        </w:rPr>
        <w:t>Osteonekrozė</w:t>
      </w:r>
    </w:p>
    <w:p w14:paraId="671D7833"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Nors manoma, kad osteonekrozės etiologija yra multifaktorinė (įskaitant kortikosteroidų, alkoholio vartojimą, sunkų imuninės sistemos slopinimą bei didesnį kūno masės indeksą),buvo pranešimų apie pacientams, sergantiems toli pažengusia ŽIV liga ir (arba) ilgai gavusiems sudėtinį antiretrovirusinį gydymą (SARG), išsivysčiusius osteonekrozės atvejus. Pacientams reikia patarti kreiptis į gydytoją atsiradus sąnarių skausmui, sustingimui ar pasunkėjus judesiams.</w:t>
      </w:r>
    </w:p>
    <w:p w14:paraId="70991C95" w14:textId="77777777" w:rsidR="009F5848" w:rsidRPr="004509B9" w:rsidRDefault="009F5848" w:rsidP="009F5848">
      <w:pPr>
        <w:autoSpaceDE w:val="0"/>
        <w:autoSpaceDN w:val="0"/>
        <w:adjustRightInd w:val="0"/>
        <w:rPr>
          <w:rFonts w:eastAsia="TimesNewRoman"/>
          <w:sz w:val="22"/>
          <w:szCs w:val="22"/>
          <w:lang w:val="lt-LT" w:eastAsia="en-US"/>
        </w:rPr>
      </w:pPr>
    </w:p>
    <w:p w14:paraId="3CEA7B16" w14:textId="77777777" w:rsidR="009F5848" w:rsidRPr="00255546" w:rsidRDefault="009F5848" w:rsidP="009F5848">
      <w:pPr>
        <w:autoSpaceDE w:val="0"/>
        <w:autoSpaceDN w:val="0"/>
        <w:adjustRightInd w:val="0"/>
        <w:rPr>
          <w:rFonts w:eastAsia="TimesNewRoman"/>
          <w:i/>
          <w:sz w:val="22"/>
          <w:szCs w:val="22"/>
          <w:lang w:val="lt-LT" w:eastAsia="en-US"/>
        </w:rPr>
      </w:pPr>
      <w:r w:rsidRPr="00255546">
        <w:rPr>
          <w:rFonts w:eastAsia="TimesNewRoman"/>
          <w:i/>
          <w:sz w:val="22"/>
          <w:szCs w:val="22"/>
          <w:lang w:val="lt-LT" w:eastAsia="en-US"/>
        </w:rPr>
        <w:t>Imuniteto atsistatymo uždegiminis sindromas</w:t>
      </w:r>
    </w:p>
    <w:p w14:paraId="0A80D7AF"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Pradėjus ŽIV infekuotų asmenų, kurių imunitetas labai nuslopintas, sudėtinį antiretrovirusinį gydymą (SARG), galima uždegiminė reakcija, susijusi su nesukeliančia</w:t>
      </w:r>
      <w:r w:rsidR="00277835">
        <w:rPr>
          <w:rFonts w:eastAsia="TimesNewRoman"/>
          <w:sz w:val="22"/>
          <w:szCs w:val="22"/>
          <w:lang w:val="lt-LT" w:eastAsia="en-US"/>
        </w:rPr>
        <w:t>i</w:t>
      </w:r>
      <w:r w:rsidRPr="004509B9">
        <w:rPr>
          <w:rFonts w:eastAsia="TimesNewRoman"/>
          <w:sz w:val="22"/>
          <w:szCs w:val="22"/>
          <w:lang w:val="lt-LT" w:eastAsia="en-US"/>
        </w:rPr>
        <w:t xml:space="preserve">s simptomų ar išlikusiais oportunistiniais patogenais, pasireiškianti sunkiomis klinikinėmis būklėmis ar pasunkėjusiais simptomais. Paprastai tokia reakcija pastebima pirmosiomis SARG savaitėmis ar mėnesiais. Būdingi pavyzdžiai yra citomegalovirusinis retinitas, išplitusi ir (arba) židininė mikobakterinė infekcija ir </w:t>
      </w:r>
      <w:r w:rsidRPr="004509B9">
        <w:rPr>
          <w:rFonts w:eastAsia="TimesNewRoman"/>
          <w:i/>
          <w:iCs/>
          <w:sz w:val="22"/>
          <w:szCs w:val="22"/>
          <w:lang w:val="lt-LT" w:eastAsia="en-US"/>
        </w:rPr>
        <w:t xml:space="preserve">Pneumocystis jirovecii </w:t>
      </w:r>
      <w:r w:rsidRPr="004509B9">
        <w:rPr>
          <w:rFonts w:eastAsia="TimesNewRoman"/>
          <w:sz w:val="22"/>
          <w:szCs w:val="22"/>
          <w:lang w:val="lt-LT" w:eastAsia="en-US"/>
        </w:rPr>
        <w:t xml:space="preserve">(anksčiau žinomas kaip </w:t>
      </w:r>
      <w:r w:rsidRPr="004509B9">
        <w:rPr>
          <w:rFonts w:eastAsia="TimesNewRoman"/>
          <w:i/>
          <w:iCs/>
          <w:sz w:val="22"/>
          <w:szCs w:val="22"/>
          <w:lang w:val="lt-LT" w:eastAsia="en-US"/>
        </w:rPr>
        <w:t>Pneumocystis carinii</w:t>
      </w:r>
      <w:r w:rsidRPr="004509B9">
        <w:rPr>
          <w:rFonts w:eastAsia="TimesNewRoman"/>
          <w:sz w:val="22"/>
          <w:szCs w:val="22"/>
          <w:lang w:val="lt-LT" w:eastAsia="en-US"/>
        </w:rPr>
        <w:t xml:space="preserve">) sukelta pneumonija. Būtina įvertinti bet kokius uždegimo simptomus ir, jei reikia, gydyti. Be to, klinikinių tyrimų metu vartojant darunaviro su maža ritonaviro doze, buvo stebimi paprastosios ar juostinės pūslelinės </w:t>
      </w:r>
      <w:r w:rsidR="00B54041">
        <w:rPr>
          <w:rFonts w:eastAsia="TimesNewRoman"/>
          <w:sz w:val="22"/>
          <w:szCs w:val="22"/>
          <w:lang w:val="lt-LT" w:eastAsia="en-US"/>
        </w:rPr>
        <w:t>su</w:t>
      </w:r>
      <w:r w:rsidRPr="004509B9">
        <w:rPr>
          <w:rFonts w:eastAsia="TimesNewRoman"/>
          <w:sz w:val="22"/>
          <w:szCs w:val="22"/>
          <w:lang w:val="lt-LT" w:eastAsia="en-US"/>
        </w:rPr>
        <w:t>aktyvėjimo atvejai.</w:t>
      </w:r>
    </w:p>
    <w:p w14:paraId="0BDEFC24" w14:textId="77777777" w:rsidR="009F5848" w:rsidRPr="004509B9" w:rsidRDefault="009F5848" w:rsidP="009F5848">
      <w:pPr>
        <w:autoSpaceDE w:val="0"/>
        <w:autoSpaceDN w:val="0"/>
        <w:adjustRightInd w:val="0"/>
        <w:rPr>
          <w:rFonts w:eastAsia="TimesNewRoman"/>
          <w:sz w:val="22"/>
          <w:szCs w:val="22"/>
          <w:lang w:val="lt-LT" w:eastAsia="en-US"/>
        </w:rPr>
      </w:pPr>
    </w:p>
    <w:p w14:paraId="047BA0F6"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Buvo pranešta, kad autoimuniniai sutrikimai (pvz., Greivso liga) pasireiškia ir imuninės reaktyvacijos metu, tačiau jų pradžios laikas yra labiau kintamas ir šie reiškiniai galimi per daug mėnesių nuo gydymo pradžios (žr. 4.8 skyrių).</w:t>
      </w:r>
    </w:p>
    <w:p w14:paraId="15DAB378" w14:textId="77777777" w:rsidR="009F5848" w:rsidRPr="004509B9" w:rsidRDefault="009F5848" w:rsidP="009F5848">
      <w:pPr>
        <w:autoSpaceDE w:val="0"/>
        <w:autoSpaceDN w:val="0"/>
        <w:adjustRightInd w:val="0"/>
        <w:rPr>
          <w:rFonts w:eastAsia="TimesNewRoman"/>
          <w:sz w:val="22"/>
          <w:szCs w:val="22"/>
          <w:lang w:val="lt-LT" w:eastAsia="en-US"/>
        </w:rPr>
      </w:pPr>
    </w:p>
    <w:p w14:paraId="0223BB9E" w14:textId="77777777" w:rsidR="009F5848" w:rsidRPr="004509B9" w:rsidRDefault="009F5848" w:rsidP="009F5848">
      <w:pPr>
        <w:autoSpaceDE w:val="0"/>
        <w:autoSpaceDN w:val="0"/>
        <w:adjustRightInd w:val="0"/>
        <w:rPr>
          <w:rFonts w:eastAsia="TimesNewRoman"/>
          <w:sz w:val="22"/>
          <w:szCs w:val="22"/>
          <w:u w:val="single"/>
          <w:lang w:val="lt-LT" w:eastAsia="en-US"/>
        </w:rPr>
      </w:pPr>
      <w:r w:rsidRPr="004509B9">
        <w:rPr>
          <w:rFonts w:eastAsia="TimesNewRoman"/>
          <w:sz w:val="22"/>
          <w:szCs w:val="22"/>
          <w:u w:val="single"/>
          <w:lang w:val="lt-LT" w:eastAsia="en-US"/>
        </w:rPr>
        <w:t>Sąveika su kitais vaistiniais preparatais</w:t>
      </w:r>
    </w:p>
    <w:p w14:paraId="2FE158A4"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Yra atlikta keletas vaistinių preparatų tarpusavio sąveikos tyrimų su mažesnėmis už rekomenduojamas darunaviro dozėmis, todėl kartu vartojamų vaistinių preparatų poveikis gali būti pilnai neįvertintas ir gali prireikti tolesnio klinikinio vaistinio preparato saugumo stebėjimo. Pilna informacija apie sąveiką su kitais vaistiniais preparatais yra pateikta 4.5 skyriuje.</w:t>
      </w:r>
    </w:p>
    <w:p w14:paraId="731266EA" w14:textId="77777777" w:rsidR="009F5848" w:rsidRPr="004509B9" w:rsidRDefault="009F5848" w:rsidP="009F5848">
      <w:pPr>
        <w:autoSpaceDE w:val="0"/>
        <w:autoSpaceDN w:val="0"/>
        <w:adjustRightInd w:val="0"/>
        <w:rPr>
          <w:rFonts w:eastAsia="TimesNewRoman"/>
          <w:sz w:val="22"/>
          <w:szCs w:val="22"/>
          <w:lang w:val="lt-LT" w:eastAsia="en-US"/>
        </w:rPr>
      </w:pPr>
    </w:p>
    <w:p w14:paraId="24031FF6" w14:textId="77777777" w:rsidR="009F5848" w:rsidRPr="004509B9" w:rsidRDefault="009F5848" w:rsidP="009F5848">
      <w:pPr>
        <w:autoSpaceDE w:val="0"/>
        <w:autoSpaceDN w:val="0"/>
        <w:adjustRightInd w:val="0"/>
        <w:rPr>
          <w:lang w:val="lt-LT" w:eastAsia="en-US"/>
        </w:rPr>
      </w:pPr>
      <w:r w:rsidRPr="004509B9">
        <w:rPr>
          <w:rFonts w:eastAsia="TimesNewRoman"/>
          <w:sz w:val="22"/>
          <w:szCs w:val="22"/>
          <w:lang w:val="lt-LT" w:eastAsia="en-US"/>
        </w:rPr>
        <w:t>Efavirenzą vartojant kartu su 800/100 mg darunaviro/ritonaviro vieną kartą per parą, darunaviro C</w:t>
      </w:r>
      <w:r w:rsidRPr="004509B9">
        <w:rPr>
          <w:rFonts w:eastAsia="TimesNewRoman"/>
          <w:sz w:val="14"/>
          <w:szCs w:val="14"/>
          <w:lang w:val="lt-LT" w:eastAsia="en-US"/>
        </w:rPr>
        <w:t xml:space="preserve">min </w:t>
      </w:r>
      <w:r w:rsidRPr="004509B9">
        <w:rPr>
          <w:rFonts w:eastAsia="TimesNewRoman"/>
          <w:sz w:val="22"/>
          <w:szCs w:val="22"/>
          <w:lang w:val="lt-LT" w:eastAsia="en-US"/>
        </w:rPr>
        <w:t xml:space="preserve">gali būti suboptimali. Jeigu efavirenzas vartojamas kartu su darunaviru/ritonaviru, reikia taikyti gydymo 600/100 mg darunaviro/ritonaviro dozės du kartus per parą planą. Žr. Darunavir Teva </w:t>
      </w:r>
      <w:r w:rsidR="00940F50" w:rsidRPr="004509B9">
        <w:rPr>
          <w:rFonts w:eastAsia="TimesNewRoman"/>
          <w:sz w:val="22"/>
          <w:szCs w:val="22"/>
          <w:lang w:val="lt-LT" w:eastAsia="en-US"/>
        </w:rPr>
        <w:t>150</w:t>
      </w:r>
      <w:r w:rsidRPr="004509B9">
        <w:rPr>
          <w:rFonts w:eastAsia="TimesNewRoman"/>
          <w:sz w:val="22"/>
          <w:szCs w:val="22"/>
          <w:lang w:val="lt-LT" w:eastAsia="en-US"/>
        </w:rPr>
        <w:t xml:space="preserve"> mg </w:t>
      </w:r>
      <w:r w:rsidR="00940F50" w:rsidRPr="004509B9">
        <w:rPr>
          <w:rFonts w:eastAsia="TimesNewRoman"/>
          <w:sz w:val="22"/>
          <w:szCs w:val="22"/>
          <w:lang w:val="lt-LT" w:eastAsia="en-US"/>
        </w:rPr>
        <w:t xml:space="preserve">arba 300 mg </w:t>
      </w:r>
      <w:r w:rsidR="00B54041">
        <w:rPr>
          <w:rFonts w:eastAsia="TimesNewRoman"/>
          <w:sz w:val="22"/>
          <w:szCs w:val="22"/>
          <w:lang w:val="lt-LT" w:eastAsia="en-US"/>
        </w:rPr>
        <w:t xml:space="preserve">plėvele dengtų </w:t>
      </w:r>
      <w:r w:rsidRPr="004509B9">
        <w:rPr>
          <w:rFonts w:eastAsia="TimesNewRoman"/>
          <w:sz w:val="22"/>
          <w:szCs w:val="22"/>
          <w:lang w:val="lt-LT" w:eastAsia="en-US"/>
        </w:rPr>
        <w:t>tablečių PCS (žr. 4.5 skyrių).</w:t>
      </w:r>
    </w:p>
    <w:p w14:paraId="26EDEB13" w14:textId="77777777" w:rsidR="009F5848" w:rsidRPr="004509B9" w:rsidRDefault="009F5848" w:rsidP="009F5848">
      <w:pPr>
        <w:autoSpaceDE w:val="0"/>
        <w:autoSpaceDN w:val="0"/>
        <w:adjustRightInd w:val="0"/>
        <w:rPr>
          <w:rFonts w:eastAsia="TimesNewRoman"/>
          <w:sz w:val="22"/>
          <w:szCs w:val="22"/>
          <w:lang w:val="lt-LT" w:eastAsia="en-US"/>
        </w:rPr>
      </w:pPr>
    </w:p>
    <w:p w14:paraId="105FEF0E"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Pacientams, gydytiems kolchicinu ir stipriais CYP3A bei P-glikoproteino (P-gp) inhibitoriais, pasireiškė gyvybei pavojinga ir mirtina vaistų sąveika (žr. 4.3 ir 4.5 skyrius).</w:t>
      </w:r>
    </w:p>
    <w:p w14:paraId="4B629393" w14:textId="77777777" w:rsidR="009F5848" w:rsidRPr="004509B9" w:rsidRDefault="009F5848" w:rsidP="009F5848">
      <w:pPr>
        <w:autoSpaceDE w:val="0"/>
        <w:autoSpaceDN w:val="0"/>
        <w:adjustRightInd w:val="0"/>
        <w:rPr>
          <w:rFonts w:eastAsia="TimesNewRoman"/>
          <w:sz w:val="22"/>
          <w:szCs w:val="22"/>
          <w:lang w:val="lt-LT" w:eastAsia="en-US"/>
        </w:rPr>
      </w:pPr>
    </w:p>
    <w:p w14:paraId="1FC43DAE" w14:textId="77777777" w:rsidR="009F5848" w:rsidRPr="004509B9" w:rsidRDefault="009F5848" w:rsidP="009F5848">
      <w:pPr>
        <w:autoSpaceDE w:val="0"/>
        <w:autoSpaceDN w:val="0"/>
        <w:adjustRightInd w:val="0"/>
        <w:rPr>
          <w:rFonts w:eastAsia="TimesNewRoman,Bold"/>
          <w:b/>
          <w:bCs/>
          <w:sz w:val="22"/>
          <w:szCs w:val="22"/>
          <w:lang w:val="lt-LT" w:eastAsia="en-US"/>
        </w:rPr>
      </w:pPr>
      <w:r w:rsidRPr="004509B9">
        <w:rPr>
          <w:rFonts w:eastAsia="TimesNewRoman,Bold"/>
          <w:b/>
          <w:bCs/>
          <w:sz w:val="22"/>
          <w:szCs w:val="22"/>
          <w:lang w:val="lt-LT" w:eastAsia="en-US"/>
        </w:rPr>
        <w:t>4.5 Sąveika su kitais vaistiniais preparatais ir kitokia sąveika</w:t>
      </w:r>
    </w:p>
    <w:p w14:paraId="467EF66E" w14:textId="77777777" w:rsidR="009F5848" w:rsidRPr="004509B9" w:rsidRDefault="009F5848" w:rsidP="009F5848">
      <w:pPr>
        <w:autoSpaceDE w:val="0"/>
        <w:autoSpaceDN w:val="0"/>
        <w:adjustRightInd w:val="0"/>
        <w:rPr>
          <w:rFonts w:eastAsia="TimesNewRoman"/>
          <w:sz w:val="22"/>
          <w:szCs w:val="22"/>
          <w:lang w:val="lt-LT" w:eastAsia="en-US"/>
        </w:rPr>
      </w:pPr>
    </w:p>
    <w:p w14:paraId="0FC0B8F9" w14:textId="77777777" w:rsidR="00940F50" w:rsidRPr="004509B9" w:rsidRDefault="00940F50" w:rsidP="00940F50">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Sąveikos tyrimai atlikti tik suaugusiesiems.</w:t>
      </w:r>
    </w:p>
    <w:p w14:paraId="6F84E838" w14:textId="77777777" w:rsidR="00940F50" w:rsidRPr="004509B9" w:rsidRDefault="00940F50" w:rsidP="00940F50">
      <w:pPr>
        <w:autoSpaceDE w:val="0"/>
        <w:autoSpaceDN w:val="0"/>
        <w:adjustRightInd w:val="0"/>
        <w:rPr>
          <w:rFonts w:eastAsia="TimesNewRoman"/>
          <w:sz w:val="22"/>
          <w:szCs w:val="22"/>
          <w:lang w:val="lt-LT" w:eastAsia="en-US"/>
        </w:rPr>
      </w:pPr>
    </w:p>
    <w:p w14:paraId="58CD9C49" w14:textId="77777777" w:rsidR="00940F50" w:rsidRPr="004509B9" w:rsidRDefault="00940F50" w:rsidP="00940F50">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Darunaviras ir ritonaviras yra CYP3A, CYP2D6 ir P-gp inhibitoriai. Vartojant darunavirą ir ritonavirą su vaistiniais preparatais, kuriuos daugiausia metabolizuoja CYP3A ir (arba) CYP2D6 arba perneša P -gp, gali padidėti šių vaistinių preparatų sisteminė ekspozicija, dėl to gali sustiprėti ar pailgėti jų gydomasis poveikis ir nepageidaujamos reakcijos.</w:t>
      </w:r>
    </w:p>
    <w:p w14:paraId="62F184BE" w14:textId="77777777" w:rsidR="00940F50" w:rsidRPr="004509B9" w:rsidRDefault="00940F50" w:rsidP="00940F50">
      <w:pPr>
        <w:autoSpaceDE w:val="0"/>
        <w:autoSpaceDN w:val="0"/>
        <w:adjustRightInd w:val="0"/>
        <w:rPr>
          <w:rFonts w:eastAsia="TimesNewRoman"/>
          <w:sz w:val="22"/>
          <w:szCs w:val="22"/>
          <w:lang w:val="lt-LT" w:eastAsia="en-US"/>
        </w:rPr>
      </w:pPr>
    </w:p>
    <w:p w14:paraId="667E6043" w14:textId="77777777" w:rsidR="00940F50" w:rsidRPr="004509B9" w:rsidRDefault="00940F50" w:rsidP="00940F50">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Darunavir</w:t>
      </w:r>
      <w:r w:rsidR="00AA0A66">
        <w:rPr>
          <w:rFonts w:eastAsia="TimesNewRoman"/>
          <w:sz w:val="22"/>
          <w:szCs w:val="22"/>
          <w:lang w:val="lt-LT" w:eastAsia="en-US"/>
        </w:rPr>
        <w:t>o</w:t>
      </w:r>
      <w:r w:rsidRPr="004509B9">
        <w:rPr>
          <w:rFonts w:eastAsia="TimesNewRoman"/>
          <w:sz w:val="22"/>
          <w:szCs w:val="22"/>
          <w:lang w:val="lt-LT" w:eastAsia="en-US"/>
        </w:rPr>
        <w:t xml:space="preserve"> kartu su maža ritonaviro doze negalima vartoti kartu su vaistiniais preparatais, kurių klirensas labai priklauso nuo CYP3A ir kurių sisteminės ekspozicijos padidėjimas yra susijęs su sunkiais ir (arba) gyvybei pavojingais reiškiniais (siauras terapinis indeksas) (žr. 4.3 skyrių).</w:t>
      </w:r>
    </w:p>
    <w:p w14:paraId="193FD21E" w14:textId="77777777" w:rsidR="00940F50" w:rsidRPr="004509B9" w:rsidRDefault="00940F50" w:rsidP="009F5848">
      <w:pPr>
        <w:autoSpaceDE w:val="0"/>
        <w:autoSpaceDN w:val="0"/>
        <w:adjustRightInd w:val="0"/>
        <w:rPr>
          <w:rFonts w:eastAsia="TimesNewRoman"/>
          <w:sz w:val="22"/>
          <w:szCs w:val="22"/>
          <w:lang w:val="lt-LT" w:eastAsia="en-US"/>
        </w:rPr>
      </w:pPr>
    </w:p>
    <w:p w14:paraId="406C9254"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Bendras stiprinamasis farmakokinetinis ritonaviro poveikis yra maždaug 14 kartų padidėjusi sisteminė darunaviro ekspozicija, išgėrus vienkartinę 600</w:t>
      </w:r>
      <w:r w:rsidR="00940F50" w:rsidRPr="004509B9">
        <w:rPr>
          <w:rFonts w:eastAsia="TimesNewRoman"/>
          <w:sz w:val="22"/>
          <w:szCs w:val="22"/>
          <w:lang w:val="lt-LT" w:eastAsia="en-US"/>
        </w:rPr>
        <w:t> </w:t>
      </w:r>
      <w:r w:rsidRPr="004509B9">
        <w:rPr>
          <w:rFonts w:eastAsia="TimesNewRoman"/>
          <w:sz w:val="22"/>
          <w:szCs w:val="22"/>
          <w:lang w:val="lt-LT" w:eastAsia="en-US"/>
        </w:rPr>
        <w:t>mg jo dozę kartu su 100</w:t>
      </w:r>
      <w:r w:rsidR="00940F50" w:rsidRPr="004509B9">
        <w:rPr>
          <w:rFonts w:eastAsia="TimesNewRoman"/>
          <w:sz w:val="22"/>
          <w:szCs w:val="22"/>
          <w:lang w:val="lt-LT" w:eastAsia="en-US"/>
        </w:rPr>
        <w:t> </w:t>
      </w:r>
      <w:r w:rsidRPr="004509B9">
        <w:rPr>
          <w:rFonts w:eastAsia="TimesNewRoman"/>
          <w:sz w:val="22"/>
          <w:szCs w:val="22"/>
          <w:lang w:val="lt-LT" w:eastAsia="en-US"/>
        </w:rPr>
        <w:t xml:space="preserve">mg ritonaviro du kartus per parą. Taigi </w:t>
      </w:r>
      <w:r w:rsidR="00940F50" w:rsidRPr="004509B9">
        <w:rPr>
          <w:rFonts w:eastAsia="TimesNewRoman"/>
          <w:sz w:val="22"/>
          <w:szCs w:val="22"/>
          <w:lang w:val="lt-LT" w:eastAsia="en-US"/>
        </w:rPr>
        <w:t>Darunavir Teva</w:t>
      </w:r>
      <w:r w:rsidRPr="004509B9">
        <w:rPr>
          <w:rFonts w:eastAsia="TimesNewRoman"/>
          <w:sz w:val="22"/>
          <w:szCs w:val="22"/>
          <w:lang w:val="lt-LT" w:eastAsia="en-US"/>
        </w:rPr>
        <w:t xml:space="preserve"> būtina vartoti tik kartu su </w:t>
      </w:r>
      <w:r w:rsidR="00276842" w:rsidRPr="004509B9">
        <w:rPr>
          <w:rFonts w:eastAsia="TimesNewRoman"/>
          <w:sz w:val="22"/>
          <w:szCs w:val="22"/>
          <w:lang w:val="lt-LT" w:eastAsia="en-US"/>
        </w:rPr>
        <w:t>maža ritonaviro, kaip farmakokinetikos stipriklio, doze</w:t>
      </w:r>
      <w:r w:rsidRPr="004509B9">
        <w:rPr>
          <w:rFonts w:eastAsia="TimesNewRoman"/>
          <w:sz w:val="22"/>
          <w:szCs w:val="22"/>
          <w:lang w:val="lt-LT" w:eastAsia="en-US"/>
        </w:rPr>
        <w:t xml:space="preserve"> (žr. 5.2 skyrių).</w:t>
      </w:r>
    </w:p>
    <w:p w14:paraId="20367AA8" w14:textId="77777777" w:rsidR="009F5848" w:rsidRPr="004509B9" w:rsidRDefault="009F5848" w:rsidP="009F5848">
      <w:pPr>
        <w:autoSpaceDE w:val="0"/>
        <w:autoSpaceDN w:val="0"/>
        <w:adjustRightInd w:val="0"/>
        <w:rPr>
          <w:rFonts w:eastAsia="TimesNewRoman"/>
          <w:sz w:val="22"/>
          <w:szCs w:val="22"/>
          <w:lang w:val="lt-LT" w:eastAsia="en-US"/>
        </w:rPr>
      </w:pPr>
    </w:p>
    <w:p w14:paraId="650C4636"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Klinikinio tyrimo metu vartojant kartu įvairius vaistinius preparatus, metabolizuojamus CYP2C9, CYP2C19 ir CYP2D6 citochromų, pavartojus darunaviro/ritonaviro buvo nustatytas CYP2C9 ir CYP2C19 citochromų aktyvumo padidėjimas ir CYP2D6 citochromo aktyvumo slopinimas, kuris gali būti dėl mažų ritonaviro dozių vartojimo. Kartu vartojant darunavirą, ritonavirą su kitais vaistiniais preparatais, kurie pirmiausia metabolizuojami CYP2D6 citochromo (pvz., flekainidas, propafenonas, metoprololis), kraujo serume gali padidėti šių vaistinių preparatų koncentracija, kuri gali padidinti arba pailginti jų terapinį poveikį ir nepageidaujamas reakcijas. Kartu vartojant darunavirą, ritonavirą ir kitus vaistinius preparatus, kurie pirmiausia metabolizuojami CYP2C9 citochromo (pvz., varfarinas) ir CYP2C19 citochromo (pvz., metadonas), gali sumažėti šių vaistinių preparatų sisteminė ekspozicija, kas gali sumažinti arba sutrumpinti jų terapinį poveikį.</w:t>
      </w:r>
    </w:p>
    <w:p w14:paraId="22EE74E3" w14:textId="77777777" w:rsidR="009F5848" w:rsidRPr="004509B9" w:rsidRDefault="009F5848" w:rsidP="009F5848">
      <w:pPr>
        <w:autoSpaceDE w:val="0"/>
        <w:autoSpaceDN w:val="0"/>
        <w:adjustRightInd w:val="0"/>
        <w:rPr>
          <w:rFonts w:eastAsia="TimesNewRoman"/>
          <w:sz w:val="22"/>
          <w:szCs w:val="22"/>
          <w:lang w:val="lt-LT" w:eastAsia="en-US"/>
        </w:rPr>
      </w:pPr>
    </w:p>
    <w:p w14:paraId="3106F831"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Nors CYP2C8 citochromo poveikis buvo tiriamas tik </w:t>
      </w:r>
      <w:r w:rsidRPr="004509B9">
        <w:rPr>
          <w:rFonts w:eastAsia="TimesNewRoman"/>
          <w:i/>
          <w:iCs/>
          <w:sz w:val="22"/>
          <w:szCs w:val="22"/>
          <w:lang w:val="lt-LT" w:eastAsia="en-US"/>
        </w:rPr>
        <w:t>in vitro</w:t>
      </w:r>
      <w:r w:rsidRPr="004509B9">
        <w:rPr>
          <w:rFonts w:eastAsia="TimesNewRoman"/>
          <w:sz w:val="22"/>
          <w:szCs w:val="22"/>
          <w:lang w:val="lt-LT" w:eastAsia="en-US"/>
        </w:rPr>
        <w:t>, kartu vartojant darunavirą, ritonavirą ir kitus vaistinius preparatus, kurie pirmiausia metabolizuojami CYP2C8 citochromo (pvz., paklitakselis, roziglitazonas, repaglinidas), gali sumažėti šių vaistinių preparatų sisteminė ekspozicija, kas gali sumažinti arba sutrumpinti jų terapinį poveikį.</w:t>
      </w:r>
    </w:p>
    <w:p w14:paraId="736C2D77" w14:textId="77777777" w:rsidR="009F5848" w:rsidRPr="004509B9" w:rsidRDefault="009F5848" w:rsidP="009F5848">
      <w:pPr>
        <w:autoSpaceDE w:val="0"/>
        <w:autoSpaceDN w:val="0"/>
        <w:adjustRightInd w:val="0"/>
        <w:rPr>
          <w:rFonts w:eastAsia="TimesNewRoman"/>
          <w:sz w:val="22"/>
          <w:szCs w:val="22"/>
          <w:lang w:val="lt-LT" w:eastAsia="en-US"/>
        </w:rPr>
      </w:pPr>
    </w:p>
    <w:p w14:paraId="18191AE1" w14:textId="77777777" w:rsidR="00276842" w:rsidRPr="004509B9" w:rsidRDefault="00276842" w:rsidP="00276842">
      <w:pPr>
        <w:autoSpaceDE w:val="0"/>
        <w:autoSpaceDN w:val="0"/>
        <w:adjustRightInd w:val="0"/>
        <w:rPr>
          <w:rFonts w:eastAsia="TimesNewRoman"/>
          <w:i/>
          <w:sz w:val="22"/>
          <w:szCs w:val="22"/>
          <w:lang w:val="lt-LT" w:eastAsia="en-US"/>
        </w:rPr>
      </w:pPr>
      <w:r w:rsidRPr="004509B9">
        <w:rPr>
          <w:rFonts w:eastAsia="TimesNewRoman"/>
          <w:i/>
          <w:sz w:val="22"/>
          <w:szCs w:val="22"/>
          <w:lang w:val="lt-LT" w:eastAsia="en-US"/>
        </w:rPr>
        <w:t>Vaistiniai preparatai, veikiantys darunaviro/ritonaviro ekspoziciją</w:t>
      </w:r>
    </w:p>
    <w:p w14:paraId="1628EBE7" w14:textId="77777777" w:rsidR="00276842" w:rsidRPr="004509B9" w:rsidRDefault="00276842" w:rsidP="00276842">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Darunaviras ir ritonaviras yra metabolizuojami CYP3A. Vartojant juos kartu su vaistiniais preparatais, kurie indukuoja CYP3A aktyvumą (pvz., rifampicinu, jonažolės turinčiais preparatais, lopinaviru), gali padidėti darunaviro ir ritonaviro klirensas, dėl ko sumažės šių vaistinių preparatų koncentracija kraujo plazmoje.</w:t>
      </w:r>
    </w:p>
    <w:p w14:paraId="3AEEBF4E" w14:textId="77777777" w:rsidR="00276842" w:rsidRPr="004509B9" w:rsidRDefault="00276842" w:rsidP="00276842">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Vartojant darunavirą ir ritonavirą su vaistiniais preparatais, kurie slopina CYP3A aktyvumą (pvz., indinaviru, sisteminio poveikio azolų dariniais, t. y. ketokonazolu ir klotrimazolu), gali sumažėti darunaviro ir ritonaviro klirensas, dėl ko padidės šių vaistinių preparatų koncentracija plazmoje. Ši tarpusavio sąveika yra išvardyta toliau pateiktoje lentelėje.</w:t>
      </w:r>
    </w:p>
    <w:p w14:paraId="742DEAA0" w14:textId="77777777" w:rsidR="00276842" w:rsidRPr="004509B9" w:rsidRDefault="00276842" w:rsidP="00276842">
      <w:pPr>
        <w:autoSpaceDE w:val="0"/>
        <w:autoSpaceDN w:val="0"/>
        <w:adjustRightInd w:val="0"/>
        <w:rPr>
          <w:rFonts w:eastAsia="TimesNewRoman"/>
          <w:sz w:val="22"/>
          <w:szCs w:val="22"/>
          <w:lang w:val="lt-LT" w:eastAsia="en-US"/>
        </w:rPr>
      </w:pPr>
    </w:p>
    <w:p w14:paraId="208EED6B" w14:textId="77777777" w:rsidR="009F5848" w:rsidRPr="004509B9" w:rsidRDefault="009F5848" w:rsidP="009F5848">
      <w:pPr>
        <w:autoSpaceDE w:val="0"/>
        <w:autoSpaceDN w:val="0"/>
        <w:adjustRightInd w:val="0"/>
        <w:rPr>
          <w:rFonts w:eastAsia="TimesNewRoman"/>
          <w:sz w:val="22"/>
          <w:szCs w:val="22"/>
          <w:u w:val="single"/>
          <w:lang w:val="lt-LT" w:eastAsia="en-US"/>
        </w:rPr>
      </w:pPr>
      <w:r w:rsidRPr="004509B9">
        <w:rPr>
          <w:rFonts w:eastAsia="TimesNewRoman"/>
          <w:sz w:val="22"/>
          <w:szCs w:val="22"/>
          <w:u w:val="single"/>
          <w:lang w:val="lt-LT" w:eastAsia="en-US"/>
        </w:rPr>
        <w:t>Vaistinių preparatų tarpusavio sąveikos lentelė</w:t>
      </w:r>
    </w:p>
    <w:p w14:paraId="2636EDED" w14:textId="77777777" w:rsidR="00276842" w:rsidRPr="004509B9" w:rsidRDefault="00276842" w:rsidP="00276842">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Sąveika tarp darunaviro/ritonaviro ir antiretrovirusinių bei neantiretrovirusinių vaistinių preparatų</w:t>
      </w:r>
    </w:p>
    <w:p w14:paraId="24525E96" w14:textId="77777777" w:rsidR="00276842" w:rsidRPr="004509B9" w:rsidRDefault="00276842" w:rsidP="00276842">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išvardyta toliau esančioje lentelėje (nenustatyta – ,,NN“). Kiekvieno farmakokinetinio rodmens</w:t>
      </w:r>
    </w:p>
    <w:p w14:paraId="070370E5" w14:textId="77777777" w:rsidR="00276842" w:rsidRPr="004509B9" w:rsidRDefault="00276842" w:rsidP="00276842">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lastRenderedPageBreak/>
        <w:t>pokyčio kryptis nurodyta rodyklėmis, remiantis geometrinio vidurkio pokyčio 90 % pasikliautinuoju</w:t>
      </w:r>
    </w:p>
    <w:p w14:paraId="2A0EB0D9" w14:textId="77777777" w:rsidR="009F5848" w:rsidRPr="004509B9" w:rsidRDefault="00276842" w:rsidP="00276842">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intervalu: 80-125 % ribose (↔), žemiau šių ribų (↓) arba virš šių ribų (↑).</w:t>
      </w:r>
    </w:p>
    <w:p w14:paraId="10A33C64" w14:textId="77777777" w:rsidR="00276842" w:rsidRPr="004509B9" w:rsidRDefault="00276842" w:rsidP="009F5848">
      <w:pPr>
        <w:autoSpaceDE w:val="0"/>
        <w:autoSpaceDN w:val="0"/>
        <w:adjustRightInd w:val="0"/>
        <w:rPr>
          <w:rFonts w:eastAsia="TimesNewRoman"/>
          <w:sz w:val="22"/>
          <w:szCs w:val="22"/>
          <w:lang w:val="lt-LT" w:eastAsia="en-US"/>
        </w:rPr>
      </w:pPr>
    </w:p>
    <w:p w14:paraId="61508DB6"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Atlikta keletas sąveikos tyrimų (toliau esančioje lentelėje pažymėti </w:t>
      </w:r>
      <w:r w:rsidRPr="004509B9">
        <w:rPr>
          <w:rFonts w:eastAsia="TimesNewRoman"/>
          <w:sz w:val="22"/>
          <w:szCs w:val="22"/>
          <w:vertAlign w:val="superscript"/>
          <w:lang w:val="lt-LT" w:eastAsia="en-US"/>
        </w:rPr>
        <w:t>#</w:t>
      </w:r>
      <w:r w:rsidRPr="004509B9">
        <w:rPr>
          <w:rFonts w:eastAsia="TimesNewRoman"/>
          <w:sz w:val="22"/>
          <w:szCs w:val="22"/>
          <w:lang w:val="lt-LT" w:eastAsia="en-US"/>
        </w:rPr>
        <w:t>), kurių metu buvo vartotos mažesnės už rekomenduojamas darunaviro dozės arba jis buvo skiriamas pagal skirtingus dozavimo planus (žr. 4.2 skyrių). Taigi kartu vartojamų vaistinių preparatų poveikis gali būti nepakankamai įvertintas ir gali prireikti klinikinio saugumo stebėjimo.</w:t>
      </w:r>
    </w:p>
    <w:p w14:paraId="6A596099" w14:textId="77777777" w:rsidR="009F5848" w:rsidRPr="004509B9" w:rsidRDefault="009F5848" w:rsidP="009F5848">
      <w:pPr>
        <w:autoSpaceDE w:val="0"/>
        <w:autoSpaceDN w:val="0"/>
        <w:adjustRightInd w:val="0"/>
        <w:rPr>
          <w:rFonts w:eastAsia="TimesNewRoman"/>
          <w:sz w:val="20"/>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113"/>
        <w:gridCol w:w="3265"/>
        <w:gridCol w:w="2918"/>
      </w:tblGrid>
      <w:tr w:rsidR="009F5848" w:rsidRPr="00C75EC3" w14:paraId="55C25512" w14:textId="77777777" w:rsidTr="00C75EC3">
        <w:tc>
          <w:tcPr>
            <w:tcW w:w="9288" w:type="dxa"/>
            <w:gridSpan w:val="4"/>
            <w:shd w:val="clear" w:color="auto" w:fill="auto"/>
          </w:tcPr>
          <w:p w14:paraId="01DBB37D" w14:textId="77777777" w:rsidR="009F5848" w:rsidRPr="00C75EC3" w:rsidRDefault="009F5848" w:rsidP="00C75EC3">
            <w:pPr>
              <w:autoSpaceDE w:val="0"/>
              <w:autoSpaceDN w:val="0"/>
              <w:adjustRightInd w:val="0"/>
              <w:jc w:val="center"/>
              <w:rPr>
                <w:rFonts w:eastAsia="TimesNewRoman,Bold"/>
                <w:b/>
                <w:bCs/>
                <w:sz w:val="20"/>
                <w:lang w:val="lt-LT" w:eastAsia="en-US"/>
              </w:rPr>
            </w:pPr>
            <w:r w:rsidRPr="00C75EC3">
              <w:rPr>
                <w:rFonts w:eastAsia="TimesNewRoman,Bold"/>
                <w:b/>
                <w:bCs/>
                <w:sz w:val="20"/>
                <w:lang w:val="lt-LT" w:eastAsia="en-US"/>
              </w:rPr>
              <w:t>SĄVEIKA IR DOZAVIMO VARTOJANT KARTU SU KITAIS VAISTINIAIS PREPARATAIS</w:t>
            </w:r>
          </w:p>
          <w:p w14:paraId="64817715" w14:textId="77777777" w:rsidR="009F5848" w:rsidRPr="00C75EC3" w:rsidRDefault="009F5848" w:rsidP="00C75EC3">
            <w:pPr>
              <w:autoSpaceDE w:val="0"/>
              <w:autoSpaceDN w:val="0"/>
              <w:adjustRightInd w:val="0"/>
              <w:jc w:val="center"/>
              <w:rPr>
                <w:rFonts w:eastAsia="TimesNewRoman"/>
                <w:sz w:val="20"/>
                <w:lang w:val="lt-LT" w:eastAsia="en-US"/>
              </w:rPr>
            </w:pPr>
            <w:r w:rsidRPr="00C75EC3">
              <w:rPr>
                <w:rFonts w:eastAsia="TimesNewRoman,Bold"/>
                <w:b/>
                <w:bCs/>
                <w:sz w:val="20"/>
                <w:lang w:val="lt-LT" w:eastAsia="en-US"/>
              </w:rPr>
              <w:t>REKOMENDACIJOS</w:t>
            </w:r>
          </w:p>
        </w:tc>
      </w:tr>
      <w:tr w:rsidR="009F5848" w:rsidRPr="00C75EC3" w14:paraId="736303E8" w14:textId="77777777" w:rsidTr="00C75EC3">
        <w:tc>
          <w:tcPr>
            <w:tcW w:w="2817" w:type="dxa"/>
            <w:shd w:val="clear" w:color="auto" w:fill="auto"/>
          </w:tcPr>
          <w:p w14:paraId="1B46685C" w14:textId="77777777" w:rsidR="009F5848" w:rsidRPr="00C75EC3" w:rsidRDefault="009F5848" w:rsidP="00C75EC3">
            <w:pPr>
              <w:autoSpaceDE w:val="0"/>
              <w:autoSpaceDN w:val="0"/>
              <w:adjustRightInd w:val="0"/>
              <w:jc w:val="center"/>
              <w:rPr>
                <w:rFonts w:eastAsia="TimesNewRoman"/>
                <w:sz w:val="20"/>
                <w:lang w:val="lt-LT" w:eastAsia="en-US"/>
              </w:rPr>
            </w:pPr>
            <w:r w:rsidRPr="00C75EC3">
              <w:rPr>
                <w:rFonts w:eastAsia="TimesNewRoman,Bold"/>
                <w:b/>
                <w:bCs/>
                <w:sz w:val="20"/>
                <w:lang w:val="lt-LT" w:eastAsia="en-US"/>
              </w:rPr>
              <w:t>Vaistiniai preparatai pagal vartojimo sritį</w:t>
            </w:r>
          </w:p>
        </w:tc>
        <w:tc>
          <w:tcPr>
            <w:tcW w:w="3448" w:type="dxa"/>
            <w:gridSpan w:val="2"/>
            <w:shd w:val="clear" w:color="auto" w:fill="auto"/>
          </w:tcPr>
          <w:p w14:paraId="771E5C92" w14:textId="77777777" w:rsidR="009F5848" w:rsidRPr="00C75EC3" w:rsidRDefault="009F5848" w:rsidP="00C75EC3">
            <w:pPr>
              <w:autoSpaceDE w:val="0"/>
              <w:autoSpaceDN w:val="0"/>
              <w:adjustRightInd w:val="0"/>
              <w:jc w:val="center"/>
              <w:rPr>
                <w:rFonts w:eastAsia="TimesNewRoman,Bold"/>
                <w:b/>
                <w:bCs/>
                <w:sz w:val="20"/>
                <w:lang w:val="lt-LT" w:eastAsia="en-US"/>
              </w:rPr>
            </w:pPr>
            <w:r w:rsidRPr="00C75EC3">
              <w:rPr>
                <w:rFonts w:eastAsia="TimesNewRoman,Bold"/>
                <w:b/>
                <w:bCs/>
                <w:sz w:val="20"/>
                <w:lang w:val="lt-LT" w:eastAsia="en-US"/>
              </w:rPr>
              <w:t>Sąveika</w:t>
            </w:r>
          </w:p>
          <w:p w14:paraId="62D2545C" w14:textId="77777777" w:rsidR="009F5848" w:rsidRPr="00C75EC3" w:rsidRDefault="009F5848" w:rsidP="00C75EC3">
            <w:pPr>
              <w:autoSpaceDE w:val="0"/>
              <w:autoSpaceDN w:val="0"/>
              <w:adjustRightInd w:val="0"/>
              <w:jc w:val="center"/>
              <w:rPr>
                <w:rFonts w:eastAsia="TimesNewRoman"/>
                <w:sz w:val="20"/>
                <w:lang w:val="lt-LT" w:eastAsia="en-US"/>
              </w:rPr>
            </w:pPr>
            <w:r w:rsidRPr="00C75EC3">
              <w:rPr>
                <w:rFonts w:eastAsia="TimesNewRoman,Bold"/>
                <w:b/>
                <w:bCs/>
                <w:sz w:val="20"/>
                <w:lang w:val="lt-LT" w:eastAsia="en-US"/>
              </w:rPr>
              <w:t>Geometrinio vidurkio pokytis (%)</w:t>
            </w:r>
          </w:p>
        </w:tc>
        <w:tc>
          <w:tcPr>
            <w:tcW w:w="3023" w:type="dxa"/>
            <w:shd w:val="clear" w:color="auto" w:fill="auto"/>
          </w:tcPr>
          <w:p w14:paraId="39FB290F" w14:textId="77777777" w:rsidR="009F5848" w:rsidRPr="00C75EC3" w:rsidRDefault="009F5848" w:rsidP="00C75EC3">
            <w:pPr>
              <w:autoSpaceDE w:val="0"/>
              <w:autoSpaceDN w:val="0"/>
              <w:adjustRightInd w:val="0"/>
              <w:jc w:val="center"/>
              <w:rPr>
                <w:rFonts w:eastAsia="TimesNewRoman"/>
                <w:sz w:val="20"/>
                <w:lang w:val="lt-LT" w:eastAsia="en-US"/>
              </w:rPr>
            </w:pPr>
            <w:r w:rsidRPr="00C75EC3">
              <w:rPr>
                <w:rFonts w:eastAsia="TimesNewRoman,Bold"/>
                <w:b/>
                <w:bCs/>
                <w:sz w:val="20"/>
                <w:lang w:val="lt-LT" w:eastAsia="en-US"/>
              </w:rPr>
              <w:t>Vartojimo kartu rekomendacijos</w:t>
            </w:r>
          </w:p>
        </w:tc>
      </w:tr>
      <w:tr w:rsidR="009F5848" w:rsidRPr="00C75EC3" w14:paraId="7E21DCD9" w14:textId="77777777" w:rsidTr="00C75EC3">
        <w:tc>
          <w:tcPr>
            <w:tcW w:w="9288" w:type="dxa"/>
            <w:gridSpan w:val="4"/>
            <w:shd w:val="clear" w:color="auto" w:fill="auto"/>
          </w:tcPr>
          <w:p w14:paraId="3899C4DB"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Bold"/>
                <w:b/>
                <w:bCs/>
                <w:sz w:val="20"/>
                <w:lang w:val="lt-LT" w:eastAsia="en-US"/>
              </w:rPr>
              <w:t>ŽIV VEIKIANTYS ANTIRETROVIRUSINIAI PREPARATAI</w:t>
            </w:r>
          </w:p>
        </w:tc>
      </w:tr>
      <w:tr w:rsidR="009F5848" w:rsidRPr="00C75EC3" w14:paraId="661B31AD" w14:textId="77777777" w:rsidTr="00C75EC3">
        <w:tc>
          <w:tcPr>
            <w:tcW w:w="9288" w:type="dxa"/>
            <w:gridSpan w:val="4"/>
            <w:shd w:val="clear" w:color="auto" w:fill="auto"/>
          </w:tcPr>
          <w:p w14:paraId="7422621F" w14:textId="77777777" w:rsidR="009F5848" w:rsidRPr="00C75EC3" w:rsidRDefault="009F5848" w:rsidP="00C75EC3">
            <w:pPr>
              <w:autoSpaceDE w:val="0"/>
              <w:autoSpaceDN w:val="0"/>
              <w:adjustRightInd w:val="0"/>
              <w:rPr>
                <w:rFonts w:eastAsia="TimesNewRoman,Bold"/>
                <w:b/>
                <w:bCs/>
                <w:sz w:val="20"/>
                <w:lang w:val="lt-LT" w:eastAsia="en-US"/>
              </w:rPr>
            </w:pPr>
            <w:r w:rsidRPr="00C75EC3">
              <w:rPr>
                <w:b/>
                <w:bCs/>
                <w:i/>
                <w:iCs/>
                <w:sz w:val="20"/>
                <w:lang w:val="lt-LT" w:eastAsia="en-US"/>
              </w:rPr>
              <w:t>Integrazės gijos pernašos inhibitoriai</w:t>
            </w:r>
          </w:p>
        </w:tc>
      </w:tr>
      <w:tr w:rsidR="009F5848" w:rsidRPr="00C75EC3" w14:paraId="64639863" w14:textId="77777777" w:rsidTr="00C75EC3">
        <w:tc>
          <w:tcPr>
            <w:tcW w:w="2817" w:type="dxa"/>
            <w:shd w:val="clear" w:color="auto" w:fill="auto"/>
          </w:tcPr>
          <w:p w14:paraId="3C4DA1C6"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Dolutegraviras</w:t>
            </w:r>
          </w:p>
        </w:tc>
        <w:tc>
          <w:tcPr>
            <w:tcW w:w="3448" w:type="dxa"/>
            <w:gridSpan w:val="2"/>
            <w:shd w:val="clear" w:color="auto" w:fill="auto"/>
          </w:tcPr>
          <w:p w14:paraId="0944004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dolutegraviro AUC ↓ 32 %</w:t>
            </w:r>
          </w:p>
          <w:p w14:paraId="10CC358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dolutegraviro C</w:t>
            </w:r>
            <w:r w:rsidRPr="00C75EC3">
              <w:rPr>
                <w:rFonts w:eastAsia="TimesNewRoman"/>
                <w:sz w:val="20"/>
                <w:vertAlign w:val="subscript"/>
                <w:lang w:val="lt-LT" w:eastAsia="en-US"/>
              </w:rPr>
              <w:t>24h</w:t>
            </w:r>
            <w:r w:rsidRPr="00C75EC3">
              <w:rPr>
                <w:rFonts w:eastAsia="TimesNewRoman"/>
                <w:sz w:val="20"/>
                <w:lang w:val="lt-LT" w:eastAsia="en-US"/>
              </w:rPr>
              <w:t xml:space="preserve"> 38 %</w:t>
            </w:r>
          </w:p>
          <w:p w14:paraId="052D8429"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dolutegraviro C</w:t>
            </w:r>
            <w:r w:rsidRPr="00C75EC3">
              <w:rPr>
                <w:rFonts w:eastAsia="TimesNewRoman"/>
                <w:sz w:val="20"/>
                <w:vertAlign w:val="subscript"/>
                <w:lang w:val="lt-LT" w:eastAsia="en-US"/>
              </w:rPr>
              <w:t>max</w:t>
            </w:r>
            <w:r w:rsidRPr="00C75EC3">
              <w:rPr>
                <w:rFonts w:eastAsia="TimesNewRoman"/>
                <w:sz w:val="20"/>
                <w:lang w:val="lt-LT" w:eastAsia="en-US"/>
              </w:rPr>
              <w:t xml:space="preserve"> ↓ 11 %</w:t>
            </w:r>
          </w:p>
          <w:p w14:paraId="3E33DAC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w:t>
            </w:r>
          </w:p>
          <w:p w14:paraId="665C115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 Naudojant kryžminių tyrimų palyginimus, pagrįstus istoriniais farmakokinetikos duomenimis</w:t>
            </w:r>
          </w:p>
        </w:tc>
        <w:tc>
          <w:tcPr>
            <w:tcW w:w="3023" w:type="dxa"/>
            <w:shd w:val="clear" w:color="auto" w:fill="auto"/>
          </w:tcPr>
          <w:p w14:paraId="75129178" w14:textId="77777777" w:rsidR="009F5848" w:rsidRPr="00C75EC3" w:rsidRDefault="00E104D4" w:rsidP="00C75EC3">
            <w:pPr>
              <w:autoSpaceDE w:val="0"/>
              <w:autoSpaceDN w:val="0"/>
              <w:adjustRightInd w:val="0"/>
              <w:rPr>
                <w:rFonts w:eastAsia="TimesNewRoman"/>
                <w:sz w:val="20"/>
                <w:lang w:val="lt-LT" w:eastAsia="en-US"/>
              </w:rPr>
            </w:pPr>
            <w:r w:rsidRPr="00C75EC3">
              <w:rPr>
                <w:rFonts w:eastAsia="TimesNewRoman"/>
                <w:sz w:val="20"/>
                <w:lang w:val="lt-LT" w:eastAsia="en-US"/>
              </w:rPr>
              <w:t>D</w:t>
            </w:r>
            <w:r w:rsidR="009F5848" w:rsidRPr="00C75EC3">
              <w:rPr>
                <w:rFonts w:eastAsia="TimesNewRoman"/>
                <w:sz w:val="20"/>
                <w:lang w:val="lt-LT" w:eastAsia="en-US"/>
              </w:rPr>
              <w:t>arunavir</w:t>
            </w:r>
            <w:r w:rsidRPr="00C75EC3">
              <w:rPr>
                <w:rFonts w:eastAsia="TimesNewRoman"/>
                <w:sz w:val="20"/>
                <w:lang w:val="lt-LT" w:eastAsia="en-US"/>
              </w:rPr>
              <w:t>ą su maža ritonaviro doze</w:t>
            </w:r>
            <w:r w:rsidR="009F5848" w:rsidRPr="00C75EC3">
              <w:rPr>
                <w:rFonts w:eastAsia="TimesNewRoman"/>
                <w:sz w:val="20"/>
                <w:lang w:val="lt-LT" w:eastAsia="en-US"/>
              </w:rPr>
              <w:t xml:space="preserve"> ir dolutegravirą galima vartoti nekeičiant dozės.</w:t>
            </w:r>
          </w:p>
        </w:tc>
      </w:tr>
      <w:tr w:rsidR="009F5848" w:rsidRPr="00C75EC3" w14:paraId="61294C80" w14:textId="77777777" w:rsidTr="00C75EC3">
        <w:tc>
          <w:tcPr>
            <w:tcW w:w="2817" w:type="dxa"/>
            <w:shd w:val="clear" w:color="auto" w:fill="auto"/>
          </w:tcPr>
          <w:p w14:paraId="5BD9E81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Elvitegraviras</w:t>
            </w:r>
          </w:p>
        </w:tc>
        <w:tc>
          <w:tcPr>
            <w:tcW w:w="3448" w:type="dxa"/>
            <w:gridSpan w:val="2"/>
            <w:shd w:val="clear" w:color="auto" w:fill="auto"/>
          </w:tcPr>
          <w:p w14:paraId="51AA1AF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elvitegraviro AUC ↔</w:t>
            </w:r>
          </w:p>
          <w:p w14:paraId="05DA4B2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elvitegraviro C</w:t>
            </w:r>
            <w:r w:rsidRPr="00C75EC3">
              <w:rPr>
                <w:rFonts w:eastAsia="TimesNewRoman"/>
                <w:sz w:val="20"/>
                <w:vertAlign w:val="subscript"/>
                <w:lang w:val="lt-LT" w:eastAsia="en-US"/>
              </w:rPr>
              <w:t xml:space="preserve">min </w:t>
            </w:r>
            <w:r w:rsidRPr="00C75EC3">
              <w:rPr>
                <w:rFonts w:eastAsia="TimesNewRoman"/>
                <w:sz w:val="20"/>
                <w:lang w:val="lt-LT" w:eastAsia="en-US"/>
              </w:rPr>
              <w:t>↔</w:t>
            </w:r>
          </w:p>
          <w:p w14:paraId="2282F370"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elvitegraviro C</w:t>
            </w:r>
            <w:r w:rsidRPr="00C75EC3">
              <w:rPr>
                <w:rFonts w:eastAsia="TimesNewRoman"/>
                <w:sz w:val="20"/>
                <w:vertAlign w:val="subscript"/>
                <w:lang w:val="lt-LT" w:eastAsia="en-US"/>
              </w:rPr>
              <w:t>max</w:t>
            </w:r>
            <w:r w:rsidRPr="00C75EC3">
              <w:rPr>
                <w:rFonts w:eastAsia="TimesNewRoman"/>
                <w:sz w:val="20"/>
                <w:lang w:val="lt-LT" w:eastAsia="en-US"/>
              </w:rPr>
              <w:t xml:space="preserve"> ↔</w:t>
            </w:r>
          </w:p>
          <w:p w14:paraId="14C1CD5B"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AUC ↔</w:t>
            </w:r>
          </w:p>
          <w:p w14:paraId="69EFE257"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C</w:t>
            </w:r>
            <w:r w:rsidRPr="00C75EC3">
              <w:rPr>
                <w:rFonts w:eastAsia="TimesNewRoman"/>
                <w:sz w:val="20"/>
                <w:vertAlign w:val="subscript"/>
                <w:lang w:val="lt-LT" w:eastAsia="en-US"/>
              </w:rPr>
              <w:t>min</w:t>
            </w:r>
            <w:r w:rsidRPr="00C75EC3">
              <w:rPr>
                <w:rFonts w:eastAsia="TimesNewRoman"/>
                <w:sz w:val="20"/>
                <w:lang w:val="lt-LT" w:eastAsia="en-US"/>
              </w:rPr>
              <w:t xml:space="preserve"> 17 %</w:t>
            </w:r>
          </w:p>
          <w:p w14:paraId="32CB0BFB"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C</w:t>
            </w:r>
            <w:r w:rsidRPr="00C75EC3">
              <w:rPr>
                <w:rFonts w:eastAsia="TimesNewRoman"/>
                <w:sz w:val="20"/>
                <w:vertAlign w:val="subscript"/>
                <w:lang w:val="lt-LT" w:eastAsia="en-US"/>
              </w:rPr>
              <w:t xml:space="preserve">max </w:t>
            </w:r>
            <w:r w:rsidRPr="00C75EC3">
              <w:rPr>
                <w:rFonts w:eastAsia="TimesNewRoman"/>
                <w:sz w:val="20"/>
                <w:lang w:val="lt-LT" w:eastAsia="en-US"/>
              </w:rPr>
              <w:t>↔</w:t>
            </w:r>
          </w:p>
        </w:tc>
        <w:tc>
          <w:tcPr>
            <w:tcW w:w="3023" w:type="dxa"/>
            <w:shd w:val="clear" w:color="auto" w:fill="auto"/>
          </w:tcPr>
          <w:p w14:paraId="329776F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skiriant kartu su maža ritonaviro doze (600/100 mg 2 kartus per parą), vartojant kartu su elvitegraviru, elvitegraviro dozė turi būti 150 mg vieną kartą per parą.</w:t>
            </w:r>
          </w:p>
          <w:p w14:paraId="77BCF42B"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Farmakokinetika ir dozavimo rekomendacijos kitokioms darunaviro dozėmis arba su elvitegraviru/kobicistatu, nenustatytos. Todėl nerekomenduojama skirti darunaviro su maža ritonaviro doze, kitokia nei 600/100 mg du kartus per parą, ir elvitegraviru.</w:t>
            </w:r>
          </w:p>
          <w:p w14:paraId="26F0062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Nerekomenduojama skirti darunaviro su maža ritonaviro doze ir elvitegraviru, jei kartu nevartojama kobicistato.</w:t>
            </w:r>
          </w:p>
        </w:tc>
      </w:tr>
      <w:tr w:rsidR="009F5848" w:rsidRPr="00C75EC3" w14:paraId="13D62CA4" w14:textId="77777777" w:rsidTr="00C75EC3">
        <w:tc>
          <w:tcPr>
            <w:tcW w:w="2817" w:type="dxa"/>
            <w:shd w:val="clear" w:color="auto" w:fill="auto"/>
          </w:tcPr>
          <w:p w14:paraId="0868C323"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Raltegraviras</w:t>
            </w:r>
          </w:p>
        </w:tc>
        <w:tc>
          <w:tcPr>
            <w:tcW w:w="3448" w:type="dxa"/>
            <w:gridSpan w:val="2"/>
            <w:shd w:val="clear" w:color="auto" w:fill="auto"/>
          </w:tcPr>
          <w:p w14:paraId="3612DA20"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Kai kurie klinikiniai tyrimai rodo, kad raltegraviras gali sukelti nedidelį darunaviro koncentracijų plazmoje sumažėjimą.</w:t>
            </w:r>
          </w:p>
        </w:tc>
        <w:tc>
          <w:tcPr>
            <w:tcW w:w="3023" w:type="dxa"/>
            <w:shd w:val="clear" w:color="auto" w:fill="auto"/>
          </w:tcPr>
          <w:p w14:paraId="0C46D140"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Šiuo metu neatrodo, kad raltegraviro poveikis darunaviro koncentracijoms kraujo plazmoje būtų kliniškai reikšmingas. </w:t>
            </w:r>
            <w:r w:rsidR="00E104D4" w:rsidRPr="00C75EC3">
              <w:rPr>
                <w:rFonts w:eastAsia="TimesNewRoman"/>
                <w:sz w:val="20"/>
                <w:lang w:val="lt-LT" w:eastAsia="en-US"/>
              </w:rPr>
              <w:t>D</w:t>
            </w:r>
            <w:r w:rsidRPr="00C75EC3">
              <w:rPr>
                <w:rFonts w:eastAsia="TimesNewRoman"/>
                <w:sz w:val="20"/>
                <w:lang w:val="lt-LT" w:eastAsia="en-US"/>
              </w:rPr>
              <w:t>arunovirą</w:t>
            </w:r>
            <w:r w:rsidR="00E104D4" w:rsidRPr="00C75EC3">
              <w:rPr>
                <w:rFonts w:eastAsia="TimesNewRoman"/>
                <w:sz w:val="20"/>
                <w:lang w:val="lt-LT" w:eastAsia="en-US"/>
              </w:rPr>
              <w:t xml:space="preserve"> su maža ritonaviro doze</w:t>
            </w:r>
            <w:r w:rsidRPr="00C75EC3">
              <w:rPr>
                <w:rFonts w:eastAsia="TimesNewRoman"/>
                <w:sz w:val="20"/>
                <w:lang w:val="lt-LT" w:eastAsia="en-US"/>
              </w:rPr>
              <w:t xml:space="preserve"> ir raltegravirą galima vartoti nekeičiant dozės.</w:t>
            </w:r>
          </w:p>
        </w:tc>
      </w:tr>
      <w:tr w:rsidR="009F5848" w:rsidRPr="00C75EC3" w14:paraId="053B6819" w14:textId="77777777" w:rsidTr="00C75EC3">
        <w:tc>
          <w:tcPr>
            <w:tcW w:w="9288" w:type="dxa"/>
            <w:gridSpan w:val="4"/>
            <w:shd w:val="clear" w:color="auto" w:fill="auto"/>
          </w:tcPr>
          <w:p w14:paraId="1A7B3F63" w14:textId="77777777" w:rsidR="009F5848" w:rsidRPr="00C75EC3" w:rsidRDefault="009F5848" w:rsidP="00C75EC3">
            <w:pPr>
              <w:autoSpaceDE w:val="0"/>
              <w:autoSpaceDN w:val="0"/>
              <w:adjustRightInd w:val="0"/>
              <w:rPr>
                <w:rFonts w:eastAsia="TimesNewRoman"/>
                <w:sz w:val="20"/>
                <w:lang w:val="lt-LT" w:eastAsia="en-US"/>
              </w:rPr>
            </w:pPr>
            <w:r w:rsidRPr="00C75EC3">
              <w:rPr>
                <w:b/>
                <w:bCs/>
                <w:i/>
                <w:iCs/>
                <w:sz w:val="20"/>
                <w:lang w:val="lt-LT" w:eastAsia="en-US"/>
              </w:rPr>
              <w:t xml:space="preserve">Nukleo(z/t)ido </w:t>
            </w:r>
            <w:r w:rsidR="00025403">
              <w:rPr>
                <w:b/>
                <w:bCs/>
                <w:i/>
                <w:iCs/>
                <w:sz w:val="20"/>
                <w:lang w:val="lt-LT" w:eastAsia="en-US"/>
              </w:rPr>
              <w:t>atvirkštinės</w:t>
            </w:r>
            <w:r w:rsidRPr="00C75EC3">
              <w:rPr>
                <w:b/>
                <w:bCs/>
                <w:i/>
                <w:iCs/>
                <w:sz w:val="20"/>
                <w:lang w:val="lt-LT" w:eastAsia="en-US"/>
              </w:rPr>
              <w:t xml:space="preserve"> transkriptazės inhibitoriai (NATI)</w:t>
            </w:r>
          </w:p>
        </w:tc>
      </w:tr>
      <w:tr w:rsidR="009F5848" w:rsidRPr="00C75EC3" w14:paraId="5A1BAA04" w14:textId="77777777" w:rsidTr="00C75EC3">
        <w:tc>
          <w:tcPr>
            <w:tcW w:w="2817" w:type="dxa"/>
            <w:shd w:val="clear" w:color="auto" w:fill="auto"/>
          </w:tcPr>
          <w:p w14:paraId="53154439"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Didanozinas</w:t>
            </w:r>
          </w:p>
          <w:p w14:paraId="71E720E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400 mg vieną kartą per</w:t>
            </w:r>
          </w:p>
          <w:p w14:paraId="4AE7760C"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parą</w:t>
            </w:r>
          </w:p>
        </w:tc>
        <w:tc>
          <w:tcPr>
            <w:tcW w:w="3448" w:type="dxa"/>
            <w:gridSpan w:val="2"/>
            <w:shd w:val="clear" w:color="auto" w:fill="auto"/>
          </w:tcPr>
          <w:p w14:paraId="2CA882B4"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didanozino AUC ↓ 9 %</w:t>
            </w:r>
          </w:p>
          <w:p w14:paraId="57AAECC9"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didanozino C</w:t>
            </w:r>
            <w:r w:rsidRPr="00C75EC3">
              <w:rPr>
                <w:rFonts w:eastAsia="TimesNewRoman"/>
                <w:sz w:val="20"/>
                <w:vertAlign w:val="subscript"/>
                <w:lang w:val="lt-LT" w:eastAsia="en-US"/>
              </w:rPr>
              <w:t>min</w:t>
            </w:r>
            <w:r w:rsidRPr="00C75EC3">
              <w:rPr>
                <w:rFonts w:eastAsia="TimesNewRoman"/>
                <w:sz w:val="20"/>
                <w:lang w:val="lt-LT" w:eastAsia="en-US"/>
              </w:rPr>
              <w:t xml:space="preserve"> NN</w:t>
            </w:r>
          </w:p>
          <w:p w14:paraId="534ABA1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didanozino C</w:t>
            </w:r>
            <w:r w:rsidRPr="00C75EC3">
              <w:rPr>
                <w:rFonts w:eastAsia="TimesNewRoman"/>
                <w:sz w:val="20"/>
                <w:vertAlign w:val="subscript"/>
                <w:lang w:val="lt-LT" w:eastAsia="en-US"/>
              </w:rPr>
              <w:t>max</w:t>
            </w:r>
            <w:r w:rsidRPr="00C75EC3">
              <w:rPr>
                <w:rFonts w:eastAsia="TimesNewRoman"/>
                <w:sz w:val="20"/>
                <w:lang w:val="lt-LT" w:eastAsia="en-US"/>
              </w:rPr>
              <w:t xml:space="preserve"> ↓ 16 %</w:t>
            </w:r>
          </w:p>
          <w:p w14:paraId="74D2648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AUC ↔</w:t>
            </w:r>
          </w:p>
          <w:p w14:paraId="4667EDF4"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C</w:t>
            </w:r>
            <w:r w:rsidRPr="00C75EC3">
              <w:rPr>
                <w:rFonts w:eastAsia="TimesNewRoman"/>
                <w:sz w:val="20"/>
                <w:vertAlign w:val="subscript"/>
                <w:lang w:val="lt-LT" w:eastAsia="en-US"/>
              </w:rPr>
              <w:t>min</w:t>
            </w:r>
            <w:r w:rsidRPr="00C75EC3">
              <w:rPr>
                <w:rFonts w:eastAsia="TimesNewRoman"/>
                <w:sz w:val="20"/>
                <w:lang w:val="lt-LT" w:eastAsia="en-US"/>
              </w:rPr>
              <w:t xml:space="preserve"> ↔</w:t>
            </w:r>
          </w:p>
          <w:p w14:paraId="1C20922B"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C</w:t>
            </w:r>
            <w:r w:rsidRPr="00C75EC3">
              <w:rPr>
                <w:rFonts w:eastAsia="TimesNewRoman"/>
                <w:sz w:val="20"/>
                <w:vertAlign w:val="subscript"/>
                <w:lang w:val="lt-LT" w:eastAsia="en-US"/>
              </w:rPr>
              <w:t>max</w:t>
            </w:r>
            <w:r w:rsidRPr="00C75EC3">
              <w:rPr>
                <w:rFonts w:eastAsia="TimesNewRoman"/>
                <w:sz w:val="20"/>
                <w:lang w:val="lt-LT" w:eastAsia="en-US"/>
              </w:rPr>
              <w:t xml:space="preserve"> ↔</w:t>
            </w:r>
          </w:p>
        </w:tc>
        <w:tc>
          <w:tcPr>
            <w:tcW w:w="3023" w:type="dxa"/>
            <w:shd w:val="clear" w:color="auto" w:fill="auto"/>
          </w:tcPr>
          <w:p w14:paraId="28943E02" w14:textId="77777777" w:rsidR="009F5848" w:rsidRPr="00C75EC3" w:rsidRDefault="00E104D4" w:rsidP="00C75EC3">
            <w:pPr>
              <w:autoSpaceDE w:val="0"/>
              <w:autoSpaceDN w:val="0"/>
              <w:adjustRightInd w:val="0"/>
              <w:rPr>
                <w:rFonts w:eastAsia="TimesNewRoman"/>
                <w:sz w:val="20"/>
                <w:lang w:val="lt-LT" w:eastAsia="en-US"/>
              </w:rPr>
            </w:pPr>
            <w:r w:rsidRPr="00C75EC3">
              <w:rPr>
                <w:rFonts w:eastAsia="TimesNewRoman"/>
                <w:sz w:val="20"/>
                <w:lang w:val="lt-LT" w:eastAsia="en-US"/>
              </w:rPr>
              <w:t>D</w:t>
            </w:r>
            <w:r w:rsidR="009F5848" w:rsidRPr="00C75EC3">
              <w:rPr>
                <w:rFonts w:eastAsia="TimesNewRoman"/>
                <w:sz w:val="20"/>
                <w:lang w:val="lt-LT" w:eastAsia="en-US"/>
              </w:rPr>
              <w:t>arunovirą</w:t>
            </w:r>
            <w:r w:rsidRPr="00C75EC3">
              <w:rPr>
                <w:rFonts w:eastAsia="TimesNewRoman"/>
                <w:sz w:val="20"/>
                <w:lang w:val="lt-LT" w:eastAsia="en-US"/>
              </w:rPr>
              <w:t xml:space="preserve"> su maža ritonaviro doze</w:t>
            </w:r>
            <w:r w:rsidR="009F5848" w:rsidRPr="00C75EC3">
              <w:rPr>
                <w:rFonts w:eastAsia="TimesNewRoman"/>
                <w:sz w:val="20"/>
                <w:lang w:val="lt-LT" w:eastAsia="en-US"/>
              </w:rPr>
              <w:t xml:space="preserve"> ir didanoziną galima vartoti nekeičiant dozės. Didanoziną reikia vartoti nevalgius, t. y. 1 val. prieš sustiprinto darunovirą arba praėjus 2 val. po sustiprinto </w:t>
            </w:r>
            <w:r w:rsidR="009F5848" w:rsidRPr="00C75EC3">
              <w:rPr>
                <w:rFonts w:eastAsia="TimesNewRoman"/>
                <w:sz w:val="20"/>
                <w:lang w:val="lt-LT" w:eastAsia="en-US"/>
              </w:rPr>
              <w:lastRenderedPageBreak/>
              <w:t>darunoviro pavartojimo su maistu.</w:t>
            </w:r>
          </w:p>
        </w:tc>
      </w:tr>
      <w:tr w:rsidR="009F5848" w:rsidRPr="00C75EC3" w14:paraId="3C5C8A60" w14:textId="77777777" w:rsidTr="00C75EC3">
        <w:tc>
          <w:tcPr>
            <w:tcW w:w="2817" w:type="dxa"/>
            <w:shd w:val="clear" w:color="auto" w:fill="auto"/>
          </w:tcPr>
          <w:p w14:paraId="72564CBE"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lastRenderedPageBreak/>
              <w:t>Tenofoviro dizoproksilio fumaratas 300 mg vieną kartą per parą</w:t>
            </w:r>
          </w:p>
        </w:tc>
        <w:tc>
          <w:tcPr>
            <w:tcW w:w="3448" w:type="dxa"/>
            <w:gridSpan w:val="2"/>
            <w:shd w:val="clear" w:color="auto" w:fill="auto"/>
          </w:tcPr>
          <w:p w14:paraId="73CB0770"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tenofoviro AUC ↑ 22 %</w:t>
            </w:r>
          </w:p>
          <w:p w14:paraId="4EE93B9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tenofoviro C</w:t>
            </w:r>
            <w:r w:rsidRPr="00C75EC3">
              <w:rPr>
                <w:rFonts w:eastAsia="TimesNewRoman"/>
                <w:sz w:val="20"/>
                <w:vertAlign w:val="subscript"/>
                <w:lang w:val="lt-LT" w:eastAsia="en-US"/>
              </w:rPr>
              <w:t>min</w:t>
            </w:r>
            <w:r w:rsidRPr="00C75EC3">
              <w:rPr>
                <w:rFonts w:eastAsia="TimesNewRoman"/>
                <w:sz w:val="20"/>
                <w:lang w:val="lt-LT" w:eastAsia="en-US"/>
              </w:rPr>
              <w:t xml:space="preserve"> ↑ 37 %</w:t>
            </w:r>
          </w:p>
          <w:p w14:paraId="64A0CD79"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tenofoviro C</w:t>
            </w:r>
            <w:r w:rsidRPr="00C75EC3">
              <w:rPr>
                <w:rFonts w:eastAsia="TimesNewRoman"/>
                <w:sz w:val="20"/>
                <w:vertAlign w:val="subscript"/>
                <w:lang w:val="lt-LT" w:eastAsia="en-US"/>
              </w:rPr>
              <w:t xml:space="preserve">max </w:t>
            </w:r>
            <w:r w:rsidRPr="00C75EC3">
              <w:rPr>
                <w:rFonts w:eastAsia="TimesNewRoman"/>
                <w:sz w:val="20"/>
                <w:lang w:val="lt-LT" w:eastAsia="en-US"/>
              </w:rPr>
              <w:t>↑ 24 %</w:t>
            </w:r>
          </w:p>
          <w:p w14:paraId="07F79A30"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darunaviro AUC ↑ 21 %</w:t>
            </w:r>
          </w:p>
          <w:p w14:paraId="40E2E73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darunaviro C</w:t>
            </w:r>
            <w:r w:rsidRPr="00C75EC3">
              <w:rPr>
                <w:rFonts w:eastAsia="TimesNewRoman"/>
                <w:sz w:val="20"/>
                <w:vertAlign w:val="subscript"/>
                <w:lang w:val="lt-LT" w:eastAsia="en-US"/>
              </w:rPr>
              <w:t>min</w:t>
            </w:r>
            <w:r w:rsidRPr="00C75EC3">
              <w:rPr>
                <w:rFonts w:eastAsia="TimesNewRoman"/>
                <w:sz w:val="20"/>
                <w:lang w:val="lt-LT" w:eastAsia="en-US"/>
              </w:rPr>
              <w:t xml:space="preserve"> ↑ 24 %</w:t>
            </w:r>
          </w:p>
          <w:p w14:paraId="5BCE447C"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 xml:space="preserve"> darunaviro C</w:t>
            </w:r>
            <w:r w:rsidRPr="00C75EC3">
              <w:rPr>
                <w:rFonts w:eastAsia="TimesNewRoman"/>
                <w:sz w:val="20"/>
                <w:vertAlign w:val="subscript"/>
                <w:lang w:val="lt-LT" w:eastAsia="en-US"/>
              </w:rPr>
              <w:t xml:space="preserve">max </w:t>
            </w:r>
            <w:r w:rsidRPr="00C75EC3">
              <w:rPr>
                <w:rFonts w:eastAsia="TimesNewRoman"/>
                <w:sz w:val="20"/>
                <w:lang w:val="lt-LT" w:eastAsia="en-US"/>
              </w:rPr>
              <w:t>↑ 16 % (tenofoviro ↑ dėl poveikio MDR-1 pernašai inkstų kanalėliuose)</w:t>
            </w:r>
          </w:p>
        </w:tc>
        <w:tc>
          <w:tcPr>
            <w:tcW w:w="3023" w:type="dxa"/>
            <w:shd w:val="clear" w:color="auto" w:fill="auto"/>
          </w:tcPr>
          <w:p w14:paraId="132638C5" w14:textId="77777777" w:rsidR="009F5848" w:rsidRPr="00C75EC3" w:rsidRDefault="00E104D4" w:rsidP="00C75EC3">
            <w:pPr>
              <w:autoSpaceDE w:val="0"/>
              <w:autoSpaceDN w:val="0"/>
              <w:adjustRightInd w:val="0"/>
              <w:rPr>
                <w:rFonts w:eastAsia="TimesNewRoman"/>
                <w:sz w:val="20"/>
                <w:lang w:val="lt-LT" w:eastAsia="en-US"/>
              </w:rPr>
            </w:pPr>
            <w:r w:rsidRPr="00C75EC3">
              <w:rPr>
                <w:rFonts w:eastAsia="TimesNewRoman"/>
                <w:sz w:val="20"/>
                <w:lang w:val="lt-LT" w:eastAsia="en-US"/>
              </w:rPr>
              <w:t>D</w:t>
            </w:r>
            <w:r w:rsidR="009F5848" w:rsidRPr="00C75EC3">
              <w:rPr>
                <w:rFonts w:eastAsia="TimesNewRoman"/>
                <w:sz w:val="20"/>
                <w:lang w:val="lt-LT" w:eastAsia="en-US"/>
              </w:rPr>
              <w:t>arunovirą</w:t>
            </w:r>
            <w:r w:rsidRPr="00C75EC3">
              <w:rPr>
                <w:rFonts w:eastAsia="TimesNewRoman"/>
                <w:sz w:val="20"/>
                <w:lang w:val="lt-LT" w:eastAsia="en-US"/>
              </w:rPr>
              <w:t xml:space="preserve"> su maža ritonaviro doze</w:t>
            </w:r>
            <w:r w:rsidR="009F5848" w:rsidRPr="00C75EC3">
              <w:rPr>
                <w:rFonts w:eastAsia="TimesNewRoman"/>
                <w:sz w:val="20"/>
                <w:lang w:val="lt-LT" w:eastAsia="en-US"/>
              </w:rPr>
              <w:t xml:space="preserve"> vartojant kartu su tenofoviru, gali prireikti stebėti inkstų funkciją, ypač pacientams, kurie serga gretutine sistemine arba inkstų liga, arba pacientams, kurie vartoja nefrotoksinį poveikį su</w:t>
            </w:r>
            <w:r w:rsidR="00276842" w:rsidRPr="00C75EC3">
              <w:rPr>
                <w:rFonts w:eastAsia="TimesNewRoman"/>
                <w:sz w:val="20"/>
                <w:lang w:val="lt-LT" w:eastAsia="en-US"/>
              </w:rPr>
              <w:t xml:space="preserve">keliančių vaistinių preparatų. </w:t>
            </w:r>
          </w:p>
        </w:tc>
      </w:tr>
      <w:tr w:rsidR="009F5848" w:rsidRPr="00C75EC3" w14:paraId="482A6056" w14:textId="77777777" w:rsidTr="00C75EC3">
        <w:tc>
          <w:tcPr>
            <w:tcW w:w="2817" w:type="dxa"/>
            <w:shd w:val="clear" w:color="auto" w:fill="auto"/>
          </w:tcPr>
          <w:p w14:paraId="4535502E"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Abakaviras</w:t>
            </w:r>
          </w:p>
          <w:p w14:paraId="2951BD3E"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Emtricitabinas</w:t>
            </w:r>
          </w:p>
          <w:p w14:paraId="3FD5C6C5"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Lamivudinas</w:t>
            </w:r>
          </w:p>
          <w:p w14:paraId="073745D7"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Stavudinas</w:t>
            </w:r>
          </w:p>
          <w:p w14:paraId="6E7F0D83"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Zidovudinas</w:t>
            </w:r>
          </w:p>
        </w:tc>
        <w:tc>
          <w:tcPr>
            <w:tcW w:w="3448" w:type="dxa"/>
            <w:gridSpan w:val="2"/>
            <w:shd w:val="clear" w:color="auto" w:fill="auto"/>
          </w:tcPr>
          <w:p w14:paraId="1B365493"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Netirta. Atsižvelgiant į kitokį kitų NATI eliminacijos būdą (zidovudinas, emtricitabinas, stavudinas, lamivudinas šalinami daugiausiai per inkstus, o abak</w:t>
            </w:r>
            <w:r w:rsidR="00025403">
              <w:rPr>
                <w:rFonts w:eastAsia="TimesNewRoman"/>
                <w:sz w:val="20"/>
                <w:lang w:val="lt-LT" w:eastAsia="en-US"/>
              </w:rPr>
              <w:t>a</w:t>
            </w:r>
            <w:r w:rsidRPr="00C75EC3">
              <w:rPr>
                <w:rFonts w:eastAsia="TimesNewRoman"/>
                <w:sz w:val="20"/>
                <w:lang w:val="lt-LT" w:eastAsia="en-US"/>
              </w:rPr>
              <w:t>viro metabolizmo neveikia CYP450), sąveikos su šiomis vaistinėmis medžiagomis, vartojant sustiprintą darunavirą, nesitikima.</w:t>
            </w:r>
          </w:p>
        </w:tc>
        <w:tc>
          <w:tcPr>
            <w:tcW w:w="3023" w:type="dxa"/>
            <w:shd w:val="clear" w:color="auto" w:fill="auto"/>
          </w:tcPr>
          <w:p w14:paraId="0E575A28" w14:textId="77777777" w:rsidR="009F5848" w:rsidRPr="00C75EC3" w:rsidRDefault="00E104D4" w:rsidP="00C75EC3">
            <w:pPr>
              <w:autoSpaceDE w:val="0"/>
              <w:autoSpaceDN w:val="0"/>
              <w:adjustRightInd w:val="0"/>
              <w:rPr>
                <w:rFonts w:eastAsia="TimesNewRoman"/>
                <w:sz w:val="20"/>
                <w:lang w:val="lt-LT" w:eastAsia="en-US"/>
              </w:rPr>
            </w:pPr>
            <w:r w:rsidRPr="00C75EC3">
              <w:rPr>
                <w:rFonts w:eastAsia="TimesNewRoman"/>
                <w:sz w:val="20"/>
                <w:lang w:val="lt-LT" w:eastAsia="en-US"/>
              </w:rPr>
              <w:t>D</w:t>
            </w:r>
            <w:r w:rsidR="009F5848" w:rsidRPr="00C75EC3">
              <w:rPr>
                <w:rFonts w:eastAsia="TimesNewRoman"/>
                <w:sz w:val="20"/>
                <w:lang w:val="lt-LT" w:eastAsia="en-US"/>
              </w:rPr>
              <w:t xml:space="preserve">arunavirą </w:t>
            </w:r>
            <w:r w:rsidRPr="00C75EC3">
              <w:rPr>
                <w:rFonts w:eastAsia="TimesNewRoman"/>
                <w:sz w:val="20"/>
                <w:lang w:val="lt-LT" w:eastAsia="en-US"/>
              </w:rPr>
              <w:t xml:space="preserve">su maža ritonaviro doze </w:t>
            </w:r>
            <w:r w:rsidR="009F5848" w:rsidRPr="00C75EC3">
              <w:rPr>
                <w:rFonts w:eastAsia="TimesNewRoman"/>
                <w:sz w:val="20"/>
                <w:lang w:val="lt-LT" w:eastAsia="en-US"/>
              </w:rPr>
              <w:t xml:space="preserve">galima vartoti kartu </w:t>
            </w:r>
            <w:r w:rsidR="00276842" w:rsidRPr="00C75EC3">
              <w:rPr>
                <w:rFonts w:eastAsia="TimesNewRoman"/>
                <w:sz w:val="20"/>
                <w:lang w:val="lt-LT" w:eastAsia="en-US"/>
              </w:rPr>
              <w:t>su šiais NATI nekeičiant dozės.</w:t>
            </w:r>
          </w:p>
        </w:tc>
      </w:tr>
      <w:tr w:rsidR="009F5848" w:rsidRPr="00C75EC3" w14:paraId="56F647CD" w14:textId="77777777" w:rsidTr="00C75EC3">
        <w:tc>
          <w:tcPr>
            <w:tcW w:w="9288" w:type="dxa"/>
            <w:gridSpan w:val="4"/>
            <w:shd w:val="clear" w:color="auto" w:fill="auto"/>
          </w:tcPr>
          <w:p w14:paraId="1CBE98BD" w14:textId="77777777" w:rsidR="009F5848" w:rsidRPr="00C75EC3" w:rsidRDefault="009F5848" w:rsidP="00C75EC3">
            <w:pPr>
              <w:autoSpaceDE w:val="0"/>
              <w:autoSpaceDN w:val="0"/>
              <w:adjustRightInd w:val="0"/>
              <w:rPr>
                <w:rFonts w:eastAsia="TimesNewRoman"/>
                <w:sz w:val="20"/>
                <w:lang w:val="lt-LT" w:eastAsia="en-US"/>
              </w:rPr>
            </w:pPr>
            <w:r w:rsidRPr="00C75EC3">
              <w:rPr>
                <w:b/>
                <w:bCs/>
                <w:i/>
                <w:iCs/>
                <w:sz w:val="20"/>
                <w:lang w:val="lt-LT" w:eastAsia="en-US"/>
              </w:rPr>
              <w:t xml:space="preserve">Nenukleo(z/t)ido </w:t>
            </w:r>
            <w:r w:rsidR="00025403">
              <w:rPr>
                <w:b/>
                <w:bCs/>
                <w:i/>
                <w:iCs/>
                <w:sz w:val="20"/>
                <w:lang w:val="lt-LT" w:eastAsia="en-US"/>
              </w:rPr>
              <w:t>atvirkštinės</w:t>
            </w:r>
            <w:r w:rsidRPr="00C75EC3">
              <w:rPr>
                <w:b/>
                <w:bCs/>
                <w:i/>
                <w:iCs/>
                <w:sz w:val="20"/>
                <w:lang w:val="lt-LT" w:eastAsia="en-US"/>
              </w:rPr>
              <w:t xml:space="preserve"> transkriptazės inhibitoriai (NNATI)</w:t>
            </w:r>
          </w:p>
        </w:tc>
      </w:tr>
      <w:tr w:rsidR="009F5848" w:rsidRPr="00C75EC3" w14:paraId="575B36F8" w14:textId="77777777" w:rsidTr="00C75EC3">
        <w:tc>
          <w:tcPr>
            <w:tcW w:w="2817" w:type="dxa"/>
            <w:shd w:val="clear" w:color="auto" w:fill="auto"/>
          </w:tcPr>
          <w:p w14:paraId="412D65B4"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Efavirenzas 600 mg vieną kartą per parą</w:t>
            </w:r>
          </w:p>
        </w:tc>
        <w:tc>
          <w:tcPr>
            <w:tcW w:w="3448" w:type="dxa"/>
            <w:gridSpan w:val="2"/>
            <w:shd w:val="clear" w:color="auto" w:fill="auto"/>
          </w:tcPr>
          <w:p w14:paraId="05A38941"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efavirenzo AUC ↑ 21 %</w:t>
            </w:r>
          </w:p>
          <w:p w14:paraId="6DD53470"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efavirenzo C</w:t>
            </w:r>
            <w:r w:rsidRPr="00C75EC3">
              <w:rPr>
                <w:rFonts w:eastAsia="TimesNewRoman"/>
                <w:sz w:val="20"/>
                <w:vertAlign w:val="subscript"/>
                <w:lang w:val="lt-LT" w:eastAsia="en-US"/>
              </w:rPr>
              <w:t xml:space="preserve">min </w:t>
            </w:r>
            <w:r w:rsidRPr="00C75EC3">
              <w:rPr>
                <w:rFonts w:eastAsia="TimesNewRoman"/>
                <w:sz w:val="20"/>
                <w:lang w:val="lt-LT" w:eastAsia="en-US"/>
              </w:rPr>
              <w:t>↑ 17 %</w:t>
            </w:r>
          </w:p>
          <w:p w14:paraId="2749A4E0"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efavirenzo C</w:t>
            </w:r>
            <w:r w:rsidRPr="00C75EC3">
              <w:rPr>
                <w:rFonts w:eastAsia="TimesNewRoman"/>
                <w:sz w:val="20"/>
                <w:vertAlign w:val="subscript"/>
                <w:lang w:val="lt-LT" w:eastAsia="en-US"/>
              </w:rPr>
              <w:t xml:space="preserve">max </w:t>
            </w:r>
            <w:r w:rsidRPr="00C75EC3">
              <w:rPr>
                <w:rFonts w:eastAsia="TimesNewRoman"/>
                <w:sz w:val="20"/>
                <w:lang w:val="lt-LT" w:eastAsia="en-US"/>
              </w:rPr>
              <w:t>↑ 15 %</w:t>
            </w:r>
          </w:p>
          <w:p w14:paraId="4F46E656"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darunaviro AUC ↓ 13 %</w:t>
            </w:r>
          </w:p>
          <w:p w14:paraId="6DFF5D96"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darunaviro C</w:t>
            </w:r>
            <w:r w:rsidRPr="00C75EC3">
              <w:rPr>
                <w:rFonts w:eastAsia="TimesNewRoman"/>
                <w:sz w:val="20"/>
                <w:vertAlign w:val="subscript"/>
                <w:lang w:val="lt-LT" w:eastAsia="en-US"/>
              </w:rPr>
              <w:t>min</w:t>
            </w:r>
            <w:r w:rsidRPr="00C75EC3">
              <w:rPr>
                <w:rFonts w:eastAsia="TimesNewRoman"/>
                <w:sz w:val="20"/>
                <w:lang w:val="lt-LT" w:eastAsia="en-US"/>
              </w:rPr>
              <w:t xml:space="preserve"> ↓ 31 %</w:t>
            </w:r>
          </w:p>
          <w:p w14:paraId="78B6365B"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darunaviro C</w:t>
            </w:r>
            <w:r w:rsidRPr="00C75EC3">
              <w:rPr>
                <w:rFonts w:eastAsia="TimesNewRoman"/>
                <w:sz w:val="20"/>
                <w:vertAlign w:val="subscript"/>
                <w:lang w:val="lt-LT" w:eastAsia="en-US"/>
              </w:rPr>
              <w:t xml:space="preserve">max </w:t>
            </w:r>
            <w:r w:rsidRPr="00C75EC3">
              <w:rPr>
                <w:rFonts w:eastAsia="TimesNewRoman"/>
                <w:sz w:val="20"/>
                <w:lang w:val="lt-LT" w:eastAsia="en-US"/>
              </w:rPr>
              <w:t>↓ 15 %</w:t>
            </w:r>
          </w:p>
          <w:p w14:paraId="01502C6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(efavirenzo ↑ dėl CYP3A slopinimo) (darunaviro ↓ dėl CYP3A sužadinimo)</w:t>
            </w:r>
          </w:p>
        </w:tc>
        <w:tc>
          <w:tcPr>
            <w:tcW w:w="3023" w:type="dxa"/>
            <w:shd w:val="clear" w:color="auto" w:fill="auto"/>
          </w:tcPr>
          <w:p w14:paraId="7BC55D09" w14:textId="77777777" w:rsidR="00276842"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Darunavirą, vartojamą kartu su maža ritonaviro doze, vartojant kartu su efavirenzu, gali prireikti klinikinio paciento būklės stebėjimo, nes gali pasireikšti su efevirenzo ekspozicijos padidėjimu susijęs toksinis poveikis centrinei nervų sistemai.</w:t>
            </w:r>
          </w:p>
          <w:p w14:paraId="5D8F23B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Efavirenzą vartojant kartu su 800/100 mg darunaviro/ritonaviro vieną kartą per parą, darunaviro C</w:t>
            </w:r>
            <w:r w:rsidRPr="00C75EC3">
              <w:rPr>
                <w:rFonts w:eastAsia="TimesNewRoman"/>
                <w:sz w:val="20"/>
                <w:vertAlign w:val="subscript"/>
                <w:lang w:val="lt-LT" w:eastAsia="en-US"/>
              </w:rPr>
              <w:t>min</w:t>
            </w:r>
            <w:r w:rsidRPr="00C75EC3">
              <w:rPr>
                <w:rFonts w:eastAsia="TimesNewRoman"/>
                <w:sz w:val="20"/>
                <w:lang w:val="lt-LT" w:eastAsia="en-US"/>
              </w:rPr>
              <w:t xml:space="preserve"> gali būti suboptimalios. Jeigu efavirenzas vartojamas kartu su darunaviru/ritonaviru, reikia taikyti 600/100 mg darunaviro/ritonaviro dozavimo du kartus per parą planą (žr. 4.4 skyrių).</w:t>
            </w:r>
          </w:p>
        </w:tc>
      </w:tr>
      <w:tr w:rsidR="009F5848" w:rsidRPr="00C75EC3" w14:paraId="3D8B33DC" w14:textId="77777777" w:rsidTr="00C75EC3">
        <w:tc>
          <w:tcPr>
            <w:tcW w:w="2817" w:type="dxa"/>
            <w:shd w:val="clear" w:color="auto" w:fill="auto"/>
          </w:tcPr>
          <w:p w14:paraId="6158A71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Etravirinas 100 mg du kartus per parą</w:t>
            </w:r>
          </w:p>
        </w:tc>
        <w:tc>
          <w:tcPr>
            <w:tcW w:w="3448" w:type="dxa"/>
            <w:gridSpan w:val="2"/>
            <w:shd w:val="clear" w:color="auto" w:fill="auto"/>
          </w:tcPr>
          <w:p w14:paraId="210F7693"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etravirino AUC ↓ 37 %</w:t>
            </w:r>
          </w:p>
          <w:p w14:paraId="6944AEFB"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etravirino C</w:t>
            </w:r>
            <w:r w:rsidRPr="00C75EC3">
              <w:rPr>
                <w:rFonts w:eastAsia="TimesNewRoman"/>
                <w:sz w:val="20"/>
                <w:vertAlign w:val="subscript"/>
                <w:lang w:val="lt-LT" w:eastAsia="en-US"/>
              </w:rPr>
              <w:t>min</w:t>
            </w:r>
            <w:r w:rsidRPr="00C75EC3">
              <w:rPr>
                <w:rFonts w:eastAsia="TimesNewRoman"/>
                <w:sz w:val="20"/>
                <w:lang w:val="lt-LT" w:eastAsia="en-US"/>
              </w:rPr>
              <w:t xml:space="preserve"> ↓ 49 %</w:t>
            </w:r>
          </w:p>
          <w:p w14:paraId="0AF9BB43"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etravirino C</w:t>
            </w:r>
            <w:r w:rsidRPr="00C75EC3">
              <w:rPr>
                <w:rFonts w:eastAsia="TimesNewRoman"/>
                <w:sz w:val="20"/>
                <w:vertAlign w:val="subscript"/>
                <w:lang w:val="lt-LT" w:eastAsia="en-US"/>
              </w:rPr>
              <w:t>max</w:t>
            </w:r>
            <w:r w:rsidRPr="00C75EC3">
              <w:rPr>
                <w:rFonts w:eastAsia="TimesNewRoman"/>
                <w:sz w:val="20"/>
                <w:lang w:val="lt-LT" w:eastAsia="en-US"/>
              </w:rPr>
              <w:t xml:space="preserve"> ↓ 32 %</w:t>
            </w:r>
          </w:p>
          <w:p w14:paraId="2991B848"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AUC ↑ 15 %</w:t>
            </w:r>
          </w:p>
          <w:p w14:paraId="56576BC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C</w:t>
            </w:r>
            <w:r w:rsidRPr="00C75EC3">
              <w:rPr>
                <w:rFonts w:eastAsia="TimesNewRoman"/>
                <w:sz w:val="20"/>
                <w:vertAlign w:val="subscript"/>
                <w:lang w:val="lt-LT" w:eastAsia="en-US"/>
              </w:rPr>
              <w:t xml:space="preserve">min </w:t>
            </w:r>
            <w:r w:rsidRPr="00C75EC3">
              <w:rPr>
                <w:rFonts w:eastAsia="TimesNewRoman"/>
                <w:sz w:val="20"/>
                <w:lang w:val="lt-LT" w:eastAsia="en-US"/>
              </w:rPr>
              <w:t>↔</w:t>
            </w:r>
          </w:p>
          <w:p w14:paraId="72CFD33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C</w:t>
            </w:r>
            <w:r w:rsidRPr="00C75EC3">
              <w:rPr>
                <w:rFonts w:eastAsia="TimesNewRoman"/>
                <w:sz w:val="20"/>
                <w:vertAlign w:val="subscript"/>
                <w:lang w:val="lt-LT" w:eastAsia="en-US"/>
              </w:rPr>
              <w:t>max</w:t>
            </w:r>
            <w:r w:rsidRPr="00C75EC3">
              <w:rPr>
                <w:rFonts w:eastAsia="TimesNewRoman"/>
                <w:sz w:val="20"/>
                <w:lang w:val="lt-LT" w:eastAsia="en-US"/>
              </w:rPr>
              <w:t xml:space="preserve"> ↔</w:t>
            </w:r>
          </w:p>
        </w:tc>
        <w:tc>
          <w:tcPr>
            <w:tcW w:w="3023" w:type="dxa"/>
            <w:shd w:val="clear" w:color="auto" w:fill="auto"/>
          </w:tcPr>
          <w:p w14:paraId="29E7D2B5"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Darunavirą, vartojamą kartu su maža ritonaviro ir etravirino </w:t>
            </w:r>
            <w:r w:rsidRPr="00C75EC3">
              <w:rPr>
                <w:rFonts w:eastAsia="TimesNewRoman,Bold"/>
                <w:b/>
                <w:bCs/>
                <w:sz w:val="20"/>
                <w:u w:val="single"/>
                <w:lang w:val="lt-LT" w:eastAsia="en-US"/>
              </w:rPr>
              <w:t>200 mg du kartus per parą</w:t>
            </w:r>
            <w:r w:rsidRPr="00C75EC3">
              <w:rPr>
                <w:rFonts w:eastAsia="TimesNewRoman"/>
                <w:sz w:val="20"/>
                <w:u w:val="single"/>
                <w:lang w:val="lt-LT" w:eastAsia="en-US"/>
              </w:rPr>
              <w:t xml:space="preserve"> </w:t>
            </w:r>
            <w:r w:rsidRPr="00C75EC3">
              <w:rPr>
                <w:rFonts w:eastAsia="TimesNewRoman"/>
                <w:sz w:val="20"/>
                <w:lang w:val="lt-LT" w:eastAsia="en-US"/>
              </w:rPr>
              <w:t>doze,</w:t>
            </w:r>
            <w:r w:rsidRPr="00C75EC3">
              <w:rPr>
                <w:rFonts w:eastAsia="TimesNewRoman"/>
                <w:sz w:val="20"/>
                <w:u w:val="single"/>
                <w:lang w:val="lt-LT" w:eastAsia="en-US"/>
              </w:rPr>
              <w:t xml:space="preserve"> </w:t>
            </w:r>
            <w:r w:rsidRPr="00C75EC3">
              <w:rPr>
                <w:rFonts w:eastAsia="TimesNewRoman"/>
                <w:sz w:val="20"/>
                <w:lang w:val="lt-LT" w:eastAsia="en-US"/>
              </w:rPr>
              <w:t>g</w:t>
            </w:r>
            <w:r w:rsidR="00C177D5" w:rsidRPr="00C75EC3">
              <w:rPr>
                <w:rFonts w:eastAsia="TimesNewRoman"/>
                <w:sz w:val="20"/>
                <w:lang w:val="lt-LT" w:eastAsia="en-US"/>
              </w:rPr>
              <w:t>alima vartoti nekeičiant dozės.</w:t>
            </w:r>
          </w:p>
        </w:tc>
      </w:tr>
      <w:tr w:rsidR="009F5848" w:rsidRPr="00C75EC3" w14:paraId="5FA610C8" w14:textId="77777777" w:rsidTr="00C75EC3">
        <w:tc>
          <w:tcPr>
            <w:tcW w:w="2817" w:type="dxa"/>
            <w:shd w:val="clear" w:color="auto" w:fill="auto"/>
          </w:tcPr>
          <w:p w14:paraId="20514B0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Nevirapinas 200 mg du kartus per parą</w:t>
            </w:r>
          </w:p>
        </w:tc>
        <w:tc>
          <w:tcPr>
            <w:tcW w:w="3448" w:type="dxa"/>
            <w:gridSpan w:val="2"/>
            <w:shd w:val="clear" w:color="auto" w:fill="auto"/>
          </w:tcPr>
          <w:p w14:paraId="69B8FA2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nevirapino AUC ↑ 27 %</w:t>
            </w:r>
          </w:p>
          <w:p w14:paraId="786282FC"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nevirapino C</w:t>
            </w:r>
            <w:r w:rsidRPr="00C75EC3">
              <w:rPr>
                <w:rFonts w:eastAsia="TimesNewRoman"/>
                <w:sz w:val="20"/>
                <w:vertAlign w:val="subscript"/>
                <w:lang w:val="lt-LT" w:eastAsia="en-US"/>
              </w:rPr>
              <w:t xml:space="preserve">min </w:t>
            </w:r>
            <w:r w:rsidRPr="00C75EC3">
              <w:rPr>
                <w:rFonts w:eastAsia="TimesNewRoman"/>
                <w:sz w:val="20"/>
                <w:lang w:val="lt-LT" w:eastAsia="en-US"/>
              </w:rPr>
              <w:t>↑ 47 %</w:t>
            </w:r>
          </w:p>
          <w:p w14:paraId="7647FA4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nevirapino C</w:t>
            </w:r>
            <w:r w:rsidRPr="00C75EC3">
              <w:rPr>
                <w:rFonts w:eastAsia="TimesNewRoman"/>
                <w:sz w:val="20"/>
                <w:vertAlign w:val="subscript"/>
                <w:lang w:val="lt-LT" w:eastAsia="en-US"/>
              </w:rPr>
              <w:t>max</w:t>
            </w:r>
            <w:r w:rsidRPr="00C75EC3">
              <w:rPr>
                <w:rFonts w:eastAsia="TimesNewRoman"/>
                <w:sz w:val="20"/>
                <w:lang w:val="lt-LT" w:eastAsia="en-US"/>
              </w:rPr>
              <w:t xml:space="preserve"> ↑ 18 %</w:t>
            </w:r>
          </w:p>
          <w:p w14:paraId="425A467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darunaviras: koncentracijos atitiko istorijos duomenis (nevirapino ↑ dėl CYP3A slopinimo)</w:t>
            </w:r>
          </w:p>
        </w:tc>
        <w:tc>
          <w:tcPr>
            <w:tcW w:w="3023" w:type="dxa"/>
            <w:shd w:val="clear" w:color="auto" w:fill="auto"/>
          </w:tcPr>
          <w:p w14:paraId="1C4D619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Darunavirą, vartojamą kartu su maža ritonaviro doze, galima vartoti kartu </w:t>
            </w:r>
            <w:r w:rsidR="00C177D5" w:rsidRPr="00C75EC3">
              <w:rPr>
                <w:rFonts w:eastAsia="TimesNewRoman"/>
                <w:sz w:val="20"/>
                <w:lang w:val="lt-LT" w:eastAsia="en-US"/>
              </w:rPr>
              <w:t>su nevirapinu nekeičiant dozės.</w:t>
            </w:r>
          </w:p>
        </w:tc>
      </w:tr>
      <w:tr w:rsidR="009F5848" w:rsidRPr="00C75EC3" w14:paraId="634E543D" w14:textId="77777777" w:rsidTr="00C75EC3">
        <w:tc>
          <w:tcPr>
            <w:tcW w:w="2817" w:type="dxa"/>
            <w:shd w:val="clear" w:color="auto" w:fill="auto"/>
          </w:tcPr>
          <w:p w14:paraId="00DEBF9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Rilpivirinas 150 mg vieną kartą per parą</w:t>
            </w:r>
          </w:p>
        </w:tc>
        <w:tc>
          <w:tcPr>
            <w:tcW w:w="3448" w:type="dxa"/>
            <w:gridSpan w:val="2"/>
            <w:shd w:val="clear" w:color="auto" w:fill="auto"/>
          </w:tcPr>
          <w:p w14:paraId="7C6801A0"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rilpivirino AUC ↑ 130 %</w:t>
            </w:r>
          </w:p>
          <w:p w14:paraId="3D13632B"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rilpivirino C</w:t>
            </w:r>
            <w:r w:rsidRPr="00C75EC3">
              <w:rPr>
                <w:rFonts w:eastAsia="TimesNewRoman"/>
                <w:sz w:val="20"/>
                <w:vertAlign w:val="subscript"/>
                <w:lang w:val="lt-LT" w:eastAsia="en-US"/>
              </w:rPr>
              <w:t xml:space="preserve">min </w:t>
            </w:r>
            <w:r w:rsidRPr="00C75EC3">
              <w:rPr>
                <w:rFonts w:eastAsia="TimesNewRoman"/>
                <w:sz w:val="20"/>
                <w:lang w:val="lt-LT" w:eastAsia="en-US"/>
              </w:rPr>
              <w:t>↑ 178 %</w:t>
            </w:r>
          </w:p>
          <w:p w14:paraId="2BD03A5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rilpivirino C</w:t>
            </w:r>
            <w:r w:rsidRPr="00C75EC3">
              <w:rPr>
                <w:rFonts w:eastAsia="TimesNewRoman"/>
                <w:sz w:val="20"/>
                <w:vertAlign w:val="subscript"/>
                <w:lang w:val="lt-LT" w:eastAsia="en-US"/>
              </w:rPr>
              <w:t>max</w:t>
            </w:r>
            <w:r w:rsidRPr="00C75EC3">
              <w:rPr>
                <w:rFonts w:eastAsia="TimesNewRoman"/>
                <w:sz w:val="20"/>
                <w:lang w:val="lt-LT" w:eastAsia="en-US"/>
              </w:rPr>
              <w:t xml:space="preserve"> ↑ 79 %</w:t>
            </w:r>
          </w:p>
          <w:p w14:paraId="6E5C0881"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AUC ↔</w:t>
            </w:r>
          </w:p>
          <w:p w14:paraId="5BBF2D54"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C</w:t>
            </w:r>
            <w:r w:rsidRPr="00C75EC3">
              <w:rPr>
                <w:rFonts w:eastAsia="TimesNewRoman"/>
                <w:sz w:val="20"/>
                <w:vertAlign w:val="subscript"/>
                <w:lang w:val="lt-LT" w:eastAsia="en-US"/>
              </w:rPr>
              <w:t>min</w:t>
            </w:r>
            <w:r w:rsidRPr="00C75EC3">
              <w:rPr>
                <w:rFonts w:eastAsia="TimesNewRoman"/>
                <w:sz w:val="20"/>
                <w:lang w:val="lt-LT" w:eastAsia="en-US"/>
              </w:rPr>
              <w:t xml:space="preserve"> ↓ 11 %</w:t>
            </w:r>
          </w:p>
          <w:p w14:paraId="503AE215"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C</w:t>
            </w:r>
            <w:r w:rsidRPr="00C75EC3">
              <w:rPr>
                <w:rFonts w:eastAsia="TimesNewRoman"/>
                <w:sz w:val="20"/>
                <w:vertAlign w:val="subscript"/>
                <w:lang w:val="lt-LT" w:eastAsia="en-US"/>
              </w:rPr>
              <w:t>max</w:t>
            </w:r>
            <w:r w:rsidRPr="00C75EC3">
              <w:rPr>
                <w:rFonts w:eastAsia="TimesNewRoman"/>
                <w:sz w:val="20"/>
                <w:lang w:val="lt-LT" w:eastAsia="en-US"/>
              </w:rPr>
              <w:t xml:space="preserve"> ↔</w:t>
            </w:r>
          </w:p>
        </w:tc>
        <w:tc>
          <w:tcPr>
            <w:tcW w:w="3023" w:type="dxa"/>
            <w:shd w:val="clear" w:color="auto" w:fill="auto"/>
          </w:tcPr>
          <w:p w14:paraId="7E000F0D" w14:textId="77777777" w:rsidR="009F5848" w:rsidRPr="00C75EC3" w:rsidRDefault="00E104D4" w:rsidP="00C75EC3">
            <w:pPr>
              <w:autoSpaceDE w:val="0"/>
              <w:autoSpaceDN w:val="0"/>
              <w:adjustRightInd w:val="0"/>
              <w:rPr>
                <w:rFonts w:eastAsia="TimesNewRoman"/>
                <w:sz w:val="20"/>
                <w:lang w:val="lt-LT" w:eastAsia="en-US"/>
              </w:rPr>
            </w:pPr>
            <w:r w:rsidRPr="00C75EC3">
              <w:rPr>
                <w:rFonts w:eastAsia="TimesNewRoman"/>
                <w:sz w:val="20"/>
                <w:lang w:val="lt-LT" w:eastAsia="en-US"/>
              </w:rPr>
              <w:t>D</w:t>
            </w:r>
            <w:r w:rsidR="009F5848" w:rsidRPr="00C75EC3">
              <w:rPr>
                <w:rFonts w:eastAsia="TimesNewRoman"/>
                <w:sz w:val="20"/>
                <w:lang w:val="lt-LT" w:eastAsia="en-US"/>
              </w:rPr>
              <w:t xml:space="preserve">arunavirą </w:t>
            </w:r>
            <w:r w:rsidRPr="00C75EC3">
              <w:rPr>
                <w:rFonts w:eastAsia="TimesNewRoman"/>
                <w:sz w:val="20"/>
                <w:lang w:val="lt-LT" w:eastAsia="en-US"/>
              </w:rPr>
              <w:t xml:space="preserve">su maža ritonaviro doze </w:t>
            </w:r>
            <w:r w:rsidR="009F5848" w:rsidRPr="00C75EC3">
              <w:rPr>
                <w:rFonts w:eastAsia="TimesNewRoman"/>
                <w:sz w:val="20"/>
                <w:lang w:val="lt-LT" w:eastAsia="en-US"/>
              </w:rPr>
              <w:t>galima vartoti kartu su rilpivirinu nekeičiant dozės.</w:t>
            </w:r>
          </w:p>
        </w:tc>
      </w:tr>
      <w:tr w:rsidR="009F5848" w:rsidRPr="00C75EC3" w14:paraId="338ECEA2" w14:textId="77777777" w:rsidTr="00C75EC3">
        <w:tc>
          <w:tcPr>
            <w:tcW w:w="9288" w:type="dxa"/>
            <w:gridSpan w:val="4"/>
            <w:shd w:val="clear" w:color="auto" w:fill="auto"/>
          </w:tcPr>
          <w:p w14:paraId="4F02A55D" w14:textId="77777777" w:rsidR="009F5848" w:rsidRPr="00C75EC3" w:rsidRDefault="009F5848" w:rsidP="00C75EC3">
            <w:pPr>
              <w:autoSpaceDE w:val="0"/>
              <w:autoSpaceDN w:val="0"/>
              <w:adjustRightInd w:val="0"/>
              <w:rPr>
                <w:rFonts w:eastAsia="TimesNewRoman"/>
                <w:sz w:val="20"/>
                <w:lang w:val="lt-LT" w:eastAsia="en-US"/>
              </w:rPr>
            </w:pPr>
            <w:r w:rsidRPr="00C75EC3">
              <w:rPr>
                <w:b/>
                <w:bCs/>
                <w:i/>
                <w:iCs/>
                <w:sz w:val="20"/>
                <w:lang w:val="lt-LT" w:eastAsia="en-US"/>
              </w:rPr>
              <w:t>Proteazės inhibitoriai (PI), vartojami be papildomos mažos ritonaviro dozės</w:t>
            </w:r>
            <w:r w:rsidRPr="00C75EC3">
              <w:rPr>
                <w:rFonts w:eastAsia="TimesNewRoman"/>
                <w:sz w:val="20"/>
                <w:vertAlign w:val="superscript"/>
                <w:lang w:val="lt-LT" w:eastAsia="en-US"/>
              </w:rPr>
              <w:t>†</w:t>
            </w:r>
          </w:p>
        </w:tc>
      </w:tr>
      <w:tr w:rsidR="009F5848" w:rsidRPr="00C75EC3" w14:paraId="32748711" w14:textId="77777777" w:rsidTr="00C75EC3">
        <w:tc>
          <w:tcPr>
            <w:tcW w:w="2817" w:type="dxa"/>
            <w:shd w:val="clear" w:color="auto" w:fill="auto"/>
          </w:tcPr>
          <w:p w14:paraId="0899DB45"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lastRenderedPageBreak/>
              <w:t>Atazanaviras 300 mg vieną kartą per parą</w:t>
            </w:r>
          </w:p>
        </w:tc>
        <w:tc>
          <w:tcPr>
            <w:tcW w:w="3448" w:type="dxa"/>
            <w:gridSpan w:val="2"/>
            <w:shd w:val="clear" w:color="auto" w:fill="auto"/>
          </w:tcPr>
          <w:p w14:paraId="117DA54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atazanaviro AUC ↔</w:t>
            </w:r>
          </w:p>
          <w:p w14:paraId="1C3B86DE"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atazanaviro C</w:t>
            </w:r>
            <w:r w:rsidRPr="00C75EC3">
              <w:rPr>
                <w:rFonts w:eastAsia="TimesNewRoman"/>
                <w:sz w:val="20"/>
                <w:vertAlign w:val="subscript"/>
                <w:lang w:val="lt-LT" w:eastAsia="en-US"/>
              </w:rPr>
              <w:t>min</w:t>
            </w:r>
            <w:r w:rsidRPr="00C75EC3">
              <w:rPr>
                <w:rFonts w:eastAsia="TimesNewRoman"/>
                <w:sz w:val="20"/>
                <w:lang w:val="lt-LT" w:eastAsia="en-US"/>
              </w:rPr>
              <w:t xml:space="preserve"> ↑ 52 %</w:t>
            </w:r>
          </w:p>
          <w:p w14:paraId="32B1AAD9"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atazanaviro C</w:t>
            </w:r>
            <w:r w:rsidRPr="00C75EC3">
              <w:rPr>
                <w:rFonts w:eastAsia="TimesNewRoman"/>
                <w:sz w:val="20"/>
                <w:vertAlign w:val="subscript"/>
                <w:lang w:val="lt-LT" w:eastAsia="en-US"/>
              </w:rPr>
              <w:t>max</w:t>
            </w:r>
            <w:r w:rsidRPr="00C75EC3">
              <w:rPr>
                <w:rFonts w:eastAsia="TimesNewRoman"/>
                <w:sz w:val="20"/>
                <w:lang w:val="lt-LT" w:eastAsia="en-US"/>
              </w:rPr>
              <w:t xml:space="preserve"> ↓ 11 %</w:t>
            </w:r>
          </w:p>
          <w:p w14:paraId="64F40326"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darunaviro AUC ↔</w:t>
            </w:r>
          </w:p>
          <w:p w14:paraId="0029AB1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darunaviro C</w:t>
            </w:r>
            <w:r w:rsidRPr="00C75EC3">
              <w:rPr>
                <w:rFonts w:eastAsia="TimesNewRoman"/>
                <w:sz w:val="20"/>
                <w:vertAlign w:val="subscript"/>
                <w:lang w:val="lt-LT" w:eastAsia="en-US"/>
              </w:rPr>
              <w:t xml:space="preserve">min </w:t>
            </w:r>
            <w:r w:rsidRPr="00C75EC3">
              <w:rPr>
                <w:rFonts w:eastAsia="TimesNewRoman"/>
                <w:sz w:val="20"/>
                <w:lang w:val="lt-LT" w:eastAsia="en-US"/>
              </w:rPr>
              <w:t>↔</w:t>
            </w:r>
          </w:p>
          <w:p w14:paraId="59963700"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darunaviro C</w:t>
            </w:r>
            <w:r w:rsidRPr="00C75EC3">
              <w:rPr>
                <w:rFonts w:eastAsia="TimesNewRoman"/>
                <w:sz w:val="20"/>
                <w:vertAlign w:val="subscript"/>
                <w:lang w:val="lt-LT" w:eastAsia="en-US"/>
              </w:rPr>
              <w:t>max</w:t>
            </w:r>
            <w:r w:rsidRPr="00C75EC3">
              <w:rPr>
                <w:rFonts w:eastAsia="TimesNewRoman"/>
                <w:sz w:val="20"/>
                <w:lang w:val="lt-LT" w:eastAsia="en-US"/>
              </w:rPr>
              <w:t xml:space="preserve"> ↔</w:t>
            </w:r>
          </w:p>
          <w:p w14:paraId="72C8CF11"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Atazanaviras: 300/100 mg atazanaviro/ritonaviro vieną kartą per parą, palyginti su 300 mg atazanaviro vieną kartą per parą kartu su 400/100 mg darunaviro/ritonaviro du kartus per parą.</w:t>
            </w:r>
          </w:p>
          <w:p w14:paraId="1CBCC620"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Darunaviras: 400/100 mg darunaviro/ritonaviro du kartus per parą, palyginti su 400/100 mg darunaviro/ritonaviro du kartus per parą kartu su 300 mg atazanaviro vieną kartą per parą.</w:t>
            </w:r>
          </w:p>
        </w:tc>
        <w:tc>
          <w:tcPr>
            <w:tcW w:w="3023" w:type="dxa"/>
            <w:shd w:val="clear" w:color="auto" w:fill="auto"/>
          </w:tcPr>
          <w:p w14:paraId="11097259"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Darunavirą, vartojamą kartu su maža ritonaviro doze, galima vartoti kartu s</w:t>
            </w:r>
            <w:r w:rsidR="00C177D5" w:rsidRPr="00C75EC3">
              <w:rPr>
                <w:rFonts w:eastAsia="TimesNewRoman"/>
                <w:sz w:val="20"/>
                <w:lang w:val="lt-LT" w:eastAsia="en-US"/>
              </w:rPr>
              <w:t>u atazanaviru nekeičiant dozės</w:t>
            </w:r>
            <w:r w:rsidRPr="00C75EC3">
              <w:rPr>
                <w:rFonts w:eastAsia="TimesNewRoman"/>
                <w:sz w:val="20"/>
                <w:lang w:val="lt-LT" w:eastAsia="en-US"/>
              </w:rPr>
              <w:t>.</w:t>
            </w:r>
          </w:p>
        </w:tc>
      </w:tr>
      <w:tr w:rsidR="009F5848" w:rsidRPr="00C75EC3" w14:paraId="6207DFCE" w14:textId="77777777" w:rsidTr="00C75EC3">
        <w:tc>
          <w:tcPr>
            <w:tcW w:w="2817" w:type="dxa"/>
            <w:shd w:val="clear" w:color="auto" w:fill="auto"/>
          </w:tcPr>
          <w:p w14:paraId="3B6E5CA3"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Indinaviras 800 mg du kartus per parą</w:t>
            </w:r>
          </w:p>
        </w:tc>
        <w:tc>
          <w:tcPr>
            <w:tcW w:w="3448" w:type="dxa"/>
            <w:gridSpan w:val="2"/>
            <w:shd w:val="clear" w:color="auto" w:fill="auto"/>
          </w:tcPr>
          <w:p w14:paraId="13E49B4E"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indinaviro AUC ↑ 23 %</w:t>
            </w:r>
          </w:p>
          <w:p w14:paraId="4426BAC1"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indinaviro C</w:t>
            </w:r>
            <w:r w:rsidRPr="00C75EC3">
              <w:rPr>
                <w:rFonts w:eastAsia="TimesNewRoman"/>
                <w:sz w:val="20"/>
                <w:vertAlign w:val="subscript"/>
                <w:lang w:val="lt-LT" w:eastAsia="en-US"/>
              </w:rPr>
              <w:t>min</w:t>
            </w:r>
            <w:r w:rsidRPr="00C75EC3">
              <w:rPr>
                <w:rFonts w:eastAsia="TimesNewRoman"/>
                <w:sz w:val="20"/>
                <w:lang w:val="lt-LT" w:eastAsia="en-US"/>
              </w:rPr>
              <w:t xml:space="preserve"> ↑ 125 %</w:t>
            </w:r>
          </w:p>
          <w:p w14:paraId="1CD75987"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indinaviro C</w:t>
            </w:r>
            <w:r w:rsidRPr="00C75EC3">
              <w:rPr>
                <w:rFonts w:eastAsia="TimesNewRoman"/>
                <w:sz w:val="20"/>
                <w:vertAlign w:val="subscript"/>
                <w:lang w:val="lt-LT" w:eastAsia="en-US"/>
              </w:rPr>
              <w:t>max</w:t>
            </w:r>
            <w:r w:rsidRPr="00C75EC3">
              <w:rPr>
                <w:rFonts w:eastAsia="TimesNewRoman"/>
                <w:sz w:val="20"/>
                <w:lang w:val="lt-LT" w:eastAsia="en-US"/>
              </w:rPr>
              <w:t xml:space="preserve"> ↔</w:t>
            </w:r>
          </w:p>
          <w:p w14:paraId="0C925A9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darunaviro AUC ↑ 24 %</w:t>
            </w:r>
          </w:p>
          <w:p w14:paraId="65AA6F27"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darunaviro C</w:t>
            </w:r>
            <w:r w:rsidRPr="00C75EC3">
              <w:rPr>
                <w:rFonts w:eastAsia="TimesNewRoman"/>
                <w:sz w:val="20"/>
                <w:vertAlign w:val="subscript"/>
                <w:lang w:val="lt-LT" w:eastAsia="en-US"/>
              </w:rPr>
              <w:t>min</w:t>
            </w:r>
            <w:r w:rsidRPr="00C75EC3">
              <w:rPr>
                <w:rFonts w:eastAsia="TimesNewRoman"/>
                <w:sz w:val="20"/>
                <w:lang w:val="lt-LT" w:eastAsia="en-US"/>
              </w:rPr>
              <w:t xml:space="preserve"> ↑ 44 %</w:t>
            </w:r>
          </w:p>
          <w:p w14:paraId="5677279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darunaviro C</w:t>
            </w:r>
            <w:r w:rsidRPr="00C75EC3">
              <w:rPr>
                <w:rFonts w:eastAsia="TimesNewRoman"/>
                <w:sz w:val="20"/>
                <w:vertAlign w:val="subscript"/>
                <w:lang w:val="lt-LT" w:eastAsia="en-US"/>
              </w:rPr>
              <w:t>max</w:t>
            </w:r>
            <w:r w:rsidRPr="00C75EC3">
              <w:rPr>
                <w:rFonts w:eastAsia="TimesNewRoman"/>
                <w:sz w:val="20"/>
                <w:lang w:val="lt-LT" w:eastAsia="en-US"/>
              </w:rPr>
              <w:t xml:space="preserve"> ↑ 11 %</w:t>
            </w:r>
          </w:p>
          <w:p w14:paraId="3437F3A7"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Indinaviras: 800/100 mg indinaviro/ritonaviro du kartus per parą, palyginti su 800/400/100 mg indinaviro/darunaviro/ritonaviro du kartus per parą.</w:t>
            </w:r>
          </w:p>
          <w:p w14:paraId="618B0EEE"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Darunaviras: 400/100 mg darunaviro/ritonaviro du kartus per parą, palyginti su 400/100 mg darunaviro/ritonaviro du kartus per parą kartu su 800 mg indinaviro du kartus per parą.</w:t>
            </w:r>
          </w:p>
        </w:tc>
        <w:tc>
          <w:tcPr>
            <w:tcW w:w="3023" w:type="dxa"/>
            <w:shd w:val="clear" w:color="auto" w:fill="auto"/>
          </w:tcPr>
          <w:p w14:paraId="2EC8A25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Vartojant kartu su darunaviru,</w:t>
            </w:r>
            <w:r w:rsidR="00C24953" w:rsidRPr="00C75EC3">
              <w:rPr>
                <w:rFonts w:eastAsia="TimesNewRoman"/>
                <w:sz w:val="20"/>
                <w:lang w:val="lt-LT" w:eastAsia="en-US"/>
              </w:rPr>
              <w:t xml:space="preserve"> </w:t>
            </w:r>
            <w:r w:rsidRPr="00C75EC3">
              <w:rPr>
                <w:rFonts w:eastAsia="TimesNewRoman"/>
                <w:sz w:val="20"/>
                <w:lang w:val="lt-LT" w:eastAsia="en-US"/>
              </w:rPr>
              <w:t>vartojamu kartu su maža ritonaviro doze, netoleravimo atveju gali prireikti vietoj 800 mg indinaviro dozės du kartus per parą vartot</w:t>
            </w:r>
            <w:r w:rsidR="00C24953" w:rsidRPr="00C75EC3">
              <w:rPr>
                <w:rFonts w:eastAsia="TimesNewRoman"/>
                <w:sz w:val="20"/>
                <w:lang w:val="lt-LT" w:eastAsia="en-US"/>
              </w:rPr>
              <w:t>i po 600 mg du kartus per parą.</w:t>
            </w:r>
          </w:p>
        </w:tc>
      </w:tr>
      <w:tr w:rsidR="009F5848" w:rsidRPr="00C75EC3" w14:paraId="607682B4" w14:textId="77777777" w:rsidTr="00C75EC3">
        <w:tc>
          <w:tcPr>
            <w:tcW w:w="2817" w:type="dxa"/>
            <w:shd w:val="clear" w:color="auto" w:fill="auto"/>
          </w:tcPr>
          <w:p w14:paraId="6321CEA1"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Sakvinaviras 1 000 mg du kartus per parą</w:t>
            </w:r>
          </w:p>
        </w:tc>
        <w:tc>
          <w:tcPr>
            <w:tcW w:w="3448" w:type="dxa"/>
            <w:gridSpan w:val="2"/>
            <w:shd w:val="clear" w:color="auto" w:fill="auto"/>
          </w:tcPr>
          <w:p w14:paraId="2300ECC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darunaviro AUC ↓ 26 %</w:t>
            </w:r>
          </w:p>
          <w:p w14:paraId="7589470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darunaviro C</w:t>
            </w:r>
            <w:r w:rsidRPr="00C75EC3">
              <w:rPr>
                <w:rFonts w:eastAsia="TimesNewRoman"/>
                <w:sz w:val="20"/>
                <w:vertAlign w:val="subscript"/>
                <w:lang w:val="lt-LT" w:eastAsia="en-US"/>
              </w:rPr>
              <w:t>min</w:t>
            </w:r>
            <w:r w:rsidRPr="00C75EC3">
              <w:rPr>
                <w:rFonts w:eastAsia="TimesNewRoman"/>
                <w:sz w:val="20"/>
                <w:lang w:val="lt-LT" w:eastAsia="en-US"/>
              </w:rPr>
              <w:t xml:space="preserve"> ↓ 42 %</w:t>
            </w:r>
          </w:p>
          <w:p w14:paraId="2E775148"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darunaviro C</w:t>
            </w:r>
            <w:r w:rsidRPr="00C75EC3">
              <w:rPr>
                <w:rFonts w:eastAsia="TimesNewRoman"/>
                <w:sz w:val="20"/>
                <w:vertAlign w:val="subscript"/>
                <w:lang w:val="lt-LT" w:eastAsia="en-US"/>
              </w:rPr>
              <w:t>max</w:t>
            </w:r>
            <w:r w:rsidRPr="00C75EC3">
              <w:rPr>
                <w:rFonts w:eastAsia="TimesNewRoman"/>
                <w:sz w:val="20"/>
                <w:lang w:val="lt-LT" w:eastAsia="en-US"/>
              </w:rPr>
              <w:t xml:space="preserve"> ↓ 17 %</w:t>
            </w:r>
          </w:p>
          <w:p w14:paraId="3275FA5E"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sakvinaviro AUC ↓ 6 %</w:t>
            </w:r>
          </w:p>
          <w:p w14:paraId="7312BF5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sakvinaviro C</w:t>
            </w:r>
            <w:r w:rsidRPr="00C75EC3">
              <w:rPr>
                <w:rFonts w:eastAsia="TimesNewRoman"/>
                <w:sz w:val="20"/>
                <w:vertAlign w:val="subscript"/>
                <w:lang w:val="lt-LT" w:eastAsia="en-US"/>
              </w:rPr>
              <w:t>min</w:t>
            </w:r>
            <w:r w:rsidRPr="00C75EC3">
              <w:rPr>
                <w:rFonts w:eastAsia="TimesNewRoman"/>
                <w:sz w:val="20"/>
                <w:lang w:val="lt-LT" w:eastAsia="en-US"/>
              </w:rPr>
              <w:t xml:space="preserve"> ↓ 18 %</w:t>
            </w:r>
          </w:p>
          <w:p w14:paraId="31443D1C"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sakvinaviro C</w:t>
            </w:r>
            <w:r w:rsidRPr="00C75EC3">
              <w:rPr>
                <w:rFonts w:eastAsia="TimesNewRoman"/>
                <w:sz w:val="20"/>
                <w:vertAlign w:val="subscript"/>
                <w:lang w:val="lt-LT" w:eastAsia="en-US"/>
              </w:rPr>
              <w:t>max</w:t>
            </w:r>
            <w:r w:rsidRPr="00C75EC3">
              <w:rPr>
                <w:rFonts w:eastAsia="TimesNewRoman"/>
                <w:sz w:val="20"/>
                <w:lang w:val="lt-LT" w:eastAsia="en-US"/>
              </w:rPr>
              <w:t xml:space="preserve"> ↓ 6 %</w:t>
            </w:r>
          </w:p>
          <w:p w14:paraId="21E92B6C"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Sakvinaviras: 1 000/100 mg sakvinaviro/ritonaviro du kartus per parą, palyginti su 1000/400/100 mg sakvinaviro/darunaviro/ritonaviro du kartus per parą.</w:t>
            </w:r>
          </w:p>
          <w:p w14:paraId="0933965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Darunaviras: 400/100 mg darunaviro/ritonaviro du kartus per parą, palyginti su 400/100 mg darunaviro/ritonaviro kartu su 1000 mg sakvinaviro du kartus per parą.</w:t>
            </w:r>
          </w:p>
        </w:tc>
        <w:tc>
          <w:tcPr>
            <w:tcW w:w="3023" w:type="dxa"/>
            <w:shd w:val="clear" w:color="auto" w:fill="auto"/>
          </w:tcPr>
          <w:p w14:paraId="1B1A713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vartojamo kartu su maža ritonaviro doze, nerekomenduojam</w:t>
            </w:r>
            <w:r w:rsidR="00C24953" w:rsidRPr="00C75EC3">
              <w:rPr>
                <w:rFonts w:eastAsia="TimesNewRoman"/>
                <w:sz w:val="20"/>
                <w:lang w:val="lt-LT" w:eastAsia="en-US"/>
              </w:rPr>
              <w:t>a vartoti kartu su sakvinaviru.</w:t>
            </w:r>
          </w:p>
        </w:tc>
      </w:tr>
      <w:tr w:rsidR="009F5848" w:rsidRPr="00C75EC3" w14:paraId="1D18C8C3" w14:textId="77777777" w:rsidTr="00C75EC3">
        <w:tc>
          <w:tcPr>
            <w:tcW w:w="9288" w:type="dxa"/>
            <w:gridSpan w:val="4"/>
            <w:shd w:val="clear" w:color="auto" w:fill="auto"/>
          </w:tcPr>
          <w:p w14:paraId="3D811BEB" w14:textId="77777777" w:rsidR="009F5848" w:rsidRPr="00C75EC3" w:rsidRDefault="009F5848" w:rsidP="00C75EC3">
            <w:pPr>
              <w:autoSpaceDE w:val="0"/>
              <w:autoSpaceDN w:val="0"/>
              <w:adjustRightInd w:val="0"/>
              <w:rPr>
                <w:rFonts w:eastAsia="TimesNewRoman"/>
                <w:sz w:val="20"/>
                <w:lang w:val="lt-LT" w:eastAsia="en-US"/>
              </w:rPr>
            </w:pPr>
            <w:r w:rsidRPr="00C75EC3">
              <w:rPr>
                <w:b/>
                <w:bCs/>
                <w:i/>
                <w:iCs/>
                <w:sz w:val="20"/>
                <w:lang w:val="lt-LT" w:eastAsia="en-US"/>
              </w:rPr>
              <w:t>Proteazės inhibitoriai (PI), vartojami kartu su maža ritonaviro doze</w:t>
            </w:r>
            <w:r w:rsidRPr="00C75EC3">
              <w:rPr>
                <w:rFonts w:eastAsia="TimesNewRoman,Bold"/>
                <w:b/>
                <w:bCs/>
                <w:sz w:val="20"/>
                <w:lang w:val="lt-LT" w:eastAsia="en-US"/>
              </w:rPr>
              <w:t>†</w:t>
            </w:r>
          </w:p>
        </w:tc>
      </w:tr>
      <w:tr w:rsidR="009F5848" w:rsidRPr="00C75EC3" w14:paraId="5E38A808" w14:textId="77777777" w:rsidTr="00C75EC3">
        <w:tc>
          <w:tcPr>
            <w:tcW w:w="2817" w:type="dxa"/>
            <w:shd w:val="clear" w:color="auto" w:fill="auto"/>
          </w:tcPr>
          <w:p w14:paraId="5ADA91C4"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Lopinaviras/ritonaviras 400/100 mg du kartus per parą</w:t>
            </w:r>
          </w:p>
          <w:p w14:paraId="0E16FD80" w14:textId="77777777" w:rsidR="009F5848" w:rsidRPr="00C75EC3" w:rsidRDefault="009F5848" w:rsidP="00C75EC3">
            <w:pPr>
              <w:autoSpaceDE w:val="0"/>
              <w:autoSpaceDN w:val="0"/>
              <w:adjustRightInd w:val="0"/>
              <w:rPr>
                <w:rFonts w:eastAsia="TimesNewRoman"/>
                <w:sz w:val="20"/>
                <w:lang w:val="lt-LT" w:eastAsia="en-US"/>
              </w:rPr>
            </w:pPr>
          </w:p>
          <w:p w14:paraId="2307BD31" w14:textId="77777777" w:rsidR="009F5848" w:rsidRPr="00C75EC3" w:rsidRDefault="009F5848" w:rsidP="00C75EC3">
            <w:pPr>
              <w:autoSpaceDE w:val="0"/>
              <w:autoSpaceDN w:val="0"/>
              <w:adjustRightInd w:val="0"/>
              <w:rPr>
                <w:rFonts w:eastAsia="TimesNewRoman"/>
                <w:sz w:val="20"/>
                <w:lang w:val="lt-LT" w:eastAsia="en-US"/>
              </w:rPr>
            </w:pPr>
          </w:p>
          <w:p w14:paraId="7AF1C249" w14:textId="77777777" w:rsidR="009F5848" w:rsidRPr="00C75EC3" w:rsidRDefault="009F5848" w:rsidP="00C75EC3">
            <w:pPr>
              <w:autoSpaceDE w:val="0"/>
              <w:autoSpaceDN w:val="0"/>
              <w:adjustRightInd w:val="0"/>
              <w:rPr>
                <w:rFonts w:eastAsia="TimesNewRoman"/>
                <w:sz w:val="20"/>
                <w:lang w:val="lt-LT" w:eastAsia="en-US"/>
              </w:rPr>
            </w:pPr>
          </w:p>
          <w:p w14:paraId="27B76148"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lastRenderedPageBreak/>
              <w:t>Lopinaviras/ritonaviras 533/133,3 mg du kartus per parą</w:t>
            </w:r>
          </w:p>
        </w:tc>
        <w:tc>
          <w:tcPr>
            <w:tcW w:w="3448" w:type="dxa"/>
            <w:gridSpan w:val="2"/>
            <w:shd w:val="clear" w:color="auto" w:fill="auto"/>
          </w:tcPr>
          <w:p w14:paraId="411BDD40"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lastRenderedPageBreak/>
              <w:t>lopinaviro AUC ↑ 9 %</w:t>
            </w:r>
          </w:p>
          <w:p w14:paraId="6503AEC6"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lopinaviro C</w:t>
            </w:r>
            <w:r w:rsidRPr="00C75EC3">
              <w:rPr>
                <w:rFonts w:eastAsia="TimesNewRoman"/>
                <w:sz w:val="20"/>
                <w:vertAlign w:val="subscript"/>
                <w:lang w:val="lt-LT" w:eastAsia="en-US"/>
              </w:rPr>
              <w:t>min</w:t>
            </w:r>
            <w:r w:rsidRPr="00C75EC3">
              <w:rPr>
                <w:rFonts w:eastAsia="TimesNewRoman"/>
                <w:sz w:val="20"/>
                <w:lang w:val="lt-LT" w:eastAsia="en-US"/>
              </w:rPr>
              <w:t xml:space="preserve"> ↑ 23 %</w:t>
            </w:r>
          </w:p>
          <w:p w14:paraId="5954C98E"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lopinaviro C</w:t>
            </w:r>
            <w:r w:rsidRPr="00C75EC3">
              <w:rPr>
                <w:rFonts w:eastAsia="TimesNewRoman"/>
                <w:sz w:val="20"/>
                <w:vertAlign w:val="subscript"/>
                <w:lang w:val="lt-LT" w:eastAsia="en-US"/>
              </w:rPr>
              <w:t>max</w:t>
            </w:r>
            <w:r w:rsidRPr="00C75EC3">
              <w:rPr>
                <w:rFonts w:eastAsia="TimesNewRoman"/>
                <w:sz w:val="20"/>
                <w:lang w:val="lt-LT" w:eastAsia="en-US"/>
              </w:rPr>
              <w:t xml:space="preserve"> ↓ 2 %</w:t>
            </w:r>
          </w:p>
          <w:p w14:paraId="24C52E7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AUC ↓ 38 %‡</w:t>
            </w:r>
          </w:p>
          <w:p w14:paraId="3B93876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C</w:t>
            </w:r>
            <w:r w:rsidRPr="00C75EC3">
              <w:rPr>
                <w:rFonts w:eastAsia="TimesNewRoman"/>
                <w:sz w:val="20"/>
                <w:vertAlign w:val="subscript"/>
                <w:lang w:val="lt-LT" w:eastAsia="en-US"/>
              </w:rPr>
              <w:t xml:space="preserve">min </w:t>
            </w:r>
            <w:r w:rsidRPr="00C75EC3">
              <w:rPr>
                <w:rFonts w:eastAsia="TimesNewRoman"/>
                <w:sz w:val="20"/>
                <w:lang w:val="lt-LT" w:eastAsia="en-US"/>
              </w:rPr>
              <w:t>↓ 51 %‡</w:t>
            </w:r>
          </w:p>
          <w:p w14:paraId="25BF73C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C</w:t>
            </w:r>
            <w:r w:rsidRPr="00C75EC3">
              <w:rPr>
                <w:rFonts w:eastAsia="TimesNewRoman"/>
                <w:sz w:val="20"/>
                <w:vertAlign w:val="subscript"/>
                <w:lang w:val="lt-LT" w:eastAsia="en-US"/>
              </w:rPr>
              <w:t>max</w:t>
            </w:r>
            <w:r w:rsidRPr="00C75EC3">
              <w:rPr>
                <w:rFonts w:eastAsia="TimesNewRoman"/>
                <w:sz w:val="20"/>
                <w:lang w:val="lt-LT" w:eastAsia="en-US"/>
              </w:rPr>
              <w:t xml:space="preserve"> ↓ 21 %‡</w:t>
            </w:r>
          </w:p>
          <w:p w14:paraId="3CC8A96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lastRenderedPageBreak/>
              <w:t>lopinaviro AUC ↔</w:t>
            </w:r>
          </w:p>
          <w:p w14:paraId="79188D2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lopinaviro C</w:t>
            </w:r>
            <w:r w:rsidRPr="00C75EC3">
              <w:rPr>
                <w:rFonts w:eastAsia="TimesNewRoman"/>
                <w:sz w:val="20"/>
                <w:vertAlign w:val="subscript"/>
                <w:lang w:val="lt-LT" w:eastAsia="en-US"/>
              </w:rPr>
              <w:t xml:space="preserve">min </w:t>
            </w:r>
            <w:r w:rsidRPr="00C75EC3">
              <w:rPr>
                <w:rFonts w:eastAsia="TimesNewRoman"/>
                <w:sz w:val="20"/>
                <w:lang w:val="lt-LT" w:eastAsia="en-US"/>
              </w:rPr>
              <w:t>↑ 13 %</w:t>
            </w:r>
          </w:p>
          <w:p w14:paraId="3DEC8AE8"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lopinaviro C</w:t>
            </w:r>
            <w:r w:rsidRPr="00C75EC3">
              <w:rPr>
                <w:rFonts w:eastAsia="TimesNewRoman"/>
                <w:sz w:val="20"/>
                <w:vertAlign w:val="subscript"/>
                <w:lang w:val="lt-LT" w:eastAsia="en-US"/>
              </w:rPr>
              <w:t>max</w:t>
            </w:r>
            <w:r w:rsidRPr="00C75EC3">
              <w:rPr>
                <w:rFonts w:eastAsia="TimesNewRoman"/>
                <w:sz w:val="20"/>
                <w:lang w:val="lt-LT" w:eastAsia="en-US"/>
              </w:rPr>
              <w:t xml:space="preserve"> ↑ 11 %</w:t>
            </w:r>
          </w:p>
          <w:p w14:paraId="3699A97E"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AUC ↓ 41 %</w:t>
            </w:r>
          </w:p>
          <w:p w14:paraId="40081DFE"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C</w:t>
            </w:r>
            <w:r w:rsidRPr="00C75EC3">
              <w:rPr>
                <w:rFonts w:eastAsia="TimesNewRoman"/>
                <w:sz w:val="20"/>
                <w:vertAlign w:val="subscript"/>
                <w:lang w:val="lt-LT" w:eastAsia="en-US"/>
              </w:rPr>
              <w:t>min</w:t>
            </w:r>
            <w:r w:rsidRPr="00C75EC3">
              <w:rPr>
                <w:rFonts w:eastAsia="TimesNewRoman"/>
                <w:sz w:val="20"/>
                <w:lang w:val="lt-LT" w:eastAsia="en-US"/>
              </w:rPr>
              <w:t xml:space="preserve"> ↓ 55 %</w:t>
            </w:r>
          </w:p>
          <w:p w14:paraId="12735D3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C</w:t>
            </w:r>
            <w:r w:rsidRPr="00C75EC3">
              <w:rPr>
                <w:rFonts w:eastAsia="TimesNewRoman"/>
                <w:sz w:val="20"/>
                <w:vertAlign w:val="subscript"/>
                <w:lang w:val="lt-LT" w:eastAsia="en-US"/>
              </w:rPr>
              <w:t>max</w:t>
            </w:r>
            <w:r w:rsidRPr="00C75EC3">
              <w:rPr>
                <w:rFonts w:eastAsia="TimesNewRoman"/>
                <w:sz w:val="20"/>
                <w:lang w:val="lt-LT" w:eastAsia="en-US"/>
              </w:rPr>
              <w:t xml:space="preserve"> ↓ 21 %</w:t>
            </w:r>
          </w:p>
          <w:p w14:paraId="6ECC96F8"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 xml:space="preserve"> remiantis ne dozės normalizuotomis reikšmėmis</w:t>
            </w:r>
          </w:p>
        </w:tc>
        <w:tc>
          <w:tcPr>
            <w:tcW w:w="3023" w:type="dxa"/>
            <w:shd w:val="clear" w:color="auto" w:fill="auto"/>
          </w:tcPr>
          <w:p w14:paraId="39C88F9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lastRenderedPageBreak/>
              <w:t xml:space="preserve">Dėl darunaviro ekspozicijos (AUC) sumažėjimo 40 %, tinkamos kartu vartojamų vaistinių preparatų dozės nenustatytos. Taigi darunaviro </w:t>
            </w:r>
            <w:r w:rsidR="00E104D4" w:rsidRPr="00C75EC3">
              <w:rPr>
                <w:rFonts w:eastAsia="TimesNewRoman"/>
                <w:sz w:val="20"/>
                <w:lang w:val="lt-LT" w:eastAsia="en-US"/>
              </w:rPr>
              <w:t xml:space="preserve">su maža ritonaviro doze </w:t>
            </w:r>
            <w:r w:rsidRPr="00C75EC3">
              <w:rPr>
                <w:rFonts w:eastAsia="TimesNewRoman"/>
                <w:sz w:val="20"/>
                <w:lang w:val="lt-LT" w:eastAsia="en-US"/>
              </w:rPr>
              <w:t xml:space="preserve">vartojimas </w:t>
            </w:r>
            <w:r w:rsidRPr="00C75EC3">
              <w:rPr>
                <w:rFonts w:eastAsia="TimesNewRoman"/>
                <w:sz w:val="20"/>
                <w:lang w:val="lt-LT" w:eastAsia="en-US"/>
              </w:rPr>
              <w:lastRenderedPageBreak/>
              <w:t>kartu su lopinaviru/ritonaviru kontraindikuotinas (žr. 4.3 skyrių).</w:t>
            </w:r>
          </w:p>
        </w:tc>
      </w:tr>
      <w:tr w:rsidR="009F5848" w:rsidRPr="00C75EC3" w14:paraId="2F1EEC10" w14:textId="77777777" w:rsidTr="00C75EC3">
        <w:tc>
          <w:tcPr>
            <w:tcW w:w="9288" w:type="dxa"/>
            <w:gridSpan w:val="4"/>
            <w:shd w:val="clear" w:color="auto" w:fill="auto"/>
          </w:tcPr>
          <w:p w14:paraId="3E932C7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Bold"/>
                <w:b/>
                <w:bCs/>
                <w:sz w:val="20"/>
                <w:lang w:val="lt-LT" w:eastAsia="en-US"/>
              </w:rPr>
              <w:lastRenderedPageBreak/>
              <w:t>CCR5 ANTAGONISTAI</w:t>
            </w:r>
          </w:p>
        </w:tc>
      </w:tr>
      <w:tr w:rsidR="009F5848" w:rsidRPr="00C75EC3" w14:paraId="52C1F059" w14:textId="77777777" w:rsidTr="00C75EC3">
        <w:tc>
          <w:tcPr>
            <w:tcW w:w="2817" w:type="dxa"/>
            <w:shd w:val="clear" w:color="auto" w:fill="auto"/>
          </w:tcPr>
          <w:p w14:paraId="5052F92E"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Maravirokas 150 mg du kartus per parą</w:t>
            </w:r>
          </w:p>
        </w:tc>
        <w:tc>
          <w:tcPr>
            <w:tcW w:w="3448" w:type="dxa"/>
            <w:gridSpan w:val="2"/>
            <w:shd w:val="clear" w:color="auto" w:fill="auto"/>
          </w:tcPr>
          <w:p w14:paraId="1A2E2B9C"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maraviroko AUC ↑ 305 %</w:t>
            </w:r>
          </w:p>
          <w:p w14:paraId="784BC79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maraviroko C</w:t>
            </w:r>
            <w:r w:rsidRPr="00C75EC3">
              <w:rPr>
                <w:rFonts w:eastAsia="TimesNewRoman"/>
                <w:sz w:val="20"/>
                <w:vertAlign w:val="subscript"/>
                <w:lang w:val="lt-LT" w:eastAsia="en-US"/>
              </w:rPr>
              <w:t>min</w:t>
            </w:r>
            <w:r w:rsidRPr="00C75EC3">
              <w:rPr>
                <w:rFonts w:eastAsia="TimesNewRoman"/>
                <w:sz w:val="20"/>
                <w:lang w:val="lt-LT" w:eastAsia="en-US"/>
              </w:rPr>
              <w:t xml:space="preserve"> NN</w:t>
            </w:r>
          </w:p>
          <w:p w14:paraId="0E35472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maraviroko C</w:t>
            </w:r>
            <w:r w:rsidRPr="00C75EC3">
              <w:rPr>
                <w:rFonts w:eastAsia="TimesNewRoman"/>
                <w:sz w:val="20"/>
                <w:vertAlign w:val="subscript"/>
                <w:lang w:val="lt-LT" w:eastAsia="en-US"/>
              </w:rPr>
              <w:t>max</w:t>
            </w:r>
            <w:r w:rsidRPr="00C75EC3">
              <w:rPr>
                <w:rFonts w:eastAsia="TimesNewRoman"/>
                <w:sz w:val="20"/>
                <w:lang w:val="lt-LT" w:eastAsia="en-US"/>
              </w:rPr>
              <w:t xml:space="preserve"> ↑ 129 %</w:t>
            </w:r>
          </w:p>
          <w:p w14:paraId="2CF82FF0"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ritonaviro koncentracijos atitiko ligos istorijos duomenis.</w:t>
            </w:r>
          </w:p>
        </w:tc>
        <w:tc>
          <w:tcPr>
            <w:tcW w:w="3023" w:type="dxa"/>
            <w:shd w:val="clear" w:color="auto" w:fill="auto"/>
          </w:tcPr>
          <w:p w14:paraId="4853D291"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Skiriant vartoti kartu su </w:t>
            </w:r>
            <w:r w:rsidR="00E104D4" w:rsidRPr="00C75EC3">
              <w:rPr>
                <w:rFonts w:eastAsia="TimesNewRoman"/>
                <w:sz w:val="20"/>
                <w:lang w:val="lt-LT" w:eastAsia="en-US"/>
              </w:rPr>
              <w:t>d</w:t>
            </w:r>
            <w:r w:rsidRPr="00C75EC3">
              <w:rPr>
                <w:rFonts w:eastAsia="TimesNewRoman"/>
                <w:sz w:val="20"/>
                <w:lang w:val="lt-LT" w:eastAsia="en-US"/>
              </w:rPr>
              <w:t>arunaviru</w:t>
            </w:r>
            <w:r w:rsidR="00E104D4" w:rsidRPr="00C75EC3">
              <w:rPr>
                <w:rFonts w:eastAsia="TimesNewRoman"/>
                <w:sz w:val="20"/>
                <w:lang w:val="lt-LT" w:eastAsia="en-US"/>
              </w:rPr>
              <w:t xml:space="preserve"> ir maža doze ritonaviro</w:t>
            </w:r>
            <w:r w:rsidRPr="00C75EC3">
              <w:rPr>
                <w:rFonts w:eastAsia="TimesNewRoman"/>
                <w:sz w:val="20"/>
                <w:lang w:val="lt-LT" w:eastAsia="en-US"/>
              </w:rPr>
              <w:t>, reikia vartoti 150 mg maraviroko dozę du kartus per parą.</w:t>
            </w:r>
          </w:p>
        </w:tc>
      </w:tr>
      <w:tr w:rsidR="009F5848" w:rsidRPr="00C75EC3" w14:paraId="0F46287F" w14:textId="77777777" w:rsidTr="00C75EC3">
        <w:tc>
          <w:tcPr>
            <w:tcW w:w="9288" w:type="dxa"/>
            <w:gridSpan w:val="4"/>
            <w:shd w:val="clear" w:color="auto" w:fill="auto"/>
          </w:tcPr>
          <w:p w14:paraId="752E60D8"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Bold"/>
                <w:b/>
                <w:bCs/>
                <w:sz w:val="20"/>
                <w:lang w:val="lt-LT" w:eastAsia="en-US"/>
              </w:rPr>
              <w:t>ANESTETIKAI</w:t>
            </w:r>
          </w:p>
        </w:tc>
      </w:tr>
      <w:tr w:rsidR="009F5848" w:rsidRPr="00C75EC3" w14:paraId="00B7F81B" w14:textId="77777777" w:rsidTr="00C75EC3">
        <w:tc>
          <w:tcPr>
            <w:tcW w:w="2817" w:type="dxa"/>
            <w:shd w:val="clear" w:color="auto" w:fill="auto"/>
          </w:tcPr>
          <w:p w14:paraId="118C4484"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Alfentanilis</w:t>
            </w:r>
          </w:p>
        </w:tc>
        <w:tc>
          <w:tcPr>
            <w:tcW w:w="3448" w:type="dxa"/>
            <w:gridSpan w:val="2"/>
            <w:shd w:val="clear" w:color="auto" w:fill="auto"/>
          </w:tcPr>
          <w:p w14:paraId="4D2D2E28"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Netirta. Alfentanilio metabolizmą sąlygoja CYP3A ir sustiprinta</w:t>
            </w:r>
            <w:r w:rsidR="006470F4" w:rsidRPr="00C75EC3">
              <w:rPr>
                <w:rFonts w:eastAsia="TimesNewRoman"/>
                <w:sz w:val="20"/>
                <w:lang w:val="lt-LT" w:eastAsia="en-US"/>
              </w:rPr>
              <w:t>s</w:t>
            </w:r>
            <w:r w:rsidRPr="00C75EC3">
              <w:rPr>
                <w:rFonts w:eastAsia="TimesNewRoman"/>
                <w:sz w:val="20"/>
                <w:lang w:val="lt-LT" w:eastAsia="en-US"/>
              </w:rPr>
              <w:t xml:space="preserve"> </w:t>
            </w:r>
            <w:r w:rsidR="006470F4" w:rsidRPr="00C75EC3">
              <w:rPr>
                <w:rFonts w:eastAsia="TimesNewRoman"/>
                <w:sz w:val="20"/>
                <w:lang w:val="lt-LT" w:eastAsia="en-US"/>
              </w:rPr>
              <w:t>darunaviras</w:t>
            </w:r>
            <w:r w:rsidRPr="00C75EC3">
              <w:rPr>
                <w:rFonts w:eastAsia="TimesNewRoman"/>
                <w:sz w:val="20"/>
                <w:lang w:val="lt-LT" w:eastAsia="en-US"/>
              </w:rPr>
              <w:t xml:space="preserve"> gali jį slopinti.</w:t>
            </w:r>
          </w:p>
        </w:tc>
        <w:tc>
          <w:tcPr>
            <w:tcW w:w="3023" w:type="dxa"/>
            <w:shd w:val="clear" w:color="auto" w:fill="auto"/>
          </w:tcPr>
          <w:p w14:paraId="595082D5" w14:textId="77777777" w:rsidR="009F5848" w:rsidRPr="00C75EC3" w:rsidRDefault="00E104D4"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Vartojant kartu su </w:t>
            </w:r>
            <w:r w:rsidR="009F5848" w:rsidRPr="00C75EC3">
              <w:rPr>
                <w:rFonts w:eastAsia="TimesNewRoman"/>
                <w:sz w:val="20"/>
                <w:lang w:val="lt-LT" w:eastAsia="en-US"/>
              </w:rPr>
              <w:t xml:space="preserve">darunaviru </w:t>
            </w:r>
            <w:r w:rsidRPr="00C75EC3">
              <w:rPr>
                <w:rFonts w:eastAsia="TimesNewRoman"/>
                <w:sz w:val="20"/>
                <w:lang w:val="lt-LT" w:eastAsia="en-US"/>
              </w:rPr>
              <w:t xml:space="preserve">ir maža ritonaviro doze </w:t>
            </w:r>
            <w:r w:rsidR="009F5848" w:rsidRPr="00C75EC3">
              <w:rPr>
                <w:rFonts w:eastAsia="TimesNewRoman"/>
                <w:sz w:val="20"/>
                <w:lang w:val="lt-LT" w:eastAsia="en-US"/>
              </w:rPr>
              <w:t>gali reikėti sumažinti alfentanilio dozę ir stebėti, ar nepasireiškia pailgėjusio arba uždelsto kvėpavimo slopinimo</w:t>
            </w:r>
            <w:r w:rsidR="00C24953" w:rsidRPr="00C75EC3">
              <w:rPr>
                <w:rFonts w:eastAsia="TimesNewRoman"/>
                <w:sz w:val="20"/>
                <w:lang w:val="lt-LT" w:eastAsia="en-US"/>
              </w:rPr>
              <w:t>.</w:t>
            </w:r>
          </w:p>
        </w:tc>
      </w:tr>
      <w:tr w:rsidR="009F5848" w:rsidRPr="00C75EC3" w14:paraId="545EFC3B" w14:textId="77777777" w:rsidTr="00C75EC3">
        <w:tc>
          <w:tcPr>
            <w:tcW w:w="9288" w:type="dxa"/>
            <w:gridSpan w:val="4"/>
            <w:shd w:val="clear" w:color="auto" w:fill="auto"/>
          </w:tcPr>
          <w:p w14:paraId="2CB5C54E"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Bold"/>
                <w:b/>
                <w:bCs/>
                <w:sz w:val="20"/>
                <w:lang w:val="lt-LT" w:eastAsia="en-US"/>
              </w:rPr>
              <w:t>ANTIANGININIAI / ANTIARITMINIAI VAISTINIAI PREPARATAI</w:t>
            </w:r>
          </w:p>
        </w:tc>
      </w:tr>
      <w:tr w:rsidR="009F5848" w:rsidRPr="00C75EC3" w14:paraId="16682F38" w14:textId="77777777" w:rsidTr="00C75EC3">
        <w:tc>
          <w:tcPr>
            <w:tcW w:w="2817" w:type="dxa"/>
            <w:shd w:val="clear" w:color="auto" w:fill="auto"/>
          </w:tcPr>
          <w:p w14:paraId="5AFF3FEE"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Dizopiramidas</w:t>
            </w:r>
          </w:p>
          <w:p w14:paraId="0D44838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Flekainidas</w:t>
            </w:r>
          </w:p>
          <w:p w14:paraId="187775E4"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Meksiletinas</w:t>
            </w:r>
          </w:p>
          <w:p w14:paraId="39F2721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Propafenonas</w:t>
            </w:r>
          </w:p>
          <w:p w14:paraId="2510848D" w14:textId="77777777" w:rsidR="009F5848" w:rsidRPr="00C75EC3" w:rsidRDefault="009F5848" w:rsidP="00C75EC3">
            <w:pPr>
              <w:autoSpaceDE w:val="0"/>
              <w:autoSpaceDN w:val="0"/>
              <w:adjustRightInd w:val="0"/>
              <w:rPr>
                <w:rFonts w:eastAsia="TimesNewRoman"/>
                <w:sz w:val="20"/>
                <w:lang w:val="lt-LT" w:eastAsia="en-US"/>
              </w:rPr>
            </w:pPr>
          </w:p>
          <w:p w14:paraId="05B9C9AD" w14:textId="77777777" w:rsidR="009F5848" w:rsidRPr="00C75EC3" w:rsidRDefault="009F5848" w:rsidP="00C75EC3">
            <w:pPr>
              <w:autoSpaceDE w:val="0"/>
              <w:autoSpaceDN w:val="0"/>
              <w:adjustRightInd w:val="0"/>
              <w:rPr>
                <w:rFonts w:eastAsia="TimesNewRoman"/>
                <w:sz w:val="20"/>
                <w:lang w:val="lt-LT" w:eastAsia="en-US"/>
              </w:rPr>
            </w:pPr>
          </w:p>
          <w:p w14:paraId="437AAB05"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Amjodaronas</w:t>
            </w:r>
          </w:p>
          <w:p w14:paraId="53FFA8F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Bepridilis</w:t>
            </w:r>
          </w:p>
          <w:p w14:paraId="120311BC"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Dronedaronas</w:t>
            </w:r>
          </w:p>
          <w:p w14:paraId="1ACC1DA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Lidokainas (sisteminio</w:t>
            </w:r>
          </w:p>
          <w:p w14:paraId="23999C81"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vartojimo)</w:t>
            </w:r>
          </w:p>
          <w:p w14:paraId="5715D3BC"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Chinidinas</w:t>
            </w:r>
          </w:p>
          <w:p w14:paraId="7B68A916"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Ranolazinas</w:t>
            </w:r>
          </w:p>
        </w:tc>
        <w:tc>
          <w:tcPr>
            <w:tcW w:w="3448" w:type="dxa"/>
            <w:gridSpan w:val="2"/>
            <w:shd w:val="clear" w:color="auto" w:fill="auto"/>
          </w:tcPr>
          <w:p w14:paraId="792BB05E"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Netirta. Tikėtina, kad sustiprintas darunaviras gali padidinti šių antiaritminių vaistinių preparatų koncentracijas plazmoje. (CYP3A slopinimas)</w:t>
            </w:r>
          </w:p>
        </w:tc>
        <w:tc>
          <w:tcPr>
            <w:tcW w:w="3023" w:type="dxa"/>
            <w:shd w:val="clear" w:color="auto" w:fill="auto"/>
          </w:tcPr>
          <w:p w14:paraId="1C19FE43"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Vartoti šiuos antiaritminius vaistinius preparatus reikia atsargiai ir rekomenduojama, jei įmanoma, stebėti terapines koncent</w:t>
            </w:r>
            <w:r w:rsidR="00E104D4" w:rsidRPr="00C75EC3">
              <w:rPr>
                <w:rFonts w:eastAsia="TimesNewRoman"/>
                <w:sz w:val="20"/>
                <w:lang w:val="lt-LT" w:eastAsia="en-US"/>
              </w:rPr>
              <w:t xml:space="preserve">racijas, kai skiriama kartu su </w:t>
            </w:r>
            <w:r w:rsidRPr="00C75EC3">
              <w:rPr>
                <w:rFonts w:eastAsia="TimesNewRoman"/>
                <w:sz w:val="20"/>
                <w:lang w:val="lt-LT" w:eastAsia="en-US"/>
              </w:rPr>
              <w:t>darunaviru</w:t>
            </w:r>
            <w:r w:rsidR="00E104D4" w:rsidRPr="00C75EC3">
              <w:rPr>
                <w:rFonts w:eastAsia="TimesNewRoman"/>
                <w:sz w:val="20"/>
                <w:lang w:val="lt-LT" w:eastAsia="en-US"/>
              </w:rPr>
              <w:t xml:space="preserve"> ir maža doze ritonaviro</w:t>
            </w:r>
            <w:r w:rsidRPr="00C75EC3">
              <w:rPr>
                <w:rFonts w:eastAsia="TimesNewRoman"/>
                <w:sz w:val="20"/>
                <w:lang w:val="lt-LT" w:eastAsia="en-US"/>
              </w:rPr>
              <w:t>.</w:t>
            </w:r>
          </w:p>
          <w:p w14:paraId="2C3C0A69"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Sustiprinto darunaviro ir amjodarono, bepridilio, dronedarono, sisteminio vartojimo lidokaino, chinidino arba ranolazino vartojimas kartu yra kontraindikuotinas (žr. 4.3 skyrių).</w:t>
            </w:r>
          </w:p>
        </w:tc>
      </w:tr>
      <w:tr w:rsidR="009F5848" w:rsidRPr="00C75EC3" w14:paraId="659C60F1" w14:textId="77777777" w:rsidTr="00C75EC3">
        <w:tc>
          <w:tcPr>
            <w:tcW w:w="2817" w:type="dxa"/>
            <w:shd w:val="clear" w:color="auto" w:fill="auto"/>
          </w:tcPr>
          <w:p w14:paraId="35E83F5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Digoksinas 0,4 mg vienkartinė dozė</w:t>
            </w:r>
          </w:p>
        </w:tc>
        <w:tc>
          <w:tcPr>
            <w:tcW w:w="3448" w:type="dxa"/>
            <w:gridSpan w:val="2"/>
            <w:shd w:val="clear" w:color="auto" w:fill="auto"/>
          </w:tcPr>
          <w:p w14:paraId="29D32887"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digoksino AUC ↑ 61 %</w:t>
            </w:r>
          </w:p>
          <w:p w14:paraId="24C68BC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digoksino C</w:t>
            </w:r>
            <w:r w:rsidRPr="00C75EC3">
              <w:rPr>
                <w:rFonts w:eastAsia="TimesNewRoman"/>
                <w:sz w:val="20"/>
                <w:vertAlign w:val="subscript"/>
                <w:lang w:val="lt-LT" w:eastAsia="en-US"/>
              </w:rPr>
              <w:t>min</w:t>
            </w:r>
            <w:r w:rsidRPr="00C75EC3">
              <w:rPr>
                <w:rFonts w:eastAsia="TimesNewRoman"/>
                <w:sz w:val="20"/>
                <w:lang w:val="lt-LT" w:eastAsia="en-US"/>
              </w:rPr>
              <w:t xml:space="preserve"> NN</w:t>
            </w:r>
          </w:p>
          <w:p w14:paraId="6FEDF94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digoksino C</w:t>
            </w:r>
            <w:r w:rsidRPr="00C75EC3">
              <w:rPr>
                <w:rFonts w:eastAsia="TimesNewRoman"/>
                <w:sz w:val="20"/>
                <w:vertAlign w:val="subscript"/>
                <w:lang w:val="lt-LT" w:eastAsia="en-US"/>
              </w:rPr>
              <w:t>max</w:t>
            </w:r>
            <w:r w:rsidRPr="00C75EC3">
              <w:rPr>
                <w:rFonts w:eastAsia="TimesNewRoman"/>
                <w:sz w:val="20"/>
                <w:lang w:val="lt-LT" w:eastAsia="en-US"/>
              </w:rPr>
              <w:t xml:space="preserve"> ↑ 29 %</w:t>
            </w:r>
          </w:p>
          <w:p w14:paraId="17804540"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(digoksino ↑ greičiausiai dėl P-gp slopinimo)</w:t>
            </w:r>
          </w:p>
        </w:tc>
        <w:tc>
          <w:tcPr>
            <w:tcW w:w="3023" w:type="dxa"/>
            <w:shd w:val="clear" w:color="auto" w:fill="auto"/>
          </w:tcPr>
          <w:p w14:paraId="2EED6DDC"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Digoksinas pasižymi siauru terapiniu indeksu, todėl darunavirą</w:t>
            </w:r>
            <w:r w:rsidR="00A70625" w:rsidRPr="00C75EC3">
              <w:rPr>
                <w:rFonts w:eastAsia="TimesNewRoman"/>
                <w:sz w:val="20"/>
                <w:lang w:val="lt-LT" w:eastAsia="en-US"/>
              </w:rPr>
              <w:t>/ritonavirą</w:t>
            </w:r>
            <w:r w:rsidRPr="00C75EC3">
              <w:rPr>
                <w:rFonts w:eastAsia="TimesNewRoman"/>
                <w:sz w:val="20"/>
                <w:lang w:val="lt-LT" w:eastAsia="en-US"/>
              </w:rPr>
              <w:t xml:space="preserve"> vartojančiam pacientui gydymą digoksinu rekomenduojama pradėti nuo mažiausios galimos dozės. Vėliau digoksino dozę reikia atsargiai didinti, kol bus pasiektas reikiamas klinikinis poveikis, tuo pat metu stebint bendrą klinikinę paciento būklę.</w:t>
            </w:r>
          </w:p>
        </w:tc>
      </w:tr>
      <w:tr w:rsidR="009F5848" w:rsidRPr="00C75EC3" w14:paraId="20EB274E" w14:textId="77777777" w:rsidTr="00C75EC3">
        <w:tc>
          <w:tcPr>
            <w:tcW w:w="9288" w:type="dxa"/>
            <w:gridSpan w:val="4"/>
            <w:shd w:val="clear" w:color="auto" w:fill="auto"/>
          </w:tcPr>
          <w:p w14:paraId="3B3FFD74"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Bold"/>
                <w:b/>
                <w:bCs/>
                <w:sz w:val="20"/>
                <w:lang w:val="lt-LT" w:eastAsia="en-US"/>
              </w:rPr>
              <w:t>ANTIBIOTIKAI</w:t>
            </w:r>
          </w:p>
        </w:tc>
      </w:tr>
      <w:tr w:rsidR="009F5848" w:rsidRPr="00C75EC3" w14:paraId="041C184B" w14:textId="77777777" w:rsidTr="00C75EC3">
        <w:tc>
          <w:tcPr>
            <w:tcW w:w="2817" w:type="dxa"/>
            <w:shd w:val="clear" w:color="auto" w:fill="auto"/>
          </w:tcPr>
          <w:p w14:paraId="784F9ED8"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Klaritromicinas 500 mg du kartus per</w:t>
            </w:r>
          </w:p>
          <w:p w14:paraId="218DB790"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parą</w:t>
            </w:r>
          </w:p>
        </w:tc>
        <w:tc>
          <w:tcPr>
            <w:tcW w:w="3448" w:type="dxa"/>
            <w:gridSpan w:val="2"/>
            <w:shd w:val="clear" w:color="auto" w:fill="auto"/>
          </w:tcPr>
          <w:p w14:paraId="54C7C2C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klaritromicino AUC ↑ 57 %</w:t>
            </w:r>
          </w:p>
          <w:p w14:paraId="0E88910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klaritromicino Cmin ↑ 174 %</w:t>
            </w:r>
          </w:p>
          <w:p w14:paraId="28319F7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klaritromicino Cmax ↑ 26 %</w:t>
            </w:r>
          </w:p>
          <w:p w14:paraId="12BFD98C"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darunaviro AUC↓ 13 %</w:t>
            </w:r>
          </w:p>
          <w:p w14:paraId="65099B9C"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darunaviro Cmin ↑ 1 %</w:t>
            </w:r>
          </w:p>
          <w:p w14:paraId="3CA3A203"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darunaviro Cmax↓ 17 %</w:t>
            </w:r>
          </w:p>
          <w:p w14:paraId="6C8B2DF8" w14:textId="77777777" w:rsidR="009F5848" w:rsidRPr="00C75EC3" w:rsidRDefault="009F5848" w:rsidP="00C75EC3">
            <w:pPr>
              <w:autoSpaceDE w:val="0"/>
              <w:autoSpaceDN w:val="0"/>
              <w:adjustRightInd w:val="0"/>
              <w:rPr>
                <w:rFonts w:eastAsia="TimesNewRoman"/>
                <w:sz w:val="20"/>
                <w:lang w:val="lt-LT" w:eastAsia="en-US"/>
              </w:rPr>
            </w:pPr>
          </w:p>
          <w:p w14:paraId="326F7DF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Vartojant kartu su darunaviru/ritonaviru, 14-OH-</w:t>
            </w:r>
            <w:r w:rsidRPr="00C75EC3">
              <w:rPr>
                <w:rFonts w:eastAsia="TimesNewRoman"/>
                <w:sz w:val="20"/>
                <w:lang w:val="lt-LT" w:eastAsia="en-US"/>
              </w:rPr>
              <w:lastRenderedPageBreak/>
              <w:t>klaritromicino koncentracija plazmoje neišmatuota.</w:t>
            </w:r>
          </w:p>
          <w:p w14:paraId="7A40B576"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(klaritromicino ↑ dėl CYP3A slopinimo ir galimo P-gp slopinimo)</w:t>
            </w:r>
          </w:p>
        </w:tc>
        <w:tc>
          <w:tcPr>
            <w:tcW w:w="3023" w:type="dxa"/>
            <w:shd w:val="clear" w:color="auto" w:fill="auto"/>
          </w:tcPr>
          <w:p w14:paraId="1F7E6150"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lastRenderedPageBreak/>
              <w:t>K</w:t>
            </w:r>
            <w:r w:rsidR="00A70625" w:rsidRPr="00C75EC3">
              <w:rPr>
                <w:rFonts w:eastAsia="TimesNewRoman"/>
                <w:sz w:val="20"/>
                <w:lang w:val="lt-LT" w:eastAsia="en-US"/>
              </w:rPr>
              <w:t xml:space="preserve">laritromiciną vartoti kartu su </w:t>
            </w:r>
            <w:r w:rsidRPr="00C75EC3">
              <w:rPr>
                <w:rFonts w:eastAsia="TimesNewRoman"/>
                <w:sz w:val="20"/>
                <w:lang w:val="lt-LT" w:eastAsia="en-US"/>
              </w:rPr>
              <w:t xml:space="preserve">darunaviru </w:t>
            </w:r>
            <w:r w:rsidR="00A70625" w:rsidRPr="00C75EC3">
              <w:rPr>
                <w:rFonts w:eastAsia="TimesNewRoman"/>
                <w:sz w:val="20"/>
                <w:lang w:val="lt-LT" w:eastAsia="en-US"/>
              </w:rPr>
              <w:t xml:space="preserve">ir ritonaviro maža doze </w:t>
            </w:r>
            <w:r w:rsidRPr="00C75EC3">
              <w:rPr>
                <w:rFonts w:eastAsia="TimesNewRoman"/>
                <w:sz w:val="20"/>
                <w:lang w:val="lt-LT" w:eastAsia="en-US"/>
              </w:rPr>
              <w:t>reikia atsargiai.</w:t>
            </w:r>
          </w:p>
          <w:p w14:paraId="4E67EDD6"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Pacientams, kurių inkstų funkcija sutrikusi, informacijos apie rekomenduojamą dozę reikia žr. klaritromicino Preparato charakteristikų santraukoje.</w:t>
            </w:r>
          </w:p>
        </w:tc>
      </w:tr>
      <w:tr w:rsidR="009F5848" w:rsidRPr="00C75EC3" w14:paraId="5DB7F01B" w14:textId="77777777" w:rsidTr="00C75EC3">
        <w:tc>
          <w:tcPr>
            <w:tcW w:w="9288" w:type="dxa"/>
            <w:gridSpan w:val="4"/>
            <w:shd w:val="clear" w:color="auto" w:fill="auto"/>
          </w:tcPr>
          <w:p w14:paraId="44DC97C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Bold"/>
                <w:b/>
                <w:bCs/>
                <w:sz w:val="20"/>
                <w:lang w:val="lt-LT" w:eastAsia="en-US"/>
              </w:rPr>
              <w:t>ANTIKOAGULIANTAI</w:t>
            </w:r>
          </w:p>
        </w:tc>
      </w:tr>
      <w:tr w:rsidR="009F5848" w:rsidRPr="00C75EC3" w14:paraId="05BCC934" w14:textId="77777777" w:rsidTr="00C75EC3">
        <w:tc>
          <w:tcPr>
            <w:tcW w:w="2817" w:type="dxa"/>
            <w:shd w:val="clear" w:color="auto" w:fill="auto"/>
          </w:tcPr>
          <w:p w14:paraId="74831FD6"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Apiksabanas</w:t>
            </w:r>
          </w:p>
          <w:p w14:paraId="65694163"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Dabigatrano eteksilatas</w:t>
            </w:r>
          </w:p>
          <w:p w14:paraId="11FE5B7E"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Rivaroksabanas</w:t>
            </w:r>
          </w:p>
        </w:tc>
        <w:tc>
          <w:tcPr>
            <w:tcW w:w="3448" w:type="dxa"/>
            <w:gridSpan w:val="2"/>
            <w:shd w:val="clear" w:color="auto" w:fill="auto"/>
          </w:tcPr>
          <w:p w14:paraId="6608B328"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Netirta. Sustiprinto darunaviro skyrimas kartu su šiais antikoaguliantais gali padidinti antikoaguliantų koncentracijas.</w:t>
            </w:r>
          </w:p>
          <w:p w14:paraId="76CE032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(CYP3A ir (arba) P-gp slopinimas)</w:t>
            </w:r>
          </w:p>
        </w:tc>
        <w:tc>
          <w:tcPr>
            <w:tcW w:w="3023" w:type="dxa"/>
            <w:shd w:val="clear" w:color="auto" w:fill="auto"/>
          </w:tcPr>
          <w:p w14:paraId="585D135D" w14:textId="77777777" w:rsidR="009F5848" w:rsidRPr="00C75EC3" w:rsidRDefault="00A70625"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Vartoti kartu </w:t>
            </w:r>
            <w:r w:rsidR="009F5848" w:rsidRPr="00C75EC3">
              <w:rPr>
                <w:rFonts w:eastAsia="TimesNewRoman"/>
                <w:sz w:val="20"/>
                <w:lang w:val="lt-LT" w:eastAsia="en-US"/>
              </w:rPr>
              <w:t>darunavirą</w:t>
            </w:r>
            <w:r w:rsidRPr="00C75EC3">
              <w:rPr>
                <w:rFonts w:eastAsia="TimesNewRoman"/>
                <w:sz w:val="20"/>
                <w:lang w:val="lt-LT" w:eastAsia="en-US"/>
              </w:rPr>
              <w:t xml:space="preserve"> su maža ritonaviro doze ir šių antikoaguliantų </w:t>
            </w:r>
            <w:r w:rsidR="009F5848" w:rsidRPr="00C75EC3">
              <w:rPr>
                <w:rFonts w:eastAsia="TimesNewRoman"/>
                <w:sz w:val="20"/>
                <w:lang w:val="lt-LT" w:eastAsia="en-US"/>
              </w:rPr>
              <w:t>nerekomenduojama.</w:t>
            </w:r>
          </w:p>
        </w:tc>
      </w:tr>
      <w:tr w:rsidR="009F5848" w:rsidRPr="00C75EC3" w14:paraId="1C84D25B" w14:textId="77777777" w:rsidTr="00C75EC3">
        <w:tc>
          <w:tcPr>
            <w:tcW w:w="2817" w:type="dxa"/>
            <w:shd w:val="clear" w:color="auto" w:fill="auto"/>
          </w:tcPr>
          <w:p w14:paraId="367F9161"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Varfarinas </w:t>
            </w:r>
          </w:p>
        </w:tc>
        <w:tc>
          <w:tcPr>
            <w:tcW w:w="3448" w:type="dxa"/>
            <w:gridSpan w:val="2"/>
            <w:shd w:val="clear" w:color="auto" w:fill="auto"/>
          </w:tcPr>
          <w:p w14:paraId="56F906A3"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Netirta. Gali keistis kartu su sustiprintu darunaviru vartojamo varfarino koncentracijos.</w:t>
            </w:r>
          </w:p>
        </w:tc>
        <w:tc>
          <w:tcPr>
            <w:tcW w:w="3023" w:type="dxa"/>
            <w:shd w:val="clear" w:color="auto" w:fill="auto"/>
          </w:tcPr>
          <w:p w14:paraId="2A80713C" w14:textId="77777777" w:rsidR="009F5848" w:rsidRPr="00C75EC3" w:rsidRDefault="00A70625" w:rsidP="00C75EC3">
            <w:pPr>
              <w:autoSpaceDE w:val="0"/>
              <w:autoSpaceDN w:val="0"/>
              <w:adjustRightInd w:val="0"/>
              <w:rPr>
                <w:rFonts w:eastAsia="TimesNewRoman"/>
                <w:sz w:val="20"/>
                <w:lang w:val="lt-LT" w:eastAsia="en-US"/>
              </w:rPr>
            </w:pPr>
            <w:r w:rsidRPr="00C75EC3">
              <w:rPr>
                <w:rFonts w:eastAsia="TimesNewRoman"/>
                <w:sz w:val="20"/>
                <w:lang w:val="lt-LT" w:eastAsia="en-US"/>
              </w:rPr>
              <w:t>D</w:t>
            </w:r>
            <w:r w:rsidR="009F5848" w:rsidRPr="00C75EC3">
              <w:rPr>
                <w:rFonts w:eastAsia="TimesNewRoman"/>
                <w:sz w:val="20"/>
                <w:lang w:val="lt-LT" w:eastAsia="en-US"/>
              </w:rPr>
              <w:t xml:space="preserve">arunavirą </w:t>
            </w:r>
            <w:r w:rsidRPr="00C75EC3">
              <w:rPr>
                <w:rFonts w:eastAsia="TimesNewRoman"/>
                <w:sz w:val="20"/>
                <w:lang w:val="lt-LT" w:eastAsia="en-US"/>
              </w:rPr>
              <w:t xml:space="preserve"> su maža ritonaviro doze </w:t>
            </w:r>
            <w:r w:rsidR="009F5848" w:rsidRPr="00C75EC3">
              <w:rPr>
                <w:rFonts w:eastAsia="TimesNewRoman"/>
                <w:sz w:val="20"/>
                <w:lang w:val="lt-LT" w:eastAsia="en-US"/>
              </w:rPr>
              <w:t>vartojant kartu su varfarinu  rekomenduojama stebėti tarptautinį normalizuotą santykį (TNS).</w:t>
            </w:r>
          </w:p>
        </w:tc>
      </w:tr>
      <w:tr w:rsidR="009F5848" w:rsidRPr="00C75EC3" w14:paraId="00787A89" w14:textId="77777777" w:rsidTr="00C75EC3">
        <w:tc>
          <w:tcPr>
            <w:tcW w:w="9288" w:type="dxa"/>
            <w:gridSpan w:val="4"/>
            <w:shd w:val="clear" w:color="auto" w:fill="auto"/>
          </w:tcPr>
          <w:p w14:paraId="2E86B27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Bold"/>
                <w:b/>
                <w:bCs/>
                <w:sz w:val="20"/>
                <w:lang w:val="lt-LT" w:eastAsia="en-US"/>
              </w:rPr>
              <w:t>PRIEŠTRAUKULINIAI VAISTINIAI PREPARATAI</w:t>
            </w:r>
          </w:p>
        </w:tc>
      </w:tr>
      <w:tr w:rsidR="009F5848" w:rsidRPr="00C75EC3" w14:paraId="02C6F273" w14:textId="77777777" w:rsidTr="00C75EC3">
        <w:tc>
          <w:tcPr>
            <w:tcW w:w="2817" w:type="dxa"/>
            <w:shd w:val="clear" w:color="auto" w:fill="auto"/>
          </w:tcPr>
          <w:p w14:paraId="2901994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Fenobarbitalis </w:t>
            </w:r>
          </w:p>
          <w:p w14:paraId="3D6346B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Fenitoinas</w:t>
            </w:r>
          </w:p>
        </w:tc>
        <w:tc>
          <w:tcPr>
            <w:tcW w:w="3448" w:type="dxa"/>
            <w:gridSpan w:val="2"/>
            <w:shd w:val="clear" w:color="auto" w:fill="auto"/>
          </w:tcPr>
          <w:p w14:paraId="249D9A3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Netirta. Numatoma, kad fenobarbitalis ir fenitoinas mažins darunaviro koncentracijas plazmoje.</w:t>
            </w:r>
          </w:p>
          <w:p w14:paraId="4D32E296"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(dėl CYP450 izofermentų sužadinimo)</w:t>
            </w:r>
          </w:p>
        </w:tc>
        <w:tc>
          <w:tcPr>
            <w:tcW w:w="3023" w:type="dxa"/>
            <w:shd w:val="clear" w:color="auto" w:fill="auto"/>
          </w:tcPr>
          <w:p w14:paraId="342B78D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vartojamo kartu su maža ritonaviro doze, negalima vartoti kartu su</w:t>
            </w:r>
            <w:r w:rsidR="00C24953" w:rsidRPr="00C75EC3">
              <w:rPr>
                <w:rFonts w:eastAsia="TimesNewRoman"/>
                <w:sz w:val="20"/>
                <w:lang w:val="lt-LT" w:eastAsia="en-US"/>
              </w:rPr>
              <w:t xml:space="preserve"> šiais vaistiniais preparatais.</w:t>
            </w:r>
          </w:p>
        </w:tc>
      </w:tr>
      <w:tr w:rsidR="009F5848" w:rsidRPr="00C75EC3" w14:paraId="3E7F9D43" w14:textId="77777777" w:rsidTr="00C75EC3">
        <w:tc>
          <w:tcPr>
            <w:tcW w:w="2817" w:type="dxa"/>
            <w:shd w:val="clear" w:color="auto" w:fill="auto"/>
          </w:tcPr>
          <w:p w14:paraId="254FD74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Karbamazepinas 200  mg du kartus per parą</w:t>
            </w:r>
          </w:p>
        </w:tc>
        <w:tc>
          <w:tcPr>
            <w:tcW w:w="3448" w:type="dxa"/>
            <w:gridSpan w:val="2"/>
            <w:shd w:val="clear" w:color="auto" w:fill="auto"/>
          </w:tcPr>
          <w:p w14:paraId="0303A7A7"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karbamazepino AUC ↑ 45 %</w:t>
            </w:r>
          </w:p>
          <w:p w14:paraId="3E4373C1"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karbamazepino Cmin ↑ 54 %</w:t>
            </w:r>
          </w:p>
          <w:p w14:paraId="3CBC94E6"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karbamazepino Cmax ↑ 43 %</w:t>
            </w:r>
          </w:p>
          <w:p w14:paraId="29A9079C"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AUC ↔</w:t>
            </w:r>
          </w:p>
          <w:p w14:paraId="5495AD29"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Cmin ↓ 15 %</w:t>
            </w:r>
          </w:p>
          <w:p w14:paraId="0D20CE4C"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Cmax ↔</w:t>
            </w:r>
          </w:p>
        </w:tc>
        <w:tc>
          <w:tcPr>
            <w:tcW w:w="3023" w:type="dxa"/>
            <w:shd w:val="clear" w:color="auto" w:fill="auto"/>
          </w:tcPr>
          <w:p w14:paraId="3E96E944"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Darunaviro/ritonaviro dozes rekomenduojama nekeisti. Jeigu darunavirą/ritonavirą būtina skirti kartu su karbamazepinu, pacientus reikia stebėti, nes gali pasireikšti su karbamazepino vartojimu susijusių nepageidaujamų reiškinių. Reikia stebėti karbamazepino koncentraciją ir titravimo būdu nustatyti jo dozę, kuri būtina reikiamam atsakui sukelti. Remiantis tyrimų duomenimis, vaistinį preparatą vartojant kartu su darunaviru/ritonaviru, dozę gali tekti sumažinti nuo 25 % iki 50 %. Karbamazepino vartojimas kartu su darunaviru, skiriamo kartu su kobicistatu yra kontraindikuotinas (žr. 4.3 skyrių).</w:t>
            </w:r>
          </w:p>
        </w:tc>
      </w:tr>
      <w:tr w:rsidR="009F5848" w:rsidRPr="00C75EC3" w14:paraId="414712B0" w14:textId="77777777" w:rsidTr="00C75EC3">
        <w:tc>
          <w:tcPr>
            <w:tcW w:w="9288" w:type="dxa"/>
            <w:gridSpan w:val="4"/>
            <w:shd w:val="clear" w:color="auto" w:fill="auto"/>
          </w:tcPr>
          <w:p w14:paraId="40C0D8B9"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Bold"/>
                <w:b/>
                <w:bCs/>
                <w:sz w:val="20"/>
                <w:lang w:val="lt-LT" w:eastAsia="en-US"/>
              </w:rPr>
              <w:t>ANTIDEPRESANTAI</w:t>
            </w:r>
          </w:p>
        </w:tc>
      </w:tr>
      <w:tr w:rsidR="009F5848" w:rsidRPr="00C75EC3" w14:paraId="65F5271B" w14:textId="77777777" w:rsidTr="00C75EC3">
        <w:tc>
          <w:tcPr>
            <w:tcW w:w="2817" w:type="dxa"/>
            <w:shd w:val="clear" w:color="auto" w:fill="auto"/>
          </w:tcPr>
          <w:p w14:paraId="5EA4CFD7"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Paroksetinas 20 mg vieną kartą per parą</w:t>
            </w:r>
          </w:p>
          <w:p w14:paraId="73C64624" w14:textId="77777777" w:rsidR="009F5848" w:rsidRPr="00C75EC3" w:rsidRDefault="009F5848" w:rsidP="00C75EC3">
            <w:pPr>
              <w:autoSpaceDE w:val="0"/>
              <w:autoSpaceDN w:val="0"/>
              <w:adjustRightInd w:val="0"/>
              <w:rPr>
                <w:rFonts w:eastAsia="TimesNewRoman"/>
                <w:sz w:val="20"/>
                <w:lang w:val="lt-LT" w:eastAsia="en-US"/>
              </w:rPr>
            </w:pPr>
          </w:p>
          <w:p w14:paraId="187DC785" w14:textId="77777777" w:rsidR="009F5848" w:rsidRPr="00C75EC3" w:rsidRDefault="009F5848" w:rsidP="00C75EC3">
            <w:pPr>
              <w:autoSpaceDE w:val="0"/>
              <w:autoSpaceDN w:val="0"/>
              <w:adjustRightInd w:val="0"/>
              <w:rPr>
                <w:rFonts w:eastAsia="TimesNewRoman"/>
                <w:sz w:val="20"/>
                <w:lang w:val="lt-LT" w:eastAsia="en-US"/>
              </w:rPr>
            </w:pPr>
          </w:p>
          <w:p w14:paraId="2C5BF749" w14:textId="77777777" w:rsidR="009F5848" w:rsidRPr="00C75EC3" w:rsidRDefault="009F5848" w:rsidP="00C75EC3">
            <w:pPr>
              <w:autoSpaceDE w:val="0"/>
              <w:autoSpaceDN w:val="0"/>
              <w:adjustRightInd w:val="0"/>
              <w:rPr>
                <w:rFonts w:eastAsia="TimesNewRoman"/>
                <w:sz w:val="20"/>
                <w:lang w:val="lt-LT" w:eastAsia="en-US"/>
              </w:rPr>
            </w:pPr>
          </w:p>
          <w:p w14:paraId="5F2A6750" w14:textId="77777777" w:rsidR="009F5848" w:rsidRPr="00C75EC3" w:rsidRDefault="009F5848" w:rsidP="00C75EC3">
            <w:pPr>
              <w:autoSpaceDE w:val="0"/>
              <w:autoSpaceDN w:val="0"/>
              <w:adjustRightInd w:val="0"/>
              <w:rPr>
                <w:rFonts w:eastAsia="TimesNewRoman"/>
                <w:sz w:val="20"/>
                <w:lang w:val="lt-LT" w:eastAsia="en-US"/>
              </w:rPr>
            </w:pPr>
          </w:p>
          <w:p w14:paraId="78CA3FF3"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Sertralinas 50 mg vieną kartą per parą</w:t>
            </w:r>
          </w:p>
          <w:p w14:paraId="02044FF5" w14:textId="77777777" w:rsidR="009F5848" w:rsidRPr="00C75EC3" w:rsidRDefault="009F5848" w:rsidP="00C75EC3">
            <w:pPr>
              <w:autoSpaceDE w:val="0"/>
              <w:autoSpaceDN w:val="0"/>
              <w:adjustRightInd w:val="0"/>
              <w:rPr>
                <w:rFonts w:eastAsia="TimesNewRoman"/>
                <w:sz w:val="20"/>
                <w:lang w:val="lt-LT" w:eastAsia="en-US"/>
              </w:rPr>
            </w:pPr>
          </w:p>
          <w:p w14:paraId="7A7C1516" w14:textId="77777777" w:rsidR="009F5848" w:rsidRPr="00C75EC3" w:rsidRDefault="009F5848" w:rsidP="00C75EC3">
            <w:pPr>
              <w:autoSpaceDE w:val="0"/>
              <w:autoSpaceDN w:val="0"/>
              <w:adjustRightInd w:val="0"/>
              <w:rPr>
                <w:rFonts w:eastAsia="TimesNewRoman"/>
                <w:sz w:val="20"/>
                <w:lang w:val="lt-LT" w:eastAsia="en-US"/>
              </w:rPr>
            </w:pPr>
          </w:p>
          <w:p w14:paraId="0541D7D9" w14:textId="77777777" w:rsidR="009F5848" w:rsidRPr="00C75EC3" w:rsidRDefault="009F5848" w:rsidP="00C75EC3">
            <w:pPr>
              <w:autoSpaceDE w:val="0"/>
              <w:autoSpaceDN w:val="0"/>
              <w:adjustRightInd w:val="0"/>
              <w:rPr>
                <w:rFonts w:eastAsia="TimesNewRoman"/>
                <w:sz w:val="20"/>
                <w:lang w:val="lt-LT" w:eastAsia="en-US"/>
              </w:rPr>
            </w:pPr>
          </w:p>
          <w:p w14:paraId="4A0244C5" w14:textId="77777777" w:rsidR="009F5848" w:rsidRPr="00C75EC3" w:rsidRDefault="009F5848" w:rsidP="00C75EC3">
            <w:pPr>
              <w:autoSpaceDE w:val="0"/>
              <w:autoSpaceDN w:val="0"/>
              <w:adjustRightInd w:val="0"/>
              <w:rPr>
                <w:rFonts w:eastAsia="TimesNewRoman"/>
                <w:sz w:val="20"/>
                <w:lang w:val="lt-LT" w:eastAsia="en-US"/>
              </w:rPr>
            </w:pPr>
          </w:p>
          <w:p w14:paraId="54152876" w14:textId="77777777" w:rsidR="009F5848" w:rsidRPr="00C75EC3" w:rsidRDefault="009F5848" w:rsidP="00C75EC3">
            <w:pPr>
              <w:autoSpaceDE w:val="0"/>
              <w:autoSpaceDN w:val="0"/>
              <w:adjustRightInd w:val="0"/>
              <w:rPr>
                <w:rFonts w:eastAsia="TimesNewRoman"/>
                <w:sz w:val="20"/>
                <w:lang w:val="lt-LT" w:eastAsia="en-US"/>
              </w:rPr>
            </w:pPr>
          </w:p>
          <w:p w14:paraId="4ABE0A1D" w14:textId="77777777" w:rsidR="009F5848" w:rsidRPr="00C75EC3" w:rsidRDefault="009F5848" w:rsidP="00C75EC3">
            <w:pPr>
              <w:autoSpaceDE w:val="0"/>
              <w:autoSpaceDN w:val="0"/>
              <w:adjustRightInd w:val="0"/>
              <w:rPr>
                <w:rFonts w:eastAsia="TimesNewRoman"/>
                <w:sz w:val="20"/>
                <w:lang w:val="lt-LT" w:eastAsia="en-US"/>
              </w:rPr>
            </w:pPr>
          </w:p>
          <w:p w14:paraId="7796CCCE" w14:textId="77777777" w:rsidR="009F5848" w:rsidRPr="00C75EC3" w:rsidRDefault="009F5848" w:rsidP="00C75EC3">
            <w:pPr>
              <w:autoSpaceDE w:val="0"/>
              <w:autoSpaceDN w:val="0"/>
              <w:adjustRightInd w:val="0"/>
              <w:rPr>
                <w:rFonts w:eastAsia="TimesNewRoman"/>
                <w:sz w:val="20"/>
                <w:lang w:val="lt-LT" w:eastAsia="en-US"/>
              </w:rPr>
            </w:pPr>
          </w:p>
          <w:p w14:paraId="6F3BE59B" w14:textId="77777777" w:rsidR="009F5848" w:rsidRPr="00C75EC3" w:rsidRDefault="009F5848" w:rsidP="00C75EC3">
            <w:pPr>
              <w:autoSpaceDE w:val="0"/>
              <w:autoSpaceDN w:val="0"/>
              <w:adjustRightInd w:val="0"/>
              <w:rPr>
                <w:rFonts w:eastAsia="TimesNewRoman"/>
                <w:sz w:val="20"/>
                <w:lang w:val="lt-LT" w:eastAsia="en-US"/>
              </w:rPr>
            </w:pPr>
          </w:p>
          <w:p w14:paraId="67E4655D" w14:textId="77777777" w:rsidR="009F5848" w:rsidRPr="00C75EC3" w:rsidRDefault="009F5848" w:rsidP="00C75EC3">
            <w:pPr>
              <w:autoSpaceDE w:val="0"/>
              <w:autoSpaceDN w:val="0"/>
              <w:adjustRightInd w:val="0"/>
              <w:rPr>
                <w:rFonts w:eastAsia="TimesNewRoman"/>
                <w:sz w:val="20"/>
                <w:lang w:val="lt-LT" w:eastAsia="en-US"/>
              </w:rPr>
            </w:pPr>
          </w:p>
          <w:p w14:paraId="40119CF1" w14:textId="77777777" w:rsidR="009F5848" w:rsidRPr="00C75EC3" w:rsidRDefault="009F5848" w:rsidP="00C75EC3">
            <w:pPr>
              <w:autoSpaceDE w:val="0"/>
              <w:autoSpaceDN w:val="0"/>
              <w:adjustRightInd w:val="0"/>
              <w:rPr>
                <w:rFonts w:eastAsia="TimesNewRoman"/>
                <w:sz w:val="20"/>
                <w:lang w:val="lt-LT" w:eastAsia="en-US"/>
              </w:rPr>
            </w:pPr>
          </w:p>
          <w:p w14:paraId="7EBEA290" w14:textId="77777777" w:rsidR="009F5848" w:rsidRPr="00C75EC3" w:rsidRDefault="009F5848" w:rsidP="00C75EC3">
            <w:pPr>
              <w:autoSpaceDE w:val="0"/>
              <w:autoSpaceDN w:val="0"/>
              <w:adjustRightInd w:val="0"/>
              <w:rPr>
                <w:rFonts w:eastAsia="TimesNewRoman"/>
                <w:sz w:val="20"/>
                <w:lang w:val="lt-LT" w:eastAsia="en-US"/>
              </w:rPr>
            </w:pPr>
          </w:p>
          <w:p w14:paraId="726F666B"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Amitriptilinas</w:t>
            </w:r>
          </w:p>
          <w:p w14:paraId="36B91DAB"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Dezipraminas</w:t>
            </w:r>
          </w:p>
          <w:p w14:paraId="76B3FA44"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Imipraminas</w:t>
            </w:r>
          </w:p>
          <w:p w14:paraId="7194F80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Nortriptilinas</w:t>
            </w:r>
          </w:p>
          <w:p w14:paraId="7AFC82D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Trazodonas</w:t>
            </w:r>
          </w:p>
        </w:tc>
        <w:tc>
          <w:tcPr>
            <w:tcW w:w="3448" w:type="dxa"/>
            <w:gridSpan w:val="2"/>
            <w:shd w:val="clear" w:color="auto" w:fill="auto"/>
          </w:tcPr>
          <w:p w14:paraId="4434E2B3"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lastRenderedPageBreak/>
              <w:t>paroksetino AUC ↓ 39 %</w:t>
            </w:r>
          </w:p>
          <w:p w14:paraId="3BE9D075"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paroksetino Cmin ↓ 37 %</w:t>
            </w:r>
          </w:p>
          <w:p w14:paraId="13EEF3C5"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paroksetino Cmax ↓ 36 %</w:t>
            </w:r>
          </w:p>
          <w:p w14:paraId="510A892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darunaviro AUC ↔</w:t>
            </w:r>
          </w:p>
          <w:p w14:paraId="1C3DA7E5"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darunaviro Cmin ↔</w:t>
            </w:r>
          </w:p>
          <w:p w14:paraId="045EAB2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darunaviro Cmax ↔</w:t>
            </w:r>
          </w:p>
          <w:p w14:paraId="3ED98C8E"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sertralino AUC ↓ 49 %</w:t>
            </w:r>
          </w:p>
          <w:p w14:paraId="3AF1E7B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sertralino Cmin ↓ 49 %</w:t>
            </w:r>
          </w:p>
          <w:p w14:paraId="6D5275C6"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sertralino Cmax ↓ 44 %</w:t>
            </w:r>
          </w:p>
          <w:p w14:paraId="0F7D0C2B"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darunaviro AUC ↔</w:t>
            </w:r>
          </w:p>
          <w:p w14:paraId="4B487C00"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darunaviro Cmin ↓ 6 %</w:t>
            </w:r>
          </w:p>
          <w:p w14:paraId="36C9F68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darunaviro Cmax ↔</w:t>
            </w:r>
          </w:p>
          <w:p w14:paraId="7D043DE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Skirtingai nei esami duomenys apie darunavirą/ritonavirą, darunaviras/kobicistatas gali padidinti šių antidepresantų koncentracijas </w:t>
            </w:r>
            <w:r w:rsidRPr="00C75EC3">
              <w:rPr>
                <w:rFonts w:eastAsia="TimesNewRoman"/>
                <w:sz w:val="20"/>
                <w:lang w:val="lt-LT" w:eastAsia="en-US"/>
              </w:rPr>
              <w:lastRenderedPageBreak/>
              <w:t>plazmoje (CYP2D6 ir (arba) CYP3A slopinimas).</w:t>
            </w:r>
          </w:p>
          <w:p w14:paraId="26C8FB4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Sustiprinto darunaviro vartojimas kartu su šiais antidepresantais gali padidinti jų koncentracijas plazmoje.</w:t>
            </w:r>
          </w:p>
          <w:p w14:paraId="075D8E05"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(CYP2D6 ir (arba) CYP3A slopinimas)</w:t>
            </w:r>
          </w:p>
        </w:tc>
        <w:tc>
          <w:tcPr>
            <w:tcW w:w="3023" w:type="dxa"/>
            <w:shd w:val="clear" w:color="auto" w:fill="auto"/>
          </w:tcPr>
          <w:p w14:paraId="2B1E0F83"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lastRenderedPageBreak/>
              <w:t xml:space="preserve">Jei antidepresantai skiriami kartu su </w:t>
            </w:r>
            <w:r w:rsidR="00A70625" w:rsidRPr="00C75EC3">
              <w:rPr>
                <w:rFonts w:eastAsia="TimesNewRoman"/>
                <w:sz w:val="20"/>
                <w:lang w:val="lt-LT" w:eastAsia="en-US"/>
              </w:rPr>
              <w:t>dura</w:t>
            </w:r>
            <w:r w:rsidRPr="00C75EC3">
              <w:rPr>
                <w:rFonts w:eastAsia="TimesNewRoman"/>
                <w:sz w:val="20"/>
                <w:lang w:val="lt-LT" w:eastAsia="en-US"/>
              </w:rPr>
              <w:t>naviru</w:t>
            </w:r>
            <w:r w:rsidR="00A70625" w:rsidRPr="00C75EC3">
              <w:rPr>
                <w:rFonts w:eastAsia="TimesNewRoman"/>
                <w:sz w:val="20"/>
                <w:lang w:val="lt-LT" w:eastAsia="en-US"/>
              </w:rPr>
              <w:t xml:space="preserve"> ir maža ritonaviro doze</w:t>
            </w:r>
            <w:r w:rsidRPr="00C75EC3">
              <w:rPr>
                <w:rFonts w:eastAsia="TimesNewRoman"/>
                <w:sz w:val="20"/>
                <w:lang w:val="lt-LT" w:eastAsia="en-US"/>
              </w:rPr>
              <w:t>, rekomenduojama titruoti antidepresantų dozę, remiantis klinikiniu atsako į gydymą antidepresantais įvertinimu. Be to, reikia stebėti pacientų, vartojančių pastovias šių antidepresantų dozes ir pradėjusių vartoti sustiprintą darunavirą, atsaką į gydymą</w:t>
            </w:r>
            <w:r w:rsidR="00C24953" w:rsidRPr="00C75EC3">
              <w:rPr>
                <w:rFonts w:eastAsia="TimesNewRoman"/>
                <w:sz w:val="20"/>
                <w:lang w:val="lt-LT" w:eastAsia="en-US"/>
              </w:rPr>
              <w:t xml:space="preserve"> </w:t>
            </w:r>
            <w:r w:rsidRPr="00C75EC3">
              <w:rPr>
                <w:rFonts w:eastAsia="TimesNewRoman"/>
                <w:sz w:val="20"/>
                <w:lang w:val="lt-LT" w:eastAsia="en-US"/>
              </w:rPr>
              <w:t>antidepresantais.</w:t>
            </w:r>
          </w:p>
          <w:p w14:paraId="3B45E92F" w14:textId="77777777" w:rsidR="009F5848" w:rsidRPr="00C75EC3" w:rsidRDefault="009F5848" w:rsidP="00C75EC3">
            <w:pPr>
              <w:autoSpaceDE w:val="0"/>
              <w:autoSpaceDN w:val="0"/>
              <w:adjustRightInd w:val="0"/>
              <w:rPr>
                <w:rFonts w:eastAsia="TimesNewRoman"/>
                <w:sz w:val="20"/>
                <w:lang w:val="lt-LT" w:eastAsia="en-US"/>
              </w:rPr>
            </w:pPr>
          </w:p>
          <w:p w14:paraId="040F8CB1" w14:textId="77777777" w:rsidR="009F5848" w:rsidRPr="00C75EC3" w:rsidRDefault="009F5848" w:rsidP="00C75EC3">
            <w:pPr>
              <w:autoSpaceDE w:val="0"/>
              <w:autoSpaceDN w:val="0"/>
              <w:adjustRightInd w:val="0"/>
              <w:rPr>
                <w:rFonts w:eastAsia="TimesNewRoman"/>
                <w:sz w:val="20"/>
                <w:lang w:val="lt-LT" w:eastAsia="en-US"/>
              </w:rPr>
            </w:pPr>
          </w:p>
          <w:p w14:paraId="639502E5" w14:textId="77777777" w:rsidR="009F5848" w:rsidRPr="00C75EC3" w:rsidRDefault="009F5848" w:rsidP="00C75EC3">
            <w:pPr>
              <w:autoSpaceDE w:val="0"/>
              <w:autoSpaceDN w:val="0"/>
              <w:adjustRightInd w:val="0"/>
              <w:rPr>
                <w:rFonts w:eastAsia="TimesNewRoman"/>
                <w:sz w:val="20"/>
                <w:lang w:val="lt-LT" w:eastAsia="en-US"/>
              </w:rPr>
            </w:pPr>
          </w:p>
          <w:p w14:paraId="669CE58E" w14:textId="77777777" w:rsidR="009F5848" w:rsidRPr="00C75EC3" w:rsidRDefault="009F5848" w:rsidP="00C75EC3">
            <w:pPr>
              <w:autoSpaceDE w:val="0"/>
              <w:autoSpaceDN w:val="0"/>
              <w:adjustRightInd w:val="0"/>
              <w:rPr>
                <w:rFonts w:eastAsia="TimesNewRoman"/>
                <w:sz w:val="20"/>
                <w:lang w:val="lt-LT" w:eastAsia="en-US"/>
              </w:rPr>
            </w:pPr>
          </w:p>
          <w:p w14:paraId="2C1F54AD" w14:textId="77777777" w:rsidR="009F5848" w:rsidRPr="00C75EC3" w:rsidRDefault="009F5848" w:rsidP="00C75EC3">
            <w:pPr>
              <w:autoSpaceDE w:val="0"/>
              <w:autoSpaceDN w:val="0"/>
              <w:adjustRightInd w:val="0"/>
              <w:rPr>
                <w:rFonts w:eastAsia="TimesNewRoman"/>
                <w:sz w:val="20"/>
                <w:lang w:val="lt-LT" w:eastAsia="en-US"/>
              </w:rPr>
            </w:pPr>
          </w:p>
          <w:p w14:paraId="49002D64" w14:textId="77777777" w:rsidR="009F5848" w:rsidRPr="00C75EC3" w:rsidRDefault="009F5848" w:rsidP="00C75EC3">
            <w:pPr>
              <w:autoSpaceDE w:val="0"/>
              <w:autoSpaceDN w:val="0"/>
              <w:adjustRightInd w:val="0"/>
              <w:rPr>
                <w:rFonts w:eastAsia="TimesNewRoman"/>
                <w:sz w:val="20"/>
                <w:lang w:val="lt-LT" w:eastAsia="en-US"/>
              </w:rPr>
            </w:pPr>
          </w:p>
          <w:p w14:paraId="26DA262D" w14:textId="77777777" w:rsidR="009F5848" w:rsidRPr="00C75EC3" w:rsidRDefault="009F5848" w:rsidP="00C75EC3">
            <w:pPr>
              <w:autoSpaceDE w:val="0"/>
              <w:autoSpaceDN w:val="0"/>
              <w:adjustRightInd w:val="0"/>
              <w:rPr>
                <w:rFonts w:eastAsia="TimesNewRoman"/>
                <w:sz w:val="20"/>
                <w:lang w:val="lt-LT" w:eastAsia="en-US"/>
              </w:rPr>
            </w:pPr>
          </w:p>
          <w:p w14:paraId="19F765D1" w14:textId="77777777" w:rsidR="009F5848" w:rsidRPr="00C75EC3" w:rsidRDefault="009F5848" w:rsidP="00C75EC3">
            <w:pPr>
              <w:autoSpaceDE w:val="0"/>
              <w:autoSpaceDN w:val="0"/>
              <w:adjustRightInd w:val="0"/>
              <w:rPr>
                <w:rFonts w:eastAsia="TimesNewRoman"/>
                <w:sz w:val="20"/>
                <w:lang w:val="lt-LT" w:eastAsia="en-US"/>
              </w:rPr>
            </w:pPr>
          </w:p>
          <w:p w14:paraId="4309B1C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Vartojant darunavirą </w:t>
            </w:r>
            <w:r w:rsidR="00A70625" w:rsidRPr="00C75EC3">
              <w:rPr>
                <w:rFonts w:eastAsia="TimesNewRoman"/>
                <w:sz w:val="20"/>
                <w:lang w:val="lt-LT" w:eastAsia="en-US"/>
              </w:rPr>
              <w:t xml:space="preserve">bei mažą ritonaviro dozę </w:t>
            </w:r>
            <w:r w:rsidRPr="00C75EC3">
              <w:rPr>
                <w:rFonts w:eastAsia="TimesNewRoman"/>
                <w:sz w:val="20"/>
                <w:lang w:val="lt-LT" w:eastAsia="en-US"/>
              </w:rPr>
              <w:t>su šiais antidepresantais rekomenduojama stebėti klinikinę pacientų būklę ir gali reikėti koreguoti antidepresantų doze.</w:t>
            </w:r>
          </w:p>
        </w:tc>
      </w:tr>
      <w:tr w:rsidR="009F5848" w:rsidRPr="00C75EC3" w14:paraId="1A47D70B" w14:textId="77777777" w:rsidTr="00C75EC3">
        <w:tc>
          <w:tcPr>
            <w:tcW w:w="9288" w:type="dxa"/>
            <w:gridSpan w:val="4"/>
            <w:shd w:val="clear" w:color="auto" w:fill="auto"/>
          </w:tcPr>
          <w:p w14:paraId="08EA2987"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Bold"/>
                <w:b/>
                <w:bCs/>
                <w:sz w:val="20"/>
                <w:lang w:val="lt-LT" w:eastAsia="en-US"/>
              </w:rPr>
              <w:lastRenderedPageBreak/>
              <w:t>PRIEŠGRYBELINIAI VAISTINIAI PREPARATAI</w:t>
            </w:r>
          </w:p>
        </w:tc>
      </w:tr>
      <w:tr w:rsidR="009F5848" w:rsidRPr="00C75EC3" w14:paraId="455CBBBC" w14:textId="77777777" w:rsidTr="00C75EC3">
        <w:tc>
          <w:tcPr>
            <w:tcW w:w="2817" w:type="dxa"/>
            <w:shd w:val="clear" w:color="auto" w:fill="auto"/>
          </w:tcPr>
          <w:p w14:paraId="511180E9"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Vorikonazolas</w:t>
            </w:r>
          </w:p>
        </w:tc>
        <w:tc>
          <w:tcPr>
            <w:tcW w:w="3448" w:type="dxa"/>
            <w:gridSpan w:val="2"/>
            <w:shd w:val="clear" w:color="auto" w:fill="auto"/>
          </w:tcPr>
          <w:p w14:paraId="278B422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Netirta. Ritonaviras gali mažinti vorikonazolo koncentraciją plazmoje. (CYP450 izofermentų sužadinimas).</w:t>
            </w:r>
          </w:p>
          <w:p w14:paraId="2475FEBB" w14:textId="77777777" w:rsidR="009F5848" w:rsidRPr="00C75EC3" w:rsidRDefault="009F5848" w:rsidP="00C75EC3">
            <w:pPr>
              <w:autoSpaceDE w:val="0"/>
              <w:autoSpaceDN w:val="0"/>
              <w:adjustRightInd w:val="0"/>
              <w:rPr>
                <w:rFonts w:eastAsia="TimesNewRoman"/>
                <w:sz w:val="20"/>
                <w:lang w:val="lt-LT" w:eastAsia="en-US"/>
              </w:rPr>
            </w:pPr>
          </w:p>
        </w:tc>
        <w:tc>
          <w:tcPr>
            <w:tcW w:w="3023" w:type="dxa"/>
            <w:shd w:val="clear" w:color="auto" w:fill="auto"/>
          </w:tcPr>
          <w:p w14:paraId="5DBA0B9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Vorikonazolo negalima vartoti kartu su darunaviru</w:t>
            </w:r>
            <w:r w:rsidR="00A70625" w:rsidRPr="00C75EC3">
              <w:rPr>
                <w:rFonts w:eastAsia="TimesNewRoman"/>
                <w:sz w:val="20"/>
                <w:lang w:val="lt-LT" w:eastAsia="en-US"/>
              </w:rPr>
              <w:t xml:space="preserve"> ir maža ritonaviro doze</w:t>
            </w:r>
            <w:r w:rsidRPr="00C75EC3">
              <w:rPr>
                <w:rFonts w:eastAsia="TimesNewRoman"/>
                <w:sz w:val="20"/>
                <w:lang w:val="lt-LT" w:eastAsia="en-US"/>
              </w:rPr>
              <w:t>, išskyrus atvejus, kai vorikonazolo skyrimas pagrįstas naudos ir rizikos santykio įvertinimu.</w:t>
            </w:r>
          </w:p>
        </w:tc>
      </w:tr>
      <w:tr w:rsidR="009F5848" w:rsidRPr="00C75EC3" w14:paraId="47707F3E" w14:textId="77777777" w:rsidTr="00C75EC3">
        <w:tc>
          <w:tcPr>
            <w:tcW w:w="2817" w:type="dxa"/>
            <w:shd w:val="clear" w:color="auto" w:fill="auto"/>
          </w:tcPr>
          <w:p w14:paraId="119B077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Ketokonazolas 200 mg du kartus per parą</w:t>
            </w:r>
          </w:p>
        </w:tc>
        <w:tc>
          <w:tcPr>
            <w:tcW w:w="3448" w:type="dxa"/>
            <w:gridSpan w:val="2"/>
            <w:shd w:val="clear" w:color="auto" w:fill="auto"/>
          </w:tcPr>
          <w:p w14:paraId="037B51B5"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ketokonazolo AUC ↑ 212 %</w:t>
            </w:r>
          </w:p>
          <w:p w14:paraId="2CFA3391"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ketokonazolo Cmin ↑ 868 %</w:t>
            </w:r>
          </w:p>
          <w:p w14:paraId="15991EF7"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ketokonazolo Cmax ↑ 111 %</w:t>
            </w:r>
          </w:p>
          <w:p w14:paraId="2E45A2A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AUC ↑ 42 %</w:t>
            </w:r>
          </w:p>
          <w:p w14:paraId="407EA27C"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Cmin ↑ 73 %</w:t>
            </w:r>
          </w:p>
          <w:p w14:paraId="552C4E81"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Cmax ↑ 21 %</w:t>
            </w:r>
          </w:p>
          <w:p w14:paraId="1FCC9471"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(dėl CYP3A slopinimo)</w:t>
            </w:r>
          </w:p>
        </w:tc>
        <w:tc>
          <w:tcPr>
            <w:tcW w:w="3023" w:type="dxa"/>
            <w:shd w:val="clear" w:color="auto" w:fill="auto"/>
          </w:tcPr>
          <w:p w14:paraId="066763E8" w14:textId="77777777" w:rsidR="009F5848" w:rsidRPr="00C75EC3" w:rsidRDefault="00A70625" w:rsidP="00C75EC3">
            <w:pPr>
              <w:autoSpaceDE w:val="0"/>
              <w:autoSpaceDN w:val="0"/>
              <w:adjustRightInd w:val="0"/>
              <w:rPr>
                <w:rFonts w:eastAsia="TimesNewRoman"/>
                <w:sz w:val="20"/>
                <w:lang w:val="lt-LT" w:eastAsia="en-US"/>
              </w:rPr>
            </w:pPr>
            <w:r w:rsidRPr="00C75EC3">
              <w:rPr>
                <w:rFonts w:eastAsia="TimesNewRoman"/>
                <w:sz w:val="20"/>
                <w:lang w:val="lt-LT" w:eastAsia="en-US"/>
              </w:rPr>
              <w:t>V</w:t>
            </w:r>
            <w:r w:rsidR="009F5848" w:rsidRPr="00C75EC3">
              <w:rPr>
                <w:rFonts w:eastAsia="TimesNewRoman"/>
                <w:sz w:val="20"/>
                <w:lang w:val="lt-LT" w:eastAsia="en-US"/>
              </w:rPr>
              <w:t>artoti kartu reikia atsargiai ir rekomenduojama stebėti klinikinę paciento būklę. Jeigu šiuos vaistinius preparatus reikia skirti kartu, ketokonazolo paros dozė turi būti ne didesnė kaip 200 mg.</w:t>
            </w:r>
          </w:p>
        </w:tc>
      </w:tr>
      <w:tr w:rsidR="009F5848" w:rsidRPr="00C75EC3" w14:paraId="4B27DE42" w14:textId="77777777" w:rsidTr="00C75EC3">
        <w:tc>
          <w:tcPr>
            <w:tcW w:w="2817" w:type="dxa"/>
            <w:shd w:val="clear" w:color="auto" w:fill="auto"/>
          </w:tcPr>
          <w:p w14:paraId="41CE3DB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Pozakonazolas</w:t>
            </w:r>
          </w:p>
        </w:tc>
        <w:tc>
          <w:tcPr>
            <w:tcW w:w="3448" w:type="dxa"/>
            <w:gridSpan w:val="2"/>
            <w:shd w:val="clear" w:color="auto" w:fill="auto"/>
          </w:tcPr>
          <w:p w14:paraId="2021BD24"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Netirta. </w:t>
            </w:r>
            <w:r w:rsidR="00E746A0" w:rsidRPr="00C75EC3">
              <w:rPr>
                <w:rFonts w:eastAsia="TimesNewRoman"/>
                <w:sz w:val="20"/>
                <w:lang w:val="lt-LT" w:eastAsia="en-US"/>
              </w:rPr>
              <w:t>D</w:t>
            </w:r>
            <w:r w:rsidRPr="00C75EC3">
              <w:rPr>
                <w:rFonts w:eastAsia="TimesNewRoman"/>
                <w:sz w:val="20"/>
                <w:lang w:val="lt-LT" w:eastAsia="en-US"/>
              </w:rPr>
              <w:t>arunaviras gali padidinti priešgrybelinių vaistinių preparatų koncentracijas plazmoje (P-g</w:t>
            </w:r>
            <w:r w:rsidR="00E746A0" w:rsidRPr="00C75EC3">
              <w:rPr>
                <w:rFonts w:eastAsia="TimesNewRoman"/>
                <w:sz w:val="20"/>
                <w:lang w:val="lt-LT" w:eastAsia="en-US"/>
              </w:rPr>
              <w:t xml:space="preserve">p slopinimas) ir pozakonazolas </w:t>
            </w:r>
            <w:r w:rsidRPr="00C75EC3">
              <w:rPr>
                <w:rFonts w:eastAsia="TimesNewRoman"/>
                <w:sz w:val="20"/>
                <w:lang w:val="lt-LT" w:eastAsia="en-US"/>
              </w:rPr>
              <w:t>gali padidinti darunaviro koncentracijas. (CYP3A slopinimas)</w:t>
            </w:r>
          </w:p>
        </w:tc>
        <w:tc>
          <w:tcPr>
            <w:tcW w:w="3023" w:type="dxa"/>
            <w:shd w:val="clear" w:color="auto" w:fill="auto"/>
          </w:tcPr>
          <w:p w14:paraId="4961E1F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Vartoti </w:t>
            </w:r>
            <w:r w:rsidR="00E746A0" w:rsidRPr="00C75EC3">
              <w:rPr>
                <w:rFonts w:eastAsia="TimesNewRoman"/>
                <w:sz w:val="20"/>
                <w:lang w:val="lt-LT" w:eastAsia="en-US"/>
              </w:rPr>
              <w:t>reikia atsargiai ir rekomenduojam</w:t>
            </w:r>
            <w:r w:rsidRPr="00C75EC3">
              <w:rPr>
                <w:rFonts w:eastAsia="TimesNewRoman"/>
                <w:sz w:val="20"/>
                <w:lang w:val="lt-LT" w:eastAsia="en-US"/>
              </w:rPr>
              <w:t>a stebėti klinikinę paciento būklę.</w:t>
            </w:r>
          </w:p>
        </w:tc>
      </w:tr>
      <w:tr w:rsidR="009F5848" w:rsidRPr="00C75EC3" w14:paraId="287B97F5" w14:textId="77777777" w:rsidTr="00C75EC3">
        <w:tc>
          <w:tcPr>
            <w:tcW w:w="2817" w:type="dxa"/>
            <w:shd w:val="clear" w:color="auto" w:fill="auto"/>
          </w:tcPr>
          <w:p w14:paraId="53867606"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Itrakonazolas</w:t>
            </w:r>
          </w:p>
        </w:tc>
        <w:tc>
          <w:tcPr>
            <w:tcW w:w="3448" w:type="dxa"/>
            <w:gridSpan w:val="2"/>
            <w:shd w:val="clear" w:color="auto" w:fill="auto"/>
          </w:tcPr>
          <w:p w14:paraId="686A9B2B"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Netirta. Kartu su darunaviru </w:t>
            </w:r>
            <w:r w:rsidR="009800A3">
              <w:rPr>
                <w:rFonts w:eastAsia="TimesNewRoman"/>
                <w:sz w:val="20"/>
                <w:lang w:val="lt-LT" w:eastAsia="en-US"/>
              </w:rPr>
              <w:t xml:space="preserve">ir mažomis ritonaviro dozėmis </w:t>
            </w:r>
            <w:r w:rsidRPr="00C75EC3">
              <w:rPr>
                <w:rFonts w:eastAsia="TimesNewRoman"/>
                <w:sz w:val="20"/>
                <w:lang w:val="lt-LT" w:eastAsia="en-US"/>
              </w:rPr>
              <w:t>sisteminiu būdu vartojamas itrakonazolas gali didinti darunaviro  koncentracij</w:t>
            </w:r>
            <w:r w:rsidR="009800A3">
              <w:rPr>
                <w:rFonts w:eastAsia="TimesNewRoman"/>
                <w:sz w:val="20"/>
                <w:lang w:val="lt-LT" w:eastAsia="en-US"/>
              </w:rPr>
              <w:t>ą</w:t>
            </w:r>
            <w:r w:rsidRPr="00C75EC3">
              <w:rPr>
                <w:rFonts w:eastAsia="TimesNewRoman"/>
                <w:sz w:val="20"/>
                <w:lang w:val="lt-LT" w:eastAsia="en-US"/>
              </w:rPr>
              <w:t xml:space="preserve"> plazmoje.</w:t>
            </w:r>
            <w:r w:rsidR="009800A3">
              <w:rPr>
                <w:rFonts w:eastAsia="TimesNewRoman"/>
                <w:sz w:val="20"/>
                <w:lang w:val="lt-LT" w:eastAsia="en-US"/>
              </w:rPr>
              <w:t xml:space="preserve"> Tuo pačiu metu gali padidėti itrakonazolo koncetracija plazmoje kartu skiriant su darunaviru ir mažomis ritonaviro dozėmis</w:t>
            </w:r>
            <w:r w:rsidRPr="00C75EC3">
              <w:rPr>
                <w:rFonts w:eastAsia="TimesNewRoman"/>
                <w:sz w:val="20"/>
                <w:lang w:val="lt-LT" w:eastAsia="en-US"/>
              </w:rPr>
              <w:t xml:space="preserve"> (dėl CYP3A slopinimo)</w:t>
            </w:r>
            <w:r w:rsidR="009800A3">
              <w:rPr>
                <w:rFonts w:eastAsia="TimesNewRoman"/>
                <w:sz w:val="20"/>
                <w:lang w:val="lt-LT" w:eastAsia="en-US"/>
              </w:rPr>
              <w:t>.</w:t>
            </w:r>
          </w:p>
        </w:tc>
        <w:tc>
          <w:tcPr>
            <w:tcW w:w="3023" w:type="dxa"/>
            <w:shd w:val="clear" w:color="auto" w:fill="auto"/>
          </w:tcPr>
          <w:p w14:paraId="5CCFBC67" w14:textId="77777777" w:rsidR="009F5848" w:rsidRPr="00C75EC3" w:rsidRDefault="00A70625" w:rsidP="00C75EC3">
            <w:pPr>
              <w:autoSpaceDE w:val="0"/>
              <w:autoSpaceDN w:val="0"/>
              <w:adjustRightInd w:val="0"/>
              <w:rPr>
                <w:rFonts w:eastAsia="TimesNewRoman"/>
                <w:sz w:val="20"/>
                <w:lang w:val="lt-LT" w:eastAsia="en-US"/>
              </w:rPr>
            </w:pPr>
            <w:r w:rsidRPr="00C75EC3">
              <w:rPr>
                <w:rFonts w:eastAsia="TimesNewRoman"/>
                <w:sz w:val="20"/>
                <w:lang w:val="lt-LT" w:eastAsia="en-US"/>
              </w:rPr>
              <w:t>V</w:t>
            </w:r>
            <w:r w:rsidR="009F5848" w:rsidRPr="00C75EC3">
              <w:rPr>
                <w:rFonts w:eastAsia="TimesNewRoman"/>
                <w:sz w:val="20"/>
                <w:lang w:val="lt-LT" w:eastAsia="en-US"/>
              </w:rPr>
              <w:t>artoti reikia atsargiai ir rekomenduojama stebėti klinikinę paciento būklę. Jeigu šiuos vaistinius preparatus reikia skirti kartu, itrakonazolo paros dozė turi būti ne didesnė kaip 200 mg.</w:t>
            </w:r>
          </w:p>
        </w:tc>
      </w:tr>
      <w:tr w:rsidR="009F5848" w:rsidRPr="00C75EC3" w14:paraId="4E2500DD" w14:textId="77777777" w:rsidTr="00C75EC3">
        <w:tc>
          <w:tcPr>
            <w:tcW w:w="2817" w:type="dxa"/>
            <w:shd w:val="clear" w:color="auto" w:fill="auto"/>
          </w:tcPr>
          <w:p w14:paraId="288151F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Klotrimazolas</w:t>
            </w:r>
          </w:p>
        </w:tc>
        <w:tc>
          <w:tcPr>
            <w:tcW w:w="3448" w:type="dxa"/>
            <w:gridSpan w:val="2"/>
            <w:shd w:val="clear" w:color="auto" w:fill="auto"/>
          </w:tcPr>
          <w:p w14:paraId="04335BC3"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Netirta. Kartu </w:t>
            </w:r>
            <w:r w:rsidR="007C35D4">
              <w:rPr>
                <w:rFonts w:eastAsia="TimesNewRoman"/>
                <w:sz w:val="20"/>
                <w:lang w:val="lt-LT" w:eastAsia="en-US"/>
              </w:rPr>
              <w:t>skiriamas</w:t>
            </w:r>
            <w:r w:rsidRPr="00C75EC3">
              <w:rPr>
                <w:rFonts w:eastAsia="TimesNewRoman"/>
                <w:sz w:val="20"/>
                <w:lang w:val="lt-LT" w:eastAsia="en-US"/>
              </w:rPr>
              <w:t xml:space="preserve"> darunavir</w:t>
            </w:r>
            <w:r w:rsidR="007C35D4">
              <w:rPr>
                <w:rFonts w:eastAsia="TimesNewRoman"/>
                <w:sz w:val="20"/>
                <w:lang w:val="lt-LT" w:eastAsia="en-US"/>
              </w:rPr>
              <w:t>as</w:t>
            </w:r>
            <w:r w:rsidR="009800A3">
              <w:rPr>
                <w:rFonts w:eastAsia="TimesNewRoman"/>
                <w:sz w:val="20"/>
                <w:lang w:val="lt-LT" w:eastAsia="en-US"/>
              </w:rPr>
              <w:t xml:space="preserve"> su mažomis ritonaviro dozėmis</w:t>
            </w:r>
            <w:r w:rsidR="007C35D4">
              <w:rPr>
                <w:rFonts w:eastAsia="TimesNewRoman"/>
                <w:sz w:val="20"/>
                <w:lang w:val="lt-LT" w:eastAsia="en-US"/>
              </w:rPr>
              <w:t xml:space="preserve"> ir</w:t>
            </w:r>
            <w:r w:rsidRPr="00C75EC3">
              <w:rPr>
                <w:rFonts w:eastAsia="TimesNewRoman"/>
                <w:sz w:val="20"/>
                <w:lang w:val="lt-LT" w:eastAsia="en-US"/>
              </w:rPr>
              <w:t xml:space="preserve"> sisteminiu būdu vartojamas klotrimazolas gali didinti darunaviro koncentracij</w:t>
            </w:r>
            <w:r w:rsidR="007C35D4">
              <w:rPr>
                <w:rFonts w:eastAsia="TimesNewRoman"/>
                <w:sz w:val="20"/>
                <w:lang w:val="lt-LT" w:eastAsia="en-US"/>
              </w:rPr>
              <w:t>ą</w:t>
            </w:r>
            <w:r w:rsidRPr="00C75EC3">
              <w:rPr>
                <w:rFonts w:eastAsia="TimesNewRoman"/>
                <w:sz w:val="20"/>
                <w:lang w:val="lt-LT" w:eastAsia="en-US"/>
              </w:rPr>
              <w:t xml:space="preserve"> plazmoje. </w:t>
            </w:r>
            <w:r w:rsidR="007C35D4">
              <w:rPr>
                <w:rFonts w:eastAsia="TimesNewRoman"/>
                <w:sz w:val="20"/>
                <w:lang w:val="lt-LT" w:eastAsia="en-US"/>
              </w:rPr>
              <w:t>D</w:t>
            </w:r>
            <w:r w:rsidRPr="00C75EC3">
              <w:rPr>
                <w:rFonts w:eastAsia="TimesNewRoman"/>
                <w:sz w:val="20"/>
                <w:lang w:val="lt-LT" w:eastAsia="en-US"/>
              </w:rPr>
              <w:t>arunaviro AUC</w:t>
            </w:r>
            <w:r w:rsidRPr="00C75EC3">
              <w:rPr>
                <w:rFonts w:eastAsia="TimesNewRoman"/>
                <w:sz w:val="20"/>
                <w:vertAlign w:val="subscript"/>
                <w:lang w:val="lt-LT" w:eastAsia="en-US"/>
              </w:rPr>
              <w:t xml:space="preserve">24val. </w:t>
            </w:r>
            <w:r w:rsidRPr="00C75EC3">
              <w:rPr>
                <w:rFonts w:eastAsia="TimesNewRoman"/>
                <w:sz w:val="20"/>
                <w:lang w:val="lt-LT" w:eastAsia="en-US"/>
              </w:rPr>
              <w:t>↑ 33 % (remiantis populiacijos farmakokinetikos modeliu)</w:t>
            </w:r>
          </w:p>
        </w:tc>
        <w:tc>
          <w:tcPr>
            <w:tcW w:w="3023" w:type="dxa"/>
            <w:shd w:val="clear" w:color="auto" w:fill="auto"/>
          </w:tcPr>
          <w:p w14:paraId="4153FD30"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Jeigu kartu būtina skirti klotrimazolą, vartoti kartu reikia atsargiai ir rekomenduojama stebėti klinikinę paciento būklę.</w:t>
            </w:r>
          </w:p>
        </w:tc>
      </w:tr>
      <w:tr w:rsidR="009F5848" w:rsidRPr="00C75EC3" w14:paraId="7B5F413F" w14:textId="77777777" w:rsidTr="00C75EC3">
        <w:tc>
          <w:tcPr>
            <w:tcW w:w="9288" w:type="dxa"/>
            <w:gridSpan w:val="4"/>
            <w:shd w:val="clear" w:color="auto" w:fill="auto"/>
          </w:tcPr>
          <w:p w14:paraId="7C9F03BC"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Bold"/>
                <w:b/>
                <w:bCs/>
                <w:sz w:val="20"/>
                <w:lang w:val="lt-LT" w:eastAsia="en-US"/>
              </w:rPr>
              <w:t>VAISTINIAI PREPARATAI PODAGRAI GYDYTI</w:t>
            </w:r>
          </w:p>
        </w:tc>
      </w:tr>
      <w:tr w:rsidR="009F5848" w:rsidRPr="00C75EC3" w14:paraId="07FC673A" w14:textId="77777777" w:rsidTr="00C75EC3">
        <w:tc>
          <w:tcPr>
            <w:tcW w:w="2817" w:type="dxa"/>
            <w:shd w:val="clear" w:color="auto" w:fill="auto"/>
          </w:tcPr>
          <w:p w14:paraId="10571B21"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Kolchicinas</w:t>
            </w:r>
          </w:p>
        </w:tc>
        <w:tc>
          <w:tcPr>
            <w:tcW w:w="3448" w:type="dxa"/>
            <w:gridSpan w:val="2"/>
            <w:shd w:val="clear" w:color="auto" w:fill="auto"/>
          </w:tcPr>
          <w:p w14:paraId="78B88399"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Netirta. Kolchiciną vartojant kartu su  darunaviru</w:t>
            </w:r>
            <w:r w:rsidR="007C35D4">
              <w:rPr>
                <w:rFonts w:eastAsia="TimesNewRoman"/>
                <w:sz w:val="20"/>
                <w:lang w:val="lt-LT" w:eastAsia="en-US"/>
              </w:rPr>
              <w:t xml:space="preserve"> ir mažomis ritonaviro dozėmis</w:t>
            </w:r>
            <w:r w:rsidRPr="00C75EC3">
              <w:rPr>
                <w:rFonts w:eastAsia="TimesNewRoman"/>
                <w:sz w:val="20"/>
                <w:lang w:val="lt-LT" w:eastAsia="en-US"/>
              </w:rPr>
              <w:t xml:space="preserve">, kolchicino ekspozicija gali padidėti. </w:t>
            </w:r>
          </w:p>
        </w:tc>
        <w:tc>
          <w:tcPr>
            <w:tcW w:w="3023" w:type="dxa"/>
            <w:shd w:val="clear" w:color="auto" w:fill="auto"/>
          </w:tcPr>
          <w:p w14:paraId="599D70C7" w14:textId="77777777" w:rsidR="009F5848" w:rsidRPr="00C75EC3" w:rsidRDefault="00A70625"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Jei </w:t>
            </w:r>
            <w:r w:rsidR="009F5848" w:rsidRPr="00C75EC3">
              <w:rPr>
                <w:rFonts w:eastAsia="TimesNewRoman"/>
                <w:sz w:val="20"/>
                <w:lang w:val="lt-LT" w:eastAsia="en-US"/>
              </w:rPr>
              <w:t xml:space="preserve">darunavirą </w:t>
            </w:r>
            <w:r w:rsidRPr="00C75EC3">
              <w:rPr>
                <w:rFonts w:eastAsia="TimesNewRoman"/>
                <w:sz w:val="20"/>
                <w:lang w:val="lt-LT" w:eastAsia="en-US"/>
              </w:rPr>
              <w:t xml:space="preserve">su maža ritonaviro doze </w:t>
            </w:r>
            <w:r w:rsidR="009F5848" w:rsidRPr="00C75EC3">
              <w:rPr>
                <w:rFonts w:eastAsia="TimesNewRoman"/>
                <w:sz w:val="20"/>
                <w:lang w:val="lt-LT" w:eastAsia="en-US"/>
              </w:rPr>
              <w:t xml:space="preserve">reikia skirti pacientams, kurių inkstų arba kepenų funkcija yra normali, kolchicino dozę rekomenduojama sumažinti arba gydymą kolchicinu nutraukti. Pacientams, kurie serga inkstų arba kepenų funkcijos sutrikimu, kolchicino </w:t>
            </w:r>
            <w:r w:rsidR="009F5848" w:rsidRPr="00C75EC3">
              <w:rPr>
                <w:rFonts w:eastAsia="TimesNewRoman"/>
                <w:sz w:val="20"/>
                <w:lang w:val="lt-LT" w:eastAsia="en-US"/>
              </w:rPr>
              <w:lastRenderedPageBreak/>
              <w:t>vartojimas kartu su darunaviru yra kontraindikuotinas (žr. 4.</w:t>
            </w:r>
            <w:r w:rsidR="00E746A0" w:rsidRPr="00C75EC3">
              <w:rPr>
                <w:rFonts w:eastAsia="TimesNewRoman"/>
                <w:sz w:val="20"/>
                <w:lang w:val="lt-LT" w:eastAsia="en-US"/>
              </w:rPr>
              <w:t>4</w:t>
            </w:r>
            <w:r w:rsidR="009F5848" w:rsidRPr="00C75EC3">
              <w:rPr>
                <w:rFonts w:eastAsia="TimesNewRoman"/>
                <w:sz w:val="20"/>
                <w:lang w:val="lt-LT" w:eastAsia="en-US"/>
              </w:rPr>
              <w:t xml:space="preserve"> skyrių).</w:t>
            </w:r>
          </w:p>
        </w:tc>
      </w:tr>
      <w:tr w:rsidR="009F5848" w:rsidRPr="00C75EC3" w14:paraId="13113564" w14:textId="77777777" w:rsidTr="00C75EC3">
        <w:tc>
          <w:tcPr>
            <w:tcW w:w="9288" w:type="dxa"/>
            <w:gridSpan w:val="4"/>
            <w:shd w:val="clear" w:color="auto" w:fill="auto"/>
          </w:tcPr>
          <w:p w14:paraId="7910C2E1"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Bold"/>
                <w:b/>
                <w:bCs/>
                <w:sz w:val="20"/>
                <w:lang w:val="lt-LT" w:eastAsia="en-US"/>
              </w:rPr>
              <w:lastRenderedPageBreak/>
              <w:t>VAISTINIAI PREPARATAI NUO MALIARIJOS</w:t>
            </w:r>
          </w:p>
        </w:tc>
      </w:tr>
      <w:tr w:rsidR="009F5848" w:rsidRPr="00C75EC3" w14:paraId="4DCE5DB7" w14:textId="77777777" w:rsidTr="00C75EC3">
        <w:tc>
          <w:tcPr>
            <w:tcW w:w="2817" w:type="dxa"/>
            <w:shd w:val="clear" w:color="auto" w:fill="auto"/>
          </w:tcPr>
          <w:p w14:paraId="1639F65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Artemeteras/Lumefantrinas 80/480 mg, 6 dozės 0, 8, 24, 36, 48 ir 60 valandą</w:t>
            </w:r>
          </w:p>
        </w:tc>
        <w:tc>
          <w:tcPr>
            <w:tcW w:w="3448" w:type="dxa"/>
            <w:gridSpan w:val="2"/>
            <w:shd w:val="clear" w:color="auto" w:fill="auto"/>
          </w:tcPr>
          <w:p w14:paraId="48AC96F0"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artemetero AUC ↓ 16 %</w:t>
            </w:r>
          </w:p>
          <w:p w14:paraId="20275087"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artemetero Cmin ↔</w:t>
            </w:r>
          </w:p>
          <w:p w14:paraId="1F490EA1"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artemetero Cmax ↓ 18 %</w:t>
            </w:r>
          </w:p>
          <w:p w14:paraId="50C30A2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dihidroartemisinino AUC ↓ 18 %</w:t>
            </w:r>
          </w:p>
          <w:p w14:paraId="656A82C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dihidroartemisinino Cmin ↔</w:t>
            </w:r>
          </w:p>
          <w:p w14:paraId="422877CB"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dihidroartemisinino Cmax ↓ 18 %</w:t>
            </w:r>
          </w:p>
          <w:p w14:paraId="25887C9E"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lumefantrino AUC ↑ 175 %</w:t>
            </w:r>
          </w:p>
          <w:p w14:paraId="00217306"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lumefantrino Cmin ↑ 126 %</w:t>
            </w:r>
          </w:p>
          <w:p w14:paraId="1E46547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lumefantrino Cmax ↑ 65 %</w:t>
            </w:r>
          </w:p>
          <w:p w14:paraId="0B2253C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AUC ↔</w:t>
            </w:r>
          </w:p>
          <w:p w14:paraId="3EF51AF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Cmin ↓ 13 %</w:t>
            </w:r>
          </w:p>
          <w:p w14:paraId="5C193500"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Cmax ↔</w:t>
            </w:r>
          </w:p>
        </w:tc>
        <w:tc>
          <w:tcPr>
            <w:tcW w:w="3023" w:type="dxa"/>
            <w:shd w:val="clear" w:color="auto" w:fill="auto"/>
          </w:tcPr>
          <w:p w14:paraId="4E1319B7" w14:textId="77777777" w:rsidR="009F5848" w:rsidRPr="00C75EC3" w:rsidRDefault="00A70625" w:rsidP="00C75EC3">
            <w:pPr>
              <w:autoSpaceDE w:val="0"/>
              <w:autoSpaceDN w:val="0"/>
              <w:adjustRightInd w:val="0"/>
              <w:rPr>
                <w:rFonts w:eastAsia="TimesNewRoman"/>
                <w:sz w:val="20"/>
                <w:lang w:val="lt-LT" w:eastAsia="en-US"/>
              </w:rPr>
            </w:pPr>
            <w:r w:rsidRPr="00C75EC3">
              <w:rPr>
                <w:rFonts w:eastAsia="TimesNewRoman"/>
                <w:sz w:val="20"/>
                <w:lang w:val="lt-LT" w:eastAsia="en-US"/>
              </w:rPr>
              <w:t>D</w:t>
            </w:r>
            <w:r w:rsidR="009F5848" w:rsidRPr="00C75EC3">
              <w:rPr>
                <w:rFonts w:eastAsia="TimesNewRoman"/>
                <w:sz w:val="20"/>
                <w:lang w:val="lt-LT" w:eastAsia="en-US"/>
              </w:rPr>
              <w:t>arunavirą kartu su artemeteru/lumefantrinu galima vartoti nekeičiant dozės, tačiau, dėl lumefantrino ekspozicijos padidėjimo derinį reikia vartoti atsargiai.</w:t>
            </w:r>
          </w:p>
        </w:tc>
      </w:tr>
      <w:tr w:rsidR="009F5848" w:rsidRPr="00C75EC3" w14:paraId="4B4106C2" w14:textId="77777777" w:rsidTr="00C75EC3">
        <w:tc>
          <w:tcPr>
            <w:tcW w:w="9288" w:type="dxa"/>
            <w:gridSpan w:val="4"/>
            <w:shd w:val="clear" w:color="auto" w:fill="auto"/>
          </w:tcPr>
          <w:p w14:paraId="00EE2654"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Bold"/>
                <w:b/>
                <w:bCs/>
                <w:sz w:val="20"/>
                <w:lang w:val="lt-LT" w:eastAsia="en-US"/>
              </w:rPr>
              <w:t>PRIEŠTUBERKULIOZINIAI VAISTINIAI PREPARATAI</w:t>
            </w:r>
          </w:p>
        </w:tc>
      </w:tr>
      <w:tr w:rsidR="009F5848" w:rsidRPr="00C75EC3" w14:paraId="0F9D85B3" w14:textId="77777777" w:rsidTr="00C75EC3">
        <w:tc>
          <w:tcPr>
            <w:tcW w:w="2817" w:type="dxa"/>
            <w:shd w:val="clear" w:color="auto" w:fill="auto"/>
          </w:tcPr>
          <w:p w14:paraId="18AD1AB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Rifampicinas</w:t>
            </w:r>
          </w:p>
          <w:p w14:paraId="43E5D1E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Rifapentinas</w:t>
            </w:r>
          </w:p>
        </w:tc>
        <w:tc>
          <w:tcPr>
            <w:tcW w:w="3448" w:type="dxa"/>
            <w:gridSpan w:val="2"/>
            <w:shd w:val="clear" w:color="auto" w:fill="auto"/>
          </w:tcPr>
          <w:p w14:paraId="62B2E123"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Netirta. Rifapentinas ir rifampicinas stipriai sužadina CYP3A ir nustatyta, kad ženkliai sumažina kitų proteazės inhibitorių koncentracijas, o tai gali lemti antivirusinio poveikio nepakankamumą ir atsparių virusų atsiradimą (CYP450 izofermentų sužadinimas). Mėginant kompensuoti sumažėjusią ekspoziciją didesnėmis dozėmis kitų proteazės inhibitorių, vartojamų karu su maža ritonaviro doze, vartojant rifampiciną daug dažniau pasireiškė kepenų reakcijos.</w:t>
            </w:r>
          </w:p>
        </w:tc>
        <w:tc>
          <w:tcPr>
            <w:tcW w:w="3023" w:type="dxa"/>
            <w:shd w:val="clear" w:color="auto" w:fill="auto"/>
          </w:tcPr>
          <w:p w14:paraId="0373E179"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Nerekomeduojama vartoti rifapentino ir darunaviro </w:t>
            </w:r>
            <w:r w:rsidR="00A70625" w:rsidRPr="00C75EC3">
              <w:rPr>
                <w:rFonts w:eastAsia="TimesNewRoman"/>
                <w:sz w:val="20"/>
                <w:lang w:val="lt-LT" w:eastAsia="en-US"/>
              </w:rPr>
              <w:t xml:space="preserve">su maža ritonaviro doze </w:t>
            </w:r>
            <w:r w:rsidRPr="00C75EC3">
              <w:rPr>
                <w:rFonts w:eastAsia="TimesNewRoman"/>
                <w:sz w:val="20"/>
                <w:lang w:val="lt-LT" w:eastAsia="en-US"/>
              </w:rPr>
              <w:t xml:space="preserve">derinio. Rifampicino </w:t>
            </w:r>
            <w:r w:rsidR="00A70625" w:rsidRPr="00C75EC3">
              <w:rPr>
                <w:rFonts w:eastAsia="TimesNewRoman"/>
                <w:sz w:val="20"/>
                <w:lang w:val="lt-LT" w:eastAsia="en-US"/>
              </w:rPr>
              <w:t xml:space="preserve">vartojimas kartu su </w:t>
            </w:r>
            <w:r w:rsidRPr="00C75EC3">
              <w:rPr>
                <w:rFonts w:eastAsia="TimesNewRoman"/>
                <w:sz w:val="20"/>
                <w:lang w:val="lt-LT" w:eastAsia="en-US"/>
              </w:rPr>
              <w:t>darunaviru</w:t>
            </w:r>
            <w:r w:rsidR="00A70625" w:rsidRPr="00C75EC3">
              <w:rPr>
                <w:rFonts w:eastAsia="TimesNewRoman"/>
                <w:sz w:val="20"/>
                <w:lang w:val="lt-LT" w:eastAsia="en-US"/>
              </w:rPr>
              <w:t xml:space="preserve"> ir maža ritonaviro doze </w:t>
            </w:r>
            <w:r w:rsidRPr="00C75EC3">
              <w:rPr>
                <w:rFonts w:eastAsia="TimesNewRoman"/>
                <w:sz w:val="20"/>
                <w:lang w:val="lt-LT" w:eastAsia="en-US"/>
              </w:rPr>
              <w:t>kontraindikuotinas (žr. 4.3 skyrių).</w:t>
            </w:r>
          </w:p>
        </w:tc>
      </w:tr>
      <w:tr w:rsidR="009F5848" w:rsidRPr="00C75EC3" w14:paraId="7FB1923B" w14:textId="77777777" w:rsidTr="00C75EC3">
        <w:tc>
          <w:tcPr>
            <w:tcW w:w="2817" w:type="dxa"/>
            <w:shd w:val="clear" w:color="auto" w:fill="auto"/>
          </w:tcPr>
          <w:p w14:paraId="291ED3FC"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Rifabutinas 150 mg vieną kartą kas antra parą</w:t>
            </w:r>
          </w:p>
        </w:tc>
        <w:tc>
          <w:tcPr>
            <w:tcW w:w="3448" w:type="dxa"/>
            <w:gridSpan w:val="2"/>
            <w:shd w:val="clear" w:color="auto" w:fill="auto"/>
          </w:tcPr>
          <w:p w14:paraId="1EB7279E"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rifabutino AUC</w:t>
            </w:r>
            <w:r w:rsidRPr="00C75EC3">
              <w:rPr>
                <w:rFonts w:eastAsia="TimesNewRoman"/>
                <w:sz w:val="20"/>
                <w:vertAlign w:val="superscript"/>
                <w:lang w:val="lt-LT" w:eastAsia="en-US"/>
              </w:rPr>
              <w:t>**</w:t>
            </w:r>
            <w:r w:rsidRPr="00C75EC3">
              <w:rPr>
                <w:rFonts w:eastAsia="TimesNewRoman"/>
                <w:sz w:val="20"/>
                <w:lang w:val="lt-LT" w:eastAsia="en-US"/>
              </w:rPr>
              <w:t xml:space="preserve"> ↑ 55 %</w:t>
            </w:r>
          </w:p>
          <w:p w14:paraId="73778D4C"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rifabutino Cmin</w:t>
            </w:r>
            <w:r w:rsidRPr="00C75EC3">
              <w:rPr>
                <w:rFonts w:eastAsia="TimesNewRoman"/>
                <w:sz w:val="20"/>
                <w:vertAlign w:val="superscript"/>
                <w:lang w:val="lt-LT" w:eastAsia="en-US"/>
              </w:rPr>
              <w:t xml:space="preserve">** </w:t>
            </w:r>
            <w:r w:rsidRPr="00C75EC3">
              <w:rPr>
                <w:rFonts w:eastAsia="TimesNewRoman"/>
                <w:sz w:val="20"/>
                <w:lang w:val="lt-LT" w:eastAsia="en-US"/>
              </w:rPr>
              <w:t>↑ NN</w:t>
            </w:r>
          </w:p>
          <w:p w14:paraId="4C747F97"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rifabutino Cmax </w:t>
            </w:r>
            <w:r w:rsidRPr="00C75EC3">
              <w:rPr>
                <w:rFonts w:eastAsia="TimesNewRoman"/>
                <w:sz w:val="20"/>
                <w:vertAlign w:val="superscript"/>
                <w:lang w:val="lt-LT" w:eastAsia="en-US"/>
              </w:rPr>
              <w:t xml:space="preserve">** </w:t>
            </w:r>
            <w:r w:rsidRPr="00C75EC3">
              <w:rPr>
                <w:rFonts w:eastAsia="TimesNewRoman"/>
                <w:sz w:val="20"/>
                <w:lang w:val="lt-LT" w:eastAsia="en-US"/>
              </w:rPr>
              <w:t>↔</w:t>
            </w:r>
          </w:p>
          <w:p w14:paraId="2C4F9BB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AUC ↑ 53 %</w:t>
            </w:r>
          </w:p>
          <w:p w14:paraId="0516CAB4"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Cmin ↑ 68 %</w:t>
            </w:r>
          </w:p>
          <w:p w14:paraId="566B0679"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Cmax ↑ 39 %</w:t>
            </w:r>
          </w:p>
          <w:p w14:paraId="62E43ACE"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 rifabutino veikliosios frakcijos visuma (pirminis vaistinis preparatas + 25-</w:t>
            </w:r>
            <w:r w:rsidRPr="00C75EC3">
              <w:rPr>
                <w:rFonts w:eastAsia="TimesNewRoman"/>
                <w:i/>
                <w:iCs/>
                <w:sz w:val="20"/>
                <w:lang w:val="lt-LT" w:eastAsia="en-US"/>
              </w:rPr>
              <w:t>O-</w:t>
            </w:r>
            <w:r w:rsidRPr="00C75EC3">
              <w:rPr>
                <w:rFonts w:eastAsia="TimesNewRoman"/>
                <w:sz w:val="20"/>
                <w:lang w:val="lt-LT" w:eastAsia="en-US"/>
              </w:rPr>
              <w:t>dezacetilmetabolitas)</w:t>
            </w:r>
          </w:p>
          <w:p w14:paraId="68B0CB6C"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Sąveikos tyrimas parodė, kad rifabutino paros sisteminė ekspozicija, vartojant po 300 mg vieną kartą per parą arba po 150 mg vieną kartą per parą kas antrą parą kartu su darunaviru/ritonaviru (600/100  mg du kartus per parą), buvo panaši, o aktyvaus metabolite 25-</w:t>
            </w:r>
            <w:r w:rsidRPr="00C75EC3">
              <w:rPr>
                <w:rFonts w:eastAsia="TimesNewRoman"/>
                <w:i/>
                <w:iCs/>
                <w:sz w:val="20"/>
                <w:lang w:val="lt-LT" w:eastAsia="en-US"/>
              </w:rPr>
              <w:t>O-</w:t>
            </w:r>
            <w:r w:rsidRPr="00C75EC3">
              <w:rPr>
                <w:rFonts w:eastAsia="TimesNewRoman"/>
                <w:sz w:val="20"/>
                <w:lang w:val="lt-LT" w:eastAsia="en-US"/>
              </w:rPr>
              <w:t>dezacetilrifabutino paros ekspozicija padidėjo maždaug 10 kartų. Be to, visos veikliosios rifabutino frakcijos AUC (pirminis vaistinis preparatas + 25-</w:t>
            </w:r>
            <w:r w:rsidRPr="00C75EC3">
              <w:rPr>
                <w:rFonts w:eastAsia="TimesNewRoman"/>
                <w:i/>
                <w:iCs/>
                <w:sz w:val="20"/>
                <w:lang w:val="lt-LT" w:eastAsia="en-US"/>
              </w:rPr>
              <w:t>O</w:t>
            </w:r>
            <w:r w:rsidRPr="00C75EC3">
              <w:rPr>
                <w:rFonts w:eastAsia="TimesNewRoman"/>
                <w:sz w:val="20"/>
                <w:lang w:val="lt-LT" w:eastAsia="en-US"/>
              </w:rPr>
              <w:t>-dezacetilmetabolitas) padidėjo1,6 karto, o Cmax liko panaši.</w:t>
            </w:r>
          </w:p>
          <w:p w14:paraId="6178DF39"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Trūksta duomenų apie palyginamosios 150 mg dozės vartojimą vieną kartą per parą.</w:t>
            </w:r>
          </w:p>
          <w:p w14:paraId="75188A9C"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(Rifabutinas sužadina CYP3A4 ir yra CYP3A4 izofermento substratas.) Darunavirą vartojant kartu su 100 mg </w:t>
            </w:r>
            <w:r w:rsidRPr="00C75EC3">
              <w:rPr>
                <w:rFonts w:eastAsia="TimesNewRoman"/>
                <w:sz w:val="20"/>
                <w:lang w:val="lt-LT" w:eastAsia="en-US"/>
              </w:rPr>
              <w:lastRenderedPageBreak/>
              <w:t>ritonaviro ir vartojant kartu rifabutiną (150 mg vieną kartą per parą kas antra parą), nustatytas sisteminės darunaviro ekspozicijos padidėjimas.</w:t>
            </w:r>
          </w:p>
        </w:tc>
        <w:tc>
          <w:tcPr>
            <w:tcW w:w="3023" w:type="dxa"/>
            <w:shd w:val="clear" w:color="auto" w:fill="auto"/>
          </w:tcPr>
          <w:p w14:paraId="498A7B0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lastRenderedPageBreak/>
              <w:t>Pacientams, kurie gydomi darunaviro ir ritonaviro deriniu, įprastą 300 mg rifabutino paros dozę reikia sumažinti 75 % (t. y. vartoti po 150 mg vieną kartą per parą kas antrą parą) ir atidžiau stebėti, ar neatsiranda su rifabutino vartojimu susijusių nepageidaujamų reiškinių. Dėl saugumo rifabutino dozę reikia apgalvotai skirti dar rečiau ir (arba) atidžiai stebėti rifabutino koncentraciją.</w:t>
            </w:r>
          </w:p>
          <w:p w14:paraId="609DCAC6"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Reikia atsižvelgti į oficialias ŽIV užsikrėtusių pacientų tuberkuliozės gydymo rekomendacijas.</w:t>
            </w:r>
          </w:p>
          <w:p w14:paraId="2078FFF9"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Remiantis darunaviro/ritonaviro vartojimo saugumo duomenimis, šis darunaviro ekspozicijos padidėjimas vartojant rifabutiną, nerodo, kad būtina keisti darunaviro/ritonaviro dozes.</w:t>
            </w:r>
          </w:p>
          <w:p w14:paraId="5D00B877"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Remiantis farmakokinetiniais modeliais, šis dozės sumažinimas 75 % yra pritaikomas ir pacientams, kurie vartoja kitokias nei 300 mg per </w:t>
            </w:r>
            <w:r w:rsidR="00E746A0" w:rsidRPr="00C75EC3">
              <w:rPr>
                <w:rFonts w:eastAsia="TimesNewRoman"/>
                <w:sz w:val="20"/>
                <w:lang w:val="lt-LT" w:eastAsia="en-US"/>
              </w:rPr>
              <w:t>parą rifabutino dozes.</w:t>
            </w:r>
          </w:p>
        </w:tc>
      </w:tr>
      <w:tr w:rsidR="009F5848" w:rsidRPr="00C75EC3" w14:paraId="785985CA" w14:textId="77777777" w:rsidTr="00C75EC3">
        <w:tc>
          <w:tcPr>
            <w:tcW w:w="9288" w:type="dxa"/>
            <w:gridSpan w:val="4"/>
            <w:shd w:val="clear" w:color="auto" w:fill="auto"/>
          </w:tcPr>
          <w:p w14:paraId="5A43DBF1"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Bold"/>
                <w:b/>
                <w:bCs/>
                <w:sz w:val="20"/>
                <w:lang w:val="lt-LT" w:eastAsia="en-US"/>
              </w:rPr>
              <w:t>PRIEŠNAVIKINIAI VAISTINIAI PREPARATAI</w:t>
            </w:r>
          </w:p>
        </w:tc>
      </w:tr>
      <w:tr w:rsidR="009F5848" w:rsidRPr="00C75EC3" w14:paraId="2F536757" w14:textId="77777777" w:rsidTr="00C75EC3">
        <w:tc>
          <w:tcPr>
            <w:tcW w:w="2817" w:type="dxa"/>
            <w:shd w:val="clear" w:color="auto" w:fill="auto"/>
          </w:tcPr>
          <w:p w14:paraId="1D6E7D09"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Dazatinibas</w:t>
            </w:r>
          </w:p>
          <w:p w14:paraId="32BF966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Nilotinibas</w:t>
            </w:r>
          </w:p>
          <w:p w14:paraId="7AFA39AB"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Vinblastinas</w:t>
            </w:r>
          </w:p>
          <w:p w14:paraId="6C835B2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Vinkristinas</w:t>
            </w:r>
          </w:p>
          <w:p w14:paraId="064D58D1" w14:textId="77777777" w:rsidR="009F5848" w:rsidRPr="00C75EC3" w:rsidRDefault="009F5848" w:rsidP="00C75EC3">
            <w:pPr>
              <w:autoSpaceDE w:val="0"/>
              <w:autoSpaceDN w:val="0"/>
              <w:adjustRightInd w:val="0"/>
              <w:rPr>
                <w:rFonts w:eastAsia="TimesNewRoman"/>
                <w:sz w:val="20"/>
                <w:lang w:val="lt-LT" w:eastAsia="en-US"/>
              </w:rPr>
            </w:pPr>
          </w:p>
          <w:p w14:paraId="6054F575" w14:textId="77777777" w:rsidR="009F5848" w:rsidRPr="00C75EC3" w:rsidRDefault="009F5848" w:rsidP="00C75EC3">
            <w:pPr>
              <w:autoSpaceDE w:val="0"/>
              <w:autoSpaceDN w:val="0"/>
              <w:adjustRightInd w:val="0"/>
              <w:rPr>
                <w:rFonts w:eastAsia="TimesNewRoman"/>
                <w:sz w:val="20"/>
                <w:lang w:val="lt-LT" w:eastAsia="en-US"/>
              </w:rPr>
            </w:pPr>
          </w:p>
          <w:p w14:paraId="365977CD" w14:textId="77777777" w:rsidR="009F5848" w:rsidRPr="00C75EC3" w:rsidRDefault="009F5848" w:rsidP="00C75EC3">
            <w:pPr>
              <w:autoSpaceDE w:val="0"/>
              <w:autoSpaceDN w:val="0"/>
              <w:adjustRightInd w:val="0"/>
              <w:rPr>
                <w:rFonts w:eastAsia="TimesNewRoman"/>
                <w:sz w:val="20"/>
                <w:lang w:val="lt-LT" w:eastAsia="en-US"/>
              </w:rPr>
            </w:pPr>
          </w:p>
          <w:p w14:paraId="2155B556" w14:textId="77777777" w:rsidR="009F5848" w:rsidRPr="00C75EC3" w:rsidRDefault="009F5848" w:rsidP="00C75EC3">
            <w:pPr>
              <w:autoSpaceDE w:val="0"/>
              <w:autoSpaceDN w:val="0"/>
              <w:adjustRightInd w:val="0"/>
              <w:rPr>
                <w:rFonts w:eastAsia="TimesNewRoman"/>
                <w:sz w:val="20"/>
                <w:lang w:val="lt-LT" w:eastAsia="en-US"/>
              </w:rPr>
            </w:pPr>
          </w:p>
          <w:p w14:paraId="701A711E" w14:textId="77777777" w:rsidR="009F5848" w:rsidRPr="00C75EC3" w:rsidRDefault="009F5848" w:rsidP="00C75EC3">
            <w:pPr>
              <w:autoSpaceDE w:val="0"/>
              <w:autoSpaceDN w:val="0"/>
              <w:adjustRightInd w:val="0"/>
              <w:rPr>
                <w:rFonts w:eastAsia="TimesNewRoman"/>
                <w:sz w:val="20"/>
                <w:lang w:val="lt-LT" w:eastAsia="en-US"/>
              </w:rPr>
            </w:pPr>
          </w:p>
          <w:p w14:paraId="417273AD" w14:textId="77777777" w:rsidR="009F5848" w:rsidRPr="00C75EC3" w:rsidRDefault="009F5848" w:rsidP="00C75EC3">
            <w:pPr>
              <w:autoSpaceDE w:val="0"/>
              <w:autoSpaceDN w:val="0"/>
              <w:adjustRightInd w:val="0"/>
              <w:rPr>
                <w:rFonts w:eastAsia="TimesNewRoman"/>
                <w:sz w:val="20"/>
                <w:lang w:val="lt-LT" w:eastAsia="en-US"/>
              </w:rPr>
            </w:pPr>
          </w:p>
          <w:p w14:paraId="5ECC7D5A" w14:textId="77777777" w:rsidR="009F5848" w:rsidRPr="00C75EC3" w:rsidRDefault="009F5848" w:rsidP="00C75EC3">
            <w:pPr>
              <w:autoSpaceDE w:val="0"/>
              <w:autoSpaceDN w:val="0"/>
              <w:adjustRightInd w:val="0"/>
              <w:rPr>
                <w:rFonts w:eastAsia="TimesNewRoman"/>
                <w:sz w:val="20"/>
                <w:lang w:val="lt-LT" w:eastAsia="en-US"/>
              </w:rPr>
            </w:pPr>
          </w:p>
          <w:p w14:paraId="65F1C6C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Everolimuzas</w:t>
            </w:r>
          </w:p>
        </w:tc>
        <w:tc>
          <w:tcPr>
            <w:tcW w:w="3448" w:type="dxa"/>
            <w:gridSpan w:val="2"/>
            <w:shd w:val="clear" w:color="auto" w:fill="auto"/>
          </w:tcPr>
          <w:p w14:paraId="07648FE7"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Netirta. Tikėtina, kad darunaviras gali padidinti šių priešnavikinių vaistinių preparatų koncentracijas plazmoje. (CYP3A slopinimas)</w:t>
            </w:r>
          </w:p>
        </w:tc>
        <w:tc>
          <w:tcPr>
            <w:tcW w:w="3023" w:type="dxa"/>
            <w:shd w:val="clear" w:color="auto" w:fill="auto"/>
          </w:tcPr>
          <w:p w14:paraId="37F133D6"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Šių vaistinių preparatų koncentracijos gali padidėti dėl skyrimo kartu su darunaviru</w:t>
            </w:r>
            <w:r w:rsidR="00A70625" w:rsidRPr="00C75EC3">
              <w:rPr>
                <w:rFonts w:eastAsia="TimesNewRoman"/>
                <w:sz w:val="20"/>
                <w:lang w:val="lt-LT" w:eastAsia="en-US"/>
              </w:rPr>
              <w:t>/maža ritonaviro doze,</w:t>
            </w:r>
            <w:r w:rsidRPr="00C75EC3">
              <w:rPr>
                <w:rFonts w:eastAsia="TimesNewRoman"/>
                <w:sz w:val="20"/>
                <w:lang w:val="lt-LT" w:eastAsia="en-US"/>
              </w:rPr>
              <w:t xml:space="preserve"> ir dėl to gali padidėti nepageidaujamų reiškinių, susijusių su šių preparatų vartojimu.Vartoti šiuos priešnavikinius vaistinius preparatus kartu su darunaviru</w:t>
            </w:r>
            <w:r w:rsidR="00A70625" w:rsidRPr="00C75EC3">
              <w:rPr>
                <w:rFonts w:eastAsia="TimesNewRoman"/>
                <w:sz w:val="20"/>
                <w:lang w:val="lt-LT" w:eastAsia="en-US"/>
              </w:rPr>
              <w:t xml:space="preserve"> ir maža ritonaviro doze</w:t>
            </w:r>
            <w:r w:rsidRPr="00C75EC3">
              <w:rPr>
                <w:rFonts w:eastAsia="TimesNewRoman"/>
                <w:sz w:val="20"/>
                <w:lang w:val="lt-LT" w:eastAsia="en-US"/>
              </w:rPr>
              <w:t xml:space="preserve"> reikia atsargiai.</w:t>
            </w:r>
          </w:p>
          <w:p w14:paraId="3B5E64F2" w14:textId="77777777" w:rsidR="009F5848" w:rsidRPr="00C75EC3" w:rsidRDefault="00A70625"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Vartoti everolimuzą kartu su </w:t>
            </w:r>
            <w:r w:rsidR="009F5848" w:rsidRPr="00C75EC3">
              <w:rPr>
                <w:rFonts w:eastAsia="TimesNewRoman"/>
                <w:sz w:val="20"/>
                <w:lang w:val="lt-LT" w:eastAsia="en-US"/>
              </w:rPr>
              <w:t>darunaviru</w:t>
            </w:r>
            <w:r w:rsidRPr="00C75EC3">
              <w:rPr>
                <w:rFonts w:eastAsia="TimesNewRoman"/>
                <w:sz w:val="20"/>
                <w:lang w:val="lt-LT" w:eastAsia="en-US"/>
              </w:rPr>
              <w:t xml:space="preserve">/maža doze ritonaviro </w:t>
            </w:r>
            <w:r w:rsidR="009F5848" w:rsidRPr="00C75EC3">
              <w:rPr>
                <w:rFonts w:eastAsia="TimesNewRoman"/>
                <w:sz w:val="20"/>
                <w:lang w:val="lt-LT" w:eastAsia="en-US"/>
              </w:rPr>
              <w:t>nerekomenduoj</w:t>
            </w:r>
            <w:r w:rsidRPr="00C75EC3">
              <w:rPr>
                <w:rFonts w:eastAsia="TimesNewRoman"/>
                <w:sz w:val="20"/>
                <w:lang w:val="lt-LT" w:eastAsia="en-US"/>
              </w:rPr>
              <w:t>a</w:t>
            </w:r>
            <w:r w:rsidR="009F5848" w:rsidRPr="00C75EC3">
              <w:rPr>
                <w:rFonts w:eastAsia="TimesNewRoman"/>
                <w:sz w:val="20"/>
                <w:lang w:val="lt-LT" w:eastAsia="en-US"/>
              </w:rPr>
              <w:t>ma.</w:t>
            </w:r>
          </w:p>
        </w:tc>
      </w:tr>
      <w:tr w:rsidR="009F5848" w:rsidRPr="00C75EC3" w14:paraId="5D17DB9B" w14:textId="77777777" w:rsidTr="00C75EC3">
        <w:tc>
          <w:tcPr>
            <w:tcW w:w="9288" w:type="dxa"/>
            <w:gridSpan w:val="4"/>
            <w:shd w:val="clear" w:color="auto" w:fill="auto"/>
          </w:tcPr>
          <w:p w14:paraId="2DB03CC3"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Bold"/>
                <w:b/>
                <w:bCs/>
                <w:sz w:val="20"/>
                <w:lang w:val="lt-LT" w:eastAsia="en-US"/>
              </w:rPr>
              <w:t>ANTITROMBOCITINAI VAISTINIAI PREPARATAI</w:t>
            </w:r>
          </w:p>
        </w:tc>
      </w:tr>
      <w:tr w:rsidR="009F5848" w:rsidRPr="00C75EC3" w14:paraId="03E30CE0" w14:textId="77777777" w:rsidTr="00C75EC3">
        <w:tc>
          <w:tcPr>
            <w:tcW w:w="2817" w:type="dxa"/>
            <w:shd w:val="clear" w:color="auto" w:fill="auto"/>
          </w:tcPr>
          <w:p w14:paraId="7750B02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Tikagreloras</w:t>
            </w:r>
          </w:p>
        </w:tc>
        <w:tc>
          <w:tcPr>
            <w:tcW w:w="3448" w:type="dxa"/>
            <w:gridSpan w:val="2"/>
            <w:shd w:val="clear" w:color="auto" w:fill="auto"/>
          </w:tcPr>
          <w:p w14:paraId="6D83E3F9"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Netirta. Skiriant kartu  darunavir</w:t>
            </w:r>
            <w:r w:rsidR="00EA7B71">
              <w:rPr>
                <w:rFonts w:eastAsia="TimesNewRoman"/>
                <w:sz w:val="20"/>
                <w:lang w:val="lt-LT" w:eastAsia="en-US"/>
              </w:rPr>
              <w:t>ą su maža ritonaviro doze</w:t>
            </w:r>
            <w:r w:rsidRPr="00C75EC3">
              <w:rPr>
                <w:rFonts w:eastAsia="TimesNewRoman"/>
                <w:sz w:val="20"/>
                <w:lang w:val="lt-LT" w:eastAsia="en-US"/>
              </w:rPr>
              <w:t xml:space="preserve">  gali žymiai padidinti tikagreloro ekspoziciją.</w:t>
            </w:r>
          </w:p>
        </w:tc>
        <w:tc>
          <w:tcPr>
            <w:tcW w:w="3023" w:type="dxa"/>
            <w:shd w:val="clear" w:color="auto" w:fill="auto"/>
          </w:tcPr>
          <w:p w14:paraId="77CDACAF" w14:textId="77777777" w:rsidR="009F5848" w:rsidRPr="00C75EC3" w:rsidRDefault="00A70625" w:rsidP="00C75EC3">
            <w:pPr>
              <w:autoSpaceDE w:val="0"/>
              <w:autoSpaceDN w:val="0"/>
              <w:adjustRightInd w:val="0"/>
              <w:rPr>
                <w:rFonts w:eastAsia="TimesNewRoman"/>
                <w:sz w:val="20"/>
                <w:lang w:val="lt-LT" w:eastAsia="en-US"/>
              </w:rPr>
            </w:pPr>
            <w:r w:rsidRPr="00C75EC3">
              <w:rPr>
                <w:rFonts w:eastAsia="TimesNewRoman"/>
                <w:sz w:val="20"/>
                <w:lang w:val="lt-LT" w:eastAsia="en-US"/>
              </w:rPr>
              <w:t>D</w:t>
            </w:r>
            <w:r w:rsidR="009F5848" w:rsidRPr="00C75EC3">
              <w:rPr>
                <w:rFonts w:eastAsia="TimesNewRoman"/>
                <w:sz w:val="20"/>
                <w:lang w:val="lt-LT" w:eastAsia="en-US"/>
              </w:rPr>
              <w:t>arunaviro</w:t>
            </w:r>
            <w:r w:rsidRPr="00C75EC3">
              <w:rPr>
                <w:rFonts w:eastAsia="TimesNewRoman"/>
                <w:sz w:val="20"/>
                <w:lang w:val="lt-LT" w:eastAsia="en-US"/>
              </w:rPr>
              <w:t xml:space="preserve"> ir mažos dozės ritonaviro</w:t>
            </w:r>
            <w:r w:rsidR="009F5848" w:rsidRPr="00C75EC3">
              <w:rPr>
                <w:rFonts w:eastAsia="TimesNewRoman"/>
                <w:sz w:val="20"/>
                <w:lang w:val="lt-LT" w:eastAsia="en-US"/>
              </w:rPr>
              <w:t xml:space="preserve"> vartojimas kartu su tikagreloru yra kontraindikuotinas.</w:t>
            </w:r>
          </w:p>
          <w:p w14:paraId="28669EB3"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Rekomenduojama vartoti kitus antitrombocitinius vaistinius preparatus, kurie neturi įtakos CYP slopinimui arba indukcijai (pvz., prazugrelį).</w:t>
            </w:r>
          </w:p>
        </w:tc>
      </w:tr>
      <w:tr w:rsidR="009F5848" w:rsidRPr="00C75EC3" w14:paraId="7BAD2BEC" w14:textId="77777777" w:rsidTr="00C75EC3">
        <w:tc>
          <w:tcPr>
            <w:tcW w:w="9288" w:type="dxa"/>
            <w:gridSpan w:val="4"/>
            <w:shd w:val="clear" w:color="auto" w:fill="auto"/>
          </w:tcPr>
          <w:p w14:paraId="3871AAAB"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Bold"/>
                <w:b/>
                <w:bCs/>
                <w:sz w:val="20"/>
                <w:lang w:val="lt-LT" w:eastAsia="en-US"/>
              </w:rPr>
              <w:t>ANTIPSICHOTIKAI / NEUROLEPTIKAI</w:t>
            </w:r>
          </w:p>
        </w:tc>
      </w:tr>
      <w:tr w:rsidR="009F5848" w:rsidRPr="00C75EC3" w14:paraId="467D31C5" w14:textId="77777777" w:rsidTr="00C75EC3">
        <w:tc>
          <w:tcPr>
            <w:tcW w:w="2817" w:type="dxa"/>
            <w:shd w:val="clear" w:color="auto" w:fill="auto"/>
          </w:tcPr>
          <w:p w14:paraId="3D7AF9B7"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Kvetiapinas</w:t>
            </w:r>
          </w:p>
        </w:tc>
        <w:tc>
          <w:tcPr>
            <w:tcW w:w="3448" w:type="dxa"/>
            <w:gridSpan w:val="2"/>
            <w:shd w:val="clear" w:color="auto" w:fill="auto"/>
          </w:tcPr>
          <w:p w14:paraId="31CABA6C"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Netirta. </w:t>
            </w:r>
            <w:r w:rsidR="00EA7B71">
              <w:rPr>
                <w:rFonts w:eastAsia="TimesNewRoman"/>
                <w:sz w:val="20"/>
                <w:lang w:val="lt-LT" w:eastAsia="en-US"/>
              </w:rPr>
              <w:t xml:space="preserve">Dėl CYP3 slopinimo, </w:t>
            </w:r>
            <w:r w:rsidRPr="00C75EC3">
              <w:rPr>
                <w:rFonts w:eastAsia="TimesNewRoman"/>
                <w:sz w:val="20"/>
                <w:lang w:val="lt-LT" w:eastAsia="en-US"/>
              </w:rPr>
              <w:t>,  darunaviras gali padidinti šių antipsichotikų</w:t>
            </w:r>
            <w:r w:rsidR="00EA7B71">
              <w:rPr>
                <w:rFonts w:eastAsia="TimesNewRoman"/>
                <w:sz w:val="20"/>
                <w:lang w:val="lt-LT" w:eastAsia="en-US"/>
              </w:rPr>
              <w:t>/neuroleptikų</w:t>
            </w:r>
            <w:r w:rsidRPr="00C75EC3">
              <w:rPr>
                <w:rFonts w:eastAsia="TimesNewRoman"/>
                <w:sz w:val="20"/>
                <w:lang w:val="lt-LT" w:eastAsia="en-US"/>
              </w:rPr>
              <w:t xml:space="preserve"> koncentracijas plazmoje.</w:t>
            </w:r>
          </w:p>
          <w:p w14:paraId="495E8C03" w14:textId="77777777" w:rsidR="009F5848" w:rsidRPr="00C75EC3" w:rsidRDefault="009F5848" w:rsidP="00C75EC3">
            <w:pPr>
              <w:autoSpaceDE w:val="0"/>
              <w:autoSpaceDN w:val="0"/>
              <w:adjustRightInd w:val="0"/>
              <w:rPr>
                <w:rFonts w:eastAsia="TimesNewRoman"/>
                <w:sz w:val="20"/>
                <w:lang w:val="lt-LT" w:eastAsia="en-US"/>
              </w:rPr>
            </w:pPr>
          </w:p>
        </w:tc>
        <w:tc>
          <w:tcPr>
            <w:tcW w:w="3023" w:type="dxa"/>
            <w:shd w:val="clear" w:color="auto" w:fill="auto"/>
          </w:tcPr>
          <w:p w14:paraId="4B2E3391"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Kartu vartoti darunavirą </w:t>
            </w:r>
            <w:r w:rsidR="00A70625" w:rsidRPr="00C75EC3">
              <w:rPr>
                <w:rFonts w:eastAsia="TimesNewRoman"/>
                <w:sz w:val="20"/>
                <w:lang w:val="lt-LT" w:eastAsia="en-US"/>
              </w:rPr>
              <w:t xml:space="preserve">su maža ritonaviro doze </w:t>
            </w:r>
            <w:r w:rsidRPr="00C75EC3">
              <w:rPr>
                <w:rFonts w:eastAsia="TimesNewRoman"/>
                <w:sz w:val="20"/>
                <w:lang w:val="lt-LT" w:eastAsia="en-US"/>
              </w:rPr>
              <w:t>ir kvetiapino draudžiama, nes tai gali padidinti su kvetiapinu susijusį toksinį poveikį. Padidėjusios kvetiapino koncentracijos gali sukelti komą.</w:t>
            </w:r>
          </w:p>
        </w:tc>
      </w:tr>
      <w:tr w:rsidR="009F5848" w:rsidRPr="00C75EC3" w14:paraId="224A8CB2" w14:textId="77777777" w:rsidTr="00C75EC3">
        <w:tc>
          <w:tcPr>
            <w:tcW w:w="2817" w:type="dxa"/>
            <w:shd w:val="clear" w:color="auto" w:fill="auto"/>
          </w:tcPr>
          <w:p w14:paraId="4BEB2237"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Risperidonas</w:t>
            </w:r>
          </w:p>
          <w:p w14:paraId="168C750B"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Tioridazinas</w:t>
            </w:r>
          </w:p>
          <w:p w14:paraId="2572F167" w14:textId="77777777" w:rsidR="009F5848" w:rsidRPr="00C75EC3" w:rsidRDefault="009F5848" w:rsidP="00C75EC3">
            <w:pPr>
              <w:autoSpaceDE w:val="0"/>
              <w:autoSpaceDN w:val="0"/>
              <w:adjustRightInd w:val="0"/>
              <w:rPr>
                <w:rFonts w:eastAsia="TimesNewRoman"/>
                <w:sz w:val="20"/>
                <w:lang w:val="lt-LT" w:eastAsia="en-US"/>
              </w:rPr>
            </w:pPr>
          </w:p>
          <w:p w14:paraId="45A3BE0E"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Pimozidas</w:t>
            </w:r>
          </w:p>
          <w:p w14:paraId="35BEFD6C"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Sertindolas</w:t>
            </w:r>
          </w:p>
        </w:tc>
        <w:tc>
          <w:tcPr>
            <w:tcW w:w="3448" w:type="dxa"/>
            <w:gridSpan w:val="2"/>
            <w:shd w:val="clear" w:color="auto" w:fill="auto"/>
          </w:tcPr>
          <w:p w14:paraId="7B0CE60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Netirta. Tikėtina, kad darunaviras gali padidinti šių antipsichotikų koncentracijas plazmoje.</w:t>
            </w:r>
          </w:p>
          <w:p w14:paraId="38E0C965"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(CYP2D6 slopinimas ir (arba) P-gp)</w:t>
            </w:r>
          </w:p>
        </w:tc>
        <w:tc>
          <w:tcPr>
            <w:tcW w:w="3023" w:type="dxa"/>
            <w:shd w:val="clear" w:color="auto" w:fill="auto"/>
          </w:tcPr>
          <w:p w14:paraId="229B0C79"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Skiriant kartu su darunaviru </w:t>
            </w:r>
            <w:r w:rsidR="00A70625" w:rsidRPr="00C75EC3">
              <w:rPr>
                <w:rFonts w:eastAsia="TimesNewRoman"/>
                <w:sz w:val="20"/>
                <w:lang w:val="lt-LT" w:eastAsia="en-US"/>
              </w:rPr>
              <w:t>mažą ritonaviro dozę</w:t>
            </w:r>
            <w:r w:rsidR="00643665" w:rsidRPr="00C75EC3">
              <w:rPr>
                <w:rFonts w:eastAsia="TimesNewRoman"/>
                <w:sz w:val="20"/>
                <w:lang w:val="lt-LT" w:eastAsia="en-US"/>
              </w:rPr>
              <w:t xml:space="preserve"> ir šiuos vaistus </w:t>
            </w:r>
            <w:r w:rsidRPr="00C75EC3">
              <w:rPr>
                <w:rFonts w:eastAsia="TimesNewRoman"/>
                <w:sz w:val="20"/>
                <w:lang w:val="lt-LT" w:eastAsia="en-US"/>
              </w:rPr>
              <w:t>gali reikėti sumažinti šių vaistų dozes.</w:t>
            </w:r>
          </w:p>
          <w:p w14:paraId="313A3D33" w14:textId="77777777" w:rsidR="009F5848" w:rsidRPr="00C75EC3" w:rsidRDefault="00643665" w:rsidP="00C75EC3">
            <w:pPr>
              <w:autoSpaceDE w:val="0"/>
              <w:autoSpaceDN w:val="0"/>
              <w:adjustRightInd w:val="0"/>
              <w:rPr>
                <w:rFonts w:eastAsia="TimesNewRoman"/>
                <w:sz w:val="20"/>
                <w:lang w:val="lt-LT" w:eastAsia="en-US"/>
              </w:rPr>
            </w:pPr>
            <w:r w:rsidRPr="00C75EC3">
              <w:rPr>
                <w:rFonts w:eastAsia="TimesNewRoman"/>
                <w:sz w:val="20"/>
                <w:lang w:val="lt-LT" w:eastAsia="en-US"/>
              </w:rPr>
              <w:t>D</w:t>
            </w:r>
            <w:r w:rsidR="009F5848" w:rsidRPr="00C75EC3">
              <w:rPr>
                <w:rFonts w:eastAsia="TimesNewRoman"/>
                <w:sz w:val="20"/>
                <w:lang w:val="lt-LT" w:eastAsia="en-US"/>
              </w:rPr>
              <w:t>arunaviro</w:t>
            </w:r>
            <w:r w:rsidRPr="00C75EC3">
              <w:rPr>
                <w:rFonts w:eastAsia="TimesNewRoman"/>
                <w:sz w:val="20"/>
                <w:lang w:val="lt-LT" w:eastAsia="en-US"/>
              </w:rPr>
              <w:t xml:space="preserve"> ir ritonaviro maža doze </w:t>
            </w:r>
            <w:r w:rsidR="009F5848" w:rsidRPr="00C75EC3">
              <w:rPr>
                <w:rFonts w:eastAsia="TimesNewRoman"/>
                <w:sz w:val="20"/>
                <w:lang w:val="lt-LT" w:eastAsia="en-US"/>
              </w:rPr>
              <w:t>vartojimas kartu su pimozidu arba sertindolu yra kontraindikuotinas.</w:t>
            </w:r>
          </w:p>
        </w:tc>
      </w:tr>
      <w:tr w:rsidR="009F5848" w:rsidRPr="00C75EC3" w14:paraId="3B391A9A" w14:textId="77777777" w:rsidTr="00C75EC3">
        <w:tc>
          <w:tcPr>
            <w:tcW w:w="9288" w:type="dxa"/>
            <w:gridSpan w:val="4"/>
            <w:shd w:val="clear" w:color="auto" w:fill="auto"/>
          </w:tcPr>
          <w:p w14:paraId="210440D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Bold"/>
                <w:b/>
                <w:bCs/>
                <w:sz w:val="20"/>
                <w:lang w:val="lt-LT" w:eastAsia="en-US"/>
              </w:rPr>
              <w:t>β-BLOKATORIAI</w:t>
            </w:r>
          </w:p>
        </w:tc>
      </w:tr>
      <w:tr w:rsidR="009F5848" w:rsidRPr="00C75EC3" w14:paraId="07D38455" w14:textId="77777777" w:rsidTr="00C75EC3">
        <w:tc>
          <w:tcPr>
            <w:tcW w:w="2817" w:type="dxa"/>
            <w:shd w:val="clear" w:color="auto" w:fill="auto"/>
          </w:tcPr>
          <w:p w14:paraId="18BE6841"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Karvedilolis</w:t>
            </w:r>
          </w:p>
          <w:p w14:paraId="5BB24514"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Metoprololis</w:t>
            </w:r>
          </w:p>
          <w:p w14:paraId="6110E455"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Timololis</w:t>
            </w:r>
          </w:p>
        </w:tc>
        <w:tc>
          <w:tcPr>
            <w:tcW w:w="3448" w:type="dxa"/>
            <w:gridSpan w:val="2"/>
            <w:shd w:val="clear" w:color="auto" w:fill="auto"/>
          </w:tcPr>
          <w:p w14:paraId="60148970"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Netirta. Tikėtina, kad darunaviras gali padidinti šių β-blokatorių koncentracijas plazmoje.</w:t>
            </w:r>
          </w:p>
          <w:p w14:paraId="0EE9717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(CYP2D6 slopinimas)</w:t>
            </w:r>
          </w:p>
        </w:tc>
        <w:tc>
          <w:tcPr>
            <w:tcW w:w="3023" w:type="dxa"/>
            <w:shd w:val="clear" w:color="auto" w:fill="auto"/>
          </w:tcPr>
          <w:p w14:paraId="2CB3C684"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Skiriant darunavirą kartu su β-blokatoriais, rekomenduojamas klinikinis stebėjimas. Turėtų būti apsvarstyta mažesnė β-blokatorių dozė.</w:t>
            </w:r>
          </w:p>
        </w:tc>
      </w:tr>
      <w:tr w:rsidR="009F5848" w:rsidRPr="00C75EC3" w14:paraId="037908FE" w14:textId="77777777" w:rsidTr="00C75EC3">
        <w:tc>
          <w:tcPr>
            <w:tcW w:w="9288" w:type="dxa"/>
            <w:gridSpan w:val="4"/>
            <w:shd w:val="clear" w:color="auto" w:fill="auto"/>
          </w:tcPr>
          <w:p w14:paraId="58886434"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Bold"/>
                <w:b/>
                <w:bCs/>
                <w:sz w:val="20"/>
                <w:lang w:val="lt-LT" w:eastAsia="en-US"/>
              </w:rPr>
              <w:t>KALCIO KANALŲ BLOKATORIAI</w:t>
            </w:r>
          </w:p>
        </w:tc>
      </w:tr>
      <w:tr w:rsidR="009F5848" w:rsidRPr="00C75EC3" w14:paraId="78782325" w14:textId="77777777" w:rsidTr="00C75EC3">
        <w:tc>
          <w:tcPr>
            <w:tcW w:w="2943" w:type="dxa"/>
            <w:gridSpan w:val="2"/>
            <w:shd w:val="clear" w:color="auto" w:fill="auto"/>
          </w:tcPr>
          <w:p w14:paraId="555AB38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Amlodipinas</w:t>
            </w:r>
          </w:p>
          <w:p w14:paraId="13A6A8F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Diltiazemas</w:t>
            </w:r>
          </w:p>
          <w:p w14:paraId="7BAD2B40"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Felodipinas</w:t>
            </w:r>
          </w:p>
          <w:p w14:paraId="3D612B70"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Nikardipinas</w:t>
            </w:r>
          </w:p>
          <w:p w14:paraId="53CC44D3"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Nifedipinas</w:t>
            </w:r>
          </w:p>
          <w:p w14:paraId="5E792406"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Verapamilis</w:t>
            </w:r>
          </w:p>
        </w:tc>
        <w:tc>
          <w:tcPr>
            <w:tcW w:w="3322" w:type="dxa"/>
            <w:shd w:val="clear" w:color="auto" w:fill="auto"/>
          </w:tcPr>
          <w:p w14:paraId="6867DE0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Netirta. Galima tikėtis, kad  darunaviras</w:t>
            </w:r>
            <w:r w:rsidR="004C7C8B">
              <w:rPr>
                <w:rFonts w:eastAsia="TimesNewRoman"/>
                <w:sz w:val="20"/>
                <w:lang w:val="lt-LT" w:eastAsia="en-US"/>
              </w:rPr>
              <w:t xml:space="preserve"> su maža ritonaviro doze</w:t>
            </w:r>
            <w:r w:rsidRPr="00C75EC3">
              <w:rPr>
                <w:rFonts w:eastAsia="TimesNewRoman"/>
                <w:sz w:val="20"/>
                <w:lang w:val="lt-LT" w:eastAsia="en-US"/>
              </w:rPr>
              <w:t xml:space="preserve"> didins kalcio kanalų blokatorių koncentracijas plazmoje. (dėl CYP3A ir (arba) CYP2D6 slopinimo)</w:t>
            </w:r>
          </w:p>
        </w:tc>
        <w:tc>
          <w:tcPr>
            <w:tcW w:w="3023" w:type="dxa"/>
            <w:shd w:val="clear" w:color="auto" w:fill="auto"/>
          </w:tcPr>
          <w:p w14:paraId="73BEC428"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Šiuos vaistinius preparatus skiriant vartoti kartu su darunaviru</w:t>
            </w:r>
            <w:r w:rsidR="00E746A0" w:rsidRPr="00C75EC3">
              <w:rPr>
                <w:rFonts w:eastAsia="TimesNewRoman"/>
                <w:sz w:val="20"/>
                <w:lang w:val="lt-LT" w:eastAsia="en-US"/>
              </w:rPr>
              <w:t xml:space="preserve"> ir maža doze ritonaviro</w:t>
            </w:r>
            <w:r w:rsidRPr="00C75EC3">
              <w:rPr>
                <w:rFonts w:eastAsia="TimesNewRoman"/>
                <w:sz w:val="20"/>
                <w:lang w:val="lt-LT" w:eastAsia="en-US"/>
              </w:rPr>
              <w:t xml:space="preserve">, rekomenduojamas klinikinis gydomojo ir </w:t>
            </w:r>
            <w:r w:rsidRPr="00C75EC3">
              <w:rPr>
                <w:rFonts w:eastAsia="TimesNewRoman"/>
                <w:sz w:val="20"/>
                <w:lang w:val="lt-LT" w:eastAsia="en-US"/>
              </w:rPr>
              <w:lastRenderedPageBreak/>
              <w:t>nepageidaujamo poveikio stebėjimas.</w:t>
            </w:r>
          </w:p>
        </w:tc>
      </w:tr>
      <w:tr w:rsidR="009F5848" w:rsidRPr="00C75EC3" w14:paraId="16BA052C" w14:textId="77777777" w:rsidTr="00C75EC3">
        <w:tc>
          <w:tcPr>
            <w:tcW w:w="9288" w:type="dxa"/>
            <w:gridSpan w:val="4"/>
            <w:shd w:val="clear" w:color="auto" w:fill="auto"/>
          </w:tcPr>
          <w:p w14:paraId="33E942F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Bold"/>
                <w:b/>
                <w:bCs/>
                <w:sz w:val="20"/>
                <w:lang w:val="lt-LT" w:eastAsia="en-US"/>
              </w:rPr>
              <w:lastRenderedPageBreak/>
              <w:t>KORTIKOSTEROIDAI</w:t>
            </w:r>
          </w:p>
        </w:tc>
      </w:tr>
      <w:tr w:rsidR="009F5848" w:rsidRPr="00C75EC3" w14:paraId="3D7A01AE" w14:textId="77777777" w:rsidTr="00C75EC3">
        <w:tc>
          <w:tcPr>
            <w:tcW w:w="2943" w:type="dxa"/>
            <w:gridSpan w:val="2"/>
            <w:shd w:val="clear" w:color="auto" w:fill="auto"/>
          </w:tcPr>
          <w:p w14:paraId="796538DB"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Flutikazonas</w:t>
            </w:r>
          </w:p>
          <w:p w14:paraId="3B431B86"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Budezonidas</w:t>
            </w:r>
          </w:p>
        </w:tc>
        <w:tc>
          <w:tcPr>
            <w:tcW w:w="3322" w:type="dxa"/>
            <w:shd w:val="clear" w:color="auto" w:fill="auto"/>
          </w:tcPr>
          <w:p w14:paraId="1883C829"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Klinikinio tyrimo metu sveikiems savanoriams 7 paras vartojant 100 mg ritonaviro kapsules du kartus per parą kartu su 50 μg flutikazono propionato į nosį (4 kartus per parą), flutikazono propionato koncentracija plazmoje reikšmingai padidėjo, tuo tarpu kai tikrasis kortizolio kiekis sumažėjo maždaug 86 % (90 % PI 82-89 %). Flutikazoną inhaliuojant, galima tikėtis didesnių pokyčių. Pacientams, kurie vartojo ritonavirą ir inhaliavo arba į nosį vartojo flutikazoną, pasireiškė sisteminis kortikosteroidų poveikis, įskaitant Kušingo sindromą ir antinksčių slopinimą. Tokia sąveika gali pasireikšti ir su kitais kortikosteroidais, kurių metabolizmą veikia P4503A, pavyzdžiui, budezonidu.</w:t>
            </w:r>
          </w:p>
          <w:p w14:paraId="12A296A1"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Didelės sisteminės flutikazono ekspozicijos įtaka ritonaviro koncentracijai  plazmoje nežinoma.</w:t>
            </w:r>
          </w:p>
        </w:tc>
        <w:tc>
          <w:tcPr>
            <w:tcW w:w="3023" w:type="dxa"/>
            <w:shd w:val="clear" w:color="auto" w:fill="auto"/>
          </w:tcPr>
          <w:p w14:paraId="027947C7" w14:textId="77777777" w:rsidR="009F5848" w:rsidRPr="00C75EC3" w:rsidRDefault="00E746A0" w:rsidP="00C75EC3">
            <w:pPr>
              <w:autoSpaceDE w:val="0"/>
              <w:autoSpaceDN w:val="0"/>
              <w:adjustRightInd w:val="0"/>
              <w:rPr>
                <w:rFonts w:eastAsia="TimesNewRoman"/>
                <w:sz w:val="20"/>
                <w:lang w:val="lt-LT" w:eastAsia="en-US"/>
              </w:rPr>
            </w:pPr>
            <w:r w:rsidRPr="00C75EC3">
              <w:rPr>
                <w:rFonts w:eastAsia="TimesNewRoman"/>
                <w:sz w:val="20"/>
                <w:lang w:val="lt-LT" w:eastAsia="en-US"/>
              </w:rPr>
              <w:t>D</w:t>
            </w:r>
            <w:r w:rsidR="009F5848" w:rsidRPr="00C75EC3">
              <w:rPr>
                <w:rFonts w:eastAsia="TimesNewRoman"/>
                <w:sz w:val="20"/>
                <w:lang w:val="lt-LT" w:eastAsia="en-US"/>
              </w:rPr>
              <w:t>arunavirą</w:t>
            </w:r>
            <w:r w:rsidRPr="00C75EC3">
              <w:rPr>
                <w:rFonts w:eastAsia="TimesNewRoman"/>
                <w:sz w:val="20"/>
                <w:lang w:val="lt-LT" w:eastAsia="en-US"/>
              </w:rPr>
              <w:t xml:space="preserve"> su maža ritonaviro doze</w:t>
            </w:r>
            <w:r w:rsidR="009F5848" w:rsidRPr="00C75EC3">
              <w:rPr>
                <w:rFonts w:eastAsia="TimesNewRoman"/>
                <w:sz w:val="20"/>
                <w:lang w:val="lt-LT" w:eastAsia="en-US"/>
              </w:rPr>
              <w:t xml:space="preserve"> vartoti kartu su šiais gliukokortikoidais nerekomenduojama, išskyrus atvejus, kai laukiama tokio gydymo nauda viršija kortikosteroidų sisteminio poveikio riziką.</w:t>
            </w:r>
          </w:p>
          <w:p w14:paraId="01C353F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Reikia apsvarstyti gliukokortikoido dozės mažinimo galimybę ir atidžiai stebėti ligonį dėl vietinio ir sisteminio poveikio bei, jeigu būtina, pakeisti gydymą kitu gliukokortikoidu, kurio metabolizmo neveikia CYP3A (pvz., beklametazonu). Be to, jeigu reikia nutraukti gydymą gliukokortikoidais, palaipsninis dozės mažinimas turi būti atliekamas per ilgesnį laikotarpį.</w:t>
            </w:r>
          </w:p>
        </w:tc>
      </w:tr>
      <w:tr w:rsidR="009F5848" w:rsidRPr="00C75EC3" w14:paraId="32352C0F" w14:textId="77777777" w:rsidTr="00C75EC3">
        <w:tc>
          <w:tcPr>
            <w:tcW w:w="2943" w:type="dxa"/>
            <w:gridSpan w:val="2"/>
            <w:shd w:val="clear" w:color="auto" w:fill="auto"/>
          </w:tcPr>
          <w:p w14:paraId="0C9F48D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Deksametazonas</w:t>
            </w:r>
          </w:p>
          <w:p w14:paraId="55BA7A75"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(sisteminio vartojimo)</w:t>
            </w:r>
          </w:p>
        </w:tc>
        <w:tc>
          <w:tcPr>
            <w:tcW w:w="3322" w:type="dxa"/>
            <w:shd w:val="clear" w:color="auto" w:fill="auto"/>
          </w:tcPr>
          <w:p w14:paraId="6DF8BB3C"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Netirta. Deksametazonas gali mažinti darunaviro koncentracijas plazmoje. (dėl CYP3A sužadinimo)</w:t>
            </w:r>
          </w:p>
        </w:tc>
        <w:tc>
          <w:tcPr>
            <w:tcW w:w="3023" w:type="dxa"/>
            <w:shd w:val="clear" w:color="auto" w:fill="auto"/>
          </w:tcPr>
          <w:p w14:paraId="7A33D9B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Sisteminiu būdu vartoti deksametazoną kartu su </w:t>
            </w:r>
            <w:r w:rsidR="00E746A0" w:rsidRPr="00C75EC3">
              <w:rPr>
                <w:rFonts w:eastAsia="TimesNewRoman"/>
                <w:sz w:val="20"/>
                <w:lang w:val="lt-LT" w:eastAsia="en-US"/>
              </w:rPr>
              <w:t>maža ritonaviro doze ir</w:t>
            </w:r>
            <w:r w:rsidRPr="00C75EC3">
              <w:rPr>
                <w:rFonts w:eastAsia="TimesNewRoman"/>
                <w:sz w:val="20"/>
                <w:lang w:val="lt-LT" w:eastAsia="en-US"/>
              </w:rPr>
              <w:t xml:space="preserve"> darunaviru, reikia</w:t>
            </w:r>
            <w:r w:rsidR="004C7C8B">
              <w:rPr>
                <w:rFonts w:eastAsia="TimesNewRoman"/>
                <w:sz w:val="20"/>
                <w:lang w:val="lt-LT" w:eastAsia="en-US"/>
              </w:rPr>
              <w:t xml:space="preserve"> vartoti</w:t>
            </w:r>
            <w:r w:rsidRPr="00C75EC3">
              <w:rPr>
                <w:rFonts w:eastAsia="TimesNewRoman"/>
                <w:sz w:val="20"/>
                <w:lang w:val="lt-LT" w:eastAsia="en-US"/>
              </w:rPr>
              <w:t xml:space="preserve"> atsargiai.</w:t>
            </w:r>
          </w:p>
        </w:tc>
      </w:tr>
      <w:tr w:rsidR="009F5848" w:rsidRPr="00C75EC3" w14:paraId="195F31FE" w14:textId="77777777" w:rsidTr="00C75EC3">
        <w:tc>
          <w:tcPr>
            <w:tcW w:w="2943" w:type="dxa"/>
            <w:gridSpan w:val="2"/>
            <w:shd w:val="clear" w:color="auto" w:fill="auto"/>
          </w:tcPr>
          <w:p w14:paraId="3CE813C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Prednizonas</w:t>
            </w:r>
          </w:p>
        </w:tc>
        <w:tc>
          <w:tcPr>
            <w:tcW w:w="3322" w:type="dxa"/>
            <w:shd w:val="clear" w:color="auto" w:fill="auto"/>
          </w:tcPr>
          <w:p w14:paraId="2E4C0C24"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Netirta. </w:t>
            </w:r>
            <w:r w:rsidR="004C7C8B">
              <w:rPr>
                <w:rFonts w:eastAsia="TimesNewRoman"/>
                <w:sz w:val="20"/>
                <w:lang w:val="lt-LT" w:eastAsia="en-US"/>
              </w:rPr>
              <w:t>D</w:t>
            </w:r>
            <w:r w:rsidRPr="00C75EC3">
              <w:rPr>
                <w:rFonts w:eastAsia="TimesNewRoman"/>
                <w:sz w:val="20"/>
                <w:lang w:val="lt-LT" w:eastAsia="en-US"/>
              </w:rPr>
              <w:t>arunaviras gali padidinti prednizono koncentracijas plazmoje. (CYP3A slopinimas)</w:t>
            </w:r>
          </w:p>
        </w:tc>
        <w:tc>
          <w:tcPr>
            <w:tcW w:w="3023" w:type="dxa"/>
            <w:shd w:val="clear" w:color="auto" w:fill="auto"/>
          </w:tcPr>
          <w:p w14:paraId="367AA02A" w14:textId="77777777" w:rsidR="009F5848" w:rsidRPr="00C75EC3" w:rsidRDefault="00E746A0" w:rsidP="00C75EC3">
            <w:pPr>
              <w:autoSpaceDE w:val="0"/>
              <w:autoSpaceDN w:val="0"/>
              <w:adjustRightInd w:val="0"/>
              <w:rPr>
                <w:rFonts w:eastAsia="TimesNewRoman"/>
                <w:sz w:val="20"/>
                <w:lang w:val="lt-LT" w:eastAsia="en-US"/>
              </w:rPr>
            </w:pPr>
            <w:r w:rsidRPr="00C75EC3">
              <w:rPr>
                <w:rFonts w:eastAsia="TimesNewRoman"/>
                <w:sz w:val="20"/>
                <w:lang w:val="lt-LT" w:eastAsia="en-US"/>
              </w:rPr>
              <w:t>D</w:t>
            </w:r>
            <w:r w:rsidR="009F5848" w:rsidRPr="00C75EC3">
              <w:rPr>
                <w:rFonts w:eastAsia="TimesNewRoman"/>
                <w:sz w:val="20"/>
                <w:lang w:val="lt-LT" w:eastAsia="en-US"/>
              </w:rPr>
              <w:t>arunaviro</w:t>
            </w:r>
            <w:r w:rsidRPr="00C75EC3">
              <w:rPr>
                <w:rFonts w:eastAsia="TimesNewRoman"/>
                <w:sz w:val="20"/>
                <w:lang w:val="lt-LT" w:eastAsia="en-US"/>
              </w:rPr>
              <w:t xml:space="preserve"> vartojimas </w:t>
            </w:r>
            <w:r w:rsidR="009F5848" w:rsidRPr="00C75EC3">
              <w:rPr>
                <w:rFonts w:eastAsia="TimesNewRoman"/>
                <w:sz w:val="20"/>
                <w:lang w:val="lt-LT" w:eastAsia="en-US"/>
              </w:rPr>
              <w:t xml:space="preserve">kartu su maža ritonaviro doze ir prednizonu gali padidinti  sisteminio vartojimo kortikosteroidų poveikio pasireiškimo riziką, įskaitant Kušingo sindromą ir antinksčių slopinimą. Skiriant sdarunavirą su </w:t>
            </w:r>
            <w:r w:rsidR="004C7C8B">
              <w:rPr>
                <w:rFonts w:eastAsia="TimesNewRoman"/>
                <w:sz w:val="20"/>
                <w:lang w:val="lt-LT" w:eastAsia="en-US"/>
              </w:rPr>
              <w:t xml:space="preserve">maža ritonaviro doze ir </w:t>
            </w:r>
            <w:r w:rsidR="009F5848" w:rsidRPr="00C75EC3">
              <w:rPr>
                <w:rFonts w:eastAsia="TimesNewRoman"/>
                <w:sz w:val="20"/>
                <w:lang w:val="lt-LT" w:eastAsia="en-US"/>
              </w:rPr>
              <w:t>kortikosteroidais rekomenduojamas klinikinis stebėjimas.</w:t>
            </w:r>
          </w:p>
        </w:tc>
      </w:tr>
      <w:tr w:rsidR="009F5848" w:rsidRPr="00C75EC3" w14:paraId="4A28C862" w14:textId="77777777" w:rsidTr="00C75EC3">
        <w:tc>
          <w:tcPr>
            <w:tcW w:w="9288" w:type="dxa"/>
            <w:gridSpan w:val="4"/>
            <w:shd w:val="clear" w:color="auto" w:fill="auto"/>
          </w:tcPr>
          <w:p w14:paraId="740DA2BB"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Bold"/>
                <w:b/>
                <w:bCs/>
                <w:sz w:val="20"/>
                <w:lang w:val="lt-LT" w:eastAsia="en-US"/>
              </w:rPr>
              <w:t>ENDOTELINO RECEPTORIŲ ANTAGONISTAI</w:t>
            </w:r>
          </w:p>
        </w:tc>
      </w:tr>
      <w:tr w:rsidR="009F5848" w:rsidRPr="00C75EC3" w14:paraId="4D2F50B5" w14:textId="77777777" w:rsidTr="00C75EC3">
        <w:tc>
          <w:tcPr>
            <w:tcW w:w="2943" w:type="dxa"/>
            <w:gridSpan w:val="2"/>
            <w:shd w:val="clear" w:color="auto" w:fill="auto"/>
          </w:tcPr>
          <w:p w14:paraId="199C3989"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Bozentanas</w:t>
            </w:r>
          </w:p>
        </w:tc>
        <w:tc>
          <w:tcPr>
            <w:tcW w:w="3322" w:type="dxa"/>
            <w:shd w:val="clear" w:color="auto" w:fill="auto"/>
          </w:tcPr>
          <w:p w14:paraId="1957FFC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Netirta. Bozentaną vartojant kartu su </w:t>
            </w:r>
            <w:r w:rsidR="00E746A0" w:rsidRPr="00C75EC3">
              <w:rPr>
                <w:rFonts w:eastAsia="TimesNewRoman"/>
                <w:sz w:val="20"/>
                <w:lang w:val="lt-LT" w:eastAsia="en-US"/>
              </w:rPr>
              <w:t xml:space="preserve">maža ritonaviro doze ir </w:t>
            </w:r>
            <w:r w:rsidRPr="00C75EC3">
              <w:rPr>
                <w:rFonts w:eastAsia="TimesNewRoman"/>
                <w:sz w:val="20"/>
                <w:lang w:val="lt-LT" w:eastAsia="en-US"/>
              </w:rPr>
              <w:t>darunaviru, bozentano koncent</w:t>
            </w:r>
            <w:r w:rsidR="00E746A0" w:rsidRPr="00C75EC3">
              <w:rPr>
                <w:rFonts w:eastAsia="TimesNewRoman"/>
                <w:sz w:val="20"/>
                <w:lang w:val="lt-LT" w:eastAsia="en-US"/>
              </w:rPr>
              <w:t>racijos plazmoje gali padidėti.</w:t>
            </w:r>
          </w:p>
        </w:tc>
        <w:tc>
          <w:tcPr>
            <w:tcW w:w="3023" w:type="dxa"/>
            <w:shd w:val="clear" w:color="auto" w:fill="auto"/>
          </w:tcPr>
          <w:p w14:paraId="5FFB77C9"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Vartojant kartu su darunaviru ir maža ritonaviro doze, reikia stebėti, kaip</w:t>
            </w:r>
            <w:r w:rsidR="00E104D4" w:rsidRPr="00C75EC3">
              <w:rPr>
                <w:rFonts w:eastAsia="TimesNewRoman"/>
                <w:sz w:val="20"/>
                <w:lang w:val="lt-LT" w:eastAsia="en-US"/>
              </w:rPr>
              <w:t xml:space="preserve"> pacientas toleruoja bozentaną.</w:t>
            </w:r>
          </w:p>
        </w:tc>
      </w:tr>
      <w:tr w:rsidR="009F5848" w:rsidRPr="00C75EC3" w14:paraId="1E36F084" w14:textId="77777777" w:rsidTr="00C75EC3">
        <w:tc>
          <w:tcPr>
            <w:tcW w:w="9288" w:type="dxa"/>
            <w:gridSpan w:val="4"/>
            <w:shd w:val="clear" w:color="auto" w:fill="auto"/>
          </w:tcPr>
          <w:p w14:paraId="2B37FECE"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Bold"/>
                <w:b/>
                <w:bCs/>
                <w:sz w:val="20"/>
                <w:lang w:val="lt-LT" w:eastAsia="en-US"/>
              </w:rPr>
              <w:t>HEPATITO C VIRUSĄ (HCV) TIESIOGIAI VEIKIANTYS ANTIVIRUSINIAI PREPARATAI</w:t>
            </w:r>
          </w:p>
        </w:tc>
      </w:tr>
      <w:tr w:rsidR="009F5848" w:rsidRPr="00C75EC3" w14:paraId="231F0E5F" w14:textId="77777777" w:rsidTr="00C75EC3">
        <w:tc>
          <w:tcPr>
            <w:tcW w:w="9288" w:type="dxa"/>
            <w:gridSpan w:val="4"/>
            <w:shd w:val="clear" w:color="auto" w:fill="auto"/>
          </w:tcPr>
          <w:p w14:paraId="3CB5BCF6" w14:textId="77777777" w:rsidR="009F5848" w:rsidRPr="00C75EC3" w:rsidRDefault="009F5848" w:rsidP="00C75EC3">
            <w:pPr>
              <w:autoSpaceDE w:val="0"/>
              <w:autoSpaceDN w:val="0"/>
              <w:adjustRightInd w:val="0"/>
              <w:rPr>
                <w:rFonts w:eastAsia="TimesNewRoman"/>
                <w:sz w:val="20"/>
                <w:lang w:val="lt-LT" w:eastAsia="en-US"/>
              </w:rPr>
            </w:pPr>
            <w:r w:rsidRPr="00C75EC3">
              <w:rPr>
                <w:b/>
                <w:bCs/>
                <w:i/>
                <w:iCs/>
                <w:sz w:val="20"/>
                <w:lang w:val="lt-LT" w:eastAsia="en-US"/>
              </w:rPr>
              <w:t>NS3-4A proteazės inhibitoriai</w:t>
            </w:r>
          </w:p>
        </w:tc>
      </w:tr>
      <w:tr w:rsidR="009F5848" w:rsidRPr="00C75EC3" w14:paraId="33AF239B" w14:textId="77777777" w:rsidTr="00C75EC3">
        <w:tc>
          <w:tcPr>
            <w:tcW w:w="2943" w:type="dxa"/>
            <w:gridSpan w:val="2"/>
            <w:shd w:val="clear" w:color="auto" w:fill="auto"/>
          </w:tcPr>
          <w:p w14:paraId="797726A7"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Telapreviras 750 mg kas 8 val.</w:t>
            </w:r>
          </w:p>
        </w:tc>
        <w:tc>
          <w:tcPr>
            <w:tcW w:w="3322" w:type="dxa"/>
            <w:shd w:val="clear" w:color="auto" w:fill="auto"/>
          </w:tcPr>
          <w:p w14:paraId="6B12D43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telapreviro AUC ↓ 35 %</w:t>
            </w:r>
          </w:p>
          <w:p w14:paraId="4C6361F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telapreviro Cmin ↓ 32 %</w:t>
            </w:r>
          </w:p>
          <w:p w14:paraId="1BB359C4"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telapreviro Cmax ↓ 36 %</w:t>
            </w:r>
          </w:p>
          <w:p w14:paraId="4A877DC8"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AUC12 ↓ 40 %</w:t>
            </w:r>
          </w:p>
          <w:p w14:paraId="4AF149BB"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Cmin ↓ 42 %</w:t>
            </w:r>
          </w:p>
          <w:p w14:paraId="25A6703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Cmax ↓ 40 %</w:t>
            </w:r>
          </w:p>
        </w:tc>
        <w:tc>
          <w:tcPr>
            <w:tcW w:w="3023" w:type="dxa"/>
            <w:shd w:val="clear" w:color="auto" w:fill="auto"/>
          </w:tcPr>
          <w:p w14:paraId="7D2C9DD0" w14:textId="77777777" w:rsidR="009F5848" w:rsidRPr="00C75EC3" w:rsidRDefault="00643665" w:rsidP="00C75EC3">
            <w:pPr>
              <w:autoSpaceDE w:val="0"/>
              <w:autoSpaceDN w:val="0"/>
              <w:adjustRightInd w:val="0"/>
              <w:rPr>
                <w:rFonts w:eastAsia="TimesNewRoman"/>
                <w:sz w:val="20"/>
                <w:lang w:val="lt-LT" w:eastAsia="en-US"/>
              </w:rPr>
            </w:pPr>
            <w:r w:rsidRPr="00C75EC3">
              <w:rPr>
                <w:rFonts w:eastAsia="TimesNewRoman"/>
                <w:sz w:val="20"/>
                <w:lang w:val="lt-LT" w:eastAsia="en-US"/>
              </w:rPr>
              <w:t>D</w:t>
            </w:r>
            <w:r w:rsidR="009F5848" w:rsidRPr="00C75EC3">
              <w:rPr>
                <w:rFonts w:eastAsia="TimesNewRoman"/>
                <w:sz w:val="20"/>
                <w:lang w:val="lt-LT" w:eastAsia="en-US"/>
              </w:rPr>
              <w:t xml:space="preserve">arunavirą </w:t>
            </w:r>
            <w:r w:rsidRPr="00C75EC3">
              <w:rPr>
                <w:rFonts w:eastAsia="TimesNewRoman"/>
                <w:sz w:val="20"/>
                <w:lang w:val="lt-LT" w:eastAsia="en-US"/>
              </w:rPr>
              <w:t xml:space="preserve">su maža ritonaviro doze </w:t>
            </w:r>
            <w:r w:rsidR="009F5848" w:rsidRPr="00C75EC3">
              <w:rPr>
                <w:rFonts w:eastAsia="TimesNewRoman"/>
                <w:sz w:val="20"/>
                <w:lang w:val="lt-LT" w:eastAsia="en-US"/>
              </w:rPr>
              <w:t>nerekomenduojama vartoti kartu su telapreviru.</w:t>
            </w:r>
          </w:p>
        </w:tc>
      </w:tr>
      <w:tr w:rsidR="009F5848" w:rsidRPr="00C75EC3" w14:paraId="0A875B1C" w14:textId="77777777" w:rsidTr="00C75EC3">
        <w:tc>
          <w:tcPr>
            <w:tcW w:w="2943" w:type="dxa"/>
            <w:gridSpan w:val="2"/>
            <w:shd w:val="clear" w:color="auto" w:fill="auto"/>
          </w:tcPr>
          <w:p w14:paraId="60F5D2A4"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lastRenderedPageBreak/>
              <w:t>Bocepreviras 800 mg tris kartus per parą</w:t>
            </w:r>
          </w:p>
        </w:tc>
        <w:tc>
          <w:tcPr>
            <w:tcW w:w="3322" w:type="dxa"/>
            <w:shd w:val="clear" w:color="auto" w:fill="auto"/>
          </w:tcPr>
          <w:p w14:paraId="519EB58B"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bocepreviro AUC ↓ 32 %</w:t>
            </w:r>
          </w:p>
          <w:p w14:paraId="50A778C6"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bocepreviro Cmin ↓ 35 %</w:t>
            </w:r>
          </w:p>
          <w:p w14:paraId="43D1379E"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bocepreviro Cmax ↓ 25 %</w:t>
            </w:r>
          </w:p>
          <w:p w14:paraId="4C4F939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AUC ↓ 44 %</w:t>
            </w:r>
          </w:p>
          <w:p w14:paraId="23DF11D5"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Cmin ↓ 59 %</w:t>
            </w:r>
          </w:p>
          <w:p w14:paraId="3FBBCE67"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Cmax ↓ 36 %</w:t>
            </w:r>
          </w:p>
        </w:tc>
        <w:tc>
          <w:tcPr>
            <w:tcW w:w="3023" w:type="dxa"/>
            <w:shd w:val="clear" w:color="auto" w:fill="auto"/>
          </w:tcPr>
          <w:p w14:paraId="22EA1DD6" w14:textId="77777777" w:rsidR="009F5848" w:rsidRPr="00C75EC3" w:rsidRDefault="00E104D4" w:rsidP="00C75EC3">
            <w:pPr>
              <w:autoSpaceDE w:val="0"/>
              <w:autoSpaceDN w:val="0"/>
              <w:adjustRightInd w:val="0"/>
              <w:rPr>
                <w:rFonts w:eastAsia="TimesNewRoman"/>
                <w:sz w:val="20"/>
                <w:lang w:val="lt-LT" w:eastAsia="en-US"/>
              </w:rPr>
            </w:pPr>
            <w:r w:rsidRPr="00C75EC3">
              <w:rPr>
                <w:rFonts w:eastAsia="TimesNewRoman"/>
                <w:sz w:val="20"/>
                <w:lang w:val="lt-LT" w:eastAsia="en-US"/>
              </w:rPr>
              <w:t>D</w:t>
            </w:r>
            <w:r w:rsidR="009F5848" w:rsidRPr="00C75EC3">
              <w:rPr>
                <w:rFonts w:eastAsia="TimesNewRoman"/>
                <w:sz w:val="20"/>
                <w:lang w:val="lt-LT" w:eastAsia="en-US"/>
              </w:rPr>
              <w:t xml:space="preserve">arunavirą </w:t>
            </w:r>
            <w:r w:rsidRPr="00C75EC3">
              <w:rPr>
                <w:rFonts w:eastAsia="TimesNewRoman"/>
                <w:sz w:val="20"/>
                <w:lang w:val="lt-LT" w:eastAsia="en-US"/>
              </w:rPr>
              <w:t xml:space="preserve">su maža ritonaviro doze </w:t>
            </w:r>
            <w:r w:rsidR="009F5848" w:rsidRPr="00C75EC3">
              <w:rPr>
                <w:rFonts w:eastAsia="TimesNewRoman"/>
                <w:sz w:val="20"/>
                <w:lang w:val="lt-LT" w:eastAsia="en-US"/>
              </w:rPr>
              <w:t>nerekomenduojama vartoti kartu su bocepreviru.</w:t>
            </w:r>
          </w:p>
        </w:tc>
      </w:tr>
      <w:tr w:rsidR="009F5848" w:rsidRPr="00C75EC3" w14:paraId="0C5E22E3" w14:textId="77777777" w:rsidTr="00C75EC3">
        <w:tc>
          <w:tcPr>
            <w:tcW w:w="2943" w:type="dxa"/>
            <w:gridSpan w:val="2"/>
            <w:shd w:val="clear" w:color="auto" w:fill="auto"/>
          </w:tcPr>
          <w:p w14:paraId="05BEF5C7"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Simepreviras</w:t>
            </w:r>
          </w:p>
        </w:tc>
        <w:tc>
          <w:tcPr>
            <w:tcW w:w="3322" w:type="dxa"/>
            <w:shd w:val="clear" w:color="auto" w:fill="auto"/>
          </w:tcPr>
          <w:p w14:paraId="09E7740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simepreviro AUC ↑ 159 %</w:t>
            </w:r>
          </w:p>
          <w:p w14:paraId="0F5B6593"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simepreviro Cmin ↑ 358 %</w:t>
            </w:r>
          </w:p>
          <w:p w14:paraId="405465E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simepreviro Cmax ↑ 79 %</w:t>
            </w:r>
          </w:p>
          <w:p w14:paraId="00D572C3"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AUC ↑ 18 %</w:t>
            </w:r>
          </w:p>
          <w:p w14:paraId="17A04649"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darunaviro Cmin ↑ 31 %</w:t>
            </w:r>
          </w:p>
          <w:p w14:paraId="7AB50EC5"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darunaviro Cmax </w:t>
            </w:r>
            <w:r w:rsidRPr="00C75EC3">
              <w:rPr>
                <w:rFonts w:eastAsia="TimesNewRoman"/>
                <w:sz w:val="20"/>
                <w:lang w:val="lt-LT" w:eastAsia="en-US"/>
              </w:rPr>
              <w:t></w:t>
            </w:r>
          </w:p>
          <w:p w14:paraId="0F04A660"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Šio sąveikos tyrimo metu simepreviro, skiriamo kartu su darunaviru/ritonaviru, dozė buvo 50 mg, palyginti su 150 mg vieno simepreviro dozės gydymo grupe.</w:t>
            </w:r>
          </w:p>
        </w:tc>
        <w:tc>
          <w:tcPr>
            <w:tcW w:w="3023" w:type="dxa"/>
            <w:shd w:val="clear" w:color="auto" w:fill="auto"/>
          </w:tcPr>
          <w:p w14:paraId="406F640D" w14:textId="77777777" w:rsidR="009F5848" w:rsidRPr="00C75EC3" w:rsidRDefault="00E104D4" w:rsidP="00C75EC3">
            <w:pPr>
              <w:autoSpaceDE w:val="0"/>
              <w:autoSpaceDN w:val="0"/>
              <w:adjustRightInd w:val="0"/>
              <w:rPr>
                <w:rFonts w:eastAsia="TimesNewRoman"/>
                <w:sz w:val="20"/>
                <w:lang w:val="lt-LT" w:eastAsia="en-US"/>
              </w:rPr>
            </w:pPr>
            <w:r w:rsidRPr="00C75EC3">
              <w:rPr>
                <w:rFonts w:eastAsia="TimesNewRoman"/>
                <w:sz w:val="20"/>
                <w:lang w:val="lt-LT" w:eastAsia="en-US"/>
              </w:rPr>
              <w:t>Nerekomenduojama skirti d</w:t>
            </w:r>
            <w:r w:rsidR="009F5848" w:rsidRPr="00C75EC3">
              <w:rPr>
                <w:rFonts w:eastAsia="TimesNewRoman"/>
                <w:sz w:val="20"/>
                <w:lang w:val="lt-LT" w:eastAsia="en-US"/>
              </w:rPr>
              <w:t xml:space="preserve">arunaviro </w:t>
            </w:r>
            <w:r w:rsidRPr="00C75EC3">
              <w:rPr>
                <w:rFonts w:eastAsia="TimesNewRoman"/>
                <w:sz w:val="20"/>
                <w:lang w:val="lt-LT" w:eastAsia="en-US"/>
              </w:rPr>
              <w:t xml:space="preserve">su maža doze ritonaviro </w:t>
            </w:r>
            <w:r w:rsidR="009F5848" w:rsidRPr="00C75EC3">
              <w:rPr>
                <w:rFonts w:eastAsia="TimesNewRoman"/>
                <w:sz w:val="20"/>
                <w:lang w:val="lt-LT" w:eastAsia="en-US"/>
              </w:rPr>
              <w:t>kartu su simepreviru.</w:t>
            </w:r>
          </w:p>
        </w:tc>
      </w:tr>
      <w:tr w:rsidR="009F5848" w:rsidRPr="00C75EC3" w14:paraId="7FBD408B" w14:textId="77777777" w:rsidTr="00C75EC3">
        <w:tc>
          <w:tcPr>
            <w:tcW w:w="9288" w:type="dxa"/>
            <w:gridSpan w:val="4"/>
            <w:shd w:val="clear" w:color="auto" w:fill="auto"/>
          </w:tcPr>
          <w:p w14:paraId="126D21F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Bold"/>
                <w:b/>
                <w:bCs/>
                <w:sz w:val="20"/>
                <w:lang w:val="lt-LT" w:eastAsia="en-US"/>
              </w:rPr>
              <w:t>VAISTAŽOLIŲ PREPARATAI</w:t>
            </w:r>
          </w:p>
        </w:tc>
      </w:tr>
      <w:tr w:rsidR="009F5848" w:rsidRPr="00C75EC3" w14:paraId="5BE78A09" w14:textId="77777777" w:rsidTr="00C75EC3">
        <w:tc>
          <w:tcPr>
            <w:tcW w:w="2943" w:type="dxa"/>
            <w:gridSpan w:val="2"/>
            <w:shd w:val="clear" w:color="auto" w:fill="auto"/>
          </w:tcPr>
          <w:p w14:paraId="1A6214B3"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Jonažolės</w:t>
            </w:r>
          </w:p>
          <w:p w14:paraId="3FC0E8C6"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i/>
                <w:iCs/>
                <w:sz w:val="20"/>
                <w:lang w:val="lt-LT" w:eastAsia="en-US"/>
              </w:rPr>
              <w:t>(Hypericum perforatum)</w:t>
            </w:r>
          </w:p>
        </w:tc>
        <w:tc>
          <w:tcPr>
            <w:tcW w:w="3322" w:type="dxa"/>
            <w:shd w:val="clear" w:color="auto" w:fill="auto"/>
          </w:tcPr>
          <w:p w14:paraId="66AED449"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Netirta. Numatoma, kad jonažolės mažins darunaviro </w:t>
            </w:r>
            <w:r w:rsidR="00FA7E5B">
              <w:rPr>
                <w:rFonts w:eastAsia="TimesNewRoman"/>
                <w:sz w:val="20"/>
                <w:lang w:val="lt-LT" w:eastAsia="en-US"/>
              </w:rPr>
              <w:t>ir ritonaviro</w:t>
            </w:r>
            <w:r w:rsidRPr="00C75EC3">
              <w:rPr>
                <w:rFonts w:eastAsia="TimesNewRoman"/>
                <w:sz w:val="20"/>
                <w:lang w:val="lt-LT" w:eastAsia="en-US"/>
              </w:rPr>
              <w:t xml:space="preserve"> koncentracijas plazmoje. (dėl CYP450 sužadinimo)</w:t>
            </w:r>
          </w:p>
        </w:tc>
        <w:tc>
          <w:tcPr>
            <w:tcW w:w="3023" w:type="dxa"/>
            <w:shd w:val="clear" w:color="auto" w:fill="auto"/>
          </w:tcPr>
          <w:p w14:paraId="5C12E4FC" w14:textId="77777777" w:rsidR="009F5848" w:rsidRPr="00C75EC3" w:rsidRDefault="00E104D4" w:rsidP="00C75EC3">
            <w:pPr>
              <w:autoSpaceDE w:val="0"/>
              <w:autoSpaceDN w:val="0"/>
              <w:adjustRightInd w:val="0"/>
              <w:rPr>
                <w:rFonts w:eastAsia="TimesNewRoman"/>
                <w:sz w:val="20"/>
                <w:lang w:val="lt-LT" w:eastAsia="en-US"/>
              </w:rPr>
            </w:pPr>
            <w:r w:rsidRPr="00C75EC3">
              <w:rPr>
                <w:rFonts w:eastAsia="TimesNewRoman"/>
                <w:sz w:val="20"/>
                <w:lang w:val="lt-LT" w:eastAsia="en-US"/>
              </w:rPr>
              <w:t>D</w:t>
            </w:r>
            <w:r w:rsidR="009F5848" w:rsidRPr="00C75EC3">
              <w:rPr>
                <w:rFonts w:eastAsia="TimesNewRoman"/>
                <w:sz w:val="20"/>
                <w:lang w:val="lt-LT" w:eastAsia="en-US"/>
              </w:rPr>
              <w:t>arunavir</w:t>
            </w:r>
            <w:r w:rsidRPr="00C75EC3">
              <w:rPr>
                <w:rFonts w:eastAsia="TimesNewRoman"/>
                <w:sz w:val="20"/>
                <w:lang w:val="lt-LT" w:eastAsia="en-US"/>
              </w:rPr>
              <w:t xml:space="preserve">o su maža ritonaviro doze </w:t>
            </w:r>
            <w:r w:rsidR="009F5848" w:rsidRPr="00C75EC3">
              <w:rPr>
                <w:rFonts w:eastAsia="TimesNewRoman"/>
                <w:sz w:val="20"/>
                <w:lang w:val="lt-LT" w:eastAsia="en-US"/>
              </w:rPr>
              <w:t>negalima vartoti kartu su vaistažolių preparatais, kurių sudėtyje yra jonažolių (</w:t>
            </w:r>
            <w:r w:rsidR="009F5848" w:rsidRPr="00C75EC3">
              <w:rPr>
                <w:rFonts w:eastAsia="TimesNewRoman"/>
                <w:i/>
                <w:iCs/>
                <w:sz w:val="20"/>
                <w:lang w:val="lt-LT" w:eastAsia="en-US"/>
              </w:rPr>
              <w:t xml:space="preserve">Hypericum perforatum) </w:t>
            </w:r>
            <w:r w:rsidR="009F5848" w:rsidRPr="00C75EC3">
              <w:rPr>
                <w:rFonts w:eastAsia="TimesNewRoman"/>
                <w:sz w:val="20"/>
                <w:lang w:val="lt-LT" w:eastAsia="en-US"/>
              </w:rPr>
              <w:t>(žr. 4.3 skyrių). Jeigu pacientas jau vartoja jonažolių preparatų, jonažolių preparatų vartojimą reikia nutraukti ir, jeigu įmanoma, ištirti virusų koncentraciją. Nutraukus jonažolių preparatų vartojimą, darunaviro (taip pat ir ritonaviro) ekspozicija gali padidėti. Toks sužadinamasis poveikis gali išsilaikyti mažiausiai 2 savaites po gydymo jonažolių preparatais pabaigos.</w:t>
            </w:r>
          </w:p>
        </w:tc>
      </w:tr>
      <w:tr w:rsidR="009F5848" w:rsidRPr="00C75EC3" w14:paraId="1D9DC0A3" w14:textId="77777777" w:rsidTr="00C75EC3">
        <w:tc>
          <w:tcPr>
            <w:tcW w:w="9288" w:type="dxa"/>
            <w:gridSpan w:val="4"/>
            <w:shd w:val="clear" w:color="auto" w:fill="auto"/>
          </w:tcPr>
          <w:p w14:paraId="5CA76A16"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Bold"/>
                <w:b/>
                <w:bCs/>
                <w:sz w:val="20"/>
                <w:lang w:val="lt-LT" w:eastAsia="en-US"/>
              </w:rPr>
              <w:t>HMG KO-A REDUKTAZĖS INHIBITORIAI</w:t>
            </w:r>
          </w:p>
        </w:tc>
      </w:tr>
      <w:tr w:rsidR="009F5848" w:rsidRPr="00C75EC3" w14:paraId="53922319" w14:textId="77777777" w:rsidTr="00C75EC3">
        <w:tc>
          <w:tcPr>
            <w:tcW w:w="2943" w:type="dxa"/>
            <w:gridSpan w:val="2"/>
            <w:shd w:val="clear" w:color="auto" w:fill="auto"/>
          </w:tcPr>
          <w:p w14:paraId="47F3DD3E"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Lovastatinas</w:t>
            </w:r>
          </w:p>
          <w:p w14:paraId="717B7DEB"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Simvastatinas</w:t>
            </w:r>
          </w:p>
        </w:tc>
        <w:tc>
          <w:tcPr>
            <w:tcW w:w="3322" w:type="dxa"/>
            <w:shd w:val="clear" w:color="auto" w:fill="auto"/>
          </w:tcPr>
          <w:p w14:paraId="299A9DE1"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Netirta. Numatoma, kad vartojant kartu su</w:t>
            </w:r>
            <w:r w:rsidR="00E104D4" w:rsidRPr="00C75EC3">
              <w:rPr>
                <w:rFonts w:eastAsia="TimesNewRoman"/>
                <w:sz w:val="20"/>
                <w:lang w:val="lt-LT" w:eastAsia="en-US"/>
              </w:rPr>
              <w:t xml:space="preserve"> </w:t>
            </w:r>
            <w:r w:rsidRPr="00C75EC3">
              <w:rPr>
                <w:rFonts w:eastAsia="TimesNewRoman"/>
                <w:sz w:val="20"/>
                <w:lang w:val="lt-LT" w:eastAsia="en-US"/>
              </w:rPr>
              <w:t>darunaviru</w:t>
            </w:r>
            <w:r w:rsidR="00E104D4" w:rsidRPr="00C75EC3">
              <w:rPr>
                <w:rFonts w:eastAsia="TimesNewRoman"/>
                <w:sz w:val="20"/>
                <w:lang w:val="lt-LT" w:eastAsia="en-US"/>
              </w:rPr>
              <w:t xml:space="preserve"> ir maža ritonaviro doze</w:t>
            </w:r>
            <w:r w:rsidRPr="00C75EC3">
              <w:rPr>
                <w:rFonts w:eastAsia="TimesNewRoman"/>
                <w:sz w:val="20"/>
                <w:lang w:val="lt-LT" w:eastAsia="en-US"/>
              </w:rPr>
              <w:t>, gali labai padidėti lovastatino ir simvastatino koncentracijos kraujo plazmoje. (dėl CYP3A slopinimo)</w:t>
            </w:r>
          </w:p>
        </w:tc>
        <w:tc>
          <w:tcPr>
            <w:tcW w:w="3023" w:type="dxa"/>
            <w:shd w:val="clear" w:color="auto" w:fill="auto"/>
          </w:tcPr>
          <w:p w14:paraId="2BA77DCE"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Dėl lovastatino ir simvastatino</w:t>
            </w:r>
            <w:r w:rsidR="00E104D4" w:rsidRPr="00C75EC3">
              <w:rPr>
                <w:rFonts w:eastAsia="TimesNewRoman"/>
                <w:sz w:val="20"/>
                <w:lang w:val="lt-LT" w:eastAsia="en-US"/>
              </w:rPr>
              <w:t xml:space="preserve"> k</w:t>
            </w:r>
            <w:r w:rsidRPr="00C75EC3">
              <w:rPr>
                <w:rFonts w:eastAsia="TimesNewRoman"/>
                <w:sz w:val="20"/>
                <w:lang w:val="lt-LT" w:eastAsia="en-US"/>
              </w:rPr>
              <w:t>oncentracijų kraujo plazmoje padidėjimo gali pasireikšti miopatija, įskaitant rabdomiolizę. Taigi darunaviro vartojimas kartu</w:t>
            </w:r>
            <w:r w:rsidR="00E104D4" w:rsidRPr="00C75EC3">
              <w:rPr>
                <w:rFonts w:eastAsia="TimesNewRoman"/>
                <w:sz w:val="20"/>
                <w:lang w:val="lt-LT" w:eastAsia="en-US"/>
              </w:rPr>
              <w:t xml:space="preserve"> su maža ritonaviro doze ir </w:t>
            </w:r>
            <w:r w:rsidRPr="00C75EC3">
              <w:rPr>
                <w:rFonts w:eastAsia="TimesNewRoman"/>
                <w:sz w:val="20"/>
                <w:lang w:val="lt-LT" w:eastAsia="en-US"/>
              </w:rPr>
              <w:t xml:space="preserve"> su lovastatinu ir simvastatinu kontraindikuotinas (žr. 4.3 skyrių).</w:t>
            </w:r>
          </w:p>
        </w:tc>
      </w:tr>
      <w:tr w:rsidR="009F5848" w:rsidRPr="00C75EC3" w14:paraId="6AFB2922" w14:textId="77777777" w:rsidTr="00C75EC3">
        <w:tc>
          <w:tcPr>
            <w:tcW w:w="2943" w:type="dxa"/>
            <w:gridSpan w:val="2"/>
            <w:shd w:val="clear" w:color="auto" w:fill="auto"/>
          </w:tcPr>
          <w:p w14:paraId="28595910"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Atorvastatinas 10 mg vieną kartą per parą</w:t>
            </w:r>
          </w:p>
        </w:tc>
        <w:tc>
          <w:tcPr>
            <w:tcW w:w="3322" w:type="dxa"/>
            <w:shd w:val="clear" w:color="auto" w:fill="auto"/>
          </w:tcPr>
          <w:p w14:paraId="06BA92A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atorvastatino AUC ↑ 3-4 kartus</w:t>
            </w:r>
          </w:p>
          <w:p w14:paraId="3E97FFD5"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atorvastatino Cmin ↑ ≈ 5,5-10 kartų</w:t>
            </w:r>
          </w:p>
          <w:p w14:paraId="683E63F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atorvastatino Cmax ↑ ≈ 2 kartus</w:t>
            </w:r>
          </w:p>
          <w:p w14:paraId="3C8D2563"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darunaviras</w:t>
            </w:r>
          </w:p>
        </w:tc>
        <w:tc>
          <w:tcPr>
            <w:tcW w:w="3023" w:type="dxa"/>
            <w:shd w:val="clear" w:color="auto" w:fill="auto"/>
          </w:tcPr>
          <w:p w14:paraId="0DE02514"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Jeigu norima</w:t>
            </w:r>
            <w:r w:rsidR="00643665" w:rsidRPr="00C75EC3">
              <w:rPr>
                <w:rFonts w:eastAsia="TimesNewRoman"/>
                <w:sz w:val="20"/>
                <w:lang w:val="lt-LT" w:eastAsia="en-US"/>
              </w:rPr>
              <w:t xml:space="preserve"> gydyti atorvastatinu kartu su </w:t>
            </w:r>
            <w:r w:rsidRPr="00C75EC3">
              <w:rPr>
                <w:rFonts w:eastAsia="TimesNewRoman"/>
                <w:sz w:val="20"/>
                <w:lang w:val="lt-LT" w:eastAsia="en-US"/>
              </w:rPr>
              <w:t>darunaviru</w:t>
            </w:r>
            <w:r w:rsidR="00643665" w:rsidRPr="00C75EC3">
              <w:rPr>
                <w:rFonts w:eastAsia="TimesNewRoman"/>
                <w:sz w:val="20"/>
                <w:lang w:val="lt-LT" w:eastAsia="en-US"/>
              </w:rPr>
              <w:t xml:space="preserve"> ir maža ritonaviro doze</w:t>
            </w:r>
            <w:r w:rsidRPr="00C75EC3">
              <w:rPr>
                <w:rFonts w:eastAsia="TimesNewRoman"/>
                <w:sz w:val="20"/>
                <w:lang w:val="lt-LT" w:eastAsia="en-US"/>
              </w:rPr>
              <w:t>, rekomenduojama iš pradžių skirti 10 mg atorvastatino dozę vieną kartą per parą. Atsižvelgiant į klinikinį atsaką, atorvastatino doze galima laipsniškai didinti.</w:t>
            </w:r>
          </w:p>
        </w:tc>
      </w:tr>
      <w:tr w:rsidR="009F5848" w:rsidRPr="00C75EC3" w14:paraId="60334BE4" w14:textId="77777777" w:rsidTr="00C75EC3">
        <w:tc>
          <w:tcPr>
            <w:tcW w:w="2943" w:type="dxa"/>
            <w:gridSpan w:val="2"/>
            <w:shd w:val="clear" w:color="auto" w:fill="auto"/>
          </w:tcPr>
          <w:p w14:paraId="4065F86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Pravastatinas 40 mg vienkartinė dozė</w:t>
            </w:r>
          </w:p>
        </w:tc>
        <w:tc>
          <w:tcPr>
            <w:tcW w:w="3322" w:type="dxa"/>
            <w:shd w:val="clear" w:color="auto" w:fill="auto"/>
          </w:tcPr>
          <w:p w14:paraId="22F6AB55"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pravastatino AUC ↑ 81 %¶</w:t>
            </w:r>
          </w:p>
          <w:p w14:paraId="6C17ACA6"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pravastatino Cmin NN</w:t>
            </w:r>
          </w:p>
          <w:p w14:paraId="6347552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pravastatino Cmax ↑ 63 %</w:t>
            </w:r>
          </w:p>
          <w:p w14:paraId="429B05A6" w14:textId="77777777" w:rsidR="009F5848" w:rsidRPr="00C75EC3" w:rsidRDefault="009F5848" w:rsidP="00C75EC3">
            <w:pPr>
              <w:autoSpaceDE w:val="0"/>
              <w:autoSpaceDN w:val="0"/>
              <w:adjustRightInd w:val="0"/>
              <w:rPr>
                <w:rFonts w:eastAsia="TimesNewRoman"/>
                <w:sz w:val="20"/>
                <w:lang w:val="lt-LT" w:eastAsia="en-US"/>
              </w:rPr>
            </w:pPr>
          </w:p>
          <w:p w14:paraId="50347F87"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lastRenderedPageBreak/>
              <w:t>Nedidelės dalies tiriamųjų šis rodiklis padidėjo iki 5kartų</w:t>
            </w:r>
          </w:p>
          <w:p w14:paraId="090D502A" w14:textId="77777777" w:rsidR="009F5848" w:rsidRPr="00C75EC3" w:rsidRDefault="009F5848" w:rsidP="00C75EC3">
            <w:pPr>
              <w:autoSpaceDE w:val="0"/>
              <w:autoSpaceDN w:val="0"/>
              <w:adjustRightInd w:val="0"/>
              <w:rPr>
                <w:rFonts w:eastAsia="TimesNewRoman"/>
                <w:sz w:val="20"/>
                <w:lang w:val="lt-LT" w:eastAsia="en-US"/>
              </w:rPr>
            </w:pPr>
          </w:p>
        </w:tc>
        <w:tc>
          <w:tcPr>
            <w:tcW w:w="3023" w:type="dxa"/>
            <w:shd w:val="clear" w:color="auto" w:fill="auto"/>
          </w:tcPr>
          <w:p w14:paraId="5EC900D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lastRenderedPageBreak/>
              <w:t>Jeigu reikia</w:t>
            </w:r>
            <w:r w:rsidR="00643665" w:rsidRPr="00C75EC3">
              <w:rPr>
                <w:rFonts w:eastAsia="TimesNewRoman"/>
                <w:sz w:val="20"/>
                <w:lang w:val="lt-LT" w:eastAsia="en-US"/>
              </w:rPr>
              <w:t xml:space="preserve"> gydyti pravastatinu kartu su </w:t>
            </w:r>
            <w:r w:rsidRPr="00C75EC3">
              <w:rPr>
                <w:rFonts w:eastAsia="TimesNewRoman"/>
                <w:sz w:val="20"/>
                <w:lang w:val="lt-LT" w:eastAsia="en-US"/>
              </w:rPr>
              <w:t>darunaviru</w:t>
            </w:r>
            <w:r w:rsidR="00643665" w:rsidRPr="00C75EC3">
              <w:rPr>
                <w:rFonts w:eastAsia="TimesNewRoman"/>
                <w:sz w:val="20"/>
                <w:lang w:val="lt-LT" w:eastAsia="en-US"/>
              </w:rPr>
              <w:t xml:space="preserve"> ir maža ritonaviro doze</w:t>
            </w:r>
            <w:r w:rsidRPr="00C75EC3">
              <w:rPr>
                <w:rFonts w:eastAsia="TimesNewRoman"/>
                <w:sz w:val="20"/>
                <w:lang w:val="lt-LT" w:eastAsia="en-US"/>
              </w:rPr>
              <w:t xml:space="preserve">, rekomenduojama iš pradžių skirti </w:t>
            </w:r>
            <w:r w:rsidRPr="00C75EC3">
              <w:rPr>
                <w:rFonts w:eastAsia="TimesNewRoman"/>
                <w:sz w:val="20"/>
                <w:lang w:val="lt-LT" w:eastAsia="en-US"/>
              </w:rPr>
              <w:lastRenderedPageBreak/>
              <w:t>mažiausią galimą prava</w:t>
            </w:r>
            <w:r w:rsidR="00FA7E5B">
              <w:rPr>
                <w:rFonts w:eastAsia="TimesNewRoman"/>
                <w:sz w:val="20"/>
                <w:lang w:val="lt-LT" w:eastAsia="en-US"/>
              </w:rPr>
              <w:t>s</w:t>
            </w:r>
            <w:r w:rsidRPr="00C75EC3">
              <w:rPr>
                <w:rFonts w:eastAsia="TimesNewRoman"/>
                <w:sz w:val="20"/>
                <w:lang w:val="lt-LT" w:eastAsia="en-US"/>
              </w:rPr>
              <w:t>tatino doz</w:t>
            </w:r>
            <w:r w:rsidR="00FA7E5B">
              <w:rPr>
                <w:rFonts w:eastAsia="TimesNewRoman"/>
                <w:sz w:val="20"/>
                <w:lang w:val="lt-LT" w:eastAsia="en-US"/>
              </w:rPr>
              <w:t>ę</w:t>
            </w:r>
            <w:r w:rsidRPr="00C75EC3">
              <w:rPr>
                <w:rFonts w:eastAsia="TimesNewRoman"/>
                <w:sz w:val="20"/>
                <w:lang w:val="lt-LT" w:eastAsia="en-US"/>
              </w:rPr>
              <w:t xml:space="preserve"> ir palaipsniui didinti, kol pasireikš reikiamas klinikinis poveikis, tuo pačiu metu stebint vaistinių preparatų saugumą.</w:t>
            </w:r>
          </w:p>
        </w:tc>
      </w:tr>
      <w:tr w:rsidR="009F5848" w:rsidRPr="00C75EC3" w14:paraId="67A94FEC" w14:textId="77777777" w:rsidTr="00C75EC3">
        <w:tc>
          <w:tcPr>
            <w:tcW w:w="2943" w:type="dxa"/>
            <w:gridSpan w:val="2"/>
            <w:shd w:val="clear" w:color="auto" w:fill="auto"/>
          </w:tcPr>
          <w:p w14:paraId="2AF364B6"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lastRenderedPageBreak/>
              <w:t>Rozuvastatinas 10 mg vieną kartą per parą</w:t>
            </w:r>
          </w:p>
        </w:tc>
        <w:tc>
          <w:tcPr>
            <w:tcW w:w="3322" w:type="dxa"/>
            <w:shd w:val="clear" w:color="auto" w:fill="auto"/>
          </w:tcPr>
          <w:p w14:paraId="566B6FC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rozuvastatino AUC ↑ 48 %</w:t>
            </w:r>
            <w:r w:rsidRPr="00C75EC3">
              <w:rPr>
                <w:rFonts w:eastAsia="TimesNewRoman"/>
                <w:sz w:val="20"/>
                <w:vertAlign w:val="superscript"/>
                <w:lang w:val="lt-LT" w:eastAsia="en-US"/>
              </w:rPr>
              <w:t>║</w:t>
            </w:r>
          </w:p>
          <w:p w14:paraId="72AB56E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rozuvastatino Cmax ↑ 144 %</w:t>
            </w:r>
            <w:r w:rsidRPr="00C75EC3">
              <w:rPr>
                <w:rFonts w:eastAsia="TimesNewRoman"/>
                <w:sz w:val="20"/>
                <w:vertAlign w:val="superscript"/>
                <w:lang w:val="lt-LT" w:eastAsia="en-US"/>
              </w:rPr>
              <w:t>║</w:t>
            </w:r>
          </w:p>
          <w:p w14:paraId="32324F5C"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 xml:space="preserve"> remiantis literatūroje paskelbtais duomenimis</w:t>
            </w:r>
          </w:p>
        </w:tc>
        <w:tc>
          <w:tcPr>
            <w:tcW w:w="3023" w:type="dxa"/>
            <w:shd w:val="clear" w:color="auto" w:fill="auto"/>
          </w:tcPr>
          <w:p w14:paraId="4F1B5C1B"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Jeigu reikia gydyti rozuvastatinu kartu su darunaviru</w:t>
            </w:r>
            <w:r w:rsidR="00643665" w:rsidRPr="00C75EC3">
              <w:rPr>
                <w:rFonts w:eastAsia="TimesNewRoman"/>
                <w:sz w:val="20"/>
                <w:lang w:val="lt-LT" w:eastAsia="en-US"/>
              </w:rPr>
              <w:t xml:space="preserve"> ir maža ritonaviro doze</w:t>
            </w:r>
            <w:r w:rsidRPr="00C75EC3">
              <w:rPr>
                <w:rFonts w:eastAsia="TimesNewRoman"/>
                <w:sz w:val="20"/>
                <w:lang w:val="lt-LT" w:eastAsia="en-US"/>
              </w:rPr>
              <w:t>, rekomenduojama iš pradžių skirti mažiausią galimą rozuvastatino dozę ir ją palaipsniui didinti, kol pasireikš reikiamas klinikinis poveikis, tuo pačiu metu stebint vaistinių preparatų saugumą.</w:t>
            </w:r>
          </w:p>
        </w:tc>
      </w:tr>
      <w:tr w:rsidR="009F5848" w:rsidRPr="00C75EC3" w14:paraId="7B93B2B9" w14:textId="77777777" w:rsidTr="00C75EC3">
        <w:tc>
          <w:tcPr>
            <w:tcW w:w="9288" w:type="dxa"/>
            <w:gridSpan w:val="4"/>
            <w:shd w:val="clear" w:color="auto" w:fill="auto"/>
          </w:tcPr>
          <w:p w14:paraId="656C01F3"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Bold"/>
                <w:b/>
                <w:bCs/>
                <w:sz w:val="20"/>
                <w:lang w:val="lt-LT" w:eastAsia="en-US"/>
              </w:rPr>
              <w:t>H2-RECEPTORIŲ ANTAGONISTAI</w:t>
            </w:r>
          </w:p>
        </w:tc>
      </w:tr>
      <w:tr w:rsidR="009F5848" w:rsidRPr="00C75EC3" w14:paraId="52B5B01E" w14:textId="77777777" w:rsidTr="00C75EC3">
        <w:tc>
          <w:tcPr>
            <w:tcW w:w="2943" w:type="dxa"/>
            <w:gridSpan w:val="2"/>
            <w:shd w:val="clear" w:color="auto" w:fill="auto"/>
          </w:tcPr>
          <w:p w14:paraId="6C3C4F2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Ranitidinas 150 mg du kartus per parą</w:t>
            </w:r>
          </w:p>
        </w:tc>
        <w:tc>
          <w:tcPr>
            <w:tcW w:w="3322" w:type="dxa"/>
            <w:shd w:val="clear" w:color="auto" w:fill="auto"/>
          </w:tcPr>
          <w:p w14:paraId="60B667C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darunaviro AUC ↔</w:t>
            </w:r>
          </w:p>
          <w:p w14:paraId="50B950C8"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darunaviro Cmin ↔</w:t>
            </w:r>
          </w:p>
          <w:p w14:paraId="705CE7A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darunaviro Cmax ↔</w:t>
            </w:r>
          </w:p>
        </w:tc>
        <w:tc>
          <w:tcPr>
            <w:tcW w:w="3023" w:type="dxa"/>
            <w:shd w:val="clear" w:color="auto" w:fill="auto"/>
          </w:tcPr>
          <w:p w14:paraId="37304AE3" w14:textId="77777777" w:rsidR="009F5848" w:rsidRPr="00C75EC3" w:rsidRDefault="00643665" w:rsidP="00C75EC3">
            <w:pPr>
              <w:autoSpaceDE w:val="0"/>
              <w:autoSpaceDN w:val="0"/>
              <w:adjustRightInd w:val="0"/>
              <w:rPr>
                <w:rFonts w:eastAsia="TimesNewRoman"/>
                <w:sz w:val="20"/>
                <w:lang w:val="lt-LT" w:eastAsia="en-US"/>
              </w:rPr>
            </w:pPr>
            <w:r w:rsidRPr="00C75EC3">
              <w:rPr>
                <w:rFonts w:eastAsia="TimesNewRoman"/>
                <w:sz w:val="20"/>
                <w:lang w:val="lt-LT" w:eastAsia="en-US"/>
              </w:rPr>
              <w:t>D</w:t>
            </w:r>
            <w:r w:rsidR="009F5848" w:rsidRPr="00C75EC3">
              <w:rPr>
                <w:rFonts w:eastAsia="TimesNewRoman"/>
                <w:sz w:val="20"/>
                <w:lang w:val="lt-LT" w:eastAsia="en-US"/>
              </w:rPr>
              <w:t xml:space="preserve">arunavirą </w:t>
            </w:r>
            <w:r w:rsidRPr="00C75EC3">
              <w:rPr>
                <w:rFonts w:eastAsia="TimesNewRoman"/>
                <w:sz w:val="20"/>
                <w:lang w:val="lt-LT" w:eastAsia="en-US"/>
              </w:rPr>
              <w:t xml:space="preserve">su maža ritonaviro doze </w:t>
            </w:r>
            <w:r w:rsidR="009F5848" w:rsidRPr="00C75EC3">
              <w:rPr>
                <w:rFonts w:eastAsia="TimesNewRoman"/>
                <w:sz w:val="20"/>
                <w:lang w:val="lt-LT" w:eastAsia="en-US"/>
              </w:rPr>
              <w:t>galima vartoti kartu su H2-receptorių antagonistais nekeičiant dozių.</w:t>
            </w:r>
          </w:p>
        </w:tc>
      </w:tr>
      <w:tr w:rsidR="009F5848" w:rsidRPr="00C75EC3" w14:paraId="6A4AC7BB" w14:textId="77777777" w:rsidTr="00C75EC3">
        <w:tc>
          <w:tcPr>
            <w:tcW w:w="9288" w:type="dxa"/>
            <w:gridSpan w:val="4"/>
            <w:shd w:val="clear" w:color="auto" w:fill="auto"/>
          </w:tcPr>
          <w:p w14:paraId="1F325DF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Bold"/>
                <w:b/>
                <w:bCs/>
                <w:sz w:val="20"/>
                <w:lang w:val="lt-LT" w:eastAsia="en-US"/>
              </w:rPr>
              <w:t>IMUNOSUPRESANTAI</w:t>
            </w:r>
          </w:p>
        </w:tc>
      </w:tr>
      <w:tr w:rsidR="009F5848" w:rsidRPr="00C75EC3" w14:paraId="3E223077" w14:textId="77777777" w:rsidTr="00C75EC3">
        <w:tc>
          <w:tcPr>
            <w:tcW w:w="2943" w:type="dxa"/>
            <w:gridSpan w:val="2"/>
            <w:shd w:val="clear" w:color="auto" w:fill="auto"/>
          </w:tcPr>
          <w:p w14:paraId="51DD4153"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Ciklosporinas</w:t>
            </w:r>
          </w:p>
          <w:p w14:paraId="301FF8A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Sirolimuzas</w:t>
            </w:r>
          </w:p>
          <w:p w14:paraId="5593D16C"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Takrolimuzas</w:t>
            </w:r>
          </w:p>
          <w:p w14:paraId="22D60E81" w14:textId="77777777" w:rsidR="00643665" w:rsidRPr="00C75EC3" w:rsidRDefault="00643665" w:rsidP="00C75EC3">
            <w:pPr>
              <w:autoSpaceDE w:val="0"/>
              <w:autoSpaceDN w:val="0"/>
              <w:adjustRightInd w:val="0"/>
              <w:rPr>
                <w:rFonts w:eastAsia="TimesNewRoman"/>
                <w:sz w:val="20"/>
                <w:lang w:val="lt-LT" w:eastAsia="en-US"/>
              </w:rPr>
            </w:pPr>
          </w:p>
          <w:p w14:paraId="08F71E6B" w14:textId="77777777" w:rsidR="00643665" w:rsidRPr="00C75EC3" w:rsidRDefault="00643665" w:rsidP="00C75EC3">
            <w:pPr>
              <w:autoSpaceDE w:val="0"/>
              <w:autoSpaceDN w:val="0"/>
              <w:adjustRightInd w:val="0"/>
              <w:rPr>
                <w:rFonts w:eastAsia="TimesNewRoman"/>
                <w:sz w:val="20"/>
                <w:lang w:val="lt-LT" w:eastAsia="en-US"/>
              </w:rPr>
            </w:pPr>
          </w:p>
          <w:p w14:paraId="0B56A127"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Everolimuzas</w:t>
            </w:r>
          </w:p>
        </w:tc>
        <w:tc>
          <w:tcPr>
            <w:tcW w:w="3322" w:type="dxa"/>
            <w:shd w:val="clear" w:color="auto" w:fill="auto"/>
          </w:tcPr>
          <w:p w14:paraId="15710413" w14:textId="77777777" w:rsidR="009F5848" w:rsidRPr="00C75EC3" w:rsidRDefault="00643665"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Netirta. Kartu su </w:t>
            </w:r>
            <w:r w:rsidR="009F5848" w:rsidRPr="00C75EC3">
              <w:rPr>
                <w:rFonts w:eastAsia="TimesNewRoman"/>
                <w:sz w:val="20"/>
                <w:lang w:val="lt-LT" w:eastAsia="en-US"/>
              </w:rPr>
              <w:t>darunaviru</w:t>
            </w:r>
            <w:r w:rsidRPr="00C75EC3">
              <w:rPr>
                <w:rFonts w:eastAsia="TimesNewRoman"/>
                <w:sz w:val="20"/>
                <w:lang w:val="lt-LT" w:eastAsia="en-US"/>
              </w:rPr>
              <w:t xml:space="preserve"> ir maža ritonaviro doze</w:t>
            </w:r>
            <w:r w:rsidR="009F5848" w:rsidRPr="00C75EC3">
              <w:rPr>
                <w:rFonts w:eastAsia="TimesNewRoman"/>
                <w:sz w:val="20"/>
                <w:lang w:val="lt-LT" w:eastAsia="en-US"/>
              </w:rPr>
              <w:t xml:space="preserve"> vartojamų šių imunosupresantų ekspozicijos padidės</w:t>
            </w:r>
            <w:r w:rsidRPr="00C75EC3">
              <w:rPr>
                <w:rFonts w:eastAsia="TimesNewRoman"/>
                <w:sz w:val="20"/>
                <w:lang w:val="lt-LT" w:eastAsia="en-US"/>
              </w:rPr>
              <w:t xml:space="preserve"> </w:t>
            </w:r>
            <w:r w:rsidR="009F5848" w:rsidRPr="00C75EC3">
              <w:rPr>
                <w:rFonts w:eastAsia="TimesNewRoman"/>
                <w:sz w:val="20"/>
                <w:lang w:val="lt-LT" w:eastAsia="en-US"/>
              </w:rPr>
              <w:t xml:space="preserve"> (CYP3A slopinimas)</w:t>
            </w:r>
          </w:p>
        </w:tc>
        <w:tc>
          <w:tcPr>
            <w:tcW w:w="3023" w:type="dxa"/>
            <w:shd w:val="clear" w:color="auto" w:fill="auto"/>
          </w:tcPr>
          <w:p w14:paraId="2BB61B81"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Vartojant kartu, rekomenduojamas imunosupresinių vaistinių preparatų terapinis stebėjimas.</w:t>
            </w:r>
          </w:p>
          <w:p w14:paraId="0449EC19" w14:textId="77777777" w:rsidR="00643665" w:rsidRPr="00C75EC3" w:rsidRDefault="00643665" w:rsidP="00C75EC3">
            <w:pPr>
              <w:autoSpaceDE w:val="0"/>
              <w:autoSpaceDN w:val="0"/>
              <w:adjustRightInd w:val="0"/>
              <w:rPr>
                <w:rFonts w:eastAsia="TimesNewRoman"/>
                <w:sz w:val="20"/>
                <w:lang w:val="lt-LT" w:eastAsia="en-US"/>
              </w:rPr>
            </w:pPr>
          </w:p>
          <w:p w14:paraId="22F33275" w14:textId="77777777" w:rsidR="00643665" w:rsidRPr="00C75EC3" w:rsidRDefault="00643665" w:rsidP="00C75EC3">
            <w:pPr>
              <w:autoSpaceDE w:val="0"/>
              <w:autoSpaceDN w:val="0"/>
              <w:adjustRightInd w:val="0"/>
              <w:rPr>
                <w:rFonts w:eastAsia="TimesNewRoman"/>
                <w:sz w:val="20"/>
                <w:lang w:val="lt-LT" w:eastAsia="en-US"/>
              </w:rPr>
            </w:pPr>
          </w:p>
          <w:p w14:paraId="66E36EE5"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Nerekomenduojama vartoti darunaviro </w:t>
            </w:r>
            <w:r w:rsidR="00643665" w:rsidRPr="00C75EC3">
              <w:rPr>
                <w:rFonts w:eastAsia="TimesNewRoman"/>
                <w:sz w:val="20"/>
                <w:lang w:val="lt-LT" w:eastAsia="en-US"/>
              </w:rPr>
              <w:t xml:space="preserve">su maža ritonaviro doze </w:t>
            </w:r>
            <w:r w:rsidRPr="00C75EC3">
              <w:rPr>
                <w:rFonts w:eastAsia="TimesNewRoman"/>
                <w:sz w:val="20"/>
                <w:lang w:val="lt-LT" w:eastAsia="en-US"/>
              </w:rPr>
              <w:t>kartu su everolimuzu.</w:t>
            </w:r>
          </w:p>
        </w:tc>
      </w:tr>
      <w:tr w:rsidR="009F5848" w:rsidRPr="00C75EC3" w14:paraId="5AA499A1" w14:textId="77777777" w:rsidTr="00C75EC3">
        <w:tc>
          <w:tcPr>
            <w:tcW w:w="9288" w:type="dxa"/>
            <w:gridSpan w:val="4"/>
            <w:shd w:val="clear" w:color="auto" w:fill="auto"/>
          </w:tcPr>
          <w:p w14:paraId="40AA26F0"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Bold"/>
                <w:b/>
                <w:bCs/>
                <w:sz w:val="20"/>
                <w:lang w:val="lt-LT" w:eastAsia="en-US"/>
              </w:rPr>
              <w:t>INHALIUOJAMIEJI BETA ADRENORECEPTORIŲ AGONISTAI</w:t>
            </w:r>
          </w:p>
        </w:tc>
      </w:tr>
      <w:tr w:rsidR="009F5848" w:rsidRPr="00C75EC3" w14:paraId="0BDC41B8" w14:textId="77777777" w:rsidTr="00C75EC3">
        <w:tc>
          <w:tcPr>
            <w:tcW w:w="2943" w:type="dxa"/>
            <w:gridSpan w:val="2"/>
            <w:shd w:val="clear" w:color="auto" w:fill="auto"/>
          </w:tcPr>
          <w:p w14:paraId="77A6AA86"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Salmeterolis</w:t>
            </w:r>
          </w:p>
        </w:tc>
        <w:tc>
          <w:tcPr>
            <w:tcW w:w="3322" w:type="dxa"/>
            <w:shd w:val="clear" w:color="auto" w:fill="auto"/>
          </w:tcPr>
          <w:p w14:paraId="4FE8CC3E"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Netirta. Salmeterolį vartojant kartu su darunaviru</w:t>
            </w:r>
            <w:r w:rsidR="00643665" w:rsidRPr="00C75EC3">
              <w:rPr>
                <w:rFonts w:eastAsia="TimesNewRoman"/>
                <w:sz w:val="20"/>
                <w:lang w:val="lt-LT" w:eastAsia="en-US"/>
              </w:rPr>
              <w:t xml:space="preserve"> bei maža ritonaviro doze</w:t>
            </w:r>
            <w:r w:rsidRPr="00C75EC3">
              <w:rPr>
                <w:rFonts w:eastAsia="TimesNewRoman"/>
                <w:sz w:val="20"/>
                <w:lang w:val="lt-LT" w:eastAsia="en-US"/>
              </w:rPr>
              <w:t>, salmeterolio koncentracijos plazmoje gali padidėti.</w:t>
            </w:r>
          </w:p>
        </w:tc>
        <w:tc>
          <w:tcPr>
            <w:tcW w:w="3023" w:type="dxa"/>
            <w:shd w:val="clear" w:color="auto" w:fill="auto"/>
          </w:tcPr>
          <w:p w14:paraId="30F04037"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Salmeterolį vartoti kartu su darunaviru </w:t>
            </w:r>
            <w:r w:rsidR="00643665" w:rsidRPr="00C75EC3">
              <w:rPr>
                <w:rFonts w:eastAsia="TimesNewRoman"/>
                <w:sz w:val="20"/>
                <w:lang w:val="lt-LT" w:eastAsia="en-US"/>
              </w:rPr>
              <w:t xml:space="preserve">ir maža ritonaviro doze </w:t>
            </w:r>
            <w:r w:rsidRPr="00C75EC3">
              <w:rPr>
                <w:rFonts w:eastAsia="TimesNewRoman"/>
                <w:sz w:val="20"/>
                <w:lang w:val="lt-LT" w:eastAsia="en-US"/>
              </w:rPr>
              <w:t>nerekomenduojama. Vartojant tokį derinį, gali padidėti salmeterolio širdies ir kraujagyslių nepageidaujamų reiškinių, įskaitant QT intervalo pailgėjimą, palpitacijas ir sinusinę tachikardiją, rizika.</w:t>
            </w:r>
          </w:p>
        </w:tc>
      </w:tr>
      <w:tr w:rsidR="009F5848" w:rsidRPr="00C75EC3" w14:paraId="5F358502" w14:textId="77777777" w:rsidTr="00C75EC3">
        <w:tc>
          <w:tcPr>
            <w:tcW w:w="9288" w:type="dxa"/>
            <w:gridSpan w:val="4"/>
            <w:shd w:val="clear" w:color="auto" w:fill="auto"/>
          </w:tcPr>
          <w:p w14:paraId="1BD1EB1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Bold"/>
                <w:b/>
                <w:bCs/>
                <w:sz w:val="20"/>
                <w:lang w:val="lt-LT" w:eastAsia="en-US"/>
              </w:rPr>
              <w:t>NARKOTINIAI ANALGETIKAI / PRIKLAUSOMYBĖS NUO OPIJAUS PREPARATŲ GYDYMAS</w:t>
            </w:r>
          </w:p>
        </w:tc>
      </w:tr>
      <w:tr w:rsidR="009F5848" w:rsidRPr="00C75EC3" w14:paraId="662A7F0C" w14:textId="77777777" w:rsidTr="00C75EC3">
        <w:tc>
          <w:tcPr>
            <w:tcW w:w="2943" w:type="dxa"/>
            <w:gridSpan w:val="2"/>
            <w:shd w:val="clear" w:color="auto" w:fill="auto"/>
          </w:tcPr>
          <w:p w14:paraId="233C96E3"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Metadonas</w:t>
            </w:r>
          </w:p>
          <w:p w14:paraId="6675514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Individualios dozės nuo 55 mg iki 150 mg vieną kartą per parą</w:t>
            </w:r>
          </w:p>
        </w:tc>
        <w:tc>
          <w:tcPr>
            <w:tcW w:w="3322" w:type="dxa"/>
            <w:shd w:val="clear" w:color="auto" w:fill="auto"/>
          </w:tcPr>
          <w:p w14:paraId="3DBC6105"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R(-) metadono AUC ↓ 16 %</w:t>
            </w:r>
          </w:p>
          <w:p w14:paraId="7EE2CE2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R(-) metadono Cmin ↓ 15 %</w:t>
            </w:r>
          </w:p>
          <w:p w14:paraId="5E0CEB51"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R(-) metadono Cmax ↓ 24 %</w:t>
            </w:r>
          </w:p>
          <w:p w14:paraId="30AC6136" w14:textId="77777777" w:rsidR="009F5848" w:rsidRPr="00C75EC3" w:rsidRDefault="009F5848" w:rsidP="00C75EC3">
            <w:pPr>
              <w:autoSpaceDE w:val="0"/>
              <w:autoSpaceDN w:val="0"/>
              <w:adjustRightInd w:val="0"/>
              <w:rPr>
                <w:rFonts w:eastAsia="TimesNewRoman"/>
                <w:sz w:val="20"/>
                <w:lang w:val="lt-LT" w:eastAsia="en-US"/>
              </w:rPr>
            </w:pPr>
          </w:p>
        </w:tc>
        <w:tc>
          <w:tcPr>
            <w:tcW w:w="3023" w:type="dxa"/>
            <w:shd w:val="clear" w:color="auto" w:fill="auto"/>
          </w:tcPr>
          <w:p w14:paraId="601A25D6"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Pradėjus vartoti kartu su darunaviru</w:t>
            </w:r>
            <w:r w:rsidR="00643665" w:rsidRPr="00C75EC3">
              <w:rPr>
                <w:rFonts w:eastAsia="TimesNewRoman"/>
                <w:sz w:val="20"/>
                <w:lang w:val="lt-LT" w:eastAsia="en-US"/>
              </w:rPr>
              <w:t>/ritonaviru</w:t>
            </w:r>
            <w:r w:rsidRPr="00C75EC3">
              <w:rPr>
                <w:rFonts w:eastAsia="TimesNewRoman"/>
                <w:sz w:val="20"/>
                <w:lang w:val="lt-LT" w:eastAsia="en-US"/>
              </w:rPr>
              <w:t>, metadono dozės keisti nebūtina. Vis dėlto vartojant kartu ilgą laiką, gali prireikti keisti metadono dozę. Taigi rekomenduojamas klinikinis stebėjimas, nes kai kuriems pacientams gali tekti keisti palaikomąjį gydymą.</w:t>
            </w:r>
          </w:p>
        </w:tc>
      </w:tr>
      <w:tr w:rsidR="009F5848" w:rsidRPr="00C75EC3" w14:paraId="7EC1EEFA" w14:textId="77777777" w:rsidTr="00C75EC3">
        <w:tc>
          <w:tcPr>
            <w:tcW w:w="2943" w:type="dxa"/>
            <w:gridSpan w:val="2"/>
            <w:shd w:val="clear" w:color="auto" w:fill="auto"/>
          </w:tcPr>
          <w:p w14:paraId="0758D651"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Buprenorfinas/naloksonas 8/2 mg–16/4 mg vieną kartą per parą</w:t>
            </w:r>
          </w:p>
        </w:tc>
        <w:tc>
          <w:tcPr>
            <w:tcW w:w="3322" w:type="dxa"/>
            <w:shd w:val="clear" w:color="auto" w:fill="auto"/>
          </w:tcPr>
          <w:p w14:paraId="76228490"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buprenorfino AUC ↓ 11 %</w:t>
            </w:r>
          </w:p>
          <w:p w14:paraId="25448FC9"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buprenorfino Cmin ↔</w:t>
            </w:r>
          </w:p>
          <w:p w14:paraId="524CD514"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buprenorfino Cmax ↓ 8 %</w:t>
            </w:r>
          </w:p>
          <w:p w14:paraId="68974FE8"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norbuprenorfino AUC ↑ 46 %</w:t>
            </w:r>
          </w:p>
          <w:p w14:paraId="0FE169D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norbuprenorfino Cmin ↑ 71 %</w:t>
            </w:r>
          </w:p>
          <w:p w14:paraId="55A67941"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norbuprenorfino Cmax ↑ 36 %</w:t>
            </w:r>
          </w:p>
          <w:p w14:paraId="6E86A121"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naloksono AUC ↔</w:t>
            </w:r>
          </w:p>
          <w:p w14:paraId="3DE06C1E"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naloksono Cmin NN</w:t>
            </w:r>
          </w:p>
          <w:p w14:paraId="65A0A1EC"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lastRenderedPageBreak/>
              <w:t>naloksono Cmax ↔</w:t>
            </w:r>
          </w:p>
        </w:tc>
        <w:tc>
          <w:tcPr>
            <w:tcW w:w="3023" w:type="dxa"/>
            <w:shd w:val="clear" w:color="auto" w:fill="auto"/>
          </w:tcPr>
          <w:p w14:paraId="5E70D19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lastRenderedPageBreak/>
              <w:t>Klinikinė norbuprenorfino farmakokinetinių rodmenų padidėjimo reikšmė nenustatyta.</w:t>
            </w:r>
          </w:p>
          <w:p w14:paraId="2924AB07"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Bu</w:t>
            </w:r>
            <w:r w:rsidR="00643665" w:rsidRPr="00C75EC3">
              <w:rPr>
                <w:rFonts w:eastAsia="TimesNewRoman"/>
                <w:sz w:val="20"/>
                <w:lang w:val="lt-LT" w:eastAsia="en-US"/>
              </w:rPr>
              <w:t xml:space="preserve">prenorfino, vartojamo kartu su </w:t>
            </w:r>
            <w:r w:rsidRPr="00C75EC3">
              <w:rPr>
                <w:rFonts w:eastAsia="TimesNewRoman"/>
                <w:sz w:val="20"/>
                <w:lang w:val="lt-LT" w:eastAsia="en-US"/>
              </w:rPr>
              <w:t>darunaviru</w:t>
            </w:r>
            <w:r w:rsidR="00643665" w:rsidRPr="00C75EC3">
              <w:rPr>
                <w:rFonts w:eastAsia="TimesNewRoman"/>
                <w:sz w:val="20"/>
                <w:lang w:val="lt-LT" w:eastAsia="en-US"/>
              </w:rPr>
              <w:t xml:space="preserve"> ir maža ritonaviro doze</w:t>
            </w:r>
            <w:r w:rsidRPr="00C75EC3">
              <w:rPr>
                <w:rFonts w:eastAsia="TimesNewRoman"/>
                <w:sz w:val="20"/>
                <w:lang w:val="lt-LT" w:eastAsia="en-US"/>
              </w:rPr>
              <w:t xml:space="preserve">, dozės keisti gali neprireikti, bet rekomenduojama atidžiai stebėti, ar neatsiranda opijaus </w:t>
            </w:r>
            <w:r w:rsidRPr="00C75EC3">
              <w:rPr>
                <w:rFonts w:eastAsia="TimesNewRoman"/>
                <w:sz w:val="20"/>
                <w:lang w:val="lt-LT" w:eastAsia="en-US"/>
              </w:rPr>
              <w:lastRenderedPageBreak/>
              <w:t>preparatų toksinio poveikio požymių.</w:t>
            </w:r>
          </w:p>
        </w:tc>
      </w:tr>
      <w:tr w:rsidR="009F5848" w:rsidRPr="00C75EC3" w14:paraId="3C047396" w14:textId="77777777" w:rsidTr="00C75EC3">
        <w:tc>
          <w:tcPr>
            <w:tcW w:w="9288" w:type="dxa"/>
            <w:gridSpan w:val="4"/>
            <w:shd w:val="clear" w:color="auto" w:fill="auto"/>
          </w:tcPr>
          <w:p w14:paraId="70F9D8F0"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Bold"/>
                <w:b/>
                <w:bCs/>
                <w:sz w:val="20"/>
                <w:lang w:val="lt-LT" w:eastAsia="en-US"/>
              </w:rPr>
              <w:lastRenderedPageBreak/>
              <w:t>KONTRACEPTIKAI, KURIŲ SUDĖTYJE YRA ESTROGENŲ</w:t>
            </w:r>
          </w:p>
        </w:tc>
      </w:tr>
      <w:tr w:rsidR="009F5848" w:rsidRPr="00C75EC3" w14:paraId="2A1A6B4B" w14:textId="77777777" w:rsidTr="00C75EC3">
        <w:tc>
          <w:tcPr>
            <w:tcW w:w="2943" w:type="dxa"/>
            <w:gridSpan w:val="2"/>
            <w:shd w:val="clear" w:color="auto" w:fill="auto"/>
          </w:tcPr>
          <w:p w14:paraId="11D319D6"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Etinilestradiolis</w:t>
            </w:r>
          </w:p>
          <w:p w14:paraId="6A92E023"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Noretindronas</w:t>
            </w:r>
          </w:p>
          <w:p w14:paraId="1FAD7DC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35</w:t>
            </w:r>
            <w:r w:rsidR="00643665" w:rsidRPr="00C75EC3">
              <w:rPr>
                <w:rFonts w:eastAsia="TimesNewRoman"/>
                <w:sz w:val="20"/>
                <w:lang w:val="lt-LT" w:eastAsia="en-US"/>
              </w:rPr>
              <w:t> </w:t>
            </w:r>
            <w:r w:rsidRPr="00C75EC3">
              <w:rPr>
                <w:rFonts w:eastAsia="TimesNewRoman"/>
                <w:sz w:val="20"/>
                <w:lang w:val="lt-LT" w:eastAsia="en-US"/>
              </w:rPr>
              <w:t>mikrogramai/ 1 mg</w:t>
            </w:r>
          </w:p>
          <w:p w14:paraId="5DBFE834"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vieną kartą per parą</w:t>
            </w:r>
          </w:p>
        </w:tc>
        <w:tc>
          <w:tcPr>
            <w:tcW w:w="3322" w:type="dxa"/>
            <w:shd w:val="clear" w:color="auto" w:fill="auto"/>
          </w:tcPr>
          <w:p w14:paraId="263BFEB7"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etinilestradiolio AUC ↓ 44 %</w:t>
            </w:r>
          </w:p>
          <w:p w14:paraId="66A77491"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etinilestradiolio Cmin ↓ 62 %</w:t>
            </w:r>
          </w:p>
          <w:p w14:paraId="412FC075"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etinilestradiolio Cmax ↓ 32 %</w:t>
            </w:r>
          </w:p>
          <w:p w14:paraId="5FF723EA"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noretindrono AUC ↓ 14 %</w:t>
            </w:r>
          </w:p>
          <w:p w14:paraId="2729B8E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noretindrono Cmin ↓ 30 %</w:t>
            </w:r>
          </w:p>
          <w:p w14:paraId="06A82BA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noretindrono Cmax ↔</w:t>
            </w:r>
          </w:p>
        </w:tc>
        <w:tc>
          <w:tcPr>
            <w:tcW w:w="3023" w:type="dxa"/>
            <w:shd w:val="clear" w:color="auto" w:fill="auto"/>
          </w:tcPr>
          <w:p w14:paraId="7CA03B93"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Kontraceptikus, kurių sudėtyje yra estrogenų, vartojant kartu su darunaviru</w:t>
            </w:r>
            <w:r w:rsidR="0006136F" w:rsidRPr="00C75EC3">
              <w:rPr>
                <w:rFonts w:eastAsia="TimesNewRoman"/>
                <w:sz w:val="20"/>
                <w:lang w:val="lt-LT" w:eastAsia="en-US"/>
              </w:rPr>
              <w:t xml:space="preserve"> ir maža ritonaviro doze</w:t>
            </w:r>
            <w:r w:rsidRPr="00C75EC3">
              <w:rPr>
                <w:rFonts w:eastAsia="TimesNewRoman"/>
                <w:sz w:val="20"/>
                <w:lang w:val="lt-LT" w:eastAsia="en-US"/>
              </w:rPr>
              <w:t>,</w:t>
            </w:r>
            <w:r w:rsidR="0006136F" w:rsidRPr="00C75EC3">
              <w:rPr>
                <w:rFonts w:eastAsia="TimesNewRoman"/>
                <w:sz w:val="20"/>
                <w:lang w:val="lt-LT" w:eastAsia="en-US"/>
              </w:rPr>
              <w:t xml:space="preserve"> </w:t>
            </w:r>
            <w:r w:rsidRPr="00C75EC3">
              <w:rPr>
                <w:rFonts w:eastAsia="TimesNewRoman"/>
                <w:sz w:val="20"/>
                <w:lang w:val="lt-LT" w:eastAsia="en-US"/>
              </w:rPr>
              <w:t>rekomenduojama taikyti kitokias arba papildomas kontracepcijos priemones. Reikia stebėti, ar pacientėms, kurioms taikoma pakeičiamoji hormonų terapija estrogenais, neatsiranda klinikinių estrogenų stokos požymių.</w:t>
            </w:r>
          </w:p>
        </w:tc>
      </w:tr>
      <w:tr w:rsidR="009F5848" w:rsidRPr="00C75EC3" w14:paraId="6748A615" w14:textId="77777777" w:rsidTr="00C75EC3">
        <w:tc>
          <w:tcPr>
            <w:tcW w:w="9288" w:type="dxa"/>
            <w:gridSpan w:val="4"/>
            <w:shd w:val="clear" w:color="auto" w:fill="auto"/>
          </w:tcPr>
          <w:p w14:paraId="5292DD8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Bold"/>
                <w:b/>
                <w:bCs/>
                <w:sz w:val="20"/>
                <w:lang w:val="lt-LT" w:eastAsia="en-US"/>
              </w:rPr>
              <w:t>5 TIPO FOSFODIESTERAZĖS (FDE-5) INHIBITORIAI</w:t>
            </w:r>
          </w:p>
        </w:tc>
      </w:tr>
      <w:tr w:rsidR="009F5848" w:rsidRPr="00C75EC3" w14:paraId="57C711D8" w14:textId="77777777" w:rsidTr="00C75EC3">
        <w:tc>
          <w:tcPr>
            <w:tcW w:w="2943" w:type="dxa"/>
            <w:gridSpan w:val="2"/>
            <w:shd w:val="clear" w:color="auto" w:fill="auto"/>
          </w:tcPr>
          <w:p w14:paraId="6918560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Vartojami erekcijos funkcijos sutrikimams gydyti</w:t>
            </w:r>
          </w:p>
          <w:p w14:paraId="65A87785"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Avanafilis</w:t>
            </w:r>
          </w:p>
          <w:p w14:paraId="0AFE1FA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Sildenafilis</w:t>
            </w:r>
          </w:p>
          <w:p w14:paraId="5210360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Tadalafilis</w:t>
            </w:r>
          </w:p>
          <w:p w14:paraId="52F6BDBB"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Vardenafilis</w:t>
            </w:r>
          </w:p>
        </w:tc>
        <w:tc>
          <w:tcPr>
            <w:tcW w:w="3322" w:type="dxa"/>
            <w:shd w:val="clear" w:color="auto" w:fill="auto"/>
          </w:tcPr>
          <w:p w14:paraId="5ED9986E"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Sąveikos tyrimo duomenimis </w:t>
            </w:r>
            <w:r w:rsidRPr="00C75EC3">
              <w:rPr>
                <w:rFonts w:eastAsia="TimesNewRoman"/>
                <w:sz w:val="20"/>
                <w:vertAlign w:val="superscript"/>
                <w:lang w:val="lt-LT" w:eastAsia="en-US"/>
              </w:rPr>
              <w:t>#</w:t>
            </w:r>
            <w:r w:rsidRPr="00C75EC3">
              <w:rPr>
                <w:rFonts w:eastAsia="TimesNewRoman"/>
                <w:sz w:val="20"/>
                <w:lang w:val="lt-LT" w:eastAsia="en-US"/>
              </w:rPr>
              <w:t>, pavartojus vienkartinę 100 mg sildenafilio dozę arba vienkartinę 25 mg sildenafilio dozę kartu su darunaviru ir maža ritonaviro doze, sisteminė sildenafilio ekspozicija buvo panaši.</w:t>
            </w:r>
          </w:p>
        </w:tc>
        <w:tc>
          <w:tcPr>
            <w:tcW w:w="3023" w:type="dxa"/>
            <w:shd w:val="clear" w:color="auto" w:fill="auto"/>
          </w:tcPr>
          <w:p w14:paraId="5CB9AA92" w14:textId="77777777" w:rsidR="009F5848" w:rsidRPr="00C75EC3" w:rsidRDefault="0006136F"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Avanafilio ir </w:t>
            </w:r>
            <w:r w:rsidR="009F5848" w:rsidRPr="00C75EC3">
              <w:rPr>
                <w:rFonts w:eastAsia="TimesNewRoman"/>
                <w:sz w:val="20"/>
                <w:lang w:val="lt-LT" w:eastAsia="en-US"/>
              </w:rPr>
              <w:t>darunaviro</w:t>
            </w:r>
            <w:r w:rsidRPr="00C75EC3">
              <w:rPr>
                <w:rFonts w:eastAsia="TimesNewRoman"/>
                <w:sz w:val="20"/>
                <w:lang w:val="lt-LT" w:eastAsia="en-US"/>
              </w:rPr>
              <w:t xml:space="preserve"> su maža ritonaviro doze </w:t>
            </w:r>
            <w:r w:rsidR="009F5848" w:rsidRPr="00C75EC3">
              <w:rPr>
                <w:rFonts w:eastAsia="TimesNewRoman"/>
                <w:sz w:val="20"/>
                <w:lang w:val="lt-LT" w:eastAsia="en-US"/>
              </w:rPr>
              <w:t>vartojimas kartu yra kontraindikuotinas (žr. 4.3 skyrių).</w:t>
            </w:r>
          </w:p>
          <w:p w14:paraId="59D1917B"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Erekcijos sutrikimams gydyti skiriamus kitus FDE-5 inhibitori</w:t>
            </w:r>
            <w:r w:rsidR="0006136F" w:rsidRPr="00C75EC3">
              <w:rPr>
                <w:rFonts w:eastAsia="TimesNewRoman"/>
                <w:sz w:val="20"/>
                <w:lang w:val="lt-LT" w:eastAsia="en-US"/>
              </w:rPr>
              <w:t xml:space="preserve">us vartoti kartu su </w:t>
            </w:r>
            <w:r w:rsidRPr="00C75EC3">
              <w:rPr>
                <w:rFonts w:eastAsia="TimesNewRoman"/>
                <w:sz w:val="20"/>
                <w:lang w:val="lt-LT" w:eastAsia="en-US"/>
              </w:rPr>
              <w:t>darunaviru</w:t>
            </w:r>
            <w:r w:rsidR="0006136F" w:rsidRPr="00C75EC3">
              <w:rPr>
                <w:rFonts w:eastAsia="TimesNewRoman"/>
                <w:sz w:val="20"/>
                <w:lang w:val="lt-LT" w:eastAsia="en-US"/>
              </w:rPr>
              <w:t xml:space="preserve"> ir maža ritonaviro doze</w:t>
            </w:r>
            <w:r w:rsidRPr="00C75EC3">
              <w:rPr>
                <w:rFonts w:eastAsia="TimesNewRoman"/>
                <w:sz w:val="20"/>
                <w:lang w:val="lt-LT" w:eastAsia="en-US"/>
              </w:rPr>
              <w:t>, reikia atsargiai. Jeigu sildenafilį, vardenafilį arba tadalafilį reikia vartoti kartu su darunaviru</w:t>
            </w:r>
            <w:r w:rsidR="0006136F" w:rsidRPr="00C75EC3">
              <w:rPr>
                <w:rFonts w:eastAsia="TimesNewRoman"/>
                <w:sz w:val="20"/>
                <w:lang w:val="lt-LT" w:eastAsia="en-US"/>
              </w:rPr>
              <w:t xml:space="preserve"> ir maža ritonaviro doze</w:t>
            </w:r>
            <w:r w:rsidRPr="00C75EC3">
              <w:rPr>
                <w:rFonts w:eastAsia="TimesNewRoman"/>
                <w:sz w:val="20"/>
                <w:lang w:val="lt-LT" w:eastAsia="en-US"/>
              </w:rPr>
              <w:t>, rekomenduojama per 48 valandas suvartoti ne didesnę kaip 25 mg vienkartinę sildenafilio dozę, per 72 valandas suvartoti ne didesnę kaip 2,5 mg vienkartinę vardenafilio dozę arba per 72 valandas suvartoti ne didesnę kaip 10 mg vienkartinę tadalafilio dozę.</w:t>
            </w:r>
          </w:p>
        </w:tc>
      </w:tr>
      <w:tr w:rsidR="009F5848" w:rsidRPr="00C75EC3" w14:paraId="2F4E0B88" w14:textId="77777777" w:rsidTr="00C75EC3">
        <w:tc>
          <w:tcPr>
            <w:tcW w:w="2943" w:type="dxa"/>
            <w:gridSpan w:val="2"/>
            <w:shd w:val="clear" w:color="auto" w:fill="auto"/>
          </w:tcPr>
          <w:p w14:paraId="0B047678"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Vartojami plautinei arterinei hipertenzijai gydyti</w:t>
            </w:r>
          </w:p>
          <w:p w14:paraId="45419BC1"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Sildenafilis</w:t>
            </w:r>
          </w:p>
          <w:p w14:paraId="010123DE"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Tadalafilis</w:t>
            </w:r>
          </w:p>
        </w:tc>
        <w:tc>
          <w:tcPr>
            <w:tcW w:w="3322" w:type="dxa"/>
            <w:shd w:val="clear" w:color="auto" w:fill="auto"/>
          </w:tcPr>
          <w:p w14:paraId="23C9AC94"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Netirta. Plautinei arterinei hipertenzijai gydyti skiriamą sildenafilį arba tadalafilįvartojant kartu su darunaviru</w:t>
            </w:r>
            <w:r w:rsidR="0006136F" w:rsidRPr="00C75EC3">
              <w:rPr>
                <w:rFonts w:eastAsia="TimesNewRoman"/>
                <w:sz w:val="20"/>
                <w:lang w:val="lt-LT" w:eastAsia="en-US"/>
              </w:rPr>
              <w:t xml:space="preserve"> ir maža ritonaviro doze</w:t>
            </w:r>
            <w:r w:rsidRPr="00C75EC3">
              <w:rPr>
                <w:rFonts w:eastAsia="TimesNewRoman"/>
                <w:sz w:val="20"/>
                <w:lang w:val="lt-LT" w:eastAsia="en-US"/>
              </w:rPr>
              <w:t>, sildenafilio arba tadalafilio koncentracijos plazmoje gali padidėti. (CYP3A slopinimas)</w:t>
            </w:r>
          </w:p>
        </w:tc>
        <w:tc>
          <w:tcPr>
            <w:tcW w:w="3023" w:type="dxa"/>
            <w:shd w:val="clear" w:color="auto" w:fill="auto"/>
          </w:tcPr>
          <w:p w14:paraId="0AEE74B3"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Saugi ir veiksminga sildenafilio dozė plautinei arterinei hipertenzijai gydyti,</w:t>
            </w:r>
            <w:r w:rsidR="0006136F" w:rsidRPr="00C75EC3">
              <w:rPr>
                <w:rFonts w:eastAsia="TimesNewRoman"/>
                <w:sz w:val="20"/>
                <w:lang w:val="lt-LT" w:eastAsia="en-US"/>
              </w:rPr>
              <w:t xml:space="preserve"> kurią galima vartoti kartu su </w:t>
            </w:r>
            <w:r w:rsidRPr="00C75EC3">
              <w:rPr>
                <w:rFonts w:eastAsia="TimesNewRoman"/>
                <w:sz w:val="20"/>
                <w:lang w:val="lt-LT" w:eastAsia="en-US"/>
              </w:rPr>
              <w:t>darunaviru</w:t>
            </w:r>
            <w:r w:rsidR="0006136F" w:rsidRPr="00C75EC3">
              <w:rPr>
                <w:rFonts w:eastAsia="TimesNewRoman"/>
                <w:sz w:val="20"/>
                <w:lang w:val="lt-LT" w:eastAsia="en-US"/>
              </w:rPr>
              <w:t xml:space="preserve"> ir maža ritonaviro doze</w:t>
            </w:r>
            <w:r w:rsidRPr="00C75EC3">
              <w:rPr>
                <w:rFonts w:eastAsia="TimesNewRoman"/>
                <w:sz w:val="20"/>
                <w:lang w:val="lt-LT" w:eastAsia="en-US"/>
              </w:rPr>
              <w:t>, nenustatyta.</w:t>
            </w:r>
          </w:p>
          <w:p w14:paraId="78FFA837"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Vartojant šiuos preparatus kartu, padidėja su sildenafilio vartojimu susijusių nepageidaujamų reiškinių atsiradimo tikimybė (įskaitant regėjimo sutrikimus, hipotenziją, erekcijos pailgėjimą ir apalpimą). Todėl darunaviro</w:t>
            </w:r>
            <w:r w:rsidR="0006136F" w:rsidRPr="00C75EC3">
              <w:rPr>
                <w:rFonts w:eastAsia="TimesNewRoman"/>
                <w:sz w:val="20"/>
                <w:lang w:val="lt-LT" w:eastAsia="en-US"/>
              </w:rPr>
              <w:t>/ritonaviro</w:t>
            </w:r>
            <w:r w:rsidRPr="00C75EC3">
              <w:rPr>
                <w:rFonts w:eastAsia="TimesNewRoman"/>
                <w:sz w:val="20"/>
                <w:lang w:val="lt-LT" w:eastAsia="en-US"/>
              </w:rPr>
              <w:t xml:space="preserve"> vartojimas kartu su plautinei arterinei hipertenzijai gydyti skiriamu sildenafiliu yra kontraindikuotinas (žr. 4.3 skyrių).</w:t>
            </w:r>
          </w:p>
          <w:p w14:paraId="02E53C7C"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Plautinei arterinei hipertenzijai gydyti skiriamą tadalafilį vartoti </w:t>
            </w:r>
            <w:r w:rsidR="0006136F" w:rsidRPr="00C75EC3">
              <w:rPr>
                <w:rFonts w:eastAsia="TimesNewRoman"/>
                <w:sz w:val="20"/>
                <w:lang w:val="lt-LT" w:eastAsia="en-US"/>
              </w:rPr>
              <w:t>kartu su</w:t>
            </w:r>
            <w:r w:rsidRPr="00C75EC3">
              <w:rPr>
                <w:rFonts w:eastAsia="TimesNewRoman"/>
                <w:sz w:val="20"/>
                <w:lang w:val="lt-LT" w:eastAsia="en-US"/>
              </w:rPr>
              <w:t xml:space="preserve"> darunaviru </w:t>
            </w:r>
            <w:r w:rsidR="0006136F" w:rsidRPr="00C75EC3">
              <w:rPr>
                <w:rFonts w:eastAsia="TimesNewRoman"/>
                <w:sz w:val="20"/>
                <w:lang w:val="lt-LT" w:eastAsia="en-US"/>
              </w:rPr>
              <w:t xml:space="preserve">ir maža </w:t>
            </w:r>
            <w:r w:rsidR="0006136F" w:rsidRPr="00C75EC3">
              <w:rPr>
                <w:rFonts w:eastAsia="TimesNewRoman"/>
                <w:sz w:val="20"/>
                <w:lang w:val="lt-LT" w:eastAsia="en-US"/>
              </w:rPr>
              <w:lastRenderedPageBreak/>
              <w:t xml:space="preserve">ritonaviro doze </w:t>
            </w:r>
            <w:r w:rsidRPr="00C75EC3">
              <w:rPr>
                <w:rFonts w:eastAsia="TimesNewRoman"/>
                <w:sz w:val="20"/>
                <w:lang w:val="lt-LT" w:eastAsia="en-US"/>
              </w:rPr>
              <w:t>nerekomenduojama.</w:t>
            </w:r>
          </w:p>
        </w:tc>
      </w:tr>
      <w:tr w:rsidR="009F5848" w:rsidRPr="00C75EC3" w14:paraId="5C420C35" w14:textId="77777777" w:rsidTr="00C75EC3">
        <w:tc>
          <w:tcPr>
            <w:tcW w:w="9288" w:type="dxa"/>
            <w:gridSpan w:val="4"/>
            <w:shd w:val="clear" w:color="auto" w:fill="auto"/>
          </w:tcPr>
          <w:p w14:paraId="601D39D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Bold"/>
                <w:b/>
                <w:bCs/>
                <w:sz w:val="20"/>
                <w:lang w:val="lt-LT" w:eastAsia="en-US"/>
              </w:rPr>
              <w:lastRenderedPageBreak/>
              <w:t>PROTONŲ SIURBLIO INHIBITORIAI</w:t>
            </w:r>
          </w:p>
        </w:tc>
      </w:tr>
      <w:tr w:rsidR="009F5848" w:rsidRPr="00C75EC3" w14:paraId="2101D49A" w14:textId="77777777" w:rsidTr="00C75EC3">
        <w:tc>
          <w:tcPr>
            <w:tcW w:w="2943" w:type="dxa"/>
            <w:gridSpan w:val="2"/>
            <w:shd w:val="clear" w:color="auto" w:fill="auto"/>
          </w:tcPr>
          <w:p w14:paraId="6CDB322E"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Omeprazolas 20 mg vieną kartą per parą</w:t>
            </w:r>
          </w:p>
        </w:tc>
        <w:tc>
          <w:tcPr>
            <w:tcW w:w="3322" w:type="dxa"/>
            <w:shd w:val="clear" w:color="auto" w:fill="auto"/>
          </w:tcPr>
          <w:p w14:paraId="30210240"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darunaviro AUC ↔</w:t>
            </w:r>
          </w:p>
          <w:p w14:paraId="7D602EAF"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darunaviro Cmin ↔</w:t>
            </w:r>
          </w:p>
          <w:p w14:paraId="6DEBDCD1"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vertAlign w:val="superscript"/>
                <w:lang w:val="lt-LT" w:eastAsia="en-US"/>
              </w:rPr>
              <w:t>#</w:t>
            </w:r>
            <w:r w:rsidRPr="00C75EC3">
              <w:rPr>
                <w:rFonts w:eastAsia="TimesNewRoman"/>
                <w:sz w:val="20"/>
                <w:lang w:val="lt-LT" w:eastAsia="en-US"/>
              </w:rPr>
              <w:t>darunaviro Cmax ↔</w:t>
            </w:r>
          </w:p>
        </w:tc>
        <w:tc>
          <w:tcPr>
            <w:tcW w:w="3023" w:type="dxa"/>
            <w:shd w:val="clear" w:color="auto" w:fill="auto"/>
          </w:tcPr>
          <w:p w14:paraId="0C8337D6" w14:textId="77777777" w:rsidR="009F5848" w:rsidRPr="00C75EC3" w:rsidRDefault="0006136F" w:rsidP="00C75EC3">
            <w:pPr>
              <w:autoSpaceDE w:val="0"/>
              <w:autoSpaceDN w:val="0"/>
              <w:adjustRightInd w:val="0"/>
              <w:rPr>
                <w:rFonts w:eastAsia="TimesNewRoman"/>
                <w:sz w:val="20"/>
                <w:lang w:val="lt-LT" w:eastAsia="en-US"/>
              </w:rPr>
            </w:pPr>
            <w:r w:rsidRPr="00C75EC3">
              <w:rPr>
                <w:rFonts w:eastAsia="TimesNewRoman"/>
                <w:sz w:val="20"/>
                <w:lang w:val="lt-LT" w:eastAsia="en-US"/>
              </w:rPr>
              <w:t>D</w:t>
            </w:r>
            <w:r w:rsidR="009F5848" w:rsidRPr="00C75EC3">
              <w:rPr>
                <w:rFonts w:eastAsia="TimesNewRoman"/>
                <w:sz w:val="20"/>
                <w:lang w:val="lt-LT" w:eastAsia="en-US"/>
              </w:rPr>
              <w:t xml:space="preserve">arunavirą </w:t>
            </w:r>
            <w:r w:rsidRPr="00C75EC3">
              <w:rPr>
                <w:rFonts w:eastAsia="TimesNewRoman"/>
                <w:sz w:val="20"/>
                <w:lang w:val="lt-LT" w:eastAsia="en-US"/>
              </w:rPr>
              <w:t xml:space="preserve">su maža ritonaviro doze </w:t>
            </w:r>
            <w:r w:rsidR="009F5848" w:rsidRPr="00C75EC3">
              <w:rPr>
                <w:rFonts w:eastAsia="TimesNewRoman"/>
                <w:sz w:val="20"/>
                <w:lang w:val="lt-LT" w:eastAsia="en-US"/>
              </w:rPr>
              <w:t>galima vartoti kartu su protonų siurblio inhibitoriais nekeičiant dozės.</w:t>
            </w:r>
          </w:p>
        </w:tc>
      </w:tr>
      <w:tr w:rsidR="009F5848" w:rsidRPr="00C75EC3" w14:paraId="37B6531B" w14:textId="77777777" w:rsidTr="00C75EC3">
        <w:tc>
          <w:tcPr>
            <w:tcW w:w="9288" w:type="dxa"/>
            <w:gridSpan w:val="4"/>
            <w:shd w:val="clear" w:color="auto" w:fill="auto"/>
          </w:tcPr>
          <w:p w14:paraId="5E45D2D6"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Bold"/>
                <w:b/>
                <w:bCs/>
                <w:sz w:val="20"/>
                <w:lang w:val="lt-LT" w:eastAsia="en-US"/>
              </w:rPr>
              <w:t>RAMINAMIEJI / MIGDOMIEJI VAISTINIAI PREPARATAI</w:t>
            </w:r>
          </w:p>
        </w:tc>
      </w:tr>
      <w:tr w:rsidR="009F5848" w:rsidRPr="00C75EC3" w14:paraId="721B03FF" w14:textId="77777777" w:rsidTr="00C75EC3">
        <w:tc>
          <w:tcPr>
            <w:tcW w:w="2943" w:type="dxa"/>
            <w:gridSpan w:val="2"/>
            <w:shd w:val="clear" w:color="auto" w:fill="auto"/>
          </w:tcPr>
          <w:p w14:paraId="689EF3D8"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Buspironas</w:t>
            </w:r>
          </w:p>
          <w:p w14:paraId="34FD98C9"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Klorazepatas</w:t>
            </w:r>
          </w:p>
          <w:p w14:paraId="7FDB1F66"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Diazepamas</w:t>
            </w:r>
          </w:p>
          <w:p w14:paraId="145077BB"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Estazolamas</w:t>
            </w:r>
          </w:p>
          <w:p w14:paraId="6E0DF528"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Flurazepamas</w:t>
            </w:r>
          </w:p>
          <w:p w14:paraId="2882F086"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Midazolamas (vartojamas</w:t>
            </w:r>
          </w:p>
          <w:p w14:paraId="42521B39"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parenteriniu būdu)</w:t>
            </w:r>
          </w:p>
          <w:p w14:paraId="62EB2BAD"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Zoldipemas</w:t>
            </w:r>
          </w:p>
          <w:p w14:paraId="72F7811C" w14:textId="77777777" w:rsidR="009F5848" w:rsidRPr="00C75EC3" w:rsidRDefault="009F5848" w:rsidP="00C75EC3">
            <w:pPr>
              <w:autoSpaceDE w:val="0"/>
              <w:autoSpaceDN w:val="0"/>
              <w:adjustRightInd w:val="0"/>
              <w:rPr>
                <w:rFonts w:eastAsia="TimesNewRoman"/>
                <w:sz w:val="20"/>
                <w:lang w:val="lt-LT" w:eastAsia="en-US"/>
              </w:rPr>
            </w:pPr>
          </w:p>
          <w:p w14:paraId="1C20F347" w14:textId="77777777" w:rsidR="009F5848" w:rsidRPr="00C75EC3" w:rsidRDefault="009F5848" w:rsidP="00C75EC3">
            <w:pPr>
              <w:autoSpaceDE w:val="0"/>
              <w:autoSpaceDN w:val="0"/>
              <w:adjustRightInd w:val="0"/>
              <w:rPr>
                <w:rFonts w:eastAsia="TimesNewRoman"/>
                <w:sz w:val="20"/>
                <w:lang w:val="lt-LT" w:eastAsia="en-US"/>
              </w:rPr>
            </w:pPr>
          </w:p>
          <w:p w14:paraId="3721B80B" w14:textId="77777777" w:rsidR="009F5848" w:rsidRPr="00C75EC3" w:rsidRDefault="009F5848" w:rsidP="00C75EC3">
            <w:pPr>
              <w:autoSpaceDE w:val="0"/>
              <w:autoSpaceDN w:val="0"/>
              <w:adjustRightInd w:val="0"/>
              <w:rPr>
                <w:rFonts w:eastAsia="TimesNewRoman"/>
                <w:sz w:val="20"/>
                <w:lang w:val="lt-LT" w:eastAsia="en-US"/>
              </w:rPr>
            </w:pPr>
          </w:p>
          <w:p w14:paraId="239E6241"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Midazolamas</w:t>
            </w:r>
          </w:p>
          <w:p w14:paraId="0E2C0C71"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(geriamasis)</w:t>
            </w:r>
          </w:p>
          <w:p w14:paraId="4AE600B3"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Triazolamas</w:t>
            </w:r>
          </w:p>
        </w:tc>
        <w:tc>
          <w:tcPr>
            <w:tcW w:w="3322" w:type="dxa"/>
            <w:shd w:val="clear" w:color="auto" w:fill="auto"/>
          </w:tcPr>
          <w:p w14:paraId="74B5AEF6"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Netirta. Raminamieji/migdomieji vaistiniai preparatai yra ekstensyviai metabolizuojami CYP3A. Vartojimas kartu su darunaviru</w:t>
            </w:r>
            <w:r w:rsidR="0006136F" w:rsidRPr="00C75EC3">
              <w:rPr>
                <w:rFonts w:eastAsia="TimesNewRoman"/>
                <w:sz w:val="20"/>
                <w:lang w:val="lt-LT" w:eastAsia="en-US"/>
              </w:rPr>
              <w:t>/ritonaviru</w:t>
            </w:r>
            <w:r w:rsidRPr="00C75EC3">
              <w:rPr>
                <w:rFonts w:eastAsia="TimesNewRoman"/>
                <w:sz w:val="20"/>
                <w:lang w:val="lt-LT" w:eastAsia="en-US"/>
              </w:rPr>
              <w:t xml:space="preserve"> gali žymiai padidinti šių vaistinių preparatų koncentracijas. Jei parenteriniu būdu vartojamas midazolamas skiriamas kartu su sustiprintu darunaviru, tai gali žymiai padidinti šio benzodiazepino koncentraciją kraujo plazmoje.</w:t>
            </w:r>
          </w:p>
          <w:p w14:paraId="79060EB2"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Duomenys, kartu vartojant parenteriniu būdu vartojamą midazolamą kartu su kitais proteazių inhibitoriais, rodo galimą 3-4 kartų midazolamo koncentracijos kraujo plazmoje padidėjimą.</w:t>
            </w:r>
          </w:p>
        </w:tc>
        <w:tc>
          <w:tcPr>
            <w:tcW w:w="3023" w:type="dxa"/>
            <w:shd w:val="clear" w:color="auto" w:fill="auto"/>
          </w:tcPr>
          <w:p w14:paraId="786EC244" w14:textId="77777777" w:rsidR="009F5848" w:rsidRPr="00C75EC3" w:rsidRDefault="009F5848" w:rsidP="00C75EC3">
            <w:pPr>
              <w:autoSpaceDE w:val="0"/>
              <w:autoSpaceDN w:val="0"/>
              <w:adjustRightInd w:val="0"/>
              <w:rPr>
                <w:rFonts w:eastAsia="TimesNewRoman"/>
                <w:sz w:val="20"/>
                <w:lang w:val="lt-LT" w:eastAsia="en-US"/>
              </w:rPr>
            </w:pPr>
            <w:r w:rsidRPr="00C75EC3">
              <w:rPr>
                <w:rFonts w:eastAsia="TimesNewRoman"/>
                <w:sz w:val="20"/>
                <w:lang w:val="lt-LT" w:eastAsia="en-US"/>
              </w:rPr>
              <w:t>Rekomenduoja</w:t>
            </w:r>
            <w:r w:rsidR="0006136F" w:rsidRPr="00C75EC3">
              <w:rPr>
                <w:rFonts w:eastAsia="TimesNewRoman"/>
                <w:sz w:val="20"/>
                <w:lang w:val="lt-LT" w:eastAsia="en-US"/>
              </w:rPr>
              <w:t xml:space="preserve">mas klinikinis stebėjimas, kai </w:t>
            </w:r>
            <w:r w:rsidRPr="00C75EC3">
              <w:rPr>
                <w:rFonts w:eastAsia="TimesNewRoman"/>
                <w:sz w:val="20"/>
                <w:lang w:val="lt-LT" w:eastAsia="en-US"/>
              </w:rPr>
              <w:t>darunaviras skiriamas kartu su šiais raminamaisiais /migdomaisiais vaistiniais preparatais ir reikia apsvarstyti mažiausią raminamųjų/migdomųjų vaistinių preparatų dozę. Jei parenteriniu būdu vartojamas midazolamas skiriamas kartu su darunaviru</w:t>
            </w:r>
            <w:r w:rsidR="0006136F" w:rsidRPr="00C75EC3">
              <w:rPr>
                <w:rFonts w:eastAsia="TimesNewRoman"/>
                <w:sz w:val="20"/>
                <w:lang w:val="lt-LT" w:eastAsia="en-US"/>
              </w:rPr>
              <w:t xml:space="preserve"> ir maža ritonaviro doze</w:t>
            </w:r>
            <w:r w:rsidRPr="00C75EC3">
              <w:rPr>
                <w:rFonts w:eastAsia="TimesNewRoman"/>
                <w:sz w:val="20"/>
                <w:lang w:val="lt-LT" w:eastAsia="en-US"/>
              </w:rPr>
              <w:t>, tai reikia atlikti intensyvios terapijos ar panašiame skyriuje, kur galimas intensyvus klinikinis stebėjimas ir atitinkamos gydomosios priemonės kvėpavimo slopinimo ir (arba) ilgos sedacijos atveju. Midazolamo dozes koregavimas turi būti apsvarstytas, ypač jeigu vartojama daugiau nei viena midazolamo dozė.</w:t>
            </w:r>
          </w:p>
          <w:p w14:paraId="4C1F916E" w14:textId="77777777" w:rsidR="009F5848" w:rsidRPr="00C75EC3" w:rsidRDefault="0006136F" w:rsidP="00C75EC3">
            <w:pPr>
              <w:autoSpaceDE w:val="0"/>
              <w:autoSpaceDN w:val="0"/>
              <w:adjustRightInd w:val="0"/>
              <w:rPr>
                <w:rFonts w:eastAsia="TimesNewRoman"/>
                <w:sz w:val="20"/>
                <w:lang w:val="lt-LT" w:eastAsia="en-US"/>
              </w:rPr>
            </w:pPr>
            <w:r w:rsidRPr="00C75EC3">
              <w:rPr>
                <w:rFonts w:eastAsia="TimesNewRoman"/>
                <w:sz w:val="20"/>
                <w:lang w:val="lt-LT" w:eastAsia="en-US"/>
              </w:rPr>
              <w:t>D</w:t>
            </w:r>
            <w:r w:rsidR="009F5848" w:rsidRPr="00C75EC3">
              <w:rPr>
                <w:rFonts w:eastAsia="TimesNewRoman"/>
                <w:sz w:val="20"/>
                <w:lang w:val="lt-LT" w:eastAsia="en-US"/>
              </w:rPr>
              <w:t>arunaviro</w:t>
            </w:r>
            <w:r w:rsidRPr="00C75EC3">
              <w:rPr>
                <w:rFonts w:eastAsia="TimesNewRoman"/>
                <w:sz w:val="20"/>
                <w:lang w:val="lt-LT" w:eastAsia="en-US"/>
              </w:rPr>
              <w:t>/ritanaviro</w:t>
            </w:r>
            <w:r w:rsidR="009F5848" w:rsidRPr="00C75EC3">
              <w:rPr>
                <w:rFonts w:eastAsia="TimesNewRoman"/>
                <w:sz w:val="20"/>
                <w:lang w:val="lt-LT" w:eastAsia="en-US"/>
              </w:rPr>
              <w:t xml:space="preserve"> vartojimas kartu su triazolamu arba geriamuoju midazolamu yra kontraindikuotinas (žr. 4.3 skyrių)</w:t>
            </w:r>
          </w:p>
        </w:tc>
      </w:tr>
    </w:tbl>
    <w:p w14:paraId="11754214" w14:textId="77777777" w:rsidR="009F5848" w:rsidRPr="000514E0" w:rsidRDefault="009F5848" w:rsidP="009F5848">
      <w:pPr>
        <w:autoSpaceDE w:val="0"/>
        <w:autoSpaceDN w:val="0"/>
        <w:adjustRightInd w:val="0"/>
        <w:rPr>
          <w:rFonts w:eastAsia="TimesNewRoman"/>
          <w:sz w:val="16"/>
          <w:szCs w:val="16"/>
          <w:lang w:val="lt-LT" w:eastAsia="en-US"/>
        </w:rPr>
      </w:pPr>
      <w:r w:rsidRPr="000514E0">
        <w:rPr>
          <w:rFonts w:eastAsia="TimesNewRoman,Bold"/>
          <w:b/>
          <w:bCs/>
          <w:sz w:val="16"/>
          <w:szCs w:val="16"/>
          <w:vertAlign w:val="superscript"/>
          <w:lang w:val="lt-LT" w:eastAsia="en-US"/>
        </w:rPr>
        <w:t>†</w:t>
      </w:r>
      <w:r w:rsidRPr="000514E0">
        <w:rPr>
          <w:rFonts w:eastAsia="TimesNewRoman,Bold"/>
          <w:b/>
          <w:bCs/>
          <w:sz w:val="16"/>
          <w:szCs w:val="16"/>
          <w:lang w:val="lt-LT" w:eastAsia="en-US"/>
        </w:rPr>
        <w:t xml:space="preserve"> </w:t>
      </w:r>
      <w:r w:rsidRPr="000514E0">
        <w:rPr>
          <w:rFonts w:eastAsia="TimesNewRoman,Bold"/>
          <w:bCs/>
          <w:sz w:val="16"/>
          <w:szCs w:val="16"/>
          <w:lang w:val="lt-LT" w:eastAsia="en-US"/>
        </w:rPr>
        <w:t>Darunaviro</w:t>
      </w:r>
      <w:r w:rsidRPr="000514E0">
        <w:rPr>
          <w:rFonts w:eastAsia="TimesNewRoman"/>
          <w:sz w:val="16"/>
          <w:szCs w:val="16"/>
          <w:lang w:val="lt-LT" w:eastAsia="en-US"/>
        </w:rPr>
        <w:t>, vartojamo kartu su 100 mg ritonaviro ir bet kuriais kitokiais PI (pvz.: (fos)</w:t>
      </w:r>
      <w:r w:rsidR="0006136F" w:rsidRPr="000514E0">
        <w:rPr>
          <w:rFonts w:eastAsia="TimesNewRoman"/>
          <w:sz w:val="16"/>
          <w:szCs w:val="16"/>
          <w:lang w:val="lt-LT" w:eastAsia="en-US"/>
        </w:rPr>
        <w:t xml:space="preserve"> </w:t>
      </w:r>
      <w:r w:rsidRPr="000514E0">
        <w:rPr>
          <w:rFonts w:eastAsia="TimesNewRoman"/>
          <w:sz w:val="16"/>
          <w:szCs w:val="16"/>
          <w:lang w:val="lt-LT" w:eastAsia="en-US"/>
        </w:rPr>
        <w:t>amprenaviru, nelfinaviru ir tipranaviru) veiksmingumo ir saugumo tyrimų su ŽIV pacientais neatlikta. Atsižvelgiant į šiuolaikines gydymo rekomendacijas, gydyti dviem proteazės inhibitoriais paprastai nerekomenduojama.</w:t>
      </w:r>
    </w:p>
    <w:p w14:paraId="5A74B73B" w14:textId="77777777" w:rsidR="009F5848" w:rsidRPr="004509B9" w:rsidRDefault="009F5848" w:rsidP="009F5848">
      <w:pPr>
        <w:autoSpaceDE w:val="0"/>
        <w:autoSpaceDN w:val="0"/>
        <w:adjustRightInd w:val="0"/>
        <w:rPr>
          <w:rFonts w:eastAsia="TimesNewRoman"/>
          <w:sz w:val="22"/>
          <w:szCs w:val="22"/>
          <w:lang w:val="lt-LT" w:eastAsia="en-US"/>
        </w:rPr>
      </w:pPr>
    </w:p>
    <w:p w14:paraId="4AA63497" w14:textId="77777777" w:rsidR="009F5848" w:rsidRPr="004509B9" w:rsidRDefault="009F5848" w:rsidP="000514E0">
      <w:pPr>
        <w:keepNext/>
        <w:numPr>
          <w:ilvl w:val="1"/>
          <w:numId w:val="17"/>
        </w:numPr>
        <w:tabs>
          <w:tab w:val="left" w:pos="567"/>
        </w:tabs>
        <w:spacing w:line="260" w:lineRule="exact"/>
        <w:outlineLvl w:val="0"/>
        <w:rPr>
          <w:rFonts w:eastAsia="Times New Roman"/>
          <w:noProof/>
          <w:sz w:val="22"/>
          <w:szCs w:val="22"/>
          <w:lang w:val="lt-LT" w:eastAsia="lt-LT" w:bidi="lt-LT"/>
        </w:rPr>
      </w:pPr>
      <w:r w:rsidRPr="004509B9">
        <w:rPr>
          <w:rFonts w:eastAsia="Times New Roman"/>
          <w:b/>
          <w:sz w:val="22"/>
          <w:lang w:val="lt-LT" w:eastAsia="lt-LT" w:bidi="lt-LT"/>
        </w:rPr>
        <w:t>Vaisingumas, nėštumo ir žindymo laikotarpis</w:t>
      </w:r>
    </w:p>
    <w:p w14:paraId="653C5CBF" w14:textId="77777777" w:rsidR="009F5848" w:rsidRPr="004509B9" w:rsidRDefault="009F5848" w:rsidP="009F5848">
      <w:pPr>
        <w:keepNext/>
        <w:tabs>
          <w:tab w:val="left" w:pos="567"/>
        </w:tabs>
        <w:spacing w:line="260" w:lineRule="exact"/>
        <w:outlineLvl w:val="0"/>
        <w:rPr>
          <w:rFonts w:eastAsia="Times New Roman"/>
          <w:b/>
          <w:sz w:val="22"/>
          <w:szCs w:val="22"/>
          <w:lang w:val="lt-LT" w:eastAsia="lt-LT" w:bidi="lt-LT"/>
        </w:rPr>
      </w:pPr>
    </w:p>
    <w:p w14:paraId="57BEE7B2" w14:textId="77777777" w:rsidR="009F5848" w:rsidRPr="004509B9" w:rsidRDefault="009F5848" w:rsidP="009F5848">
      <w:pPr>
        <w:autoSpaceDE w:val="0"/>
        <w:autoSpaceDN w:val="0"/>
        <w:adjustRightInd w:val="0"/>
        <w:rPr>
          <w:rFonts w:eastAsia="TimesNewRoman"/>
          <w:sz w:val="22"/>
          <w:szCs w:val="22"/>
          <w:u w:val="single"/>
          <w:lang w:val="lt-LT" w:eastAsia="en-US"/>
        </w:rPr>
      </w:pPr>
      <w:r w:rsidRPr="004509B9">
        <w:rPr>
          <w:rFonts w:eastAsia="TimesNewRoman"/>
          <w:sz w:val="22"/>
          <w:szCs w:val="22"/>
          <w:u w:val="single"/>
          <w:lang w:val="lt-LT" w:eastAsia="en-US"/>
        </w:rPr>
        <w:t>Nėštumas</w:t>
      </w:r>
    </w:p>
    <w:p w14:paraId="51CB8F79"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Kaip įprasta, kai sprendžiama dėl antiretrovirusinių vaistų skyrimo nėščių moterų ŽIV infekcijos gydymui, tuo pačiu mažinant vertikalaus ŽIV infekcijos perdavimo naujagimiui riziką, reikia atsižvelgti į tyrimų su gyvūnais duomenis ir klinikinę patirtį, gydant nėščias moteris.</w:t>
      </w:r>
    </w:p>
    <w:p w14:paraId="094BFFCF" w14:textId="77777777" w:rsidR="009F5848" w:rsidRPr="004509B9" w:rsidRDefault="009F5848" w:rsidP="009F5848">
      <w:pPr>
        <w:autoSpaceDE w:val="0"/>
        <w:autoSpaceDN w:val="0"/>
        <w:adjustRightInd w:val="0"/>
        <w:rPr>
          <w:rFonts w:eastAsia="TimesNewRoman"/>
          <w:sz w:val="22"/>
          <w:szCs w:val="22"/>
          <w:lang w:val="lt-LT" w:eastAsia="en-US"/>
        </w:rPr>
      </w:pPr>
    </w:p>
    <w:p w14:paraId="43A15C6D"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Reikiamų ir tinkamai kontroliuojamų darunaviro įtakos nėštumo baigtims tyrimų su nėščiomis moterimis neatlikta. Tyrimai su gyvūnais tiesioginio ar netiesioginio kenksmingo poveikio nėštumo eigai, embriono ar vaisiaus vystymuisi, gimdymui ar postnataliniam vystymuisi neparodė (žr. 5.3 skyrių).</w:t>
      </w:r>
    </w:p>
    <w:p w14:paraId="20638C3A" w14:textId="77777777" w:rsidR="009F5848" w:rsidRPr="004509B9" w:rsidRDefault="009F5848" w:rsidP="009F5848">
      <w:pPr>
        <w:autoSpaceDE w:val="0"/>
        <w:autoSpaceDN w:val="0"/>
        <w:adjustRightInd w:val="0"/>
        <w:rPr>
          <w:rFonts w:eastAsia="TimesNewRoman"/>
          <w:sz w:val="22"/>
          <w:szCs w:val="22"/>
          <w:lang w:val="lt-LT" w:eastAsia="en-US"/>
        </w:rPr>
      </w:pPr>
    </w:p>
    <w:p w14:paraId="2607639D"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Darunaviro kartu su maža ritonaviro doze nėštumo metu vartoti galima tik tuo atveju, jeigu laukiamas naudingas poveikis viršija galimą riziką.</w:t>
      </w:r>
    </w:p>
    <w:p w14:paraId="04855003" w14:textId="77777777" w:rsidR="009F5848" w:rsidRPr="004509B9" w:rsidRDefault="009F5848" w:rsidP="009F5848">
      <w:pPr>
        <w:autoSpaceDE w:val="0"/>
        <w:autoSpaceDN w:val="0"/>
        <w:adjustRightInd w:val="0"/>
        <w:rPr>
          <w:rFonts w:eastAsia="TimesNewRoman"/>
          <w:sz w:val="22"/>
          <w:szCs w:val="22"/>
          <w:u w:val="single"/>
          <w:lang w:val="lt-LT" w:eastAsia="en-US"/>
        </w:rPr>
      </w:pPr>
    </w:p>
    <w:p w14:paraId="095B2BA1" w14:textId="77777777" w:rsidR="009F5848" w:rsidRPr="004509B9" w:rsidRDefault="009F5848" w:rsidP="009F5848">
      <w:pPr>
        <w:autoSpaceDE w:val="0"/>
        <w:autoSpaceDN w:val="0"/>
        <w:adjustRightInd w:val="0"/>
        <w:rPr>
          <w:rFonts w:eastAsia="TimesNewRoman"/>
          <w:sz w:val="22"/>
          <w:szCs w:val="22"/>
          <w:u w:val="single"/>
          <w:lang w:val="lt-LT" w:eastAsia="en-US"/>
        </w:rPr>
      </w:pPr>
      <w:r w:rsidRPr="004509B9">
        <w:rPr>
          <w:rFonts w:eastAsia="TimesNewRoman"/>
          <w:sz w:val="22"/>
          <w:szCs w:val="22"/>
          <w:u w:val="single"/>
          <w:lang w:val="lt-LT" w:eastAsia="en-US"/>
        </w:rPr>
        <w:t>Žindymas</w:t>
      </w:r>
    </w:p>
    <w:p w14:paraId="09A57D3C"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lastRenderedPageBreak/>
        <w:t>Nežinoma, ar darunaviras išsiskiria į motinos pieną. Tyrimų su žiurkėmis duomenys rodo, kad darunaviras išsiskiria į gyvūnų pieną ir, vartojant dideles dozes (1 000 mg/kg kūno svorio per parą), sukelia toksinį poveikį. Siekiant išvengti galimo ŽIV perdavimo ir nepageidaujamų reakcijų žindomiems kūdikiams, darunaviru gydomoms moterims reikia nurodyti, kad jokiu būdu nežindytų kūdikių.</w:t>
      </w:r>
    </w:p>
    <w:p w14:paraId="2CC20DB0" w14:textId="77777777" w:rsidR="009F5848" w:rsidRPr="004509B9" w:rsidRDefault="009F5848" w:rsidP="009F5848">
      <w:pPr>
        <w:autoSpaceDE w:val="0"/>
        <w:autoSpaceDN w:val="0"/>
        <w:adjustRightInd w:val="0"/>
        <w:rPr>
          <w:rFonts w:eastAsia="TimesNewRoman"/>
          <w:sz w:val="22"/>
          <w:szCs w:val="22"/>
          <w:u w:val="single"/>
          <w:lang w:val="lt-LT" w:eastAsia="en-US"/>
        </w:rPr>
      </w:pPr>
    </w:p>
    <w:p w14:paraId="2B93D6D4" w14:textId="77777777" w:rsidR="009F5848" w:rsidRPr="004509B9" w:rsidRDefault="009F5848" w:rsidP="009F5848">
      <w:pPr>
        <w:autoSpaceDE w:val="0"/>
        <w:autoSpaceDN w:val="0"/>
        <w:adjustRightInd w:val="0"/>
        <w:rPr>
          <w:rFonts w:eastAsia="TimesNewRoman"/>
          <w:sz w:val="22"/>
          <w:szCs w:val="22"/>
          <w:u w:val="single"/>
          <w:lang w:val="lt-LT" w:eastAsia="en-US"/>
        </w:rPr>
      </w:pPr>
      <w:r w:rsidRPr="004509B9">
        <w:rPr>
          <w:rFonts w:eastAsia="TimesNewRoman"/>
          <w:sz w:val="22"/>
          <w:szCs w:val="22"/>
          <w:u w:val="single"/>
          <w:lang w:val="lt-LT" w:eastAsia="en-US"/>
        </w:rPr>
        <w:t>Vaisingumas</w:t>
      </w:r>
    </w:p>
    <w:p w14:paraId="61A55E34"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Duomenų apie darunaviro poveikį žmonių vaisingumui nėra. Darunaviras neveikia žiurkių poravimosi ir vislumo (žr. 5.3 skyrių).</w:t>
      </w:r>
    </w:p>
    <w:p w14:paraId="201BCCE8" w14:textId="77777777" w:rsidR="009F5848" w:rsidRPr="004509B9" w:rsidRDefault="009F5848" w:rsidP="009F5848">
      <w:pPr>
        <w:keepNext/>
        <w:tabs>
          <w:tab w:val="left" w:pos="567"/>
        </w:tabs>
        <w:spacing w:line="260" w:lineRule="exact"/>
        <w:outlineLvl w:val="0"/>
        <w:rPr>
          <w:rFonts w:eastAsia="TimesNewRoman"/>
          <w:sz w:val="22"/>
          <w:szCs w:val="22"/>
          <w:lang w:val="lt-LT" w:eastAsia="en-US"/>
        </w:rPr>
      </w:pPr>
    </w:p>
    <w:p w14:paraId="659095DA" w14:textId="77777777" w:rsidR="009F5848" w:rsidRPr="004509B9" w:rsidRDefault="009F5848" w:rsidP="000514E0">
      <w:pPr>
        <w:keepNext/>
        <w:numPr>
          <w:ilvl w:val="1"/>
          <w:numId w:val="17"/>
        </w:numPr>
        <w:tabs>
          <w:tab w:val="left" w:pos="567"/>
        </w:tabs>
        <w:spacing w:line="260" w:lineRule="exact"/>
        <w:outlineLvl w:val="0"/>
        <w:rPr>
          <w:rFonts w:eastAsia="Times New Roman"/>
          <w:noProof/>
          <w:sz w:val="22"/>
          <w:szCs w:val="22"/>
          <w:lang w:val="lt-LT" w:eastAsia="lt-LT" w:bidi="lt-LT"/>
        </w:rPr>
      </w:pPr>
      <w:r w:rsidRPr="004509B9">
        <w:rPr>
          <w:rFonts w:eastAsia="Times New Roman"/>
          <w:b/>
          <w:noProof/>
          <w:sz w:val="22"/>
          <w:szCs w:val="22"/>
          <w:lang w:val="lt-LT" w:eastAsia="lt-LT" w:bidi="lt-LT"/>
        </w:rPr>
        <w:t>Poveikis gebėjimui vairuoti ir valdyti mechanizmus</w:t>
      </w:r>
    </w:p>
    <w:p w14:paraId="76D1C786" w14:textId="77777777" w:rsidR="009F5848" w:rsidRPr="004509B9" w:rsidRDefault="009F5848" w:rsidP="009F5848">
      <w:pPr>
        <w:autoSpaceDE w:val="0"/>
        <w:autoSpaceDN w:val="0"/>
        <w:adjustRightInd w:val="0"/>
        <w:rPr>
          <w:rFonts w:eastAsia="TimesNewRoman"/>
          <w:sz w:val="22"/>
          <w:szCs w:val="22"/>
          <w:lang w:val="lt-LT" w:eastAsia="en-US"/>
        </w:rPr>
      </w:pPr>
    </w:p>
    <w:p w14:paraId="68E05F21" w14:textId="77777777" w:rsidR="009F5848" w:rsidRPr="004509B9" w:rsidRDefault="001D03AC"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Darunaviro derinys su </w:t>
      </w:r>
      <w:r w:rsidR="009F5848" w:rsidRPr="004509B9">
        <w:rPr>
          <w:rFonts w:eastAsia="TimesNewRoman"/>
          <w:sz w:val="22"/>
          <w:szCs w:val="22"/>
          <w:lang w:val="lt-LT" w:eastAsia="en-US"/>
        </w:rPr>
        <w:t>ritonaviru gebėjimo vairuoti ir valdyti mechanizmus neveikia arba veikia nereikšmingai. Vis dėlto pastebėta, kad kai kuriems pacientams, gydomiems pagal gydymo planus, į kurių sudėtį įėjo darunaviras kartu su maža ritonaviro doze, pasireiškė svaigulys, todėl į tai reikia atsižvelgti sprendžiant, ar pacientas gali vairuoti ir valdyti mechanizmus (žr. 4.8 skyrių).</w:t>
      </w:r>
    </w:p>
    <w:p w14:paraId="02AE7425" w14:textId="77777777" w:rsidR="009F5848" w:rsidRPr="004509B9" w:rsidRDefault="009F5848" w:rsidP="009F5848">
      <w:pPr>
        <w:keepNext/>
        <w:tabs>
          <w:tab w:val="left" w:pos="567"/>
        </w:tabs>
        <w:spacing w:line="260" w:lineRule="exact"/>
        <w:outlineLvl w:val="0"/>
        <w:rPr>
          <w:rFonts w:eastAsia="TimesNewRoman"/>
          <w:sz w:val="22"/>
          <w:szCs w:val="22"/>
          <w:lang w:val="lt-LT" w:eastAsia="en-US"/>
        </w:rPr>
      </w:pPr>
    </w:p>
    <w:p w14:paraId="79AA6C48" w14:textId="77777777" w:rsidR="009F5848" w:rsidRPr="004509B9" w:rsidRDefault="009F5848" w:rsidP="000514E0">
      <w:pPr>
        <w:keepNext/>
        <w:numPr>
          <w:ilvl w:val="1"/>
          <w:numId w:val="17"/>
        </w:numPr>
        <w:tabs>
          <w:tab w:val="left" w:pos="567"/>
        </w:tabs>
        <w:spacing w:line="260" w:lineRule="exact"/>
        <w:outlineLvl w:val="0"/>
        <w:rPr>
          <w:rFonts w:eastAsia="Times New Roman"/>
          <w:b/>
          <w:noProof/>
          <w:sz w:val="22"/>
          <w:szCs w:val="22"/>
          <w:lang w:val="lt-LT" w:eastAsia="lt-LT" w:bidi="lt-LT"/>
        </w:rPr>
      </w:pPr>
      <w:r w:rsidRPr="004509B9">
        <w:rPr>
          <w:rFonts w:eastAsia="Times New Roman"/>
          <w:b/>
          <w:noProof/>
          <w:sz w:val="22"/>
          <w:szCs w:val="22"/>
          <w:lang w:val="lt-LT" w:eastAsia="lt-LT" w:bidi="lt-LT"/>
        </w:rPr>
        <w:t>Nepageidaujamas poveikis</w:t>
      </w:r>
    </w:p>
    <w:p w14:paraId="1A08F2E2" w14:textId="77777777" w:rsidR="009F5848" w:rsidRPr="004509B9" w:rsidRDefault="009F5848" w:rsidP="009F5848">
      <w:pPr>
        <w:autoSpaceDE w:val="0"/>
        <w:autoSpaceDN w:val="0"/>
        <w:adjustRightInd w:val="0"/>
        <w:rPr>
          <w:rFonts w:eastAsia="TimesNewRoman"/>
          <w:sz w:val="22"/>
          <w:szCs w:val="22"/>
          <w:lang w:val="lt-LT" w:eastAsia="en-US"/>
        </w:rPr>
      </w:pPr>
    </w:p>
    <w:p w14:paraId="645A81B8" w14:textId="77777777" w:rsidR="009F5848" w:rsidRPr="0081572D" w:rsidRDefault="009F5848" w:rsidP="009F5848">
      <w:pPr>
        <w:autoSpaceDE w:val="0"/>
        <w:autoSpaceDN w:val="0"/>
        <w:adjustRightInd w:val="0"/>
        <w:rPr>
          <w:rFonts w:eastAsia="TimesNewRoman"/>
          <w:sz w:val="22"/>
          <w:szCs w:val="22"/>
          <w:u w:val="single"/>
          <w:lang w:val="lt-LT" w:eastAsia="en-US"/>
        </w:rPr>
      </w:pPr>
      <w:r w:rsidRPr="0081572D">
        <w:rPr>
          <w:rFonts w:eastAsia="TimesNewRoman"/>
          <w:sz w:val="22"/>
          <w:szCs w:val="22"/>
          <w:u w:val="single"/>
          <w:lang w:val="lt-LT" w:eastAsia="en-US"/>
        </w:rPr>
        <w:t>Saugumo duomenų santrauka</w:t>
      </w:r>
    </w:p>
    <w:p w14:paraId="7F2F63D4"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Klinikinio vystymo programos (n=2 613 anksčiau gydyti tiriamieji, kuriems buvo pradėtas gydymas 600/100 mg darunaviro/ritonaviro doze du kartus per parą) metu 51,3 % tiriamųjų pasireiškė bent viena nepageidaujama reakcija. Bendra vidutinė tiriamųjų gydymo trukmė buvo 95,3 savaitės. Klinikinių tyrimų metu ir spontaniniuose pranešimuose dažniausiai nurodytos nepageidaujamos reakcijos buvo viduriavimas, pykinimas, išbėrimas, galvos skausmas ir vėmimas. Dažniausios sunkios reakcijos yra ūminis inkstų funkcijos nepakankamumas, miokardo infarktas, imuniteto atsistatymo uždegiminis sindromas, trombocitopenija, osteonekrozė, viduriavimas, hepatitas ir karščiavimas.</w:t>
      </w:r>
    </w:p>
    <w:p w14:paraId="5815C31C" w14:textId="77777777" w:rsidR="009F5848" w:rsidRPr="004509B9" w:rsidRDefault="009F5848" w:rsidP="009F5848">
      <w:pPr>
        <w:autoSpaceDE w:val="0"/>
        <w:autoSpaceDN w:val="0"/>
        <w:adjustRightInd w:val="0"/>
        <w:rPr>
          <w:rFonts w:eastAsia="TimesNewRoman"/>
          <w:sz w:val="22"/>
          <w:szCs w:val="22"/>
          <w:lang w:val="lt-LT" w:eastAsia="en-US"/>
        </w:rPr>
      </w:pPr>
    </w:p>
    <w:p w14:paraId="55EAF631"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Tyrimo 96-os savaitės analizėje 800/100 mg darunaviro/ritonaviro dozės vieną kartą per parą anksčiau  negydytiems tiriamiesiems saugumo duomenys buvo panašūs į 600/100 mg darunaviro/ritonaviro dozės du kartus per parą anksčiau gydytiems tiriamiesiems, išskyrus pykinimą, kuris dažniau pasitaikė anksčiau negydytiems tiriamiesiems. Skirtumas buvo dėl nestipraus pykinimo. Tyrimo 192-os savaitės anksčiau negydytų tiriamųjų, kurių vidutinė gydymo 800/100 mg darunaviro/ritonaviro doze vieną kartą parą trukmė buvo 162,5 savaitės, analizėje naujų saugumo duomenų nebuvo nustatyta.</w:t>
      </w:r>
    </w:p>
    <w:p w14:paraId="31F39AA8" w14:textId="77777777" w:rsidR="009F5848" w:rsidRPr="004509B9" w:rsidRDefault="009F5848" w:rsidP="009F5848">
      <w:pPr>
        <w:keepNext/>
        <w:tabs>
          <w:tab w:val="left" w:pos="567"/>
        </w:tabs>
        <w:spacing w:line="260" w:lineRule="exact"/>
        <w:outlineLvl w:val="0"/>
        <w:rPr>
          <w:rFonts w:eastAsia="TimesNewRoman"/>
          <w:sz w:val="22"/>
          <w:szCs w:val="22"/>
          <w:lang w:val="lt-LT" w:eastAsia="en-US"/>
        </w:rPr>
      </w:pPr>
    </w:p>
    <w:p w14:paraId="6980E53D" w14:textId="77777777" w:rsidR="009F5848" w:rsidRPr="0081572D" w:rsidRDefault="009F5848" w:rsidP="009F5848">
      <w:pPr>
        <w:autoSpaceDE w:val="0"/>
        <w:autoSpaceDN w:val="0"/>
        <w:adjustRightInd w:val="0"/>
        <w:rPr>
          <w:rFonts w:eastAsia="TimesNewRoman"/>
          <w:sz w:val="22"/>
          <w:szCs w:val="22"/>
          <w:u w:val="single"/>
          <w:lang w:val="lt-LT" w:eastAsia="en-US"/>
        </w:rPr>
      </w:pPr>
      <w:r w:rsidRPr="0081572D">
        <w:rPr>
          <w:rFonts w:eastAsia="TimesNewRoman"/>
          <w:sz w:val="22"/>
          <w:szCs w:val="22"/>
          <w:u w:val="single"/>
          <w:lang w:val="lt-LT" w:eastAsia="en-US"/>
        </w:rPr>
        <w:t>Nepageidaujamų reakcijų sąrašas lentelėje</w:t>
      </w:r>
    </w:p>
    <w:p w14:paraId="10E73692"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Nepageidaujamos reakcijos yra išvardytos pagal organų sistemų klases (OSK) ir dažnio kategorijas. Kiekvienoje dažnio kategorijoje nepageidaujamos reakcijos yra išvardytos mažėjančio sunkumo tvarka. </w:t>
      </w:r>
      <w:r w:rsidR="003B5E69">
        <w:rPr>
          <w:rFonts w:eastAsia="TimesNewRoman"/>
          <w:sz w:val="22"/>
          <w:szCs w:val="22"/>
          <w:lang w:val="lt-LT" w:eastAsia="en-US"/>
        </w:rPr>
        <w:t>Nepageidaujamo poveikio</w:t>
      </w:r>
      <w:r w:rsidRPr="004509B9">
        <w:rPr>
          <w:rFonts w:eastAsia="TimesNewRoman"/>
          <w:sz w:val="22"/>
          <w:szCs w:val="22"/>
          <w:lang w:val="lt-LT" w:eastAsia="en-US"/>
        </w:rPr>
        <w:t xml:space="preserve"> kategorijos apibūdinamos taip: labai dažni (≥ 1/10), dažni (nuo ≥ 1/100 iki   &lt; 1/10), nedažni (nuo ≥ 1/1 000 iki &lt; 1/100), reti (nuo ≥ 1/10 000 iki &lt; 1/1 000) ir dažnis nežinomas (negali būti įvertintas pagal turimus duomenis).</w:t>
      </w:r>
    </w:p>
    <w:p w14:paraId="1125379D" w14:textId="77777777" w:rsidR="009F5848" w:rsidRPr="004509B9" w:rsidRDefault="009F5848" w:rsidP="009F5848">
      <w:pPr>
        <w:autoSpaceDE w:val="0"/>
        <w:autoSpaceDN w:val="0"/>
        <w:adjustRightInd w:val="0"/>
        <w:rPr>
          <w:rFonts w:eastAsia="TimesNewRoman"/>
          <w:i/>
          <w:iCs/>
          <w:sz w:val="22"/>
          <w:szCs w:val="22"/>
          <w:lang w:val="lt-LT" w:eastAsia="en-US"/>
        </w:rPr>
      </w:pPr>
    </w:p>
    <w:p w14:paraId="5BD33AD4" w14:textId="77777777" w:rsidR="009F5848" w:rsidRPr="004509B9" w:rsidRDefault="009F5848" w:rsidP="009F5848">
      <w:pPr>
        <w:autoSpaceDE w:val="0"/>
        <w:autoSpaceDN w:val="0"/>
        <w:adjustRightInd w:val="0"/>
        <w:rPr>
          <w:rFonts w:eastAsia="TimesNewRoman"/>
          <w:i/>
          <w:iCs/>
          <w:sz w:val="22"/>
          <w:szCs w:val="22"/>
          <w:lang w:val="lt-LT" w:eastAsia="en-US"/>
        </w:rPr>
      </w:pPr>
      <w:r w:rsidRPr="004509B9">
        <w:rPr>
          <w:rFonts w:eastAsia="TimesNewRoman"/>
          <w:i/>
          <w:iCs/>
          <w:sz w:val="22"/>
          <w:szCs w:val="22"/>
          <w:lang w:val="lt-LT" w:eastAsia="en-US"/>
        </w:rPr>
        <w:t xml:space="preserve">Nepageidaujamos reakcijos, stebėtos klinikinių tyrimų metu ir po vaistinio preparato </w:t>
      </w:r>
      <w:r w:rsidR="001D03AC" w:rsidRPr="004509B9">
        <w:rPr>
          <w:rFonts w:eastAsia="TimesNewRoman"/>
          <w:i/>
          <w:iCs/>
          <w:sz w:val="22"/>
          <w:szCs w:val="22"/>
          <w:lang w:val="lt-LT" w:eastAsia="en-US"/>
        </w:rPr>
        <w:t>registracijos</w:t>
      </w:r>
    </w:p>
    <w:p w14:paraId="5184CB14" w14:textId="77777777" w:rsidR="001D03AC" w:rsidRPr="004509B9" w:rsidRDefault="001D03AC" w:rsidP="009F5848">
      <w:pPr>
        <w:autoSpaceDE w:val="0"/>
        <w:autoSpaceDN w:val="0"/>
        <w:adjustRightInd w:val="0"/>
        <w:rPr>
          <w:rFonts w:eastAsia="TimesNewRoman"/>
          <w:i/>
          <w:iCs/>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50"/>
      </w:tblGrid>
      <w:tr w:rsidR="009F5848" w:rsidRPr="00C75EC3" w14:paraId="319A2183" w14:textId="77777777" w:rsidTr="00C75EC3">
        <w:tc>
          <w:tcPr>
            <w:tcW w:w="4644" w:type="dxa"/>
            <w:shd w:val="clear" w:color="auto" w:fill="auto"/>
          </w:tcPr>
          <w:p w14:paraId="6E6FA5F7" w14:textId="77777777" w:rsidR="009F5848" w:rsidRPr="00C75EC3" w:rsidRDefault="009F5848" w:rsidP="00C75EC3">
            <w:pPr>
              <w:autoSpaceDE w:val="0"/>
              <w:autoSpaceDN w:val="0"/>
              <w:adjustRightInd w:val="0"/>
              <w:rPr>
                <w:rFonts w:eastAsia="TimesNewRoman"/>
                <w:i/>
                <w:sz w:val="22"/>
                <w:szCs w:val="22"/>
                <w:lang w:val="lt-LT" w:eastAsia="en-US"/>
              </w:rPr>
            </w:pPr>
            <w:r w:rsidRPr="00C75EC3">
              <w:rPr>
                <w:rFonts w:eastAsia="TimesNewRoman"/>
                <w:i/>
                <w:sz w:val="22"/>
                <w:szCs w:val="22"/>
                <w:lang w:val="lt-LT" w:eastAsia="en-US"/>
              </w:rPr>
              <w:t>MedDRA organų sistemų klasė</w:t>
            </w:r>
          </w:p>
          <w:p w14:paraId="4C3EDD8E"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NewRoman"/>
                <w:sz w:val="22"/>
                <w:szCs w:val="22"/>
                <w:lang w:val="lt-LT" w:eastAsia="en-US"/>
              </w:rPr>
              <w:lastRenderedPageBreak/>
              <w:t>Dažnio kategorija</w:t>
            </w:r>
          </w:p>
        </w:tc>
        <w:tc>
          <w:tcPr>
            <w:tcW w:w="4644" w:type="dxa"/>
            <w:shd w:val="clear" w:color="auto" w:fill="auto"/>
          </w:tcPr>
          <w:p w14:paraId="22C66EEC"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NewRoman"/>
                <w:sz w:val="22"/>
                <w:szCs w:val="22"/>
                <w:lang w:val="lt-LT" w:eastAsia="en-US"/>
              </w:rPr>
              <w:lastRenderedPageBreak/>
              <w:t>Nepageidaujama reakcija</w:t>
            </w:r>
          </w:p>
        </w:tc>
      </w:tr>
      <w:tr w:rsidR="009F5848" w:rsidRPr="00C75EC3" w14:paraId="20EC43E6" w14:textId="77777777" w:rsidTr="00C75EC3">
        <w:tc>
          <w:tcPr>
            <w:tcW w:w="9288" w:type="dxa"/>
            <w:gridSpan w:val="2"/>
            <w:shd w:val="clear" w:color="auto" w:fill="auto"/>
          </w:tcPr>
          <w:p w14:paraId="010466E6"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i/>
                <w:iCs/>
                <w:sz w:val="22"/>
                <w:szCs w:val="22"/>
                <w:lang w:val="lt-LT" w:eastAsia="en-US"/>
              </w:rPr>
              <w:t>Infekcijos ir infestacijos</w:t>
            </w:r>
          </w:p>
        </w:tc>
      </w:tr>
      <w:tr w:rsidR="009F5848" w:rsidRPr="00C75EC3" w14:paraId="48E3424E" w14:textId="77777777" w:rsidTr="00C75EC3">
        <w:tc>
          <w:tcPr>
            <w:tcW w:w="4644" w:type="dxa"/>
            <w:shd w:val="clear" w:color="auto" w:fill="auto"/>
          </w:tcPr>
          <w:p w14:paraId="22F586D4"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NewRoman"/>
                <w:sz w:val="22"/>
                <w:szCs w:val="22"/>
                <w:lang w:val="lt-LT" w:eastAsia="en-US"/>
              </w:rPr>
              <w:t>Nedažni</w:t>
            </w:r>
          </w:p>
        </w:tc>
        <w:tc>
          <w:tcPr>
            <w:tcW w:w="4644" w:type="dxa"/>
            <w:shd w:val="clear" w:color="auto" w:fill="auto"/>
          </w:tcPr>
          <w:p w14:paraId="404241CE"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NewRoman"/>
                <w:sz w:val="22"/>
                <w:szCs w:val="22"/>
                <w:lang w:val="lt-LT" w:eastAsia="en-US"/>
              </w:rPr>
              <w:t>Paprastoji pūslelinė</w:t>
            </w:r>
          </w:p>
        </w:tc>
      </w:tr>
      <w:tr w:rsidR="009F5848" w:rsidRPr="00C75EC3" w14:paraId="598E0DE7" w14:textId="77777777" w:rsidTr="00C75EC3">
        <w:tc>
          <w:tcPr>
            <w:tcW w:w="9288" w:type="dxa"/>
            <w:gridSpan w:val="2"/>
            <w:shd w:val="clear" w:color="auto" w:fill="auto"/>
          </w:tcPr>
          <w:p w14:paraId="517390FD" w14:textId="77777777" w:rsidR="009F5848" w:rsidRPr="00C75EC3" w:rsidRDefault="009F5848" w:rsidP="00C75EC3">
            <w:pPr>
              <w:autoSpaceDE w:val="0"/>
              <w:autoSpaceDN w:val="0"/>
              <w:adjustRightInd w:val="0"/>
              <w:rPr>
                <w:rFonts w:eastAsia="TimesNewRoman"/>
                <w:sz w:val="22"/>
                <w:szCs w:val="22"/>
                <w:lang w:val="lt-LT" w:eastAsia="en-US"/>
              </w:rPr>
            </w:pPr>
            <w:r w:rsidRPr="00C75EC3">
              <w:rPr>
                <w:i/>
                <w:iCs/>
                <w:sz w:val="22"/>
                <w:szCs w:val="22"/>
                <w:lang w:val="lt-LT" w:eastAsia="en-US"/>
              </w:rPr>
              <w:t>Kraujo ir limfinės sistemos sutrikimai</w:t>
            </w:r>
          </w:p>
        </w:tc>
      </w:tr>
      <w:tr w:rsidR="009F5848" w:rsidRPr="00C75EC3" w14:paraId="79B93DBA" w14:textId="77777777" w:rsidTr="00C75EC3">
        <w:tc>
          <w:tcPr>
            <w:tcW w:w="4644" w:type="dxa"/>
            <w:shd w:val="clear" w:color="auto" w:fill="auto"/>
          </w:tcPr>
          <w:p w14:paraId="39B84883"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 xml:space="preserve">Nedažni </w:t>
            </w:r>
          </w:p>
          <w:p w14:paraId="6DC28B26" w14:textId="77777777" w:rsidR="009F5848" w:rsidRPr="00C75EC3" w:rsidRDefault="009F5848" w:rsidP="00C75EC3">
            <w:pPr>
              <w:autoSpaceDE w:val="0"/>
              <w:autoSpaceDN w:val="0"/>
              <w:adjustRightInd w:val="0"/>
              <w:rPr>
                <w:rFonts w:eastAsia="TimesNewRoman"/>
                <w:sz w:val="22"/>
                <w:szCs w:val="22"/>
                <w:lang w:val="lt-LT" w:eastAsia="en-US"/>
              </w:rPr>
            </w:pPr>
          </w:p>
          <w:p w14:paraId="5B612E88"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Reti</w:t>
            </w:r>
          </w:p>
        </w:tc>
        <w:tc>
          <w:tcPr>
            <w:tcW w:w="4644" w:type="dxa"/>
            <w:shd w:val="clear" w:color="auto" w:fill="auto"/>
          </w:tcPr>
          <w:p w14:paraId="3A430FD1"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Trombocitopenija, neutropenija, anemija, leukopenija</w:t>
            </w:r>
          </w:p>
          <w:p w14:paraId="39C29ACB"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NewRoman"/>
                <w:sz w:val="22"/>
                <w:szCs w:val="22"/>
                <w:lang w:val="lt-LT" w:eastAsia="en-US"/>
              </w:rPr>
              <w:t>Eozinofilų kiekio padidėjimas</w:t>
            </w:r>
          </w:p>
        </w:tc>
      </w:tr>
      <w:tr w:rsidR="009F5848" w:rsidRPr="00C75EC3" w14:paraId="5FC2DAAE" w14:textId="77777777" w:rsidTr="00C75EC3">
        <w:tc>
          <w:tcPr>
            <w:tcW w:w="9288" w:type="dxa"/>
            <w:gridSpan w:val="2"/>
            <w:shd w:val="clear" w:color="auto" w:fill="auto"/>
          </w:tcPr>
          <w:p w14:paraId="5281FC8F" w14:textId="77777777" w:rsidR="009F5848" w:rsidRPr="00C75EC3" w:rsidRDefault="009F5848" w:rsidP="00C75EC3">
            <w:pPr>
              <w:autoSpaceDE w:val="0"/>
              <w:autoSpaceDN w:val="0"/>
              <w:adjustRightInd w:val="0"/>
              <w:rPr>
                <w:rFonts w:eastAsia="TimesNewRoman"/>
                <w:sz w:val="22"/>
                <w:szCs w:val="22"/>
                <w:lang w:val="lt-LT" w:eastAsia="en-US"/>
              </w:rPr>
            </w:pPr>
            <w:r w:rsidRPr="00C75EC3">
              <w:rPr>
                <w:i/>
                <w:iCs/>
                <w:sz w:val="22"/>
                <w:szCs w:val="22"/>
                <w:lang w:val="lt-LT" w:eastAsia="en-US"/>
              </w:rPr>
              <w:t>Imuninės sistemos sutrikimai</w:t>
            </w:r>
          </w:p>
        </w:tc>
      </w:tr>
      <w:tr w:rsidR="009F5848" w:rsidRPr="00C75EC3" w14:paraId="215C0134" w14:textId="77777777" w:rsidTr="00C75EC3">
        <w:tc>
          <w:tcPr>
            <w:tcW w:w="4644" w:type="dxa"/>
            <w:shd w:val="clear" w:color="auto" w:fill="auto"/>
          </w:tcPr>
          <w:p w14:paraId="514C3228"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NewRoman"/>
                <w:sz w:val="22"/>
                <w:szCs w:val="22"/>
                <w:lang w:val="lt-LT" w:eastAsia="en-US"/>
              </w:rPr>
              <w:t xml:space="preserve">Nedažni </w:t>
            </w:r>
          </w:p>
        </w:tc>
        <w:tc>
          <w:tcPr>
            <w:tcW w:w="4644" w:type="dxa"/>
            <w:shd w:val="clear" w:color="auto" w:fill="auto"/>
          </w:tcPr>
          <w:p w14:paraId="732D066A"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NewRoman"/>
                <w:sz w:val="22"/>
                <w:szCs w:val="22"/>
                <w:lang w:val="lt-LT" w:eastAsia="en-US"/>
              </w:rPr>
              <w:t>Imuniteto atsistatymo uždegiminis sindromas, padidėjusio jautrumo (vaistiniam preparatui) reakcija</w:t>
            </w:r>
          </w:p>
        </w:tc>
      </w:tr>
      <w:tr w:rsidR="009F5848" w:rsidRPr="00C75EC3" w14:paraId="5A4E6A67" w14:textId="77777777" w:rsidTr="00C75EC3">
        <w:tc>
          <w:tcPr>
            <w:tcW w:w="9288" w:type="dxa"/>
            <w:gridSpan w:val="2"/>
            <w:shd w:val="clear" w:color="auto" w:fill="auto"/>
          </w:tcPr>
          <w:p w14:paraId="61A6E28F" w14:textId="77777777" w:rsidR="009F5848" w:rsidRPr="00C75EC3" w:rsidRDefault="009F5848" w:rsidP="00C75EC3">
            <w:pPr>
              <w:autoSpaceDE w:val="0"/>
              <w:autoSpaceDN w:val="0"/>
              <w:adjustRightInd w:val="0"/>
              <w:rPr>
                <w:rFonts w:eastAsia="TimesNewRoman"/>
                <w:sz w:val="22"/>
                <w:szCs w:val="22"/>
                <w:lang w:val="lt-LT" w:eastAsia="en-US"/>
              </w:rPr>
            </w:pPr>
            <w:r w:rsidRPr="00C75EC3">
              <w:rPr>
                <w:i/>
                <w:iCs/>
                <w:sz w:val="22"/>
                <w:szCs w:val="22"/>
                <w:lang w:val="lt-LT" w:eastAsia="en-US"/>
              </w:rPr>
              <w:t>Endokrininiai sutrikimai</w:t>
            </w:r>
          </w:p>
        </w:tc>
      </w:tr>
      <w:tr w:rsidR="009F5848" w:rsidRPr="00C75EC3" w14:paraId="62E0FBDD" w14:textId="77777777" w:rsidTr="00C75EC3">
        <w:tc>
          <w:tcPr>
            <w:tcW w:w="4644" w:type="dxa"/>
            <w:shd w:val="clear" w:color="auto" w:fill="auto"/>
          </w:tcPr>
          <w:p w14:paraId="0D54E530"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NewRoman"/>
                <w:sz w:val="22"/>
                <w:szCs w:val="22"/>
                <w:lang w:val="lt-LT" w:eastAsia="en-US"/>
              </w:rPr>
              <w:t xml:space="preserve">Nedažni </w:t>
            </w:r>
          </w:p>
        </w:tc>
        <w:tc>
          <w:tcPr>
            <w:tcW w:w="4644" w:type="dxa"/>
            <w:shd w:val="clear" w:color="auto" w:fill="auto"/>
          </w:tcPr>
          <w:p w14:paraId="0CE907E8"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NewRoman"/>
                <w:sz w:val="22"/>
                <w:szCs w:val="22"/>
                <w:lang w:val="lt-LT" w:eastAsia="en-US"/>
              </w:rPr>
              <w:t>Hipotirozė, skydliaukę stimuliuojančio hormone padaugėjimas kraujyje</w:t>
            </w:r>
          </w:p>
        </w:tc>
      </w:tr>
      <w:tr w:rsidR="009F5848" w:rsidRPr="00C75EC3" w14:paraId="4EF8E341" w14:textId="77777777" w:rsidTr="00C75EC3">
        <w:tc>
          <w:tcPr>
            <w:tcW w:w="9288" w:type="dxa"/>
            <w:gridSpan w:val="2"/>
            <w:shd w:val="clear" w:color="auto" w:fill="auto"/>
          </w:tcPr>
          <w:p w14:paraId="6C2B2A0B"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i/>
                <w:iCs/>
                <w:sz w:val="22"/>
                <w:szCs w:val="22"/>
                <w:lang w:val="lt-LT" w:eastAsia="en-US"/>
              </w:rPr>
              <w:t>Metabolizmo ir mitybos sutrikimai</w:t>
            </w:r>
          </w:p>
        </w:tc>
      </w:tr>
      <w:tr w:rsidR="009F5848" w:rsidRPr="00C75EC3" w14:paraId="749DACA7" w14:textId="77777777" w:rsidTr="00C75EC3">
        <w:tc>
          <w:tcPr>
            <w:tcW w:w="4644" w:type="dxa"/>
            <w:shd w:val="clear" w:color="auto" w:fill="auto"/>
          </w:tcPr>
          <w:p w14:paraId="3D3306CF"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 xml:space="preserve">Dažni </w:t>
            </w:r>
          </w:p>
          <w:p w14:paraId="69991700" w14:textId="77777777" w:rsidR="009F5848" w:rsidRPr="00C75EC3" w:rsidRDefault="009F5848" w:rsidP="00C75EC3">
            <w:pPr>
              <w:autoSpaceDE w:val="0"/>
              <w:autoSpaceDN w:val="0"/>
              <w:adjustRightInd w:val="0"/>
              <w:rPr>
                <w:rFonts w:eastAsia="TimesNewRoman"/>
                <w:sz w:val="22"/>
                <w:szCs w:val="22"/>
                <w:lang w:val="lt-LT" w:eastAsia="en-US"/>
              </w:rPr>
            </w:pPr>
          </w:p>
          <w:p w14:paraId="3114591B"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 xml:space="preserve">Nedažni </w:t>
            </w:r>
          </w:p>
          <w:p w14:paraId="74AB2F2E" w14:textId="77777777" w:rsidR="009F5848" w:rsidRPr="00C75EC3" w:rsidRDefault="009F5848" w:rsidP="00C75EC3">
            <w:pPr>
              <w:autoSpaceDE w:val="0"/>
              <w:autoSpaceDN w:val="0"/>
              <w:adjustRightInd w:val="0"/>
              <w:rPr>
                <w:rFonts w:eastAsia="Times New Roman"/>
                <w:noProof/>
                <w:sz w:val="22"/>
                <w:szCs w:val="22"/>
                <w:lang w:val="lt-LT" w:eastAsia="lt-LT" w:bidi="lt-LT"/>
              </w:rPr>
            </w:pPr>
          </w:p>
        </w:tc>
        <w:tc>
          <w:tcPr>
            <w:tcW w:w="4644" w:type="dxa"/>
            <w:shd w:val="clear" w:color="auto" w:fill="auto"/>
          </w:tcPr>
          <w:p w14:paraId="663DF7C3"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Cukrinis diabetas, hipertrigliceridemija, hipercholesterolemija, hiperlipidemija</w:t>
            </w:r>
          </w:p>
          <w:p w14:paraId="7256DE03"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Podagra, anoreksija, apetito sumažėjimas, kūno svorio sumažėjimas, kūno svorio padidėjimas, hiperglikemija, atsparumas insulinui, didelio tankio lipoproteinų sumažėjimas, apetito padidėjimas, polidipsija, laktato dehidrogenazės aktyvumo padidėjimas kraujyje</w:t>
            </w:r>
          </w:p>
          <w:p w14:paraId="099001B2" w14:textId="77777777" w:rsidR="009F5848" w:rsidRPr="00C75EC3" w:rsidRDefault="009F5848" w:rsidP="00C75EC3">
            <w:pPr>
              <w:autoSpaceDE w:val="0"/>
              <w:autoSpaceDN w:val="0"/>
              <w:adjustRightInd w:val="0"/>
              <w:rPr>
                <w:rFonts w:eastAsia="Times New Roman"/>
                <w:noProof/>
                <w:sz w:val="22"/>
                <w:szCs w:val="22"/>
                <w:lang w:val="lt-LT" w:eastAsia="lt-LT" w:bidi="lt-LT"/>
              </w:rPr>
            </w:pPr>
          </w:p>
        </w:tc>
      </w:tr>
      <w:tr w:rsidR="009F5848" w:rsidRPr="00C75EC3" w14:paraId="67AAA257" w14:textId="77777777" w:rsidTr="00C75EC3">
        <w:tc>
          <w:tcPr>
            <w:tcW w:w="9288" w:type="dxa"/>
            <w:gridSpan w:val="2"/>
            <w:shd w:val="clear" w:color="auto" w:fill="auto"/>
          </w:tcPr>
          <w:p w14:paraId="5FF57C33"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i/>
                <w:iCs/>
                <w:sz w:val="22"/>
                <w:szCs w:val="22"/>
                <w:lang w:val="lt-LT" w:eastAsia="en-US"/>
              </w:rPr>
              <w:t>Psichikos sutrikimai</w:t>
            </w:r>
          </w:p>
        </w:tc>
      </w:tr>
      <w:tr w:rsidR="009F5848" w:rsidRPr="00C75EC3" w14:paraId="7CB46280" w14:textId="77777777" w:rsidTr="00C75EC3">
        <w:tc>
          <w:tcPr>
            <w:tcW w:w="4644" w:type="dxa"/>
            <w:shd w:val="clear" w:color="auto" w:fill="auto"/>
          </w:tcPr>
          <w:p w14:paraId="1822E070"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 xml:space="preserve">Dažni </w:t>
            </w:r>
          </w:p>
          <w:p w14:paraId="0D08F3B2"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Nedažni</w:t>
            </w:r>
          </w:p>
          <w:p w14:paraId="2B79A053" w14:textId="77777777" w:rsidR="009F5848" w:rsidRPr="00C75EC3" w:rsidRDefault="009F5848" w:rsidP="00C75EC3">
            <w:pPr>
              <w:autoSpaceDE w:val="0"/>
              <w:autoSpaceDN w:val="0"/>
              <w:adjustRightInd w:val="0"/>
              <w:rPr>
                <w:rFonts w:eastAsia="TimesNewRoman"/>
                <w:sz w:val="22"/>
                <w:szCs w:val="22"/>
                <w:lang w:val="lt-LT" w:eastAsia="en-US"/>
              </w:rPr>
            </w:pPr>
          </w:p>
          <w:p w14:paraId="74084D84" w14:textId="77777777" w:rsidR="009F5848" w:rsidRPr="00C75EC3" w:rsidRDefault="009F5848" w:rsidP="00C75EC3">
            <w:pPr>
              <w:autoSpaceDE w:val="0"/>
              <w:autoSpaceDN w:val="0"/>
              <w:adjustRightInd w:val="0"/>
              <w:rPr>
                <w:rFonts w:eastAsia="TimesNewRoman"/>
                <w:sz w:val="22"/>
                <w:szCs w:val="22"/>
                <w:lang w:val="lt-LT" w:eastAsia="en-US"/>
              </w:rPr>
            </w:pPr>
          </w:p>
          <w:p w14:paraId="7D92B816"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NewRoman"/>
                <w:sz w:val="22"/>
                <w:szCs w:val="22"/>
                <w:lang w:val="lt-LT" w:eastAsia="en-US"/>
              </w:rPr>
              <w:t>Reti</w:t>
            </w:r>
          </w:p>
        </w:tc>
        <w:tc>
          <w:tcPr>
            <w:tcW w:w="4644" w:type="dxa"/>
            <w:shd w:val="clear" w:color="auto" w:fill="auto"/>
          </w:tcPr>
          <w:p w14:paraId="00AD1D01"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 xml:space="preserve">Nemiga </w:t>
            </w:r>
          </w:p>
          <w:p w14:paraId="0C3E7054"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Depresija, orientacijos sutrikimas, nerimas, miego sutrikimas, nenormalūs sapnai, košmarai, lytinio potraukio susilpnėjimas</w:t>
            </w:r>
          </w:p>
          <w:p w14:paraId="52680C80"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NewRoman"/>
                <w:sz w:val="22"/>
                <w:szCs w:val="22"/>
                <w:lang w:val="lt-LT" w:eastAsia="en-US"/>
              </w:rPr>
              <w:t>Sumišimo būklė, nuotaikos pokyčiai, nerimastingumas</w:t>
            </w:r>
          </w:p>
        </w:tc>
      </w:tr>
      <w:tr w:rsidR="009F5848" w:rsidRPr="00C75EC3" w14:paraId="6FB8DDCB" w14:textId="77777777" w:rsidTr="00C75EC3">
        <w:tc>
          <w:tcPr>
            <w:tcW w:w="9288" w:type="dxa"/>
            <w:gridSpan w:val="2"/>
            <w:shd w:val="clear" w:color="auto" w:fill="auto"/>
          </w:tcPr>
          <w:p w14:paraId="2F33C27C"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i/>
                <w:iCs/>
                <w:sz w:val="22"/>
                <w:szCs w:val="22"/>
                <w:lang w:val="lt-LT" w:eastAsia="en-US"/>
              </w:rPr>
              <w:t>Nervų sistemos sutrikimai</w:t>
            </w:r>
          </w:p>
        </w:tc>
      </w:tr>
      <w:tr w:rsidR="009F5848" w:rsidRPr="00C75EC3" w14:paraId="145482EE" w14:textId="77777777" w:rsidTr="00C75EC3">
        <w:tc>
          <w:tcPr>
            <w:tcW w:w="4644" w:type="dxa"/>
            <w:shd w:val="clear" w:color="auto" w:fill="auto"/>
          </w:tcPr>
          <w:p w14:paraId="2221B147"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 xml:space="preserve">Dažni </w:t>
            </w:r>
          </w:p>
          <w:p w14:paraId="019AC671" w14:textId="77777777" w:rsidR="009F5848" w:rsidRPr="00C75EC3" w:rsidRDefault="009F5848" w:rsidP="00C75EC3">
            <w:pPr>
              <w:autoSpaceDE w:val="0"/>
              <w:autoSpaceDN w:val="0"/>
              <w:adjustRightInd w:val="0"/>
              <w:rPr>
                <w:rFonts w:eastAsia="TimesNewRoman"/>
                <w:sz w:val="22"/>
                <w:szCs w:val="22"/>
                <w:lang w:val="lt-LT" w:eastAsia="en-US"/>
              </w:rPr>
            </w:pPr>
          </w:p>
          <w:p w14:paraId="29BB81C4"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Nedažni</w:t>
            </w:r>
          </w:p>
          <w:p w14:paraId="196E1632" w14:textId="77777777" w:rsidR="009F5848" w:rsidRPr="00C75EC3" w:rsidRDefault="009F5848" w:rsidP="00C75EC3">
            <w:pPr>
              <w:autoSpaceDE w:val="0"/>
              <w:autoSpaceDN w:val="0"/>
              <w:adjustRightInd w:val="0"/>
              <w:rPr>
                <w:rFonts w:eastAsia="TimesNewRoman"/>
                <w:sz w:val="22"/>
                <w:szCs w:val="22"/>
                <w:lang w:val="lt-LT" w:eastAsia="en-US"/>
              </w:rPr>
            </w:pPr>
          </w:p>
          <w:p w14:paraId="2F5640EA" w14:textId="77777777" w:rsidR="009F5848" w:rsidRPr="00C75EC3" w:rsidRDefault="009F5848" w:rsidP="00C75EC3">
            <w:pPr>
              <w:autoSpaceDE w:val="0"/>
              <w:autoSpaceDN w:val="0"/>
              <w:adjustRightInd w:val="0"/>
              <w:rPr>
                <w:rFonts w:eastAsia="TimesNewRoman"/>
                <w:sz w:val="22"/>
                <w:szCs w:val="22"/>
                <w:lang w:val="lt-LT" w:eastAsia="en-US"/>
              </w:rPr>
            </w:pPr>
          </w:p>
          <w:p w14:paraId="1B050A71"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Reti</w:t>
            </w:r>
          </w:p>
          <w:p w14:paraId="2B6E6070" w14:textId="77777777" w:rsidR="009F5848" w:rsidRPr="00C75EC3" w:rsidRDefault="009F5848" w:rsidP="00C75EC3">
            <w:pPr>
              <w:autoSpaceDE w:val="0"/>
              <w:autoSpaceDN w:val="0"/>
              <w:adjustRightInd w:val="0"/>
              <w:rPr>
                <w:rFonts w:eastAsia="Times New Roman"/>
                <w:noProof/>
                <w:sz w:val="22"/>
                <w:szCs w:val="22"/>
                <w:lang w:val="lt-LT" w:eastAsia="lt-LT" w:bidi="lt-LT"/>
              </w:rPr>
            </w:pPr>
          </w:p>
        </w:tc>
        <w:tc>
          <w:tcPr>
            <w:tcW w:w="4644" w:type="dxa"/>
            <w:shd w:val="clear" w:color="auto" w:fill="auto"/>
          </w:tcPr>
          <w:p w14:paraId="4476808A"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 xml:space="preserve">Galvos skausmas, periferinė neuropatija, svaigulys </w:t>
            </w:r>
          </w:p>
          <w:p w14:paraId="112E1A25"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Letargija, parestezija, hipestezija, skonio pojūčio išnykimas, dėmesio sutrikimas, atminties sutrikimas, somnolencija</w:t>
            </w:r>
          </w:p>
          <w:p w14:paraId="30ADBDBB"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NewRoman"/>
                <w:sz w:val="22"/>
                <w:szCs w:val="22"/>
                <w:lang w:val="lt-LT" w:eastAsia="en-US"/>
              </w:rPr>
              <w:t>Apalpimas, traukuliai, skonio pojūčio sutrikimas, miego fazių ritmo sutrikimas</w:t>
            </w:r>
          </w:p>
        </w:tc>
      </w:tr>
      <w:tr w:rsidR="009F5848" w:rsidRPr="00C75EC3" w14:paraId="0573DADE" w14:textId="77777777" w:rsidTr="00C75EC3">
        <w:tc>
          <w:tcPr>
            <w:tcW w:w="9288" w:type="dxa"/>
            <w:gridSpan w:val="2"/>
            <w:shd w:val="clear" w:color="auto" w:fill="auto"/>
          </w:tcPr>
          <w:p w14:paraId="092FAFB1" w14:textId="77777777" w:rsidR="009F5848" w:rsidRPr="00C75EC3" w:rsidRDefault="009F5848" w:rsidP="00C75EC3">
            <w:pPr>
              <w:autoSpaceDE w:val="0"/>
              <w:autoSpaceDN w:val="0"/>
              <w:adjustRightInd w:val="0"/>
              <w:rPr>
                <w:rFonts w:eastAsia="Times New Roman"/>
                <w:i/>
                <w:noProof/>
                <w:sz w:val="22"/>
                <w:szCs w:val="22"/>
                <w:lang w:val="lt-LT" w:eastAsia="lt-LT" w:bidi="lt-LT"/>
              </w:rPr>
            </w:pPr>
            <w:r w:rsidRPr="00C75EC3">
              <w:rPr>
                <w:rFonts w:eastAsia="Times New Roman"/>
                <w:i/>
                <w:noProof/>
                <w:sz w:val="22"/>
                <w:szCs w:val="22"/>
                <w:lang w:val="lt-LT" w:eastAsia="lt-LT" w:bidi="lt-LT"/>
              </w:rPr>
              <w:t>Akių sutrikimai</w:t>
            </w:r>
          </w:p>
        </w:tc>
      </w:tr>
      <w:tr w:rsidR="009F5848" w:rsidRPr="00C75EC3" w14:paraId="554DCFB8" w14:textId="77777777" w:rsidTr="00C75EC3">
        <w:tc>
          <w:tcPr>
            <w:tcW w:w="4644" w:type="dxa"/>
            <w:shd w:val="clear" w:color="auto" w:fill="auto"/>
          </w:tcPr>
          <w:p w14:paraId="48A027A7"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Nedažni</w:t>
            </w:r>
          </w:p>
          <w:p w14:paraId="431E0391"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NewRoman"/>
                <w:sz w:val="22"/>
                <w:szCs w:val="22"/>
                <w:lang w:val="lt-LT" w:eastAsia="en-US"/>
              </w:rPr>
              <w:t>Reti</w:t>
            </w:r>
          </w:p>
        </w:tc>
        <w:tc>
          <w:tcPr>
            <w:tcW w:w="4644" w:type="dxa"/>
            <w:shd w:val="clear" w:color="auto" w:fill="auto"/>
          </w:tcPr>
          <w:p w14:paraId="717B999B"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Junginės hiperemija, akių sausumas</w:t>
            </w:r>
          </w:p>
          <w:p w14:paraId="2DC0B789"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NewRoman"/>
                <w:sz w:val="22"/>
                <w:szCs w:val="22"/>
                <w:lang w:val="lt-LT" w:eastAsia="en-US"/>
              </w:rPr>
              <w:t>Regos sutrikimas</w:t>
            </w:r>
          </w:p>
        </w:tc>
      </w:tr>
      <w:tr w:rsidR="009F5848" w:rsidRPr="00C75EC3" w14:paraId="58EACA2A" w14:textId="77777777" w:rsidTr="00C75EC3">
        <w:tc>
          <w:tcPr>
            <w:tcW w:w="9288" w:type="dxa"/>
            <w:gridSpan w:val="2"/>
            <w:shd w:val="clear" w:color="auto" w:fill="auto"/>
          </w:tcPr>
          <w:p w14:paraId="2526B497"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i/>
                <w:iCs/>
                <w:sz w:val="22"/>
                <w:szCs w:val="22"/>
                <w:lang w:val="lt-LT" w:eastAsia="en-US"/>
              </w:rPr>
              <w:t>Ausų ir labirintų sutrikimai</w:t>
            </w:r>
          </w:p>
        </w:tc>
      </w:tr>
      <w:tr w:rsidR="009F5848" w:rsidRPr="00C75EC3" w14:paraId="6DC6CD84" w14:textId="77777777" w:rsidTr="00C75EC3">
        <w:tc>
          <w:tcPr>
            <w:tcW w:w="4644" w:type="dxa"/>
            <w:shd w:val="clear" w:color="auto" w:fill="auto"/>
          </w:tcPr>
          <w:p w14:paraId="425A87C5"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NewRoman"/>
                <w:sz w:val="22"/>
                <w:szCs w:val="22"/>
                <w:lang w:val="lt-LT" w:eastAsia="en-US"/>
              </w:rPr>
              <w:t>Nedažni</w:t>
            </w:r>
          </w:p>
        </w:tc>
        <w:tc>
          <w:tcPr>
            <w:tcW w:w="4644" w:type="dxa"/>
            <w:shd w:val="clear" w:color="auto" w:fill="auto"/>
          </w:tcPr>
          <w:p w14:paraId="26177A98"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NewRoman"/>
                <w:sz w:val="22"/>
                <w:szCs w:val="22"/>
                <w:lang w:val="lt-LT" w:eastAsia="en-US"/>
              </w:rPr>
              <w:t xml:space="preserve">Galvos </w:t>
            </w:r>
            <w:r w:rsidR="003B5E69">
              <w:rPr>
                <w:rFonts w:eastAsia="TimesNewRoman"/>
                <w:sz w:val="22"/>
                <w:szCs w:val="22"/>
                <w:lang w:val="lt-LT" w:eastAsia="en-US"/>
              </w:rPr>
              <w:t>svaigimas</w:t>
            </w:r>
            <w:r w:rsidRPr="00C75EC3">
              <w:rPr>
                <w:rFonts w:eastAsia="TimesNewRoman"/>
                <w:sz w:val="22"/>
                <w:szCs w:val="22"/>
                <w:lang w:val="lt-LT" w:eastAsia="en-US"/>
              </w:rPr>
              <w:t xml:space="preserve"> (</w:t>
            </w:r>
            <w:r w:rsidRPr="00E4759F">
              <w:rPr>
                <w:rFonts w:eastAsia="TimesNewRoman"/>
                <w:i/>
                <w:sz w:val="22"/>
                <w:szCs w:val="22"/>
                <w:lang w:val="lt-LT" w:eastAsia="en-US"/>
              </w:rPr>
              <w:t>vertigo</w:t>
            </w:r>
            <w:r w:rsidRPr="00C75EC3">
              <w:rPr>
                <w:rFonts w:eastAsia="TimesNewRoman"/>
                <w:sz w:val="22"/>
                <w:szCs w:val="22"/>
                <w:lang w:val="lt-LT" w:eastAsia="en-US"/>
              </w:rPr>
              <w:t>)</w:t>
            </w:r>
          </w:p>
        </w:tc>
      </w:tr>
      <w:tr w:rsidR="009F5848" w:rsidRPr="00C75EC3" w14:paraId="3BDF3B81" w14:textId="77777777" w:rsidTr="00C75EC3">
        <w:tc>
          <w:tcPr>
            <w:tcW w:w="9288" w:type="dxa"/>
            <w:gridSpan w:val="2"/>
            <w:shd w:val="clear" w:color="auto" w:fill="auto"/>
          </w:tcPr>
          <w:p w14:paraId="7EC738E9"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i/>
                <w:iCs/>
                <w:sz w:val="22"/>
                <w:szCs w:val="22"/>
                <w:lang w:val="lt-LT" w:eastAsia="en-US"/>
              </w:rPr>
              <w:t>Širdies sutrikimai</w:t>
            </w:r>
          </w:p>
        </w:tc>
      </w:tr>
      <w:tr w:rsidR="009F5848" w:rsidRPr="00C75EC3" w14:paraId="60120586" w14:textId="77777777" w:rsidTr="00C75EC3">
        <w:tc>
          <w:tcPr>
            <w:tcW w:w="4644" w:type="dxa"/>
            <w:shd w:val="clear" w:color="auto" w:fill="auto"/>
          </w:tcPr>
          <w:p w14:paraId="7DFA9D40"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 New Roman"/>
                <w:noProof/>
                <w:sz w:val="22"/>
                <w:szCs w:val="22"/>
                <w:lang w:val="lt-LT" w:eastAsia="lt-LT" w:bidi="lt-LT"/>
              </w:rPr>
              <w:t>Nedažni</w:t>
            </w:r>
          </w:p>
          <w:p w14:paraId="126F94D7" w14:textId="77777777" w:rsidR="009F5848" w:rsidRPr="00C75EC3" w:rsidRDefault="009F5848" w:rsidP="00C75EC3">
            <w:pPr>
              <w:autoSpaceDE w:val="0"/>
              <w:autoSpaceDN w:val="0"/>
              <w:adjustRightInd w:val="0"/>
              <w:rPr>
                <w:rFonts w:eastAsia="Times New Roman"/>
                <w:noProof/>
                <w:sz w:val="22"/>
                <w:szCs w:val="22"/>
                <w:lang w:val="lt-LT" w:eastAsia="lt-LT" w:bidi="lt-LT"/>
              </w:rPr>
            </w:pPr>
          </w:p>
          <w:p w14:paraId="5DADC7DB" w14:textId="77777777" w:rsidR="009F5848" w:rsidRPr="00C75EC3" w:rsidRDefault="009F5848" w:rsidP="00C75EC3">
            <w:pPr>
              <w:autoSpaceDE w:val="0"/>
              <w:autoSpaceDN w:val="0"/>
              <w:adjustRightInd w:val="0"/>
              <w:rPr>
                <w:rFonts w:eastAsia="Times New Roman"/>
                <w:noProof/>
                <w:sz w:val="22"/>
                <w:szCs w:val="22"/>
                <w:lang w:val="lt-LT" w:eastAsia="lt-LT" w:bidi="lt-LT"/>
              </w:rPr>
            </w:pPr>
          </w:p>
          <w:p w14:paraId="6ED90EE6"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 New Roman"/>
                <w:noProof/>
                <w:sz w:val="22"/>
                <w:szCs w:val="22"/>
                <w:lang w:val="lt-LT" w:eastAsia="lt-LT" w:bidi="lt-LT"/>
              </w:rPr>
              <w:t>Reti</w:t>
            </w:r>
          </w:p>
        </w:tc>
        <w:tc>
          <w:tcPr>
            <w:tcW w:w="4644" w:type="dxa"/>
            <w:shd w:val="clear" w:color="auto" w:fill="auto"/>
          </w:tcPr>
          <w:p w14:paraId="181D6E71"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Miokardo infarktas, krūtinės angina, QT interval</w:t>
            </w:r>
            <w:r w:rsidR="003B5E69">
              <w:rPr>
                <w:rFonts w:eastAsia="TimesNewRoman"/>
                <w:sz w:val="22"/>
                <w:szCs w:val="22"/>
                <w:lang w:val="lt-LT" w:eastAsia="en-US"/>
              </w:rPr>
              <w:t>o</w:t>
            </w:r>
            <w:r w:rsidRPr="00C75EC3">
              <w:rPr>
                <w:rFonts w:eastAsia="TimesNewRoman"/>
                <w:sz w:val="22"/>
                <w:szCs w:val="22"/>
                <w:lang w:val="lt-LT" w:eastAsia="en-US"/>
              </w:rPr>
              <w:t xml:space="preserve"> elektrokardiogramoje pailgėjimas, tachikardija</w:t>
            </w:r>
          </w:p>
          <w:p w14:paraId="3C229348" w14:textId="77777777" w:rsidR="009F5848" w:rsidRPr="00C75EC3" w:rsidRDefault="009F5848" w:rsidP="00C75EC3">
            <w:pPr>
              <w:autoSpaceDE w:val="0"/>
              <w:autoSpaceDN w:val="0"/>
              <w:adjustRightInd w:val="0"/>
              <w:rPr>
                <w:rFonts w:eastAsia="TimesNewRoman"/>
                <w:sz w:val="22"/>
                <w:szCs w:val="22"/>
                <w:lang w:val="lt-LT" w:eastAsia="en-US"/>
              </w:rPr>
            </w:pPr>
          </w:p>
          <w:p w14:paraId="15790DC5"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NewRoman"/>
                <w:sz w:val="22"/>
                <w:szCs w:val="22"/>
                <w:lang w:val="lt-LT" w:eastAsia="en-US"/>
              </w:rPr>
              <w:t>Ūminis miokardo infarktas, sinusinė bradikardija, palpitacija</w:t>
            </w:r>
          </w:p>
        </w:tc>
      </w:tr>
      <w:tr w:rsidR="009F5848" w:rsidRPr="00C75EC3" w14:paraId="50564215" w14:textId="77777777" w:rsidTr="00C75EC3">
        <w:tc>
          <w:tcPr>
            <w:tcW w:w="9288" w:type="dxa"/>
            <w:gridSpan w:val="2"/>
            <w:shd w:val="clear" w:color="auto" w:fill="auto"/>
          </w:tcPr>
          <w:p w14:paraId="2E6AC00B"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i/>
                <w:iCs/>
                <w:sz w:val="22"/>
                <w:szCs w:val="22"/>
                <w:lang w:val="lt-LT" w:eastAsia="en-US"/>
              </w:rPr>
              <w:t>Kraujagyslių sutrikimai</w:t>
            </w:r>
          </w:p>
        </w:tc>
      </w:tr>
      <w:tr w:rsidR="009F5848" w:rsidRPr="00C75EC3" w14:paraId="520F10DD" w14:textId="77777777" w:rsidTr="00C75EC3">
        <w:tc>
          <w:tcPr>
            <w:tcW w:w="4644" w:type="dxa"/>
            <w:shd w:val="clear" w:color="auto" w:fill="auto"/>
          </w:tcPr>
          <w:p w14:paraId="18320289"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 New Roman"/>
                <w:noProof/>
                <w:sz w:val="22"/>
                <w:szCs w:val="22"/>
                <w:lang w:val="lt-LT" w:eastAsia="lt-LT" w:bidi="lt-LT"/>
              </w:rPr>
              <w:t>Nedažni</w:t>
            </w:r>
          </w:p>
        </w:tc>
        <w:tc>
          <w:tcPr>
            <w:tcW w:w="4644" w:type="dxa"/>
            <w:shd w:val="clear" w:color="auto" w:fill="auto"/>
          </w:tcPr>
          <w:p w14:paraId="5198129E"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NewRoman"/>
                <w:sz w:val="22"/>
                <w:szCs w:val="22"/>
                <w:lang w:val="lt-LT" w:eastAsia="en-US"/>
              </w:rPr>
              <w:t>Hipertenzija, kraujo samplūdis į veidą ir kaklą</w:t>
            </w:r>
          </w:p>
        </w:tc>
      </w:tr>
      <w:tr w:rsidR="009F5848" w:rsidRPr="00C75EC3" w14:paraId="306E67F2" w14:textId="77777777" w:rsidTr="00C75EC3">
        <w:tc>
          <w:tcPr>
            <w:tcW w:w="4644" w:type="dxa"/>
            <w:shd w:val="clear" w:color="auto" w:fill="auto"/>
          </w:tcPr>
          <w:p w14:paraId="2706C37B" w14:textId="77777777" w:rsidR="009F5848" w:rsidRPr="00C75EC3" w:rsidRDefault="009F5848" w:rsidP="00C75EC3">
            <w:pPr>
              <w:autoSpaceDE w:val="0"/>
              <w:autoSpaceDN w:val="0"/>
              <w:adjustRightInd w:val="0"/>
              <w:rPr>
                <w:rFonts w:eastAsia="Times New Roman"/>
                <w:noProof/>
                <w:sz w:val="22"/>
                <w:szCs w:val="22"/>
                <w:lang w:val="lt-LT" w:eastAsia="lt-LT" w:bidi="lt-LT"/>
              </w:rPr>
            </w:pPr>
          </w:p>
        </w:tc>
        <w:tc>
          <w:tcPr>
            <w:tcW w:w="4644" w:type="dxa"/>
            <w:shd w:val="clear" w:color="auto" w:fill="auto"/>
          </w:tcPr>
          <w:p w14:paraId="49860D51"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dusulys, kosulys, kraujavimas iš nosies, gerklės</w:t>
            </w:r>
          </w:p>
          <w:p w14:paraId="36B9A8C7"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dirginimas</w:t>
            </w:r>
          </w:p>
          <w:p w14:paraId="0B8CB7A8"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lastRenderedPageBreak/>
              <w:t>išskyros iš nosies</w:t>
            </w:r>
          </w:p>
        </w:tc>
      </w:tr>
      <w:tr w:rsidR="009F5848" w:rsidRPr="00C75EC3" w14:paraId="27B009CC" w14:textId="77777777" w:rsidTr="00C75EC3">
        <w:tc>
          <w:tcPr>
            <w:tcW w:w="9288" w:type="dxa"/>
            <w:gridSpan w:val="2"/>
            <w:shd w:val="clear" w:color="auto" w:fill="auto"/>
          </w:tcPr>
          <w:p w14:paraId="1696866F"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ascii="TimesNewRoman,Italic" w:hAnsi="TimesNewRoman,Italic" w:cs="TimesNewRoman,Italic"/>
                <w:i/>
                <w:iCs/>
                <w:sz w:val="22"/>
                <w:szCs w:val="22"/>
                <w:lang w:val="lt-LT" w:eastAsia="en-US"/>
              </w:rPr>
              <w:lastRenderedPageBreak/>
              <w:t>Kvėpavimo sistemos, krūtinės ląstos ir tarpuplaučio sutrikimai</w:t>
            </w:r>
          </w:p>
        </w:tc>
      </w:tr>
      <w:tr w:rsidR="009F5848" w:rsidRPr="00C75EC3" w14:paraId="5B17039F" w14:textId="77777777" w:rsidTr="00C75EC3">
        <w:tc>
          <w:tcPr>
            <w:tcW w:w="4644" w:type="dxa"/>
            <w:shd w:val="clear" w:color="auto" w:fill="auto"/>
          </w:tcPr>
          <w:p w14:paraId="277496CD" w14:textId="77777777" w:rsidR="009F5848" w:rsidRPr="00C75EC3" w:rsidRDefault="009F5848" w:rsidP="00C75EC3">
            <w:pPr>
              <w:autoSpaceDE w:val="0"/>
              <w:autoSpaceDN w:val="0"/>
              <w:adjustRightInd w:val="0"/>
              <w:rPr>
                <w:iCs/>
                <w:sz w:val="22"/>
                <w:szCs w:val="22"/>
                <w:lang w:val="lt-LT" w:eastAsia="en-US"/>
              </w:rPr>
            </w:pPr>
            <w:r w:rsidRPr="00C75EC3">
              <w:rPr>
                <w:iCs/>
                <w:sz w:val="22"/>
                <w:szCs w:val="22"/>
                <w:lang w:val="lt-LT" w:eastAsia="en-US"/>
              </w:rPr>
              <w:t>Nedažni</w:t>
            </w:r>
          </w:p>
          <w:p w14:paraId="3EC9F916" w14:textId="77777777" w:rsidR="009F5848" w:rsidRPr="00C75EC3" w:rsidRDefault="009F5848" w:rsidP="00C75EC3">
            <w:pPr>
              <w:autoSpaceDE w:val="0"/>
              <w:autoSpaceDN w:val="0"/>
              <w:adjustRightInd w:val="0"/>
              <w:rPr>
                <w:iCs/>
                <w:sz w:val="22"/>
                <w:szCs w:val="22"/>
                <w:lang w:val="lt-LT" w:eastAsia="en-US"/>
              </w:rPr>
            </w:pPr>
          </w:p>
          <w:p w14:paraId="656586D3" w14:textId="77777777" w:rsidR="009F5848" w:rsidRPr="00C75EC3" w:rsidRDefault="009F5848" w:rsidP="00C75EC3">
            <w:pPr>
              <w:autoSpaceDE w:val="0"/>
              <w:autoSpaceDN w:val="0"/>
              <w:adjustRightInd w:val="0"/>
              <w:rPr>
                <w:i/>
                <w:iCs/>
                <w:sz w:val="22"/>
                <w:szCs w:val="22"/>
                <w:lang w:val="lt-LT" w:eastAsia="en-US"/>
              </w:rPr>
            </w:pPr>
            <w:r w:rsidRPr="00C75EC3">
              <w:rPr>
                <w:iCs/>
                <w:sz w:val="22"/>
                <w:szCs w:val="22"/>
                <w:lang w:val="lt-LT" w:eastAsia="en-US"/>
              </w:rPr>
              <w:t>Reti</w:t>
            </w:r>
          </w:p>
        </w:tc>
        <w:tc>
          <w:tcPr>
            <w:tcW w:w="4644" w:type="dxa"/>
            <w:shd w:val="clear" w:color="auto" w:fill="auto"/>
          </w:tcPr>
          <w:p w14:paraId="02F23196"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 New Roman"/>
                <w:noProof/>
                <w:sz w:val="22"/>
                <w:szCs w:val="22"/>
                <w:lang w:val="lt-LT" w:eastAsia="lt-LT" w:bidi="lt-LT"/>
              </w:rPr>
              <w:t>Dusulys, kosulys, kraujavimas iš nosies, gerklės dirginimas</w:t>
            </w:r>
          </w:p>
          <w:p w14:paraId="2064EE4F"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 New Roman"/>
                <w:noProof/>
                <w:sz w:val="22"/>
                <w:szCs w:val="22"/>
                <w:lang w:val="lt-LT" w:eastAsia="lt-LT" w:bidi="lt-LT"/>
              </w:rPr>
              <w:t>Išskyros iš nosies</w:t>
            </w:r>
          </w:p>
        </w:tc>
      </w:tr>
      <w:tr w:rsidR="009F5848" w:rsidRPr="00C75EC3" w14:paraId="2CB1687A" w14:textId="77777777" w:rsidTr="00C75EC3">
        <w:tc>
          <w:tcPr>
            <w:tcW w:w="9288" w:type="dxa"/>
            <w:gridSpan w:val="2"/>
            <w:shd w:val="clear" w:color="auto" w:fill="auto"/>
          </w:tcPr>
          <w:p w14:paraId="1CF2E113"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i/>
                <w:iCs/>
                <w:sz w:val="22"/>
                <w:szCs w:val="22"/>
                <w:lang w:val="lt-LT" w:eastAsia="en-US"/>
              </w:rPr>
              <w:t>Virškinimo trakto sutrikimai</w:t>
            </w:r>
          </w:p>
        </w:tc>
      </w:tr>
      <w:tr w:rsidR="009F5848" w:rsidRPr="00C75EC3" w14:paraId="0B616558" w14:textId="77777777" w:rsidTr="00C75EC3">
        <w:tc>
          <w:tcPr>
            <w:tcW w:w="4644" w:type="dxa"/>
            <w:shd w:val="clear" w:color="auto" w:fill="auto"/>
          </w:tcPr>
          <w:p w14:paraId="2D01CA3E"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 xml:space="preserve">Labai dažni </w:t>
            </w:r>
          </w:p>
          <w:p w14:paraId="38B86FA9"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 xml:space="preserve">Dažni </w:t>
            </w:r>
          </w:p>
          <w:p w14:paraId="16A076A5" w14:textId="77777777" w:rsidR="009F5848" w:rsidRPr="00C75EC3" w:rsidRDefault="009F5848" w:rsidP="00C75EC3">
            <w:pPr>
              <w:autoSpaceDE w:val="0"/>
              <w:autoSpaceDN w:val="0"/>
              <w:adjustRightInd w:val="0"/>
              <w:rPr>
                <w:rFonts w:eastAsia="TimesNewRoman"/>
                <w:sz w:val="22"/>
                <w:szCs w:val="22"/>
                <w:lang w:val="lt-LT" w:eastAsia="en-US"/>
              </w:rPr>
            </w:pPr>
          </w:p>
          <w:p w14:paraId="24F46006" w14:textId="77777777" w:rsidR="009F5848" w:rsidRPr="00C75EC3" w:rsidRDefault="009F5848" w:rsidP="00C75EC3">
            <w:pPr>
              <w:autoSpaceDE w:val="0"/>
              <w:autoSpaceDN w:val="0"/>
              <w:adjustRightInd w:val="0"/>
              <w:rPr>
                <w:rFonts w:eastAsia="TimesNewRoman"/>
                <w:sz w:val="22"/>
                <w:szCs w:val="22"/>
                <w:lang w:val="lt-LT" w:eastAsia="en-US"/>
              </w:rPr>
            </w:pPr>
          </w:p>
          <w:p w14:paraId="4E1495FA"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Nedažni</w:t>
            </w:r>
          </w:p>
          <w:p w14:paraId="06CA82D2" w14:textId="77777777" w:rsidR="009F5848" w:rsidRPr="00C75EC3" w:rsidRDefault="009F5848" w:rsidP="00C75EC3">
            <w:pPr>
              <w:autoSpaceDE w:val="0"/>
              <w:autoSpaceDN w:val="0"/>
              <w:adjustRightInd w:val="0"/>
              <w:rPr>
                <w:rFonts w:eastAsia="TimesNewRoman"/>
                <w:sz w:val="22"/>
                <w:szCs w:val="22"/>
                <w:lang w:val="lt-LT" w:eastAsia="en-US"/>
              </w:rPr>
            </w:pPr>
          </w:p>
          <w:p w14:paraId="22097474" w14:textId="77777777" w:rsidR="009F5848" w:rsidRPr="00C75EC3" w:rsidRDefault="009F5848" w:rsidP="00C75EC3">
            <w:pPr>
              <w:autoSpaceDE w:val="0"/>
              <w:autoSpaceDN w:val="0"/>
              <w:adjustRightInd w:val="0"/>
              <w:rPr>
                <w:rFonts w:eastAsia="TimesNewRoman"/>
                <w:sz w:val="22"/>
                <w:szCs w:val="22"/>
                <w:lang w:val="lt-LT" w:eastAsia="en-US"/>
              </w:rPr>
            </w:pPr>
          </w:p>
          <w:p w14:paraId="5FC54887" w14:textId="77777777" w:rsidR="009F5848" w:rsidRPr="00C75EC3" w:rsidRDefault="009F5848" w:rsidP="00C75EC3">
            <w:pPr>
              <w:autoSpaceDE w:val="0"/>
              <w:autoSpaceDN w:val="0"/>
              <w:adjustRightInd w:val="0"/>
              <w:rPr>
                <w:rFonts w:eastAsia="TimesNewRoman"/>
                <w:sz w:val="22"/>
                <w:szCs w:val="22"/>
                <w:lang w:val="lt-LT" w:eastAsia="en-US"/>
              </w:rPr>
            </w:pPr>
          </w:p>
          <w:p w14:paraId="2E7C3A56" w14:textId="77777777" w:rsidR="009F5848" w:rsidRPr="00C75EC3" w:rsidRDefault="009F5848" w:rsidP="00C75EC3">
            <w:pPr>
              <w:autoSpaceDE w:val="0"/>
              <w:autoSpaceDN w:val="0"/>
              <w:adjustRightInd w:val="0"/>
              <w:rPr>
                <w:rFonts w:eastAsia="TimesNewRoman"/>
                <w:sz w:val="22"/>
                <w:szCs w:val="22"/>
                <w:lang w:val="lt-LT" w:eastAsia="en-US"/>
              </w:rPr>
            </w:pPr>
          </w:p>
          <w:p w14:paraId="6ED6C02B"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NewRoman"/>
                <w:sz w:val="22"/>
                <w:szCs w:val="22"/>
                <w:lang w:val="lt-LT" w:eastAsia="en-US"/>
              </w:rPr>
              <w:t>Reti</w:t>
            </w:r>
          </w:p>
        </w:tc>
        <w:tc>
          <w:tcPr>
            <w:tcW w:w="4644" w:type="dxa"/>
            <w:shd w:val="clear" w:color="auto" w:fill="auto"/>
          </w:tcPr>
          <w:p w14:paraId="3F972409"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 xml:space="preserve">Viduriavimas </w:t>
            </w:r>
          </w:p>
          <w:p w14:paraId="244E5532"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Vėmimas, pykinimas, pilvo skausmas, amilazės pad</w:t>
            </w:r>
            <w:r w:rsidR="003B5E69">
              <w:rPr>
                <w:rFonts w:eastAsia="TimesNewRoman"/>
                <w:sz w:val="22"/>
                <w:szCs w:val="22"/>
                <w:lang w:val="lt-LT" w:eastAsia="en-US"/>
              </w:rPr>
              <w:t>idėjimas</w:t>
            </w:r>
            <w:r w:rsidRPr="00C75EC3">
              <w:rPr>
                <w:rFonts w:eastAsia="TimesNewRoman"/>
                <w:sz w:val="22"/>
                <w:szCs w:val="22"/>
                <w:lang w:val="lt-LT" w:eastAsia="en-US"/>
              </w:rPr>
              <w:t xml:space="preserve"> kraujyje, dispepsija, pilvo įtempimas, dujų susikaupimas virškinimo trakte</w:t>
            </w:r>
          </w:p>
          <w:p w14:paraId="6C273687"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Pankreatitas, gastritas, gastroezofaginio reflukso liga, aftinis stomatitas, žiaukčiojimas, burnos džiūvimas, nemalonūs pojūčiai pilve, vidurių užkietėjimas, lipazės suaktyvėjimas, raugėjimas, burnos dizestezija</w:t>
            </w:r>
          </w:p>
          <w:p w14:paraId="3763D14E"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NewRoman"/>
                <w:sz w:val="22"/>
                <w:szCs w:val="22"/>
                <w:lang w:val="lt-LT" w:eastAsia="en-US"/>
              </w:rPr>
              <w:t>Stomatitas, vėmimas krauju, lūpos uždegimas, lūpų sausumas, liežuvio apnašos</w:t>
            </w:r>
          </w:p>
        </w:tc>
      </w:tr>
      <w:tr w:rsidR="009F5848" w:rsidRPr="00C75EC3" w14:paraId="0073E63B" w14:textId="77777777" w:rsidTr="00C75EC3">
        <w:tc>
          <w:tcPr>
            <w:tcW w:w="9288" w:type="dxa"/>
            <w:gridSpan w:val="2"/>
            <w:shd w:val="clear" w:color="auto" w:fill="auto"/>
          </w:tcPr>
          <w:p w14:paraId="3279A9CD"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ascii="TimesNewRoman,Italic" w:hAnsi="TimesNewRoman,Italic" w:cs="TimesNewRoman,Italic"/>
                <w:i/>
                <w:iCs/>
                <w:sz w:val="22"/>
                <w:szCs w:val="22"/>
                <w:lang w:val="lt-LT" w:eastAsia="en-US"/>
              </w:rPr>
              <w:t>Kepenų, tulžies pūslės ir latakų sutrikimai</w:t>
            </w:r>
          </w:p>
        </w:tc>
      </w:tr>
      <w:tr w:rsidR="009F5848" w:rsidRPr="00C75EC3" w14:paraId="24453074" w14:textId="77777777" w:rsidTr="00C75EC3">
        <w:tc>
          <w:tcPr>
            <w:tcW w:w="4644" w:type="dxa"/>
            <w:shd w:val="clear" w:color="auto" w:fill="auto"/>
          </w:tcPr>
          <w:p w14:paraId="79542738"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 xml:space="preserve">Dažni </w:t>
            </w:r>
          </w:p>
          <w:p w14:paraId="2C717B9E"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NewRoman"/>
                <w:sz w:val="22"/>
                <w:szCs w:val="22"/>
                <w:lang w:val="lt-LT" w:eastAsia="en-US"/>
              </w:rPr>
              <w:t>Nedažni</w:t>
            </w:r>
          </w:p>
        </w:tc>
        <w:tc>
          <w:tcPr>
            <w:tcW w:w="4644" w:type="dxa"/>
            <w:shd w:val="clear" w:color="auto" w:fill="auto"/>
          </w:tcPr>
          <w:p w14:paraId="18A02D8C"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Alanino aminotransferazės aktyvumo padidėjimas</w:t>
            </w:r>
          </w:p>
          <w:p w14:paraId="540022D5"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NewRoman"/>
                <w:sz w:val="22"/>
                <w:szCs w:val="22"/>
                <w:lang w:val="lt-LT" w:eastAsia="en-US"/>
              </w:rPr>
              <w:t>Hepatitas, citolizinis hepatitas, kepenų steatozė, hepatomegalija, transaminazių aktyvumo padidėjimas, aspartato aminotransferazės aktyvumo padidėjimas, bilirubino padaugėjimas kraujyje, šarminės fosfatazės aktyvumo padidėjimas kraujyje, gama gliutamiltransferazės aktyvumo padidėjimas</w:t>
            </w:r>
          </w:p>
        </w:tc>
      </w:tr>
      <w:tr w:rsidR="009F5848" w:rsidRPr="00C75EC3" w14:paraId="4E318AB2" w14:textId="77777777" w:rsidTr="00C75EC3">
        <w:tc>
          <w:tcPr>
            <w:tcW w:w="9288" w:type="dxa"/>
            <w:gridSpan w:val="2"/>
            <w:shd w:val="clear" w:color="auto" w:fill="auto"/>
          </w:tcPr>
          <w:p w14:paraId="0D609B46"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ascii="TimesNewRoman,Italic" w:hAnsi="TimesNewRoman,Italic" w:cs="TimesNewRoman,Italic"/>
                <w:i/>
                <w:iCs/>
                <w:sz w:val="22"/>
                <w:szCs w:val="22"/>
                <w:lang w:val="lt-LT" w:eastAsia="en-US"/>
              </w:rPr>
              <w:t>Odos ir poodinio audinio sutrikimai</w:t>
            </w:r>
          </w:p>
        </w:tc>
      </w:tr>
      <w:tr w:rsidR="009F5848" w:rsidRPr="00C75EC3" w14:paraId="11032687" w14:textId="77777777" w:rsidTr="00C75EC3">
        <w:tc>
          <w:tcPr>
            <w:tcW w:w="4644" w:type="dxa"/>
            <w:shd w:val="clear" w:color="auto" w:fill="auto"/>
          </w:tcPr>
          <w:p w14:paraId="5DA2A654"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 New Roman"/>
                <w:noProof/>
                <w:sz w:val="22"/>
                <w:szCs w:val="22"/>
                <w:lang w:val="lt-LT" w:eastAsia="lt-LT" w:bidi="lt-LT"/>
              </w:rPr>
              <w:t>Dažni</w:t>
            </w:r>
          </w:p>
          <w:p w14:paraId="43D3D249" w14:textId="77777777" w:rsidR="009F5848" w:rsidRPr="00C75EC3" w:rsidRDefault="009F5848" w:rsidP="00C75EC3">
            <w:pPr>
              <w:autoSpaceDE w:val="0"/>
              <w:autoSpaceDN w:val="0"/>
              <w:adjustRightInd w:val="0"/>
              <w:rPr>
                <w:rFonts w:eastAsia="Times New Roman"/>
                <w:noProof/>
                <w:sz w:val="22"/>
                <w:szCs w:val="22"/>
                <w:lang w:val="lt-LT" w:eastAsia="lt-LT" w:bidi="lt-LT"/>
              </w:rPr>
            </w:pPr>
          </w:p>
          <w:p w14:paraId="30371855" w14:textId="77777777" w:rsidR="009F5848" w:rsidRPr="00C75EC3" w:rsidRDefault="009F5848" w:rsidP="00C75EC3">
            <w:pPr>
              <w:autoSpaceDE w:val="0"/>
              <w:autoSpaceDN w:val="0"/>
              <w:adjustRightInd w:val="0"/>
              <w:rPr>
                <w:rFonts w:eastAsia="Times New Roman"/>
                <w:noProof/>
                <w:sz w:val="22"/>
                <w:szCs w:val="22"/>
                <w:lang w:val="lt-LT" w:eastAsia="lt-LT" w:bidi="lt-LT"/>
              </w:rPr>
            </w:pPr>
          </w:p>
          <w:p w14:paraId="4CAD383D"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 New Roman"/>
                <w:noProof/>
                <w:sz w:val="22"/>
                <w:szCs w:val="22"/>
                <w:lang w:val="lt-LT" w:eastAsia="lt-LT" w:bidi="lt-LT"/>
              </w:rPr>
              <w:t>Nedažni</w:t>
            </w:r>
          </w:p>
          <w:p w14:paraId="2C536151" w14:textId="77777777" w:rsidR="009F5848" w:rsidRPr="00C75EC3" w:rsidRDefault="009F5848" w:rsidP="00C75EC3">
            <w:pPr>
              <w:autoSpaceDE w:val="0"/>
              <w:autoSpaceDN w:val="0"/>
              <w:adjustRightInd w:val="0"/>
              <w:rPr>
                <w:rFonts w:eastAsia="Times New Roman"/>
                <w:noProof/>
                <w:sz w:val="22"/>
                <w:szCs w:val="22"/>
                <w:lang w:val="lt-LT" w:eastAsia="lt-LT" w:bidi="lt-LT"/>
              </w:rPr>
            </w:pPr>
          </w:p>
          <w:p w14:paraId="15C91C26" w14:textId="77777777" w:rsidR="009F5848" w:rsidRPr="00C75EC3" w:rsidRDefault="009F5848" w:rsidP="00C75EC3">
            <w:pPr>
              <w:autoSpaceDE w:val="0"/>
              <w:autoSpaceDN w:val="0"/>
              <w:adjustRightInd w:val="0"/>
              <w:rPr>
                <w:rFonts w:eastAsia="Times New Roman"/>
                <w:noProof/>
                <w:sz w:val="22"/>
                <w:szCs w:val="22"/>
                <w:lang w:val="lt-LT" w:eastAsia="lt-LT" w:bidi="lt-LT"/>
              </w:rPr>
            </w:pPr>
          </w:p>
          <w:p w14:paraId="5F49885D" w14:textId="77777777" w:rsidR="009F5848" w:rsidRPr="00C75EC3" w:rsidRDefault="009F5848" w:rsidP="00C75EC3">
            <w:pPr>
              <w:autoSpaceDE w:val="0"/>
              <w:autoSpaceDN w:val="0"/>
              <w:adjustRightInd w:val="0"/>
              <w:rPr>
                <w:rFonts w:eastAsia="Times New Roman"/>
                <w:noProof/>
                <w:sz w:val="22"/>
                <w:szCs w:val="22"/>
                <w:lang w:val="lt-LT" w:eastAsia="lt-LT" w:bidi="lt-LT"/>
              </w:rPr>
            </w:pPr>
          </w:p>
          <w:p w14:paraId="23013838"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 New Roman"/>
                <w:noProof/>
                <w:sz w:val="22"/>
                <w:szCs w:val="22"/>
                <w:lang w:val="lt-LT" w:eastAsia="lt-LT" w:bidi="lt-LT"/>
              </w:rPr>
              <w:t>Reti</w:t>
            </w:r>
          </w:p>
          <w:p w14:paraId="00D68D6C" w14:textId="77777777" w:rsidR="009F5848" w:rsidRPr="00C75EC3" w:rsidRDefault="009F5848" w:rsidP="00C75EC3">
            <w:pPr>
              <w:autoSpaceDE w:val="0"/>
              <w:autoSpaceDN w:val="0"/>
              <w:adjustRightInd w:val="0"/>
              <w:rPr>
                <w:rFonts w:eastAsia="Times New Roman"/>
                <w:noProof/>
                <w:sz w:val="22"/>
                <w:szCs w:val="22"/>
                <w:lang w:val="lt-LT" w:eastAsia="lt-LT" w:bidi="lt-LT"/>
              </w:rPr>
            </w:pPr>
          </w:p>
          <w:p w14:paraId="41FC09E1" w14:textId="77777777" w:rsidR="009F5848" w:rsidRPr="00C75EC3" w:rsidRDefault="009F5848" w:rsidP="00C75EC3">
            <w:pPr>
              <w:autoSpaceDE w:val="0"/>
              <w:autoSpaceDN w:val="0"/>
              <w:adjustRightInd w:val="0"/>
              <w:rPr>
                <w:rFonts w:eastAsia="Times New Roman"/>
                <w:noProof/>
                <w:sz w:val="22"/>
                <w:szCs w:val="22"/>
                <w:lang w:val="lt-LT" w:eastAsia="lt-LT" w:bidi="lt-LT"/>
              </w:rPr>
            </w:pPr>
          </w:p>
          <w:p w14:paraId="7D13C591" w14:textId="77777777" w:rsidR="009F5848" w:rsidRPr="00C75EC3" w:rsidRDefault="009F5848" w:rsidP="00C75EC3">
            <w:pPr>
              <w:autoSpaceDE w:val="0"/>
              <w:autoSpaceDN w:val="0"/>
              <w:adjustRightInd w:val="0"/>
              <w:rPr>
                <w:rFonts w:eastAsia="Times New Roman"/>
                <w:noProof/>
                <w:sz w:val="22"/>
                <w:szCs w:val="22"/>
                <w:lang w:val="lt-LT" w:eastAsia="lt-LT" w:bidi="lt-LT"/>
              </w:rPr>
            </w:pPr>
          </w:p>
          <w:p w14:paraId="7A8F4641"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 New Roman"/>
                <w:noProof/>
                <w:sz w:val="22"/>
                <w:szCs w:val="22"/>
                <w:lang w:val="lt-LT" w:eastAsia="lt-LT" w:bidi="lt-LT"/>
              </w:rPr>
              <w:t>Dažnis nežinomas</w:t>
            </w:r>
          </w:p>
        </w:tc>
        <w:tc>
          <w:tcPr>
            <w:tcW w:w="4644" w:type="dxa"/>
            <w:shd w:val="clear" w:color="auto" w:fill="auto"/>
          </w:tcPr>
          <w:p w14:paraId="6587321C"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Išbėrimas (įskaitant makulinį, makulopapulinį, papulinį, eriteminį ir niežtintįjį išbėrimą), niež</w:t>
            </w:r>
            <w:r w:rsidR="00826EE7">
              <w:rPr>
                <w:rFonts w:eastAsia="TimesNewRoman"/>
                <w:sz w:val="22"/>
                <w:szCs w:val="22"/>
                <w:lang w:val="lt-LT" w:eastAsia="en-US"/>
              </w:rPr>
              <w:t>ėjimas</w:t>
            </w:r>
          </w:p>
          <w:p w14:paraId="0E9A37D0"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Angioneurozinė edema, generalizuotas išbėrimas, alerginis dermatitas, dilgėlinė, egzema, eritema, hiperhidrozė, naktinis prakaitavimas, alopecija, spuogai, odos sausumas, nagų pigmentacija</w:t>
            </w:r>
          </w:p>
          <w:p w14:paraId="4D5BDFA8"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DRESS, Stivenso-Džonsono</w:t>
            </w:r>
            <w:r w:rsidR="006C5BE0">
              <w:rPr>
                <w:rFonts w:eastAsia="TimesNewRoman"/>
                <w:sz w:val="22"/>
                <w:szCs w:val="22"/>
                <w:lang w:val="lt-LT" w:eastAsia="en-US"/>
              </w:rPr>
              <w:t xml:space="preserve"> (</w:t>
            </w:r>
            <w:r w:rsidR="006C5BE0" w:rsidRPr="006C5BE0">
              <w:rPr>
                <w:rFonts w:eastAsia="TimesNewRoman"/>
                <w:i/>
                <w:sz w:val="22"/>
                <w:szCs w:val="22"/>
                <w:lang w:val="lt-LT" w:eastAsia="en-US"/>
              </w:rPr>
              <w:t>Stevens-Johnson</w:t>
            </w:r>
            <w:r w:rsidR="006C5BE0">
              <w:rPr>
                <w:rFonts w:eastAsia="TimesNewRoman"/>
                <w:sz w:val="22"/>
                <w:szCs w:val="22"/>
                <w:lang w:val="lt-LT" w:eastAsia="en-US"/>
              </w:rPr>
              <w:t>)</w:t>
            </w:r>
            <w:r w:rsidRPr="00C75EC3">
              <w:rPr>
                <w:rFonts w:eastAsia="TimesNewRoman"/>
                <w:sz w:val="22"/>
                <w:szCs w:val="22"/>
                <w:lang w:val="lt-LT" w:eastAsia="en-US"/>
              </w:rPr>
              <w:t xml:space="preserve"> sindromas, daugiaformė eritema, dermatitas, seborėjinis dermatitas, odos pažaida, nenormalus odos sausumas</w:t>
            </w:r>
          </w:p>
          <w:p w14:paraId="58A0199B"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NewRoman"/>
                <w:sz w:val="22"/>
                <w:szCs w:val="22"/>
                <w:lang w:val="lt-LT" w:eastAsia="en-US"/>
              </w:rPr>
              <w:t>Toksinė epidermio nekrolizė, ūminė generalizuota egzanteminė pustuliozė</w:t>
            </w:r>
          </w:p>
        </w:tc>
      </w:tr>
      <w:tr w:rsidR="009F5848" w:rsidRPr="00C75EC3" w14:paraId="646A6F89" w14:textId="77777777" w:rsidTr="00C75EC3">
        <w:tc>
          <w:tcPr>
            <w:tcW w:w="9288" w:type="dxa"/>
            <w:gridSpan w:val="2"/>
            <w:shd w:val="clear" w:color="auto" w:fill="auto"/>
          </w:tcPr>
          <w:p w14:paraId="40E9CD01"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ascii="TimesNewRoman,Italic" w:hAnsi="TimesNewRoman,Italic" w:cs="TimesNewRoman,Italic"/>
                <w:i/>
                <w:iCs/>
                <w:sz w:val="22"/>
                <w:szCs w:val="22"/>
                <w:lang w:val="lt-LT" w:eastAsia="en-US"/>
              </w:rPr>
              <w:t>Skeleto, raumenų ir jungiamojo audinio sutrikimai</w:t>
            </w:r>
          </w:p>
        </w:tc>
      </w:tr>
      <w:tr w:rsidR="009F5848" w:rsidRPr="00C75EC3" w14:paraId="0C8C59BE" w14:textId="77777777" w:rsidTr="00C75EC3">
        <w:tc>
          <w:tcPr>
            <w:tcW w:w="4644" w:type="dxa"/>
            <w:shd w:val="clear" w:color="auto" w:fill="auto"/>
          </w:tcPr>
          <w:p w14:paraId="6245C23E"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 New Roman"/>
                <w:noProof/>
                <w:sz w:val="22"/>
                <w:szCs w:val="22"/>
                <w:lang w:val="lt-LT" w:eastAsia="lt-LT" w:bidi="lt-LT"/>
              </w:rPr>
              <w:t>Nedažni</w:t>
            </w:r>
          </w:p>
          <w:p w14:paraId="2939BECF" w14:textId="77777777" w:rsidR="009F5848" w:rsidRPr="00C75EC3" w:rsidRDefault="009F5848" w:rsidP="00C75EC3">
            <w:pPr>
              <w:autoSpaceDE w:val="0"/>
              <w:autoSpaceDN w:val="0"/>
              <w:adjustRightInd w:val="0"/>
              <w:rPr>
                <w:rFonts w:eastAsia="Times New Roman"/>
                <w:noProof/>
                <w:sz w:val="22"/>
                <w:szCs w:val="22"/>
                <w:lang w:val="lt-LT" w:eastAsia="lt-LT" w:bidi="lt-LT"/>
              </w:rPr>
            </w:pPr>
          </w:p>
          <w:p w14:paraId="2759CF76" w14:textId="77777777" w:rsidR="009F5848" w:rsidRPr="00C75EC3" w:rsidRDefault="009F5848" w:rsidP="00C75EC3">
            <w:pPr>
              <w:autoSpaceDE w:val="0"/>
              <w:autoSpaceDN w:val="0"/>
              <w:adjustRightInd w:val="0"/>
              <w:rPr>
                <w:rFonts w:eastAsia="Times New Roman"/>
                <w:noProof/>
                <w:sz w:val="22"/>
                <w:szCs w:val="22"/>
                <w:lang w:val="lt-LT" w:eastAsia="lt-LT" w:bidi="lt-LT"/>
              </w:rPr>
            </w:pPr>
          </w:p>
          <w:p w14:paraId="3B78A78D" w14:textId="77777777" w:rsidR="009F5848" w:rsidRPr="00C75EC3" w:rsidRDefault="009F5848" w:rsidP="00C75EC3">
            <w:pPr>
              <w:autoSpaceDE w:val="0"/>
              <w:autoSpaceDN w:val="0"/>
              <w:adjustRightInd w:val="0"/>
              <w:rPr>
                <w:rFonts w:eastAsia="Times New Roman"/>
                <w:noProof/>
                <w:sz w:val="22"/>
                <w:szCs w:val="22"/>
                <w:lang w:val="lt-LT" w:eastAsia="lt-LT" w:bidi="lt-LT"/>
              </w:rPr>
            </w:pPr>
          </w:p>
          <w:p w14:paraId="1EC0A337" w14:textId="77777777" w:rsidR="009F5848" w:rsidRPr="00C75EC3" w:rsidRDefault="003B5E69" w:rsidP="00C75EC3">
            <w:pPr>
              <w:autoSpaceDE w:val="0"/>
              <w:autoSpaceDN w:val="0"/>
              <w:adjustRightInd w:val="0"/>
              <w:rPr>
                <w:rFonts w:eastAsia="Times New Roman"/>
                <w:noProof/>
                <w:sz w:val="22"/>
                <w:szCs w:val="22"/>
                <w:lang w:val="lt-LT" w:eastAsia="lt-LT" w:bidi="lt-LT"/>
              </w:rPr>
            </w:pPr>
            <w:r>
              <w:rPr>
                <w:rFonts w:eastAsia="Times New Roman"/>
                <w:noProof/>
                <w:sz w:val="22"/>
                <w:szCs w:val="22"/>
                <w:lang w:val="lt-LT" w:eastAsia="lt-LT" w:bidi="lt-LT"/>
              </w:rPr>
              <w:t>Reti</w:t>
            </w:r>
          </w:p>
          <w:p w14:paraId="5F424A66" w14:textId="77777777" w:rsidR="009F5848" w:rsidRPr="00C75EC3" w:rsidRDefault="009F5848" w:rsidP="00C75EC3">
            <w:pPr>
              <w:autoSpaceDE w:val="0"/>
              <w:autoSpaceDN w:val="0"/>
              <w:adjustRightInd w:val="0"/>
              <w:rPr>
                <w:rFonts w:eastAsia="Times New Roman"/>
                <w:noProof/>
                <w:sz w:val="22"/>
                <w:szCs w:val="22"/>
                <w:lang w:val="lt-LT" w:eastAsia="lt-LT" w:bidi="lt-LT"/>
              </w:rPr>
            </w:pPr>
          </w:p>
        </w:tc>
        <w:tc>
          <w:tcPr>
            <w:tcW w:w="4644" w:type="dxa"/>
            <w:shd w:val="clear" w:color="auto" w:fill="auto"/>
          </w:tcPr>
          <w:p w14:paraId="0D2D0798"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Mialgija, osteonekrozė, raumenų spazmai, raumenų silpnumas, artralgija, galūnės skausmas, osteoporozė, kreatinfosfokinazės padaugėjimas kraujyje</w:t>
            </w:r>
          </w:p>
          <w:p w14:paraId="13891236"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NewRoman"/>
                <w:sz w:val="22"/>
                <w:szCs w:val="22"/>
                <w:lang w:val="lt-LT" w:eastAsia="en-US"/>
              </w:rPr>
              <w:t>Skeleto raumenų sąstingis, artritas, sąnarių sąstingis</w:t>
            </w:r>
          </w:p>
        </w:tc>
      </w:tr>
      <w:tr w:rsidR="009F5848" w:rsidRPr="00C75EC3" w14:paraId="74CBB9F0" w14:textId="77777777" w:rsidTr="00C75EC3">
        <w:tc>
          <w:tcPr>
            <w:tcW w:w="9288" w:type="dxa"/>
            <w:gridSpan w:val="2"/>
            <w:shd w:val="clear" w:color="auto" w:fill="auto"/>
          </w:tcPr>
          <w:p w14:paraId="7F5B835E"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ascii="TimesNewRoman,Italic" w:hAnsi="TimesNewRoman,Italic" w:cs="TimesNewRoman,Italic"/>
                <w:i/>
                <w:iCs/>
                <w:sz w:val="22"/>
                <w:szCs w:val="22"/>
                <w:lang w:val="lt-LT" w:eastAsia="en-US"/>
              </w:rPr>
              <w:t>Inkstų ir šlapimo takų sutrikimai</w:t>
            </w:r>
          </w:p>
        </w:tc>
      </w:tr>
      <w:tr w:rsidR="009F5848" w:rsidRPr="00C75EC3" w14:paraId="7F3E4CD9" w14:textId="77777777" w:rsidTr="00C75EC3">
        <w:tc>
          <w:tcPr>
            <w:tcW w:w="4644" w:type="dxa"/>
            <w:shd w:val="clear" w:color="auto" w:fill="auto"/>
          </w:tcPr>
          <w:p w14:paraId="46A911B7"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 New Roman"/>
                <w:noProof/>
                <w:sz w:val="22"/>
                <w:szCs w:val="22"/>
                <w:lang w:val="lt-LT" w:eastAsia="lt-LT" w:bidi="lt-LT"/>
              </w:rPr>
              <w:t>Nedažni</w:t>
            </w:r>
          </w:p>
          <w:p w14:paraId="5F19781D" w14:textId="77777777" w:rsidR="009F5848" w:rsidRPr="00C75EC3" w:rsidRDefault="009F5848" w:rsidP="00C75EC3">
            <w:pPr>
              <w:autoSpaceDE w:val="0"/>
              <w:autoSpaceDN w:val="0"/>
              <w:adjustRightInd w:val="0"/>
              <w:rPr>
                <w:rFonts w:eastAsia="Times New Roman"/>
                <w:noProof/>
                <w:sz w:val="22"/>
                <w:szCs w:val="22"/>
                <w:lang w:val="lt-LT" w:eastAsia="lt-LT" w:bidi="lt-LT"/>
              </w:rPr>
            </w:pPr>
          </w:p>
          <w:p w14:paraId="6F21DA2E" w14:textId="77777777" w:rsidR="009F5848" w:rsidRPr="00C75EC3" w:rsidRDefault="009F5848" w:rsidP="00C75EC3">
            <w:pPr>
              <w:autoSpaceDE w:val="0"/>
              <w:autoSpaceDN w:val="0"/>
              <w:adjustRightInd w:val="0"/>
              <w:rPr>
                <w:rFonts w:eastAsia="Times New Roman"/>
                <w:noProof/>
                <w:sz w:val="22"/>
                <w:szCs w:val="22"/>
                <w:lang w:val="lt-LT" w:eastAsia="lt-LT" w:bidi="lt-LT"/>
              </w:rPr>
            </w:pPr>
          </w:p>
          <w:p w14:paraId="00BC1B43" w14:textId="77777777" w:rsidR="009F5848" w:rsidRPr="00C75EC3" w:rsidRDefault="009F5848" w:rsidP="00C75EC3">
            <w:pPr>
              <w:autoSpaceDE w:val="0"/>
              <w:autoSpaceDN w:val="0"/>
              <w:adjustRightInd w:val="0"/>
              <w:rPr>
                <w:rFonts w:eastAsia="Times New Roman"/>
                <w:noProof/>
                <w:sz w:val="22"/>
                <w:szCs w:val="22"/>
                <w:lang w:val="lt-LT" w:eastAsia="lt-LT" w:bidi="lt-LT"/>
              </w:rPr>
            </w:pPr>
          </w:p>
          <w:p w14:paraId="4B6E9941" w14:textId="77777777" w:rsidR="009F5848" w:rsidRPr="00C75EC3" w:rsidRDefault="009F5848" w:rsidP="00C75EC3">
            <w:pPr>
              <w:autoSpaceDE w:val="0"/>
              <w:autoSpaceDN w:val="0"/>
              <w:adjustRightInd w:val="0"/>
              <w:rPr>
                <w:rFonts w:eastAsia="Times New Roman"/>
                <w:noProof/>
                <w:sz w:val="22"/>
                <w:szCs w:val="22"/>
                <w:lang w:val="lt-LT" w:eastAsia="lt-LT" w:bidi="lt-LT"/>
              </w:rPr>
            </w:pPr>
          </w:p>
          <w:p w14:paraId="6CFA2A21"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 New Roman"/>
                <w:noProof/>
                <w:sz w:val="22"/>
                <w:szCs w:val="22"/>
                <w:lang w:val="lt-LT" w:eastAsia="lt-LT" w:bidi="lt-LT"/>
              </w:rPr>
              <w:t>Reti</w:t>
            </w:r>
          </w:p>
        </w:tc>
        <w:tc>
          <w:tcPr>
            <w:tcW w:w="4644" w:type="dxa"/>
            <w:shd w:val="clear" w:color="auto" w:fill="auto"/>
          </w:tcPr>
          <w:p w14:paraId="542F1F49"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ūminis inkstų funkcijos nepakankamumas, inkstų lėtinė liga, inkstų akmenligė, kreatinino padaugėjimas kraujyje, proteinurija, bilirubinurija, dizurija, šlapinimasis naktį, dažnas šlapinimasis</w:t>
            </w:r>
          </w:p>
          <w:p w14:paraId="2ED0118E"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NewRoman"/>
                <w:sz w:val="22"/>
                <w:szCs w:val="22"/>
                <w:lang w:val="lt-LT" w:eastAsia="en-US"/>
              </w:rPr>
              <w:t>Kreatinino klirenso per inkstus sumažėjimas</w:t>
            </w:r>
          </w:p>
        </w:tc>
      </w:tr>
      <w:tr w:rsidR="009F5848" w:rsidRPr="00C75EC3" w14:paraId="5632E9D3" w14:textId="77777777" w:rsidTr="00C75EC3">
        <w:tc>
          <w:tcPr>
            <w:tcW w:w="9288" w:type="dxa"/>
            <w:gridSpan w:val="2"/>
            <w:shd w:val="clear" w:color="auto" w:fill="auto"/>
          </w:tcPr>
          <w:p w14:paraId="14171FFD"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ascii="TimesNewRoman,Italic" w:hAnsi="TimesNewRoman,Italic" w:cs="TimesNewRoman,Italic"/>
                <w:i/>
                <w:iCs/>
                <w:sz w:val="22"/>
                <w:szCs w:val="22"/>
                <w:lang w:val="lt-LT" w:eastAsia="en-US"/>
              </w:rPr>
              <w:lastRenderedPageBreak/>
              <w:t>Lytinės sistemos ir krūties sutrikimai</w:t>
            </w:r>
          </w:p>
        </w:tc>
      </w:tr>
      <w:tr w:rsidR="009F5848" w:rsidRPr="00C75EC3" w14:paraId="79A16F27" w14:textId="77777777" w:rsidTr="00C75EC3">
        <w:tc>
          <w:tcPr>
            <w:tcW w:w="4644" w:type="dxa"/>
            <w:shd w:val="clear" w:color="auto" w:fill="auto"/>
          </w:tcPr>
          <w:p w14:paraId="7A413757"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 New Roman"/>
                <w:noProof/>
                <w:sz w:val="22"/>
                <w:szCs w:val="22"/>
                <w:lang w:val="lt-LT" w:eastAsia="lt-LT" w:bidi="lt-LT"/>
              </w:rPr>
              <w:t>Nedažni</w:t>
            </w:r>
          </w:p>
        </w:tc>
        <w:tc>
          <w:tcPr>
            <w:tcW w:w="4644" w:type="dxa"/>
            <w:shd w:val="clear" w:color="auto" w:fill="auto"/>
          </w:tcPr>
          <w:p w14:paraId="32F4EFD4"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NewRoman"/>
                <w:sz w:val="22"/>
                <w:szCs w:val="22"/>
                <w:lang w:val="lt-LT" w:eastAsia="en-US"/>
              </w:rPr>
              <w:t>Erekcijos sutrikimas, ginekomastija</w:t>
            </w:r>
          </w:p>
        </w:tc>
      </w:tr>
      <w:tr w:rsidR="009F5848" w:rsidRPr="00C75EC3" w14:paraId="3E23BCE9" w14:textId="77777777" w:rsidTr="00C75EC3">
        <w:tc>
          <w:tcPr>
            <w:tcW w:w="9288" w:type="dxa"/>
            <w:gridSpan w:val="2"/>
            <w:shd w:val="clear" w:color="auto" w:fill="auto"/>
          </w:tcPr>
          <w:p w14:paraId="413234E3"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ascii="TimesNewRoman,Italic" w:hAnsi="TimesNewRoman,Italic" w:cs="TimesNewRoman,Italic"/>
                <w:i/>
                <w:iCs/>
                <w:sz w:val="22"/>
                <w:szCs w:val="22"/>
                <w:lang w:val="lt-LT" w:eastAsia="en-US"/>
              </w:rPr>
              <w:t>Bendrieji sutrikimai ir vartojimo vietos pažeidimai</w:t>
            </w:r>
          </w:p>
        </w:tc>
      </w:tr>
      <w:tr w:rsidR="009F5848" w:rsidRPr="00C75EC3" w14:paraId="0BE21B1B" w14:textId="77777777" w:rsidTr="00C75EC3">
        <w:tc>
          <w:tcPr>
            <w:tcW w:w="4644" w:type="dxa"/>
            <w:shd w:val="clear" w:color="auto" w:fill="auto"/>
          </w:tcPr>
          <w:p w14:paraId="7C130551"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Dažni</w:t>
            </w:r>
          </w:p>
          <w:p w14:paraId="00BFE9FE"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Nedažni</w:t>
            </w:r>
          </w:p>
          <w:p w14:paraId="5D806899" w14:textId="77777777" w:rsidR="009F5848" w:rsidRPr="00C75EC3" w:rsidRDefault="009F5848" w:rsidP="00C75EC3">
            <w:pPr>
              <w:autoSpaceDE w:val="0"/>
              <w:autoSpaceDN w:val="0"/>
              <w:adjustRightInd w:val="0"/>
              <w:rPr>
                <w:rFonts w:eastAsia="TimesNewRoman"/>
                <w:sz w:val="22"/>
                <w:szCs w:val="22"/>
                <w:lang w:val="lt-LT" w:eastAsia="en-US"/>
              </w:rPr>
            </w:pPr>
          </w:p>
          <w:p w14:paraId="22399FAF" w14:textId="77777777" w:rsidR="009F5848" w:rsidRPr="00C75EC3" w:rsidRDefault="009F5848" w:rsidP="00C75EC3">
            <w:pPr>
              <w:autoSpaceDE w:val="0"/>
              <w:autoSpaceDN w:val="0"/>
              <w:adjustRightInd w:val="0"/>
              <w:rPr>
                <w:rFonts w:eastAsia="TimesNewRoman"/>
                <w:sz w:val="22"/>
                <w:szCs w:val="22"/>
                <w:lang w:val="lt-LT" w:eastAsia="en-US"/>
              </w:rPr>
            </w:pPr>
          </w:p>
          <w:p w14:paraId="17AFC34F"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Reti</w:t>
            </w:r>
          </w:p>
          <w:p w14:paraId="4CE47328" w14:textId="77777777" w:rsidR="009F5848" w:rsidRPr="00C75EC3" w:rsidRDefault="009F5848" w:rsidP="00C75EC3">
            <w:pPr>
              <w:autoSpaceDE w:val="0"/>
              <w:autoSpaceDN w:val="0"/>
              <w:adjustRightInd w:val="0"/>
              <w:rPr>
                <w:rFonts w:eastAsia="Times New Roman"/>
                <w:noProof/>
                <w:sz w:val="22"/>
                <w:szCs w:val="22"/>
                <w:lang w:val="lt-LT" w:eastAsia="lt-LT" w:bidi="lt-LT"/>
              </w:rPr>
            </w:pPr>
          </w:p>
        </w:tc>
        <w:tc>
          <w:tcPr>
            <w:tcW w:w="4644" w:type="dxa"/>
            <w:shd w:val="clear" w:color="auto" w:fill="auto"/>
          </w:tcPr>
          <w:p w14:paraId="7322ADFA"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Astenija, nuovargis</w:t>
            </w:r>
          </w:p>
          <w:p w14:paraId="147957F8"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 xml:space="preserve">Karščiavimas, krūtinės skausmas, periferinė edema, negalavimas, karščio pojūtis, dirglumas, skausmas </w:t>
            </w:r>
          </w:p>
          <w:p w14:paraId="0E307A39" w14:textId="77777777" w:rsidR="009F5848" w:rsidRPr="00C75EC3" w:rsidRDefault="009F5848" w:rsidP="00C75EC3">
            <w:pPr>
              <w:autoSpaceDE w:val="0"/>
              <w:autoSpaceDN w:val="0"/>
              <w:adjustRightInd w:val="0"/>
              <w:rPr>
                <w:rFonts w:eastAsia="TimesNewRoman"/>
                <w:sz w:val="22"/>
                <w:szCs w:val="22"/>
                <w:lang w:val="lt-LT" w:eastAsia="en-US"/>
              </w:rPr>
            </w:pPr>
            <w:r w:rsidRPr="00C75EC3">
              <w:rPr>
                <w:rFonts w:eastAsia="TimesNewRoman"/>
                <w:sz w:val="22"/>
                <w:szCs w:val="22"/>
                <w:lang w:val="lt-LT" w:eastAsia="en-US"/>
              </w:rPr>
              <w:t>Šaltkrėtis, nenormalūs jutimai, odos ir gleivinių</w:t>
            </w:r>
          </w:p>
          <w:p w14:paraId="74CD87DD" w14:textId="77777777" w:rsidR="009F5848" w:rsidRPr="00C75EC3" w:rsidRDefault="009F5848" w:rsidP="00C75EC3">
            <w:pPr>
              <w:autoSpaceDE w:val="0"/>
              <w:autoSpaceDN w:val="0"/>
              <w:adjustRightInd w:val="0"/>
              <w:rPr>
                <w:rFonts w:eastAsia="Times New Roman"/>
                <w:noProof/>
                <w:sz w:val="22"/>
                <w:szCs w:val="22"/>
                <w:lang w:val="lt-LT" w:eastAsia="lt-LT" w:bidi="lt-LT"/>
              </w:rPr>
            </w:pPr>
            <w:r w:rsidRPr="00C75EC3">
              <w:rPr>
                <w:rFonts w:eastAsia="TimesNewRoman"/>
                <w:sz w:val="22"/>
                <w:szCs w:val="22"/>
                <w:lang w:val="lt-LT" w:eastAsia="en-US"/>
              </w:rPr>
              <w:t>sausumas</w:t>
            </w:r>
          </w:p>
        </w:tc>
      </w:tr>
    </w:tbl>
    <w:p w14:paraId="7C368AFC" w14:textId="77777777" w:rsidR="00E13F8A" w:rsidRPr="004509B9" w:rsidRDefault="00E13F8A" w:rsidP="009F5848">
      <w:pPr>
        <w:autoSpaceDE w:val="0"/>
        <w:autoSpaceDN w:val="0"/>
        <w:adjustRightInd w:val="0"/>
        <w:rPr>
          <w:rFonts w:eastAsia="TimesNewRoman"/>
          <w:sz w:val="22"/>
          <w:szCs w:val="22"/>
          <w:lang w:val="lt-LT" w:eastAsia="en-US"/>
        </w:rPr>
      </w:pPr>
    </w:p>
    <w:p w14:paraId="537EDDE2" w14:textId="77777777" w:rsidR="009F5848" w:rsidRPr="0081572D" w:rsidRDefault="009F5848" w:rsidP="009F5848">
      <w:pPr>
        <w:autoSpaceDE w:val="0"/>
        <w:autoSpaceDN w:val="0"/>
        <w:adjustRightInd w:val="0"/>
        <w:rPr>
          <w:rFonts w:eastAsia="TimesNewRoman"/>
          <w:sz w:val="22"/>
          <w:szCs w:val="22"/>
          <w:u w:val="single"/>
          <w:lang w:val="lt-LT" w:eastAsia="en-US"/>
        </w:rPr>
      </w:pPr>
      <w:r w:rsidRPr="0081572D">
        <w:rPr>
          <w:rFonts w:eastAsia="TimesNewRoman"/>
          <w:sz w:val="22"/>
          <w:szCs w:val="22"/>
          <w:u w:val="single"/>
          <w:lang w:val="lt-LT" w:eastAsia="en-US"/>
        </w:rPr>
        <w:t>Nepageidaujamų reakcijų apibūdinimas</w:t>
      </w:r>
    </w:p>
    <w:p w14:paraId="4512F627" w14:textId="77777777" w:rsidR="009F5848" w:rsidRPr="004509B9" w:rsidRDefault="009F5848" w:rsidP="009F5848">
      <w:pPr>
        <w:autoSpaceDE w:val="0"/>
        <w:autoSpaceDN w:val="0"/>
        <w:adjustRightInd w:val="0"/>
        <w:rPr>
          <w:rFonts w:eastAsia="TimesNewRoman"/>
          <w:i/>
          <w:iCs/>
          <w:sz w:val="22"/>
          <w:szCs w:val="22"/>
          <w:lang w:val="lt-LT" w:eastAsia="en-US"/>
        </w:rPr>
      </w:pPr>
    </w:p>
    <w:p w14:paraId="037A01D9" w14:textId="77777777" w:rsidR="009F5848" w:rsidRPr="004509B9" w:rsidRDefault="009F5848" w:rsidP="009F5848">
      <w:pPr>
        <w:autoSpaceDE w:val="0"/>
        <w:autoSpaceDN w:val="0"/>
        <w:adjustRightInd w:val="0"/>
        <w:rPr>
          <w:rFonts w:eastAsia="TimesNewRoman"/>
          <w:i/>
          <w:iCs/>
          <w:sz w:val="22"/>
          <w:szCs w:val="22"/>
          <w:lang w:val="lt-LT" w:eastAsia="en-US"/>
        </w:rPr>
      </w:pPr>
      <w:r w:rsidRPr="004509B9">
        <w:rPr>
          <w:rFonts w:eastAsia="TimesNewRoman"/>
          <w:i/>
          <w:iCs/>
          <w:sz w:val="22"/>
          <w:szCs w:val="22"/>
          <w:lang w:val="lt-LT" w:eastAsia="en-US"/>
        </w:rPr>
        <w:t>Išbėrimas</w:t>
      </w:r>
    </w:p>
    <w:p w14:paraId="7AA5A6D6"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Klinikinių tyrimų metu registruotas išbėrimas dažniausiai buvo lengvas ar vidutinio sunkumo, dažniausiai pasireiškė per pirmąsias keturias gydymo savaites ir išnyko toliau dozuojant vaistinį preparatą. Pasireiškus sunkiai odos reakcijai, žr. 4.4 skyrių. </w:t>
      </w:r>
    </w:p>
    <w:p w14:paraId="3FFE6B1C" w14:textId="77777777" w:rsidR="009F5848" w:rsidRPr="004509B9" w:rsidRDefault="009F5848" w:rsidP="009F5848">
      <w:pPr>
        <w:autoSpaceDE w:val="0"/>
        <w:autoSpaceDN w:val="0"/>
        <w:adjustRightInd w:val="0"/>
        <w:rPr>
          <w:rFonts w:eastAsia="TimesNewRoman"/>
          <w:sz w:val="22"/>
          <w:szCs w:val="22"/>
          <w:lang w:val="lt-LT" w:eastAsia="en-US"/>
        </w:rPr>
      </w:pPr>
    </w:p>
    <w:p w14:paraId="1E5FE552"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Klinikinių raltegraviro tyrimų su gydymą gavusiais pacientais programos metu buvo pastebėta, kad išbėrimas, nepriklausomai nuo jo priežasties, dažniau pasitaikydavo taikant gydymo planus su darunaviru/ritonaviru ir raltegraviru, palyginus su gydymo planais su darunaviru /ritonaviru be raltegraviro, ar su raltegraviru be darunaviro/ritonaviro. Išbėrimo, kurį tyrėjai susiejo su vaistų vartojimu, dažnis buvo panašus. Pagal ekspoziciją koreguotas išbėrimo dažnis (dėl visų priežasčių) 100 pacientų-metų buvo atitinkamai 10,9, 4,2 ir 3,8, o su vaistų vartojimu susijusio išbėrimo dažnis 100 pacientų-metų buvo atitinkamai 2,4, 1,1 ir 2,3. Klinikinių tyrimų metu stebėtas išbėrimas buvo nuo nesunkaus iki vidutinio sunkumo ir dėl jo nereikėjo nutraukti gydymo (žr. 4.4 skyrių).</w:t>
      </w:r>
    </w:p>
    <w:p w14:paraId="5FED2D97" w14:textId="77777777" w:rsidR="009F5848" w:rsidRPr="004509B9" w:rsidRDefault="009F5848" w:rsidP="009F5848">
      <w:pPr>
        <w:autoSpaceDE w:val="0"/>
        <w:autoSpaceDN w:val="0"/>
        <w:adjustRightInd w:val="0"/>
        <w:rPr>
          <w:rFonts w:eastAsia="TimesNewRoman"/>
          <w:i/>
          <w:iCs/>
          <w:sz w:val="22"/>
          <w:szCs w:val="22"/>
          <w:lang w:val="lt-LT" w:eastAsia="en-US"/>
        </w:rPr>
      </w:pPr>
    </w:p>
    <w:p w14:paraId="28FAD98A" w14:textId="77777777" w:rsidR="009F5848" w:rsidRPr="004509B9" w:rsidRDefault="009F5848" w:rsidP="009F5848">
      <w:pPr>
        <w:autoSpaceDE w:val="0"/>
        <w:autoSpaceDN w:val="0"/>
        <w:adjustRightInd w:val="0"/>
        <w:rPr>
          <w:rFonts w:eastAsia="TimesNewRoman"/>
          <w:i/>
          <w:iCs/>
          <w:sz w:val="22"/>
          <w:szCs w:val="22"/>
          <w:lang w:val="lt-LT" w:eastAsia="en-US"/>
        </w:rPr>
      </w:pPr>
      <w:r w:rsidRPr="004509B9">
        <w:rPr>
          <w:rFonts w:eastAsia="TimesNewRoman"/>
          <w:i/>
          <w:iCs/>
          <w:sz w:val="22"/>
          <w:szCs w:val="22"/>
          <w:lang w:val="lt-LT" w:eastAsia="en-US"/>
        </w:rPr>
        <w:t>Metabolizmo rodmenys</w:t>
      </w:r>
    </w:p>
    <w:p w14:paraId="3A785B40"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Gydymo antiretrovirusiniais preparatais metu gali padidėti svoris ir lipidų bei gliukozės koncentracijos kraujyje (žr. 4.4 skyrių).</w:t>
      </w:r>
    </w:p>
    <w:p w14:paraId="3651711B" w14:textId="77777777" w:rsidR="009F5848" w:rsidRPr="004509B9" w:rsidRDefault="009F5848" w:rsidP="009F5848">
      <w:pPr>
        <w:autoSpaceDE w:val="0"/>
        <w:autoSpaceDN w:val="0"/>
        <w:adjustRightInd w:val="0"/>
        <w:rPr>
          <w:rFonts w:eastAsia="TimesNewRoman"/>
          <w:sz w:val="22"/>
          <w:szCs w:val="22"/>
          <w:lang w:val="lt-LT" w:eastAsia="en-US"/>
        </w:rPr>
      </w:pPr>
    </w:p>
    <w:p w14:paraId="6D6CDDE4" w14:textId="77777777" w:rsidR="009F5848" w:rsidRPr="004509B9" w:rsidRDefault="009F5848" w:rsidP="009F5848">
      <w:pPr>
        <w:autoSpaceDE w:val="0"/>
        <w:autoSpaceDN w:val="0"/>
        <w:adjustRightInd w:val="0"/>
        <w:rPr>
          <w:rFonts w:eastAsia="TimesNewRoman"/>
          <w:i/>
          <w:iCs/>
          <w:sz w:val="22"/>
          <w:szCs w:val="22"/>
          <w:lang w:val="lt-LT" w:eastAsia="en-US"/>
        </w:rPr>
      </w:pPr>
      <w:r w:rsidRPr="004509B9">
        <w:rPr>
          <w:rFonts w:eastAsia="TimesNewRoman"/>
          <w:i/>
          <w:iCs/>
          <w:sz w:val="22"/>
          <w:szCs w:val="22"/>
          <w:lang w:val="lt-LT" w:eastAsia="en-US"/>
        </w:rPr>
        <w:t>Skeleto raumenų sutrikimai</w:t>
      </w:r>
    </w:p>
    <w:p w14:paraId="04895FCE"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Gauta pranešimų apie gydymo proteazių inhibitoriais, ypač derinant juos su NATI, ryšį su padidėjusiu kreatin</w:t>
      </w:r>
      <w:r w:rsidR="003B5E69">
        <w:rPr>
          <w:rFonts w:eastAsia="TimesNewRoman"/>
          <w:sz w:val="22"/>
          <w:szCs w:val="22"/>
          <w:lang w:val="lt-LT" w:eastAsia="en-US"/>
        </w:rPr>
        <w:t>fosfo</w:t>
      </w:r>
      <w:r w:rsidRPr="004509B9">
        <w:rPr>
          <w:rFonts w:eastAsia="TimesNewRoman"/>
          <w:sz w:val="22"/>
          <w:szCs w:val="22"/>
          <w:lang w:val="lt-LT" w:eastAsia="en-US"/>
        </w:rPr>
        <w:t>kinazės (CPK) aktyvumu, mialgija, miozitu ir (retai) rabdomiolize.</w:t>
      </w:r>
    </w:p>
    <w:p w14:paraId="252D0B93" w14:textId="77777777" w:rsidR="009F5848" w:rsidRPr="004509B9" w:rsidRDefault="009F5848" w:rsidP="009F5848">
      <w:pPr>
        <w:autoSpaceDE w:val="0"/>
        <w:autoSpaceDN w:val="0"/>
        <w:adjustRightInd w:val="0"/>
        <w:rPr>
          <w:rFonts w:eastAsia="TimesNewRoman"/>
          <w:sz w:val="22"/>
          <w:szCs w:val="22"/>
          <w:lang w:val="lt-LT" w:eastAsia="en-US"/>
        </w:rPr>
      </w:pPr>
    </w:p>
    <w:p w14:paraId="4C21C08C"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Gauta pranešimų apie osteonekrozę, ypač pacientams, kurie turėjo bendrai pripažintų rizikos veiksnių, sirgo toli pažengusia ŽIV liga arba jiems buvo taikytas ilgalaikis sudėtinis antiretrovirusinis gydymas (SARG). Šio reiškinio dažnis nežinomas (žr. 4.4 skyrių).</w:t>
      </w:r>
    </w:p>
    <w:p w14:paraId="45E492E6" w14:textId="77777777" w:rsidR="009F5848" w:rsidRPr="004509B9" w:rsidRDefault="009F5848" w:rsidP="009F5848">
      <w:pPr>
        <w:autoSpaceDE w:val="0"/>
        <w:autoSpaceDN w:val="0"/>
        <w:adjustRightInd w:val="0"/>
        <w:rPr>
          <w:rFonts w:eastAsia="TimesNewRoman"/>
          <w:i/>
          <w:iCs/>
          <w:sz w:val="22"/>
          <w:szCs w:val="22"/>
          <w:lang w:val="lt-LT" w:eastAsia="en-US"/>
        </w:rPr>
      </w:pPr>
    </w:p>
    <w:p w14:paraId="6CE46BCD" w14:textId="77777777" w:rsidR="009F5848" w:rsidRPr="004509B9" w:rsidRDefault="009F5848" w:rsidP="009F5848">
      <w:pPr>
        <w:autoSpaceDE w:val="0"/>
        <w:autoSpaceDN w:val="0"/>
        <w:adjustRightInd w:val="0"/>
        <w:rPr>
          <w:rFonts w:eastAsia="TimesNewRoman"/>
          <w:i/>
          <w:iCs/>
          <w:sz w:val="22"/>
          <w:szCs w:val="22"/>
          <w:lang w:val="lt-LT" w:eastAsia="en-US"/>
        </w:rPr>
      </w:pPr>
      <w:r w:rsidRPr="004509B9">
        <w:rPr>
          <w:rFonts w:eastAsia="TimesNewRoman"/>
          <w:i/>
          <w:iCs/>
          <w:sz w:val="22"/>
          <w:szCs w:val="22"/>
          <w:lang w:val="lt-LT" w:eastAsia="en-US"/>
        </w:rPr>
        <w:t>Imuniteto atsistatymo uždegiminis sindromas</w:t>
      </w:r>
    </w:p>
    <w:p w14:paraId="1208870B"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ŽIV infekuotiems asmenims, kuriems pradedant sudėtinį antiretrovirusinį gydymą (SARG) yra sunkus imuniteto nepakankamumas, gali kilti uždegiminė reakcija į besimptomę ar liekamąją oportunistinę infekciją. Taip pat buvo pranešta apie autoimuninius sutrikimus (pvz., Greivso ligą), tačiau praneštas jų pradžios laikas yra labiau kintamas ir šie reiškiniai galimi per daug mėnesių nuo gydymo pradžios</w:t>
      </w:r>
    </w:p>
    <w:p w14:paraId="6C31764D"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(žr. 4.4 skyrių).</w:t>
      </w:r>
    </w:p>
    <w:p w14:paraId="409468D9" w14:textId="77777777" w:rsidR="009F5848" w:rsidRPr="004509B9" w:rsidRDefault="009F5848" w:rsidP="009F5848">
      <w:pPr>
        <w:autoSpaceDE w:val="0"/>
        <w:autoSpaceDN w:val="0"/>
        <w:adjustRightInd w:val="0"/>
        <w:rPr>
          <w:rFonts w:eastAsia="TimesNewRoman"/>
          <w:i/>
          <w:iCs/>
          <w:sz w:val="22"/>
          <w:szCs w:val="22"/>
          <w:lang w:val="lt-LT" w:eastAsia="en-US"/>
        </w:rPr>
      </w:pPr>
    </w:p>
    <w:p w14:paraId="188736DC" w14:textId="77777777" w:rsidR="009F5848" w:rsidRPr="004509B9" w:rsidRDefault="009F5848" w:rsidP="009F5848">
      <w:pPr>
        <w:autoSpaceDE w:val="0"/>
        <w:autoSpaceDN w:val="0"/>
        <w:adjustRightInd w:val="0"/>
        <w:rPr>
          <w:rFonts w:eastAsia="TimesNewRoman"/>
          <w:i/>
          <w:iCs/>
          <w:sz w:val="22"/>
          <w:szCs w:val="22"/>
          <w:lang w:val="lt-LT" w:eastAsia="en-US"/>
        </w:rPr>
      </w:pPr>
      <w:r w:rsidRPr="004509B9">
        <w:rPr>
          <w:rFonts w:eastAsia="TimesNewRoman"/>
          <w:i/>
          <w:iCs/>
          <w:sz w:val="22"/>
          <w:szCs w:val="22"/>
          <w:lang w:val="lt-LT" w:eastAsia="en-US"/>
        </w:rPr>
        <w:t>Kraujavimas hemofilija sergantiems pacientams</w:t>
      </w:r>
    </w:p>
    <w:p w14:paraId="16504A3A"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Hemofilija sergantiems ir antiretrovirusiniais proteazės inhibitoriais gydytiems pacientams buvo pastebėti padidėjusio spontaninio kraujavimo atvejai (žr. 4.4 skyrių).</w:t>
      </w:r>
    </w:p>
    <w:p w14:paraId="213C3E4E" w14:textId="77777777" w:rsidR="009F5848" w:rsidRPr="004509B9" w:rsidRDefault="009F5848" w:rsidP="009F5848">
      <w:pPr>
        <w:autoSpaceDE w:val="0"/>
        <w:autoSpaceDN w:val="0"/>
        <w:adjustRightInd w:val="0"/>
        <w:rPr>
          <w:rFonts w:eastAsia="TimesNewRoman"/>
          <w:sz w:val="22"/>
          <w:szCs w:val="22"/>
          <w:lang w:val="lt-LT" w:eastAsia="en-US"/>
        </w:rPr>
      </w:pPr>
    </w:p>
    <w:p w14:paraId="1F2F08C2" w14:textId="77777777" w:rsidR="009F5848" w:rsidRPr="004509B9" w:rsidRDefault="009F5848" w:rsidP="009F5848">
      <w:pPr>
        <w:autoSpaceDE w:val="0"/>
        <w:autoSpaceDN w:val="0"/>
        <w:adjustRightInd w:val="0"/>
        <w:rPr>
          <w:rFonts w:eastAsia="TimesNewRoman"/>
          <w:sz w:val="22"/>
          <w:szCs w:val="22"/>
          <w:u w:val="single"/>
          <w:lang w:val="lt-LT" w:eastAsia="en-US"/>
        </w:rPr>
      </w:pPr>
      <w:r w:rsidRPr="004509B9">
        <w:rPr>
          <w:rFonts w:eastAsia="TimesNewRoman"/>
          <w:sz w:val="22"/>
          <w:szCs w:val="22"/>
          <w:u w:val="single"/>
          <w:lang w:val="lt-LT" w:eastAsia="en-US"/>
        </w:rPr>
        <w:t>Vaikų populiacija</w:t>
      </w:r>
    </w:p>
    <w:p w14:paraId="6A6FCCD2"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Saugumo įvertinimas vaikų populiacijos pacientams pagrįstas trijų II fazės klinikinių tyrimų 48 savaitės saugumo duomenų analize. Buvo vertintos šios pacientų grupės (žr. 5.1 skyrių):</w:t>
      </w:r>
    </w:p>
    <w:p w14:paraId="5E118607" w14:textId="77777777" w:rsidR="009F5848" w:rsidRPr="004509B9" w:rsidRDefault="009F5848" w:rsidP="009F5848">
      <w:pPr>
        <w:pStyle w:val="Sraopastraipa"/>
        <w:numPr>
          <w:ilvl w:val="0"/>
          <w:numId w:val="15"/>
        </w:numPr>
        <w:autoSpaceDE w:val="0"/>
        <w:autoSpaceDN w:val="0"/>
        <w:adjustRightInd w:val="0"/>
        <w:ind w:left="567" w:hanging="567"/>
        <w:rPr>
          <w:rFonts w:eastAsia="TimesNewRoman"/>
          <w:sz w:val="22"/>
          <w:szCs w:val="22"/>
          <w:lang w:val="lt-LT" w:eastAsia="en-US"/>
        </w:rPr>
      </w:pPr>
      <w:r w:rsidRPr="004509B9">
        <w:rPr>
          <w:rFonts w:eastAsia="TimesNewRoman"/>
          <w:sz w:val="22"/>
          <w:szCs w:val="22"/>
          <w:lang w:val="lt-LT" w:eastAsia="en-US"/>
        </w:rPr>
        <w:t>80 ŽIV-1 užsikrėtusių 6-17 metų ir mažiau</w:t>
      </w:r>
      <w:r w:rsidR="00E13F8A" w:rsidRPr="004509B9">
        <w:rPr>
          <w:rFonts w:eastAsia="TimesNewRoman"/>
          <w:sz w:val="22"/>
          <w:szCs w:val="22"/>
          <w:lang w:val="lt-LT" w:eastAsia="en-US"/>
        </w:rPr>
        <w:t>siai</w:t>
      </w:r>
      <w:r w:rsidRPr="004509B9">
        <w:rPr>
          <w:rFonts w:eastAsia="TimesNewRoman"/>
          <w:sz w:val="22"/>
          <w:szCs w:val="22"/>
          <w:lang w:val="lt-LT" w:eastAsia="en-US"/>
        </w:rPr>
        <w:t xml:space="preserve"> 20 kg sveriančių vaikų populiacijos pacientų, kuriems pirmiau buvo taikytas ARG, kurie gydymui gavo darunaviro tabletes su maža ritonaviro doze du kartus per parą kartu su kitais antiretrovirusiniais vaistiniais preparatais;</w:t>
      </w:r>
    </w:p>
    <w:p w14:paraId="614FB067" w14:textId="77777777" w:rsidR="009F5848" w:rsidRPr="004509B9" w:rsidRDefault="009F5848" w:rsidP="009F5848">
      <w:pPr>
        <w:pStyle w:val="Sraopastraipa"/>
        <w:numPr>
          <w:ilvl w:val="0"/>
          <w:numId w:val="15"/>
        </w:numPr>
        <w:autoSpaceDE w:val="0"/>
        <w:autoSpaceDN w:val="0"/>
        <w:adjustRightInd w:val="0"/>
        <w:ind w:left="567" w:hanging="567"/>
        <w:rPr>
          <w:rFonts w:eastAsia="TimesNewRoman"/>
          <w:sz w:val="22"/>
          <w:szCs w:val="22"/>
          <w:lang w:val="lt-LT" w:eastAsia="en-US"/>
        </w:rPr>
      </w:pPr>
      <w:r w:rsidRPr="004509B9">
        <w:rPr>
          <w:rFonts w:eastAsia="TimesNewRoman"/>
          <w:sz w:val="22"/>
          <w:szCs w:val="22"/>
          <w:lang w:val="lt-LT" w:eastAsia="en-US"/>
        </w:rPr>
        <w:t>21 ŽIV-1 užsikrėtęs vaikų populiacijos pacientas nuo 3 iki &lt; 6 metų ir sveriančių nuo 10 kg iki &lt; 20 kg (16 dalyvių kūno masė buvo nuo 15 kg iki &lt; 20 kg), kuriems pirmiau buvo taikytas ARG, kurie gydymui gavo darunaviro  geriamają suspensiją su maža ritonaviro doze du kartus per parą kartu su kitais antiretrovirusiniais vaistiniais preparatais;</w:t>
      </w:r>
    </w:p>
    <w:p w14:paraId="492F54E8" w14:textId="77777777" w:rsidR="009F5848" w:rsidRPr="004509B9" w:rsidRDefault="009F5848" w:rsidP="009F5848">
      <w:pPr>
        <w:pStyle w:val="Sraopastraipa"/>
        <w:numPr>
          <w:ilvl w:val="0"/>
          <w:numId w:val="15"/>
        </w:numPr>
        <w:autoSpaceDE w:val="0"/>
        <w:autoSpaceDN w:val="0"/>
        <w:adjustRightInd w:val="0"/>
        <w:ind w:left="567" w:hanging="567"/>
        <w:rPr>
          <w:rFonts w:eastAsia="TimesNewRoman"/>
          <w:sz w:val="22"/>
          <w:szCs w:val="22"/>
          <w:lang w:val="lt-LT" w:eastAsia="en-US"/>
        </w:rPr>
      </w:pPr>
      <w:r w:rsidRPr="004509B9">
        <w:rPr>
          <w:rFonts w:eastAsia="TimesNewRoman"/>
          <w:sz w:val="22"/>
          <w:szCs w:val="22"/>
          <w:lang w:val="lt-LT" w:eastAsia="en-US"/>
        </w:rPr>
        <w:t xml:space="preserve">12 ŽIV-1 užsikrėtusių vaikų populiacijos pacientų nuo 12 iki 17 metų ir sveriančių ne mažiau kaip 40 kg, </w:t>
      </w:r>
      <w:r w:rsidR="00B11C54">
        <w:rPr>
          <w:rFonts w:eastAsia="TimesNewRoman"/>
          <w:sz w:val="22"/>
          <w:szCs w:val="22"/>
          <w:lang w:val="lt-LT" w:eastAsia="en-US"/>
        </w:rPr>
        <w:t xml:space="preserve">kuriems  pirmiau nebuvo taikytas ARG, </w:t>
      </w:r>
      <w:r w:rsidRPr="004509B9">
        <w:rPr>
          <w:rFonts w:eastAsia="TimesNewRoman"/>
          <w:sz w:val="22"/>
          <w:szCs w:val="22"/>
          <w:lang w:val="lt-LT" w:eastAsia="en-US"/>
        </w:rPr>
        <w:t>kurie gydymui gavo darunaviro tabletes su maža ritonaviro doze vieną kartą per parą kartu su kitais antiretrovirusiniais vaistiniais preparatais. (žr. 5.1 skyrių).</w:t>
      </w:r>
    </w:p>
    <w:p w14:paraId="37D91AEE" w14:textId="77777777" w:rsidR="009F5848" w:rsidRPr="004509B9" w:rsidRDefault="009F5848" w:rsidP="009F5848">
      <w:pPr>
        <w:autoSpaceDE w:val="0"/>
        <w:autoSpaceDN w:val="0"/>
        <w:adjustRightInd w:val="0"/>
        <w:rPr>
          <w:rFonts w:eastAsia="TimesNewRoman"/>
          <w:sz w:val="22"/>
          <w:szCs w:val="22"/>
          <w:lang w:val="lt-LT" w:eastAsia="en-US"/>
        </w:rPr>
      </w:pPr>
    </w:p>
    <w:p w14:paraId="1EEADD5A"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Iš viso, saugumo pobūdis šiems vaikams ir paaugliams buvo panašus į suaugusiųjų populiacijos.</w:t>
      </w:r>
    </w:p>
    <w:p w14:paraId="333A84B6" w14:textId="77777777" w:rsidR="009F5848" w:rsidRPr="004509B9" w:rsidRDefault="009F5848" w:rsidP="009F5848">
      <w:pPr>
        <w:autoSpaceDE w:val="0"/>
        <w:autoSpaceDN w:val="0"/>
        <w:adjustRightInd w:val="0"/>
        <w:rPr>
          <w:rFonts w:eastAsia="TimesNewRoman"/>
          <w:sz w:val="22"/>
          <w:szCs w:val="22"/>
          <w:lang w:val="lt-LT" w:eastAsia="en-US"/>
        </w:rPr>
      </w:pPr>
    </w:p>
    <w:p w14:paraId="67020ABD" w14:textId="77777777" w:rsidR="009F5848" w:rsidRPr="0081572D" w:rsidRDefault="009F5848" w:rsidP="009F5848">
      <w:pPr>
        <w:autoSpaceDE w:val="0"/>
        <w:autoSpaceDN w:val="0"/>
        <w:adjustRightInd w:val="0"/>
        <w:rPr>
          <w:rFonts w:eastAsia="TimesNewRoman"/>
          <w:sz w:val="22"/>
          <w:szCs w:val="22"/>
          <w:u w:val="single"/>
          <w:lang w:val="lt-LT" w:eastAsia="en-US"/>
        </w:rPr>
      </w:pPr>
      <w:r w:rsidRPr="0081572D">
        <w:rPr>
          <w:rFonts w:eastAsia="TimesNewRoman"/>
          <w:sz w:val="22"/>
          <w:szCs w:val="22"/>
          <w:u w:val="single"/>
          <w:lang w:val="lt-LT" w:eastAsia="en-US"/>
        </w:rPr>
        <w:t>Kitų specialių grupių pacientai</w:t>
      </w:r>
    </w:p>
    <w:p w14:paraId="5462DF95" w14:textId="77777777" w:rsidR="009F5848" w:rsidRPr="004509B9" w:rsidRDefault="009F5848" w:rsidP="009F5848">
      <w:pPr>
        <w:autoSpaceDE w:val="0"/>
        <w:autoSpaceDN w:val="0"/>
        <w:adjustRightInd w:val="0"/>
        <w:rPr>
          <w:rFonts w:eastAsia="TimesNewRoman"/>
          <w:i/>
          <w:iCs/>
          <w:sz w:val="22"/>
          <w:szCs w:val="22"/>
          <w:lang w:val="lt-LT" w:eastAsia="en-US"/>
        </w:rPr>
      </w:pPr>
      <w:r w:rsidRPr="004509B9">
        <w:rPr>
          <w:rFonts w:eastAsia="TimesNewRoman"/>
          <w:i/>
          <w:iCs/>
          <w:sz w:val="22"/>
          <w:szCs w:val="22"/>
          <w:lang w:val="lt-LT" w:eastAsia="en-US"/>
        </w:rPr>
        <w:t>Pacientai, kuriems kartu yra hepatito B ir (arba) hepatito C virusinė infekcija</w:t>
      </w:r>
    </w:p>
    <w:p w14:paraId="702838AF"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Tarp 1 968 jau gydytų pacientų, kurie 600 mg darunaviro vartojo kartu su 100 mg ritonaviro du kartus per parą, buvo 236 pacientai, kurie kartu buvo užsikrėtę hepatito B ir (arba) hepatito C virusine infekcija. Abiejomis infekcijomis užsikrėtusiems pacientams kepenų transaminazių suaktyvėjimo pradinio tyrimo metu ir gydymo metu tikimybė buvo didesnė, palyginti su tais, kurie nesirgo lėtiniu virusiniu hepatitu (žr. 4.4 skyrių).</w:t>
      </w:r>
    </w:p>
    <w:p w14:paraId="52137E72" w14:textId="77777777" w:rsidR="009F5848" w:rsidRPr="004509B9" w:rsidRDefault="009F5848" w:rsidP="009F5848">
      <w:pPr>
        <w:autoSpaceDE w:val="0"/>
        <w:autoSpaceDN w:val="0"/>
        <w:adjustRightInd w:val="0"/>
        <w:rPr>
          <w:rFonts w:eastAsia="TimesNewRoman"/>
          <w:sz w:val="22"/>
          <w:szCs w:val="22"/>
          <w:lang w:val="lt-LT" w:eastAsia="en-US"/>
        </w:rPr>
      </w:pPr>
    </w:p>
    <w:p w14:paraId="50E6B268" w14:textId="77777777" w:rsidR="009F5848" w:rsidRPr="0081572D" w:rsidRDefault="009F5848" w:rsidP="009F5848">
      <w:pPr>
        <w:autoSpaceDE w:val="0"/>
        <w:autoSpaceDN w:val="0"/>
        <w:adjustRightInd w:val="0"/>
        <w:rPr>
          <w:rFonts w:eastAsia="TimesNewRoman"/>
          <w:sz w:val="22"/>
          <w:szCs w:val="22"/>
          <w:u w:val="single"/>
          <w:lang w:val="lt-LT" w:eastAsia="en-US"/>
        </w:rPr>
      </w:pPr>
      <w:r w:rsidRPr="0081572D">
        <w:rPr>
          <w:rFonts w:eastAsia="TimesNewRoman"/>
          <w:sz w:val="22"/>
          <w:szCs w:val="22"/>
          <w:u w:val="single"/>
          <w:lang w:val="lt-LT" w:eastAsia="en-US"/>
        </w:rPr>
        <w:t>Pranešimas apie įtariamas nepageidaujamas reakcijas</w:t>
      </w:r>
    </w:p>
    <w:p w14:paraId="3D571533" w14:textId="77777777" w:rsidR="009F5848" w:rsidRPr="004509B9" w:rsidRDefault="009F5848" w:rsidP="009F5848">
      <w:pPr>
        <w:tabs>
          <w:tab w:val="left" w:pos="567"/>
        </w:tabs>
        <w:autoSpaceDE w:val="0"/>
        <w:autoSpaceDN w:val="0"/>
        <w:adjustRightInd w:val="0"/>
        <w:spacing w:line="260" w:lineRule="exact"/>
        <w:rPr>
          <w:rFonts w:eastAsia="Times New Roman"/>
          <w:noProof/>
          <w:snapToGrid w:val="0"/>
          <w:sz w:val="22"/>
          <w:szCs w:val="24"/>
          <w:lang w:val="lt-LT" w:eastAsia="en-US"/>
        </w:rPr>
      </w:pPr>
      <w:r w:rsidRPr="004509B9">
        <w:rPr>
          <w:rFonts w:eastAsia="Times New Roman"/>
          <w:noProof/>
          <w:snapToGrid w:val="0"/>
          <w:sz w:val="22"/>
          <w:szCs w:val="24"/>
          <w:lang w:val="lt-LT" w:eastAsia="en-US"/>
        </w:rPr>
        <w:t>Svarbu pranešti apie įtariamas nepageidaujamas reakcijas, pastebėtas po vaistinio preparato registracijos, nes tai leidžia nuolat stebėti vaistinio preparato naudos ir rizikos santykį.</w:t>
      </w:r>
      <w:r w:rsidRPr="004509B9">
        <w:rPr>
          <w:rFonts w:eastAsia="Times New Roman"/>
          <w:snapToGrid w:val="0"/>
          <w:sz w:val="22"/>
          <w:szCs w:val="24"/>
          <w:lang w:val="lt-LT" w:eastAsia="en-US"/>
        </w:rPr>
        <w:t xml:space="preserve"> </w:t>
      </w:r>
      <w:r w:rsidRPr="004509B9">
        <w:rPr>
          <w:rFonts w:eastAsia="Times New Roman"/>
          <w:noProof/>
          <w:snapToGrid w:val="0"/>
          <w:sz w:val="22"/>
          <w:szCs w:val="24"/>
          <w:lang w:val="lt-LT" w:eastAsia="en-US"/>
        </w:rPr>
        <w:t>Sveikatos priežiūros specialistai turi pranešti apie bet kokias įtariamas nepageidaujamas reakcijas, užpildę interneto svetainėje http://</w:t>
      </w:r>
      <w:hyperlink r:id="rId8" w:history="1">
        <w:r w:rsidRPr="004509B9">
          <w:rPr>
            <w:rFonts w:eastAsia="SimSun"/>
            <w:noProof/>
            <w:snapToGrid w:val="0"/>
            <w:color w:val="0000FF"/>
            <w:sz w:val="22"/>
            <w:szCs w:val="24"/>
            <w:u w:val="single"/>
            <w:lang w:val="lt-LT" w:eastAsia="en-US"/>
          </w:rPr>
          <w:t>www.vvkt.lt</w:t>
        </w:r>
      </w:hyperlink>
      <w:r w:rsidRPr="004509B9">
        <w:rPr>
          <w:rFonts w:eastAsia="Times New Roman"/>
          <w:noProof/>
          <w:snapToGrid w:val="0"/>
          <w:sz w:val="22"/>
          <w:szCs w:val="24"/>
          <w:lang w:val="lt-LT"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4509B9">
          <w:rPr>
            <w:rFonts w:eastAsia="SimSun"/>
            <w:noProof/>
            <w:snapToGrid w:val="0"/>
            <w:color w:val="0000FF"/>
            <w:sz w:val="22"/>
            <w:szCs w:val="24"/>
            <w:u w:val="single"/>
            <w:lang w:val="lt-LT" w:eastAsia="en-US"/>
          </w:rPr>
          <w:t>NepageidaujamaR@vvkt.lt</w:t>
        </w:r>
      </w:hyperlink>
      <w:r w:rsidRPr="004509B9">
        <w:rPr>
          <w:rFonts w:eastAsia="Times New Roman"/>
          <w:noProof/>
          <w:snapToGrid w:val="0"/>
          <w:sz w:val="22"/>
          <w:szCs w:val="24"/>
          <w:lang w:val="lt-LT" w:eastAsia="en-US"/>
        </w:rPr>
        <w:t>), per interneto svetainę (adresu http://www.vvkt.lt).</w:t>
      </w:r>
    </w:p>
    <w:p w14:paraId="50D52210" w14:textId="77777777" w:rsidR="009F5848" w:rsidRPr="004509B9" w:rsidRDefault="009F5848" w:rsidP="009F5848">
      <w:pPr>
        <w:autoSpaceDE w:val="0"/>
        <w:autoSpaceDN w:val="0"/>
        <w:adjustRightInd w:val="0"/>
        <w:rPr>
          <w:rFonts w:eastAsia="TimesNewRoman"/>
          <w:sz w:val="22"/>
          <w:szCs w:val="22"/>
          <w:lang w:val="lt-LT" w:eastAsia="en-US"/>
        </w:rPr>
      </w:pPr>
    </w:p>
    <w:p w14:paraId="1B88A62B" w14:textId="77777777" w:rsidR="009F5848" w:rsidRPr="004509B9" w:rsidRDefault="009F5848" w:rsidP="000514E0">
      <w:pPr>
        <w:keepNext/>
        <w:numPr>
          <w:ilvl w:val="1"/>
          <w:numId w:val="17"/>
        </w:numPr>
        <w:tabs>
          <w:tab w:val="left" w:pos="567"/>
        </w:tabs>
        <w:spacing w:line="260" w:lineRule="exact"/>
        <w:outlineLvl w:val="0"/>
        <w:rPr>
          <w:rFonts w:eastAsia="Times New Roman"/>
          <w:noProof/>
          <w:sz w:val="22"/>
          <w:szCs w:val="22"/>
          <w:lang w:val="lt-LT" w:eastAsia="lt-LT" w:bidi="lt-LT"/>
        </w:rPr>
      </w:pPr>
      <w:r w:rsidRPr="004509B9">
        <w:rPr>
          <w:rFonts w:eastAsia="Times New Roman"/>
          <w:b/>
          <w:noProof/>
          <w:sz w:val="22"/>
          <w:lang w:val="lt-LT" w:eastAsia="lt-LT" w:bidi="lt-LT"/>
        </w:rPr>
        <w:t>Perdozavimas</w:t>
      </w:r>
    </w:p>
    <w:p w14:paraId="645B77BE" w14:textId="77777777" w:rsidR="009F5848" w:rsidRPr="004509B9" w:rsidRDefault="009F5848" w:rsidP="009F5848">
      <w:pPr>
        <w:autoSpaceDE w:val="0"/>
        <w:autoSpaceDN w:val="0"/>
        <w:adjustRightInd w:val="0"/>
        <w:rPr>
          <w:rFonts w:eastAsia="TimesNewRoman"/>
          <w:sz w:val="22"/>
          <w:szCs w:val="22"/>
          <w:lang w:val="lt-LT" w:eastAsia="en-US"/>
        </w:rPr>
      </w:pPr>
    </w:p>
    <w:p w14:paraId="240D8FBD"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Duomenų apie darunaviro, vartojamo kartu su  maža ritonaviro doze, ūminį perdozavimą žmonėms yra mažai. Sveikiems savanoriams vartojant vienkartines iki 3 200 mg darunaviro geriamojo tirpalo ir iki 1 600 mg darunaviro tablečių kartu su ritonaviru dozes, nepageidaujamo poveikio simptomų nepastebėta.</w:t>
      </w:r>
    </w:p>
    <w:p w14:paraId="375005BA" w14:textId="77777777" w:rsidR="009F5848" w:rsidRPr="004509B9" w:rsidRDefault="009F5848" w:rsidP="009F5848">
      <w:pPr>
        <w:autoSpaceDE w:val="0"/>
        <w:autoSpaceDN w:val="0"/>
        <w:adjustRightInd w:val="0"/>
        <w:rPr>
          <w:rFonts w:eastAsia="TimesNewRoman"/>
          <w:sz w:val="22"/>
          <w:szCs w:val="22"/>
          <w:lang w:val="lt-LT" w:eastAsia="en-US"/>
        </w:rPr>
      </w:pPr>
    </w:p>
    <w:p w14:paraId="13F86FAA"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Darunavirui specifinio priešnuodžio nėra. Darunaviro perdozavimo gydymas – tai bendros palaikomosios priemonės, įskaitant ligonio gyvybinių rodiklių ir klinikinės </w:t>
      </w:r>
      <w:r w:rsidRPr="004509B9">
        <w:rPr>
          <w:rFonts w:eastAsia="TimesNewRoman"/>
          <w:sz w:val="22"/>
          <w:szCs w:val="22"/>
          <w:lang w:val="lt-LT" w:eastAsia="en-US"/>
        </w:rPr>
        <w:lastRenderedPageBreak/>
        <w:t>būklės stebėjimą. Jei reikia, neabsorbuota veiklioji medžiaga šalinama sukeliant vėmimą.</w:t>
      </w:r>
    </w:p>
    <w:p w14:paraId="3CE07DFC" w14:textId="77777777" w:rsidR="009F5848" w:rsidRPr="004509B9" w:rsidRDefault="009F5848" w:rsidP="009F5848">
      <w:pPr>
        <w:autoSpaceDE w:val="0"/>
        <w:autoSpaceDN w:val="0"/>
        <w:adjustRightInd w:val="0"/>
        <w:rPr>
          <w:rFonts w:eastAsia="TimesNewRoman"/>
          <w:sz w:val="22"/>
          <w:szCs w:val="22"/>
          <w:lang w:val="lt-LT" w:eastAsia="en-US"/>
        </w:rPr>
      </w:pPr>
    </w:p>
    <w:p w14:paraId="0B4E135A"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Neabsorbuotai veikliajai medžiagai šalinti taip pat galima duoti aktyvintosios anglies. Kadangi labai daug darunaviro būna susijungusio su baltymais, vargu, ar dializė būtų naudinga didesniam veikliosios medžiagos kiekiui pašalinti.</w:t>
      </w:r>
    </w:p>
    <w:p w14:paraId="4D491F43" w14:textId="77777777" w:rsidR="009F5848" w:rsidRPr="00C75EC3" w:rsidRDefault="009F5848" w:rsidP="009F5848">
      <w:pPr>
        <w:tabs>
          <w:tab w:val="left" w:pos="3264"/>
        </w:tabs>
        <w:autoSpaceDE w:val="0"/>
        <w:autoSpaceDN w:val="0"/>
        <w:adjustRightInd w:val="0"/>
        <w:rPr>
          <w:rFonts w:ascii="TimesNewRoman" w:eastAsia="TimesNewRoman" w:hAnsi="Calibri" w:cs="TimesNewRoman"/>
          <w:sz w:val="22"/>
          <w:szCs w:val="22"/>
          <w:lang w:val="lt-LT" w:eastAsia="en-US"/>
        </w:rPr>
      </w:pPr>
    </w:p>
    <w:p w14:paraId="094136B1" w14:textId="77777777" w:rsidR="009F5848" w:rsidRPr="00C75EC3" w:rsidRDefault="009F5848" w:rsidP="009F5848">
      <w:pPr>
        <w:tabs>
          <w:tab w:val="left" w:pos="3264"/>
        </w:tabs>
        <w:autoSpaceDE w:val="0"/>
        <w:autoSpaceDN w:val="0"/>
        <w:adjustRightInd w:val="0"/>
        <w:rPr>
          <w:rFonts w:ascii="TimesNewRoman" w:eastAsia="TimesNewRoman" w:hAnsi="Calibri" w:cs="TimesNewRoman"/>
          <w:sz w:val="22"/>
          <w:szCs w:val="22"/>
          <w:lang w:val="lt-LT" w:eastAsia="en-US"/>
        </w:rPr>
      </w:pPr>
      <w:r w:rsidRPr="00C75EC3">
        <w:rPr>
          <w:rFonts w:ascii="TimesNewRoman" w:eastAsia="TimesNewRoman" w:hAnsi="Calibri" w:cs="TimesNewRoman"/>
          <w:sz w:val="22"/>
          <w:szCs w:val="22"/>
          <w:lang w:val="lt-LT" w:eastAsia="en-US"/>
        </w:rPr>
        <w:tab/>
      </w:r>
    </w:p>
    <w:p w14:paraId="25DBE69D" w14:textId="77777777" w:rsidR="009F5848" w:rsidRPr="004509B9" w:rsidRDefault="009F5848" w:rsidP="000514E0">
      <w:pPr>
        <w:keepNext/>
        <w:numPr>
          <w:ilvl w:val="0"/>
          <w:numId w:val="17"/>
        </w:numPr>
        <w:tabs>
          <w:tab w:val="left" w:pos="567"/>
        </w:tabs>
        <w:suppressAutoHyphens/>
        <w:spacing w:line="260" w:lineRule="exact"/>
        <w:rPr>
          <w:rFonts w:eastAsia="Times New Roman"/>
          <w:sz w:val="22"/>
          <w:lang w:val="lt-LT" w:eastAsia="lt-LT" w:bidi="lt-LT"/>
        </w:rPr>
      </w:pPr>
      <w:r w:rsidRPr="004509B9">
        <w:rPr>
          <w:rFonts w:eastAsia="Times New Roman"/>
          <w:b/>
          <w:sz w:val="22"/>
          <w:lang w:val="lt-LT" w:eastAsia="lt-LT" w:bidi="lt-LT"/>
        </w:rPr>
        <w:t>FARMAKOLOGINĖS SAVYBĖS</w:t>
      </w:r>
    </w:p>
    <w:p w14:paraId="002AE55D" w14:textId="77777777" w:rsidR="009F5848" w:rsidRPr="004509B9" w:rsidRDefault="009F5848" w:rsidP="009F5848">
      <w:pPr>
        <w:keepNext/>
        <w:tabs>
          <w:tab w:val="left" w:pos="567"/>
        </w:tabs>
        <w:rPr>
          <w:rFonts w:eastAsia="Times New Roman"/>
          <w:sz w:val="22"/>
          <w:lang w:val="lt-LT" w:eastAsia="lt-LT" w:bidi="lt-LT"/>
        </w:rPr>
      </w:pPr>
    </w:p>
    <w:p w14:paraId="08ADC97A" w14:textId="77777777" w:rsidR="009F5848" w:rsidRPr="004509B9" w:rsidRDefault="009F5848" w:rsidP="000514E0">
      <w:pPr>
        <w:keepNext/>
        <w:numPr>
          <w:ilvl w:val="1"/>
          <w:numId w:val="17"/>
        </w:numPr>
        <w:tabs>
          <w:tab w:val="left" w:pos="567"/>
        </w:tabs>
        <w:spacing w:line="260" w:lineRule="exact"/>
        <w:outlineLvl w:val="0"/>
        <w:rPr>
          <w:rFonts w:eastAsia="Times New Roman"/>
          <w:sz w:val="22"/>
          <w:lang w:val="lt-LT" w:eastAsia="lt-LT" w:bidi="lt-LT"/>
        </w:rPr>
      </w:pPr>
      <w:r w:rsidRPr="004509B9">
        <w:rPr>
          <w:rFonts w:eastAsia="Times New Roman"/>
          <w:b/>
          <w:sz w:val="22"/>
          <w:lang w:val="lt-LT" w:eastAsia="lt-LT" w:bidi="lt-LT"/>
        </w:rPr>
        <w:t>Farmakodinaminės savybės</w:t>
      </w:r>
    </w:p>
    <w:p w14:paraId="0E16F2A4" w14:textId="77777777" w:rsidR="009F5848" w:rsidRPr="004509B9" w:rsidRDefault="009F5848" w:rsidP="009F5848">
      <w:pPr>
        <w:autoSpaceDE w:val="0"/>
        <w:autoSpaceDN w:val="0"/>
        <w:adjustRightInd w:val="0"/>
        <w:rPr>
          <w:rFonts w:eastAsia="TimesNewRoman"/>
          <w:sz w:val="22"/>
          <w:szCs w:val="22"/>
          <w:lang w:val="lt-LT" w:eastAsia="en-US"/>
        </w:rPr>
      </w:pPr>
    </w:p>
    <w:p w14:paraId="21672A9A"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Farmakoterapinė grupė – sistemiškai veikiantys priešvirusiniai vaistiniai preparatai, proteazės inhibitoriai, ATC kodas – J05AE10.</w:t>
      </w:r>
    </w:p>
    <w:p w14:paraId="0DDA26E9" w14:textId="77777777" w:rsidR="009F5848" w:rsidRPr="004509B9" w:rsidRDefault="009F5848" w:rsidP="009F5848">
      <w:pPr>
        <w:autoSpaceDE w:val="0"/>
        <w:autoSpaceDN w:val="0"/>
        <w:adjustRightInd w:val="0"/>
        <w:rPr>
          <w:rFonts w:eastAsia="TimesNewRoman"/>
          <w:sz w:val="22"/>
          <w:szCs w:val="22"/>
          <w:lang w:val="lt-LT" w:eastAsia="en-US"/>
        </w:rPr>
      </w:pPr>
    </w:p>
    <w:p w14:paraId="05136305" w14:textId="77777777" w:rsidR="009F5848" w:rsidRPr="008C15EF" w:rsidRDefault="009F5848" w:rsidP="009F5848">
      <w:pPr>
        <w:autoSpaceDE w:val="0"/>
        <w:autoSpaceDN w:val="0"/>
        <w:adjustRightInd w:val="0"/>
        <w:rPr>
          <w:rFonts w:eastAsia="TimesNewRoman"/>
          <w:sz w:val="22"/>
          <w:szCs w:val="22"/>
          <w:u w:val="single"/>
          <w:lang w:val="lt-LT" w:eastAsia="en-US"/>
        </w:rPr>
      </w:pPr>
      <w:r w:rsidRPr="008C15EF">
        <w:rPr>
          <w:rFonts w:eastAsia="TimesNewRoman"/>
          <w:sz w:val="22"/>
          <w:szCs w:val="22"/>
          <w:u w:val="single"/>
          <w:lang w:val="lt-LT" w:eastAsia="en-US"/>
        </w:rPr>
        <w:t>Veikimo mechanizmas</w:t>
      </w:r>
    </w:p>
    <w:p w14:paraId="53CA72A5"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Darunaviras yra ŽIV-1 proteazės dimerizacijos ir katali</w:t>
      </w:r>
      <w:r w:rsidR="00B11C54">
        <w:rPr>
          <w:rFonts w:eastAsia="TimesNewRoman"/>
          <w:sz w:val="22"/>
          <w:szCs w:val="22"/>
          <w:lang w:val="lt-LT" w:eastAsia="en-US"/>
        </w:rPr>
        <w:t>z</w:t>
      </w:r>
      <w:r w:rsidRPr="004509B9">
        <w:rPr>
          <w:rFonts w:eastAsia="TimesNewRoman"/>
          <w:sz w:val="22"/>
          <w:szCs w:val="22"/>
          <w:lang w:val="lt-LT" w:eastAsia="en-US"/>
        </w:rPr>
        <w:t>inio aktyvumo inhibitorius (</w:t>
      </w:r>
      <w:r w:rsidRPr="004509B9">
        <w:rPr>
          <w:rFonts w:eastAsia="TimesNewRoman"/>
          <w:i/>
          <w:iCs/>
          <w:sz w:val="22"/>
          <w:szCs w:val="22"/>
          <w:lang w:val="lt-LT" w:eastAsia="en-US"/>
        </w:rPr>
        <w:t>K</w:t>
      </w:r>
      <w:r w:rsidRPr="004509B9">
        <w:rPr>
          <w:rFonts w:eastAsia="TimesNewRoman"/>
          <w:sz w:val="14"/>
          <w:szCs w:val="14"/>
          <w:lang w:val="lt-LT" w:eastAsia="en-US"/>
        </w:rPr>
        <w:t xml:space="preserve">D </w:t>
      </w:r>
      <w:r w:rsidRPr="004509B9">
        <w:rPr>
          <w:rFonts w:eastAsia="TimesNewRoman"/>
          <w:sz w:val="22"/>
          <w:szCs w:val="22"/>
          <w:lang w:val="lt-LT" w:eastAsia="en-US"/>
        </w:rPr>
        <w:t>yra 4,5 × 10 </w:t>
      </w:r>
      <w:r w:rsidRPr="004509B9">
        <w:rPr>
          <w:rFonts w:eastAsia="TimesNewRoman"/>
          <w:sz w:val="20"/>
          <w:vertAlign w:val="superscript"/>
          <w:lang w:val="lt-LT" w:eastAsia="en-US"/>
        </w:rPr>
        <w:t>12</w:t>
      </w:r>
      <w:r w:rsidRPr="004509B9">
        <w:rPr>
          <w:rFonts w:eastAsia="TimesNewRoman"/>
          <w:sz w:val="20"/>
          <w:lang w:val="lt-LT" w:eastAsia="en-US"/>
        </w:rPr>
        <w:t> </w:t>
      </w:r>
      <w:r w:rsidRPr="004509B9">
        <w:rPr>
          <w:rFonts w:eastAsia="TimesNewRoman"/>
          <w:sz w:val="22"/>
          <w:szCs w:val="22"/>
          <w:lang w:val="lt-LT" w:eastAsia="en-US"/>
        </w:rPr>
        <w:t>mol). Jis selektyviai slopina ŽIV koduotą Gag-Pol poliproteinų skilimą virusu apkrėstose ląstelėse, tuo būdu trukdydamas susidaryti subrendusioms užkrečiamoms viruso dalelėms.</w:t>
      </w:r>
    </w:p>
    <w:p w14:paraId="189D1280" w14:textId="77777777" w:rsidR="009F5848" w:rsidRPr="004509B9" w:rsidRDefault="009F5848" w:rsidP="009F5848">
      <w:pPr>
        <w:autoSpaceDE w:val="0"/>
        <w:autoSpaceDN w:val="0"/>
        <w:adjustRightInd w:val="0"/>
        <w:rPr>
          <w:rFonts w:eastAsia="TimesNewRoman"/>
          <w:sz w:val="22"/>
          <w:szCs w:val="22"/>
          <w:lang w:val="lt-LT" w:eastAsia="en-US"/>
        </w:rPr>
      </w:pPr>
    </w:p>
    <w:p w14:paraId="5CDB7F88" w14:textId="77777777" w:rsidR="009F5848" w:rsidRPr="009C16AC" w:rsidRDefault="009F5848" w:rsidP="009F5848">
      <w:pPr>
        <w:autoSpaceDE w:val="0"/>
        <w:autoSpaceDN w:val="0"/>
        <w:adjustRightInd w:val="0"/>
        <w:rPr>
          <w:rFonts w:eastAsia="TimesNewRoman"/>
          <w:i/>
          <w:iCs/>
          <w:sz w:val="22"/>
          <w:szCs w:val="22"/>
          <w:u w:val="single"/>
          <w:lang w:val="lt-LT" w:eastAsia="en-US"/>
        </w:rPr>
      </w:pPr>
      <w:r w:rsidRPr="009C16AC">
        <w:rPr>
          <w:rFonts w:eastAsia="TimesNewRoman"/>
          <w:sz w:val="22"/>
          <w:szCs w:val="22"/>
          <w:u w:val="single"/>
          <w:lang w:val="lt-LT" w:eastAsia="en-US"/>
        </w:rPr>
        <w:t xml:space="preserve">Antivirusinis aktyvumas </w:t>
      </w:r>
      <w:r w:rsidRPr="009C16AC">
        <w:rPr>
          <w:rFonts w:eastAsia="TimesNewRoman"/>
          <w:i/>
          <w:iCs/>
          <w:sz w:val="22"/>
          <w:szCs w:val="22"/>
          <w:u w:val="single"/>
          <w:lang w:val="lt-LT" w:eastAsia="en-US"/>
        </w:rPr>
        <w:t>in vitro</w:t>
      </w:r>
    </w:p>
    <w:p w14:paraId="6BB865BC"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Darunaviras veikia laboratorines ir klinikines ŽIV-1 bei laboratorines ŽIV-2 padermes ūmiai infekuot</w:t>
      </w:r>
      <w:r w:rsidR="00B11C54">
        <w:rPr>
          <w:rFonts w:eastAsia="TimesNewRoman"/>
          <w:sz w:val="22"/>
          <w:szCs w:val="22"/>
          <w:lang w:val="lt-LT" w:eastAsia="en-US"/>
        </w:rPr>
        <w:t>uose</w:t>
      </w:r>
      <w:r w:rsidRPr="004509B9">
        <w:rPr>
          <w:rFonts w:eastAsia="TimesNewRoman"/>
          <w:sz w:val="22"/>
          <w:szCs w:val="22"/>
          <w:lang w:val="lt-LT" w:eastAsia="en-US"/>
        </w:rPr>
        <w:t xml:space="preserve"> T </w:t>
      </w:r>
      <w:r w:rsidR="00B11C54">
        <w:rPr>
          <w:rFonts w:eastAsia="TimesNewRoman"/>
          <w:sz w:val="22"/>
          <w:szCs w:val="22"/>
          <w:lang w:val="lt-LT" w:eastAsia="en-US"/>
        </w:rPr>
        <w:t>limfocituose</w:t>
      </w:r>
      <w:r w:rsidRPr="004509B9">
        <w:rPr>
          <w:rFonts w:eastAsia="TimesNewRoman"/>
          <w:sz w:val="22"/>
          <w:szCs w:val="22"/>
          <w:lang w:val="lt-LT" w:eastAsia="en-US"/>
        </w:rPr>
        <w:t>, žmogaus periferinio kraujo mononuklearinėse ląstelėse ir žmogaus monocituose ar makrofaguose; jo vidutinės EC</w:t>
      </w:r>
      <w:r w:rsidRPr="004509B9">
        <w:rPr>
          <w:rFonts w:eastAsia="TimesNewRoman"/>
          <w:sz w:val="22"/>
          <w:szCs w:val="22"/>
          <w:vertAlign w:val="subscript"/>
          <w:lang w:val="lt-LT" w:eastAsia="en-US"/>
        </w:rPr>
        <w:t>50</w:t>
      </w:r>
      <w:r w:rsidRPr="004509B9">
        <w:rPr>
          <w:rFonts w:eastAsia="TimesNewRoman"/>
          <w:sz w:val="14"/>
          <w:szCs w:val="14"/>
          <w:lang w:val="lt-LT" w:eastAsia="en-US"/>
        </w:rPr>
        <w:t xml:space="preserve"> </w:t>
      </w:r>
      <w:r w:rsidRPr="004509B9">
        <w:rPr>
          <w:rFonts w:eastAsia="TimesNewRoman"/>
          <w:sz w:val="22"/>
          <w:szCs w:val="22"/>
          <w:lang w:val="lt-LT" w:eastAsia="en-US"/>
        </w:rPr>
        <w:t xml:space="preserve">reikšmės svyruoja nuo 1,2 iki 8,5 nmol (0,7 iki 5,0 ng/ml). Darunaviras </w:t>
      </w:r>
      <w:r w:rsidRPr="004509B9">
        <w:rPr>
          <w:rFonts w:eastAsia="TimesNewRoman"/>
          <w:i/>
          <w:iCs/>
          <w:sz w:val="22"/>
          <w:szCs w:val="22"/>
          <w:lang w:val="lt-LT" w:eastAsia="en-US"/>
        </w:rPr>
        <w:t xml:space="preserve">in vitro </w:t>
      </w:r>
      <w:r w:rsidRPr="004509B9">
        <w:rPr>
          <w:rFonts w:eastAsia="TimesNewRoman"/>
          <w:sz w:val="22"/>
          <w:szCs w:val="22"/>
          <w:lang w:val="lt-LT" w:eastAsia="en-US"/>
        </w:rPr>
        <w:t>veikia daugelį pirmą kartą išskirtų ŽIV-1 M grupės (A, B, C, D, E, F, G) ir O grupės padermių – jo EC</w:t>
      </w:r>
      <w:r w:rsidRPr="004509B9">
        <w:rPr>
          <w:rFonts w:eastAsia="TimesNewRoman"/>
          <w:sz w:val="22"/>
          <w:szCs w:val="22"/>
          <w:vertAlign w:val="subscript"/>
          <w:lang w:val="lt-LT" w:eastAsia="en-US"/>
        </w:rPr>
        <w:t>50</w:t>
      </w:r>
      <w:r w:rsidRPr="004509B9">
        <w:rPr>
          <w:rFonts w:eastAsia="TimesNewRoman"/>
          <w:sz w:val="14"/>
          <w:szCs w:val="14"/>
          <w:lang w:val="lt-LT" w:eastAsia="en-US"/>
        </w:rPr>
        <w:t xml:space="preserve"> </w:t>
      </w:r>
      <w:r w:rsidRPr="004509B9">
        <w:rPr>
          <w:rFonts w:eastAsia="TimesNewRoman"/>
          <w:sz w:val="22"/>
          <w:szCs w:val="22"/>
          <w:lang w:val="lt-LT" w:eastAsia="en-US"/>
        </w:rPr>
        <w:t>reikšmės svyruoja nuo &lt; 0,1 iki 4,3 nmol.</w:t>
      </w:r>
    </w:p>
    <w:p w14:paraId="1C23DBA1" w14:textId="77777777" w:rsidR="009F5848" w:rsidRPr="004509B9" w:rsidRDefault="009F5848" w:rsidP="009F5848">
      <w:pPr>
        <w:autoSpaceDE w:val="0"/>
        <w:autoSpaceDN w:val="0"/>
        <w:adjustRightInd w:val="0"/>
        <w:rPr>
          <w:rFonts w:eastAsia="TimesNewRoman"/>
          <w:sz w:val="22"/>
          <w:szCs w:val="22"/>
          <w:lang w:val="lt-LT" w:eastAsia="en-US"/>
        </w:rPr>
      </w:pPr>
    </w:p>
    <w:p w14:paraId="26AD6C8F"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Šios EC</w:t>
      </w:r>
      <w:r w:rsidRPr="004509B9">
        <w:rPr>
          <w:rFonts w:eastAsia="TimesNewRoman"/>
          <w:sz w:val="22"/>
          <w:szCs w:val="22"/>
          <w:vertAlign w:val="subscript"/>
          <w:lang w:val="lt-LT" w:eastAsia="en-US"/>
        </w:rPr>
        <w:t>50</w:t>
      </w:r>
      <w:r w:rsidRPr="004509B9">
        <w:rPr>
          <w:rFonts w:eastAsia="TimesNewRoman"/>
          <w:sz w:val="14"/>
          <w:szCs w:val="14"/>
          <w:lang w:val="lt-LT" w:eastAsia="en-US"/>
        </w:rPr>
        <w:t xml:space="preserve"> </w:t>
      </w:r>
      <w:r w:rsidRPr="004509B9">
        <w:rPr>
          <w:rFonts w:eastAsia="TimesNewRoman"/>
          <w:sz w:val="22"/>
          <w:szCs w:val="22"/>
          <w:lang w:val="lt-LT" w:eastAsia="en-US"/>
        </w:rPr>
        <w:t>reikšmės gerokai mažesnės už 50 % toksinę koncentraciją ląstelėms, kuri svyruoja nuo 87 μmol iki &gt; 100 μmol.</w:t>
      </w:r>
    </w:p>
    <w:p w14:paraId="662A5ED9" w14:textId="77777777" w:rsidR="009F5848" w:rsidRPr="004509B9" w:rsidRDefault="009F5848" w:rsidP="009F5848">
      <w:pPr>
        <w:autoSpaceDE w:val="0"/>
        <w:autoSpaceDN w:val="0"/>
        <w:adjustRightInd w:val="0"/>
        <w:rPr>
          <w:rFonts w:eastAsia="TimesNewRoman"/>
          <w:sz w:val="22"/>
          <w:szCs w:val="22"/>
          <w:lang w:val="lt-LT" w:eastAsia="en-US"/>
        </w:rPr>
      </w:pPr>
    </w:p>
    <w:p w14:paraId="02858DD1" w14:textId="77777777" w:rsidR="009F5848" w:rsidRPr="009C16AC" w:rsidRDefault="009F5848" w:rsidP="009F5848">
      <w:pPr>
        <w:autoSpaceDE w:val="0"/>
        <w:autoSpaceDN w:val="0"/>
        <w:adjustRightInd w:val="0"/>
        <w:rPr>
          <w:rFonts w:eastAsia="TimesNewRoman"/>
          <w:sz w:val="22"/>
          <w:szCs w:val="22"/>
          <w:u w:val="single"/>
          <w:lang w:val="lt-LT" w:eastAsia="en-US"/>
        </w:rPr>
      </w:pPr>
      <w:r w:rsidRPr="009C16AC">
        <w:rPr>
          <w:rFonts w:eastAsia="TimesNewRoman"/>
          <w:sz w:val="22"/>
          <w:szCs w:val="22"/>
          <w:u w:val="single"/>
          <w:lang w:val="lt-LT" w:eastAsia="en-US"/>
        </w:rPr>
        <w:t>Atsparumas</w:t>
      </w:r>
    </w:p>
    <w:p w14:paraId="589E3C61"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i/>
          <w:iCs/>
          <w:sz w:val="22"/>
          <w:szCs w:val="22"/>
          <w:lang w:val="lt-LT" w:eastAsia="en-US"/>
        </w:rPr>
        <w:t xml:space="preserve">In vitro </w:t>
      </w:r>
      <w:r w:rsidRPr="004509B9">
        <w:rPr>
          <w:rFonts w:eastAsia="TimesNewRoman"/>
          <w:sz w:val="22"/>
          <w:szCs w:val="22"/>
          <w:lang w:val="lt-LT" w:eastAsia="en-US"/>
        </w:rPr>
        <w:t>darunavirui atsparių virusų selekcija iš įprastinių ŽIV-1 vyko ilgai (&gt; 3 metus). Selekciniai virusai negalėjo augti, kai darunaviro koncentracija buvo didesnė kaip 400 nmol. Šiomis sąlygomis selekcionuoti virusai, kurių jautrumas darunavirui buvo sumažėjęs (nuo 23 iki 50 kartų), proteazės gene turėjo nuo 2 iki 4 pakeistų aminorūgščių. Sumažėjęs atsiradusių virusų jautrumas darunavirui atrankos eksperimento metu negali būti paaiškinamas šių proteazės mutacijų atsiradimu.</w:t>
      </w:r>
    </w:p>
    <w:p w14:paraId="497F2A95" w14:textId="77777777" w:rsidR="009F5848" w:rsidRPr="004509B9" w:rsidRDefault="009F5848" w:rsidP="009F5848">
      <w:pPr>
        <w:autoSpaceDE w:val="0"/>
        <w:autoSpaceDN w:val="0"/>
        <w:adjustRightInd w:val="0"/>
        <w:rPr>
          <w:rFonts w:eastAsia="TimesNewRoman"/>
          <w:sz w:val="22"/>
          <w:szCs w:val="22"/>
          <w:lang w:val="lt-LT" w:eastAsia="en-US"/>
        </w:rPr>
      </w:pPr>
    </w:p>
    <w:p w14:paraId="2E9182B4"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Klinikinių tyrimų, kuriuose dalyvavo pacientai, kuriems taikytas ARG (</w:t>
      </w:r>
      <w:r w:rsidRPr="004509B9">
        <w:rPr>
          <w:rFonts w:eastAsia="TimesNewRoman"/>
          <w:i/>
          <w:iCs/>
          <w:sz w:val="22"/>
          <w:szCs w:val="22"/>
          <w:lang w:val="lt-LT" w:eastAsia="en-US"/>
        </w:rPr>
        <w:t xml:space="preserve">TITAN </w:t>
      </w:r>
      <w:r w:rsidRPr="004509B9">
        <w:rPr>
          <w:rFonts w:eastAsia="TimesNewRoman"/>
          <w:sz w:val="22"/>
          <w:szCs w:val="22"/>
          <w:lang w:val="lt-LT" w:eastAsia="en-US"/>
        </w:rPr>
        <w:t xml:space="preserve">tyrimas ir jungtinė </w:t>
      </w:r>
      <w:r w:rsidRPr="004509B9">
        <w:rPr>
          <w:rFonts w:eastAsia="TimesNewRoman"/>
          <w:i/>
          <w:iCs/>
          <w:sz w:val="22"/>
          <w:szCs w:val="22"/>
          <w:lang w:val="lt-LT" w:eastAsia="en-US"/>
        </w:rPr>
        <w:t xml:space="preserve">POWER </w:t>
      </w:r>
      <w:r w:rsidRPr="004509B9">
        <w:rPr>
          <w:rFonts w:eastAsia="TimesNewRoman"/>
          <w:sz w:val="22"/>
          <w:szCs w:val="22"/>
          <w:lang w:val="lt-LT" w:eastAsia="en-US"/>
        </w:rPr>
        <w:t xml:space="preserve">1, 2 ir 3 bei </w:t>
      </w:r>
      <w:r w:rsidRPr="004509B9">
        <w:rPr>
          <w:rFonts w:eastAsia="TimesNewRoman"/>
          <w:i/>
          <w:iCs/>
          <w:sz w:val="22"/>
          <w:szCs w:val="22"/>
          <w:lang w:val="lt-LT" w:eastAsia="en-US"/>
        </w:rPr>
        <w:t xml:space="preserve">DUET </w:t>
      </w:r>
      <w:r w:rsidRPr="004509B9">
        <w:rPr>
          <w:rFonts w:eastAsia="TimesNewRoman"/>
          <w:sz w:val="22"/>
          <w:szCs w:val="22"/>
          <w:lang w:val="lt-LT" w:eastAsia="en-US"/>
        </w:rPr>
        <w:t xml:space="preserve">1 ir 2 tyrimų duomenų analizė), duomenys parodė, kad virusologinis atsakas į </w:t>
      </w:r>
      <w:r w:rsidR="00B11C54">
        <w:rPr>
          <w:rFonts w:eastAsia="TimesNewRoman"/>
          <w:sz w:val="22"/>
          <w:szCs w:val="22"/>
          <w:lang w:val="lt-LT" w:eastAsia="en-US"/>
        </w:rPr>
        <w:t>d</w:t>
      </w:r>
      <w:r w:rsidRPr="004509B9">
        <w:rPr>
          <w:rFonts w:eastAsia="TimesNewRoman"/>
          <w:sz w:val="22"/>
          <w:szCs w:val="22"/>
          <w:lang w:val="lt-LT" w:eastAsia="en-US"/>
        </w:rPr>
        <w:t>arunavirą, vartojamą kartu su maža ritonaviro doze, susilpnėjo, jeigu prieš pradedant gydymą buvo 3 ar daugiau ASM darunavirui (V11I, V32I, L33F, I47V, I50V, I54L arba M, T74P, L76V, I84V ir L89V) arba šios mutacijos atsirado gydymo metu.</w:t>
      </w:r>
    </w:p>
    <w:p w14:paraId="1F4FEE70" w14:textId="77777777" w:rsidR="009F5848" w:rsidRPr="004509B9" w:rsidRDefault="009F5848" w:rsidP="009F5848">
      <w:pPr>
        <w:autoSpaceDE w:val="0"/>
        <w:autoSpaceDN w:val="0"/>
        <w:adjustRightInd w:val="0"/>
        <w:rPr>
          <w:rFonts w:eastAsia="TimesNewRoman"/>
          <w:sz w:val="22"/>
          <w:szCs w:val="22"/>
          <w:lang w:val="lt-LT" w:eastAsia="en-US"/>
        </w:rPr>
      </w:pPr>
    </w:p>
    <w:p w14:paraId="587AF742"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Darunaviro EC</w:t>
      </w:r>
      <w:r w:rsidRPr="004509B9">
        <w:rPr>
          <w:rFonts w:eastAsia="TimesNewRoman"/>
          <w:sz w:val="14"/>
          <w:szCs w:val="14"/>
          <w:lang w:val="lt-LT" w:eastAsia="en-US"/>
        </w:rPr>
        <w:t xml:space="preserve">50 </w:t>
      </w:r>
      <w:r w:rsidRPr="004509B9">
        <w:rPr>
          <w:rFonts w:eastAsia="TimesNewRoman"/>
          <w:sz w:val="22"/>
          <w:szCs w:val="22"/>
          <w:lang w:val="lt-LT" w:eastAsia="en-US"/>
        </w:rPr>
        <w:t xml:space="preserve">pradinio pokyčio didėjimas (angl.: </w:t>
      </w:r>
      <w:r w:rsidRPr="004509B9">
        <w:rPr>
          <w:rFonts w:eastAsia="TimesNewRoman"/>
          <w:i/>
          <w:sz w:val="22"/>
          <w:szCs w:val="22"/>
          <w:lang w:val="lt-LT" w:eastAsia="en-US"/>
        </w:rPr>
        <w:t>fold change; FC</w:t>
      </w:r>
      <w:r w:rsidRPr="004509B9">
        <w:rPr>
          <w:rFonts w:eastAsia="TimesNewRoman"/>
          <w:sz w:val="22"/>
          <w:szCs w:val="22"/>
          <w:lang w:val="lt-LT" w:eastAsia="en-US"/>
        </w:rPr>
        <w:t>) buvo susijęs su virusologinio atsako mažėjimu. Buvo nustatytos apatinė 10 ir viršutinė 40 klinikinės šio rodmens ribos. Buvo vertinama, kad izoliatai, kurių pradinis FC ≤ 10, yra jautrūs, izoliatų, kurių FC yra nuo 10 iki 40, jautrumas yra sumažėjęs, o izoliatai, kurių FC &gt; 40, yra atsparūs (žr. klinikinių tyrimų duomenis).</w:t>
      </w:r>
    </w:p>
    <w:p w14:paraId="006C7E24" w14:textId="77777777" w:rsidR="009F5848" w:rsidRPr="004509B9" w:rsidRDefault="009F5848" w:rsidP="009F5848">
      <w:pPr>
        <w:autoSpaceDE w:val="0"/>
        <w:autoSpaceDN w:val="0"/>
        <w:adjustRightInd w:val="0"/>
        <w:rPr>
          <w:rFonts w:eastAsia="TimesNewRoman"/>
          <w:sz w:val="22"/>
          <w:szCs w:val="22"/>
          <w:lang w:val="lt-LT" w:eastAsia="en-US"/>
        </w:rPr>
      </w:pPr>
    </w:p>
    <w:p w14:paraId="5D2FD26A"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Iš pacientų, vartojančių 600/100 mg darunaviro/ritonaviro du kartus per parą, kuriems pasireiškė atkrytis dėl virusologinio atsako nepakankamumo, organizmo išskirti virusai, kurie prieš pradedant gydymą buvo jautrūs tipranavirui, didžiojoje daugumoje atvejų išliko jautrūs tipranavirui ir po gydymo.</w:t>
      </w:r>
    </w:p>
    <w:p w14:paraId="0EA81437" w14:textId="77777777" w:rsidR="009F5848" w:rsidRPr="004509B9" w:rsidRDefault="009F5848" w:rsidP="009F5848">
      <w:pPr>
        <w:autoSpaceDE w:val="0"/>
        <w:autoSpaceDN w:val="0"/>
        <w:adjustRightInd w:val="0"/>
        <w:rPr>
          <w:rFonts w:eastAsia="TimesNewRoman"/>
          <w:sz w:val="22"/>
          <w:szCs w:val="22"/>
          <w:lang w:val="lt-LT" w:eastAsia="en-US"/>
        </w:rPr>
      </w:pPr>
    </w:p>
    <w:p w14:paraId="611C298A"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Rečiausiai atsparumą įgavusių ŽIV virusų randama ARG dar negavusiems pacientams, kurie pirmą kartą gydomi darunaviru kartu su kitokiu ARG.</w:t>
      </w:r>
    </w:p>
    <w:p w14:paraId="10728FBE" w14:textId="77777777" w:rsidR="009F5848" w:rsidRPr="004509B9" w:rsidRDefault="009F5848" w:rsidP="009F5848">
      <w:pPr>
        <w:autoSpaceDE w:val="0"/>
        <w:autoSpaceDN w:val="0"/>
        <w:adjustRightInd w:val="0"/>
        <w:rPr>
          <w:rFonts w:eastAsia="TimesNewRoman"/>
          <w:sz w:val="22"/>
          <w:szCs w:val="22"/>
          <w:lang w:val="lt-LT" w:eastAsia="en-US"/>
        </w:rPr>
      </w:pPr>
    </w:p>
    <w:p w14:paraId="16012220"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Toliau esančioje lentelėje parodytas ŽIV-1 proteazės mutacijų atsiradimas ir jautrumo PI išnykimas virusologinio atsako nepakankamumo atvejais </w:t>
      </w:r>
      <w:r w:rsidRPr="004509B9">
        <w:rPr>
          <w:rFonts w:eastAsia="TimesNewRoman"/>
          <w:i/>
          <w:iCs/>
          <w:sz w:val="22"/>
          <w:szCs w:val="22"/>
          <w:lang w:val="lt-LT" w:eastAsia="en-US"/>
        </w:rPr>
        <w:t>ARTEMIS</w:t>
      </w:r>
      <w:r w:rsidRPr="004509B9">
        <w:rPr>
          <w:rFonts w:eastAsia="TimesNewRoman"/>
          <w:sz w:val="22"/>
          <w:szCs w:val="22"/>
          <w:lang w:val="lt-LT" w:eastAsia="en-US"/>
        </w:rPr>
        <w:t xml:space="preserve">, </w:t>
      </w:r>
      <w:r w:rsidRPr="004509B9">
        <w:rPr>
          <w:rFonts w:eastAsia="TimesNewRoman"/>
          <w:i/>
          <w:iCs/>
          <w:sz w:val="22"/>
          <w:szCs w:val="22"/>
          <w:lang w:val="lt-LT" w:eastAsia="en-US"/>
        </w:rPr>
        <w:t xml:space="preserve">ODIN </w:t>
      </w:r>
      <w:r w:rsidRPr="004509B9">
        <w:rPr>
          <w:rFonts w:eastAsia="TimesNewRoman"/>
          <w:sz w:val="22"/>
          <w:szCs w:val="22"/>
          <w:lang w:val="lt-LT" w:eastAsia="en-US"/>
        </w:rPr>
        <w:t xml:space="preserve">ir </w:t>
      </w:r>
      <w:r w:rsidRPr="004509B9">
        <w:rPr>
          <w:rFonts w:eastAsia="TimesNewRoman"/>
          <w:i/>
          <w:iCs/>
          <w:sz w:val="22"/>
          <w:szCs w:val="22"/>
          <w:lang w:val="lt-LT" w:eastAsia="en-US"/>
        </w:rPr>
        <w:t xml:space="preserve">TITAN </w:t>
      </w:r>
      <w:r w:rsidRPr="004509B9">
        <w:rPr>
          <w:rFonts w:eastAsia="TimesNewRoman"/>
          <w:sz w:val="22"/>
          <w:szCs w:val="22"/>
          <w:lang w:val="lt-LT" w:eastAsia="en-US"/>
        </w:rPr>
        <w:t>tyrimų vertinamosios baigties metu.</w:t>
      </w:r>
    </w:p>
    <w:p w14:paraId="4486DEA5" w14:textId="77777777" w:rsidR="009F5848" w:rsidRPr="004509B9" w:rsidRDefault="009F5848" w:rsidP="009F5848">
      <w:pPr>
        <w:autoSpaceDE w:val="0"/>
        <w:autoSpaceDN w:val="0"/>
        <w:adjustRightInd w:val="0"/>
        <w:rPr>
          <w:rFonts w:eastAsia="TimesNewRoman"/>
          <w:sz w:val="22"/>
          <w:szCs w:val="22"/>
          <w:lang w:val="lt-LT" w:eastAsia="en-US"/>
        </w:rPr>
      </w:pPr>
    </w:p>
    <w:tbl>
      <w:tblPr>
        <w:tblW w:w="9277" w:type="dxa"/>
        <w:tblInd w:w="104" w:type="dxa"/>
        <w:tblLayout w:type="fixed"/>
        <w:tblCellMar>
          <w:left w:w="0" w:type="dxa"/>
          <w:right w:w="0" w:type="dxa"/>
        </w:tblCellMar>
        <w:tblLook w:val="01E0" w:firstRow="1" w:lastRow="1" w:firstColumn="1" w:lastColumn="1" w:noHBand="0" w:noVBand="0"/>
      </w:tblPr>
      <w:tblGrid>
        <w:gridCol w:w="2230"/>
        <w:gridCol w:w="81"/>
        <w:gridCol w:w="1701"/>
        <w:gridCol w:w="1703"/>
        <w:gridCol w:w="1707"/>
        <w:gridCol w:w="1855"/>
      </w:tblGrid>
      <w:tr w:rsidR="009F5848" w:rsidRPr="00C75EC3" w14:paraId="7F86FEEB" w14:textId="77777777" w:rsidTr="009F5848">
        <w:trPr>
          <w:trHeight w:hRule="exact" w:val="683"/>
        </w:trPr>
        <w:tc>
          <w:tcPr>
            <w:tcW w:w="2311" w:type="dxa"/>
            <w:gridSpan w:val="2"/>
            <w:vMerge w:val="restart"/>
            <w:tcBorders>
              <w:top w:val="single" w:sz="4" w:space="0" w:color="000000"/>
              <w:left w:val="single" w:sz="4" w:space="0" w:color="000000"/>
              <w:right w:val="single" w:sz="4" w:space="0" w:color="000000"/>
            </w:tcBorders>
          </w:tcPr>
          <w:p w14:paraId="0518428D" w14:textId="77777777" w:rsidR="009F5848" w:rsidRPr="004509B9" w:rsidRDefault="009F5848" w:rsidP="009F5848">
            <w:pPr>
              <w:tabs>
                <w:tab w:val="left" w:pos="567"/>
              </w:tabs>
              <w:spacing w:line="260" w:lineRule="exact"/>
              <w:rPr>
                <w:rFonts w:eastAsia="Times New Roman"/>
                <w:sz w:val="22"/>
                <w:lang w:val="lt-LT" w:eastAsia="en-US"/>
              </w:rPr>
            </w:pPr>
          </w:p>
        </w:tc>
        <w:tc>
          <w:tcPr>
            <w:tcW w:w="1701" w:type="dxa"/>
            <w:tcBorders>
              <w:top w:val="single" w:sz="4" w:space="0" w:color="000000"/>
              <w:left w:val="single" w:sz="4" w:space="0" w:color="000000"/>
              <w:bottom w:val="single" w:sz="4" w:space="0" w:color="000000"/>
              <w:right w:val="single" w:sz="4" w:space="0" w:color="000000"/>
            </w:tcBorders>
            <w:hideMark/>
          </w:tcPr>
          <w:p w14:paraId="0EBDD033" w14:textId="77777777" w:rsidR="009F5848" w:rsidRPr="004509B9" w:rsidRDefault="009F5848" w:rsidP="009F5848">
            <w:pPr>
              <w:tabs>
                <w:tab w:val="left" w:pos="223"/>
              </w:tabs>
              <w:spacing w:before="15" w:line="228" w:lineRule="exact"/>
              <w:ind w:left="223" w:right="320"/>
              <w:rPr>
                <w:rFonts w:eastAsia="Times New Roman"/>
                <w:sz w:val="20"/>
                <w:lang w:val="lt-LT" w:eastAsia="en-US"/>
              </w:rPr>
            </w:pPr>
            <w:r w:rsidRPr="004509B9">
              <w:rPr>
                <w:rFonts w:eastAsia="Times New Roman"/>
                <w:spacing w:val="1"/>
                <w:sz w:val="20"/>
                <w:lang w:val="lt-LT" w:eastAsia="en-US"/>
              </w:rPr>
              <w:t>ARTEMIS 192 savaitė</w:t>
            </w:r>
          </w:p>
        </w:tc>
        <w:tc>
          <w:tcPr>
            <w:tcW w:w="3410" w:type="dxa"/>
            <w:gridSpan w:val="2"/>
            <w:tcBorders>
              <w:top w:val="single" w:sz="4" w:space="0" w:color="000000"/>
              <w:left w:val="single" w:sz="4" w:space="0" w:color="000000"/>
              <w:bottom w:val="single" w:sz="4" w:space="0" w:color="000000"/>
              <w:right w:val="single" w:sz="4" w:space="0" w:color="000000"/>
            </w:tcBorders>
            <w:hideMark/>
          </w:tcPr>
          <w:p w14:paraId="22E8F81D" w14:textId="77777777" w:rsidR="009F5848" w:rsidRPr="004509B9" w:rsidRDefault="009F5848" w:rsidP="009F5848">
            <w:pPr>
              <w:tabs>
                <w:tab w:val="left" w:pos="567"/>
              </w:tabs>
              <w:spacing w:before="15" w:line="228" w:lineRule="exact"/>
              <w:ind w:left="407" w:right="320" w:hanging="31"/>
              <w:jc w:val="center"/>
              <w:rPr>
                <w:rFonts w:eastAsia="Times New Roman"/>
                <w:spacing w:val="1"/>
                <w:sz w:val="20"/>
                <w:lang w:val="lt-LT" w:eastAsia="en-US"/>
              </w:rPr>
            </w:pPr>
            <w:r w:rsidRPr="004509B9">
              <w:rPr>
                <w:rFonts w:eastAsia="Times New Roman"/>
                <w:spacing w:val="1"/>
                <w:sz w:val="20"/>
                <w:lang w:val="lt-LT" w:eastAsia="en-US"/>
              </w:rPr>
              <w:t>ODIN</w:t>
            </w:r>
          </w:p>
          <w:p w14:paraId="5E83443B" w14:textId="77777777" w:rsidR="009F5848" w:rsidRPr="004509B9" w:rsidRDefault="009F5848" w:rsidP="009F5848">
            <w:pPr>
              <w:tabs>
                <w:tab w:val="left" w:pos="567"/>
              </w:tabs>
              <w:spacing w:before="15" w:line="228" w:lineRule="exact"/>
              <w:ind w:left="407" w:right="320" w:hanging="31"/>
              <w:jc w:val="center"/>
              <w:rPr>
                <w:rFonts w:eastAsia="Times New Roman"/>
                <w:spacing w:val="1"/>
                <w:sz w:val="20"/>
                <w:lang w:val="lt-LT" w:eastAsia="en-US"/>
              </w:rPr>
            </w:pPr>
            <w:r w:rsidRPr="004509B9">
              <w:rPr>
                <w:rFonts w:eastAsia="Times New Roman"/>
                <w:spacing w:val="1"/>
                <w:sz w:val="20"/>
                <w:lang w:val="lt-LT" w:eastAsia="en-US"/>
              </w:rPr>
              <w:t>48 savaitė</w:t>
            </w:r>
          </w:p>
        </w:tc>
        <w:tc>
          <w:tcPr>
            <w:tcW w:w="1855" w:type="dxa"/>
            <w:tcBorders>
              <w:top w:val="single" w:sz="4" w:space="0" w:color="000000"/>
              <w:left w:val="single" w:sz="4" w:space="0" w:color="000000"/>
              <w:bottom w:val="single" w:sz="4" w:space="0" w:color="000000"/>
              <w:right w:val="single" w:sz="4" w:space="0" w:color="000000"/>
            </w:tcBorders>
            <w:hideMark/>
          </w:tcPr>
          <w:p w14:paraId="6CDD6126" w14:textId="77777777" w:rsidR="009F5848" w:rsidRPr="004509B9" w:rsidRDefault="009F5848" w:rsidP="009F5848">
            <w:pPr>
              <w:tabs>
                <w:tab w:val="left" w:pos="567"/>
              </w:tabs>
              <w:spacing w:before="15" w:line="228" w:lineRule="exact"/>
              <w:ind w:left="407" w:right="320" w:hanging="31"/>
              <w:jc w:val="center"/>
              <w:rPr>
                <w:rFonts w:eastAsia="Times New Roman"/>
                <w:spacing w:val="1"/>
                <w:sz w:val="20"/>
                <w:lang w:val="lt-LT" w:eastAsia="en-US"/>
              </w:rPr>
            </w:pPr>
            <w:r w:rsidRPr="004509B9">
              <w:rPr>
                <w:rFonts w:eastAsia="Times New Roman"/>
                <w:spacing w:val="1"/>
                <w:sz w:val="20"/>
                <w:lang w:val="lt-LT" w:eastAsia="en-US"/>
              </w:rPr>
              <w:t>TITAN</w:t>
            </w:r>
          </w:p>
          <w:p w14:paraId="03E4E738" w14:textId="77777777" w:rsidR="009F5848" w:rsidRPr="004509B9" w:rsidRDefault="009F5848" w:rsidP="009F5848">
            <w:pPr>
              <w:tabs>
                <w:tab w:val="left" w:pos="567"/>
              </w:tabs>
              <w:spacing w:before="15" w:line="228" w:lineRule="exact"/>
              <w:ind w:left="407" w:right="320" w:hanging="31"/>
              <w:jc w:val="center"/>
              <w:rPr>
                <w:rFonts w:eastAsia="Times New Roman"/>
                <w:spacing w:val="1"/>
                <w:sz w:val="20"/>
                <w:lang w:val="lt-LT" w:eastAsia="en-US"/>
              </w:rPr>
            </w:pPr>
            <w:r w:rsidRPr="004509B9">
              <w:rPr>
                <w:rFonts w:eastAsia="Times New Roman"/>
                <w:spacing w:val="1"/>
                <w:sz w:val="20"/>
                <w:lang w:val="lt-LT" w:eastAsia="en-US"/>
              </w:rPr>
              <w:t>48 savaitė</w:t>
            </w:r>
          </w:p>
        </w:tc>
      </w:tr>
      <w:tr w:rsidR="009F5848" w:rsidRPr="00C75EC3" w14:paraId="34F06103" w14:textId="77777777" w:rsidTr="009F5848">
        <w:trPr>
          <w:trHeight w:hRule="exact" w:val="1274"/>
        </w:trPr>
        <w:tc>
          <w:tcPr>
            <w:tcW w:w="2311" w:type="dxa"/>
            <w:gridSpan w:val="2"/>
            <w:vMerge/>
            <w:tcBorders>
              <w:left w:val="single" w:sz="4" w:space="0" w:color="000000"/>
              <w:bottom w:val="single" w:sz="4" w:space="0" w:color="000000"/>
              <w:right w:val="single" w:sz="4" w:space="0" w:color="000000"/>
            </w:tcBorders>
          </w:tcPr>
          <w:p w14:paraId="78EE8AAF" w14:textId="77777777" w:rsidR="009F5848" w:rsidRPr="004509B9" w:rsidRDefault="009F5848" w:rsidP="009F5848">
            <w:pPr>
              <w:tabs>
                <w:tab w:val="left" w:pos="567"/>
              </w:tabs>
              <w:spacing w:line="260" w:lineRule="exact"/>
              <w:rPr>
                <w:rFonts w:eastAsia="Times New Roman"/>
                <w:sz w:val="22"/>
                <w:lang w:val="lt-LT" w:eastAsia="en-US"/>
              </w:rPr>
            </w:pPr>
          </w:p>
        </w:tc>
        <w:tc>
          <w:tcPr>
            <w:tcW w:w="1701" w:type="dxa"/>
            <w:tcBorders>
              <w:top w:val="single" w:sz="4" w:space="0" w:color="000000"/>
              <w:left w:val="single" w:sz="4" w:space="0" w:color="000000"/>
              <w:bottom w:val="single" w:sz="4" w:space="0" w:color="000000"/>
              <w:right w:val="single" w:sz="4" w:space="0" w:color="000000"/>
            </w:tcBorders>
            <w:hideMark/>
          </w:tcPr>
          <w:p w14:paraId="724B4B97" w14:textId="77777777" w:rsidR="009F5848" w:rsidRPr="004509B9" w:rsidRDefault="009F5848" w:rsidP="009F5848">
            <w:pPr>
              <w:tabs>
                <w:tab w:val="left" w:pos="567"/>
              </w:tabs>
              <w:spacing w:before="11" w:line="230" w:lineRule="exact"/>
              <w:ind w:left="102" w:right="81"/>
              <w:jc w:val="center"/>
              <w:rPr>
                <w:rFonts w:eastAsia="Times New Roman"/>
                <w:sz w:val="20"/>
                <w:lang w:val="lt-LT" w:eastAsia="en-US"/>
              </w:rPr>
            </w:pPr>
            <w:r w:rsidRPr="004509B9">
              <w:rPr>
                <w:rFonts w:eastAsia="Times New Roman"/>
                <w:sz w:val="20"/>
                <w:lang w:val="lt-LT" w:eastAsia="en-US"/>
              </w:rPr>
              <w:t>Darunavir/</w:t>
            </w:r>
          </w:p>
          <w:p w14:paraId="4D9FCEF9" w14:textId="77777777" w:rsidR="009F5848" w:rsidRPr="004509B9" w:rsidRDefault="009F5848" w:rsidP="009F5848">
            <w:pPr>
              <w:tabs>
                <w:tab w:val="left" w:pos="567"/>
              </w:tabs>
              <w:spacing w:before="11" w:line="230" w:lineRule="exact"/>
              <w:ind w:left="102" w:right="81"/>
              <w:jc w:val="center"/>
              <w:rPr>
                <w:rFonts w:eastAsia="Times New Roman"/>
                <w:sz w:val="20"/>
                <w:lang w:val="lt-LT" w:eastAsia="en-US"/>
              </w:rPr>
            </w:pPr>
            <w:r w:rsidRPr="004509B9">
              <w:rPr>
                <w:rFonts w:eastAsia="Times New Roman"/>
                <w:sz w:val="20"/>
                <w:lang w:val="lt-LT" w:eastAsia="en-US"/>
              </w:rPr>
              <w:t>ritonavir</w:t>
            </w:r>
          </w:p>
          <w:p w14:paraId="06D40EB0" w14:textId="77777777" w:rsidR="009F5848" w:rsidRPr="004509B9" w:rsidRDefault="009F5848" w:rsidP="009F5848">
            <w:pPr>
              <w:tabs>
                <w:tab w:val="left" w:pos="567"/>
              </w:tabs>
              <w:spacing w:before="11" w:line="230" w:lineRule="exact"/>
              <w:ind w:left="102" w:right="81"/>
              <w:jc w:val="center"/>
              <w:rPr>
                <w:rFonts w:eastAsia="Times New Roman"/>
                <w:sz w:val="20"/>
                <w:lang w:val="lt-LT" w:eastAsia="en-US"/>
              </w:rPr>
            </w:pPr>
            <w:r w:rsidRPr="004509B9">
              <w:rPr>
                <w:rFonts w:eastAsia="Times New Roman"/>
                <w:sz w:val="20"/>
                <w:lang w:val="lt-LT" w:eastAsia="en-US"/>
              </w:rPr>
              <w:t>800/100 mg vieną kartą per parą</w:t>
            </w:r>
          </w:p>
          <w:p w14:paraId="10441C74" w14:textId="77777777" w:rsidR="009F5848" w:rsidRPr="004509B9" w:rsidRDefault="009F5848" w:rsidP="009F5848">
            <w:pPr>
              <w:tabs>
                <w:tab w:val="left" w:pos="567"/>
              </w:tabs>
              <w:spacing w:before="11" w:line="230" w:lineRule="exact"/>
              <w:ind w:left="102" w:right="81"/>
              <w:jc w:val="center"/>
              <w:rPr>
                <w:rFonts w:eastAsia="Times New Roman"/>
                <w:sz w:val="20"/>
                <w:lang w:val="lt-LT" w:eastAsia="en-US"/>
              </w:rPr>
            </w:pPr>
            <w:r w:rsidRPr="004509B9">
              <w:rPr>
                <w:rFonts w:eastAsia="Times New Roman"/>
                <w:sz w:val="20"/>
                <w:lang w:val="lt-LT" w:eastAsia="en-US"/>
              </w:rPr>
              <w:t>N=343</w:t>
            </w:r>
          </w:p>
        </w:tc>
        <w:tc>
          <w:tcPr>
            <w:tcW w:w="1703" w:type="dxa"/>
            <w:tcBorders>
              <w:top w:val="single" w:sz="4" w:space="0" w:color="000000"/>
              <w:left w:val="single" w:sz="4" w:space="0" w:color="000000"/>
              <w:bottom w:val="single" w:sz="4" w:space="0" w:color="000000"/>
              <w:right w:val="single" w:sz="4" w:space="0" w:color="000000"/>
            </w:tcBorders>
            <w:hideMark/>
          </w:tcPr>
          <w:p w14:paraId="20044F8E" w14:textId="77777777" w:rsidR="009F5848" w:rsidRPr="004509B9" w:rsidRDefault="009F5848" w:rsidP="009F5848">
            <w:pPr>
              <w:tabs>
                <w:tab w:val="left" w:pos="567"/>
              </w:tabs>
              <w:spacing w:before="11" w:line="230" w:lineRule="exact"/>
              <w:ind w:left="102" w:right="81"/>
              <w:jc w:val="center"/>
              <w:rPr>
                <w:rFonts w:eastAsia="Times New Roman"/>
                <w:sz w:val="20"/>
                <w:lang w:val="lt-LT" w:eastAsia="en-US"/>
              </w:rPr>
            </w:pPr>
            <w:r w:rsidRPr="004509B9">
              <w:rPr>
                <w:rFonts w:eastAsia="Times New Roman"/>
                <w:sz w:val="20"/>
                <w:lang w:val="lt-LT" w:eastAsia="en-US"/>
              </w:rPr>
              <w:t>Darunavir/</w:t>
            </w:r>
          </w:p>
          <w:p w14:paraId="606CC404" w14:textId="77777777" w:rsidR="009F5848" w:rsidRPr="004509B9" w:rsidRDefault="009F5848" w:rsidP="009F5848">
            <w:pPr>
              <w:tabs>
                <w:tab w:val="left" w:pos="567"/>
              </w:tabs>
              <w:spacing w:before="11" w:line="230" w:lineRule="exact"/>
              <w:ind w:left="102" w:right="81"/>
              <w:jc w:val="center"/>
              <w:rPr>
                <w:rFonts w:eastAsia="Times New Roman"/>
                <w:sz w:val="20"/>
                <w:lang w:val="lt-LT" w:eastAsia="en-US"/>
              </w:rPr>
            </w:pPr>
            <w:r w:rsidRPr="004509B9">
              <w:rPr>
                <w:rFonts w:eastAsia="Times New Roman"/>
                <w:sz w:val="20"/>
                <w:lang w:val="lt-LT" w:eastAsia="en-US"/>
              </w:rPr>
              <w:t>ritonavir</w:t>
            </w:r>
          </w:p>
          <w:p w14:paraId="47A8A797" w14:textId="77777777" w:rsidR="009F5848" w:rsidRPr="004509B9" w:rsidRDefault="009F5848" w:rsidP="009F5848">
            <w:pPr>
              <w:tabs>
                <w:tab w:val="left" w:pos="567"/>
              </w:tabs>
              <w:spacing w:before="11" w:line="230" w:lineRule="exact"/>
              <w:ind w:left="102" w:right="81"/>
              <w:jc w:val="center"/>
              <w:rPr>
                <w:rFonts w:eastAsia="Times New Roman"/>
                <w:sz w:val="20"/>
                <w:lang w:val="lt-LT" w:eastAsia="en-US"/>
              </w:rPr>
            </w:pPr>
            <w:r w:rsidRPr="004509B9">
              <w:rPr>
                <w:rFonts w:eastAsia="Times New Roman"/>
                <w:sz w:val="20"/>
                <w:lang w:val="lt-LT" w:eastAsia="en-US"/>
              </w:rPr>
              <w:t>800/100 mg vieną kartą per parą</w:t>
            </w:r>
          </w:p>
          <w:p w14:paraId="2C323967" w14:textId="77777777" w:rsidR="009F5848" w:rsidRPr="004509B9" w:rsidRDefault="009F5848" w:rsidP="009F5848">
            <w:pPr>
              <w:tabs>
                <w:tab w:val="left" w:pos="567"/>
              </w:tabs>
              <w:spacing w:before="11" w:line="230" w:lineRule="exact"/>
              <w:ind w:left="102" w:right="81"/>
              <w:jc w:val="center"/>
              <w:rPr>
                <w:rFonts w:eastAsia="Times New Roman"/>
                <w:sz w:val="20"/>
                <w:lang w:val="lt-LT" w:eastAsia="en-US"/>
              </w:rPr>
            </w:pPr>
            <w:r w:rsidRPr="004509B9">
              <w:rPr>
                <w:rFonts w:eastAsia="Times New Roman"/>
                <w:sz w:val="20"/>
                <w:lang w:val="lt-LT" w:eastAsia="en-US"/>
              </w:rPr>
              <w:t>N=294</w:t>
            </w:r>
          </w:p>
        </w:tc>
        <w:tc>
          <w:tcPr>
            <w:tcW w:w="1707" w:type="dxa"/>
            <w:tcBorders>
              <w:top w:val="single" w:sz="4" w:space="0" w:color="000000"/>
              <w:left w:val="single" w:sz="4" w:space="0" w:color="000000"/>
              <w:bottom w:val="single" w:sz="4" w:space="0" w:color="000000"/>
              <w:right w:val="single" w:sz="4" w:space="0" w:color="000000"/>
            </w:tcBorders>
            <w:hideMark/>
          </w:tcPr>
          <w:p w14:paraId="1DD0ED53" w14:textId="77777777" w:rsidR="009F5848" w:rsidRPr="004509B9" w:rsidRDefault="009F5848" w:rsidP="009F5848">
            <w:pPr>
              <w:tabs>
                <w:tab w:val="left" w:pos="567"/>
              </w:tabs>
              <w:spacing w:before="11" w:line="230" w:lineRule="exact"/>
              <w:ind w:left="102" w:right="81"/>
              <w:jc w:val="center"/>
              <w:rPr>
                <w:rFonts w:eastAsia="Times New Roman"/>
                <w:sz w:val="20"/>
                <w:lang w:val="lt-LT" w:eastAsia="en-US"/>
              </w:rPr>
            </w:pPr>
            <w:r w:rsidRPr="004509B9">
              <w:rPr>
                <w:rFonts w:eastAsia="Times New Roman"/>
                <w:sz w:val="20"/>
                <w:lang w:val="lt-LT" w:eastAsia="en-US"/>
              </w:rPr>
              <w:t>Darunavir/</w:t>
            </w:r>
          </w:p>
          <w:p w14:paraId="732D58E0" w14:textId="77777777" w:rsidR="009F5848" w:rsidRPr="004509B9" w:rsidRDefault="009F5848" w:rsidP="009F5848">
            <w:pPr>
              <w:tabs>
                <w:tab w:val="left" w:pos="567"/>
              </w:tabs>
              <w:spacing w:before="11" w:line="230" w:lineRule="exact"/>
              <w:ind w:left="102" w:right="81"/>
              <w:jc w:val="center"/>
              <w:rPr>
                <w:rFonts w:eastAsia="Times New Roman"/>
                <w:sz w:val="20"/>
                <w:lang w:val="lt-LT" w:eastAsia="en-US"/>
              </w:rPr>
            </w:pPr>
            <w:r w:rsidRPr="004509B9">
              <w:rPr>
                <w:rFonts w:eastAsia="Times New Roman"/>
                <w:sz w:val="20"/>
                <w:lang w:val="lt-LT" w:eastAsia="en-US"/>
              </w:rPr>
              <w:t>ritonavir</w:t>
            </w:r>
          </w:p>
          <w:p w14:paraId="2DB76D68" w14:textId="77777777" w:rsidR="009F5848" w:rsidRPr="004509B9" w:rsidRDefault="009F5848" w:rsidP="009F5848">
            <w:pPr>
              <w:tabs>
                <w:tab w:val="left" w:pos="567"/>
              </w:tabs>
              <w:spacing w:before="11" w:line="230" w:lineRule="exact"/>
              <w:ind w:left="102" w:right="81"/>
              <w:jc w:val="center"/>
              <w:rPr>
                <w:rFonts w:eastAsia="Times New Roman"/>
                <w:sz w:val="20"/>
                <w:lang w:val="lt-LT" w:eastAsia="en-US"/>
              </w:rPr>
            </w:pPr>
            <w:r w:rsidRPr="004509B9">
              <w:rPr>
                <w:rFonts w:eastAsia="Times New Roman"/>
                <w:sz w:val="20"/>
                <w:lang w:val="lt-LT" w:eastAsia="en-US"/>
              </w:rPr>
              <w:t>600/100  mg du kartus per parą</w:t>
            </w:r>
          </w:p>
          <w:p w14:paraId="70ECF523" w14:textId="77777777" w:rsidR="009F5848" w:rsidRPr="004509B9" w:rsidRDefault="009F5848" w:rsidP="009F5848">
            <w:pPr>
              <w:tabs>
                <w:tab w:val="left" w:pos="567"/>
              </w:tabs>
              <w:spacing w:before="11" w:line="230" w:lineRule="exact"/>
              <w:ind w:left="102" w:right="81"/>
              <w:jc w:val="center"/>
              <w:rPr>
                <w:rFonts w:eastAsia="Times New Roman"/>
                <w:sz w:val="20"/>
                <w:lang w:val="lt-LT" w:eastAsia="en-US"/>
              </w:rPr>
            </w:pPr>
            <w:r w:rsidRPr="004509B9">
              <w:rPr>
                <w:rFonts w:eastAsia="Times New Roman"/>
                <w:sz w:val="20"/>
                <w:lang w:val="lt-LT" w:eastAsia="en-US"/>
              </w:rPr>
              <w:t>N=296</w:t>
            </w:r>
          </w:p>
        </w:tc>
        <w:tc>
          <w:tcPr>
            <w:tcW w:w="1855" w:type="dxa"/>
            <w:tcBorders>
              <w:top w:val="single" w:sz="4" w:space="0" w:color="000000"/>
              <w:left w:val="single" w:sz="4" w:space="0" w:color="000000"/>
              <w:bottom w:val="single" w:sz="4" w:space="0" w:color="000000"/>
              <w:right w:val="single" w:sz="4" w:space="0" w:color="000000"/>
            </w:tcBorders>
            <w:hideMark/>
          </w:tcPr>
          <w:p w14:paraId="4D852F0F" w14:textId="77777777" w:rsidR="009F5848" w:rsidRPr="004509B9" w:rsidRDefault="009F5848" w:rsidP="009F5848">
            <w:pPr>
              <w:tabs>
                <w:tab w:val="left" w:pos="567"/>
              </w:tabs>
              <w:spacing w:before="11" w:line="230" w:lineRule="exact"/>
              <w:ind w:left="102" w:right="81"/>
              <w:jc w:val="center"/>
              <w:rPr>
                <w:rFonts w:eastAsia="Times New Roman"/>
                <w:sz w:val="20"/>
                <w:lang w:val="lt-LT" w:eastAsia="en-US"/>
              </w:rPr>
            </w:pPr>
            <w:r w:rsidRPr="004509B9">
              <w:rPr>
                <w:rFonts w:eastAsia="Times New Roman"/>
                <w:sz w:val="20"/>
                <w:lang w:val="lt-LT" w:eastAsia="en-US"/>
              </w:rPr>
              <w:t>Darunavir/</w:t>
            </w:r>
          </w:p>
          <w:p w14:paraId="096B294B" w14:textId="77777777" w:rsidR="009F5848" w:rsidRPr="004509B9" w:rsidRDefault="009F5848" w:rsidP="009F5848">
            <w:pPr>
              <w:tabs>
                <w:tab w:val="left" w:pos="567"/>
              </w:tabs>
              <w:spacing w:before="11" w:line="230" w:lineRule="exact"/>
              <w:ind w:left="102" w:right="81"/>
              <w:jc w:val="center"/>
              <w:rPr>
                <w:rFonts w:eastAsia="Times New Roman"/>
                <w:sz w:val="20"/>
                <w:lang w:val="lt-LT" w:eastAsia="en-US"/>
              </w:rPr>
            </w:pPr>
            <w:r w:rsidRPr="004509B9">
              <w:rPr>
                <w:rFonts w:eastAsia="Times New Roman"/>
                <w:sz w:val="20"/>
                <w:lang w:val="lt-LT" w:eastAsia="en-US"/>
              </w:rPr>
              <w:t>ritonavir</w:t>
            </w:r>
          </w:p>
          <w:p w14:paraId="6F1BE9BA" w14:textId="77777777" w:rsidR="009F5848" w:rsidRPr="004509B9" w:rsidRDefault="009F5848" w:rsidP="009F5848">
            <w:pPr>
              <w:tabs>
                <w:tab w:val="left" w:pos="567"/>
              </w:tabs>
              <w:spacing w:before="11" w:line="230" w:lineRule="exact"/>
              <w:ind w:left="102" w:right="81"/>
              <w:jc w:val="center"/>
              <w:rPr>
                <w:rFonts w:eastAsia="Times New Roman"/>
                <w:sz w:val="20"/>
                <w:lang w:val="lt-LT" w:eastAsia="en-US"/>
              </w:rPr>
            </w:pPr>
            <w:r w:rsidRPr="004509B9">
              <w:rPr>
                <w:rFonts w:eastAsia="Times New Roman"/>
                <w:sz w:val="20"/>
                <w:lang w:val="lt-LT" w:eastAsia="en-US"/>
              </w:rPr>
              <w:t>600/100 mg du kartus per parą</w:t>
            </w:r>
          </w:p>
          <w:p w14:paraId="1CE2695A" w14:textId="77777777" w:rsidR="009F5848" w:rsidRPr="004509B9" w:rsidRDefault="009F5848" w:rsidP="009F5848">
            <w:pPr>
              <w:tabs>
                <w:tab w:val="left" w:pos="567"/>
              </w:tabs>
              <w:spacing w:before="11" w:line="230" w:lineRule="exact"/>
              <w:ind w:left="102" w:right="81"/>
              <w:jc w:val="center"/>
              <w:rPr>
                <w:rFonts w:eastAsia="Times New Roman"/>
                <w:sz w:val="20"/>
                <w:lang w:val="lt-LT" w:eastAsia="en-US"/>
              </w:rPr>
            </w:pPr>
            <w:r w:rsidRPr="004509B9">
              <w:rPr>
                <w:rFonts w:eastAsia="Times New Roman"/>
                <w:sz w:val="20"/>
                <w:lang w:val="lt-LT" w:eastAsia="en-US"/>
              </w:rPr>
              <w:t>N=298</w:t>
            </w:r>
          </w:p>
        </w:tc>
      </w:tr>
      <w:tr w:rsidR="009F5848" w:rsidRPr="00C75EC3" w14:paraId="135D1833" w14:textId="77777777" w:rsidTr="009F5848">
        <w:trPr>
          <w:trHeight w:hRule="exact" w:val="1702"/>
        </w:trPr>
        <w:tc>
          <w:tcPr>
            <w:tcW w:w="2311" w:type="dxa"/>
            <w:gridSpan w:val="2"/>
            <w:tcBorders>
              <w:top w:val="single" w:sz="4" w:space="0" w:color="000000"/>
              <w:left w:val="single" w:sz="4" w:space="0" w:color="000000"/>
              <w:bottom w:val="single" w:sz="4" w:space="0" w:color="000000"/>
              <w:right w:val="single" w:sz="4" w:space="0" w:color="000000"/>
            </w:tcBorders>
            <w:hideMark/>
          </w:tcPr>
          <w:p w14:paraId="04C6763A" w14:textId="77777777" w:rsidR="009F5848" w:rsidRPr="004509B9" w:rsidRDefault="009F5848" w:rsidP="009F5848">
            <w:pPr>
              <w:autoSpaceDE w:val="0"/>
              <w:autoSpaceDN w:val="0"/>
              <w:adjustRightInd w:val="0"/>
              <w:rPr>
                <w:rFonts w:eastAsia="TimesNewRoman"/>
                <w:sz w:val="20"/>
                <w:lang w:val="lt-LT" w:eastAsia="en-US"/>
              </w:rPr>
            </w:pPr>
            <w:r w:rsidRPr="004509B9">
              <w:rPr>
                <w:rFonts w:eastAsia="TimesNewRoman"/>
                <w:sz w:val="20"/>
                <w:lang w:val="lt-LT" w:eastAsia="en-US"/>
              </w:rPr>
              <w:t>Bendras virusologinio atsako nepakankamumo atvejų skaičius</w:t>
            </w:r>
            <w:r w:rsidRPr="004509B9">
              <w:rPr>
                <w:rFonts w:eastAsia="TimesNewRoman"/>
                <w:sz w:val="22"/>
                <w:szCs w:val="22"/>
                <w:vertAlign w:val="superscript"/>
                <w:lang w:val="lt-LT" w:eastAsia="en-US"/>
              </w:rPr>
              <w:t>a</w:t>
            </w:r>
            <w:r w:rsidRPr="004509B9">
              <w:rPr>
                <w:rFonts w:eastAsia="TimesNewRoman"/>
                <w:sz w:val="20"/>
                <w:lang w:val="lt-LT" w:eastAsia="en-US"/>
              </w:rPr>
              <w:t>, n (%)</w:t>
            </w:r>
          </w:p>
          <w:p w14:paraId="4CB24325" w14:textId="77777777" w:rsidR="009F5848" w:rsidRPr="004509B9" w:rsidRDefault="009F5848" w:rsidP="009F5848">
            <w:pPr>
              <w:autoSpaceDE w:val="0"/>
              <w:autoSpaceDN w:val="0"/>
              <w:adjustRightInd w:val="0"/>
              <w:rPr>
                <w:rFonts w:eastAsia="Times New Roman"/>
                <w:sz w:val="20"/>
                <w:lang w:val="lt-LT" w:eastAsia="en-US"/>
              </w:rPr>
            </w:pPr>
            <w:r w:rsidRPr="004509B9">
              <w:rPr>
                <w:rFonts w:eastAsia="Times New Roman"/>
                <w:sz w:val="20"/>
                <w:lang w:val="lt-LT" w:eastAsia="en-US"/>
              </w:rPr>
              <w:t xml:space="preserve"> Tiriamieji su atkryčiu</w:t>
            </w:r>
          </w:p>
          <w:p w14:paraId="6DC6C57E" w14:textId="77777777" w:rsidR="009F5848" w:rsidRPr="004509B9" w:rsidRDefault="009F5848" w:rsidP="009F5848">
            <w:pPr>
              <w:tabs>
                <w:tab w:val="left" w:pos="567"/>
              </w:tabs>
              <w:ind w:right="362"/>
              <w:rPr>
                <w:rFonts w:eastAsia="Times New Roman"/>
                <w:sz w:val="20"/>
                <w:lang w:val="lt-LT" w:eastAsia="en-US"/>
              </w:rPr>
            </w:pPr>
            <w:r w:rsidRPr="004509B9">
              <w:rPr>
                <w:rFonts w:eastAsia="Times New Roman"/>
                <w:sz w:val="20"/>
                <w:lang w:val="lt-LT" w:eastAsia="en-US"/>
              </w:rPr>
              <w:t xml:space="preserve"> Tiriamieji, kuriems niekada nepasireiškė infekcijos slopinimas</w:t>
            </w:r>
          </w:p>
        </w:tc>
        <w:tc>
          <w:tcPr>
            <w:tcW w:w="1701" w:type="dxa"/>
            <w:tcBorders>
              <w:top w:val="single" w:sz="4" w:space="0" w:color="000000"/>
              <w:left w:val="single" w:sz="4" w:space="0" w:color="000000"/>
              <w:bottom w:val="single" w:sz="4" w:space="0" w:color="000000"/>
              <w:right w:val="single" w:sz="4" w:space="0" w:color="000000"/>
            </w:tcBorders>
          </w:tcPr>
          <w:p w14:paraId="7D9377EB" w14:textId="77777777" w:rsidR="009F5848" w:rsidRPr="004509B9" w:rsidRDefault="009F5848" w:rsidP="009F5848">
            <w:pPr>
              <w:tabs>
                <w:tab w:val="left" w:pos="567"/>
              </w:tabs>
              <w:spacing w:before="8"/>
              <w:ind w:left="102" w:right="-20"/>
              <w:rPr>
                <w:rFonts w:eastAsia="Times New Roman"/>
                <w:spacing w:val="1"/>
                <w:sz w:val="20"/>
                <w:lang w:val="lt-LT" w:eastAsia="en-US"/>
              </w:rPr>
            </w:pPr>
          </w:p>
          <w:p w14:paraId="1D6C6A09" w14:textId="77777777" w:rsidR="009F5848" w:rsidRPr="004509B9" w:rsidRDefault="009F5848" w:rsidP="009F5848">
            <w:pPr>
              <w:tabs>
                <w:tab w:val="left" w:pos="567"/>
              </w:tabs>
              <w:spacing w:before="8"/>
              <w:ind w:left="102" w:right="-20"/>
              <w:rPr>
                <w:rFonts w:eastAsia="Times New Roman"/>
                <w:spacing w:val="1"/>
                <w:sz w:val="20"/>
                <w:lang w:val="lt-LT" w:eastAsia="en-US"/>
              </w:rPr>
            </w:pPr>
          </w:p>
          <w:p w14:paraId="632C91E4" w14:textId="77777777" w:rsidR="009F5848" w:rsidRPr="004509B9" w:rsidRDefault="009F5848" w:rsidP="009F5848">
            <w:pPr>
              <w:tabs>
                <w:tab w:val="left" w:pos="567"/>
              </w:tabs>
              <w:spacing w:before="8"/>
              <w:ind w:left="102" w:right="-20"/>
              <w:rPr>
                <w:rFonts w:eastAsia="Times New Roman"/>
                <w:sz w:val="20"/>
                <w:lang w:val="lt-LT" w:eastAsia="en-US"/>
              </w:rPr>
            </w:pPr>
            <w:r w:rsidRPr="004509B9">
              <w:rPr>
                <w:rFonts w:eastAsia="Times New Roman"/>
                <w:spacing w:val="1"/>
                <w:sz w:val="20"/>
                <w:lang w:val="lt-LT" w:eastAsia="en-US"/>
              </w:rPr>
              <w:t>5</w:t>
            </w:r>
            <w:r w:rsidRPr="004509B9">
              <w:rPr>
                <w:rFonts w:eastAsia="Times New Roman"/>
                <w:sz w:val="20"/>
                <w:lang w:val="lt-LT" w:eastAsia="en-US"/>
              </w:rPr>
              <w:t>5 (16,0%)</w:t>
            </w:r>
          </w:p>
          <w:p w14:paraId="3FE5C1A1"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3</w:t>
            </w:r>
            <w:r w:rsidRPr="004509B9">
              <w:rPr>
                <w:rFonts w:eastAsia="Times New Roman"/>
                <w:sz w:val="20"/>
                <w:lang w:val="lt-LT" w:eastAsia="en-US"/>
              </w:rPr>
              <w:t>9 (11,4%)</w:t>
            </w:r>
          </w:p>
          <w:p w14:paraId="6C42033F" w14:textId="77777777" w:rsidR="009F5848" w:rsidRPr="004509B9" w:rsidRDefault="009F5848" w:rsidP="009F5848">
            <w:pPr>
              <w:tabs>
                <w:tab w:val="left" w:pos="567"/>
              </w:tabs>
              <w:ind w:left="102" w:right="-20"/>
              <w:rPr>
                <w:rFonts w:eastAsia="Times New Roman"/>
                <w:spacing w:val="1"/>
                <w:sz w:val="20"/>
                <w:lang w:val="lt-LT" w:eastAsia="en-US"/>
              </w:rPr>
            </w:pPr>
          </w:p>
          <w:p w14:paraId="3B8365D9" w14:textId="77777777" w:rsidR="009F5848" w:rsidRPr="004509B9" w:rsidRDefault="009F5848" w:rsidP="009F5848">
            <w:pPr>
              <w:tabs>
                <w:tab w:val="left" w:pos="567"/>
              </w:tabs>
              <w:ind w:left="102" w:right="-20"/>
              <w:rPr>
                <w:rFonts w:eastAsia="Times New Roman"/>
                <w:spacing w:val="1"/>
                <w:sz w:val="20"/>
                <w:lang w:val="lt-LT" w:eastAsia="en-US"/>
              </w:rPr>
            </w:pPr>
          </w:p>
          <w:p w14:paraId="3AE70748"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1</w:t>
            </w:r>
            <w:r w:rsidRPr="004509B9">
              <w:rPr>
                <w:rFonts w:eastAsia="Times New Roman"/>
                <w:sz w:val="20"/>
                <w:lang w:val="lt-LT" w:eastAsia="en-US"/>
              </w:rPr>
              <w:t>6 (4,7%)</w:t>
            </w:r>
          </w:p>
        </w:tc>
        <w:tc>
          <w:tcPr>
            <w:tcW w:w="1703" w:type="dxa"/>
            <w:tcBorders>
              <w:top w:val="single" w:sz="4" w:space="0" w:color="000000"/>
              <w:left w:val="single" w:sz="4" w:space="0" w:color="000000"/>
              <w:bottom w:val="single" w:sz="4" w:space="0" w:color="000000"/>
              <w:right w:val="single" w:sz="4" w:space="0" w:color="000000"/>
            </w:tcBorders>
          </w:tcPr>
          <w:p w14:paraId="4C0F19A4" w14:textId="77777777" w:rsidR="009F5848" w:rsidRPr="004509B9" w:rsidRDefault="009F5848" w:rsidP="009F5848">
            <w:pPr>
              <w:tabs>
                <w:tab w:val="left" w:pos="567"/>
              </w:tabs>
              <w:spacing w:before="8"/>
              <w:ind w:left="102" w:right="-20"/>
              <w:rPr>
                <w:rFonts w:eastAsia="Times New Roman"/>
                <w:spacing w:val="1"/>
                <w:sz w:val="20"/>
                <w:lang w:val="lt-LT" w:eastAsia="en-US"/>
              </w:rPr>
            </w:pPr>
          </w:p>
          <w:p w14:paraId="7A57832A" w14:textId="77777777" w:rsidR="009F5848" w:rsidRPr="004509B9" w:rsidRDefault="009F5848" w:rsidP="009F5848">
            <w:pPr>
              <w:tabs>
                <w:tab w:val="left" w:pos="567"/>
              </w:tabs>
              <w:spacing w:before="8"/>
              <w:ind w:left="102" w:right="-20"/>
              <w:rPr>
                <w:rFonts w:eastAsia="Times New Roman"/>
                <w:spacing w:val="1"/>
                <w:sz w:val="20"/>
                <w:lang w:val="lt-LT" w:eastAsia="en-US"/>
              </w:rPr>
            </w:pPr>
          </w:p>
          <w:p w14:paraId="0A4FD341" w14:textId="77777777" w:rsidR="009F5848" w:rsidRPr="004509B9" w:rsidRDefault="009F5848" w:rsidP="009F5848">
            <w:pPr>
              <w:tabs>
                <w:tab w:val="left" w:pos="567"/>
              </w:tabs>
              <w:spacing w:before="8"/>
              <w:ind w:left="102" w:right="-20"/>
              <w:rPr>
                <w:rFonts w:eastAsia="Times New Roman"/>
                <w:sz w:val="20"/>
                <w:lang w:val="lt-LT" w:eastAsia="en-US"/>
              </w:rPr>
            </w:pPr>
            <w:r w:rsidRPr="004509B9">
              <w:rPr>
                <w:rFonts w:eastAsia="Times New Roman"/>
                <w:spacing w:val="1"/>
                <w:sz w:val="20"/>
                <w:lang w:val="lt-LT" w:eastAsia="en-US"/>
              </w:rPr>
              <w:t>6</w:t>
            </w:r>
            <w:r w:rsidRPr="004509B9">
              <w:rPr>
                <w:rFonts w:eastAsia="Times New Roman"/>
                <w:sz w:val="20"/>
                <w:lang w:val="lt-LT" w:eastAsia="en-US"/>
              </w:rPr>
              <w:t>5 (22,1%)</w:t>
            </w:r>
          </w:p>
          <w:p w14:paraId="336814CB" w14:textId="77777777" w:rsidR="009F5848" w:rsidRPr="004509B9" w:rsidRDefault="009F5848" w:rsidP="009F5848">
            <w:pPr>
              <w:tabs>
                <w:tab w:val="left" w:pos="567"/>
              </w:tabs>
              <w:spacing w:before="8" w:line="220" w:lineRule="exact"/>
              <w:rPr>
                <w:rFonts w:eastAsia="Times New Roman"/>
                <w:sz w:val="22"/>
                <w:lang w:val="lt-LT" w:eastAsia="en-US"/>
              </w:rPr>
            </w:pPr>
          </w:p>
          <w:p w14:paraId="3AF281B8"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1</w:t>
            </w:r>
            <w:r w:rsidRPr="004509B9">
              <w:rPr>
                <w:rFonts w:eastAsia="Times New Roman"/>
                <w:sz w:val="20"/>
                <w:lang w:val="lt-LT" w:eastAsia="en-US"/>
              </w:rPr>
              <w:t>1 (3,7%)</w:t>
            </w:r>
          </w:p>
          <w:p w14:paraId="04673EBF" w14:textId="77777777" w:rsidR="009F5848" w:rsidRPr="004509B9" w:rsidRDefault="009F5848" w:rsidP="009F5848">
            <w:pPr>
              <w:tabs>
                <w:tab w:val="left" w:pos="567"/>
              </w:tabs>
              <w:ind w:left="102" w:right="-20"/>
              <w:rPr>
                <w:rFonts w:eastAsia="Times New Roman"/>
                <w:spacing w:val="1"/>
                <w:sz w:val="20"/>
                <w:lang w:val="lt-LT" w:eastAsia="en-US"/>
              </w:rPr>
            </w:pPr>
          </w:p>
          <w:p w14:paraId="07DEE322"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5</w:t>
            </w:r>
            <w:r w:rsidRPr="004509B9">
              <w:rPr>
                <w:rFonts w:eastAsia="Times New Roman"/>
                <w:sz w:val="20"/>
                <w:lang w:val="lt-LT" w:eastAsia="en-US"/>
              </w:rPr>
              <w:t>4 (18,4%)</w:t>
            </w:r>
          </w:p>
        </w:tc>
        <w:tc>
          <w:tcPr>
            <w:tcW w:w="1707" w:type="dxa"/>
            <w:tcBorders>
              <w:top w:val="single" w:sz="4" w:space="0" w:color="000000"/>
              <w:left w:val="single" w:sz="4" w:space="0" w:color="000000"/>
              <w:bottom w:val="single" w:sz="4" w:space="0" w:color="000000"/>
              <w:right w:val="single" w:sz="4" w:space="0" w:color="000000"/>
            </w:tcBorders>
          </w:tcPr>
          <w:p w14:paraId="0CBC363E" w14:textId="77777777" w:rsidR="009F5848" w:rsidRPr="004509B9" w:rsidRDefault="009F5848" w:rsidP="009F5848">
            <w:pPr>
              <w:tabs>
                <w:tab w:val="left" w:pos="567"/>
              </w:tabs>
              <w:spacing w:before="8"/>
              <w:ind w:left="102" w:right="-20"/>
              <w:rPr>
                <w:rFonts w:eastAsia="Times New Roman"/>
                <w:spacing w:val="1"/>
                <w:sz w:val="20"/>
                <w:lang w:val="lt-LT" w:eastAsia="en-US"/>
              </w:rPr>
            </w:pPr>
          </w:p>
          <w:p w14:paraId="2B79A66A" w14:textId="77777777" w:rsidR="009F5848" w:rsidRPr="004509B9" w:rsidRDefault="009F5848" w:rsidP="009F5848">
            <w:pPr>
              <w:tabs>
                <w:tab w:val="left" w:pos="567"/>
              </w:tabs>
              <w:spacing w:before="8"/>
              <w:ind w:left="102" w:right="-20"/>
              <w:rPr>
                <w:rFonts w:eastAsia="Times New Roman"/>
                <w:spacing w:val="1"/>
                <w:sz w:val="20"/>
                <w:lang w:val="lt-LT" w:eastAsia="en-US"/>
              </w:rPr>
            </w:pPr>
          </w:p>
          <w:p w14:paraId="74F20BB1" w14:textId="77777777" w:rsidR="009F5848" w:rsidRPr="004509B9" w:rsidRDefault="009F5848" w:rsidP="009F5848">
            <w:pPr>
              <w:tabs>
                <w:tab w:val="left" w:pos="567"/>
              </w:tabs>
              <w:spacing w:before="8"/>
              <w:ind w:left="102" w:right="-20"/>
              <w:rPr>
                <w:rFonts w:eastAsia="Times New Roman"/>
                <w:sz w:val="20"/>
                <w:lang w:val="lt-LT" w:eastAsia="en-US"/>
              </w:rPr>
            </w:pPr>
            <w:r w:rsidRPr="004509B9">
              <w:rPr>
                <w:rFonts w:eastAsia="Times New Roman"/>
                <w:spacing w:val="1"/>
                <w:sz w:val="20"/>
                <w:lang w:val="lt-LT" w:eastAsia="en-US"/>
              </w:rPr>
              <w:t>5</w:t>
            </w:r>
            <w:r w:rsidRPr="004509B9">
              <w:rPr>
                <w:rFonts w:eastAsia="Times New Roman"/>
                <w:sz w:val="20"/>
                <w:lang w:val="lt-LT" w:eastAsia="en-US"/>
              </w:rPr>
              <w:t>4 (18,2%)</w:t>
            </w:r>
          </w:p>
          <w:p w14:paraId="04B787AE" w14:textId="77777777" w:rsidR="009F5848" w:rsidRPr="004509B9" w:rsidRDefault="009F5848" w:rsidP="009F5848">
            <w:pPr>
              <w:tabs>
                <w:tab w:val="left" w:pos="567"/>
              </w:tabs>
              <w:spacing w:before="8" w:line="220" w:lineRule="exact"/>
              <w:rPr>
                <w:rFonts w:eastAsia="Times New Roman"/>
                <w:sz w:val="22"/>
                <w:lang w:val="lt-LT" w:eastAsia="en-US"/>
              </w:rPr>
            </w:pPr>
          </w:p>
          <w:p w14:paraId="0FDCD3CA"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1</w:t>
            </w:r>
            <w:r w:rsidRPr="004509B9">
              <w:rPr>
                <w:rFonts w:eastAsia="Times New Roman"/>
                <w:sz w:val="20"/>
                <w:lang w:val="lt-LT" w:eastAsia="en-US"/>
              </w:rPr>
              <w:t>1 (3,7%)</w:t>
            </w:r>
          </w:p>
          <w:p w14:paraId="25B59AFD" w14:textId="77777777" w:rsidR="009F5848" w:rsidRPr="004509B9" w:rsidRDefault="009F5848" w:rsidP="009F5848">
            <w:pPr>
              <w:tabs>
                <w:tab w:val="left" w:pos="567"/>
              </w:tabs>
              <w:ind w:left="102" w:right="-20"/>
              <w:rPr>
                <w:rFonts w:eastAsia="Times New Roman"/>
                <w:spacing w:val="1"/>
                <w:sz w:val="20"/>
                <w:lang w:val="lt-LT" w:eastAsia="en-US"/>
              </w:rPr>
            </w:pPr>
          </w:p>
          <w:p w14:paraId="4307B500"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4</w:t>
            </w:r>
            <w:r w:rsidRPr="004509B9">
              <w:rPr>
                <w:rFonts w:eastAsia="Times New Roman"/>
                <w:sz w:val="20"/>
                <w:lang w:val="lt-LT" w:eastAsia="en-US"/>
              </w:rPr>
              <w:t>3 (14,5%)</w:t>
            </w:r>
          </w:p>
        </w:tc>
        <w:tc>
          <w:tcPr>
            <w:tcW w:w="1855" w:type="dxa"/>
            <w:tcBorders>
              <w:top w:val="single" w:sz="4" w:space="0" w:color="000000"/>
              <w:left w:val="single" w:sz="4" w:space="0" w:color="000000"/>
              <w:bottom w:val="single" w:sz="4" w:space="0" w:color="000000"/>
              <w:right w:val="single" w:sz="4" w:space="0" w:color="000000"/>
            </w:tcBorders>
          </w:tcPr>
          <w:p w14:paraId="19B799B8" w14:textId="77777777" w:rsidR="009F5848" w:rsidRPr="004509B9" w:rsidRDefault="009F5848" w:rsidP="009F5848">
            <w:pPr>
              <w:tabs>
                <w:tab w:val="left" w:pos="567"/>
              </w:tabs>
              <w:spacing w:before="8"/>
              <w:ind w:left="102" w:right="-20"/>
              <w:rPr>
                <w:rFonts w:eastAsia="Times New Roman"/>
                <w:spacing w:val="1"/>
                <w:sz w:val="20"/>
                <w:lang w:val="lt-LT" w:eastAsia="en-US"/>
              </w:rPr>
            </w:pPr>
          </w:p>
          <w:p w14:paraId="3390DDB8" w14:textId="77777777" w:rsidR="009F5848" w:rsidRPr="004509B9" w:rsidRDefault="009F5848" w:rsidP="009F5848">
            <w:pPr>
              <w:tabs>
                <w:tab w:val="left" w:pos="567"/>
              </w:tabs>
              <w:spacing w:before="8"/>
              <w:ind w:left="102" w:right="-20"/>
              <w:rPr>
                <w:rFonts w:eastAsia="Times New Roman"/>
                <w:spacing w:val="1"/>
                <w:sz w:val="20"/>
                <w:lang w:val="lt-LT" w:eastAsia="en-US"/>
              </w:rPr>
            </w:pPr>
          </w:p>
          <w:p w14:paraId="5796A652" w14:textId="77777777" w:rsidR="009F5848" w:rsidRPr="004509B9" w:rsidRDefault="009F5848" w:rsidP="009F5848">
            <w:pPr>
              <w:tabs>
                <w:tab w:val="left" w:pos="567"/>
              </w:tabs>
              <w:spacing w:before="8"/>
              <w:ind w:left="102" w:right="-20"/>
              <w:rPr>
                <w:rFonts w:eastAsia="Times New Roman"/>
                <w:sz w:val="20"/>
                <w:lang w:val="lt-LT" w:eastAsia="en-US"/>
              </w:rPr>
            </w:pPr>
            <w:r w:rsidRPr="004509B9">
              <w:rPr>
                <w:rFonts w:eastAsia="Times New Roman"/>
                <w:spacing w:val="1"/>
                <w:sz w:val="20"/>
                <w:lang w:val="lt-LT" w:eastAsia="en-US"/>
              </w:rPr>
              <w:t>3</w:t>
            </w:r>
            <w:r w:rsidRPr="004509B9">
              <w:rPr>
                <w:rFonts w:eastAsia="Times New Roman"/>
                <w:sz w:val="20"/>
                <w:lang w:val="lt-LT" w:eastAsia="en-US"/>
              </w:rPr>
              <w:t>1 (10,4%)</w:t>
            </w:r>
          </w:p>
          <w:p w14:paraId="497786C2" w14:textId="77777777" w:rsidR="009F5848" w:rsidRPr="004509B9" w:rsidRDefault="009F5848" w:rsidP="009F5848">
            <w:pPr>
              <w:tabs>
                <w:tab w:val="left" w:pos="567"/>
              </w:tabs>
              <w:spacing w:before="8" w:line="220" w:lineRule="exact"/>
              <w:rPr>
                <w:rFonts w:eastAsia="Times New Roman"/>
                <w:sz w:val="22"/>
                <w:lang w:val="lt-LT" w:eastAsia="en-US"/>
              </w:rPr>
            </w:pPr>
          </w:p>
          <w:p w14:paraId="09799AB2"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1</w:t>
            </w:r>
            <w:r w:rsidRPr="004509B9">
              <w:rPr>
                <w:rFonts w:eastAsia="Times New Roman"/>
                <w:sz w:val="20"/>
                <w:lang w:val="lt-LT" w:eastAsia="en-US"/>
              </w:rPr>
              <w:t>6 (5,4%)</w:t>
            </w:r>
          </w:p>
          <w:p w14:paraId="19304674" w14:textId="77777777" w:rsidR="009F5848" w:rsidRPr="004509B9" w:rsidRDefault="009F5848" w:rsidP="009F5848">
            <w:pPr>
              <w:tabs>
                <w:tab w:val="left" w:pos="567"/>
              </w:tabs>
              <w:ind w:left="102" w:right="-20"/>
              <w:rPr>
                <w:rFonts w:eastAsia="Times New Roman"/>
                <w:spacing w:val="1"/>
                <w:sz w:val="20"/>
                <w:lang w:val="lt-LT" w:eastAsia="en-US"/>
              </w:rPr>
            </w:pPr>
          </w:p>
          <w:p w14:paraId="6C0B94EC"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1</w:t>
            </w:r>
            <w:r w:rsidRPr="004509B9">
              <w:rPr>
                <w:rFonts w:eastAsia="Times New Roman"/>
                <w:sz w:val="20"/>
                <w:lang w:val="lt-LT" w:eastAsia="en-US"/>
              </w:rPr>
              <w:t>5 (5,0%)</w:t>
            </w:r>
          </w:p>
        </w:tc>
      </w:tr>
      <w:tr w:rsidR="009F5848" w:rsidRPr="00C75EC3" w14:paraId="4E537C65" w14:textId="77777777" w:rsidTr="009F5848">
        <w:trPr>
          <w:trHeight w:val="470"/>
        </w:trPr>
        <w:tc>
          <w:tcPr>
            <w:tcW w:w="9277" w:type="dxa"/>
            <w:gridSpan w:val="6"/>
            <w:tcBorders>
              <w:top w:val="single" w:sz="4" w:space="0" w:color="000000"/>
              <w:left w:val="single" w:sz="4" w:space="0" w:color="000000"/>
              <w:bottom w:val="single" w:sz="4" w:space="0" w:color="000000"/>
              <w:right w:val="single" w:sz="4" w:space="0" w:color="000000"/>
            </w:tcBorders>
            <w:hideMark/>
          </w:tcPr>
          <w:p w14:paraId="757616BE" w14:textId="77777777" w:rsidR="009F5848" w:rsidRPr="004509B9" w:rsidRDefault="009F5848" w:rsidP="009F5848">
            <w:pPr>
              <w:autoSpaceDE w:val="0"/>
              <w:autoSpaceDN w:val="0"/>
              <w:adjustRightInd w:val="0"/>
              <w:rPr>
                <w:rFonts w:eastAsia="Times New Roman"/>
                <w:sz w:val="20"/>
                <w:lang w:val="lt-LT" w:eastAsia="en-US"/>
              </w:rPr>
            </w:pPr>
            <w:r w:rsidRPr="004509B9">
              <w:rPr>
                <w:rFonts w:eastAsia="TimesNewRoman"/>
                <w:sz w:val="20"/>
                <w:lang w:val="lt-LT" w:eastAsia="en-US"/>
              </w:rPr>
              <w:t>Tiriamieji, kuriems pasireiškė virusologinio atsako nepakankamumas, ir suporuoti pradinis/vertinamosios baigties genotipai, kuriems atsirado mutacijos</w:t>
            </w:r>
            <w:r w:rsidRPr="004509B9">
              <w:rPr>
                <w:rFonts w:eastAsia="TimesNewRoman"/>
                <w:sz w:val="22"/>
                <w:szCs w:val="22"/>
                <w:vertAlign w:val="superscript"/>
                <w:lang w:val="lt-LT" w:eastAsia="en-US"/>
              </w:rPr>
              <w:t>b</w:t>
            </w:r>
            <w:r w:rsidRPr="004509B9">
              <w:rPr>
                <w:rFonts w:eastAsia="TimesNewRoman"/>
                <w:sz w:val="20"/>
                <w:lang w:val="lt-LT" w:eastAsia="en-US"/>
              </w:rPr>
              <w:t>, n/N</w:t>
            </w:r>
          </w:p>
        </w:tc>
      </w:tr>
      <w:tr w:rsidR="009F5848" w:rsidRPr="00C75EC3" w14:paraId="1F873685" w14:textId="77777777" w:rsidTr="009F5848">
        <w:trPr>
          <w:trHeight w:hRule="exact" w:val="698"/>
        </w:trPr>
        <w:tc>
          <w:tcPr>
            <w:tcW w:w="2230" w:type="dxa"/>
            <w:tcBorders>
              <w:top w:val="single" w:sz="4" w:space="0" w:color="000000"/>
              <w:left w:val="single" w:sz="4" w:space="0" w:color="000000"/>
              <w:bottom w:val="single" w:sz="4" w:space="0" w:color="000000"/>
              <w:right w:val="single" w:sz="4" w:space="0" w:color="000000"/>
            </w:tcBorders>
            <w:hideMark/>
          </w:tcPr>
          <w:p w14:paraId="73D814D1" w14:textId="77777777" w:rsidR="009F5848" w:rsidRPr="004509B9" w:rsidRDefault="009F5848" w:rsidP="009F5848">
            <w:pPr>
              <w:autoSpaceDE w:val="0"/>
              <w:autoSpaceDN w:val="0"/>
              <w:adjustRightInd w:val="0"/>
              <w:rPr>
                <w:rFonts w:eastAsia="TimesNewRoman"/>
                <w:sz w:val="20"/>
                <w:lang w:val="lt-LT" w:eastAsia="en-US"/>
              </w:rPr>
            </w:pPr>
            <w:r w:rsidRPr="004509B9">
              <w:rPr>
                <w:rFonts w:eastAsia="TimesNewRoman"/>
                <w:sz w:val="20"/>
                <w:lang w:val="lt-LT" w:eastAsia="en-US"/>
              </w:rPr>
              <w:t>Pirminės (pagrindinės) PI mutacijos</w:t>
            </w:r>
          </w:p>
          <w:p w14:paraId="43A385DE" w14:textId="77777777" w:rsidR="009F5848" w:rsidRPr="004509B9" w:rsidRDefault="009F5848" w:rsidP="009F5848">
            <w:pPr>
              <w:tabs>
                <w:tab w:val="left" w:pos="567"/>
              </w:tabs>
              <w:ind w:right="-20"/>
              <w:rPr>
                <w:rFonts w:eastAsia="Times New Roman"/>
                <w:sz w:val="20"/>
                <w:lang w:val="lt-LT" w:eastAsia="en-US"/>
              </w:rPr>
            </w:pPr>
            <w:r w:rsidRPr="004509B9">
              <w:rPr>
                <w:rFonts w:eastAsia="Times New Roman"/>
                <w:sz w:val="20"/>
                <w:lang w:val="lt-LT" w:eastAsia="en-US"/>
              </w:rPr>
              <w:t>PI</w:t>
            </w:r>
            <w:r w:rsidRPr="004509B9">
              <w:rPr>
                <w:rFonts w:eastAsia="Times New Roman"/>
                <w:spacing w:val="-2"/>
                <w:sz w:val="20"/>
                <w:lang w:val="lt-LT" w:eastAsia="en-US"/>
              </w:rPr>
              <w:t xml:space="preserve"> </w:t>
            </w:r>
            <w:r w:rsidRPr="004509B9">
              <w:rPr>
                <w:rFonts w:eastAsia="Times New Roman"/>
                <w:sz w:val="20"/>
                <w:lang w:val="lt-LT" w:eastAsia="en-US"/>
              </w:rPr>
              <w:t>ASM</w:t>
            </w:r>
          </w:p>
        </w:tc>
        <w:tc>
          <w:tcPr>
            <w:tcW w:w="1782" w:type="dxa"/>
            <w:gridSpan w:val="2"/>
            <w:tcBorders>
              <w:top w:val="single" w:sz="4" w:space="0" w:color="000000"/>
              <w:left w:val="single" w:sz="4" w:space="0" w:color="000000"/>
              <w:bottom w:val="single" w:sz="4" w:space="0" w:color="000000"/>
              <w:right w:val="single" w:sz="4" w:space="0" w:color="000000"/>
            </w:tcBorders>
          </w:tcPr>
          <w:p w14:paraId="73537DDF" w14:textId="77777777" w:rsidR="009F5848" w:rsidRPr="004509B9" w:rsidRDefault="009F5848" w:rsidP="009F5848">
            <w:pPr>
              <w:tabs>
                <w:tab w:val="left" w:pos="567"/>
              </w:tabs>
              <w:spacing w:before="8"/>
              <w:ind w:left="102" w:right="-20"/>
              <w:rPr>
                <w:rFonts w:eastAsia="Times New Roman"/>
                <w:spacing w:val="1"/>
                <w:sz w:val="20"/>
                <w:lang w:val="lt-LT" w:eastAsia="en-US"/>
              </w:rPr>
            </w:pPr>
          </w:p>
          <w:p w14:paraId="6510C740" w14:textId="77777777" w:rsidR="009F5848" w:rsidRPr="004509B9" w:rsidRDefault="009F5848" w:rsidP="009F5848">
            <w:pPr>
              <w:tabs>
                <w:tab w:val="left" w:pos="567"/>
              </w:tabs>
              <w:spacing w:before="8"/>
              <w:ind w:left="102" w:right="-20"/>
              <w:rPr>
                <w:rFonts w:eastAsia="Times New Roman"/>
                <w:sz w:val="20"/>
                <w:lang w:val="lt-LT" w:eastAsia="en-US"/>
              </w:rPr>
            </w:pPr>
            <w:r w:rsidRPr="004509B9">
              <w:rPr>
                <w:rFonts w:eastAsia="Times New Roman"/>
                <w:spacing w:val="1"/>
                <w:sz w:val="20"/>
                <w:lang w:val="lt-LT" w:eastAsia="en-US"/>
              </w:rPr>
              <w:t>0/43</w:t>
            </w:r>
          </w:p>
          <w:p w14:paraId="4FB8CA2D"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4/43</w:t>
            </w:r>
          </w:p>
        </w:tc>
        <w:tc>
          <w:tcPr>
            <w:tcW w:w="1703" w:type="dxa"/>
            <w:tcBorders>
              <w:top w:val="single" w:sz="4" w:space="0" w:color="000000"/>
              <w:left w:val="single" w:sz="4" w:space="0" w:color="000000"/>
              <w:bottom w:val="single" w:sz="4" w:space="0" w:color="000000"/>
              <w:right w:val="single" w:sz="4" w:space="0" w:color="000000"/>
            </w:tcBorders>
          </w:tcPr>
          <w:p w14:paraId="7F30F7B6" w14:textId="77777777" w:rsidR="009F5848" w:rsidRPr="004509B9" w:rsidRDefault="009F5848" w:rsidP="009F5848">
            <w:pPr>
              <w:tabs>
                <w:tab w:val="left" w:pos="567"/>
              </w:tabs>
              <w:spacing w:before="8"/>
              <w:ind w:left="102" w:right="-20"/>
              <w:rPr>
                <w:rFonts w:eastAsia="Times New Roman"/>
                <w:spacing w:val="1"/>
                <w:sz w:val="20"/>
                <w:lang w:val="lt-LT" w:eastAsia="en-US"/>
              </w:rPr>
            </w:pPr>
          </w:p>
          <w:p w14:paraId="149BF961" w14:textId="77777777" w:rsidR="009F5848" w:rsidRPr="004509B9" w:rsidRDefault="009F5848" w:rsidP="009F5848">
            <w:pPr>
              <w:tabs>
                <w:tab w:val="left" w:pos="567"/>
              </w:tabs>
              <w:spacing w:before="8"/>
              <w:ind w:left="102" w:right="-20"/>
              <w:rPr>
                <w:rFonts w:eastAsia="Times New Roman"/>
                <w:sz w:val="20"/>
                <w:lang w:val="lt-LT" w:eastAsia="en-US"/>
              </w:rPr>
            </w:pPr>
            <w:r w:rsidRPr="004509B9">
              <w:rPr>
                <w:rFonts w:eastAsia="Times New Roman"/>
                <w:spacing w:val="1"/>
                <w:sz w:val="20"/>
                <w:lang w:val="lt-LT" w:eastAsia="en-US"/>
              </w:rPr>
              <w:t>1/60</w:t>
            </w:r>
          </w:p>
          <w:p w14:paraId="3EBAC63F"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7/60</w:t>
            </w:r>
          </w:p>
        </w:tc>
        <w:tc>
          <w:tcPr>
            <w:tcW w:w="1707" w:type="dxa"/>
            <w:tcBorders>
              <w:top w:val="single" w:sz="4" w:space="0" w:color="000000"/>
              <w:left w:val="single" w:sz="4" w:space="0" w:color="000000"/>
              <w:bottom w:val="single" w:sz="4" w:space="0" w:color="000000"/>
              <w:right w:val="single" w:sz="4" w:space="0" w:color="000000"/>
            </w:tcBorders>
          </w:tcPr>
          <w:p w14:paraId="1E5427B8" w14:textId="77777777" w:rsidR="009F5848" w:rsidRPr="004509B9" w:rsidRDefault="009F5848" w:rsidP="009F5848">
            <w:pPr>
              <w:tabs>
                <w:tab w:val="left" w:pos="567"/>
              </w:tabs>
              <w:spacing w:before="8"/>
              <w:ind w:left="102" w:right="-20"/>
              <w:rPr>
                <w:rFonts w:eastAsia="Times New Roman"/>
                <w:spacing w:val="1"/>
                <w:sz w:val="20"/>
                <w:lang w:val="lt-LT" w:eastAsia="en-US"/>
              </w:rPr>
            </w:pPr>
          </w:p>
          <w:p w14:paraId="1D84869A" w14:textId="77777777" w:rsidR="009F5848" w:rsidRPr="004509B9" w:rsidRDefault="009F5848" w:rsidP="009F5848">
            <w:pPr>
              <w:tabs>
                <w:tab w:val="left" w:pos="567"/>
              </w:tabs>
              <w:spacing w:before="8"/>
              <w:ind w:left="102" w:right="-20"/>
              <w:rPr>
                <w:rFonts w:eastAsia="Times New Roman"/>
                <w:sz w:val="20"/>
                <w:lang w:val="lt-LT" w:eastAsia="en-US"/>
              </w:rPr>
            </w:pPr>
            <w:r w:rsidRPr="004509B9">
              <w:rPr>
                <w:rFonts w:eastAsia="Times New Roman"/>
                <w:spacing w:val="1"/>
                <w:sz w:val="20"/>
                <w:lang w:val="lt-LT" w:eastAsia="en-US"/>
              </w:rPr>
              <w:t>0/42</w:t>
            </w:r>
          </w:p>
          <w:p w14:paraId="002C83BD"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4/42</w:t>
            </w:r>
          </w:p>
        </w:tc>
        <w:tc>
          <w:tcPr>
            <w:tcW w:w="1855" w:type="dxa"/>
            <w:tcBorders>
              <w:top w:val="single" w:sz="4" w:space="0" w:color="000000"/>
              <w:left w:val="single" w:sz="4" w:space="0" w:color="000000"/>
              <w:bottom w:val="single" w:sz="4" w:space="0" w:color="000000"/>
              <w:right w:val="single" w:sz="4" w:space="0" w:color="000000"/>
            </w:tcBorders>
          </w:tcPr>
          <w:p w14:paraId="46C68934" w14:textId="77777777" w:rsidR="009F5848" w:rsidRPr="004509B9" w:rsidRDefault="009F5848" w:rsidP="009F5848">
            <w:pPr>
              <w:tabs>
                <w:tab w:val="left" w:pos="567"/>
              </w:tabs>
              <w:spacing w:before="8"/>
              <w:ind w:left="102" w:right="-20"/>
              <w:rPr>
                <w:rFonts w:eastAsia="Times New Roman"/>
                <w:spacing w:val="1"/>
                <w:sz w:val="20"/>
                <w:lang w:val="lt-LT" w:eastAsia="en-US"/>
              </w:rPr>
            </w:pPr>
          </w:p>
          <w:p w14:paraId="498A7BCA" w14:textId="77777777" w:rsidR="009F5848" w:rsidRPr="004509B9" w:rsidRDefault="009F5848" w:rsidP="009F5848">
            <w:pPr>
              <w:tabs>
                <w:tab w:val="left" w:pos="567"/>
              </w:tabs>
              <w:spacing w:before="8"/>
              <w:ind w:left="102" w:right="-20"/>
              <w:rPr>
                <w:rFonts w:eastAsia="Times New Roman"/>
                <w:sz w:val="20"/>
                <w:lang w:val="lt-LT" w:eastAsia="en-US"/>
              </w:rPr>
            </w:pPr>
            <w:r w:rsidRPr="004509B9">
              <w:rPr>
                <w:rFonts w:eastAsia="Times New Roman"/>
                <w:spacing w:val="1"/>
                <w:sz w:val="20"/>
                <w:lang w:val="lt-LT" w:eastAsia="en-US"/>
              </w:rPr>
              <w:t>6/28</w:t>
            </w:r>
          </w:p>
          <w:p w14:paraId="60BBCBD3"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10/28</w:t>
            </w:r>
          </w:p>
        </w:tc>
      </w:tr>
      <w:tr w:rsidR="009F5848" w:rsidRPr="00C75EC3" w14:paraId="2E65C43A" w14:textId="77777777" w:rsidTr="009F5848">
        <w:trPr>
          <w:trHeight w:val="470"/>
        </w:trPr>
        <w:tc>
          <w:tcPr>
            <w:tcW w:w="9277" w:type="dxa"/>
            <w:gridSpan w:val="6"/>
            <w:tcBorders>
              <w:top w:val="single" w:sz="4" w:space="0" w:color="000000"/>
              <w:left w:val="single" w:sz="4" w:space="0" w:color="000000"/>
              <w:bottom w:val="single" w:sz="4" w:space="0" w:color="000000"/>
              <w:right w:val="single" w:sz="4" w:space="0" w:color="000000"/>
            </w:tcBorders>
            <w:hideMark/>
          </w:tcPr>
          <w:p w14:paraId="21435021" w14:textId="77777777" w:rsidR="009F5848" w:rsidRPr="004509B9" w:rsidRDefault="009F5848" w:rsidP="009F5848">
            <w:pPr>
              <w:autoSpaceDE w:val="0"/>
              <w:autoSpaceDN w:val="0"/>
              <w:adjustRightInd w:val="0"/>
              <w:rPr>
                <w:rFonts w:eastAsia="Times New Roman"/>
                <w:sz w:val="20"/>
                <w:lang w:val="lt-LT" w:eastAsia="en-US"/>
              </w:rPr>
            </w:pPr>
            <w:r w:rsidRPr="004509B9">
              <w:rPr>
                <w:rFonts w:eastAsia="TimesNewRoman"/>
                <w:sz w:val="20"/>
                <w:lang w:val="lt-LT" w:eastAsia="en-US"/>
              </w:rPr>
              <w:t>Tiriamieji, kuriems pasireiškė virusologinio atsako nepakankamumas, ir suporuoti pradinis/vertinamosios baigties fenotipai, rodantys jautrumo PI išnykimą vertinamosios baigties metu, palyginti su pradiniu, n/N</w:t>
            </w:r>
          </w:p>
        </w:tc>
      </w:tr>
      <w:tr w:rsidR="009F5848" w:rsidRPr="00C75EC3" w14:paraId="65AB534F" w14:textId="77777777" w:rsidTr="009F5848">
        <w:trPr>
          <w:trHeight w:hRule="exact" w:val="1850"/>
        </w:trPr>
        <w:tc>
          <w:tcPr>
            <w:tcW w:w="2230" w:type="dxa"/>
            <w:tcBorders>
              <w:top w:val="single" w:sz="4" w:space="0" w:color="000000"/>
              <w:left w:val="single" w:sz="4" w:space="0" w:color="000000"/>
              <w:bottom w:val="single" w:sz="4" w:space="0" w:color="000000"/>
              <w:right w:val="single" w:sz="4" w:space="0" w:color="000000"/>
            </w:tcBorders>
            <w:hideMark/>
          </w:tcPr>
          <w:p w14:paraId="1125AE6E" w14:textId="77777777" w:rsidR="009F5848" w:rsidRPr="004509B9" w:rsidRDefault="009F5848" w:rsidP="009F5848">
            <w:pPr>
              <w:tabs>
                <w:tab w:val="left" w:pos="567"/>
              </w:tabs>
              <w:spacing w:before="8"/>
              <w:ind w:left="102" w:right="-20"/>
              <w:rPr>
                <w:rFonts w:eastAsia="Times New Roman"/>
                <w:sz w:val="20"/>
                <w:lang w:val="lt-LT" w:eastAsia="en-US"/>
              </w:rPr>
            </w:pPr>
            <w:r w:rsidRPr="004509B9">
              <w:rPr>
                <w:rFonts w:eastAsia="Times New Roman"/>
                <w:spacing w:val="2"/>
                <w:sz w:val="20"/>
                <w:lang w:val="lt-LT" w:eastAsia="en-US"/>
              </w:rPr>
              <w:t>PI</w:t>
            </w:r>
          </w:p>
          <w:p w14:paraId="6DA15EC4" w14:textId="77777777" w:rsidR="009F5848" w:rsidRPr="004509B9" w:rsidRDefault="009F5848" w:rsidP="009F5848">
            <w:pPr>
              <w:tabs>
                <w:tab w:val="left" w:pos="567"/>
              </w:tabs>
              <w:ind w:left="385" w:right="628"/>
              <w:rPr>
                <w:rFonts w:eastAsia="Times New Roman"/>
                <w:sz w:val="20"/>
                <w:lang w:val="lt-LT" w:eastAsia="en-US"/>
              </w:rPr>
            </w:pPr>
            <w:r w:rsidRPr="004509B9">
              <w:rPr>
                <w:rFonts w:eastAsia="Times New Roman"/>
                <w:sz w:val="20"/>
                <w:lang w:val="lt-LT" w:eastAsia="en-US"/>
              </w:rPr>
              <w:t xml:space="preserve">darunaviras </w:t>
            </w:r>
          </w:p>
          <w:p w14:paraId="62BD76DE" w14:textId="77777777" w:rsidR="009F5848" w:rsidRPr="004509B9" w:rsidRDefault="009F5848" w:rsidP="009F5848">
            <w:pPr>
              <w:tabs>
                <w:tab w:val="left" w:pos="567"/>
              </w:tabs>
              <w:ind w:left="385" w:right="628"/>
              <w:rPr>
                <w:rFonts w:eastAsia="Times New Roman"/>
                <w:sz w:val="20"/>
                <w:lang w:val="lt-LT" w:eastAsia="en-US"/>
              </w:rPr>
            </w:pPr>
            <w:r w:rsidRPr="004509B9">
              <w:rPr>
                <w:rFonts w:eastAsia="Times New Roman"/>
                <w:spacing w:val="3"/>
                <w:sz w:val="20"/>
                <w:lang w:val="lt-LT" w:eastAsia="en-US"/>
              </w:rPr>
              <w:t>a</w:t>
            </w:r>
            <w:r w:rsidRPr="004509B9">
              <w:rPr>
                <w:rFonts w:eastAsia="Times New Roman"/>
                <w:spacing w:val="-4"/>
                <w:sz w:val="20"/>
                <w:lang w:val="lt-LT" w:eastAsia="en-US"/>
              </w:rPr>
              <w:t>m</w:t>
            </w:r>
            <w:r w:rsidRPr="004509B9">
              <w:rPr>
                <w:rFonts w:eastAsia="Times New Roman"/>
                <w:sz w:val="20"/>
                <w:lang w:val="lt-LT" w:eastAsia="en-US"/>
              </w:rPr>
              <w:t>prenaviras</w:t>
            </w:r>
          </w:p>
          <w:p w14:paraId="1986119F" w14:textId="77777777" w:rsidR="009F5848" w:rsidRPr="004509B9" w:rsidRDefault="009F5848" w:rsidP="009F5848">
            <w:pPr>
              <w:tabs>
                <w:tab w:val="left" w:pos="567"/>
              </w:tabs>
              <w:ind w:left="385" w:right="628"/>
              <w:rPr>
                <w:rFonts w:eastAsia="Times New Roman"/>
                <w:sz w:val="20"/>
                <w:lang w:val="lt-LT" w:eastAsia="en-US"/>
              </w:rPr>
            </w:pPr>
            <w:r w:rsidRPr="004509B9">
              <w:rPr>
                <w:rFonts w:eastAsia="Times New Roman"/>
                <w:sz w:val="20"/>
                <w:lang w:val="lt-LT" w:eastAsia="en-US"/>
              </w:rPr>
              <w:t>atazanaviras</w:t>
            </w:r>
          </w:p>
          <w:p w14:paraId="475EB49D" w14:textId="77777777" w:rsidR="009F5848" w:rsidRPr="004509B9" w:rsidRDefault="009F5848" w:rsidP="009F5848">
            <w:pPr>
              <w:tabs>
                <w:tab w:val="left" w:pos="567"/>
              </w:tabs>
              <w:ind w:left="385" w:right="628"/>
              <w:rPr>
                <w:rFonts w:eastAsia="Times New Roman"/>
                <w:sz w:val="20"/>
                <w:lang w:val="lt-LT" w:eastAsia="en-US"/>
              </w:rPr>
            </w:pPr>
            <w:r w:rsidRPr="004509B9">
              <w:rPr>
                <w:rFonts w:eastAsia="Times New Roman"/>
                <w:sz w:val="20"/>
                <w:lang w:val="lt-LT" w:eastAsia="en-US"/>
              </w:rPr>
              <w:t xml:space="preserve">indinaviras </w:t>
            </w:r>
          </w:p>
          <w:p w14:paraId="1743B930" w14:textId="77777777" w:rsidR="009F5848" w:rsidRPr="004509B9" w:rsidRDefault="009F5848" w:rsidP="009F5848">
            <w:pPr>
              <w:tabs>
                <w:tab w:val="left" w:pos="567"/>
              </w:tabs>
              <w:ind w:left="385" w:right="628"/>
              <w:rPr>
                <w:rFonts w:eastAsia="Times New Roman"/>
                <w:sz w:val="20"/>
                <w:lang w:val="lt-LT" w:eastAsia="en-US"/>
              </w:rPr>
            </w:pPr>
            <w:r w:rsidRPr="004509B9">
              <w:rPr>
                <w:rFonts w:eastAsia="Times New Roman"/>
                <w:sz w:val="20"/>
                <w:lang w:val="lt-LT" w:eastAsia="en-US"/>
              </w:rPr>
              <w:t>lopinavir as</w:t>
            </w:r>
          </w:p>
          <w:p w14:paraId="1C242B39" w14:textId="77777777" w:rsidR="009F5848" w:rsidRPr="004509B9" w:rsidRDefault="009F5848" w:rsidP="009F5848">
            <w:pPr>
              <w:tabs>
                <w:tab w:val="left" w:pos="567"/>
              </w:tabs>
              <w:ind w:left="385" w:right="628"/>
              <w:rPr>
                <w:rFonts w:eastAsia="Times New Roman"/>
                <w:sz w:val="20"/>
                <w:lang w:val="lt-LT" w:eastAsia="en-US"/>
              </w:rPr>
            </w:pPr>
            <w:r w:rsidRPr="004509B9">
              <w:rPr>
                <w:rFonts w:eastAsia="Times New Roman"/>
                <w:sz w:val="20"/>
                <w:lang w:val="lt-LT" w:eastAsia="en-US"/>
              </w:rPr>
              <w:t>saquinaviras</w:t>
            </w:r>
          </w:p>
          <w:p w14:paraId="329AF9CE" w14:textId="77777777" w:rsidR="009F5848" w:rsidRPr="004509B9" w:rsidRDefault="009F5848" w:rsidP="009F5848">
            <w:pPr>
              <w:tabs>
                <w:tab w:val="left" w:pos="567"/>
              </w:tabs>
              <w:ind w:left="385" w:right="869"/>
              <w:rPr>
                <w:rFonts w:eastAsia="Times New Roman"/>
                <w:sz w:val="20"/>
                <w:lang w:val="lt-LT" w:eastAsia="en-US"/>
              </w:rPr>
            </w:pPr>
            <w:r w:rsidRPr="004509B9">
              <w:rPr>
                <w:rFonts w:eastAsia="Times New Roman"/>
                <w:sz w:val="20"/>
                <w:lang w:val="lt-LT" w:eastAsia="en-US"/>
              </w:rPr>
              <w:t>tipranaviras</w:t>
            </w:r>
          </w:p>
        </w:tc>
        <w:tc>
          <w:tcPr>
            <w:tcW w:w="1782" w:type="dxa"/>
            <w:gridSpan w:val="2"/>
            <w:tcBorders>
              <w:top w:val="single" w:sz="4" w:space="0" w:color="000000"/>
              <w:left w:val="single" w:sz="4" w:space="0" w:color="000000"/>
              <w:bottom w:val="single" w:sz="4" w:space="0" w:color="000000"/>
              <w:right w:val="single" w:sz="4" w:space="0" w:color="000000"/>
            </w:tcBorders>
          </w:tcPr>
          <w:p w14:paraId="7E6E3457" w14:textId="77777777" w:rsidR="009F5848" w:rsidRPr="004509B9" w:rsidRDefault="009F5848" w:rsidP="009F5848">
            <w:pPr>
              <w:tabs>
                <w:tab w:val="left" w:pos="567"/>
              </w:tabs>
              <w:spacing w:before="19" w:line="220" w:lineRule="exact"/>
              <w:rPr>
                <w:rFonts w:eastAsia="Times New Roman"/>
                <w:sz w:val="22"/>
                <w:lang w:val="lt-LT" w:eastAsia="en-US"/>
              </w:rPr>
            </w:pPr>
          </w:p>
          <w:p w14:paraId="64DAEC02"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0/39</w:t>
            </w:r>
          </w:p>
          <w:p w14:paraId="3D9CF30D"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0/39</w:t>
            </w:r>
          </w:p>
          <w:p w14:paraId="492509E5"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0/39</w:t>
            </w:r>
          </w:p>
          <w:p w14:paraId="2CF97DAB"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0/39</w:t>
            </w:r>
          </w:p>
          <w:p w14:paraId="7A56DD0A" w14:textId="77777777" w:rsidR="009F5848" w:rsidRPr="004509B9" w:rsidRDefault="009F5848" w:rsidP="009F5848">
            <w:pPr>
              <w:tabs>
                <w:tab w:val="left" w:pos="567"/>
              </w:tabs>
              <w:spacing w:line="228" w:lineRule="exact"/>
              <w:ind w:left="102" w:right="-20"/>
              <w:rPr>
                <w:rFonts w:eastAsia="Times New Roman"/>
                <w:sz w:val="20"/>
                <w:lang w:val="lt-LT" w:eastAsia="en-US"/>
              </w:rPr>
            </w:pPr>
            <w:r w:rsidRPr="004509B9">
              <w:rPr>
                <w:rFonts w:eastAsia="Times New Roman"/>
                <w:spacing w:val="1"/>
                <w:sz w:val="20"/>
                <w:lang w:val="lt-LT" w:eastAsia="en-US"/>
              </w:rPr>
              <w:t>0/39</w:t>
            </w:r>
          </w:p>
          <w:p w14:paraId="716AB341"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0/39</w:t>
            </w:r>
          </w:p>
          <w:p w14:paraId="256BB0BD"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0/39</w:t>
            </w:r>
          </w:p>
        </w:tc>
        <w:tc>
          <w:tcPr>
            <w:tcW w:w="1703" w:type="dxa"/>
            <w:tcBorders>
              <w:top w:val="single" w:sz="4" w:space="0" w:color="000000"/>
              <w:left w:val="single" w:sz="4" w:space="0" w:color="000000"/>
              <w:bottom w:val="single" w:sz="4" w:space="0" w:color="000000"/>
              <w:right w:val="single" w:sz="4" w:space="0" w:color="000000"/>
            </w:tcBorders>
          </w:tcPr>
          <w:p w14:paraId="2F67FA55" w14:textId="77777777" w:rsidR="009F5848" w:rsidRPr="004509B9" w:rsidRDefault="009F5848" w:rsidP="009F5848">
            <w:pPr>
              <w:tabs>
                <w:tab w:val="left" w:pos="567"/>
              </w:tabs>
              <w:spacing w:before="19" w:line="220" w:lineRule="exact"/>
              <w:rPr>
                <w:rFonts w:eastAsia="Times New Roman"/>
                <w:sz w:val="22"/>
                <w:lang w:val="lt-LT" w:eastAsia="en-US"/>
              </w:rPr>
            </w:pPr>
          </w:p>
          <w:p w14:paraId="42FB6725"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1/58</w:t>
            </w:r>
          </w:p>
          <w:p w14:paraId="41B0CF3B"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1/58</w:t>
            </w:r>
          </w:p>
          <w:p w14:paraId="370AEDA4"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2/56</w:t>
            </w:r>
          </w:p>
          <w:p w14:paraId="394B72F0"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2/57</w:t>
            </w:r>
          </w:p>
          <w:p w14:paraId="1E852A2C" w14:textId="77777777" w:rsidR="009F5848" w:rsidRPr="004509B9" w:rsidRDefault="009F5848" w:rsidP="009F5848">
            <w:pPr>
              <w:tabs>
                <w:tab w:val="left" w:pos="567"/>
              </w:tabs>
              <w:spacing w:line="228" w:lineRule="exact"/>
              <w:ind w:left="102" w:right="-20"/>
              <w:rPr>
                <w:rFonts w:eastAsia="Times New Roman"/>
                <w:sz w:val="20"/>
                <w:lang w:val="lt-LT" w:eastAsia="en-US"/>
              </w:rPr>
            </w:pPr>
            <w:r w:rsidRPr="004509B9">
              <w:rPr>
                <w:rFonts w:eastAsia="Times New Roman"/>
                <w:spacing w:val="1"/>
                <w:sz w:val="20"/>
                <w:lang w:val="lt-LT" w:eastAsia="en-US"/>
              </w:rPr>
              <w:t>1/58</w:t>
            </w:r>
          </w:p>
          <w:p w14:paraId="75AF8A4F"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0/56</w:t>
            </w:r>
          </w:p>
          <w:p w14:paraId="6A59FEF8"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0/58</w:t>
            </w:r>
          </w:p>
        </w:tc>
        <w:tc>
          <w:tcPr>
            <w:tcW w:w="1707" w:type="dxa"/>
            <w:tcBorders>
              <w:top w:val="single" w:sz="4" w:space="0" w:color="000000"/>
              <w:left w:val="single" w:sz="4" w:space="0" w:color="000000"/>
              <w:bottom w:val="single" w:sz="4" w:space="0" w:color="000000"/>
              <w:right w:val="single" w:sz="4" w:space="0" w:color="000000"/>
            </w:tcBorders>
          </w:tcPr>
          <w:p w14:paraId="19975D1E" w14:textId="77777777" w:rsidR="009F5848" w:rsidRPr="004509B9" w:rsidRDefault="009F5848" w:rsidP="009F5848">
            <w:pPr>
              <w:tabs>
                <w:tab w:val="left" w:pos="567"/>
              </w:tabs>
              <w:spacing w:before="19" w:line="220" w:lineRule="exact"/>
              <w:rPr>
                <w:rFonts w:eastAsia="Times New Roman"/>
                <w:sz w:val="22"/>
                <w:lang w:val="lt-LT" w:eastAsia="en-US"/>
              </w:rPr>
            </w:pPr>
          </w:p>
          <w:p w14:paraId="5EDC0663"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0/41</w:t>
            </w:r>
          </w:p>
          <w:p w14:paraId="39EDF089"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0/40</w:t>
            </w:r>
          </w:p>
          <w:p w14:paraId="7831992C"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0/40</w:t>
            </w:r>
          </w:p>
          <w:p w14:paraId="21CE3249"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0/40</w:t>
            </w:r>
          </w:p>
          <w:p w14:paraId="7E6BD363" w14:textId="77777777" w:rsidR="009F5848" w:rsidRPr="004509B9" w:rsidRDefault="009F5848" w:rsidP="009F5848">
            <w:pPr>
              <w:tabs>
                <w:tab w:val="left" w:pos="567"/>
              </w:tabs>
              <w:spacing w:line="228" w:lineRule="exact"/>
              <w:ind w:left="102" w:right="-20"/>
              <w:rPr>
                <w:rFonts w:eastAsia="Times New Roman"/>
                <w:sz w:val="20"/>
                <w:lang w:val="lt-LT" w:eastAsia="en-US"/>
              </w:rPr>
            </w:pPr>
            <w:r w:rsidRPr="004509B9">
              <w:rPr>
                <w:rFonts w:eastAsia="Times New Roman"/>
                <w:spacing w:val="1"/>
                <w:sz w:val="20"/>
                <w:lang w:val="lt-LT" w:eastAsia="en-US"/>
              </w:rPr>
              <w:t>0/40</w:t>
            </w:r>
          </w:p>
          <w:p w14:paraId="09997800"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0/40</w:t>
            </w:r>
          </w:p>
          <w:p w14:paraId="5F9D555D"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0/41</w:t>
            </w:r>
          </w:p>
        </w:tc>
        <w:tc>
          <w:tcPr>
            <w:tcW w:w="1855" w:type="dxa"/>
            <w:tcBorders>
              <w:top w:val="single" w:sz="4" w:space="0" w:color="000000"/>
              <w:left w:val="single" w:sz="4" w:space="0" w:color="000000"/>
              <w:bottom w:val="single" w:sz="4" w:space="0" w:color="000000"/>
              <w:right w:val="single" w:sz="4" w:space="0" w:color="000000"/>
            </w:tcBorders>
          </w:tcPr>
          <w:p w14:paraId="31E0C7EC" w14:textId="77777777" w:rsidR="009F5848" w:rsidRPr="004509B9" w:rsidRDefault="009F5848" w:rsidP="009F5848">
            <w:pPr>
              <w:tabs>
                <w:tab w:val="left" w:pos="567"/>
              </w:tabs>
              <w:spacing w:before="19" w:line="220" w:lineRule="exact"/>
              <w:rPr>
                <w:rFonts w:eastAsia="Times New Roman"/>
                <w:sz w:val="22"/>
                <w:lang w:val="lt-LT" w:eastAsia="en-US"/>
              </w:rPr>
            </w:pPr>
          </w:p>
          <w:p w14:paraId="17627B3C"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3/26</w:t>
            </w:r>
          </w:p>
          <w:p w14:paraId="381E5FC0"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0/22</w:t>
            </w:r>
          </w:p>
          <w:p w14:paraId="004C1003"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0/22</w:t>
            </w:r>
          </w:p>
          <w:p w14:paraId="010EEC9B"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1/24</w:t>
            </w:r>
          </w:p>
          <w:p w14:paraId="34979B8D" w14:textId="77777777" w:rsidR="009F5848" w:rsidRPr="004509B9" w:rsidRDefault="009F5848" w:rsidP="009F5848">
            <w:pPr>
              <w:tabs>
                <w:tab w:val="left" w:pos="567"/>
              </w:tabs>
              <w:spacing w:line="228" w:lineRule="exact"/>
              <w:ind w:left="102" w:right="-20"/>
              <w:rPr>
                <w:rFonts w:eastAsia="Times New Roman"/>
                <w:sz w:val="20"/>
                <w:lang w:val="lt-LT" w:eastAsia="en-US"/>
              </w:rPr>
            </w:pPr>
            <w:r w:rsidRPr="004509B9">
              <w:rPr>
                <w:rFonts w:eastAsia="Times New Roman"/>
                <w:spacing w:val="1"/>
                <w:sz w:val="20"/>
                <w:lang w:val="lt-LT" w:eastAsia="en-US"/>
              </w:rPr>
              <w:t>0/23</w:t>
            </w:r>
          </w:p>
          <w:p w14:paraId="37373CA3"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0/22</w:t>
            </w:r>
          </w:p>
          <w:p w14:paraId="5D1E1227" w14:textId="77777777" w:rsidR="009F5848" w:rsidRPr="004509B9" w:rsidRDefault="009F5848" w:rsidP="009F5848">
            <w:pPr>
              <w:tabs>
                <w:tab w:val="left" w:pos="567"/>
              </w:tabs>
              <w:ind w:left="102" w:right="-20"/>
              <w:rPr>
                <w:rFonts w:eastAsia="Times New Roman"/>
                <w:sz w:val="20"/>
                <w:lang w:val="lt-LT" w:eastAsia="en-US"/>
              </w:rPr>
            </w:pPr>
            <w:r w:rsidRPr="004509B9">
              <w:rPr>
                <w:rFonts w:eastAsia="Times New Roman"/>
                <w:spacing w:val="1"/>
                <w:sz w:val="20"/>
                <w:lang w:val="lt-LT" w:eastAsia="en-US"/>
              </w:rPr>
              <w:t>1/25</w:t>
            </w:r>
          </w:p>
        </w:tc>
      </w:tr>
    </w:tbl>
    <w:p w14:paraId="78A7E22D" w14:textId="77777777" w:rsidR="009F5848" w:rsidRPr="004509B9" w:rsidRDefault="009F5848" w:rsidP="009F5848">
      <w:pPr>
        <w:autoSpaceDE w:val="0"/>
        <w:autoSpaceDN w:val="0"/>
        <w:adjustRightInd w:val="0"/>
        <w:rPr>
          <w:rFonts w:eastAsia="TimesNewRoman"/>
          <w:sz w:val="18"/>
          <w:szCs w:val="18"/>
          <w:lang w:val="lt-LT" w:eastAsia="en-US"/>
        </w:rPr>
      </w:pPr>
      <w:r w:rsidRPr="004509B9">
        <w:rPr>
          <w:rFonts w:eastAsia="TimesNewRoman"/>
          <w:sz w:val="20"/>
          <w:vertAlign w:val="superscript"/>
          <w:lang w:val="lt-LT" w:eastAsia="en-US"/>
        </w:rPr>
        <w:t xml:space="preserve">a </w:t>
      </w:r>
      <w:r w:rsidRPr="004509B9">
        <w:rPr>
          <w:rFonts w:eastAsia="TimesNewRoman"/>
          <w:i/>
          <w:iCs/>
          <w:sz w:val="18"/>
          <w:szCs w:val="18"/>
          <w:lang w:val="lt-LT" w:eastAsia="en-US"/>
        </w:rPr>
        <w:t xml:space="preserve">TLOVR </w:t>
      </w:r>
      <w:r w:rsidRPr="004509B9">
        <w:rPr>
          <w:rFonts w:eastAsia="TimesNewRoman"/>
          <w:sz w:val="18"/>
          <w:szCs w:val="18"/>
          <w:lang w:val="lt-LT" w:eastAsia="en-US"/>
        </w:rPr>
        <w:t xml:space="preserve">su ne virusologinio atsako nepakankamumo cenzūravimu algoritmas, atsižvelgiant į ŽIV-1 RNR &lt; 50 kopijų/ml, išskyrus </w:t>
      </w:r>
      <w:r w:rsidRPr="004509B9">
        <w:rPr>
          <w:rFonts w:eastAsia="TimesNewRoman"/>
          <w:i/>
          <w:iCs/>
          <w:sz w:val="18"/>
          <w:szCs w:val="18"/>
          <w:lang w:val="lt-LT" w:eastAsia="en-US"/>
        </w:rPr>
        <w:t xml:space="preserve">TITAN </w:t>
      </w:r>
      <w:r w:rsidRPr="004509B9">
        <w:rPr>
          <w:rFonts w:eastAsia="TimesNewRoman"/>
          <w:sz w:val="18"/>
          <w:szCs w:val="18"/>
          <w:lang w:val="lt-LT" w:eastAsia="en-US"/>
        </w:rPr>
        <w:t>(ŽIV-1 RNR &lt; 400 kopijų/ml).</w:t>
      </w:r>
    </w:p>
    <w:p w14:paraId="5B9CC870" w14:textId="77777777" w:rsidR="009F5848" w:rsidRPr="004509B9" w:rsidRDefault="009F5848" w:rsidP="009F5848">
      <w:pPr>
        <w:autoSpaceDE w:val="0"/>
        <w:autoSpaceDN w:val="0"/>
        <w:adjustRightInd w:val="0"/>
        <w:rPr>
          <w:rFonts w:eastAsia="TimesNewRoman"/>
          <w:sz w:val="18"/>
          <w:szCs w:val="18"/>
          <w:lang w:val="lt-LT" w:eastAsia="en-US"/>
        </w:rPr>
      </w:pPr>
      <w:r w:rsidRPr="004509B9">
        <w:rPr>
          <w:rFonts w:eastAsia="TimesNewRoman"/>
          <w:sz w:val="20"/>
          <w:vertAlign w:val="superscript"/>
          <w:lang w:val="lt-LT" w:eastAsia="en-US"/>
        </w:rPr>
        <w:t>b</w:t>
      </w:r>
      <w:r w:rsidRPr="004509B9">
        <w:rPr>
          <w:rFonts w:eastAsia="TimesNewRoman"/>
          <w:sz w:val="14"/>
          <w:szCs w:val="14"/>
          <w:lang w:val="lt-LT" w:eastAsia="en-US"/>
        </w:rPr>
        <w:t xml:space="preserve"> </w:t>
      </w:r>
      <w:r w:rsidRPr="004509B9">
        <w:rPr>
          <w:rFonts w:eastAsia="TimesNewRoman"/>
          <w:sz w:val="18"/>
          <w:szCs w:val="18"/>
          <w:lang w:val="lt-LT" w:eastAsia="en-US"/>
        </w:rPr>
        <w:t>IAS-JAV sąrašas.</w:t>
      </w:r>
    </w:p>
    <w:p w14:paraId="28C266B4" w14:textId="77777777" w:rsidR="009F5848" w:rsidRPr="004509B9" w:rsidRDefault="009F5848" w:rsidP="009F5848">
      <w:pPr>
        <w:autoSpaceDE w:val="0"/>
        <w:autoSpaceDN w:val="0"/>
        <w:adjustRightInd w:val="0"/>
        <w:rPr>
          <w:rFonts w:eastAsia="TimesNewRoman"/>
          <w:sz w:val="22"/>
          <w:szCs w:val="22"/>
          <w:lang w:val="lt-LT" w:eastAsia="en-US"/>
        </w:rPr>
      </w:pPr>
    </w:p>
    <w:p w14:paraId="44EABE17" w14:textId="77777777" w:rsidR="009F5848" w:rsidRPr="009C16AC" w:rsidRDefault="009F5848" w:rsidP="009F5848">
      <w:pPr>
        <w:autoSpaceDE w:val="0"/>
        <w:autoSpaceDN w:val="0"/>
        <w:adjustRightInd w:val="0"/>
        <w:rPr>
          <w:rFonts w:eastAsia="TimesNewRoman"/>
          <w:sz w:val="22"/>
          <w:szCs w:val="22"/>
          <w:u w:val="single"/>
          <w:lang w:val="lt-LT" w:eastAsia="en-US"/>
        </w:rPr>
      </w:pPr>
      <w:r w:rsidRPr="009C16AC">
        <w:rPr>
          <w:rFonts w:eastAsia="TimesNewRoman"/>
          <w:sz w:val="22"/>
          <w:szCs w:val="22"/>
          <w:u w:val="single"/>
          <w:lang w:val="lt-LT" w:eastAsia="en-US"/>
        </w:rPr>
        <w:t>Kryžminis atsparumas</w:t>
      </w:r>
    </w:p>
    <w:p w14:paraId="7C8B42C2"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Iš 3 309 klinikinių padermių, atsparių amprenavirui, atazanavirui, indinavirui, lopinavirui, nelfinavirui, ritonavirui, sakvinavirui ir (arba) tipranavirui, 90 % padermių FC darunavirui buvo mažesnis kaip 10 kartų; tai rodo, kad daugumai PI atsparūs virusai lieka jautrūs darunavirui. </w:t>
      </w:r>
    </w:p>
    <w:p w14:paraId="058CF47B" w14:textId="77777777" w:rsidR="009F5848" w:rsidRPr="004509B9" w:rsidRDefault="009F5848" w:rsidP="009F5848">
      <w:pPr>
        <w:autoSpaceDE w:val="0"/>
        <w:autoSpaceDN w:val="0"/>
        <w:adjustRightInd w:val="0"/>
        <w:rPr>
          <w:rFonts w:eastAsia="TimesNewRoman"/>
          <w:sz w:val="22"/>
          <w:szCs w:val="22"/>
          <w:lang w:val="lt-LT" w:eastAsia="en-US"/>
        </w:rPr>
      </w:pPr>
    </w:p>
    <w:p w14:paraId="0B8BCAA9" w14:textId="77777777" w:rsidR="008D0B5C"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Virusologinio atsako nepakankamumo atvejais </w:t>
      </w:r>
      <w:r w:rsidRPr="004509B9">
        <w:rPr>
          <w:rFonts w:eastAsia="TimesNewRoman"/>
          <w:i/>
          <w:iCs/>
          <w:sz w:val="22"/>
          <w:szCs w:val="22"/>
          <w:lang w:val="lt-LT" w:eastAsia="en-US"/>
        </w:rPr>
        <w:t xml:space="preserve">ARTEMIS </w:t>
      </w:r>
      <w:r w:rsidRPr="004509B9">
        <w:rPr>
          <w:rFonts w:eastAsia="TimesNewRoman"/>
          <w:sz w:val="22"/>
          <w:szCs w:val="22"/>
          <w:lang w:val="lt-LT" w:eastAsia="en-US"/>
        </w:rPr>
        <w:t xml:space="preserve">tyrimo metu kryžminio atsparumo kitiems PI nepastebėta. </w:t>
      </w:r>
    </w:p>
    <w:p w14:paraId="0CEA5CCF" w14:textId="77777777" w:rsidR="008D0B5C" w:rsidRPr="004509B9" w:rsidRDefault="008D0B5C" w:rsidP="009F5848">
      <w:pPr>
        <w:autoSpaceDE w:val="0"/>
        <w:autoSpaceDN w:val="0"/>
        <w:adjustRightInd w:val="0"/>
        <w:rPr>
          <w:rFonts w:eastAsia="TimesNewRoman"/>
          <w:sz w:val="22"/>
          <w:szCs w:val="22"/>
          <w:lang w:val="lt-LT" w:eastAsia="en-US"/>
        </w:rPr>
      </w:pPr>
    </w:p>
    <w:p w14:paraId="15F73982" w14:textId="77777777" w:rsidR="009F5848" w:rsidRPr="009C16AC" w:rsidRDefault="009F5848" w:rsidP="009F5848">
      <w:pPr>
        <w:autoSpaceDE w:val="0"/>
        <w:autoSpaceDN w:val="0"/>
        <w:adjustRightInd w:val="0"/>
        <w:rPr>
          <w:rFonts w:eastAsia="TimesNewRoman"/>
          <w:sz w:val="22"/>
          <w:szCs w:val="22"/>
          <w:u w:val="single"/>
          <w:lang w:val="lt-LT" w:eastAsia="en-US"/>
        </w:rPr>
      </w:pPr>
      <w:r w:rsidRPr="009C16AC">
        <w:rPr>
          <w:rFonts w:eastAsia="TimesNewRoman"/>
          <w:sz w:val="22"/>
          <w:szCs w:val="22"/>
          <w:u w:val="single"/>
          <w:lang w:val="lt-LT" w:eastAsia="en-US"/>
        </w:rPr>
        <w:lastRenderedPageBreak/>
        <w:t>Klinikinių tyrimų duomenys</w:t>
      </w:r>
    </w:p>
    <w:p w14:paraId="4865EE91" w14:textId="77777777" w:rsidR="009F5848" w:rsidRPr="004509B9" w:rsidRDefault="009F5848" w:rsidP="009F5848">
      <w:pPr>
        <w:autoSpaceDE w:val="0"/>
        <w:autoSpaceDN w:val="0"/>
        <w:adjustRightInd w:val="0"/>
        <w:rPr>
          <w:rFonts w:eastAsia="TimesNewRoman"/>
          <w:sz w:val="22"/>
          <w:szCs w:val="22"/>
          <w:lang w:val="lt-LT" w:eastAsia="en-US"/>
        </w:rPr>
      </w:pPr>
    </w:p>
    <w:p w14:paraId="097E0F50"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Suaugę pacientai</w:t>
      </w:r>
    </w:p>
    <w:p w14:paraId="441E3359" w14:textId="77777777" w:rsidR="008D0B5C" w:rsidRPr="004509B9" w:rsidRDefault="008D0B5C" w:rsidP="008D0B5C">
      <w:pPr>
        <w:autoSpaceDE w:val="0"/>
        <w:autoSpaceDN w:val="0"/>
        <w:adjustRightInd w:val="0"/>
        <w:rPr>
          <w:rFonts w:eastAsia="TimesNewRoman"/>
          <w:i/>
          <w:iCs/>
          <w:sz w:val="22"/>
          <w:szCs w:val="22"/>
          <w:u w:val="single"/>
          <w:lang w:val="lt-LT" w:eastAsia="en-US"/>
        </w:rPr>
      </w:pPr>
    </w:p>
    <w:p w14:paraId="55A4BB84" w14:textId="77777777" w:rsidR="008D0B5C" w:rsidRPr="004509B9" w:rsidRDefault="006470F4" w:rsidP="008D0B5C">
      <w:pPr>
        <w:autoSpaceDE w:val="0"/>
        <w:autoSpaceDN w:val="0"/>
        <w:adjustRightInd w:val="0"/>
        <w:rPr>
          <w:rFonts w:eastAsia="TimesNewRoman"/>
          <w:i/>
          <w:iCs/>
          <w:sz w:val="22"/>
          <w:szCs w:val="22"/>
          <w:u w:val="single"/>
          <w:lang w:val="lt-LT" w:eastAsia="en-US"/>
        </w:rPr>
      </w:pPr>
      <w:r w:rsidRPr="004509B9">
        <w:rPr>
          <w:rFonts w:eastAsia="TimesNewRoman"/>
          <w:i/>
          <w:iCs/>
          <w:sz w:val="22"/>
          <w:szCs w:val="22"/>
          <w:u w:val="single"/>
          <w:lang w:val="lt-LT" w:eastAsia="en-US"/>
        </w:rPr>
        <w:t>Darunavir Teva</w:t>
      </w:r>
      <w:r w:rsidR="008D0B5C" w:rsidRPr="004509B9">
        <w:rPr>
          <w:rFonts w:eastAsia="TimesNewRoman"/>
          <w:i/>
          <w:iCs/>
          <w:sz w:val="22"/>
          <w:szCs w:val="22"/>
          <w:u w:val="single"/>
          <w:lang w:val="lt-LT" w:eastAsia="en-US"/>
        </w:rPr>
        <w:t xml:space="preserve"> 600 mg du kartus per parą dozės, vartojamos kartu su 100 mg ritonaviro du kartus per parą, veiksmingumas pacientams, kuriems buvo taikytas ARG</w:t>
      </w:r>
    </w:p>
    <w:p w14:paraId="2BBA9D28" w14:textId="77777777" w:rsidR="008D0B5C" w:rsidRPr="004509B9" w:rsidRDefault="008D0B5C" w:rsidP="008D0B5C">
      <w:pPr>
        <w:autoSpaceDE w:val="0"/>
        <w:autoSpaceDN w:val="0"/>
        <w:adjustRightInd w:val="0"/>
        <w:rPr>
          <w:rFonts w:eastAsia="TimesNewRoman"/>
          <w:iCs/>
          <w:sz w:val="22"/>
          <w:szCs w:val="22"/>
          <w:lang w:val="lt-LT" w:eastAsia="en-US"/>
        </w:rPr>
      </w:pPr>
      <w:r w:rsidRPr="004509B9">
        <w:rPr>
          <w:rFonts w:eastAsia="TimesNewRoman"/>
          <w:iCs/>
          <w:sz w:val="22"/>
          <w:szCs w:val="22"/>
          <w:lang w:val="lt-LT" w:eastAsia="en-US"/>
        </w:rPr>
        <w:t>Duomenys apie darunaviro vartojimo kartu su ritonaviru (600/100 mg du kartus per parą) veiksmingumą yra pagrįsti III fazės TITAN klinikinio tyrimo, kuriame dalyvavo ARG gavę, bet lopinaviro nevartoję pacientai, 96 savaičių, III fazės ODIN klinikinio tyrimo, kuriame dalyvavo pacientai, kuriems buvo taikytas ARG ir nebuvo DRV-ASM, 48 savaitės ir IIb fazės POWER 1 ir 2 tyrimų, kuriuose dalyvavo pacientai, kuriems buvo taikytas ARG ir nustatytas didelis atsparumas PI, 96 savaičių duomenų analize.</w:t>
      </w:r>
    </w:p>
    <w:p w14:paraId="312BD815" w14:textId="77777777" w:rsidR="008D0B5C" w:rsidRPr="004509B9" w:rsidRDefault="008D0B5C" w:rsidP="008D0B5C">
      <w:pPr>
        <w:autoSpaceDE w:val="0"/>
        <w:autoSpaceDN w:val="0"/>
        <w:adjustRightInd w:val="0"/>
        <w:rPr>
          <w:rFonts w:eastAsia="TimesNewRoman"/>
          <w:iCs/>
          <w:sz w:val="22"/>
          <w:szCs w:val="22"/>
          <w:lang w:val="lt-LT" w:eastAsia="en-US"/>
        </w:rPr>
      </w:pPr>
    </w:p>
    <w:p w14:paraId="7A0D5B37" w14:textId="77777777" w:rsidR="008D0B5C" w:rsidRPr="004509B9" w:rsidRDefault="008D0B5C" w:rsidP="008D0B5C">
      <w:pPr>
        <w:autoSpaceDE w:val="0"/>
        <w:autoSpaceDN w:val="0"/>
        <w:adjustRightInd w:val="0"/>
        <w:rPr>
          <w:rFonts w:eastAsia="TimesNewRoman"/>
          <w:iCs/>
          <w:sz w:val="22"/>
          <w:szCs w:val="22"/>
          <w:lang w:val="lt-LT" w:eastAsia="en-US"/>
        </w:rPr>
      </w:pPr>
      <w:r w:rsidRPr="009C16AC">
        <w:rPr>
          <w:rFonts w:eastAsia="TimesNewRoman"/>
          <w:b/>
          <w:i/>
          <w:iCs/>
          <w:sz w:val="22"/>
          <w:szCs w:val="22"/>
          <w:lang w:val="lt-LT" w:eastAsia="en-US"/>
        </w:rPr>
        <w:t>TITAN</w:t>
      </w:r>
      <w:r w:rsidRPr="004509B9">
        <w:rPr>
          <w:rFonts w:eastAsia="TimesNewRoman"/>
          <w:i/>
          <w:iCs/>
          <w:sz w:val="22"/>
          <w:szCs w:val="22"/>
          <w:lang w:val="lt-LT" w:eastAsia="en-US"/>
        </w:rPr>
        <w:t xml:space="preserve"> </w:t>
      </w:r>
      <w:r w:rsidRPr="004509B9">
        <w:rPr>
          <w:rFonts w:eastAsia="TimesNewRoman"/>
          <w:iCs/>
          <w:sz w:val="22"/>
          <w:szCs w:val="22"/>
          <w:lang w:val="lt-LT" w:eastAsia="en-US"/>
        </w:rPr>
        <w:t xml:space="preserve">yra atsitiktinių imčių kontroliuojamasis atviras III fazės darunaviro vartojimo kartu su ritonaviru (600/100 mg du kartus per parą) palyginamasis su lopinaviro/ritonaviro vartojimu (400/100 mg du kartus per parą) ARG, bet lopinaviro nevartojusiems ŽIV-1 užsikrėtusiems suaugusiems pacientams, tyrimas. Abiejose grupėse taikytas gydymas pagal optimizuotą pagrindinį planą (OPP), pagal kurį vartojami bent 2 antiretrovirusiniai vaistiniai preparatai (NATI </w:t>
      </w:r>
      <w:r w:rsidR="00F72503" w:rsidRPr="004509B9">
        <w:rPr>
          <w:rFonts w:eastAsia="TimesNewRoman"/>
          <w:iCs/>
          <w:sz w:val="22"/>
          <w:szCs w:val="22"/>
          <w:lang w:val="lt-LT" w:eastAsia="en-US"/>
        </w:rPr>
        <w:t>[</w:t>
      </w:r>
      <w:r w:rsidR="00F72503" w:rsidRPr="004509B9">
        <w:rPr>
          <w:sz w:val="22"/>
          <w:szCs w:val="22"/>
          <w:lang w:val="lt-LT"/>
        </w:rPr>
        <w:t>nukleozidų atvirkštinės transkriptazės inhibitoriai]</w:t>
      </w:r>
      <w:r w:rsidR="00F72503" w:rsidRPr="004509B9">
        <w:rPr>
          <w:rFonts w:eastAsia="TimesNewRoman"/>
          <w:iCs/>
          <w:sz w:val="22"/>
          <w:szCs w:val="22"/>
          <w:lang w:val="lt-LT" w:eastAsia="en-US"/>
        </w:rPr>
        <w:t xml:space="preserve"> </w:t>
      </w:r>
      <w:r w:rsidRPr="004509B9">
        <w:rPr>
          <w:rFonts w:eastAsia="TimesNewRoman"/>
          <w:iCs/>
          <w:sz w:val="22"/>
          <w:szCs w:val="22"/>
          <w:lang w:val="lt-LT" w:eastAsia="en-US"/>
        </w:rPr>
        <w:t xml:space="preserve">kartu su NNATI </w:t>
      </w:r>
      <w:r w:rsidR="00F72503" w:rsidRPr="004509B9">
        <w:rPr>
          <w:rFonts w:eastAsia="TimesNewRoman"/>
          <w:iCs/>
          <w:sz w:val="22"/>
          <w:szCs w:val="22"/>
          <w:lang w:val="lt-LT" w:eastAsia="en-US"/>
        </w:rPr>
        <w:t>[</w:t>
      </w:r>
      <w:r w:rsidR="00F72503" w:rsidRPr="004509B9">
        <w:rPr>
          <w:sz w:val="22"/>
          <w:szCs w:val="22"/>
          <w:lang w:val="lt-LT"/>
        </w:rPr>
        <w:t>nenukleozidų atvirkštinės transkriptazės inhibitoriai]</w:t>
      </w:r>
      <w:r w:rsidR="00F72503" w:rsidRPr="004509B9">
        <w:rPr>
          <w:rFonts w:eastAsia="TimesNewRoman"/>
          <w:iCs/>
          <w:sz w:val="22"/>
          <w:szCs w:val="22"/>
          <w:lang w:val="lt-LT" w:eastAsia="en-US"/>
        </w:rPr>
        <w:t xml:space="preserve"> </w:t>
      </w:r>
      <w:r w:rsidRPr="004509B9">
        <w:rPr>
          <w:rFonts w:eastAsia="TimesNewRoman"/>
          <w:iCs/>
          <w:sz w:val="22"/>
          <w:szCs w:val="22"/>
          <w:lang w:val="lt-LT" w:eastAsia="en-US"/>
        </w:rPr>
        <w:t>arba be NNATI).</w:t>
      </w:r>
    </w:p>
    <w:p w14:paraId="6D715905" w14:textId="77777777" w:rsidR="00F72503" w:rsidRPr="004509B9" w:rsidRDefault="00F72503" w:rsidP="008D0B5C">
      <w:pPr>
        <w:autoSpaceDE w:val="0"/>
        <w:autoSpaceDN w:val="0"/>
        <w:adjustRightInd w:val="0"/>
        <w:rPr>
          <w:sz w:val="22"/>
          <w:szCs w:val="22"/>
          <w:lang w:val="lt-LT"/>
        </w:rPr>
      </w:pPr>
    </w:p>
    <w:p w14:paraId="30710164" w14:textId="77777777" w:rsidR="009F5848" w:rsidRPr="004509B9" w:rsidRDefault="008D0B5C" w:rsidP="008D0B5C">
      <w:pPr>
        <w:autoSpaceDE w:val="0"/>
        <w:autoSpaceDN w:val="0"/>
        <w:adjustRightInd w:val="0"/>
        <w:rPr>
          <w:rFonts w:eastAsia="TimesNewRoman"/>
          <w:iCs/>
          <w:sz w:val="22"/>
          <w:szCs w:val="22"/>
          <w:lang w:val="lt-LT" w:eastAsia="en-US"/>
        </w:rPr>
      </w:pPr>
      <w:r w:rsidRPr="004509B9">
        <w:rPr>
          <w:rFonts w:eastAsia="TimesNewRoman"/>
          <w:iCs/>
          <w:sz w:val="22"/>
          <w:szCs w:val="22"/>
          <w:lang w:val="lt-LT" w:eastAsia="en-US"/>
        </w:rPr>
        <w:t>Toliau esančioje lentelė parodyti TITAN tyrimo 48-tos savaitės rezultatų analizės veiksmingumo</w:t>
      </w:r>
      <w:r w:rsidR="00321EED" w:rsidRPr="004509B9">
        <w:rPr>
          <w:rFonts w:eastAsia="TimesNewRoman"/>
          <w:iCs/>
          <w:sz w:val="22"/>
          <w:szCs w:val="22"/>
          <w:lang w:val="lt-LT" w:eastAsia="en-US"/>
        </w:rPr>
        <w:t xml:space="preserve"> </w:t>
      </w:r>
      <w:r w:rsidRPr="004509B9">
        <w:rPr>
          <w:rFonts w:eastAsia="TimesNewRoman"/>
          <w:iCs/>
          <w:sz w:val="22"/>
          <w:szCs w:val="22"/>
          <w:lang w:val="lt-LT" w:eastAsia="en-US"/>
        </w:rPr>
        <w:t>duomenys.</w:t>
      </w:r>
    </w:p>
    <w:p w14:paraId="7A4F1471" w14:textId="77777777" w:rsidR="00321EED" w:rsidRPr="004509B9" w:rsidRDefault="00321EED" w:rsidP="008D0B5C">
      <w:pPr>
        <w:autoSpaceDE w:val="0"/>
        <w:autoSpaceDN w:val="0"/>
        <w:adjustRightInd w:val="0"/>
        <w:rPr>
          <w:rFonts w:eastAsia="TimesNewRoman"/>
          <w:iCs/>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2293"/>
        <w:gridCol w:w="2290"/>
        <w:gridCol w:w="2224"/>
      </w:tblGrid>
      <w:tr w:rsidR="00321EED" w:rsidRPr="00C75EC3" w14:paraId="3E19E177" w14:textId="77777777" w:rsidTr="00C75EC3">
        <w:tc>
          <w:tcPr>
            <w:tcW w:w="9288" w:type="dxa"/>
            <w:gridSpan w:val="4"/>
            <w:shd w:val="clear" w:color="auto" w:fill="auto"/>
          </w:tcPr>
          <w:p w14:paraId="46D03F51" w14:textId="77777777" w:rsidR="00321EED" w:rsidRPr="00C75EC3" w:rsidRDefault="00321EED" w:rsidP="00C75EC3">
            <w:pPr>
              <w:autoSpaceDE w:val="0"/>
              <w:autoSpaceDN w:val="0"/>
              <w:adjustRightInd w:val="0"/>
              <w:jc w:val="center"/>
              <w:rPr>
                <w:rFonts w:eastAsia="TimesNewRoman"/>
                <w:sz w:val="20"/>
                <w:lang w:val="lt-LT" w:eastAsia="en-US"/>
              </w:rPr>
            </w:pPr>
            <w:r w:rsidRPr="00C75EC3">
              <w:rPr>
                <w:rFonts w:eastAsia="TimesNewRoman"/>
                <w:sz w:val="20"/>
                <w:lang w:val="lt-LT" w:eastAsia="en-US"/>
              </w:rPr>
              <w:t>TITAN</w:t>
            </w:r>
          </w:p>
        </w:tc>
      </w:tr>
      <w:tr w:rsidR="003448FD" w:rsidRPr="00C75EC3" w14:paraId="1D17507E" w14:textId="77777777" w:rsidTr="00C75EC3">
        <w:tc>
          <w:tcPr>
            <w:tcW w:w="2322" w:type="dxa"/>
            <w:shd w:val="clear" w:color="auto" w:fill="auto"/>
          </w:tcPr>
          <w:p w14:paraId="01EB604F" w14:textId="77777777" w:rsidR="00321EED" w:rsidRPr="00C75EC3" w:rsidRDefault="00321EED" w:rsidP="00C75EC3">
            <w:pPr>
              <w:autoSpaceDE w:val="0"/>
              <w:autoSpaceDN w:val="0"/>
              <w:adjustRightInd w:val="0"/>
              <w:rPr>
                <w:rFonts w:eastAsia="TimesNewRoman"/>
                <w:sz w:val="20"/>
                <w:lang w:val="lt-LT" w:eastAsia="en-US"/>
              </w:rPr>
            </w:pPr>
            <w:r w:rsidRPr="00C75EC3">
              <w:rPr>
                <w:rFonts w:eastAsia="TimesNewRoman"/>
                <w:sz w:val="20"/>
                <w:lang w:val="lt-LT" w:eastAsia="en-US"/>
              </w:rPr>
              <w:t>Vertinamosios baigtys</w:t>
            </w:r>
          </w:p>
        </w:tc>
        <w:tc>
          <w:tcPr>
            <w:tcW w:w="2322" w:type="dxa"/>
            <w:shd w:val="clear" w:color="auto" w:fill="auto"/>
          </w:tcPr>
          <w:p w14:paraId="3DDA7484" w14:textId="77777777" w:rsidR="00321EED" w:rsidRPr="00C75EC3" w:rsidRDefault="00321EED" w:rsidP="00C75EC3">
            <w:pPr>
              <w:autoSpaceDE w:val="0"/>
              <w:autoSpaceDN w:val="0"/>
              <w:adjustRightInd w:val="0"/>
              <w:jc w:val="center"/>
              <w:rPr>
                <w:rFonts w:eastAsia="TimesNewRoman"/>
                <w:sz w:val="20"/>
                <w:lang w:val="lt-LT" w:eastAsia="en-US"/>
              </w:rPr>
            </w:pPr>
            <w:r w:rsidRPr="00C75EC3">
              <w:rPr>
                <w:rFonts w:eastAsia="TimesNewRoman"/>
                <w:sz w:val="20"/>
                <w:lang w:val="lt-LT" w:eastAsia="en-US"/>
              </w:rPr>
              <w:t>600/100 mg</w:t>
            </w:r>
          </w:p>
          <w:p w14:paraId="00B4C02E" w14:textId="77777777" w:rsidR="00321EED" w:rsidRPr="00C75EC3" w:rsidRDefault="00321EED" w:rsidP="00C75EC3">
            <w:pPr>
              <w:autoSpaceDE w:val="0"/>
              <w:autoSpaceDN w:val="0"/>
              <w:adjustRightInd w:val="0"/>
              <w:jc w:val="center"/>
              <w:rPr>
                <w:rFonts w:eastAsia="TimesNewRoman"/>
                <w:sz w:val="20"/>
                <w:lang w:val="lt-LT" w:eastAsia="en-US"/>
              </w:rPr>
            </w:pPr>
            <w:r w:rsidRPr="00C75EC3">
              <w:rPr>
                <w:rFonts w:eastAsia="TimesNewRoman"/>
                <w:sz w:val="20"/>
                <w:lang w:val="lt-LT" w:eastAsia="en-US"/>
              </w:rPr>
              <w:t>darunaviro/ritonaviro du kartus per parą + OPP n=298</w:t>
            </w:r>
          </w:p>
        </w:tc>
        <w:tc>
          <w:tcPr>
            <w:tcW w:w="2322" w:type="dxa"/>
            <w:shd w:val="clear" w:color="auto" w:fill="auto"/>
          </w:tcPr>
          <w:p w14:paraId="313D4F1F" w14:textId="77777777" w:rsidR="00321EED" w:rsidRPr="00C75EC3" w:rsidRDefault="00321EED" w:rsidP="00C75EC3">
            <w:pPr>
              <w:autoSpaceDE w:val="0"/>
              <w:autoSpaceDN w:val="0"/>
              <w:adjustRightInd w:val="0"/>
              <w:jc w:val="center"/>
              <w:rPr>
                <w:rFonts w:eastAsia="TimesNewRoman"/>
                <w:sz w:val="20"/>
                <w:lang w:val="lt-LT" w:eastAsia="en-US"/>
              </w:rPr>
            </w:pPr>
            <w:r w:rsidRPr="00C75EC3">
              <w:rPr>
                <w:rFonts w:eastAsia="TimesNewRoman"/>
                <w:sz w:val="20"/>
                <w:lang w:val="lt-LT" w:eastAsia="en-US"/>
              </w:rPr>
              <w:t>400/100 mg</w:t>
            </w:r>
          </w:p>
          <w:p w14:paraId="18112AC3" w14:textId="77777777" w:rsidR="00321EED" w:rsidRPr="00C75EC3" w:rsidRDefault="00321EED" w:rsidP="00C75EC3">
            <w:pPr>
              <w:autoSpaceDE w:val="0"/>
              <w:autoSpaceDN w:val="0"/>
              <w:adjustRightInd w:val="0"/>
              <w:jc w:val="center"/>
              <w:rPr>
                <w:rFonts w:eastAsia="TimesNewRoman"/>
                <w:sz w:val="20"/>
                <w:lang w:val="lt-LT" w:eastAsia="en-US"/>
              </w:rPr>
            </w:pPr>
            <w:r w:rsidRPr="00C75EC3">
              <w:rPr>
                <w:rFonts w:eastAsia="TimesNewRoman"/>
                <w:sz w:val="20"/>
                <w:lang w:val="lt-LT" w:eastAsia="en-US"/>
              </w:rPr>
              <w:t>lopinaviro/ritonaviro du kartus per parą + OPP</w:t>
            </w:r>
          </w:p>
          <w:p w14:paraId="65A2394A" w14:textId="77777777" w:rsidR="00321EED" w:rsidRPr="00C75EC3" w:rsidRDefault="00321EED" w:rsidP="00C75EC3">
            <w:pPr>
              <w:autoSpaceDE w:val="0"/>
              <w:autoSpaceDN w:val="0"/>
              <w:adjustRightInd w:val="0"/>
              <w:jc w:val="center"/>
              <w:rPr>
                <w:rFonts w:eastAsia="TimesNewRoman"/>
                <w:sz w:val="20"/>
                <w:lang w:val="lt-LT" w:eastAsia="en-US"/>
              </w:rPr>
            </w:pPr>
            <w:r w:rsidRPr="00C75EC3">
              <w:rPr>
                <w:rFonts w:eastAsia="TimesNewRoman"/>
                <w:sz w:val="20"/>
                <w:lang w:val="lt-LT" w:eastAsia="en-US"/>
              </w:rPr>
              <w:t>n=297</w:t>
            </w:r>
          </w:p>
        </w:tc>
        <w:tc>
          <w:tcPr>
            <w:tcW w:w="2322" w:type="dxa"/>
            <w:shd w:val="clear" w:color="auto" w:fill="auto"/>
          </w:tcPr>
          <w:p w14:paraId="1B7CC827" w14:textId="77777777" w:rsidR="00321EED" w:rsidRPr="00C75EC3" w:rsidRDefault="00321EED" w:rsidP="00C75EC3">
            <w:pPr>
              <w:autoSpaceDE w:val="0"/>
              <w:autoSpaceDN w:val="0"/>
              <w:adjustRightInd w:val="0"/>
              <w:jc w:val="center"/>
              <w:rPr>
                <w:rFonts w:eastAsia="TimesNewRoman"/>
                <w:sz w:val="20"/>
                <w:lang w:val="lt-LT" w:eastAsia="en-US"/>
              </w:rPr>
            </w:pPr>
            <w:r w:rsidRPr="00C75EC3">
              <w:rPr>
                <w:rFonts w:eastAsia="TimesNewRoman"/>
                <w:sz w:val="20"/>
                <w:lang w:val="lt-LT" w:eastAsia="en-US"/>
              </w:rPr>
              <w:t>Gydymo skirtumas (skirtumo 95 % PI)</w:t>
            </w:r>
          </w:p>
        </w:tc>
      </w:tr>
      <w:tr w:rsidR="003448FD" w:rsidRPr="00C75EC3" w14:paraId="36B48FBD" w14:textId="77777777" w:rsidTr="00C75EC3">
        <w:tc>
          <w:tcPr>
            <w:tcW w:w="2322" w:type="dxa"/>
            <w:shd w:val="clear" w:color="auto" w:fill="auto"/>
          </w:tcPr>
          <w:p w14:paraId="2277C0D3" w14:textId="77777777" w:rsidR="00321EED" w:rsidRPr="00C75EC3" w:rsidRDefault="00321EED" w:rsidP="00C75EC3">
            <w:pPr>
              <w:autoSpaceDE w:val="0"/>
              <w:autoSpaceDN w:val="0"/>
              <w:adjustRightInd w:val="0"/>
              <w:rPr>
                <w:rFonts w:eastAsia="TimesNewRoman"/>
                <w:sz w:val="20"/>
                <w:lang w:val="lt-LT" w:eastAsia="en-US"/>
              </w:rPr>
            </w:pPr>
            <w:r w:rsidRPr="00C75EC3">
              <w:rPr>
                <w:rFonts w:eastAsia="TimesNewRoman"/>
                <w:sz w:val="20"/>
                <w:lang w:val="lt-LT" w:eastAsia="en-US"/>
              </w:rPr>
              <w:t>ŽIV-1 RNR &lt; 50 kopijų/ml</w:t>
            </w:r>
            <w:r w:rsidRPr="00C75EC3">
              <w:rPr>
                <w:rFonts w:eastAsia="TimesNewRoman"/>
                <w:sz w:val="20"/>
                <w:vertAlign w:val="superscript"/>
                <w:lang w:val="lt-LT" w:eastAsia="en-US"/>
              </w:rPr>
              <w:t>a</w:t>
            </w:r>
          </w:p>
        </w:tc>
        <w:tc>
          <w:tcPr>
            <w:tcW w:w="2322" w:type="dxa"/>
            <w:shd w:val="clear" w:color="auto" w:fill="auto"/>
          </w:tcPr>
          <w:p w14:paraId="672D2A54" w14:textId="77777777" w:rsidR="00321EED" w:rsidRPr="00C75EC3" w:rsidRDefault="00321EED" w:rsidP="00C75EC3">
            <w:pPr>
              <w:autoSpaceDE w:val="0"/>
              <w:autoSpaceDN w:val="0"/>
              <w:adjustRightInd w:val="0"/>
              <w:jc w:val="center"/>
              <w:rPr>
                <w:rFonts w:eastAsia="TimesNewRoman"/>
                <w:sz w:val="20"/>
                <w:lang w:val="lt-LT" w:eastAsia="en-US"/>
              </w:rPr>
            </w:pPr>
            <w:r w:rsidRPr="00C75EC3">
              <w:rPr>
                <w:rFonts w:eastAsia="TimesNewRoman"/>
                <w:sz w:val="20"/>
                <w:lang w:val="lt-LT" w:eastAsia="en-US"/>
              </w:rPr>
              <w:t>70,8 % (211)</w:t>
            </w:r>
          </w:p>
        </w:tc>
        <w:tc>
          <w:tcPr>
            <w:tcW w:w="2322" w:type="dxa"/>
            <w:shd w:val="clear" w:color="auto" w:fill="auto"/>
          </w:tcPr>
          <w:p w14:paraId="4ABDC3E3" w14:textId="77777777" w:rsidR="00321EED" w:rsidRPr="00C75EC3" w:rsidRDefault="00321EED" w:rsidP="00C75EC3">
            <w:pPr>
              <w:autoSpaceDE w:val="0"/>
              <w:autoSpaceDN w:val="0"/>
              <w:adjustRightInd w:val="0"/>
              <w:jc w:val="center"/>
              <w:rPr>
                <w:rFonts w:eastAsia="TimesNewRoman"/>
                <w:sz w:val="20"/>
                <w:lang w:val="lt-LT" w:eastAsia="en-US"/>
              </w:rPr>
            </w:pPr>
            <w:r w:rsidRPr="00C75EC3">
              <w:rPr>
                <w:rFonts w:eastAsia="TimesNewRoman"/>
                <w:sz w:val="20"/>
                <w:lang w:val="lt-LT" w:eastAsia="en-US"/>
              </w:rPr>
              <w:t>60,3 % (179)</w:t>
            </w:r>
          </w:p>
        </w:tc>
        <w:tc>
          <w:tcPr>
            <w:tcW w:w="2322" w:type="dxa"/>
            <w:shd w:val="clear" w:color="auto" w:fill="auto"/>
          </w:tcPr>
          <w:p w14:paraId="6D10C077" w14:textId="77777777" w:rsidR="00321EED" w:rsidRPr="00C75EC3" w:rsidRDefault="00321EED" w:rsidP="00C75EC3">
            <w:pPr>
              <w:autoSpaceDE w:val="0"/>
              <w:autoSpaceDN w:val="0"/>
              <w:adjustRightInd w:val="0"/>
              <w:jc w:val="center"/>
              <w:rPr>
                <w:rFonts w:eastAsia="TimesNewRoman"/>
                <w:sz w:val="20"/>
                <w:lang w:val="lt-LT" w:eastAsia="en-US"/>
              </w:rPr>
            </w:pPr>
            <w:r w:rsidRPr="00C75EC3">
              <w:rPr>
                <w:rFonts w:eastAsia="TimesNewRoman"/>
                <w:sz w:val="20"/>
                <w:lang w:val="lt-LT" w:eastAsia="en-US"/>
              </w:rPr>
              <w:t>10,5 % (2,9; 18,1)</w:t>
            </w:r>
            <w:r w:rsidRPr="00C75EC3">
              <w:rPr>
                <w:rFonts w:eastAsia="TimesNewRoman"/>
                <w:sz w:val="13"/>
                <w:szCs w:val="13"/>
                <w:lang w:val="lt-LT" w:eastAsia="en-US"/>
              </w:rPr>
              <w:t>b</w:t>
            </w:r>
          </w:p>
        </w:tc>
      </w:tr>
      <w:tr w:rsidR="003448FD" w:rsidRPr="00C75EC3" w14:paraId="11C80742" w14:textId="77777777" w:rsidTr="00C75EC3">
        <w:tc>
          <w:tcPr>
            <w:tcW w:w="2322" w:type="dxa"/>
            <w:shd w:val="clear" w:color="auto" w:fill="auto"/>
          </w:tcPr>
          <w:p w14:paraId="47FB1EE6" w14:textId="77777777" w:rsidR="00321EED" w:rsidRPr="00C75EC3" w:rsidRDefault="00321EED" w:rsidP="00C75EC3">
            <w:pPr>
              <w:autoSpaceDE w:val="0"/>
              <w:autoSpaceDN w:val="0"/>
              <w:adjustRightInd w:val="0"/>
              <w:rPr>
                <w:rFonts w:eastAsia="TimesNewRoman"/>
                <w:sz w:val="20"/>
                <w:lang w:val="lt-LT" w:eastAsia="en-US"/>
              </w:rPr>
            </w:pPr>
            <w:r w:rsidRPr="00C75EC3">
              <w:rPr>
                <w:rFonts w:eastAsia="TimesNewRoman"/>
                <w:sz w:val="20"/>
                <w:lang w:val="lt-LT" w:eastAsia="en-US"/>
              </w:rPr>
              <w:t xml:space="preserve">CD4+ ląstelių kiekio medianos pokytis, palyginti su pradiniu </w:t>
            </w:r>
          </w:p>
          <w:p w14:paraId="07DD4436" w14:textId="77777777" w:rsidR="00321EED" w:rsidRPr="00C75EC3" w:rsidRDefault="00321EED" w:rsidP="00C75EC3">
            <w:pPr>
              <w:autoSpaceDE w:val="0"/>
              <w:autoSpaceDN w:val="0"/>
              <w:adjustRightInd w:val="0"/>
              <w:rPr>
                <w:rFonts w:eastAsia="TimesNewRoman"/>
                <w:sz w:val="20"/>
                <w:lang w:val="lt-LT" w:eastAsia="en-US"/>
              </w:rPr>
            </w:pPr>
            <w:r w:rsidRPr="00C75EC3">
              <w:rPr>
                <w:rFonts w:eastAsia="TimesNewRoman"/>
                <w:sz w:val="20"/>
                <w:lang w:val="lt-LT" w:eastAsia="en-US"/>
              </w:rPr>
              <w:t>(x 10</w:t>
            </w:r>
            <w:r w:rsidRPr="00C75EC3">
              <w:rPr>
                <w:rFonts w:eastAsia="TimesNewRoman"/>
                <w:sz w:val="13"/>
                <w:szCs w:val="13"/>
                <w:lang w:val="lt-LT" w:eastAsia="en-US"/>
              </w:rPr>
              <w:t>6</w:t>
            </w:r>
            <w:r w:rsidRPr="00C75EC3">
              <w:rPr>
                <w:rFonts w:eastAsia="TimesNewRoman"/>
                <w:sz w:val="20"/>
                <w:lang w:val="lt-LT" w:eastAsia="en-US"/>
              </w:rPr>
              <w:t>/l)</w:t>
            </w:r>
            <w:r w:rsidRPr="00C75EC3">
              <w:rPr>
                <w:rFonts w:eastAsia="TimesNewRoman"/>
                <w:sz w:val="22"/>
                <w:szCs w:val="22"/>
                <w:vertAlign w:val="superscript"/>
                <w:lang w:val="lt-LT" w:eastAsia="en-US"/>
              </w:rPr>
              <w:t>c</w:t>
            </w:r>
          </w:p>
        </w:tc>
        <w:tc>
          <w:tcPr>
            <w:tcW w:w="2322" w:type="dxa"/>
            <w:shd w:val="clear" w:color="auto" w:fill="auto"/>
          </w:tcPr>
          <w:p w14:paraId="4E8E793F" w14:textId="77777777" w:rsidR="00321EED" w:rsidRPr="00C75EC3" w:rsidRDefault="00321EED" w:rsidP="00C75EC3">
            <w:pPr>
              <w:autoSpaceDE w:val="0"/>
              <w:autoSpaceDN w:val="0"/>
              <w:adjustRightInd w:val="0"/>
              <w:jc w:val="center"/>
              <w:rPr>
                <w:rFonts w:eastAsia="TimesNewRoman"/>
                <w:sz w:val="20"/>
                <w:lang w:val="lt-LT" w:eastAsia="en-US"/>
              </w:rPr>
            </w:pPr>
            <w:r w:rsidRPr="00C75EC3">
              <w:rPr>
                <w:rFonts w:eastAsia="TimesNewRoman"/>
                <w:sz w:val="20"/>
                <w:lang w:val="lt-LT" w:eastAsia="en-US"/>
              </w:rPr>
              <w:t>88</w:t>
            </w:r>
          </w:p>
        </w:tc>
        <w:tc>
          <w:tcPr>
            <w:tcW w:w="2322" w:type="dxa"/>
            <w:shd w:val="clear" w:color="auto" w:fill="auto"/>
          </w:tcPr>
          <w:p w14:paraId="4ACE577A" w14:textId="77777777" w:rsidR="00321EED" w:rsidRPr="00C75EC3" w:rsidRDefault="00321EED" w:rsidP="00C75EC3">
            <w:pPr>
              <w:autoSpaceDE w:val="0"/>
              <w:autoSpaceDN w:val="0"/>
              <w:adjustRightInd w:val="0"/>
              <w:jc w:val="center"/>
              <w:rPr>
                <w:rFonts w:eastAsia="TimesNewRoman"/>
                <w:sz w:val="20"/>
                <w:lang w:val="lt-LT" w:eastAsia="en-US"/>
              </w:rPr>
            </w:pPr>
            <w:r w:rsidRPr="00C75EC3">
              <w:rPr>
                <w:rFonts w:eastAsia="TimesNewRoman"/>
                <w:sz w:val="20"/>
                <w:lang w:val="lt-LT" w:eastAsia="en-US"/>
              </w:rPr>
              <w:t>81</w:t>
            </w:r>
          </w:p>
        </w:tc>
        <w:tc>
          <w:tcPr>
            <w:tcW w:w="2322" w:type="dxa"/>
            <w:shd w:val="clear" w:color="auto" w:fill="auto"/>
          </w:tcPr>
          <w:p w14:paraId="68FECB3E" w14:textId="77777777" w:rsidR="00321EED" w:rsidRPr="00C75EC3" w:rsidRDefault="00321EED" w:rsidP="00C75EC3">
            <w:pPr>
              <w:autoSpaceDE w:val="0"/>
              <w:autoSpaceDN w:val="0"/>
              <w:adjustRightInd w:val="0"/>
              <w:jc w:val="center"/>
              <w:rPr>
                <w:rFonts w:eastAsia="TimesNewRoman"/>
                <w:sz w:val="20"/>
                <w:lang w:val="lt-LT" w:eastAsia="en-US"/>
              </w:rPr>
            </w:pPr>
          </w:p>
        </w:tc>
      </w:tr>
    </w:tbl>
    <w:p w14:paraId="41CB1A83" w14:textId="77777777" w:rsidR="00321EED" w:rsidRPr="009C16AC" w:rsidRDefault="00321EED" w:rsidP="00321EED">
      <w:pPr>
        <w:autoSpaceDE w:val="0"/>
        <w:autoSpaceDN w:val="0"/>
        <w:adjustRightInd w:val="0"/>
        <w:rPr>
          <w:rFonts w:eastAsia="TimesNewRoman"/>
          <w:sz w:val="16"/>
          <w:szCs w:val="16"/>
          <w:lang w:val="lt-LT" w:eastAsia="en-US"/>
        </w:rPr>
      </w:pPr>
      <w:r w:rsidRPr="009C16AC">
        <w:rPr>
          <w:rFonts w:eastAsia="TimesNewRoman"/>
          <w:sz w:val="16"/>
          <w:szCs w:val="16"/>
          <w:vertAlign w:val="superscript"/>
          <w:lang w:val="lt-LT" w:eastAsia="en-US"/>
        </w:rPr>
        <w:t>a</w:t>
      </w:r>
      <w:r w:rsidRPr="009C16AC">
        <w:rPr>
          <w:rFonts w:eastAsia="TimesNewRoman"/>
          <w:sz w:val="16"/>
          <w:szCs w:val="16"/>
          <w:lang w:val="lt-LT" w:eastAsia="en-US"/>
        </w:rPr>
        <w:t xml:space="preserve"> Vertinimas pagal TLOVR algoritmą.</w:t>
      </w:r>
    </w:p>
    <w:p w14:paraId="27C4DB86" w14:textId="77777777" w:rsidR="00321EED" w:rsidRPr="009C16AC" w:rsidRDefault="00321EED" w:rsidP="00321EED">
      <w:pPr>
        <w:autoSpaceDE w:val="0"/>
        <w:autoSpaceDN w:val="0"/>
        <w:adjustRightInd w:val="0"/>
        <w:rPr>
          <w:rFonts w:eastAsia="TimesNewRoman"/>
          <w:sz w:val="16"/>
          <w:szCs w:val="16"/>
          <w:lang w:val="lt-LT" w:eastAsia="en-US"/>
        </w:rPr>
      </w:pPr>
      <w:r w:rsidRPr="009C16AC">
        <w:rPr>
          <w:rFonts w:eastAsia="TimesNewRoman"/>
          <w:sz w:val="16"/>
          <w:szCs w:val="16"/>
          <w:vertAlign w:val="superscript"/>
          <w:lang w:val="lt-LT" w:eastAsia="en-US"/>
        </w:rPr>
        <w:t>b</w:t>
      </w:r>
      <w:r w:rsidRPr="009C16AC">
        <w:rPr>
          <w:rFonts w:eastAsia="TimesNewRoman"/>
          <w:sz w:val="16"/>
          <w:szCs w:val="16"/>
          <w:lang w:val="lt-LT" w:eastAsia="en-US"/>
        </w:rPr>
        <w:t xml:space="preserve"> Remiantis atsako % normaliu apytiksliu skirtumu.</w:t>
      </w:r>
    </w:p>
    <w:p w14:paraId="4626658B" w14:textId="77777777" w:rsidR="00321EED" w:rsidRPr="009C16AC" w:rsidRDefault="00321EED" w:rsidP="00321EED">
      <w:pPr>
        <w:autoSpaceDE w:val="0"/>
        <w:autoSpaceDN w:val="0"/>
        <w:adjustRightInd w:val="0"/>
        <w:rPr>
          <w:rFonts w:eastAsia="TimesNewRoman"/>
          <w:sz w:val="16"/>
          <w:szCs w:val="16"/>
          <w:lang w:val="lt-LT" w:eastAsia="en-US"/>
        </w:rPr>
      </w:pPr>
      <w:r w:rsidRPr="009C16AC">
        <w:rPr>
          <w:rFonts w:eastAsia="TimesNewRoman"/>
          <w:sz w:val="16"/>
          <w:szCs w:val="16"/>
          <w:vertAlign w:val="superscript"/>
          <w:lang w:val="lt-LT" w:eastAsia="en-US"/>
        </w:rPr>
        <w:t>c</w:t>
      </w:r>
      <w:r w:rsidRPr="009C16AC">
        <w:rPr>
          <w:rFonts w:eastAsia="TimesNewRoman"/>
          <w:sz w:val="16"/>
          <w:szCs w:val="16"/>
          <w:lang w:val="lt-LT" w:eastAsia="en-US"/>
        </w:rPr>
        <w:t xml:space="preserve"> NC=F.</w:t>
      </w:r>
    </w:p>
    <w:p w14:paraId="4A12525F" w14:textId="77777777" w:rsidR="00321EED" w:rsidRPr="004509B9" w:rsidRDefault="00321EED" w:rsidP="00321EED">
      <w:pPr>
        <w:autoSpaceDE w:val="0"/>
        <w:autoSpaceDN w:val="0"/>
        <w:adjustRightInd w:val="0"/>
        <w:rPr>
          <w:rFonts w:eastAsia="TimesNewRoman"/>
          <w:sz w:val="22"/>
          <w:szCs w:val="22"/>
          <w:lang w:val="lt-LT" w:eastAsia="en-US"/>
        </w:rPr>
      </w:pPr>
    </w:p>
    <w:p w14:paraId="3BEEEE4A" w14:textId="77777777" w:rsidR="00321EED" w:rsidRPr="004509B9" w:rsidRDefault="00321EED" w:rsidP="00321EED">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Abiejose grupėse (numatytų gydyti pacientų ir populiacijos pagal protokolą) 48-tos savaitės analizės</w:t>
      </w:r>
      <w:r w:rsidR="007179A6" w:rsidRPr="004509B9">
        <w:rPr>
          <w:rFonts w:eastAsia="TimesNewRoman"/>
          <w:sz w:val="22"/>
          <w:szCs w:val="22"/>
          <w:lang w:val="lt-LT" w:eastAsia="en-US"/>
        </w:rPr>
        <w:t xml:space="preserve"> </w:t>
      </w:r>
      <w:r w:rsidRPr="004509B9">
        <w:rPr>
          <w:rFonts w:eastAsia="TimesNewRoman"/>
          <w:sz w:val="22"/>
          <w:szCs w:val="22"/>
          <w:lang w:val="lt-LT" w:eastAsia="en-US"/>
        </w:rPr>
        <w:t xml:space="preserve">metu nustatytas neprastesnis virusologinis atsakas į gydymą </w:t>
      </w:r>
      <w:r w:rsidR="007179A6" w:rsidRPr="004509B9">
        <w:rPr>
          <w:rFonts w:eastAsia="TimesNewRoman"/>
          <w:sz w:val="22"/>
          <w:szCs w:val="22"/>
          <w:lang w:val="lt-LT" w:eastAsia="en-US"/>
        </w:rPr>
        <w:t>darunaviru</w:t>
      </w:r>
      <w:r w:rsidRPr="004509B9">
        <w:rPr>
          <w:rFonts w:eastAsia="TimesNewRoman"/>
          <w:sz w:val="22"/>
          <w:szCs w:val="22"/>
          <w:lang w:val="lt-LT" w:eastAsia="en-US"/>
        </w:rPr>
        <w:t>/ritonaviru, kuris</w:t>
      </w:r>
      <w:r w:rsidR="007179A6" w:rsidRPr="004509B9">
        <w:rPr>
          <w:rFonts w:eastAsia="TimesNewRoman"/>
          <w:sz w:val="22"/>
          <w:szCs w:val="22"/>
          <w:lang w:val="lt-LT" w:eastAsia="en-US"/>
        </w:rPr>
        <w:t xml:space="preserve"> </w:t>
      </w:r>
      <w:r w:rsidRPr="004509B9">
        <w:rPr>
          <w:rFonts w:eastAsia="TimesNewRoman"/>
          <w:sz w:val="22"/>
          <w:szCs w:val="22"/>
          <w:lang w:val="lt-LT" w:eastAsia="en-US"/>
        </w:rPr>
        <w:t>apibūdinamas pacientų, kurių plazmoje ŽIV-1 RNR koncentracija buvo &lt; 400 kopijų/ml ir</w:t>
      </w:r>
      <w:r w:rsidR="007179A6" w:rsidRPr="004509B9">
        <w:rPr>
          <w:rFonts w:eastAsia="TimesNewRoman"/>
          <w:sz w:val="22"/>
          <w:szCs w:val="22"/>
          <w:lang w:val="lt-LT" w:eastAsia="en-US"/>
        </w:rPr>
        <w:t xml:space="preserve"> </w:t>
      </w:r>
      <w:r w:rsidRPr="004509B9">
        <w:rPr>
          <w:rFonts w:eastAsia="TimesNewRoman"/>
          <w:sz w:val="22"/>
          <w:szCs w:val="22"/>
          <w:lang w:val="lt-LT" w:eastAsia="en-US"/>
        </w:rPr>
        <w:t>&lt; 50 kopijų/ml (pasirinkta neprastesnio atsako riba 12 %), dalimi procentais. Šiuos duomenis</w:t>
      </w:r>
      <w:r w:rsidR="007179A6" w:rsidRPr="004509B9">
        <w:rPr>
          <w:rFonts w:eastAsia="TimesNewRoman"/>
          <w:sz w:val="22"/>
          <w:szCs w:val="22"/>
          <w:lang w:val="lt-LT" w:eastAsia="en-US"/>
        </w:rPr>
        <w:t xml:space="preserve"> </w:t>
      </w:r>
      <w:r w:rsidRPr="004509B9">
        <w:rPr>
          <w:rFonts w:eastAsia="TimesNewRoman"/>
          <w:sz w:val="22"/>
          <w:szCs w:val="22"/>
          <w:lang w:val="lt-LT" w:eastAsia="en-US"/>
        </w:rPr>
        <w:t xml:space="preserve">patvirtino TITAN tyrimo 96-tos savaitės duomenų </w:t>
      </w:r>
      <w:r w:rsidR="009735CA">
        <w:rPr>
          <w:rFonts w:eastAsia="TimesNewRoman"/>
          <w:sz w:val="22"/>
          <w:szCs w:val="22"/>
          <w:lang w:val="lt-LT" w:eastAsia="en-US"/>
        </w:rPr>
        <w:t xml:space="preserve"> </w:t>
      </w:r>
      <w:r w:rsidRPr="004509B9">
        <w:rPr>
          <w:rFonts w:eastAsia="TimesNewRoman"/>
          <w:sz w:val="22"/>
          <w:szCs w:val="22"/>
          <w:lang w:val="lt-LT" w:eastAsia="en-US"/>
        </w:rPr>
        <w:t>analizė, pagal kurią 60,4 % pacientų</w:t>
      </w:r>
      <w:r w:rsidR="007179A6" w:rsidRPr="004509B9">
        <w:rPr>
          <w:rFonts w:eastAsia="TimesNewRoman"/>
          <w:sz w:val="22"/>
          <w:szCs w:val="22"/>
          <w:lang w:val="lt-LT" w:eastAsia="en-US"/>
        </w:rPr>
        <w:t xml:space="preserve"> darunaviro</w:t>
      </w:r>
      <w:r w:rsidRPr="004509B9">
        <w:rPr>
          <w:rFonts w:eastAsia="TimesNewRoman"/>
          <w:sz w:val="22"/>
          <w:szCs w:val="22"/>
          <w:lang w:val="lt-LT" w:eastAsia="en-US"/>
        </w:rPr>
        <w:t>/ritonaviro grupėje ŽIV-1 RNR koncentracija 96-tą savaitę buvo &lt; 50 kopijų/ml, palyginti</w:t>
      </w:r>
      <w:r w:rsidR="007179A6" w:rsidRPr="004509B9">
        <w:rPr>
          <w:rFonts w:eastAsia="TimesNewRoman"/>
          <w:sz w:val="22"/>
          <w:szCs w:val="22"/>
          <w:lang w:val="lt-LT" w:eastAsia="en-US"/>
        </w:rPr>
        <w:t xml:space="preserve"> </w:t>
      </w:r>
      <w:r w:rsidRPr="004509B9">
        <w:rPr>
          <w:rFonts w:eastAsia="TimesNewRoman"/>
          <w:sz w:val="22"/>
          <w:szCs w:val="22"/>
          <w:lang w:val="lt-LT" w:eastAsia="en-US"/>
        </w:rPr>
        <w:t>su 55,2 % pacientų lopinaviro/ritonaviro grupėje [skirtumas: 5,2 %, 95 % PI (-2,8; 13,1)].</w:t>
      </w:r>
    </w:p>
    <w:p w14:paraId="58385650" w14:textId="77777777" w:rsidR="007179A6" w:rsidRPr="004509B9" w:rsidRDefault="007179A6" w:rsidP="00321EED">
      <w:pPr>
        <w:autoSpaceDE w:val="0"/>
        <w:autoSpaceDN w:val="0"/>
        <w:adjustRightInd w:val="0"/>
        <w:rPr>
          <w:rFonts w:eastAsia="TimesNewRoman"/>
          <w:sz w:val="22"/>
          <w:szCs w:val="22"/>
          <w:lang w:val="lt-LT" w:eastAsia="en-US"/>
        </w:rPr>
      </w:pPr>
    </w:p>
    <w:p w14:paraId="04541535" w14:textId="77777777" w:rsidR="00321EED" w:rsidRPr="004509B9" w:rsidRDefault="00321EED" w:rsidP="00321EED">
      <w:pPr>
        <w:autoSpaceDE w:val="0"/>
        <w:autoSpaceDN w:val="0"/>
        <w:adjustRightInd w:val="0"/>
        <w:rPr>
          <w:rFonts w:eastAsia="TimesNewRoman"/>
          <w:sz w:val="22"/>
          <w:szCs w:val="22"/>
          <w:lang w:val="lt-LT" w:eastAsia="en-US"/>
        </w:rPr>
      </w:pPr>
      <w:r w:rsidRPr="009C16AC">
        <w:rPr>
          <w:rFonts w:eastAsia="TimesNewRoman"/>
          <w:b/>
          <w:i/>
          <w:sz w:val="22"/>
          <w:szCs w:val="22"/>
          <w:lang w:val="lt-LT" w:eastAsia="en-US"/>
        </w:rPr>
        <w:t>ODIN</w:t>
      </w:r>
      <w:r w:rsidRPr="004509B9">
        <w:rPr>
          <w:rFonts w:eastAsia="TimesNewRoman"/>
          <w:sz w:val="22"/>
          <w:szCs w:val="22"/>
          <w:lang w:val="lt-LT" w:eastAsia="en-US"/>
        </w:rPr>
        <w:t xml:space="preserve"> yra III fazės atsitiktinių imčių atviras klinikinis tyrimas, kurio metu ŽIV-1 infekuotų pacientų,</w:t>
      </w:r>
      <w:r w:rsidR="007179A6" w:rsidRPr="004509B9">
        <w:rPr>
          <w:rFonts w:eastAsia="TimesNewRoman"/>
          <w:sz w:val="22"/>
          <w:szCs w:val="22"/>
          <w:lang w:val="lt-LT" w:eastAsia="en-US"/>
        </w:rPr>
        <w:t xml:space="preserve"> </w:t>
      </w:r>
      <w:r w:rsidRPr="004509B9">
        <w:rPr>
          <w:rFonts w:eastAsia="TimesNewRoman"/>
          <w:sz w:val="22"/>
          <w:szCs w:val="22"/>
          <w:lang w:val="lt-LT" w:eastAsia="en-US"/>
        </w:rPr>
        <w:t>kuriems anksčiau taikytas ARG, kuriems planiniai genotipinio atsparumo tyrimai nerodė ASM</w:t>
      </w:r>
      <w:r w:rsidR="007179A6" w:rsidRPr="004509B9">
        <w:rPr>
          <w:rFonts w:eastAsia="TimesNewRoman"/>
          <w:sz w:val="22"/>
          <w:szCs w:val="22"/>
          <w:lang w:val="lt-LT" w:eastAsia="en-US"/>
        </w:rPr>
        <w:t xml:space="preserve"> </w:t>
      </w:r>
      <w:r w:rsidRPr="004509B9">
        <w:rPr>
          <w:rFonts w:eastAsia="TimesNewRoman"/>
          <w:sz w:val="22"/>
          <w:szCs w:val="22"/>
          <w:lang w:val="lt-LT" w:eastAsia="en-US"/>
        </w:rPr>
        <w:t xml:space="preserve">darunavirui (t. y. V11I, V32I, L33F, I47V, I50V, </w:t>
      </w:r>
      <w:r w:rsidRPr="004509B9">
        <w:rPr>
          <w:rFonts w:eastAsia="TimesNewRoman"/>
          <w:sz w:val="22"/>
          <w:szCs w:val="22"/>
          <w:lang w:val="lt-LT" w:eastAsia="en-US"/>
        </w:rPr>
        <w:lastRenderedPageBreak/>
        <w:t>I54M, I54L, T74P, L76V, I84V, L89V) ir patikros</w:t>
      </w:r>
      <w:r w:rsidR="007179A6" w:rsidRPr="004509B9">
        <w:rPr>
          <w:rFonts w:eastAsia="TimesNewRoman"/>
          <w:sz w:val="22"/>
          <w:szCs w:val="22"/>
          <w:lang w:val="lt-LT" w:eastAsia="en-US"/>
        </w:rPr>
        <w:t xml:space="preserve"> </w:t>
      </w:r>
      <w:r w:rsidRPr="004509B9">
        <w:rPr>
          <w:rFonts w:eastAsia="TimesNewRoman"/>
          <w:sz w:val="22"/>
          <w:szCs w:val="22"/>
          <w:lang w:val="lt-LT" w:eastAsia="en-US"/>
        </w:rPr>
        <w:t>metu ŽIV-1 RNR kiekis buvo &gt; 1 000 kopijų/ml, gydymas 800/100</w:t>
      </w:r>
      <w:r w:rsidR="007179A6" w:rsidRPr="004509B9">
        <w:rPr>
          <w:rFonts w:eastAsia="TimesNewRoman"/>
          <w:sz w:val="22"/>
          <w:szCs w:val="22"/>
          <w:lang w:val="lt-LT" w:eastAsia="en-US"/>
        </w:rPr>
        <w:t> </w:t>
      </w:r>
      <w:r w:rsidRPr="004509B9">
        <w:rPr>
          <w:rFonts w:eastAsia="TimesNewRoman"/>
          <w:sz w:val="22"/>
          <w:szCs w:val="22"/>
          <w:lang w:val="lt-LT" w:eastAsia="en-US"/>
        </w:rPr>
        <w:t xml:space="preserve">mg </w:t>
      </w:r>
      <w:r w:rsidR="007179A6" w:rsidRPr="004509B9">
        <w:rPr>
          <w:rFonts w:eastAsia="TimesNewRoman"/>
          <w:sz w:val="22"/>
          <w:szCs w:val="22"/>
          <w:lang w:val="lt-LT" w:eastAsia="en-US"/>
        </w:rPr>
        <w:t>darunaviro</w:t>
      </w:r>
      <w:r w:rsidRPr="004509B9">
        <w:rPr>
          <w:rFonts w:eastAsia="TimesNewRoman"/>
          <w:sz w:val="22"/>
          <w:szCs w:val="22"/>
          <w:lang w:val="lt-LT" w:eastAsia="en-US"/>
        </w:rPr>
        <w:t>/ritonaviro vieną</w:t>
      </w:r>
      <w:r w:rsidR="007179A6" w:rsidRPr="004509B9">
        <w:rPr>
          <w:rFonts w:eastAsia="TimesNewRoman"/>
          <w:sz w:val="22"/>
          <w:szCs w:val="22"/>
          <w:lang w:val="lt-LT" w:eastAsia="en-US"/>
        </w:rPr>
        <w:t xml:space="preserve"> </w:t>
      </w:r>
      <w:r w:rsidRPr="004509B9">
        <w:rPr>
          <w:rFonts w:eastAsia="TimesNewRoman"/>
          <w:sz w:val="22"/>
          <w:szCs w:val="22"/>
          <w:lang w:val="lt-LT" w:eastAsia="en-US"/>
        </w:rPr>
        <w:t>kartą per parą buvo palygintas su gydymu 600/100</w:t>
      </w:r>
      <w:r w:rsidR="007179A6" w:rsidRPr="004509B9">
        <w:rPr>
          <w:rFonts w:eastAsia="TimesNewRoman"/>
          <w:sz w:val="22"/>
          <w:szCs w:val="22"/>
          <w:lang w:val="lt-LT" w:eastAsia="en-US"/>
        </w:rPr>
        <w:t> mg darunaviro</w:t>
      </w:r>
      <w:r w:rsidRPr="004509B9">
        <w:rPr>
          <w:rFonts w:eastAsia="TimesNewRoman"/>
          <w:sz w:val="22"/>
          <w:szCs w:val="22"/>
          <w:lang w:val="lt-LT" w:eastAsia="en-US"/>
        </w:rPr>
        <w:t>/ritonaviro du kartus per parą.</w:t>
      </w:r>
    </w:p>
    <w:p w14:paraId="28BE3313" w14:textId="77777777" w:rsidR="00321EED" w:rsidRPr="004509B9" w:rsidRDefault="00321EED" w:rsidP="00321EED">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Veiksmingumo analizė yra pagrįsta 48 savaičių gydymo duomenimis (žr. toliau esančią lentelę).</w:t>
      </w:r>
    </w:p>
    <w:p w14:paraId="23BA28CF" w14:textId="77777777" w:rsidR="007179A6" w:rsidRPr="004509B9" w:rsidRDefault="00321EED" w:rsidP="00321EED">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Abiejose grupėse buvo taikytas optimizuotas pagrindinis gydymo planas (OPP) ≥ 2 NATI.</w:t>
      </w:r>
    </w:p>
    <w:p w14:paraId="37BC5CEC" w14:textId="77777777" w:rsidR="007179A6" w:rsidRPr="004509B9" w:rsidRDefault="007179A6" w:rsidP="00321EED">
      <w:pPr>
        <w:autoSpaceDE w:val="0"/>
        <w:autoSpaceDN w:val="0"/>
        <w:adjustRightInd w:val="0"/>
        <w:rPr>
          <w:rFonts w:eastAsia="TimesNewRoman"/>
          <w:sz w:val="22"/>
          <w:szCs w:val="22"/>
          <w:lang w:val="lt-LT" w:eastAsia="en-US"/>
        </w:rPr>
      </w:pPr>
    </w:p>
    <w:p w14:paraId="5045ADC3" w14:textId="77777777" w:rsidR="009F5848" w:rsidRPr="004509B9" w:rsidRDefault="009F5848" w:rsidP="009F5848">
      <w:pPr>
        <w:tabs>
          <w:tab w:val="left" w:pos="720"/>
        </w:tabs>
        <w:autoSpaceDE w:val="0"/>
        <w:autoSpaceDN w:val="0"/>
        <w:adjustRightInd w:val="0"/>
        <w:jc w:val="both"/>
        <w:rPr>
          <w:rFonts w:eastAsia="Times New Roman"/>
          <w:sz w:val="22"/>
          <w:szCs w:val="22"/>
          <w:u w:val="single"/>
          <w:lang w:val="lt-LT" w:eastAsia="en-US"/>
        </w:rPr>
      </w:pPr>
    </w:p>
    <w:tbl>
      <w:tblPr>
        <w:tblpPr w:leftFromText="180" w:rightFromText="180" w:vertAnchor="text" w:tblpY="1"/>
        <w:tblOverlap w:val="never"/>
        <w:tblW w:w="9300" w:type="dxa"/>
        <w:tblLayout w:type="fixed"/>
        <w:tblLook w:val="04A0" w:firstRow="1" w:lastRow="0" w:firstColumn="1" w:lastColumn="0" w:noHBand="0" w:noVBand="1"/>
      </w:tblPr>
      <w:tblGrid>
        <w:gridCol w:w="2331"/>
        <w:gridCol w:w="2322"/>
        <w:gridCol w:w="2320"/>
        <w:gridCol w:w="2327"/>
      </w:tblGrid>
      <w:tr w:rsidR="009F5848" w:rsidRPr="00C75EC3" w14:paraId="455AC36C" w14:textId="77777777" w:rsidTr="009F5848">
        <w:trPr>
          <w:trHeight w:val="255"/>
        </w:trPr>
        <w:tc>
          <w:tcPr>
            <w:tcW w:w="9300" w:type="dxa"/>
            <w:gridSpan w:val="4"/>
            <w:tcBorders>
              <w:top w:val="single" w:sz="6" w:space="0" w:color="000000"/>
              <w:left w:val="single" w:sz="4" w:space="0" w:color="000000"/>
              <w:bottom w:val="single" w:sz="6" w:space="0" w:color="000000"/>
              <w:right w:val="single" w:sz="4" w:space="0" w:color="000000"/>
            </w:tcBorders>
            <w:hideMark/>
          </w:tcPr>
          <w:p w14:paraId="1C27FE7D" w14:textId="77777777" w:rsidR="009F5848" w:rsidRPr="004509B9" w:rsidRDefault="009F5848" w:rsidP="009F5848">
            <w:pPr>
              <w:autoSpaceDE w:val="0"/>
              <w:autoSpaceDN w:val="0"/>
              <w:adjustRightInd w:val="0"/>
              <w:jc w:val="center"/>
              <w:rPr>
                <w:rFonts w:eastAsia="Times New Roman"/>
                <w:sz w:val="20"/>
                <w:lang w:val="lt-LT" w:eastAsia="en-US"/>
              </w:rPr>
            </w:pPr>
            <w:r w:rsidRPr="004509B9">
              <w:rPr>
                <w:rFonts w:eastAsia="Times New Roman"/>
                <w:sz w:val="20"/>
                <w:lang w:val="lt-LT" w:eastAsia="en-US"/>
              </w:rPr>
              <w:t>ODIN</w:t>
            </w:r>
          </w:p>
        </w:tc>
      </w:tr>
      <w:tr w:rsidR="009F5848" w:rsidRPr="00C75EC3" w14:paraId="36941C1C" w14:textId="77777777" w:rsidTr="009F5848">
        <w:trPr>
          <w:trHeight w:val="930"/>
        </w:trPr>
        <w:tc>
          <w:tcPr>
            <w:tcW w:w="2331" w:type="dxa"/>
            <w:tcBorders>
              <w:top w:val="single" w:sz="6" w:space="0" w:color="000000"/>
              <w:left w:val="single" w:sz="4" w:space="0" w:color="000000"/>
              <w:bottom w:val="single" w:sz="6" w:space="0" w:color="000000"/>
              <w:right w:val="single" w:sz="4" w:space="0" w:color="000000"/>
            </w:tcBorders>
            <w:hideMark/>
          </w:tcPr>
          <w:p w14:paraId="4607E10C" w14:textId="77777777" w:rsidR="009F5848" w:rsidRPr="004509B9" w:rsidRDefault="009F5848" w:rsidP="009F5848">
            <w:pPr>
              <w:autoSpaceDE w:val="0"/>
              <w:autoSpaceDN w:val="0"/>
              <w:adjustRightInd w:val="0"/>
              <w:rPr>
                <w:rFonts w:eastAsia="Times New Roman"/>
                <w:sz w:val="20"/>
                <w:lang w:val="lt-LT" w:eastAsia="en-US"/>
              </w:rPr>
            </w:pPr>
            <w:r w:rsidRPr="004509B9">
              <w:rPr>
                <w:rFonts w:eastAsia="Times New Roman"/>
                <w:i/>
                <w:iCs/>
                <w:sz w:val="20"/>
                <w:lang w:val="lt-LT" w:eastAsia="en-US"/>
              </w:rPr>
              <w:t xml:space="preserve">Vertinamosios baigtys  </w:t>
            </w:r>
          </w:p>
        </w:tc>
        <w:tc>
          <w:tcPr>
            <w:tcW w:w="2322" w:type="dxa"/>
            <w:tcBorders>
              <w:top w:val="single" w:sz="6" w:space="0" w:color="000000"/>
              <w:left w:val="single" w:sz="4" w:space="0" w:color="000000"/>
              <w:bottom w:val="single" w:sz="6" w:space="0" w:color="000000"/>
              <w:right w:val="single" w:sz="4" w:space="0" w:color="000000"/>
            </w:tcBorders>
            <w:hideMark/>
          </w:tcPr>
          <w:p w14:paraId="375168E5"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Darunaviro/ritonaviro 800/100 mg vieną kartą per parą + OPP</w:t>
            </w:r>
          </w:p>
          <w:p w14:paraId="4931E35F" w14:textId="77777777" w:rsidR="009F5848" w:rsidRPr="004509B9" w:rsidRDefault="009F5848" w:rsidP="007179A6">
            <w:pPr>
              <w:tabs>
                <w:tab w:val="right" w:pos="2106"/>
              </w:tabs>
              <w:autoSpaceDE w:val="0"/>
              <w:autoSpaceDN w:val="0"/>
              <w:adjustRightInd w:val="0"/>
              <w:jc w:val="center"/>
              <w:rPr>
                <w:rFonts w:eastAsia="Times New Roman"/>
                <w:sz w:val="20"/>
                <w:lang w:val="lt-LT" w:eastAsia="en-US"/>
              </w:rPr>
            </w:pPr>
            <w:r w:rsidRPr="004509B9">
              <w:rPr>
                <w:rFonts w:eastAsia="Times New Roman"/>
                <w:sz w:val="20"/>
                <w:lang w:val="lt-LT" w:eastAsia="en-US"/>
              </w:rPr>
              <w:t>N=294</w:t>
            </w:r>
          </w:p>
        </w:tc>
        <w:tc>
          <w:tcPr>
            <w:tcW w:w="2320" w:type="dxa"/>
            <w:tcBorders>
              <w:top w:val="single" w:sz="6" w:space="0" w:color="000000"/>
              <w:left w:val="single" w:sz="4" w:space="0" w:color="000000"/>
              <w:bottom w:val="single" w:sz="6" w:space="0" w:color="000000"/>
              <w:right w:val="single" w:sz="4" w:space="0" w:color="000000"/>
            </w:tcBorders>
            <w:hideMark/>
          </w:tcPr>
          <w:p w14:paraId="19EC869C"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Darunaviro/ritonaviro 600/100 mg du kartus per parą + OPP</w:t>
            </w:r>
          </w:p>
          <w:p w14:paraId="21F4D302"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N=296</w:t>
            </w:r>
          </w:p>
        </w:tc>
        <w:tc>
          <w:tcPr>
            <w:tcW w:w="2327" w:type="dxa"/>
            <w:tcBorders>
              <w:top w:val="single" w:sz="6" w:space="0" w:color="000000"/>
              <w:left w:val="single" w:sz="4" w:space="0" w:color="000000"/>
              <w:bottom w:val="single" w:sz="6" w:space="0" w:color="000000"/>
              <w:right w:val="single" w:sz="4" w:space="0" w:color="000000"/>
            </w:tcBorders>
            <w:hideMark/>
          </w:tcPr>
          <w:p w14:paraId="484FC061"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Gydymo skirtumas (skirtumo 95% PI)</w:t>
            </w:r>
          </w:p>
        </w:tc>
      </w:tr>
      <w:tr w:rsidR="009F5848" w:rsidRPr="00C75EC3" w14:paraId="4FA4E6D5" w14:textId="77777777" w:rsidTr="009F5848">
        <w:trPr>
          <w:trHeight w:val="907"/>
        </w:trPr>
        <w:tc>
          <w:tcPr>
            <w:tcW w:w="2331" w:type="dxa"/>
            <w:tcBorders>
              <w:top w:val="single" w:sz="6" w:space="0" w:color="000000"/>
              <w:left w:val="single" w:sz="4" w:space="0" w:color="000000"/>
              <w:bottom w:val="nil"/>
              <w:right w:val="single" w:sz="4" w:space="0" w:color="000000"/>
            </w:tcBorders>
            <w:hideMark/>
          </w:tcPr>
          <w:p w14:paraId="6B0733F6" w14:textId="77777777" w:rsidR="009F5848" w:rsidRPr="004509B9" w:rsidRDefault="009F5848" w:rsidP="009F5848">
            <w:pPr>
              <w:autoSpaceDE w:val="0"/>
              <w:autoSpaceDN w:val="0"/>
              <w:adjustRightInd w:val="0"/>
              <w:rPr>
                <w:rFonts w:eastAsia="Times New Roman"/>
                <w:sz w:val="13"/>
                <w:szCs w:val="13"/>
                <w:lang w:val="lt-LT" w:eastAsia="en-US"/>
              </w:rPr>
            </w:pPr>
            <w:r w:rsidRPr="004509B9">
              <w:rPr>
                <w:rFonts w:eastAsia="Times New Roman"/>
                <w:sz w:val="20"/>
                <w:lang w:val="lt-LT" w:eastAsia="en-US"/>
              </w:rPr>
              <w:t>ŽIV-1 RNR &lt; 50 kopijų/ml</w:t>
            </w:r>
            <w:r w:rsidRPr="004509B9">
              <w:rPr>
                <w:rFonts w:eastAsia="Times New Roman"/>
                <w:szCs w:val="13"/>
                <w:vertAlign w:val="superscript"/>
                <w:lang w:val="lt-LT" w:eastAsia="en-US"/>
              </w:rPr>
              <w:t xml:space="preserve">a </w:t>
            </w:r>
          </w:p>
          <w:p w14:paraId="0E6163C0" w14:textId="77777777" w:rsidR="009F5848" w:rsidRPr="004509B9" w:rsidRDefault="009F5848" w:rsidP="009F5848">
            <w:pPr>
              <w:autoSpaceDE w:val="0"/>
              <w:autoSpaceDN w:val="0"/>
              <w:adjustRightInd w:val="0"/>
              <w:ind w:left="284"/>
              <w:rPr>
                <w:rFonts w:eastAsia="Times New Roman"/>
                <w:sz w:val="20"/>
                <w:lang w:val="lt-LT" w:eastAsia="en-US"/>
              </w:rPr>
            </w:pPr>
            <w:r w:rsidRPr="004509B9">
              <w:rPr>
                <w:rFonts w:eastAsia="Times New Roman"/>
                <w:sz w:val="20"/>
                <w:lang w:val="lt-LT" w:eastAsia="en-US"/>
              </w:rPr>
              <w:t xml:space="preserve">Pradinis ŽIV-1 RNR (kopijų/ml) </w:t>
            </w:r>
          </w:p>
        </w:tc>
        <w:tc>
          <w:tcPr>
            <w:tcW w:w="2322" w:type="dxa"/>
            <w:tcBorders>
              <w:top w:val="single" w:sz="6" w:space="0" w:color="000000"/>
              <w:left w:val="single" w:sz="4" w:space="0" w:color="000000"/>
              <w:bottom w:val="nil"/>
              <w:right w:val="single" w:sz="4" w:space="0" w:color="000000"/>
            </w:tcBorders>
            <w:hideMark/>
          </w:tcPr>
          <w:p w14:paraId="493C6822"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72,1% (212)</w:t>
            </w:r>
          </w:p>
        </w:tc>
        <w:tc>
          <w:tcPr>
            <w:tcW w:w="2320" w:type="dxa"/>
            <w:tcBorders>
              <w:top w:val="single" w:sz="6" w:space="0" w:color="000000"/>
              <w:left w:val="single" w:sz="4" w:space="0" w:color="000000"/>
              <w:bottom w:val="nil"/>
              <w:right w:val="single" w:sz="4" w:space="0" w:color="000000"/>
            </w:tcBorders>
            <w:hideMark/>
          </w:tcPr>
          <w:p w14:paraId="2D73C0B6"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70,9% (210)</w:t>
            </w:r>
          </w:p>
        </w:tc>
        <w:tc>
          <w:tcPr>
            <w:tcW w:w="2327" w:type="dxa"/>
            <w:tcBorders>
              <w:top w:val="single" w:sz="6" w:space="0" w:color="000000"/>
              <w:left w:val="single" w:sz="4" w:space="0" w:color="000000"/>
              <w:bottom w:val="nil"/>
              <w:right w:val="single" w:sz="4" w:space="0" w:color="000000"/>
            </w:tcBorders>
            <w:hideMark/>
          </w:tcPr>
          <w:p w14:paraId="4CB4D039"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1,2% (-6,1; 8,5</w:t>
            </w:r>
            <w:r w:rsidRPr="004509B9">
              <w:rPr>
                <w:rFonts w:eastAsia="Times New Roman"/>
                <w:sz w:val="22"/>
                <w:szCs w:val="22"/>
                <w:lang w:val="lt-LT" w:eastAsia="en-US"/>
              </w:rPr>
              <w:t>)</w:t>
            </w:r>
            <w:r w:rsidRPr="004509B9">
              <w:rPr>
                <w:rFonts w:eastAsia="Times New Roman"/>
                <w:sz w:val="22"/>
                <w:szCs w:val="22"/>
                <w:vertAlign w:val="superscript"/>
                <w:lang w:val="lt-LT" w:eastAsia="en-US"/>
              </w:rPr>
              <w:t>b</w:t>
            </w:r>
          </w:p>
        </w:tc>
      </w:tr>
      <w:tr w:rsidR="009F5848" w:rsidRPr="00C75EC3" w14:paraId="3EB76DBB" w14:textId="77777777" w:rsidTr="009F5848">
        <w:trPr>
          <w:trHeight w:val="230"/>
        </w:trPr>
        <w:tc>
          <w:tcPr>
            <w:tcW w:w="2331" w:type="dxa"/>
            <w:tcBorders>
              <w:top w:val="nil"/>
              <w:left w:val="single" w:sz="4" w:space="0" w:color="000000"/>
              <w:bottom w:val="nil"/>
              <w:right w:val="single" w:sz="4" w:space="0" w:color="000000"/>
            </w:tcBorders>
            <w:vAlign w:val="center"/>
            <w:hideMark/>
          </w:tcPr>
          <w:p w14:paraId="04386834" w14:textId="77777777" w:rsidR="009F5848" w:rsidRPr="004509B9" w:rsidRDefault="009F5848" w:rsidP="009F5848">
            <w:pPr>
              <w:autoSpaceDE w:val="0"/>
              <w:autoSpaceDN w:val="0"/>
              <w:adjustRightInd w:val="0"/>
              <w:ind w:left="284"/>
              <w:rPr>
                <w:rFonts w:eastAsia="Times New Roman"/>
                <w:sz w:val="20"/>
                <w:lang w:val="lt-LT" w:eastAsia="en-US"/>
              </w:rPr>
            </w:pPr>
            <w:r w:rsidRPr="004509B9">
              <w:rPr>
                <w:rFonts w:eastAsia="Times New Roman"/>
                <w:sz w:val="20"/>
                <w:lang w:val="lt-LT" w:eastAsia="en-US"/>
              </w:rPr>
              <w:t xml:space="preserve">&lt; 100 000 </w:t>
            </w:r>
          </w:p>
        </w:tc>
        <w:tc>
          <w:tcPr>
            <w:tcW w:w="2322" w:type="dxa"/>
            <w:tcBorders>
              <w:top w:val="nil"/>
              <w:left w:val="single" w:sz="4" w:space="0" w:color="000000"/>
              <w:bottom w:val="nil"/>
              <w:right w:val="single" w:sz="4" w:space="0" w:color="000000"/>
            </w:tcBorders>
            <w:vAlign w:val="center"/>
            <w:hideMark/>
          </w:tcPr>
          <w:p w14:paraId="030238CF"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77,6% (198/255)</w:t>
            </w:r>
          </w:p>
        </w:tc>
        <w:tc>
          <w:tcPr>
            <w:tcW w:w="2320" w:type="dxa"/>
            <w:tcBorders>
              <w:top w:val="nil"/>
              <w:left w:val="single" w:sz="4" w:space="0" w:color="000000"/>
              <w:bottom w:val="nil"/>
              <w:right w:val="single" w:sz="4" w:space="0" w:color="000000"/>
            </w:tcBorders>
            <w:vAlign w:val="center"/>
            <w:hideMark/>
          </w:tcPr>
          <w:p w14:paraId="074A0D3B"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73,2% (194/265)</w:t>
            </w:r>
          </w:p>
        </w:tc>
        <w:tc>
          <w:tcPr>
            <w:tcW w:w="2327" w:type="dxa"/>
            <w:tcBorders>
              <w:top w:val="nil"/>
              <w:left w:val="single" w:sz="4" w:space="0" w:color="000000"/>
              <w:bottom w:val="nil"/>
              <w:right w:val="single" w:sz="4" w:space="0" w:color="000000"/>
            </w:tcBorders>
            <w:vAlign w:val="center"/>
            <w:hideMark/>
          </w:tcPr>
          <w:p w14:paraId="3EEA5479"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4,4% (-3,0; 11,9)</w:t>
            </w:r>
          </w:p>
        </w:tc>
      </w:tr>
      <w:tr w:rsidR="009F5848" w:rsidRPr="00C75EC3" w14:paraId="2F7E6CD6" w14:textId="77777777" w:rsidTr="009F5848">
        <w:trPr>
          <w:trHeight w:val="695"/>
        </w:trPr>
        <w:tc>
          <w:tcPr>
            <w:tcW w:w="2331" w:type="dxa"/>
            <w:tcBorders>
              <w:top w:val="nil"/>
              <w:left w:val="single" w:sz="4" w:space="0" w:color="000000"/>
              <w:bottom w:val="nil"/>
              <w:right w:val="single" w:sz="4" w:space="0" w:color="000000"/>
            </w:tcBorders>
            <w:hideMark/>
          </w:tcPr>
          <w:p w14:paraId="1DF969F0" w14:textId="77777777" w:rsidR="009F5848" w:rsidRPr="004509B9" w:rsidRDefault="009F5848" w:rsidP="009F5848">
            <w:pPr>
              <w:autoSpaceDE w:val="0"/>
              <w:autoSpaceDN w:val="0"/>
              <w:adjustRightInd w:val="0"/>
              <w:ind w:left="284"/>
              <w:rPr>
                <w:rFonts w:eastAsia="Times New Roman"/>
                <w:sz w:val="20"/>
                <w:lang w:val="lt-LT" w:eastAsia="en-US"/>
              </w:rPr>
            </w:pPr>
            <w:r w:rsidRPr="004509B9">
              <w:rPr>
                <w:rFonts w:eastAsia="Times New Roman"/>
                <w:sz w:val="20"/>
                <w:lang w:val="lt-LT" w:eastAsia="en-US"/>
              </w:rPr>
              <w:t xml:space="preserve">≥ 100 000 </w:t>
            </w:r>
          </w:p>
          <w:p w14:paraId="0461EF36" w14:textId="77777777" w:rsidR="009F5848" w:rsidRPr="004509B9" w:rsidRDefault="009F5848" w:rsidP="009F5848">
            <w:pPr>
              <w:autoSpaceDE w:val="0"/>
              <w:autoSpaceDN w:val="0"/>
              <w:adjustRightInd w:val="0"/>
              <w:ind w:left="284"/>
              <w:rPr>
                <w:rFonts w:eastAsia="Times New Roman"/>
                <w:sz w:val="20"/>
                <w:lang w:val="lt-LT" w:eastAsia="en-US"/>
              </w:rPr>
            </w:pPr>
            <w:r w:rsidRPr="004509B9">
              <w:rPr>
                <w:rFonts w:eastAsia="Times New Roman"/>
                <w:sz w:val="20"/>
                <w:lang w:val="lt-LT" w:eastAsia="en-US"/>
              </w:rPr>
              <w:t>Pradinis CD4+ ląstelių kiekis (x 10</w:t>
            </w:r>
            <w:r w:rsidRPr="004509B9">
              <w:rPr>
                <w:rFonts w:eastAsia="Times New Roman"/>
                <w:sz w:val="22"/>
                <w:szCs w:val="13"/>
                <w:vertAlign w:val="superscript"/>
                <w:lang w:val="lt-LT" w:eastAsia="en-US"/>
              </w:rPr>
              <w:t>6</w:t>
            </w:r>
            <w:r w:rsidRPr="004509B9">
              <w:rPr>
                <w:rFonts w:eastAsia="Times New Roman"/>
                <w:sz w:val="20"/>
                <w:lang w:val="lt-LT" w:eastAsia="en-US"/>
              </w:rPr>
              <w:t xml:space="preserve">/l) </w:t>
            </w:r>
          </w:p>
        </w:tc>
        <w:tc>
          <w:tcPr>
            <w:tcW w:w="2322" w:type="dxa"/>
            <w:tcBorders>
              <w:top w:val="nil"/>
              <w:left w:val="single" w:sz="4" w:space="0" w:color="000000"/>
              <w:bottom w:val="nil"/>
              <w:right w:val="single" w:sz="4" w:space="0" w:color="000000"/>
            </w:tcBorders>
            <w:hideMark/>
          </w:tcPr>
          <w:p w14:paraId="3C22A7FC"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35,9% (14/39)</w:t>
            </w:r>
          </w:p>
        </w:tc>
        <w:tc>
          <w:tcPr>
            <w:tcW w:w="2320" w:type="dxa"/>
            <w:tcBorders>
              <w:top w:val="nil"/>
              <w:left w:val="single" w:sz="4" w:space="0" w:color="000000"/>
              <w:bottom w:val="nil"/>
              <w:right w:val="single" w:sz="4" w:space="0" w:color="000000"/>
            </w:tcBorders>
            <w:hideMark/>
          </w:tcPr>
          <w:p w14:paraId="18933F53"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51,6% (16/31)</w:t>
            </w:r>
          </w:p>
        </w:tc>
        <w:tc>
          <w:tcPr>
            <w:tcW w:w="2327" w:type="dxa"/>
            <w:tcBorders>
              <w:top w:val="nil"/>
              <w:left w:val="single" w:sz="4" w:space="0" w:color="000000"/>
              <w:bottom w:val="nil"/>
              <w:right w:val="single" w:sz="4" w:space="0" w:color="000000"/>
            </w:tcBorders>
            <w:hideMark/>
          </w:tcPr>
          <w:p w14:paraId="63F0FF49"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-15,7% (-39,2; 7,7)</w:t>
            </w:r>
          </w:p>
        </w:tc>
      </w:tr>
      <w:tr w:rsidR="009F5848" w:rsidRPr="00C75EC3" w14:paraId="6372EED4" w14:textId="77777777" w:rsidTr="009F5848">
        <w:trPr>
          <w:trHeight w:val="230"/>
        </w:trPr>
        <w:tc>
          <w:tcPr>
            <w:tcW w:w="2331" w:type="dxa"/>
            <w:tcBorders>
              <w:top w:val="nil"/>
              <w:left w:val="single" w:sz="4" w:space="0" w:color="000000"/>
              <w:bottom w:val="nil"/>
              <w:right w:val="single" w:sz="4" w:space="0" w:color="000000"/>
            </w:tcBorders>
            <w:vAlign w:val="center"/>
            <w:hideMark/>
          </w:tcPr>
          <w:p w14:paraId="20221500" w14:textId="77777777" w:rsidR="009F5848" w:rsidRPr="004509B9" w:rsidRDefault="009F5848" w:rsidP="009F5848">
            <w:pPr>
              <w:autoSpaceDE w:val="0"/>
              <w:autoSpaceDN w:val="0"/>
              <w:adjustRightInd w:val="0"/>
              <w:ind w:left="284"/>
              <w:rPr>
                <w:rFonts w:eastAsia="Times New Roman"/>
                <w:sz w:val="20"/>
                <w:lang w:val="lt-LT" w:eastAsia="en-US"/>
              </w:rPr>
            </w:pPr>
            <w:r w:rsidRPr="004509B9">
              <w:rPr>
                <w:rFonts w:eastAsia="Times New Roman"/>
                <w:sz w:val="20"/>
                <w:lang w:val="lt-LT" w:eastAsia="en-US"/>
              </w:rPr>
              <w:t xml:space="preserve">≥ 100 </w:t>
            </w:r>
          </w:p>
        </w:tc>
        <w:tc>
          <w:tcPr>
            <w:tcW w:w="2322" w:type="dxa"/>
            <w:tcBorders>
              <w:top w:val="nil"/>
              <w:left w:val="single" w:sz="4" w:space="0" w:color="000000"/>
              <w:bottom w:val="nil"/>
              <w:right w:val="single" w:sz="4" w:space="0" w:color="000000"/>
            </w:tcBorders>
            <w:vAlign w:val="center"/>
            <w:hideMark/>
          </w:tcPr>
          <w:p w14:paraId="568C70DF"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75,1% (184/245)</w:t>
            </w:r>
          </w:p>
        </w:tc>
        <w:tc>
          <w:tcPr>
            <w:tcW w:w="2320" w:type="dxa"/>
            <w:tcBorders>
              <w:top w:val="nil"/>
              <w:left w:val="single" w:sz="4" w:space="0" w:color="000000"/>
              <w:bottom w:val="nil"/>
              <w:right w:val="single" w:sz="4" w:space="0" w:color="000000"/>
            </w:tcBorders>
            <w:vAlign w:val="center"/>
            <w:hideMark/>
          </w:tcPr>
          <w:p w14:paraId="64D30CFA"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72,5% (187/258)</w:t>
            </w:r>
          </w:p>
        </w:tc>
        <w:tc>
          <w:tcPr>
            <w:tcW w:w="2327" w:type="dxa"/>
            <w:tcBorders>
              <w:top w:val="nil"/>
              <w:left w:val="single" w:sz="4" w:space="0" w:color="000000"/>
              <w:bottom w:val="nil"/>
              <w:right w:val="single" w:sz="4" w:space="0" w:color="000000"/>
            </w:tcBorders>
            <w:vAlign w:val="center"/>
            <w:hideMark/>
          </w:tcPr>
          <w:p w14:paraId="0FA5B73A"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2,6% (-5,1; 10,3)</w:t>
            </w:r>
          </w:p>
        </w:tc>
      </w:tr>
      <w:tr w:rsidR="009F5848" w:rsidRPr="00C75EC3" w14:paraId="7FF49C4B" w14:textId="77777777" w:rsidTr="009F5848">
        <w:trPr>
          <w:trHeight w:val="460"/>
        </w:trPr>
        <w:tc>
          <w:tcPr>
            <w:tcW w:w="2331" w:type="dxa"/>
            <w:tcBorders>
              <w:top w:val="nil"/>
              <w:left w:val="single" w:sz="4" w:space="0" w:color="000000"/>
              <w:bottom w:val="nil"/>
              <w:right w:val="single" w:sz="4" w:space="0" w:color="000000"/>
            </w:tcBorders>
            <w:hideMark/>
          </w:tcPr>
          <w:p w14:paraId="4B413526" w14:textId="77777777" w:rsidR="009F5848" w:rsidRPr="004509B9" w:rsidRDefault="009F5848" w:rsidP="009F5848">
            <w:pPr>
              <w:autoSpaceDE w:val="0"/>
              <w:autoSpaceDN w:val="0"/>
              <w:adjustRightInd w:val="0"/>
              <w:ind w:left="284"/>
              <w:rPr>
                <w:rFonts w:eastAsia="Times New Roman"/>
                <w:sz w:val="20"/>
                <w:lang w:val="lt-LT" w:eastAsia="en-US"/>
              </w:rPr>
            </w:pPr>
            <w:r w:rsidRPr="004509B9">
              <w:rPr>
                <w:rFonts w:eastAsia="Times New Roman"/>
                <w:sz w:val="20"/>
                <w:lang w:val="lt-LT" w:eastAsia="en-US"/>
              </w:rPr>
              <w:t xml:space="preserve">&lt; 100 </w:t>
            </w:r>
          </w:p>
          <w:p w14:paraId="1FA0CF7E" w14:textId="77777777" w:rsidR="009F5848" w:rsidRPr="004509B9" w:rsidRDefault="009F5848" w:rsidP="009F5848">
            <w:pPr>
              <w:autoSpaceDE w:val="0"/>
              <w:autoSpaceDN w:val="0"/>
              <w:adjustRightInd w:val="0"/>
              <w:ind w:left="284"/>
              <w:rPr>
                <w:rFonts w:eastAsia="Times New Roman"/>
                <w:sz w:val="20"/>
                <w:lang w:val="lt-LT" w:eastAsia="en-US"/>
              </w:rPr>
            </w:pPr>
            <w:r w:rsidRPr="004509B9">
              <w:rPr>
                <w:rFonts w:eastAsia="Times New Roman"/>
                <w:sz w:val="20"/>
                <w:lang w:val="lt-LT" w:eastAsia="en-US"/>
              </w:rPr>
              <w:t xml:space="preserve">Pradinis ŽIV-1 </w:t>
            </w:r>
          </w:p>
        </w:tc>
        <w:tc>
          <w:tcPr>
            <w:tcW w:w="2322" w:type="dxa"/>
            <w:tcBorders>
              <w:top w:val="nil"/>
              <w:left w:val="single" w:sz="4" w:space="0" w:color="000000"/>
              <w:bottom w:val="nil"/>
              <w:right w:val="single" w:sz="4" w:space="0" w:color="000000"/>
            </w:tcBorders>
            <w:hideMark/>
          </w:tcPr>
          <w:p w14:paraId="7744E2B2"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57,1% (28/49)</w:t>
            </w:r>
          </w:p>
        </w:tc>
        <w:tc>
          <w:tcPr>
            <w:tcW w:w="2320" w:type="dxa"/>
            <w:tcBorders>
              <w:top w:val="nil"/>
              <w:left w:val="single" w:sz="4" w:space="0" w:color="000000"/>
              <w:bottom w:val="nil"/>
              <w:right w:val="single" w:sz="4" w:space="0" w:color="000000"/>
            </w:tcBorders>
            <w:hideMark/>
          </w:tcPr>
          <w:p w14:paraId="28B9C346"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60,5% (23/38)</w:t>
            </w:r>
          </w:p>
        </w:tc>
        <w:tc>
          <w:tcPr>
            <w:tcW w:w="2327" w:type="dxa"/>
            <w:tcBorders>
              <w:top w:val="nil"/>
              <w:left w:val="single" w:sz="4" w:space="0" w:color="000000"/>
              <w:bottom w:val="nil"/>
              <w:right w:val="single" w:sz="4" w:space="0" w:color="000000"/>
            </w:tcBorders>
            <w:hideMark/>
          </w:tcPr>
          <w:p w14:paraId="79850A9A"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-3,4% (-24,5; 17,8)</w:t>
            </w:r>
          </w:p>
        </w:tc>
      </w:tr>
      <w:tr w:rsidR="009F5848" w:rsidRPr="00C75EC3" w14:paraId="7B441224" w14:textId="77777777" w:rsidTr="009F5848">
        <w:trPr>
          <w:trHeight w:val="227"/>
        </w:trPr>
        <w:tc>
          <w:tcPr>
            <w:tcW w:w="2331" w:type="dxa"/>
            <w:tcBorders>
              <w:top w:val="nil"/>
              <w:left w:val="single" w:sz="4" w:space="0" w:color="000000"/>
              <w:bottom w:val="nil"/>
              <w:right w:val="single" w:sz="4" w:space="0" w:color="000000"/>
            </w:tcBorders>
            <w:vAlign w:val="center"/>
            <w:hideMark/>
          </w:tcPr>
          <w:p w14:paraId="661CEE3E" w14:textId="77777777" w:rsidR="009F5848" w:rsidRPr="004509B9" w:rsidRDefault="009F5848" w:rsidP="009F5848">
            <w:pPr>
              <w:autoSpaceDE w:val="0"/>
              <w:autoSpaceDN w:val="0"/>
              <w:adjustRightInd w:val="0"/>
              <w:ind w:left="284"/>
              <w:rPr>
                <w:rFonts w:eastAsia="Times New Roman"/>
                <w:sz w:val="20"/>
                <w:lang w:val="lt-LT" w:eastAsia="en-US"/>
              </w:rPr>
            </w:pPr>
            <w:r w:rsidRPr="004509B9">
              <w:rPr>
                <w:rFonts w:eastAsia="Times New Roman"/>
                <w:sz w:val="20"/>
                <w:lang w:val="lt-LT" w:eastAsia="en-US"/>
              </w:rPr>
              <w:t xml:space="preserve">B tipo </w:t>
            </w:r>
          </w:p>
        </w:tc>
        <w:tc>
          <w:tcPr>
            <w:tcW w:w="2322" w:type="dxa"/>
            <w:tcBorders>
              <w:top w:val="nil"/>
              <w:left w:val="single" w:sz="4" w:space="0" w:color="000000"/>
              <w:bottom w:val="nil"/>
              <w:right w:val="single" w:sz="4" w:space="0" w:color="000000"/>
            </w:tcBorders>
            <w:vAlign w:val="center"/>
            <w:hideMark/>
          </w:tcPr>
          <w:p w14:paraId="7EECAA3E"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70,4% (126/179)</w:t>
            </w:r>
          </w:p>
        </w:tc>
        <w:tc>
          <w:tcPr>
            <w:tcW w:w="2320" w:type="dxa"/>
            <w:tcBorders>
              <w:top w:val="nil"/>
              <w:left w:val="single" w:sz="4" w:space="0" w:color="000000"/>
              <w:bottom w:val="nil"/>
              <w:right w:val="single" w:sz="4" w:space="0" w:color="000000"/>
            </w:tcBorders>
            <w:vAlign w:val="center"/>
            <w:hideMark/>
          </w:tcPr>
          <w:p w14:paraId="584C180A"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64,3% (128/199)</w:t>
            </w:r>
          </w:p>
        </w:tc>
        <w:tc>
          <w:tcPr>
            <w:tcW w:w="2327" w:type="dxa"/>
            <w:tcBorders>
              <w:top w:val="nil"/>
              <w:left w:val="single" w:sz="4" w:space="0" w:color="000000"/>
              <w:bottom w:val="nil"/>
              <w:right w:val="single" w:sz="4" w:space="0" w:color="000000"/>
            </w:tcBorders>
            <w:vAlign w:val="center"/>
            <w:hideMark/>
          </w:tcPr>
          <w:p w14:paraId="7A4319DC"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6,1% (-3,4; 15,6)</w:t>
            </w:r>
          </w:p>
        </w:tc>
      </w:tr>
      <w:tr w:rsidR="009F5848" w:rsidRPr="00C75EC3" w14:paraId="72578757" w14:textId="77777777" w:rsidTr="009F5848">
        <w:trPr>
          <w:trHeight w:val="230"/>
        </w:trPr>
        <w:tc>
          <w:tcPr>
            <w:tcW w:w="2331" w:type="dxa"/>
            <w:tcBorders>
              <w:top w:val="nil"/>
              <w:left w:val="single" w:sz="4" w:space="0" w:color="000000"/>
              <w:bottom w:val="nil"/>
              <w:right w:val="single" w:sz="4" w:space="0" w:color="000000"/>
            </w:tcBorders>
            <w:vAlign w:val="center"/>
            <w:hideMark/>
          </w:tcPr>
          <w:p w14:paraId="7D78EDC7" w14:textId="77777777" w:rsidR="009F5848" w:rsidRPr="004509B9" w:rsidRDefault="009F5848" w:rsidP="009F5848">
            <w:pPr>
              <w:autoSpaceDE w:val="0"/>
              <w:autoSpaceDN w:val="0"/>
              <w:adjustRightInd w:val="0"/>
              <w:ind w:left="284"/>
              <w:rPr>
                <w:rFonts w:eastAsia="Times New Roman"/>
                <w:sz w:val="20"/>
                <w:lang w:val="lt-LT" w:eastAsia="en-US"/>
              </w:rPr>
            </w:pPr>
            <w:r w:rsidRPr="004509B9">
              <w:rPr>
                <w:rFonts w:eastAsia="Times New Roman"/>
                <w:sz w:val="20"/>
                <w:lang w:val="lt-LT" w:eastAsia="en-US"/>
              </w:rPr>
              <w:t>AE tipo</w:t>
            </w:r>
          </w:p>
        </w:tc>
        <w:tc>
          <w:tcPr>
            <w:tcW w:w="2322" w:type="dxa"/>
            <w:tcBorders>
              <w:top w:val="nil"/>
              <w:left w:val="single" w:sz="4" w:space="0" w:color="000000"/>
              <w:bottom w:val="nil"/>
              <w:right w:val="single" w:sz="4" w:space="0" w:color="000000"/>
            </w:tcBorders>
            <w:vAlign w:val="center"/>
            <w:hideMark/>
          </w:tcPr>
          <w:p w14:paraId="2346F17E"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90,5% (38/42)</w:t>
            </w:r>
          </w:p>
        </w:tc>
        <w:tc>
          <w:tcPr>
            <w:tcW w:w="2320" w:type="dxa"/>
            <w:tcBorders>
              <w:top w:val="nil"/>
              <w:left w:val="single" w:sz="4" w:space="0" w:color="000000"/>
              <w:bottom w:val="nil"/>
              <w:right w:val="single" w:sz="4" w:space="0" w:color="000000"/>
            </w:tcBorders>
            <w:vAlign w:val="center"/>
            <w:hideMark/>
          </w:tcPr>
          <w:p w14:paraId="73AB2E89"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91,2% (31/34)</w:t>
            </w:r>
          </w:p>
        </w:tc>
        <w:tc>
          <w:tcPr>
            <w:tcW w:w="2327" w:type="dxa"/>
            <w:tcBorders>
              <w:top w:val="nil"/>
              <w:left w:val="single" w:sz="4" w:space="0" w:color="000000"/>
              <w:bottom w:val="nil"/>
              <w:right w:val="single" w:sz="4" w:space="0" w:color="000000"/>
            </w:tcBorders>
            <w:vAlign w:val="center"/>
            <w:hideMark/>
          </w:tcPr>
          <w:p w14:paraId="09252DB7"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-0,7% (-14,0; 12,6)</w:t>
            </w:r>
          </w:p>
        </w:tc>
      </w:tr>
      <w:tr w:rsidR="009F5848" w:rsidRPr="00C75EC3" w14:paraId="34016A01" w14:textId="77777777" w:rsidTr="009F5848">
        <w:trPr>
          <w:trHeight w:val="227"/>
        </w:trPr>
        <w:tc>
          <w:tcPr>
            <w:tcW w:w="2331" w:type="dxa"/>
            <w:tcBorders>
              <w:top w:val="nil"/>
              <w:left w:val="single" w:sz="4" w:space="0" w:color="000000"/>
              <w:bottom w:val="nil"/>
              <w:right w:val="single" w:sz="4" w:space="0" w:color="000000"/>
            </w:tcBorders>
            <w:vAlign w:val="center"/>
            <w:hideMark/>
          </w:tcPr>
          <w:p w14:paraId="22F007D9" w14:textId="77777777" w:rsidR="009F5848" w:rsidRPr="004509B9" w:rsidRDefault="009F5848" w:rsidP="009F5848">
            <w:pPr>
              <w:autoSpaceDE w:val="0"/>
              <w:autoSpaceDN w:val="0"/>
              <w:adjustRightInd w:val="0"/>
              <w:ind w:left="284"/>
              <w:rPr>
                <w:rFonts w:eastAsia="Times New Roman"/>
                <w:sz w:val="20"/>
                <w:lang w:val="lt-LT" w:eastAsia="en-US"/>
              </w:rPr>
            </w:pPr>
            <w:r w:rsidRPr="004509B9">
              <w:rPr>
                <w:rFonts w:eastAsia="Times New Roman"/>
                <w:sz w:val="20"/>
                <w:lang w:val="lt-LT" w:eastAsia="en-US"/>
              </w:rPr>
              <w:t>C tipo</w:t>
            </w:r>
          </w:p>
        </w:tc>
        <w:tc>
          <w:tcPr>
            <w:tcW w:w="2322" w:type="dxa"/>
            <w:tcBorders>
              <w:top w:val="nil"/>
              <w:left w:val="single" w:sz="4" w:space="0" w:color="000000"/>
              <w:bottom w:val="nil"/>
              <w:right w:val="single" w:sz="4" w:space="0" w:color="000000"/>
            </w:tcBorders>
            <w:vAlign w:val="center"/>
            <w:hideMark/>
          </w:tcPr>
          <w:p w14:paraId="6D69D164"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72,7% (32/44)</w:t>
            </w:r>
          </w:p>
        </w:tc>
        <w:tc>
          <w:tcPr>
            <w:tcW w:w="2320" w:type="dxa"/>
            <w:tcBorders>
              <w:top w:val="nil"/>
              <w:left w:val="single" w:sz="4" w:space="0" w:color="000000"/>
              <w:bottom w:val="nil"/>
              <w:right w:val="single" w:sz="4" w:space="0" w:color="000000"/>
            </w:tcBorders>
            <w:vAlign w:val="center"/>
            <w:hideMark/>
          </w:tcPr>
          <w:p w14:paraId="0F92E710"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78,8% (26/33)</w:t>
            </w:r>
          </w:p>
        </w:tc>
        <w:tc>
          <w:tcPr>
            <w:tcW w:w="2327" w:type="dxa"/>
            <w:tcBorders>
              <w:top w:val="nil"/>
              <w:left w:val="single" w:sz="4" w:space="0" w:color="000000"/>
              <w:bottom w:val="nil"/>
              <w:right w:val="single" w:sz="4" w:space="0" w:color="000000"/>
            </w:tcBorders>
            <w:vAlign w:val="center"/>
            <w:hideMark/>
          </w:tcPr>
          <w:p w14:paraId="11B6FC80"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-6,1% (-2,6; 13,7)</w:t>
            </w:r>
          </w:p>
        </w:tc>
      </w:tr>
      <w:tr w:rsidR="009F5848" w:rsidRPr="00C75EC3" w14:paraId="4C328368" w14:textId="77777777" w:rsidTr="009F5848">
        <w:trPr>
          <w:trHeight w:val="257"/>
        </w:trPr>
        <w:tc>
          <w:tcPr>
            <w:tcW w:w="2331" w:type="dxa"/>
            <w:tcBorders>
              <w:top w:val="nil"/>
              <w:left w:val="single" w:sz="4" w:space="0" w:color="000000"/>
              <w:bottom w:val="single" w:sz="6" w:space="0" w:color="000000"/>
              <w:right w:val="single" w:sz="4" w:space="0" w:color="000000"/>
            </w:tcBorders>
            <w:vAlign w:val="center"/>
            <w:hideMark/>
          </w:tcPr>
          <w:p w14:paraId="354C8859" w14:textId="77777777" w:rsidR="009F5848" w:rsidRPr="004509B9" w:rsidRDefault="009F5848" w:rsidP="009F5848">
            <w:pPr>
              <w:autoSpaceDE w:val="0"/>
              <w:autoSpaceDN w:val="0"/>
              <w:adjustRightInd w:val="0"/>
              <w:ind w:left="284"/>
              <w:rPr>
                <w:rFonts w:eastAsia="Times New Roman"/>
                <w:sz w:val="13"/>
                <w:szCs w:val="13"/>
                <w:lang w:val="lt-LT" w:eastAsia="en-US"/>
              </w:rPr>
            </w:pPr>
            <w:r w:rsidRPr="004509B9">
              <w:rPr>
                <w:rFonts w:eastAsia="Times New Roman"/>
                <w:sz w:val="20"/>
                <w:lang w:val="lt-LT" w:eastAsia="en-US"/>
              </w:rPr>
              <w:t>Kitas</w:t>
            </w:r>
            <w:r w:rsidRPr="004509B9">
              <w:rPr>
                <w:rFonts w:eastAsia="Times New Roman"/>
                <w:sz w:val="22"/>
                <w:szCs w:val="13"/>
                <w:vertAlign w:val="superscript"/>
                <w:lang w:val="lt-LT" w:eastAsia="en-US"/>
              </w:rPr>
              <w:t xml:space="preserve">c </w:t>
            </w:r>
          </w:p>
        </w:tc>
        <w:tc>
          <w:tcPr>
            <w:tcW w:w="2322" w:type="dxa"/>
            <w:tcBorders>
              <w:top w:val="nil"/>
              <w:left w:val="single" w:sz="4" w:space="0" w:color="000000"/>
              <w:bottom w:val="single" w:sz="6" w:space="0" w:color="000000"/>
              <w:right w:val="single" w:sz="4" w:space="0" w:color="000000"/>
            </w:tcBorders>
            <w:vAlign w:val="center"/>
            <w:hideMark/>
          </w:tcPr>
          <w:p w14:paraId="54178BF5"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55,2% (16/29)</w:t>
            </w:r>
          </w:p>
        </w:tc>
        <w:tc>
          <w:tcPr>
            <w:tcW w:w="2320" w:type="dxa"/>
            <w:tcBorders>
              <w:top w:val="nil"/>
              <w:left w:val="single" w:sz="4" w:space="0" w:color="000000"/>
              <w:bottom w:val="single" w:sz="6" w:space="0" w:color="000000"/>
              <w:right w:val="single" w:sz="4" w:space="0" w:color="000000"/>
            </w:tcBorders>
            <w:vAlign w:val="center"/>
            <w:hideMark/>
          </w:tcPr>
          <w:p w14:paraId="266116BD"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83,3% (25/30)</w:t>
            </w:r>
          </w:p>
        </w:tc>
        <w:tc>
          <w:tcPr>
            <w:tcW w:w="2327" w:type="dxa"/>
            <w:tcBorders>
              <w:top w:val="nil"/>
              <w:left w:val="single" w:sz="4" w:space="0" w:color="000000"/>
              <w:bottom w:val="single" w:sz="6" w:space="0" w:color="000000"/>
              <w:right w:val="single" w:sz="4" w:space="0" w:color="000000"/>
            </w:tcBorders>
            <w:vAlign w:val="center"/>
            <w:hideMark/>
          </w:tcPr>
          <w:p w14:paraId="75B2173D"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-28,2% (-51,0; -5,3)</w:t>
            </w:r>
          </w:p>
        </w:tc>
      </w:tr>
      <w:tr w:rsidR="009F5848" w:rsidRPr="00C75EC3" w14:paraId="652DE346" w14:textId="77777777" w:rsidTr="009F5848">
        <w:trPr>
          <w:trHeight w:val="700"/>
        </w:trPr>
        <w:tc>
          <w:tcPr>
            <w:tcW w:w="2331" w:type="dxa"/>
            <w:tcBorders>
              <w:top w:val="single" w:sz="6" w:space="0" w:color="000000"/>
              <w:left w:val="single" w:sz="4" w:space="0" w:color="000000"/>
              <w:bottom w:val="single" w:sz="6" w:space="0" w:color="000000"/>
              <w:right w:val="single" w:sz="4" w:space="0" w:color="000000"/>
            </w:tcBorders>
            <w:hideMark/>
          </w:tcPr>
          <w:p w14:paraId="48E81D8C" w14:textId="77777777" w:rsidR="009F5848" w:rsidRPr="004509B9" w:rsidRDefault="009F5848" w:rsidP="009F5848">
            <w:pPr>
              <w:autoSpaceDE w:val="0"/>
              <w:autoSpaceDN w:val="0"/>
              <w:adjustRightInd w:val="0"/>
              <w:rPr>
                <w:rFonts w:eastAsia="Times New Roman"/>
                <w:sz w:val="20"/>
                <w:lang w:val="lt-LT" w:eastAsia="en-US"/>
              </w:rPr>
            </w:pPr>
            <w:r w:rsidRPr="004509B9">
              <w:rPr>
                <w:rFonts w:eastAsia="Times New Roman"/>
                <w:sz w:val="20"/>
                <w:lang w:val="lt-LT" w:eastAsia="en-US"/>
              </w:rPr>
              <w:t>Vidutinis CD4+ ląstelių kiekio pokytis palyginti su pradiniu</w:t>
            </w:r>
          </w:p>
          <w:p w14:paraId="0BC26BDD" w14:textId="77777777" w:rsidR="009F5848" w:rsidRPr="004509B9" w:rsidRDefault="009F5848" w:rsidP="009F5848">
            <w:pPr>
              <w:autoSpaceDE w:val="0"/>
              <w:autoSpaceDN w:val="0"/>
              <w:adjustRightInd w:val="0"/>
              <w:rPr>
                <w:rFonts w:eastAsia="Times New Roman"/>
                <w:sz w:val="13"/>
                <w:szCs w:val="13"/>
                <w:lang w:val="lt-LT" w:eastAsia="en-US"/>
              </w:rPr>
            </w:pPr>
            <w:r w:rsidRPr="004509B9">
              <w:rPr>
                <w:rFonts w:eastAsia="Times New Roman"/>
                <w:sz w:val="20"/>
                <w:lang w:val="lt-LT" w:eastAsia="en-US"/>
              </w:rPr>
              <w:t>(x 10</w:t>
            </w:r>
            <w:r w:rsidRPr="004509B9">
              <w:rPr>
                <w:rFonts w:eastAsia="Times New Roman"/>
                <w:sz w:val="22"/>
                <w:szCs w:val="13"/>
                <w:vertAlign w:val="superscript"/>
                <w:lang w:val="lt-LT" w:eastAsia="en-US"/>
              </w:rPr>
              <w:t>6</w:t>
            </w:r>
            <w:r w:rsidRPr="004509B9">
              <w:rPr>
                <w:rFonts w:eastAsia="Times New Roman"/>
                <w:sz w:val="20"/>
                <w:lang w:val="lt-LT" w:eastAsia="en-US"/>
              </w:rPr>
              <w:t>/l)</w:t>
            </w:r>
            <w:r w:rsidRPr="004509B9">
              <w:rPr>
                <w:rFonts w:eastAsia="Times New Roman"/>
                <w:sz w:val="22"/>
                <w:szCs w:val="22"/>
                <w:vertAlign w:val="superscript"/>
                <w:lang w:val="lt-LT" w:eastAsia="en-US"/>
              </w:rPr>
              <w:t>e</w:t>
            </w:r>
            <w:r w:rsidRPr="004509B9">
              <w:rPr>
                <w:rFonts w:eastAsia="Times New Roman"/>
                <w:sz w:val="13"/>
                <w:szCs w:val="13"/>
                <w:lang w:val="lt-LT" w:eastAsia="en-US"/>
              </w:rPr>
              <w:t xml:space="preserve"> </w:t>
            </w:r>
          </w:p>
        </w:tc>
        <w:tc>
          <w:tcPr>
            <w:tcW w:w="2322" w:type="dxa"/>
            <w:tcBorders>
              <w:top w:val="single" w:sz="6" w:space="0" w:color="000000"/>
              <w:left w:val="single" w:sz="4" w:space="0" w:color="000000"/>
              <w:bottom w:val="single" w:sz="6" w:space="0" w:color="000000"/>
              <w:right w:val="single" w:sz="4" w:space="0" w:color="000000"/>
            </w:tcBorders>
            <w:hideMark/>
          </w:tcPr>
          <w:p w14:paraId="3CB0B542" w14:textId="77777777" w:rsidR="009F5848" w:rsidRPr="004509B9" w:rsidRDefault="009F5848" w:rsidP="007179A6">
            <w:pPr>
              <w:autoSpaceDE w:val="0"/>
              <w:autoSpaceDN w:val="0"/>
              <w:adjustRightInd w:val="0"/>
              <w:jc w:val="center"/>
              <w:rPr>
                <w:rFonts w:eastAsia="Times New Roman"/>
                <w:sz w:val="20"/>
                <w:lang w:val="lt-LT" w:eastAsia="en-US"/>
              </w:rPr>
            </w:pPr>
          </w:p>
          <w:p w14:paraId="622672C0" w14:textId="77777777" w:rsidR="009F5848" w:rsidRPr="004509B9" w:rsidRDefault="009F5848" w:rsidP="007179A6">
            <w:pPr>
              <w:autoSpaceDE w:val="0"/>
              <w:autoSpaceDN w:val="0"/>
              <w:adjustRightInd w:val="0"/>
              <w:jc w:val="center"/>
              <w:rPr>
                <w:rFonts w:eastAsia="Times New Roman"/>
                <w:sz w:val="20"/>
                <w:lang w:val="lt-LT" w:eastAsia="en-US"/>
              </w:rPr>
            </w:pPr>
          </w:p>
          <w:p w14:paraId="780D1E6A" w14:textId="77777777" w:rsidR="009F5848" w:rsidRPr="004509B9" w:rsidRDefault="009F5848" w:rsidP="007179A6">
            <w:pPr>
              <w:autoSpaceDE w:val="0"/>
              <w:autoSpaceDN w:val="0"/>
              <w:adjustRightInd w:val="0"/>
              <w:jc w:val="center"/>
              <w:rPr>
                <w:rFonts w:eastAsia="Times New Roman"/>
                <w:sz w:val="20"/>
                <w:lang w:val="lt-LT" w:eastAsia="en-US"/>
              </w:rPr>
            </w:pPr>
          </w:p>
          <w:p w14:paraId="2A54D394"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108</w:t>
            </w:r>
          </w:p>
        </w:tc>
        <w:tc>
          <w:tcPr>
            <w:tcW w:w="2320" w:type="dxa"/>
            <w:tcBorders>
              <w:top w:val="single" w:sz="6" w:space="0" w:color="000000"/>
              <w:left w:val="single" w:sz="4" w:space="0" w:color="000000"/>
              <w:bottom w:val="single" w:sz="6" w:space="0" w:color="000000"/>
              <w:right w:val="single" w:sz="4" w:space="0" w:color="000000"/>
            </w:tcBorders>
            <w:hideMark/>
          </w:tcPr>
          <w:p w14:paraId="13458D0A" w14:textId="77777777" w:rsidR="009F5848" w:rsidRPr="004509B9" w:rsidRDefault="009F5848" w:rsidP="007179A6">
            <w:pPr>
              <w:autoSpaceDE w:val="0"/>
              <w:autoSpaceDN w:val="0"/>
              <w:adjustRightInd w:val="0"/>
              <w:jc w:val="center"/>
              <w:rPr>
                <w:rFonts w:eastAsia="Times New Roman"/>
                <w:sz w:val="20"/>
                <w:lang w:val="lt-LT" w:eastAsia="en-US"/>
              </w:rPr>
            </w:pPr>
          </w:p>
          <w:p w14:paraId="6E407BEA" w14:textId="77777777" w:rsidR="009F5848" w:rsidRPr="004509B9" w:rsidRDefault="009F5848" w:rsidP="007179A6">
            <w:pPr>
              <w:autoSpaceDE w:val="0"/>
              <w:autoSpaceDN w:val="0"/>
              <w:adjustRightInd w:val="0"/>
              <w:jc w:val="center"/>
              <w:rPr>
                <w:rFonts w:eastAsia="Times New Roman"/>
                <w:sz w:val="20"/>
                <w:lang w:val="lt-LT" w:eastAsia="en-US"/>
              </w:rPr>
            </w:pPr>
          </w:p>
          <w:p w14:paraId="3ADEC48E" w14:textId="77777777" w:rsidR="009F5848" w:rsidRPr="004509B9" w:rsidRDefault="009F5848" w:rsidP="007179A6">
            <w:pPr>
              <w:autoSpaceDE w:val="0"/>
              <w:autoSpaceDN w:val="0"/>
              <w:adjustRightInd w:val="0"/>
              <w:jc w:val="center"/>
              <w:rPr>
                <w:rFonts w:eastAsia="Times New Roman"/>
                <w:sz w:val="20"/>
                <w:lang w:val="lt-LT" w:eastAsia="en-US"/>
              </w:rPr>
            </w:pPr>
          </w:p>
          <w:p w14:paraId="0F2761DE"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112</w:t>
            </w:r>
          </w:p>
        </w:tc>
        <w:tc>
          <w:tcPr>
            <w:tcW w:w="2327" w:type="dxa"/>
            <w:tcBorders>
              <w:top w:val="single" w:sz="6" w:space="0" w:color="000000"/>
              <w:left w:val="single" w:sz="4" w:space="0" w:color="000000"/>
              <w:bottom w:val="single" w:sz="6" w:space="0" w:color="000000"/>
              <w:right w:val="single" w:sz="4" w:space="0" w:color="000000"/>
            </w:tcBorders>
            <w:hideMark/>
          </w:tcPr>
          <w:p w14:paraId="74E232CC" w14:textId="77777777" w:rsidR="009F5848" w:rsidRPr="004509B9" w:rsidRDefault="009F5848" w:rsidP="007179A6">
            <w:pPr>
              <w:autoSpaceDE w:val="0"/>
              <w:autoSpaceDN w:val="0"/>
              <w:adjustRightInd w:val="0"/>
              <w:jc w:val="center"/>
              <w:rPr>
                <w:rFonts w:eastAsia="Times New Roman"/>
                <w:sz w:val="20"/>
                <w:lang w:val="lt-LT" w:eastAsia="en-US"/>
              </w:rPr>
            </w:pPr>
          </w:p>
          <w:p w14:paraId="24C3C24F" w14:textId="77777777" w:rsidR="009F5848" w:rsidRPr="004509B9" w:rsidRDefault="009F5848" w:rsidP="007179A6">
            <w:pPr>
              <w:autoSpaceDE w:val="0"/>
              <w:autoSpaceDN w:val="0"/>
              <w:adjustRightInd w:val="0"/>
              <w:jc w:val="center"/>
              <w:rPr>
                <w:rFonts w:eastAsia="Times New Roman"/>
                <w:sz w:val="20"/>
                <w:lang w:val="lt-LT" w:eastAsia="en-US"/>
              </w:rPr>
            </w:pPr>
          </w:p>
          <w:p w14:paraId="05021078" w14:textId="77777777" w:rsidR="009F5848" w:rsidRPr="004509B9" w:rsidRDefault="009F5848" w:rsidP="007179A6">
            <w:pPr>
              <w:autoSpaceDE w:val="0"/>
              <w:autoSpaceDN w:val="0"/>
              <w:adjustRightInd w:val="0"/>
              <w:jc w:val="center"/>
              <w:rPr>
                <w:rFonts w:eastAsia="Times New Roman"/>
                <w:sz w:val="20"/>
                <w:lang w:val="lt-LT" w:eastAsia="en-US"/>
              </w:rPr>
            </w:pPr>
          </w:p>
          <w:p w14:paraId="3B3E6ED0" w14:textId="77777777" w:rsidR="009F5848" w:rsidRPr="004509B9" w:rsidRDefault="009F5848" w:rsidP="007179A6">
            <w:pPr>
              <w:autoSpaceDE w:val="0"/>
              <w:autoSpaceDN w:val="0"/>
              <w:adjustRightInd w:val="0"/>
              <w:jc w:val="center"/>
              <w:rPr>
                <w:rFonts w:eastAsia="Times New Roman"/>
                <w:sz w:val="20"/>
                <w:lang w:val="lt-LT" w:eastAsia="en-US"/>
              </w:rPr>
            </w:pPr>
            <w:r w:rsidRPr="004509B9">
              <w:rPr>
                <w:rFonts w:eastAsia="Times New Roman"/>
                <w:sz w:val="20"/>
                <w:lang w:val="lt-LT" w:eastAsia="en-US"/>
              </w:rPr>
              <w:t>-5</w:t>
            </w:r>
            <w:r w:rsidRPr="004509B9">
              <w:rPr>
                <w:rFonts w:eastAsia="Times New Roman"/>
                <w:sz w:val="22"/>
                <w:szCs w:val="13"/>
                <w:vertAlign w:val="superscript"/>
                <w:lang w:val="lt-LT" w:eastAsia="en-US"/>
              </w:rPr>
              <w:t>d</w:t>
            </w:r>
            <w:r w:rsidRPr="004509B9">
              <w:rPr>
                <w:rFonts w:eastAsia="Times New Roman"/>
                <w:sz w:val="13"/>
                <w:szCs w:val="13"/>
                <w:lang w:val="lt-LT" w:eastAsia="en-US"/>
              </w:rPr>
              <w:t xml:space="preserve"> </w:t>
            </w:r>
            <w:r w:rsidRPr="004509B9">
              <w:rPr>
                <w:rFonts w:eastAsia="Times New Roman"/>
                <w:sz w:val="20"/>
                <w:lang w:val="lt-LT" w:eastAsia="en-US"/>
              </w:rPr>
              <w:t>(-25; 16)</w:t>
            </w:r>
          </w:p>
        </w:tc>
      </w:tr>
    </w:tbl>
    <w:p w14:paraId="2C74D9BC" w14:textId="77777777" w:rsidR="009F5848" w:rsidRPr="009C16AC" w:rsidRDefault="009F5848" w:rsidP="009F5848">
      <w:pPr>
        <w:autoSpaceDE w:val="0"/>
        <w:autoSpaceDN w:val="0"/>
        <w:adjustRightInd w:val="0"/>
        <w:rPr>
          <w:rFonts w:eastAsia="TimesNewRoman"/>
          <w:sz w:val="18"/>
          <w:szCs w:val="18"/>
          <w:lang w:val="lt-LT" w:eastAsia="en-US"/>
        </w:rPr>
      </w:pPr>
      <w:r w:rsidRPr="009C16AC">
        <w:rPr>
          <w:rFonts w:eastAsia="TimesNewRoman"/>
          <w:sz w:val="18"/>
          <w:szCs w:val="18"/>
          <w:vertAlign w:val="superscript"/>
          <w:lang w:val="lt-LT" w:eastAsia="en-US"/>
        </w:rPr>
        <w:t>a</w:t>
      </w:r>
      <w:r w:rsidRPr="009C16AC">
        <w:rPr>
          <w:rFonts w:eastAsia="TimesNewRoman"/>
          <w:sz w:val="18"/>
          <w:szCs w:val="18"/>
          <w:lang w:val="lt-LT" w:eastAsia="en-US"/>
        </w:rPr>
        <w:t xml:space="preserve">Vertinimas pagal </w:t>
      </w:r>
      <w:r w:rsidRPr="009C16AC">
        <w:rPr>
          <w:rFonts w:eastAsia="TimesNewRoman"/>
          <w:i/>
          <w:iCs/>
          <w:sz w:val="18"/>
          <w:szCs w:val="18"/>
          <w:lang w:val="lt-LT" w:eastAsia="en-US"/>
        </w:rPr>
        <w:t xml:space="preserve">TLOVR </w:t>
      </w:r>
      <w:r w:rsidRPr="009C16AC">
        <w:rPr>
          <w:rFonts w:eastAsia="TimesNewRoman"/>
          <w:sz w:val="18"/>
          <w:szCs w:val="18"/>
          <w:lang w:val="lt-LT" w:eastAsia="en-US"/>
        </w:rPr>
        <w:t>algoritmą.</w:t>
      </w:r>
    </w:p>
    <w:p w14:paraId="19D1CAF4" w14:textId="77777777" w:rsidR="009F5848" w:rsidRPr="009C16AC" w:rsidRDefault="009F5848" w:rsidP="009F5848">
      <w:pPr>
        <w:autoSpaceDE w:val="0"/>
        <w:autoSpaceDN w:val="0"/>
        <w:adjustRightInd w:val="0"/>
        <w:rPr>
          <w:rFonts w:eastAsia="TimesNewRoman"/>
          <w:sz w:val="18"/>
          <w:szCs w:val="18"/>
          <w:lang w:val="lt-LT" w:eastAsia="en-US"/>
        </w:rPr>
      </w:pPr>
      <w:r w:rsidRPr="009C16AC">
        <w:rPr>
          <w:rFonts w:eastAsia="TimesNewRoman"/>
          <w:sz w:val="18"/>
          <w:szCs w:val="18"/>
          <w:vertAlign w:val="superscript"/>
          <w:lang w:val="lt-LT" w:eastAsia="en-US"/>
        </w:rPr>
        <w:t>b</w:t>
      </w:r>
      <w:r w:rsidRPr="009C16AC">
        <w:rPr>
          <w:rFonts w:eastAsia="TimesNewRoman"/>
          <w:sz w:val="18"/>
          <w:szCs w:val="18"/>
          <w:lang w:val="lt-LT" w:eastAsia="en-US"/>
        </w:rPr>
        <w:t>Remiantis atsako % normaliu apytiksliu skirtumu.</w:t>
      </w:r>
    </w:p>
    <w:p w14:paraId="2063BB53" w14:textId="77777777" w:rsidR="009F5848" w:rsidRPr="009C16AC" w:rsidRDefault="009F5848" w:rsidP="009F5848">
      <w:pPr>
        <w:autoSpaceDE w:val="0"/>
        <w:autoSpaceDN w:val="0"/>
        <w:adjustRightInd w:val="0"/>
        <w:rPr>
          <w:rFonts w:eastAsia="TimesNewRoman"/>
          <w:sz w:val="18"/>
          <w:szCs w:val="18"/>
          <w:lang w:val="lt-LT" w:eastAsia="en-US"/>
        </w:rPr>
      </w:pPr>
      <w:r w:rsidRPr="009C16AC">
        <w:rPr>
          <w:rFonts w:eastAsia="TimesNewRoman"/>
          <w:sz w:val="18"/>
          <w:szCs w:val="18"/>
          <w:vertAlign w:val="superscript"/>
          <w:lang w:val="lt-LT" w:eastAsia="en-US"/>
        </w:rPr>
        <w:t>c</w:t>
      </w:r>
      <w:r w:rsidRPr="009C16AC">
        <w:rPr>
          <w:rFonts w:eastAsia="TimesNewRoman"/>
          <w:sz w:val="18"/>
          <w:szCs w:val="18"/>
          <w:lang w:val="lt-LT" w:eastAsia="en-US"/>
        </w:rPr>
        <w:t>A1, D, F1, G, K, CRF02_AG, CRF12_BF ir CRF06_CPX.</w:t>
      </w:r>
    </w:p>
    <w:p w14:paraId="2D1619F9" w14:textId="77777777" w:rsidR="009F5848" w:rsidRPr="009C16AC" w:rsidRDefault="009F5848" w:rsidP="009F5848">
      <w:pPr>
        <w:autoSpaceDE w:val="0"/>
        <w:autoSpaceDN w:val="0"/>
        <w:adjustRightInd w:val="0"/>
        <w:rPr>
          <w:rFonts w:eastAsia="TimesNewRoman"/>
          <w:sz w:val="18"/>
          <w:szCs w:val="18"/>
          <w:lang w:val="lt-LT" w:eastAsia="en-US"/>
        </w:rPr>
      </w:pPr>
      <w:r w:rsidRPr="009C16AC">
        <w:rPr>
          <w:rFonts w:eastAsia="TimesNewRoman"/>
          <w:sz w:val="18"/>
          <w:szCs w:val="18"/>
          <w:vertAlign w:val="superscript"/>
          <w:lang w:val="lt-LT" w:eastAsia="en-US"/>
        </w:rPr>
        <w:t>d</w:t>
      </w:r>
      <w:r w:rsidRPr="009C16AC">
        <w:rPr>
          <w:rFonts w:eastAsia="TimesNewRoman"/>
          <w:sz w:val="18"/>
          <w:szCs w:val="18"/>
          <w:lang w:val="lt-LT" w:eastAsia="en-US"/>
        </w:rPr>
        <w:t>Vidurkio skirtumas.</w:t>
      </w:r>
    </w:p>
    <w:p w14:paraId="43EF2F7C" w14:textId="77777777" w:rsidR="009F5848" w:rsidRPr="009C16AC" w:rsidRDefault="009F5848" w:rsidP="009F5848">
      <w:pPr>
        <w:tabs>
          <w:tab w:val="left" w:pos="567"/>
        </w:tabs>
        <w:autoSpaceDE w:val="0"/>
        <w:autoSpaceDN w:val="0"/>
        <w:adjustRightInd w:val="0"/>
        <w:rPr>
          <w:rFonts w:eastAsia="TimesNewRoman"/>
          <w:sz w:val="18"/>
          <w:szCs w:val="18"/>
          <w:lang w:val="lt-LT" w:eastAsia="en-US"/>
        </w:rPr>
      </w:pPr>
      <w:r w:rsidRPr="009C16AC">
        <w:rPr>
          <w:rFonts w:eastAsia="TimesNewRoman"/>
          <w:sz w:val="18"/>
          <w:szCs w:val="18"/>
          <w:vertAlign w:val="superscript"/>
          <w:lang w:val="lt-LT" w:eastAsia="en-US"/>
        </w:rPr>
        <w:t xml:space="preserve">e </w:t>
      </w:r>
      <w:r w:rsidRPr="009C16AC">
        <w:rPr>
          <w:rFonts w:eastAsia="TimesNewRoman"/>
          <w:sz w:val="18"/>
          <w:szCs w:val="18"/>
          <w:lang w:val="lt-LT" w:eastAsia="en-US"/>
        </w:rPr>
        <w:t>Paskutiniojo stebėjimo perkelto į ateitį vertinimas.</w:t>
      </w:r>
    </w:p>
    <w:p w14:paraId="49FD9392" w14:textId="77777777" w:rsidR="009F5848" w:rsidRPr="004509B9" w:rsidRDefault="009F5848" w:rsidP="009F5848">
      <w:pPr>
        <w:tabs>
          <w:tab w:val="left" w:pos="567"/>
        </w:tabs>
        <w:autoSpaceDE w:val="0"/>
        <w:autoSpaceDN w:val="0"/>
        <w:adjustRightInd w:val="0"/>
        <w:rPr>
          <w:rFonts w:eastAsia="TimesNewRoman"/>
          <w:sz w:val="18"/>
          <w:szCs w:val="18"/>
          <w:lang w:val="lt-LT" w:eastAsia="en-US"/>
        </w:rPr>
      </w:pPr>
    </w:p>
    <w:p w14:paraId="2013149E"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Virusologinis atsakas 48-tą savaitę, apibūdinamas pacientų, kurių plazmoje ŽIV-1 RNR koncentracija buvo &lt; 50 kopijų/ml, procentine dalimi vartojant 800/100 mg darunaviro /ritonaviro vieną kartą per parą buvo neprastesnis (pagal prieš tyrimą numatytą 12 % neprastesnio atsako ribą), palyginti su 600/100 mg darunaviro /ritonaviro du kartus per parą numatytų gydyti ir OP grupėse.</w:t>
      </w:r>
    </w:p>
    <w:p w14:paraId="170ABD4E" w14:textId="77777777" w:rsidR="009F5848" w:rsidRPr="004509B9" w:rsidRDefault="009F5848" w:rsidP="009F5848">
      <w:pPr>
        <w:autoSpaceDE w:val="0"/>
        <w:autoSpaceDN w:val="0"/>
        <w:adjustRightInd w:val="0"/>
        <w:rPr>
          <w:rFonts w:eastAsia="TimesNewRoman"/>
          <w:sz w:val="22"/>
          <w:szCs w:val="22"/>
          <w:lang w:val="lt-LT" w:eastAsia="en-US"/>
        </w:rPr>
      </w:pPr>
    </w:p>
    <w:p w14:paraId="120D0CE4"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Pacientams, kuriems buvo taikytas ARG, gydymas </w:t>
      </w:r>
      <w:r w:rsidR="007179A6" w:rsidRPr="004509B9">
        <w:rPr>
          <w:rFonts w:eastAsia="TimesNewRoman"/>
          <w:sz w:val="22"/>
          <w:szCs w:val="22"/>
          <w:lang w:val="lt-LT" w:eastAsia="en-US"/>
        </w:rPr>
        <w:t xml:space="preserve">vartojant </w:t>
      </w:r>
      <w:r w:rsidRPr="004509B9">
        <w:rPr>
          <w:rFonts w:eastAsia="TimesNewRoman"/>
          <w:sz w:val="22"/>
          <w:szCs w:val="22"/>
          <w:lang w:val="lt-LT" w:eastAsia="en-US"/>
        </w:rPr>
        <w:t xml:space="preserve">800/100 mg darunaviro /ritonaviro vieną kartą per parą neturi būti taikomas, jeigu buvo nustatyta viena arba daugiau su atsparumu darunavirui susijusių </w:t>
      </w:r>
      <w:r w:rsidR="003F64AE">
        <w:rPr>
          <w:rFonts w:eastAsia="TimesNewRoman"/>
          <w:sz w:val="22"/>
          <w:szCs w:val="22"/>
          <w:lang w:val="lt-LT" w:eastAsia="en-US"/>
        </w:rPr>
        <w:t>m</w:t>
      </w:r>
      <w:r w:rsidRPr="004509B9">
        <w:rPr>
          <w:rFonts w:eastAsia="TimesNewRoman"/>
          <w:sz w:val="22"/>
          <w:szCs w:val="22"/>
          <w:lang w:val="lt-LT" w:eastAsia="en-US"/>
        </w:rPr>
        <w:t>utacijų (DRV-ASM) arba ŽIV-1 RNR kiekis yra ≥ 100 000 kopijų/ml, arba CD4+ ląstelių kiekis yra &lt; 100 ląstelių x 10</w:t>
      </w:r>
      <w:r w:rsidRPr="004509B9">
        <w:rPr>
          <w:rFonts w:eastAsia="TimesNewRoman"/>
          <w:sz w:val="22"/>
          <w:szCs w:val="22"/>
          <w:vertAlign w:val="superscript"/>
          <w:lang w:val="lt-LT" w:eastAsia="en-US"/>
        </w:rPr>
        <w:t>6</w:t>
      </w:r>
      <w:r w:rsidRPr="004509B9">
        <w:rPr>
          <w:rFonts w:eastAsia="TimesNewRoman"/>
          <w:sz w:val="22"/>
          <w:szCs w:val="22"/>
          <w:lang w:val="lt-LT" w:eastAsia="en-US"/>
        </w:rPr>
        <w:t>/l (žr. 4.2 ir 4.4 skyrius). Duomenys apie pacientus, infekuotus kitokiais nei B tipo ŽIV-1, yra riboti.</w:t>
      </w:r>
    </w:p>
    <w:p w14:paraId="19B4391C" w14:textId="77777777" w:rsidR="009F5848" w:rsidRPr="004509B9" w:rsidRDefault="009F5848" w:rsidP="009F5848">
      <w:pPr>
        <w:autoSpaceDE w:val="0"/>
        <w:autoSpaceDN w:val="0"/>
        <w:adjustRightInd w:val="0"/>
        <w:rPr>
          <w:rFonts w:eastAsia="TimesNewRoman"/>
          <w:sz w:val="22"/>
          <w:szCs w:val="22"/>
          <w:lang w:val="lt-LT" w:eastAsia="en-US"/>
        </w:rPr>
      </w:pPr>
    </w:p>
    <w:p w14:paraId="31FF9614" w14:textId="77777777" w:rsidR="007179A6" w:rsidRPr="004509B9" w:rsidRDefault="007179A6" w:rsidP="007179A6">
      <w:pPr>
        <w:autoSpaceDE w:val="0"/>
        <w:autoSpaceDN w:val="0"/>
        <w:adjustRightInd w:val="0"/>
        <w:rPr>
          <w:rFonts w:eastAsia="TimesNewRoman"/>
          <w:sz w:val="22"/>
          <w:szCs w:val="22"/>
          <w:lang w:val="lt-LT" w:eastAsia="en-US"/>
        </w:rPr>
      </w:pPr>
      <w:r w:rsidRPr="009C16AC">
        <w:rPr>
          <w:rFonts w:eastAsia="TimesNewRoman"/>
          <w:b/>
          <w:i/>
          <w:sz w:val="22"/>
          <w:szCs w:val="22"/>
          <w:lang w:val="lt-LT" w:eastAsia="en-US"/>
        </w:rPr>
        <w:t>POWER 1</w:t>
      </w:r>
      <w:r w:rsidRPr="004509B9">
        <w:rPr>
          <w:rFonts w:eastAsia="TimesNewRoman"/>
          <w:i/>
          <w:sz w:val="22"/>
          <w:szCs w:val="22"/>
          <w:lang w:val="lt-LT" w:eastAsia="en-US"/>
        </w:rPr>
        <w:t xml:space="preserve"> ir </w:t>
      </w:r>
      <w:r w:rsidRPr="009C16AC">
        <w:rPr>
          <w:rFonts w:eastAsia="TimesNewRoman"/>
          <w:b/>
          <w:i/>
          <w:sz w:val="22"/>
          <w:szCs w:val="22"/>
          <w:lang w:val="lt-LT" w:eastAsia="en-US"/>
        </w:rPr>
        <w:t>POWER 2</w:t>
      </w:r>
      <w:r w:rsidRPr="004509B9">
        <w:rPr>
          <w:rFonts w:eastAsia="TimesNewRoman"/>
          <w:sz w:val="22"/>
          <w:szCs w:val="22"/>
          <w:lang w:val="lt-LT" w:eastAsia="en-US"/>
        </w:rPr>
        <w:t xml:space="preserve"> yra atsitiktinių imčių kontroliuojamieji klinikiniai tyrimai, kurių metu ŽIV-1 infekuotų pacientų, kuriems anksčiau daugiau kaip 1 kartą gydymas pagal planą, kurio sudėtyje buvo PI, tapo neveiksmingas, gydymas darunaviru kartu su ritonaviru (600/100 mg du kartus per parą) buvo palygintas su kontrolinės </w:t>
      </w:r>
      <w:r w:rsidRPr="004509B9">
        <w:rPr>
          <w:rFonts w:eastAsia="TimesNewRoman"/>
          <w:sz w:val="22"/>
          <w:szCs w:val="22"/>
          <w:lang w:val="lt-LT" w:eastAsia="en-US"/>
        </w:rPr>
        <w:lastRenderedPageBreak/>
        <w:t>grupės pacientų, kuriems buvo taikytas tyrėjo parinktas gydymo planas su PI. Abiejų tyrimų metu buvo taikytas OPP, kurį sudarė ne mažiau kaip 2 NATI su enfuvirtidu (ENF) ar be jo.</w:t>
      </w:r>
    </w:p>
    <w:p w14:paraId="352D4BDE" w14:textId="77777777" w:rsidR="007179A6" w:rsidRPr="004509B9" w:rsidRDefault="007179A6" w:rsidP="007179A6">
      <w:pPr>
        <w:autoSpaceDE w:val="0"/>
        <w:autoSpaceDN w:val="0"/>
        <w:adjustRightInd w:val="0"/>
        <w:rPr>
          <w:rFonts w:eastAsia="TimesNewRoman"/>
          <w:sz w:val="22"/>
          <w:szCs w:val="22"/>
          <w:lang w:val="lt-LT" w:eastAsia="en-US"/>
        </w:rPr>
      </w:pPr>
    </w:p>
    <w:p w14:paraId="25C44BE2" w14:textId="77777777" w:rsidR="007179A6" w:rsidRPr="004509B9" w:rsidRDefault="007179A6" w:rsidP="007179A6">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Toliau lentelėje pateikti 48 savaičių ir 96 savaičių gydymo veiksmingumo duomenys, gauti susumavus POWER 1 ir POWER 2 tyrimų rezultatus.</w:t>
      </w:r>
    </w:p>
    <w:tbl>
      <w:tblPr>
        <w:tblW w:w="9276" w:type="dxa"/>
        <w:tblInd w:w="99" w:type="dxa"/>
        <w:tblLayout w:type="fixed"/>
        <w:tblCellMar>
          <w:left w:w="0" w:type="dxa"/>
          <w:right w:w="0" w:type="dxa"/>
        </w:tblCellMar>
        <w:tblLook w:val="01E0" w:firstRow="1" w:lastRow="1" w:firstColumn="1" w:lastColumn="1" w:noHBand="0" w:noVBand="0"/>
      </w:tblPr>
      <w:tblGrid>
        <w:gridCol w:w="1759"/>
        <w:gridCol w:w="1457"/>
        <w:gridCol w:w="1085"/>
        <w:gridCol w:w="1337"/>
        <w:gridCol w:w="1356"/>
        <w:gridCol w:w="1134"/>
        <w:gridCol w:w="1148"/>
      </w:tblGrid>
      <w:tr w:rsidR="007179A6" w:rsidRPr="00C75EC3" w14:paraId="6CA708B6" w14:textId="77777777" w:rsidTr="00903C3A">
        <w:trPr>
          <w:trHeight w:val="240"/>
        </w:trPr>
        <w:tc>
          <w:tcPr>
            <w:tcW w:w="9276" w:type="dxa"/>
            <w:gridSpan w:val="7"/>
            <w:tcBorders>
              <w:top w:val="single" w:sz="4" w:space="0" w:color="000000"/>
              <w:left w:val="single" w:sz="4" w:space="0" w:color="000000"/>
              <w:bottom w:val="single" w:sz="4" w:space="0" w:color="000000"/>
              <w:right w:val="single" w:sz="4" w:space="0" w:color="000000"/>
            </w:tcBorders>
            <w:hideMark/>
          </w:tcPr>
          <w:p w14:paraId="769FD478" w14:textId="77777777" w:rsidR="007179A6" w:rsidRPr="004509B9" w:rsidRDefault="00903C3A" w:rsidP="00903C3A">
            <w:pPr>
              <w:tabs>
                <w:tab w:val="left" w:pos="567"/>
              </w:tabs>
              <w:spacing w:before="8"/>
              <w:ind w:right="3042"/>
              <w:jc w:val="center"/>
              <w:rPr>
                <w:rFonts w:eastAsia="Times New Roman"/>
                <w:sz w:val="20"/>
                <w:lang w:val="lt-LT" w:eastAsia="en-US"/>
              </w:rPr>
            </w:pPr>
            <w:r w:rsidRPr="004509B9">
              <w:rPr>
                <w:rFonts w:eastAsia="Times New Roman"/>
                <w:spacing w:val="1"/>
                <w:sz w:val="20"/>
                <w:lang w:val="lt-LT" w:eastAsia="en-US"/>
              </w:rPr>
              <w:t xml:space="preserve">                       </w:t>
            </w:r>
            <w:r w:rsidR="007179A6" w:rsidRPr="004509B9">
              <w:rPr>
                <w:rFonts w:eastAsia="Times New Roman"/>
                <w:spacing w:val="1"/>
                <w:sz w:val="20"/>
                <w:lang w:val="lt-LT" w:eastAsia="en-US"/>
              </w:rPr>
              <w:t xml:space="preserve">Suminiai POWER 1 ir POWER 2 </w:t>
            </w:r>
            <w:r w:rsidRPr="004509B9">
              <w:rPr>
                <w:rFonts w:eastAsia="Times New Roman"/>
                <w:spacing w:val="1"/>
                <w:sz w:val="20"/>
                <w:lang w:val="lt-LT" w:eastAsia="en-US"/>
              </w:rPr>
              <w:t xml:space="preserve">duomenys  </w:t>
            </w:r>
          </w:p>
        </w:tc>
      </w:tr>
      <w:tr w:rsidR="007179A6" w:rsidRPr="00C75EC3" w14:paraId="3B0672BB" w14:textId="77777777" w:rsidTr="00903C3A">
        <w:trPr>
          <w:trHeight w:hRule="exact" w:val="240"/>
        </w:trPr>
        <w:tc>
          <w:tcPr>
            <w:tcW w:w="1759" w:type="dxa"/>
            <w:tcBorders>
              <w:top w:val="single" w:sz="4" w:space="0" w:color="000000"/>
              <w:left w:val="single" w:sz="4" w:space="0" w:color="000000"/>
              <w:bottom w:val="single" w:sz="4" w:space="0" w:color="000000"/>
              <w:right w:val="single" w:sz="4" w:space="0" w:color="000000"/>
            </w:tcBorders>
          </w:tcPr>
          <w:p w14:paraId="5F06178A" w14:textId="77777777" w:rsidR="007179A6" w:rsidRPr="004509B9" w:rsidRDefault="007179A6" w:rsidP="007179A6">
            <w:pPr>
              <w:tabs>
                <w:tab w:val="left" w:pos="567"/>
              </w:tabs>
              <w:spacing w:line="260" w:lineRule="exact"/>
              <w:rPr>
                <w:rFonts w:eastAsia="Times New Roman"/>
                <w:sz w:val="22"/>
                <w:lang w:val="lt-LT" w:eastAsia="en-US"/>
              </w:rPr>
            </w:pPr>
          </w:p>
        </w:tc>
        <w:tc>
          <w:tcPr>
            <w:tcW w:w="3879" w:type="dxa"/>
            <w:gridSpan w:val="3"/>
            <w:tcBorders>
              <w:top w:val="single" w:sz="4" w:space="0" w:color="000000"/>
              <w:left w:val="single" w:sz="4" w:space="0" w:color="000000"/>
              <w:bottom w:val="single" w:sz="4" w:space="0" w:color="000000"/>
              <w:right w:val="single" w:sz="4" w:space="0" w:color="000000"/>
            </w:tcBorders>
            <w:hideMark/>
          </w:tcPr>
          <w:p w14:paraId="07C1F8DB" w14:textId="77777777" w:rsidR="00903C3A" w:rsidRPr="004509B9" w:rsidRDefault="00903C3A" w:rsidP="00903C3A">
            <w:pPr>
              <w:tabs>
                <w:tab w:val="left" w:pos="567"/>
              </w:tabs>
              <w:spacing w:before="8"/>
              <w:ind w:left="1266" w:right="912"/>
              <w:jc w:val="center"/>
              <w:rPr>
                <w:rFonts w:eastAsia="Times New Roman"/>
                <w:sz w:val="20"/>
                <w:lang w:val="lt-LT" w:eastAsia="en-US"/>
              </w:rPr>
            </w:pPr>
            <w:r w:rsidRPr="004509B9">
              <w:rPr>
                <w:rFonts w:eastAsia="Times New Roman"/>
                <w:sz w:val="20"/>
                <w:lang w:val="lt-LT" w:eastAsia="en-US"/>
              </w:rPr>
              <w:t>48-ta savaitė</w:t>
            </w:r>
          </w:p>
          <w:p w14:paraId="3774965E" w14:textId="77777777" w:rsidR="00903C3A" w:rsidRPr="004509B9" w:rsidRDefault="00903C3A" w:rsidP="007179A6">
            <w:pPr>
              <w:tabs>
                <w:tab w:val="left" w:pos="567"/>
              </w:tabs>
              <w:spacing w:before="8"/>
              <w:ind w:left="1541" w:right="1519"/>
              <w:jc w:val="center"/>
              <w:rPr>
                <w:rFonts w:eastAsia="Times New Roman"/>
                <w:sz w:val="20"/>
                <w:lang w:val="lt-LT" w:eastAsia="en-US"/>
              </w:rPr>
            </w:pPr>
          </w:p>
          <w:p w14:paraId="0EB95F74" w14:textId="77777777" w:rsidR="007179A6" w:rsidRPr="004509B9" w:rsidRDefault="00903C3A" w:rsidP="007179A6">
            <w:pPr>
              <w:tabs>
                <w:tab w:val="left" w:pos="567"/>
              </w:tabs>
              <w:spacing w:before="8"/>
              <w:ind w:left="1541" w:right="1519"/>
              <w:jc w:val="center"/>
              <w:rPr>
                <w:rFonts w:eastAsia="Times New Roman"/>
                <w:sz w:val="20"/>
                <w:lang w:val="lt-LT" w:eastAsia="en-US"/>
              </w:rPr>
            </w:pPr>
            <w:r w:rsidRPr="004509B9">
              <w:rPr>
                <w:rFonts w:eastAsia="Times New Roman"/>
                <w:sz w:val="20"/>
                <w:lang w:val="lt-LT" w:eastAsia="en-US"/>
              </w:rPr>
              <w:t xml:space="preserve"> savaitė</w:t>
            </w:r>
          </w:p>
        </w:tc>
        <w:tc>
          <w:tcPr>
            <w:tcW w:w="3638" w:type="dxa"/>
            <w:gridSpan w:val="3"/>
            <w:tcBorders>
              <w:top w:val="single" w:sz="4" w:space="0" w:color="000000"/>
              <w:left w:val="single" w:sz="4" w:space="0" w:color="000000"/>
              <w:bottom w:val="single" w:sz="4" w:space="0" w:color="000000"/>
              <w:right w:val="single" w:sz="4" w:space="0" w:color="000000"/>
            </w:tcBorders>
            <w:hideMark/>
          </w:tcPr>
          <w:p w14:paraId="788FADAB" w14:textId="77777777" w:rsidR="007179A6" w:rsidRPr="004509B9" w:rsidRDefault="007179A6" w:rsidP="007179A6">
            <w:pPr>
              <w:tabs>
                <w:tab w:val="left" w:pos="567"/>
              </w:tabs>
              <w:spacing w:before="8"/>
              <w:ind w:left="1421" w:right="1399"/>
              <w:jc w:val="center"/>
              <w:rPr>
                <w:rFonts w:eastAsia="Times New Roman"/>
                <w:sz w:val="20"/>
                <w:lang w:val="lt-LT" w:eastAsia="en-US"/>
              </w:rPr>
            </w:pPr>
            <w:r w:rsidRPr="004509B9">
              <w:rPr>
                <w:rFonts w:eastAsia="Times New Roman"/>
                <w:w w:val="99"/>
                <w:sz w:val="20"/>
                <w:lang w:val="lt-LT" w:eastAsia="en-US"/>
              </w:rPr>
              <w:t>96</w:t>
            </w:r>
            <w:r w:rsidR="00903C3A" w:rsidRPr="004509B9">
              <w:rPr>
                <w:rFonts w:eastAsia="Times New Roman"/>
                <w:w w:val="99"/>
                <w:sz w:val="20"/>
                <w:lang w:val="lt-LT" w:eastAsia="en-US"/>
              </w:rPr>
              <w:t xml:space="preserve"> savaitė</w:t>
            </w:r>
          </w:p>
        </w:tc>
      </w:tr>
      <w:tr w:rsidR="007179A6" w:rsidRPr="00C75EC3" w14:paraId="67511905" w14:textId="77777777" w:rsidTr="00903C3A">
        <w:trPr>
          <w:trHeight w:hRule="exact" w:val="1496"/>
        </w:trPr>
        <w:tc>
          <w:tcPr>
            <w:tcW w:w="1759" w:type="dxa"/>
            <w:tcBorders>
              <w:top w:val="single" w:sz="4" w:space="0" w:color="000000"/>
              <w:left w:val="single" w:sz="4" w:space="0" w:color="000000"/>
              <w:bottom w:val="single" w:sz="4" w:space="0" w:color="000000"/>
              <w:right w:val="single" w:sz="4" w:space="0" w:color="000000"/>
            </w:tcBorders>
            <w:hideMark/>
          </w:tcPr>
          <w:p w14:paraId="016C4249" w14:textId="77777777" w:rsidR="007179A6" w:rsidRPr="004509B9" w:rsidRDefault="00903C3A" w:rsidP="007179A6">
            <w:pPr>
              <w:tabs>
                <w:tab w:val="left" w:pos="567"/>
              </w:tabs>
              <w:spacing w:before="8"/>
              <w:ind w:left="102" w:right="-20"/>
              <w:rPr>
                <w:rFonts w:eastAsia="Times New Roman"/>
                <w:sz w:val="20"/>
                <w:lang w:val="lt-LT" w:eastAsia="en-US"/>
              </w:rPr>
            </w:pPr>
            <w:r w:rsidRPr="004509B9">
              <w:rPr>
                <w:rFonts w:eastAsia="Times New Roman"/>
                <w:i/>
                <w:sz w:val="20"/>
                <w:lang w:val="lt-LT" w:eastAsia="en-US"/>
              </w:rPr>
              <w:t>Baigtys</w:t>
            </w:r>
          </w:p>
        </w:tc>
        <w:tc>
          <w:tcPr>
            <w:tcW w:w="1457" w:type="dxa"/>
            <w:tcBorders>
              <w:top w:val="single" w:sz="4" w:space="0" w:color="000000"/>
              <w:left w:val="single" w:sz="4" w:space="0" w:color="000000"/>
              <w:bottom w:val="single" w:sz="4" w:space="0" w:color="000000"/>
              <w:right w:val="single" w:sz="4" w:space="0" w:color="000000"/>
            </w:tcBorders>
            <w:hideMark/>
          </w:tcPr>
          <w:p w14:paraId="31378F89" w14:textId="77777777" w:rsidR="007179A6" w:rsidRPr="004509B9" w:rsidRDefault="007179A6" w:rsidP="007179A6">
            <w:pPr>
              <w:tabs>
                <w:tab w:val="left" w:pos="567"/>
              </w:tabs>
              <w:spacing w:before="8"/>
              <w:ind w:left="102" w:right="-20"/>
              <w:rPr>
                <w:rFonts w:eastAsia="Times New Roman"/>
                <w:sz w:val="20"/>
                <w:lang w:val="lt-LT" w:eastAsia="en-US"/>
              </w:rPr>
            </w:pPr>
            <w:r w:rsidRPr="004509B9">
              <w:rPr>
                <w:rFonts w:eastAsia="Times New Roman"/>
                <w:sz w:val="20"/>
                <w:lang w:val="lt-LT" w:eastAsia="en-US"/>
              </w:rPr>
              <w:t>Darunavir</w:t>
            </w:r>
            <w:r w:rsidR="00903C3A" w:rsidRPr="004509B9">
              <w:rPr>
                <w:rFonts w:eastAsia="Times New Roman"/>
                <w:sz w:val="20"/>
                <w:lang w:val="lt-LT" w:eastAsia="en-US"/>
              </w:rPr>
              <w:t xml:space="preserve">as </w:t>
            </w:r>
            <w:r w:rsidRPr="004509B9">
              <w:rPr>
                <w:rFonts w:eastAsia="Times New Roman"/>
                <w:sz w:val="20"/>
                <w:lang w:val="lt-LT" w:eastAsia="en-US"/>
              </w:rPr>
              <w:t>/ritonavir</w:t>
            </w:r>
            <w:r w:rsidR="00903C3A" w:rsidRPr="004509B9">
              <w:rPr>
                <w:rFonts w:eastAsia="Times New Roman"/>
                <w:sz w:val="20"/>
                <w:lang w:val="lt-LT" w:eastAsia="en-US"/>
              </w:rPr>
              <w:t>as</w:t>
            </w:r>
          </w:p>
          <w:p w14:paraId="3B8A4A45" w14:textId="77777777" w:rsidR="007179A6" w:rsidRPr="004509B9" w:rsidRDefault="007179A6" w:rsidP="00903C3A">
            <w:pPr>
              <w:tabs>
                <w:tab w:val="left" w:pos="567"/>
              </w:tabs>
              <w:spacing w:line="230" w:lineRule="exact"/>
              <w:ind w:left="102" w:right="328"/>
              <w:rPr>
                <w:rFonts w:eastAsia="Times New Roman"/>
                <w:sz w:val="20"/>
                <w:lang w:val="lt-LT" w:eastAsia="en-US"/>
              </w:rPr>
            </w:pPr>
            <w:r w:rsidRPr="004509B9">
              <w:rPr>
                <w:rFonts w:eastAsia="Times New Roman"/>
                <w:spacing w:val="1"/>
                <w:sz w:val="20"/>
                <w:lang w:val="lt-LT" w:eastAsia="en-US"/>
              </w:rPr>
              <w:t>600/1</w:t>
            </w:r>
            <w:r w:rsidRPr="004509B9">
              <w:rPr>
                <w:rFonts w:eastAsia="Times New Roman"/>
                <w:spacing w:val="-1"/>
                <w:sz w:val="20"/>
                <w:lang w:val="lt-LT" w:eastAsia="en-US"/>
              </w:rPr>
              <w:t>0</w:t>
            </w:r>
            <w:r w:rsidRPr="004509B9">
              <w:rPr>
                <w:rFonts w:eastAsia="Times New Roman"/>
                <w:sz w:val="20"/>
                <w:lang w:val="lt-LT" w:eastAsia="en-US"/>
              </w:rPr>
              <w:t>0</w:t>
            </w:r>
            <w:r w:rsidR="00903C3A" w:rsidRPr="004509B9">
              <w:rPr>
                <w:rFonts w:eastAsia="Times New Roman"/>
                <w:sz w:val="20"/>
                <w:lang w:val="lt-LT" w:eastAsia="en-US"/>
              </w:rPr>
              <w:t> </w:t>
            </w:r>
            <w:r w:rsidRPr="004509B9">
              <w:rPr>
                <w:rFonts w:eastAsia="Times New Roman"/>
                <w:spacing w:val="-1"/>
                <w:sz w:val="20"/>
                <w:lang w:val="lt-LT" w:eastAsia="en-US"/>
              </w:rPr>
              <w:t xml:space="preserve">mg </w:t>
            </w:r>
            <w:r w:rsidR="00903C3A" w:rsidRPr="004509B9">
              <w:rPr>
                <w:rFonts w:eastAsia="Times New Roman"/>
                <w:spacing w:val="-1"/>
                <w:sz w:val="20"/>
                <w:lang w:val="lt-LT" w:eastAsia="en-US"/>
              </w:rPr>
              <w:t xml:space="preserve">du kartus per parą </w:t>
            </w:r>
            <w:r w:rsidRPr="004509B9">
              <w:rPr>
                <w:rFonts w:eastAsia="Times New Roman"/>
                <w:sz w:val="20"/>
                <w:lang w:val="lt-LT" w:eastAsia="en-US"/>
              </w:rPr>
              <w:t>n=131</w:t>
            </w:r>
          </w:p>
        </w:tc>
        <w:tc>
          <w:tcPr>
            <w:tcW w:w="1085" w:type="dxa"/>
            <w:tcBorders>
              <w:top w:val="single" w:sz="4" w:space="0" w:color="000000"/>
              <w:left w:val="single" w:sz="4" w:space="0" w:color="000000"/>
              <w:bottom w:val="single" w:sz="4" w:space="0" w:color="000000"/>
              <w:right w:val="single" w:sz="4" w:space="0" w:color="000000"/>
            </w:tcBorders>
            <w:hideMark/>
          </w:tcPr>
          <w:p w14:paraId="435013B1" w14:textId="77777777" w:rsidR="007179A6" w:rsidRPr="004509B9" w:rsidRDefault="00903C3A" w:rsidP="00903C3A">
            <w:pPr>
              <w:tabs>
                <w:tab w:val="left" w:pos="567"/>
              </w:tabs>
              <w:spacing w:before="13" w:line="228" w:lineRule="exact"/>
              <w:ind w:left="102" w:right="84"/>
              <w:rPr>
                <w:rFonts w:eastAsia="Times New Roman"/>
                <w:sz w:val="20"/>
                <w:lang w:val="lt-LT" w:eastAsia="en-US"/>
              </w:rPr>
            </w:pPr>
            <w:r w:rsidRPr="004509B9">
              <w:rPr>
                <w:rFonts w:eastAsia="Times New Roman"/>
                <w:sz w:val="20"/>
                <w:lang w:val="lt-LT" w:eastAsia="en-US"/>
              </w:rPr>
              <w:t>Kontrolinė grupė</w:t>
            </w:r>
            <w:r w:rsidR="007179A6" w:rsidRPr="004509B9">
              <w:rPr>
                <w:rFonts w:eastAsia="Times New Roman"/>
                <w:sz w:val="20"/>
                <w:lang w:val="lt-LT" w:eastAsia="en-US"/>
              </w:rPr>
              <w:t xml:space="preserve"> n=124</w:t>
            </w:r>
          </w:p>
        </w:tc>
        <w:tc>
          <w:tcPr>
            <w:tcW w:w="1337" w:type="dxa"/>
            <w:tcBorders>
              <w:top w:val="single" w:sz="4" w:space="0" w:color="000000"/>
              <w:left w:val="single" w:sz="4" w:space="0" w:color="000000"/>
              <w:bottom w:val="single" w:sz="4" w:space="0" w:color="000000"/>
              <w:right w:val="single" w:sz="4" w:space="0" w:color="000000"/>
            </w:tcBorders>
            <w:hideMark/>
          </w:tcPr>
          <w:p w14:paraId="72104E8E" w14:textId="77777777" w:rsidR="00903C3A" w:rsidRPr="004509B9" w:rsidRDefault="00903C3A" w:rsidP="00903C3A">
            <w:pPr>
              <w:tabs>
                <w:tab w:val="left" w:pos="567"/>
              </w:tabs>
              <w:spacing w:before="13" w:line="228" w:lineRule="exact"/>
              <w:ind w:left="102" w:right="345"/>
              <w:rPr>
                <w:rFonts w:eastAsia="Times New Roman"/>
                <w:sz w:val="20"/>
                <w:lang w:val="lt-LT" w:eastAsia="en-US"/>
              </w:rPr>
            </w:pPr>
            <w:r w:rsidRPr="004509B9">
              <w:rPr>
                <w:rFonts w:eastAsia="Times New Roman"/>
                <w:sz w:val="20"/>
                <w:lang w:val="lt-LT" w:eastAsia="en-US"/>
              </w:rPr>
              <w:t>Gydymo</w:t>
            </w:r>
          </w:p>
          <w:p w14:paraId="76A294F2" w14:textId="77777777" w:rsidR="007179A6" w:rsidRPr="004509B9" w:rsidRDefault="00903C3A" w:rsidP="00903C3A">
            <w:pPr>
              <w:tabs>
                <w:tab w:val="left" w:pos="567"/>
              </w:tabs>
              <w:spacing w:before="13" w:line="228" w:lineRule="exact"/>
              <w:ind w:left="102" w:right="345"/>
              <w:rPr>
                <w:rFonts w:eastAsia="Times New Roman"/>
                <w:sz w:val="20"/>
                <w:lang w:val="lt-LT" w:eastAsia="en-US"/>
              </w:rPr>
            </w:pPr>
            <w:r w:rsidRPr="004509B9">
              <w:rPr>
                <w:rFonts w:eastAsia="Times New Roman"/>
                <w:sz w:val="20"/>
                <w:lang w:val="lt-LT" w:eastAsia="en-US"/>
              </w:rPr>
              <w:t>skirtumas</w:t>
            </w:r>
          </w:p>
        </w:tc>
        <w:tc>
          <w:tcPr>
            <w:tcW w:w="1356" w:type="dxa"/>
            <w:tcBorders>
              <w:top w:val="single" w:sz="4" w:space="0" w:color="000000"/>
              <w:left w:val="single" w:sz="4" w:space="0" w:color="000000"/>
              <w:bottom w:val="single" w:sz="4" w:space="0" w:color="000000"/>
              <w:right w:val="single" w:sz="4" w:space="0" w:color="000000"/>
            </w:tcBorders>
            <w:hideMark/>
          </w:tcPr>
          <w:p w14:paraId="5638EF64" w14:textId="77777777" w:rsidR="00903C3A" w:rsidRPr="004509B9" w:rsidRDefault="007179A6" w:rsidP="00903C3A">
            <w:pPr>
              <w:tabs>
                <w:tab w:val="left" w:pos="567"/>
              </w:tabs>
              <w:spacing w:before="8"/>
              <w:ind w:left="102" w:right="-20"/>
              <w:rPr>
                <w:rFonts w:eastAsia="Times New Roman"/>
                <w:sz w:val="20"/>
                <w:lang w:val="lt-LT" w:eastAsia="en-US"/>
              </w:rPr>
            </w:pPr>
            <w:r w:rsidRPr="004509B9">
              <w:rPr>
                <w:rFonts w:eastAsia="Times New Roman"/>
                <w:sz w:val="20"/>
                <w:lang w:val="lt-LT" w:eastAsia="en-US"/>
              </w:rPr>
              <w:t>Darunavir</w:t>
            </w:r>
            <w:r w:rsidR="00903C3A" w:rsidRPr="004509B9">
              <w:rPr>
                <w:rFonts w:eastAsia="Times New Roman"/>
                <w:sz w:val="20"/>
                <w:lang w:val="lt-LT" w:eastAsia="en-US"/>
              </w:rPr>
              <w:t>as</w:t>
            </w:r>
            <w:r w:rsidRPr="004509B9">
              <w:rPr>
                <w:rFonts w:eastAsia="Times New Roman"/>
                <w:sz w:val="20"/>
                <w:lang w:val="lt-LT" w:eastAsia="en-US"/>
              </w:rPr>
              <w:t>/</w:t>
            </w:r>
          </w:p>
          <w:p w14:paraId="6144A352" w14:textId="77777777" w:rsidR="00903C3A" w:rsidRPr="004509B9" w:rsidRDefault="007179A6" w:rsidP="00903C3A">
            <w:pPr>
              <w:tabs>
                <w:tab w:val="left" w:pos="567"/>
              </w:tabs>
              <w:spacing w:before="8"/>
              <w:ind w:left="102" w:right="-20"/>
              <w:rPr>
                <w:rFonts w:eastAsia="Times New Roman"/>
                <w:sz w:val="20"/>
                <w:lang w:val="lt-LT" w:eastAsia="en-US"/>
              </w:rPr>
            </w:pPr>
            <w:r w:rsidRPr="004509B9">
              <w:rPr>
                <w:rFonts w:eastAsia="Times New Roman"/>
                <w:sz w:val="20"/>
                <w:lang w:val="lt-LT" w:eastAsia="en-US"/>
              </w:rPr>
              <w:t>ritonavir</w:t>
            </w:r>
            <w:r w:rsidR="00903C3A" w:rsidRPr="004509B9">
              <w:rPr>
                <w:rFonts w:eastAsia="Times New Roman"/>
                <w:sz w:val="20"/>
                <w:lang w:val="lt-LT" w:eastAsia="en-US"/>
              </w:rPr>
              <w:t>as</w:t>
            </w:r>
          </w:p>
          <w:p w14:paraId="213A7262" w14:textId="77777777" w:rsidR="007179A6" w:rsidRPr="004509B9" w:rsidRDefault="007179A6" w:rsidP="00903C3A">
            <w:pPr>
              <w:tabs>
                <w:tab w:val="left" w:pos="567"/>
              </w:tabs>
              <w:spacing w:before="8"/>
              <w:ind w:left="102" w:right="-20"/>
              <w:rPr>
                <w:rFonts w:eastAsia="Times New Roman"/>
                <w:sz w:val="20"/>
                <w:lang w:val="lt-LT" w:eastAsia="en-US"/>
              </w:rPr>
            </w:pPr>
            <w:r w:rsidRPr="004509B9">
              <w:rPr>
                <w:rFonts w:eastAsia="Times New Roman"/>
                <w:spacing w:val="1"/>
                <w:sz w:val="20"/>
                <w:lang w:val="lt-LT" w:eastAsia="en-US"/>
              </w:rPr>
              <w:t>600/10</w:t>
            </w:r>
            <w:r w:rsidRPr="004509B9">
              <w:rPr>
                <w:rFonts w:eastAsia="Times New Roman"/>
                <w:sz w:val="20"/>
                <w:lang w:val="lt-LT" w:eastAsia="en-US"/>
              </w:rPr>
              <w:t>0</w:t>
            </w:r>
            <w:r w:rsidR="00903C3A" w:rsidRPr="004509B9">
              <w:rPr>
                <w:rFonts w:eastAsia="Times New Roman"/>
                <w:sz w:val="20"/>
                <w:lang w:val="lt-LT" w:eastAsia="en-US"/>
              </w:rPr>
              <w:t> </w:t>
            </w:r>
            <w:r w:rsidRPr="004509B9">
              <w:rPr>
                <w:rFonts w:eastAsia="Times New Roman"/>
                <w:spacing w:val="-1"/>
                <w:sz w:val="20"/>
                <w:lang w:val="lt-LT" w:eastAsia="en-US"/>
              </w:rPr>
              <w:t xml:space="preserve">mg </w:t>
            </w:r>
            <w:r w:rsidR="00903C3A" w:rsidRPr="004509B9">
              <w:rPr>
                <w:rFonts w:eastAsia="Times New Roman"/>
                <w:spacing w:val="-1"/>
                <w:sz w:val="20"/>
                <w:lang w:val="lt-LT" w:eastAsia="en-US"/>
              </w:rPr>
              <w:t>du kartus per parą</w:t>
            </w:r>
            <w:r w:rsidRPr="004509B9">
              <w:rPr>
                <w:rFonts w:eastAsia="Times New Roman"/>
                <w:sz w:val="20"/>
                <w:lang w:val="lt-LT" w:eastAsia="en-US"/>
              </w:rPr>
              <w:t xml:space="preserve"> n=131</w:t>
            </w:r>
          </w:p>
        </w:tc>
        <w:tc>
          <w:tcPr>
            <w:tcW w:w="1134" w:type="dxa"/>
            <w:tcBorders>
              <w:top w:val="single" w:sz="4" w:space="0" w:color="000000"/>
              <w:left w:val="single" w:sz="4" w:space="0" w:color="000000"/>
              <w:bottom w:val="single" w:sz="4" w:space="0" w:color="000000"/>
              <w:right w:val="single" w:sz="4" w:space="0" w:color="000000"/>
            </w:tcBorders>
            <w:hideMark/>
          </w:tcPr>
          <w:p w14:paraId="5A42DB2A" w14:textId="77777777" w:rsidR="007179A6" w:rsidRPr="004509B9" w:rsidRDefault="00903C3A" w:rsidP="00903C3A">
            <w:pPr>
              <w:tabs>
                <w:tab w:val="left" w:pos="567"/>
              </w:tabs>
              <w:spacing w:before="13" w:line="228" w:lineRule="exact"/>
              <w:ind w:left="100" w:right="77"/>
              <w:rPr>
                <w:rFonts w:eastAsia="Times New Roman"/>
                <w:sz w:val="20"/>
                <w:lang w:val="lt-LT" w:eastAsia="en-US"/>
              </w:rPr>
            </w:pPr>
            <w:r w:rsidRPr="004509B9">
              <w:rPr>
                <w:rFonts w:eastAsia="Times New Roman"/>
                <w:sz w:val="20"/>
                <w:lang w:val="lt-LT" w:eastAsia="en-US"/>
              </w:rPr>
              <w:t>Kontrolinė grupė</w:t>
            </w:r>
            <w:r w:rsidR="007179A6" w:rsidRPr="004509B9">
              <w:rPr>
                <w:rFonts w:eastAsia="Times New Roman"/>
                <w:sz w:val="20"/>
                <w:lang w:val="lt-LT" w:eastAsia="en-US"/>
              </w:rPr>
              <w:t xml:space="preserve"> n=124</w:t>
            </w:r>
          </w:p>
        </w:tc>
        <w:tc>
          <w:tcPr>
            <w:tcW w:w="1148" w:type="dxa"/>
            <w:tcBorders>
              <w:top w:val="single" w:sz="4" w:space="0" w:color="000000"/>
              <w:left w:val="single" w:sz="4" w:space="0" w:color="000000"/>
              <w:bottom w:val="single" w:sz="4" w:space="0" w:color="000000"/>
              <w:right w:val="single" w:sz="4" w:space="0" w:color="000000"/>
            </w:tcBorders>
            <w:hideMark/>
          </w:tcPr>
          <w:p w14:paraId="51DEB1A0" w14:textId="77777777" w:rsidR="007179A6" w:rsidRPr="004509B9" w:rsidRDefault="00903C3A" w:rsidP="00903C3A">
            <w:pPr>
              <w:tabs>
                <w:tab w:val="left" w:pos="567"/>
              </w:tabs>
              <w:spacing w:before="13" w:line="228" w:lineRule="exact"/>
              <w:ind w:left="102" w:right="156"/>
              <w:rPr>
                <w:rFonts w:eastAsia="Times New Roman"/>
                <w:sz w:val="20"/>
                <w:lang w:val="lt-LT" w:eastAsia="en-US"/>
              </w:rPr>
            </w:pPr>
            <w:r w:rsidRPr="004509B9">
              <w:rPr>
                <w:rFonts w:eastAsia="Times New Roman"/>
                <w:sz w:val="20"/>
                <w:lang w:val="lt-LT" w:eastAsia="en-US"/>
              </w:rPr>
              <w:t>Gydymo skirtumas</w:t>
            </w:r>
          </w:p>
        </w:tc>
      </w:tr>
      <w:tr w:rsidR="007179A6" w:rsidRPr="00C75EC3" w14:paraId="4397506B" w14:textId="77777777" w:rsidTr="00903C3A">
        <w:trPr>
          <w:trHeight w:hRule="exact" w:val="847"/>
        </w:trPr>
        <w:tc>
          <w:tcPr>
            <w:tcW w:w="1759" w:type="dxa"/>
            <w:tcBorders>
              <w:top w:val="single" w:sz="4" w:space="0" w:color="000000"/>
              <w:left w:val="single" w:sz="4" w:space="0" w:color="000000"/>
              <w:bottom w:val="single" w:sz="4" w:space="0" w:color="000000"/>
              <w:right w:val="single" w:sz="4" w:space="0" w:color="000000"/>
            </w:tcBorders>
            <w:hideMark/>
          </w:tcPr>
          <w:p w14:paraId="2D39C31D" w14:textId="77777777" w:rsidR="007179A6" w:rsidRPr="004509B9" w:rsidRDefault="00903C3A" w:rsidP="007179A6">
            <w:pPr>
              <w:tabs>
                <w:tab w:val="left" w:pos="567"/>
              </w:tabs>
              <w:spacing w:before="6" w:line="226" w:lineRule="exact"/>
              <w:ind w:left="102" w:right="-20"/>
              <w:rPr>
                <w:rFonts w:eastAsia="Times New Roman"/>
                <w:sz w:val="20"/>
                <w:lang w:val="lt-LT" w:eastAsia="en-US"/>
              </w:rPr>
            </w:pPr>
            <w:r w:rsidRPr="004509B9">
              <w:rPr>
                <w:rFonts w:eastAsia="Times New Roman"/>
                <w:spacing w:val="1"/>
                <w:position w:val="-1"/>
                <w:sz w:val="20"/>
                <w:lang w:val="lt-LT" w:eastAsia="en-US"/>
              </w:rPr>
              <w:t>Ž</w:t>
            </w:r>
            <w:r w:rsidR="007179A6" w:rsidRPr="004509B9">
              <w:rPr>
                <w:rFonts w:eastAsia="Times New Roman"/>
                <w:spacing w:val="1"/>
                <w:position w:val="-1"/>
                <w:sz w:val="20"/>
                <w:lang w:val="lt-LT" w:eastAsia="en-US"/>
              </w:rPr>
              <w:t>I</w:t>
            </w:r>
            <w:r w:rsidR="007179A6" w:rsidRPr="004509B9">
              <w:rPr>
                <w:rFonts w:eastAsia="Times New Roman"/>
                <w:position w:val="-1"/>
                <w:sz w:val="20"/>
                <w:lang w:val="lt-LT" w:eastAsia="en-US"/>
              </w:rPr>
              <w:t>V</w:t>
            </w:r>
            <w:r w:rsidR="007179A6" w:rsidRPr="004509B9">
              <w:rPr>
                <w:rFonts w:eastAsia="Times New Roman"/>
                <w:spacing w:val="-3"/>
                <w:position w:val="-1"/>
                <w:sz w:val="20"/>
                <w:lang w:val="lt-LT" w:eastAsia="en-US"/>
              </w:rPr>
              <w:t xml:space="preserve"> </w:t>
            </w:r>
            <w:r w:rsidR="007179A6" w:rsidRPr="004509B9">
              <w:rPr>
                <w:rFonts w:eastAsia="Times New Roman"/>
                <w:position w:val="-1"/>
                <w:sz w:val="20"/>
                <w:lang w:val="lt-LT" w:eastAsia="en-US"/>
              </w:rPr>
              <w:t>RN</w:t>
            </w:r>
            <w:r w:rsidRPr="004509B9">
              <w:rPr>
                <w:rFonts w:eastAsia="Times New Roman"/>
                <w:position w:val="-1"/>
                <w:sz w:val="20"/>
                <w:lang w:val="lt-LT" w:eastAsia="en-US"/>
              </w:rPr>
              <w:t>R</w:t>
            </w:r>
          </w:p>
          <w:p w14:paraId="1BFEF166" w14:textId="77777777" w:rsidR="007179A6" w:rsidRPr="004509B9" w:rsidRDefault="007179A6" w:rsidP="00903C3A">
            <w:pPr>
              <w:tabs>
                <w:tab w:val="left" w:pos="567"/>
              </w:tabs>
              <w:spacing w:line="235" w:lineRule="exact"/>
              <w:ind w:left="102" w:right="-20"/>
              <w:rPr>
                <w:rFonts w:eastAsia="Times New Roman"/>
                <w:sz w:val="13"/>
                <w:szCs w:val="13"/>
                <w:lang w:val="lt-LT" w:eastAsia="en-US"/>
              </w:rPr>
            </w:pPr>
            <w:r w:rsidRPr="004509B9">
              <w:rPr>
                <w:rFonts w:eastAsia="Times New Roman"/>
                <w:sz w:val="20"/>
                <w:lang w:val="lt-LT" w:eastAsia="en-US"/>
              </w:rPr>
              <w:t xml:space="preserve">&lt; </w:t>
            </w:r>
            <w:r w:rsidRPr="004509B9">
              <w:rPr>
                <w:rFonts w:eastAsia="Times New Roman"/>
                <w:spacing w:val="1"/>
                <w:sz w:val="20"/>
                <w:lang w:val="lt-LT" w:eastAsia="en-US"/>
              </w:rPr>
              <w:t>5</w:t>
            </w:r>
            <w:r w:rsidRPr="004509B9">
              <w:rPr>
                <w:rFonts w:eastAsia="Times New Roman"/>
                <w:sz w:val="20"/>
                <w:lang w:val="lt-LT" w:eastAsia="en-US"/>
              </w:rPr>
              <w:t xml:space="preserve">0 </w:t>
            </w:r>
            <w:r w:rsidR="00903C3A" w:rsidRPr="004509B9">
              <w:rPr>
                <w:rFonts w:eastAsia="Times New Roman"/>
                <w:sz w:val="20"/>
                <w:lang w:val="lt-LT" w:eastAsia="en-US"/>
              </w:rPr>
              <w:t>kopijų</w:t>
            </w:r>
            <w:r w:rsidRPr="004509B9">
              <w:rPr>
                <w:rFonts w:eastAsia="Times New Roman"/>
                <w:sz w:val="20"/>
                <w:lang w:val="lt-LT" w:eastAsia="en-US"/>
              </w:rPr>
              <w:t>/ml</w:t>
            </w:r>
            <w:r w:rsidRPr="004509B9">
              <w:rPr>
                <w:rFonts w:eastAsia="Times New Roman"/>
                <w:position w:val="9"/>
                <w:sz w:val="13"/>
                <w:szCs w:val="13"/>
                <w:lang w:val="lt-LT" w:eastAsia="en-US"/>
              </w:rPr>
              <w:t>a</w:t>
            </w:r>
          </w:p>
        </w:tc>
        <w:tc>
          <w:tcPr>
            <w:tcW w:w="1457" w:type="dxa"/>
            <w:tcBorders>
              <w:top w:val="single" w:sz="4" w:space="0" w:color="000000"/>
              <w:left w:val="single" w:sz="4" w:space="0" w:color="000000"/>
              <w:bottom w:val="single" w:sz="4" w:space="0" w:color="000000"/>
              <w:right w:val="single" w:sz="4" w:space="0" w:color="000000"/>
            </w:tcBorders>
            <w:hideMark/>
          </w:tcPr>
          <w:p w14:paraId="1E7FA2EF" w14:textId="77777777" w:rsidR="007179A6" w:rsidRPr="004509B9" w:rsidRDefault="00903C3A" w:rsidP="007179A6">
            <w:pPr>
              <w:tabs>
                <w:tab w:val="left" w:pos="567"/>
              </w:tabs>
              <w:spacing w:before="6"/>
              <w:ind w:left="102" w:right="769"/>
              <w:rPr>
                <w:rFonts w:eastAsia="Times New Roman"/>
                <w:sz w:val="20"/>
                <w:lang w:val="lt-LT" w:eastAsia="en-US"/>
              </w:rPr>
            </w:pPr>
            <w:r w:rsidRPr="004509B9">
              <w:rPr>
                <w:rFonts w:eastAsia="Times New Roman"/>
                <w:spacing w:val="1"/>
                <w:sz w:val="20"/>
                <w:lang w:val="lt-LT" w:eastAsia="en-US"/>
              </w:rPr>
              <w:t>45,</w:t>
            </w:r>
            <w:r w:rsidR="007179A6" w:rsidRPr="004509B9">
              <w:rPr>
                <w:rFonts w:eastAsia="Times New Roman"/>
                <w:spacing w:val="1"/>
                <w:sz w:val="20"/>
                <w:lang w:val="lt-LT" w:eastAsia="en-US"/>
              </w:rPr>
              <w:t>0% (59)</w:t>
            </w:r>
          </w:p>
        </w:tc>
        <w:tc>
          <w:tcPr>
            <w:tcW w:w="1085" w:type="dxa"/>
            <w:tcBorders>
              <w:top w:val="single" w:sz="4" w:space="0" w:color="000000"/>
              <w:left w:val="single" w:sz="4" w:space="0" w:color="000000"/>
              <w:bottom w:val="single" w:sz="4" w:space="0" w:color="000000"/>
              <w:right w:val="single" w:sz="4" w:space="0" w:color="000000"/>
            </w:tcBorders>
            <w:hideMark/>
          </w:tcPr>
          <w:p w14:paraId="219A6C3D" w14:textId="77777777" w:rsidR="007179A6" w:rsidRPr="004509B9" w:rsidRDefault="00903C3A" w:rsidP="007179A6">
            <w:pPr>
              <w:tabs>
                <w:tab w:val="left" w:pos="567"/>
              </w:tabs>
              <w:spacing w:before="6"/>
              <w:ind w:left="102" w:right="174"/>
              <w:rPr>
                <w:rFonts w:eastAsia="Times New Roman"/>
                <w:sz w:val="20"/>
                <w:lang w:val="lt-LT" w:eastAsia="en-US"/>
              </w:rPr>
            </w:pPr>
            <w:r w:rsidRPr="004509B9">
              <w:rPr>
                <w:rFonts w:eastAsia="Times New Roman"/>
                <w:spacing w:val="1"/>
                <w:sz w:val="20"/>
                <w:lang w:val="lt-LT" w:eastAsia="en-US"/>
              </w:rPr>
              <w:t>11,</w:t>
            </w:r>
            <w:r w:rsidR="007179A6" w:rsidRPr="004509B9">
              <w:rPr>
                <w:rFonts w:eastAsia="Times New Roman"/>
                <w:spacing w:val="1"/>
                <w:sz w:val="20"/>
                <w:lang w:val="lt-LT" w:eastAsia="en-US"/>
              </w:rPr>
              <w:t>3% (14)</w:t>
            </w:r>
          </w:p>
        </w:tc>
        <w:tc>
          <w:tcPr>
            <w:tcW w:w="1337" w:type="dxa"/>
            <w:tcBorders>
              <w:top w:val="single" w:sz="4" w:space="0" w:color="000000"/>
              <w:left w:val="single" w:sz="4" w:space="0" w:color="000000"/>
              <w:bottom w:val="single" w:sz="4" w:space="0" w:color="000000"/>
              <w:right w:val="single" w:sz="4" w:space="0" w:color="000000"/>
            </w:tcBorders>
            <w:hideMark/>
          </w:tcPr>
          <w:p w14:paraId="3C372997" w14:textId="77777777" w:rsidR="007179A6" w:rsidRPr="004509B9" w:rsidRDefault="00903C3A" w:rsidP="007179A6">
            <w:pPr>
              <w:tabs>
                <w:tab w:val="left" w:pos="567"/>
              </w:tabs>
              <w:spacing w:before="6" w:line="226" w:lineRule="exact"/>
              <w:ind w:left="102" w:right="-20"/>
              <w:rPr>
                <w:rFonts w:eastAsia="Times New Roman"/>
                <w:sz w:val="20"/>
                <w:lang w:val="lt-LT" w:eastAsia="en-US"/>
              </w:rPr>
            </w:pPr>
            <w:r w:rsidRPr="004509B9">
              <w:rPr>
                <w:rFonts w:eastAsia="Times New Roman"/>
                <w:spacing w:val="1"/>
                <w:position w:val="-1"/>
                <w:sz w:val="20"/>
                <w:lang w:val="lt-LT" w:eastAsia="en-US"/>
              </w:rPr>
              <w:t>33,</w:t>
            </w:r>
            <w:r w:rsidR="007179A6" w:rsidRPr="004509B9">
              <w:rPr>
                <w:rFonts w:eastAsia="Times New Roman"/>
                <w:spacing w:val="1"/>
                <w:position w:val="-1"/>
                <w:sz w:val="20"/>
                <w:lang w:val="lt-LT" w:eastAsia="en-US"/>
              </w:rPr>
              <w:t>7%</w:t>
            </w:r>
          </w:p>
          <w:p w14:paraId="2B435FFF" w14:textId="77777777" w:rsidR="007179A6" w:rsidRPr="004509B9" w:rsidRDefault="00903C3A" w:rsidP="00903C3A">
            <w:pPr>
              <w:tabs>
                <w:tab w:val="left" w:pos="567"/>
              </w:tabs>
              <w:spacing w:line="235" w:lineRule="exact"/>
              <w:ind w:left="102" w:right="-20"/>
              <w:rPr>
                <w:rFonts w:eastAsia="Times New Roman"/>
                <w:sz w:val="13"/>
                <w:szCs w:val="13"/>
                <w:lang w:val="lt-LT" w:eastAsia="en-US"/>
              </w:rPr>
            </w:pPr>
            <w:r w:rsidRPr="004509B9">
              <w:rPr>
                <w:rFonts w:eastAsia="Times New Roman"/>
                <w:spacing w:val="1"/>
                <w:sz w:val="20"/>
                <w:lang w:val="lt-LT" w:eastAsia="en-US"/>
              </w:rPr>
              <w:t>(23,</w:t>
            </w:r>
            <w:r w:rsidR="007179A6" w:rsidRPr="004509B9">
              <w:rPr>
                <w:rFonts w:eastAsia="Times New Roman"/>
                <w:spacing w:val="1"/>
                <w:sz w:val="20"/>
                <w:lang w:val="lt-LT" w:eastAsia="en-US"/>
              </w:rPr>
              <w:t>4%</w:t>
            </w:r>
            <w:r w:rsidR="007179A6" w:rsidRPr="004509B9">
              <w:rPr>
                <w:rFonts w:eastAsia="Times New Roman"/>
                <w:sz w:val="20"/>
                <w:lang w:val="lt-LT" w:eastAsia="en-US"/>
              </w:rPr>
              <w:t>;</w:t>
            </w:r>
            <w:r w:rsidR="007179A6" w:rsidRPr="004509B9">
              <w:rPr>
                <w:rFonts w:eastAsia="Times New Roman"/>
                <w:spacing w:val="-5"/>
                <w:sz w:val="20"/>
                <w:lang w:val="lt-LT" w:eastAsia="en-US"/>
              </w:rPr>
              <w:t xml:space="preserve"> </w:t>
            </w:r>
            <w:r w:rsidR="007179A6" w:rsidRPr="004509B9">
              <w:rPr>
                <w:rFonts w:eastAsia="Times New Roman"/>
                <w:spacing w:val="1"/>
                <w:sz w:val="20"/>
                <w:lang w:val="lt-LT" w:eastAsia="en-US"/>
              </w:rPr>
              <w:t>44</w:t>
            </w:r>
            <w:r w:rsidRPr="004509B9">
              <w:rPr>
                <w:rFonts w:eastAsia="Times New Roman"/>
                <w:spacing w:val="1"/>
                <w:sz w:val="20"/>
                <w:lang w:val="lt-LT" w:eastAsia="en-US"/>
              </w:rPr>
              <w:t>,</w:t>
            </w:r>
            <w:r w:rsidR="007179A6" w:rsidRPr="004509B9">
              <w:rPr>
                <w:rFonts w:eastAsia="Times New Roman"/>
                <w:spacing w:val="1"/>
                <w:sz w:val="20"/>
                <w:lang w:val="lt-LT" w:eastAsia="en-US"/>
              </w:rPr>
              <w:t>1%)</w:t>
            </w:r>
            <w:r w:rsidR="007179A6" w:rsidRPr="004509B9">
              <w:rPr>
                <w:rFonts w:eastAsia="Times New Roman"/>
                <w:position w:val="9"/>
                <w:sz w:val="13"/>
                <w:szCs w:val="13"/>
                <w:lang w:val="lt-LT" w:eastAsia="en-US"/>
              </w:rPr>
              <w:t>c</w:t>
            </w:r>
          </w:p>
        </w:tc>
        <w:tc>
          <w:tcPr>
            <w:tcW w:w="1356" w:type="dxa"/>
            <w:tcBorders>
              <w:top w:val="single" w:sz="4" w:space="0" w:color="000000"/>
              <w:left w:val="single" w:sz="4" w:space="0" w:color="000000"/>
              <w:bottom w:val="single" w:sz="4" w:space="0" w:color="000000"/>
              <w:right w:val="single" w:sz="4" w:space="0" w:color="000000"/>
            </w:tcBorders>
            <w:hideMark/>
          </w:tcPr>
          <w:p w14:paraId="52C680D1" w14:textId="77777777" w:rsidR="007179A6" w:rsidRPr="004509B9" w:rsidRDefault="007179A6" w:rsidP="00903C3A">
            <w:pPr>
              <w:tabs>
                <w:tab w:val="left" w:pos="931"/>
              </w:tabs>
              <w:spacing w:before="6"/>
              <w:ind w:left="102" w:right="425"/>
              <w:rPr>
                <w:rFonts w:eastAsia="Times New Roman"/>
                <w:sz w:val="20"/>
                <w:lang w:val="lt-LT" w:eastAsia="en-US"/>
              </w:rPr>
            </w:pPr>
            <w:r w:rsidRPr="004509B9">
              <w:rPr>
                <w:rFonts w:eastAsia="Times New Roman"/>
                <w:spacing w:val="1"/>
                <w:sz w:val="20"/>
                <w:lang w:val="lt-LT" w:eastAsia="en-US"/>
              </w:rPr>
              <w:t>38</w:t>
            </w:r>
            <w:r w:rsidR="00903C3A" w:rsidRPr="004509B9">
              <w:rPr>
                <w:rFonts w:eastAsia="Times New Roman"/>
                <w:spacing w:val="1"/>
                <w:sz w:val="20"/>
                <w:lang w:val="lt-LT" w:eastAsia="en-US"/>
              </w:rPr>
              <w:t>,</w:t>
            </w:r>
            <w:r w:rsidRPr="004509B9">
              <w:rPr>
                <w:rFonts w:eastAsia="Times New Roman"/>
                <w:spacing w:val="1"/>
                <w:sz w:val="20"/>
                <w:lang w:val="lt-LT" w:eastAsia="en-US"/>
              </w:rPr>
              <w:t>9</w:t>
            </w:r>
            <w:r w:rsidR="00903C3A" w:rsidRPr="004509B9">
              <w:rPr>
                <w:rFonts w:eastAsia="Times New Roman"/>
                <w:spacing w:val="1"/>
                <w:sz w:val="20"/>
                <w:lang w:val="lt-LT" w:eastAsia="en-US"/>
              </w:rPr>
              <w:t xml:space="preserve"> % </w:t>
            </w:r>
            <w:r w:rsidRPr="004509B9">
              <w:rPr>
                <w:rFonts w:eastAsia="Times New Roman"/>
                <w:spacing w:val="1"/>
                <w:sz w:val="20"/>
                <w:lang w:val="lt-LT" w:eastAsia="en-US"/>
              </w:rPr>
              <w:t>(51)</w:t>
            </w:r>
          </w:p>
        </w:tc>
        <w:tc>
          <w:tcPr>
            <w:tcW w:w="1134" w:type="dxa"/>
            <w:tcBorders>
              <w:top w:val="single" w:sz="4" w:space="0" w:color="000000"/>
              <w:left w:val="single" w:sz="4" w:space="0" w:color="000000"/>
              <w:bottom w:val="single" w:sz="4" w:space="0" w:color="000000"/>
              <w:right w:val="single" w:sz="4" w:space="0" w:color="000000"/>
            </w:tcBorders>
            <w:hideMark/>
          </w:tcPr>
          <w:p w14:paraId="2448C132" w14:textId="77777777" w:rsidR="007179A6" w:rsidRPr="004509B9" w:rsidRDefault="00903C3A" w:rsidP="007179A6">
            <w:pPr>
              <w:tabs>
                <w:tab w:val="left" w:pos="567"/>
              </w:tabs>
              <w:spacing w:before="6"/>
              <w:ind w:left="100" w:right="267"/>
              <w:rPr>
                <w:rFonts w:eastAsia="Times New Roman"/>
                <w:sz w:val="20"/>
                <w:lang w:val="lt-LT" w:eastAsia="en-US"/>
              </w:rPr>
            </w:pPr>
            <w:r w:rsidRPr="004509B9">
              <w:rPr>
                <w:rFonts w:eastAsia="Times New Roman"/>
                <w:spacing w:val="1"/>
                <w:sz w:val="20"/>
                <w:lang w:val="lt-LT" w:eastAsia="en-US"/>
              </w:rPr>
              <w:t>8,</w:t>
            </w:r>
            <w:r w:rsidR="007179A6" w:rsidRPr="004509B9">
              <w:rPr>
                <w:rFonts w:eastAsia="Times New Roman"/>
                <w:spacing w:val="1"/>
                <w:sz w:val="20"/>
                <w:lang w:val="lt-LT" w:eastAsia="en-US"/>
              </w:rPr>
              <w:t>9% (11)</w:t>
            </w:r>
          </w:p>
        </w:tc>
        <w:tc>
          <w:tcPr>
            <w:tcW w:w="1148" w:type="dxa"/>
            <w:tcBorders>
              <w:top w:val="single" w:sz="4" w:space="0" w:color="000000"/>
              <w:left w:val="single" w:sz="4" w:space="0" w:color="000000"/>
              <w:bottom w:val="single" w:sz="4" w:space="0" w:color="000000"/>
              <w:right w:val="single" w:sz="4" w:space="0" w:color="000000"/>
            </w:tcBorders>
            <w:hideMark/>
          </w:tcPr>
          <w:p w14:paraId="16286AE4" w14:textId="77777777" w:rsidR="007179A6" w:rsidRPr="004509B9" w:rsidRDefault="00903C3A" w:rsidP="007179A6">
            <w:pPr>
              <w:tabs>
                <w:tab w:val="left" w:pos="567"/>
              </w:tabs>
              <w:spacing w:before="6" w:line="226" w:lineRule="exact"/>
              <w:ind w:left="102" w:right="-20"/>
              <w:rPr>
                <w:rFonts w:eastAsia="Times New Roman"/>
                <w:sz w:val="20"/>
                <w:lang w:val="lt-LT" w:eastAsia="en-US"/>
              </w:rPr>
            </w:pPr>
            <w:r w:rsidRPr="004509B9">
              <w:rPr>
                <w:rFonts w:eastAsia="Times New Roman"/>
                <w:spacing w:val="1"/>
                <w:position w:val="-1"/>
                <w:sz w:val="20"/>
                <w:lang w:val="lt-LT" w:eastAsia="en-US"/>
              </w:rPr>
              <w:t>30,</w:t>
            </w:r>
            <w:r w:rsidR="007179A6" w:rsidRPr="004509B9">
              <w:rPr>
                <w:rFonts w:eastAsia="Times New Roman"/>
                <w:spacing w:val="1"/>
                <w:position w:val="-1"/>
                <w:sz w:val="20"/>
                <w:lang w:val="lt-LT" w:eastAsia="en-US"/>
              </w:rPr>
              <w:t>1%</w:t>
            </w:r>
          </w:p>
          <w:p w14:paraId="27996A7F" w14:textId="77777777" w:rsidR="007179A6" w:rsidRPr="004509B9" w:rsidRDefault="007179A6" w:rsidP="00903C3A">
            <w:pPr>
              <w:tabs>
                <w:tab w:val="left" w:pos="567"/>
              </w:tabs>
              <w:spacing w:line="235" w:lineRule="exact"/>
              <w:ind w:left="102" w:right="-20"/>
              <w:rPr>
                <w:rFonts w:eastAsia="Times New Roman"/>
                <w:sz w:val="13"/>
                <w:szCs w:val="13"/>
                <w:lang w:val="lt-LT" w:eastAsia="en-US"/>
              </w:rPr>
            </w:pPr>
            <w:r w:rsidRPr="004509B9">
              <w:rPr>
                <w:rFonts w:eastAsia="Times New Roman"/>
                <w:sz w:val="20"/>
                <w:lang w:val="lt-LT" w:eastAsia="en-US"/>
              </w:rPr>
              <w:t>(20</w:t>
            </w:r>
            <w:r w:rsidR="00903C3A" w:rsidRPr="004509B9">
              <w:rPr>
                <w:rFonts w:eastAsia="Times New Roman"/>
                <w:sz w:val="20"/>
                <w:lang w:val="lt-LT" w:eastAsia="en-US"/>
              </w:rPr>
              <w:t>,</w:t>
            </w:r>
            <w:r w:rsidRPr="004509B9">
              <w:rPr>
                <w:rFonts w:eastAsia="Times New Roman"/>
                <w:sz w:val="20"/>
                <w:lang w:val="lt-LT" w:eastAsia="en-US"/>
              </w:rPr>
              <w:t>1;</w:t>
            </w:r>
            <w:r w:rsidRPr="004509B9">
              <w:rPr>
                <w:rFonts w:eastAsia="Times New Roman"/>
                <w:spacing w:val="-4"/>
                <w:sz w:val="20"/>
                <w:lang w:val="lt-LT" w:eastAsia="en-US"/>
              </w:rPr>
              <w:t xml:space="preserve"> </w:t>
            </w:r>
            <w:r w:rsidR="00903C3A" w:rsidRPr="004509B9">
              <w:rPr>
                <w:rFonts w:eastAsia="Times New Roman"/>
                <w:sz w:val="20"/>
                <w:lang w:val="lt-LT" w:eastAsia="en-US"/>
              </w:rPr>
              <w:t>40,</w:t>
            </w:r>
            <w:r w:rsidRPr="004509B9">
              <w:rPr>
                <w:rFonts w:eastAsia="Times New Roman"/>
                <w:sz w:val="20"/>
                <w:lang w:val="lt-LT" w:eastAsia="en-US"/>
              </w:rPr>
              <w:t>0</w:t>
            </w:r>
            <w:r w:rsidRPr="004509B9">
              <w:rPr>
                <w:rFonts w:eastAsia="Times New Roman"/>
                <w:spacing w:val="1"/>
                <w:sz w:val="20"/>
                <w:lang w:val="lt-LT" w:eastAsia="en-US"/>
              </w:rPr>
              <w:t>)</w:t>
            </w:r>
            <w:r w:rsidRPr="004509B9">
              <w:rPr>
                <w:rFonts w:eastAsia="Times New Roman"/>
                <w:position w:val="9"/>
                <w:sz w:val="13"/>
                <w:szCs w:val="13"/>
                <w:lang w:val="lt-LT" w:eastAsia="en-US"/>
              </w:rPr>
              <w:t>c</w:t>
            </w:r>
          </w:p>
        </w:tc>
      </w:tr>
      <w:tr w:rsidR="007179A6" w:rsidRPr="00C75EC3" w14:paraId="52FE45AA" w14:textId="77777777" w:rsidTr="00903C3A">
        <w:trPr>
          <w:trHeight w:hRule="exact" w:val="991"/>
        </w:trPr>
        <w:tc>
          <w:tcPr>
            <w:tcW w:w="1759" w:type="dxa"/>
            <w:tcBorders>
              <w:top w:val="single" w:sz="4" w:space="0" w:color="000000"/>
              <w:left w:val="single" w:sz="4" w:space="0" w:color="000000"/>
              <w:bottom w:val="single" w:sz="4" w:space="0" w:color="000000"/>
              <w:right w:val="single" w:sz="4" w:space="0" w:color="000000"/>
            </w:tcBorders>
            <w:hideMark/>
          </w:tcPr>
          <w:p w14:paraId="1EF50140" w14:textId="77777777" w:rsidR="007179A6" w:rsidRPr="004509B9" w:rsidRDefault="007179A6" w:rsidP="00903C3A">
            <w:pPr>
              <w:tabs>
                <w:tab w:val="left" w:pos="567"/>
              </w:tabs>
              <w:spacing w:before="9" w:line="230" w:lineRule="exact"/>
              <w:ind w:left="102" w:right="102"/>
              <w:rPr>
                <w:rFonts w:eastAsia="Times New Roman"/>
                <w:sz w:val="13"/>
                <w:szCs w:val="13"/>
                <w:lang w:val="lt-LT" w:eastAsia="en-US"/>
              </w:rPr>
            </w:pPr>
            <w:r w:rsidRPr="004509B9">
              <w:rPr>
                <w:rFonts w:eastAsia="Times New Roman"/>
                <w:sz w:val="20"/>
                <w:lang w:val="lt-LT" w:eastAsia="en-US"/>
              </w:rPr>
              <w:t>CD4+</w:t>
            </w:r>
            <w:r w:rsidRPr="004509B9">
              <w:rPr>
                <w:rFonts w:eastAsia="Times New Roman"/>
                <w:spacing w:val="-4"/>
                <w:sz w:val="20"/>
                <w:lang w:val="lt-LT" w:eastAsia="en-US"/>
              </w:rPr>
              <w:t xml:space="preserve"> </w:t>
            </w:r>
            <w:r w:rsidR="00903C3A" w:rsidRPr="004509B9">
              <w:rPr>
                <w:rFonts w:eastAsia="Times New Roman"/>
                <w:spacing w:val="-4"/>
                <w:sz w:val="20"/>
                <w:lang w:val="lt-LT" w:eastAsia="en-US"/>
              </w:rPr>
              <w:t>ląstelių kiekio vidutinis</w:t>
            </w:r>
            <w:r w:rsidRPr="004509B9">
              <w:rPr>
                <w:rFonts w:eastAsia="Times New Roman"/>
                <w:spacing w:val="-4"/>
                <w:sz w:val="20"/>
                <w:lang w:val="lt-LT" w:eastAsia="en-US"/>
              </w:rPr>
              <w:t xml:space="preserve"> </w:t>
            </w:r>
            <w:r w:rsidR="00903C3A" w:rsidRPr="004509B9">
              <w:rPr>
                <w:rFonts w:eastAsia="Times New Roman"/>
                <w:spacing w:val="-4"/>
                <w:sz w:val="20"/>
                <w:lang w:val="lt-LT" w:eastAsia="en-US"/>
              </w:rPr>
              <w:t>pokytis palyginti su pradiniu</w:t>
            </w:r>
            <w:r w:rsidRPr="004509B9">
              <w:rPr>
                <w:rFonts w:eastAsia="Times New Roman"/>
                <w:spacing w:val="-7"/>
                <w:sz w:val="20"/>
                <w:lang w:val="lt-LT" w:eastAsia="en-US"/>
              </w:rPr>
              <w:t xml:space="preserve"> </w:t>
            </w:r>
            <w:r w:rsidRPr="004509B9">
              <w:rPr>
                <w:rFonts w:eastAsia="Times New Roman"/>
                <w:sz w:val="20"/>
                <w:lang w:val="lt-LT" w:eastAsia="en-US"/>
              </w:rPr>
              <w:t>(x</w:t>
            </w:r>
            <w:r w:rsidRPr="004509B9">
              <w:rPr>
                <w:rFonts w:eastAsia="Times New Roman"/>
                <w:spacing w:val="-2"/>
                <w:sz w:val="20"/>
                <w:lang w:val="lt-LT" w:eastAsia="en-US"/>
              </w:rPr>
              <w:t xml:space="preserve"> </w:t>
            </w:r>
            <w:r w:rsidRPr="004509B9">
              <w:rPr>
                <w:rFonts w:eastAsia="Times New Roman"/>
                <w:sz w:val="20"/>
                <w:lang w:val="lt-LT" w:eastAsia="en-US"/>
              </w:rPr>
              <w:t>1</w:t>
            </w:r>
            <w:r w:rsidRPr="004509B9">
              <w:rPr>
                <w:rFonts w:eastAsia="Times New Roman"/>
                <w:spacing w:val="1"/>
                <w:sz w:val="20"/>
                <w:lang w:val="lt-LT" w:eastAsia="en-US"/>
              </w:rPr>
              <w:t>0</w:t>
            </w:r>
            <w:r w:rsidRPr="004509B9">
              <w:rPr>
                <w:rFonts w:eastAsia="Times New Roman"/>
                <w:position w:val="9"/>
                <w:sz w:val="13"/>
                <w:szCs w:val="13"/>
                <w:lang w:val="lt-LT" w:eastAsia="en-US"/>
              </w:rPr>
              <w:t>6</w:t>
            </w:r>
            <w:r w:rsidRPr="004509B9">
              <w:rPr>
                <w:rFonts w:eastAsia="Times New Roman"/>
                <w:sz w:val="20"/>
                <w:lang w:val="lt-LT" w:eastAsia="en-US"/>
              </w:rPr>
              <w:t>/l</w:t>
            </w:r>
            <w:r w:rsidRPr="004509B9">
              <w:rPr>
                <w:rFonts w:eastAsia="Times New Roman"/>
                <w:spacing w:val="1"/>
                <w:sz w:val="20"/>
                <w:lang w:val="lt-LT" w:eastAsia="en-US"/>
              </w:rPr>
              <w:t>)</w:t>
            </w:r>
            <w:r w:rsidRPr="004509B9">
              <w:rPr>
                <w:rFonts w:eastAsia="Times New Roman"/>
                <w:position w:val="9"/>
                <w:sz w:val="13"/>
                <w:szCs w:val="13"/>
                <w:lang w:val="lt-LT" w:eastAsia="en-US"/>
              </w:rPr>
              <w:t>b</w:t>
            </w:r>
          </w:p>
        </w:tc>
        <w:tc>
          <w:tcPr>
            <w:tcW w:w="1457" w:type="dxa"/>
            <w:tcBorders>
              <w:top w:val="single" w:sz="4" w:space="0" w:color="000000"/>
              <w:left w:val="single" w:sz="4" w:space="0" w:color="000000"/>
              <w:bottom w:val="single" w:sz="4" w:space="0" w:color="000000"/>
              <w:right w:val="single" w:sz="4" w:space="0" w:color="000000"/>
            </w:tcBorders>
            <w:hideMark/>
          </w:tcPr>
          <w:p w14:paraId="383DA8B3" w14:textId="77777777" w:rsidR="007179A6" w:rsidRPr="004509B9" w:rsidRDefault="007179A6" w:rsidP="007179A6">
            <w:pPr>
              <w:tabs>
                <w:tab w:val="left" w:pos="567"/>
              </w:tabs>
              <w:spacing w:before="6"/>
              <w:ind w:left="102" w:right="-20"/>
              <w:rPr>
                <w:rFonts w:eastAsia="Times New Roman"/>
                <w:sz w:val="20"/>
                <w:lang w:val="lt-LT" w:eastAsia="en-US"/>
              </w:rPr>
            </w:pPr>
            <w:r w:rsidRPr="004509B9">
              <w:rPr>
                <w:rFonts w:eastAsia="Times New Roman"/>
                <w:spacing w:val="1"/>
                <w:sz w:val="20"/>
                <w:lang w:val="lt-LT" w:eastAsia="en-US"/>
              </w:rPr>
              <w:t>103</w:t>
            </w:r>
          </w:p>
        </w:tc>
        <w:tc>
          <w:tcPr>
            <w:tcW w:w="1085" w:type="dxa"/>
            <w:tcBorders>
              <w:top w:val="single" w:sz="4" w:space="0" w:color="000000"/>
              <w:left w:val="single" w:sz="4" w:space="0" w:color="000000"/>
              <w:bottom w:val="single" w:sz="4" w:space="0" w:color="000000"/>
              <w:right w:val="single" w:sz="4" w:space="0" w:color="000000"/>
            </w:tcBorders>
            <w:hideMark/>
          </w:tcPr>
          <w:p w14:paraId="307DBA90" w14:textId="77777777" w:rsidR="007179A6" w:rsidRPr="004509B9" w:rsidRDefault="007179A6" w:rsidP="007179A6">
            <w:pPr>
              <w:tabs>
                <w:tab w:val="left" w:pos="567"/>
              </w:tabs>
              <w:spacing w:before="6"/>
              <w:ind w:left="102" w:right="-20"/>
              <w:rPr>
                <w:rFonts w:eastAsia="Times New Roman"/>
                <w:sz w:val="20"/>
                <w:lang w:val="lt-LT" w:eastAsia="en-US"/>
              </w:rPr>
            </w:pPr>
            <w:r w:rsidRPr="004509B9">
              <w:rPr>
                <w:rFonts w:eastAsia="Times New Roman"/>
                <w:spacing w:val="1"/>
                <w:sz w:val="20"/>
                <w:lang w:val="lt-LT" w:eastAsia="en-US"/>
              </w:rPr>
              <w:t>17</w:t>
            </w:r>
          </w:p>
        </w:tc>
        <w:tc>
          <w:tcPr>
            <w:tcW w:w="1337" w:type="dxa"/>
            <w:tcBorders>
              <w:top w:val="single" w:sz="4" w:space="0" w:color="000000"/>
              <w:left w:val="single" w:sz="4" w:space="0" w:color="000000"/>
              <w:bottom w:val="single" w:sz="4" w:space="0" w:color="000000"/>
              <w:right w:val="single" w:sz="4" w:space="0" w:color="000000"/>
            </w:tcBorders>
            <w:hideMark/>
          </w:tcPr>
          <w:p w14:paraId="626AF07D" w14:textId="77777777" w:rsidR="007179A6" w:rsidRPr="004509B9" w:rsidRDefault="007179A6" w:rsidP="007179A6">
            <w:pPr>
              <w:tabs>
                <w:tab w:val="left" w:pos="567"/>
              </w:tabs>
              <w:spacing w:before="6" w:line="226" w:lineRule="exact"/>
              <w:ind w:left="102" w:right="-20"/>
              <w:rPr>
                <w:rFonts w:eastAsia="Times New Roman"/>
                <w:sz w:val="20"/>
                <w:lang w:val="lt-LT" w:eastAsia="en-US"/>
              </w:rPr>
            </w:pPr>
            <w:r w:rsidRPr="004509B9">
              <w:rPr>
                <w:rFonts w:eastAsia="Times New Roman"/>
                <w:spacing w:val="1"/>
                <w:position w:val="-1"/>
                <w:sz w:val="20"/>
                <w:lang w:val="lt-LT" w:eastAsia="en-US"/>
              </w:rPr>
              <w:t>86</w:t>
            </w:r>
          </w:p>
          <w:p w14:paraId="3B98E4DF" w14:textId="77777777" w:rsidR="007179A6" w:rsidRPr="004509B9" w:rsidRDefault="007179A6" w:rsidP="007179A6">
            <w:pPr>
              <w:tabs>
                <w:tab w:val="left" w:pos="567"/>
              </w:tabs>
              <w:spacing w:line="235" w:lineRule="exact"/>
              <w:ind w:left="102" w:right="-20"/>
              <w:rPr>
                <w:rFonts w:eastAsia="Times New Roman"/>
                <w:sz w:val="13"/>
                <w:szCs w:val="13"/>
                <w:lang w:val="lt-LT" w:eastAsia="en-US"/>
              </w:rPr>
            </w:pPr>
            <w:r w:rsidRPr="004509B9">
              <w:rPr>
                <w:rFonts w:eastAsia="Times New Roman"/>
                <w:spacing w:val="1"/>
                <w:sz w:val="20"/>
                <w:lang w:val="lt-LT" w:eastAsia="en-US"/>
              </w:rPr>
              <w:t>(57</w:t>
            </w:r>
            <w:r w:rsidRPr="004509B9">
              <w:rPr>
                <w:rFonts w:eastAsia="Times New Roman"/>
                <w:sz w:val="20"/>
                <w:lang w:val="lt-LT" w:eastAsia="en-US"/>
              </w:rPr>
              <w:t>;</w:t>
            </w:r>
            <w:r w:rsidRPr="004509B9">
              <w:rPr>
                <w:rFonts w:eastAsia="Times New Roman"/>
                <w:spacing w:val="-2"/>
                <w:sz w:val="20"/>
                <w:lang w:val="lt-LT" w:eastAsia="en-US"/>
              </w:rPr>
              <w:t xml:space="preserve"> </w:t>
            </w:r>
            <w:r w:rsidRPr="004509B9">
              <w:rPr>
                <w:rFonts w:eastAsia="Times New Roman"/>
                <w:spacing w:val="1"/>
                <w:sz w:val="20"/>
                <w:lang w:val="lt-LT" w:eastAsia="en-US"/>
              </w:rPr>
              <w:t>114)</w:t>
            </w:r>
            <w:r w:rsidRPr="004509B9">
              <w:rPr>
                <w:rFonts w:eastAsia="Times New Roman"/>
                <w:position w:val="9"/>
                <w:sz w:val="13"/>
                <w:szCs w:val="13"/>
                <w:lang w:val="lt-LT" w:eastAsia="en-US"/>
              </w:rPr>
              <w:t>c</w:t>
            </w:r>
          </w:p>
        </w:tc>
        <w:tc>
          <w:tcPr>
            <w:tcW w:w="1356" w:type="dxa"/>
            <w:tcBorders>
              <w:top w:val="single" w:sz="4" w:space="0" w:color="000000"/>
              <w:left w:val="single" w:sz="4" w:space="0" w:color="000000"/>
              <w:bottom w:val="single" w:sz="4" w:space="0" w:color="000000"/>
              <w:right w:val="single" w:sz="4" w:space="0" w:color="000000"/>
            </w:tcBorders>
            <w:hideMark/>
          </w:tcPr>
          <w:p w14:paraId="73910358" w14:textId="77777777" w:rsidR="007179A6" w:rsidRPr="004509B9" w:rsidRDefault="007179A6" w:rsidP="007179A6">
            <w:pPr>
              <w:tabs>
                <w:tab w:val="left" w:pos="567"/>
              </w:tabs>
              <w:spacing w:before="6"/>
              <w:ind w:left="102" w:right="-20"/>
              <w:rPr>
                <w:rFonts w:eastAsia="Times New Roman"/>
                <w:sz w:val="20"/>
                <w:lang w:val="lt-LT" w:eastAsia="en-US"/>
              </w:rPr>
            </w:pPr>
            <w:r w:rsidRPr="004509B9">
              <w:rPr>
                <w:rFonts w:eastAsia="Times New Roman"/>
                <w:spacing w:val="1"/>
                <w:sz w:val="20"/>
                <w:lang w:val="lt-LT" w:eastAsia="en-US"/>
              </w:rPr>
              <w:t>133</w:t>
            </w:r>
          </w:p>
        </w:tc>
        <w:tc>
          <w:tcPr>
            <w:tcW w:w="1134" w:type="dxa"/>
            <w:tcBorders>
              <w:top w:val="single" w:sz="4" w:space="0" w:color="000000"/>
              <w:left w:val="single" w:sz="4" w:space="0" w:color="000000"/>
              <w:bottom w:val="single" w:sz="4" w:space="0" w:color="000000"/>
              <w:right w:val="single" w:sz="4" w:space="0" w:color="000000"/>
            </w:tcBorders>
            <w:hideMark/>
          </w:tcPr>
          <w:p w14:paraId="1D3A39FC" w14:textId="77777777" w:rsidR="007179A6" w:rsidRPr="004509B9" w:rsidRDefault="007179A6" w:rsidP="007179A6">
            <w:pPr>
              <w:tabs>
                <w:tab w:val="left" w:pos="567"/>
              </w:tabs>
              <w:spacing w:before="6"/>
              <w:ind w:left="100" w:right="-20"/>
              <w:rPr>
                <w:rFonts w:eastAsia="Times New Roman"/>
                <w:sz w:val="20"/>
                <w:lang w:val="lt-LT" w:eastAsia="en-US"/>
              </w:rPr>
            </w:pPr>
            <w:r w:rsidRPr="004509B9">
              <w:rPr>
                <w:rFonts w:eastAsia="Times New Roman"/>
                <w:spacing w:val="1"/>
                <w:sz w:val="20"/>
                <w:lang w:val="lt-LT" w:eastAsia="en-US"/>
              </w:rPr>
              <w:t>15</w:t>
            </w:r>
          </w:p>
        </w:tc>
        <w:tc>
          <w:tcPr>
            <w:tcW w:w="1148" w:type="dxa"/>
            <w:tcBorders>
              <w:top w:val="single" w:sz="4" w:space="0" w:color="000000"/>
              <w:left w:val="single" w:sz="4" w:space="0" w:color="000000"/>
              <w:bottom w:val="single" w:sz="4" w:space="0" w:color="000000"/>
              <w:right w:val="single" w:sz="4" w:space="0" w:color="000000"/>
            </w:tcBorders>
            <w:hideMark/>
          </w:tcPr>
          <w:p w14:paraId="5DCF4B7E" w14:textId="77777777" w:rsidR="007179A6" w:rsidRPr="004509B9" w:rsidRDefault="007179A6" w:rsidP="007179A6">
            <w:pPr>
              <w:tabs>
                <w:tab w:val="left" w:pos="567"/>
              </w:tabs>
              <w:spacing w:before="6" w:line="226" w:lineRule="exact"/>
              <w:ind w:left="102" w:right="-20"/>
              <w:rPr>
                <w:rFonts w:eastAsia="Times New Roman"/>
                <w:sz w:val="20"/>
                <w:lang w:val="lt-LT" w:eastAsia="en-US"/>
              </w:rPr>
            </w:pPr>
            <w:r w:rsidRPr="004509B9">
              <w:rPr>
                <w:rFonts w:eastAsia="Times New Roman"/>
                <w:spacing w:val="1"/>
                <w:position w:val="-1"/>
                <w:sz w:val="20"/>
                <w:lang w:val="lt-LT" w:eastAsia="en-US"/>
              </w:rPr>
              <w:t>118</w:t>
            </w:r>
          </w:p>
          <w:p w14:paraId="748FFD88" w14:textId="77777777" w:rsidR="007179A6" w:rsidRPr="004509B9" w:rsidRDefault="00903C3A" w:rsidP="007179A6">
            <w:pPr>
              <w:tabs>
                <w:tab w:val="left" w:pos="567"/>
              </w:tabs>
              <w:spacing w:line="235" w:lineRule="exact"/>
              <w:ind w:left="102" w:right="-20"/>
              <w:rPr>
                <w:rFonts w:eastAsia="Times New Roman"/>
                <w:sz w:val="13"/>
                <w:szCs w:val="13"/>
                <w:lang w:val="lt-LT" w:eastAsia="en-US"/>
              </w:rPr>
            </w:pPr>
            <w:r w:rsidRPr="004509B9">
              <w:rPr>
                <w:rFonts w:eastAsia="Times New Roman"/>
                <w:spacing w:val="1"/>
                <w:sz w:val="20"/>
                <w:lang w:val="lt-LT" w:eastAsia="en-US"/>
              </w:rPr>
              <w:t>(83,</w:t>
            </w:r>
            <w:r w:rsidR="007179A6" w:rsidRPr="004509B9">
              <w:rPr>
                <w:rFonts w:eastAsia="Times New Roman"/>
                <w:spacing w:val="1"/>
                <w:sz w:val="20"/>
                <w:lang w:val="lt-LT" w:eastAsia="en-US"/>
              </w:rPr>
              <w:t>9</w:t>
            </w:r>
            <w:r w:rsidR="007179A6" w:rsidRPr="004509B9">
              <w:rPr>
                <w:rFonts w:eastAsia="Times New Roman"/>
                <w:sz w:val="20"/>
                <w:lang w:val="lt-LT" w:eastAsia="en-US"/>
              </w:rPr>
              <w:t>;</w:t>
            </w:r>
            <w:r w:rsidR="007179A6" w:rsidRPr="004509B9">
              <w:rPr>
                <w:rFonts w:eastAsia="Times New Roman"/>
                <w:spacing w:val="-4"/>
                <w:sz w:val="20"/>
                <w:lang w:val="lt-LT" w:eastAsia="en-US"/>
              </w:rPr>
              <w:t xml:space="preserve"> </w:t>
            </w:r>
            <w:r w:rsidRPr="004509B9">
              <w:rPr>
                <w:rFonts w:eastAsia="Times New Roman"/>
                <w:spacing w:val="1"/>
                <w:sz w:val="20"/>
                <w:lang w:val="lt-LT" w:eastAsia="en-US"/>
              </w:rPr>
              <w:t>153,</w:t>
            </w:r>
            <w:r w:rsidR="007179A6" w:rsidRPr="004509B9">
              <w:rPr>
                <w:rFonts w:eastAsia="Times New Roman"/>
                <w:spacing w:val="1"/>
                <w:sz w:val="20"/>
                <w:lang w:val="lt-LT" w:eastAsia="en-US"/>
              </w:rPr>
              <w:t>4)</w:t>
            </w:r>
            <w:r w:rsidR="007179A6" w:rsidRPr="004509B9">
              <w:rPr>
                <w:rFonts w:eastAsia="Times New Roman"/>
                <w:position w:val="9"/>
                <w:sz w:val="13"/>
                <w:szCs w:val="13"/>
                <w:lang w:val="lt-LT" w:eastAsia="en-US"/>
              </w:rPr>
              <w:t>c</w:t>
            </w:r>
          </w:p>
        </w:tc>
      </w:tr>
    </w:tbl>
    <w:p w14:paraId="7FC35CF3" w14:textId="77777777" w:rsidR="00C43889" w:rsidRPr="009C16AC" w:rsidRDefault="00C43889" w:rsidP="00C43889">
      <w:pPr>
        <w:autoSpaceDE w:val="0"/>
        <w:autoSpaceDN w:val="0"/>
        <w:adjustRightInd w:val="0"/>
        <w:rPr>
          <w:rFonts w:eastAsia="TimesNewRoman"/>
          <w:sz w:val="18"/>
          <w:szCs w:val="18"/>
          <w:lang w:val="lt-LT" w:eastAsia="en-US"/>
        </w:rPr>
      </w:pPr>
      <w:r w:rsidRPr="009C16AC">
        <w:rPr>
          <w:rFonts w:eastAsia="TimesNewRoman"/>
          <w:sz w:val="18"/>
          <w:szCs w:val="18"/>
          <w:vertAlign w:val="superscript"/>
          <w:lang w:val="lt-LT" w:eastAsia="en-US"/>
        </w:rPr>
        <w:t>a</w:t>
      </w:r>
      <w:r w:rsidRPr="009C16AC">
        <w:rPr>
          <w:rFonts w:eastAsia="TimesNewRoman"/>
          <w:sz w:val="18"/>
          <w:szCs w:val="18"/>
          <w:lang w:val="lt-LT" w:eastAsia="en-US"/>
        </w:rPr>
        <w:t xml:space="preserve"> Vertinimas pagal TLOVR algoritmą.</w:t>
      </w:r>
    </w:p>
    <w:p w14:paraId="04D1E073" w14:textId="77777777" w:rsidR="00C43889" w:rsidRPr="009C16AC" w:rsidRDefault="00C43889" w:rsidP="00C43889">
      <w:pPr>
        <w:autoSpaceDE w:val="0"/>
        <w:autoSpaceDN w:val="0"/>
        <w:adjustRightInd w:val="0"/>
        <w:rPr>
          <w:rFonts w:eastAsia="TimesNewRoman"/>
          <w:sz w:val="18"/>
          <w:szCs w:val="18"/>
          <w:lang w:val="lt-LT" w:eastAsia="en-US"/>
        </w:rPr>
      </w:pPr>
      <w:r w:rsidRPr="009C16AC">
        <w:rPr>
          <w:rFonts w:eastAsia="TimesNewRoman"/>
          <w:sz w:val="18"/>
          <w:szCs w:val="18"/>
          <w:vertAlign w:val="superscript"/>
          <w:lang w:val="lt-LT" w:eastAsia="en-US"/>
        </w:rPr>
        <w:t>b</w:t>
      </w:r>
      <w:r w:rsidRPr="009C16AC">
        <w:rPr>
          <w:rFonts w:eastAsia="TimesNewRoman"/>
          <w:sz w:val="18"/>
          <w:szCs w:val="18"/>
          <w:lang w:val="lt-LT" w:eastAsia="en-US"/>
        </w:rPr>
        <w:t xml:space="preserve"> Paskutiniojo stebėjimo perkelto į ateitį vertinimas.</w:t>
      </w:r>
    </w:p>
    <w:p w14:paraId="029C4D29" w14:textId="77777777" w:rsidR="007179A6" w:rsidRPr="009C16AC" w:rsidRDefault="00C43889" w:rsidP="00C43889">
      <w:pPr>
        <w:autoSpaceDE w:val="0"/>
        <w:autoSpaceDN w:val="0"/>
        <w:adjustRightInd w:val="0"/>
        <w:rPr>
          <w:rFonts w:eastAsia="TimesNewRoman"/>
          <w:sz w:val="18"/>
          <w:szCs w:val="18"/>
          <w:lang w:val="lt-LT" w:eastAsia="en-US"/>
        </w:rPr>
      </w:pPr>
      <w:r w:rsidRPr="009C16AC">
        <w:rPr>
          <w:rFonts w:eastAsia="TimesNewRoman"/>
          <w:sz w:val="18"/>
          <w:szCs w:val="18"/>
          <w:vertAlign w:val="superscript"/>
          <w:lang w:val="lt-LT" w:eastAsia="en-US"/>
        </w:rPr>
        <w:t>c</w:t>
      </w:r>
      <w:r w:rsidRPr="009C16AC">
        <w:rPr>
          <w:rFonts w:eastAsia="TimesNewRoman"/>
          <w:sz w:val="18"/>
          <w:szCs w:val="18"/>
          <w:lang w:val="lt-LT" w:eastAsia="en-US"/>
        </w:rPr>
        <w:t xml:space="preserve"> 95 % pasikliautinasis intervalas.</w:t>
      </w:r>
    </w:p>
    <w:p w14:paraId="4148C5E8" w14:textId="77777777" w:rsidR="00C43889" w:rsidRPr="004509B9" w:rsidRDefault="00C43889" w:rsidP="00C43889">
      <w:pPr>
        <w:autoSpaceDE w:val="0"/>
        <w:autoSpaceDN w:val="0"/>
        <w:adjustRightInd w:val="0"/>
        <w:rPr>
          <w:rFonts w:eastAsia="TimesNewRoman"/>
          <w:sz w:val="22"/>
          <w:szCs w:val="22"/>
          <w:lang w:val="lt-LT" w:eastAsia="en-US"/>
        </w:rPr>
      </w:pPr>
    </w:p>
    <w:p w14:paraId="1FDD2EFA" w14:textId="77777777" w:rsidR="00C43889" w:rsidRPr="004509B9" w:rsidRDefault="00C43889" w:rsidP="00C43889">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96 savaičių trukmės gydymo POWER klinikiniuose tyrimuose duomenų analizės rezultatai parodė ilgalaikį vaistinio preparato priešvirusinį veiksmingumą ir palankų poveikį imuninei sistemai.</w:t>
      </w:r>
    </w:p>
    <w:p w14:paraId="035FE133" w14:textId="77777777" w:rsidR="00C43889" w:rsidRPr="004509B9" w:rsidRDefault="00C43889" w:rsidP="00C43889">
      <w:pPr>
        <w:autoSpaceDE w:val="0"/>
        <w:autoSpaceDN w:val="0"/>
        <w:adjustRightInd w:val="0"/>
        <w:rPr>
          <w:rFonts w:eastAsia="TimesNewRoman"/>
          <w:sz w:val="22"/>
          <w:szCs w:val="22"/>
          <w:lang w:val="lt-LT" w:eastAsia="en-US"/>
        </w:rPr>
      </w:pPr>
    </w:p>
    <w:p w14:paraId="104F13BC" w14:textId="77777777" w:rsidR="00C43889" w:rsidRPr="004509B9" w:rsidRDefault="00C43889" w:rsidP="00C43889">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Iš 59 pacientų, kurių atsakas po 48 savaičių gydymo pasireiškė pilnu ŽIV slopinimu (&lt; 50 kopijų/ml), 47 pacientams (80 % pacientų, kuriems pasireiškė atsakas 48-tą savaitę) toks gydymo veiksmingumas išliko ir po 96 savaičių gydymo.</w:t>
      </w:r>
    </w:p>
    <w:p w14:paraId="44B4BB3C" w14:textId="77777777" w:rsidR="00C43889" w:rsidRPr="004509B9" w:rsidRDefault="00C43889" w:rsidP="00C43889">
      <w:pPr>
        <w:autoSpaceDE w:val="0"/>
        <w:autoSpaceDN w:val="0"/>
        <w:adjustRightInd w:val="0"/>
        <w:rPr>
          <w:rFonts w:eastAsia="TimesNewRoman"/>
          <w:sz w:val="22"/>
          <w:szCs w:val="22"/>
          <w:lang w:val="lt-LT" w:eastAsia="en-US"/>
        </w:rPr>
      </w:pPr>
    </w:p>
    <w:p w14:paraId="647FBF84" w14:textId="77777777" w:rsidR="00C43889" w:rsidRPr="004509B9" w:rsidRDefault="00C43889" w:rsidP="00C43889">
      <w:pPr>
        <w:autoSpaceDE w:val="0"/>
        <w:autoSpaceDN w:val="0"/>
        <w:adjustRightInd w:val="0"/>
        <w:rPr>
          <w:rFonts w:eastAsia="TimesNewRoman"/>
          <w:i/>
          <w:sz w:val="22"/>
          <w:szCs w:val="22"/>
          <w:lang w:val="lt-LT" w:eastAsia="en-US"/>
        </w:rPr>
      </w:pPr>
      <w:r w:rsidRPr="004509B9">
        <w:rPr>
          <w:rFonts w:eastAsia="TimesNewRoman"/>
          <w:i/>
          <w:sz w:val="22"/>
          <w:szCs w:val="22"/>
          <w:lang w:val="lt-LT" w:eastAsia="en-US"/>
        </w:rPr>
        <w:t>Pradinis genotipas ar fenotipas ir virusologinė baigtis</w:t>
      </w:r>
    </w:p>
    <w:p w14:paraId="13E3192D" w14:textId="77777777" w:rsidR="007179A6" w:rsidRPr="004509B9" w:rsidRDefault="00C43889" w:rsidP="00C43889">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Prieš tyrimą buvęs genotipas ir darunaviro FC (jautrumo poslinkis, palyginti su palyginamuoju) pasirodė esąs prognostinis virusologinio atsako veiksnys.</w:t>
      </w:r>
    </w:p>
    <w:p w14:paraId="0A498E3F" w14:textId="77777777" w:rsidR="00C43889" w:rsidRPr="004509B9" w:rsidRDefault="00C43889" w:rsidP="009F5848">
      <w:pPr>
        <w:autoSpaceDE w:val="0"/>
        <w:autoSpaceDN w:val="0"/>
        <w:adjustRightInd w:val="0"/>
        <w:rPr>
          <w:rFonts w:eastAsia="TimesNewRoman"/>
          <w:sz w:val="22"/>
          <w:szCs w:val="22"/>
          <w:lang w:val="lt-LT" w:eastAsia="en-US"/>
        </w:rPr>
      </w:pPr>
    </w:p>
    <w:p w14:paraId="42E2B185" w14:textId="77777777" w:rsidR="00C43889" w:rsidRPr="004509B9" w:rsidRDefault="00C43889" w:rsidP="00C43889">
      <w:pPr>
        <w:autoSpaceDE w:val="0"/>
        <w:autoSpaceDN w:val="0"/>
        <w:adjustRightInd w:val="0"/>
        <w:rPr>
          <w:rFonts w:eastAsia="TimesNewRoman"/>
          <w:sz w:val="22"/>
          <w:szCs w:val="22"/>
          <w:lang w:val="lt-LT" w:eastAsia="en-US"/>
        </w:rPr>
      </w:pPr>
      <w:r w:rsidRPr="004509B9">
        <w:rPr>
          <w:rFonts w:ascii="TimesNewRoman,Italic" w:hAnsi="TimesNewRoman,Italic" w:cs="TimesNewRoman,Italic"/>
          <w:i/>
          <w:iCs/>
          <w:sz w:val="22"/>
          <w:szCs w:val="22"/>
          <w:lang w:val="lt-LT" w:eastAsia="en-US"/>
        </w:rPr>
        <w:t>Pacientų dalis (%), kuriems pasireiškė atsakas (&lt; 50 ŽIV-1 RNR kopijų/ml 24-tą savaitę) į gydymą darunaviru, vartojamu kartu su ritonaviru (600/100 mg du kartus per parą), pagal prieš pradedant gydymą nustatytą genotipą</w:t>
      </w:r>
      <w:r w:rsidRPr="004509B9">
        <w:rPr>
          <w:rFonts w:ascii="TimesNewRoman,Italic" w:hAnsi="TimesNewRoman,Italic" w:cs="TimesNewRoman,Italic"/>
          <w:i/>
          <w:iCs/>
          <w:sz w:val="22"/>
          <w:szCs w:val="22"/>
          <w:vertAlign w:val="superscript"/>
          <w:lang w:val="lt-LT" w:eastAsia="en-US"/>
        </w:rPr>
        <w:t>a</w:t>
      </w:r>
      <w:r w:rsidRPr="004509B9">
        <w:rPr>
          <w:rFonts w:ascii="TimesNewRoman,Italic" w:hAnsi="TimesNewRoman,Italic" w:cs="TimesNewRoman,Italic"/>
          <w:i/>
          <w:iCs/>
          <w:sz w:val="22"/>
          <w:szCs w:val="22"/>
          <w:lang w:val="lt-LT" w:eastAsia="en-US"/>
        </w:rPr>
        <w:t>, prieš gydymą buvusį darunaviro FC, ir gydymą vartojant enfuvirtidą (ENF): pagal POWER ir DUET tyrimuose gydytų pacientų analizę.</w:t>
      </w:r>
    </w:p>
    <w:p w14:paraId="0DC122B9" w14:textId="77777777" w:rsidR="00C43889" w:rsidRPr="004509B9" w:rsidRDefault="00C43889" w:rsidP="009F5848">
      <w:pPr>
        <w:autoSpaceDE w:val="0"/>
        <w:autoSpaceDN w:val="0"/>
        <w:adjustRightInd w:val="0"/>
        <w:rPr>
          <w:rFonts w:eastAsia="TimesNewRoman"/>
          <w:sz w:val="22"/>
          <w:szCs w:val="22"/>
          <w:lang w:val="lt-LT" w:eastAsia="en-US"/>
        </w:rPr>
      </w:pPr>
    </w:p>
    <w:tbl>
      <w:tblPr>
        <w:tblW w:w="9292" w:type="dxa"/>
        <w:tblInd w:w="99" w:type="dxa"/>
        <w:tblLayout w:type="fixed"/>
        <w:tblCellMar>
          <w:left w:w="0" w:type="dxa"/>
          <w:right w:w="0" w:type="dxa"/>
        </w:tblCellMar>
        <w:tblLook w:val="01E0" w:firstRow="1" w:lastRow="1" w:firstColumn="1" w:lastColumn="1" w:noHBand="0" w:noVBand="0"/>
      </w:tblPr>
      <w:tblGrid>
        <w:gridCol w:w="2174"/>
        <w:gridCol w:w="993"/>
        <w:gridCol w:w="850"/>
        <w:gridCol w:w="709"/>
        <w:gridCol w:w="863"/>
        <w:gridCol w:w="1039"/>
        <w:gridCol w:w="912"/>
        <w:gridCol w:w="826"/>
        <w:gridCol w:w="926"/>
      </w:tblGrid>
      <w:tr w:rsidR="00C43889" w:rsidRPr="00C75EC3" w14:paraId="3331F225" w14:textId="77777777" w:rsidTr="00F72503">
        <w:trPr>
          <w:trHeight w:val="518"/>
        </w:trPr>
        <w:tc>
          <w:tcPr>
            <w:tcW w:w="2174" w:type="dxa"/>
            <w:tcBorders>
              <w:top w:val="single" w:sz="4" w:space="0" w:color="000000"/>
              <w:left w:val="single" w:sz="4" w:space="0" w:color="000000"/>
              <w:right w:val="single" w:sz="4" w:space="0" w:color="000000"/>
            </w:tcBorders>
          </w:tcPr>
          <w:p w14:paraId="455DB9CC" w14:textId="77777777" w:rsidR="00C43889" w:rsidRPr="004509B9" w:rsidRDefault="00C43889" w:rsidP="00C43889">
            <w:pPr>
              <w:tabs>
                <w:tab w:val="left" w:pos="567"/>
              </w:tabs>
              <w:spacing w:line="260" w:lineRule="exact"/>
              <w:rPr>
                <w:rFonts w:eastAsia="Times New Roman"/>
                <w:sz w:val="22"/>
                <w:lang w:val="lt-LT" w:eastAsia="en-US"/>
              </w:rPr>
            </w:pPr>
          </w:p>
        </w:tc>
        <w:tc>
          <w:tcPr>
            <w:tcW w:w="3415" w:type="dxa"/>
            <w:gridSpan w:val="4"/>
            <w:tcBorders>
              <w:top w:val="single" w:sz="4" w:space="0" w:color="000000"/>
              <w:left w:val="single" w:sz="4" w:space="0" w:color="000000"/>
              <w:right w:val="single" w:sz="4" w:space="0" w:color="000000"/>
            </w:tcBorders>
            <w:hideMark/>
          </w:tcPr>
          <w:p w14:paraId="37AD8F7E" w14:textId="77777777" w:rsidR="00C43889" w:rsidRPr="004509B9" w:rsidRDefault="00C43889" w:rsidP="00F72503">
            <w:pPr>
              <w:tabs>
                <w:tab w:val="left" w:pos="567"/>
              </w:tabs>
              <w:spacing w:line="241" w:lineRule="exact"/>
              <w:ind w:right="-20"/>
              <w:jc w:val="center"/>
              <w:rPr>
                <w:rFonts w:eastAsia="Times New Roman"/>
                <w:sz w:val="13"/>
                <w:szCs w:val="13"/>
                <w:lang w:val="lt-LT" w:eastAsia="en-US"/>
              </w:rPr>
            </w:pPr>
            <w:r w:rsidRPr="004509B9">
              <w:rPr>
                <w:rFonts w:eastAsia="Times New Roman"/>
                <w:b/>
                <w:bCs/>
                <w:sz w:val="20"/>
                <w:lang w:val="lt-LT" w:eastAsia="en-US"/>
              </w:rPr>
              <w:t>Prieš pradedant gydymą buvusių mutacijų skaičius</w:t>
            </w:r>
            <w:r w:rsidRPr="004509B9">
              <w:rPr>
                <w:rFonts w:eastAsia="Times New Roman"/>
                <w:b/>
                <w:bCs/>
                <w:sz w:val="20"/>
                <w:vertAlign w:val="superscript"/>
                <w:lang w:val="lt-LT" w:eastAsia="en-US"/>
              </w:rPr>
              <w:t>a</w:t>
            </w:r>
          </w:p>
        </w:tc>
        <w:tc>
          <w:tcPr>
            <w:tcW w:w="3703" w:type="dxa"/>
            <w:gridSpan w:val="4"/>
            <w:tcBorders>
              <w:top w:val="single" w:sz="4" w:space="0" w:color="000000"/>
              <w:left w:val="single" w:sz="4" w:space="0" w:color="000000"/>
              <w:right w:val="single" w:sz="4" w:space="0" w:color="000000"/>
            </w:tcBorders>
            <w:hideMark/>
          </w:tcPr>
          <w:p w14:paraId="18669A16" w14:textId="77777777" w:rsidR="00C43889" w:rsidRPr="004509B9" w:rsidRDefault="00C43889" w:rsidP="00F72503">
            <w:pPr>
              <w:tabs>
                <w:tab w:val="left" w:pos="567"/>
              </w:tabs>
              <w:spacing w:line="241" w:lineRule="exact"/>
              <w:ind w:right="-20"/>
              <w:jc w:val="center"/>
              <w:rPr>
                <w:rFonts w:eastAsia="Times New Roman"/>
                <w:sz w:val="13"/>
                <w:szCs w:val="13"/>
                <w:lang w:val="lt-LT" w:eastAsia="en-US"/>
              </w:rPr>
            </w:pPr>
            <w:r w:rsidRPr="004509B9">
              <w:rPr>
                <w:rFonts w:eastAsia="Times New Roman"/>
                <w:b/>
                <w:bCs/>
                <w:sz w:val="20"/>
                <w:lang w:val="lt-LT" w:eastAsia="en-US"/>
              </w:rPr>
              <w:t xml:space="preserve">Prieš pradedant gydymą buvęs </w:t>
            </w:r>
            <w:r w:rsidR="00F72503" w:rsidRPr="004509B9">
              <w:rPr>
                <w:rFonts w:eastAsia="Times New Roman"/>
                <w:b/>
                <w:bCs/>
                <w:sz w:val="20"/>
                <w:lang w:val="lt-LT" w:eastAsia="en-US"/>
              </w:rPr>
              <w:t xml:space="preserve">darunaviro </w:t>
            </w:r>
            <w:r w:rsidRPr="004509B9">
              <w:rPr>
                <w:rFonts w:eastAsia="Times New Roman"/>
                <w:b/>
                <w:bCs/>
                <w:sz w:val="20"/>
                <w:lang w:val="lt-LT" w:eastAsia="en-US"/>
              </w:rPr>
              <w:t>FC</w:t>
            </w:r>
            <w:r w:rsidRPr="004509B9">
              <w:rPr>
                <w:rFonts w:eastAsia="Times New Roman"/>
                <w:b/>
                <w:bCs/>
                <w:sz w:val="20"/>
                <w:vertAlign w:val="superscript"/>
                <w:lang w:val="lt-LT" w:eastAsia="en-US"/>
              </w:rPr>
              <w:t>b</w:t>
            </w:r>
          </w:p>
        </w:tc>
      </w:tr>
      <w:tr w:rsidR="00C43889" w:rsidRPr="00C75EC3" w14:paraId="3DF361D4" w14:textId="77777777" w:rsidTr="00F72503">
        <w:trPr>
          <w:trHeight w:hRule="exact" w:val="929"/>
        </w:trPr>
        <w:tc>
          <w:tcPr>
            <w:tcW w:w="2174" w:type="dxa"/>
            <w:tcBorders>
              <w:top w:val="single" w:sz="4" w:space="0" w:color="000000"/>
              <w:left w:val="single" w:sz="4" w:space="0" w:color="000000"/>
              <w:bottom w:val="single" w:sz="4" w:space="0" w:color="000000"/>
              <w:right w:val="single" w:sz="4" w:space="0" w:color="000000"/>
            </w:tcBorders>
            <w:hideMark/>
          </w:tcPr>
          <w:p w14:paraId="1E23391B" w14:textId="77777777" w:rsidR="00C43889" w:rsidRPr="004509B9" w:rsidRDefault="00C43889" w:rsidP="00F72503">
            <w:pPr>
              <w:tabs>
                <w:tab w:val="left" w:pos="567"/>
              </w:tabs>
              <w:spacing w:before="6"/>
              <w:ind w:left="102" w:right="-20"/>
              <w:jc w:val="center"/>
              <w:rPr>
                <w:rFonts w:eastAsia="Times New Roman"/>
                <w:sz w:val="20"/>
                <w:lang w:val="lt-LT" w:eastAsia="en-US"/>
              </w:rPr>
            </w:pPr>
            <w:r w:rsidRPr="004509B9">
              <w:rPr>
                <w:rFonts w:eastAsia="Times New Roman"/>
                <w:sz w:val="20"/>
                <w:lang w:val="lt-LT" w:eastAsia="en-US"/>
              </w:rPr>
              <w:t>Atsakas</w:t>
            </w:r>
            <w:r w:rsidR="00442FFE" w:rsidRPr="004509B9">
              <w:rPr>
                <w:rFonts w:eastAsia="Times New Roman"/>
                <w:sz w:val="20"/>
                <w:lang w:val="lt-LT" w:eastAsia="en-US"/>
              </w:rPr>
              <w:t xml:space="preserve"> </w:t>
            </w:r>
            <w:r w:rsidRPr="004509B9">
              <w:rPr>
                <w:rFonts w:eastAsia="Times New Roman"/>
                <w:sz w:val="20"/>
                <w:lang w:val="lt-LT" w:eastAsia="en-US"/>
              </w:rPr>
              <w:t>(</w:t>
            </w:r>
            <w:r w:rsidR="00442FFE" w:rsidRPr="004509B9">
              <w:rPr>
                <w:rFonts w:eastAsia="Times New Roman"/>
                <w:sz w:val="20"/>
                <w:lang w:val="lt-LT" w:eastAsia="en-US"/>
              </w:rPr>
              <w:t>Ž</w:t>
            </w:r>
            <w:r w:rsidRPr="004509B9">
              <w:rPr>
                <w:rFonts w:eastAsia="Times New Roman"/>
                <w:sz w:val="20"/>
                <w:lang w:val="lt-LT" w:eastAsia="en-US"/>
              </w:rPr>
              <w:t>I</w:t>
            </w:r>
            <w:r w:rsidRPr="004509B9">
              <w:rPr>
                <w:rFonts w:eastAsia="Times New Roman"/>
                <w:spacing w:val="3"/>
                <w:sz w:val="20"/>
                <w:lang w:val="lt-LT" w:eastAsia="en-US"/>
              </w:rPr>
              <w:t>V</w:t>
            </w:r>
            <w:r w:rsidRPr="004509B9">
              <w:rPr>
                <w:rFonts w:eastAsia="Times New Roman"/>
                <w:spacing w:val="-2"/>
                <w:sz w:val="20"/>
                <w:lang w:val="lt-LT" w:eastAsia="en-US"/>
              </w:rPr>
              <w:t>-</w:t>
            </w:r>
            <w:r w:rsidRPr="004509B9">
              <w:rPr>
                <w:rFonts w:eastAsia="Times New Roman"/>
                <w:sz w:val="20"/>
                <w:lang w:val="lt-LT" w:eastAsia="en-US"/>
              </w:rPr>
              <w:t>1</w:t>
            </w:r>
            <w:r w:rsidR="00442FFE" w:rsidRPr="004509B9">
              <w:rPr>
                <w:rFonts w:eastAsia="Times New Roman"/>
                <w:sz w:val="20"/>
                <w:lang w:val="lt-LT" w:eastAsia="en-US"/>
              </w:rPr>
              <w:t xml:space="preserve"> RNR</w:t>
            </w:r>
            <w:r w:rsidRPr="004509B9">
              <w:rPr>
                <w:rFonts w:eastAsia="Times New Roman"/>
                <w:spacing w:val="-4"/>
                <w:sz w:val="20"/>
                <w:lang w:val="lt-LT" w:eastAsia="en-US"/>
              </w:rPr>
              <w:t xml:space="preserve"> </w:t>
            </w:r>
            <w:r w:rsidRPr="004509B9">
              <w:rPr>
                <w:rFonts w:eastAsia="Times New Roman"/>
                <w:sz w:val="20"/>
                <w:lang w:val="lt-LT" w:eastAsia="en-US"/>
              </w:rPr>
              <w:t>&lt;</w:t>
            </w:r>
            <w:r w:rsidR="00F72503" w:rsidRPr="004509B9">
              <w:rPr>
                <w:rFonts w:eastAsia="Times New Roman"/>
                <w:sz w:val="20"/>
                <w:lang w:val="lt-LT" w:eastAsia="en-US"/>
              </w:rPr>
              <w:t> </w:t>
            </w:r>
            <w:r w:rsidRPr="004509B9">
              <w:rPr>
                <w:rFonts w:eastAsia="Times New Roman"/>
                <w:spacing w:val="1"/>
                <w:sz w:val="20"/>
                <w:lang w:val="lt-LT" w:eastAsia="en-US"/>
              </w:rPr>
              <w:t>5</w:t>
            </w:r>
            <w:r w:rsidRPr="004509B9">
              <w:rPr>
                <w:rFonts w:eastAsia="Times New Roman"/>
                <w:sz w:val="20"/>
                <w:lang w:val="lt-LT" w:eastAsia="en-US"/>
              </w:rPr>
              <w:t xml:space="preserve">0 </w:t>
            </w:r>
            <w:r w:rsidR="00442FFE" w:rsidRPr="004509B9">
              <w:rPr>
                <w:rFonts w:eastAsia="Times New Roman"/>
                <w:sz w:val="20"/>
                <w:lang w:val="lt-LT" w:eastAsia="en-US"/>
              </w:rPr>
              <w:t>kopijų</w:t>
            </w:r>
            <w:r w:rsidRPr="004509B9">
              <w:rPr>
                <w:rFonts w:eastAsia="Times New Roman"/>
                <w:sz w:val="20"/>
                <w:lang w:val="lt-LT" w:eastAsia="en-US"/>
              </w:rPr>
              <w:t xml:space="preserve">/ml </w:t>
            </w:r>
            <w:r w:rsidRPr="004509B9">
              <w:rPr>
                <w:rFonts w:eastAsia="Times New Roman"/>
                <w:spacing w:val="1"/>
                <w:sz w:val="20"/>
                <w:lang w:val="lt-LT" w:eastAsia="en-US"/>
              </w:rPr>
              <w:t>24</w:t>
            </w:r>
            <w:r w:rsidR="00442FFE" w:rsidRPr="004509B9">
              <w:rPr>
                <w:rFonts w:eastAsia="Times New Roman"/>
                <w:spacing w:val="1"/>
                <w:sz w:val="20"/>
                <w:lang w:val="lt-LT" w:eastAsia="en-US"/>
              </w:rPr>
              <w:t xml:space="preserve">-tą savaitę) </w:t>
            </w:r>
            <w:r w:rsidRPr="004509B9">
              <w:rPr>
                <w:rFonts w:eastAsia="Times New Roman"/>
                <w:sz w:val="20"/>
                <w:lang w:val="lt-LT" w:eastAsia="en-US"/>
              </w:rPr>
              <w:t>%,</w:t>
            </w:r>
            <w:r w:rsidRPr="004509B9">
              <w:rPr>
                <w:rFonts w:eastAsia="Times New Roman"/>
                <w:spacing w:val="-2"/>
                <w:sz w:val="20"/>
                <w:lang w:val="lt-LT" w:eastAsia="en-US"/>
              </w:rPr>
              <w:t xml:space="preserve"> </w:t>
            </w:r>
            <w:r w:rsidRPr="004509B9">
              <w:rPr>
                <w:rFonts w:eastAsia="Times New Roman"/>
                <w:sz w:val="20"/>
                <w:lang w:val="lt-LT" w:eastAsia="en-US"/>
              </w:rPr>
              <w:t>n/N</w:t>
            </w:r>
          </w:p>
        </w:tc>
        <w:tc>
          <w:tcPr>
            <w:tcW w:w="993" w:type="dxa"/>
            <w:tcBorders>
              <w:top w:val="single" w:sz="4" w:space="0" w:color="000000"/>
              <w:left w:val="single" w:sz="4" w:space="0" w:color="000000"/>
              <w:bottom w:val="single" w:sz="4" w:space="0" w:color="000000"/>
              <w:right w:val="single" w:sz="4" w:space="0" w:color="000000"/>
            </w:tcBorders>
          </w:tcPr>
          <w:p w14:paraId="4852751C" w14:textId="77777777" w:rsidR="00C43889" w:rsidRPr="004509B9" w:rsidRDefault="00442FFE" w:rsidP="00F72503">
            <w:pPr>
              <w:tabs>
                <w:tab w:val="left" w:pos="567"/>
              </w:tabs>
              <w:spacing w:before="2" w:line="240" w:lineRule="exact"/>
              <w:jc w:val="center"/>
              <w:rPr>
                <w:rFonts w:eastAsia="Times New Roman"/>
                <w:sz w:val="20"/>
                <w:lang w:val="lt-LT" w:eastAsia="en-US"/>
              </w:rPr>
            </w:pPr>
            <w:r w:rsidRPr="004509B9">
              <w:rPr>
                <w:rFonts w:eastAsia="Times New Roman"/>
                <w:sz w:val="20"/>
                <w:lang w:val="lt-LT" w:eastAsia="en-US"/>
              </w:rPr>
              <w:t>Visos kitimo sritys</w:t>
            </w:r>
          </w:p>
        </w:tc>
        <w:tc>
          <w:tcPr>
            <w:tcW w:w="850" w:type="dxa"/>
            <w:tcBorders>
              <w:top w:val="single" w:sz="4" w:space="0" w:color="000000"/>
              <w:left w:val="single" w:sz="4" w:space="0" w:color="000000"/>
              <w:bottom w:val="single" w:sz="4" w:space="0" w:color="000000"/>
              <w:right w:val="single" w:sz="4" w:space="0" w:color="000000"/>
            </w:tcBorders>
          </w:tcPr>
          <w:p w14:paraId="1E6384C5" w14:textId="77777777" w:rsidR="00C43889" w:rsidRPr="004509B9" w:rsidRDefault="00C43889" w:rsidP="00C43889">
            <w:pPr>
              <w:tabs>
                <w:tab w:val="left" w:pos="567"/>
              </w:tabs>
              <w:spacing w:before="7" w:line="150" w:lineRule="exact"/>
              <w:rPr>
                <w:rFonts w:eastAsia="Times New Roman"/>
                <w:sz w:val="15"/>
                <w:szCs w:val="15"/>
                <w:lang w:val="lt-LT" w:eastAsia="en-US"/>
              </w:rPr>
            </w:pPr>
          </w:p>
          <w:p w14:paraId="6AE94BFC" w14:textId="77777777" w:rsidR="00C43889" w:rsidRPr="004509B9" w:rsidRDefault="00C43889" w:rsidP="00C43889">
            <w:pPr>
              <w:tabs>
                <w:tab w:val="left" w:pos="567"/>
              </w:tabs>
              <w:spacing w:line="200" w:lineRule="exact"/>
              <w:rPr>
                <w:rFonts w:eastAsia="Times New Roman"/>
                <w:sz w:val="20"/>
                <w:lang w:val="lt-LT" w:eastAsia="en-US"/>
              </w:rPr>
            </w:pPr>
          </w:p>
          <w:p w14:paraId="1314FB42"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eastAsia="Times New Roman"/>
                <w:b/>
                <w:bCs/>
                <w:spacing w:val="1"/>
                <w:sz w:val="20"/>
                <w:lang w:val="lt-LT" w:eastAsia="en-US"/>
              </w:rPr>
              <w:t>0-</w:t>
            </w:r>
            <w:r w:rsidRPr="004509B9">
              <w:rPr>
                <w:rFonts w:eastAsia="Times New Roman"/>
                <w:b/>
                <w:bCs/>
                <w:sz w:val="20"/>
                <w:lang w:val="lt-LT" w:eastAsia="en-US"/>
              </w:rPr>
              <w:t>2</w:t>
            </w:r>
          </w:p>
        </w:tc>
        <w:tc>
          <w:tcPr>
            <w:tcW w:w="709" w:type="dxa"/>
            <w:tcBorders>
              <w:top w:val="single" w:sz="4" w:space="0" w:color="000000"/>
              <w:left w:val="single" w:sz="4" w:space="0" w:color="000000"/>
              <w:bottom w:val="single" w:sz="4" w:space="0" w:color="000000"/>
              <w:right w:val="single" w:sz="4" w:space="0" w:color="000000"/>
            </w:tcBorders>
          </w:tcPr>
          <w:p w14:paraId="26F7DE6E" w14:textId="77777777" w:rsidR="00C43889" w:rsidRPr="004509B9" w:rsidRDefault="00C43889" w:rsidP="00C43889">
            <w:pPr>
              <w:tabs>
                <w:tab w:val="left" w:pos="567"/>
              </w:tabs>
              <w:spacing w:before="7" w:line="150" w:lineRule="exact"/>
              <w:rPr>
                <w:rFonts w:eastAsia="Times New Roman"/>
                <w:sz w:val="15"/>
                <w:szCs w:val="15"/>
                <w:lang w:val="lt-LT" w:eastAsia="en-US"/>
              </w:rPr>
            </w:pPr>
          </w:p>
          <w:p w14:paraId="0E1CF86E" w14:textId="77777777" w:rsidR="00C43889" w:rsidRPr="004509B9" w:rsidRDefault="00C43889" w:rsidP="00C43889">
            <w:pPr>
              <w:tabs>
                <w:tab w:val="left" w:pos="567"/>
              </w:tabs>
              <w:spacing w:line="200" w:lineRule="exact"/>
              <w:rPr>
                <w:rFonts w:eastAsia="Times New Roman"/>
                <w:sz w:val="20"/>
                <w:lang w:val="lt-LT" w:eastAsia="en-US"/>
              </w:rPr>
            </w:pPr>
          </w:p>
          <w:p w14:paraId="08735EF8" w14:textId="77777777" w:rsidR="00C43889" w:rsidRPr="004509B9" w:rsidRDefault="00C43889" w:rsidP="00F72503">
            <w:pPr>
              <w:tabs>
                <w:tab w:val="left" w:pos="567"/>
              </w:tabs>
              <w:ind w:left="100" w:right="-20"/>
              <w:jc w:val="center"/>
              <w:rPr>
                <w:rFonts w:eastAsia="Times New Roman"/>
                <w:sz w:val="20"/>
                <w:lang w:val="lt-LT" w:eastAsia="en-US"/>
              </w:rPr>
            </w:pPr>
            <w:r w:rsidRPr="004509B9">
              <w:rPr>
                <w:rFonts w:eastAsia="Times New Roman"/>
                <w:b/>
                <w:bCs/>
                <w:sz w:val="20"/>
                <w:lang w:val="lt-LT" w:eastAsia="en-US"/>
              </w:rPr>
              <w:t>3</w:t>
            </w:r>
          </w:p>
        </w:tc>
        <w:tc>
          <w:tcPr>
            <w:tcW w:w="863" w:type="dxa"/>
            <w:tcBorders>
              <w:top w:val="single" w:sz="4" w:space="0" w:color="000000"/>
              <w:left w:val="single" w:sz="4" w:space="0" w:color="000000"/>
              <w:bottom w:val="single" w:sz="4" w:space="0" w:color="000000"/>
              <w:right w:val="single" w:sz="4" w:space="0" w:color="000000"/>
            </w:tcBorders>
          </w:tcPr>
          <w:p w14:paraId="4D0EFCC0" w14:textId="77777777" w:rsidR="00C43889" w:rsidRPr="004509B9" w:rsidRDefault="00C43889" w:rsidP="00C43889">
            <w:pPr>
              <w:tabs>
                <w:tab w:val="left" w:pos="567"/>
              </w:tabs>
              <w:spacing w:before="2" w:line="150" w:lineRule="exact"/>
              <w:rPr>
                <w:rFonts w:eastAsia="Times New Roman"/>
                <w:sz w:val="15"/>
                <w:szCs w:val="15"/>
                <w:lang w:val="lt-LT" w:eastAsia="en-US"/>
              </w:rPr>
            </w:pPr>
          </w:p>
          <w:p w14:paraId="5303357B" w14:textId="77777777" w:rsidR="00C43889" w:rsidRPr="004509B9" w:rsidRDefault="00C43889" w:rsidP="00F72503">
            <w:pPr>
              <w:tabs>
                <w:tab w:val="left" w:pos="567"/>
              </w:tabs>
              <w:spacing w:line="200" w:lineRule="exact"/>
              <w:jc w:val="center"/>
              <w:rPr>
                <w:rFonts w:eastAsia="Times New Roman"/>
                <w:sz w:val="20"/>
                <w:lang w:val="lt-LT" w:eastAsia="en-US"/>
              </w:rPr>
            </w:pPr>
          </w:p>
          <w:p w14:paraId="3D278075"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ascii="Symbol" w:eastAsia="Symbol" w:hAnsi="Symbol" w:cs="Symbol"/>
                <w:sz w:val="20"/>
                <w:lang w:val="lt-LT" w:eastAsia="en-US"/>
              </w:rPr>
              <w:t></w:t>
            </w:r>
            <w:r w:rsidRPr="004509B9">
              <w:rPr>
                <w:rFonts w:eastAsia="Times New Roman"/>
                <w:sz w:val="20"/>
                <w:lang w:val="lt-LT" w:eastAsia="en-US"/>
              </w:rPr>
              <w:t xml:space="preserve"> </w:t>
            </w:r>
            <w:r w:rsidRPr="004509B9">
              <w:rPr>
                <w:rFonts w:eastAsia="Times New Roman"/>
                <w:b/>
                <w:bCs/>
                <w:sz w:val="20"/>
                <w:lang w:val="lt-LT" w:eastAsia="en-US"/>
              </w:rPr>
              <w:t>4</w:t>
            </w:r>
          </w:p>
        </w:tc>
        <w:tc>
          <w:tcPr>
            <w:tcW w:w="1039" w:type="dxa"/>
            <w:tcBorders>
              <w:top w:val="single" w:sz="4" w:space="0" w:color="000000"/>
              <w:left w:val="single" w:sz="4" w:space="0" w:color="000000"/>
              <w:bottom w:val="single" w:sz="4" w:space="0" w:color="000000"/>
              <w:right w:val="single" w:sz="4" w:space="0" w:color="000000"/>
            </w:tcBorders>
          </w:tcPr>
          <w:p w14:paraId="2F77DB00" w14:textId="77777777" w:rsidR="00C43889" w:rsidRPr="004509B9" w:rsidRDefault="00C43889" w:rsidP="00C43889">
            <w:pPr>
              <w:tabs>
                <w:tab w:val="left" w:pos="567"/>
              </w:tabs>
              <w:spacing w:before="2" w:line="240" w:lineRule="exact"/>
              <w:rPr>
                <w:rFonts w:eastAsia="Times New Roman"/>
                <w:szCs w:val="24"/>
                <w:lang w:val="lt-LT" w:eastAsia="en-US"/>
              </w:rPr>
            </w:pPr>
          </w:p>
          <w:p w14:paraId="24196851" w14:textId="77777777" w:rsidR="00C43889" w:rsidRPr="004509B9" w:rsidRDefault="00C43889" w:rsidP="00F72503">
            <w:pPr>
              <w:tabs>
                <w:tab w:val="left" w:pos="567"/>
              </w:tabs>
              <w:ind w:left="102" w:right="303"/>
              <w:jc w:val="center"/>
              <w:rPr>
                <w:rFonts w:eastAsia="Times New Roman"/>
                <w:sz w:val="20"/>
                <w:lang w:val="lt-LT" w:eastAsia="en-US"/>
              </w:rPr>
            </w:pPr>
            <w:r w:rsidRPr="004509B9">
              <w:rPr>
                <w:rFonts w:eastAsia="Times New Roman"/>
                <w:b/>
                <w:bCs/>
                <w:sz w:val="20"/>
                <w:lang w:val="lt-LT" w:eastAsia="en-US"/>
              </w:rPr>
              <w:t xml:space="preserve">All </w:t>
            </w:r>
            <w:r w:rsidRPr="004509B9">
              <w:rPr>
                <w:rFonts w:eastAsia="Times New Roman"/>
                <w:b/>
                <w:bCs/>
                <w:spacing w:val="1"/>
                <w:sz w:val="20"/>
                <w:lang w:val="lt-LT" w:eastAsia="en-US"/>
              </w:rPr>
              <w:t>ranges</w:t>
            </w:r>
          </w:p>
        </w:tc>
        <w:tc>
          <w:tcPr>
            <w:tcW w:w="912" w:type="dxa"/>
            <w:tcBorders>
              <w:top w:val="single" w:sz="4" w:space="0" w:color="000000"/>
              <w:left w:val="single" w:sz="4" w:space="0" w:color="000000"/>
              <w:bottom w:val="single" w:sz="4" w:space="0" w:color="000000"/>
              <w:right w:val="single" w:sz="4" w:space="0" w:color="000000"/>
            </w:tcBorders>
          </w:tcPr>
          <w:p w14:paraId="7DC3B2AE" w14:textId="77777777" w:rsidR="00C43889" w:rsidRPr="004509B9" w:rsidRDefault="00C43889" w:rsidP="00C43889">
            <w:pPr>
              <w:tabs>
                <w:tab w:val="left" w:pos="567"/>
              </w:tabs>
              <w:spacing w:before="2" w:line="150" w:lineRule="exact"/>
              <w:rPr>
                <w:rFonts w:eastAsia="Times New Roman"/>
                <w:sz w:val="15"/>
                <w:szCs w:val="15"/>
                <w:lang w:val="lt-LT" w:eastAsia="en-US"/>
              </w:rPr>
            </w:pPr>
          </w:p>
          <w:p w14:paraId="57AAB372" w14:textId="77777777" w:rsidR="00C43889" w:rsidRPr="004509B9" w:rsidRDefault="00C43889" w:rsidP="00C43889">
            <w:pPr>
              <w:tabs>
                <w:tab w:val="left" w:pos="567"/>
              </w:tabs>
              <w:spacing w:line="200" w:lineRule="exact"/>
              <w:rPr>
                <w:rFonts w:eastAsia="Times New Roman"/>
                <w:sz w:val="20"/>
                <w:lang w:val="lt-LT" w:eastAsia="en-US"/>
              </w:rPr>
            </w:pPr>
          </w:p>
          <w:p w14:paraId="4AB30E88"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ascii="Symbol" w:eastAsia="Symbol" w:hAnsi="Symbol" w:cs="Symbol"/>
                <w:sz w:val="20"/>
                <w:lang w:val="lt-LT" w:eastAsia="en-US"/>
              </w:rPr>
              <w:t></w:t>
            </w:r>
            <w:r w:rsidRPr="004509B9">
              <w:rPr>
                <w:rFonts w:eastAsia="Times New Roman"/>
                <w:sz w:val="20"/>
                <w:lang w:val="lt-LT" w:eastAsia="en-US"/>
              </w:rPr>
              <w:t xml:space="preserve"> </w:t>
            </w:r>
            <w:r w:rsidRPr="004509B9">
              <w:rPr>
                <w:rFonts w:eastAsia="Times New Roman"/>
                <w:b/>
                <w:bCs/>
                <w:spacing w:val="1"/>
                <w:sz w:val="20"/>
                <w:lang w:val="lt-LT" w:eastAsia="en-US"/>
              </w:rPr>
              <w:t>10</w:t>
            </w:r>
          </w:p>
        </w:tc>
        <w:tc>
          <w:tcPr>
            <w:tcW w:w="826" w:type="dxa"/>
            <w:tcBorders>
              <w:top w:val="single" w:sz="4" w:space="0" w:color="000000"/>
              <w:left w:val="single" w:sz="4" w:space="0" w:color="000000"/>
              <w:bottom w:val="single" w:sz="4" w:space="0" w:color="000000"/>
              <w:right w:val="single" w:sz="4" w:space="0" w:color="000000"/>
            </w:tcBorders>
          </w:tcPr>
          <w:p w14:paraId="52414362" w14:textId="77777777" w:rsidR="00C43889" w:rsidRPr="004509B9" w:rsidRDefault="00C43889" w:rsidP="00C43889">
            <w:pPr>
              <w:tabs>
                <w:tab w:val="left" w:pos="567"/>
              </w:tabs>
              <w:spacing w:before="7" w:line="150" w:lineRule="exact"/>
              <w:rPr>
                <w:rFonts w:eastAsia="Times New Roman"/>
                <w:sz w:val="15"/>
                <w:szCs w:val="15"/>
                <w:lang w:val="lt-LT" w:eastAsia="en-US"/>
              </w:rPr>
            </w:pPr>
          </w:p>
          <w:p w14:paraId="2CC2E77C" w14:textId="77777777" w:rsidR="00C43889" w:rsidRPr="004509B9" w:rsidRDefault="00C43889" w:rsidP="00C43889">
            <w:pPr>
              <w:tabs>
                <w:tab w:val="left" w:pos="567"/>
              </w:tabs>
              <w:spacing w:line="200" w:lineRule="exact"/>
              <w:rPr>
                <w:rFonts w:eastAsia="Times New Roman"/>
                <w:sz w:val="20"/>
                <w:lang w:val="lt-LT" w:eastAsia="en-US"/>
              </w:rPr>
            </w:pPr>
          </w:p>
          <w:p w14:paraId="4C375491"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eastAsia="Times New Roman"/>
                <w:b/>
                <w:bCs/>
                <w:spacing w:val="1"/>
                <w:sz w:val="20"/>
                <w:lang w:val="lt-LT" w:eastAsia="en-US"/>
              </w:rPr>
              <w:t>10-</w:t>
            </w:r>
            <w:r w:rsidRPr="004509B9">
              <w:rPr>
                <w:rFonts w:eastAsia="Times New Roman"/>
                <w:b/>
                <w:bCs/>
                <w:spacing w:val="-1"/>
                <w:sz w:val="20"/>
                <w:lang w:val="lt-LT" w:eastAsia="en-US"/>
              </w:rPr>
              <w:t>40</w:t>
            </w:r>
          </w:p>
        </w:tc>
        <w:tc>
          <w:tcPr>
            <w:tcW w:w="926" w:type="dxa"/>
            <w:tcBorders>
              <w:top w:val="single" w:sz="4" w:space="0" w:color="000000"/>
              <w:left w:val="single" w:sz="4" w:space="0" w:color="000000"/>
              <w:bottom w:val="single" w:sz="4" w:space="0" w:color="000000"/>
              <w:right w:val="single" w:sz="4" w:space="0" w:color="000000"/>
            </w:tcBorders>
          </w:tcPr>
          <w:p w14:paraId="01B41453" w14:textId="77777777" w:rsidR="00C43889" w:rsidRPr="004509B9" w:rsidRDefault="00C43889" w:rsidP="00C43889">
            <w:pPr>
              <w:tabs>
                <w:tab w:val="left" w:pos="567"/>
              </w:tabs>
              <w:spacing w:before="7" w:line="150" w:lineRule="exact"/>
              <w:rPr>
                <w:rFonts w:eastAsia="Times New Roman"/>
                <w:sz w:val="15"/>
                <w:szCs w:val="15"/>
                <w:lang w:val="lt-LT" w:eastAsia="en-US"/>
              </w:rPr>
            </w:pPr>
          </w:p>
          <w:p w14:paraId="747C58DD" w14:textId="77777777" w:rsidR="00C43889" w:rsidRPr="004509B9" w:rsidRDefault="00C43889" w:rsidP="00C43889">
            <w:pPr>
              <w:tabs>
                <w:tab w:val="left" w:pos="567"/>
              </w:tabs>
              <w:spacing w:line="200" w:lineRule="exact"/>
              <w:rPr>
                <w:rFonts w:eastAsia="Times New Roman"/>
                <w:sz w:val="20"/>
                <w:lang w:val="lt-LT" w:eastAsia="en-US"/>
              </w:rPr>
            </w:pPr>
          </w:p>
          <w:p w14:paraId="616A16A3"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eastAsia="Times New Roman"/>
                <w:b/>
                <w:bCs/>
                <w:sz w:val="20"/>
                <w:lang w:val="lt-LT" w:eastAsia="en-US"/>
              </w:rPr>
              <w:t>&gt;</w:t>
            </w:r>
            <w:r w:rsidRPr="004509B9">
              <w:rPr>
                <w:rFonts w:eastAsia="Times New Roman"/>
                <w:b/>
                <w:bCs/>
                <w:spacing w:val="-1"/>
                <w:sz w:val="20"/>
                <w:lang w:val="lt-LT" w:eastAsia="en-US"/>
              </w:rPr>
              <w:t xml:space="preserve"> </w:t>
            </w:r>
            <w:r w:rsidRPr="004509B9">
              <w:rPr>
                <w:rFonts w:eastAsia="Times New Roman"/>
                <w:b/>
                <w:bCs/>
                <w:spacing w:val="1"/>
                <w:sz w:val="20"/>
                <w:lang w:val="lt-LT" w:eastAsia="en-US"/>
              </w:rPr>
              <w:t>40</w:t>
            </w:r>
          </w:p>
        </w:tc>
      </w:tr>
      <w:tr w:rsidR="00C43889" w:rsidRPr="00C75EC3" w14:paraId="4BA7E5FF" w14:textId="77777777" w:rsidTr="00F72503">
        <w:trPr>
          <w:trHeight w:hRule="exact" w:val="470"/>
        </w:trPr>
        <w:tc>
          <w:tcPr>
            <w:tcW w:w="2174" w:type="dxa"/>
            <w:tcBorders>
              <w:top w:val="single" w:sz="4" w:space="0" w:color="000000"/>
              <w:left w:val="single" w:sz="4" w:space="0" w:color="000000"/>
              <w:bottom w:val="single" w:sz="4" w:space="0" w:color="000000"/>
              <w:right w:val="single" w:sz="4" w:space="0" w:color="000000"/>
            </w:tcBorders>
          </w:tcPr>
          <w:p w14:paraId="3CFCCA19" w14:textId="77777777" w:rsidR="00C43889" w:rsidRPr="004509B9" w:rsidRDefault="00C43889" w:rsidP="00C43889">
            <w:pPr>
              <w:tabs>
                <w:tab w:val="left" w:pos="567"/>
              </w:tabs>
              <w:spacing w:before="2" w:line="120" w:lineRule="exact"/>
              <w:rPr>
                <w:rFonts w:eastAsia="Times New Roman"/>
                <w:sz w:val="12"/>
                <w:szCs w:val="12"/>
                <w:lang w:val="lt-LT" w:eastAsia="en-US"/>
              </w:rPr>
            </w:pPr>
          </w:p>
          <w:p w14:paraId="48E1F0E1" w14:textId="77777777" w:rsidR="00C43889" w:rsidRPr="004509B9" w:rsidRDefault="00442FFE" w:rsidP="00442FFE">
            <w:pPr>
              <w:tabs>
                <w:tab w:val="left" w:pos="567"/>
              </w:tabs>
              <w:ind w:left="102" w:right="-20"/>
              <w:rPr>
                <w:rFonts w:eastAsia="Times New Roman"/>
                <w:sz w:val="20"/>
                <w:lang w:val="lt-LT" w:eastAsia="en-US"/>
              </w:rPr>
            </w:pPr>
            <w:r w:rsidRPr="004509B9">
              <w:rPr>
                <w:rFonts w:eastAsia="Times New Roman"/>
                <w:sz w:val="20"/>
                <w:lang w:val="lt-LT" w:eastAsia="en-US"/>
              </w:rPr>
              <w:t xml:space="preserve">Visi </w:t>
            </w:r>
            <w:r w:rsidR="00C43889" w:rsidRPr="004509B9">
              <w:rPr>
                <w:rFonts w:eastAsia="Times New Roman"/>
                <w:sz w:val="20"/>
                <w:lang w:val="lt-LT" w:eastAsia="en-US"/>
              </w:rPr>
              <w:t>pa</w:t>
            </w:r>
            <w:r w:rsidRPr="004509B9">
              <w:rPr>
                <w:rFonts w:eastAsia="Times New Roman"/>
                <w:sz w:val="20"/>
                <w:lang w:val="lt-LT" w:eastAsia="en-US"/>
              </w:rPr>
              <w:t>c</w:t>
            </w:r>
            <w:r w:rsidR="00C43889" w:rsidRPr="004509B9">
              <w:rPr>
                <w:rFonts w:eastAsia="Times New Roman"/>
                <w:sz w:val="20"/>
                <w:lang w:val="lt-LT" w:eastAsia="en-US"/>
              </w:rPr>
              <w:t>ient</w:t>
            </w:r>
            <w:r w:rsidRPr="004509B9">
              <w:rPr>
                <w:rFonts w:eastAsia="Times New Roman"/>
                <w:sz w:val="20"/>
                <w:lang w:val="lt-LT" w:eastAsia="en-US"/>
              </w:rPr>
              <w:t>ai</w:t>
            </w:r>
          </w:p>
        </w:tc>
        <w:tc>
          <w:tcPr>
            <w:tcW w:w="993" w:type="dxa"/>
            <w:tcBorders>
              <w:top w:val="single" w:sz="4" w:space="0" w:color="000000"/>
              <w:left w:val="single" w:sz="4" w:space="0" w:color="000000"/>
              <w:bottom w:val="single" w:sz="4" w:space="0" w:color="000000"/>
              <w:right w:val="single" w:sz="4" w:space="0" w:color="000000"/>
            </w:tcBorders>
            <w:hideMark/>
          </w:tcPr>
          <w:p w14:paraId="1EE2D2BD" w14:textId="77777777" w:rsidR="00C43889" w:rsidRPr="004509B9" w:rsidRDefault="00C43889" w:rsidP="00F72503">
            <w:pPr>
              <w:tabs>
                <w:tab w:val="left" w:pos="567"/>
              </w:tabs>
              <w:spacing w:before="6"/>
              <w:ind w:left="102" w:right="-20"/>
              <w:jc w:val="center"/>
              <w:rPr>
                <w:rFonts w:eastAsia="Times New Roman"/>
                <w:sz w:val="20"/>
                <w:lang w:val="lt-LT" w:eastAsia="en-US"/>
              </w:rPr>
            </w:pPr>
            <w:r w:rsidRPr="004509B9">
              <w:rPr>
                <w:rFonts w:eastAsia="Times New Roman"/>
                <w:spacing w:val="1"/>
                <w:sz w:val="20"/>
                <w:lang w:val="lt-LT" w:eastAsia="en-US"/>
              </w:rPr>
              <w:t>45%</w:t>
            </w:r>
          </w:p>
          <w:p w14:paraId="7EBB5ED1"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eastAsia="Times New Roman"/>
                <w:spacing w:val="1"/>
                <w:sz w:val="20"/>
                <w:lang w:val="lt-LT" w:eastAsia="en-US"/>
              </w:rPr>
              <w:t>455/1,014</w:t>
            </w:r>
          </w:p>
        </w:tc>
        <w:tc>
          <w:tcPr>
            <w:tcW w:w="850" w:type="dxa"/>
            <w:tcBorders>
              <w:top w:val="single" w:sz="4" w:space="0" w:color="000000"/>
              <w:left w:val="single" w:sz="4" w:space="0" w:color="000000"/>
              <w:bottom w:val="single" w:sz="4" w:space="0" w:color="000000"/>
              <w:right w:val="single" w:sz="4" w:space="0" w:color="000000"/>
            </w:tcBorders>
            <w:hideMark/>
          </w:tcPr>
          <w:p w14:paraId="75318709" w14:textId="77777777" w:rsidR="00C43889" w:rsidRPr="004509B9" w:rsidRDefault="00C43889" w:rsidP="00F72503">
            <w:pPr>
              <w:tabs>
                <w:tab w:val="left" w:pos="567"/>
              </w:tabs>
              <w:spacing w:before="6"/>
              <w:ind w:left="102" w:right="-20"/>
              <w:jc w:val="center"/>
              <w:rPr>
                <w:rFonts w:eastAsia="Times New Roman"/>
                <w:sz w:val="20"/>
                <w:lang w:val="lt-LT" w:eastAsia="en-US"/>
              </w:rPr>
            </w:pPr>
            <w:r w:rsidRPr="004509B9">
              <w:rPr>
                <w:rFonts w:eastAsia="Times New Roman"/>
                <w:spacing w:val="1"/>
                <w:sz w:val="20"/>
                <w:lang w:val="lt-LT" w:eastAsia="en-US"/>
              </w:rPr>
              <w:t>54%</w:t>
            </w:r>
          </w:p>
          <w:p w14:paraId="08166214"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eastAsia="Times New Roman"/>
                <w:spacing w:val="1"/>
                <w:sz w:val="20"/>
                <w:lang w:val="lt-LT" w:eastAsia="en-US"/>
              </w:rPr>
              <w:t>359/660</w:t>
            </w:r>
          </w:p>
        </w:tc>
        <w:tc>
          <w:tcPr>
            <w:tcW w:w="709" w:type="dxa"/>
            <w:tcBorders>
              <w:top w:val="single" w:sz="4" w:space="0" w:color="000000"/>
              <w:left w:val="single" w:sz="4" w:space="0" w:color="000000"/>
              <w:bottom w:val="single" w:sz="4" w:space="0" w:color="000000"/>
              <w:right w:val="single" w:sz="4" w:space="0" w:color="000000"/>
            </w:tcBorders>
            <w:hideMark/>
          </w:tcPr>
          <w:p w14:paraId="5DBD4BD7" w14:textId="77777777" w:rsidR="00C43889" w:rsidRPr="004509B9" w:rsidRDefault="00C43889" w:rsidP="00F72503">
            <w:pPr>
              <w:tabs>
                <w:tab w:val="left" w:pos="567"/>
              </w:tabs>
              <w:spacing w:before="6"/>
              <w:ind w:left="100" w:right="-20"/>
              <w:jc w:val="center"/>
              <w:rPr>
                <w:rFonts w:eastAsia="Times New Roman"/>
                <w:sz w:val="20"/>
                <w:lang w:val="lt-LT" w:eastAsia="en-US"/>
              </w:rPr>
            </w:pPr>
            <w:r w:rsidRPr="004509B9">
              <w:rPr>
                <w:rFonts w:eastAsia="Times New Roman"/>
                <w:spacing w:val="1"/>
                <w:sz w:val="20"/>
                <w:lang w:val="lt-LT" w:eastAsia="en-US"/>
              </w:rPr>
              <w:t>39%</w:t>
            </w:r>
          </w:p>
          <w:p w14:paraId="4213683F" w14:textId="77777777" w:rsidR="00C43889" w:rsidRPr="004509B9" w:rsidRDefault="00C43889" w:rsidP="00F72503">
            <w:pPr>
              <w:tabs>
                <w:tab w:val="left" w:pos="567"/>
              </w:tabs>
              <w:ind w:left="100" w:right="-20"/>
              <w:jc w:val="center"/>
              <w:rPr>
                <w:rFonts w:eastAsia="Times New Roman"/>
                <w:sz w:val="20"/>
                <w:lang w:val="lt-LT" w:eastAsia="en-US"/>
              </w:rPr>
            </w:pPr>
            <w:r w:rsidRPr="004509B9">
              <w:rPr>
                <w:rFonts w:eastAsia="Times New Roman"/>
                <w:spacing w:val="1"/>
                <w:sz w:val="20"/>
                <w:lang w:val="lt-LT" w:eastAsia="en-US"/>
              </w:rPr>
              <w:t>67/172</w:t>
            </w:r>
          </w:p>
        </w:tc>
        <w:tc>
          <w:tcPr>
            <w:tcW w:w="863" w:type="dxa"/>
            <w:tcBorders>
              <w:top w:val="single" w:sz="4" w:space="0" w:color="000000"/>
              <w:left w:val="single" w:sz="4" w:space="0" w:color="000000"/>
              <w:bottom w:val="single" w:sz="4" w:space="0" w:color="000000"/>
              <w:right w:val="single" w:sz="4" w:space="0" w:color="000000"/>
            </w:tcBorders>
            <w:hideMark/>
          </w:tcPr>
          <w:p w14:paraId="7D931D5D" w14:textId="77777777" w:rsidR="00C43889" w:rsidRPr="004509B9" w:rsidRDefault="00C43889" w:rsidP="00F72503">
            <w:pPr>
              <w:tabs>
                <w:tab w:val="left" w:pos="567"/>
              </w:tabs>
              <w:spacing w:before="6"/>
              <w:ind w:left="102" w:right="-20"/>
              <w:jc w:val="center"/>
              <w:rPr>
                <w:rFonts w:eastAsia="Times New Roman"/>
                <w:sz w:val="20"/>
                <w:lang w:val="lt-LT" w:eastAsia="en-US"/>
              </w:rPr>
            </w:pPr>
            <w:r w:rsidRPr="004509B9">
              <w:rPr>
                <w:rFonts w:eastAsia="Times New Roman"/>
                <w:spacing w:val="1"/>
                <w:sz w:val="20"/>
                <w:lang w:val="lt-LT" w:eastAsia="en-US"/>
              </w:rPr>
              <w:t>12%</w:t>
            </w:r>
          </w:p>
          <w:p w14:paraId="0FDA68E2"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eastAsia="Times New Roman"/>
                <w:spacing w:val="1"/>
                <w:sz w:val="20"/>
                <w:lang w:val="lt-LT" w:eastAsia="en-US"/>
              </w:rPr>
              <w:t>20/171</w:t>
            </w:r>
          </w:p>
        </w:tc>
        <w:tc>
          <w:tcPr>
            <w:tcW w:w="1039" w:type="dxa"/>
            <w:tcBorders>
              <w:top w:val="single" w:sz="4" w:space="0" w:color="000000"/>
              <w:left w:val="single" w:sz="4" w:space="0" w:color="000000"/>
              <w:bottom w:val="single" w:sz="4" w:space="0" w:color="000000"/>
              <w:right w:val="single" w:sz="4" w:space="0" w:color="000000"/>
            </w:tcBorders>
            <w:hideMark/>
          </w:tcPr>
          <w:p w14:paraId="48F64F63" w14:textId="77777777" w:rsidR="00C43889" w:rsidRPr="004509B9" w:rsidRDefault="00C43889" w:rsidP="00F72503">
            <w:pPr>
              <w:tabs>
                <w:tab w:val="left" w:pos="567"/>
              </w:tabs>
              <w:spacing w:before="6"/>
              <w:ind w:left="102" w:right="-20"/>
              <w:jc w:val="center"/>
              <w:rPr>
                <w:rFonts w:eastAsia="Times New Roman"/>
                <w:sz w:val="20"/>
                <w:lang w:val="lt-LT" w:eastAsia="en-US"/>
              </w:rPr>
            </w:pPr>
            <w:r w:rsidRPr="004509B9">
              <w:rPr>
                <w:rFonts w:eastAsia="Times New Roman"/>
                <w:spacing w:val="1"/>
                <w:sz w:val="20"/>
                <w:lang w:val="lt-LT" w:eastAsia="en-US"/>
              </w:rPr>
              <w:t>45%</w:t>
            </w:r>
          </w:p>
          <w:p w14:paraId="2C506607"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eastAsia="Times New Roman"/>
                <w:spacing w:val="1"/>
                <w:sz w:val="20"/>
                <w:lang w:val="lt-LT" w:eastAsia="en-US"/>
              </w:rPr>
              <w:t>455/1,014</w:t>
            </w:r>
          </w:p>
        </w:tc>
        <w:tc>
          <w:tcPr>
            <w:tcW w:w="912" w:type="dxa"/>
            <w:tcBorders>
              <w:top w:val="single" w:sz="4" w:space="0" w:color="000000"/>
              <w:left w:val="single" w:sz="4" w:space="0" w:color="000000"/>
              <w:bottom w:val="single" w:sz="4" w:space="0" w:color="000000"/>
              <w:right w:val="single" w:sz="4" w:space="0" w:color="000000"/>
            </w:tcBorders>
            <w:hideMark/>
          </w:tcPr>
          <w:p w14:paraId="2366E4F3" w14:textId="77777777" w:rsidR="00C43889" w:rsidRPr="004509B9" w:rsidRDefault="00C43889" w:rsidP="00F72503">
            <w:pPr>
              <w:tabs>
                <w:tab w:val="left" w:pos="567"/>
              </w:tabs>
              <w:spacing w:before="6"/>
              <w:ind w:left="102" w:right="-20"/>
              <w:jc w:val="center"/>
              <w:rPr>
                <w:rFonts w:eastAsia="Times New Roman"/>
                <w:sz w:val="20"/>
                <w:lang w:val="lt-LT" w:eastAsia="en-US"/>
              </w:rPr>
            </w:pPr>
            <w:r w:rsidRPr="004509B9">
              <w:rPr>
                <w:rFonts w:eastAsia="Times New Roman"/>
                <w:spacing w:val="1"/>
                <w:sz w:val="20"/>
                <w:lang w:val="lt-LT" w:eastAsia="en-US"/>
              </w:rPr>
              <w:t>55%</w:t>
            </w:r>
          </w:p>
          <w:p w14:paraId="3D69FFEA"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eastAsia="Times New Roman"/>
                <w:spacing w:val="1"/>
                <w:sz w:val="20"/>
                <w:lang w:val="lt-LT" w:eastAsia="en-US"/>
              </w:rPr>
              <w:t>364/659</w:t>
            </w:r>
          </w:p>
        </w:tc>
        <w:tc>
          <w:tcPr>
            <w:tcW w:w="826" w:type="dxa"/>
            <w:tcBorders>
              <w:top w:val="single" w:sz="4" w:space="0" w:color="000000"/>
              <w:left w:val="single" w:sz="4" w:space="0" w:color="000000"/>
              <w:bottom w:val="single" w:sz="4" w:space="0" w:color="000000"/>
              <w:right w:val="single" w:sz="4" w:space="0" w:color="000000"/>
            </w:tcBorders>
            <w:hideMark/>
          </w:tcPr>
          <w:p w14:paraId="268B9258" w14:textId="77777777" w:rsidR="00C43889" w:rsidRPr="004509B9" w:rsidRDefault="00C43889" w:rsidP="00F72503">
            <w:pPr>
              <w:tabs>
                <w:tab w:val="left" w:pos="567"/>
              </w:tabs>
              <w:spacing w:before="6"/>
              <w:ind w:left="102" w:right="-20"/>
              <w:jc w:val="center"/>
              <w:rPr>
                <w:rFonts w:eastAsia="Times New Roman"/>
                <w:sz w:val="20"/>
                <w:lang w:val="lt-LT" w:eastAsia="en-US"/>
              </w:rPr>
            </w:pPr>
            <w:r w:rsidRPr="004509B9">
              <w:rPr>
                <w:rFonts w:eastAsia="Times New Roman"/>
                <w:spacing w:val="1"/>
                <w:sz w:val="20"/>
                <w:lang w:val="lt-LT" w:eastAsia="en-US"/>
              </w:rPr>
              <w:t>29%</w:t>
            </w:r>
          </w:p>
          <w:p w14:paraId="537A07BE"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eastAsia="Times New Roman"/>
                <w:spacing w:val="1"/>
                <w:sz w:val="20"/>
                <w:lang w:val="lt-LT" w:eastAsia="en-US"/>
              </w:rPr>
              <w:t>59/203</w:t>
            </w:r>
          </w:p>
        </w:tc>
        <w:tc>
          <w:tcPr>
            <w:tcW w:w="926" w:type="dxa"/>
            <w:tcBorders>
              <w:top w:val="single" w:sz="4" w:space="0" w:color="000000"/>
              <w:left w:val="single" w:sz="4" w:space="0" w:color="000000"/>
              <w:bottom w:val="single" w:sz="4" w:space="0" w:color="000000"/>
              <w:right w:val="single" w:sz="4" w:space="0" w:color="000000"/>
            </w:tcBorders>
            <w:hideMark/>
          </w:tcPr>
          <w:p w14:paraId="0B87F2B2" w14:textId="77777777" w:rsidR="00C43889" w:rsidRPr="004509B9" w:rsidRDefault="00C43889" w:rsidP="00F72503">
            <w:pPr>
              <w:tabs>
                <w:tab w:val="left" w:pos="567"/>
              </w:tabs>
              <w:spacing w:before="6"/>
              <w:ind w:left="102" w:right="-20"/>
              <w:jc w:val="center"/>
              <w:rPr>
                <w:rFonts w:eastAsia="Times New Roman"/>
                <w:sz w:val="20"/>
                <w:lang w:val="lt-LT" w:eastAsia="en-US"/>
              </w:rPr>
            </w:pPr>
            <w:r w:rsidRPr="004509B9">
              <w:rPr>
                <w:rFonts w:eastAsia="Times New Roman"/>
                <w:spacing w:val="1"/>
                <w:sz w:val="20"/>
                <w:lang w:val="lt-LT" w:eastAsia="en-US"/>
              </w:rPr>
              <w:t>8%</w:t>
            </w:r>
          </w:p>
          <w:p w14:paraId="79765500"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eastAsia="Times New Roman"/>
                <w:spacing w:val="1"/>
                <w:sz w:val="20"/>
                <w:lang w:val="lt-LT" w:eastAsia="en-US"/>
              </w:rPr>
              <w:t>9/118</w:t>
            </w:r>
          </w:p>
        </w:tc>
      </w:tr>
      <w:tr w:rsidR="00C43889" w:rsidRPr="00C75EC3" w14:paraId="0094EC5D" w14:textId="77777777" w:rsidTr="00F72503">
        <w:trPr>
          <w:trHeight w:hRule="exact" w:val="701"/>
        </w:trPr>
        <w:tc>
          <w:tcPr>
            <w:tcW w:w="2174" w:type="dxa"/>
            <w:tcBorders>
              <w:top w:val="single" w:sz="4" w:space="0" w:color="000000"/>
              <w:left w:val="single" w:sz="4" w:space="0" w:color="000000"/>
              <w:bottom w:val="single" w:sz="4" w:space="0" w:color="000000"/>
              <w:right w:val="single" w:sz="4" w:space="0" w:color="000000"/>
            </w:tcBorders>
            <w:hideMark/>
          </w:tcPr>
          <w:p w14:paraId="032F515D" w14:textId="77777777" w:rsidR="00C43889" w:rsidRPr="004509B9" w:rsidRDefault="00C43889" w:rsidP="00442FFE">
            <w:pPr>
              <w:tabs>
                <w:tab w:val="left" w:pos="567"/>
              </w:tabs>
              <w:spacing w:before="6"/>
              <w:ind w:left="102" w:right="-20"/>
              <w:rPr>
                <w:rFonts w:eastAsia="Times New Roman"/>
                <w:sz w:val="13"/>
                <w:szCs w:val="13"/>
                <w:lang w:val="lt-LT" w:eastAsia="en-US"/>
              </w:rPr>
            </w:pPr>
            <w:r w:rsidRPr="004509B9">
              <w:rPr>
                <w:rFonts w:eastAsia="Times New Roman"/>
                <w:sz w:val="20"/>
                <w:lang w:val="lt-LT" w:eastAsia="en-US"/>
              </w:rPr>
              <w:lastRenderedPageBreak/>
              <w:t>Pa</w:t>
            </w:r>
            <w:r w:rsidR="00442FFE" w:rsidRPr="004509B9">
              <w:rPr>
                <w:rFonts w:eastAsia="Times New Roman"/>
                <w:sz w:val="20"/>
                <w:lang w:val="lt-LT" w:eastAsia="en-US"/>
              </w:rPr>
              <w:t xml:space="preserve">cientai, kurie nevartojo/ne negydyti </w:t>
            </w:r>
            <w:r w:rsidRPr="004509B9">
              <w:rPr>
                <w:rFonts w:eastAsia="Times New Roman"/>
                <w:sz w:val="20"/>
                <w:lang w:val="lt-LT" w:eastAsia="en-US"/>
              </w:rPr>
              <w:t>ENF</w:t>
            </w:r>
            <w:r w:rsidRPr="004509B9">
              <w:rPr>
                <w:rFonts w:eastAsia="Times New Roman"/>
                <w:position w:val="9"/>
                <w:sz w:val="13"/>
                <w:szCs w:val="13"/>
                <w:lang w:val="lt-LT" w:eastAsia="en-US"/>
              </w:rPr>
              <w:t>c</w:t>
            </w:r>
          </w:p>
        </w:tc>
        <w:tc>
          <w:tcPr>
            <w:tcW w:w="993" w:type="dxa"/>
            <w:tcBorders>
              <w:top w:val="single" w:sz="4" w:space="0" w:color="000000"/>
              <w:left w:val="single" w:sz="4" w:space="0" w:color="000000"/>
              <w:bottom w:val="single" w:sz="4" w:space="0" w:color="000000"/>
              <w:right w:val="single" w:sz="4" w:space="0" w:color="000000"/>
            </w:tcBorders>
          </w:tcPr>
          <w:p w14:paraId="49511B93" w14:textId="77777777" w:rsidR="00C43889" w:rsidRPr="004509B9" w:rsidRDefault="00C43889" w:rsidP="00F72503">
            <w:pPr>
              <w:tabs>
                <w:tab w:val="left" w:pos="567"/>
              </w:tabs>
              <w:spacing w:before="2" w:line="120" w:lineRule="exact"/>
              <w:jc w:val="center"/>
              <w:rPr>
                <w:rFonts w:eastAsia="Times New Roman"/>
                <w:sz w:val="12"/>
                <w:szCs w:val="12"/>
                <w:lang w:val="lt-LT" w:eastAsia="en-US"/>
              </w:rPr>
            </w:pPr>
          </w:p>
          <w:p w14:paraId="479BB87C"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eastAsia="Times New Roman"/>
                <w:spacing w:val="1"/>
                <w:sz w:val="20"/>
                <w:lang w:val="lt-LT" w:eastAsia="en-US"/>
              </w:rPr>
              <w:t>39%</w:t>
            </w:r>
          </w:p>
          <w:p w14:paraId="3C0154F9"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eastAsia="Times New Roman"/>
                <w:spacing w:val="1"/>
                <w:sz w:val="20"/>
                <w:lang w:val="lt-LT" w:eastAsia="en-US"/>
              </w:rPr>
              <w:t>290/741</w:t>
            </w:r>
          </w:p>
        </w:tc>
        <w:tc>
          <w:tcPr>
            <w:tcW w:w="850" w:type="dxa"/>
            <w:tcBorders>
              <w:top w:val="single" w:sz="4" w:space="0" w:color="000000"/>
              <w:left w:val="single" w:sz="4" w:space="0" w:color="000000"/>
              <w:bottom w:val="single" w:sz="4" w:space="0" w:color="000000"/>
              <w:right w:val="single" w:sz="4" w:space="0" w:color="000000"/>
            </w:tcBorders>
          </w:tcPr>
          <w:p w14:paraId="1A25ABD3" w14:textId="77777777" w:rsidR="00C43889" w:rsidRPr="004509B9" w:rsidRDefault="00C43889" w:rsidP="00F72503">
            <w:pPr>
              <w:tabs>
                <w:tab w:val="left" w:pos="567"/>
              </w:tabs>
              <w:spacing w:before="2" w:line="120" w:lineRule="exact"/>
              <w:jc w:val="center"/>
              <w:rPr>
                <w:rFonts w:eastAsia="Times New Roman"/>
                <w:sz w:val="12"/>
                <w:szCs w:val="12"/>
                <w:lang w:val="lt-LT" w:eastAsia="en-US"/>
              </w:rPr>
            </w:pPr>
          </w:p>
          <w:p w14:paraId="323D8F8D"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eastAsia="Times New Roman"/>
                <w:spacing w:val="1"/>
                <w:sz w:val="20"/>
                <w:lang w:val="lt-LT" w:eastAsia="en-US"/>
              </w:rPr>
              <w:t>50%</w:t>
            </w:r>
          </w:p>
          <w:p w14:paraId="7EB8DC26"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eastAsia="Times New Roman"/>
                <w:spacing w:val="1"/>
                <w:sz w:val="20"/>
                <w:lang w:val="lt-LT" w:eastAsia="en-US"/>
              </w:rPr>
              <w:t>238/477</w:t>
            </w:r>
          </w:p>
        </w:tc>
        <w:tc>
          <w:tcPr>
            <w:tcW w:w="709" w:type="dxa"/>
            <w:tcBorders>
              <w:top w:val="single" w:sz="4" w:space="0" w:color="000000"/>
              <w:left w:val="single" w:sz="4" w:space="0" w:color="000000"/>
              <w:bottom w:val="single" w:sz="4" w:space="0" w:color="000000"/>
              <w:right w:val="single" w:sz="4" w:space="0" w:color="000000"/>
            </w:tcBorders>
          </w:tcPr>
          <w:p w14:paraId="14E2AC65" w14:textId="77777777" w:rsidR="00C43889" w:rsidRPr="004509B9" w:rsidRDefault="00C43889" w:rsidP="00F72503">
            <w:pPr>
              <w:tabs>
                <w:tab w:val="left" w:pos="567"/>
              </w:tabs>
              <w:spacing w:before="2" w:line="120" w:lineRule="exact"/>
              <w:jc w:val="center"/>
              <w:rPr>
                <w:rFonts w:eastAsia="Times New Roman"/>
                <w:sz w:val="12"/>
                <w:szCs w:val="12"/>
                <w:lang w:val="lt-LT" w:eastAsia="en-US"/>
              </w:rPr>
            </w:pPr>
          </w:p>
          <w:p w14:paraId="56FC6BA4" w14:textId="77777777" w:rsidR="00C43889" w:rsidRPr="004509B9" w:rsidRDefault="00C43889" w:rsidP="00F72503">
            <w:pPr>
              <w:tabs>
                <w:tab w:val="left" w:pos="567"/>
              </w:tabs>
              <w:ind w:left="100" w:right="-20"/>
              <w:jc w:val="center"/>
              <w:rPr>
                <w:rFonts w:eastAsia="Times New Roman"/>
                <w:sz w:val="20"/>
                <w:lang w:val="lt-LT" w:eastAsia="en-US"/>
              </w:rPr>
            </w:pPr>
            <w:r w:rsidRPr="004509B9">
              <w:rPr>
                <w:rFonts w:eastAsia="Times New Roman"/>
                <w:spacing w:val="1"/>
                <w:sz w:val="20"/>
                <w:lang w:val="lt-LT" w:eastAsia="en-US"/>
              </w:rPr>
              <w:t>29%</w:t>
            </w:r>
          </w:p>
          <w:p w14:paraId="2CBA6153" w14:textId="77777777" w:rsidR="00C43889" w:rsidRPr="004509B9" w:rsidRDefault="00C43889" w:rsidP="00F72503">
            <w:pPr>
              <w:tabs>
                <w:tab w:val="left" w:pos="567"/>
              </w:tabs>
              <w:ind w:left="100" w:right="-20"/>
              <w:jc w:val="center"/>
              <w:rPr>
                <w:rFonts w:eastAsia="Times New Roman"/>
                <w:sz w:val="20"/>
                <w:lang w:val="lt-LT" w:eastAsia="en-US"/>
              </w:rPr>
            </w:pPr>
            <w:r w:rsidRPr="004509B9">
              <w:rPr>
                <w:rFonts w:eastAsia="Times New Roman"/>
                <w:spacing w:val="1"/>
                <w:sz w:val="20"/>
                <w:lang w:val="lt-LT" w:eastAsia="en-US"/>
              </w:rPr>
              <w:t>35/120</w:t>
            </w:r>
          </w:p>
        </w:tc>
        <w:tc>
          <w:tcPr>
            <w:tcW w:w="863" w:type="dxa"/>
            <w:tcBorders>
              <w:top w:val="single" w:sz="4" w:space="0" w:color="000000"/>
              <w:left w:val="single" w:sz="4" w:space="0" w:color="000000"/>
              <w:bottom w:val="single" w:sz="4" w:space="0" w:color="000000"/>
              <w:right w:val="single" w:sz="4" w:space="0" w:color="000000"/>
            </w:tcBorders>
          </w:tcPr>
          <w:p w14:paraId="05347277" w14:textId="77777777" w:rsidR="00C43889" w:rsidRPr="004509B9" w:rsidRDefault="00C43889" w:rsidP="00F72503">
            <w:pPr>
              <w:tabs>
                <w:tab w:val="left" w:pos="567"/>
              </w:tabs>
              <w:spacing w:before="2" w:line="120" w:lineRule="exact"/>
              <w:jc w:val="center"/>
              <w:rPr>
                <w:rFonts w:eastAsia="Times New Roman"/>
                <w:sz w:val="12"/>
                <w:szCs w:val="12"/>
                <w:lang w:val="lt-LT" w:eastAsia="en-US"/>
              </w:rPr>
            </w:pPr>
          </w:p>
          <w:p w14:paraId="4817F361"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eastAsia="Times New Roman"/>
                <w:spacing w:val="1"/>
                <w:sz w:val="20"/>
                <w:lang w:val="lt-LT" w:eastAsia="en-US"/>
              </w:rPr>
              <w:t>7%</w:t>
            </w:r>
          </w:p>
          <w:p w14:paraId="59E0BA43"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eastAsia="Times New Roman"/>
                <w:spacing w:val="1"/>
                <w:sz w:val="20"/>
                <w:lang w:val="lt-LT" w:eastAsia="en-US"/>
              </w:rPr>
              <w:t>10/135</w:t>
            </w:r>
          </w:p>
        </w:tc>
        <w:tc>
          <w:tcPr>
            <w:tcW w:w="1039" w:type="dxa"/>
            <w:tcBorders>
              <w:top w:val="single" w:sz="4" w:space="0" w:color="000000"/>
              <w:left w:val="single" w:sz="4" w:space="0" w:color="000000"/>
              <w:bottom w:val="single" w:sz="4" w:space="0" w:color="000000"/>
              <w:right w:val="single" w:sz="4" w:space="0" w:color="000000"/>
            </w:tcBorders>
          </w:tcPr>
          <w:p w14:paraId="1D567701" w14:textId="77777777" w:rsidR="00C43889" w:rsidRPr="004509B9" w:rsidRDefault="00C43889" w:rsidP="00F72503">
            <w:pPr>
              <w:tabs>
                <w:tab w:val="left" w:pos="567"/>
              </w:tabs>
              <w:spacing w:before="2" w:line="120" w:lineRule="exact"/>
              <w:jc w:val="center"/>
              <w:rPr>
                <w:rFonts w:eastAsia="Times New Roman"/>
                <w:sz w:val="12"/>
                <w:szCs w:val="12"/>
                <w:lang w:val="lt-LT" w:eastAsia="en-US"/>
              </w:rPr>
            </w:pPr>
          </w:p>
          <w:p w14:paraId="192032F6"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eastAsia="Times New Roman"/>
                <w:spacing w:val="1"/>
                <w:sz w:val="20"/>
                <w:lang w:val="lt-LT" w:eastAsia="en-US"/>
              </w:rPr>
              <w:t>39%</w:t>
            </w:r>
          </w:p>
          <w:p w14:paraId="034FD9CB"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eastAsia="Times New Roman"/>
                <w:spacing w:val="1"/>
                <w:sz w:val="20"/>
                <w:lang w:val="lt-LT" w:eastAsia="en-US"/>
              </w:rPr>
              <w:t>290/741</w:t>
            </w:r>
          </w:p>
        </w:tc>
        <w:tc>
          <w:tcPr>
            <w:tcW w:w="912" w:type="dxa"/>
            <w:tcBorders>
              <w:top w:val="single" w:sz="4" w:space="0" w:color="000000"/>
              <w:left w:val="single" w:sz="4" w:space="0" w:color="000000"/>
              <w:bottom w:val="single" w:sz="4" w:space="0" w:color="000000"/>
              <w:right w:val="single" w:sz="4" w:space="0" w:color="000000"/>
            </w:tcBorders>
          </w:tcPr>
          <w:p w14:paraId="2962ECBB" w14:textId="77777777" w:rsidR="00C43889" w:rsidRPr="004509B9" w:rsidRDefault="00C43889" w:rsidP="00F72503">
            <w:pPr>
              <w:tabs>
                <w:tab w:val="left" w:pos="567"/>
              </w:tabs>
              <w:spacing w:before="2" w:line="120" w:lineRule="exact"/>
              <w:jc w:val="center"/>
              <w:rPr>
                <w:rFonts w:eastAsia="Times New Roman"/>
                <w:sz w:val="12"/>
                <w:szCs w:val="12"/>
                <w:lang w:val="lt-LT" w:eastAsia="en-US"/>
              </w:rPr>
            </w:pPr>
          </w:p>
          <w:p w14:paraId="53208D50"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eastAsia="Times New Roman"/>
                <w:spacing w:val="1"/>
                <w:sz w:val="20"/>
                <w:lang w:val="lt-LT" w:eastAsia="en-US"/>
              </w:rPr>
              <w:t>51%</w:t>
            </w:r>
          </w:p>
          <w:p w14:paraId="22DA1C91"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eastAsia="Times New Roman"/>
                <w:spacing w:val="1"/>
                <w:sz w:val="20"/>
                <w:lang w:val="lt-LT" w:eastAsia="en-US"/>
              </w:rPr>
              <w:t>244/477</w:t>
            </w:r>
          </w:p>
        </w:tc>
        <w:tc>
          <w:tcPr>
            <w:tcW w:w="826" w:type="dxa"/>
            <w:tcBorders>
              <w:top w:val="single" w:sz="4" w:space="0" w:color="000000"/>
              <w:left w:val="single" w:sz="4" w:space="0" w:color="000000"/>
              <w:bottom w:val="single" w:sz="4" w:space="0" w:color="000000"/>
              <w:right w:val="single" w:sz="4" w:space="0" w:color="000000"/>
            </w:tcBorders>
          </w:tcPr>
          <w:p w14:paraId="2486ACBC" w14:textId="77777777" w:rsidR="00C43889" w:rsidRPr="004509B9" w:rsidRDefault="00C43889" w:rsidP="00F72503">
            <w:pPr>
              <w:tabs>
                <w:tab w:val="left" w:pos="567"/>
              </w:tabs>
              <w:spacing w:before="2" w:line="120" w:lineRule="exact"/>
              <w:jc w:val="center"/>
              <w:rPr>
                <w:rFonts w:eastAsia="Times New Roman"/>
                <w:sz w:val="12"/>
                <w:szCs w:val="12"/>
                <w:lang w:val="lt-LT" w:eastAsia="en-US"/>
              </w:rPr>
            </w:pPr>
          </w:p>
          <w:p w14:paraId="5D9D7BC4"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eastAsia="Times New Roman"/>
                <w:spacing w:val="1"/>
                <w:sz w:val="20"/>
                <w:lang w:val="lt-LT" w:eastAsia="en-US"/>
              </w:rPr>
              <w:t>17%</w:t>
            </w:r>
          </w:p>
          <w:p w14:paraId="7DA1F560"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eastAsia="Times New Roman"/>
                <w:spacing w:val="1"/>
                <w:sz w:val="20"/>
                <w:lang w:val="lt-LT" w:eastAsia="en-US"/>
              </w:rPr>
              <w:t>25/147</w:t>
            </w:r>
          </w:p>
        </w:tc>
        <w:tc>
          <w:tcPr>
            <w:tcW w:w="926" w:type="dxa"/>
            <w:tcBorders>
              <w:top w:val="single" w:sz="4" w:space="0" w:color="000000"/>
              <w:left w:val="single" w:sz="4" w:space="0" w:color="000000"/>
              <w:bottom w:val="single" w:sz="4" w:space="0" w:color="000000"/>
              <w:right w:val="single" w:sz="4" w:space="0" w:color="000000"/>
            </w:tcBorders>
          </w:tcPr>
          <w:p w14:paraId="494F68A6" w14:textId="77777777" w:rsidR="00C43889" w:rsidRPr="004509B9" w:rsidRDefault="00C43889" w:rsidP="00F72503">
            <w:pPr>
              <w:tabs>
                <w:tab w:val="left" w:pos="567"/>
              </w:tabs>
              <w:spacing w:before="2" w:line="120" w:lineRule="exact"/>
              <w:jc w:val="center"/>
              <w:rPr>
                <w:rFonts w:eastAsia="Times New Roman"/>
                <w:sz w:val="12"/>
                <w:szCs w:val="12"/>
                <w:lang w:val="lt-LT" w:eastAsia="en-US"/>
              </w:rPr>
            </w:pPr>
          </w:p>
          <w:p w14:paraId="066E7D0D"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eastAsia="Times New Roman"/>
                <w:spacing w:val="1"/>
                <w:sz w:val="20"/>
                <w:lang w:val="lt-LT" w:eastAsia="en-US"/>
              </w:rPr>
              <w:t>5%</w:t>
            </w:r>
          </w:p>
          <w:p w14:paraId="57C01FE8"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eastAsia="Times New Roman"/>
                <w:spacing w:val="1"/>
                <w:sz w:val="20"/>
                <w:lang w:val="lt-LT" w:eastAsia="en-US"/>
              </w:rPr>
              <w:t>5/94</w:t>
            </w:r>
          </w:p>
        </w:tc>
      </w:tr>
      <w:tr w:rsidR="00C43889" w:rsidRPr="00C75EC3" w14:paraId="32CF44AA" w14:textId="77777777" w:rsidTr="00F72503">
        <w:trPr>
          <w:trHeight w:hRule="exact" w:val="468"/>
        </w:trPr>
        <w:tc>
          <w:tcPr>
            <w:tcW w:w="2174" w:type="dxa"/>
            <w:tcBorders>
              <w:top w:val="single" w:sz="4" w:space="0" w:color="000000"/>
              <w:left w:val="single" w:sz="4" w:space="0" w:color="000000"/>
              <w:bottom w:val="single" w:sz="4" w:space="0" w:color="000000"/>
              <w:right w:val="single" w:sz="4" w:space="0" w:color="000000"/>
            </w:tcBorders>
            <w:hideMark/>
          </w:tcPr>
          <w:p w14:paraId="6C3C6088" w14:textId="77777777" w:rsidR="00C43889" w:rsidRPr="004509B9" w:rsidRDefault="00C43889" w:rsidP="00F72503">
            <w:pPr>
              <w:tabs>
                <w:tab w:val="left" w:pos="567"/>
              </w:tabs>
              <w:spacing w:before="9" w:line="230" w:lineRule="exact"/>
              <w:ind w:left="102" w:right="195"/>
              <w:rPr>
                <w:rFonts w:eastAsia="Times New Roman"/>
                <w:sz w:val="13"/>
                <w:szCs w:val="13"/>
                <w:lang w:val="lt-LT" w:eastAsia="en-US"/>
              </w:rPr>
            </w:pPr>
            <w:r w:rsidRPr="004509B9">
              <w:rPr>
                <w:rFonts w:eastAsia="Times New Roman"/>
                <w:sz w:val="20"/>
                <w:lang w:val="lt-LT" w:eastAsia="en-US"/>
              </w:rPr>
              <w:t>Pa</w:t>
            </w:r>
            <w:r w:rsidR="00442FFE" w:rsidRPr="004509B9">
              <w:rPr>
                <w:rFonts w:eastAsia="Times New Roman"/>
                <w:sz w:val="20"/>
                <w:lang w:val="lt-LT" w:eastAsia="en-US"/>
              </w:rPr>
              <w:t>cientai, kurie</w:t>
            </w:r>
            <w:r w:rsidR="00F72503" w:rsidRPr="004509B9">
              <w:rPr>
                <w:rFonts w:eastAsia="Times New Roman"/>
                <w:sz w:val="20"/>
                <w:lang w:val="lt-LT" w:eastAsia="en-US"/>
              </w:rPr>
              <w:t xml:space="preserve"> n</w:t>
            </w:r>
            <w:r w:rsidR="00442FFE" w:rsidRPr="004509B9">
              <w:rPr>
                <w:rFonts w:eastAsia="Times New Roman"/>
                <w:sz w:val="20"/>
                <w:lang w:val="lt-LT" w:eastAsia="en-US"/>
              </w:rPr>
              <w:t xml:space="preserve">egydyti </w:t>
            </w:r>
            <w:r w:rsidRPr="004509B9">
              <w:rPr>
                <w:rFonts w:eastAsia="Times New Roman"/>
                <w:spacing w:val="-2"/>
                <w:sz w:val="20"/>
                <w:lang w:val="lt-LT" w:eastAsia="en-US"/>
              </w:rPr>
              <w:t xml:space="preserve"> </w:t>
            </w:r>
            <w:r w:rsidRPr="004509B9">
              <w:rPr>
                <w:rFonts w:eastAsia="Times New Roman"/>
                <w:sz w:val="20"/>
                <w:lang w:val="lt-LT" w:eastAsia="en-US"/>
              </w:rPr>
              <w:t>ENF</w:t>
            </w:r>
            <w:r w:rsidRPr="004509B9">
              <w:rPr>
                <w:rFonts w:eastAsia="Times New Roman"/>
                <w:position w:val="9"/>
                <w:sz w:val="13"/>
                <w:szCs w:val="13"/>
                <w:lang w:val="lt-LT" w:eastAsia="en-US"/>
              </w:rPr>
              <w:t>d</w:t>
            </w:r>
          </w:p>
        </w:tc>
        <w:tc>
          <w:tcPr>
            <w:tcW w:w="993" w:type="dxa"/>
            <w:tcBorders>
              <w:top w:val="single" w:sz="4" w:space="0" w:color="000000"/>
              <w:left w:val="single" w:sz="4" w:space="0" w:color="000000"/>
              <w:bottom w:val="single" w:sz="4" w:space="0" w:color="000000"/>
              <w:right w:val="single" w:sz="4" w:space="0" w:color="000000"/>
            </w:tcBorders>
            <w:hideMark/>
          </w:tcPr>
          <w:p w14:paraId="63503CD0" w14:textId="77777777" w:rsidR="00C43889" w:rsidRPr="004509B9" w:rsidRDefault="00C43889" w:rsidP="00F72503">
            <w:pPr>
              <w:tabs>
                <w:tab w:val="left" w:pos="567"/>
              </w:tabs>
              <w:spacing w:before="6"/>
              <w:ind w:left="102" w:right="-20"/>
              <w:jc w:val="center"/>
              <w:rPr>
                <w:rFonts w:eastAsia="Times New Roman"/>
                <w:sz w:val="20"/>
                <w:lang w:val="lt-LT" w:eastAsia="en-US"/>
              </w:rPr>
            </w:pPr>
            <w:r w:rsidRPr="004509B9">
              <w:rPr>
                <w:rFonts w:eastAsia="Times New Roman"/>
                <w:spacing w:val="1"/>
                <w:sz w:val="20"/>
                <w:lang w:val="lt-LT" w:eastAsia="en-US"/>
              </w:rPr>
              <w:t>60%</w:t>
            </w:r>
          </w:p>
          <w:p w14:paraId="1839E33D"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eastAsia="Times New Roman"/>
                <w:spacing w:val="1"/>
                <w:sz w:val="20"/>
                <w:lang w:val="lt-LT" w:eastAsia="en-US"/>
              </w:rPr>
              <w:t>165/273</w:t>
            </w:r>
          </w:p>
        </w:tc>
        <w:tc>
          <w:tcPr>
            <w:tcW w:w="850" w:type="dxa"/>
            <w:tcBorders>
              <w:top w:val="single" w:sz="4" w:space="0" w:color="000000"/>
              <w:left w:val="single" w:sz="4" w:space="0" w:color="000000"/>
              <w:bottom w:val="single" w:sz="4" w:space="0" w:color="000000"/>
              <w:right w:val="single" w:sz="4" w:space="0" w:color="000000"/>
            </w:tcBorders>
            <w:hideMark/>
          </w:tcPr>
          <w:p w14:paraId="7FCF4F4F" w14:textId="77777777" w:rsidR="00C43889" w:rsidRPr="004509B9" w:rsidRDefault="00C43889" w:rsidP="00F72503">
            <w:pPr>
              <w:tabs>
                <w:tab w:val="left" w:pos="567"/>
              </w:tabs>
              <w:spacing w:before="6"/>
              <w:ind w:left="102" w:right="-20"/>
              <w:jc w:val="center"/>
              <w:rPr>
                <w:rFonts w:eastAsia="Times New Roman"/>
                <w:sz w:val="20"/>
                <w:lang w:val="lt-LT" w:eastAsia="en-US"/>
              </w:rPr>
            </w:pPr>
            <w:r w:rsidRPr="004509B9">
              <w:rPr>
                <w:rFonts w:eastAsia="Times New Roman"/>
                <w:spacing w:val="1"/>
                <w:sz w:val="20"/>
                <w:lang w:val="lt-LT" w:eastAsia="en-US"/>
              </w:rPr>
              <w:t>66%</w:t>
            </w:r>
          </w:p>
          <w:p w14:paraId="4F2273B9"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eastAsia="Times New Roman"/>
                <w:spacing w:val="1"/>
                <w:sz w:val="20"/>
                <w:lang w:val="lt-LT" w:eastAsia="en-US"/>
              </w:rPr>
              <w:t>121/183</w:t>
            </w:r>
          </w:p>
        </w:tc>
        <w:tc>
          <w:tcPr>
            <w:tcW w:w="709" w:type="dxa"/>
            <w:tcBorders>
              <w:top w:val="single" w:sz="4" w:space="0" w:color="000000"/>
              <w:left w:val="single" w:sz="4" w:space="0" w:color="000000"/>
              <w:bottom w:val="single" w:sz="4" w:space="0" w:color="000000"/>
              <w:right w:val="single" w:sz="4" w:space="0" w:color="000000"/>
            </w:tcBorders>
            <w:hideMark/>
          </w:tcPr>
          <w:p w14:paraId="77BE5AF1" w14:textId="77777777" w:rsidR="00C43889" w:rsidRPr="004509B9" w:rsidRDefault="00C43889" w:rsidP="00F72503">
            <w:pPr>
              <w:tabs>
                <w:tab w:val="left" w:pos="567"/>
              </w:tabs>
              <w:spacing w:before="6"/>
              <w:ind w:left="100" w:right="-20"/>
              <w:jc w:val="center"/>
              <w:rPr>
                <w:rFonts w:eastAsia="Times New Roman"/>
                <w:sz w:val="20"/>
                <w:lang w:val="lt-LT" w:eastAsia="en-US"/>
              </w:rPr>
            </w:pPr>
            <w:r w:rsidRPr="004509B9">
              <w:rPr>
                <w:rFonts w:eastAsia="Times New Roman"/>
                <w:spacing w:val="1"/>
                <w:sz w:val="20"/>
                <w:lang w:val="lt-LT" w:eastAsia="en-US"/>
              </w:rPr>
              <w:t>62%</w:t>
            </w:r>
          </w:p>
          <w:p w14:paraId="5CB3CE7A" w14:textId="77777777" w:rsidR="00C43889" w:rsidRPr="004509B9" w:rsidRDefault="00C43889" w:rsidP="00F72503">
            <w:pPr>
              <w:tabs>
                <w:tab w:val="left" w:pos="567"/>
              </w:tabs>
              <w:ind w:left="100" w:right="-20"/>
              <w:jc w:val="center"/>
              <w:rPr>
                <w:rFonts w:eastAsia="Times New Roman"/>
                <w:sz w:val="20"/>
                <w:lang w:val="lt-LT" w:eastAsia="en-US"/>
              </w:rPr>
            </w:pPr>
            <w:r w:rsidRPr="004509B9">
              <w:rPr>
                <w:rFonts w:eastAsia="Times New Roman"/>
                <w:spacing w:val="1"/>
                <w:sz w:val="20"/>
                <w:lang w:val="lt-LT" w:eastAsia="en-US"/>
              </w:rPr>
              <w:t>32/52</w:t>
            </w:r>
          </w:p>
        </w:tc>
        <w:tc>
          <w:tcPr>
            <w:tcW w:w="863" w:type="dxa"/>
            <w:tcBorders>
              <w:top w:val="single" w:sz="4" w:space="0" w:color="000000"/>
              <w:left w:val="single" w:sz="4" w:space="0" w:color="000000"/>
              <w:bottom w:val="single" w:sz="4" w:space="0" w:color="000000"/>
              <w:right w:val="single" w:sz="4" w:space="0" w:color="000000"/>
            </w:tcBorders>
            <w:hideMark/>
          </w:tcPr>
          <w:p w14:paraId="79051321" w14:textId="77777777" w:rsidR="00C43889" w:rsidRPr="004509B9" w:rsidRDefault="00C43889" w:rsidP="00F72503">
            <w:pPr>
              <w:tabs>
                <w:tab w:val="left" w:pos="567"/>
              </w:tabs>
              <w:spacing w:before="6"/>
              <w:ind w:left="102" w:right="-20"/>
              <w:jc w:val="center"/>
              <w:rPr>
                <w:rFonts w:eastAsia="Times New Roman"/>
                <w:sz w:val="20"/>
                <w:lang w:val="lt-LT" w:eastAsia="en-US"/>
              </w:rPr>
            </w:pPr>
            <w:r w:rsidRPr="004509B9">
              <w:rPr>
                <w:rFonts w:eastAsia="Times New Roman"/>
                <w:spacing w:val="1"/>
                <w:sz w:val="20"/>
                <w:lang w:val="lt-LT" w:eastAsia="en-US"/>
              </w:rPr>
              <w:t>28%</w:t>
            </w:r>
          </w:p>
          <w:p w14:paraId="52BBE002"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eastAsia="Times New Roman"/>
                <w:spacing w:val="1"/>
                <w:sz w:val="20"/>
                <w:lang w:val="lt-LT" w:eastAsia="en-US"/>
              </w:rPr>
              <w:t>10/36</w:t>
            </w:r>
          </w:p>
        </w:tc>
        <w:tc>
          <w:tcPr>
            <w:tcW w:w="1039" w:type="dxa"/>
            <w:tcBorders>
              <w:top w:val="single" w:sz="4" w:space="0" w:color="000000"/>
              <w:left w:val="single" w:sz="4" w:space="0" w:color="000000"/>
              <w:bottom w:val="single" w:sz="4" w:space="0" w:color="000000"/>
              <w:right w:val="single" w:sz="4" w:space="0" w:color="000000"/>
            </w:tcBorders>
            <w:hideMark/>
          </w:tcPr>
          <w:p w14:paraId="0C8D92DB" w14:textId="77777777" w:rsidR="00C43889" w:rsidRPr="004509B9" w:rsidRDefault="00C43889" w:rsidP="00F72503">
            <w:pPr>
              <w:tabs>
                <w:tab w:val="left" w:pos="567"/>
              </w:tabs>
              <w:spacing w:before="6"/>
              <w:ind w:left="102" w:right="-20"/>
              <w:jc w:val="center"/>
              <w:rPr>
                <w:rFonts w:eastAsia="Times New Roman"/>
                <w:sz w:val="20"/>
                <w:lang w:val="lt-LT" w:eastAsia="en-US"/>
              </w:rPr>
            </w:pPr>
            <w:r w:rsidRPr="004509B9">
              <w:rPr>
                <w:rFonts w:eastAsia="Times New Roman"/>
                <w:spacing w:val="1"/>
                <w:sz w:val="20"/>
                <w:lang w:val="lt-LT" w:eastAsia="en-US"/>
              </w:rPr>
              <w:t>60%</w:t>
            </w:r>
          </w:p>
          <w:p w14:paraId="2E47A524"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eastAsia="Times New Roman"/>
                <w:spacing w:val="1"/>
                <w:sz w:val="20"/>
                <w:lang w:val="lt-LT" w:eastAsia="en-US"/>
              </w:rPr>
              <w:t>165/273</w:t>
            </w:r>
          </w:p>
        </w:tc>
        <w:tc>
          <w:tcPr>
            <w:tcW w:w="912" w:type="dxa"/>
            <w:tcBorders>
              <w:top w:val="single" w:sz="4" w:space="0" w:color="000000"/>
              <w:left w:val="single" w:sz="4" w:space="0" w:color="000000"/>
              <w:bottom w:val="single" w:sz="4" w:space="0" w:color="000000"/>
              <w:right w:val="single" w:sz="4" w:space="0" w:color="000000"/>
            </w:tcBorders>
            <w:hideMark/>
          </w:tcPr>
          <w:p w14:paraId="0D9717CB" w14:textId="77777777" w:rsidR="00C43889" w:rsidRPr="004509B9" w:rsidRDefault="00C43889" w:rsidP="00F72503">
            <w:pPr>
              <w:tabs>
                <w:tab w:val="left" w:pos="567"/>
              </w:tabs>
              <w:spacing w:before="6"/>
              <w:ind w:left="102" w:right="-20"/>
              <w:jc w:val="center"/>
              <w:rPr>
                <w:rFonts w:eastAsia="Times New Roman"/>
                <w:sz w:val="20"/>
                <w:lang w:val="lt-LT" w:eastAsia="en-US"/>
              </w:rPr>
            </w:pPr>
            <w:r w:rsidRPr="004509B9">
              <w:rPr>
                <w:rFonts w:eastAsia="Times New Roman"/>
                <w:spacing w:val="1"/>
                <w:sz w:val="20"/>
                <w:lang w:val="lt-LT" w:eastAsia="en-US"/>
              </w:rPr>
              <w:t>66%</w:t>
            </w:r>
          </w:p>
          <w:p w14:paraId="787885AF"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eastAsia="Times New Roman"/>
                <w:spacing w:val="1"/>
                <w:sz w:val="20"/>
                <w:lang w:val="lt-LT" w:eastAsia="en-US"/>
              </w:rPr>
              <w:t>120/182</w:t>
            </w:r>
          </w:p>
        </w:tc>
        <w:tc>
          <w:tcPr>
            <w:tcW w:w="826" w:type="dxa"/>
            <w:tcBorders>
              <w:top w:val="single" w:sz="4" w:space="0" w:color="000000"/>
              <w:left w:val="single" w:sz="4" w:space="0" w:color="000000"/>
              <w:bottom w:val="single" w:sz="4" w:space="0" w:color="000000"/>
              <w:right w:val="single" w:sz="4" w:space="0" w:color="000000"/>
            </w:tcBorders>
            <w:hideMark/>
          </w:tcPr>
          <w:p w14:paraId="42AD7A98" w14:textId="77777777" w:rsidR="00C43889" w:rsidRPr="004509B9" w:rsidRDefault="00C43889" w:rsidP="00F72503">
            <w:pPr>
              <w:tabs>
                <w:tab w:val="left" w:pos="567"/>
              </w:tabs>
              <w:spacing w:before="6"/>
              <w:ind w:left="102" w:right="-20"/>
              <w:jc w:val="center"/>
              <w:rPr>
                <w:rFonts w:eastAsia="Times New Roman"/>
                <w:sz w:val="20"/>
                <w:lang w:val="lt-LT" w:eastAsia="en-US"/>
              </w:rPr>
            </w:pPr>
            <w:r w:rsidRPr="004509B9">
              <w:rPr>
                <w:rFonts w:eastAsia="Times New Roman"/>
                <w:spacing w:val="1"/>
                <w:sz w:val="20"/>
                <w:lang w:val="lt-LT" w:eastAsia="en-US"/>
              </w:rPr>
              <w:t>61%</w:t>
            </w:r>
          </w:p>
          <w:p w14:paraId="1444E1FA"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eastAsia="Times New Roman"/>
                <w:spacing w:val="1"/>
                <w:sz w:val="20"/>
                <w:lang w:val="lt-LT" w:eastAsia="en-US"/>
              </w:rPr>
              <w:t>34/56</w:t>
            </w:r>
          </w:p>
        </w:tc>
        <w:tc>
          <w:tcPr>
            <w:tcW w:w="926" w:type="dxa"/>
            <w:tcBorders>
              <w:top w:val="single" w:sz="4" w:space="0" w:color="000000"/>
              <w:left w:val="single" w:sz="4" w:space="0" w:color="000000"/>
              <w:bottom w:val="single" w:sz="4" w:space="0" w:color="000000"/>
              <w:right w:val="single" w:sz="4" w:space="0" w:color="000000"/>
            </w:tcBorders>
            <w:hideMark/>
          </w:tcPr>
          <w:p w14:paraId="319DF59C" w14:textId="77777777" w:rsidR="00C43889" w:rsidRPr="004509B9" w:rsidRDefault="00C43889" w:rsidP="00F72503">
            <w:pPr>
              <w:tabs>
                <w:tab w:val="left" w:pos="567"/>
              </w:tabs>
              <w:spacing w:before="6"/>
              <w:ind w:left="102" w:right="-20"/>
              <w:jc w:val="center"/>
              <w:rPr>
                <w:rFonts w:eastAsia="Times New Roman"/>
                <w:sz w:val="20"/>
                <w:lang w:val="lt-LT" w:eastAsia="en-US"/>
              </w:rPr>
            </w:pPr>
            <w:r w:rsidRPr="004509B9">
              <w:rPr>
                <w:rFonts w:eastAsia="Times New Roman"/>
                <w:spacing w:val="1"/>
                <w:sz w:val="20"/>
                <w:lang w:val="lt-LT" w:eastAsia="en-US"/>
              </w:rPr>
              <w:t>17%</w:t>
            </w:r>
          </w:p>
          <w:p w14:paraId="13E42795" w14:textId="77777777" w:rsidR="00C43889" w:rsidRPr="004509B9" w:rsidRDefault="00C43889" w:rsidP="00F72503">
            <w:pPr>
              <w:tabs>
                <w:tab w:val="left" w:pos="567"/>
              </w:tabs>
              <w:ind w:left="102" w:right="-20"/>
              <w:jc w:val="center"/>
              <w:rPr>
                <w:rFonts w:eastAsia="Times New Roman"/>
                <w:sz w:val="20"/>
                <w:lang w:val="lt-LT" w:eastAsia="en-US"/>
              </w:rPr>
            </w:pPr>
            <w:r w:rsidRPr="004509B9">
              <w:rPr>
                <w:rFonts w:eastAsia="Times New Roman"/>
                <w:spacing w:val="1"/>
                <w:sz w:val="20"/>
                <w:lang w:val="lt-LT" w:eastAsia="en-US"/>
              </w:rPr>
              <w:t>4/24</w:t>
            </w:r>
          </w:p>
        </w:tc>
      </w:tr>
    </w:tbl>
    <w:p w14:paraId="5489F6D0" w14:textId="77777777" w:rsidR="00442FFE" w:rsidRPr="009C16AC" w:rsidRDefault="00442FFE" w:rsidP="00442FFE">
      <w:pPr>
        <w:autoSpaceDE w:val="0"/>
        <w:autoSpaceDN w:val="0"/>
        <w:adjustRightInd w:val="0"/>
        <w:ind w:left="284"/>
        <w:rPr>
          <w:rFonts w:eastAsia="TimesNewRoman"/>
          <w:sz w:val="18"/>
          <w:szCs w:val="18"/>
          <w:lang w:val="lt-LT" w:eastAsia="en-US"/>
        </w:rPr>
      </w:pPr>
      <w:r w:rsidRPr="009C16AC">
        <w:rPr>
          <w:rFonts w:eastAsia="TimesNewRoman"/>
          <w:sz w:val="18"/>
          <w:szCs w:val="18"/>
          <w:vertAlign w:val="superscript"/>
          <w:lang w:val="lt-LT" w:eastAsia="en-US"/>
        </w:rPr>
        <w:t>a</w:t>
      </w:r>
      <w:r w:rsidRPr="009C16AC">
        <w:rPr>
          <w:rFonts w:eastAsia="TimesNewRoman"/>
          <w:sz w:val="18"/>
          <w:szCs w:val="18"/>
          <w:lang w:val="lt-LT" w:eastAsia="en-US"/>
        </w:rPr>
        <w:t>Mutacijų, kurios pagal sąrašą susijusios su atsako į gydymą darunaviru/ritonaviru sumažėjimu (V11I, V32I, L33F, I47V, I50V, I54L ar M, T74P, L76V, I84V ar L89V), skaičius.</w:t>
      </w:r>
    </w:p>
    <w:p w14:paraId="4BCE6739" w14:textId="77777777" w:rsidR="00442FFE" w:rsidRPr="009C16AC" w:rsidRDefault="00442FFE" w:rsidP="00442FFE">
      <w:pPr>
        <w:autoSpaceDE w:val="0"/>
        <w:autoSpaceDN w:val="0"/>
        <w:adjustRightInd w:val="0"/>
        <w:ind w:left="284"/>
        <w:rPr>
          <w:rFonts w:eastAsia="TimesNewRoman"/>
          <w:sz w:val="18"/>
          <w:szCs w:val="18"/>
          <w:lang w:val="lt-LT" w:eastAsia="en-US"/>
        </w:rPr>
      </w:pPr>
      <w:r w:rsidRPr="009C16AC">
        <w:rPr>
          <w:rFonts w:eastAsia="TimesNewRoman"/>
          <w:sz w:val="18"/>
          <w:szCs w:val="18"/>
          <w:vertAlign w:val="superscript"/>
          <w:lang w:val="lt-LT" w:eastAsia="en-US"/>
        </w:rPr>
        <w:t>b</w:t>
      </w:r>
      <w:r w:rsidRPr="009C16AC">
        <w:rPr>
          <w:rFonts w:eastAsia="TimesNewRoman"/>
          <w:sz w:val="18"/>
          <w:szCs w:val="18"/>
          <w:lang w:val="lt-LT" w:eastAsia="en-US"/>
        </w:rPr>
        <w:t xml:space="preserve"> EC50 pokytis kartais.</w:t>
      </w:r>
    </w:p>
    <w:p w14:paraId="485AD17E" w14:textId="77777777" w:rsidR="00442FFE" w:rsidRPr="009C16AC" w:rsidRDefault="00442FFE" w:rsidP="00442FFE">
      <w:pPr>
        <w:autoSpaceDE w:val="0"/>
        <w:autoSpaceDN w:val="0"/>
        <w:adjustRightInd w:val="0"/>
        <w:ind w:left="284"/>
        <w:rPr>
          <w:rFonts w:eastAsia="TimesNewRoman"/>
          <w:sz w:val="18"/>
          <w:szCs w:val="18"/>
          <w:lang w:val="lt-LT" w:eastAsia="en-US"/>
        </w:rPr>
      </w:pPr>
      <w:r w:rsidRPr="009C16AC">
        <w:rPr>
          <w:rFonts w:eastAsia="TimesNewRoman"/>
          <w:sz w:val="18"/>
          <w:szCs w:val="18"/>
          <w:vertAlign w:val="superscript"/>
          <w:lang w:val="lt-LT" w:eastAsia="en-US"/>
        </w:rPr>
        <w:t>c</w:t>
      </w:r>
      <w:r w:rsidRPr="009C16AC">
        <w:rPr>
          <w:rFonts w:eastAsia="TimesNewRoman"/>
          <w:sz w:val="18"/>
          <w:szCs w:val="18"/>
          <w:lang w:val="lt-LT" w:eastAsia="en-US"/>
        </w:rPr>
        <w:t xml:space="preserve"> “Pacientai, kurie nevartojo/ne negydyti ENF” yra tie pacientai, kuriems nereikėjo vartoti ENF arba kurie vartojo ENF, bet ne pirmą kartą.</w:t>
      </w:r>
    </w:p>
    <w:p w14:paraId="5F23BC2B" w14:textId="77777777" w:rsidR="00C43889" w:rsidRPr="009C16AC" w:rsidRDefault="00442FFE" w:rsidP="00442FFE">
      <w:pPr>
        <w:autoSpaceDE w:val="0"/>
        <w:autoSpaceDN w:val="0"/>
        <w:adjustRightInd w:val="0"/>
        <w:ind w:left="284"/>
        <w:rPr>
          <w:rFonts w:eastAsia="TimesNewRoman"/>
          <w:sz w:val="18"/>
          <w:szCs w:val="18"/>
          <w:lang w:val="lt-LT" w:eastAsia="en-US"/>
        </w:rPr>
      </w:pPr>
      <w:r w:rsidRPr="009C16AC">
        <w:rPr>
          <w:rFonts w:eastAsia="TimesNewRoman"/>
          <w:sz w:val="18"/>
          <w:szCs w:val="18"/>
          <w:vertAlign w:val="superscript"/>
          <w:lang w:val="lt-LT" w:eastAsia="en-US"/>
        </w:rPr>
        <w:t>d</w:t>
      </w:r>
      <w:r w:rsidRPr="009C16AC">
        <w:rPr>
          <w:rFonts w:eastAsia="TimesNewRoman"/>
          <w:sz w:val="18"/>
          <w:szCs w:val="18"/>
          <w:lang w:val="lt-LT" w:eastAsia="en-US"/>
        </w:rPr>
        <w:t xml:space="preserve"> “Pacientai, kurie negydyti ENF” yra tie pacientai, kurie vartojo ENF pirmą kartą.</w:t>
      </w:r>
    </w:p>
    <w:p w14:paraId="78F69EF3" w14:textId="77777777" w:rsidR="00C43889" w:rsidRPr="004509B9" w:rsidRDefault="00C43889" w:rsidP="009F5848">
      <w:pPr>
        <w:autoSpaceDE w:val="0"/>
        <w:autoSpaceDN w:val="0"/>
        <w:adjustRightInd w:val="0"/>
        <w:rPr>
          <w:rFonts w:eastAsia="TimesNewRoman"/>
          <w:sz w:val="22"/>
          <w:szCs w:val="22"/>
          <w:lang w:val="lt-LT" w:eastAsia="en-US"/>
        </w:rPr>
      </w:pPr>
    </w:p>
    <w:p w14:paraId="283CCE9C" w14:textId="77777777" w:rsidR="009F5848" w:rsidRPr="009C16AC" w:rsidRDefault="009F5848" w:rsidP="009F5848">
      <w:pPr>
        <w:autoSpaceDE w:val="0"/>
        <w:autoSpaceDN w:val="0"/>
        <w:adjustRightInd w:val="0"/>
        <w:rPr>
          <w:rFonts w:eastAsia="TimesNewRoman"/>
          <w:sz w:val="22"/>
          <w:szCs w:val="22"/>
          <w:u w:val="single"/>
          <w:lang w:val="lt-LT" w:eastAsia="en-US"/>
        </w:rPr>
      </w:pPr>
      <w:r w:rsidRPr="009C16AC">
        <w:rPr>
          <w:rFonts w:eastAsia="TimesNewRoman"/>
          <w:sz w:val="22"/>
          <w:szCs w:val="22"/>
          <w:u w:val="single"/>
          <w:lang w:val="lt-LT" w:eastAsia="en-US"/>
        </w:rPr>
        <w:t>Vaikų populiacija</w:t>
      </w:r>
    </w:p>
    <w:p w14:paraId="3FCEF3BD" w14:textId="77777777" w:rsidR="00442FFE" w:rsidRPr="004509B9" w:rsidRDefault="00442FFE" w:rsidP="00442FFE">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Apie klinikinių tyrimų rezultatus vaikams ir paaugliams nuo 12 iki 17 metų pacientams, kuriems ARG netaikytas, žr. Darunavir Teva 400 mg tablečių arba Preparato charakteristikų santraukoje.</w:t>
      </w:r>
    </w:p>
    <w:p w14:paraId="016974ED" w14:textId="77777777" w:rsidR="009F5848" w:rsidRPr="004509B9" w:rsidRDefault="009F5848" w:rsidP="009F5848">
      <w:pPr>
        <w:autoSpaceDE w:val="0"/>
        <w:autoSpaceDN w:val="0"/>
        <w:adjustRightInd w:val="0"/>
        <w:rPr>
          <w:rFonts w:eastAsia="TimesNewRoman"/>
          <w:i/>
          <w:iCs/>
          <w:sz w:val="22"/>
          <w:szCs w:val="22"/>
          <w:lang w:val="lt-LT" w:eastAsia="en-US"/>
        </w:rPr>
      </w:pPr>
    </w:p>
    <w:p w14:paraId="45B764B7" w14:textId="77777777" w:rsidR="00442FFE" w:rsidRPr="004509B9" w:rsidRDefault="00442FFE" w:rsidP="00442FFE">
      <w:pPr>
        <w:autoSpaceDE w:val="0"/>
        <w:autoSpaceDN w:val="0"/>
        <w:adjustRightInd w:val="0"/>
        <w:rPr>
          <w:rFonts w:eastAsia="TimesNewRoman"/>
          <w:i/>
          <w:iCs/>
          <w:sz w:val="22"/>
          <w:szCs w:val="22"/>
          <w:lang w:val="lt-LT" w:eastAsia="en-US"/>
        </w:rPr>
      </w:pPr>
      <w:r w:rsidRPr="004509B9">
        <w:rPr>
          <w:rFonts w:eastAsia="TimesNewRoman"/>
          <w:i/>
          <w:iCs/>
          <w:sz w:val="22"/>
          <w:szCs w:val="22"/>
          <w:lang w:val="lt-LT" w:eastAsia="en-US"/>
        </w:rPr>
        <w:t>Vaikų populiacijos pacientai nuo 6 iki &lt; 18 metų, sveriantys ne mažiau kaip 20 kilogramų, kuriems buvo taikytas ARG</w:t>
      </w:r>
    </w:p>
    <w:p w14:paraId="279F984D" w14:textId="77777777" w:rsidR="00442FFE" w:rsidRPr="004509B9" w:rsidRDefault="00442FFE" w:rsidP="00442FFE">
      <w:pPr>
        <w:autoSpaceDE w:val="0"/>
        <w:autoSpaceDN w:val="0"/>
        <w:adjustRightInd w:val="0"/>
        <w:rPr>
          <w:rFonts w:eastAsia="TimesNewRoman"/>
          <w:iCs/>
          <w:sz w:val="22"/>
          <w:szCs w:val="22"/>
          <w:lang w:val="lt-LT" w:eastAsia="en-US"/>
        </w:rPr>
      </w:pPr>
      <w:r w:rsidRPr="009C16AC">
        <w:rPr>
          <w:rFonts w:eastAsia="TimesNewRoman"/>
          <w:b/>
          <w:i/>
          <w:iCs/>
          <w:sz w:val="22"/>
          <w:szCs w:val="22"/>
          <w:lang w:val="lt-LT" w:eastAsia="en-US"/>
        </w:rPr>
        <w:t>DELPHI</w:t>
      </w:r>
      <w:r w:rsidRPr="004509B9">
        <w:rPr>
          <w:rFonts w:eastAsia="TimesNewRoman"/>
          <w:iCs/>
          <w:sz w:val="22"/>
          <w:szCs w:val="22"/>
          <w:lang w:val="lt-LT" w:eastAsia="en-US"/>
        </w:rPr>
        <w:t xml:space="preserve"> yra atviras II fazės </w:t>
      </w:r>
      <w:r w:rsidR="00863151" w:rsidRPr="004509B9">
        <w:rPr>
          <w:rFonts w:eastAsia="TimesNewRoman"/>
          <w:iCs/>
          <w:sz w:val="22"/>
          <w:szCs w:val="22"/>
          <w:lang w:val="lt-LT" w:eastAsia="en-US"/>
        </w:rPr>
        <w:t>darunaviro</w:t>
      </w:r>
      <w:r w:rsidRPr="004509B9">
        <w:rPr>
          <w:rFonts w:eastAsia="TimesNewRoman"/>
          <w:iCs/>
          <w:sz w:val="22"/>
          <w:szCs w:val="22"/>
          <w:lang w:val="lt-LT" w:eastAsia="en-US"/>
        </w:rPr>
        <w:t>, vartojamo kartu su maža ritonaviro doze, farmakokinetikos,</w:t>
      </w:r>
      <w:r w:rsidR="00863151" w:rsidRPr="004509B9">
        <w:rPr>
          <w:rFonts w:eastAsia="TimesNewRoman"/>
          <w:iCs/>
          <w:sz w:val="22"/>
          <w:szCs w:val="22"/>
          <w:lang w:val="lt-LT" w:eastAsia="en-US"/>
        </w:rPr>
        <w:t xml:space="preserve"> </w:t>
      </w:r>
      <w:r w:rsidRPr="004509B9">
        <w:rPr>
          <w:rFonts w:eastAsia="TimesNewRoman"/>
          <w:iCs/>
          <w:sz w:val="22"/>
          <w:szCs w:val="22"/>
          <w:lang w:val="lt-LT" w:eastAsia="en-US"/>
        </w:rPr>
        <w:t xml:space="preserve">saugumo, toleravimo ir veiksmingumo įvertinimo tyrimas, kuriame dalyvavo 80 ARG </w:t>
      </w:r>
      <w:r w:rsidR="00863151" w:rsidRPr="004509B9">
        <w:rPr>
          <w:rFonts w:eastAsia="TimesNewRoman"/>
          <w:iCs/>
          <w:sz w:val="22"/>
          <w:szCs w:val="22"/>
          <w:lang w:val="lt-LT" w:eastAsia="en-US"/>
        </w:rPr>
        <w:t>taikytų</w:t>
      </w:r>
      <w:r w:rsidRPr="004509B9">
        <w:rPr>
          <w:rFonts w:eastAsia="TimesNewRoman"/>
          <w:iCs/>
          <w:sz w:val="22"/>
          <w:szCs w:val="22"/>
          <w:lang w:val="lt-LT" w:eastAsia="en-US"/>
        </w:rPr>
        <w:t xml:space="preserve"> ŽIV-1</w:t>
      </w:r>
      <w:r w:rsidR="00863151" w:rsidRPr="004509B9">
        <w:rPr>
          <w:rFonts w:eastAsia="TimesNewRoman"/>
          <w:iCs/>
          <w:sz w:val="22"/>
          <w:szCs w:val="22"/>
          <w:lang w:val="lt-LT" w:eastAsia="en-US"/>
        </w:rPr>
        <w:t xml:space="preserve"> </w:t>
      </w:r>
      <w:r w:rsidRPr="004509B9">
        <w:rPr>
          <w:rFonts w:eastAsia="TimesNewRoman"/>
          <w:iCs/>
          <w:sz w:val="22"/>
          <w:szCs w:val="22"/>
          <w:lang w:val="lt-LT" w:eastAsia="en-US"/>
        </w:rPr>
        <w:t>užsikrėtusių 6-17 metų pacientų, sveriančių ne mažiau kaip 20</w:t>
      </w:r>
      <w:r w:rsidR="00863151" w:rsidRPr="004509B9">
        <w:rPr>
          <w:rFonts w:eastAsia="TimesNewRoman"/>
          <w:iCs/>
          <w:sz w:val="22"/>
          <w:szCs w:val="22"/>
          <w:lang w:val="lt-LT" w:eastAsia="en-US"/>
        </w:rPr>
        <w:t> </w:t>
      </w:r>
      <w:r w:rsidRPr="004509B9">
        <w:rPr>
          <w:rFonts w:eastAsia="TimesNewRoman"/>
          <w:iCs/>
          <w:sz w:val="22"/>
          <w:szCs w:val="22"/>
          <w:lang w:val="lt-LT" w:eastAsia="en-US"/>
        </w:rPr>
        <w:t>kg. Šie pacientai buvo gydyti</w:t>
      </w:r>
      <w:r w:rsidR="00863151" w:rsidRPr="004509B9">
        <w:rPr>
          <w:rFonts w:eastAsia="TimesNewRoman"/>
          <w:iCs/>
          <w:sz w:val="22"/>
          <w:szCs w:val="22"/>
          <w:lang w:val="lt-LT" w:eastAsia="en-US"/>
        </w:rPr>
        <w:t xml:space="preserve"> darunaviro</w:t>
      </w:r>
      <w:r w:rsidRPr="004509B9">
        <w:rPr>
          <w:rFonts w:eastAsia="TimesNewRoman"/>
          <w:iCs/>
          <w:sz w:val="22"/>
          <w:szCs w:val="22"/>
          <w:lang w:val="lt-LT" w:eastAsia="en-US"/>
        </w:rPr>
        <w:t>/ritonaviro deriniu du kartus per parą kartu su kitais antiretrovirusiniais vaistiniais</w:t>
      </w:r>
      <w:r w:rsidR="00863151" w:rsidRPr="004509B9">
        <w:rPr>
          <w:rFonts w:eastAsia="TimesNewRoman"/>
          <w:iCs/>
          <w:sz w:val="22"/>
          <w:szCs w:val="22"/>
          <w:lang w:val="lt-LT" w:eastAsia="en-US"/>
        </w:rPr>
        <w:t xml:space="preserve"> </w:t>
      </w:r>
      <w:r w:rsidRPr="004509B9">
        <w:rPr>
          <w:rFonts w:eastAsia="TimesNewRoman"/>
          <w:iCs/>
          <w:sz w:val="22"/>
          <w:szCs w:val="22"/>
          <w:lang w:val="lt-LT" w:eastAsia="en-US"/>
        </w:rPr>
        <w:t xml:space="preserve">preparatais (dozavimo, atsižvelgiant į kūno svorį, rekomendacijas žr. 4.2 skyriuje). </w:t>
      </w:r>
      <w:r w:rsidR="00863151" w:rsidRPr="004509B9">
        <w:rPr>
          <w:rFonts w:eastAsia="TimesNewRoman"/>
          <w:iCs/>
          <w:sz w:val="22"/>
          <w:szCs w:val="22"/>
          <w:lang w:val="lt-LT" w:eastAsia="en-US"/>
        </w:rPr>
        <w:t>Virusologinio atsako pasireiškimas b</w:t>
      </w:r>
      <w:r w:rsidRPr="004509B9">
        <w:rPr>
          <w:rFonts w:eastAsia="TimesNewRoman"/>
          <w:iCs/>
          <w:sz w:val="22"/>
          <w:szCs w:val="22"/>
          <w:lang w:val="lt-LT" w:eastAsia="en-US"/>
        </w:rPr>
        <w:t>uvo vertinama</w:t>
      </w:r>
      <w:r w:rsidR="00863151" w:rsidRPr="004509B9">
        <w:rPr>
          <w:rFonts w:eastAsia="TimesNewRoman"/>
          <w:iCs/>
          <w:sz w:val="22"/>
          <w:szCs w:val="22"/>
          <w:lang w:val="lt-LT" w:eastAsia="en-US"/>
        </w:rPr>
        <w:t>s</w:t>
      </w:r>
      <w:r w:rsidRPr="004509B9">
        <w:rPr>
          <w:rFonts w:eastAsia="TimesNewRoman"/>
          <w:iCs/>
          <w:sz w:val="22"/>
          <w:szCs w:val="22"/>
          <w:lang w:val="lt-LT" w:eastAsia="en-US"/>
        </w:rPr>
        <w:t>,</w:t>
      </w:r>
      <w:r w:rsidR="00863151" w:rsidRPr="004509B9">
        <w:rPr>
          <w:rFonts w:eastAsia="TimesNewRoman"/>
          <w:iCs/>
          <w:sz w:val="22"/>
          <w:szCs w:val="22"/>
          <w:lang w:val="lt-LT" w:eastAsia="en-US"/>
        </w:rPr>
        <w:t xml:space="preserve"> </w:t>
      </w:r>
      <w:r w:rsidRPr="004509B9">
        <w:rPr>
          <w:rFonts w:eastAsia="TimesNewRoman"/>
          <w:iCs/>
          <w:sz w:val="22"/>
          <w:szCs w:val="22"/>
          <w:lang w:val="lt-LT" w:eastAsia="en-US"/>
        </w:rPr>
        <w:t>jeigu ŽIV-1 RNR kopijų plazmoje sumažėjo bent 1,0 log</w:t>
      </w:r>
      <w:r w:rsidRPr="004509B9">
        <w:rPr>
          <w:rFonts w:eastAsia="TimesNewRoman"/>
          <w:iCs/>
          <w:sz w:val="22"/>
          <w:szCs w:val="22"/>
          <w:vertAlign w:val="subscript"/>
          <w:lang w:val="lt-LT" w:eastAsia="en-US"/>
        </w:rPr>
        <w:t>10</w:t>
      </w:r>
      <w:r w:rsidRPr="004509B9">
        <w:rPr>
          <w:rFonts w:eastAsia="TimesNewRoman"/>
          <w:iCs/>
          <w:sz w:val="22"/>
          <w:szCs w:val="22"/>
          <w:lang w:val="lt-LT" w:eastAsia="en-US"/>
        </w:rPr>
        <w:t>,</w:t>
      </w:r>
      <w:r w:rsidR="00863151" w:rsidRPr="004509B9">
        <w:rPr>
          <w:rFonts w:eastAsia="TimesNewRoman"/>
          <w:iCs/>
          <w:sz w:val="22"/>
          <w:szCs w:val="22"/>
          <w:lang w:val="lt-LT" w:eastAsia="en-US"/>
        </w:rPr>
        <w:t xml:space="preserve"> </w:t>
      </w:r>
      <w:r w:rsidRPr="004509B9">
        <w:rPr>
          <w:rFonts w:eastAsia="TimesNewRoman"/>
          <w:iCs/>
          <w:sz w:val="22"/>
          <w:szCs w:val="22"/>
          <w:lang w:val="lt-LT" w:eastAsia="en-US"/>
        </w:rPr>
        <w:t>palyginti su kiekiu prieš pradedant tyrimą.</w:t>
      </w:r>
    </w:p>
    <w:p w14:paraId="30A27C6B" w14:textId="77777777" w:rsidR="00863151" w:rsidRPr="004509B9" w:rsidRDefault="00863151" w:rsidP="00442FFE">
      <w:pPr>
        <w:autoSpaceDE w:val="0"/>
        <w:autoSpaceDN w:val="0"/>
        <w:adjustRightInd w:val="0"/>
        <w:rPr>
          <w:rFonts w:eastAsia="TimesNewRoman"/>
          <w:iCs/>
          <w:sz w:val="22"/>
          <w:szCs w:val="22"/>
          <w:lang w:val="lt-LT" w:eastAsia="en-US"/>
        </w:rPr>
      </w:pPr>
    </w:p>
    <w:p w14:paraId="648BE26C" w14:textId="77777777" w:rsidR="00442FFE" w:rsidRPr="004509B9" w:rsidRDefault="00442FFE" w:rsidP="00442FFE">
      <w:pPr>
        <w:autoSpaceDE w:val="0"/>
        <w:autoSpaceDN w:val="0"/>
        <w:adjustRightInd w:val="0"/>
        <w:rPr>
          <w:rFonts w:eastAsia="TimesNewRoman"/>
          <w:iCs/>
          <w:sz w:val="22"/>
          <w:szCs w:val="22"/>
          <w:lang w:val="lt-LT" w:eastAsia="en-US"/>
        </w:rPr>
      </w:pPr>
      <w:r w:rsidRPr="004509B9">
        <w:rPr>
          <w:rFonts w:eastAsia="TimesNewRoman"/>
          <w:iCs/>
          <w:sz w:val="22"/>
          <w:szCs w:val="22"/>
          <w:lang w:val="lt-LT" w:eastAsia="en-US"/>
        </w:rPr>
        <w:t>Tyrimo duomenimis, pacientams, kuriems buvo rizika nutraukti gydymą dėl ritonaviro geriamojo</w:t>
      </w:r>
      <w:r w:rsidR="00863151" w:rsidRPr="004509B9">
        <w:rPr>
          <w:rFonts w:eastAsia="TimesNewRoman"/>
          <w:iCs/>
          <w:sz w:val="22"/>
          <w:szCs w:val="22"/>
          <w:lang w:val="lt-LT" w:eastAsia="en-US"/>
        </w:rPr>
        <w:t xml:space="preserve"> </w:t>
      </w:r>
      <w:r w:rsidRPr="004509B9">
        <w:rPr>
          <w:rFonts w:eastAsia="TimesNewRoman"/>
          <w:iCs/>
          <w:sz w:val="22"/>
          <w:szCs w:val="22"/>
          <w:lang w:val="lt-LT" w:eastAsia="en-US"/>
        </w:rPr>
        <w:t>tirpalo netoleravimo (pvz., dėl blogo skonio), buvo leista vietoj jo vartoti kapsules. Iš 44 pacientų,</w:t>
      </w:r>
      <w:r w:rsidR="00863151" w:rsidRPr="004509B9">
        <w:rPr>
          <w:rFonts w:eastAsia="TimesNewRoman"/>
          <w:iCs/>
          <w:sz w:val="22"/>
          <w:szCs w:val="22"/>
          <w:lang w:val="lt-LT" w:eastAsia="en-US"/>
        </w:rPr>
        <w:t xml:space="preserve"> </w:t>
      </w:r>
      <w:r w:rsidRPr="004509B9">
        <w:rPr>
          <w:rFonts w:eastAsia="TimesNewRoman"/>
          <w:iCs/>
          <w:sz w:val="22"/>
          <w:szCs w:val="22"/>
          <w:lang w:val="lt-LT" w:eastAsia="en-US"/>
        </w:rPr>
        <w:t>vartojusių ritonaviro geriamąjį tirpalą, 27 pradėjo vartoti 100</w:t>
      </w:r>
      <w:r w:rsidR="00863151" w:rsidRPr="004509B9">
        <w:rPr>
          <w:rFonts w:eastAsia="TimesNewRoman"/>
          <w:iCs/>
          <w:sz w:val="22"/>
          <w:szCs w:val="22"/>
          <w:lang w:val="lt-LT" w:eastAsia="en-US"/>
        </w:rPr>
        <w:t> </w:t>
      </w:r>
      <w:r w:rsidRPr="004509B9">
        <w:rPr>
          <w:rFonts w:eastAsia="TimesNewRoman"/>
          <w:iCs/>
          <w:sz w:val="22"/>
          <w:szCs w:val="22"/>
          <w:lang w:val="lt-LT" w:eastAsia="en-US"/>
        </w:rPr>
        <w:t>mg kapsules ir viršijo ritonaviro dozę,</w:t>
      </w:r>
      <w:r w:rsidR="00863151" w:rsidRPr="004509B9">
        <w:rPr>
          <w:rFonts w:eastAsia="TimesNewRoman"/>
          <w:iCs/>
          <w:sz w:val="22"/>
          <w:szCs w:val="22"/>
          <w:lang w:val="lt-LT" w:eastAsia="en-US"/>
        </w:rPr>
        <w:t xml:space="preserve"> </w:t>
      </w:r>
      <w:r w:rsidRPr="004509B9">
        <w:rPr>
          <w:rFonts w:eastAsia="TimesNewRoman"/>
          <w:iCs/>
          <w:sz w:val="22"/>
          <w:szCs w:val="22"/>
          <w:lang w:val="lt-LT" w:eastAsia="en-US"/>
        </w:rPr>
        <w:t>apskaičiuotą pagal kūno svorį, be pastebimų saugumo pokyčių.</w:t>
      </w:r>
    </w:p>
    <w:p w14:paraId="657A22FF" w14:textId="77777777" w:rsidR="00442FFE" w:rsidRPr="004509B9" w:rsidRDefault="00442FFE" w:rsidP="009F5848">
      <w:pPr>
        <w:autoSpaceDE w:val="0"/>
        <w:autoSpaceDN w:val="0"/>
        <w:adjustRightInd w:val="0"/>
        <w:rPr>
          <w:rFonts w:eastAsia="TimesNewRoman"/>
          <w:iCs/>
          <w:sz w:val="22"/>
          <w:szCs w:val="22"/>
          <w:lang w:val="lt-LT" w:eastAsia="en-US"/>
        </w:rPr>
      </w:pPr>
    </w:p>
    <w:p w14:paraId="199D81B5" w14:textId="77777777" w:rsidR="009F5848" w:rsidRPr="004509B9" w:rsidRDefault="009F5848" w:rsidP="009F5848">
      <w:pPr>
        <w:tabs>
          <w:tab w:val="left" w:pos="720"/>
        </w:tabs>
        <w:autoSpaceDE w:val="0"/>
        <w:autoSpaceDN w:val="0"/>
        <w:adjustRightInd w:val="0"/>
        <w:jc w:val="both"/>
        <w:rPr>
          <w:rFonts w:eastAsia="Times New Roman"/>
          <w:sz w:val="22"/>
          <w:szCs w:val="22"/>
          <w:lang w:val="lt-LT" w:eastAsia="en-US"/>
        </w:rPr>
      </w:pPr>
    </w:p>
    <w:tbl>
      <w:tblPr>
        <w:tblW w:w="9302" w:type="dxa"/>
        <w:tblLayout w:type="fixed"/>
        <w:tblLook w:val="04A0" w:firstRow="1" w:lastRow="0" w:firstColumn="1" w:lastColumn="0" w:noHBand="0" w:noVBand="1"/>
      </w:tblPr>
      <w:tblGrid>
        <w:gridCol w:w="5920"/>
        <w:gridCol w:w="3382"/>
      </w:tblGrid>
      <w:tr w:rsidR="009F5848" w:rsidRPr="00C75EC3" w14:paraId="065372C6" w14:textId="77777777" w:rsidTr="009F5848">
        <w:trPr>
          <w:trHeight w:val="277"/>
        </w:trPr>
        <w:tc>
          <w:tcPr>
            <w:tcW w:w="9302" w:type="dxa"/>
            <w:gridSpan w:val="2"/>
            <w:tcBorders>
              <w:top w:val="single" w:sz="6" w:space="0" w:color="000000"/>
              <w:left w:val="single" w:sz="4" w:space="0" w:color="000000"/>
              <w:bottom w:val="single" w:sz="6" w:space="0" w:color="000000"/>
              <w:right w:val="single" w:sz="4" w:space="0" w:color="000000"/>
            </w:tcBorders>
            <w:hideMark/>
          </w:tcPr>
          <w:p w14:paraId="4A85B3E7" w14:textId="77777777" w:rsidR="009F5848" w:rsidRPr="004509B9" w:rsidRDefault="009F5848" w:rsidP="00863151">
            <w:pPr>
              <w:autoSpaceDE w:val="0"/>
              <w:autoSpaceDN w:val="0"/>
              <w:adjustRightInd w:val="0"/>
              <w:jc w:val="center"/>
              <w:rPr>
                <w:rFonts w:eastAsia="Times New Roman"/>
                <w:sz w:val="20"/>
                <w:lang w:val="lt-LT" w:eastAsia="en-US"/>
              </w:rPr>
            </w:pPr>
            <w:r w:rsidRPr="004509B9">
              <w:rPr>
                <w:rFonts w:eastAsia="Times New Roman"/>
                <w:sz w:val="22"/>
                <w:szCs w:val="22"/>
                <w:lang w:val="lt-LT" w:eastAsia="en-US"/>
              </w:rPr>
              <w:t>D</w:t>
            </w:r>
            <w:r w:rsidR="00863151" w:rsidRPr="004509B9">
              <w:rPr>
                <w:rFonts w:eastAsia="Times New Roman"/>
                <w:sz w:val="22"/>
                <w:szCs w:val="22"/>
                <w:lang w:val="lt-LT" w:eastAsia="en-US"/>
              </w:rPr>
              <w:t>ELPH</w:t>
            </w:r>
            <w:r w:rsidRPr="004509B9">
              <w:rPr>
                <w:rFonts w:eastAsia="Times New Roman"/>
                <w:sz w:val="22"/>
                <w:szCs w:val="22"/>
                <w:lang w:val="lt-LT" w:eastAsia="en-US"/>
              </w:rPr>
              <w:t>I</w:t>
            </w:r>
          </w:p>
        </w:tc>
      </w:tr>
      <w:tr w:rsidR="009F5848" w:rsidRPr="00C75EC3" w14:paraId="27383E0B" w14:textId="77777777" w:rsidTr="009F5848">
        <w:trPr>
          <w:trHeight w:val="515"/>
        </w:trPr>
        <w:tc>
          <w:tcPr>
            <w:tcW w:w="5920" w:type="dxa"/>
            <w:tcBorders>
              <w:top w:val="single" w:sz="6" w:space="0" w:color="000000"/>
              <w:left w:val="single" w:sz="4" w:space="0" w:color="000000"/>
              <w:bottom w:val="single" w:sz="6" w:space="0" w:color="000000"/>
              <w:right w:val="single" w:sz="4" w:space="0" w:color="000000"/>
            </w:tcBorders>
            <w:vAlign w:val="center"/>
            <w:hideMark/>
          </w:tcPr>
          <w:p w14:paraId="4A66BED7" w14:textId="77777777" w:rsidR="009F5848" w:rsidRPr="004509B9" w:rsidRDefault="009F5848" w:rsidP="009F5848">
            <w:pPr>
              <w:autoSpaceDE w:val="0"/>
              <w:autoSpaceDN w:val="0"/>
              <w:adjustRightInd w:val="0"/>
              <w:rPr>
                <w:rFonts w:eastAsia="Times New Roman"/>
                <w:sz w:val="22"/>
                <w:szCs w:val="22"/>
                <w:lang w:val="lt-LT" w:eastAsia="en-US"/>
              </w:rPr>
            </w:pPr>
            <w:r w:rsidRPr="00C75EC3">
              <w:rPr>
                <w:rFonts w:ascii="TimesNewRoman,Italic" w:hAnsi="TimesNewRoman,Italic" w:cs="TimesNewRoman,Italic"/>
                <w:i/>
                <w:iCs/>
                <w:sz w:val="22"/>
                <w:szCs w:val="22"/>
                <w:lang w:val="lt-LT" w:eastAsia="en-US"/>
              </w:rPr>
              <w:t>Baigtys 48-tą savaitę</w:t>
            </w:r>
          </w:p>
        </w:tc>
        <w:tc>
          <w:tcPr>
            <w:tcW w:w="3382" w:type="dxa"/>
            <w:tcBorders>
              <w:top w:val="single" w:sz="6" w:space="0" w:color="000000"/>
              <w:left w:val="single" w:sz="4" w:space="0" w:color="000000"/>
              <w:bottom w:val="single" w:sz="6" w:space="0" w:color="000000"/>
              <w:right w:val="single" w:sz="4" w:space="0" w:color="000000"/>
            </w:tcBorders>
            <w:hideMark/>
          </w:tcPr>
          <w:p w14:paraId="62B41EB0" w14:textId="77777777" w:rsidR="009F5848" w:rsidRPr="004509B9" w:rsidRDefault="009F5848" w:rsidP="009F5848">
            <w:pPr>
              <w:autoSpaceDE w:val="0"/>
              <w:autoSpaceDN w:val="0"/>
              <w:adjustRightInd w:val="0"/>
              <w:rPr>
                <w:rFonts w:eastAsia="Times New Roman"/>
                <w:sz w:val="22"/>
                <w:szCs w:val="22"/>
                <w:lang w:val="lt-LT" w:eastAsia="en-US"/>
              </w:rPr>
            </w:pPr>
            <w:r w:rsidRPr="004509B9">
              <w:rPr>
                <w:rFonts w:eastAsia="Times New Roman"/>
                <w:sz w:val="22"/>
                <w:szCs w:val="22"/>
                <w:lang w:val="lt-LT" w:eastAsia="en-US"/>
              </w:rPr>
              <w:t xml:space="preserve">Darunaviras/ritonaviras </w:t>
            </w:r>
          </w:p>
          <w:p w14:paraId="330A24F3" w14:textId="77777777" w:rsidR="009F5848" w:rsidRPr="004509B9" w:rsidRDefault="00863151" w:rsidP="00863151">
            <w:pPr>
              <w:autoSpaceDE w:val="0"/>
              <w:autoSpaceDN w:val="0"/>
              <w:adjustRightInd w:val="0"/>
              <w:rPr>
                <w:rFonts w:eastAsia="Times New Roman"/>
                <w:sz w:val="22"/>
                <w:szCs w:val="22"/>
                <w:lang w:val="lt-LT" w:eastAsia="en-US"/>
              </w:rPr>
            </w:pPr>
            <w:r w:rsidRPr="004509B9">
              <w:rPr>
                <w:rFonts w:eastAsia="Times New Roman"/>
                <w:sz w:val="22"/>
                <w:szCs w:val="22"/>
                <w:lang w:val="lt-LT" w:eastAsia="en-US"/>
              </w:rPr>
              <w:t>N=80</w:t>
            </w:r>
            <w:r w:rsidR="009F5848" w:rsidRPr="004509B9">
              <w:rPr>
                <w:rFonts w:eastAsia="Times New Roman"/>
                <w:sz w:val="22"/>
                <w:szCs w:val="22"/>
                <w:lang w:val="lt-LT" w:eastAsia="en-US"/>
              </w:rPr>
              <w:t xml:space="preserve"> </w:t>
            </w:r>
          </w:p>
        </w:tc>
      </w:tr>
      <w:tr w:rsidR="009F5848" w:rsidRPr="00C75EC3" w14:paraId="2C1B5DA0" w14:textId="77777777" w:rsidTr="009F5848">
        <w:trPr>
          <w:trHeight w:val="262"/>
        </w:trPr>
        <w:tc>
          <w:tcPr>
            <w:tcW w:w="5920" w:type="dxa"/>
            <w:tcBorders>
              <w:top w:val="single" w:sz="6" w:space="0" w:color="000000"/>
              <w:left w:val="single" w:sz="4" w:space="0" w:color="000000"/>
              <w:bottom w:val="single" w:sz="6" w:space="0" w:color="000000"/>
              <w:right w:val="single" w:sz="4" w:space="0" w:color="000000"/>
            </w:tcBorders>
            <w:hideMark/>
          </w:tcPr>
          <w:p w14:paraId="33B0F594" w14:textId="77777777" w:rsidR="009F5848" w:rsidRPr="004509B9" w:rsidRDefault="009F5848" w:rsidP="00863151">
            <w:pPr>
              <w:autoSpaceDE w:val="0"/>
              <w:autoSpaceDN w:val="0"/>
              <w:adjustRightInd w:val="0"/>
              <w:rPr>
                <w:rFonts w:eastAsia="Times New Roman"/>
                <w:sz w:val="22"/>
                <w:szCs w:val="22"/>
                <w:lang w:val="lt-LT" w:eastAsia="en-US"/>
              </w:rPr>
            </w:pPr>
            <w:r w:rsidRPr="004509B9">
              <w:rPr>
                <w:rFonts w:eastAsia="Times New Roman"/>
                <w:sz w:val="22"/>
                <w:szCs w:val="22"/>
                <w:lang w:val="lt-LT" w:eastAsia="en-US"/>
              </w:rPr>
              <w:t>ŽIV-1 RN</w:t>
            </w:r>
            <w:r w:rsidR="00863151" w:rsidRPr="004509B9">
              <w:rPr>
                <w:rFonts w:eastAsia="Times New Roman"/>
                <w:sz w:val="22"/>
                <w:szCs w:val="22"/>
                <w:lang w:val="lt-LT" w:eastAsia="en-US"/>
              </w:rPr>
              <w:t>R</w:t>
            </w:r>
            <w:r w:rsidRPr="004509B9">
              <w:rPr>
                <w:rFonts w:eastAsia="Times New Roman"/>
                <w:sz w:val="22"/>
                <w:szCs w:val="22"/>
                <w:lang w:val="lt-LT" w:eastAsia="en-US"/>
              </w:rPr>
              <w:t xml:space="preserve"> &lt; 50 kopijų/ml</w:t>
            </w:r>
            <w:r w:rsidRPr="004509B9">
              <w:rPr>
                <w:rFonts w:eastAsia="Times New Roman"/>
                <w:sz w:val="22"/>
                <w:szCs w:val="22"/>
                <w:vertAlign w:val="superscript"/>
                <w:lang w:val="lt-LT" w:eastAsia="en-US"/>
              </w:rPr>
              <w:t xml:space="preserve">a </w:t>
            </w:r>
          </w:p>
        </w:tc>
        <w:tc>
          <w:tcPr>
            <w:tcW w:w="3382" w:type="dxa"/>
            <w:tcBorders>
              <w:top w:val="single" w:sz="6" w:space="0" w:color="000000"/>
              <w:left w:val="single" w:sz="4" w:space="0" w:color="000000"/>
              <w:bottom w:val="single" w:sz="6" w:space="0" w:color="000000"/>
              <w:right w:val="single" w:sz="4" w:space="0" w:color="000000"/>
            </w:tcBorders>
            <w:hideMark/>
          </w:tcPr>
          <w:p w14:paraId="26C9F07B" w14:textId="77777777" w:rsidR="009F5848" w:rsidRPr="004509B9" w:rsidRDefault="00863151" w:rsidP="00863151">
            <w:pPr>
              <w:autoSpaceDE w:val="0"/>
              <w:autoSpaceDN w:val="0"/>
              <w:adjustRightInd w:val="0"/>
              <w:rPr>
                <w:rFonts w:eastAsia="Times New Roman"/>
                <w:sz w:val="22"/>
                <w:szCs w:val="22"/>
                <w:lang w:val="lt-LT" w:eastAsia="en-US"/>
              </w:rPr>
            </w:pPr>
            <w:r w:rsidRPr="004509B9">
              <w:rPr>
                <w:rFonts w:eastAsia="Times New Roman"/>
                <w:sz w:val="22"/>
                <w:szCs w:val="22"/>
                <w:lang w:val="lt-LT" w:eastAsia="en-US"/>
              </w:rPr>
              <w:t>47,5</w:t>
            </w:r>
            <w:r w:rsidR="009F5848" w:rsidRPr="004509B9">
              <w:rPr>
                <w:rFonts w:eastAsia="Times New Roman"/>
                <w:sz w:val="22"/>
                <w:szCs w:val="22"/>
                <w:lang w:val="lt-LT" w:eastAsia="en-US"/>
              </w:rPr>
              <w:t>% (</w:t>
            </w:r>
            <w:r w:rsidRPr="004509B9">
              <w:rPr>
                <w:rFonts w:eastAsia="Times New Roman"/>
                <w:sz w:val="22"/>
                <w:szCs w:val="22"/>
                <w:lang w:val="lt-LT" w:eastAsia="en-US"/>
              </w:rPr>
              <w:t>38</w:t>
            </w:r>
            <w:r w:rsidR="009F5848" w:rsidRPr="004509B9">
              <w:rPr>
                <w:rFonts w:eastAsia="Times New Roman"/>
                <w:sz w:val="22"/>
                <w:szCs w:val="22"/>
                <w:lang w:val="lt-LT" w:eastAsia="en-US"/>
              </w:rPr>
              <w:t xml:space="preserve">) </w:t>
            </w:r>
          </w:p>
        </w:tc>
      </w:tr>
      <w:tr w:rsidR="009F5848" w:rsidRPr="00C75EC3" w14:paraId="274CCD6D" w14:textId="77777777" w:rsidTr="009F5848">
        <w:trPr>
          <w:trHeight w:val="262"/>
        </w:trPr>
        <w:tc>
          <w:tcPr>
            <w:tcW w:w="5920" w:type="dxa"/>
            <w:tcBorders>
              <w:top w:val="single" w:sz="6" w:space="0" w:color="000000"/>
              <w:left w:val="single" w:sz="4" w:space="0" w:color="000000"/>
              <w:bottom w:val="single" w:sz="6" w:space="0" w:color="000000"/>
              <w:right w:val="single" w:sz="4" w:space="0" w:color="000000"/>
            </w:tcBorders>
            <w:hideMark/>
          </w:tcPr>
          <w:p w14:paraId="30E38CC8" w14:textId="77777777" w:rsidR="009F5848" w:rsidRPr="004509B9" w:rsidRDefault="009F5848" w:rsidP="009F5848">
            <w:pPr>
              <w:autoSpaceDE w:val="0"/>
              <w:autoSpaceDN w:val="0"/>
              <w:adjustRightInd w:val="0"/>
              <w:rPr>
                <w:rFonts w:eastAsia="Times New Roman"/>
                <w:sz w:val="22"/>
                <w:szCs w:val="22"/>
                <w:lang w:val="lt-LT" w:eastAsia="en-US"/>
              </w:rPr>
            </w:pPr>
            <w:r w:rsidRPr="004509B9">
              <w:rPr>
                <w:rFonts w:eastAsia="Times New Roman"/>
                <w:sz w:val="22"/>
                <w:szCs w:val="22"/>
                <w:lang w:val="lt-LT" w:eastAsia="en-US"/>
              </w:rPr>
              <w:t>CD4+ ląstelių kiekio vidutinis pokytis palyginti su pradiniu</w:t>
            </w:r>
            <w:r w:rsidRPr="004509B9">
              <w:rPr>
                <w:rFonts w:eastAsia="Times New Roman"/>
                <w:sz w:val="22"/>
                <w:szCs w:val="22"/>
                <w:vertAlign w:val="superscript"/>
                <w:lang w:val="lt-LT" w:eastAsia="en-US"/>
              </w:rPr>
              <w:t>b</w:t>
            </w:r>
            <w:r w:rsidRPr="004509B9">
              <w:rPr>
                <w:rFonts w:eastAsia="Times New Roman"/>
                <w:sz w:val="22"/>
                <w:szCs w:val="22"/>
                <w:lang w:val="lt-LT" w:eastAsia="en-US"/>
              </w:rPr>
              <w:t xml:space="preserve"> </w:t>
            </w:r>
          </w:p>
        </w:tc>
        <w:tc>
          <w:tcPr>
            <w:tcW w:w="3382" w:type="dxa"/>
            <w:tcBorders>
              <w:top w:val="single" w:sz="6" w:space="0" w:color="000000"/>
              <w:left w:val="single" w:sz="4" w:space="0" w:color="000000"/>
              <w:bottom w:val="single" w:sz="6" w:space="0" w:color="000000"/>
              <w:right w:val="single" w:sz="4" w:space="0" w:color="000000"/>
            </w:tcBorders>
            <w:hideMark/>
          </w:tcPr>
          <w:p w14:paraId="249C9D57" w14:textId="77777777" w:rsidR="009F5848" w:rsidRPr="004509B9" w:rsidRDefault="009F5848" w:rsidP="009F5848">
            <w:pPr>
              <w:autoSpaceDE w:val="0"/>
              <w:autoSpaceDN w:val="0"/>
              <w:adjustRightInd w:val="0"/>
              <w:rPr>
                <w:rFonts w:eastAsia="Times New Roman"/>
                <w:sz w:val="22"/>
                <w:szCs w:val="22"/>
                <w:lang w:val="lt-LT" w:eastAsia="en-US"/>
              </w:rPr>
            </w:pPr>
            <w:r w:rsidRPr="004509B9">
              <w:rPr>
                <w:rFonts w:eastAsia="Times New Roman"/>
                <w:sz w:val="22"/>
                <w:szCs w:val="22"/>
                <w:lang w:val="lt-LT" w:eastAsia="en-US"/>
              </w:rPr>
              <w:t>1</w:t>
            </w:r>
            <w:r w:rsidR="00863151" w:rsidRPr="004509B9">
              <w:rPr>
                <w:rFonts w:eastAsia="Times New Roman"/>
                <w:sz w:val="22"/>
                <w:szCs w:val="22"/>
                <w:lang w:val="lt-LT" w:eastAsia="en-US"/>
              </w:rPr>
              <w:t>47</w:t>
            </w:r>
            <w:r w:rsidRPr="004509B9">
              <w:rPr>
                <w:rFonts w:eastAsia="Times New Roman"/>
                <w:sz w:val="22"/>
                <w:szCs w:val="22"/>
                <w:lang w:val="lt-LT" w:eastAsia="en-US"/>
              </w:rPr>
              <w:t xml:space="preserve"> </w:t>
            </w:r>
          </w:p>
        </w:tc>
      </w:tr>
    </w:tbl>
    <w:p w14:paraId="487198A0" w14:textId="77777777" w:rsidR="009F5848" w:rsidRPr="004509B9" w:rsidRDefault="009F5848" w:rsidP="009F5848">
      <w:pPr>
        <w:autoSpaceDE w:val="0"/>
        <w:autoSpaceDN w:val="0"/>
        <w:adjustRightInd w:val="0"/>
        <w:rPr>
          <w:rFonts w:eastAsia="TimesNewRoman"/>
          <w:sz w:val="18"/>
          <w:szCs w:val="18"/>
          <w:lang w:val="lt-LT" w:eastAsia="en-US"/>
        </w:rPr>
      </w:pPr>
      <w:r w:rsidRPr="004509B9">
        <w:rPr>
          <w:rFonts w:eastAsia="TimesNewRoman"/>
          <w:sz w:val="20"/>
          <w:vertAlign w:val="superscript"/>
          <w:lang w:val="lt-LT" w:eastAsia="en-US"/>
        </w:rPr>
        <w:t xml:space="preserve">a </w:t>
      </w:r>
      <w:r w:rsidRPr="004509B9">
        <w:rPr>
          <w:rFonts w:eastAsia="TimesNewRoman"/>
          <w:sz w:val="18"/>
          <w:szCs w:val="18"/>
          <w:lang w:val="lt-LT" w:eastAsia="en-US"/>
        </w:rPr>
        <w:t xml:space="preserve">Vertinimai pagal </w:t>
      </w:r>
      <w:r w:rsidRPr="004509B9">
        <w:rPr>
          <w:rFonts w:eastAsia="TimesNewRoman"/>
          <w:i/>
          <w:iCs/>
          <w:sz w:val="18"/>
          <w:szCs w:val="18"/>
          <w:lang w:val="lt-LT" w:eastAsia="en-US"/>
        </w:rPr>
        <w:t xml:space="preserve">TLOVR </w:t>
      </w:r>
      <w:r w:rsidRPr="004509B9">
        <w:rPr>
          <w:rFonts w:eastAsia="TimesNewRoman"/>
          <w:sz w:val="18"/>
          <w:szCs w:val="18"/>
          <w:lang w:val="lt-LT" w:eastAsia="en-US"/>
        </w:rPr>
        <w:t>algoritmą.</w:t>
      </w:r>
    </w:p>
    <w:p w14:paraId="48F91DA6" w14:textId="77777777" w:rsidR="009F5848" w:rsidRPr="004509B9" w:rsidRDefault="009F5848" w:rsidP="009F5848">
      <w:pPr>
        <w:autoSpaceDE w:val="0"/>
        <w:autoSpaceDN w:val="0"/>
        <w:adjustRightInd w:val="0"/>
        <w:rPr>
          <w:rFonts w:eastAsia="TimesNewRoman"/>
          <w:sz w:val="18"/>
          <w:szCs w:val="18"/>
          <w:lang w:val="lt-LT" w:eastAsia="en-US"/>
        </w:rPr>
      </w:pPr>
      <w:r w:rsidRPr="004509B9">
        <w:rPr>
          <w:rFonts w:eastAsia="TimesNewRoman"/>
          <w:sz w:val="20"/>
          <w:vertAlign w:val="superscript"/>
          <w:lang w:val="lt-LT" w:eastAsia="en-US"/>
        </w:rPr>
        <w:t>b</w:t>
      </w:r>
      <w:r w:rsidRPr="004509B9">
        <w:rPr>
          <w:rFonts w:eastAsia="TimesNewRoman"/>
          <w:sz w:val="14"/>
          <w:szCs w:val="14"/>
          <w:lang w:val="lt-LT" w:eastAsia="en-US"/>
        </w:rPr>
        <w:t xml:space="preserve"> </w:t>
      </w:r>
      <w:r w:rsidRPr="004509B9">
        <w:rPr>
          <w:rFonts w:eastAsia="TimesNewRoman"/>
          <w:sz w:val="18"/>
          <w:szCs w:val="18"/>
          <w:lang w:val="lt-LT" w:eastAsia="en-US"/>
        </w:rPr>
        <w:t>Nebaigimas reiškia nesėkmę: pacientai, nutraukę gydymą pirma laiko, priskiriami pokyčiui 0.</w:t>
      </w:r>
    </w:p>
    <w:p w14:paraId="17F335E2" w14:textId="77777777" w:rsidR="009F5848" w:rsidRPr="004509B9" w:rsidRDefault="009F5848" w:rsidP="009F5848">
      <w:pPr>
        <w:autoSpaceDE w:val="0"/>
        <w:autoSpaceDN w:val="0"/>
        <w:adjustRightInd w:val="0"/>
        <w:rPr>
          <w:rFonts w:eastAsia="TimesNewRoman"/>
          <w:sz w:val="18"/>
          <w:szCs w:val="18"/>
          <w:lang w:val="lt-LT" w:eastAsia="en-US"/>
        </w:rPr>
      </w:pPr>
    </w:p>
    <w:p w14:paraId="6866EB00" w14:textId="77777777" w:rsidR="00863151" w:rsidRPr="004509B9" w:rsidRDefault="00863151" w:rsidP="00863151">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Remiantis TLOVR nevirusologinės nesėkmės patikslintu algoritmu, virusologinę nesėkmę patyrė 24 (30,0 %) pacientai, iš jų 17 (21,3 %) pacientų buvo atšokos efektas, o 7 (8,8 %) pacientai nereagavo į gydymą.</w:t>
      </w:r>
    </w:p>
    <w:p w14:paraId="4F525F47" w14:textId="77777777" w:rsidR="00863151" w:rsidRPr="004509B9" w:rsidRDefault="00863151" w:rsidP="009F5848">
      <w:pPr>
        <w:autoSpaceDE w:val="0"/>
        <w:autoSpaceDN w:val="0"/>
        <w:adjustRightInd w:val="0"/>
        <w:rPr>
          <w:rFonts w:eastAsia="TimesNewRoman"/>
          <w:sz w:val="22"/>
          <w:szCs w:val="22"/>
          <w:lang w:val="lt-LT" w:eastAsia="en-US"/>
        </w:rPr>
      </w:pPr>
    </w:p>
    <w:p w14:paraId="261DFF6F" w14:textId="77777777" w:rsidR="00863151" w:rsidRPr="009C16AC" w:rsidRDefault="00863151" w:rsidP="00863151">
      <w:pPr>
        <w:autoSpaceDE w:val="0"/>
        <w:autoSpaceDN w:val="0"/>
        <w:adjustRightInd w:val="0"/>
        <w:rPr>
          <w:rFonts w:eastAsia="TimesNewRoman"/>
          <w:i/>
          <w:iCs/>
          <w:sz w:val="22"/>
          <w:szCs w:val="22"/>
          <w:u w:val="single"/>
          <w:lang w:val="lt-LT" w:eastAsia="en-US"/>
        </w:rPr>
      </w:pPr>
      <w:r w:rsidRPr="009C16AC">
        <w:rPr>
          <w:rFonts w:eastAsia="TimesNewRoman"/>
          <w:i/>
          <w:iCs/>
          <w:sz w:val="22"/>
          <w:szCs w:val="22"/>
          <w:u w:val="single"/>
          <w:lang w:val="lt-LT" w:eastAsia="en-US"/>
        </w:rPr>
        <w:t>Vaikų populiacijos pacientai, kuriems buvo taikytas ARG (nuo 3 iki &lt; 6 metų)</w:t>
      </w:r>
    </w:p>
    <w:p w14:paraId="67DD1A97" w14:textId="77777777" w:rsidR="00863151" w:rsidRPr="004509B9" w:rsidRDefault="00F41361" w:rsidP="00863151">
      <w:pPr>
        <w:autoSpaceDE w:val="0"/>
        <w:autoSpaceDN w:val="0"/>
        <w:adjustRightInd w:val="0"/>
        <w:rPr>
          <w:rFonts w:eastAsia="TimesNewRoman"/>
          <w:iCs/>
          <w:sz w:val="22"/>
          <w:szCs w:val="22"/>
          <w:lang w:val="lt-LT" w:eastAsia="en-US"/>
        </w:rPr>
      </w:pPr>
      <w:r w:rsidRPr="004509B9">
        <w:rPr>
          <w:rFonts w:eastAsia="TimesNewRoman"/>
          <w:iCs/>
          <w:sz w:val="22"/>
          <w:szCs w:val="22"/>
          <w:lang w:val="lt-LT" w:eastAsia="en-US"/>
        </w:rPr>
        <w:t>Darunaviro</w:t>
      </w:r>
      <w:r w:rsidR="00863151" w:rsidRPr="004509B9">
        <w:rPr>
          <w:rFonts w:eastAsia="TimesNewRoman"/>
          <w:iCs/>
          <w:sz w:val="22"/>
          <w:szCs w:val="22"/>
          <w:lang w:val="lt-LT" w:eastAsia="en-US"/>
        </w:rPr>
        <w:t>/ritonaviro derin</w:t>
      </w:r>
      <w:r w:rsidRPr="004509B9">
        <w:rPr>
          <w:rFonts w:eastAsia="TimesNewRoman"/>
          <w:iCs/>
          <w:sz w:val="22"/>
          <w:szCs w:val="22"/>
          <w:lang w:val="lt-LT" w:eastAsia="en-US"/>
        </w:rPr>
        <w:t>io</w:t>
      </w:r>
      <w:r w:rsidR="00863151" w:rsidRPr="004509B9">
        <w:rPr>
          <w:rFonts w:eastAsia="TimesNewRoman"/>
          <w:iCs/>
          <w:sz w:val="22"/>
          <w:szCs w:val="22"/>
          <w:lang w:val="lt-LT" w:eastAsia="en-US"/>
        </w:rPr>
        <w:t xml:space="preserve"> du kartus per parą su kitais antiretrovirusiniais vaistiniais preparatais</w:t>
      </w:r>
      <w:r w:rsidRPr="004509B9">
        <w:rPr>
          <w:rFonts w:eastAsia="TimesNewRoman"/>
          <w:iCs/>
          <w:sz w:val="22"/>
          <w:szCs w:val="22"/>
          <w:lang w:val="lt-LT" w:eastAsia="en-US"/>
        </w:rPr>
        <w:t xml:space="preserve"> </w:t>
      </w:r>
      <w:r w:rsidR="00863151" w:rsidRPr="004509B9">
        <w:rPr>
          <w:rFonts w:eastAsia="TimesNewRoman"/>
          <w:iCs/>
          <w:sz w:val="22"/>
          <w:szCs w:val="22"/>
          <w:lang w:val="lt-LT" w:eastAsia="en-US"/>
        </w:rPr>
        <w:t xml:space="preserve">farmakokinetika, saugumas, toleravimas ir veiksmingumas </w:t>
      </w:r>
      <w:r w:rsidRPr="004509B9">
        <w:rPr>
          <w:rFonts w:eastAsia="TimesNewRoman"/>
          <w:iCs/>
          <w:sz w:val="22"/>
          <w:szCs w:val="22"/>
          <w:lang w:val="lt-LT" w:eastAsia="en-US"/>
        </w:rPr>
        <w:t xml:space="preserve">buvo ištirtas atvirame II fazės klinikiniame tyrime </w:t>
      </w:r>
      <w:r w:rsidRPr="009C16AC">
        <w:rPr>
          <w:rFonts w:eastAsia="TimesNewRoman"/>
          <w:b/>
          <w:i/>
          <w:iCs/>
          <w:sz w:val="22"/>
          <w:szCs w:val="22"/>
          <w:lang w:val="lt-LT" w:eastAsia="en-US"/>
        </w:rPr>
        <w:t>ARIEL</w:t>
      </w:r>
      <w:r w:rsidRPr="004509B9">
        <w:rPr>
          <w:rFonts w:eastAsia="TimesNewRoman"/>
          <w:iCs/>
          <w:sz w:val="22"/>
          <w:szCs w:val="22"/>
          <w:lang w:val="lt-LT" w:eastAsia="en-US"/>
        </w:rPr>
        <w:t xml:space="preserve"> ŽIV-1 infekuotiems vaikams ir paaugliams (21 tiriamajam),</w:t>
      </w:r>
      <w:r w:rsidR="009C16AC">
        <w:rPr>
          <w:rFonts w:eastAsia="TimesNewRoman"/>
          <w:iCs/>
          <w:sz w:val="22"/>
          <w:szCs w:val="22"/>
          <w:lang w:val="lt-LT" w:eastAsia="en-US"/>
        </w:rPr>
        <w:t xml:space="preserve"> </w:t>
      </w:r>
      <w:r w:rsidRPr="004509B9">
        <w:rPr>
          <w:rFonts w:eastAsia="TimesNewRoman"/>
          <w:iCs/>
          <w:sz w:val="22"/>
          <w:szCs w:val="22"/>
          <w:lang w:val="lt-LT" w:eastAsia="en-US"/>
        </w:rPr>
        <w:t xml:space="preserve">kuriems buvo taikytas </w:t>
      </w:r>
      <w:r w:rsidR="00863151" w:rsidRPr="004509B9">
        <w:rPr>
          <w:rFonts w:eastAsia="TimesNewRoman"/>
          <w:iCs/>
          <w:sz w:val="22"/>
          <w:szCs w:val="22"/>
          <w:lang w:val="lt-LT" w:eastAsia="en-US"/>
        </w:rPr>
        <w:t>AR</w:t>
      </w:r>
      <w:r w:rsidRPr="004509B9">
        <w:rPr>
          <w:rFonts w:eastAsia="TimesNewRoman"/>
          <w:iCs/>
          <w:sz w:val="22"/>
          <w:szCs w:val="22"/>
          <w:lang w:val="lt-LT" w:eastAsia="en-US"/>
        </w:rPr>
        <w:t>G; jų</w:t>
      </w:r>
      <w:r w:rsidR="00863151" w:rsidRPr="004509B9">
        <w:rPr>
          <w:rFonts w:eastAsia="TimesNewRoman"/>
          <w:iCs/>
          <w:sz w:val="22"/>
          <w:szCs w:val="22"/>
          <w:lang w:val="lt-LT" w:eastAsia="en-US"/>
        </w:rPr>
        <w:t xml:space="preserve"> amžius buvo nuo 3 iki &lt; 6 metų, o svoris nuo 10</w:t>
      </w:r>
      <w:r w:rsidRPr="004509B9">
        <w:rPr>
          <w:rFonts w:eastAsia="TimesNewRoman"/>
          <w:iCs/>
          <w:sz w:val="22"/>
          <w:szCs w:val="22"/>
          <w:lang w:val="lt-LT" w:eastAsia="en-US"/>
        </w:rPr>
        <w:t> </w:t>
      </w:r>
      <w:r w:rsidR="00863151" w:rsidRPr="004509B9">
        <w:rPr>
          <w:rFonts w:eastAsia="TimesNewRoman"/>
          <w:iCs/>
          <w:sz w:val="22"/>
          <w:szCs w:val="22"/>
          <w:lang w:val="lt-LT" w:eastAsia="en-US"/>
        </w:rPr>
        <w:t>kg iki &lt;</w:t>
      </w:r>
      <w:r w:rsidRPr="004509B9">
        <w:rPr>
          <w:rFonts w:eastAsia="TimesNewRoman"/>
          <w:iCs/>
          <w:sz w:val="22"/>
          <w:szCs w:val="22"/>
          <w:lang w:val="lt-LT" w:eastAsia="en-US"/>
        </w:rPr>
        <w:t xml:space="preserve"> </w:t>
      </w:r>
      <w:r w:rsidR="00863151" w:rsidRPr="004509B9">
        <w:rPr>
          <w:rFonts w:eastAsia="TimesNewRoman"/>
          <w:iCs/>
          <w:sz w:val="22"/>
          <w:szCs w:val="22"/>
          <w:lang w:val="lt-LT" w:eastAsia="en-US"/>
        </w:rPr>
        <w:t>20</w:t>
      </w:r>
      <w:r w:rsidRPr="004509B9">
        <w:rPr>
          <w:rFonts w:eastAsia="TimesNewRoman"/>
          <w:iCs/>
          <w:sz w:val="22"/>
          <w:szCs w:val="22"/>
          <w:lang w:val="lt-LT" w:eastAsia="en-US"/>
        </w:rPr>
        <w:t> kg</w:t>
      </w:r>
      <w:r w:rsidR="00863151" w:rsidRPr="004509B9">
        <w:rPr>
          <w:rFonts w:eastAsia="TimesNewRoman"/>
          <w:iCs/>
          <w:sz w:val="22"/>
          <w:szCs w:val="22"/>
          <w:lang w:val="lt-LT" w:eastAsia="en-US"/>
        </w:rPr>
        <w:t>. Pacientai buvo gydyti pagal kūno</w:t>
      </w:r>
      <w:r w:rsidRPr="004509B9">
        <w:rPr>
          <w:rFonts w:eastAsia="TimesNewRoman"/>
          <w:iCs/>
          <w:sz w:val="22"/>
          <w:szCs w:val="22"/>
          <w:lang w:val="lt-LT" w:eastAsia="en-US"/>
        </w:rPr>
        <w:t xml:space="preserve"> svorį </w:t>
      </w:r>
      <w:r w:rsidR="00863151" w:rsidRPr="004509B9">
        <w:rPr>
          <w:rFonts w:eastAsia="TimesNewRoman"/>
          <w:iCs/>
          <w:sz w:val="22"/>
          <w:szCs w:val="22"/>
          <w:lang w:val="lt-LT" w:eastAsia="en-US"/>
        </w:rPr>
        <w:t xml:space="preserve">apskaičiuota doze </w:t>
      </w:r>
      <w:r w:rsidRPr="004509B9">
        <w:rPr>
          <w:rFonts w:eastAsia="TimesNewRoman"/>
          <w:iCs/>
          <w:sz w:val="22"/>
          <w:szCs w:val="22"/>
          <w:lang w:val="lt-LT" w:eastAsia="en-US"/>
        </w:rPr>
        <w:t xml:space="preserve">dozuojant </w:t>
      </w:r>
      <w:r w:rsidR="00863151" w:rsidRPr="004509B9">
        <w:rPr>
          <w:rFonts w:eastAsia="TimesNewRoman"/>
          <w:iCs/>
          <w:sz w:val="22"/>
          <w:szCs w:val="22"/>
          <w:lang w:val="lt-LT" w:eastAsia="en-US"/>
        </w:rPr>
        <w:t xml:space="preserve">du kartus per parą: pacientai, kurių kūno </w:t>
      </w:r>
      <w:r w:rsidRPr="004509B9">
        <w:rPr>
          <w:rFonts w:eastAsia="TimesNewRoman"/>
          <w:iCs/>
          <w:sz w:val="22"/>
          <w:szCs w:val="22"/>
          <w:lang w:val="lt-LT" w:eastAsia="en-US"/>
        </w:rPr>
        <w:t>svoris</w:t>
      </w:r>
      <w:r w:rsidR="00863151" w:rsidRPr="004509B9">
        <w:rPr>
          <w:rFonts w:eastAsia="TimesNewRoman"/>
          <w:iCs/>
          <w:sz w:val="22"/>
          <w:szCs w:val="22"/>
          <w:lang w:val="lt-LT" w:eastAsia="en-US"/>
        </w:rPr>
        <w:t xml:space="preserve"> </w:t>
      </w:r>
      <w:r w:rsidRPr="004509B9">
        <w:rPr>
          <w:rFonts w:eastAsia="TimesNewRoman"/>
          <w:iCs/>
          <w:sz w:val="22"/>
          <w:szCs w:val="22"/>
          <w:lang w:val="lt-LT" w:eastAsia="en-US"/>
        </w:rPr>
        <w:t>buvo</w:t>
      </w:r>
      <w:r w:rsidR="00863151" w:rsidRPr="004509B9">
        <w:rPr>
          <w:rFonts w:eastAsia="TimesNewRoman"/>
          <w:iCs/>
          <w:sz w:val="22"/>
          <w:szCs w:val="22"/>
          <w:lang w:val="lt-LT" w:eastAsia="en-US"/>
        </w:rPr>
        <w:t xml:space="preserve"> </w:t>
      </w:r>
      <w:r w:rsidR="00863151" w:rsidRPr="004509B9">
        <w:rPr>
          <w:rFonts w:eastAsia="TimesNewRoman"/>
          <w:iCs/>
          <w:sz w:val="22"/>
          <w:szCs w:val="22"/>
          <w:lang w:val="lt-LT" w:eastAsia="en-US"/>
        </w:rPr>
        <w:lastRenderedPageBreak/>
        <w:t>nuo</w:t>
      </w:r>
      <w:r w:rsidRPr="004509B9">
        <w:rPr>
          <w:rFonts w:eastAsia="TimesNewRoman"/>
          <w:iCs/>
          <w:sz w:val="22"/>
          <w:szCs w:val="22"/>
          <w:lang w:val="lt-LT" w:eastAsia="en-US"/>
        </w:rPr>
        <w:t xml:space="preserve"> </w:t>
      </w:r>
      <w:r w:rsidR="00863151" w:rsidRPr="004509B9">
        <w:rPr>
          <w:rFonts w:eastAsia="TimesNewRoman"/>
          <w:iCs/>
          <w:sz w:val="22"/>
          <w:szCs w:val="22"/>
          <w:lang w:val="lt-LT" w:eastAsia="en-US"/>
        </w:rPr>
        <w:t>10</w:t>
      </w:r>
      <w:r w:rsidRPr="004509B9">
        <w:rPr>
          <w:rFonts w:eastAsia="TimesNewRoman"/>
          <w:iCs/>
          <w:sz w:val="22"/>
          <w:szCs w:val="22"/>
          <w:lang w:val="lt-LT" w:eastAsia="en-US"/>
        </w:rPr>
        <w:t> </w:t>
      </w:r>
      <w:r w:rsidR="00863151" w:rsidRPr="004509B9">
        <w:rPr>
          <w:rFonts w:eastAsia="TimesNewRoman"/>
          <w:iCs/>
          <w:sz w:val="22"/>
          <w:szCs w:val="22"/>
          <w:lang w:val="lt-LT" w:eastAsia="en-US"/>
        </w:rPr>
        <w:t>kg iki &lt; 15</w:t>
      </w:r>
      <w:r w:rsidRPr="004509B9">
        <w:rPr>
          <w:rFonts w:eastAsia="TimesNewRoman"/>
          <w:iCs/>
          <w:sz w:val="22"/>
          <w:szCs w:val="22"/>
          <w:lang w:val="lt-LT" w:eastAsia="en-US"/>
        </w:rPr>
        <w:t> </w:t>
      </w:r>
      <w:r w:rsidR="00863151" w:rsidRPr="004509B9">
        <w:rPr>
          <w:rFonts w:eastAsia="TimesNewRoman"/>
          <w:iCs/>
          <w:sz w:val="22"/>
          <w:szCs w:val="22"/>
          <w:lang w:val="lt-LT" w:eastAsia="en-US"/>
        </w:rPr>
        <w:t>kg, vartojo 25/3</w:t>
      </w:r>
      <w:r w:rsidRPr="004509B9">
        <w:rPr>
          <w:rFonts w:eastAsia="TimesNewRoman"/>
          <w:iCs/>
          <w:sz w:val="22"/>
          <w:szCs w:val="22"/>
          <w:lang w:val="lt-LT" w:eastAsia="en-US"/>
        </w:rPr>
        <w:t> </w:t>
      </w:r>
      <w:r w:rsidR="00863151" w:rsidRPr="004509B9">
        <w:rPr>
          <w:rFonts w:eastAsia="TimesNewRoman"/>
          <w:iCs/>
          <w:sz w:val="22"/>
          <w:szCs w:val="22"/>
          <w:lang w:val="lt-LT" w:eastAsia="en-US"/>
        </w:rPr>
        <w:t>mg/kg darunaviro/ritonaviro dozę du kartus per parą, o pacientai, kurių</w:t>
      </w:r>
      <w:r w:rsidRPr="004509B9">
        <w:rPr>
          <w:rFonts w:eastAsia="TimesNewRoman"/>
          <w:iCs/>
          <w:sz w:val="22"/>
          <w:szCs w:val="22"/>
          <w:lang w:val="lt-LT" w:eastAsia="en-US"/>
        </w:rPr>
        <w:t xml:space="preserve"> </w:t>
      </w:r>
      <w:r w:rsidR="00863151" w:rsidRPr="004509B9">
        <w:rPr>
          <w:rFonts w:eastAsia="TimesNewRoman"/>
          <w:iCs/>
          <w:sz w:val="22"/>
          <w:szCs w:val="22"/>
          <w:lang w:val="lt-LT" w:eastAsia="en-US"/>
        </w:rPr>
        <w:t xml:space="preserve">kūno </w:t>
      </w:r>
      <w:r w:rsidRPr="004509B9">
        <w:rPr>
          <w:rFonts w:eastAsia="TimesNewRoman"/>
          <w:iCs/>
          <w:sz w:val="22"/>
          <w:szCs w:val="22"/>
          <w:lang w:val="lt-LT" w:eastAsia="en-US"/>
        </w:rPr>
        <w:t>svoris buvo</w:t>
      </w:r>
      <w:r w:rsidR="00863151" w:rsidRPr="004509B9">
        <w:rPr>
          <w:rFonts w:eastAsia="TimesNewRoman"/>
          <w:iCs/>
          <w:sz w:val="22"/>
          <w:szCs w:val="22"/>
          <w:lang w:val="lt-LT" w:eastAsia="en-US"/>
        </w:rPr>
        <w:t xml:space="preserve"> nuo 15</w:t>
      </w:r>
      <w:r w:rsidRPr="004509B9">
        <w:rPr>
          <w:rFonts w:eastAsia="TimesNewRoman"/>
          <w:iCs/>
          <w:sz w:val="22"/>
          <w:szCs w:val="22"/>
          <w:lang w:val="lt-LT" w:eastAsia="en-US"/>
        </w:rPr>
        <w:t> </w:t>
      </w:r>
      <w:r w:rsidR="00863151" w:rsidRPr="004509B9">
        <w:rPr>
          <w:rFonts w:eastAsia="TimesNewRoman"/>
          <w:iCs/>
          <w:sz w:val="22"/>
          <w:szCs w:val="22"/>
          <w:lang w:val="lt-LT" w:eastAsia="en-US"/>
        </w:rPr>
        <w:t>kg iki &lt; 20</w:t>
      </w:r>
      <w:r w:rsidRPr="004509B9">
        <w:rPr>
          <w:rFonts w:eastAsia="TimesNewRoman"/>
          <w:iCs/>
          <w:sz w:val="22"/>
          <w:szCs w:val="22"/>
          <w:lang w:val="lt-LT" w:eastAsia="en-US"/>
        </w:rPr>
        <w:t> </w:t>
      </w:r>
      <w:r w:rsidR="00863151" w:rsidRPr="004509B9">
        <w:rPr>
          <w:rFonts w:eastAsia="TimesNewRoman"/>
          <w:iCs/>
          <w:sz w:val="22"/>
          <w:szCs w:val="22"/>
          <w:lang w:val="lt-LT" w:eastAsia="en-US"/>
        </w:rPr>
        <w:t>kg, vartojo 375/50</w:t>
      </w:r>
      <w:r w:rsidRPr="004509B9">
        <w:rPr>
          <w:rFonts w:eastAsia="TimesNewRoman"/>
          <w:iCs/>
          <w:sz w:val="22"/>
          <w:szCs w:val="22"/>
          <w:lang w:val="lt-LT" w:eastAsia="en-US"/>
        </w:rPr>
        <w:t> </w:t>
      </w:r>
      <w:r w:rsidR="00863151" w:rsidRPr="004509B9">
        <w:rPr>
          <w:rFonts w:eastAsia="TimesNewRoman"/>
          <w:iCs/>
          <w:sz w:val="22"/>
          <w:szCs w:val="22"/>
          <w:lang w:val="lt-LT" w:eastAsia="en-US"/>
        </w:rPr>
        <w:t>mg darunaviro/ritonaviro dozę du kartus per parą.</w:t>
      </w:r>
      <w:r w:rsidRPr="004509B9">
        <w:rPr>
          <w:rFonts w:eastAsia="TimesNewRoman"/>
          <w:iCs/>
          <w:sz w:val="22"/>
          <w:szCs w:val="22"/>
          <w:lang w:val="lt-LT" w:eastAsia="en-US"/>
        </w:rPr>
        <w:t xml:space="preserve"> </w:t>
      </w:r>
      <w:r w:rsidR="00863151" w:rsidRPr="004509B9">
        <w:rPr>
          <w:rFonts w:eastAsia="TimesNewRoman"/>
          <w:iCs/>
          <w:sz w:val="22"/>
          <w:szCs w:val="22"/>
          <w:lang w:val="lt-LT" w:eastAsia="en-US"/>
        </w:rPr>
        <w:t xml:space="preserve">48 savaitę </w:t>
      </w:r>
      <w:r w:rsidRPr="004509B9">
        <w:rPr>
          <w:rFonts w:eastAsia="TimesNewRoman"/>
          <w:iCs/>
          <w:sz w:val="22"/>
          <w:szCs w:val="22"/>
          <w:lang w:val="lt-LT" w:eastAsia="en-US"/>
        </w:rPr>
        <w:t>darunoviru</w:t>
      </w:r>
      <w:r w:rsidR="00863151" w:rsidRPr="004509B9">
        <w:rPr>
          <w:rFonts w:eastAsia="TimesNewRoman"/>
          <w:iCs/>
          <w:sz w:val="22"/>
          <w:szCs w:val="22"/>
          <w:lang w:val="lt-LT" w:eastAsia="en-US"/>
        </w:rPr>
        <w:t>/ritonaviru kartu su kitais antiretrovirusiniais vaistiniais preparatais gydomiems</w:t>
      </w:r>
      <w:r w:rsidRPr="004509B9">
        <w:rPr>
          <w:rFonts w:eastAsia="TimesNewRoman"/>
          <w:iCs/>
          <w:sz w:val="22"/>
          <w:szCs w:val="22"/>
          <w:lang w:val="lt-LT" w:eastAsia="en-US"/>
        </w:rPr>
        <w:t xml:space="preserve"> </w:t>
      </w:r>
      <w:r w:rsidR="00863151" w:rsidRPr="004509B9">
        <w:rPr>
          <w:rFonts w:eastAsia="TimesNewRoman"/>
          <w:iCs/>
          <w:sz w:val="22"/>
          <w:szCs w:val="22"/>
          <w:lang w:val="lt-LT" w:eastAsia="en-US"/>
        </w:rPr>
        <w:t>16 pediatrinių pacientų, kurių svoris nuo 15</w:t>
      </w:r>
      <w:r w:rsidRPr="004509B9">
        <w:rPr>
          <w:rFonts w:eastAsia="TimesNewRoman"/>
          <w:iCs/>
          <w:sz w:val="22"/>
          <w:szCs w:val="22"/>
          <w:lang w:val="lt-LT" w:eastAsia="en-US"/>
        </w:rPr>
        <w:t> </w:t>
      </w:r>
      <w:r w:rsidR="00863151" w:rsidRPr="004509B9">
        <w:rPr>
          <w:rFonts w:eastAsia="TimesNewRoman"/>
          <w:iCs/>
          <w:sz w:val="22"/>
          <w:szCs w:val="22"/>
          <w:lang w:val="lt-LT" w:eastAsia="en-US"/>
        </w:rPr>
        <w:t>kg iki &lt; 20</w:t>
      </w:r>
      <w:r w:rsidRPr="004509B9">
        <w:rPr>
          <w:rFonts w:eastAsia="TimesNewRoman"/>
          <w:iCs/>
          <w:sz w:val="22"/>
          <w:szCs w:val="22"/>
          <w:lang w:val="lt-LT" w:eastAsia="en-US"/>
        </w:rPr>
        <w:t> </w:t>
      </w:r>
      <w:r w:rsidR="00863151" w:rsidRPr="004509B9">
        <w:rPr>
          <w:rFonts w:eastAsia="TimesNewRoman"/>
          <w:iCs/>
          <w:sz w:val="22"/>
          <w:szCs w:val="22"/>
          <w:lang w:val="lt-LT" w:eastAsia="en-US"/>
        </w:rPr>
        <w:t>kg, ir 5 vaikams ir paaugliams, kurių svoris</w:t>
      </w:r>
      <w:r w:rsidRPr="004509B9">
        <w:rPr>
          <w:rFonts w:eastAsia="TimesNewRoman"/>
          <w:iCs/>
          <w:sz w:val="22"/>
          <w:szCs w:val="22"/>
          <w:lang w:val="lt-LT" w:eastAsia="en-US"/>
        </w:rPr>
        <w:t xml:space="preserve"> </w:t>
      </w:r>
      <w:r w:rsidR="00863151" w:rsidRPr="004509B9">
        <w:rPr>
          <w:rFonts w:eastAsia="TimesNewRoman"/>
          <w:iCs/>
          <w:sz w:val="22"/>
          <w:szCs w:val="22"/>
          <w:lang w:val="lt-LT" w:eastAsia="en-US"/>
        </w:rPr>
        <w:t>nuo 10</w:t>
      </w:r>
      <w:r w:rsidRPr="004509B9">
        <w:rPr>
          <w:rFonts w:eastAsia="TimesNewRoman"/>
          <w:iCs/>
          <w:sz w:val="22"/>
          <w:szCs w:val="22"/>
          <w:lang w:val="lt-LT" w:eastAsia="en-US"/>
        </w:rPr>
        <w:t> </w:t>
      </w:r>
      <w:r w:rsidR="00863151" w:rsidRPr="004509B9">
        <w:rPr>
          <w:rFonts w:eastAsia="TimesNewRoman"/>
          <w:iCs/>
          <w:sz w:val="22"/>
          <w:szCs w:val="22"/>
          <w:lang w:val="lt-LT" w:eastAsia="en-US"/>
        </w:rPr>
        <w:t>kg iki &lt; 15</w:t>
      </w:r>
      <w:r w:rsidRPr="004509B9">
        <w:rPr>
          <w:rFonts w:eastAsia="TimesNewRoman"/>
          <w:iCs/>
          <w:sz w:val="22"/>
          <w:szCs w:val="22"/>
          <w:lang w:val="lt-LT" w:eastAsia="en-US"/>
        </w:rPr>
        <w:t> </w:t>
      </w:r>
      <w:r w:rsidR="00863151" w:rsidRPr="004509B9">
        <w:rPr>
          <w:rFonts w:eastAsia="TimesNewRoman"/>
          <w:iCs/>
          <w:sz w:val="22"/>
          <w:szCs w:val="22"/>
          <w:lang w:val="lt-LT" w:eastAsia="en-US"/>
        </w:rPr>
        <w:t>kg, buvo įvertintas virusologinis atsakas, apibrėžtas kaip pacientų dalis, kuriems</w:t>
      </w:r>
      <w:r w:rsidRPr="004509B9">
        <w:rPr>
          <w:rFonts w:eastAsia="TimesNewRoman"/>
          <w:iCs/>
          <w:sz w:val="22"/>
          <w:szCs w:val="22"/>
          <w:lang w:val="lt-LT" w:eastAsia="en-US"/>
        </w:rPr>
        <w:t xml:space="preserve"> </w:t>
      </w:r>
      <w:r w:rsidR="00863151" w:rsidRPr="004509B9">
        <w:rPr>
          <w:rFonts w:eastAsia="TimesNewRoman"/>
          <w:iCs/>
          <w:sz w:val="22"/>
          <w:szCs w:val="22"/>
          <w:lang w:val="lt-LT" w:eastAsia="en-US"/>
        </w:rPr>
        <w:t>patvirtintas viruso kiekis plazmoje buvo &lt; 50 ŽIV-1 RNR kopijų/ml (žr. 4.2 skyrių dėl rekomendacijų</w:t>
      </w:r>
      <w:r w:rsidRPr="004509B9">
        <w:rPr>
          <w:rFonts w:eastAsia="TimesNewRoman"/>
          <w:iCs/>
          <w:sz w:val="22"/>
          <w:szCs w:val="22"/>
          <w:lang w:val="lt-LT" w:eastAsia="en-US"/>
        </w:rPr>
        <w:t xml:space="preserve"> </w:t>
      </w:r>
      <w:r w:rsidR="00863151" w:rsidRPr="004509B9">
        <w:rPr>
          <w:rFonts w:eastAsia="TimesNewRoman"/>
          <w:iCs/>
          <w:sz w:val="22"/>
          <w:szCs w:val="22"/>
          <w:lang w:val="lt-LT" w:eastAsia="en-US"/>
        </w:rPr>
        <w:t>dozavimui pagal kūno svorį).</w:t>
      </w:r>
    </w:p>
    <w:p w14:paraId="285207D2" w14:textId="77777777" w:rsidR="00F41361" w:rsidRPr="004509B9" w:rsidRDefault="00F41361" w:rsidP="00863151">
      <w:pPr>
        <w:autoSpaceDE w:val="0"/>
        <w:autoSpaceDN w:val="0"/>
        <w:adjustRightInd w:val="0"/>
        <w:rPr>
          <w:rFonts w:eastAsia="TimesNewRoman"/>
          <w:iCs/>
          <w:sz w:val="22"/>
          <w:szCs w:val="22"/>
          <w:lang w:val="lt-LT" w:eastAsia="en-US"/>
        </w:rPr>
      </w:pPr>
    </w:p>
    <w:tbl>
      <w:tblPr>
        <w:tblW w:w="9288" w:type="dxa"/>
        <w:tblInd w:w="99" w:type="dxa"/>
        <w:tblLayout w:type="fixed"/>
        <w:tblCellMar>
          <w:left w:w="0" w:type="dxa"/>
          <w:right w:w="0" w:type="dxa"/>
        </w:tblCellMar>
        <w:tblLook w:val="01E0" w:firstRow="1" w:lastRow="1" w:firstColumn="1" w:lastColumn="1" w:noHBand="0" w:noVBand="0"/>
      </w:tblPr>
      <w:tblGrid>
        <w:gridCol w:w="3308"/>
        <w:gridCol w:w="2884"/>
        <w:gridCol w:w="3096"/>
      </w:tblGrid>
      <w:tr w:rsidR="00F41361" w:rsidRPr="00C75EC3" w14:paraId="7C468B0C" w14:textId="77777777" w:rsidTr="000D6BCB">
        <w:trPr>
          <w:trHeight w:val="262"/>
        </w:trPr>
        <w:tc>
          <w:tcPr>
            <w:tcW w:w="9288" w:type="dxa"/>
            <w:gridSpan w:val="3"/>
            <w:tcBorders>
              <w:top w:val="single" w:sz="4" w:space="0" w:color="000000"/>
              <w:left w:val="single" w:sz="4" w:space="0" w:color="000000"/>
              <w:bottom w:val="single" w:sz="4" w:space="0" w:color="000000"/>
              <w:right w:val="single" w:sz="4" w:space="0" w:color="000000"/>
            </w:tcBorders>
            <w:hideMark/>
          </w:tcPr>
          <w:p w14:paraId="6E02CB84" w14:textId="77777777" w:rsidR="00F41361" w:rsidRPr="004509B9" w:rsidRDefault="00F41361" w:rsidP="00F41361">
            <w:pPr>
              <w:tabs>
                <w:tab w:val="left" w:pos="567"/>
              </w:tabs>
              <w:spacing w:before="5"/>
              <w:ind w:left="4278" w:right="4261"/>
              <w:jc w:val="center"/>
              <w:rPr>
                <w:rFonts w:eastAsia="Times New Roman"/>
                <w:sz w:val="22"/>
                <w:lang w:val="lt-LT" w:eastAsia="en-US"/>
              </w:rPr>
            </w:pPr>
            <w:r w:rsidRPr="004509B9">
              <w:rPr>
                <w:rFonts w:eastAsia="Times New Roman"/>
                <w:spacing w:val="-1"/>
                <w:sz w:val="22"/>
                <w:szCs w:val="22"/>
                <w:lang w:val="lt-LT" w:eastAsia="en-US"/>
              </w:rPr>
              <w:t>ARIEL</w:t>
            </w:r>
          </w:p>
        </w:tc>
      </w:tr>
      <w:tr w:rsidR="00F41361" w:rsidRPr="00C75EC3" w14:paraId="3CE6B3B0" w14:textId="77777777" w:rsidTr="000D6BCB">
        <w:trPr>
          <w:trHeight w:hRule="exact" w:val="264"/>
        </w:trPr>
        <w:tc>
          <w:tcPr>
            <w:tcW w:w="3308" w:type="dxa"/>
            <w:tcBorders>
              <w:top w:val="single" w:sz="4" w:space="0" w:color="000000"/>
              <w:left w:val="single" w:sz="4" w:space="0" w:color="000000"/>
              <w:bottom w:val="single" w:sz="4" w:space="0" w:color="000000"/>
              <w:right w:val="single" w:sz="4" w:space="0" w:color="000000"/>
            </w:tcBorders>
            <w:hideMark/>
          </w:tcPr>
          <w:p w14:paraId="3951548E" w14:textId="77777777" w:rsidR="00F41361" w:rsidRPr="004509B9" w:rsidRDefault="00F41361" w:rsidP="00F41361">
            <w:pPr>
              <w:tabs>
                <w:tab w:val="left" w:pos="567"/>
              </w:tabs>
              <w:spacing w:before="5"/>
              <w:ind w:left="102" w:right="-20"/>
              <w:rPr>
                <w:rFonts w:eastAsia="Times New Roman"/>
                <w:sz w:val="22"/>
                <w:lang w:val="lt-LT" w:eastAsia="en-US"/>
              </w:rPr>
            </w:pPr>
            <w:r w:rsidRPr="004509B9">
              <w:rPr>
                <w:rFonts w:eastAsia="Times New Roman"/>
                <w:i/>
                <w:sz w:val="22"/>
                <w:szCs w:val="22"/>
                <w:lang w:val="lt-LT" w:eastAsia="en-US"/>
              </w:rPr>
              <w:t>Baigtys 48-tą savaitę</w:t>
            </w:r>
          </w:p>
        </w:tc>
        <w:tc>
          <w:tcPr>
            <w:tcW w:w="5980" w:type="dxa"/>
            <w:gridSpan w:val="2"/>
            <w:tcBorders>
              <w:top w:val="single" w:sz="4" w:space="0" w:color="000000"/>
              <w:left w:val="single" w:sz="4" w:space="0" w:color="000000"/>
              <w:bottom w:val="single" w:sz="4" w:space="0" w:color="000000"/>
              <w:right w:val="single" w:sz="4" w:space="0" w:color="000000"/>
            </w:tcBorders>
            <w:hideMark/>
          </w:tcPr>
          <w:p w14:paraId="0025958B" w14:textId="77777777" w:rsidR="00F41361" w:rsidRPr="004509B9" w:rsidRDefault="00F41361" w:rsidP="000D6BCB">
            <w:pPr>
              <w:tabs>
                <w:tab w:val="left" w:pos="567"/>
              </w:tabs>
              <w:spacing w:before="5"/>
              <w:ind w:left="2127" w:right="2011"/>
              <w:jc w:val="center"/>
              <w:rPr>
                <w:rFonts w:eastAsia="Times New Roman"/>
                <w:sz w:val="22"/>
                <w:lang w:val="lt-LT" w:eastAsia="en-US"/>
              </w:rPr>
            </w:pPr>
            <w:r w:rsidRPr="004509B9">
              <w:rPr>
                <w:rFonts w:eastAsia="Times New Roman"/>
                <w:sz w:val="22"/>
                <w:szCs w:val="22"/>
                <w:lang w:val="lt-LT" w:eastAsia="en-US"/>
              </w:rPr>
              <w:t>Darunavir</w:t>
            </w:r>
            <w:r w:rsidR="000D6BCB" w:rsidRPr="004509B9">
              <w:rPr>
                <w:rFonts w:eastAsia="Times New Roman"/>
                <w:sz w:val="22"/>
                <w:szCs w:val="22"/>
                <w:lang w:val="lt-LT" w:eastAsia="en-US"/>
              </w:rPr>
              <w:t>a</w:t>
            </w:r>
            <w:r w:rsidRPr="004509B9">
              <w:rPr>
                <w:rFonts w:eastAsia="Times New Roman"/>
                <w:sz w:val="22"/>
                <w:szCs w:val="22"/>
                <w:lang w:val="lt-LT" w:eastAsia="en-US"/>
              </w:rPr>
              <w:t>/ritonavir</w:t>
            </w:r>
            <w:r w:rsidR="000D6BCB" w:rsidRPr="004509B9">
              <w:rPr>
                <w:rFonts w:eastAsia="Times New Roman"/>
                <w:sz w:val="22"/>
                <w:szCs w:val="22"/>
                <w:lang w:val="lt-LT" w:eastAsia="en-US"/>
              </w:rPr>
              <w:t>ass</w:t>
            </w:r>
          </w:p>
        </w:tc>
      </w:tr>
      <w:tr w:rsidR="00F41361" w:rsidRPr="00C75EC3" w14:paraId="64801F63" w14:textId="77777777" w:rsidTr="000D6BCB">
        <w:trPr>
          <w:trHeight w:hRule="exact" w:val="516"/>
        </w:trPr>
        <w:tc>
          <w:tcPr>
            <w:tcW w:w="3308" w:type="dxa"/>
            <w:tcBorders>
              <w:top w:val="single" w:sz="4" w:space="0" w:color="000000"/>
              <w:left w:val="single" w:sz="4" w:space="0" w:color="000000"/>
              <w:bottom w:val="single" w:sz="4" w:space="0" w:color="000000"/>
              <w:right w:val="single" w:sz="4" w:space="0" w:color="000000"/>
            </w:tcBorders>
          </w:tcPr>
          <w:p w14:paraId="798837A2" w14:textId="77777777" w:rsidR="00F41361" w:rsidRPr="004509B9" w:rsidRDefault="00F41361" w:rsidP="00F41361">
            <w:pPr>
              <w:tabs>
                <w:tab w:val="left" w:pos="567"/>
              </w:tabs>
              <w:spacing w:line="260" w:lineRule="exact"/>
              <w:rPr>
                <w:rFonts w:eastAsia="Times New Roman"/>
                <w:sz w:val="22"/>
                <w:lang w:val="lt-LT" w:eastAsia="en-US"/>
              </w:rPr>
            </w:pPr>
          </w:p>
        </w:tc>
        <w:tc>
          <w:tcPr>
            <w:tcW w:w="2884" w:type="dxa"/>
            <w:tcBorders>
              <w:top w:val="single" w:sz="4" w:space="0" w:color="000000"/>
              <w:left w:val="single" w:sz="4" w:space="0" w:color="000000"/>
              <w:bottom w:val="single" w:sz="4" w:space="0" w:color="000000"/>
              <w:right w:val="single" w:sz="4" w:space="0" w:color="000000"/>
            </w:tcBorders>
            <w:hideMark/>
          </w:tcPr>
          <w:p w14:paraId="79CB4220" w14:textId="77777777" w:rsidR="00F41361" w:rsidRPr="004509B9" w:rsidRDefault="000D6BCB" w:rsidP="000D6BCB">
            <w:pPr>
              <w:tabs>
                <w:tab w:val="left" w:pos="567"/>
              </w:tabs>
              <w:spacing w:before="5"/>
              <w:ind w:left="776" w:right="332"/>
              <w:jc w:val="center"/>
              <w:rPr>
                <w:rFonts w:eastAsia="Times New Roman"/>
                <w:sz w:val="22"/>
                <w:lang w:val="lt-LT" w:eastAsia="en-US"/>
              </w:rPr>
            </w:pPr>
            <w:r w:rsidRPr="004509B9">
              <w:rPr>
                <w:rFonts w:eastAsia="Times New Roman"/>
                <w:sz w:val="22"/>
                <w:szCs w:val="22"/>
                <w:lang w:val="lt-LT" w:eastAsia="en-US"/>
              </w:rPr>
              <w:t xml:space="preserve">Nuo </w:t>
            </w:r>
            <w:r w:rsidR="00F41361" w:rsidRPr="004509B9">
              <w:rPr>
                <w:rFonts w:eastAsia="Times New Roman"/>
                <w:sz w:val="22"/>
                <w:szCs w:val="22"/>
                <w:lang w:val="lt-LT" w:eastAsia="en-US"/>
              </w:rPr>
              <w:t>10</w:t>
            </w:r>
            <w:r w:rsidRPr="004509B9">
              <w:rPr>
                <w:rFonts w:eastAsia="Times New Roman"/>
                <w:sz w:val="22"/>
                <w:szCs w:val="22"/>
                <w:lang w:val="lt-LT" w:eastAsia="en-US"/>
              </w:rPr>
              <w:t> </w:t>
            </w:r>
            <w:r w:rsidR="00F41361" w:rsidRPr="004509B9">
              <w:rPr>
                <w:rFonts w:eastAsia="Times New Roman"/>
                <w:spacing w:val="-1"/>
                <w:sz w:val="22"/>
                <w:szCs w:val="22"/>
                <w:lang w:val="lt-LT" w:eastAsia="en-US"/>
              </w:rPr>
              <w:t>k</w:t>
            </w:r>
            <w:r w:rsidR="00F41361" w:rsidRPr="004509B9">
              <w:rPr>
                <w:rFonts w:eastAsia="Times New Roman"/>
                <w:sz w:val="22"/>
                <w:szCs w:val="22"/>
                <w:lang w:val="lt-LT" w:eastAsia="en-US"/>
              </w:rPr>
              <w:t>g</w:t>
            </w:r>
            <w:r w:rsidRPr="004509B9">
              <w:rPr>
                <w:rFonts w:eastAsia="Times New Roman"/>
                <w:spacing w:val="-1"/>
                <w:sz w:val="22"/>
                <w:szCs w:val="22"/>
                <w:lang w:val="lt-LT" w:eastAsia="en-US"/>
              </w:rPr>
              <w:t xml:space="preserve"> iki</w:t>
            </w:r>
            <w:r w:rsidR="00F41361" w:rsidRPr="004509B9">
              <w:rPr>
                <w:rFonts w:eastAsia="Times New Roman"/>
                <w:spacing w:val="-1"/>
                <w:sz w:val="22"/>
                <w:szCs w:val="22"/>
                <w:lang w:val="lt-LT" w:eastAsia="en-US"/>
              </w:rPr>
              <w:t xml:space="preserve"> </w:t>
            </w:r>
            <w:r w:rsidR="00F41361" w:rsidRPr="004509B9">
              <w:rPr>
                <w:rFonts w:eastAsia="Times New Roman"/>
                <w:sz w:val="22"/>
                <w:szCs w:val="22"/>
                <w:lang w:val="lt-LT" w:eastAsia="en-US"/>
              </w:rPr>
              <w:t>&lt; 15</w:t>
            </w:r>
            <w:r w:rsidRPr="004509B9">
              <w:rPr>
                <w:rFonts w:eastAsia="Times New Roman"/>
                <w:sz w:val="22"/>
                <w:szCs w:val="22"/>
                <w:lang w:val="lt-LT" w:eastAsia="en-US"/>
              </w:rPr>
              <w:t> </w:t>
            </w:r>
            <w:r w:rsidR="00F41361" w:rsidRPr="004509B9">
              <w:rPr>
                <w:rFonts w:eastAsia="Times New Roman"/>
                <w:spacing w:val="-2"/>
                <w:sz w:val="22"/>
                <w:szCs w:val="22"/>
                <w:lang w:val="lt-LT" w:eastAsia="en-US"/>
              </w:rPr>
              <w:t>kg</w:t>
            </w:r>
          </w:p>
          <w:p w14:paraId="05B4C4A2" w14:textId="77777777" w:rsidR="00F41361" w:rsidRPr="004509B9" w:rsidRDefault="00F41361" w:rsidP="00F41361">
            <w:pPr>
              <w:tabs>
                <w:tab w:val="left" w:pos="567"/>
              </w:tabs>
              <w:spacing w:line="252" w:lineRule="exact"/>
              <w:ind w:left="1306" w:right="1292"/>
              <w:jc w:val="center"/>
              <w:rPr>
                <w:rFonts w:eastAsia="Times New Roman"/>
                <w:sz w:val="22"/>
                <w:lang w:val="lt-LT" w:eastAsia="en-US"/>
              </w:rPr>
            </w:pPr>
            <w:r w:rsidRPr="004509B9">
              <w:rPr>
                <w:rFonts w:eastAsia="Times New Roman"/>
                <w:sz w:val="22"/>
                <w:szCs w:val="22"/>
                <w:lang w:val="lt-LT" w:eastAsia="en-US"/>
              </w:rPr>
              <w:t>N=5</w:t>
            </w:r>
          </w:p>
        </w:tc>
        <w:tc>
          <w:tcPr>
            <w:tcW w:w="3096" w:type="dxa"/>
            <w:tcBorders>
              <w:top w:val="single" w:sz="4" w:space="0" w:color="000000"/>
              <w:left w:val="single" w:sz="4" w:space="0" w:color="000000"/>
              <w:bottom w:val="single" w:sz="4" w:space="0" w:color="000000"/>
              <w:right w:val="single" w:sz="4" w:space="0" w:color="000000"/>
            </w:tcBorders>
            <w:hideMark/>
          </w:tcPr>
          <w:p w14:paraId="02E829D6" w14:textId="77777777" w:rsidR="00F41361" w:rsidRPr="004509B9" w:rsidRDefault="000D6BCB" w:rsidP="000D6BCB">
            <w:pPr>
              <w:tabs>
                <w:tab w:val="left" w:pos="567"/>
              </w:tabs>
              <w:spacing w:before="5"/>
              <w:ind w:left="776" w:right="310"/>
              <w:jc w:val="center"/>
              <w:rPr>
                <w:rFonts w:eastAsia="Times New Roman"/>
                <w:sz w:val="22"/>
                <w:lang w:val="lt-LT" w:eastAsia="en-US"/>
              </w:rPr>
            </w:pPr>
            <w:r w:rsidRPr="004509B9">
              <w:rPr>
                <w:rFonts w:eastAsia="Times New Roman"/>
                <w:sz w:val="22"/>
                <w:szCs w:val="22"/>
                <w:lang w:val="lt-LT" w:eastAsia="en-US"/>
              </w:rPr>
              <w:t xml:space="preserve">Nuo </w:t>
            </w:r>
            <w:r w:rsidR="00F41361" w:rsidRPr="004509B9">
              <w:rPr>
                <w:rFonts w:eastAsia="Times New Roman"/>
                <w:sz w:val="22"/>
                <w:szCs w:val="22"/>
                <w:lang w:val="lt-LT" w:eastAsia="en-US"/>
              </w:rPr>
              <w:t>15</w:t>
            </w:r>
            <w:r w:rsidRPr="004509B9">
              <w:rPr>
                <w:rFonts w:eastAsia="Times New Roman"/>
                <w:sz w:val="22"/>
                <w:szCs w:val="22"/>
                <w:lang w:val="lt-LT" w:eastAsia="en-US"/>
              </w:rPr>
              <w:t> </w:t>
            </w:r>
            <w:r w:rsidR="00F41361" w:rsidRPr="004509B9">
              <w:rPr>
                <w:rFonts w:eastAsia="Times New Roman"/>
                <w:spacing w:val="-1"/>
                <w:sz w:val="22"/>
                <w:szCs w:val="22"/>
                <w:lang w:val="lt-LT" w:eastAsia="en-US"/>
              </w:rPr>
              <w:t>k</w:t>
            </w:r>
            <w:r w:rsidR="00F41361" w:rsidRPr="004509B9">
              <w:rPr>
                <w:rFonts w:eastAsia="Times New Roman"/>
                <w:sz w:val="22"/>
                <w:szCs w:val="22"/>
                <w:lang w:val="lt-LT" w:eastAsia="en-US"/>
              </w:rPr>
              <w:t>g</w:t>
            </w:r>
            <w:r w:rsidRPr="004509B9">
              <w:rPr>
                <w:rFonts w:eastAsia="Times New Roman"/>
                <w:spacing w:val="-1"/>
                <w:sz w:val="22"/>
                <w:szCs w:val="22"/>
                <w:lang w:val="lt-LT" w:eastAsia="en-US"/>
              </w:rPr>
              <w:t xml:space="preserve"> iki </w:t>
            </w:r>
            <w:r w:rsidRPr="004509B9">
              <w:rPr>
                <w:rFonts w:eastAsia="Times New Roman"/>
                <w:sz w:val="22"/>
                <w:szCs w:val="22"/>
                <w:lang w:val="lt-LT" w:eastAsia="en-US"/>
              </w:rPr>
              <w:t>&lt; 20 </w:t>
            </w:r>
            <w:r w:rsidR="00F41361" w:rsidRPr="004509B9">
              <w:rPr>
                <w:rFonts w:eastAsia="Times New Roman"/>
                <w:spacing w:val="-2"/>
                <w:sz w:val="22"/>
                <w:szCs w:val="22"/>
                <w:lang w:val="lt-LT" w:eastAsia="en-US"/>
              </w:rPr>
              <w:t>kg</w:t>
            </w:r>
          </w:p>
          <w:p w14:paraId="1F99A5F3" w14:textId="77777777" w:rsidR="00F41361" w:rsidRPr="004509B9" w:rsidRDefault="00F41361" w:rsidP="00F41361">
            <w:pPr>
              <w:tabs>
                <w:tab w:val="left" w:pos="567"/>
              </w:tabs>
              <w:spacing w:line="252" w:lineRule="exact"/>
              <w:ind w:left="1251" w:right="1236"/>
              <w:jc w:val="center"/>
              <w:rPr>
                <w:rFonts w:eastAsia="Times New Roman"/>
                <w:sz w:val="22"/>
                <w:lang w:val="lt-LT" w:eastAsia="en-US"/>
              </w:rPr>
            </w:pPr>
            <w:r w:rsidRPr="004509B9">
              <w:rPr>
                <w:rFonts w:eastAsia="Times New Roman"/>
                <w:sz w:val="22"/>
                <w:szCs w:val="22"/>
                <w:lang w:val="lt-LT" w:eastAsia="en-US"/>
              </w:rPr>
              <w:t>N=16</w:t>
            </w:r>
          </w:p>
        </w:tc>
      </w:tr>
      <w:tr w:rsidR="00F41361" w:rsidRPr="00C75EC3" w14:paraId="376EF36E" w14:textId="77777777" w:rsidTr="000D6BCB">
        <w:trPr>
          <w:trHeight w:hRule="exact" w:val="262"/>
        </w:trPr>
        <w:tc>
          <w:tcPr>
            <w:tcW w:w="3308" w:type="dxa"/>
            <w:tcBorders>
              <w:top w:val="single" w:sz="4" w:space="0" w:color="000000"/>
              <w:left w:val="single" w:sz="4" w:space="0" w:color="000000"/>
              <w:bottom w:val="single" w:sz="4" w:space="0" w:color="000000"/>
              <w:right w:val="single" w:sz="4" w:space="0" w:color="000000"/>
            </w:tcBorders>
            <w:hideMark/>
          </w:tcPr>
          <w:p w14:paraId="22410E14" w14:textId="77777777" w:rsidR="00F41361" w:rsidRPr="004509B9" w:rsidRDefault="000D6BCB" w:rsidP="000D6BCB">
            <w:pPr>
              <w:tabs>
                <w:tab w:val="left" w:pos="567"/>
              </w:tabs>
              <w:spacing w:line="258" w:lineRule="exact"/>
              <w:ind w:left="102" w:right="-20"/>
              <w:rPr>
                <w:rFonts w:eastAsia="Times New Roman"/>
                <w:sz w:val="14"/>
                <w:szCs w:val="14"/>
                <w:lang w:val="lt-LT" w:eastAsia="en-US"/>
              </w:rPr>
            </w:pPr>
            <w:r w:rsidRPr="004509B9">
              <w:rPr>
                <w:rFonts w:eastAsia="Times New Roman"/>
                <w:spacing w:val="1"/>
                <w:sz w:val="22"/>
                <w:szCs w:val="22"/>
                <w:lang w:val="lt-LT" w:eastAsia="en-US"/>
              </w:rPr>
              <w:t>Ž</w:t>
            </w:r>
            <w:r w:rsidR="00F41361" w:rsidRPr="004509B9">
              <w:rPr>
                <w:rFonts w:eastAsia="Times New Roman"/>
                <w:spacing w:val="-4"/>
                <w:sz w:val="22"/>
                <w:szCs w:val="22"/>
                <w:lang w:val="lt-LT" w:eastAsia="en-US"/>
              </w:rPr>
              <w:t>I</w:t>
            </w:r>
            <w:r w:rsidR="00F41361" w:rsidRPr="004509B9">
              <w:rPr>
                <w:rFonts w:eastAsia="Times New Roman"/>
                <w:spacing w:val="1"/>
                <w:sz w:val="22"/>
                <w:szCs w:val="22"/>
                <w:lang w:val="lt-LT" w:eastAsia="en-US"/>
              </w:rPr>
              <w:t>V</w:t>
            </w:r>
            <w:r w:rsidR="00F41361" w:rsidRPr="004509B9">
              <w:rPr>
                <w:rFonts w:eastAsia="Times New Roman"/>
                <w:spacing w:val="-4"/>
                <w:sz w:val="22"/>
                <w:szCs w:val="22"/>
                <w:lang w:val="lt-LT" w:eastAsia="en-US"/>
              </w:rPr>
              <w:t>-</w:t>
            </w:r>
            <w:r w:rsidR="00F41361" w:rsidRPr="004509B9">
              <w:rPr>
                <w:rFonts w:eastAsia="Times New Roman"/>
                <w:sz w:val="22"/>
                <w:szCs w:val="22"/>
                <w:lang w:val="lt-LT" w:eastAsia="en-US"/>
              </w:rPr>
              <w:t>1 RN</w:t>
            </w:r>
            <w:r w:rsidRPr="004509B9">
              <w:rPr>
                <w:rFonts w:eastAsia="Times New Roman"/>
                <w:sz w:val="22"/>
                <w:szCs w:val="22"/>
                <w:lang w:val="lt-LT" w:eastAsia="en-US"/>
              </w:rPr>
              <w:t>R</w:t>
            </w:r>
            <w:r w:rsidR="00F41361" w:rsidRPr="004509B9">
              <w:rPr>
                <w:rFonts w:eastAsia="Times New Roman"/>
                <w:sz w:val="22"/>
                <w:szCs w:val="22"/>
                <w:lang w:val="lt-LT" w:eastAsia="en-US"/>
              </w:rPr>
              <w:t xml:space="preserve"> &lt; 50 </w:t>
            </w:r>
            <w:r w:rsidRPr="004509B9">
              <w:rPr>
                <w:rFonts w:eastAsia="Times New Roman"/>
                <w:sz w:val="22"/>
                <w:szCs w:val="22"/>
                <w:lang w:val="lt-LT" w:eastAsia="en-US"/>
              </w:rPr>
              <w:t>kopijų</w:t>
            </w:r>
            <w:r w:rsidR="00F41361" w:rsidRPr="004509B9">
              <w:rPr>
                <w:rFonts w:eastAsia="Times New Roman"/>
                <w:sz w:val="22"/>
                <w:szCs w:val="22"/>
                <w:lang w:val="lt-LT" w:eastAsia="en-US"/>
              </w:rPr>
              <w:t>/m</w:t>
            </w:r>
            <w:r w:rsidR="00F41361" w:rsidRPr="004509B9">
              <w:rPr>
                <w:rFonts w:eastAsia="Times New Roman"/>
                <w:spacing w:val="1"/>
                <w:sz w:val="22"/>
                <w:szCs w:val="22"/>
                <w:lang w:val="lt-LT" w:eastAsia="en-US"/>
              </w:rPr>
              <w:t>l</w:t>
            </w:r>
            <w:r w:rsidR="00F41361" w:rsidRPr="004509B9">
              <w:rPr>
                <w:rFonts w:eastAsia="Times New Roman"/>
                <w:position w:val="10"/>
                <w:sz w:val="14"/>
                <w:szCs w:val="14"/>
                <w:lang w:val="lt-LT" w:eastAsia="en-US"/>
              </w:rPr>
              <w:t>a</w:t>
            </w:r>
          </w:p>
        </w:tc>
        <w:tc>
          <w:tcPr>
            <w:tcW w:w="2884" w:type="dxa"/>
            <w:tcBorders>
              <w:top w:val="single" w:sz="4" w:space="0" w:color="000000"/>
              <w:left w:val="single" w:sz="4" w:space="0" w:color="000000"/>
              <w:bottom w:val="single" w:sz="4" w:space="0" w:color="000000"/>
              <w:right w:val="single" w:sz="4" w:space="0" w:color="000000"/>
            </w:tcBorders>
            <w:hideMark/>
          </w:tcPr>
          <w:p w14:paraId="34C5EB6F" w14:textId="77777777" w:rsidR="00F41361" w:rsidRPr="004509B9" w:rsidRDefault="000D6BCB" w:rsidP="00F41361">
            <w:pPr>
              <w:tabs>
                <w:tab w:val="left" w:pos="567"/>
              </w:tabs>
              <w:spacing w:before="5"/>
              <w:ind w:left="1062" w:right="1047"/>
              <w:jc w:val="center"/>
              <w:rPr>
                <w:rFonts w:eastAsia="Times New Roman"/>
                <w:sz w:val="22"/>
                <w:lang w:val="lt-LT" w:eastAsia="en-US"/>
              </w:rPr>
            </w:pPr>
            <w:r w:rsidRPr="004509B9">
              <w:rPr>
                <w:rFonts w:eastAsia="Times New Roman"/>
                <w:sz w:val="22"/>
                <w:szCs w:val="22"/>
                <w:lang w:val="lt-LT" w:eastAsia="en-US"/>
              </w:rPr>
              <w:t>80,</w:t>
            </w:r>
            <w:r w:rsidR="00F41361" w:rsidRPr="004509B9">
              <w:rPr>
                <w:rFonts w:eastAsia="Times New Roman"/>
                <w:sz w:val="22"/>
                <w:szCs w:val="22"/>
                <w:lang w:val="lt-LT" w:eastAsia="en-US"/>
              </w:rPr>
              <w:t>0% (4)</w:t>
            </w:r>
          </w:p>
        </w:tc>
        <w:tc>
          <w:tcPr>
            <w:tcW w:w="3096" w:type="dxa"/>
            <w:tcBorders>
              <w:top w:val="single" w:sz="4" w:space="0" w:color="000000"/>
              <w:left w:val="single" w:sz="4" w:space="0" w:color="000000"/>
              <w:bottom w:val="single" w:sz="4" w:space="0" w:color="000000"/>
              <w:right w:val="single" w:sz="4" w:space="0" w:color="000000"/>
            </w:tcBorders>
            <w:hideMark/>
          </w:tcPr>
          <w:p w14:paraId="27E5D6D2" w14:textId="77777777" w:rsidR="00F41361" w:rsidRPr="004509B9" w:rsidRDefault="000D6BCB" w:rsidP="00F41361">
            <w:pPr>
              <w:tabs>
                <w:tab w:val="left" w:pos="567"/>
              </w:tabs>
              <w:spacing w:before="5"/>
              <w:ind w:left="1006" w:right="990"/>
              <w:jc w:val="center"/>
              <w:rPr>
                <w:rFonts w:eastAsia="Times New Roman"/>
                <w:sz w:val="22"/>
                <w:lang w:val="lt-LT" w:eastAsia="en-US"/>
              </w:rPr>
            </w:pPr>
            <w:r w:rsidRPr="004509B9">
              <w:rPr>
                <w:rFonts w:eastAsia="Times New Roman"/>
                <w:sz w:val="22"/>
                <w:szCs w:val="22"/>
                <w:lang w:val="lt-LT" w:eastAsia="en-US"/>
              </w:rPr>
              <w:t>81,</w:t>
            </w:r>
            <w:r w:rsidR="00F41361" w:rsidRPr="004509B9">
              <w:rPr>
                <w:rFonts w:eastAsia="Times New Roman"/>
                <w:sz w:val="22"/>
                <w:szCs w:val="22"/>
                <w:lang w:val="lt-LT" w:eastAsia="en-US"/>
              </w:rPr>
              <w:t>3% (13)</w:t>
            </w:r>
          </w:p>
        </w:tc>
      </w:tr>
      <w:tr w:rsidR="00F41361" w:rsidRPr="00C75EC3" w14:paraId="5BDFF04F" w14:textId="77777777" w:rsidTr="000D6BCB">
        <w:trPr>
          <w:trHeight w:hRule="exact" w:val="516"/>
        </w:trPr>
        <w:tc>
          <w:tcPr>
            <w:tcW w:w="3308" w:type="dxa"/>
            <w:tcBorders>
              <w:top w:val="single" w:sz="4" w:space="0" w:color="000000"/>
              <w:left w:val="single" w:sz="4" w:space="0" w:color="000000"/>
              <w:bottom w:val="single" w:sz="4" w:space="0" w:color="000000"/>
              <w:right w:val="single" w:sz="4" w:space="0" w:color="000000"/>
            </w:tcBorders>
            <w:hideMark/>
          </w:tcPr>
          <w:p w14:paraId="367DA531" w14:textId="77777777" w:rsidR="00F41361" w:rsidRPr="004509B9" w:rsidRDefault="00F41361" w:rsidP="000D6BCB">
            <w:pPr>
              <w:tabs>
                <w:tab w:val="left" w:pos="567"/>
              </w:tabs>
              <w:spacing w:before="11" w:line="252" w:lineRule="exact"/>
              <w:ind w:left="102" w:right="518"/>
              <w:rPr>
                <w:rFonts w:eastAsia="Times New Roman"/>
                <w:sz w:val="14"/>
                <w:szCs w:val="14"/>
                <w:lang w:val="lt-LT" w:eastAsia="en-US"/>
              </w:rPr>
            </w:pPr>
            <w:r w:rsidRPr="004509B9">
              <w:rPr>
                <w:rFonts w:eastAsia="Times New Roman"/>
                <w:sz w:val="22"/>
                <w:szCs w:val="22"/>
                <w:lang w:val="lt-LT" w:eastAsia="en-US"/>
              </w:rPr>
              <w:t>CD4+ p</w:t>
            </w:r>
            <w:r w:rsidR="000D6BCB" w:rsidRPr="004509B9">
              <w:rPr>
                <w:rFonts w:eastAsia="Times New Roman"/>
                <w:sz w:val="22"/>
                <w:szCs w:val="22"/>
                <w:lang w:val="lt-LT" w:eastAsia="en-US"/>
              </w:rPr>
              <w:t>rocentinis pokytis palyginti su pradiniu</w:t>
            </w:r>
            <w:r w:rsidRPr="004509B9">
              <w:rPr>
                <w:rFonts w:eastAsia="Times New Roman"/>
                <w:position w:val="10"/>
                <w:sz w:val="14"/>
                <w:szCs w:val="14"/>
                <w:lang w:val="lt-LT" w:eastAsia="en-US"/>
              </w:rPr>
              <w:t>b</w:t>
            </w:r>
          </w:p>
        </w:tc>
        <w:tc>
          <w:tcPr>
            <w:tcW w:w="2884" w:type="dxa"/>
            <w:tcBorders>
              <w:top w:val="single" w:sz="4" w:space="0" w:color="000000"/>
              <w:left w:val="single" w:sz="4" w:space="0" w:color="000000"/>
              <w:bottom w:val="single" w:sz="4" w:space="0" w:color="000000"/>
              <w:right w:val="single" w:sz="4" w:space="0" w:color="000000"/>
            </w:tcBorders>
            <w:hideMark/>
          </w:tcPr>
          <w:p w14:paraId="0D3727AA" w14:textId="77777777" w:rsidR="000D6BCB" w:rsidRPr="004509B9" w:rsidRDefault="000D6BCB" w:rsidP="00F41361">
            <w:pPr>
              <w:tabs>
                <w:tab w:val="left" w:pos="567"/>
              </w:tabs>
              <w:spacing w:before="7"/>
              <w:ind w:left="1448" w:right="1433"/>
              <w:jc w:val="center"/>
              <w:rPr>
                <w:rFonts w:eastAsia="Times New Roman"/>
                <w:sz w:val="22"/>
                <w:szCs w:val="22"/>
                <w:lang w:val="lt-LT" w:eastAsia="en-US"/>
              </w:rPr>
            </w:pPr>
          </w:p>
          <w:p w14:paraId="17F95697" w14:textId="77777777" w:rsidR="00F41361" w:rsidRPr="004509B9" w:rsidRDefault="00F41361" w:rsidP="00F41361">
            <w:pPr>
              <w:tabs>
                <w:tab w:val="left" w:pos="567"/>
              </w:tabs>
              <w:spacing w:before="7"/>
              <w:ind w:left="1448" w:right="1433"/>
              <w:jc w:val="center"/>
              <w:rPr>
                <w:rFonts w:eastAsia="Times New Roman"/>
                <w:sz w:val="22"/>
                <w:lang w:val="lt-LT" w:eastAsia="en-US"/>
              </w:rPr>
            </w:pPr>
            <w:r w:rsidRPr="004509B9">
              <w:rPr>
                <w:rFonts w:eastAsia="Times New Roman"/>
                <w:sz w:val="22"/>
                <w:szCs w:val="22"/>
                <w:lang w:val="lt-LT" w:eastAsia="en-US"/>
              </w:rPr>
              <w:t>4</w:t>
            </w:r>
          </w:p>
        </w:tc>
        <w:tc>
          <w:tcPr>
            <w:tcW w:w="3096" w:type="dxa"/>
            <w:tcBorders>
              <w:top w:val="single" w:sz="4" w:space="0" w:color="000000"/>
              <w:left w:val="single" w:sz="4" w:space="0" w:color="000000"/>
              <w:bottom w:val="single" w:sz="4" w:space="0" w:color="000000"/>
              <w:right w:val="single" w:sz="4" w:space="0" w:color="000000"/>
            </w:tcBorders>
            <w:hideMark/>
          </w:tcPr>
          <w:p w14:paraId="537B8A50" w14:textId="77777777" w:rsidR="000D6BCB" w:rsidRPr="004509B9" w:rsidRDefault="000D6BCB" w:rsidP="00F41361">
            <w:pPr>
              <w:tabs>
                <w:tab w:val="left" w:pos="567"/>
              </w:tabs>
              <w:spacing w:before="7"/>
              <w:ind w:left="1448" w:right="1433"/>
              <w:jc w:val="center"/>
              <w:rPr>
                <w:rFonts w:eastAsia="Times New Roman"/>
                <w:sz w:val="22"/>
                <w:szCs w:val="22"/>
                <w:lang w:val="lt-LT" w:eastAsia="en-US"/>
              </w:rPr>
            </w:pPr>
          </w:p>
          <w:p w14:paraId="45760663" w14:textId="77777777" w:rsidR="00F41361" w:rsidRPr="004509B9" w:rsidRDefault="00F41361" w:rsidP="00F41361">
            <w:pPr>
              <w:tabs>
                <w:tab w:val="left" w:pos="567"/>
              </w:tabs>
              <w:spacing w:before="7"/>
              <w:ind w:left="1448" w:right="1433"/>
              <w:jc w:val="center"/>
              <w:rPr>
                <w:rFonts w:eastAsia="Times New Roman"/>
                <w:sz w:val="22"/>
                <w:lang w:val="lt-LT" w:eastAsia="en-US"/>
              </w:rPr>
            </w:pPr>
            <w:r w:rsidRPr="004509B9">
              <w:rPr>
                <w:rFonts w:eastAsia="Times New Roman"/>
                <w:sz w:val="22"/>
                <w:szCs w:val="22"/>
                <w:lang w:val="lt-LT" w:eastAsia="en-US"/>
              </w:rPr>
              <w:t>4</w:t>
            </w:r>
          </w:p>
        </w:tc>
      </w:tr>
      <w:tr w:rsidR="00F41361" w:rsidRPr="00C75EC3" w14:paraId="2DF27784" w14:textId="77777777" w:rsidTr="000D6BCB">
        <w:trPr>
          <w:trHeight w:hRule="exact" w:val="516"/>
        </w:trPr>
        <w:tc>
          <w:tcPr>
            <w:tcW w:w="3308" w:type="dxa"/>
            <w:tcBorders>
              <w:top w:val="single" w:sz="4" w:space="0" w:color="000000"/>
              <w:left w:val="single" w:sz="4" w:space="0" w:color="000000"/>
              <w:bottom w:val="single" w:sz="4" w:space="0" w:color="000000"/>
              <w:right w:val="single" w:sz="4" w:space="0" w:color="000000"/>
            </w:tcBorders>
            <w:hideMark/>
          </w:tcPr>
          <w:p w14:paraId="3912F991" w14:textId="77777777" w:rsidR="00F41361" w:rsidRPr="004509B9" w:rsidRDefault="00F41361" w:rsidP="000D6BCB">
            <w:pPr>
              <w:tabs>
                <w:tab w:val="left" w:pos="567"/>
              </w:tabs>
              <w:spacing w:before="11" w:line="252" w:lineRule="exact"/>
              <w:ind w:left="102" w:right="256"/>
              <w:rPr>
                <w:rFonts w:eastAsia="Times New Roman"/>
                <w:sz w:val="14"/>
                <w:szCs w:val="14"/>
                <w:lang w:val="lt-LT" w:eastAsia="en-US"/>
              </w:rPr>
            </w:pPr>
            <w:r w:rsidRPr="004509B9">
              <w:rPr>
                <w:rFonts w:eastAsia="Times New Roman"/>
                <w:sz w:val="22"/>
                <w:szCs w:val="22"/>
                <w:lang w:val="lt-LT" w:eastAsia="en-US"/>
              </w:rPr>
              <w:t>CD4+</w:t>
            </w:r>
            <w:r w:rsidRPr="004509B9">
              <w:rPr>
                <w:rFonts w:eastAsia="Times New Roman"/>
                <w:spacing w:val="-1"/>
                <w:sz w:val="22"/>
                <w:szCs w:val="22"/>
                <w:lang w:val="lt-LT" w:eastAsia="en-US"/>
              </w:rPr>
              <w:t xml:space="preserve"> </w:t>
            </w:r>
            <w:r w:rsidR="000D6BCB" w:rsidRPr="004509B9">
              <w:rPr>
                <w:rFonts w:eastAsia="Times New Roman"/>
                <w:sz w:val="22"/>
                <w:szCs w:val="22"/>
                <w:lang w:val="lt-LT" w:eastAsia="en-US"/>
              </w:rPr>
              <w:t>ląstelių kiekio vidutinis pokytis, palyginti su pradiniu</w:t>
            </w:r>
            <w:r w:rsidRPr="004509B9">
              <w:rPr>
                <w:rFonts w:eastAsia="Times New Roman"/>
                <w:position w:val="10"/>
                <w:sz w:val="14"/>
                <w:szCs w:val="14"/>
                <w:lang w:val="lt-LT" w:eastAsia="en-US"/>
              </w:rPr>
              <w:t>b</w:t>
            </w:r>
          </w:p>
        </w:tc>
        <w:tc>
          <w:tcPr>
            <w:tcW w:w="2884" w:type="dxa"/>
            <w:tcBorders>
              <w:top w:val="single" w:sz="4" w:space="0" w:color="000000"/>
              <w:left w:val="single" w:sz="4" w:space="0" w:color="000000"/>
              <w:bottom w:val="single" w:sz="4" w:space="0" w:color="000000"/>
              <w:right w:val="single" w:sz="4" w:space="0" w:color="000000"/>
            </w:tcBorders>
            <w:hideMark/>
          </w:tcPr>
          <w:p w14:paraId="27FCF49D" w14:textId="77777777" w:rsidR="000D6BCB" w:rsidRPr="004509B9" w:rsidRDefault="000D6BCB" w:rsidP="00F41361">
            <w:pPr>
              <w:tabs>
                <w:tab w:val="left" w:pos="567"/>
              </w:tabs>
              <w:spacing w:before="7"/>
              <w:ind w:left="1393" w:right="1378"/>
              <w:jc w:val="center"/>
              <w:rPr>
                <w:rFonts w:eastAsia="Times New Roman"/>
                <w:sz w:val="22"/>
                <w:szCs w:val="22"/>
                <w:lang w:val="lt-LT" w:eastAsia="en-US"/>
              </w:rPr>
            </w:pPr>
          </w:p>
          <w:p w14:paraId="2E40E2B5" w14:textId="77777777" w:rsidR="00F41361" w:rsidRPr="004509B9" w:rsidRDefault="00F41361" w:rsidP="000D6BCB">
            <w:pPr>
              <w:tabs>
                <w:tab w:val="left" w:pos="567"/>
              </w:tabs>
              <w:spacing w:before="7"/>
              <w:ind w:left="1134" w:right="1041"/>
              <w:jc w:val="center"/>
              <w:rPr>
                <w:rFonts w:eastAsia="Times New Roman"/>
                <w:sz w:val="22"/>
                <w:lang w:val="lt-LT" w:eastAsia="en-US"/>
              </w:rPr>
            </w:pPr>
            <w:r w:rsidRPr="004509B9">
              <w:rPr>
                <w:rFonts w:eastAsia="Times New Roman"/>
                <w:sz w:val="22"/>
                <w:szCs w:val="22"/>
                <w:lang w:val="lt-LT" w:eastAsia="en-US"/>
              </w:rPr>
              <w:t>1</w:t>
            </w:r>
            <w:r w:rsidR="000D6BCB" w:rsidRPr="004509B9">
              <w:rPr>
                <w:rFonts w:eastAsia="Times New Roman"/>
                <w:sz w:val="22"/>
                <w:szCs w:val="22"/>
                <w:lang w:val="lt-LT" w:eastAsia="en-US"/>
              </w:rPr>
              <w:t>6</w:t>
            </w:r>
          </w:p>
        </w:tc>
        <w:tc>
          <w:tcPr>
            <w:tcW w:w="3096" w:type="dxa"/>
            <w:tcBorders>
              <w:top w:val="single" w:sz="4" w:space="0" w:color="000000"/>
              <w:left w:val="single" w:sz="4" w:space="0" w:color="000000"/>
              <w:bottom w:val="single" w:sz="4" w:space="0" w:color="000000"/>
              <w:right w:val="single" w:sz="4" w:space="0" w:color="000000"/>
            </w:tcBorders>
            <w:hideMark/>
          </w:tcPr>
          <w:p w14:paraId="0A461206" w14:textId="77777777" w:rsidR="000D6BCB" w:rsidRPr="004509B9" w:rsidRDefault="000D6BCB" w:rsidP="00F41361">
            <w:pPr>
              <w:tabs>
                <w:tab w:val="left" w:pos="567"/>
              </w:tabs>
              <w:spacing w:before="7"/>
              <w:ind w:left="1338" w:right="1322"/>
              <w:jc w:val="center"/>
              <w:rPr>
                <w:rFonts w:eastAsia="Times New Roman"/>
                <w:sz w:val="22"/>
                <w:szCs w:val="22"/>
                <w:lang w:val="lt-LT" w:eastAsia="en-US"/>
              </w:rPr>
            </w:pPr>
          </w:p>
          <w:p w14:paraId="3D2E229B" w14:textId="77777777" w:rsidR="00F41361" w:rsidRPr="004509B9" w:rsidRDefault="00F41361" w:rsidP="00F41361">
            <w:pPr>
              <w:tabs>
                <w:tab w:val="left" w:pos="567"/>
              </w:tabs>
              <w:spacing w:before="7"/>
              <w:ind w:left="1338" w:right="1322"/>
              <w:jc w:val="center"/>
              <w:rPr>
                <w:rFonts w:eastAsia="Times New Roman"/>
                <w:sz w:val="22"/>
                <w:lang w:val="lt-LT" w:eastAsia="en-US"/>
              </w:rPr>
            </w:pPr>
            <w:r w:rsidRPr="004509B9">
              <w:rPr>
                <w:rFonts w:eastAsia="Times New Roman"/>
                <w:sz w:val="22"/>
                <w:szCs w:val="22"/>
                <w:lang w:val="lt-LT" w:eastAsia="en-US"/>
              </w:rPr>
              <w:t>241</w:t>
            </w:r>
          </w:p>
        </w:tc>
      </w:tr>
    </w:tbl>
    <w:p w14:paraId="49DFC94F" w14:textId="77777777" w:rsidR="000D6BCB" w:rsidRPr="004509B9" w:rsidRDefault="000D6BCB" w:rsidP="000D6BCB">
      <w:pPr>
        <w:tabs>
          <w:tab w:val="left" w:pos="4395"/>
        </w:tabs>
        <w:autoSpaceDE w:val="0"/>
        <w:autoSpaceDN w:val="0"/>
        <w:adjustRightInd w:val="0"/>
        <w:rPr>
          <w:rFonts w:eastAsia="TimesNewRoman"/>
          <w:iCs/>
          <w:sz w:val="18"/>
          <w:szCs w:val="18"/>
          <w:lang w:val="lt-LT" w:eastAsia="en-US"/>
        </w:rPr>
      </w:pPr>
      <w:r w:rsidRPr="004509B9">
        <w:rPr>
          <w:rFonts w:eastAsia="TimesNewRoman"/>
          <w:iCs/>
          <w:sz w:val="22"/>
          <w:szCs w:val="22"/>
          <w:vertAlign w:val="superscript"/>
          <w:lang w:val="lt-LT" w:eastAsia="en-US"/>
        </w:rPr>
        <w:t>a</w:t>
      </w:r>
      <w:r w:rsidRPr="004509B9">
        <w:rPr>
          <w:rFonts w:eastAsia="TimesNewRoman"/>
          <w:iCs/>
          <w:sz w:val="22"/>
          <w:szCs w:val="22"/>
          <w:lang w:val="lt-LT" w:eastAsia="en-US"/>
        </w:rPr>
        <w:t xml:space="preserve"> </w:t>
      </w:r>
      <w:r w:rsidRPr="004509B9">
        <w:rPr>
          <w:rFonts w:eastAsia="TimesNewRoman"/>
          <w:iCs/>
          <w:sz w:val="18"/>
          <w:szCs w:val="18"/>
          <w:lang w:val="lt-LT" w:eastAsia="en-US"/>
        </w:rPr>
        <w:t>Vertinimai pagal TLOVR algoritmą.</w:t>
      </w:r>
    </w:p>
    <w:p w14:paraId="293ACB0B" w14:textId="77777777" w:rsidR="000D6BCB" w:rsidRPr="004509B9" w:rsidRDefault="000D6BCB" w:rsidP="000D6BCB">
      <w:pPr>
        <w:tabs>
          <w:tab w:val="left" w:pos="4395"/>
        </w:tabs>
        <w:autoSpaceDE w:val="0"/>
        <w:autoSpaceDN w:val="0"/>
        <w:adjustRightInd w:val="0"/>
        <w:rPr>
          <w:rFonts w:eastAsia="TimesNewRoman"/>
          <w:iCs/>
          <w:sz w:val="18"/>
          <w:szCs w:val="18"/>
          <w:lang w:val="lt-LT" w:eastAsia="en-US"/>
        </w:rPr>
      </w:pPr>
      <w:r w:rsidRPr="004509B9">
        <w:rPr>
          <w:rFonts w:eastAsia="TimesNewRoman"/>
          <w:iCs/>
          <w:sz w:val="18"/>
          <w:szCs w:val="18"/>
          <w:vertAlign w:val="superscript"/>
          <w:lang w:val="lt-LT" w:eastAsia="en-US"/>
        </w:rPr>
        <w:t>b</w:t>
      </w:r>
      <w:r w:rsidRPr="004509B9">
        <w:rPr>
          <w:rFonts w:eastAsia="TimesNewRoman"/>
          <w:iCs/>
          <w:sz w:val="18"/>
          <w:szCs w:val="18"/>
          <w:lang w:val="lt-LT" w:eastAsia="en-US"/>
        </w:rPr>
        <w:t xml:space="preserve"> NC=F</w:t>
      </w:r>
    </w:p>
    <w:p w14:paraId="4F8C3BB0" w14:textId="77777777" w:rsidR="000D6BCB" w:rsidRPr="004509B9" w:rsidRDefault="000D6BCB" w:rsidP="000D6BCB">
      <w:pPr>
        <w:tabs>
          <w:tab w:val="left" w:pos="4395"/>
        </w:tabs>
        <w:autoSpaceDE w:val="0"/>
        <w:autoSpaceDN w:val="0"/>
        <w:adjustRightInd w:val="0"/>
        <w:rPr>
          <w:rFonts w:eastAsia="TimesNewRoman"/>
          <w:iCs/>
          <w:sz w:val="22"/>
          <w:szCs w:val="22"/>
          <w:lang w:val="lt-LT" w:eastAsia="en-US"/>
        </w:rPr>
      </w:pPr>
    </w:p>
    <w:p w14:paraId="51DAAED8" w14:textId="77777777" w:rsidR="000D6BCB" w:rsidRPr="004509B9" w:rsidRDefault="000D6BCB" w:rsidP="000D6BCB">
      <w:pPr>
        <w:tabs>
          <w:tab w:val="left" w:pos="4395"/>
        </w:tabs>
        <w:autoSpaceDE w:val="0"/>
        <w:autoSpaceDN w:val="0"/>
        <w:adjustRightInd w:val="0"/>
        <w:rPr>
          <w:rFonts w:eastAsia="TimesNewRoman"/>
          <w:iCs/>
          <w:sz w:val="22"/>
          <w:szCs w:val="22"/>
          <w:lang w:val="lt-LT" w:eastAsia="en-US"/>
        </w:rPr>
      </w:pPr>
      <w:r w:rsidRPr="004509B9">
        <w:rPr>
          <w:rFonts w:eastAsia="TimesNewRoman"/>
          <w:iCs/>
          <w:sz w:val="22"/>
          <w:szCs w:val="22"/>
          <w:lang w:val="lt-LT" w:eastAsia="en-US"/>
        </w:rPr>
        <w:t>Turimi veiksmingumo duomenys vaikams ir paaugliams, kurių svoris yra mažiau nei 15 kg, yra riboti,</w:t>
      </w:r>
    </w:p>
    <w:p w14:paraId="4D72817D" w14:textId="77777777" w:rsidR="00863151" w:rsidRPr="004509B9" w:rsidRDefault="000D6BCB" w:rsidP="000D6BCB">
      <w:pPr>
        <w:tabs>
          <w:tab w:val="left" w:pos="4395"/>
        </w:tabs>
        <w:autoSpaceDE w:val="0"/>
        <w:autoSpaceDN w:val="0"/>
        <w:adjustRightInd w:val="0"/>
        <w:rPr>
          <w:rFonts w:eastAsia="TimesNewRoman"/>
          <w:iCs/>
          <w:sz w:val="22"/>
          <w:szCs w:val="22"/>
          <w:lang w:val="lt-LT" w:eastAsia="en-US"/>
        </w:rPr>
      </w:pPr>
      <w:r w:rsidRPr="004509B9">
        <w:rPr>
          <w:rFonts w:eastAsia="TimesNewRoman"/>
          <w:iCs/>
          <w:sz w:val="22"/>
          <w:szCs w:val="22"/>
          <w:lang w:val="lt-LT" w:eastAsia="en-US"/>
        </w:rPr>
        <w:t>todėl dozavimo rekomendacijų pateikti negalima.</w:t>
      </w:r>
    </w:p>
    <w:p w14:paraId="3CDE7D44" w14:textId="77777777" w:rsidR="000D6BCB" w:rsidRPr="004509B9" w:rsidRDefault="000D6BCB" w:rsidP="009F5848">
      <w:pPr>
        <w:autoSpaceDE w:val="0"/>
        <w:autoSpaceDN w:val="0"/>
        <w:adjustRightInd w:val="0"/>
        <w:rPr>
          <w:rFonts w:eastAsia="TimesNewRoman"/>
          <w:i/>
          <w:iCs/>
          <w:sz w:val="22"/>
          <w:szCs w:val="22"/>
          <w:lang w:val="lt-LT" w:eastAsia="en-US"/>
        </w:rPr>
      </w:pPr>
    </w:p>
    <w:p w14:paraId="3E785FE9" w14:textId="77777777" w:rsidR="009F5848" w:rsidRPr="009C16AC" w:rsidRDefault="009F5848" w:rsidP="009F5848">
      <w:pPr>
        <w:autoSpaceDE w:val="0"/>
        <w:autoSpaceDN w:val="0"/>
        <w:adjustRightInd w:val="0"/>
        <w:rPr>
          <w:rFonts w:eastAsia="TimesNewRoman"/>
          <w:i/>
          <w:iCs/>
          <w:sz w:val="22"/>
          <w:szCs w:val="22"/>
          <w:u w:val="single"/>
          <w:lang w:val="lt-LT" w:eastAsia="en-US"/>
        </w:rPr>
      </w:pPr>
      <w:r w:rsidRPr="009C16AC">
        <w:rPr>
          <w:rFonts w:eastAsia="TimesNewRoman"/>
          <w:i/>
          <w:iCs/>
          <w:sz w:val="22"/>
          <w:szCs w:val="22"/>
          <w:u w:val="single"/>
          <w:lang w:val="lt-LT" w:eastAsia="en-US"/>
        </w:rPr>
        <w:t>Nėštumas ir pogimdyminis laikotarpis</w:t>
      </w:r>
    </w:p>
    <w:p w14:paraId="2B044F0E"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Darunaviro/ritonaviro (600/100 mg du kartus per parą arba 800/100 mg vieną kartą per parą) derinio vartojimas kartu su pagrindiniu gydymo planu buvo įvertintas klinikiniame tyrime, kuriame dalyvavo 34 nėščios moterys (po 17 kiekvienoje grupėje) antrąjį ir trečiąjį nėštumo trimestrais ir pogimdyminiu </w:t>
      </w:r>
    </w:p>
    <w:p w14:paraId="5F5984A8"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laikotarpiu. Virusų slopinimo atsakas išsilaikė per visą tiriamąjį laikotarpį abiejose grupėse. Dvidešimt devynių (29) tiriamųjų, kurioms gimdymo metu buvo tęsiamas antiretrovirusinis gydymas,  kūdikių užsikrėtimo infekcijos nuo motinos atvejų nebuvo nustatyta. Naujų kliniškai reikšmingų saugumo duomenų, palyginti su jau žinomais darunaviro/ritonaviro vartojimo saugumo ŽIV-1 užsikrėtusiems suaugusiesiems duomenimis, negauta (žr. 4.2, 4.4 ir 5.2 skyrius).</w:t>
      </w:r>
    </w:p>
    <w:p w14:paraId="08430032" w14:textId="77777777" w:rsidR="009F5848" w:rsidRPr="004509B9" w:rsidRDefault="009F5848" w:rsidP="009F5848">
      <w:pPr>
        <w:autoSpaceDE w:val="0"/>
        <w:autoSpaceDN w:val="0"/>
        <w:adjustRightInd w:val="0"/>
        <w:rPr>
          <w:rFonts w:eastAsia="TimesNewRoman"/>
          <w:sz w:val="22"/>
          <w:szCs w:val="22"/>
          <w:lang w:val="lt-LT" w:eastAsia="en-US"/>
        </w:rPr>
      </w:pPr>
    </w:p>
    <w:p w14:paraId="0D6B2581" w14:textId="77777777" w:rsidR="009F5848" w:rsidRPr="004509B9" w:rsidRDefault="009F5848" w:rsidP="009C16AC">
      <w:pPr>
        <w:keepNext/>
        <w:numPr>
          <w:ilvl w:val="1"/>
          <w:numId w:val="18"/>
        </w:numPr>
        <w:tabs>
          <w:tab w:val="left" w:pos="567"/>
        </w:tabs>
        <w:spacing w:line="260" w:lineRule="exact"/>
        <w:outlineLvl w:val="0"/>
        <w:rPr>
          <w:rFonts w:eastAsia="Times New Roman"/>
          <w:b/>
          <w:noProof/>
          <w:sz w:val="22"/>
          <w:szCs w:val="22"/>
          <w:lang w:val="lt-LT" w:eastAsia="lt-LT" w:bidi="lt-LT"/>
        </w:rPr>
      </w:pPr>
      <w:r w:rsidRPr="004509B9">
        <w:rPr>
          <w:rFonts w:eastAsia="Times New Roman"/>
          <w:b/>
          <w:noProof/>
          <w:sz w:val="22"/>
          <w:lang w:val="lt-LT" w:eastAsia="lt-LT" w:bidi="lt-LT"/>
        </w:rPr>
        <w:t>Farmakokinetinės savybės</w:t>
      </w:r>
    </w:p>
    <w:p w14:paraId="628A8733" w14:textId="77777777" w:rsidR="009F5848" w:rsidRPr="004509B9" w:rsidRDefault="009F5848" w:rsidP="009F5848">
      <w:pPr>
        <w:autoSpaceDE w:val="0"/>
        <w:autoSpaceDN w:val="0"/>
        <w:adjustRightInd w:val="0"/>
        <w:rPr>
          <w:rFonts w:eastAsia="TimesNewRoman"/>
          <w:sz w:val="22"/>
          <w:szCs w:val="22"/>
          <w:lang w:val="lt-LT" w:eastAsia="en-US"/>
        </w:rPr>
      </w:pPr>
    </w:p>
    <w:p w14:paraId="77719859"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Darunaviro, vartojamo su ritonaviru, farmakokinetinės savybės įvertintos, tiriant sveikus suaugusius savanorius ir ŽIV-1 infekuotus asmenis. Darunaviro ekspozicija ŽIV-1 infekuotų pacientų organizme buvo didesnė negu sveikų asmenų. Darunaviro ekspozicijos padidėjimą ŽIV-1 apkrėstų pacientų organizme, palyginti su sveikų asmenų, galima paaiškinti didesne alfa-1 rūgščiojo glikoproteino (ARG) koncentracija ŽIV-1 apkrėstų asmenų plazmoje. Dėl to daugiau darunaviro jungiasi su plazmos ARG, taigi susidaro didesnė vaistinio preparato koncentracija plazmoje.</w:t>
      </w:r>
    </w:p>
    <w:p w14:paraId="5BEE92F4" w14:textId="77777777" w:rsidR="009F5848" w:rsidRPr="004509B9" w:rsidRDefault="009F5848" w:rsidP="009F5848">
      <w:pPr>
        <w:autoSpaceDE w:val="0"/>
        <w:autoSpaceDN w:val="0"/>
        <w:adjustRightInd w:val="0"/>
        <w:rPr>
          <w:rFonts w:eastAsia="TimesNewRoman"/>
          <w:sz w:val="22"/>
          <w:szCs w:val="22"/>
          <w:lang w:val="lt-LT" w:eastAsia="en-US"/>
        </w:rPr>
      </w:pPr>
    </w:p>
    <w:p w14:paraId="6A8887F5"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Darunavirą daugiausia metabolizuoja CYP3A. </w:t>
      </w:r>
      <w:r w:rsidR="009F1FA5">
        <w:rPr>
          <w:rFonts w:eastAsia="TimesNewRoman"/>
          <w:sz w:val="22"/>
          <w:szCs w:val="22"/>
          <w:lang w:val="lt-LT" w:eastAsia="en-US"/>
        </w:rPr>
        <w:t>R</w:t>
      </w:r>
      <w:r w:rsidRPr="004509B9">
        <w:rPr>
          <w:rFonts w:eastAsia="TimesNewRoman"/>
          <w:sz w:val="22"/>
          <w:szCs w:val="22"/>
          <w:lang w:val="lt-LT" w:eastAsia="en-US"/>
        </w:rPr>
        <w:t>itonaviras slopina CYP3A, tuo labai didindami darunaviro koncentraciją plazmoje.</w:t>
      </w:r>
    </w:p>
    <w:p w14:paraId="12D4C2BC" w14:textId="77777777" w:rsidR="009F5848" w:rsidRPr="004509B9" w:rsidRDefault="009F5848" w:rsidP="009F5848">
      <w:pPr>
        <w:autoSpaceDE w:val="0"/>
        <w:autoSpaceDN w:val="0"/>
        <w:adjustRightInd w:val="0"/>
        <w:rPr>
          <w:rFonts w:eastAsia="TimesNewRoman"/>
          <w:sz w:val="22"/>
          <w:szCs w:val="22"/>
          <w:lang w:val="lt-LT" w:eastAsia="en-US"/>
        </w:rPr>
      </w:pPr>
    </w:p>
    <w:p w14:paraId="073F5C06"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Informacijos apie kobicistato farmakokinetines savybes žr. kobicistato Preparato charakteristikų santraukoje.</w:t>
      </w:r>
    </w:p>
    <w:p w14:paraId="24BA0EB9" w14:textId="77777777" w:rsidR="009F5848" w:rsidRPr="004509B9" w:rsidRDefault="009F5848" w:rsidP="009F5848">
      <w:pPr>
        <w:autoSpaceDE w:val="0"/>
        <w:autoSpaceDN w:val="0"/>
        <w:adjustRightInd w:val="0"/>
        <w:rPr>
          <w:rFonts w:eastAsia="TimesNewRoman"/>
          <w:sz w:val="22"/>
          <w:szCs w:val="22"/>
          <w:lang w:val="lt-LT" w:eastAsia="en-US"/>
        </w:rPr>
      </w:pPr>
    </w:p>
    <w:p w14:paraId="10D3A00F" w14:textId="77777777" w:rsidR="009F5848" w:rsidRPr="004509B9" w:rsidRDefault="009F5848" w:rsidP="009F5848">
      <w:pPr>
        <w:autoSpaceDE w:val="0"/>
        <w:autoSpaceDN w:val="0"/>
        <w:adjustRightInd w:val="0"/>
        <w:rPr>
          <w:rFonts w:eastAsia="TimesNewRoman"/>
          <w:sz w:val="22"/>
          <w:szCs w:val="22"/>
          <w:u w:val="single"/>
          <w:lang w:val="lt-LT" w:eastAsia="en-US"/>
        </w:rPr>
      </w:pPr>
      <w:r w:rsidRPr="004509B9">
        <w:rPr>
          <w:rFonts w:eastAsia="TimesNewRoman"/>
          <w:sz w:val="22"/>
          <w:szCs w:val="22"/>
          <w:u w:val="single"/>
          <w:lang w:val="lt-LT" w:eastAsia="en-US"/>
        </w:rPr>
        <w:t>Absorbcija</w:t>
      </w:r>
    </w:p>
    <w:p w14:paraId="21B0128D"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Išgertas darunaviras greitai absorbuojamas. Didžiausia darunaviro koncentracija plazmoje, kartu vartojant nedidelę ritonaviro dozę, paprastai susidaro po 2,5-4,0 valandų.</w:t>
      </w:r>
    </w:p>
    <w:p w14:paraId="7AC4806A" w14:textId="77777777" w:rsidR="000D6BCB" w:rsidRPr="004509B9" w:rsidRDefault="000D6BCB" w:rsidP="009F5848">
      <w:pPr>
        <w:autoSpaceDE w:val="0"/>
        <w:autoSpaceDN w:val="0"/>
        <w:adjustRightInd w:val="0"/>
        <w:rPr>
          <w:rFonts w:eastAsia="TimesNewRoman"/>
          <w:sz w:val="22"/>
          <w:szCs w:val="22"/>
          <w:lang w:val="lt-LT" w:eastAsia="en-US"/>
        </w:rPr>
      </w:pPr>
    </w:p>
    <w:p w14:paraId="5F7F5080"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Išgertos vienkartinės vieno darunaviro 600 mg dozės absoliutus biologinis prieinamumas yra maždaug 37 %, o geriamos kartu su 100 mg ritonaviro du kartus per parą padidėja apytikriai iki 82 %. Bendras stiprinamasis farmakokinetinis ritonaviro poveikis, kai viena 600 mg darunaviro dozė geriama su ritonaviru po 100 mg du kartus per parą, yra maždaug 14 kartų padidėjusi sisteminė darunaviro ekspozicija (žr. 4.4 skyrių).</w:t>
      </w:r>
    </w:p>
    <w:p w14:paraId="32403137" w14:textId="77777777" w:rsidR="009F5848" w:rsidRPr="004509B9" w:rsidRDefault="009F5848" w:rsidP="009F5848">
      <w:pPr>
        <w:autoSpaceDE w:val="0"/>
        <w:autoSpaceDN w:val="0"/>
        <w:adjustRightInd w:val="0"/>
        <w:rPr>
          <w:rFonts w:eastAsia="TimesNewRoman"/>
          <w:sz w:val="22"/>
          <w:szCs w:val="22"/>
          <w:lang w:val="lt-LT" w:eastAsia="en-US"/>
        </w:rPr>
      </w:pPr>
    </w:p>
    <w:p w14:paraId="63ACE857"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Vartojant darunavirą nevalgius kartu su kobicistatu arba maža ritonaviro doze, reliatyvus jo biologinis prieinamumas yra mažesnis negu vartojant pavalgius. Taigi darunaviro tabletes reikia vartoti kartu su  ritonaviru valgant. Maisto rūšis darunaviro ekspozicijos neveikia.</w:t>
      </w:r>
    </w:p>
    <w:p w14:paraId="7B5A37E1" w14:textId="77777777" w:rsidR="009F5848" w:rsidRPr="004509B9" w:rsidRDefault="009F5848" w:rsidP="009F5848">
      <w:pPr>
        <w:autoSpaceDE w:val="0"/>
        <w:autoSpaceDN w:val="0"/>
        <w:adjustRightInd w:val="0"/>
        <w:rPr>
          <w:rFonts w:eastAsia="TimesNewRoman"/>
          <w:sz w:val="22"/>
          <w:szCs w:val="22"/>
          <w:lang w:val="lt-LT" w:eastAsia="en-US"/>
        </w:rPr>
      </w:pPr>
    </w:p>
    <w:p w14:paraId="4F1EB09E" w14:textId="77777777" w:rsidR="009F5848" w:rsidRPr="004509B9" w:rsidRDefault="009F5848" w:rsidP="009F5848">
      <w:pPr>
        <w:autoSpaceDE w:val="0"/>
        <w:autoSpaceDN w:val="0"/>
        <w:adjustRightInd w:val="0"/>
        <w:rPr>
          <w:rFonts w:eastAsia="TimesNewRoman"/>
          <w:sz w:val="22"/>
          <w:szCs w:val="22"/>
          <w:u w:val="single"/>
          <w:lang w:val="lt-LT" w:eastAsia="en-US"/>
        </w:rPr>
      </w:pPr>
      <w:r w:rsidRPr="004509B9">
        <w:rPr>
          <w:rFonts w:eastAsia="TimesNewRoman"/>
          <w:sz w:val="22"/>
          <w:szCs w:val="22"/>
          <w:u w:val="single"/>
          <w:lang w:val="lt-LT" w:eastAsia="en-US"/>
        </w:rPr>
        <w:t>Pasiskirstymas</w:t>
      </w:r>
    </w:p>
    <w:p w14:paraId="676A7D3B"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Apie 95 % darunaviro jungiasi su plazmos baltymais, daugiausia su plazmos alfa-1 rūgščiuoju glikoproteinu.</w:t>
      </w:r>
    </w:p>
    <w:p w14:paraId="7B53267C" w14:textId="77777777" w:rsidR="009F5848" w:rsidRPr="004509B9" w:rsidRDefault="009F5848" w:rsidP="009F5848">
      <w:pPr>
        <w:autoSpaceDE w:val="0"/>
        <w:autoSpaceDN w:val="0"/>
        <w:adjustRightInd w:val="0"/>
        <w:rPr>
          <w:rFonts w:eastAsia="TimesNewRoman"/>
          <w:sz w:val="22"/>
          <w:szCs w:val="22"/>
          <w:lang w:val="lt-LT" w:eastAsia="en-US"/>
        </w:rPr>
      </w:pPr>
    </w:p>
    <w:p w14:paraId="3FF84C06"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Suleidus į veną vieno darunaviro pasiskirstymo tūris buvo 88,1 ± 59,0 l (vidurkis ± standartinis nuokrypis), ir padidėjo iki 131 ± 49,9 l (vidurkis ± standartinis nuokrypis) kartu pavartojus 100 mg ritonaviro 2 kartus per parą.</w:t>
      </w:r>
    </w:p>
    <w:p w14:paraId="33894817" w14:textId="77777777" w:rsidR="009F5848" w:rsidRPr="004509B9" w:rsidRDefault="009F5848" w:rsidP="009F5848">
      <w:pPr>
        <w:autoSpaceDE w:val="0"/>
        <w:autoSpaceDN w:val="0"/>
        <w:adjustRightInd w:val="0"/>
        <w:rPr>
          <w:rFonts w:eastAsia="TimesNewRoman"/>
          <w:sz w:val="22"/>
          <w:szCs w:val="22"/>
          <w:lang w:val="lt-LT" w:eastAsia="en-US"/>
        </w:rPr>
      </w:pPr>
    </w:p>
    <w:p w14:paraId="349F5FE4" w14:textId="77777777" w:rsidR="009F5848" w:rsidRPr="004509B9" w:rsidRDefault="009F5848" w:rsidP="009F5848">
      <w:pPr>
        <w:autoSpaceDE w:val="0"/>
        <w:autoSpaceDN w:val="0"/>
        <w:adjustRightInd w:val="0"/>
        <w:rPr>
          <w:rFonts w:eastAsia="TimesNewRoman"/>
          <w:sz w:val="22"/>
          <w:szCs w:val="22"/>
          <w:u w:val="single"/>
          <w:lang w:val="lt-LT" w:eastAsia="en-US"/>
        </w:rPr>
      </w:pPr>
      <w:r w:rsidRPr="004509B9">
        <w:rPr>
          <w:rFonts w:eastAsia="TimesNewRoman"/>
          <w:sz w:val="22"/>
          <w:szCs w:val="22"/>
          <w:u w:val="single"/>
          <w:lang w:val="lt-LT" w:eastAsia="en-US"/>
        </w:rPr>
        <w:t>Biotransformacija</w:t>
      </w:r>
    </w:p>
    <w:p w14:paraId="612E76E2"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i/>
          <w:iCs/>
          <w:sz w:val="22"/>
          <w:szCs w:val="22"/>
          <w:lang w:val="lt-LT" w:eastAsia="en-US"/>
        </w:rPr>
        <w:t xml:space="preserve">In vitro </w:t>
      </w:r>
      <w:r w:rsidRPr="004509B9">
        <w:rPr>
          <w:rFonts w:eastAsia="TimesNewRoman"/>
          <w:sz w:val="22"/>
          <w:szCs w:val="22"/>
          <w:lang w:val="lt-LT" w:eastAsia="en-US"/>
        </w:rPr>
        <w:t>eksperimentai su žmogaus kepenų mikrosomomis (ŽKM) nustatė, kad daugiausia vyksta darunaviro oksidacinis metabolizmas. Darunavirą žymiu mastu metabolizuoja kepenų CYP sistema, beveik išimtinai izofermentas CYP3A4.</w:t>
      </w:r>
      <w:r w:rsidRPr="004509B9">
        <w:rPr>
          <w:rFonts w:eastAsia="TimesNewRoman"/>
          <w:sz w:val="22"/>
          <w:szCs w:val="22"/>
          <w:vertAlign w:val="superscript"/>
          <w:lang w:val="lt-LT" w:eastAsia="en-US"/>
        </w:rPr>
        <w:t xml:space="preserve"> 14</w:t>
      </w:r>
      <w:r w:rsidRPr="004509B9">
        <w:rPr>
          <w:rFonts w:eastAsia="TimesNewRoman"/>
          <w:sz w:val="22"/>
          <w:szCs w:val="22"/>
          <w:lang w:val="lt-LT" w:eastAsia="en-US"/>
        </w:rPr>
        <w:t>C-darunaviro tyrimas su sveikais savanoriais parodė, kad didžiąją plazmos radioaktyvumo dalį po vienkartinės 400/100 mg darunaviro ir ritonaviro dozės lėmė pradinė veiklioji medžiaga. Žmogaus organizme aptikti ne mažiau kaip 3 darunaviro oksidacijos metabolitai; visi jie įprastines ŽIV padermes veikė bent 10 kartų silpniau negu darunaviras.</w:t>
      </w:r>
    </w:p>
    <w:p w14:paraId="4E9399C3" w14:textId="77777777" w:rsidR="009F5848" w:rsidRPr="004509B9" w:rsidRDefault="009F5848" w:rsidP="009F5848">
      <w:pPr>
        <w:autoSpaceDE w:val="0"/>
        <w:autoSpaceDN w:val="0"/>
        <w:adjustRightInd w:val="0"/>
        <w:rPr>
          <w:rFonts w:eastAsia="TimesNewRoman"/>
          <w:sz w:val="22"/>
          <w:szCs w:val="22"/>
          <w:lang w:val="lt-LT" w:eastAsia="en-US"/>
        </w:rPr>
      </w:pPr>
    </w:p>
    <w:p w14:paraId="0F7EA9A1" w14:textId="77777777" w:rsidR="009F5848" w:rsidRPr="004509B9" w:rsidRDefault="009F5848" w:rsidP="009F5848">
      <w:pPr>
        <w:autoSpaceDE w:val="0"/>
        <w:autoSpaceDN w:val="0"/>
        <w:adjustRightInd w:val="0"/>
        <w:rPr>
          <w:rFonts w:eastAsia="TimesNewRoman"/>
          <w:sz w:val="22"/>
          <w:szCs w:val="22"/>
          <w:u w:val="single"/>
          <w:lang w:val="lt-LT" w:eastAsia="en-US"/>
        </w:rPr>
      </w:pPr>
      <w:r w:rsidRPr="004509B9">
        <w:rPr>
          <w:rFonts w:eastAsia="TimesNewRoman"/>
          <w:sz w:val="22"/>
          <w:szCs w:val="22"/>
          <w:u w:val="single"/>
          <w:lang w:val="lt-LT" w:eastAsia="en-US"/>
        </w:rPr>
        <w:t>Eliminacija</w:t>
      </w:r>
    </w:p>
    <w:p w14:paraId="093E4C86"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Po 400/100 mg </w:t>
      </w:r>
      <w:r w:rsidRPr="004509B9">
        <w:rPr>
          <w:rFonts w:eastAsia="TimesNewRoman"/>
          <w:sz w:val="22"/>
          <w:szCs w:val="22"/>
          <w:vertAlign w:val="superscript"/>
          <w:lang w:val="lt-LT" w:eastAsia="en-US"/>
        </w:rPr>
        <w:t>14</w:t>
      </w:r>
      <w:r w:rsidRPr="004509B9">
        <w:rPr>
          <w:rFonts w:eastAsia="TimesNewRoman"/>
          <w:sz w:val="22"/>
          <w:szCs w:val="22"/>
          <w:lang w:val="lt-LT" w:eastAsia="en-US"/>
        </w:rPr>
        <w:t>C-darunaviro ir ritonaviro dozės pavartojimo apie 79,5 % šios dozės buvo randama išmatose ir 13,9 % šlapime. Nepakitusio darunaviro išmatose ir šlapime buvo atitinkamai 41,2 % ir</w:t>
      </w:r>
      <w:r w:rsidR="00417EC1">
        <w:rPr>
          <w:rFonts w:eastAsia="TimesNewRoman"/>
          <w:sz w:val="22"/>
          <w:szCs w:val="22"/>
          <w:lang w:val="lt-LT" w:eastAsia="en-US"/>
        </w:rPr>
        <w:t xml:space="preserve"> </w:t>
      </w:r>
      <w:r w:rsidRPr="004509B9">
        <w:rPr>
          <w:rFonts w:eastAsia="TimesNewRoman"/>
          <w:sz w:val="22"/>
          <w:szCs w:val="22"/>
          <w:lang w:val="lt-LT" w:eastAsia="en-US"/>
        </w:rPr>
        <w:t>7,7 % suvartotos dozės. Darunaviro, vartoto su ritonaviru, galutinis pusinės eliminacijos periodas buvo apie 15 valandų.</w:t>
      </w:r>
    </w:p>
    <w:p w14:paraId="360A6BA6" w14:textId="77777777" w:rsidR="009F5848" w:rsidRPr="004509B9" w:rsidRDefault="009F5848" w:rsidP="009F5848">
      <w:pPr>
        <w:autoSpaceDE w:val="0"/>
        <w:autoSpaceDN w:val="0"/>
        <w:adjustRightInd w:val="0"/>
        <w:rPr>
          <w:rFonts w:eastAsia="TimesNewRoman"/>
          <w:sz w:val="22"/>
          <w:szCs w:val="22"/>
          <w:lang w:val="lt-LT" w:eastAsia="en-US"/>
        </w:rPr>
      </w:pPr>
    </w:p>
    <w:p w14:paraId="48D09745"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Į veną suleisto tik darunaviro (150 mg) ir pavartoto su nedidele ritonaviro doze klirensas buvo atitinkamai 32,8 l/val. ir 5,9 l/val.</w:t>
      </w:r>
    </w:p>
    <w:p w14:paraId="0548155A" w14:textId="77777777" w:rsidR="009F5848" w:rsidRPr="004509B9" w:rsidRDefault="009F5848" w:rsidP="009F5848">
      <w:pPr>
        <w:autoSpaceDE w:val="0"/>
        <w:autoSpaceDN w:val="0"/>
        <w:adjustRightInd w:val="0"/>
        <w:rPr>
          <w:rFonts w:eastAsia="TimesNewRoman"/>
          <w:sz w:val="22"/>
          <w:szCs w:val="22"/>
          <w:lang w:val="lt-LT" w:eastAsia="en-US"/>
        </w:rPr>
      </w:pPr>
    </w:p>
    <w:p w14:paraId="3967C4A9" w14:textId="77777777" w:rsidR="009F5848" w:rsidRPr="004509B9" w:rsidRDefault="009F5848" w:rsidP="009F5848">
      <w:pPr>
        <w:autoSpaceDE w:val="0"/>
        <w:autoSpaceDN w:val="0"/>
        <w:adjustRightInd w:val="0"/>
        <w:rPr>
          <w:rFonts w:eastAsia="TimesNewRoman"/>
          <w:sz w:val="22"/>
          <w:szCs w:val="22"/>
          <w:u w:val="single"/>
          <w:lang w:val="lt-LT" w:eastAsia="en-US"/>
        </w:rPr>
      </w:pPr>
      <w:r w:rsidRPr="004509B9">
        <w:rPr>
          <w:rFonts w:eastAsia="TimesNewRoman"/>
          <w:sz w:val="22"/>
          <w:szCs w:val="22"/>
          <w:u w:val="single"/>
          <w:lang w:val="lt-LT" w:eastAsia="en-US"/>
        </w:rPr>
        <w:t>Ypatingos populiacijos</w:t>
      </w:r>
    </w:p>
    <w:p w14:paraId="5CF04C41" w14:textId="77777777" w:rsidR="009F5848" w:rsidRPr="004509B9" w:rsidRDefault="009F5848" w:rsidP="009F5848">
      <w:pPr>
        <w:autoSpaceDE w:val="0"/>
        <w:autoSpaceDN w:val="0"/>
        <w:adjustRightInd w:val="0"/>
        <w:rPr>
          <w:rFonts w:eastAsia="TimesNewRoman"/>
          <w:i/>
          <w:iCs/>
          <w:sz w:val="22"/>
          <w:szCs w:val="22"/>
          <w:lang w:val="lt-LT" w:eastAsia="en-US"/>
        </w:rPr>
      </w:pPr>
    </w:p>
    <w:p w14:paraId="09AA30AF" w14:textId="77777777" w:rsidR="009F5848" w:rsidRPr="004509B9" w:rsidRDefault="009F5848" w:rsidP="009F5848">
      <w:pPr>
        <w:autoSpaceDE w:val="0"/>
        <w:autoSpaceDN w:val="0"/>
        <w:adjustRightInd w:val="0"/>
        <w:rPr>
          <w:rFonts w:eastAsia="TimesNewRoman"/>
          <w:i/>
          <w:iCs/>
          <w:sz w:val="22"/>
          <w:szCs w:val="22"/>
          <w:lang w:val="lt-LT" w:eastAsia="en-US"/>
        </w:rPr>
      </w:pPr>
      <w:r w:rsidRPr="004509B9">
        <w:rPr>
          <w:rFonts w:eastAsia="TimesNewRoman"/>
          <w:i/>
          <w:iCs/>
          <w:sz w:val="22"/>
          <w:szCs w:val="22"/>
          <w:lang w:val="lt-LT" w:eastAsia="en-US"/>
        </w:rPr>
        <w:t>Vaikų populiacija</w:t>
      </w:r>
    </w:p>
    <w:p w14:paraId="611A5F99"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Darunaviro, vartojamo kartu su ritonaviru du kartus per parą, farmakokinetikos 74 anksčiau gydytų  6 - 17 metų bei ne mažiau kaip 20 kg sveriančių vaikų ir paauglių </w:t>
      </w:r>
      <w:r w:rsidRPr="004509B9">
        <w:rPr>
          <w:rFonts w:eastAsia="TimesNewRoman"/>
          <w:sz w:val="22"/>
          <w:szCs w:val="22"/>
          <w:lang w:val="lt-LT" w:eastAsia="en-US"/>
        </w:rPr>
        <w:lastRenderedPageBreak/>
        <w:t>organizme duomenys rodo, kad, vartojant pagal kūno svorį apskaičiuotas darunaviro /ritonaviro dozes, darunaviro ekspozicija būna panaši į suaugusiųjų, kurie vartoja 600/100 mg darunaviro /ritonaviro dozes du kartus per parą (žr.4.2 skyrių).</w:t>
      </w:r>
    </w:p>
    <w:p w14:paraId="4BD248FF" w14:textId="77777777" w:rsidR="009F5848" w:rsidRPr="004509B9" w:rsidRDefault="009F5848" w:rsidP="009F5848">
      <w:pPr>
        <w:autoSpaceDE w:val="0"/>
        <w:autoSpaceDN w:val="0"/>
        <w:adjustRightInd w:val="0"/>
        <w:rPr>
          <w:rFonts w:eastAsia="TimesNewRoman"/>
          <w:sz w:val="22"/>
          <w:szCs w:val="22"/>
          <w:lang w:val="lt-LT" w:eastAsia="en-US"/>
        </w:rPr>
      </w:pPr>
    </w:p>
    <w:p w14:paraId="5D47455D"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Darunaviro, vartojamo kartu su ritonaviru du kartus per parą, farmakokinetikos 14 anksčiau gydytų nuo 3 iki &lt; 6 metų amžiaus bei nuo 15 kg iki &lt; 20 kg sveriančių vaikų ir paauglių organizme duomenys parodė, kad, darunavirą dozuojant pagal kūno svorį jo ekspozicija buvo panaši į suaugusiųjų, kurie vartoja 600/100 mg darunaviro/ritonaviro dozę du kartus per parą (žr. 4.2 skyrių).</w:t>
      </w:r>
    </w:p>
    <w:p w14:paraId="123CDBC0" w14:textId="77777777" w:rsidR="009F5848" w:rsidRPr="004509B9" w:rsidRDefault="009F5848" w:rsidP="009F5848">
      <w:pPr>
        <w:autoSpaceDE w:val="0"/>
        <w:autoSpaceDN w:val="0"/>
        <w:adjustRightInd w:val="0"/>
        <w:rPr>
          <w:rFonts w:eastAsia="TimesNewRoman"/>
          <w:sz w:val="22"/>
          <w:szCs w:val="22"/>
          <w:lang w:val="lt-LT" w:eastAsia="en-US"/>
        </w:rPr>
      </w:pPr>
    </w:p>
    <w:p w14:paraId="43C71BDB"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Darunaviro, vartojamo kartu su ritonaviru vieną kartą per parą, farmakokinetikos 12 anksčiau ARG netaikytų nuo 12 iki &lt; 18 metų bei ne mažiau kaip 40 kg sveriančių vaikų ir paauglių organizme duomenys rodo, kad, vartojant 800/100 mg darunaviro/ritonaviro dozes vieną kartą per parą, darunaviro ekspozicija buvo panaši į suaugusiųjų, kurie vartoja 800/100 mg darunaviro /ritonaviro dozę vieną kartą per parą. Todėl pirmiau gydytiems paaugliams nuo 12 iki &lt; 18 metų, sveriantiems ne mažiau kaip 40 kg ir neturintiems su mutacijomis (DRV-ASM)* susijusio atsparumo darunavirui, kurių plazmoje yra &lt; 100 000 ŽIV-1 RNR kopijų/ml ir CD4+ ląstelių kiekis yra ≥ 100 ląstelių x 10</w:t>
      </w:r>
      <w:r w:rsidRPr="004509B9">
        <w:rPr>
          <w:rFonts w:eastAsia="TimesNewRoman"/>
          <w:sz w:val="22"/>
          <w:szCs w:val="22"/>
          <w:vertAlign w:val="superscript"/>
          <w:lang w:val="lt-LT" w:eastAsia="en-US"/>
        </w:rPr>
        <w:t>6</w:t>
      </w:r>
      <w:r w:rsidRPr="004509B9">
        <w:rPr>
          <w:rFonts w:eastAsia="TimesNewRoman"/>
          <w:sz w:val="22"/>
          <w:szCs w:val="22"/>
          <w:lang w:val="lt-LT" w:eastAsia="en-US"/>
        </w:rPr>
        <w:t>/l,</w:t>
      </w:r>
    </w:p>
    <w:p w14:paraId="488488DC"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galima vartoti tokią pa</w:t>
      </w:r>
      <w:r w:rsidR="00417EC1">
        <w:rPr>
          <w:rFonts w:eastAsia="TimesNewRoman"/>
          <w:sz w:val="22"/>
          <w:szCs w:val="22"/>
          <w:lang w:val="lt-LT" w:eastAsia="en-US"/>
        </w:rPr>
        <w:t>či</w:t>
      </w:r>
      <w:r w:rsidRPr="004509B9">
        <w:rPr>
          <w:rFonts w:eastAsia="TimesNewRoman"/>
          <w:sz w:val="22"/>
          <w:szCs w:val="22"/>
          <w:lang w:val="lt-LT" w:eastAsia="en-US"/>
        </w:rPr>
        <w:t>ą dozę (žr. 4.2 skyrių).</w:t>
      </w:r>
    </w:p>
    <w:p w14:paraId="1F8333C5" w14:textId="77777777" w:rsidR="009F5848" w:rsidRPr="004509B9" w:rsidRDefault="009F5848" w:rsidP="009F5848">
      <w:pPr>
        <w:autoSpaceDE w:val="0"/>
        <w:autoSpaceDN w:val="0"/>
        <w:adjustRightInd w:val="0"/>
        <w:rPr>
          <w:rFonts w:eastAsia="TimesNewRoman"/>
          <w:sz w:val="18"/>
          <w:szCs w:val="18"/>
          <w:lang w:val="lt-LT" w:eastAsia="en-US"/>
        </w:rPr>
      </w:pPr>
      <w:r w:rsidRPr="004509B9">
        <w:rPr>
          <w:rFonts w:eastAsia="TimesNewRoman"/>
          <w:sz w:val="22"/>
          <w:szCs w:val="22"/>
          <w:lang w:val="lt-LT" w:eastAsia="en-US"/>
        </w:rPr>
        <w:t xml:space="preserve">* </w:t>
      </w:r>
      <w:r w:rsidRPr="004509B9">
        <w:rPr>
          <w:rFonts w:eastAsia="TimesNewRoman"/>
          <w:sz w:val="18"/>
          <w:szCs w:val="18"/>
          <w:lang w:val="lt-LT" w:eastAsia="en-US"/>
        </w:rPr>
        <w:t>DRV-ASM: V11I, V32I, L33F, I47V, I50V, I54M, I54L, T74P, L76V, I84V ir L89V.</w:t>
      </w:r>
    </w:p>
    <w:p w14:paraId="0765C9DD" w14:textId="77777777" w:rsidR="009F5848" w:rsidRPr="004509B9" w:rsidRDefault="009F5848" w:rsidP="009F5848">
      <w:pPr>
        <w:autoSpaceDE w:val="0"/>
        <w:autoSpaceDN w:val="0"/>
        <w:adjustRightInd w:val="0"/>
        <w:rPr>
          <w:rFonts w:eastAsia="TimesNewRoman"/>
          <w:sz w:val="22"/>
          <w:szCs w:val="22"/>
          <w:lang w:val="lt-LT" w:eastAsia="en-US"/>
        </w:rPr>
      </w:pPr>
    </w:p>
    <w:p w14:paraId="66FDC6B9"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Darunaviro, vartojamo kartu su ritonaviru vieną kartą per parą, farmakokinetikos 10 anksčiau gydytų nuo 3 iki &lt; 6 metų bei mažiausiai nuo 14 iki &lt; 20 kg sveriančių vaikų ir paauglių organizme duomenys rodo, kad, vartojant pagal svorį paskirtas dozes, darunaviro ekspozicija buvo panaši į suaugusiųjų, kurie vartoja 800/100 mg </w:t>
      </w:r>
      <w:r w:rsidR="006470F4" w:rsidRPr="004509B9">
        <w:rPr>
          <w:rFonts w:eastAsia="TimesNewRoman"/>
          <w:sz w:val="22"/>
          <w:szCs w:val="22"/>
          <w:lang w:val="lt-LT" w:eastAsia="en-US"/>
        </w:rPr>
        <w:t>darunaviro</w:t>
      </w:r>
      <w:r w:rsidRPr="004509B9">
        <w:rPr>
          <w:rFonts w:eastAsia="TimesNewRoman"/>
          <w:sz w:val="22"/>
          <w:szCs w:val="22"/>
          <w:lang w:val="lt-LT" w:eastAsia="en-US"/>
        </w:rPr>
        <w:t>/ritonaviro dozę vieną kartą per parą (žr. 4.2 skyrių). Be to, darunaviro ekspozicijos farmakokinetinio modeliavimo ir simuliacijos vaikų populiacijos pacientų nuo 3 iki &lt; 18 metų organizme tyrimai patvirtino, kad darunaviro ekspozicijos yra tokios pat, kokios buvo nustatytos klinikinių tyrimų metu, ir atsižvelgiant į svorį leido nustatyti darunaviro /ritonaviro dozavimo planą vieną kartą per parą vaikų populiacijos pacientams, kurių svoris yra ne mažesnis kaip 15 kg, kuriems arba nebuvo, arba buvo taikytas ARG, nenustačius DRV-ASM* ir kurių ŽIV-1 RNR koncentracijos plazmoje yra &lt; 100 000 kopijų/ml bei CD4+ ląstelių kiekis yra ≥ 100 ląstelių x 10</w:t>
      </w:r>
      <w:r w:rsidRPr="004509B9">
        <w:rPr>
          <w:rFonts w:eastAsia="TimesNewRoman"/>
          <w:sz w:val="22"/>
          <w:szCs w:val="22"/>
          <w:vertAlign w:val="superscript"/>
          <w:lang w:val="lt-LT" w:eastAsia="en-US"/>
        </w:rPr>
        <w:t>6</w:t>
      </w:r>
      <w:r w:rsidRPr="004509B9">
        <w:rPr>
          <w:rFonts w:eastAsia="TimesNewRoman"/>
          <w:sz w:val="22"/>
          <w:szCs w:val="22"/>
          <w:lang w:val="lt-LT" w:eastAsia="en-US"/>
        </w:rPr>
        <w:t>/l (žr. 4.2 skyrių).</w:t>
      </w:r>
    </w:p>
    <w:p w14:paraId="30BDA430" w14:textId="77777777" w:rsidR="009F5848" w:rsidRPr="004509B9" w:rsidRDefault="009F5848" w:rsidP="009F5848">
      <w:pPr>
        <w:autoSpaceDE w:val="0"/>
        <w:autoSpaceDN w:val="0"/>
        <w:adjustRightInd w:val="0"/>
        <w:rPr>
          <w:rFonts w:eastAsia="TimesNewRoman"/>
          <w:sz w:val="18"/>
          <w:szCs w:val="18"/>
          <w:lang w:val="lt-LT" w:eastAsia="en-US"/>
        </w:rPr>
      </w:pPr>
      <w:r w:rsidRPr="004509B9">
        <w:rPr>
          <w:rFonts w:eastAsia="TimesNewRoman"/>
          <w:sz w:val="22"/>
          <w:szCs w:val="22"/>
          <w:lang w:val="lt-LT" w:eastAsia="en-US"/>
        </w:rPr>
        <w:t xml:space="preserve">* </w:t>
      </w:r>
      <w:r w:rsidRPr="004509B9">
        <w:rPr>
          <w:rFonts w:eastAsia="TimesNewRoman"/>
          <w:sz w:val="18"/>
          <w:szCs w:val="18"/>
          <w:lang w:val="lt-LT" w:eastAsia="en-US"/>
        </w:rPr>
        <w:t>DRV-ASM: V11I, V32I, L33F, I47V, I50V, I54M, I54L, T74P, L76V, I84V ir L89V.</w:t>
      </w:r>
    </w:p>
    <w:p w14:paraId="76509E60" w14:textId="77777777" w:rsidR="009F5848" w:rsidRPr="004509B9" w:rsidRDefault="009F5848" w:rsidP="009F5848">
      <w:pPr>
        <w:autoSpaceDE w:val="0"/>
        <w:autoSpaceDN w:val="0"/>
        <w:adjustRightInd w:val="0"/>
        <w:rPr>
          <w:rFonts w:eastAsia="TimesNewRoman"/>
          <w:i/>
          <w:iCs/>
          <w:sz w:val="22"/>
          <w:szCs w:val="22"/>
          <w:lang w:val="lt-LT" w:eastAsia="en-US"/>
        </w:rPr>
      </w:pPr>
    </w:p>
    <w:p w14:paraId="0DD8BA05" w14:textId="77777777" w:rsidR="009F5848" w:rsidRPr="004509B9" w:rsidRDefault="009F5848" w:rsidP="009F5848">
      <w:pPr>
        <w:autoSpaceDE w:val="0"/>
        <w:autoSpaceDN w:val="0"/>
        <w:adjustRightInd w:val="0"/>
        <w:rPr>
          <w:rFonts w:eastAsia="TimesNewRoman"/>
          <w:i/>
          <w:iCs/>
          <w:sz w:val="22"/>
          <w:szCs w:val="22"/>
          <w:lang w:val="lt-LT" w:eastAsia="en-US"/>
        </w:rPr>
      </w:pPr>
      <w:r w:rsidRPr="004509B9">
        <w:rPr>
          <w:rFonts w:eastAsia="TimesNewRoman"/>
          <w:i/>
          <w:iCs/>
          <w:sz w:val="22"/>
          <w:szCs w:val="22"/>
          <w:lang w:val="lt-LT" w:eastAsia="en-US"/>
        </w:rPr>
        <w:t>Senyviems žmonėms</w:t>
      </w:r>
    </w:p>
    <w:p w14:paraId="4E651015"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ŽIV infekuotų pacientų (n=12, ≥ 65 metų) populiacinės farmakokinetikos tyrimo duomenimis, darunaviro farmakokinetika nelabai priklauso nuo amžiaus (nuo 18 iki 75 metų) (žr. 4.4 skyrių). Vis dėlto duomenys apie farmakokinetiką vyresnių kaip 65 metų pacientų organizme yra riboti.</w:t>
      </w:r>
    </w:p>
    <w:p w14:paraId="1626CD4C" w14:textId="77777777" w:rsidR="009F5848" w:rsidRPr="004509B9" w:rsidRDefault="009F5848" w:rsidP="009F5848">
      <w:pPr>
        <w:autoSpaceDE w:val="0"/>
        <w:autoSpaceDN w:val="0"/>
        <w:adjustRightInd w:val="0"/>
        <w:rPr>
          <w:rFonts w:eastAsia="TimesNewRoman"/>
          <w:i/>
          <w:iCs/>
          <w:sz w:val="22"/>
          <w:szCs w:val="22"/>
          <w:lang w:val="lt-LT" w:eastAsia="en-US"/>
        </w:rPr>
      </w:pPr>
    </w:p>
    <w:p w14:paraId="699EA404" w14:textId="77777777" w:rsidR="009F5848" w:rsidRPr="004509B9" w:rsidRDefault="009F5848" w:rsidP="009F5848">
      <w:pPr>
        <w:autoSpaceDE w:val="0"/>
        <w:autoSpaceDN w:val="0"/>
        <w:adjustRightInd w:val="0"/>
        <w:rPr>
          <w:rFonts w:eastAsia="TimesNewRoman"/>
          <w:i/>
          <w:iCs/>
          <w:sz w:val="22"/>
          <w:szCs w:val="22"/>
          <w:lang w:val="lt-LT" w:eastAsia="en-US"/>
        </w:rPr>
      </w:pPr>
      <w:r w:rsidRPr="004509B9">
        <w:rPr>
          <w:rFonts w:eastAsia="TimesNewRoman"/>
          <w:i/>
          <w:iCs/>
          <w:sz w:val="22"/>
          <w:szCs w:val="22"/>
          <w:lang w:val="lt-LT" w:eastAsia="en-US"/>
        </w:rPr>
        <w:t>Lytis</w:t>
      </w:r>
    </w:p>
    <w:p w14:paraId="06070B44"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Populiacinės farmakokinetikos tyrimo duomenimis, ŽIV infekuotų moterų organizme darunaviro ekspozicija buvo šiek tiek didesnė (16,8 %), palyginti su vyrų. Šis skirtumas nėra kliniškai svarbus.</w:t>
      </w:r>
    </w:p>
    <w:p w14:paraId="5747F310" w14:textId="77777777" w:rsidR="009F5848" w:rsidRPr="004509B9" w:rsidRDefault="009F5848" w:rsidP="009F5848">
      <w:pPr>
        <w:autoSpaceDE w:val="0"/>
        <w:autoSpaceDN w:val="0"/>
        <w:adjustRightInd w:val="0"/>
        <w:rPr>
          <w:rFonts w:eastAsia="TimesNewRoman"/>
          <w:i/>
          <w:iCs/>
          <w:sz w:val="22"/>
          <w:szCs w:val="22"/>
          <w:lang w:val="lt-LT" w:eastAsia="en-US"/>
        </w:rPr>
      </w:pPr>
    </w:p>
    <w:p w14:paraId="7E4491F6" w14:textId="77777777" w:rsidR="009F5848" w:rsidRPr="004509B9" w:rsidRDefault="009F5848" w:rsidP="009F5848">
      <w:pPr>
        <w:autoSpaceDE w:val="0"/>
        <w:autoSpaceDN w:val="0"/>
        <w:adjustRightInd w:val="0"/>
        <w:rPr>
          <w:rFonts w:eastAsia="TimesNewRoman"/>
          <w:i/>
          <w:iCs/>
          <w:sz w:val="22"/>
          <w:szCs w:val="22"/>
          <w:lang w:val="lt-LT" w:eastAsia="en-US"/>
        </w:rPr>
      </w:pPr>
      <w:r w:rsidRPr="004509B9">
        <w:rPr>
          <w:rFonts w:eastAsia="TimesNewRoman"/>
          <w:i/>
          <w:iCs/>
          <w:sz w:val="22"/>
          <w:szCs w:val="22"/>
          <w:lang w:val="lt-LT" w:eastAsia="en-US"/>
        </w:rPr>
        <w:t>Inkstų funkcijos sutrikimas</w:t>
      </w:r>
    </w:p>
    <w:p w14:paraId="27A092D0"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vertAlign w:val="superscript"/>
          <w:lang w:val="lt-LT" w:eastAsia="en-US"/>
        </w:rPr>
        <w:t>14</w:t>
      </w:r>
      <w:r w:rsidRPr="004509B9">
        <w:rPr>
          <w:rFonts w:eastAsia="TimesNewRoman"/>
          <w:sz w:val="22"/>
          <w:szCs w:val="22"/>
          <w:lang w:val="lt-LT" w:eastAsia="en-US"/>
        </w:rPr>
        <w:t>C darunaviro ir ritonaviro masės balanso tyrimo duomenimis, apie 7,7 % suvartoto darunaviro išsiskiria su šlapimu nepakitusiu pavidalu.</w:t>
      </w:r>
    </w:p>
    <w:p w14:paraId="562D068F" w14:textId="77777777" w:rsidR="009F5848" w:rsidRPr="004509B9" w:rsidRDefault="009F5848" w:rsidP="009F5848">
      <w:pPr>
        <w:autoSpaceDE w:val="0"/>
        <w:autoSpaceDN w:val="0"/>
        <w:adjustRightInd w:val="0"/>
        <w:rPr>
          <w:rFonts w:eastAsia="TimesNewRoman"/>
          <w:sz w:val="22"/>
          <w:szCs w:val="22"/>
          <w:lang w:val="lt-LT" w:eastAsia="en-US"/>
        </w:rPr>
      </w:pPr>
    </w:p>
    <w:p w14:paraId="1861835A"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lastRenderedPageBreak/>
        <w:t>Nors darunaviro apykaita ligonių, kurių inkstų veikla sutrikusi, organizme netirta, populiacinės farmakokinetikos analizės duomenys parodė, kad darunaviro farmakokinetika nebuvo labai pakitusi, kai ŽIV infekuotų pacientų inkstų funkcija buvo vidutiniškai sutrikusi (kreatinino klirensas            30 - 60 ml/min., n=20) (žr. 4.2 ir 4.4 skyrius).</w:t>
      </w:r>
    </w:p>
    <w:p w14:paraId="6FF8E0A5" w14:textId="77777777" w:rsidR="009F5848" w:rsidRPr="004509B9" w:rsidRDefault="009F5848" w:rsidP="009F5848">
      <w:pPr>
        <w:autoSpaceDE w:val="0"/>
        <w:autoSpaceDN w:val="0"/>
        <w:adjustRightInd w:val="0"/>
        <w:rPr>
          <w:rFonts w:eastAsia="TimesNewRoman"/>
          <w:i/>
          <w:iCs/>
          <w:sz w:val="22"/>
          <w:szCs w:val="22"/>
          <w:lang w:val="lt-LT" w:eastAsia="en-US"/>
        </w:rPr>
      </w:pPr>
    </w:p>
    <w:p w14:paraId="39CF08B0" w14:textId="77777777" w:rsidR="009F5848" w:rsidRPr="004509B9" w:rsidRDefault="009F5848" w:rsidP="009F5848">
      <w:pPr>
        <w:autoSpaceDE w:val="0"/>
        <w:autoSpaceDN w:val="0"/>
        <w:adjustRightInd w:val="0"/>
        <w:rPr>
          <w:rFonts w:eastAsia="TimesNewRoman"/>
          <w:i/>
          <w:iCs/>
          <w:sz w:val="22"/>
          <w:szCs w:val="22"/>
          <w:lang w:val="lt-LT" w:eastAsia="en-US"/>
        </w:rPr>
      </w:pPr>
      <w:r w:rsidRPr="004509B9">
        <w:rPr>
          <w:rFonts w:eastAsia="TimesNewRoman"/>
          <w:i/>
          <w:iCs/>
          <w:sz w:val="22"/>
          <w:szCs w:val="22"/>
          <w:lang w:val="lt-LT" w:eastAsia="en-US"/>
        </w:rPr>
        <w:t>Kepenų funkcijos sutrikimas</w:t>
      </w:r>
    </w:p>
    <w:p w14:paraId="568D0D65"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Darunavirą daugiausia metabolizuoja ir šalina kepenys. Kartotinių vaistinio preparato dozių tyrime skiriant darunaviro ir ritonaviro (600/100 mg) derinį du kartus per parą nustatyta, kad bendros darunaviro koncentracijos plazmoje rodikliai pacientų, kurie serga lengvu (A klasės pagal </w:t>
      </w:r>
      <w:r w:rsidRPr="004509B9">
        <w:rPr>
          <w:rFonts w:eastAsia="TimesNewRoman"/>
          <w:i/>
          <w:iCs/>
          <w:sz w:val="22"/>
          <w:szCs w:val="22"/>
          <w:lang w:val="lt-LT" w:eastAsia="en-US"/>
        </w:rPr>
        <w:t>Child-Pugh</w:t>
      </w:r>
      <w:r w:rsidRPr="004509B9">
        <w:rPr>
          <w:rFonts w:eastAsia="TimesNewRoman"/>
          <w:sz w:val="22"/>
          <w:szCs w:val="22"/>
          <w:lang w:val="lt-LT" w:eastAsia="en-US"/>
        </w:rPr>
        <w:t>,</w:t>
      </w:r>
    </w:p>
    <w:p w14:paraId="7C47C423"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n=8) ir vidutinio sunkumo (B klasės pagal </w:t>
      </w:r>
      <w:r w:rsidRPr="004509B9">
        <w:rPr>
          <w:rFonts w:eastAsia="TimesNewRoman"/>
          <w:i/>
          <w:iCs/>
          <w:sz w:val="22"/>
          <w:szCs w:val="22"/>
          <w:lang w:val="lt-LT" w:eastAsia="en-US"/>
        </w:rPr>
        <w:t>Child-Pugh</w:t>
      </w:r>
      <w:r w:rsidRPr="004509B9">
        <w:rPr>
          <w:rFonts w:eastAsia="TimesNewRoman"/>
          <w:sz w:val="22"/>
          <w:szCs w:val="22"/>
          <w:lang w:val="lt-LT" w:eastAsia="en-US"/>
        </w:rPr>
        <w:t>, n=8) kepenų funkcijos sutrikimu, organizme buvo panašūs į sveikų žmonių rodiklius</w:t>
      </w:r>
      <w:r w:rsidR="00417EC1">
        <w:rPr>
          <w:rFonts w:eastAsia="TimesNewRoman"/>
          <w:sz w:val="22"/>
          <w:szCs w:val="22"/>
          <w:lang w:val="lt-LT" w:eastAsia="en-US"/>
        </w:rPr>
        <w:t>.T</w:t>
      </w:r>
      <w:r w:rsidRPr="004509B9">
        <w:rPr>
          <w:rFonts w:eastAsia="TimesNewRoman"/>
          <w:sz w:val="22"/>
          <w:szCs w:val="22"/>
          <w:lang w:val="lt-LT" w:eastAsia="en-US"/>
        </w:rPr>
        <w:t xml:space="preserve">ačiau nesusijungusio darunaviro koncentracijos plazmoje rodikliai pacientų, kurie serga lengvu (A klasės pagal </w:t>
      </w:r>
      <w:r w:rsidRPr="004509B9">
        <w:rPr>
          <w:rFonts w:eastAsia="TimesNewRoman"/>
          <w:i/>
          <w:iCs/>
          <w:sz w:val="22"/>
          <w:szCs w:val="22"/>
          <w:lang w:val="lt-LT" w:eastAsia="en-US"/>
        </w:rPr>
        <w:t>Child-Pugh</w:t>
      </w:r>
      <w:r w:rsidRPr="004509B9">
        <w:rPr>
          <w:rFonts w:eastAsia="TimesNewRoman"/>
          <w:sz w:val="22"/>
          <w:szCs w:val="22"/>
          <w:lang w:val="lt-LT" w:eastAsia="en-US"/>
        </w:rPr>
        <w:t xml:space="preserve">) ir vidutinio sunkumo (B klasės pagal </w:t>
      </w:r>
      <w:r w:rsidRPr="004509B9">
        <w:rPr>
          <w:rFonts w:eastAsia="TimesNewRoman"/>
          <w:i/>
          <w:iCs/>
          <w:sz w:val="22"/>
          <w:szCs w:val="22"/>
          <w:lang w:val="lt-LT" w:eastAsia="en-US"/>
        </w:rPr>
        <w:t>Child-Pugh</w:t>
      </w:r>
      <w:r w:rsidRPr="004509B9">
        <w:rPr>
          <w:rFonts w:eastAsia="TimesNewRoman"/>
          <w:sz w:val="22"/>
          <w:szCs w:val="22"/>
          <w:lang w:val="lt-LT" w:eastAsia="en-US"/>
        </w:rPr>
        <w:t>) kepenų funkcijos sutrikimu, organizme buvo atitinkamai apytiksliai 55 % ir 100 % didesni. Klinikinė šio padidėjimo reikšmė nėra žinoma, todėl darunaviro reikia vartoti atsargiai. Sunkaus kepenų funkcijos sutrikimo poveikis darunaviro farmakokinetikai dar nėra tirtas (žr. 4.2, 4.3 ir 4.4 skyrius).</w:t>
      </w:r>
    </w:p>
    <w:p w14:paraId="683C7ADC" w14:textId="77777777" w:rsidR="009F5848" w:rsidRPr="004509B9" w:rsidRDefault="009F5848" w:rsidP="009F5848">
      <w:pPr>
        <w:autoSpaceDE w:val="0"/>
        <w:autoSpaceDN w:val="0"/>
        <w:adjustRightInd w:val="0"/>
        <w:rPr>
          <w:rFonts w:eastAsia="TimesNewRoman"/>
          <w:i/>
          <w:iCs/>
          <w:sz w:val="22"/>
          <w:szCs w:val="22"/>
          <w:lang w:val="lt-LT" w:eastAsia="en-US"/>
        </w:rPr>
      </w:pPr>
    </w:p>
    <w:p w14:paraId="73422568" w14:textId="77777777" w:rsidR="009F5848" w:rsidRPr="004509B9" w:rsidRDefault="009F5848" w:rsidP="009F5848">
      <w:pPr>
        <w:autoSpaceDE w:val="0"/>
        <w:autoSpaceDN w:val="0"/>
        <w:adjustRightInd w:val="0"/>
        <w:rPr>
          <w:rFonts w:eastAsia="TimesNewRoman"/>
          <w:i/>
          <w:iCs/>
          <w:sz w:val="22"/>
          <w:szCs w:val="22"/>
          <w:lang w:val="lt-LT" w:eastAsia="en-US"/>
        </w:rPr>
      </w:pPr>
      <w:r w:rsidRPr="004509B9">
        <w:rPr>
          <w:rFonts w:eastAsia="TimesNewRoman"/>
          <w:i/>
          <w:iCs/>
          <w:sz w:val="22"/>
          <w:szCs w:val="22"/>
          <w:lang w:val="lt-LT" w:eastAsia="en-US"/>
        </w:rPr>
        <w:t>Nėštumas ir pogimdyminis laikotarpis</w:t>
      </w:r>
    </w:p>
    <w:p w14:paraId="4BA1FEAB"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Bendroji darunaviro ir ritonaviro ekspozicija nėštumo metu po 600/100 mg darunaviro/ritonaviro dozės du kartus per parą ir 800/100 mg darunaviro/ritonaviro dozės vieną kartą per parą vartojimo atvejais gydant antiretrovirusiniais vaistiniais preparatais paprastai buvo mažesnė, palyginti su ekspozicija po gimdymo. Vis dėlto, neprisijungusio (t. y. veikliojo) darunaviro farmakokinetiniai rodmenys nėštumo metu sumažėjo mažiau, palyginti su rodmenimis po gimdymo, dėl to, kad neprisijungusio darunaviro frakcija nėštumo metu būna didesnė, palyginti su šia frakcija po gimdymo.</w:t>
      </w:r>
    </w:p>
    <w:p w14:paraId="20B3B193" w14:textId="77777777" w:rsidR="009F5848" w:rsidRPr="004509B9" w:rsidRDefault="009F5848" w:rsidP="009F5848">
      <w:pPr>
        <w:tabs>
          <w:tab w:val="left" w:pos="567"/>
        </w:tabs>
        <w:spacing w:line="260" w:lineRule="exact"/>
        <w:rPr>
          <w:rFonts w:eastAsia="Times New Roman"/>
          <w:iCs/>
          <w:noProof/>
          <w:sz w:val="22"/>
          <w:szCs w:val="22"/>
          <w:lang w:val="lt-LT" w:eastAsia="en-US"/>
        </w:rPr>
      </w:pPr>
    </w:p>
    <w:tbl>
      <w:tblPr>
        <w:tblW w:w="9074" w:type="dxa"/>
        <w:tblInd w:w="110" w:type="dxa"/>
        <w:tblLayout w:type="fixed"/>
        <w:tblCellMar>
          <w:left w:w="0" w:type="dxa"/>
          <w:right w:w="0" w:type="dxa"/>
        </w:tblCellMar>
        <w:tblLook w:val="04A0" w:firstRow="1" w:lastRow="0" w:firstColumn="1" w:lastColumn="0" w:noHBand="0" w:noVBand="1"/>
      </w:tblPr>
      <w:tblGrid>
        <w:gridCol w:w="2270"/>
        <w:gridCol w:w="2303"/>
        <w:gridCol w:w="2233"/>
        <w:gridCol w:w="2268"/>
      </w:tblGrid>
      <w:tr w:rsidR="009F5848" w:rsidRPr="00C75EC3" w14:paraId="09697805" w14:textId="77777777" w:rsidTr="009F5848">
        <w:trPr>
          <w:trHeight w:val="768"/>
        </w:trPr>
        <w:tc>
          <w:tcPr>
            <w:tcW w:w="9074" w:type="dxa"/>
            <w:gridSpan w:val="4"/>
            <w:tcBorders>
              <w:top w:val="single" w:sz="4" w:space="0" w:color="000000"/>
              <w:left w:val="single" w:sz="4" w:space="0" w:color="000000"/>
              <w:bottom w:val="single" w:sz="4" w:space="0" w:color="000000"/>
              <w:right w:val="single" w:sz="4" w:space="0" w:color="000000"/>
            </w:tcBorders>
            <w:hideMark/>
          </w:tcPr>
          <w:p w14:paraId="28B02ADF" w14:textId="77777777" w:rsidR="009F5848" w:rsidRPr="004509B9" w:rsidRDefault="009F5848" w:rsidP="009F5848">
            <w:pPr>
              <w:autoSpaceDE w:val="0"/>
              <w:autoSpaceDN w:val="0"/>
              <w:adjustRightInd w:val="0"/>
              <w:jc w:val="center"/>
              <w:rPr>
                <w:rFonts w:eastAsia="Times New Roman"/>
                <w:b/>
                <w:sz w:val="22"/>
                <w:lang w:val="lt-LT" w:eastAsia="en-US"/>
              </w:rPr>
            </w:pPr>
            <w:r w:rsidRPr="004509B9">
              <w:rPr>
                <w:rFonts w:eastAsia="TimesNewRoman,Bold"/>
                <w:b/>
                <w:bCs/>
                <w:sz w:val="22"/>
                <w:szCs w:val="22"/>
                <w:lang w:val="lt-LT" w:eastAsia="en-US"/>
              </w:rPr>
              <w:t>Bendrojo darunaviro farmakokinetiniai rodmenys vartojant 600/100 mg darunaviro/ritonaviro dozę du kartus per parą kartu su kitais vaistiniais preparatais pagal antiretrovirusinio gydymo planą antrąjį nėštumo trimestrą, trečiąjį nėštumo trimestrą ir pogimdyminiu laikotarpiu</w:t>
            </w:r>
          </w:p>
        </w:tc>
      </w:tr>
      <w:tr w:rsidR="009F5848" w:rsidRPr="00C75EC3" w14:paraId="157B04F5" w14:textId="77777777" w:rsidTr="009F5848">
        <w:trPr>
          <w:trHeight w:hRule="exact" w:val="741"/>
        </w:trPr>
        <w:tc>
          <w:tcPr>
            <w:tcW w:w="2270" w:type="dxa"/>
            <w:tcBorders>
              <w:top w:val="single" w:sz="4" w:space="0" w:color="000000"/>
              <w:left w:val="single" w:sz="4" w:space="0" w:color="000000"/>
              <w:bottom w:val="single" w:sz="4" w:space="0" w:color="000000"/>
              <w:right w:val="single" w:sz="4" w:space="0" w:color="000000"/>
            </w:tcBorders>
            <w:hideMark/>
          </w:tcPr>
          <w:p w14:paraId="2E2E047A" w14:textId="77777777" w:rsidR="009F5848" w:rsidRPr="004509B9" w:rsidRDefault="009F5848" w:rsidP="009F5848">
            <w:pPr>
              <w:autoSpaceDE w:val="0"/>
              <w:autoSpaceDN w:val="0"/>
              <w:adjustRightInd w:val="0"/>
              <w:jc w:val="center"/>
              <w:rPr>
                <w:rFonts w:eastAsia="TimesNewRoman,Bold"/>
                <w:b/>
                <w:bCs/>
                <w:sz w:val="22"/>
                <w:szCs w:val="22"/>
                <w:lang w:val="lt-LT" w:eastAsia="en-US"/>
              </w:rPr>
            </w:pPr>
            <w:r w:rsidRPr="004509B9">
              <w:rPr>
                <w:rFonts w:eastAsia="TimesNewRoman,Bold"/>
                <w:b/>
                <w:bCs/>
                <w:sz w:val="22"/>
                <w:szCs w:val="22"/>
                <w:lang w:val="lt-LT" w:eastAsia="en-US"/>
              </w:rPr>
              <w:t>Bendrojo darunaviro</w:t>
            </w:r>
          </w:p>
          <w:p w14:paraId="366E79B0" w14:textId="77777777" w:rsidR="009F5848" w:rsidRPr="004509B9" w:rsidRDefault="009F5848" w:rsidP="009F5848">
            <w:pPr>
              <w:autoSpaceDE w:val="0"/>
              <w:autoSpaceDN w:val="0"/>
              <w:adjustRightInd w:val="0"/>
              <w:jc w:val="center"/>
              <w:rPr>
                <w:rFonts w:eastAsia="TimesNewRoman,Bold"/>
                <w:b/>
                <w:bCs/>
                <w:sz w:val="22"/>
                <w:szCs w:val="22"/>
                <w:lang w:val="lt-LT" w:eastAsia="en-US"/>
              </w:rPr>
            </w:pPr>
            <w:r w:rsidRPr="004509B9">
              <w:rPr>
                <w:rFonts w:eastAsia="TimesNewRoman,Bold"/>
                <w:b/>
                <w:bCs/>
                <w:sz w:val="22"/>
                <w:szCs w:val="22"/>
                <w:lang w:val="lt-LT" w:eastAsia="en-US"/>
              </w:rPr>
              <w:t>farmakokinetika</w:t>
            </w:r>
          </w:p>
          <w:p w14:paraId="473F25B6" w14:textId="77777777" w:rsidR="009F5848" w:rsidRPr="004509B9" w:rsidRDefault="009F5848" w:rsidP="009F5848">
            <w:pPr>
              <w:tabs>
                <w:tab w:val="left" w:pos="567"/>
              </w:tabs>
              <w:spacing w:line="260" w:lineRule="exact"/>
              <w:jc w:val="center"/>
              <w:rPr>
                <w:rFonts w:eastAsia="Times New Roman"/>
                <w:b/>
                <w:sz w:val="22"/>
                <w:lang w:val="lt-LT" w:eastAsia="en-US"/>
              </w:rPr>
            </w:pPr>
            <w:r w:rsidRPr="004509B9">
              <w:rPr>
                <w:rFonts w:eastAsia="TimesNewRoman"/>
                <w:sz w:val="22"/>
                <w:szCs w:val="22"/>
                <w:lang w:val="lt-LT" w:eastAsia="en-US"/>
              </w:rPr>
              <w:t>(vidutinis rodmuo ± SN)</w:t>
            </w:r>
          </w:p>
        </w:tc>
        <w:tc>
          <w:tcPr>
            <w:tcW w:w="2303" w:type="dxa"/>
            <w:tcBorders>
              <w:top w:val="single" w:sz="4" w:space="0" w:color="000000"/>
              <w:left w:val="single" w:sz="4" w:space="0" w:color="000000"/>
              <w:bottom w:val="single" w:sz="4" w:space="0" w:color="000000"/>
              <w:right w:val="single" w:sz="4" w:space="0" w:color="000000"/>
            </w:tcBorders>
            <w:hideMark/>
          </w:tcPr>
          <w:p w14:paraId="5C96899D" w14:textId="77777777" w:rsidR="009F5848" w:rsidRPr="004509B9" w:rsidRDefault="009F5848" w:rsidP="009F5848">
            <w:pPr>
              <w:autoSpaceDE w:val="0"/>
              <w:autoSpaceDN w:val="0"/>
              <w:adjustRightInd w:val="0"/>
              <w:jc w:val="center"/>
              <w:rPr>
                <w:rFonts w:eastAsia="TimesNewRoman,Bold"/>
                <w:b/>
                <w:bCs/>
                <w:sz w:val="22"/>
                <w:szCs w:val="22"/>
                <w:lang w:val="lt-LT" w:eastAsia="en-US"/>
              </w:rPr>
            </w:pPr>
            <w:r w:rsidRPr="004509B9">
              <w:rPr>
                <w:rFonts w:eastAsia="TimesNewRoman,Bold"/>
                <w:b/>
                <w:bCs/>
                <w:sz w:val="22"/>
                <w:szCs w:val="22"/>
                <w:lang w:val="lt-LT" w:eastAsia="en-US"/>
              </w:rPr>
              <w:t>Antrasis nėštumo</w:t>
            </w:r>
          </w:p>
          <w:p w14:paraId="162A255A" w14:textId="77777777" w:rsidR="009F5848" w:rsidRPr="004509B9" w:rsidRDefault="009F5848" w:rsidP="009F5848">
            <w:pPr>
              <w:autoSpaceDE w:val="0"/>
              <w:autoSpaceDN w:val="0"/>
              <w:adjustRightInd w:val="0"/>
              <w:jc w:val="center"/>
              <w:rPr>
                <w:rFonts w:eastAsia="TimesNewRoman,Bold"/>
                <w:b/>
                <w:bCs/>
                <w:sz w:val="22"/>
                <w:szCs w:val="22"/>
                <w:lang w:val="lt-LT" w:eastAsia="en-US"/>
              </w:rPr>
            </w:pPr>
            <w:r w:rsidRPr="004509B9">
              <w:rPr>
                <w:rFonts w:eastAsia="TimesNewRoman,Bold"/>
                <w:b/>
                <w:bCs/>
                <w:sz w:val="22"/>
                <w:szCs w:val="22"/>
                <w:lang w:val="lt-LT" w:eastAsia="en-US"/>
              </w:rPr>
              <w:t>trimestras</w:t>
            </w:r>
          </w:p>
          <w:p w14:paraId="69E7B4F3" w14:textId="77777777" w:rsidR="009F5848" w:rsidRPr="004509B9" w:rsidRDefault="009F5848" w:rsidP="009F5848">
            <w:pPr>
              <w:tabs>
                <w:tab w:val="left" w:pos="567"/>
              </w:tabs>
              <w:spacing w:line="260" w:lineRule="exact"/>
              <w:jc w:val="center"/>
              <w:rPr>
                <w:rFonts w:eastAsia="Times New Roman"/>
                <w:b/>
                <w:sz w:val="22"/>
                <w:lang w:val="lt-LT" w:eastAsia="en-US"/>
              </w:rPr>
            </w:pPr>
            <w:r w:rsidRPr="004509B9">
              <w:rPr>
                <w:rFonts w:eastAsia="TimesNewRoman,Bold"/>
                <w:b/>
                <w:bCs/>
                <w:sz w:val="22"/>
                <w:szCs w:val="22"/>
                <w:lang w:val="lt-LT" w:eastAsia="en-US"/>
              </w:rPr>
              <w:t>(n=11)</w:t>
            </w:r>
            <w:r w:rsidRPr="004509B9">
              <w:rPr>
                <w:rFonts w:eastAsia="TimesNewRoman,Bold"/>
                <w:b/>
                <w:bCs/>
                <w:sz w:val="20"/>
                <w:vertAlign w:val="superscript"/>
                <w:lang w:val="lt-LT" w:eastAsia="en-US"/>
              </w:rPr>
              <w:t>a</w:t>
            </w:r>
          </w:p>
        </w:tc>
        <w:tc>
          <w:tcPr>
            <w:tcW w:w="2233" w:type="dxa"/>
            <w:tcBorders>
              <w:top w:val="single" w:sz="4" w:space="0" w:color="000000"/>
              <w:left w:val="single" w:sz="4" w:space="0" w:color="000000"/>
              <w:bottom w:val="single" w:sz="4" w:space="0" w:color="000000"/>
              <w:right w:val="single" w:sz="4" w:space="0" w:color="000000"/>
            </w:tcBorders>
            <w:hideMark/>
          </w:tcPr>
          <w:p w14:paraId="7915C483" w14:textId="77777777" w:rsidR="009F5848" w:rsidRPr="004509B9" w:rsidRDefault="009F5848" w:rsidP="009F5848">
            <w:pPr>
              <w:autoSpaceDE w:val="0"/>
              <w:autoSpaceDN w:val="0"/>
              <w:adjustRightInd w:val="0"/>
              <w:jc w:val="center"/>
              <w:rPr>
                <w:rFonts w:eastAsia="TimesNewRoman,Bold"/>
                <w:b/>
                <w:bCs/>
                <w:sz w:val="22"/>
                <w:szCs w:val="22"/>
                <w:lang w:val="lt-LT" w:eastAsia="en-US"/>
              </w:rPr>
            </w:pPr>
            <w:r w:rsidRPr="004509B9">
              <w:rPr>
                <w:rFonts w:eastAsia="TimesNewRoman,Bold"/>
                <w:b/>
                <w:bCs/>
                <w:sz w:val="22"/>
                <w:szCs w:val="22"/>
                <w:lang w:val="lt-LT" w:eastAsia="en-US"/>
              </w:rPr>
              <w:t>Trečiasis nėštumo</w:t>
            </w:r>
          </w:p>
          <w:p w14:paraId="5320C78E" w14:textId="77777777" w:rsidR="009F5848" w:rsidRPr="004509B9" w:rsidRDefault="009F5848" w:rsidP="009F5848">
            <w:pPr>
              <w:autoSpaceDE w:val="0"/>
              <w:autoSpaceDN w:val="0"/>
              <w:adjustRightInd w:val="0"/>
              <w:jc w:val="center"/>
              <w:rPr>
                <w:rFonts w:eastAsia="TimesNewRoman,Bold"/>
                <w:b/>
                <w:bCs/>
                <w:sz w:val="22"/>
                <w:szCs w:val="22"/>
                <w:lang w:val="lt-LT" w:eastAsia="en-US"/>
              </w:rPr>
            </w:pPr>
            <w:r w:rsidRPr="004509B9">
              <w:rPr>
                <w:rFonts w:eastAsia="TimesNewRoman,Bold"/>
                <w:b/>
                <w:bCs/>
                <w:sz w:val="22"/>
                <w:szCs w:val="22"/>
                <w:lang w:val="lt-LT" w:eastAsia="en-US"/>
              </w:rPr>
              <w:t>trimestras</w:t>
            </w:r>
          </w:p>
          <w:p w14:paraId="2B947711" w14:textId="77777777" w:rsidR="009F5848" w:rsidRPr="004509B9" w:rsidRDefault="009F5848" w:rsidP="009F5848">
            <w:pPr>
              <w:tabs>
                <w:tab w:val="left" w:pos="567"/>
              </w:tabs>
              <w:spacing w:line="260" w:lineRule="exact"/>
              <w:jc w:val="center"/>
              <w:rPr>
                <w:rFonts w:eastAsia="Times New Roman"/>
                <w:b/>
                <w:sz w:val="22"/>
                <w:lang w:val="lt-LT" w:eastAsia="en-US"/>
              </w:rPr>
            </w:pPr>
            <w:r w:rsidRPr="004509B9">
              <w:rPr>
                <w:rFonts w:eastAsia="TimesNewRoman,Bold"/>
                <w:b/>
                <w:bCs/>
                <w:sz w:val="22"/>
                <w:szCs w:val="22"/>
                <w:lang w:val="lt-LT" w:eastAsia="en-US"/>
              </w:rPr>
              <w:t>(n=11)</w:t>
            </w:r>
          </w:p>
        </w:tc>
        <w:tc>
          <w:tcPr>
            <w:tcW w:w="2268" w:type="dxa"/>
            <w:tcBorders>
              <w:top w:val="single" w:sz="4" w:space="0" w:color="000000"/>
              <w:left w:val="single" w:sz="4" w:space="0" w:color="000000"/>
              <w:bottom w:val="single" w:sz="4" w:space="0" w:color="000000"/>
              <w:right w:val="single" w:sz="4" w:space="0" w:color="000000"/>
            </w:tcBorders>
            <w:hideMark/>
          </w:tcPr>
          <w:p w14:paraId="79A890E7" w14:textId="77777777" w:rsidR="009F5848" w:rsidRPr="004509B9" w:rsidRDefault="009F5848" w:rsidP="009F5848">
            <w:pPr>
              <w:autoSpaceDE w:val="0"/>
              <w:autoSpaceDN w:val="0"/>
              <w:adjustRightInd w:val="0"/>
              <w:jc w:val="center"/>
              <w:rPr>
                <w:rFonts w:eastAsia="TimesNewRoman,Bold"/>
                <w:b/>
                <w:bCs/>
                <w:sz w:val="22"/>
                <w:szCs w:val="22"/>
                <w:lang w:val="lt-LT" w:eastAsia="en-US"/>
              </w:rPr>
            </w:pPr>
            <w:r w:rsidRPr="004509B9">
              <w:rPr>
                <w:rFonts w:eastAsia="TimesNewRoman,Bold"/>
                <w:b/>
                <w:bCs/>
                <w:sz w:val="22"/>
                <w:szCs w:val="22"/>
                <w:lang w:val="lt-LT" w:eastAsia="en-US"/>
              </w:rPr>
              <w:t>Pogimdyminis</w:t>
            </w:r>
          </w:p>
          <w:p w14:paraId="52CBE3EE" w14:textId="77777777" w:rsidR="009F5848" w:rsidRPr="004509B9" w:rsidRDefault="009F5848" w:rsidP="009F5848">
            <w:pPr>
              <w:autoSpaceDE w:val="0"/>
              <w:autoSpaceDN w:val="0"/>
              <w:adjustRightInd w:val="0"/>
              <w:jc w:val="center"/>
              <w:rPr>
                <w:rFonts w:eastAsia="TimesNewRoman,Bold"/>
                <w:b/>
                <w:bCs/>
                <w:sz w:val="22"/>
                <w:szCs w:val="22"/>
                <w:lang w:val="lt-LT" w:eastAsia="en-US"/>
              </w:rPr>
            </w:pPr>
            <w:r w:rsidRPr="004509B9">
              <w:rPr>
                <w:rFonts w:eastAsia="TimesNewRoman,Bold"/>
                <w:b/>
                <w:bCs/>
                <w:sz w:val="22"/>
                <w:szCs w:val="22"/>
                <w:lang w:val="lt-LT" w:eastAsia="en-US"/>
              </w:rPr>
              <w:t>laikotarpis</w:t>
            </w:r>
          </w:p>
          <w:p w14:paraId="72F3FE98" w14:textId="77777777" w:rsidR="009F5848" w:rsidRPr="004509B9" w:rsidRDefault="009F5848" w:rsidP="009F5848">
            <w:pPr>
              <w:autoSpaceDE w:val="0"/>
              <w:autoSpaceDN w:val="0"/>
              <w:adjustRightInd w:val="0"/>
              <w:jc w:val="center"/>
              <w:rPr>
                <w:rFonts w:eastAsia="Times New Roman"/>
                <w:b/>
                <w:sz w:val="22"/>
                <w:lang w:val="lt-LT" w:eastAsia="en-US"/>
              </w:rPr>
            </w:pPr>
            <w:r w:rsidRPr="004509B9">
              <w:rPr>
                <w:rFonts w:eastAsia="TimesNewRoman,Bold"/>
                <w:b/>
                <w:bCs/>
                <w:sz w:val="22"/>
                <w:szCs w:val="22"/>
                <w:lang w:val="lt-LT" w:eastAsia="en-US"/>
              </w:rPr>
              <w:t>(6-12 savaičių) (n=11)</w:t>
            </w:r>
          </w:p>
        </w:tc>
      </w:tr>
      <w:tr w:rsidR="009F5848" w:rsidRPr="00C75EC3" w14:paraId="41ABB83F" w14:textId="77777777" w:rsidTr="009F5848">
        <w:trPr>
          <w:trHeight w:hRule="exact" w:val="264"/>
        </w:trPr>
        <w:tc>
          <w:tcPr>
            <w:tcW w:w="2270" w:type="dxa"/>
            <w:tcBorders>
              <w:top w:val="single" w:sz="4" w:space="0" w:color="000000"/>
              <w:left w:val="single" w:sz="4" w:space="0" w:color="000000"/>
              <w:bottom w:val="single" w:sz="4" w:space="0" w:color="000000"/>
              <w:right w:val="single" w:sz="4" w:space="0" w:color="000000"/>
            </w:tcBorders>
            <w:hideMark/>
          </w:tcPr>
          <w:p w14:paraId="2B79E8AC" w14:textId="77777777" w:rsidR="009F5848" w:rsidRPr="004509B9" w:rsidRDefault="009F5848" w:rsidP="009F5848">
            <w:pPr>
              <w:tabs>
                <w:tab w:val="left" w:pos="567"/>
              </w:tabs>
              <w:spacing w:line="260" w:lineRule="exact"/>
              <w:jc w:val="center"/>
              <w:rPr>
                <w:rFonts w:eastAsia="Times New Roman"/>
                <w:sz w:val="22"/>
                <w:lang w:val="lt-LT" w:eastAsia="en-US"/>
              </w:rPr>
            </w:pPr>
            <w:r w:rsidRPr="004509B9">
              <w:rPr>
                <w:rFonts w:eastAsia="Times New Roman"/>
                <w:sz w:val="22"/>
                <w:lang w:val="lt-LT" w:eastAsia="en-US"/>
              </w:rPr>
              <w:t>C</w:t>
            </w:r>
            <w:r w:rsidRPr="004509B9">
              <w:rPr>
                <w:rFonts w:eastAsia="Times New Roman"/>
                <w:sz w:val="22"/>
                <w:vertAlign w:val="subscript"/>
                <w:lang w:val="lt-LT" w:eastAsia="en-US"/>
              </w:rPr>
              <w:t>max</w:t>
            </w:r>
            <w:r w:rsidRPr="004509B9">
              <w:rPr>
                <w:rFonts w:eastAsia="Times New Roman"/>
                <w:sz w:val="22"/>
                <w:lang w:val="lt-LT" w:eastAsia="en-US"/>
              </w:rPr>
              <w:t>, ng/ml</w:t>
            </w:r>
          </w:p>
        </w:tc>
        <w:tc>
          <w:tcPr>
            <w:tcW w:w="2303" w:type="dxa"/>
            <w:tcBorders>
              <w:top w:val="single" w:sz="4" w:space="0" w:color="000000"/>
              <w:left w:val="single" w:sz="4" w:space="0" w:color="000000"/>
              <w:bottom w:val="single" w:sz="4" w:space="0" w:color="000000"/>
              <w:right w:val="single" w:sz="4" w:space="0" w:color="000000"/>
            </w:tcBorders>
            <w:hideMark/>
          </w:tcPr>
          <w:p w14:paraId="7EDFD4C3" w14:textId="77777777" w:rsidR="009F5848" w:rsidRPr="004509B9" w:rsidRDefault="009F5848" w:rsidP="009F5848">
            <w:pPr>
              <w:tabs>
                <w:tab w:val="left" w:pos="567"/>
              </w:tabs>
              <w:spacing w:line="260" w:lineRule="exact"/>
              <w:jc w:val="center"/>
              <w:rPr>
                <w:rFonts w:eastAsia="Times New Roman"/>
                <w:sz w:val="22"/>
                <w:lang w:val="lt-LT" w:eastAsia="en-US"/>
              </w:rPr>
            </w:pPr>
            <w:r w:rsidRPr="004509B9">
              <w:rPr>
                <w:rFonts w:eastAsia="Times New Roman"/>
                <w:sz w:val="22"/>
                <w:lang w:val="lt-LT" w:eastAsia="en-US"/>
              </w:rPr>
              <w:t>4,601 ± 1,125</w:t>
            </w:r>
          </w:p>
        </w:tc>
        <w:tc>
          <w:tcPr>
            <w:tcW w:w="2233" w:type="dxa"/>
            <w:tcBorders>
              <w:top w:val="single" w:sz="4" w:space="0" w:color="000000"/>
              <w:left w:val="single" w:sz="4" w:space="0" w:color="000000"/>
              <w:bottom w:val="single" w:sz="4" w:space="0" w:color="000000"/>
              <w:right w:val="single" w:sz="4" w:space="0" w:color="000000"/>
            </w:tcBorders>
            <w:hideMark/>
          </w:tcPr>
          <w:p w14:paraId="6BF24B93" w14:textId="77777777" w:rsidR="009F5848" w:rsidRPr="004509B9" w:rsidRDefault="009F5848" w:rsidP="009F5848">
            <w:pPr>
              <w:tabs>
                <w:tab w:val="left" w:pos="567"/>
              </w:tabs>
              <w:spacing w:line="260" w:lineRule="exact"/>
              <w:jc w:val="center"/>
              <w:rPr>
                <w:rFonts w:eastAsia="Times New Roman"/>
                <w:sz w:val="22"/>
                <w:lang w:val="lt-LT" w:eastAsia="en-US"/>
              </w:rPr>
            </w:pPr>
            <w:r w:rsidRPr="004509B9">
              <w:rPr>
                <w:rFonts w:eastAsia="Times New Roman"/>
                <w:sz w:val="22"/>
                <w:lang w:val="lt-LT" w:eastAsia="en-US"/>
              </w:rPr>
              <w:t>5,111 ± 1,517</w:t>
            </w:r>
          </w:p>
        </w:tc>
        <w:tc>
          <w:tcPr>
            <w:tcW w:w="2268" w:type="dxa"/>
            <w:tcBorders>
              <w:top w:val="single" w:sz="4" w:space="0" w:color="000000"/>
              <w:left w:val="single" w:sz="4" w:space="0" w:color="000000"/>
              <w:bottom w:val="single" w:sz="4" w:space="0" w:color="000000"/>
              <w:right w:val="single" w:sz="4" w:space="0" w:color="000000"/>
            </w:tcBorders>
            <w:hideMark/>
          </w:tcPr>
          <w:p w14:paraId="494A47A7" w14:textId="77777777" w:rsidR="009F5848" w:rsidRPr="004509B9" w:rsidRDefault="009F5848" w:rsidP="009F5848">
            <w:pPr>
              <w:tabs>
                <w:tab w:val="left" w:pos="567"/>
              </w:tabs>
              <w:spacing w:line="260" w:lineRule="exact"/>
              <w:jc w:val="center"/>
              <w:rPr>
                <w:rFonts w:eastAsia="Times New Roman"/>
                <w:sz w:val="22"/>
                <w:lang w:val="lt-LT" w:eastAsia="en-US"/>
              </w:rPr>
            </w:pPr>
            <w:r w:rsidRPr="004509B9">
              <w:rPr>
                <w:rFonts w:eastAsia="Times New Roman"/>
                <w:sz w:val="22"/>
                <w:lang w:val="lt-LT" w:eastAsia="en-US"/>
              </w:rPr>
              <w:t>6,499 ± 2,411</w:t>
            </w:r>
          </w:p>
        </w:tc>
      </w:tr>
      <w:tr w:rsidR="009F5848" w:rsidRPr="00C75EC3" w14:paraId="51C80C57" w14:textId="77777777" w:rsidTr="009F5848">
        <w:trPr>
          <w:trHeight w:hRule="exact" w:val="264"/>
        </w:trPr>
        <w:tc>
          <w:tcPr>
            <w:tcW w:w="2270" w:type="dxa"/>
            <w:tcBorders>
              <w:top w:val="single" w:sz="4" w:space="0" w:color="000000"/>
              <w:left w:val="single" w:sz="4" w:space="0" w:color="000000"/>
              <w:bottom w:val="single" w:sz="4" w:space="0" w:color="000000"/>
              <w:right w:val="single" w:sz="4" w:space="0" w:color="000000"/>
            </w:tcBorders>
            <w:hideMark/>
          </w:tcPr>
          <w:p w14:paraId="73C815E9" w14:textId="77777777" w:rsidR="009F5848" w:rsidRPr="004509B9" w:rsidRDefault="009F5848" w:rsidP="009F5848">
            <w:pPr>
              <w:tabs>
                <w:tab w:val="left" w:pos="567"/>
              </w:tabs>
              <w:spacing w:line="260" w:lineRule="exact"/>
              <w:jc w:val="center"/>
              <w:rPr>
                <w:rFonts w:eastAsia="Times New Roman"/>
                <w:sz w:val="22"/>
                <w:lang w:val="lt-LT" w:eastAsia="en-US"/>
              </w:rPr>
            </w:pPr>
            <w:r w:rsidRPr="004509B9">
              <w:rPr>
                <w:rFonts w:eastAsia="Times New Roman"/>
                <w:sz w:val="22"/>
                <w:lang w:val="lt-LT" w:eastAsia="en-US"/>
              </w:rPr>
              <w:t>AUC</w:t>
            </w:r>
            <w:r w:rsidRPr="004509B9">
              <w:rPr>
                <w:rFonts w:eastAsia="Times New Roman"/>
                <w:sz w:val="22"/>
                <w:vertAlign w:val="subscript"/>
                <w:lang w:val="lt-LT" w:eastAsia="en-US"/>
              </w:rPr>
              <w:t>12h</w:t>
            </w:r>
            <w:r w:rsidRPr="004509B9">
              <w:rPr>
                <w:rFonts w:eastAsia="Times New Roman"/>
                <w:sz w:val="22"/>
                <w:lang w:val="lt-LT" w:eastAsia="en-US"/>
              </w:rPr>
              <w:t>, ng.h/ml</w:t>
            </w:r>
          </w:p>
        </w:tc>
        <w:tc>
          <w:tcPr>
            <w:tcW w:w="2303" w:type="dxa"/>
            <w:tcBorders>
              <w:top w:val="single" w:sz="4" w:space="0" w:color="000000"/>
              <w:left w:val="single" w:sz="4" w:space="0" w:color="000000"/>
              <w:bottom w:val="single" w:sz="4" w:space="0" w:color="000000"/>
              <w:right w:val="single" w:sz="4" w:space="0" w:color="000000"/>
            </w:tcBorders>
            <w:hideMark/>
          </w:tcPr>
          <w:p w14:paraId="5DFD815B" w14:textId="77777777" w:rsidR="009F5848" w:rsidRPr="004509B9" w:rsidRDefault="009F5848" w:rsidP="009F5848">
            <w:pPr>
              <w:tabs>
                <w:tab w:val="left" w:pos="567"/>
              </w:tabs>
              <w:spacing w:line="260" w:lineRule="exact"/>
              <w:jc w:val="center"/>
              <w:rPr>
                <w:rFonts w:eastAsia="Times New Roman"/>
                <w:sz w:val="22"/>
                <w:lang w:val="lt-LT" w:eastAsia="en-US"/>
              </w:rPr>
            </w:pPr>
            <w:r w:rsidRPr="004509B9">
              <w:rPr>
                <w:rFonts w:eastAsia="Times New Roman"/>
                <w:sz w:val="22"/>
                <w:lang w:val="lt-LT" w:eastAsia="en-US"/>
              </w:rPr>
              <w:t>38,950 ± 10,010</w:t>
            </w:r>
          </w:p>
        </w:tc>
        <w:tc>
          <w:tcPr>
            <w:tcW w:w="2233" w:type="dxa"/>
            <w:tcBorders>
              <w:top w:val="single" w:sz="4" w:space="0" w:color="000000"/>
              <w:left w:val="single" w:sz="4" w:space="0" w:color="000000"/>
              <w:bottom w:val="single" w:sz="4" w:space="0" w:color="000000"/>
              <w:right w:val="single" w:sz="4" w:space="0" w:color="000000"/>
            </w:tcBorders>
            <w:hideMark/>
          </w:tcPr>
          <w:p w14:paraId="615867AF" w14:textId="77777777" w:rsidR="009F5848" w:rsidRPr="004509B9" w:rsidRDefault="009F5848" w:rsidP="009F5848">
            <w:pPr>
              <w:tabs>
                <w:tab w:val="left" w:pos="567"/>
              </w:tabs>
              <w:spacing w:line="260" w:lineRule="exact"/>
              <w:jc w:val="center"/>
              <w:rPr>
                <w:rFonts w:eastAsia="Times New Roman"/>
                <w:sz w:val="22"/>
                <w:lang w:val="lt-LT" w:eastAsia="en-US"/>
              </w:rPr>
            </w:pPr>
            <w:r w:rsidRPr="004509B9">
              <w:rPr>
                <w:rFonts w:eastAsia="Times New Roman"/>
                <w:sz w:val="22"/>
                <w:lang w:val="lt-LT" w:eastAsia="en-US"/>
              </w:rPr>
              <w:t>43,700 ± 16,400</w:t>
            </w:r>
          </w:p>
        </w:tc>
        <w:tc>
          <w:tcPr>
            <w:tcW w:w="2268" w:type="dxa"/>
            <w:tcBorders>
              <w:top w:val="single" w:sz="4" w:space="0" w:color="000000"/>
              <w:left w:val="single" w:sz="4" w:space="0" w:color="000000"/>
              <w:bottom w:val="single" w:sz="4" w:space="0" w:color="000000"/>
              <w:right w:val="single" w:sz="4" w:space="0" w:color="000000"/>
            </w:tcBorders>
            <w:hideMark/>
          </w:tcPr>
          <w:p w14:paraId="178E866F" w14:textId="77777777" w:rsidR="009F5848" w:rsidRPr="004509B9" w:rsidRDefault="009F5848" w:rsidP="009F5848">
            <w:pPr>
              <w:tabs>
                <w:tab w:val="left" w:pos="567"/>
              </w:tabs>
              <w:spacing w:line="260" w:lineRule="exact"/>
              <w:jc w:val="center"/>
              <w:rPr>
                <w:rFonts w:eastAsia="Times New Roman"/>
                <w:sz w:val="22"/>
                <w:lang w:val="lt-LT" w:eastAsia="en-US"/>
              </w:rPr>
            </w:pPr>
            <w:r w:rsidRPr="004509B9">
              <w:rPr>
                <w:rFonts w:eastAsia="Times New Roman"/>
                <w:sz w:val="22"/>
                <w:lang w:val="lt-LT" w:eastAsia="en-US"/>
              </w:rPr>
              <w:t>55,300 ± 27,020</w:t>
            </w:r>
          </w:p>
        </w:tc>
      </w:tr>
      <w:tr w:rsidR="009F5848" w:rsidRPr="00C75EC3" w14:paraId="59A4496B" w14:textId="77777777" w:rsidTr="009F5848">
        <w:trPr>
          <w:trHeight w:hRule="exact" w:val="262"/>
        </w:trPr>
        <w:tc>
          <w:tcPr>
            <w:tcW w:w="2270" w:type="dxa"/>
            <w:tcBorders>
              <w:top w:val="single" w:sz="4" w:space="0" w:color="000000"/>
              <w:left w:val="single" w:sz="4" w:space="0" w:color="000000"/>
              <w:bottom w:val="single" w:sz="4" w:space="0" w:color="000000"/>
              <w:right w:val="single" w:sz="4" w:space="0" w:color="000000"/>
            </w:tcBorders>
            <w:hideMark/>
          </w:tcPr>
          <w:p w14:paraId="028E5268" w14:textId="77777777" w:rsidR="009F5848" w:rsidRPr="004509B9" w:rsidRDefault="009F5848" w:rsidP="009F5848">
            <w:pPr>
              <w:tabs>
                <w:tab w:val="left" w:pos="567"/>
              </w:tabs>
              <w:spacing w:line="260" w:lineRule="exact"/>
              <w:jc w:val="center"/>
              <w:rPr>
                <w:rFonts w:eastAsia="Times New Roman"/>
                <w:sz w:val="22"/>
                <w:lang w:val="lt-LT" w:eastAsia="en-US"/>
              </w:rPr>
            </w:pPr>
            <w:r w:rsidRPr="004509B9">
              <w:rPr>
                <w:rFonts w:eastAsia="Times New Roman"/>
                <w:sz w:val="22"/>
                <w:lang w:val="lt-LT" w:eastAsia="en-US"/>
              </w:rPr>
              <w:t>C</w:t>
            </w:r>
            <w:r w:rsidRPr="004509B9">
              <w:rPr>
                <w:rFonts w:eastAsia="Times New Roman"/>
                <w:sz w:val="22"/>
                <w:vertAlign w:val="subscript"/>
                <w:lang w:val="lt-LT" w:eastAsia="en-US"/>
              </w:rPr>
              <w:t>min</w:t>
            </w:r>
            <w:r w:rsidRPr="004509B9">
              <w:rPr>
                <w:rFonts w:eastAsia="Times New Roman"/>
                <w:sz w:val="22"/>
                <w:lang w:val="lt-LT" w:eastAsia="en-US"/>
              </w:rPr>
              <w:t>, ng/ml</w:t>
            </w:r>
            <w:r w:rsidRPr="004509B9">
              <w:rPr>
                <w:rFonts w:eastAsia="Times New Roman"/>
                <w:sz w:val="22"/>
                <w:vertAlign w:val="superscript"/>
                <w:lang w:val="lt-LT" w:eastAsia="en-US"/>
              </w:rPr>
              <w:t>b</w:t>
            </w:r>
          </w:p>
        </w:tc>
        <w:tc>
          <w:tcPr>
            <w:tcW w:w="2303" w:type="dxa"/>
            <w:tcBorders>
              <w:top w:val="single" w:sz="4" w:space="0" w:color="000000"/>
              <w:left w:val="single" w:sz="4" w:space="0" w:color="000000"/>
              <w:bottom w:val="single" w:sz="4" w:space="0" w:color="000000"/>
              <w:right w:val="single" w:sz="4" w:space="0" w:color="000000"/>
            </w:tcBorders>
            <w:hideMark/>
          </w:tcPr>
          <w:p w14:paraId="28FC095E" w14:textId="77777777" w:rsidR="009F5848" w:rsidRPr="004509B9" w:rsidRDefault="009F5848" w:rsidP="009F5848">
            <w:pPr>
              <w:tabs>
                <w:tab w:val="left" w:pos="567"/>
              </w:tabs>
              <w:spacing w:line="260" w:lineRule="exact"/>
              <w:jc w:val="center"/>
              <w:rPr>
                <w:rFonts w:eastAsia="Times New Roman"/>
                <w:sz w:val="22"/>
                <w:lang w:val="lt-LT" w:eastAsia="en-US"/>
              </w:rPr>
            </w:pPr>
            <w:r w:rsidRPr="004509B9">
              <w:rPr>
                <w:rFonts w:eastAsia="Times New Roman"/>
                <w:sz w:val="22"/>
                <w:lang w:val="lt-LT" w:eastAsia="en-US"/>
              </w:rPr>
              <w:t>1,980 ± 839.9</w:t>
            </w:r>
          </w:p>
        </w:tc>
        <w:tc>
          <w:tcPr>
            <w:tcW w:w="2233" w:type="dxa"/>
            <w:tcBorders>
              <w:top w:val="single" w:sz="4" w:space="0" w:color="000000"/>
              <w:left w:val="single" w:sz="4" w:space="0" w:color="000000"/>
              <w:bottom w:val="single" w:sz="4" w:space="0" w:color="000000"/>
              <w:right w:val="single" w:sz="4" w:space="0" w:color="000000"/>
            </w:tcBorders>
            <w:hideMark/>
          </w:tcPr>
          <w:p w14:paraId="68002DB8" w14:textId="77777777" w:rsidR="009F5848" w:rsidRPr="004509B9" w:rsidRDefault="009F5848" w:rsidP="009F5848">
            <w:pPr>
              <w:tabs>
                <w:tab w:val="left" w:pos="567"/>
              </w:tabs>
              <w:spacing w:line="260" w:lineRule="exact"/>
              <w:jc w:val="center"/>
              <w:rPr>
                <w:rFonts w:eastAsia="Times New Roman"/>
                <w:sz w:val="22"/>
                <w:lang w:val="lt-LT" w:eastAsia="en-US"/>
              </w:rPr>
            </w:pPr>
            <w:r w:rsidRPr="004509B9">
              <w:rPr>
                <w:rFonts w:eastAsia="Times New Roman"/>
                <w:sz w:val="22"/>
                <w:lang w:val="lt-LT" w:eastAsia="en-US"/>
              </w:rPr>
              <w:t>2,498 ± 1,193</w:t>
            </w:r>
          </w:p>
        </w:tc>
        <w:tc>
          <w:tcPr>
            <w:tcW w:w="2268" w:type="dxa"/>
            <w:tcBorders>
              <w:top w:val="single" w:sz="4" w:space="0" w:color="000000"/>
              <w:left w:val="single" w:sz="4" w:space="0" w:color="000000"/>
              <w:bottom w:val="single" w:sz="4" w:space="0" w:color="000000"/>
              <w:right w:val="single" w:sz="4" w:space="0" w:color="000000"/>
            </w:tcBorders>
            <w:hideMark/>
          </w:tcPr>
          <w:p w14:paraId="69E6E321" w14:textId="77777777" w:rsidR="009F5848" w:rsidRPr="004509B9" w:rsidRDefault="009F5848" w:rsidP="009F5848">
            <w:pPr>
              <w:tabs>
                <w:tab w:val="left" w:pos="567"/>
              </w:tabs>
              <w:spacing w:line="260" w:lineRule="exact"/>
              <w:jc w:val="center"/>
              <w:rPr>
                <w:rFonts w:eastAsia="Times New Roman"/>
                <w:sz w:val="22"/>
                <w:lang w:val="lt-LT" w:eastAsia="en-US"/>
              </w:rPr>
            </w:pPr>
            <w:r w:rsidRPr="004509B9">
              <w:rPr>
                <w:rFonts w:eastAsia="Times New Roman"/>
                <w:sz w:val="22"/>
                <w:lang w:val="lt-LT" w:eastAsia="en-US"/>
              </w:rPr>
              <w:t>2,711 ± 2,268</w:t>
            </w:r>
          </w:p>
        </w:tc>
      </w:tr>
    </w:tbl>
    <w:p w14:paraId="0EA1854F" w14:textId="77777777" w:rsidR="009F5848" w:rsidRPr="004509B9" w:rsidRDefault="009F5848" w:rsidP="009F5848">
      <w:pPr>
        <w:autoSpaceDE w:val="0"/>
        <w:autoSpaceDN w:val="0"/>
        <w:adjustRightInd w:val="0"/>
        <w:rPr>
          <w:rFonts w:eastAsia="TimesNewRoman"/>
          <w:sz w:val="12"/>
          <w:szCs w:val="12"/>
          <w:lang w:val="lt-LT" w:eastAsia="en-US"/>
        </w:rPr>
      </w:pPr>
      <w:r w:rsidRPr="004509B9">
        <w:rPr>
          <w:rFonts w:eastAsia="TimesNewRoman"/>
          <w:sz w:val="18"/>
          <w:szCs w:val="18"/>
          <w:vertAlign w:val="superscript"/>
          <w:lang w:val="lt-LT" w:eastAsia="en-US"/>
        </w:rPr>
        <w:t xml:space="preserve">a </w:t>
      </w:r>
      <w:r w:rsidRPr="004509B9">
        <w:rPr>
          <w:rFonts w:eastAsia="TimesNewRoman"/>
          <w:sz w:val="18"/>
          <w:szCs w:val="18"/>
          <w:lang w:val="lt-LT" w:eastAsia="en-US"/>
        </w:rPr>
        <w:t>n=10, įvertinat AUC</w:t>
      </w:r>
      <w:r w:rsidRPr="004509B9">
        <w:rPr>
          <w:rFonts w:eastAsia="TimesNewRoman"/>
          <w:sz w:val="12"/>
          <w:szCs w:val="12"/>
          <w:lang w:val="lt-LT" w:eastAsia="en-US"/>
        </w:rPr>
        <w:t>12 val.</w:t>
      </w:r>
    </w:p>
    <w:p w14:paraId="6583EFB4" w14:textId="77777777" w:rsidR="009F5848" w:rsidRPr="004509B9" w:rsidRDefault="009F5848" w:rsidP="009F5848">
      <w:pPr>
        <w:autoSpaceDE w:val="0"/>
        <w:autoSpaceDN w:val="0"/>
        <w:adjustRightInd w:val="0"/>
        <w:rPr>
          <w:rFonts w:eastAsia="Times New Roman"/>
          <w:b/>
          <w:sz w:val="22"/>
          <w:lang w:val="lt-LT" w:eastAsia="en-US"/>
        </w:rPr>
      </w:pPr>
      <w:r w:rsidRPr="004509B9">
        <w:rPr>
          <w:rFonts w:eastAsia="TimesNewRoman"/>
          <w:sz w:val="18"/>
          <w:szCs w:val="18"/>
          <w:vertAlign w:val="superscript"/>
          <w:lang w:val="lt-LT" w:eastAsia="en-US"/>
        </w:rPr>
        <w:t>b</w:t>
      </w:r>
      <w:r w:rsidRPr="004509B9">
        <w:rPr>
          <w:rFonts w:eastAsia="TimesNewRoman"/>
          <w:sz w:val="14"/>
          <w:szCs w:val="14"/>
          <w:lang w:val="lt-LT" w:eastAsia="en-US"/>
        </w:rPr>
        <w:t xml:space="preserve"> </w:t>
      </w:r>
      <w:r w:rsidRPr="004509B9">
        <w:rPr>
          <w:rFonts w:eastAsia="TimesNewRoman"/>
          <w:sz w:val="18"/>
          <w:szCs w:val="18"/>
          <w:lang w:val="lt-LT" w:eastAsia="en-US"/>
        </w:rPr>
        <w:t xml:space="preserve">Išskyrus </w:t>
      </w:r>
      <w:r w:rsidRPr="004509B9">
        <w:rPr>
          <w:rFonts w:eastAsia="TimesNewRoman"/>
          <w:i/>
          <w:iCs/>
          <w:sz w:val="18"/>
          <w:szCs w:val="18"/>
          <w:lang w:val="lt-LT" w:eastAsia="en-US"/>
        </w:rPr>
        <w:t>C</w:t>
      </w:r>
      <w:r w:rsidRPr="004509B9">
        <w:rPr>
          <w:rFonts w:eastAsia="TimesNewRoman"/>
          <w:i/>
          <w:iCs/>
          <w:sz w:val="12"/>
          <w:szCs w:val="12"/>
          <w:lang w:val="lt-LT" w:eastAsia="en-US"/>
        </w:rPr>
        <w:t xml:space="preserve">min </w:t>
      </w:r>
      <w:r w:rsidRPr="004509B9">
        <w:rPr>
          <w:rFonts w:eastAsia="TimesNewRoman"/>
          <w:sz w:val="18"/>
          <w:szCs w:val="18"/>
          <w:lang w:val="lt-LT" w:eastAsia="en-US"/>
        </w:rPr>
        <w:t xml:space="preserve">rodmenį, kuris yra mažesnis už apatinę kiekybinio nustatymo ribą (angl.: </w:t>
      </w:r>
      <w:r w:rsidRPr="004509B9">
        <w:rPr>
          <w:rFonts w:eastAsia="TimesNewRoman"/>
          <w:i/>
          <w:iCs/>
          <w:sz w:val="18"/>
          <w:szCs w:val="18"/>
          <w:lang w:val="lt-LT" w:eastAsia="en-US"/>
        </w:rPr>
        <w:t>lower limit of quantification [LLOQ]</w:t>
      </w:r>
      <w:r w:rsidRPr="004509B9">
        <w:rPr>
          <w:rFonts w:eastAsia="TimesNewRoman"/>
          <w:sz w:val="18"/>
          <w:szCs w:val="18"/>
          <w:lang w:val="lt-LT" w:eastAsia="en-US"/>
        </w:rPr>
        <w:t>), n = 10 nuorodai.</w:t>
      </w:r>
    </w:p>
    <w:p w14:paraId="118FBB96" w14:textId="77777777" w:rsidR="009F5848" w:rsidRPr="004509B9" w:rsidRDefault="009F5848" w:rsidP="009F5848">
      <w:pPr>
        <w:autoSpaceDE w:val="0"/>
        <w:autoSpaceDN w:val="0"/>
        <w:adjustRightInd w:val="0"/>
        <w:rPr>
          <w:rFonts w:eastAsia="TimesNewRoman"/>
          <w:sz w:val="22"/>
          <w:szCs w:val="22"/>
          <w:lang w:val="lt-LT" w:eastAsia="en-US"/>
        </w:rPr>
      </w:pPr>
    </w:p>
    <w:p w14:paraId="521C323F" w14:textId="77777777" w:rsidR="009F5848" w:rsidRPr="004509B9" w:rsidRDefault="009F5848" w:rsidP="009F5848">
      <w:pPr>
        <w:autoSpaceDE w:val="0"/>
        <w:autoSpaceDN w:val="0"/>
        <w:adjustRightInd w:val="0"/>
        <w:rPr>
          <w:rFonts w:eastAsia="TimesNewRoman"/>
          <w:sz w:val="22"/>
          <w:szCs w:val="22"/>
          <w:lang w:val="lt-LT" w:eastAsia="en-US"/>
        </w:rPr>
      </w:pPr>
    </w:p>
    <w:tbl>
      <w:tblPr>
        <w:tblW w:w="0" w:type="auto"/>
        <w:tblInd w:w="110" w:type="dxa"/>
        <w:tblLayout w:type="fixed"/>
        <w:tblCellMar>
          <w:left w:w="0" w:type="dxa"/>
          <w:right w:w="0" w:type="dxa"/>
        </w:tblCellMar>
        <w:tblLook w:val="04A0" w:firstRow="1" w:lastRow="0" w:firstColumn="1" w:lastColumn="0" w:noHBand="0" w:noVBand="1"/>
      </w:tblPr>
      <w:tblGrid>
        <w:gridCol w:w="2270"/>
        <w:gridCol w:w="2268"/>
        <w:gridCol w:w="2268"/>
        <w:gridCol w:w="2268"/>
      </w:tblGrid>
      <w:tr w:rsidR="009F5848" w:rsidRPr="00C75EC3" w14:paraId="5A6FDC8A" w14:textId="77777777" w:rsidTr="009F5848">
        <w:trPr>
          <w:trHeight w:val="770"/>
        </w:trPr>
        <w:tc>
          <w:tcPr>
            <w:tcW w:w="9074" w:type="dxa"/>
            <w:gridSpan w:val="4"/>
            <w:tcBorders>
              <w:top w:val="single" w:sz="4" w:space="0" w:color="000000"/>
              <w:left w:val="single" w:sz="4" w:space="0" w:color="000000"/>
              <w:bottom w:val="single" w:sz="4" w:space="0" w:color="000000"/>
              <w:right w:val="single" w:sz="4" w:space="0" w:color="000000"/>
            </w:tcBorders>
            <w:hideMark/>
          </w:tcPr>
          <w:p w14:paraId="1EC0830A" w14:textId="77777777" w:rsidR="009F5848" w:rsidRPr="004509B9" w:rsidRDefault="009F5848" w:rsidP="009F5848">
            <w:pPr>
              <w:autoSpaceDE w:val="0"/>
              <w:autoSpaceDN w:val="0"/>
              <w:adjustRightInd w:val="0"/>
              <w:jc w:val="center"/>
              <w:rPr>
                <w:rFonts w:eastAsia="Times New Roman"/>
                <w:b/>
                <w:sz w:val="22"/>
                <w:lang w:val="lt-LT" w:eastAsia="en-US"/>
              </w:rPr>
            </w:pPr>
            <w:r w:rsidRPr="004509B9">
              <w:rPr>
                <w:rFonts w:eastAsia="TimesNewRoman,Bold"/>
                <w:b/>
                <w:bCs/>
                <w:sz w:val="22"/>
                <w:szCs w:val="22"/>
                <w:lang w:val="lt-LT" w:eastAsia="en-US"/>
              </w:rPr>
              <w:t>Bendrojo darunaviro farmakokinetiniai rodmenys vartojant 800/100 mg darunaviro/ritonaviro dozę vieną kartą per parą kartu su kitais vaistiniais preparatais pagal antiretrovirusinio gydymo planą antrąjį nėštumo trimestrą, trečiąjį nėštumo trimestrą ir pogimdyminiu laikotarpiu</w:t>
            </w:r>
          </w:p>
        </w:tc>
      </w:tr>
      <w:tr w:rsidR="009F5848" w:rsidRPr="00C75EC3" w14:paraId="25B74D0D" w14:textId="77777777" w:rsidTr="009F5848">
        <w:trPr>
          <w:trHeight w:hRule="exact" w:val="768"/>
        </w:trPr>
        <w:tc>
          <w:tcPr>
            <w:tcW w:w="2270" w:type="dxa"/>
            <w:tcBorders>
              <w:top w:val="single" w:sz="4" w:space="0" w:color="000000"/>
              <w:left w:val="single" w:sz="4" w:space="0" w:color="000000"/>
              <w:bottom w:val="single" w:sz="4" w:space="0" w:color="000000"/>
              <w:right w:val="single" w:sz="4" w:space="0" w:color="000000"/>
            </w:tcBorders>
            <w:hideMark/>
          </w:tcPr>
          <w:p w14:paraId="106C8608" w14:textId="77777777" w:rsidR="009F5848" w:rsidRPr="004509B9" w:rsidRDefault="009F5848" w:rsidP="009F5848">
            <w:pPr>
              <w:autoSpaceDE w:val="0"/>
              <w:autoSpaceDN w:val="0"/>
              <w:adjustRightInd w:val="0"/>
              <w:rPr>
                <w:rFonts w:eastAsia="TimesNewRoman,Bold"/>
                <w:b/>
                <w:bCs/>
                <w:sz w:val="22"/>
                <w:szCs w:val="22"/>
                <w:lang w:val="lt-LT" w:eastAsia="en-US"/>
              </w:rPr>
            </w:pPr>
            <w:r w:rsidRPr="004509B9">
              <w:rPr>
                <w:rFonts w:eastAsia="TimesNewRoman,Bold"/>
                <w:b/>
                <w:bCs/>
                <w:sz w:val="22"/>
                <w:szCs w:val="22"/>
                <w:lang w:val="lt-LT" w:eastAsia="en-US"/>
              </w:rPr>
              <w:t>Bendrojo darunaviro</w:t>
            </w:r>
          </w:p>
          <w:p w14:paraId="2E5EA9F6" w14:textId="77777777" w:rsidR="009F5848" w:rsidRPr="004509B9" w:rsidRDefault="009F5848" w:rsidP="009F5848">
            <w:pPr>
              <w:autoSpaceDE w:val="0"/>
              <w:autoSpaceDN w:val="0"/>
              <w:adjustRightInd w:val="0"/>
              <w:rPr>
                <w:rFonts w:eastAsia="TimesNewRoman,Bold"/>
                <w:b/>
                <w:bCs/>
                <w:sz w:val="22"/>
                <w:szCs w:val="22"/>
                <w:lang w:val="lt-LT" w:eastAsia="en-US"/>
              </w:rPr>
            </w:pPr>
            <w:r w:rsidRPr="004509B9">
              <w:rPr>
                <w:rFonts w:eastAsia="TimesNewRoman,Bold"/>
                <w:b/>
                <w:bCs/>
                <w:sz w:val="22"/>
                <w:szCs w:val="22"/>
                <w:lang w:val="lt-LT" w:eastAsia="en-US"/>
              </w:rPr>
              <w:t>farmakokinetika</w:t>
            </w:r>
          </w:p>
          <w:p w14:paraId="00AB2008" w14:textId="77777777" w:rsidR="009F5848" w:rsidRPr="004509B9" w:rsidRDefault="009F5848" w:rsidP="009F5848">
            <w:pPr>
              <w:tabs>
                <w:tab w:val="left" w:pos="567"/>
              </w:tabs>
              <w:spacing w:line="260" w:lineRule="exact"/>
              <w:jc w:val="center"/>
              <w:rPr>
                <w:rFonts w:eastAsia="Times New Roman"/>
                <w:b/>
                <w:sz w:val="22"/>
                <w:lang w:val="lt-LT" w:eastAsia="en-US"/>
              </w:rPr>
            </w:pPr>
            <w:r w:rsidRPr="004509B9">
              <w:rPr>
                <w:rFonts w:eastAsia="TimesNewRoman"/>
                <w:sz w:val="22"/>
                <w:szCs w:val="22"/>
                <w:lang w:val="lt-LT" w:eastAsia="en-US"/>
              </w:rPr>
              <w:t>(vidutinis rodmuo ± SN)</w:t>
            </w:r>
          </w:p>
        </w:tc>
        <w:tc>
          <w:tcPr>
            <w:tcW w:w="2268" w:type="dxa"/>
            <w:tcBorders>
              <w:top w:val="single" w:sz="4" w:space="0" w:color="000000"/>
              <w:left w:val="single" w:sz="4" w:space="0" w:color="000000"/>
              <w:bottom w:val="single" w:sz="4" w:space="0" w:color="000000"/>
              <w:right w:val="single" w:sz="4" w:space="0" w:color="000000"/>
            </w:tcBorders>
            <w:hideMark/>
          </w:tcPr>
          <w:p w14:paraId="3FF88855" w14:textId="77777777" w:rsidR="009F5848" w:rsidRPr="004509B9" w:rsidRDefault="009F5848" w:rsidP="009F5848">
            <w:pPr>
              <w:tabs>
                <w:tab w:val="left" w:pos="567"/>
              </w:tabs>
              <w:spacing w:line="260" w:lineRule="exact"/>
              <w:jc w:val="center"/>
              <w:rPr>
                <w:rFonts w:eastAsia="Times New Roman"/>
                <w:b/>
                <w:bCs/>
                <w:sz w:val="22"/>
                <w:lang w:val="lt-LT" w:eastAsia="en-US"/>
              </w:rPr>
            </w:pPr>
            <w:r w:rsidRPr="004509B9">
              <w:rPr>
                <w:rFonts w:eastAsia="Times New Roman"/>
                <w:b/>
                <w:bCs/>
                <w:sz w:val="22"/>
                <w:lang w:val="lt-LT" w:eastAsia="en-US"/>
              </w:rPr>
              <w:t>Antrasis nėštumo trimestras</w:t>
            </w:r>
          </w:p>
          <w:p w14:paraId="3C92EBEA" w14:textId="77777777" w:rsidR="009F5848" w:rsidRPr="004509B9" w:rsidRDefault="009F5848" w:rsidP="009F5848">
            <w:pPr>
              <w:tabs>
                <w:tab w:val="left" w:pos="567"/>
              </w:tabs>
              <w:spacing w:line="260" w:lineRule="exact"/>
              <w:jc w:val="center"/>
              <w:rPr>
                <w:rFonts w:eastAsia="Times New Roman"/>
                <w:b/>
                <w:sz w:val="22"/>
                <w:lang w:val="lt-LT" w:eastAsia="en-US"/>
              </w:rPr>
            </w:pPr>
            <w:r w:rsidRPr="004509B9">
              <w:rPr>
                <w:rFonts w:eastAsia="Times New Roman"/>
                <w:b/>
                <w:bCs/>
                <w:sz w:val="22"/>
                <w:lang w:val="lt-LT" w:eastAsia="en-US"/>
              </w:rPr>
              <w:t>(n=16)</w:t>
            </w:r>
          </w:p>
        </w:tc>
        <w:tc>
          <w:tcPr>
            <w:tcW w:w="2268" w:type="dxa"/>
            <w:tcBorders>
              <w:top w:val="single" w:sz="4" w:space="0" w:color="000000"/>
              <w:left w:val="single" w:sz="4" w:space="0" w:color="000000"/>
              <w:bottom w:val="single" w:sz="4" w:space="0" w:color="000000"/>
              <w:right w:val="single" w:sz="4" w:space="0" w:color="000000"/>
            </w:tcBorders>
            <w:hideMark/>
          </w:tcPr>
          <w:p w14:paraId="6B713670" w14:textId="77777777" w:rsidR="009F5848" w:rsidRPr="004509B9" w:rsidRDefault="009F5848" w:rsidP="009F5848">
            <w:pPr>
              <w:tabs>
                <w:tab w:val="left" w:pos="567"/>
              </w:tabs>
              <w:spacing w:line="260" w:lineRule="exact"/>
              <w:jc w:val="center"/>
              <w:rPr>
                <w:rFonts w:eastAsia="Times New Roman"/>
                <w:b/>
                <w:bCs/>
                <w:sz w:val="22"/>
                <w:lang w:val="lt-LT" w:eastAsia="en-US"/>
              </w:rPr>
            </w:pPr>
            <w:r w:rsidRPr="004509B9">
              <w:rPr>
                <w:rFonts w:eastAsia="Times New Roman"/>
                <w:b/>
                <w:bCs/>
                <w:sz w:val="22"/>
                <w:lang w:val="lt-LT" w:eastAsia="en-US"/>
              </w:rPr>
              <w:t xml:space="preserve">Trečiasis nėštumo trimestras </w:t>
            </w:r>
          </w:p>
          <w:p w14:paraId="71425CFF" w14:textId="77777777" w:rsidR="009F5848" w:rsidRPr="004509B9" w:rsidRDefault="009F5848" w:rsidP="009F5848">
            <w:pPr>
              <w:tabs>
                <w:tab w:val="left" w:pos="567"/>
              </w:tabs>
              <w:spacing w:line="260" w:lineRule="exact"/>
              <w:jc w:val="center"/>
              <w:rPr>
                <w:rFonts w:eastAsia="Times New Roman"/>
                <w:b/>
                <w:sz w:val="22"/>
                <w:lang w:val="lt-LT" w:eastAsia="en-US"/>
              </w:rPr>
            </w:pPr>
            <w:r w:rsidRPr="004509B9">
              <w:rPr>
                <w:rFonts w:eastAsia="Times New Roman"/>
                <w:b/>
                <w:bCs/>
                <w:sz w:val="22"/>
                <w:lang w:val="lt-LT" w:eastAsia="en-US"/>
              </w:rPr>
              <w:t>(n=14)</w:t>
            </w:r>
          </w:p>
        </w:tc>
        <w:tc>
          <w:tcPr>
            <w:tcW w:w="2268" w:type="dxa"/>
            <w:tcBorders>
              <w:top w:val="single" w:sz="4" w:space="0" w:color="000000"/>
              <w:left w:val="single" w:sz="4" w:space="0" w:color="000000"/>
              <w:bottom w:val="single" w:sz="4" w:space="0" w:color="000000"/>
              <w:right w:val="single" w:sz="4" w:space="0" w:color="000000"/>
            </w:tcBorders>
            <w:hideMark/>
          </w:tcPr>
          <w:p w14:paraId="19F69BA6" w14:textId="77777777" w:rsidR="009F5848" w:rsidRPr="004509B9" w:rsidRDefault="009F5848" w:rsidP="009F5848">
            <w:pPr>
              <w:tabs>
                <w:tab w:val="left" w:pos="567"/>
              </w:tabs>
              <w:spacing w:line="260" w:lineRule="exact"/>
              <w:jc w:val="center"/>
              <w:rPr>
                <w:rFonts w:eastAsia="Times New Roman"/>
                <w:b/>
                <w:bCs/>
                <w:sz w:val="22"/>
                <w:lang w:val="lt-LT" w:eastAsia="en-US"/>
              </w:rPr>
            </w:pPr>
            <w:r w:rsidRPr="004509B9">
              <w:rPr>
                <w:rFonts w:eastAsia="Times New Roman"/>
                <w:b/>
                <w:bCs/>
                <w:sz w:val="22"/>
                <w:lang w:val="lt-LT" w:eastAsia="en-US"/>
              </w:rPr>
              <w:t>Pogimdyminis laikotarpis</w:t>
            </w:r>
          </w:p>
          <w:p w14:paraId="24BDF045" w14:textId="77777777" w:rsidR="009F5848" w:rsidRPr="004509B9" w:rsidRDefault="009F5848" w:rsidP="009F5848">
            <w:pPr>
              <w:tabs>
                <w:tab w:val="left" w:pos="567"/>
              </w:tabs>
              <w:spacing w:line="260" w:lineRule="exact"/>
              <w:jc w:val="center"/>
              <w:rPr>
                <w:rFonts w:eastAsia="Times New Roman"/>
                <w:b/>
                <w:sz w:val="22"/>
                <w:lang w:val="lt-LT" w:eastAsia="en-US"/>
              </w:rPr>
            </w:pPr>
            <w:r w:rsidRPr="004509B9">
              <w:rPr>
                <w:rFonts w:eastAsia="Times New Roman"/>
                <w:b/>
                <w:bCs/>
                <w:sz w:val="22"/>
                <w:lang w:val="lt-LT" w:eastAsia="en-US"/>
              </w:rPr>
              <w:t>(6-12 savaičių)(n=15)</w:t>
            </w:r>
          </w:p>
        </w:tc>
      </w:tr>
      <w:tr w:rsidR="009F5848" w:rsidRPr="00C75EC3" w14:paraId="471FC994" w14:textId="77777777" w:rsidTr="009F5848">
        <w:trPr>
          <w:trHeight w:hRule="exact" w:val="264"/>
        </w:trPr>
        <w:tc>
          <w:tcPr>
            <w:tcW w:w="2270" w:type="dxa"/>
            <w:tcBorders>
              <w:top w:val="single" w:sz="4" w:space="0" w:color="000000"/>
              <w:left w:val="single" w:sz="4" w:space="0" w:color="000000"/>
              <w:bottom w:val="single" w:sz="4" w:space="0" w:color="000000"/>
              <w:right w:val="single" w:sz="4" w:space="0" w:color="000000"/>
            </w:tcBorders>
            <w:hideMark/>
          </w:tcPr>
          <w:p w14:paraId="0413B83A" w14:textId="77777777" w:rsidR="009F5848" w:rsidRPr="004509B9" w:rsidRDefault="009F5848" w:rsidP="009F5848">
            <w:pPr>
              <w:tabs>
                <w:tab w:val="left" w:pos="567"/>
              </w:tabs>
              <w:spacing w:line="260" w:lineRule="exact"/>
              <w:jc w:val="center"/>
              <w:rPr>
                <w:rFonts w:eastAsia="Times New Roman"/>
                <w:sz w:val="22"/>
                <w:lang w:val="lt-LT" w:eastAsia="en-US"/>
              </w:rPr>
            </w:pPr>
            <w:r w:rsidRPr="004509B9">
              <w:rPr>
                <w:rFonts w:eastAsia="Times New Roman"/>
                <w:sz w:val="22"/>
                <w:lang w:val="lt-LT" w:eastAsia="en-US"/>
              </w:rPr>
              <w:lastRenderedPageBreak/>
              <w:t>C</w:t>
            </w:r>
            <w:r w:rsidRPr="004509B9">
              <w:rPr>
                <w:rFonts w:eastAsia="Times New Roman"/>
                <w:sz w:val="22"/>
                <w:vertAlign w:val="subscript"/>
                <w:lang w:val="lt-LT" w:eastAsia="en-US"/>
              </w:rPr>
              <w:t>max</w:t>
            </w:r>
            <w:r w:rsidRPr="004509B9">
              <w:rPr>
                <w:rFonts w:eastAsia="Times New Roman"/>
                <w:sz w:val="22"/>
                <w:lang w:val="lt-LT" w:eastAsia="en-US"/>
              </w:rPr>
              <w:t>, ng/ml</w:t>
            </w:r>
          </w:p>
        </w:tc>
        <w:tc>
          <w:tcPr>
            <w:tcW w:w="2268" w:type="dxa"/>
            <w:tcBorders>
              <w:top w:val="single" w:sz="4" w:space="0" w:color="000000"/>
              <w:left w:val="single" w:sz="4" w:space="0" w:color="000000"/>
              <w:bottom w:val="single" w:sz="4" w:space="0" w:color="000000"/>
              <w:right w:val="single" w:sz="4" w:space="0" w:color="000000"/>
            </w:tcBorders>
            <w:hideMark/>
          </w:tcPr>
          <w:p w14:paraId="038F4E02" w14:textId="77777777" w:rsidR="009F5848" w:rsidRPr="004509B9" w:rsidRDefault="009F5848" w:rsidP="009F5848">
            <w:pPr>
              <w:tabs>
                <w:tab w:val="left" w:pos="567"/>
              </w:tabs>
              <w:spacing w:line="260" w:lineRule="exact"/>
              <w:jc w:val="center"/>
              <w:rPr>
                <w:rFonts w:eastAsia="Times New Roman"/>
                <w:sz w:val="22"/>
                <w:lang w:val="lt-LT" w:eastAsia="en-US"/>
              </w:rPr>
            </w:pPr>
            <w:r w:rsidRPr="004509B9">
              <w:rPr>
                <w:rFonts w:eastAsia="Times New Roman"/>
                <w:sz w:val="22"/>
                <w:lang w:val="lt-LT" w:eastAsia="en-US"/>
              </w:rPr>
              <w:t>4,988 ± 1,551</w:t>
            </w:r>
          </w:p>
        </w:tc>
        <w:tc>
          <w:tcPr>
            <w:tcW w:w="2268" w:type="dxa"/>
            <w:tcBorders>
              <w:top w:val="single" w:sz="4" w:space="0" w:color="000000"/>
              <w:left w:val="single" w:sz="4" w:space="0" w:color="000000"/>
              <w:bottom w:val="single" w:sz="4" w:space="0" w:color="000000"/>
              <w:right w:val="single" w:sz="4" w:space="0" w:color="000000"/>
            </w:tcBorders>
            <w:hideMark/>
          </w:tcPr>
          <w:p w14:paraId="2BB05A66" w14:textId="77777777" w:rsidR="009F5848" w:rsidRPr="004509B9" w:rsidRDefault="009F5848" w:rsidP="009F5848">
            <w:pPr>
              <w:tabs>
                <w:tab w:val="left" w:pos="567"/>
              </w:tabs>
              <w:spacing w:line="260" w:lineRule="exact"/>
              <w:jc w:val="center"/>
              <w:rPr>
                <w:rFonts w:eastAsia="Times New Roman"/>
                <w:sz w:val="22"/>
                <w:lang w:val="lt-LT" w:eastAsia="en-US"/>
              </w:rPr>
            </w:pPr>
            <w:r w:rsidRPr="004509B9">
              <w:rPr>
                <w:rFonts w:eastAsia="Times New Roman"/>
                <w:sz w:val="22"/>
                <w:lang w:val="lt-LT" w:eastAsia="en-US"/>
              </w:rPr>
              <w:t>5,138 ± 1,243</w:t>
            </w:r>
          </w:p>
        </w:tc>
        <w:tc>
          <w:tcPr>
            <w:tcW w:w="2268" w:type="dxa"/>
            <w:tcBorders>
              <w:top w:val="single" w:sz="4" w:space="0" w:color="000000"/>
              <w:left w:val="single" w:sz="4" w:space="0" w:color="000000"/>
              <w:bottom w:val="single" w:sz="4" w:space="0" w:color="000000"/>
              <w:right w:val="single" w:sz="4" w:space="0" w:color="000000"/>
            </w:tcBorders>
            <w:hideMark/>
          </w:tcPr>
          <w:p w14:paraId="2788D352" w14:textId="77777777" w:rsidR="009F5848" w:rsidRPr="004509B9" w:rsidRDefault="009F5848" w:rsidP="009F5848">
            <w:pPr>
              <w:tabs>
                <w:tab w:val="left" w:pos="567"/>
              </w:tabs>
              <w:spacing w:line="260" w:lineRule="exact"/>
              <w:jc w:val="center"/>
              <w:rPr>
                <w:rFonts w:eastAsia="Times New Roman"/>
                <w:sz w:val="22"/>
                <w:lang w:val="lt-LT" w:eastAsia="en-US"/>
              </w:rPr>
            </w:pPr>
            <w:r w:rsidRPr="004509B9">
              <w:rPr>
                <w:rFonts w:eastAsia="Times New Roman"/>
                <w:sz w:val="22"/>
                <w:lang w:val="lt-LT" w:eastAsia="en-US"/>
              </w:rPr>
              <w:t>7,445 ± 1,674</w:t>
            </w:r>
          </w:p>
        </w:tc>
      </w:tr>
      <w:tr w:rsidR="009F5848" w:rsidRPr="00C75EC3" w14:paraId="3374DF2F" w14:textId="77777777" w:rsidTr="009F5848">
        <w:trPr>
          <w:trHeight w:hRule="exact" w:val="262"/>
        </w:trPr>
        <w:tc>
          <w:tcPr>
            <w:tcW w:w="2270" w:type="dxa"/>
            <w:tcBorders>
              <w:top w:val="single" w:sz="4" w:space="0" w:color="000000"/>
              <w:left w:val="single" w:sz="4" w:space="0" w:color="000000"/>
              <w:bottom w:val="single" w:sz="4" w:space="0" w:color="000000"/>
              <w:right w:val="single" w:sz="4" w:space="0" w:color="000000"/>
            </w:tcBorders>
            <w:hideMark/>
          </w:tcPr>
          <w:p w14:paraId="298515F9" w14:textId="77777777" w:rsidR="009F5848" w:rsidRPr="004509B9" w:rsidRDefault="009F5848" w:rsidP="009F5848">
            <w:pPr>
              <w:tabs>
                <w:tab w:val="left" w:pos="567"/>
              </w:tabs>
              <w:spacing w:line="260" w:lineRule="exact"/>
              <w:jc w:val="center"/>
              <w:rPr>
                <w:rFonts w:eastAsia="Times New Roman"/>
                <w:sz w:val="22"/>
                <w:lang w:val="lt-LT" w:eastAsia="en-US"/>
              </w:rPr>
            </w:pPr>
            <w:r w:rsidRPr="004509B9">
              <w:rPr>
                <w:rFonts w:eastAsia="Times New Roman"/>
                <w:sz w:val="22"/>
                <w:lang w:val="lt-LT" w:eastAsia="en-US"/>
              </w:rPr>
              <w:t>AUC</w:t>
            </w:r>
            <w:r w:rsidRPr="004509B9">
              <w:rPr>
                <w:rFonts w:eastAsia="Times New Roman"/>
                <w:sz w:val="22"/>
                <w:vertAlign w:val="subscript"/>
                <w:lang w:val="lt-LT" w:eastAsia="en-US"/>
              </w:rPr>
              <w:t>12h</w:t>
            </w:r>
            <w:r w:rsidRPr="004509B9">
              <w:rPr>
                <w:rFonts w:eastAsia="Times New Roman"/>
                <w:sz w:val="22"/>
                <w:lang w:val="lt-LT" w:eastAsia="en-US"/>
              </w:rPr>
              <w:t>, ng.h/ml</w:t>
            </w:r>
          </w:p>
        </w:tc>
        <w:tc>
          <w:tcPr>
            <w:tcW w:w="2268" w:type="dxa"/>
            <w:tcBorders>
              <w:top w:val="single" w:sz="4" w:space="0" w:color="000000"/>
              <w:left w:val="single" w:sz="4" w:space="0" w:color="000000"/>
              <w:bottom w:val="single" w:sz="4" w:space="0" w:color="000000"/>
              <w:right w:val="single" w:sz="4" w:space="0" w:color="000000"/>
            </w:tcBorders>
            <w:hideMark/>
          </w:tcPr>
          <w:p w14:paraId="71A8B7D0" w14:textId="77777777" w:rsidR="009F5848" w:rsidRPr="004509B9" w:rsidRDefault="009F5848" w:rsidP="009F5848">
            <w:pPr>
              <w:tabs>
                <w:tab w:val="left" w:pos="567"/>
              </w:tabs>
              <w:spacing w:line="260" w:lineRule="exact"/>
              <w:jc w:val="center"/>
              <w:rPr>
                <w:rFonts w:eastAsia="Times New Roman"/>
                <w:sz w:val="22"/>
                <w:lang w:val="lt-LT" w:eastAsia="en-US"/>
              </w:rPr>
            </w:pPr>
            <w:r w:rsidRPr="004509B9">
              <w:rPr>
                <w:rFonts w:eastAsia="Times New Roman"/>
                <w:sz w:val="22"/>
                <w:lang w:val="lt-LT" w:eastAsia="en-US"/>
              </w:rPr>
              <w:t>61,303 ± 16,232</w:t>
            </w:r>
          </w:p>
        </w:tc>
        <w:tc>
          <w:tcPr>
            <w:tcW w:w="2268" w:type="dxa"/>
            <w:tcBorders>
              <w:top w:val="single" w:sz="4" w:space="0" w:color="000000"/>
              <w:left w:val="single" w:sz="4" w:space="0" w:color="000000"/>
              <w:bottom w:val="single" w:sz="4" w:space="0" w:color="000000"/>
              <w:right w:val="single" w:sz="4" w:space="0" w:color="000000"/>
            </w:tcBorders>
            <w:hideMark/>
          </w:tcPr>
          <w:p w14:paraId="70A095E7" w14:textId="77777777" w:rsidR="009F5848" w:rsidRPr="004509B9" w:rsidRDefault="009F5848" w:rsidP="009F5848">
            <w:pPr>
              <w:tabs>
                <w:tab w:val="left" w:pos="567"/>
              </w:tabs>
              <w:spacing w:line="260" w:lineRule="exact"/>
              <w:jc w:val="center"/>
              <w:rPr>
                <w:rFonts w:eastAsia="Times New Roman"/>
                <w:sz w:val="22"/>
                <w:lang w:val="lt-LT" w:eastAsia="en-US"/>
              </w:rPr>
            </w:pPr>
            <w:r w:rsidRPr="004509B9">
              <w:rPr>
                <w:rFonts w:eastAsia="Times New Roman"/>
                <w:sz w:val="22"/>
                <w:lang w:val="lt-LT" w:eastAsia="en-US"/>
              </w:rPr>
              <w:t>60,439 ± 14,052</w:t>
            </w:r>
          </w:p>
        </w:tc>
        <w:tc>
          <w:tcPr>
            <w:tcW w:w="2268" w:type="dxa"/>
            <w:tcBorders>
              <w:top w:val="single" w:sz="4" w:space="0" w:color="000000"/>
              <w:left w:val="single" w:sz="4" w:space="0" w:color="000000"/>
              <w:bottom w:val="single" w:sz="4" w:space="0" w:color="000000"/>
              <w:right w:val="single" w:sz="4" w:space="0" w:color="000000"/>
            </w:tcBorders>
            <w:hideMark/>
          </w:tcPr>
          <w:p w14:paraId="5BA3BC1F" w14:textId="77777777" w:rsidR="009F5848" w:rsidRPr="004509B9" w:rsidRDefault="009F5848" w:rsidP="009F5848">
            <w:pPr>
              <w:tabs>
                <w:tab w:val="left" w:pos="567"/>
              </w:tabs>
              <w:spacing w:line="260" w:lineRule="exact"/>
              <w:jc w:val="center"/>
              <w:rPr>
                <w:rFonts w:eastAsia="Times New Roman"/>
                <w:sz w:val="22"/>
                <w:lang w:val="lt-LT" w:eastAsia="en-US"/>
              </w:rPr>
            </w:pPr>
            <w:r w:rsidRPr="004509B9">
              <w:rPr>
                <w:rFonts w:eastAsia="Times New Roman"/>
                <w:sz w:val="22"/>
                <w:lang w:val="lt-LT" w:eastAsia="en-US"/>
              </w:rPr>
              <w:t>94,529 ± 28,572</w:t>
            </w:r>
          </w:p>
        </w:tc>
      </w:tr>
      <w:tr w:rsidR="009F5848" w:rsidRPr="00C75EC3" w14:paraId="365D1F01" w14:textId="77777777" w:rsidTr="009F5848">
        <w:trPr>
          <w:trHeight w:hRule="exact" w:val="264"/>
        </w:trPr>
        <w:tc>
          <w:tcPr>
            <w:tcW w:w="2270" w:type="dxa"/>
            <w:tcBorders>
              <w:top w:val="single" w:sz="4" w:space="0" w:color="000000"/>
              <w:left w:val="single" w:sz="4" w:space="0" w:color="000000"/>
              <w:bottom w:val="single" w:sz="4" w:space="0" w:color="000000"/>
              <w:right w:val="single" w:sz="4" w:space="0" w:color="000000"/>
            </w:tcBorders>
            <w:hideMark/>
          </w:tcPr>
          <w:p w14:paraId="25A2D376" w14:textId="77777777" w:rsidR="009F5848" w:rsidRPr="004509B9" w:rsidRDefault="009F5848" w:rsidP="009F5848">
            <w:pPr>
              <w:tabs>
                <w:tab w:val="left" w:pos="567"/>
              </w:tabs>
              <w:spacing w:line="260" w:lineRule="exact"/>
              <w:jc w:val="center"/>
              <w:rPr>
                <w:rFonts w:eastAsia="Times New Roman"/>
                <w:sz w:val="22"/>
                <w:lang w:val="lt-LT" w:eastAsia="en-US"/>
              </w:rPr>
            </w:pPr>
            <w:r w:rsidRPr="004509B9">
              <w:rPr>
                <w:rFonts w:eastAsia="Times New Roman"/>
                <w:sz w:val="22"/>
                <w:lang w:val="lt-LT" w:eastAsia="en-US"/>
              </w:rPr>
              <w:t>C</w:t>
            </w:r>
            <w:r w:rsidRPr="004509B9">
              <w:rPr>
                <w:rFonts w:eastAsia="Times New Roman"/>
                <w:sz w:val="22"/>
                <w:vertAlign w:val="subscript"/>
                <w:lang w:val="lt-LT" w:eastAsia="en-US"/>
              </w:rPr>
              <w:t>min</w:t>
            </w:r>
            <w:r w:rsidRPr="004509B9">
              <w:rPr>
                <w:rFonts w:eastAsia="Times New Roman"/>
                <w:sz w:val="22"/>
                <w:lang w:val="lt-LT" w:eastAsia="en-US"/>
              </w:rPr>
              <w:t>, ng/ml</w:t>
            </w:r>
            <w:r w:rsidRPr="004509B9">
              <w:rPr>
                <w:rFonts w:eastAsia="Times New Roman"/>
                <w:sz w:val="22"/>
                <w:vertAlign w:val="superscript"/>
                <w:lang w:val="lt-LT" w:eastAsia="en-US"/>
              </w:rPr>
              <w:t>a</w:t>
            </w:r>
          </w:p>
        </w:tc>
        <w:tc>
          <w:tcPr>
            <w:tcW w:w="2268" w:type="dxa"/>
            <w:tcBorders>
              <w:top w:val="single" w:sz="4" w:space="0" w:color="000000"/>
              <w:left w:val="single" w:sz="4" w:space="0" w:color="000000"/>
              <w:bottom w:val="single" w:sz="4" w:space="0" w:color="000000"/>
              <w:right w:val="single" w:sz="4" w:space="0" w:color="000000"/>
            </w:tcBorders>
            <w:hideMark/>
          </w:tcPr>
          <w:p w14:paraId="729710FC" w14:textId="77777777" w:rsidR="009F5848" w:rsidRPr="004509B9" w:rsidRDefault="009F5848" w:rsidP="009F5848">
            <w:pPr>
              <w:tabs>
                <w:tab w:val="left" w:pos="567"/>
              </w:tabs>
              <w:spacing w:line="260" w:lineRule="exact"/>
              <w:jc w:val="center"/>
              <w:rPr>
                <w:rFonts w:eastAsia="Times New Roman"/>
                <w:sz w:val="22"/>
                <w:lang w:val="lt-LT" w:eastAsia="en-US"/>
              </w:rPr>
            </w:pPr>
            <w:r w:rsidRPr="004509B9">
              <w:rPr>
                <w:rFonts w:eastAsia="Times New Roman"/>
                <w:sz w:val="22"/>
                <w:lang w:val="lt-LT" w:eastAsia="en-US"/>
              </w:rPr>
              <w:t>1,193 ± 509</w:t>
            </w:r>
          </w:p>
        </w:tc>
        <w:tc>
          <w:tcPr>
            <w:tcW w:w="2268" w:type="dxa"/>
            <w:tcBorders>
              <w:top w:val="single" w:sz="4" w:space="0" w:color="000000"/>
              <w:left w:val="single" w:sz="4" w:space="0" w:color="000000"/>
              <w:bottom w:val="single" w:sz="4" w:space="0" w:color="000000"/>
              <w:right w:val="single" w:sz="4" w:space="0" w:color="000000"/>
            </w:tcBorders>
            <w:hideMark/>
          </w:tcPr>
          <w:p w14:paraId="28737973" w14:textId="77777777" w:rsidR="009F5848" w:rsidRPr="004509B9" w:rsidRDefault="009F5848" w:rsidP="009F5848">
            <w:pPr>
              <w:tabs>
                <w:tab w:val="left" w:pos="567"/>
              </w:tabs>
              <w:spacing w:line="260" w:lineRule="exact"/>
              <w:jc w:val="center"/>
              <w:rPr>
                <w:rFonts w:eastAsia="Times New Roman"/>
                <w:sz w:val="22"/>
                <w:lang w:val="lt-LT" w:eastAsia="en-US"/>
              </w:rPr>
            </w:pPr>
            <w:r w:rsidRPr="004509B9">
              <w:rPr>
                <w:rFonts w:eastAsia="Times New Roman"/>
                <w:sz w:val="22"/>
                <w:lang w:val="lt-LT" w:eastAsia="en-US"/>
              </w:rPr>
              <w:t>1,098 ± 609</w:t>
            </w:r>
          </w:p>
        </w:tc>
        <w:tc>
          <w:tcPr>
            <w:tcW w:w="2268" w:type="dxa"/>
            <w:tcBorders>
              <w:top w:val="single" w:sz="4" w:space="0" w:color="000000"/>
              <w:left w:val="single" w:sz="4" w:space="0" w:color="000000"/>
              <w:bottom w:val="single" w:sz="4" w:space="0" w:color="000000"/>
              <w:right w:val="single" w:sz="4" w:space="0" w:color="000000"/>
            </w:tcBorders>
            <w:hideMark/>
          </w:tcPr>
          <w:p w14:paraId="71070BD0" w14:textId="77777777" w:rsidR="009F5848" w:rsidRPr="004509B9" w:rsidRDefault="009F5848" w:rsidP="009F5848">
            <w:pPr>
              <w:tabs>
                <w:tab w:val="left" w:pos="567"/>
              </w:tabs>
              <w:spacing w:line="260" w:lineRule="exact"/>
              <w:jc w:val="center"/>
              <w:rPr>
                <w:rFonts w:eastAsia="Times New Roman"/>
                <w:sz w:val="22"/>
                <w:lang w:val="lt-LT" w:eastAsia="en-US"/>
              </w:rPr>
            </w:pPr>
            <w:r w:rsidRPr="004509B9">
              <w:rPr>
                <w:rFonts w:eastAsia="Times New Roman"/>
                <w:sz w:val="22"/>
                <w:lang w:val="lt-LT" w:eastAsia="en-US"/>
              </w:rPr>
              <w:t>1,572 ± 1,108</w:t>
            </w:r>
          </w:p>
        </w:tc>
      </w:tr>
    </w:tbl>
    <w:p w14:paraId="2D7B2755" w14:textId="77777777" w:rsidR="009F5848" w:rsidRPr="004509B9" w:rsidRDefault="009F5848" w:rsidP="009F5848">
      <w:pPr>
        <w:tabs>
          <w:tab w:val="left" w:pos="567"/>
        </w:tabs>
        <w:spacing w:line="260" w:lineRule="exact"/>
        <w:rPr>
          <w:rFonts w:eastAsia="Times New Roman"/>
          <w:b/>
          <w:sz w:val="22"/>
          <w:lang w:val="lt-LT" w:eastAsia="en-US"/>
        </w:rPr>
      </w:pPr>
    </w:p>
    <w:p w14:paraId="68A0A3AB" w14:textId="77777777" w:rsidR="009F5848" w:rsidRPr="004509B9" w:rsidRDefault="009F5848" w:rsidP="009F5848">
      <w:pPr>
        <w:autoSpaceDE w:val="0"/>
        <w:autoSpaceDN w:val="0"/>
        <w:adjustRightInd w:val="0"/>
        <w:rPr>
          <w:rFonts w:eastAsia="TimesNewRoman"/>
          <w:sz w:val="18"/>
          <w:szCs w:val="18"/>
          <w:lang w:val="lt-LT" w:eastAsia="en-US"/>
        </w:rPr>
      </w:pPr>
      <w:r w:rsidRPr="004509B9">
        <w:rPr>
          <w:rFonts w:eastAsia="TimesNewRoman"/>
          <w:sz w:val="18"/>
          <w:szCs w:val="18"/>
          <w:vertAlign w:val="superscript"/>
          <w:lang w:val="lt-LT" w:eastAsia="en-US"/>
        </w:rPr>
        <w:t>a</w:t>
      </w:r>
      <w:r w:rsidRPr="004509B9">
        <w:rPr>
          <w:rFonts w:eastAsia="TimesNewRoman"/>
          <w:sz w:val="18"/>
          <w:szCs w:val="18"/>
          <w:lang w:val="lt-LT" w:eastAsia="en-US"/>
        </w:rPr>
        <w:t>n = 12 pogimdyminiu laikotarpiu, n = 15 antrąjį nėštumo trimestrą ir n = 14 trečiąjį nėštumo trimestrą.</w:t>
      </w:r>
    </w:p>
    <w:p w14:paraId="75B3D55F" w14:textId="77777777" w:rsidR="009F5848" w:rsidRPr="004509B9" w:rsidRDefault="009F5848" w:rsidP="009F5848">
      <w:pPr>
        <w:autoSpaceDE w:val="0"/>
        <w:autoSpaceDN w:val="0"/>
        <w:adjustRightInd w:val="0"/>
        <w:rPr>
          <w:rFonts w:eastAsia="TimesNewRoman"/>
          <w:sz w:val="22"/>
          <w:szCs w:val="22"/>
          <w:lang w:val="lt-LT" w:eastAsia="en-US"/>
        </w:rPr>
      </w:pPr>
    </w:p>
    <w:p w14:paraId="0F0DA031" w14:textId="77777777" w:rsidR="009F5848"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Remiantis moterų, kurios antrąjį nėštumo trimestrą vartojo 600/100 mg darunaviro/ritonaviro dozę du kartus per parą, duomenimis, vidutiniai skirtingų tiriamųjų bendrojo darunaviro </w:t>
      </w:r>
      <w:r w:rsidRPr="004509B9">
        <w:rPr>
          <w:rFonts w:eastAsia="TimesNewRoman"/>
          <w:iCs/>
          <w:sz w:val="22"/>
          <w:szCs w:val="22"/>
          <w:lang w:val="lt-LT" w:eastAsia="en-US"/>
        </w:rPr>
        <w:t>C</w:t>
      </w:r>
      <w:r w:rsidRPr="004509B9">
        <w:rPr>
          <w:rFonts w:eastAsia="TimesNewRoman"/>
          <w:iCs/>
          <w:sz w:val="14"/>
          <w:szCs w:val="14"/>
          <w:lang w:val="lt-LT" w:eastAsia="en-US"/>
        </w:rPr>
        <w:t>max</w:t>
      </w:r>
      <w:r w:rsidRPr="004509B9">
        <w:rPr>
          <w:rFonts w:eastAsia="TimesNewRoman"/>
          <w:iCs/>
          <w:sz w:val="22"/>
          <w:szCs w:val="22"/>
          <w:lang w:val="lt-LT" w:eastAsia="en-US"/>
        </w:rPr>
        <w:t>, AUC</w:t>
      </w:r>
      <w:r w:rsidRPr="004509B9">
        <w:rPr>
          <w:rFonts w:eastAsia="TimesNewRoman"/>
          <w:iCs/>
          <w:sz w:val="14"/>
          <w:szCs w:val="14"/>
          <w:lang w:val="lt-LT" w:eastAsia="en-US"/>
        </w:rPr>
        <w:t xml:space="preserve">12 val. </w:t>
      </w:r>
      <w:r w:rsidRPr="004509B9">
        <w:rPr>
          <w:rFonts w:eastAsia="TimesNewRoman"/>
          <w:sz w:val="22"/>
          <w:szCs w:val="22"/>
          <w:lang w:val="lt-LT" w:eastAsia="en-US"/>
        </w:rPr>
        <w:t xml:space="preserve">ir </w:t>
      </w:r>
      <w:r w:rsidRPr="004509B9">
        <w:rPr>
          <w:rFonts w:eastAsia="TimesNewRoman"/>
          <w:iCs/>
          <w:sz w:val="22"/>
          <w:szCs w:val="22"/>
          <w:lang w:val="lt-LT" w:eastAsia="en-US"/>
        </w:rPr>
        <w:t>C</w:t>
      </w:r>
      <w:r w:rsidRPr="004509B9">
        <w:rPr>
          <w:rFonts w:eastAsia="TimesNewRoman"/>
          <w:iCs/>
          <w:sz w:val="14"/>
          <w:szCs w:val="14"/>
          <w:lang w:val="lt-LT" w:eastAsia="en-US"/>
        </w:rPr>
        <w:t xml:space="preserve">min </w:t>
      </w:r>
      <w:r w:rsidRPr="004509B9">
        <w:rPr>
          <w:rFonts w:eastAsia="TimesNewRoman"/>
          <w:sz w:val="22"/>
          <w:szCs w:val="22"/>
          <w:lang w:val="lt-LT" w:eastAsia="en-US"/>
        </w:rPr>
        <w:t xml:space="preserve">rodmenys buvo atitinkamai 28 %, 24 % ir 17 % mažesni, palyginti su rodmenimis po gimdymo. Trečiąjį nėštumo trimestrą bendrojo darunaviro </w:t>
      </w:r>
      <w:r w:rsidRPr="004509B9">
        <w:rPr>
          <w:rFonts w:eastAsia="TimesNewRoman"/>
          <w:iCs/>
          <w:sz w:val="22"/>
          <w:szCs w:val="22"/>
          <w:lang w:val="lt-LT" w:eastAsia="en-US"/>
        </w:rPr>
        <w:t>C</w:t>
      </w:r>
      <w:r w:rsidRPr="004509B9">
        <w:rPr>
          <w:rFonts w:eastAsia="TimesNewRoman"/>
          <w:iCs/>
          <w:sz w:val="14"/>
          <w:szCs w:val="14"/>
          <w:lang w:val="lt-LT" w:eastAsia="en-US"/>
        </w:rPr>
        <w:t>max</w:t>
      </w:r>
      <w:r w:rsidRPr="004509B9">
        <w:rPr>
          <w:rFonts w:eastAsia="TimesNewRoman"/>
          <w:iCs/>
          <w:sz w:val="22"/>
          <w:szCs w:val="22"/>
          <w:lang w:val="lt-LT" w:eastAsia="en-US"/>
        </w:rPr>
        <w:t>, AUC</w:t>
      </w:r>
      <w:r w:rsidRPr="004509B9">
        <w:rPr>
          <w:rFonts w:eastAsia="TimesNewRoman"/>
          <w:iCs/>
          <w:sz w:val="14"/>
          <w:szCs w:val="14"/>
          <w:lang w:val="lt-LT" w:eastAsia="en-US"/>
        </w:rPr>
        <w:t xml:space="preserve">12 val. </w:t>
      </w:r>
      <w:r w:rsidRPr="004509B9">
        <w:rPr>
          <w:rFonts w:eastAsia="TimesNewRoman"/>
          <w:sz w:val="22"/>
          <w:szCs w:val="22"/>
          <w:lang w:val="lt-LT" w:eastAsia="en-US"/>
        </w:rPr>
        <w:t xml:space="preserve">ir </w:t>
      </w:r>
      <w:r w:rsidRPr="004509B9">
        <w:rPr>
          <w:rFonts w:eastAsia="TimesNewRoman"/>
          <w:iCs/>
          <w:sz w:val="22"/>
          <w:szCs w:val="22"/>
          <w:lang w:val="lt-LT" w:eastAsia="en-US"/>
        </w:rPr>
        <w:t>C</w:t>
      </w:r>
      <w:r w:rsidRPr="004509B9">
        <w:rPr>
          <w:rFonts w:eastAsia="TimesNewRoman"/>
          <w:iCs/>
          <w:sz w:val="14"/>
          <w:szCs w:val="14"/>
          <w:lang w:val="lt-LT" w:eastAsia="en-US"/>
        </w:rPr>
        <w:t>min</w:t>
      </w:r>
      <w:r w:rsidRPr="004509B9">
        <w:rPr>
          <w:rFonts w:eastAsia="TimesNewRoman"/>
          <w:i/>
          <w:iCs/>
          <w:sz w:val="14"/>
          <w:szCs w:val="14"/>
          <w:lang w:val="lt-LT" w:eastAsia="en-US"/>
        </w:rPr>
        <w:t xml:space="preserve"> </w:t>
      </w:r>
      <w:r w:rsidRPr="004509B9">
        <w:rPr>
          <w:rFonts w:eastAsia="TimesNewRoman"/>
          <w:sz w:val="22"/>
          <w:szCs w:val="22"/>
          <w:lang w:val="lt-LT" w:eastAsia="en-US"/>
        </w:rPr>
        <w:t>rodmenys buvo atitinkamai 19  %, 17 % mažesni ir 2 % didesni, palyginti su rodmenimis po gimdymo.</w:t>
      </w:r>
    </w:p>
    <w:p w14:paraId="18C722E3" w14:textId="77777777" w:rsidR="00CB7AD9" w:rsidRDefault="00CB7AD9" w:rsidP="009F5848">
      <w:pPr>
        <w:autoSpaceDE w:val="0"/>
        <w:autoSpaceDN w:val="0"/>
        <w:adjustRightInd w:val="0"/>
        <w:rPr>
          <w:rFonts w:eastAsia="TimesNewRoman"/>
          <w:sz w:val="22"/>
          <w:szCs w:val="22"/>
          <w:lang w:val="lt-LT" w:eastAsia="en-US"/>
        </w:rPr>
      </w:pPr>
    </w:p>
    <w:p w14:paraId="2A9222F3" w14:textId="77777777" w:rsidR="00CB7AD9" w:rsidRPr="004509B9" w:rsidRDefault="00CB7AD9" w:rsidP="009F5848">
      <w:pPr>
        <w:autoSpaceDE w:val="0"/>
        <w:autoSpaceDN w:val="0"/>
        <w:adjustRightInd w:val="0"/>
        <w:rPr>
          <w:rFonts w:eastAsia="TimesNewRoman"/>
          <w:sz w:val="22"/>
          <w:szCs w:val="22"/>
          <w:lang w:val="lt-LT" w:eastAsia="en-US"/>
        </w:rPr>
      </w:pPr>
      <w:r>
        <w:rPr>
          <w:rFonts w:eastAsia="TimesNewRoman"/>
          <w:sz w:val="22"/>
          <w:szCs w:val="22"/>
          <w:lang w:val="lt-LT" w:eastAsia="en-US"/>
        </w:rPr>
        <w:t>Remiantis moterų, kurios antrą nėštumo trimestrą vartojo 800/100 mg darunaviro/ritonaviro dozę vieną kartą per parą, duomenimis, vidutiniai skirtingų tiriamųjų bendrojo darunaviro</w:t>
      </w:r>
      <w:r w:rsidRPr="00E74DE2">
        <w:rPr>
          <w:rFonts w:eastAsia="TimesNewRoman"/>
          <w:iCs/>
          <w:sz w:val="22"/>
          <w:szCs w:val="22"/>
          <w:lang w:val="lt-LT" w:eastAsia="en-US"/>
        </w:rPr>
        <w:t xml:space="preserve"> </w:t>
      </w:r>
      <w:r w:rsidRPr="00532388">
        <w:rPr>
          <w:rFonts w:eastAsia="TimesNewRoman"/>
          <w:iCs/>
          <w:sz w:val="22"/>
          <w:szCs w:val="22"/>
          <w:lang w:val="lt-LT" w:eastAsia="en-US"/>
        </w:rPr>
        <w:t>C</w:t>
      </w:r>
      <w:r w:rsidRPr="00532388">
        <w:rPr>
          <w:rFonts w:eastAsia="TimesNewRoman"/>
          <w:iCs/>
          <w:sz w:val="14"/>
          <w:szCs w:val="14"/>
          <w:lang w:val="lt-LT" w:eastAsia="en-US"/>
        </w:rPr>
        <w:t>max</w:t>
      </w:r>
      <w:r w:rsidRPr="00532388">
        <w:rPr>
          <w:rFonts w:eastAsia="TimesNewRoman"/>
          <w:iCs/>
          <w:sz w:val="22"/>
          <w:szCs w:val="22"/>
          <w:lang w:val="lt-LT" w:eastAsia="en-US"/>
        </w:rPr>
        <w:t>,</w:t>
      </w:r>
      <w:r>
        <w:rPr>
          <w:rFonts w:eastAsia="TimesNewRoman"/>
          <w:iCs/>
          <w:sz w:val="22"/>
          <w:szCs w:val="22"/>
          <w:lang w:val="lt-LT" w:eastAsia="en-US"/>
        </w:rPr>
        <w:t xml:space="preserve"> </w:t>
      </w:r>
      <w:r w:rsidRPr="00532388">
        <w:rPr>
          <w:rFonts w:eastAsia="TimesNewRoman"/>
          <w:iCs/>
          <w:sz w:val="22"/>
          <w:szCs w:val="22"/>
          <w:lang w:val="lt-LT" w:eastAsia="en-US"/>
        </w:rPr>
        <w:t>AUC</w:t>
      </w:r>
      <w:r w:rsidRPr="00532388">
        <w:rPr>
          <w:rFonts w:eastAsia="TimesNewRoman"/>
          <w:iCs/>
          <w:sz w:val="14"/>
          <w:szCs w:val="14"/>
          <w:lang w:val="lt-LT" w:eastAsia="en-US"/>
        </w:rPr>
        <w:t xml:space="preserve">12 val. </w:t>
      </w:r>
      <w:r w:rsidRPr="00532388">
        <w:rPr>
          <w:rFonts w:eastAsia="TimesNewRoman"/>
          <w:sz w:val="22"/>
          <w:szCs w:val="22"/>
          <w:lang w:val="lt-LT" w:eastAsia="en-US"/>
        </w:rPr>
        <w:t xml:space="preserve">ir </w:t>
      </w:r>
      <w:r w:rsidRPr="00532388">
        <w:rPr>
          <w:rFonts w:eastAsia="TimesNewRoman"/>
          <w:iCs/>
          <w:sz w:val="22"/>
          <w:szCs w:val="22"/>
          <w:lang w:val="lt-LT" w:eastAsia="en-US"/>
        </w:rPr>
        <w:t>C</w:t>
      </w:r>
      <w:r w:rsidRPr="00532388">
        <w:rPr>
          <w:rFonts w:eastAsia="TimesNewRoman"/>
          <w:iCs/>
          <w:sz w:val="14"/>
          <w:szCs w:val="14"/>
          <w:lang w:val="lt-LT" w:eastAsia="en-US"/>
        </w:rPr>
        <w:t xml:space="preserve">min </w:t>
      </w:r>
      <w:r w:rsidRPr="00532388">
        <w:rPr>
          <w:rFonts w:eastAsia="TimesNewRoman"/>
          <w:sz w:val="22"/>
          <w:szCs w:val="22"/>
          <w:lang w:val="lt-LT" w:eastAsia="en-US"/>
        </w:rPr>
        <w:t>rodmenys buvo atitinkamai</w:t>
      </w:r>
      <w:r>
        <w:rPr>
          <w:rFonts w:eastAsia="TimesNewRoman"/>
          <w:sz w:val="22"/>
          <w:szCs w:val="22"/>
          <w:lang w:val="lt-LT" w:eastAsia="en-US"/>
        </w:rPr>
        <w:t xml:space="preserve"> 34</w:t>
      </w:r>
      <w:r w:rsidRPr="00532388">
        <w:rPr>
          <w:rFonts w:eastAsia="TimesNewRoman"/>
          <w:sz w:val="22"/>
          <w:szCs w:val="22"/>
          <w:lang w:val="lt-LT" w:eastAsia="en-US"/>
        </w:rPr>
        <w:t>%,</w:t>
      </w:r>
      <w:r>
        <w:rPr>
          <w:rFonts w:eastAsia="TimesNewRoman"/>
          <w:sz w:val="22"/>
          <w:szCs w:val="22"/>
          <w:lang w:val="lt-LT" w:eastAsia="en-US"/>
        </w:rPr>
        <w:t xml:space="preserve"> 34</w:t>
      </w:r>
      <w:r w:rsidRPr="00532388">
        <w:rPr>
          <w:rFonts w:eastAsia="TimesNewRoman"/>
          <w:sz w:val="22"/>
          <w:szCs w:val="22"/>
          <w:lang w:val="lt-LT" w:eastAsia="en-US"/>
        </w:rPr>
        <w:t>%</w:t>
      </w:r>
      <w:r>
        <w:rPr>
          <w:rFonts w:eastAsia="TimesNewRoman"/>
          <w:sz w:val="22"/>
          <w:szCs w:val="22"/>
          <w:lang w:val="lt-LT" w:eastAsia="en-US"/>
        </w:rPr>
        <w:t xml:space="preserve"> ir 32</w:t>
      </w:r>
      <w:r>
        <w:rPr>
          <w:rFonts w:eastAsia="TimesNewRoman"/>
          <w:sz w:val="22"/>
          <w:szCs w:val="22"/>
          <w:lang w:val="en-US" w:eastAsia="en-US"/>
        </w:rPr>
        <w:t>%</w:t>
      </w:r>
      <w:r>
        <w:rPr>
          <w:rFonts w:eastAsia="TimesNewRoman"/>
          <w:sz w:val="22"/>
          <w:szCs w:val="22"/>
          <w:lang w:val="lt-LT" w:eastAsia="en-US"/>
        </w:rPr>
        <w:t xml:space="preserve"> mažesni, palyginti su rodmenimis po gimdymo. Trečiajį nėštumo trimestrą bedrojo darunaviro </w:t>
      </w:r>
      <w:r w:rsidRPr="00532388">
        <w:rPr>
          <w:rFonts w:eastAsia="TimesNewRoman"/>
          <w:iCs/>
          <w:sz w:val="22"/>
          <w:szCs w:val="22"/>
          <w:lang w:val="lt-LT" w:eastAsia="en-US"/>
        </w:rPr>
        <w:t>C</w:t>
      </w:r>
      <w:r w:rsidRPr="00532388">
        <w:rPr>
          <w:rFonts w:eastAsia="TimesNewRoman"/>
          <w:iCs/>
          <w:sz w:val="14"/>
          <w:szCs w:val="14"/>
          <w:lang w:val="lt-LT" w:eastAsia="en-US"/>
        </w:rPr>
        <w:t>max</w:t>
      </w:r>
      <w:r w:rsidRPr="00532388">
        <w:rPr>
          <w:rFonts w:eastAsia="TimesNewRoman"/>
          <w:iCs/>
          <w:sz w:val="22"/>
          <w:szCs w:val="22"/>
          <w:lang w:val="lt-LT" w:eastAsia="en-US"/>
        </w:rPr>
        <w:t>, AUC</w:t>
      </w:r>
      <w:r w:rsidRPr="00532388">
        <w:rPr>
          <w:rFonts w:eastAsia="TimesNewRoman"/>
          <w:iCs/>
          <w:sz w:val="14"/>
          <w:szCs w:val="14"/>
          <w:lang w:val="lt-LT" w:eastAsia="en-US"/>
        </w:rPr>
        <w:t xml:space="preserve">12 val. </w:t>
      </w:r>
      <w:r w:rsidRPr="00532388">
        <w:rPr>
          <w:rFonts w:eastAsia="TimesNewRoman"/>
          <w:sz w:val="22"/>
          <w:szCs w:val="22"/>
          <w:lang w:val="lt-LT" w:eastAsia="en-US"/>
        </w:rPr>
        <w:t xml:space="preserve">ir </w:t>
      </w:r>
      <w:r w:rsidRPr="00532388">
        <w:rPr>
          <w:rFonts w:eastAsia="TimesNewRoman"/>
          <w:iCs/>
          <w:sz w:val="22"/>
          <w:szCs w:val="22"/>
          <w:lang w:val="lt-LT" w:eastAsia="en-US"/>
        </w:rPr>
        <w:t>C</w:t>
      </w:r>
      <w:r w:rsidRPr="00532388">
        <w:rPr>
          <w:rFonts w:eastAsia="TimesNewRoman"/>
          <w:iCs/>
          <w:sz w:val="14"/>
          <w:szCs w:val="14"/>
          <w:lang w:val="lt-LT" w:eastAsia="en-US"/>
        </w:rPr>
        <w:t>min</w:t>
      </w:r>
      <w:r w:rsidRPr="00532388">
        <w:rPr>
          <w:rFonts w:eastAsia="TimesNewRoman"/>
          <w:i/>
          <w:iCs/>
          <w:sz w:val="14"/>
          <w:szCs w:val="14"/>
          <w:lang w:val="lt-LT" w:eastAsia="en-US"/>
        </w:rPr>
        <w:t xml:space="preserve"> </w:t>
      </w:r>
      <w:r w:rsidRPr="00532388">
        <w:rPr>
          <w:rFonts w:eastAsia="TimesNewRoman"/>
          <w:sz w:val="22"/>
          <w:szCs w:val="22"/>
          <w:lang w:val="lt-LT" w:eastAsia="en-US"/>
        </w:rPr>
        <w:t>rodmenys buvo atitinkamai</w:t>
      </w:r>
      <w:r>
        <w:rPr>
          <w:rFonts w:eastAsia="TimesNewRoman"/>
          <w:sz w:val="22"/>
          <w:szCs w:val="22"/>
          <w:lang w:val="lt-LT" w:eastAsia="en-US"/>
        </w:rPr>
        <w:t xml:space="preserve"> 31</w:t>
      </w:r>
      <w:r>
        <w:rPr>
          <w:rFonts w:eastAsia="TimesNewRoman"/>
          <w:sz w:val="22"/>
          <w:szCs w:val="22"/>
          <w:lang w:val="en-US" w:eastAsia="en-US"/>
        </w:rPr>
        <w:t>%, 35% ir 50% ma</w:t>
      </w:r>
      <w:r>
        <w:rPr>
          <w:rFonts w:eastAsia="TimesNewRoman"/>
          <w:sz w:val="22"/>
          <w:szCs w:val="22"/>
          <w:lang w:val="lt-LT" w:eastAsia="en-US"/>
        </w:rPr>
        <w:t>žesni, palyginti su rodmenimis po gimdymo.</w:t>
      </w:r>
    </w:p>
    <w:p w14:paraId="43539EDE" w14:textId="77777777" w:rsidR="009F5848" w:rsidRPr="004509B9" w:rsidRDefault="009F5848" w:rsidP="009F5848">
      <w:pPr>
        <w:autoSpaceDE w:val="0"/>
        <w:autoSpaceDN w:val="0"/>
        <w:adjustRightInd w:val="0"/>
        <w:rPr>
          <w:rFonts w:eastAsia="TimesNewRoman"/>
          <w:sz w:val="22"/>
          <w:szCs w:val="22"/>
          <w:lang w:val="lt-LT" w:eastAsia="en-US"/>
        </w:rPr>
      </w:pPr>
    </w:p>
    <w:p w14:paraId="7A027546" w14:textId="77777777" w:rsidR="009F5848" w:rsidRPr="009C16AC" w:rsidRDefault="009F5848" w:rsidP="009C16AC">
      <w:pPr>
        <w:keepNext/>
        <w:numPr>
          <w:ilvl w:val="1"/>
          <w:numId w:val="18"/>
        </w:numPr>
        <w:tabs>
          <w:tab w:val="left" w:pos="567"/>
        </w:tabs>
        <w:spacing w:line="260" w:lineRule="exact"/>
        <w:outlineLvl w:val="0"/>
        <w:rPr>
          <w:rFonts w:eastAsia="Times New Roman"/>
          <w:b/>
          <w:noProof/>
          <w:sz w:val="22"/>
          <w:szCs w:val="22"/>
          <w:lang w:val="lt-LT" w:eastAsia="lt-LT" w:bidi="lt-LT"/>
        </w:rPr>
      </w:pPr>
      <w:r w:rsidRPr="009C16AC">
        <w:rPr>
          <w:rFonts w:eastAsia="Times New Roman"/>
          <w:b/>
          <w:noProof/>
          <w:sz w:val="22"/>
          <w:lang w:val="lt-LT" w:eastAsia="lt-LT" w:bidi="lt-LT"/>
        </w:rPr>
        <w:t>Ikiklinikinių saugumo tyrimų duomenys</w:t>
      </w:r>
    </w:p>
    <w:p w14:paraId="4B59FB56" w14:textId="77777777" w:rsidR="009F5848" w:rsidRPr="00C75EC3" w:rsidRDefault="009F5848" w:rsidP="009F5848">
      <w:pPr>
        <w:autoSpaceDE w:val="0"/>
        <w:autoSpaceDN w:val="0"/>
        <w:adjustRightInd w:val="0"/>
        <w:rPr>
          <w:rFonts w:ascii="TimesNewRoman" w:eastAsia="TimesNewRoman" w:hAnsi="Calibri" w:cs="TimesNewRoman"/>
          <w:sz w:val="22"/>
          <w:szCs w:val="22"/>
          <w:lang w:val="lt-LT" w:eastAsia="en-US"/>
        </w:rPr>
      </w:pPr>
    </w:p>
    <w:p w14:paraId="560BE44A"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Darunaviro toksikologiniai tyrimai, kurių metu preparato ekspozicija buvo artima klinikinei, buvo atlikti su pelėmis, žiurkėmis ir šunimis, o darunaviro ir ritonaviro derinio su žiurkėmis ir šunimis.</w:t>
      </w:r>
    </w:p>
    <w:p w14:paraId="2141C0C1" w14:textId="77777777" w:rsidR="009F5848" w:rsidRPr="004509B9" w:rsidRDefault="009F5848" w:rsidP="009F5848">
      <w:pPr>
        <w:autoSpaceDE w:val="0"/>
        <w:autoSpaceDN w:val="0"/>
        <w:adjustRightInd w:val="0"/>
        <w:rPr>
          <w:rFonts w:eastAsia="TimesNewRoman"/>
          <w:sz w:val="22"/>
          <w:szCs w:val="22"/>
          <w:lang w:val="lt-LT" w:eastAsia="en-US"/>
        </w:rPr>
      </w:pPr>
    </w:p>
    <w:p w14:paraId="728C65BB"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Kartotinių dozių toksinio poveikio tyrimų su žiurkėmis ir šunimis duomenimis, darunaviro poveikis buvo ribotas. Graužikų organizme daugiausiai veikiami organai buvo kraujodaros sistema, kraujo krešėjimo sistema, kepenys ir skydliaukė. Įvairiai, tačiau nedaug sumažėjo su raudonosiomis kraujo ląstelėmis susiję rodmenys, kartu pailgėjo aktyvinto dalinio tromboplastino laikas.</w:t>
      </w:r>
    </w:p>
    <w:p w14:paraId="0F27AAED" w14:textId="77777777" w:rsidR="009F5848" w:rsidRPr="004509B9" w:rsidRDefault="009F5848" w:rsidP="009F5848">
      <w:pPr>
        <w:autoSpaceDE w:val="0"/>
        <w:autoSpaceDN w:val="0"/>
        <w:adjustRightInd w:val="0"/>
        <w:rPr>
          <w:rFonts w:eastAsia="TimesNewRoman"/>
          <w:sz w:val="22"/>
          <w:szCs w:val="22"/>
          <w:lang w:val="lt-LT" w:eastAsia="en-US"/>
        </w:rPr>
      </w:pPr>
    </w:p>
    <w:p w14:paraId="7FD50077"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Pokyčiai buvo pastebėti kepenyse (hepatocitų hipertrofija, vakuolizacija, padidėjęs kepenų fermentų aktyvumas) ir skydliaukėje (folikulų hipertrofija). Darunavirą duodant kartu su ritonaviru žiurkėms, nežymiai sustiprėjo poveikis raudonųjų kraujo ląstelių rodmenims, kepenims ir skydliaukei bei padažnėjo kasos salelių fibrozė (tik žiurkių patinams), palyginti su poveikiu skiriant vien darunavirą. Tiriant šunis, jokio ryškaus toksinio poveikio ar veikiamo organo nenustatyta, esant  tolygiai klinikinei ekspozicijai, kai gydoma rekomenduojamomis dozėmis.</w:t>
      </w:r>
    </w:p>
    <w:p w14:paraId="297FC22E" w14:textId="77777777" w:rsidR="009F5848" w:rsidRPr="004509B9" w:rsidRDefault="009F5848" w:rsidP="009F5848">
      <w:pPr>
        <w:autoSpaceDE w:val="0"/>
        <w:autoSpaceDN w:val="0"/>
        <w:adjustRightInd w:val="0"/>
        <w:rPr>
          <w:rFonts w:eastAsia="TimesNewRoman"/>
          <w:sz w:val="22"/>
          <w:szCs w:val="22"/>
          <w:lang w:val="lt-LT" w:eastAsia="en-US"/>
        </w:rPr>
      </w:pPr>
    </w:p>
    <w:p w14:paraId="25491662"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Tyrimo su žiurkėmis metu, esant toksiniam poveikiui patelei, sumažėjo geltonkūnių ir implantacijų skaičius. Priešingai, darunaviras neveikė poravimosi ar vislumo, dozuojant jį iki 1 000 mg/kg k</w:t>
      </w:r>
      <w:r w:rsidR="00CB7AD9">
        <w:rPr>
          <w:rFonts w:eastAsia="TimesNewRoman"/>
          <w:sz w:val="22"/>
          <w:szCs w:val="22"/>
          <w:lang w:val="lt-LT" w:eastAsia="en-US"/>
        </w:rPr>
        <w:t>ū</w:t>
      </w:r>
      <w:r w:rsidRPr="004509B9">
        <w:rPr>
          <w:rFonts w:eastAsia="TimesNewRoman"/>
          <w:sz w:val="22"/>
          <w:szCs w:val="22"/>
          <w:lang w:val="lt-LT" w:eastAsia="en-US"/>
        </w:rPr>
        <w:t xml:space="preserve">no svorio per parą ir esant mažesnei ekspozicijai (AUC – 0,5 karto) už ekspoziciją žmogui, gydomam kliniškai rekomenduojamomis dozėmis. </w:t>
      </w:r>
    </w:p>
    <w:p w14:paraId="7FEC85DD"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Žiurkėms ir triušiams duodant vien darunavirą minėtomis dozėmis, o pelėms – duodant jo derinį su ritonaviru teratogeninio poveikio nebuvo pastebėta.Ekspozicijos lygis buvo mažesnis negu gydant žmones kliniškai rekomenduojamomis dozėmis. Prenatalinės ir postnatalinės žiurkių raidos tyrimo duomenimis, darunaviras (su ritonaviru ar be jo) laikinai mažino palikuonių kūno svorį žindymo laikotarpiu ir nežymiai vėlino akių ir ausų atsivėrimą. Darunaviro derinys su ritonaviru sumažino 15-ą </w:t>
      </w:r>
      <w:r w:rsidRPr="004509B9">
        <w:rPr>
          <w:rFonts w:eastAsia="TimesNewRoman"/>
          <w:sz w:val="22"/>
          <w:szCs w:val="22"/>
          <w:lang w:val="lt-LT" w:eastAsia="en-US"/>
        </w:rPr>
        <w:lastRenderedPageBreak/>
        <w:t>žindymo dieną į gąsdinimą reagavusių šuniukų skaičių ir trumpino šuniukų išgyvenamumą žindymo metu. Šie reiškiniai gali būti antriniai ir priskiriami su pienu išsiskiriančios ir (ar) toksinį poveikį patelei sukeliančios veikliosios medžiagos poveikiui. Nei vienas darunaviras, nei jo derinys su ritonaviru neveikė po atjunkymo. Jaunos žiurkės, kurios nuo 23 iki 26 dienų laikotarpyje gaudavo darunaviro, dažniau žuvo, o kai kuriems gyvūnams kartu buvo traukulių. Pavartojus panašias mg/kg kūno svorio dozes tarp 5 ir 11 gyvenimo dienos jaunų žiurkių grupėje, vaistinio preparato ekspozicija plazmoje, kepenyse ir smegenyse buvo žymiai didesnė nei suaugusių žiurkių tarpe, o po 23 gyvenimo dienos ekspozicijos rodikliai abiejose grupėse tapo panašūs. Tikėtina, kad tokį ekspozicijos padidėjimą dalinai galima paaiškinti jaunų žiurkių vaistinį preparatą metabolizuojančių fermentų nebrandumu. 26 gyvenimo dieną vienkartinę 1 000 mg/kg kūno svorio dozę ar nuo 23 iki 50 gyvenimo dienos kartotines 500 mg/kg kūno svorio vaistinio preparato dozes gavusių jaunų žiurkių tarpe vaistų sąlygoto mirtingumo nebuvo stebėta, o ekspozicijos ir toksiškumo rodikliai buvo panašūs į suaugusių žiurkių.</w:t>
      </w:r>
    </w:p>
    <w:p w14:paraId="2FD86E71" w14:textId="77777777" w:rsidR="009F5848" w:rsidRPr="004509B9" w:rsidRDefault="009F5848" w:rsidP="009F5848">
      <w:pPr>
        <w:autoSpaceDE w:val="0"/>
        <w:autoSpaceDN w:val="0"/>
        <w:adjustRightInd w:val="0"/>
        <w:rPr>
          <w:rFonts w:eastAsia="TimesNewRoman"/>
          <w:sz w:val="22"/>
          <w:szCs w:val="22"/>
          <w:lang w:val="lt-LT" w:eastAsia="en-US"/>
        </w:rPr>
      </w:pPr>
    </w:p>
    <w:p w14:paraId="1D11A1F8"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Kadangi neaišku, kada susiformuoja hematoencefalinis barjeras ir pradeda gamintis kepenų fermentai žmogaus organizme, darunaviro kartu su maža ritonaviro doze jaunesniems kaip 3 metų vaikams vartoti negalima.</w:t>
      </w:r>
    </w:p>
    <w:p w14:paraId="487F746B" w14:textId="77777777" w:rsidR="009F5848" w:rsidRPr="004509B9" w:rsidRDefault="009F5848" w:rsidP="009F5848">
      <w:pPr>
        <w:autoSpaceDE w:val="0"/>
        <w:autoSpaceDN w:val="0"/>
        <w:adjustRightInd w:val="0"/>
        <w:rPr>
          <w:rFonts w:eastAsia="TimesNewRoman"/>
          <w:sz w:val="22"/>
          <w:szCs w:val="22"/>
          <w:lang w:val="lt-LT" w:eastAsia="en-US"/>
        </w:rPr>
      </w:pPr>
    </w:p>
    <w:p w14:paraId="5CA21818"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Darunaviro kancerogeninis poveikis buvo tiriamas iki 104 savaičių laikotarpyje duodant vaistinį preparatą pelėms ir žiurkėms per įvestą enterinį zondą. Pelėms buvo skirtos 150, 450 ir 1 000 mg/kg kūno svorio per parą dozės, tuo tarpu žiurkės gavo 50, 150 ir 500 mg/kg kūno svorio per parą dozes. Abiejų rūšių patinų ir patelių tarpe buvo stebimas nuo dozės priklausomas hepatoceliulinių adenomų ir karcinomų atsiradimo skaičiaus padidėjimas. Žiurkių patinų tarpe buvo pastebėtos skydliaukės folikulinės adenomos. Darunaviro davimas nesukėlė statistiškai reikšmingo kitų rūšių gerybinių ar piktybinių navikų atsiradimo atvejų pelėms ir žiurkėms padažnėjimo. Manoma, kad graužikų tarpe stebėto hepatoceliulinių ir skydliaukės navikų atsiradimo klinikinė reikšmė žmogui yra nedidelė. Davus kartotines darunaviro dozes žiurkėms, stebėta kepenų mikrosomų fermentų indukcija ir padidėjusi skydliaukės hormonų eliminacija; tai žiurkėms (bet ne žmonėms) sąlygojo polinkį skydliaukės navikų atsiradimui. Duodant didžiausias vaistinio preparato dozes, bendrosios darunaviro ekspozicijos (remiantis AUC) santykis su ekspozicija žmonių organizme vartojant rekomenduojamas terapines vaistinio preparato dozes sudarė 0,4-0,7 pelėms ir 0,7-1,0 žiurkėms.</w:t>
      </w:r>
    </w:p>
    <w:p w14:paraId="518327C9" w14:textId="77777777" w:rsidR="009F5848" w:rsidRPr="004509B9" w:rsidRDefault="009F5848" w:rsidP="009F5848">
      <w:pPr>
        <w:autoSpaceDE w:val="0"/>
        <w:autoSpaceDN w:val="0"/>
        <w:adjustRightInd w:val="0"/>
        <w:rPr>
          <w:rFonts w:eastAsia="TimesNewRoman"/>
          <w:sz w:val="22"/>
          <w:szCs w:val="22"/>
          <w:lang w:val="lt-LT" w:eastAsia="en-US"/>
        </w:rPr>
      </w:pPr>
    </w:p>
    <w:p w14:paraId="2F9A2668"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2 metus duodant darunavirą tokia pačia, kaip ir skiriant vartoti žmogui, ar mažesne ekspozicija, buvo stebimi inkstų pakitimai pelėms (nefrozė) ir žiurkėms (lėtinė progresuojanti nefropatija).</w:t>
      </w:r>
    </w:p>
    <w:p w14:paraId="47C03C32" w14:textId="77777777" w:rsidR="009F5848" w:rsidRPr="004509B9" w:rsidRDefault="009F5848" w:rsidP="009F5848">
      <w:pPr>
        <w:autoSpaceDE w:val="0"/>
        <w:autoSpaceDN w:val="0"/>
        <w:adjustRightInd w:val="0"/>
        <w:rPr>
          <w:rFonts w:eastAsia="TimesNewRoman"/>
          <w:sz w:val="22"/>
          <w:szCs w:val="22"/>
          <w:lang w:val="lt-LT" w:eastAsia="en-US"/>
        </w:rPr>
      </w:pPr>
    </w:p>
    <w:p w14:paraId="34D230E4"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Atlikus seriją </w:t>
      </w:r>
      <w:r w:rsidRPr="004509B9">
        <w:rPr>
          <w:rFonts w:eastAsia="TimesNewRoman"/>
          <w:i/>
          <w:iCs/>
          <w:sz w:val="22"/>
          <w:szCs w:val="22"/>
          <w:lang w:val="lt-LT" w:eastAsia="en-US"/>
        </w:rPr>
        <w:t xml:space="preserve">in vitro </w:t>
      </w:r>
      <w:r w:rsidRPr="004509B9">
        <w:rPr>
          <w:rFonts w:eastAsia="TimesNewRoman"/>
          <w:sz w:val="22"/>
          <w:szCs w:val="22"/>
          <w:lang w:val="lt-LT" w:eastAsia="en-US"/>
        </w:rPr>
        <w:t xml:space="preserve">ir </w:t>
      </w:r>
      <w:r w:rsidRPr="004509B9">
        <w:rPr>
          <w:rFonts w:eastAsia="TimesNewRoman"/>
          <w:i/>
          <w:iCs/>
          <w:sz w:val="22"/>
          <w:szCs w:val="22"/>
          <w:lang w:val="lt-LT" w:eastAsia="en-US"/>
        </w:rPr>
        <w:t xml:space="preserve">in vivo </w:t>
      </w:r>
      <w:r w:rsidRPr="004509B9">
        <w:rPr>
          <w:rFonts w:eastAsia="TimesNewRoman"/>
          <w:sz w:val="22"/>
          <w:szCs w:val="22"/>
          <w:lang w:val="lt-LT" w:eastAsia="en-US"/>
        </w:rPr>
        <w:t xml:space="preserve">tyrimų, tarp jų </w:t>
      </w:r>
      <w:r w:rsidRPr="004509B9">
        <w:rPr>
          <w:rFonts w:eastAsia="TimesNewRoman"/>
          <w:i/>
          <w:iCs/>
          <w:sz w:val="22"/>
          <w:szCs w:val="22"/>
          <w:lang w:val="lt-LT" w:eastAsia="en-US"/>
        </w:rPr>
        <w:t xml:space="preserve">Ames </w:t>
      </w:r>
      <w:r w:rsidRPr="004509B9">
        <w:rPr>
          <w:rFonts w:eastAsia="TimesNewRoman"/>
          <w:sz w:val="22"/>
          <w:szCs w:val="22"/>
          <w:lang w:val="lt-LT" w:eastAsia="en-US"/>
        </w:rPr>
        <w:t xml:space="preserve">atvirkštinės mutacijos tyrimą, chromosomų aberacijos žmogaus limfocituose tyrimą bei </w:t>
      </w:r>
      <w:r w:rsidRPr="004509B9">
        <w:rPr>
          <w:rFonts w:eastAsia="TimesNewRoman"/>
          <w:i/>
          <w:iCs/>
          <w:sz w:val="22"/>
          <w:szCs w:val="22"/>
          <w:lang w:val="lt-LT" w:eastAsia="en-US"/>
        </w:rPr>
        <w:t xml:space="preserve">in vivo </w:t>
      </w:r>
      <w:r w:rsidRPr="004509B9">
        <w:rPr>
          <w:rFonts w:eastAsia="TimesNewRoman"/>
          <w:sz w:val="22"/>
          <w:szCs w:val="22"/>
          <w:lang w:val="lt-LT" w:eastAsia="en-US"/>
        </w:rPr>
        <w:t>pelių mikrobranduolių mėginį, mutageninio ar genotoksinio darunaviro poveikio nenustatyta.</w:t>
      </w:r>
    </w:p>
    <w:p w14:paraId="7EAA75CA" w14:textId="77777777" w:rsidR="009F5848" w:rsidRPr="004509B9" w:rsidRDefault="009F5848" w:rsidP="009F5848">
      <w:pPr>
        <w:autoSpaceDE w:val="0"/>
        <w:autoSpaceDN w:val="0"/>
        <w:adjustRightInd w:val="0"/>
        <w:rPr>
          <w:rFonts w:eastAsia="TimesNewRoman"/>
          <w:sz w:val="22"/>
          <w:szCs w:val="22"/>
          <w:lang w:val="lt-LT" w:eastAsia="en-US"/>
        </w:rPr>
      </w:pPr>
    </w:p>
    <w:p w14:paraId="6C75B3DA" w14:textId="77777777" w:rsidR="009F5848" w:rsidRPr="004509B9" w:rsidRDefault="009F5848" w:rsidP="009F5848">
      <w:pPr>
        <w:tabs>
          <w:tab w:val="left" w:pos="567"/>
        </w:tabs>
        <w:rPr>
          <w:rFonts w:eastAsia="Times New Roman"/>
          <w:noProof/>
          <w:sz w:val="22"/>
          <w:szCs w:val="22"/>
          <w:lang w:val="lt-LT" w:eastAsia="lt-LT" w:bidi="lt-LT"/>
        </w:rPr>
      </w:pPr>
    </w:p>
    <w:p w14:paraId="7A819A91" w14:textId="77777777" w:rsidR="009F5848" w:rsidRPr="004509B9" w:rsidRDefault="009F5848" w:rsidP="009C16AC">
      <w:pPr>
        <w:keepNext/>
        <w:numPr>
          <w:ilvl w:val="0"/>
          <w:numId w:val="18"/>
        </w:numPr>
        <w:tabs>
          <w:tab w:val="left" w:pos="567"/>
        </w:tabs>
        <w:suppressAutoHyphens/>
        <w:spacing w:line="260" w:lineRule="exact"/>
        <w:rPr>
          <w:rFonts w:eastAsia="Times New Roman"/>
          <w:b/>
          <w:noProof/>
          <w:sz w:val="22"/>
          <w:szCs w:val="22"/>
          <w:lang w:val="lt-LT" w:eastAsia="lt-LT" w:bidi="lt-LT"/>
        </w:rPr>
      </w:pPr>
      <w:r w:rsidRPr="004509B9">
        <w:rPr>
          <w:rFonts w:eastAsia="Times New Roman"/>
          <w:b/>
          <w:noProof/>
          <w:sz w:val="22"/>
          <w:lang w:val="lt-LT" w:eastAsia="lt-LT" w:bidi="lt-LT"/>
        </w:rPr>
        <w:t>FARMACINĖ INFORMACIJA</w:t>
      </w:r>
    </w:p>
    <w:p w14:paraId="5913ADED" w14:textId="77777777" w:rsidR="009F5848" w:rsidRPr="004509B9" w:rsidRDefault="009F5848" w:rsidP="009F5848">
      <w:pPr>
        <w:keepNext/>
        <w:tabs>
          <w:tab w:val="left" w:pos="567"/>
        </w:tabs>
        <w:rPr>
          <w:rFonts w:eastAsia="Times New Roman"/>
          <w:noProof/>
          <w:sz w:val="22"/>
          <w:szCs w:val="22"/>
          <w:lang w:val="lt-LT" w:eastAsia="lt-LT" w:bidi="lt-LT"/>
        </w:rPr>
      </w:pPr>
    </w:p>
    <w:p w14:paraId="630443AC" w14:textId="77777777" w:rsidR="009F5848" w:rsidRPr="004509B9" w:rsidRDefault="009F5848" w:rsidP="00FA103E">
      <w:pPr>
        <w:keepNext/>
        <w:numPr>
          <w:ilvl w:val="1"/>
          <w:numId w:val="19"/>
        </w:numPr>
        <w:tabs>
          <w:tab w:val="left" w:pos="567"/>
        </w:tabs>
        <w:spacing w:line="260" w:lineRule="exact"/>
        <w:outlineLvl w:val="0"/>
        <w:rPr>
          <w:rFonts w:eastAsia="Times New Roman"/>
          <w:noProof/>
          <w:sz w:val="22"/>
          <w:szCs w:val="22"/>
          <w:lang w:val="lt-LT" w:eastAsia="lt-LT" w:bidi="lt-LT"/>
        </w:rPr>
      </w:pPr>
      <w:r w:rsidRPr="004509B9">
        <w:rPr>
          <w:rFonts w:eastAsia="Times New Roman"/>
          <w:b/>
          <w:noProof/>
          <w:sz w:val="22"/>
          <w:lang w:val="lt-LT" w:eastAsia="lt-LT" w:bidi="lt-LT"/>
        </w:rPr>
        <w:t>Pagalbinių medžiagų sąrašas</w:t>
      </w:r>
    </w:p>
    <w:p w14:paraId="35A510E0" w14:textId="77777777" w:rsidR="009F5848" w:rsidRPr="004509B9" w:rsidRDefault="009F5848" w:rsidP="009F5848">
      <w:pPr>
        <w:keepNext/>
        <w:tabs>
          <w:tab w:val="left" w:pos="567"/>
        </w:tabs>
        <w:rPr>
          <w:rFonts w:eastAsia="Times New Roman"/>
          <w:i/>
          <w:noProof/>
          <w:sz w:val="22"/>
          <w:szCs w:val="22"/>
          <w:lang w:val="lt-LT" w:eastAsia="lt-LT" w:bidi="lt-LT"/>
        </w:rPr>
      </w:pPr>
    </w:p>
    <w:p w14:paraId="188530BA" w14:textId="77777777" w:rsidR="009F5848" w:rsidRPr="004509B9" w:rsidRDefault="009F5848" w:rsidP="009F5848">
      <w:pPr>
        <w:autoSpaceDE w:val="0"/>
        <w:autoSpaceDN w:val="0"/>
        <w:adjustRightInd w:val="0"/>
        <w:rPr>
          <w:rFonts w:eastAsia="TimesNewRoman"/>
          <w:i/>
          <w:sz w:val="22"/>
          <w:szCs w:val="22"/>
          <w:lang w:val="lt-LT" w:eastAsia="en-US"/>
        </w:rPr>
      </w:pPr>
      <w:r w:rsidRPr="004509B9">
        <w:rPr>
          <w:rFonts w:eastAsia="TimesNewRoman"/>
          <w:i/>
          <w:sz w:val="22"/>
          <w:szCs w:val="22"/>
          <w:lang w:val="lt-LT" w:eastAsia="en-US"/>
        </w:rPr>
        <w:t>Tabletės branduo</w:t>
      </w:r>
      <w:r w:rsidR="00646DFE">
        <w:rPr>
          <w:rFonts w:eastAsia="TimesNewRoman"/>
          <w:i/>
          <w:sz w:val="22"/>
          <w:szCs w:val="22"/>
          <w:lang w:val="lt-LT" w:eastAsia="en-US"/>
        </w:rPr>
        <w:t>l</w:t>
      </w:r>
      <w:r w:rsidRPr="004509B9">
        <w:rPr>
          <w:rFonts w:eastAsia="TimesNewRoman"/>
          <w:i/>
          <w:sz w:val="22"/>
          <w:szCs w:val="22"/>
          <w:lang w:val="lt-LT" w:eastAsia="en-US"/>
        </w:rPr>
        <w:t>ys</w:t>
      </w:r>
    </w:p>
    <w:p w14:paraId="48AB10C2"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Mikrokristalinė celiuliozė</w:t>
      </w:r>
    </w:p>
    <w:p w14:paraId="65AEBD5D"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lastRenderedPageBreak/>
        <w:t>Koloidinis bevandenis silicio dioksidas</w:t>
      </w:r>
    </w:p>
    <w:p w14:paraId="7BA37F49"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Krospovidonas</w:t>
      </w:r>
    </w:p>
    <w:p w14:paraId="4A56FFF1"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Magnio stearatas</w:t>
      </w:r>
    </w:p>
    <w:p w14:paraId="06A5941A" w14:textId="77777777" w:rsidR="009F5848" w:rsidRPr="004509B9" w:rsidRDefault="009F5848" w:rsidP="009F5848">
      <w:pPr>
        <w:autoSpaceDE w:val="0"/>
        <w:autoSpaceDN w:val="0"/>
        <w:adjustRightInd w:val="0"/>
        <w:rPr>
          <w:rFonts w:eastAsia="TimesNewRoman"/>
          <w:sz w:val="22"/>
          <w:szCs w:val="22"/>
          <w:lang w:val="lt-LT" w:eastAsia="en-US"/>
        </w:rPr>
      </w:pPr>
    </w:p>
    <w:p w14:paraId="192F4ADE" w14:textId="77777777" w:rsidR="009F5848" w:rsidRPr="00021ED3" w:rsidRDefault="009F5848" w:rsidP="009F5848">
      <w:pPr>
        <w:autoSpaceDE w:val="0"/>
        <w:autoSpaceDN w:val="0"/>
        <w:adjustRightInd w:val="0"/>
        <w:rPr>
          <w:rFonts w:eastAsia="TimesNewRoman"/>
          <w:i/>
          <w:sz w:val="22"/>
          <w:szCs w:val="22"/>
          <w:lang w:val="lt-LT" w:eastAsia="en-US"/>
        </w:rPr>
      </w:pPr>
      <w:r w:rsidRPr="00021ED3">
        <w:rPr>
          <w:rFonts w:eastAsia="TimesNewRoman"/>
          <w:i/>
          <w:sz w:val="22"/>
          <w:szCs w:val="22"/>
          <w:lang w:val="lt-LT" w:eastAsia="en-US"/>
        </w:rPr>
        <w:t>Tabletę dengianti plėvelė</w:t>
      </w:r>
    </w:p>
    <w:p w14:paraId="4657DA93"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Polivinilo alkoholis – dalinai hidrolizuotas</w:t>
      </w:r>
    </w:p>
    <w:p w14:paraId="33690E86"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Titano dioksidas (E171)</w:t>
      </w:r>
    </w:p>
    <w:p w14:paraId="605EEB57"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Makrogolis 3350</w:t>
      </w:r>
    </w:p>
    <w:p w14:paraId="34775F71"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Talkas</w:t>
      </w:r>
    </w:p>
    <w:p w14:paraId="62954F09" w14:textId="77777777" w:rsidR="009F5848" w:rsidRPr="004509B9" w:rsidRDefault="009F5848" w:rsidP="009F5848">
      <w:pPr>
        <w:tabs>
          <w:tab w:val="left" w:pos="567"/>
        </w:tabs>
        <w:rPr>
          <w:rFonts w:eastAsia="TimesNewRoman"/>
          <w:sz w:val="22"/>
          <w:szCs w:val="22"/>
          <w:lang w:val="lt-LT" w:eastAsia="en-US"/>
        </w:rPr>
      </w:pPr>
      <w:r w:rsidRPr="004509B9">
        <w:rPr>
          <w:rFonts w:eastAsia="TimesNewRoman"/>
          <w:sz w:val="22"/>
          <w:szCs w:val="22"/>
          <w:lang w:val="lt-LT" w:eastAsia="en-US"/>
        </w:rPr>
        <w:t>Geltonasis geležies oksidas (E172)</w:t>
      </w:r>
    </w:p>
    <w:p w14:paraId="1505F612" w14:textId="77777777" w:rsidR="009F5848" w:rsidRPr="004509B9" w:rsidRDefault="009F5848" w:rsidP="009F5848">
      <w:pPr>
        <w:tabs>
          <w:tab w:val="left" w:pos="567"/>
        </w:tabs>
        <w:rPr>
          <w:rFonts w:eastAsia="TimesNewRoman"/>
          <w:sz w:val="22"/>
          <w:szCs w:val="22"/>
          <w:lang w:val="lt-LT" w:eastAsia="en-US"/>
        </w:rPr>
      </w:pPr>
      <w:r w:rsidRPr="004509B9">
        <w:rPr>
          <w:rFonts w:eastAsia="TimesNewRoman"/>
          <w:sz w:val="22"/>
          <w:szCs w:val="22"/>
          <w:lang w:val="lt-LT" w:eastAsia="en-US"/>
        </w:rPr>
        <w:t>Raudonasis geležies oksidas (E172)</w:t>
      </w:r>
    </w:p>
    <w:p w14:paraId="20BDD64D" w14:textId="77777777" w:rsidR="009F5848" w:rsidRPr="004509B9" w:rsidRDefault="009F5848" w:rsidP="009F5848">
      <w:pPr>
        <w:tabs>
          <w:tab w:val="left" w:pos="567"/>
        </w:tabs>
        <w:rPr>
          <w:rFonts w:eastAsia="Times New Roman"/>
          <w:noProof/>
          <w:sz w:val="22"/>
          <w:szCs w:val="22"/>
          <w:lang w:val="lt-LT" w:eastAsia="lt-LT" w:bidi="lt-LT"/>
        </w:rPr>
      </w:pPr>
    </w:p>
    <w:p w14:paraId="2DD2FF92" w14:textId="77777777" w:rsidR="009F5848" w:rsidRPr="004509B9" w:rsidRDefault="009F5848" w:rsidP="00FA103E">
      <w:pPr>
        <w:keepNext/>
        <w:numPr>
          <w:ilvl w:val="1"/>
          <w:numId w:val="19"/>
        </w:numPr>
        <w:tabs>
          <w:tab w:val="left" w:pos="567"/>
        </w:tabs>
        <w:spacing w:line="260" w:lineRule="exact"/>
        <w:outlineLvl w:val="0"/>
        <w:rPr>
          <w:rFonts w:eastAsia="Times New Roman"/>
          <w:noProof/>
          <w:sz w:val="22"/>
          <w:szCs w:val="22"/>
          <w:lang w:val="lt-LT" w:eastAsia="lt-LT" w:bidi="lt-LT"/>
        </w:rPr>
      </w:pPr>
      <w:r w:rsidRPr="004509B9">
        <w:rPr>
          <w:rFonts w:eastAsia="Times New Roman"/>
          <w:b/>
          <w:noProof/>
          <w:sz w:val="22"/>
          <w:lang w:val="lt-LT" w:eastAsia="lt-LT" w:bidi="lt-LT"/>
        </w:rPr>
        <w:t>Nesuderinamumas</w:t>
      </w:r>
    </w:p>
    <w:p w14:paraId="12A35557" w14:textId="77777777" w:rsidR="009F5848" w:rsidRPr="004509B9" w:rsidRDefault="009F5848" w:rsidP="009F5848">
      <w:pPr>
        <w:keepNext/>
        <w:tabs>
          <w:tab w:val="left" w:pos="567"/>
        </w:tabs>
        <w:rPr>
          <w:rFonts w:eastAsia="Times New Roman"/>
          <w:noProof/>
          <w:sz w:val="22"/>
          <w:szCs w:val="22"/>
          <w:lang w:val="lt-LT" w:eastAsia="lt-LT" w:bidi="lt-LT"/>
        </w:rPr>
      </w:pPr>
    </w:p>
    <w:p w14:paraId="1F0DA128" w14:textId="77777777" w:rsidR="009F5848" w:rsidRPr="004509B9" w:rsidRDefault="009F5848" w:rsidP="009F5848">
      <w:pPr>
        <w:tabs>
          <w:tab w:val="left" w:pos="567"/>
        </w:tabs>
        <w:rPr>
          <w:rFonts w:eastAsia="Times New Roman"/>
          <w:sz w:val="22"/>
          <w:lang w:val="lt-LT" w:eastAsia="lt-LT" w:bidi="lt-LT"/>
        </w:rPr>
      </w:pPr>
      <w:r w:rsidRPr="004509B9">
        <w:rPr>
          <w:rFonts w:eastAsia="Times New Roman"/>
          <w:sz w:val="22"/>
          <w:lang w:val="lt-LT" w:eastAsia="lt-LT" w:bidi="lt-LT"/>
        </w:rPr>
        <w:t>Duomenys nebūtini.</w:t>
      </w:r>
    </w:p>
    <w:p w14:paraId="68EC37FF" w14:textId="77777777" w:rsidR="000D6BCB" w:rsidRPr="004509B9" w:rsidRDefault="000D6BCB" w:rsidP="009F5848">
      <w:pPr>
        <w:tabs>
          <w:tab w:val="left" w:pos="567"/>
        </w:tabs>
        <w:rPr>
          <w:rFonts w:eastAsia="Times New Roman"/>
          <w:noProof/>
          <w:sz w:val="22"/>
          <w:szCs w:val="22"/>
          <w:lang w:val="lt-LT" w:eastAsia="lt-LT" w:bidi="lt-LT"/>
        </w:rPr>
      </w:pPr>
    </w:p>
    <w:p w14:paraId="492D21E1" w14:textId="77777777" w:rsidR="009F5848" w:rsidRPr="004509B9" w:rsidRDefault="009F5848" w:rsidP="00FA103E">
      <w:pPr>
        <w:keepNext/>
        <w:numPr>
          <w:ilvl w:val="1"/>
          <w:numId w:val="19"/>
        </w:numPr>
        <w:tabs>
          <w:tab w:val="left" w:pos="567"/>
        </w:tabs>
        <w:spacing w:line="260" w:lineRule="exact"/>
        <w:outlineLvl w:val="0"/>
        <w:rPr>
          <w:rFonts w:eastAsia="Times New Roman"/>
          <w:noProof/>
          <w:sz w:val="22"/>
          <w:szCs w:val="22"/>
          <w:lang w:val="lt-LT" w:eastAsia="lt-LT" w:bidi="lt-LT"/>
        </w:rPr>
      </w:pPr>
      <w:r w:rsidRPr="004509B9">
        <w:rPr>
          <w:rFonts w:eastAsia="Times New Roman"/>
          <w:b/>
          <w:noProof/>
          <w:sz w:val="22"/>
          <w:lang w:val="lt-LT" w:eastAsia="lt-LT" w:bidi="lt-LT"/>
        </w:rPr>
        <w:t>Tinkamumo laikas</w:t>
      </w:r>
    </w:p>
    <w:p w14:paraId="63799252" w14:textId="77777777" w:rsidR="009F5848" w:rsidRPr="004509B9" w:rsidRDefault="009F5848" w:rsidP="009F5848">
      <w:pPr>
        <w:autoSpaceDE w:val="0"/>
        <w:autoSpaceDN w:val="0"/>
        <w:adjustRightInd w:val="0"/>
        <w:rPr>
          <w:rFonts w:eastAsia="TimesNewRoman"/>
          <w:sz w:val="22"/>
          <w:szCs w:val="22"/>
          <w:lang w:val="lt-LT" w:eastAsia="en-US"/>
        </w:rPr>
      </w:pPr>
    </w:p>
    <w:p w14:paraId="49EF4EF9"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2 metai.</w:t>
      </w:r>
    </w:p>
    <w:p w14:paraId="7CB5719B" w14:textId="77777777" w:rsidR="009F5848" w:rsidRPr="004509B9" w:rsidRDefault="009F5848" w:rsidP="009F5848">
      <w:pPr>
        <w:autoSpaceDE w:val="0"/>
        <w:autoSpaceDN w:val="0"/>
        <w:adjustRightInd w:val="0"/>
        <w:rPr>
          <w:rFonts w:eastAsia="TimesNewRoman"/>
          <w:sz w:val="22"/>
          <w:szCs w:val="22"/>
          <w:lang w:val="lt-LT" w:eastAsia="en-US"/>
        </w:rPr>
      </w:pPr>
    </w:p>
    <w:p w14:paraId="57D44EA1" w14:textId="77777777" w:rsidR="009F5848" w:rsidRPr="004509B9" w:rsidRDefault="009F5848" w:rsidP="00FA103E">
      <w:pPr>
        <w:keepNext/>
        <w:numPr>
          <w:ilvl w:val="1"/>
          <w:numId w:val="19"/>
        </w:numPr>
        <w:tabs>
          <w:tab w:val="left" w:pos="567"/>
        </w:tabs>
        <w:spacing w:line="260" w:lineRule="exact"/>
        <w:outlineLvl w:val="0"/>
        <w:rPr>
          <w:rFonts w:eastAsia="Times New Roman"/>
          <w:b/>
          <w:noProof/>
          <w:sz w:val="22"/>
          <w:szCs w:val="22"/>
          <w:lang w:val="lt-LT" w:eastAsia="lt-LT" w:bidi="lt-LT"/>
        </w:rPr>
      </w:pPr>
      <w:r w:rsidRPr="004509B9">
        <w:rPr>
          <w:rFonts w:eastAsia="Times New Roman"/>
          <w:b/>
          <w:noProof/>
          <w:sz w:val="22"/>
          <w:lang w:val="lt-LT" w:eastAsia="lt-LT" w:bidi="lt-LT"/>
        </w:rPr>
        <w:t>Specialios laikymo sąlygos</w:t>
      </w:r>
    </w:p>
    <w:p w14:paraId="06D95221" w14:textId="77777777" w:rsidR="009F5848" w:rsidRPr="004509B9" w:rsidRDefault="009F5848" w:rsidP="009F5848">
      <w:pPr>
        <w:keepNext/>
        <w:tabs>
          <w:tab w:val="left" w:pos="567"/>
        </w:tabs>
        <w:ind w:left="567" w:hanging="567"/>
        <w:outlineLvl w:val="0"/>
        <w:rPr>
          <w:rFonts w:eastAsia="Times New Roman"/>
          <w:noProof/>
          <w:sz w:val="22"/>
          <w:szCs w:val="22"/>
          <w:lang w:val="lt-LT" w:eastAsia="lt-LT" w:bidi="lt-LT"/>
        </w:rPr>
      </w:pPr>
    </w:p>
    <w:p w14:paraId="5A307515" w14:textId="77777777" w:rsidR="009F5848" w:rsidRPr="004509B9" w:rsidRDefault="009F5848" w:rsidP="009F5848">
      <w:pPr>
        <w:pStyle w:val="BTEMEASMCA"/>
      </w:pPr>
      <w:r w:rsidRPr="004509B9">
        <w:t>Šiam vaistiniam preparatui specialių laikymo sąlygų nereikia.</w:t>
      </w:r>
    </w:p>
    <w:p w14:paraId="10089035" w14:textId="77777777" w:rsidR="009F5848" w:rsidRPr="004509B9" w:rsidRDefault="009F5848" w:rsidP="009F5848">
      <w:pPr>
        <w:tabs>
          <w:tab w:val="left" w:pos="567"/>
        </w:tabs>
        <w:rPr>
          <w:rFonts w:eastAsia="Times New Roman"/>
          <w:noProof/>
          <w:sz w:val="22"/>
          <w:szCs w:val="22"/>
          <w:lang w:val="lt-LT" w:eastAsia="lt-LT" w:bidi="lt-LT"/>
        </w:rPr>
      </w:pPr>
    </w:p>
    <w:p w14:paraId="3390F21C" w14:textId="77777777" w:rsidR="009F5848" w:rsidRPr="004509B9" w:rsidRDefault="009F5848" w:rsidP="00FA103E">
      <w:pPr>
        <w:keepNext/>
        <w:widowControl w:val="0"/>
        <w:numPr>
          <w:ilvl w:val="1"/>
          <w:numId w:val="19"/>
        </w:numPr>
        <w:tabs>
          <w:tab w:val="left" w:pos="567"/>
        </w:tabs>
        <w:spacing w:line="260" w:lineRule="exact"/>
        <w:ind w:left="0" w:firstLine="0"/>
        <w:outlineLvl w:val="0"/>
        <w:rPr>
          <w:rFonts w:eastAsia="TimesNewRoman"/>
          <w:sz w:val="22"/>
          <w:szCs w:val="22"/>
          <w:lang w:val="lt-LT" w:eastAsia="en-US"/>
        </w:rPr>
      </w:pPr>
      <w:r w:rsidRPr="004509B9">
        <w:rPr>
          <w:rFonts w:eastAsia="Times New Roman"/>
          <w:b/>
          <w:noProof/>
          <w:sz w:val="22"/>
          <w:lang w:val="lt-LT" w:eastAsia="lt-LT" w:bidi="lt-LT"/>
        </w:rPr>
        <w:t xml:space="preserve">Talpyklės pobūdis ir jos turinys </w:t>
      </w:r>
    </w:p>
    <w:p w14:paraId="5AA4E021" w14:textId="77777777" w:rsidR="009F5848" w:rsidRPr="004509B9" w:rsidRDefault="009F5848" w:rsidP="009F5848">
      <w:pPr>
        <w:widowControl w:val="0"/>
        <w:tabs>
          <w:tab w:val="left" w:pos="567"/>
        </w:tabs>
        <w:rPr>
          <w:rFonts w:eastAsia="Times New Roman"/>
          <w:snapToGrid w:val="0"/>
          <w:sz w:val="22"/>
          <w:szCs w:val="22"/>
          <w:lang w:val="lt-LT" w:eastAsia="en-US"/>
        </w:rPr>
      </w:pPr>
    </w:p>
    <w:p w14:paraId="02374887" w14:textId="77777777" w:rsidR="009F5848" w:rsidRPr="004509B9" w:rsidRDefault="009F5848" w:rsidP="009F5848">
      <w:pPr>
        <w:widowControl w:val="0"/>
        <w:tabs>
          <w:tab w:val="left" w:pos="567"/>
        </w:tabs>
        <w:rPr>
          <w:rFonts w:eastAsia="Times New Roman"/>
          <w:sz w:val="22"/>
          <w:szCs w:val="22"/>
          <w:lang w:val="lt-LT" w:eastAsia="en-US"/>
        </w:rPr>
      </w:pPr>
      <w:r w:rsidRPr="004509B9">
        <w:rPr>
          <w:rFonts w:eastAsia="Times New Roman"/>
          <w:snapToGrid w:val="0"/>
          <w:sz w:val="22"/>
          <w:szCs w:val="22"/>
          <w:lang w:val="lt-LT" w:eastAsia="en-US"/>
        </w:rPr>
        <w:t>Aliuminio-aliuminio (PVC/Al/OPA) lizdin</w:t>
      </w:r>
      <w:r w:rsidR="00646DFE">
        <w:rPr>
          <w:rFonts w:eastAsia="Times New Roman"/>
          <w:snapToGrid w:val="0"/>
          <w:sz w:val="22"/>
          <w:szCs w:val="22"/>
          <w:lang w:val="lt-LT" w:eastAsia="en-US"/>
        </w:rPr>
        <w:t>ių</w:t>
      </w:r>
      <w:r w:rsidRPr="004509B9">
        <w:rPr>
          <w:rFonts w:eastAsia="Times New Roman"/>
          <w:snapToGrid w:val="0"/>
          <w:sz w:val="22"/>
          <w:szCs w:val="22"/>
          <w:lang w:val="lt-LT" w:eastAsia="en-US"/>
        </w:rPr>
        <w:t xml:space="preserve"> plokštel</w:t>
      </w:r>
      <w:r w:rsidR="00646DFE">
        <w:rPr>
          <w:rFonts w:eastAsia="Times New Roman"/>
          <w:snapToGrid w:val="0"/>
          <w:sz w:val="22"/>
          <w:szCs w:val="22"/>
          <w:lang w:val="lt-LT" w:eastAsia="en-US"/>
        </w:rPr>
        <w:t>ių pakuotė</w:t>
      </w:r>
      <w:r w:rsidRPr="004509B9">
        <w:rPr>
          <w:rFonts w:eastAsia="Times New Roman"/>
          <w:snapToGrid w:val="0"/>
          <w:sz w:val="22"/>
          <w:szCs w:val="22"/>
          <w:lang w:val="lt-LT" w:eastAsia="en-US"/>
        </w:rPr>
        <w:t xml:space="preserve">, kurioje yra 20, </w:t>
      </w:r>
      <w:r w:rsidRPr="004509B9">
        <w:rPr>
          <w:rFonts w:eastAsia="Times New Roman"/>
          <w:sz w:val="22"/>
          <w:szCs w:val="22"/>
          <w:lang w:val="lt-LT" w:eastAsia="en-US"/>
        </w:rPr>
        <w:t>20x1, 60, 60x1, 200, 200x1, 240 ir 240x1 plėvele dengtų tablečių.</w:t>
      </w:r>
    </w:p>
    <w:p w14:paraId="1DE62428" w14:textId="77777777" w:rsidR="009F5848" w:rsidRPr="004509B9" w:rsidRDefault="009F5848" w:rsidP="009F5848">
      <w:pPr>
        <w:widowControl w:val="0"/>
        <w:tabs>
          <w:tab w:val="left" w:pos="567"/>
        </w:tabs>
        <w:rPr>
          <w:rFonts w:eastAsia="Times New Roman"/>
          <w:sz w:val="22"/>
          <w:szCs w:val="22"/>
          <w:lang w:val="lt-LT" w:eastAsia="en-US"/>
        </w:rPr>
      </w:pPr>
    </w:p>
    <w:p w14:paraId="2105E675" w14:textId="77777777" w:rsidR="009F5848" w:rsidRPr="004509B9" w:rsidRDefault="009F5848" w:rsidP="009F5848">
      <w:pPr>
        <w:widowControl w:val="0"/>
        <w:tabs>
          <w:tab w:val="left" w:pos="567"/>
        </w:tabs>
        <w:rPr>
          <w:rFonts w:eastAsia="Times New Roman"/>
          <w:sz w:val="22"/>
          <w:szCs w:val="22"/>
          <w:lang w:val="lt-LT" w:eastAsia="en-US"/>
        </w:rPr>
      </w:pPr>
      <w:r w:rsidRPr="004509B9">
        <w:rPr>
          <w:rFonts w:eastAsia="Times New Roman"/>
          <w:sz w:val="22"/>
          <w:szCs w:val="22"/>
          <w:lang w:val="lt-LT" w:eastAsia="en-US"/>
        </w:rPr>
        <w:t>Skaidri</w:t>
      </w:r>
      <w:r w:rsidR="00646DFE">
        <w:rPr>
          <w:rFonts w:eastAsia="Times New Roman"/>
          <w:sz w:val="22"/>
          <w:szCs w:val="22"/>
          <w:lang w:val="lt-LT" w:eastAsia="en-US"/>
        </w:rPr>
        <w:t>ų</w:t>
      </w:r>
      <w:r w:rsidRPr="004509B9">
        <w:rPr>
          <w:rFonts w:eastAsia="Times New Roman"/>
          <w:sz w:val="22"/>
          <w:szCs w:val="22"/>
          <w:lang w:val="lt-LT" w:eastAsia="en-US"/>
        </w:rPr>
        <w:t xml:space="preserve"> </w:t>
      </w:r>
      <w:r w:rsidRPr="004509B9">
        <w:rPr>
          <w:rFonts w:eastAsia="Times New Roman"/>
          <w:snapToGrid w:val="0"/>
          <w:sz w:val="22"/>
          <w:szCs w:val="22"/>
          <w:lang w:val="lt-LT" w:eastAsia="en-US"/>
        </w:rPr>
        <w:t>PVC/ACLAR/PVC –aliuminio lizdin</w:t>
      </w:r>
      <w:r w:rsidR="00646DFE">
        <w:rPr>
          <w:rFonts w:eastAsia="Times New Roman"/>
          <w:snapToGrid w:val="0"/>
          <w:sz w:val="22"/>
          <w:szCs w:val="22"/>
          <w:lang w:val="lt-LT" w:eastAsia="en-US"/>
        </w:rPr>
        <w:t>ių</w:t>
      </w:r>
      <w:r w:rsidRPr="004509B9">
        <w:rPr>
          <w:rFonts w:eastAsia="Times New Roman"/>
          <w:snapToGrid w:val="0"/>
          <w:sz w:val="22"/>
          <w:szCs w:val="22"/>
          <w:lang w:val="lt-LT" w:eastAsia="en-US"/>
        </w:rPr>
        <w:t xml:space="preserve"> plokštel</w:t>
      </w:r>
      <w:r w:rsidR="00646DFE">
        <w:rPr>
          <w:rFonts w:eastAsia="Times New Roman"/>
          <w:snapToGrid w:val="0"/>
          <w:sz w:val="22"/>
          <w:szCs w:val="22"/>
          <w:lang w:val="lt-LT" w:eastAsia="en-US"/>
        </w:rPr>
        <w:t>ių pakuotė</w:t>
      </w:r>
      <w:r w:rsidRPr="004509B9">
        <w:rPr>
          <w:rFonts w:eastAsia="Times New Roman"/>
          <w:snapToGrid w:val="0"/>
          <w:sz w:val="22"/>
          <w:szCs w:val="22"/>
          <w:lang w:val="lt-LT" w:eastAsia="en-US"/>
        </w:rPr>
        <w:t xml:space="preserve">, kurioje yra 20, </w:t>
      </w:r>
      <w:r w:rsidRPr="004509B9">
        <w:rPr>
          <w:rFonts w:eastAsia="Times New Roman"/>
          <w:sz w:val="22"/>
          <w:szCs w:val="22"/>
          <w:lang w:val="lt-LT" w:eastAsia="en-US"/>
        </w:rPr>
        <w:t>20x1, 60, 60x1, 200, 200x1, 240 ir 240x1 plėvele dengtų tablečių.</w:t>
      </w:r>
    </w:p>
    <w:p w14:paraId="7A66CB66" w14:textId="77777777" w:rsidR="000A47B4" w:rsidRDefault="000A47B4" w:rsidP="009F5848">
      <w:pPr>
        <w:widowControl w:val="0"/>
        <w:tabs>
          <w:tab w:val="left" w:pos="567"/>
        </w:tabs>
        <w:rPr>
          <w:rFonts w:eastAsia="Times New Roman"/>
          <w:sz w:val="22"/>
          <w:szCs w:val="22"/>
          <w:lang w:val="lt-LT" w:eastAsia="en-US"/>
        </w:rPr>
      </w:pPr>
    </w:p>
    <w:p w14:paraId="54961166" w14:textId="77777777" w:rsidR="009F5848" w:rsidRPr="004509B9" w:rsidRDefault="009F5848" w:rsidP="009F5848">
      <w:pPr>
        <w:widowControl w:val="0"/>
        <w:tabs>
          <w:tab w:val="left" w:pos="567"/>
        </w:tabs>
        <w:rPr>
          <w:rFonts w:eastAsia="Times New Roman"/>
          <w:sz w:val="22"/>
          <w:szCs w:val="22"/>
          <w:lang w:val="lt-LT" w:eastAsia="en-US"/>
        </w:rPr>
      </w:pPr>
      <w:r w:rsidRPr="004509B9">
        <w:rPr>
          <w:rFonts w:eastAsia="Times New Roman"/>
          <w:sz w:val="22"/>
          <w:szCs w:val="22"/>
          <w:lang w:val="lt-LT" w:eastAsia="en-US"/>
        </w:rPr>
        <w:t>Skaidri</w:t>
      </w:r>
      <w:r w:rsidR="00646DFE">
        <w:rPr>
          <w:rFonts w:eastAsia="Times New Roman"/>
          <w:sz w:val="22"/>
          <w:szCs w:val="22"/>
          <w:lang w:val="lt-LT" w:eastAsia="en-US"/>
        </w:rPr>
        <w:t>ų</w:t>
      </w:r>
      <w:r w:rsidRPr="004509B9">
        <w:rPr>
          <w:rFonts w:eastAsia="Times New Roman"/>
          <w:sz w:val="22"/>
          <w:szCs w:val="22"/>
          <w:lang w:val="lt-LT" w:eastAsia="en-US"/>
        </w:rPr>
        <w:t xml:space="preserve"> </w:t>
      </w:r>
      <w:r w:rsidRPr="004509B9">
        <w:rPr>
          <w:rFonts w:eastAsia="Times New Roman"/>
          <w:snapToGrid w:val="0"/>
          <w:sz w:val="22"/>
          <w:szCs w:val="22"/>
          <w:lang w:val="lt-LT" w:eastAsia="en-US"/>
        </w:rPr>
        <w:t>PVC/ACLAR/P</w:t>
      </w:r>
      <w:r w:rsidR="00646DFE">
        <w:rPr>
          <w:rFonts w:eastAsia="Times New Roman"/>
          <w:snapToGrid w:val="0"/>
          <w:sz w:val="22"/>
          <w:szCs w:val="22"/>
          <w:lang w:val="lt-LT" w:eastAsia="en-US"/>
        </w:rPr>
        <w:t>Vd</w:t>
      </w:r>
      <w:r w:rsidRPr="004509B9">
        <w:rPr>
          <w:rFonts w:eastAsia="Times New Roman"/>
          <w:snapToGrid w:val="0"/>
          <w:sz w:val="22"/>
          <w:szCs w:val="22"/>
          <w:lang w:val="lt-LT" w:eastAsia="en-US"/>
        </w:rPr>
        <w:t>C/PVC –aliuminio lizdin</w:t>
      </w:r>
      <w:r w:rsidR="00646DFE">
        <w:rPr>
          <w:rFonts w:eastAsia="Times New Roman"/>
          <w:snapToGrid w:val="0"/>
          <w:sz w:val="22"/>
          <w:szCs w:val="22"/>
          <w:lang w:val="lt-LT" w:eastAsia="en-US"/>
        </w:rPr>
        <w:t>ių</w:t>
      </w:r>
      <w:r w:rsidRPr="004509B9">
        <w:rPr>
          <w:rFonts w:eastAsia="Times New Roman"/>
          <w:snapToGrid w:val="0"/>
          <w:sz w:val="22"/>
          <w:szCs w:val="22"/>
          <w:lang w:val="lt-LT" w:eastAsia="en-US"/>
        </w:rPr>
        <w:t xml:space="preserve"> plokštel</w:t>
      </w:r>
      <w:r w:rsidR="00646DFE">
        <w:rPr>
          <w:rFonts w:eastAsia="Times New Roman"/>
          <w:snapToGrid w:val="0"/>
          <w:sz w:val="22"/>
          <w:szCs w:val="22"/>
          <w:lang w:val="lt-LT" w:eastAsia="en-US"/>
        </w:rPr>
        <w:t>ių pakuotė</w:t>
      </w:r>
      <w:r w:rsidRPr="004509B9">
        <w:rPr>
          <w:rFonts w:eastAsia="Times New Roman"/>
          <w:snapToGrid w:val="0"/>
          <w:sz w:val="22"/>
          <w:szCs w:val="22"/>
          <w:lang w:val="lt-LT" w:eastAsia="en-US"/>
        </w:rPr>
        <w:t xml:space="preserve">, kurioje yra 20, </w:t>
      </w:r>
      <w:r w:rsidRPr="004509B9">
        <w:rPr>
          <w:rFonts w:eastAsia="Times New Roman"/>
          <w:sz w:val="22"/>
          <w:szCs w:val="22"/>
          <w:lang w:val="lt-LT" w:eastAsia="en-US"/>
        </w:rPr>
        <w:t>20x1, 60, 60x1, 200, 200x1, 240 ir 240x1 plėvele dengtų tablečių.</w:t>
      </w:r>
    </w:p>
    <w:p w14:paraId="1C264DF3" w14:textId="77777777" w:rsidR="009F5848" w:rsidRPr="004509B9" w:rsidRDefault="009F5848" w:rsidP="009F5848">
      <w:pPr>
        <w:autoSpaceDE w:val="0"/>
        <w:autoSpaceDN w:val="0"/>
        <w:adjustRightInd w:val="0"/>
        <w:rPr>
          <w:rFonts w:eastAsia="TimesNewRoman"/>
          <w:sz w:val="22"/>
          <w:szCs w:val="22"/>
          <w:lang w:val="lt-LT" w:eastAsia="en-US"/>
        </w:rPr>
      </w:pPr>
    </w:p>
    <w:p w14:paraId="0489193B"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 xml:space="preserve">Baltas </w:t>
      </w:r>
      <w:r w:rsidR="00646DFE">
        <w:rPr>
          <w:rFonts w:eastAsia="TimesNewRoman"/>
          <w:sz w:val="22"/>
          <w:szCs w:val="22"/>
          <w:lang w:val="lt-LT" w:eastAsia="en-US"/>
        </w:rPr>
        <w:t>DT</w:t>
      </w:r>
      <w:r w:rsidR="00646DFE" w:rsidRPr="004509B9">
        <w:rPr>
          <w:rFonts w:eastAsia="TimesNewRoman"/>
          <w:sz w:val="22"/>
          <w:szCs w:val="22"/>
          <w:lang w:val="lt-LT" w:eastAsia="en-US"/>
        </w:rPr>
        <w:t xml:space="preserve">PE </w:t>
      </w:r>
      <w:r w:rsidRPr="004509B9">
        <w:rPr>
          <w:rFonts w:eastAsia="TimesNewRoman"/>
          <w:sz w:val="22"/>
          <w:szCs w:val="22"/>
          <w:lang w:val="lt-LT" w:eastAsia="en-US"/>
        </w:rPr>
        <w:t xml:space="preserve">buteliukas su sausikliu, užsuktas </w:t>
      </w:r>
      <w:r w:rsidR="000A47B4">
        <w:rPr>
          <w:rFonts w:eastAsia="TimesNewRoman"/>
          <w:sz w:val="22"/>
          <w:szCs w:val="22"/>
          <w:lang w:val="lt-LT" w:eastAsia="en-US"/>
        </w:rPr>
        <w:t xml:space="preserve">vaikų sunkiai atidaromu </w:t>
      </w:r>
      <w:r w:rsidR="00646DFE">
        <w:rPr>
          <w:rFonts w:eastAsia="TimesNewRoman"/>
          <w:sz w:val="22"/>
          <w:szCs w:val="22"/>
          <w:lang w:val="lt-LT" w:eastAsia="en-US"/>
        </w:rPr>
        <w:t>dangteliu</w:t>
      </w:r>
      <w:r w:rsidR="000A47B4">
        <w:rPr>
          <w:rFonts w:eastAsia="TimesNewRoman"/>
          <w:sz w:val="22"/>
          <w:szCs w:val="22"/>
          <w:lang w:val="lt-LT" w:eastAsia="en-US"/>
        </w:rPr>
        <w:t xml:space="preserve">, </w:t>
      </w:r>
      <w:r w:rsidRPr="004509B9">
        <w:rPr>
          <w:rFonts w:eastAsia="TimesNewRoman"/>
          <w:sz w:val="22"/>
          <w:szCs w:val="22"/>
          <w:lang w:val="lt-LT" w:eastAsia="en-US"/>
        </w:rPr>
        <w:t>kuriame yra 60, 180 (60x3) ir 200 plėvele dengtų tablečių.</w:t>
      </w:r>
    </w:p>
    <w:p w14:paraId="1A999785" w14:textId="77777777" w:rsidR="009F5848" w:rsidRPr="004509B9" w:rsidRDefault="009F5848" w:rsidP="009F5848">
      <w:pPr>
        <w:autoSpaceDE w:val="0"/>
        <w:autoSpaceDN w:val="0"/>
        <w:adjustRightInd w:val="0"/>
        <w:rPr>
          <w:rFonts w:eastAsia="TimesNewRoman"/>
          <w:sz w:val="22"/>
          <w:szCs w:val="22"/>
          <w:lang w:val="lt-LT" w:eastAsia="en-US"/>
        </w:rPr>
      </w:pPr>
    </w:p>
    <w:p w14:paraId="11568DCE" w14:textId="77777777" w:rsidR="009F5848" w:rsidRPr="004509B9" w:rsidRDefault="009F5848" w:rsidP="009F5848">
      <w:pPr>
        <w:autoSpaceDE w:val="0"/>
        <w:autoSpaceDN w:val="0"/>
        <w:adjustRightInd w:val="0"/>
        <w:rPr>
          <w:rFonts w:eastAsia="TimesNewRoman"/>
          <w:sz w:val="22"/>
          <w:szCs w:val="22"/>
          <w:lang w:val="lt-LT" w:eastAsia="en-US"/>
        </w:rPr>
      </w:pPr>
      <w:r w:rsidRPr="004509B9">
        <w:rPr>
          <w:rFonts w:eastAsia="TimesNewRoman"/>
          <w:sz w:val="22"/>
          <w:szCs w:val="22"/>
          <w:lang w:val="lt-LT" w:eastAsia="en-US"/>
        </w:rPr>
        <w:t>Gali būti tiekiamos ne visų dydžių pakuotės.</w:t>
      </w:r>
    </w:p>
    <w:p w14:paraId="408ACC10" w14:textId="77777777" w:rsidR="009F5848" w:rsidRPr="004509B9" w:rsidRDefault="009F5848" w:rsidP="009F5848">
      <w:pPr>
        <w:autoSpaceDE w:val="0"/>
        <w:autoSpaceDN w:val="0"/>
        <w:adjustRightInd w:val="0"/>
        <w:rPr>
          <w:rFonts w:eastAsia="TimesNewRoman"/>
          <w:sz w:val="22"/>
          <w:szCs w:val="22"/>
          <w:lang w:val="lt-LT" w:eastAsia="en-US"/>
        </w:rPr>
      </w:pPr>
    </w:p>
    <w:p w14:paraId="27C34C71" w14:textId="77777777" w:rsidR="009F5848" w:rsidRPr="004509B9" w:rsidRDefault="009F5848" w:rsidP="00FA103E">
      <w:pPr>
        <w:keepNext/>
        <w:numPr>
          <w:ilvl w:val="1"/>
          <w:numId w:val="19"/>
        </w:numPr>
        <w:tabs>
          <w:tab w:val="left" w:pos="567"/>
        </w:tabs>
        <w:spacing w:line="260" w:lineRule="exact"/>
        <w:outlineLvl w:val="0"/>
        <w:rPr>
          <w:rFonts w:eastAsia="Times New Roman"/>
          <w:noProof/>
          <w:sz w:val="22"/>
          <w:szCs w:val="22"/>
          <w:lang w:val="lt-LT" w:eastAsia="lt-LT" w:bidi="lt-LT"/>
        </w:rPr>
      </w:pPr>
      <w:r w:rsidRPr="004509B9">
        <w:rPr>
          <w:rFonts w:eastAsia="Times New Roman"/>
          <w:b/>
          <w:noProof/>
          <w:sz w:val="22"/>
          <w:lang w:val="lt-LT" w:eastAsia="lt-LT" w:bidi="lt-LT"/>
        </w:rPr>
        <w:t xml:space="preserve">Specialūs reikalavimai atliekoms tvarkyti </w:t>
      </w:r>
    </w:p>
    <w:p w14:paraId="0A586199" w14:textId="77777777" w:rsidR="009F5848" w:rsidRPr="00C75EC3" w:rsidRDefault="009F5848" w:rsidP="009F5848">
      <w:pPr>
        <w:autoSpaceDE w:val="0"/>
        <w:autoSpaceDN w:val="0"/>
        <w:adjustRightInd w:val="0"/>
        <w:rPr>
          <w:rFonts w:ascii="TimesNewRoman" w:eastAsia="TimesNewRoman" w:hAnsi="Calibri" w:cs="TimesNewRoman"/>
          <w:sz w:val="22"/>
          <w:szCs w:val="22"/>
          <w:lang w:val="lt-LT" w:eastAsia="en-US"/>
        </w:rPr>
      </w:pPr>
    </w:p>
    <w:p w14:paraId="7BA4D630" w14:textId="77777777" w:rsidR="009F5848" w:rsidRPr="004509B9" w:rsidRDefault="009F5848" w:rsidP="009F5848">
      <w:pPr>
        <w:rPr>
          <w:rFonts w:eastAsia="Times New Roman"/>
          <w:snapToGrid w:val="0"/>
          <w:sz w:val="22"/>
          <w:szCs w:val="24"/>
          <w:lang w:val="lt-LT" w:eastAsia="en-US"/>
        </w:rPr>
      </w:pPr>
      <w:r w:rsidRPr="004509B9">
        <w:rPr>
          <w:rFonts w:eastAsia="Times New Roman"/>
          <w:noProof/>
          <w:snapToGrid w:val="0"/>
          <w:sz w:val="22"/>
          <w:szCs w:val="24"/>
          <w:lang w:val="lt-LT" w:eastAsia="en-US"/>
        </w:rPr>
        <w:t>Nesuvartotą vaistinį preparatą ar atliekas reikia tvarkyti laikantis vietinių reikalavimų.</w:t>
      </w:r>
    </w:p>
    <w:p w14:paraId="7DB9E4B2" w14:textId="77777777" w:rsidR="009F5848" w:rsidRPr="004509B9" w:rsidRDefault="009F5848" w:rsidP="009F5848">
      <w:pPr>
        <w:autoSpaceDE w:val="0"/>
        <w:autoSpaceDN w:val="0"/>
        <w:adjustRightInd w:val="0"/>
        <w:rPr>
          <w:rFonts w:eastAsia="TimesNewRoman"/>
          <w:sz w:val="22"/>
          <w:szCs w:val="22"/>
          <w:lang w:val="lt-LT" w:eastAsia="en-US"/>
        </w:rPr>
      </w:pPr>
    </w:p>
    <w:p w14:paraId="5F878B34" w14:textId="77777777" w:rsidR="009F5848" w:rsidRPr="004509B9" w:rsidRDefault="009F5848" w:rsidP="009F5848">
      <w:pPr>
        <w:autoSpaceDE w:val="0"/>
        <w:autoSpaceDN w:val="0"/>
        <w:adjustRightInd w:val="0"/>
        <w:rPr>
          <w:rFonts w:eastAsia="TimesNewRoman"/>
          <w:sz w:val="22"/>
          <w:szCs w:val="22"/>
          <w:lang w:val="lt-LT" w:eastAsia="en-US"/>
        </w:rPr>
      </w:pPr>
    </w:p>
    <w:p w14:paraId="6DF4448C" w14:textId="77777777" w:rsidR="009F5848" w:rsidRPr="004509B9" w:rsidRDefault="000A47B4" w:rsidP="000A47B4">
      <w:pPr>
        <w:keepNext/>
        <w:tabs>
          <w:tab w:val="left" w:pos="567"/>
        </w:tabs>
        <w:spacing w:line="260" w:lineRule="exact"/>
        <w:rPr>
          <w:rFonts w:eastAsia="Times New Roman"/>
          <w:noProof/>
          <w:sz w:val="22"/>
          <w:szCs w:val="22"/>
          <w:lang w:val="lt-LT" w:eastAsia="lt-LT" w:bidi="lt-LT"/>
        </w:rPr>
      </w:pPr>
      <w:r>
        <w:rPr>
          <w:rFonts w:eastAsia="Times New Roman"/>
          <w:b/>
          <w:noProof/>
          <w:sz w:val="22"/>
          <w:lang w:val="lt-LT" w:eastAsia="lt-LT" w:bidi="lt-LT"/>
        </w:rPr>
        <w:t>7.</w:t>
      </w:r>
      <w:r>
        <w:rPr>
          <w:rFonts w:eastAsia="Times New Roman"/>
          <w:b/>
          <w:noProof/>
          <w:sz w:val="22"/>
          <w:lang w:val="lt-LT" w:eastAsia="lt-LT" w:bidi="lt-LT"/>
        </w:rPr>
        <w:tab/>
      </w:r>
      <w:r w:rsidR="009F5848" w:rsidRPr="004509B9">
        <w:rPr>
          <w:rFonts w:eastAsia="Times New Roman"/>
          <w:b/>
          <w:noProof/>
          <w:sz w:val="22"/>
          <w:lang w:val="lt-LT" w:eastAsia="lt-LT" w:bidi="lt-LT"/>
        </w:rPr>
        <w:t>REGISTRUOTOJAS</w:t>
      </w:r>
    </w:p>
    <w:p w14:paraId="4EF695F6" w14:textId="77777777" w:rsidR="009F5848" w:rsidRPr="004509B9" w:rsidRDefault="009F5848" w:rsidP="009F5848">
      <w:pPr>
        <w:keepNext/>
        <w:tabs>
          <w:tab w:val="left" w:pos="567"/>
        </w:tabs>
        <w:rPr>
          <w:rFonts w:eastAsia="Times New Roman"/>
          <w:noProof/>
          <w:sz w:val="22"/>
          <w:szCs w:val="22"/>
          <w:lang w:val="lt-LT" w:eastAsia="lt-LT" w:bidi="lt-LT"/>
        </w:rPr>
      </w:pPr>
    </w:p>
    <w:p w14:paraId="64E3D5CE" w14:textId="77777777" w:rsidR="009F5848" w:rsidRPr="00C75EC3" w:rsidRDefault="009F5848" w:rsidP="009F5848">
      <w:pPr>
        <w:shd w:val="clear" w:color="auto" w:fill="FFFFFF"/>
        <w:rPr>
          <w:rFonts w:eastAsia="Times New Roman"/>
          <w:color w:val="000000"/>
          <w:sz w:val="22"/>
          <w:szCs w:val="22"/>
          <w:lang w:val="lt-LT" w:eastAsia="en-GB"/>
        </w:rPr>
      </w:pPr>
      <w:r w:rsidRPr="00C75EC3">
        <w:rPr>
          <w:rFonts w:eastAsia="Times New Roman"/>
          <w:color w:val="000000"/>
          <w:sz w:val="22"/>
          <w:szCs w:val="22"/>
          <w:lang w:val="lt-LT" w:eastAsia="en-GB"/>
        </w:rPr>
        <w:t>Teva B.V.</w:t>
      </w:r>
    </w:p>
    <w:p w14:paraId="138E3F11" w14:textId="77777777" w:rsidR="009F5848" w:rsidRPr="00C75EC3" w:rsidRDefault="009F5848" w:rsidP="009F5848">
      <w:pPr>
        <w:shd w:val="clear" w:color="auto" w:fill="FFFFFF"/>
        <w:rPr>
          <w:rFonts w:eastAsia="Times New Roman"/>
          <w:color w:val="000000"/>
          <w:sz w:val="22"/>
          <w:szCs w:val="22"/>
          <w:lang w:val="lt-LT" w:eastAsia="en-GB"/>
        </w:rPr>
      </w:pPr>
      <w:r w:rsidRPr="00C75EC3">
        <w:rPr>
          <w:rFonts w:eastAsia="Times New Roman"/>
          <w:color w:val="000000"/>
          <w:sz w:val="22"/>
          <w:szCs w:val="22"/>
          <w:lang w:val="lt-LT" w:eastAsia="en-GB"/>
        </w:rPr>
        <w:t>Swensweg 5</w:t>
      </w:r>
    </w:p>
    <w:p w14:paraId="531632FC" w14:textId="77777777" w:rsidR="009F5848" w:rsidRPr="00C75EC3" w:rsidRDefault="009F5848" w:rsidP="009F5848">
      <w:pPr>
        <w:shd w:val="clear" w:color="auto" w:fill="FFFFFF"/>
        <w:rPr>
          <w:rFonts w:eastAsia="Times New Roman"/>
          <w:color w:val="000000"/>
          <w:sz w:val="22"/>
          <w:szCs w:val="22"/>
          <w:lang w:val="lt-LT" w:eastAsia="en-GB"/>
        </w:rPr>
      </w:pPr>
      <w:r w:rsidRPr="00C75EC3">
        <w:rPr>
          <w:rFonts w:eastAsia="Times New Roman"/>
          <w:color w:val="000000"/>
          <w:sz w:val="22"/>
          <w:szCs w:val="22"/>
          <w:lang w:val="lt-LT" w:eastAsia="en-GB"/>
        </w:rPr>
        <w:t>2031 GA, Haarlem</w:t>
      </w:r>
    </w:p>
    <w:p w14:paraId="15AED626" w14:textId="77777777" w:rsidR="009F5848" w:rsidRPr="00C75EC3" w:rsidRDefault="009F5848" w:rsidP="009F5848">
      <w:pPr>
        <w:shd w:val="clear" w:color="auto" w:fill="FFFFFF"/>
        <w:rPr>
          <w:rFonts w:ascii="Arial" w:eastAsia="Times New Roman" w:hAnsi="Arial" w:cs="Arial"/>
          <w:color w:val="000000"/>
          <w:sz w:val="22"/>
          <w:szCs w:val="22"/>
          <w:lang w:val="lt-LT" w:eastAsia="en-GB"/>
        </w:rPr>
      </w:pPr>
      <w:r w:rsidRPr="00C75EC3">
        <w:rPr>
          <w:rFonts w:eastAsia="Times New Roman"/>
          <w:color w:val="000000"/>
          <w:sz w:val="22"/>
          <w:szCs w:val="22"/>
          <w:lang w:val="lt-LT" w:eastAsia="en-GB"/>
        </w:rPr>
        <w:t>Nyderlandai</w:t>
      </w:r>
    </w:p>
    <w:p w14:paraId="6F5A3928" w14:textId="77777777" w:rsidR="009F5848" w:rsidRPr="00C75EC3" w:rsidRDefault="009F5848" w:rsidP="009F5848">
      <w:pPr>
        <w:tabs>
          <w:tab w:val="left" w:pos="567"/>
        </w:tabs>
        <w:rPr>
          <w:rFonts w:eastAsia="Times New Roman"/>
          <w:noProof/>
          <w:color w:val="000000"/>
          <w:sz w:val="22"/>
          <w:szCs w:val="22"/>
          <w:lang w:val="lt-LT" w:eastAsia="lt-LT" w:bidi="lt-LT"/>
        </w:rPr>
      </w:pPr>
    </w:p>
    <w:p w14:paraId="734FAD10" w14:textId="77777777" w:rsidR="009F5848" w:rsidRPr="004509B9" w:rsidRDefault="009F5848" w:rsidP="009F5848">
      <w:pPr>
        <w:tabs>
          <w:tab w:val="left" w:pos="567"/>
        </w:tabs>
        <w:rPr>
          <w:rFonts w:eastAsia="Times New Roman"/>
          <w:noProof/>
          <w:sz w:val="22"/>
          <w:szCs w:val="22"/>
          <w:lang w:val="lt-LT" w:eastAsia="lt-LT" w:bidi="lt-LT"/>
        </w:rPr>
      </w:pPr>
    </w:p>
    <w:p w14:paraId="52AF30A1" w14:textId="5D26E5B3" w:rsidR="009F5848" w:rsidRPr="004509B9" w:rsidRDefault="00F05FE6" w:rsidP="000A47B4">
      <w:pPr>
        <w:keepNext/>
        <w:tabs>
          <w:tab w:val="left" w:pos="567"/>
        </w:tabs>
        <w:spacing w:line="260" w:lineRule="exact"/>
        <w:rPr>
          <w:rFonts w:eastAsia="Times New Roman"/>
          <w:b/>
          <w:noProof/>
          <w:sz w:val="22"/>
          <w:szCs w:val="22"/>
          <w:lang w:val="lt-LT" w:eastAsia="lt-LT" w:bidi="lt-LT"/>
        </w:rPr>
      </w:pPr>
      <w:r>
        <w:rPr>
          <w:rFonts w:eastAsia="Times New Roman"/>
          <w:b/>
          <w:noProof/>
          <w:sz w:val="22"/>
          <w:lang w:val="lt-LT" w:eastAsia="lt-LT" w:bidi="lt-LT"/>
        </w:rPr>
        <w:t>8.</w:t>
      </w:r>
      <w:r w:rsidR="000A47B4">
        <w:rPr>
          <w:rFonts w:eastAsia="Times New Roman"/>
          <w:b/>
          <w:noProof/>
          <w:sz w:val="22"/>
          <w:lang w:val="lt-LT" w:eastAsia="lt-LT" w:bidi="lt-LT"/>
        </w:rPr>
        <w:tab/>
      </w:r>
      <w:r w:rsidR="009F5848" w:rsidRPr="004509B9">
        <w:rPr>
          <w:rFonts w:eastAsia="Times New Roman"/>
          <w:b/>
          <w:noProof/>
          <w:sz w:val="22"/>
          <w:lang w:val="lt-LT" w:eastAsia="lt-LT" w:bidi="lt-LT"/>
        </w:rPr>
        <w:t xml:space="preserve">REGISTRACIJOS PAŽYMĖJIMO NUMERIS (-IAI) </w:t>
      </w:r>
    </w:p>
    <w:p w14:paraId="06226FE2" w14:textId="77777777" w:rsidR="009F5848" w:rsidRDefault="009F5848" w:rsidP="009F5848">
      <w:pPr>
        <w:tabs>
          <w:tab w:val="left" w:pos="567"/>
        </w:tabs>
        <w:rPr>
          <w:rFonts w:eastAsia="Times New Roman"/>
          <w:noProof/>
          <w:sz w:val="22"/>
          <w:szCs w:val="22"/>
          <w:lang w:val="lt-LT" w:eastAsia="lt-LT" w:bidi="lt-LT"/>
        </w:rPr>
      </w:pPr>
    </w:p>
    <w:p w14:paraId="2B99BD1B" w14:textId="77777777" w:rsidR="00F05FE6" w:rsidRPr="0014002C" w:rsidRDefault="00F05FE6" w:rsidP="00F05FE6">
      <w:pPr>
        <w:tabs>
          <w:tab w:val="left" w:pos="567"/>
        </w:tabs>
        <w:rPr>
          <w:rFonts w:eastAsia="Times New Roman"/>
          <w:noProof/>
          <w:sz w:val="22"/>
          <w:szCs w:val="22"/>
          <w:u w:val="single"/>
          <w:lang w:val="lt-LT" w:eastAsia="lt-LT" w:bidi="lt-LT"/>
        </w:rPr>
      </w:pPr>
      <w:r w:rsidRPr="0014002C">
        <w:rPr>
          <w:rFonts w:eastAsia="Times New Roman"/>
          <w:bCs/>
          <w:sz w:val="22"/>
          <w:szCs w:val="22"/>
          <w:u w:val="single"/>
          <w:lang w:val="lt-LT" w:eastAsia="en-US"/>
        </w:rPr>
        <w:t>Lizdinė plokštelė:</w:t>
      </w:r>
    </w:p>
    <w:p w14:paraId="43F87D1D" w14:textId="3BCAFCE2" w:rsidR="00F05FE6" w:rsidRPr="0014002C" w:rsidRDefault="00F05FE6" w:rsidP="00F05FE6">
      <w:pPr>
        <w:rPr>
          <w:rFonts w:eastAsia="Times New Roman"/>
          <w:bCs/>
          <w:sz w:val="22"/>
          <w:szCs w:val="22"/>
          <w:lang w:val="lt-LT" w:eastAsia="en-US"/>
        </w:rPr>
      </w:pPr>
      <w:r>
        <w:rPr>
          <w:rFonts w:eastAsia="Times New Roman"/>
          <w:sz w:val="22"/>
          <w:szCs w:val="22"/>
          <w:lang w:val="lt-LT" w:eastAsia="en-US"/>
        </w:rPr>
        <w:t xml:space="preserve">N20 - </w:t>
      </w:r>
      <w:r w:rsidRPr="0014002C">
        <w:rPr>
          <w:rFonts w:eastAsia="Times New Roman"/>
          <w:sz w:val="22"/>
          <w:szCs w:val="22"/>
          <w:lang w:val="lt-LT" w:eastAsia="en-US"/>
        </w:rPr>
        <w:t>LT/1/17/4034</w:t>
      </w:r>
      <w:r>
        <w:rPr>
          <w:rFonts w:eastAsia="Times New Roman"/>
          <w:sz w:val="22"/>
          <w:szCs w:val="22"/>
          <w:lang w:val="lt-LT" w:eastAsia="en-US"/>
        </w:rPr>
        <w:t>/012</w:t>
      </w:r>
    </w:p>
    <w:p w14:paraId="2EE4A63D" w14:textId="2B24C45C" w:rsidR="00F05FE6" w:rsidRPr="0014002C" w:rsidRDefault="00F05FE6" w:rsidP="00F05FE6">
      <w:pPr>
        <w:rPr>
          <w:rFonts w:eastAsia="Times New Roman"/>
          <w:bCs/>
          <w:sz w:val="22"/>
          <w:szCs w:val="22"/>
          <w:lang w:val="lt-LT" w:eastAsia="en-US"/>
        </w:rPr>
      </w:pPr>
      <w:r>
        <w:rPr>
          <w:rFonts w:eastAsia="Times New Roman"/>
          <w:sz w:val="22"/>
          <w:szCs w:val="22"/>
          <w:lang w:val="lt-LT" w:eastAsia="en-US"/>
        </w:rPr>
        <w:t xml:space="preserve">N20x1 - </w:t>
      </w:r>
      <w:r w:rsidRPr="0014002C">
        <w:rPr>
          <w:rFonts w:eastAsia="Times New Roman"/>
          <w:sz w:val="22"/>
          <w:szCs w:val="22"/>
          <w:lang w:val="lt-LT" w:eastAsia="en-US"/>
        </w:rPr>
        <w:t>LT/1/17/4034</w:t>
      </w:r>
      <w:r>
        <w:rPr>
          <w:rFonts w:eastAsia="Times New Roman"/>
          <w:sz w:val="22"/>
          <w:szCs w:val="22"/>
          <w:lang w:val="lt-LT" w:eastAsia="en-US"/>
        </w:rPr>
        <w:t>/013</w:t>
      </w:r>
    </w:p>
    <w:p w14:paraId="14CA50CC" w14:textId="0708ECB8" w:rsidR="00F05FE6" w:rsidRPr="0014002C" w:rsidRDefault="00F05FE6" w:rsidP="00F05FE6">
      <w:pPr>
        <w:rPr>
          <w:rFonts w:eastAsia="Times New Roman"/>
          <w:bCs/>
          <w:sz w:val="22"/>
          <w:szCs w:val="22"/>
          <w:lang w:val="lt-LT" w:eastAsia="en-US"/>
        </w:rPr>
      </w:pPr>
      <w:r>
        <w:rPr>
          <w:rFonts w:eastAsia="Times New Roman"/>
          <w:sz w:val="22"/>
          <w:szCs w:val="22"/>
          <w:lang w:val="lt-LT" w:eastAsia="en-US"/>
        </w:rPr>
        <w:t xml:space="preserve">N60 - </w:t>
      </w:r>
      <w:r w:rsidRPr="0014002C">
        <w:rPr>
          <w:rFonts w:eastAsia="Times New Roman"/>
          <w:sz w:val="22"/>
          <w:szCs w:val="22"/>
          <w:lang w:val="lt-LT" w:eastAsia="en-US"/>
        </w:rPr>
        <w:t>LT/1/17/4034</w:t>
      </w:r>
      <w:r>
        <w:rPr>
          <w:rFonts w:eastAsia="Times New Roman"/>
          <w:sz w:val="22"/>
          <w:szCs w:val="22"/>
          <w:lang w:val="lt-LT" w:eastAsia="en-US"/>
        </w:rPr>
        <w:t>/014</w:t>
      </w:r>
    </w:p>
    <w:p w14:paraId="308A6565" w14:textId="64174686" w:rsidR="00F05FE6" w:rsidRPr="0014002C" w:rsidRDefault="00F05FE6" w:rsidP="00F05FE6">
      <w:pPr>
        <w:rPr>
          <w:rFonts w:eastAsia="Times New Roman"/>
          <w:bCs/>
          <w:sz w:val="22"/>
          <w:szCs w:val="22"/>
          <w:lang w:val="lt-LT" w:eastAsia="en-US"/>
        </w:rPr>
      </w:pPr>
      <w:r>
        <w:rPr>
          <w:rFonts w:eastAsia="Times New Roman"/>
          <w:sz w:val="22"/>
          <w:szCs w:val="22"/>
          <w:lang w:val="lt-LT" w:eastAsia="en-US"/>
        </w:rPr>
        <w:t xml:space="preserve">N60x1 - </w:t>
      </w:r>
      <w:r w:rsidRPr="0014002C">
        <w:rPr>
          <w:rFonts w:eastAsia="Times New Roman"/>
          <w:sz w:val="22"/>
          <w:szCs w:val="22"/>
          <w:lang w:val="lt-LT" w:eastAsia="en-US"/>
        </w:rPr>
        <w:t>LT/1/17/4034</w:t>
      </w:r>
      <w:r>
        <w:rPr>
          <w:rFonts w:eastAsia="Times New Roman"/>
          <w:sz w:val="22"/>
          <w:szCs w:val="22"/>
          <w:lang w:val="lt-LT" w:eastAsia="en-US"/>
        </w:rPr>
        <w:t>/015</w:t>
      </w:r>
    </w:p>
    <w:p w14:paraId="4860B1E0" w14:textId="554D96A0" w:rsidR="00F05FE6" w:rsidRPr="0014002C" w:rsidRDefault="00F05FE6" w:rsidP="00F05FE6">
      <w:pPr>
        <w:rPr>
          <w:rFonts w:eastAsia="Times New Roman"/>
          <w:bCs/>
          <w:sz w:val="22"/>
          <w:szCs w:val="22"/>
          <w:lang w:val="lt-LT" w:eastAsia="en-US"/>
        </w:rPr>
      </w:pPr>
      <w:r>
        <w:rPr>
          <w:rFonts w:eastAsia="Times New Roman"/>
          <w:sz w:val="22"/>
          <w:szCs w:val="22"/>
          <w:lang w:val="lt-LT" w:eastAsia="en-US"/>
        </w:rPr>
        <w:t xml:space="preserve">N200 - </w:t>
      </w:r>
      <w:r w:rsidRPr="0014002C">
        <w:rPr>
          <w:rFonts w:eastAsia="Times New Roman"/>
          <w:sz w:val="22"/>
          <w:szCs w:val="22"/>
          <w:lang w:val="lt-LT" w:eastAsia="en-US"/>
        </w:rPr>
        <w:t>LT/1/17/4034</w:t>
      </w:r>
      <w:r>
        <w:rPr>
          <w:rFonts w:eastAsia="Times New Roman"/>
          <w:sz w:val="22"/>
          <w:szCs w:val="22"/>
          <w:lang w:val="lt-LT" w:eastAsia="en-US"/>
        </w:rPr>
        <w:t>/016</w:t>
      </w:r>
    </w:p>
    <w:p w14:paraId="4094C494" w14:textId="4B9B82C4" w:rsidR="00F05FE6" w:rsidRPr="0014002C" w:rsidRDefault="00F05FE6" w:rsidP="00F05FE6">
      <w:pPr>
        <w:rPr>
          <w:rFonts w:eastAsia="Times New Roman"/>
          <w:bCs/>
          <w:sz w:val="22"/>
          <w:szCs w:val="22"/>
          <w:lang w:val="lt-LT" w:eastAsia="en-US"/>
        </w:rPr>
      </w:pPr>
      <w:r>
        <w:rPr>
          <w:rFonts w:eastAsia="Times New Roman"/>
          <w:sz w:val="22"/>
          <w:szCs w:val="22"/>
          <w:lang w:val="lt-LT" w:eastAsia="en-US"/>
        </w:rPr>
        <w:t xml:space="preserve">N200x1 - </w:t>
      </w:r>
      <w:r w:rsidRPr="0014002C">
        <w:rPr>
          <w:rFonts w:eastAsia="Times New Roman"/>
          <w:sz w:val="22"/>
          <w:szCs w:val="22"/>
          <w:lang w:val="lt-LT" w:eastAsia="en-US"/>
        </w:rPr>
        <w:t>LT/1</w:t>
      </w:r>
      <w:bookmarkStart w:id="0" w:name="_GoBack"/>
      <w:bookmarkEnd w:id="0"/>
      <w:r w:rsidRPr="0014002C">
        <w:rPr>
          <w:rFonts w:eastAsia="Times New Roman"/>
          <w:sz w:val="22"/>
          <w:szCs w:val="22"/>
          <w:lang w:val="lt-LT" w:eastAsia="en-US"/>
        </w:rPr>
        <w:t>/17/4034</w:t>
      </w:r>
      <w:r>
        <w:rPr>
          <w:rFonts w:eastAsia="Times New Roman"/>
          <w:sz w:val="22"/>
          <w:szCs w:val="22"/>
          <w:lang w:val="lt-LT" w:eastAsia="en-US"/>
        </w:rPr>
        <w:t>/017</w:t>
      </w:r>
    </w:p>
    <w:p w14:paraId="26463251" w14:textId="495C5A3C" w:rsidR="00F05FE6" w:rsidRPr="0014002C" w:rsidRDefault="00F05FE6" w:rsidP="00F05FE6">
      <w:pPr>
        <w:rPr>
          <w:rFonts w:eastAsia="Times New Roman"/>
          <w:bCs/>
          <w:sz w:val="22"/>
          <w:szCs w:val="22"/>
          <w:lang w:val="lt-LT" w:eastAsia="en-US"/>
        </w:rPr>
      </w:pPr>
      <w:r>
        <w:rPr>
          <w:rFonts w:eastAsia="Times New Roman"/>
          <w:sz w:val="22"/>
          <w:szCs w:val="22"/>
          <w:lang w:val="lt-LT" w:eastAsia="en-US"/>
        </w:rPr>
        <w:t xml:space="preserve">N240 - </w:t>
      </w:r>
      <w:r w:rsidRPr="0014002C">
        <w:rPr>
          <w:rFonts w:eastAsia="Times New Roman"/>
          <w:sz w:val="22"/>
          <w:szCs w:val="22"/>
          <w:lang w:val="lt-LT" w:eastAsia="en-US"/>
        </w:rPr>
        <w:t>LT/1/17/4034</w:t>
      </w:r>
      <w:r>
        <w:rPr>
          <w:rFonts w:eastAsia="Times New Roman"/>
          <w:sz w:val="22"/>
          <w:szCs w:val="22"/>
          <w:lang w:val="lt-LT" w:eastAsia="en-US"/>
        </w:rPr>
        <w:t>/018</w:t>
      </w:r>
    </w:p>
    <w:p w14:paraId="6E050B04" w14:textId="0ABDD57C" w:rsidR="00F05FE6" w:rsidRDefault="00F05FE6" w:rsidP="00F05FE6">
      <w:pPr>
        <w:rPr>
          <w:rFonts w:eastAsia="Times New Roman"/>
          <w:bCs/>
          <w:sz w:val="22"/>
          <w:szCs w:val="22"/>
          <w:lang w:val="lt-LT" w:eastAsia="en-US"/>
        </w:rPr>
      </w:pPr>
      <w:r>
        <w:rPr>
          <w:rFonts w:eastAsia="Times New Roman"/>
          <w:sz w:val="22"/>
          <w:szCs w:val="22"/>
          <w:lang w:val="lt-LT" w:eastAsia="en-US"/>
        </w:rPr>
        <w:t xml:space="preserve">N240x1 - </w:t>
      </w:r>
      <w:r w:rsidRPr="0014002C">
        <w:rPr>
          <w:rFonts w:eastAsia="Times New Roman"/>
          <w:sz w:val="22"/>
          <w:szCs w:val="22"/>
          <w:lang w:val="lt-LT" w:eastAsia="en-US"/>
        </w:rPr>
        <w:t>LT/1/17/4034</w:t>
      </w:r>
      <w:r>
        <w:rPr>
          <w:rFonts w:eastAsia="Times New Roman"/>
          <w:sz w:val="22"/>
          <w:szCs w:val="22"/>
          <w:lang w:val="lt-LT" w:eastAsia="en-US"/>
        </w:rPr>
        <w:t>/019</w:t>
      </w:r>
    </w:p>
    <w:p w14:paraId="52847E21" w14:textId="77777777" w:rsidR="00F05FE6" w:rsidRPr="0014002C" w:rsidRDefault="00F05FE6" w:rsidP="00F05FE6">
      <w:pPr>
        <w:rPr>
          <w:rFonts w:eastAsia="Times New Roman"/>
          <w:bCs/>
          <w:sz w:val="22"/>
          <w:szCs w:val="22"/>
          <w:u w:val="single"/>
          <w:lang w:val="lt-LT" w:eastAsia="en-US"/>
        </w:rPr>
      </w:pPr>
      <w:r w:rsidRPr="0014002C">
        <w:rPr>
          <w:rFonts w:eastAsia="Times New Roman"/>
          <w:bCs/>
          <w:sz w:val="22"/>
          <w:szCs w:val="22"/>
          <w:u w:val="single"/>
          <w:lang w:val="lt-LT" w:eastAsia="en-US"/>
        </w:rPr>
        <w:t>Buteliukas:</w:t>
      </w:r>
    </w:p>
    <w:p w14:paraId="3FE7A48F" w14:textId="29CB1388" w:rsidR="00F05FE6" w:rsidRPr="0014002C" w:rsidRDefault="00F05FE6" w:rsidP="00F05FE6">
      <w:pPr>
        <w:rPr>
          <w:rFonts w:eastAsia="Times New Roman"/>
          <w:bCs/>
          <w:sz w:val="22"/>
          <w:szCs w:val="22"/>
          <w:lang w:val="lt-LT" w:eastAsia="en-US"/>
        </w:rPr>
      </w:pPr>
      <w:r>
        <w:rPr>
          <w:rFonts w:eastAsia="Times New Roman"/>
          <w:sz w:val="22"/>
          <w:szCs w:val="22"/>
          <w:lang w:val="lt-LT" w:eastAsia="en-US"/>
        </w:rPr>
        <w:t>N60 - LT/1/17/4034/020</w:t>
      </w:r>
    </w:p>
    <w:p w14:paraId="34A0E35B" w14:textId="7383011D" w:rsidR="00F05FE6" w:rsidRPr="0014002C" w:rsidRDefault="00F05FE6" w:rsidP="00F05FE6">
      <w:pPr>
        <w:rPr>
          <w:rFonts w:eastAsia="Times New Roman"/>
          <w:bCs/>
          <w:sz w:val="22"/>
          <w:szCs w:val="22"/>
          <w:lang w:val="lt-LT" w:eastAsia="en-US"/>
        </w:rPr>
      </w:pPr>
      <w:r>
        <w:rPr>
          <w:rFonts w:eastAsia="Times New Roman"/>
          <w:sz w:val="22"/>
          <w:szCs w:val="22"/>
          <w:lang w:val="lt-LT" w:eastAsia="en-US"/>
        </w:rPr>
        <w:t>N180 (60x3) - LT/1/17/4034/021</w:t>
      </w:r>
    </w:p>
    <w:p w14:paraId="5CB018D8" w14:textId="6C5661F2" w:rsidR="00F05FE6" w:rsidRDefault="00F05FE6" w:rsidP="009F5848">
      <w:pPr>
        <w:tabs>
          <w:tab w:val="left" w:pos="567"/>
        </w:tabs>
        <w:rPr>
          <w:rFonts w:eastAsia="Times New Roman"/>
          <w:sz w:val="22"/>
          <w:szCs w:val="22"/>
          <w:lang w:val="lt-LT" w:eastAsia="en-US"/>
        </w:rPr>
      </w:pPr>
      <w:r>
        <w:rPr>
          <w:rFonts w:eastAsia="Times New Roman"/>
          <w:sz w:val="22"/>
          <w:szCs w:val="22"/>
          <w:lang w:val="lt-LT" w:eastAsia="en-US"/>
        </w:rPr>
        <w:t>N200 - LT/1/17/4034/022</w:t>
      </w:r>
    </w:p>
    <w:p w14:paraId="58C3D886" w14:textId="77777777" w:rsidR="00F05FE6" w:rsidRPr="00F05FE6" w:rsidRDefault="00F05FE6" w:rsidP="009F5848">
      <w:pPr>
        <w:tabs>
          <w:tab w:val="left" w:pos="567"/>
        </w:tabs>
        <w:rPr>
          <w:rFonts w:eastAsia="Times New Roman"/>
          <w:bCs/>
          <w:sz w:val="22"/>
          <w:szCs w:val="22"/>
          <w:lang w:val="lt-LT" w:eastAsia="en-US"/>
        </w:rPr>
      </w:pPr>
    </w:p>
    <w:p w14:paraId="6AB60822" w14:textId="77777777" w:rsidR="00F05FE6" w:rsidRPr="004509B9" w:rsidRDefault="00F05FE6" w:rsidP="009F5848">
      <w:pPr>
        <w:tabs>
          <w:tab w:val="left" w:pos="567"/>
        </w:tabs>
        <w:rPr>
          <w:rFonts w:eastAsia="Times New Roman"/>
          <w:noProof/>
          <w:sz w:val="22"/>
          <w:szCs w:val="22"/>
          <w:lang w:val="lt-LT" w:eastAsia="lt-LT" w:bidi="lt-LT"/>
        </w:rPr>
      </w:pPr>
    </w:p>
    <w:p w14:paraId="722AD9A3" w14:textId="11FF5C38" w:rsidR="009F5848" w:rsidRPr="004509B9" w:rsidRDefault="00F05FE6" w:rsidP="000A47B4">
      <w:pPr>
        <w:keepNext/>
        <w:tabs>
          <w:tab w:val="left" w:pos="567"/>
        </w:tabs>
        <w:spacing w:line="260" w:lineRule="exact"/>
        <w:rPr>
          <w:rFonts w:eastAsia="Times New Roman"/>
          <w:noProof/>
          <w:sz w:val="22"/>
          <w:szCs w:val="22"/>
          <w:lang w:val="lt-LT" w:eastAsia="lt-LT" w:bidi="lt-LT"/>
        </w:rPr>
      </w:pPr>
      <w:r>
        <w:rPr>
          <w:rFonts w:eastAsia="Times New Roman"/>
          <w:b/>
          <w:noProof/>
          <w:sz w:val="22"/>
          <w:lang w:val="lt-LT" w:eastAsia="lt-LT" w:bidi="lt-LT"/>
        </w:rPr>
        <w:t>9.</w:t>
      </w:r>
      <w:r w:rsidR="000A47B4">
        <w:rPr>
          <w:rFonts w:eastAsia="Times New Roman"/>
          <w:b/>
          <w:noProof/>
          <w:sz w:val="22"/>
          <w:lang w:val="lt-LT" w:eastAsia="lt-LT" w:bidi="lt-LT"/>
        </w:rPr>
        <w:tab/>
      </w:r>
      <w:r w:rsidR="009F5848" w:rsidRPr="004509B9">
        <w:rPr>
          <w:rFonts w:eastAsia="Times New Roman"/>
          <w:b/>
          <w:noProof/>
          <w:sz w:val="22"/>
          <w:lang w:val="lt-LT" w:eastAsia="lt-LT" w:bidi="lt-LT"/>
        </w:rPr>
        <w:t>REGISTRAVIMO / PERREGISTRAVIMO DATA</w:t>
      </w:r>
    </w:p>
    <w:p w14:paraId="7A973776" w14:textId="77777777" w:rsidR="00F05FE6" w:rsidRDefault="00F05FE6" w:rsidP="009F5848">
      <w:pPr>
        <w:tabs>
          <w:tab w:val="left" w:pos="567"/>
        </w:tabs>
        <w:rPr>
          <w:rFonts w:eastAsia="Times New Roman"/>
          <w:sz w:val="22"/>
          <w:lang w:val="lt-LT" w:eastAsia="lt-LT" w:bidi="lt-LT"/>
        </w:rPr>
      </w:pPr>
    </w:p>
    <w:p w14:paraId="47114E7B" w14:textId="77777777" w:rsidR="00F05FE6" w:rsidRPr="0014002C" w:rsidRDefault="00F05FE6" w:rsidP="00F05FE6">
      <w:pPr>
        <w:widowControl w:val="0"/>
        <w:tabs>
          <w:tab w:val="left" w:pos="567"/>
        </w:tabs>
        <w:rPr>
          <w:rFonts w:eastAsia="Times New Roman"/>
          <w:sz w:val="22"/>
          <w:szCs w:val="22"/>
          <w:lang w:val="lt-LT" w:eastAsia="en-US"/>
        </w:rPr>
      </w:pPr>
      <w:r w:rsidRPr="0014002C">
        <w:rPr>
          <w:rFonts w:eastAsia="Times New Roman"/>
          <w:sz w:val="22"/>
          <w:szCs w:val="22"/>
          <w:lang w:val="lt-LT" w:eastAsia="en-US"/>
        </w:rPr>
        <w:t>Registravimo data 2017 m. sausio mėn. 26 d.</w:t>
      </w:r>
    </w:p>
    <w:p w14:paraId="080D94F7" w14:textId="77777777" w:rsidR="009F5848" w:rsidRDefault="009F5848" w:rsidP="009F5848">
      <w:pPr>
        <w:tabs>
          <w:tab w:val="left" w:pos="567"/>
        </w:tabs>
        <w:rPr>
          <w:rFonts w:eastAsia="Times New Roman"/>
          <w:noProof/>
          <w:sz w:val="22"/>
          <w:szCs w:val="22"/>
          <w:lang w:val="lt-LT" w:eastAsia="lt-LT" w:bidi="lt-LT"/>
        </w:rPr>
      </w:pPr>
    </w:p>
    <w:p w14:paraId="0C188387" w14:textId="77777777" w:rsidR="00646DFE" w:rsidRPr="004509B9" w:rsidRDefault="00646DFE" w:rsidP="009F5848">
      <w:pPr>
        <w:tabs>
          <w:tab w:val="left" w:pos="567"/>
        </w:tabs>
        <w:rPr>
          <w:rFonts w:eastAsia="Times New Roman"/>
          <w:noProof/>
          <w:sz w:val="22"/>
          <w:szCs w:val="22"/>
          <w:lang w:val="lt-LT" w:eastAsia="lt-LT" w:bidi="lt-LT"/>
        </w:rPr>
      </w:pPr>
    </w:p>
    <w:p w14:paraId="237A8393" w14:textId="620685CD" w:rsidR="009F5848" w:rsidRPr="004509B9" w:rsidRDefault="00F05FE6" w:rsidP="000A47B4">
      <w:pPr>
        <w:keepNext/>
        <w:tabs>
          <w:tab w:val="left" w:pos="567"/>
        </w:tabs>
        <w:spacing w:line="260" w:lineRule="exact"/>
        <w:rPr>
          <w:rFonts w:eastAsia="Times New Roman"/>
          <w:b/>
          <w:noProof/>
          <w:sz w:val="22"/>
          <w:szCs w:val="22"/>
          <w:lang w:val="lt-LT" w:eastAsia="lt-LT" w:bidi="lt-LT"/>
        </w:rPr>
      </w:pPr>
      <w:r>
        <w:rPr>
          <w:rFonts w:eastAsia="Times New Roman"/>
          <w:b/>
          <w:noProof/>
          <w:sz w:val="22"/>
          <w:lang w:val="lt-LT" w:eastAsia="lt-LT" w:bidi="lt-LT"/>
        </w:rPr>
        <w:t>10.</w:t>
      </w:r>
      <w:r w:rsidR="000A47B4">
        <w:rPr>
          <w:rFonts w:eastAsia="Times New Roman"/>
          <w:b/>
          <w:noProof/>
          <w:sz w:val="22"/>
          <w:lang w:val="lt-LT" w:eastAsia="lt-LT" w:bidi="lt-LT"/>
        </w:rPr>
        <w:tab/>
      </w:r>
      <w:r w:rsidR="009F5848" w:rsidRPr="004509B9">
        <w:rPr>
          <w:rFonts w:eastAsia="Times New Roman"/>
          <w:b/>
          <w:noProof/>
          <w:sz w:val="22"/>
          <w:lang w:val="lt-LT" w:eastAsia="lt-LT" w:bidi="lt-LT"/>
        </w:rPr>
        <w:t>TEKSTO PERŽIŪROS DATA</w:t>
      </w:r>
    </w:p>
    <w:p w14:paraId="2F47F3CC" w14:textId="77777777" w:rsidR="00F05FE6" w:rsidRDefault="00F05FE6" w:rsidP="009F5848">
      <w:pPr>
        <w:tabs>
          <w:tab w:val="left" w:pos="567"/>
        </w:tabs>
        <w:rPr>
          <w:rFonts w:eastAsia="Times New Roman"/>
          <w:sz w:val="22"/>
          <w:lang w:val="lt-LT" w:eastAsia="lt-LT" w:bidi="lt-LT"/>
        </w:rPr>
      </w:pPr>
    </w:p>
    <w:p w14:paraId="7660A948" w14:textId="754B16A1" w:rsidR="00F05FE6" w:rsidRPr="0014002C" w:rsidRDefault="00F05FE6" w:rsidP="00F05FE6">
      <w:pPr>
        <w:widowControl w:val="0"/>
        <w:tabs>
          <w:tab w:val="left" w:pos="567"/>
        </w:tabs>
        <w:rPr>
          <w:rFonts w:eastAsia="Times New Roman"/>
          <w:sz w:val="22"/>
          <w:szCs w:val="22"/>
          <w:lang w:val="lt-LT" w:eastAsia="en-US"/>
        </w:rPr>
      </w:pPr>
      <w:r w:rsidRPr="0014002C">
        <w:rPr>
          <w:rFonts w:eastAsia="Times New Roman"/>
          <w:sz w:val="22"/>
          <w:szCs w:val="22"/>
          <w:lang w:val="lt-LT" w:eastAsia="en-US"/>
        </w:rPr>
        <w:t>2017 m. sausio mėn. 26 d.</w:t>
      </w:r>
    </w:p>
    <w:p w14:paraId="32C099ED" w14:textId="77777777" w:rsidR="009F5848" w:rsidRPr="004509B9" w:rsidRDefault="009F5848" w:rsidP="009F5848">
      <w:pPr>
        <w:autoSpaceDE w:val="0"/>
        <w:autoSpaceDN w:val="0"/>
        <w:adjustRightInd w:val="0"/>
        <w:rPr>
          <w:rFonts w:eastAsia="TimesNewRoman"/>
          <w:sz w:val="22"/>
          <w:szCs w:val="22"/>
          <w:lang w:val="lt-LT" w:eastAsia="en-US"/>
        </w:rPr>
      </w:pPr>
    </w:p>
    <w:p w14:paraId="21DDF3B0" w14:textId="77777777" w:rsidR="009F5848" w:rsidRPr="004509B9" w:rsidRDefault="009F5848" w:rsidP="009F5848">
      <w:pPr>
        <w:autoSpaceDE w:val="0"/>
        <w:autoSpaceDN w:val="0"/>
        <w:adjustRightInd w:val="0"/>
        <w:rPr>
          <w:rFonts w:eastAsia="TimesNewRoman"/>
          <w:sz w:val="22"/>
          <w:szCs w:val="22"/>
          <w:lang w:val="lt-LT" w:eastAsia="en-US"/>
        </w:rPr>
      </w:pPr>
    </w:p>
    <w:p w14:paraId="5ADA7191" w14:textId="77777777" w:rsidR="009F5848" w:rsidRPr="004509B9" w:rsidRDefault="009F5848" w:rsidP="009F5848">
      <w:pPr>
        <w:tabs>
          <w:tab w:val="left" w:pos="5954"/>
          <w:tab w:val="left" w:pos="6237"/>
          <w:tab w:val="left" w:pos="6663"/>
          <w:tab w:val="left" w:pos="6946"/>
        </w:tabs>
        <w:rPr>
          <w:rFonts w:eastAsia="SimSun"/>
          <w:sz w:val="22"/>
          <w:szCs w:val="22"/>
          <w:lang w:val="lt-LT" w:eastAsia="en-US"/>
        </w:rPr>
      </w:pPr>
      <w:r w:rsidRPr="004509B9">
        <w:rPr>
          <w:rFonts w:eastAsia="SimSun"/>
          <w:noProof/>
          <w:sz w:val="22"/>
          <w:szCs w:val="22"/>
          <w:lang w:val="lt-LT" w:eastAsia="en-US"/>
        </w:rPr>
        <w:t>Išsami informacija apie šį vaistinį preparatą pateikiama Valstybinės vaistų kontrolės tarnybos prie Lietuvos Respublikos sveikatos apsaugos ministerijos tinklalapyje</w:t>
      </w:r>
      <w:r w:rsidRPr="004509B9">
        <w:rPr>
          <w:rFonts w:eastAsia="SimSun"/>
          <w:i/>
          <w:noProof/>
          <w:sz w:val="22"/>
          <w:szCs w:val="22"/>
          <w:lang w:val="lt-LT" w:eastAsia="en-US"/>
        </w:rPr>
        <w:t xml:space="preserve"> </w:t>
      </w:r>
      <w:hyperlink r:id="rId10" w:history="1">
        <w:r w:rsidRPr="004509B9">
          <w:rPr>
            <w:rFonts w:eastAsia="SimSun"/>
            <w:color w:val="0000FF"/>
            <w:sz w:val="22"/>
            <w:u w:val="single"/>
            <w:lang w:val="lt-LT" w:eastAsia="en-US"/>
          </w:rPr>
          <w:t>http://www.vvkt.lt</w:t>
        </w:r>
      </w:hyperlink>
    </w:p>
    <w:p w14:paraId="09439E39" w14:textId="77777777" w:rsidR="009F5848" w:rsidRPr="004509B9" w:rsidRDefault="009F5848" w:rsidP="009F5848">
      <w:pPr>
        <w:tabs>
          <w:tab w:val="left" w:pos="5954"/>
          <w:tab w:val="left" w:pos="6237"/>
          <w:tab w:val="left" w:pos="6663"/>
          <w:tab w:val="left" w:pos="6946"/>
        </w:tabs>
        <w:jc w:val="center"/>
        <w:rPr>
          <w:rFonts w:eastAsia="SimSun"/>
          <w:sz w:val="20"/>
          <w:lang w:val="lt-LT" w:eastAsia="en-US"/>
        </w:rPr>
      </w:pPr>
    </w:p>
    <w:p w14:paraId="02199C52" w14:textId="77777777" w:rsidR="009F5848" w:rsidRPr="004509B9" w:rsidRDefault="009F5848" w:rsidP="009F5848">
      <w:pPr>
        <w:autoSpaceDE w:val="0"/>
        <w:autoSpaceDN w:val="0"/>
        <w:adjustRightInd w:val="0"/>
        <w:rPr>
          <w:rFonts w:eastAsia="TimesNewRoman"/>
          <w:sz w:val="22"/>
          <w:szCs w:val="22"/>
          <w:lang w:val="lt-LT" w:eastAsia="en-US"/>
        </w:rPr>
      </w:pPr>
    </w:p>
    <w:p w14:paraId="2B8E9E54" w14:textId="77777777" w:rsidR="00106F96" w:rsidRPr="00106F96" w:rsidRDefault="00106F96" w:rsidP="00106F96">
      <w:pPr>
        <w:rPr>
          <w:noProof/>
          <w:sz w:val="22"/>
          <w:szCs w:val="22"/>
        </w:rPr>
      </w:pPr>
      <w:r>
        <w:rPr>
          <w:lang w:val="lt-LT"/>
        </w:rPr>
        <w:br w:type="page"/>
      </w:r>
    </w:p>
    <w:p w14:paraId="195CBA43" w14:textId="77777777" w:rsidR="00106F96" w:rsidRDefault="00106F96" w:rsidP="00106F96">
      <w:pPr>
        <w:rPr>
          <w:noProof/>
          <w:sz w:val="22"/>
          <w:szCs w:val="22"/>
        </w:rPr>
      </w:pPr>
    </w:p>
    <w:p w14:paraId="15625A3C" w14:textId="77777777" w:rsidR="00106F96" w:rsidRDefault="00106F96" w:rsidP="00106F96">
      <w:pPr>
        <w:rPr>
          <w:noProof/>
          <w:sz w:val="22"/>
          <w:szCs w:val="22"/>
        </w:rPr>
      </w:pPr>
    </w:p>
    <w:p w14:paraId="792C649E" w14:textId="77777777" w:rsidR="00106F96" w:rsidRDefault="00106F96" w:rsidP="00106F96">
      <w:pPr>
        <w:rPr>
          <w:noProof/>
          <w:sz w:val="22"/>
          <w:szCs w:val="22"/>
        </w:rPr>
      </w:pPr>
    </w:p>
    <w:p w14:paraId="371D03C6" w14:textId="77777777" w:rsidR="00106F96" w:rsidRDefault="00106F96" w:rsidP="00106F96">
      <w:pPr>
        <w:rPr>
          <w:noProof/>
          <w:sz w:val="22"/>
          <w:szCs w:val="22"/>
        </w:rPr>
      </w:pPr>
    </w:p>
    <w:p w14:paraId="6F269EDD" w14:textId="77777777" w:rsidR="00106F96" w:rsidRDefault="00106F96" w:rsidP="00106F96">
      <w:pPr>
        <w:rPr>
          <w:noProof/>
          <w:sz w:val="22"/>
          <w:szCs w:val="22"/>
        </w:rPr>
      </w:pPr>
    </w:p>
    <w:p w14:paraId="37A97F9E" w14:textId="77777777" w:rsidR="00106F96" w:rsidRDefault="00106F96" w:rsidP="00106F96">
      <w:pPr>
        <w:rPr>
          <w:noProof/>
          <w:sz w:val="22"/>
          <w:szCs w:val="22"/>
        </w:rPr>
      </w:pPr>
    </w:p>
    <w:p w14:paraId="7C91A9A2" w14:textId="77777777" w:rsidR="00106F96" w:rsidRDefault="00106F96" w:rsidP="00106F96">
      <w:pPr>
        <w:rPr>
          <w:noProof/>
          <w:sz w:val="22"/>
          <w:szCs w:val="22"/>
        </w:rPr>
      </w:pPr>
    </w:p>
    <w:p w14:paraId="7B25B8DD" w14:textId="77777777" w:rsidR="00106F96" w:rsidRDefault="00106F96" w:rsidP="00106F96">
      <w:pPr>
        <w:rPr>
          <w:noProof/>
          <w:sz w:val="22"/>
          <w:szCs w:val="22"/>
        </w:rPr>
      </w:pPr>
    </w:p>
    <w:p w14:paraId="7131F0CA" w14:textId="77777777" w:rsidR="00106F96" w:rsidRDefault="00106F96" w:rsidP="00106F96">
      <w:pPr>
        <w:rPr>
          <w:noProof/>
          <w:sz w:val="22"/>
          <w:szCs w:val="22"/>
        </w:rPr>
      </w:pPr>
    </w:p>
    <w:p w14:paraId="23EF74FD" w14:textId="77777777" w:rsidR="00106F96" w:rsidRDefault="00106F96" w:rsidP="00106F96">
      <w:pPr>
        <w:rPr>
          <w:noProof/>
          <w:sz w:val="22"/>
          <w:szCs w:val="22"/>
        </w:rPr>
      </w:pPr>
    </w:p>
    <w:p w14:paraId="3467CE46" w14:textId="77777777" w:rsidR="00106F96" w:rsidRPr="00106F96" w:rsidRDefault="00106F96" w:rsidP="00106F96">
      <w:pPr>
        <w:rPr>
          <w:noProof/>
          <w:sz w:val="22"/>
          <w:szCs w:val="22"/>
        </w:rPr>
      </w:pPr>
    </w:p>
    <w:p w14:paraId="0D612E65" w14:textId="77777777" w:rsidR="00106F96" w:rsidRPr="00106F96" w:rsidRDefault="00106F96" w:rsidP="00106F96">
      <w:pPr>
        <w:rPr>
          <w:noProof/>
          <w:sz w:val="22"/>
          <w:szCs w:val="22"/>
        </w:rPr>
      </w:pPr>
    </w:p>
    <w:p w14:paraId="643D9FCC" w14:textId="77777777" w:rsidR="00106F96" w:rsidRPr="00106F96" w:rsidRDefault="00106F96" w:rsidP="00106F96">
      <w:pPr>
        <w:rPr>
          <w:noProof/>
          <w:sz w:val="22"/>
          <w:szCs w:val="22"/>
        </w:rPr>
      </w:pPr>
    </w:p>
    <w:p w14:paraId="2B283D69" w14:textId="77777777" w:rsidR="00106F96" w:rsidRPr="00106F96" w:rsidRDefault="00106F96" w:rsidP="00106F96">
      <w:pPr>
        <w:rPr>
          <w:noProof/>
          <w:sz w:val="22"/>
          <w:szCs w:val="22"/>
        </w:rPr>
      </w:pPr>
    </w:p>
    <w:p w14:paraId="41C8B8FD" w14:textId="77777777" w:rsidR="00106F96" w:rsidRPr="00106F96" w:rsidRDefault="00106F96" w:rsidP="00106F96">
      <w:pPr>
        <w:rPr>
          <w:noProof/>
          <w:sz w:val="22"/>
          <w:szCs w:val="22"/>
        </w:rPr>
      </w:pPr>
    </w:p>
    <w:p w14:paraId="4C6DA590" w14:textId="77777777" w:rsidR="00106F96" w:rsidRPr="00106F96" w:rsidRDefault="00106F96" w:rsidP="00106F96">
      <w:pPr>
        <w:rPr>
          <w:noProof/>
          <w:sz w:val="22"/>
          <w:szCs w:val="22"/>
        </w:rPr>
      </w:pPr>
    </w:p>
    <w:p w14:paraId="2575757B" w14:textId="77777777" w:rsidR="00646DFE" w:rsidRDefault="00646DFE" w:rsidP="00106F96">
      <w:pPr>
        <w:jc w:val="center"/>
        <w:rPr>
          <w:b/>
          <w:noProof/>
          <w:sz w:val="22"/>
          <w:szCs w:val="22"/>
        </w:rPr>
      </w:pPr>
    </w:p>
    <w:p w14:paraId="2628C64D" w14:textId="77777777" w:rsidR="00646DFE" w:rsidRDefault="00646DFE" w:rsidP="00106F96">
      <w:pPr>
        <w:jc w:val="center"/>
        <w:rPr>
          <w:b/>
          <w:noProof/>
          <w:sz w:val="22"/>
          <w:szCs w:val="22"/>
        </w:rPr>
      </w:pPr>
    </w:p>
    <w:p w14:paraId="054C50EB" w14:textId="77777777" w:rsidR="00646DFE" w:rsidRDefault="00646DFE" w:rsidP="00106F96">
      <w:pPr>
        <w:jc w:val="center"/>
        <w:rPr>
          <w:b/>
          <w:noProof/>
          <w:sz w:val="22"/>
          <w:szCs w:val="22"/>
        </w:rPr>
      </w:pPr>
    </w:p>
    <w:p w14:paraId="5BC8EBC9" w14:textId="77777777" w:rsidR="00646DFE" w:rsidRDefault="00646DFE" w:rsidP="00106F96">
      <w:pPr>
        <w:jc w:val="center"/>
        <w:rPr>
          <w:b/>
          <w:noProof/>
          <w:sz w:val="22"/>
          <w:szCs w:val="22"/>
        </w:rPr>
      </w:pPr>
    </w:p>
    <w:p w14:paraId="460A6280" w14:textId="77777777" w:rsidR="00646DFE" w:rsidRDefault="00646DFE" w:rsidP="00106F96">
      <w:pPr>
        <w:jc w:val="center"/>
        <w:rPr>
          <w:b/>
          <w:noProof/>
          <w:sz w:val="22"/>
          <w:szCs w:val="22"/>
        </w:rPr>
      </w:pPr>
    </w:p>
    <w:p w14:paraId="1771923B" w14:textId="77777777" w:rsidR="00646DFE" w:rsidRDefault="00646DFE" w:rsidP="00106F96">
      <w:pPr>
        <w:jc w:val="center"/>
        <w:rPr>
          <w:b/>
          <w:noProof/>
          <w:sz w:val="22"/>
          <w:szCs w:val="22"/>
        </w:rPr>
      </w:pPr>
    </w:p>
    <w:p w14:paraId="71D207A7" w14:textId="77777777" w:rsidR="00F05FE6" w:rsidRDefault="00F05FE6" w:rsidP="00106F96">
      <w:pPr>
        <w:jc w:val="center"/>
        <w:rPr>
          <w:b/>
          <w:noProof/>
          <w:sz w:val="22"/>
          <w:szCs w:val="22"/>
        </w:rPr>
      </w:pPr>
    </w:p>
    <w:p w14:paraId="7B03B114" w14:textId="77777777" w:rsidR="00106F96" w:rsidRDefault="00106F96" w:rsidP="00106F96">
      <w:pPr>
        <w:jc w:val="center"/>
        <w:rPr>
          <w:b/>
          <w:noProof/>
          <w:sz w:val="22"/>
          <w:szCs w:val="22"/>
        </w:rPr>
      </w:pPr>
      <w:r w:rsidRPr="00106F96">
        <w:rPr>
          <w:b/>
          <w:noProof/>
          <w:sz w:val="22"/>
          <w:szCs w:val="22"/>
        </w:rPr>
        <w:t>II PRIEDAS</w:t>
      </w:r>
    </w:p>
    <w:p w14:paraId="57AD4FB0" w14:textId="77777777" w:rsidR="00646DFE" w:rsidRDefault="00646DFE" w:rsidP="00106F96">
      <w:pPr>
        <w:jc w:val="center"/>
        <w:rPr>
          <w:b/>
          <w:noProof/>
          <w:sz w:val="22"/>
          <w:szCs w:val="22"/>
        </w:rPr>
      </w:pPr>
    </w:p>
    <w:p w14:paraId="2ED703DB" w14:textId="77777777" w:rsidR="00646DFE" w:rsidRPr="00106F96" w:rsidRDefault="00646DFE" w:rsidP="00106F96">
      <w:pPr>
        <w:jc w:val="center"/>
        <w:rPr>
          <w:noProof/>
          <w:sz w:val="22"/>
          <w:szCs w:val="22"/>
        </w:rPr>
      </w:pPr>
      <w:r>
        <w:rPr>
          <w:b/>
          <w:noProof/>
          <w:sz w:val="22"/>
          <w:szCs w:val="22"/>
        </w:rPr>
        <w:t>REGISTRACIJOS SĄLYGOS</w:t>
      </w:r>
    </w:p>
    <w:p w14:paraId="09BBB823" w14:textId="77777777" w:rsidR="00106F96" w:rsidRPr="00106F96" w:rsidRDefault="00106F96" w:rsidP="00106F96">
      <w:pPr>
        <w:ind w:right="1416"/>
        <w:rPr>
          <w:noProof/>
          <w:sz w:val="22"/>
          <w:szCs w:val="22"/>
        </w:rPr>
      </w:pPr>
    </w:p>
    <w:p w14:paraId="0193C673" w14:textId="77777777" w:rsidR="00106F96" w:rsidRPr="00106F96" w:rsidRDefault="00106F96" w:rsidP="00106F96">
      <w:pPr>
        <w:numPr>
          <w:ilvl w:val="0"/>
          <w:numId w:val="20"/>
        </w:numPr>
        <w:tabs>
          <w:tab w:val="left" w:pos="567"/>
          <w:tab w:val="left" w:pos="1701"/>
        </w:tabs>
        <w:ind w:right="1418"/>
        <w:rPr>
          <w:b/>
          <w:noProof/>
          <w:sz w:val="22"/>
          <w:szCs w:val="22"/>
        </w:rPr>
      </w:pPr>
      <w:r w:rsidRPr="00106F96">
        <w:rPr>
          <w:b/>
          <w:noProof/>
          <w:sz w:val="22"/>
          <w:szCs w:val="22"/>
        </w:rPr>
        <w:t>GAMINTOJAS (-AI), ATSAKINGAS (-I) UŽ SERIJŲ IŠLEIDIMĄ</w:t>
      </w:r>
    </w:p>
    <w:p w14:paraId="1D30D1F1" w14:textId="77777777" w:rsidR="00106F96" w:rsidRPr="00106F96" w:rsidRDefault="00106F96" w:rsidP="00106F96">
      <w:pPr>
        <w:ind w:left="567" w:hanging="1701"/>
        <w:rPr>
          <w:noProof/>
          <w:sz w:val="22"/>
          <w:szCs w:val="22"/>
        </w:rPr>
      </w:pPr>
    </w:p>
    <w:p w14:paraId="74F2CBD0" w14:textId="77777777" w:rsidR="00106F96" w:rsidRPr="00106F96" w:rsidRDefault="00106F96" w:rsidP="00106F96">
      <w:pPr>
        <w:numPr>
          <w:ilvl w:val="0"/>
          <w:numId w:val="20"/>
        </w:numPr>
        <w:tabs>
          <w:tab w:val="left" w:pos="567"/>
          <w:tab w:val="left" w:pos="1701"/>
        </w:tabs>
        <w:ind w:right="1418"/>
        <w:rPr>
          <w:b/>
          <w:noProof/>
          <w:sz w:val="22"/>
          <w:szCs w:val="22"/>
        </w:rPr>
      </w:pPr>
      <w:r w:rsidRPr="00106F96">
        <w:rPr>
          <w:b/>
          <w:noProof/>
          <w:sz w:val="22"/>
          <w:szCs w:val="22"/>
        </w:rPr>
        <w:t>TIEKIMO IR VARTOJIMO SĄLYGOS AR APRIBOJIMAI</w:t>
      </w:r>
    </w:p>
    <w:p w14:paraId="2181D7EC" w14:textId="77777777" w:rsidR="00106F96" w:rsidRPr="00106F96" w:rsidRDefault="00106F96" w:rsidP="00106F96">
      <w:pPr>
        <w:ind w:left="567" w:hanging="567"/>
        <w:rPr>
          <w:noProof/>
          <w:sz w:val="22"/>
          <w:szCs w:val="22"/>
        </w:rPr>
      </w:pPr>
    </w:p>
    <w:p w14:paraId="0D454371" w14:textId="77777777" w:rsidR="00106F96" w:rsidRPr="00106F96" w:rsidRDefault="00106F96" w:rsidP="00106F96">
      <w:pPr>
        <w:keepNext/>
        <w:numPr>
          <w:ilvl w:val="0"/>
          <w:numId w:val="21"/>
        </w:numPr>
        <w:tabs>
          <w:tab w:val="left" w:pos="567"/>
        </w:tabs>
        <w:ind w:left="567" w:hanging="567"/>
        <w:rPr>
          <w:noProof/>
          <w:sz w:val="22"/>
          <w:szCs w:val="22"/>
        </w:rPr>
      </w:pPr>
      <w:r w:rsidRPr="00106F96">
        <w:rPr>
          <w:sz w:val="22"/>
          <w:szCs w:val="22"/>
        </w:rPr>
        <w:br w:type="page"/>
      </w:r>
      <w:r w:rsidRPr="00106F96">
        <w:rPr>
          <w:b/>
          <w:noProof/>
          <w:sz w:val="22"/>
          <w:szCs w:val="22"/>
        </w:rPr>
        <w:lastRenderedPageBreak/>
        <w:t>GAMINTOJAS (-AI), ATSAKINGAS (-I) UŽ SERIJŲ IŠLEIDIMĄ</w:t>
      </w:r>
    </w:p>
    <w:p w14:paraId="3538FD33" w14:textId="77777777" w:rsidR="00106F96" w:rsidRPr="00106F96" w:rsidRDefault="00106F96" w:rsidP="00106F96">
      <w:pPr>
        <w:keepNext/>
        <w:ind w:right="1416"/>
        <w:rPr>
          <w:noProof/>
          <w:sz w:val="22"/>
          <w:szCs w:val="22"/>
        </w:rPr>
      </w:pPr>
    </w:p>
    <w:p w14:paraId="66565B60" w14:textId="77777777" w:rsidR="00106F96" w:rsidRPr="00106F96" w:rsidRDefault="00106F96" w:rsidP="00106F96">
      <w:pPr>
        <w:outlineLvl w:val="0"/>
        <w:rPr>
          <w:noProof/>
          <w:sz w:val="22"/>
          <w:szCs w:val="22"/>
        </w:rPr>
      </w:pPr>
      <w:r w:rsidRPr="00106F96">
        <w:rPr>
          <w:noProof/>
          <w:sz w:val="22"/>
          <w:szCs w:val="22"/>
          <w:u w:val="single"/>
        </w:rPr>
        <w:t>Gamintojo (-ų), atsakingo (-ų) už serijų išleidimą, pavadinimas (-ai) ir adresas (-ai)</w:t>
      </w:r>
    </w:p>
    <w:p w14:paraId="19FC6784" w14:textId="77777777" w:rsidR="00106F96" w:rsidRPr="00106F96" w:rsidRDefault="00106F96" w:rsidP="00106F96">
      <w:pPr>
        <w:rPr>
          <w:noProof/>
          <w:sz w:val="22"/>
          <w:szCs w:val="22"/>
        </w:rPr>
      </w:pPr>
    </w:p>
    <w:p w14:paraId="031BED2D" w14:textId="77777777" w:rsidR="00646DFE" w:rsidRDefault="00106F96" w:rsidP="00106F96">
      <w:pPr>
        <w:rPr>
          <w:rFonts w:eastAsia="TimesNewRoman,Bold"/>
          <w:bCs/>
          <w:sz w:val="22"/>
          <w:szCs w:val="22"/>
          <w:lang w:val="lt-LT" w:eastAsia="lt-LT"/>
        </w:rPr>
      </w:pPr>
      <w:r w:rsidRPr="00106F96">
        <w:rPr>
          <w:rFonts w:eastAsia="TimesNewRoman,Bold"/>
          <w:bCs/>
          <w:sz w:val="22"/>
          <w:szCs w:val="22"/>
          <w:lang w:val="lt-LT" w:eastAsia="lt-LT"/>
        </w:rPr>
        <w:t>Teva Operations Poland Sp. z.o.o</w:t>
      </w:r>
    </w:p>
    <w:p w14:paraId="61668FFE" w14:textId="77777777" w:rsidR="00646DFE" w:rsidRDefault="00106F96" w:rsidP="00106F96">
      <w:pPr>
        <w:rPr>
          <w:rFonts w:eastAsia="TimesNewRoman,Bold"/>
          <w:bCs/>
          <w:sz w:val="22"/>
          <w:szCs w:val="22"/>
          <w:lang w:val="lt-LT" w:eastAsia="lt-LT"/>
        </w:rPr>
      </w:pPr>
      <w:r w:rsidRPr="00106F96">
        <w:rPr>
          <w:rFonts w:eastAsia="TimesNewRoman,Bold"/>
          <w:bCs/>
          <w:sz w:val="22"/>
          <w:szCs w:val="22"/>
          <w:lang w:val="lt-LT" w:eastAsia="lt-LT"/>
        </w:rPr>
        <w:t>ul. Mogilska 80.</w:t>
      </w:r>
    </w:p>
    <w:p w14:paraId="36AEE967" w14:textId="77777777" w:rsidR="00646DFE" w:rsidRDefault="00106F96" w:rsidP="00106F96">
      <w:pPr>
        <w:rPr>
          <w:rFonts w:eastAsia="TimesNewRoman,Bold"/>
          <w:bCs/>
          <w:sz w:val="22"/>
          <w:szCs w:val="22"/>
          <w:lang w:val="lt-LT" w:eastAsia="lt-LT"/>
        </w:rPr>
      </w:pPr>
      <w:r w:rsidRPr="00106F96">
        <w:rPr>
          <w:rFonts w:eastAsia="TimesNewRoman,Bold"/>
          <w:bCs/>
          <w:sz w:val="22"/>
          <w:szCs w:val="22"/>
          <w:lang w:val="lt-LT" w:eastAsia="lt-LT"/>
        </w:rPr>
        <w:t>Krakow, 31-546</w:t>
      </w:r>
    </w:p>
    <w:p w14:paraId="6F3CF4FF" w14:textId="77777777" w:rsidR="00106F96" w:rsidRPr="00106F96" w:rsidRDefault="00106F96" w:rsidP="00106F96">
      <w:pPr>
        <w:rPr>
          <w:rFonts w:eastAsia="TimesNewRoman,Bold"/>
          <w:bCs/>
          <w:sz w:val="22"/>
          <w:szCs w:val="22"/>
          <w:lang w:val="lt-LT" w:eastAsia="lt-LT"/>
        </w:rPr>
      </w:pPr>
      <w:r w:rsidRPr="00106F96">
        <w:rPr>
          <w:rFonts w:eastAsia="TimesNewRoman,Bold"/>
          <w:bCs/>
          <w:sz w:val="22"/>
          <w:szCs w:val="22"/>
          <w:lang w:val="lt-LT" w:eastAsia="lt-LT"/>
        </w:rPr>
        <w:t>Lenkija</w:t>
      </w:r>
    </w:p>
    <w:p w14:paraId="108FE003" w14:textId="77777777" w:rsidR="00106F96" w:rsidRPr="00106F96" w:rsidRDefault="00106F96" w:rsidP="00106F96">
      <w:pPr>
        <w:rPr>
          <w:rFonts w:eastAsia="TimesNewRoman,Bold"/>
          <w:bCs/>
          <w:sz w:val="22"/>
          <w:szCs w:val="22"/>
          <w:lang w:val="lt-LT" w:eastAsia="lt-LT"/>
        </w:rPr>
      </w:pPr>
    </w:p>
    <w:p w14:paraId="7A9192DA" w14:textId="77777777" w:rsidR="00106F96" w:rsidRPr="00106F96" w:rsidRDefault="00106F96" w:rsidP="00106F96">
      <w:pPr>
        <w:rPr>
          <w:rFonts w:eastAsia="TimesNewRoman,Bold"/>
          <w:bCs/>
          <w:sz w:val="22"/>
          <w:szCs w:val="22"/>
          <w:lang w:val="lt-LT" w:eastAsia="lt-LT"/>
        </w:rPr>
      </w:pPr>
      <w:r w:rsidRPr="00106F96">
        <w:rPr>
          <w:rFonts w:eastAsia="TimesNewRoman,Bold"/>
          <w:bCs/>
          <w:sz w:val="22"/>
          <w:szCs w:val="22"/>
          <w:lang w:val="lt-LT" w:eastAsia="lt-LT"/>
        </w:rPr>
        <w:t>arba</w:t>
      </w:r>
    </w:p>
    <w:p w14:paraId="3DBBA523" w14:textId="77777777" w:rsidR="00106F96" w:rsidRPr="00106F96" w:rsidRDefault="00106F96" w:rsidP="00106F96">
      <w:pPr>
        <w:rPr>
          <w:rFonts w:eastAsia="TimesNewRoman,Bold"/>
          <w:bCs/>
          <w:sz w:val="22"/>
          <w:szCs w:val="22"/>
          <w:lang w:val="lt-LT" w:eastAsia="lt-LT"/>
        </w:rPr>
      </w:pPr>
    </w:p>
    <w:p w14:paraId="62BB17F0" w14:textId="77777777" w:rsidR="00646DFE" w:rsidRDefault="00106F96" w:rsidP="00106F96">
      <w:pPr>
        <w:rPr>
          <w:rFonts w:eastAsia="TimesNewRoman,Bold"/>
          <w:bCs/>
          <w:sz w:val="22"/>
          <w:szCs w:val="22"/>
          <w:lang w:val="lt-LT" w:eastAsia="lt-LT"/>
        </w:rPr>
      </w:pPr>
      <w:r w:rsidRPr="00106F96">
        <w:rPr>
          <w:rFonts w:eastAsia="TimesNewRoman,Bold"/>
          <w:bCs/>
          <w:sz w:val="22"/>
          <w:szCs w:val="22"/>
          <w:lang w:val="lt-LT" w:eastAsia="lt-LT"/>
        </w:rPr>
        <w:t>Merckle GmbH</w:t>
      </w:r>
    </w:p>
    <w:p w14:paraId="3E92456D" w14:textId="77777777" w:rsidR="00646DFE" w:rsidRDefault="00106F96" w:rsidP="00106F96">
      <w:pPr>
        <w:rPr>
          <w:rFonts w:eastAsia="TimesNewRoman,Bold"/>
          <w:bCs/>
          <w:sz w:val="22"/>
          <w:szCs w:val="22"/>
          <w:lang w:val="lt-LT" w:eastAsia="lt-LT"/>
        </w:rPr>
      </w:pPr>
      <w:r w:rsidRPr="00106F96">
        <w:rPr>
          <w:rFonts w:eastAsia="TimesNewRoman,Bold"/>
          <w:bCs/>
          <w:sz w:val="22"/>
          <w:szCs w:val="22"/>
          <w:lang w:val="lt-LT" w:eastAsia="lt-LT"/>
        </w:rPr>
        <w:t>Ludwig-Merckle-Straße 3</w:t>
      </w:r>
    </w:p>
    <w:p w14:paraId="0C7E4E60" w14:textId="77777777" w:rsidR="00646DFE" w:rsidRDefault="00106F96" w:rsidP="00106F96">
      <w:pPr>
        <w:rPr>
          <w:rFonts w:eastAsia="TimesNewRoman,Bold"/>
          <w:bCs/>
          <w:sz w:val="22"/>
          <w:szCs w:val="22"/>
          <w:lang w:val="lt-LT" w:eastAsia="lt-LT"/>
        </w:rPr>
      </w:pPr>
      <w:r w:rsidRPr="00106F96">
        <w:rPr>
          <w:rFonts w:eastAsia="TimesNewRoman,Bold"/>
          <w:bCs/>
          <w:sz w:val="22"/>
          <w:szCs w:val="22"/>
          <w:lang w:val="lt-LT" w:eastAsia="lt-LT"/>
        </w:rPr>
        <w:t>Blaubeuren, 89143</w:t>
      </w:r>
    </w:p>
    <w:p w14:paraId="6491824E" w14:textId="77777777" w:rsidR="00106F96" w:rsidRPr="00106F96" w:rsidRDefault="00106F96" w:rsidP="00106F96">
      <w:pPr>
        <w:rPr>
          <w:rFonts w:eastAsia="TimesNewRoman,Bold"/>
          <w:bCs/>
          <w:sz w:val="22"/>
          <w:szCs w:val="22"/>
          <w:lang w:val="lt-LT" w:eastAsia="lt-LT"/>
        </w:rPr>
      </w:pPr>
      <w:r w:rsidRPr="00106F96">
        <w:rPr>
          <w:rFonts w:eastAsia="TimesNewRoman,Bold"/>
          <w:bCs/>
          <w:sz w:val="22"/>
          <w:szCs w:val="22"/>
          <w:lang w:val="lt-LT" w:eastAsia="lt-LT"/>
        </w:rPr>
        <w:t>Vokietija</w:t>
      </w:r>
    </w:p>
    <w:p w14:paraId="3D40C47A" w14:textId="77777777" w:rsidR="00106F96" w:rsidRPr="00106F96" w:rsidRDefault="00106F96" w:rsidP="00106F96">
      <w:pPr>
        <w:rPr>
          <w:rFonts w:eastAsia="TimesNewRoman,Bold"/>
          <w:bCs/>
          <w:sz w:val="22"/>
          <w:szCs w:val="22"/>
          <w:lang w:val="lt-LT" w:eastAsia="lt-LT"/>
        </w:rPr>
      </w:pPr>
    </w:p>
    <w:p w14:paraId="78BE4380" w14:textId="77777777" w:rsidR="00106F96" w:rsidRPr="00106F96" w:rsidRDefault="00106F96" w:rsidP="00106F96">
      <w:pPr>
        <w:rPr>
          <w:noProof/>
          <w:sz w:val="22"/>
          <w:szCs w:val="22"/>
        </w:rPr>
      </w:pPr>
      <w:r w:rsidRPr="00106F96">
        <w:rPr>
          <w:rFonts w:eastAsia="TimesNewRoman,Bold"/>
          <w:bCs/>
          <w:sz w:val="22"/>
          <w:szCs w:val="22"/>
          <w:lang w:val="lt-LT" w:eastAsia="lt-LT"/>
        </w:rPr>
        <w:t>arba</w:t>
      </w:r>
    </w:p>
    <w:p w14:paraId="363074C5" w14:textId="77777777" w:rsidR="00106F96" w:rsidRPr="00106F96" w:rsidRDefault="00106F96" w:rsidP="00106F96">
      <w:pPr>
        <w:rPr>
          <w:noProof/>
          <w:sz w:val="22"/>
          <w:szCs w:val="22"/>
        </w:rPr>
      </w:pPr>
    </w:p>
    <w:p w14:paraId="7BFC795D" w14:textId="77777777" w:rsidR="00646DFE" w:rsidRDefault="00106F96" w:rsidP="00106F96">
      <w:pPr>
        <w:rPr>
          <w:rFonts w:eastAsia="TimesNewRoman,Bold"/>
          <w:bCs/>
          <w:sz w:val="22"/>
          <w:szCs w:val="22"/>
          <w:lang w:val="lt-LT" w:eastAsia="lt-LT"/>
        </w:rPr>
      </w:pPr>
      <w:r w:rsidRPr="00106F96">
        <w:rPr>
          <w:rFonts w:eastAsia="TimesNewRoman,Bold"/>
          <w:bCs/>
          <w:sz w:val="22"/>
          <w:szCs w:val="22"/>
          <w:lang w:val="lt-LT" w:eastAsia="lt-LT"/>
        </w:rPr>
        <w:t>Teva Pharma B.V.</w:t>
      </w:r>
    </w:p>
    <w:p w14:paraId="1FC8CFC9" w14:textId="77777777" w:rsidR="00646DFE" w:rsidRDefault="00106F96" w:rsidP="00106F96">
      <w:pPr>
        <w:rPr>
          <w:rFonts w:eastAsia="TimesNewRoman,Bold"/>
          <w:bCs/>
          <w:sz w:val="22"/>
          <w:szCs w:val="22"/>
          <w:lang w:val="lt-LT" w:eastAsia="lt-LT"/>
        </w:rPr>
      </w:pPr>
      <w:r w:rsidRPr="00106F96">
        <w:rPr>
          <w:rFonts w:eastAsia="TimesNewRoman,Bold"/>
          <w:bCs/>
          <w:sz w:val="22"/>
          <w:szCs w:val="22"/>
          <w:lang w:val="lt-LT" w:eastAsia="lt-LT"/>
        </w:rPr>
        <w:t>Swensweg 5</w:t>
      </w:r>
    </w:p>
    <w:p w14:paraId="75D8142E" w14:textId="77777777" w:rsidR="00646DFE" w:rsidRDefault="00106F96" w:rsidP="00106F96">
      <w:pPr>
        <w:rPr>
          <w:rFonts w:eastAsia="TimesNewRoman,Bold"/>
          <w:bCs/>
          <w:sz w:val="22"/>
          <w:szCs w:val="22"/>
          <w:lang w:val="lt-LT" w:eastAsia="lt-LT"/>
        </w:rPr>
      </w:pPr>
      <w:r w:rsidRPr="00106F96">
        <w:rPr>
          <w:rFonts w:eastAsia="TimesNewRoman,Bold"/>
          <w:bCs/>
          <w:sz w:val="22"/>
          <w:szCs w:val="22"/>
          <w:lang w:val="lt-LT" w:eastAsia="lt-LT"/>
        </w:rPr>
        <w:t>Haarlem, 2031 GA</w:t>
      </w:r>
    </w:p>
    <w:p w14:paraId="7D8B1175" w14:textId="77777777" w:rsidR="00106F96" w:rsidRPr="00106F96" w:rsidRDefault="00106F96" w:rsidP="00106F96">
      <w:pPr>
        <w:rPr>
          <w:rFonts w:eastAsia="TimesNewRoman,Bold"/>
          <w:bCs/>
          <w:sz w:val="22"/>
          <w:szCs w:val="22"/>
          <w:lang w:val="lt-LT" w:eastAsia="lt-LT"/>
        </w:rPr>
      </w:pPr>
      <w:r w:rsidRPr="00106F96">
        <w:rPr>
          <w:rFonts w:eastAsia="TimesNewRoman,Bold"/>
          <w:bCs/>
          <w:sz w:val="22"/>
          <w:szCs w:val="22"/>
          <w:lang w:val="lt-LT" w:eastAsia="lt-LT"/>
        </w:rPr>
        <w:t>Nyderlandai</w:t>
      </w:r>
    </w:p>
    <w:p w14:paraId="5B29B34F" w14:textId="77777777" w:rsidR="00106F96" w:rsidRPr="00106F96" w:rsidRDefault="00106F96" w:rsidP="00106F96">
      <w:pPr>
        <w:rPr>
          <w:rFonts w:eastAsia="TimesNewRoman,Bold"/>
          <w:bCs/>
          <w:sz w:val="22"/>
          <w:szCs w:val="22"/>
          <w:lang w:val="lt-LT" w:eastAsia="lt-LT"/>
        </w:rPr>
      </w:pPr>
    </w:p>
    <w:p w14:paraId="69D0B6A3" w14:textId="77777777" w:rsidR="00106F96" w:rsidRPr="00106F96" w:rsidRDefault="00106F96" w:rsidP="00106F96">
      <w:pPr>
        <w:rPr>
          <w:noProof/>
          <w:sz w:val="22"/>
          <w:szCs w:val="22"/>
        </w:rPr>
      </w:pPr>
      <w:r w:rsidRPr="00106F96">
        <w:rPr>
          <w:rFonts w:eastAsia="TimesNewRoman,Bold"/>
          <w:bCs/>
          <w:sz w:val="22"/>
          <w:szCs w:val="22"/>
          <w:lang w:val="lt-LT" w:eastAsia="lt-LT"/>
        </w:rPr>
        <w:t>arba</w:t>
      </w:r>
    </w:p>
    <w:p w14:paraId="06FB7C5C" w14:textId="77777777" w:rsidR="00106F96" w:rsidRPr="00106F96" w:rsidRDefault="00106F96" w:rsidP="00106F96">
      <w:pPr>
        <w:rPr>
          <w:rFonts w:eastAsia="TimesNewRoman,Bold"/>
          <w:bCs/>
          <w:sz w:val="22"/>
          <w:szCs w:val="22"/>
          <w:lang w:val="lt-LT" w:eastAsia="lt-LT"/>
        </w:rPr>
      </w:pPr>
    </w:p>
    <w:p w14:paraId="78DE9389" w14:textId="77777777" w:rsidR="00646DFE" w:rsidRDefault="00106F96" w:rsidP="00106F96">
      <w:pPr>
        <w:rPr>
          <w:rFonts w:eastAsia="TimesNewRoman,Bold"/>
          <w:bCs/>
          <w:sz w:val="22"/>
          <w:szCs w:val="22"/>
          <w:lang w:val="lt-LT" w:eastAsia="lt-LT"/>
        </w:rPr>
      </w:pPr>
      <w:r w:rsidRPr="00106F96">
        <w:rPr>
          <w:rFonts w:eastAsia="TimesNewRoman,Bold"/>
          <w:bCs/>
          <w:sz w:val="22"/>
          <w:szCs w:val="22"/>
          <w:lang w:val="lt-LT" w:eastAsia="lt-LT"/>
        </w:rPr>
        <w:t>PLIVA Hrvatska d.o.o. (PLIVA Croatia Ltd.)</w:t>
      </w:r>
    </w:p>
    <w:p w14:paraId="0DCEDEDE" w14:textId="77777777" w:rsidR="00646DFE" w:rsidRDefault="00106F96" w:rsidP="00106F96">
      <w:pPr>
        <w:rPr>
          <w:rFonts w:eastAsia="TimesNewRoman,Bold"/>
          <w:bCs/>
          <w:sz w:val="22"/>
          <w:szCs w:val="22"/>
          <w:lang w:val="lt-LT" w:eastAsia="lt-LT"/>
        </w:rPr>
      </w:pPr>
      <w:r w:rsidRPr="00106F96">
        <w:rPr>
          <w:rFonts w:eastAsia="TimesNewRoman,Bold"/>
          <w:bCs/>
          <w:sz w:val="22"/>
          <w:szCs w:val="22"/>
          <w:lang w:val="lt-LT" w:eastAsia="lt-LT"/>
        </w:rPr>
        <w:t>Prilaz baruna Filipovica 25</w:t>
      </w:r>
    </w:p>
    <w:p w14:paraId="544893EF" w14:textId="77777777" w:rsidR="00646DFE" w:rsidRDefault="00106F96" w:rsidP="00106F96">
      <w:pPr>
        <w:rPr>
          <w:rFonts w:eastAsia="TimesNewRoman,Bold"/>
          <w:bCs/>
          <w:sz w:val="22"/>
          <w:szCs w:val="22"/>
          <w:lang w:val="lt-LT" w:eastAsia="lt-LT"/>
        </w:rPr>
      </w:pPr>
      <w:r w:rsidRPr="00106F96">
        <w:rPr>
          <w:rFonts w:eastAsia="TimesNewRoman,Bold"/>
          <w:bCs/>
          <w:sz w:val="22"/>
          <w:szCs w:val="22"/>
          <w:lang w:val="lt-LT" w:eastAsia="lt-LT"/>
        </w:rPr>
        <w:t>Zagreb, 10000</w:t>
      </w:r>
    </w:p>
    <w:p w14:paraId="7F6014E2" w14:textId="77777777" w:rsidR="00106F96" w:rsidRPr="00106F96" w:rsidRDefault="00106F96" w:rsidP="00106F96">
      <w:pPr>
        <w:rPr>
          <w:noProof/>
          <w:sz w:val="22"/>
          <w:szCs w:val="22"/>
        </w:rPr>
      </w:pPr>
      <w:r w:rsidRPr="00106F96">
        <w:rPr>
          <w:rFonts w:eastAsia="TimesNewRoman,Bold"/>
          <w:bCs/>
          <w:sz w:val="22"/>
          <w:szCs w:val="22"/>
          <w:lang w:val="lt-LT" w:eastAsia="lt-LT"/>
        </w:rPr>
        <w:t>Kroatija</w:t>
      </w:r>
    </w:p>
    <w:p w14:paraId="240E12DF" w14:textId="77777777" w:rsidR="00106F96" w:rsidRPr="00106F96" w:rsidRDefault="00106F96" w:rsidP="00106F96">
      <w:pPr>
        <w:rPr>
          <w:noProof/>
          <w:sz w:val="22"/>
          <w:szCs w:val="22"/>
        </w:rPr>
      </w:pPr>
    </w:p>
    <w:p w14:paraId="4AF6B6B9" w14:textId="77777777" w:rsidR="00106F96" w:rsidRPr="00106F96" w:rsidRDefault="00106F96" w:rsidP="00106F96">
      <w:pPr>
        <w:rPr>
          <w:noProof/>
          <w:sz w:val="22"/>
          <w:szCs w:val="22"/>
        </w:rPr>
      </w:pPr>
      <w:r w:rsidRPr="00106F96">
        <w:rPr>
          <w:sz w:val="22"/>
          <w:szCs w:val="22"/>
        </w:rPr>
        <w:t>Su pakuote pateikiamame lapelyje nurodomas gamintojo, atsakingo už konkrečios serijos išleidimą, pavadinimas ir adresas.</w:t>
      </w:r>
    </w:p>
    <w:p w14:paraId="75CCBC82" w14:textId="77777777" w:rsidR="00106F96" w:rsidRPr="00106F96" w:rsidRDefault="00106F96" w:rsidP="00106F96">
      <w:pPr>
        <w:rPr>
          <w:noProof/>
          <w:sz w:val="22"/>
          <w:szCs w:val="22"/>
        </w:rPr>
      </w:pPr>
    </w:p>
    <w:p w14:paraId="4A68B73E" w14:textId="77777777" w:rsidR="00106F96" w:rsidRPr="00106F96" w:rsidRDefault="00106F96" w:rsidP="00106F96">
      <w:pPr>
        <w:rPr>
          <w:noProof/>
          <w:sz w:val="22"/>
          <w:szCs w:val="22"/>
        </w:rPr>
      </w:pPr>
    </w:p>
    <w:p w14:paraId="2E4AB4A5" w14:textId="77777777" w:rsidR="00106F96" w:rsidRPr="00106F96" w:rsidRDefault="00106F96" w:rsidP="00106F96">
      <w:pPr>
        <w:keepNext/>
        <w:numPr>
          <w:ilvl w:val="0"/>
          <w:numId w:val="21"/>
        </w:numPr>
        <w:tabs>
          <w:tab w:val="left" w:pos="567"/>
        </w:tabs>
        <w:ind w:left="567" w:hanging="567"/>
        <w:rPr>
          <w:b/>
          <w:noProof/>
          <w:sz w:val="22"/>
          <w:szCs w:val="22"/>
        </w:rPr>
      </w:pPr>
      <w:r w:rsidRPr="00106F96">
        <w:rPr>
          <w:b/>
          <w:noProof/>
          <w:sz w:val="22"/>
          <w:szCs w:val="22"/>
        </w:rPr>
        <w:t xml:space="preserve">TIEKIMO IR VARTOJIMO SĄLYGOS AR APRIBOJIMAI </w:t>
      </w:r>
    </w:p>
    <w:p w14:paraId="0300DFBC" w14:textId="77777777" w:rsidR="00106F96" w:rsidRPr="00106F96" w:rsidRDefault="00106F96" w:rsidP="00106F96">
      <w:pPr>
        <w:keepNext/>
        <w:rPr>
          <w:noProof/>
          <w:sz w:val="22"/>
          <w:szCs w:val="22"/>
        </w:rPr>
      </w:pPr>
    </w:p>
    <w:p w14:paraId="5393CED7" w14:textId="77777777" w:rsidR="00106F96" w:rsidRPr="00106F96" w:rsidRDefault="00106F96" w:rsidP="00106F96">
      <w:pPr>
        <w:numPr>
          <w:ilvl w:val="12"/>
          <w:numId w:val="0"/>
        </w:numPr>
        <w:rPr>
          <w:noProof/>
          <w:sz w:val="22"/>
          <w:szCs w:val="22"/>
        </w:rPr>
      </w:pPr>
      <w:r w:rsidRPr="00106F96">
        <w:rPr>
          <w:sz w:val="22"/>
          <w:szCs w:val="22"/>
        </w:rPr>
        <w:t>Receptinis vaistinis preparatas.</w:t>
      </w:r>
    </w:p>
    <w:p w14:paraId="6872FA01" w14:textId="77777777" w:rsidR="00106F96" w:rsidRPr="00106F96" w:rsidRDefault="00106F96" w:rsidP="00106F96">
      <w:pPr>
        <w:ind w:right="566"/>
        <w:rPr>
          <w:noProof/>
          <w:sz w:val="22"/>
          <w:szCs w:val="22"/>
        </w:rPr>
      </w:pPr>
      <w:r w:rsidRPr="00106F96">
        <w:rPr>
          <w:noProof/>
          <w:sz w:val="22"/>
          <w:szCs w:val="22"/>
        </w:rPr>
        <w:br w:type="page"/>
      </w:r>
    </w:p>
    <w:p w14:paraId="1DEDD86C" w14:textId="77777777" w:rsidR="00106F96" w:rsidRPr="00106F96" w:rsidRDefault="00106F96" w:rsidP="00106F96">
      <w:pPr>
        <w:rPr>
          <w:noProof/>
          <w:sz w:val="22"/>
          <w:szCs w:val="22"/>
        </w:rPr>
      </w:pPr>
    </w:p>
    <w:p w14:paraId="48947BD4" w14:textId="77777777" w:rsidR="00106F96" w:rsidRPr="00106F96" w:rsidRDefault="00106F96" w:rsidP="00106F96">
      <w:pPr>
        <w:rPr>
          <w:noProof/>
          <w:sz w:val="22"/>
          <w:szCs w:val="22"/>
        </w:rPr>
      </w:pPr>
    </w:p>
    <w:p w14:paraId="035F50A2" w14:textId="77777777" w:rsidR="00106F96" w:rsidRPr="00106F96" w:rsidRDefault="00106F96" w:rsidP="00106F96">
      <w:pPr>
        <w:rPr>
          <w:noProof/>
          <w:sz w:val="22"/>
          <w:szCs w:val="22"/>
        </w:rPr>
      </w:pPr>
    </w:p>
    <w:p w14:paraId="7AA4F771" w14:textId="77777777" w:rsidR="00106F96" w:rsidRPr="00106F96" w:rsidRDefault="00106F96" w:rsidP="00106F96">
      <w:pPr>
        <w:rPr>
          <w:noProof/>
          <w:sz w:val="22"/>
          <w:szCs w:val="22"/>
        </w:rPr>
      </w:pPr>
    </w:p>
    <w:p w14:paraId="25B5AAC8" w14:textId="77777777" w:rsidR="00106F96" w:rsidRPr="00106F96" w:rsidRDefault="00106F96" w:rsidP="00106F96">
      <w:pPr>
        <w:rPr>
          <w:sz w:val="22"/>
          <w:szCs w:val="22"/>
        </w:rPr>
      </w:pPr>
    </w:p>
    <w:p w14:paraId="45657088" w14:textId="77777777" w:rsidR="00106F96" w:rsidRPr="00106F96" w:rsidRDefault="00106F96" w:rsidP="00106F96">
      <w:pPr>
        <w:rPr>
          <w:sz w:val="22"/>
          <w:szCs w:val="22"/>
        </w:rPr>
      </w:pPr>
    </w:p>
    <w:p w14:paraId="5F9ADBE2" w14:textId="77777777" w:rsidR="00106F96" w:rsidRPr="00106F96" w:rsidRDefault="00106F96" w:rsidP="00106F96">
      <w:pPr>
        <w:rPr>
          <w:sz w:val="22"/>
          <w:szCs w:val="22"/>
        </w:rPr>
      </w:pPr>
    </w:p>
    <w:p w14:paraId="52F25C12" w14:textId="77777777" w:rsidR="00106F96" w:rsidRPr="00106F96" w:rsidRDefault="00106F96" w:rsidP="00106F96">
      <w:pPr>
        <w:rPr>
          <w:sz w:val="22"/>
          <w:szCs w:val="22"/>
        </w:rPr>
      </w:pPr>
    </w:p>
    <w:p w14:paraId="36C2F8C1" w14:textId="77777777" w:rsidR="00106F96" w:rsidRPr="00106F96" w:rsidRDefault="00106F96" w:rsidP="00106F96">
      <w:pPr>
        <w:rPr>
          <w:sz w:val="22"/>
          <w:szCs w:val="22"/>
        </w:rPr>
      </w:pPr>
    </w:p>
    <w:p w14:paraId="70CDD243" w14:textId="77777777" w:rsidR="00106F96" w:rsidRPr="00106F96" w:rsidRDefault="00106F96" w:rsidP="00106F96">
      <w:pPr>
        <w:rPr>
          <w:noProof/>
          <w:sz w:val="22"/>
          <w:szCs w:val="22"/>
        </w:rPr>
      </w:pPr>
    </w:p>
    <w:p w14:paraId="23083F7D" w14:textId="77777777" w:rsidR="00106F96" w:rsidRPr="00106F96" w:rsidRDefault="00106F96" w:rsidP="00106F96">
      <w:pPr>
        <w:rPr>
          <w:noProof/>
          <w:sz w:val="22"/>
          <w:szCs w:val="22"/>
        </w:rPr>
      </w:pPr>
    </w:p>
    <w:p w14:paraId="0E786EA9" w14:textId="77777777" w:rsidR="00106F96" w:rsidRPr="00106F96" w:rsidRDefault="00106F96" w:rsidP="00106F96">
      <w:pPr>
        <w:rPr>
          <w:noProof/>
          <w:sz w:val="22"/>
          <w:szCs w:val="22"/>
        </w:rPr>
      </w:pPr>
    </w:p>
    <w:p w14:paraId="3D3A117A" w14:textId="77777777" w:rsidR="00106F96" w:rsidRPr="00106F96" w:rsidRDefault="00106F96" w:rsidP="00106F96">
      <w:pPr>
        <w:rPr>
          <w:noProof/>
          <w:sz w:val="22"/>
          <w:szCs w:val="22"/>
        </w:rPr>
      </w:pPr>
    </w:p>
    <w:p w14:paraId="77BD451E" w14:textId="77777777" w:rsidR="00106F96" w:rsidRPr="00106F96" w:rsidRDefault="00106F96" w:rsidP="00106F96">
      <w:pPr>
        <w:rPr>
          <w:noProof/>
          <w:sz w:val="22"/>
          <w:szCs w:val="22"/>
        </w:rPr>
      </w:pPr>
    </w:p>
    <w:p w14:paraId="33117AE6" w14:textId="77777777" w:rsidR="00106F96" w:rsidRPr="00106F96" w:rsidRDefault="00106F96" w:rsidP="00106F96">
      <w:pPr>
        <w:rPr>
          <w:noProof/>
          <w:sz w:val="22"/>
          <w:szCs w:val="22"/>
        </w:rPr>
      </w:pPr>
    </w:p>
    <w:p w14:paraId="40A48BB7" w14:textId="77777777" w:rsidR="00106F96" w:rsidRPr="00106F96" w:rsidRDefault="00106F96" w:rsidP="00106F96">
      <w:pPr>
        <w:rPr>
          <w:noProof/>
          <w:sz w:val="22"/>
          <w:szCs w:val="22"/>
        </w:rPr>
      </w:pPr>
    </w:p>
    <w:p w14:paraId="0390D43C" w14:textId="77777777" w:rsidR="00106F96" w:rsidRPr="00106F96" w:rsidRDefault="00106F96" w:rsidP="00106F96">
      <w:pPr>
        <w:outlineLvl w:val="0"/>
        <w:rPr>
          <w:b/>
          <w:noProof/>
          <w:sz w:val="22"/>
          <w:szCs w:val="22"/>
        </w:rPr>
      </w:pPr>
    </w:p>
    <w:p w14:paraId="662AB2B9" w14:textId="77777777" w:rsidR="00106F96" w:rsidRPr="00106F96" w:rsidRDefault="00106F96" w:rsidP="00106F96">
      <w:pPr>
        <w:outlineLvl w:val="0"/>
        <w:rPr>
          <w:b/>
          <w:noProof/>
          <w:sz w:val="22"/>
          <w:szCs w:val="22"/>
        </w:rPr>
      </w:pPr>
    </w:p>
    <w:p w14:paraId="0F175480" w14:textId="77777777" w:rsidR="00106F96" w:rsidRPr="00106F96" w:rsidRDefault="00106F96" w:rsidP="00106F96">
      <w:pPr>
        <w:outlineLvl w:val="0"/>
        <w:rPr>
          <w:b/>
          <w:noProof/>
          <w:sz w:val="22"/>
          <w:szCs w:val="22"/>
        </w:rPr>
      </w:pPr>
    </w:p>
    <w:p w14:paraId="0D117E8E" w14:textId="77777777" w:rsidR="00106F96" w:rsidRPr="00106F96" w:rsidRDefault="00106F96" w:rsidP="00106F96">
      <w:pPr>
        <w:outlineLvl w:val="0"/>
        <w:rPr>
          <w:b/>
          <w:noProof/>
          <w:sz w:val="22"/>
          <w:szCs w:val="22"/>
        </w:rPr>
      </w:pPr>
    </w:p>
    <w:p w14:paraId="7330CF12" w14:textId="77777777" w:rsidR="00106F96" w:rsidRPr="00106F96" w:rsidRDefault="00106F96" w:rsidP="00106F96">
      <w:pPr>
        <w:outlineLvl w:val="0"/>
        <w:rPr>
          <w:b/>
          <w:noProof/>
          <w:sz w:val="22"/>
          <w:szCs w:val="22"/>
        </w:rPr>
      </w:pPr>
    </w:p>
    <w:p w14:paraId="3284DC4D" w14:textId="77777777" w:rsidR="00106F96" w:rsidRDefault="00106F96" w:rsidP="00106F96">
      <w:pPr>
        <w:outlineLvl w:val="0"/>
        <w:rPr>
          <w:b/>
          <w:noProof/>
          <w:sz w:val="22"/>
          <w:szCs w:val="22"/>
        </w:rPr>
      </w:pPr>
    </w:p>
    <w:p w14:paraId="217C910C" w14:textId="77777777" w:rsidR="00F05FE6" w:rsidRPr="00106F96" w:rsidRDefault="00F05FE6" w:rsidP="00106F96">
      <w:pPr>
        <w:outlineLvl w:val="0"/>
        <w:rPr>
          <w:b/>
          <w:noProof/>
          <w:sz w:val="22"/>
          <w:szCs w:val="22"/>
        </w:rPr>
      </w:pPr>
    </w:p>
    <w:p w14:paraId="2E044C11" w14:textId="77777777" w:rsidR="00106F96" w:rsidRPr="00106F96" w:rsidRDefault="00106F96" w:rsidP="00106F96">
      <w:pPr>
        <w:jc w:val="center"/>
        <w:outlineLvl w:val="0"/>
        <w:rPr>
          <w:b/>
          <w:noProof/>
          <w:sz w:val="22"/>
          <w:szCs w:val="22"/>
        </w:rPr>
      </w:pPr>
      <w:r w:rsidRPr="00106F96">
        <w:rPr>
          <w:b/>
          <w:noProof/>
          <w:sz w:val="22"/>
          <w:szCs w:val="22"/>
        </w:rPr>
        <w:t>III PRIEDAS</w:t>
      </w:r>
    </w:p>
    <w:p w14:paraId="75E6F6B3" w14:textId="77777777" w:rsidR="00106F96" w:rsidRPr="00106F96" w:rsidRDefault="00106F96" w:rsidP="00106F96">
      <w:pPr>
        <w:jc w:val="center"/>
        <w:rPr>
          <w:b/>
          <w:noProof/>
          <w:sz w:val="22"/>
          <w:szCs w:val="22"/>
        </w:rPr>
      </w:pPr>
    </w:p>
    <w:p w14:paraId="389318A7" w14:textId="77777777" w:rsidR="00106F96" w:rsidRPr="00106F96" w:rsidRDefault="00106F96" w:rsidP="00106F96">
      <w:pPr>
        <w:jc w:val="center"/>
        <w:outlineLvl w:val="0"/>
        <w:rPr>
          <w:b/>
          <w:noProof/>
          <w:sz w:val="22"/>
          <w:szCs w:val="22"/>
        </w:rPr>
      </w:pPr>
      <w:r w:rsidRPr="00106F96">
        <w:rPr>
          <w:b/>
          <w:noProof/>
          <w:sz w:val="22"/>
          <w:szCs w:val="22"/>
        </w:rPr>
        <w:t>ŽENKLINIMAS IR PAKUOTĖS LAPELIS</w:t>
      </w:r>
    </w:p>
    <w:p w14:paraId="7E25A099" w14:textId="77777777" w:rsidR="00106F96" w:rsidRPr="00106F96" w:rsidRDefault="00106F96" w:rsidP="00106F96">
      <w:pPr>
        <w:rPr>
          <w:b/>
          <w:noProof/>
          <w:sz w:val="22"/>
          <w:szCs w:val="22"/>
        </w:rPr>
      </w:pPr>
      <w:r w:rsidRPr="00106F96">
        <w:rPr>
          <w:sz w:val="22"/>
          <w:szCs w:val="22"/>
        </w:rPr>
        <w:br w:type="page"/>
      </w:r>
    </w:p>
    <w:p w14:paraId="048EF6EF" w14:textId="77777777" w:rsidR="00106F96" w:rsidRPr="00106F96" w:rsidRDefault="00106F96" w:rsidP="00106F96">
      <w:pPr>
        <w:outlineLvl w:val="0"/>
        <w:rPr>
          <w:b/>
          <w:noProof/>
          <w:sz w:val="22"/>
          <w:szCs w:val="22"/>
        </w:rPr>
      </w:pPr>
    </w:p>
    <w:p w14:paraId="7BA3F148" w14:textId="77777777" w:rsidR="00106F96" w:rsidRPr="00106F96" w:rsidRDefault="00106F96" w:rsidP="00106F96">
      <w:pPr>
        <w:outlineLvl w:val="0"/>
        <w:rPr>
          <w:b/>
          <w:noProof/>
          <w:sz w:val="22"/>
          <w:szCs w:val="22"/>
        </w:rPr>
      </w:pPr>
    </w:p>
    <w:p w14:paraId="5B6C5BC7" w14:textId="77777777" w:rsidR="00106F96" w:rsidRPr="00106F96" w:rsidRDefault="00106F96" w:rsidP="00106F96">
      <w:pPr>
        <w:outlineLvl w:val="0"/>
        <w:rPr>
          <w:b/>
          <w:noProof/>
          <w:sz w:val="22"/>
          <w:szCs w:val="22"/>
        </w:rPr>
      </w:pPr>
    </w:p>
    <w:p w14:paraId="6709CE9C" w14:textId="77777777" w:rsidR="00106F96" w:rsidRPr="00106F96" w:rsidRDefault="00106F96" w:rsidP="00106F96">
      <w:pPr>
        <w:outlineLvl w:val="0"/>
        <w:rPr>
          <w:b/>
          <w:noProof/>
          <w:sz w:val="22"/>
          <w:szCs w:val="22"/>
        </w:rPr>
      </w:pPr>
    </w:p>
    <w:p w14:paraId="7E483765" w14:textId="77777777" w:rsidR="00106F96" w:rsidRPr="00106F96" w:rsidRDefault="00106F96" w:rsidP="00106F96">
      <w:pPr>
        <w:outlineLvl w:val="0"/>
        <w:rPr>
          <w:b/>
          <w:noProof/>
          <w:sz w:val="22"/>
          <w:szCs w:val="22"/>
        </w:rPr>
      </w:pPr>
    </w:p>
    <w:p w14:paraId="33822025" w14:textId="77777777" w:rsidR="00106F96" w:rsidRPr="00106F96" w:rsidRDefault="00106F96" w:rsidP="00106F96">
      <w:pPr>
        <w:outlineLvl w:val="0"/>
        <w:rPr>
          <w:b/>
          <w:noProof/>
          <w:sz w:val="22"/>
          <w:szCs w:val="22"/>
        </w:rPr>
      </w:pPr>
    </w:p>
    <w:p w14:paraId="2217E810" w14:textId="77777777" w:rsidR="00106F96" w:rsidRPr="00106F96" w:rsidRDefault="00106F96" w:rsidP="00106F96">
      <w:pPr>
        <w:outlineLvl w:val="0"/>
        <w:rPr>
          <w:b/>
          <w:noProof/>
          <w:sz w:val="22"/>
          <w:szCs w:val="22"/>
        </w:rPr>
      </w:pPr>
    </w:p>
    <w:p w14:paraId="0A2E5F45" w14:textId="77777777" w:rsidR="00106F96" w:rsidRPr="00106F96" w:rsidRDefault="00106F96" w:rsidP="00106F96">
      <w:pPr>
        <w:outlineLvl w:val="0"/>
        <w:rPr>
          <w:b/>
          <w:noProof/>
          <w:sz w:val="22"/>
          <w:szCs w:val="22"/>
        </w:rPr>
      </w:pPr>
    </w:p>
    <w:p w14:paraId="3009890C" w14:textId="77777777" w:rsidR="00106F96" w:rsidRPr="00106F96" w:rsidRDefault="00106F96" w:rsidP="00106F96">
      <w:pPr>
        <w:outlineLvl w:val="0"/>
        <w:rPr>
          <w:b/>
          <w:noProof/>
          <w:sz w:val="22"/>
          <w:szCs w:val="22"/>
        </w:rPr>
      </w:pPr>
    </w:p>
    <w:p w14:paraId="78DB66ED" w14:textId="77777777" w:rsidR="00106F96" w:rsidRPr="00106F96" w:rsidRDefault="00106F96" w:rsidP="00106F96">
      <w:pPr>
        <w:outlineLvl w:val="0"/>
        <w:rPr>
          <w:b/>
          <w:noProof/>
          <w:sz w:val="22"/>
          <w:szCs w:val="22"/>
        </w:rPr>
      </w:pPr>
    </w:p>
    <w:p w14:paraId="14087C93" w14:textId="77777777" w:rsidR="00106F96" w:rsidRPr="00106F96" w:rsidRDefault="00106F96" w:rsidP="00106F96">
      <w:pPr>
        <w:outlineLvl w:val="0"/>
        <w:rPr>
          <w:b/>
          <w:noProof/>
          <w:sz w:val="22"/>
          <w:szCs w:val="22"/>
        </w:rPr>
      </w:pPr>
    </w:p>
    <w:p w14:paraId="249FCB3A" w14:textId="77777777" w:rsidR="00106F96" w:rsidRPr="00106F96" w:rsidRDefault="00106F96" w:rsidP="00106F96">
      <w:pPr>
        <w:outlineLvl w:val="0"/>
        <w:rPr>
          <w:b/>
          <w:noProof/>
          <w:sz w:val="22"/>
          <w:szCs w:val="22"/>
        </w:rPr>
      </w:pPr>
    </w:p>
    <w:p w14:paraId="21442FE9" w14:textId="77777777" w:rsidR="00106F96" w:rsidRPr="00106F96" w:rsidRDefault="00106F96" w:rsidP="00106F96">
      <w:pPr>
        <w:outlineLvl w:val="0"/>
        <w:rPr>
          <w:b/>
          <w:noProof/>
          <w:sz w:val="22"/>
          <w:szCs w:val="22"/>
        </w:rPr>
      </w:pPr>
    </w:p>
    <w:p w14:paraId="4FEECE31" w14:textId="77777777" w:rsidR="00106F96" w:rsidRPr="00106F96" w:rsidRDefault="00106F96" w:rsidP="00106F96">
      <w:pPr>
        <w:outlineLvl w:val="0"/>
        <w:rPr>
          <w:b/>
          <w:noProof/>
          <w:sz w:val="22"/>
          <w:szCs w:val="22"/>
        </w:rPr>
      </w:pPr>
    </w:p>
    <w:p w14:paraId="176911C2" w14:textId="77777777" w:rsidR="00106F96" w:rsidRPr="00106F96" w:rsidRDefault="00106F96" w:rsidP="00106F96">
      <w:pPr>
        <w:outlineLvl w:val="0"/>
        <w:rPr>
          <w:b/>
          <w:noProof/>
          <w:sz w:val="22"/>
          <w:szCs w:val="22"/>
        </w:rPr>
      </w:pPr>
    </w:p>
    <w:p w14:paraId="34DAFECB" w14:textId="77777777" w:rsidR="00106F96" w:rsidRPr="00106F96" w:rsidRDefault="00106F96" w:rsidP="00106F96">
      <w:pPr>
        <w:outlineLvl w:val="0"/>
        <w:rPr>
          <w:b/>
          <w:noProof/>
          <w:sz w:val="22"/>
          <w:szCs w:val="22"/>
        </w:rPr>
      </w:pPr>
    </w:p>
    <w:p w14:paraId="506D77E1" w14:textId="77777777" w:rsidR="00106F96" w:rsidRPr="00106F96" w:rsidRDefault="00106F96" w:rsidP="00106F96">
      <w:pPr>
        <w:outlineLvl w:val="0"/>
        <w:rPr>
          <w:b/>
          <w:noProof/>
          <w:sz w:val="22"/>
          <w:szCs w:val="22"/>
        </w:rPr>
      </w:pPr>
    </w:p>
    <w:p w14:paraId="129CCD2E" w14:textId="77777777" w:rsidR="00106F96" w:rsidRPr="00106F96" w:rsidRDefault="00106F96" w:rsidP="00106F96">
      <w:pPr>
        <w:outlineLvl w:val="0"/>
        <w:rPr>
          <w:b/>
          <w:noProof/>
          <w:sz w:val="22"/>
          <w:szCs w:val="22"/>
        </w:rPr>
      </w:pPr>
    </w:p>
    <w:p w14:paraId="24781A68" w14:textId="77777777" w:rsidR="00106F96" w:rsidRPr="00106F96" w:rsidRDefault="00106F96" w:rsidP="00106F96">
      <w:pPr>
        <w:outlineLvl w:val="0"/>
        <w:rPr>
          <w:b/>
          <w:noProof/>
          <w:sz w:val="22"/>
          <w:szCs w:val="22"/>
        </w:rPr>
      </w:pPr>
    </w:p>
    <w:p w14:paraId="2E99C034" w14:textId="77777777" w:rsidR="00106F96" w:rsidRPr="00106F96" w:rsidRDefault="00106F96" w:rsidP="00106F96">
      <w:pPr>
        <w:outlineLvl w:val="0"/>
        <w:rPr>
          <w:b/>
          <w:noProof/>
          <w:sz w:val="22"/>
          <w:szCs w:val="22"/>
        </w:rPr>
      </w:pPr>
    </w:p>
    <w:p w14:paraId="5B6F5C1D" w14:textId="77777777" w:rsidR="00106F96" w:rsidRPr="00106F96" w:rsidRDefault="00106F96" w:rsidP="00106F96">
      <w:pPr>
        <w:outlineLvl w:val="0"/>
        <w:rPr>
          <w:b/>
          <w:noProof/>
          <w:sz w:val="22"/>
          <w:szCs w:val="22"/>
        </w:rPr>
      </w:pPr>
    </w:p>
    <w:p w14:paraId="5A2D9A7A" w14:textId="77777777" w:rsidR="00106F96" w:rsidRDefault="00106F96" w:rsidP="00106F96">
      <w:pPr>
        <w:outlineLvl w:val="0"/>
        <w:rPr>
          <w:b/>
          <w:noProof/>
          <w:sz w:val="22"/>
          <w:szCs w:val="22"/>
        </w:rPr>
      </w:pPr>
    </w:p>
    <w:p w14:paraId="42D54B1B" w14:textId="77777777" w:rsidR="00F05FE6" w:rsidRPr="00106F96" w:rsidRDefault="00F05FE6" w:rsidP="00106F96">
      <w:pPr>
        <w:outlineLvl w:val="0"/>
        <w:rPr>
          <w:b/>
          <w:noProof/>
          <w:sz w:val="22"/>
          <w:szCs w:val="22"/>
        </w:rPr>
      </w:pPr>
    </w:p>
    <w:p w14:paraId="228C2146" w14:textId="77777777" w:rsidR="00106F96" w:rsidRPr="00106F96" w:rsidRDefault="00106F96" w:rsidP="00106F96">
      <w:pPr>
        <w:jc w:val="center"/>
        <w:outlineLvl w:val="0"/>
        <w:rPr>
          <w:noProof/>
          <w:sz w:val="22"/>
          <w:szCs w:val="22"/>
        </w:rPr>
      </w:pPr>
      <w:r w:rsidRPr="00106F96">
        <w:rPr>
          <w:rStyle w:val="DoNotTranslateExternal1"/>
          <w:sz w:val="22"/>
        </w:rPr>
        <w:t>A.</w:t>
      </w:r>
      <w:r w:rsidRPr="00106F96">
        <w:rPr>
          <w:b/>
          <w:noProof/>
          <w:sz w:val="22"/>
          <w:szCs w:val="22"/>
        </w:rPr>
        <w:t xml:space="preserve"> ŽENKLINIMAS</w:t>
      </w:r>
    </w:p>
    <w:p w14:paraId="74E543EE" w14:textId="77777777" w:rsidR="00106F96" w:rsidRPr="00106F96" w:rsidRDefault="00106F96" w:rsidP="00106F96">
      <w:pPr>
        <w:shd w:val="clear" w:color="auto" w:fill="FFFFFF"/>
        <w:rPr>
          <w:noProof/>
          <w:sz w:val="22"/>
          <w:szCs w:val="22"/>
        </w:rPr>
      </w:pPr>
      <w:r w:rsidRPr="00106F96">
        <w:rPr>
          <w:sz w:val="22"/>
          <w:szCs w:val="22"/>
        </w:rPr>
        <w:br w:type="page"/>
      </w:r>
    </w:p>
    <w:p w14:paraId="1A6C08EF" w14:textId="77777777" w:rsidR="00106F96" w:rsidRPr="00106F96" w:rsidRDefault="00106F96" w:rsidP="00106F96">
      <w:pPr>
        <w:pBdr>
          <w:top w:val="single" w:sz="4" w:space="1" w:color="auto"/>
          <w:left w:val="single" w:sz="4" w:space="4" w:color="auto"/>
          <w:bottom w:val="single" w:sz="4" w:space="1" w:color="auto"/>
          <w:right w:val="single" w:sz="4" w:space="4" w:color="auto"/>
        </w:pBdr>
        <w:rPr>
          <w:b/>
          <w:noProof/>
          <w:sz w:val="22"/>
          <w:szCs w:val="22"/>
        </w:rPr>
      </w:pPr>
      <w:r w:rsidRPr="00106F96">
        <w:rPr>
          <w:b/>
          <w:noProof/>
          <w:sz w:val="22"/>
          <w:szCs w:val="22"/>
        </w:rPr>
        <w:lastRenderedPageBreak/>
        <w:t xml:space="preserve">INFORMACIJA ANT IŠORINĖS </w:t>
      </w:r>
      <w:r w:rsidR="00646DFE">
        <w:rPr>
          <w:b/>
          <w:noProof/>
          <w:sz w:val="22"/>
          <w:szCs w:val="22"/>
        </w:rPr>
        <w:t xml:space="preserve">IR VIDINĖS </w:t>
      </w:r>
      <w:r w:rsidRPr="00106F96">
        <w:rPr>
          <w:b/>
          <w:noProof/>
          <w:sz w:val="22"/>
          <w:szCs w:val="22"/>
        </w:rPr>
        <w:t>PAKUOTĖS</w:t>
      </w:r>
    </w:p>
    <w:p w14:paraId="3D9F7BE3" w14:textId="77777777" w:rsidR="00106F96" w:rsidRPr="00106F96" w:rsidRDefault="00106F96" w:rsidP="00106F96">
      <w:pPr>
        <w:pBdr>
          <w:top w:val="single" w:sz="4" w:space="1" w:color="auto"/>
          <w:left w:val="single" w:sz="4" w:space="4" w:color="auto"/>
          <w:bottom w:val="single" w:sz="4" w:space="1" w:color="auto"/>
          <w:right w:val="single" w:sz="4" w:space="4" w:color="auto"/>
        </w:pBdr>
        <w:ind w:left="567" w:hanging="567"/>
        <w:rPr>
          <w:bCs/>
          <w:noProof/>
          <w:sz w:val="22"/>
          <w:szCs w:val="22"/>
        </w:rPr>
      </w:pPr>
    </w:p>
    <w:p w14:paraId="2A607CBF" w14:textId="77777777" w:rsidR="00106F96" w:rsidRPr="00106F96" w:rsidRDefault="00106F96" w:rsidP="00106F96">
      <w:pPr>
        <w:pBdr>
          <w:top w:val="single" w:sz="4" w:space="1" w:color="auto"/>
          <w:left w:val="single" w:sz="4" w:space="4" w:color="auto"/>
          <w:bottom w:val="single" w:sz="4" w:space="1" w:color="auto"/>
          <w:right w:val="single" w:sz="4" w:space="4" w:color="auto"/>
        </w:pBdr>
        <w:rPr>
          <w:bCs/>
          <w:noProof/>
          <w:sz w:val="22"/>
          <w:szCs w:val="22"/>
        </w:rPr>
      </w:pPr>
      <w:r w:rsidRPr="00106F96">
        <w:rPr>
          <w:b/>
          <w:noProof/>
          <w:sz w:val="22"/>
          <w:szCs w:val="22"/>
        </w:rPr>
        <w:t>Kartono dėžutė lizdinėms plokštelėms ir buteliuko etiketė</w:t>
      </w:r>
    </w:p>
    <w:p w14:paraId="529E7797" w14:textId="77777777" w:rsidR="00106F96" w:rsidRPr="00106F96" w:rsidRDefault="00106F96" w:rsidP="00106F96">
      <w:pPr>
        <w:rPr>
          <w:sz w:val="22"/>
          <w:szCs w:val="22"/>
        </w:rPr>
      </w:pPr>
    </w:p>
    <w:p w14:paraId="245EAB48" w14:textId="77777777" w:rsidR="00106F96" w:rsidRPr="00106F96" w:rsidRDefault="00106F96" w:rsidP="00106F96">
      <w:pPr>
        <w:rPr>
          <w:noProof/>
          <w:sz w:val="22"/>
          <w:szCs w:val="22"/>
        </w:rPr>
      </w:pPr>
    </w:p>
    <w:p w14:paraId="5EDDB150" w14:textId="77777777" w:rsidR="00106F96" w:rsidRPr="00106F96" w:rsidRDefault="00106F96" w:rsidP="00106F96">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106F96">
        <w:rPr>
          <w:b/>
          <w:sz w:val="22"/>
          <w:szCs w:val="22"/>
        </w:rPr>
        <w:t>VAISTINIO PREPARATO PAVADINIMAS</w:t>
      </w:r>
    </w:p>
    <w:p w14:paraId="79E820D4" w14:textId="77777777" w:rsidR="00106F96" w:rsidRPr="00106F96" w:rsidRDefault="00106F96" w:rsidP="00106F96">
      <w:pPr>
        <w:keepNext/>
        <w:rPr>
          <w:noProof/>
          <w:sz w:val="22"/>
          <w:szCs w:val="22"/>
        </w:rPr>
      </w:pPr>
    </w:p>
    <w:p w14:paraId="59404BE4" w14:textId="77777777" w:rsidR="00106F96" w:rsidRPr="00106F96" w:rsidRDefault="00106F96" w:rsidP="00106F96">
      <w:pPr>
        <w:rPr>
          <w:noProof/>
          <w:sz w:val="22"/>
          <w:szCs w:val="22"/>
        </w:rPr>
      </w:pPr>
      <w:r w:rsidRPr="00106F96">
        <w:rPr>
          <w:sz w:val="22"/>
          <w:szCs w:val="22"/>
        </w:rPr>
        <w:t>Darunavir Teva 600</w:t>
      </w:r>
      <w:r w:rsidR="00646DFE">
        <w:rPr>
          <w:sz w:val="22"/>
          <w:szCs w:val="22"/>
        </w:rPr>
        <w:t> </w:t>
      </w:r>
      <w:r w:rsidRPr="00106F96">
        <w:rPr>
          <w:sz w:val="22"/>
          <w:szCs w:val="22"/>
        </w:rPr>
        <w:t xml:space="preserve">mg plėvele dengtos tabletės </w:t>
      </w:r>
    </w:p>
    <w:p w14:paraId="12AC52CE" w14:textId="77777777" w:rsidR="00106F96" w:rsidRPr="00106F96" w:rsidRDefault="00106F96" w:rsidP="00106F96">
      <w:pPr>
        <w:rPr>
          <w:b/>
          <w:sz w:val="22"/>
          <w:szCs w:val="22"/>
        </w:rPr>
      </w:pPr>
      <w:r w:rsidRPr="00106F96">
        <w:rPr>
          <w:sz w:val="22"/>
          <w:szCs w:val="22"/>
        </w:rPr>
        <w:t>Darunavirum</w:t>
      </w:r>
      <w:r w:rsidRPr="00106F96">
        <w:rPr>
          <w:b/>
          <w:sz w:val="22"/>
          <w:szCs w:val="22"/>
        </w:rPr>
        <w:t xml:space="preserve"> </w:t>
      </w:r>
    </w:p>
    <w:p w14:paraId="77F16EAB" w14:textId="77777777" w:rsidR="00106F96" w:rsidRPr="00106F96" w:rsidRDefault="00106F96" w:rsidP="00106F96">
      <w:pPr>
        <w:rPr>
          <w:noProof/>
          <w:sz w:val="22"/>
          <w:szCs w:val="22"/>
        </w:rPr>
      </w:pPr>
    </w:p>
    <w:p w14:paraId="042F7B0E" w14:textId="77777777" w:rsidR="00106F96" w:rsidRPr="00106F96" w:rsidRDefault="00106F96" w:rsidP="00106F96">
      <w:pPr>
        <w:rPr>
          <w:noProof/>
          <w:sz w:val="22"/>
          <w:szCs w:val="22"/>
        </w:rPr>
      </w:pPr>
    </w:p>
    <w:p w14:paraId="2C906EFA" w14:textId="77777777" w:rsidR="00106F96" w:rsidRPr="00106F96" w:rsidRDefault="00106F96" w:rsidP="00106F96">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b/>
          <w:noProof/>
          <w:sz w:val="22"/>
          <w:szCs w:val="22"/>
        </w:rPr>
      </w:pPr>
      <w:r w:rsidRPr="00106F96">
        <w:rPr>
          <w:b/>
          <w:noProof/>
          <w:sz w:val="22"/>
          <w:szCs w:val="22"/>
        </w:rPr>
        <w:t>VEIKLIOJI (-IOS) MEDŽIAGA (-OS) IR JOS (-Ų) KIEKIS (-IAI)</w:t>
      </w:r>
    </w:p>
    <w:p w14:paraId="3BFE2AB6" w14:textId="77777777" w:rsidR="00106F96" w:rsidRPr="00106F96" w:rsidRDefault="00106F96" w:rsidP="00106F96">
      <w:pPr>
        <w:keepNext/>
        <w:rPr>
          <w:noProof/>
          <w:sz w:val="22"/>
          <w:szCs w:val="22"/>
        </w:rPr>
      </w:pPr>
    </w:p>
    <w:p w14:paraId="20B9634F" w14:textId="77777777" w:rsidR="00106F96" w:rsidRPr="00106F96" w:rsidRDefault="00106F96" w:rsidP="00106F96">
      <w:pPr>
        <w:rPr>
          <w:rFonts w:eastAsia="TimesNewRoman"/>
          <w:sz w:val="22"/>
          <w:szCs w:val="22"/>
          <w:lang w:val="lt-LT" w:eastAsia="en-US"/>
        </w:rPr>
      </w:pPr>
      <w:r w:rsidRPr="00106F96">
        <w:rPr>
          <w:rFonts w:eastAsia="TimesNewRoman"/>
          <w:sz w:val="22"/>
          <w:szCs w:val="22"/>
          <w:lang w:val="lt-LT" w:eastAsia="en-US"/>
        </w:rPr>
        <w:t>Kiekvienoje plėvele dengtoje tabletėje yra 600 mg darunaviro.</w:t>
      </w:r>
    </w:p>
    <w:p w14:paraId="0323835A" w14:textId="77777777" w:rsidR="00106F96" w:rsidRPr="00106F96" w:rsidRDefault="00106F96" w:rsidP="00106F96">
      <w:pPr>
        <w:rPr>
          <w:noProof/>
          <w:sz w:val="22"/>
          <w:szCs w:val="22"/>
        </w:rPr>
      </w:pPr>
    </w:p>
    <w:p w14:paraId="0472C946" w14:textId="77777777" w:rsidR="00106F96" w:rsidRPr="00106F96" w:rsidRDefault="00106F96" w:rsidP="00106F96">
      <w:pPr>
        <w:rPr>
          <w:noProof/>
          <w:sz w:val="22"/>
          <w:szCs w:val="22"/>
        </w:rPr>
      </w:pPr>
    </w:p>
    <w:p w14:paraId="42A0310A" w14:textId="77777777" w:rsidR="00106F96" w:rsidRPr="00106F96" w:rsidRDefault="00106F96" w:rsidP="00106F96">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106F96">
        <w:rPr>
          <w:b/>
          <w:noProof/>
          <w:sz w:val="22"/>
          <w:szCs w:val="22"/>
        </w:rPr>
        <w:t>PAGALBINIŲ MEDŽIAGŲ SĄRAŠAS</w:t>
      </w:r>
    </w:p>
    <w:p w14:paraId="1686165B" w14:textId="77777777" w:rsidR="00106F96" w:rsidRPr="00106F96" w:rsidRDefault="00106F96" w:rsidP="00106F96">
      <w:pPr>
        <w:rPr>
          <w:noProof/>
          <w:sz w:val="22"/>
          <w:szCs w:val="22"/>
        </w:rPr>
      </w:pPr>
    </w:p>
    <w:p w14:paraId="3114616C" w14:textId="77777777" w:rsidR="00106F96" w:rsidRPr="00106F96" w:rsidRDefault="00106F96" w:rsidP="00106F96">
      <w:pPr>
        <w:rPr>
          <w:noProof/>
          <w:sz w:val="22"/>
          <w:szCs w:val="22"/>
        </w:rPr>
      </w:pPr>
    </w:p>
    <w:p w14:paraId="75EA4732" w14:textId="77777777" w:rsidR="00106F96" w:rsidRPr="00106F96" w:rsidRDefault="00106F96" w:rsidP="00106F96">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106F96">
        <w:rPr>
          <w:b/>
          <w:noProof/>
          <w:sz w:val="22"/>
          <w:szCs w:val="22"/>
        </w:rPr>
        <w:t>FARMACINĖ FORMA IR KIEKIS PAKUOTĖJE</w:t>
      </w:r>
    </w:p>
    <w:p w14:paraId="37BA36A3" w14:textId="77777777" w:rsidR="00106F96" w:rsidRPr="00106F96" w:rsidRDefault="00106F96" w:rsidP="00106F96">
      <w:pPr>
        <w:rPr>
          <w:noProof/>
          <w:sz w:val="22"/>
          <w:szCs w:val="22"/>
        </w:rPr>
      </w:pPr>
    </w:p>
    <w:p w14:paraId="7DCECD39" w14:textId="77777777" w:rsidR="00106F96" w:rsidRPr="00106F96" w:rsidRDefault="00106F96" w:rsidP="00106F96">
      <w:pPr>
        <w:rPr>
          <w:noProof/>
          <w:sz w:val="22"/>
          <w:szCs w:val="22"/>
        </w:rPr>
      </w:pPr>
      <w:r w:rsidRPr="00106F96">
        <w:rPr>
          <w:noProof/>
          <w:sz w:val="22"/>
          <w:szCs w:val="22"/>
        </w:rPr>
        <w:t>Plėvele dengta tabletė</w:t>
      </w:r>
    </w:p>
    <w:p w14:paraId="01A404E3" w14:textId="77777777" w:rsidR="00106F96" w:rsidRPr="00106F96" w:rsidRDefault="00106F96" w:rsidP="00106F96">
      <w:pPr>
        <w:rPr>
          <w:noProof/>
          <w:sz w:val="22"/>
          <w:szCs w:val="22"/>
        </w:rPr>
      </w:pPr>
    </w:p>
    <w:p w14:paraId="0C5C31A3" w14:textId="77777777" w:rsidR="00106F96" w:rsidRPr="00106F96" w:rsidRDefault="00646DFE" w:rsidP="00106F96">
      <w:pPr>
        <w:rPr>
          <w:noProof/>
          <w:sz w:val="22"/>
          <w:szCs w:val="22"/>
        </w:rPr>
      </w:pPr>
      <w:r>
        <w:rPr>
          <w:noProof/>
          <w:sz w:val="22"/>
          <w:szCs w:val="22"/>
        </w:rPr>
        <w:t>[</w:t>
      </w:r>
      <w:r w:rsidR="00106F96" w:rsidRPr="00E4759F">
        <w:rPr>
          <w:i/>
          <w:noProof/>
          <w:sz w:val="22"/>
          <w:szCs w:val="22"/>
        </w:rPr>
        <w:t>Lizdin</w:t>
      </w:r>
      <w:r w:rsidRPr="00E4759F">
        <w:rPr>
          <w:i/>
          <w:noProof/>
          <w:sz w:val="22"/>
          <w:szCs w:val="22"/>
        </w:rPr>
        <w:t>ių</w:t>
      </w:r>
      <w:r w:rsidR="00106F96" w:rsidRPr="00E4759F">
        <w:rPr>
          <w:i/>
          <w:noProof/>
          <w:sz w:val="22"/>
          <w:szCs w:val="22"/>
        </w:rPr>
        <w:t xml:space="preserve"> plokštel</w:t>
      </w:r>
      <w:r w:rsidRPr="00E4759F">
        <w:rPr>
          <w:i/>
          <w:noProof/>
          <w:sz w:val="22"/>
          <w:szCs w:val="22"/>
        </w:rPr>
        <w:t>ių pakuotė</w:t>
      </w:r>
      <w:r>
        <w:rPr>
          <w:noProof/>
          <w:sz w:val="22"/>
          <w:szCs w:val="22"/>
        </w:rPr>
        <w:t>]</w:t>
      </w:r>
    </w:p>
    <w:p w14:paraId="47E90465" w14:textId="77777777" w:rsidR="00106F96" w:rsidRPr="00106F96" w:rsidRDefault="00106F96" w:rsidP="00106F96">
      <w:pPr>
        <w:rPr>
          <w:noProof/>
          <w:sz w:val="22"/>
          <w:szCs w:val="22"/>
        </w:rPr>
      </w:pPr>
      <w:r w:rsidRPr="00106F96">
        <w:rPr>
          <w:noProof/>
          <w:sz w:val="22"/>
          <w:szCs w:val="22"/>
        </w:rPr>
        <w:t>20 plėvele dengtų tablečių</w:t>
      </w:r>
    </w:p>
    <w:p w14:paraId="515A754A" w14:textId="77777777" w:rsidR="00106F96" w:rsidRPr="003A4091" w:rsidRDefault="00106F96" w:rsidP="00106F96">
      <w:pPr>
        <w:rPr>
          <w:sz w:val="22"/>
          <w:highlight w:val="lightGray"/>
        </w:rPr>
      </w:pPr>
      <w:r w:rsidRPr="003A4091">
        <w:rPr>
          <w:sz w:val="22"/>
          <w:highlight w:val="lightGray"/>
        </w:rPr>
        <w:t>20x1 plėvele dengtų tablečių</w:t>
      </w:r>
    </w:p>
    <w:p w14:paraId="16526AE8" w14:textId="77777777" w:rsidR="00106F96" w:rsidRPr="003A4091" w:rsidRDefault="00106F96" w:rsidP="00106F96">
      <w:pPr>
        <w:rPr>
          <w:sz w:val="22"/>
          <w:highlight w:val="lightGray"/>
        </w:rPr>
      </w:pPr>
      <w:r w:rsidRPr="003A4091">
        <w:rPr>
          <w:sz w:val="22"/>
          <w:highlight w:val="lightGray"/>
        </w:rPr>
        <w:t>60 plėvele dengtų tablečių</w:t>
      </w:r>
    </w:p>
    <w:p w14:paraId="72DC03A5" w14:textId="77777777" w:rsidR="00106F96" w:rsidRPr="003A4091" w:rsidRDefault="00106F96" w:rsidP="00106F96">
      <w:pPr>
        <w:rPr>
          <w:sz w:val="22"/>
          <w:highlight w:val="lightGray"/>
        </w:rPr>
      </w:pPr>
      <w:r w:rsidRPr="003A4091">
        <w:rPr>
          <w:sz w:val="22"/>
          <w:highlight w:val="lightGray"/>
        </w:rPr>
        <w:t>60x1 plėvele dengtų tablečių</w:t>
      </w:r>
    </w:p>
    <w:p w14:paraId="7D84C813" w14:textId="77777777" w:rsidR="00106F96" w:rsidRPr="003A4091" w:rsidRDefault="00106F96" w:rsidP="00106F96">
      <w:pPr>
        <w:rPr>
          <w:sz w:val="22"/>
          <w:highlight w:val="lightGray"/>
        </w:rPr>
      </w:pPr>
      <w:r w:rsidRPr="003A4091">
        <w:rPr>
          <w:sz w:val="22"/>
          <w:highlight w:val="lightGray"/>
        </w:rPr>
        <w:t>200 plėvele dengtų tablečių</w:t>
      </w:r>
    </w:p>
    <w:p w14:paraId="69FC79E9" w14:textId="77777777" w:rsidR="00106F96" w:rsidRPr="003A4091" w:rsidRDefault="00106F96" w:rsidP="00106F96">
      <w:pPr>
        <w:rPr>
          <w:sz w:val="22"/>
          <w:highlight w:val="lightGray"/>
        </w:rPr>
      </w:pPr>
      <w:r w:rsidRPr="003A4091">
        <w:rPr>
          <w:sz w:val="22"/>
          <w:highlight w:val="lightGray"/>
        </w:rPr>
        <w:t>200x1 plėvele dengtų tablečių</w:t>
      </w:r>
    </w:p>
    <w:p w14:paraId="15DDC6F9" w14:textId="77777777" w:rsidR="00106F96" w:rsidRPr="003A4091" w:rsidRDefault="00106F96" w:rsidP="00106F96">
      <w:pPr>
        <w:rPr>
          <w:sz w:val="22"/>
          <w:highlight w:val="lightGray"/>
        </w:rPr>
      </w:pPr>
      <w:r w:rsidRPr="003A4091">
        <w:rPr>
          <w:sz w:val="22"/>
          <w:highlight w:val="lightGray"/>
        </w:rPr>
        <w:t>240 plėvele dengtų tablečių</w:t>
      </w:r>
    </w:p>
    <w:p w14:paraId="78270470" w14:textId="77777777" w:rsidR="00106F96" w:rsidRPr="00106F96" w:rsidRDefault="00106F96" w:rsidP="00106F96">
      <w:pPr>
        <w:rPr>
          <w:noProof/>
          <w:sz w:val="22"/>
          <w:szCs w:val="22"/>
        </w:rPr>
      </w:pPr>
      <w:r w:rsidRPr="003A4091">
        <w:rPr>
          <w:sz w:val="22"/>
          <w:highlight w:val="lightGray"/>
        </w:rPr>
        <w:t>240x1 plėvele dengtų tablečių</w:t>
      </w:r>
    </w:p>
    <w:p w14:paraId="0BE22F8E" w14:textId="77777777" w:rsidR="00106F96" w:rsidRPr="00106F96" w:rsidRDefault="00106F96" w:rsidP="00106F96">
      <w:pPr>
        <w:rPr>
          <w:noProof/>
          <w:sz w:val="22"/>
          <w:szCs w:val="22"/>
        </w:rPr>
      </w:pPr>
    </w:p>
    <w:p w14:paraId="7F471F97" w14:textId="77777777" w:rsidR="00106F96" w:rsidRPr="00106F96" w:rsidRDefault="00646DFE" w:rsidP="00106F96">
      <w:pPr>
        <w:rPr>
          <w:noProof/>
          <w:sz w:val="22"/>
          <w:szCs w:val="22"/>
        </w:rPr>
      </w:pPr>
      <w:r>
        <w:rPr>
          <w:noProof/>
          <w:sz w:val="22"/>
          <w:szCs w:val="22"/>
        </w:rPr>
        <w:t>[</w:t>
      </w:r>
      <w:r w:rsidR="00106F96" w:rsidRPr="00E4759F">
        <w:rPr>
          <w:i/>
          <w:noProof/>
          <w:sz w:val="22"/>
          <w:szCs w:val="22"/>
        </w:rPr>
        <w:t>Buteliuk</w:t>
      </w:r>
      <w:r w:rsidRPr="00E4759F">
        <w:rPr>
          <w:i/>
          <w:noProof/>
          <w:sz w:val="22"/>
          <w:szCs w:val="22"/>
        </w:rPr>
        <w:t>ų pakuotė</w:t>
      </w:r>
      <w:r>
        <w:rPr>
          <w:noProof/>
          <w:sz w:val="22"/>
          <w:szCs w:val="22"/>
        </w:rPr>
        <w:t>]</w:t>
      </w:r>
    </w:p>
    <w:p w14:paraId="6693EF38" w14:textId="77777777" w:rsidR="00106F96" w:rsidRPr="00106F96" w:rsidRDefault="00106F96" w:rsidP="00106F96">
      <w:pPr>
        <w:rPr>
          <w:noProof/>
          <w:sz w:val="22"/>
          <w:szCs w:val="22"/>
        </w:rPr>
      </w:pPr>
      <w:r w:rsidRPr="00106F96">
        <w:rPr>
          <w:noProof/>
          <w:sz w:val="22"/>
          <w:szCs w:val="22"/>
        </w:rPr>
        <w:t>60 plėvele dengtų tablečių</w:t>
      </w:r>
    </w:p>
    <w:p w14:paraId="544D31DA" w14:textId="77777777" w:rsidR="00106F96" w:rsidRPr="003A4091" w:rsidRDefault="00106F96" w:rsidP="00106F96">
      <w:pPr>
        <w:rPr>
          <w:sz w:val="22"/>
          <w:highlight w:val="lightGray"/>
        </w:rPr>
      </w:pPr>
      <w:r w:rsidRPr="003A4091">
        <w:rPr>
          <w:sz w:val="22"/>
          <w:highlight w:val="lightGray"/>
        </w:rPr>
        <w:t>180 (60x3) plėvele dengtų tablečių</w:t>
      </w:r>
    </w:p>
    <w:p w14:paraId="307E515C" w14:textId="77777777" w:rsidR="00106F96" w:rsidRPr="00106F96" w:rsidRDefault="00106F96" w:rsidP="00106F96">
      <w:pPr>
        <w:rPr>
          <w:noProof/>
          <w:sz w:val="22"/>
          <w:szCs w:val="22"/>
        </w:rPr>
      </w:pPr>
      <w:r w:rsidRPr="003A4091">
        <w:rPr>
          <w:sz w:val="22"/>
          <w:highlight w:val="lightGray"/>
        </w:rPr>
        <w:t>200 plėvele dengtų tablečių</w:t>
      </w:r>
    </w:p>
    <w:p w14:paraId="7904161A" w14:textId="77777777" w:rsidR="00106F96" w:rsidRPr="00106F96" w:rsidRDefault="00106F96" w:rsidP="00106F96">
      <w:pPr>
        <w:rPr>
          <w:noProof/>
          <w:sz w:val="22"/>
          <w:szCs w:val="22"/>
        </w:rPr>
      </w:pPr>
    </w:p>
    <w:p w14:paraId="2CD0E1ED" w14:textId="77777777" w:rsidR="00106F96" w:rsidRPr="00106F96" w:rsidRDefault="00106F96" w:rsidP="00106F96">
      <w:pPr>
        <w:rPr>
          <w:noProof/>
          <w:sz w:val="22"/>
          <w:szCs w:val="22"/>
        </w:rPr>
      </w:pPr>
    </w:p>
    <w:p w14:paraId="64780BF3" w14:textId="77777777" w:rsidR="00106F96" w:rsidRPr="00106F96" w:rsidRDefault="00106F96" w:rsidP="00106F96">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106F96">
        <w:rPr>
          <w:b/>
          <w:noProof/>
          <w:sz w:val="22"/>
          <w:szCs w:val="22"/>
        </w:rPr>
        <w:t>VARTOJIMO METODAS IR BŪDAS (-AI)</w:t>
      </w:r>
    </w:p>
    <w:p w14:paraId="6C6F54B9" w14:textId="77777777" w:rsidR="00106F96" w:rsidRPr="00106F96" w:rsidRDefault="00106F96" w:rsidP="00106F96">
      <w:pPr>
        <w:keepNext/>
        <w:rPr>
          <w:noProof/>
          <w:sz w:val="22"/>
          <w:szCs w:val="22"/>
        </w:rPr>
      </w:pPr>
    </w:p>
    <w:p w14:paraId="0612292F" w14:textId="77777777" w:rsidR="00106F96" w:rsidRPr="00106F96" w:rsidRDefault="00106F96" w:rsidP="00106F96">
      <w:pPr>
        <w:rPr>
          <w:sz w:val="22"/>
          <w:szCs w:val="22"/>
        </w:rPr>
      </w:pPr>
      <w:r w:rsidRPr="00106F96">
        <w:rPr>
          <w:sz w:val="22"/>
          <w:szCs w:val="22"/>
        </w:rPr>
        <w:t>Vartoti per burną.</w:t>
      </w:r>
    </w:p>
    <w:p w14:paraId="01C299D0" w14:textId="77777777" w:rsidR="00106F96" w:rsidRPr="00106F96" w:rsidRDefault="00106F96" w:rsidP="00106F96">
      <w:pPr>
        <w:rPr>
          <w:noProof/>
          <w:sz w:val="22"/>
          <w:szCs w:val="22"/>
        </w:rPr>
      </w:pPr>
      <w:r w:rsidRPr="00106F96">
        <w:rPr>
          <w:sz w:val="22"/>
          <w:szCs w:val="22"/>
        </w:rPr>
        <w:t>Prieš vartojimą perskaitykite pakuotės lapelį.</w:t>
      </w:r>
    </w:p>
    <w:p w14:paraId="21937AB6" w14:textId="77777777" w:rsidR="00106F96" w:rsidRPr="00106F96" w:rsidRDefault="00106F96" w:rsidP="00106F96">
      <w:pPr>
        <w:rPr>
          <w:noProof/>
          <w:sz w:val="22"/>
          <w:szCs w:val="22"/>
        </w:rPr>
      </w:pPr>
    </w:p>
    <w:p w14:paraId="31D749CC" w14:textId="77777777" w:rsidR="00106F96" w:rsidRPr="00106F96" w:rsidRDefault="00106F96" w:rsidP="00106F96">
      <w:pPr>
        <w:rPr>
          <w:noProof/>
          <w:sz w:val="22"/>
          <w:szCs w:val="22"/>
        </w:rPr>
      </w:pPr>
    </w:p>
    <w:p w14:paraId="2B36F200" w14:textId="77777777" w:rsidR="00106F96" w:rsidRPr="00106F96" w:rsidRDefault="00106F96" w:rsidP="00106F96">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106F96">
        <w:rPr>
          <w:b/>
          <w:noProof/>
          <w:sz w:val="22"/>
          <w:szCs w:val="22"/>
        </w:rPr>
        <w:t>SPECIALUS ĮSPĖJIMAS, KAD VAISTINĮ PREPARATĄ BŪTINA LAIKYTI VAIKAMS NEPASTEBIMOJE IR NEPASIEKIAMOJE VIETOJE</w:t>
      </w:r>
    </w:p>
    <w:p w14:paraId="75EEAA23" w14:textId="77777777" w:rsidR="00106F96" w:rsidRPr="00106F96" w:rsidRDefault="00106F96" w:rsidP="00106F96">
      <w:pPr>
        <w:keepNext/>
        <w:rPr>
          <w:noProof/>
          <w:sz w:val="22"/>
          <w:szCs w:val="22"/>
        </w:rPr>
      </w:pPr>
    </w:p>
    <w:p w14:paraId="6001ED22" w14:textId="77777777" w:rsidR="00106F96" w:rsidRPr="00106F96" w:rsidRDefault="00106F96" w:rsidP="00106F96">
      <w:pPr>
        <w:outlineLvl w:val="0"/>
        <w:rPr>
          <w:noProof/>
          <w:sz w:val="22"/>
          <w:szCs w:val="22"/>
        </w:rPr>
      </w:pPr>
      <w:r w:rsidRPr="00106F96">
        <w:rPr>
          <w:sz w:val="22"/>
          <w:szCs w:val="22"/>
        </w:rPr>
        <w:t>Laikyti vaikams nepastebimoje ir nepasiekiamoje vietoje.</w:t>
      </w:r>
    </w:p>
    <w:p w14:paraId="44F32B43" w14:textId="77777777" w:rsidR="00106F96" w:rsidRPr="00106F96" w:rsidRDefault="00106F96" w:rsidP="00106F96">
      <w:pPr>
        <w:rPr>
          <w:noProof/>
          <w:sz w:val="22"/>
          <w:szCs w:val="22"/>
        </w:rPr>
      </w:pPr>
    </w:p>
    <w:p w14:paraId="3FCF711F" w14:textId="77777777" w:rsidR="00106F96" w:rsidRPr="00106F96" w:rsidRDefault="00106F96" w:rsidP="00106F96">
      <w:pPr>
        <w:rPr>
          <w:noProof/>
          <w:sz w:val="22"/>
          <w:szCs w:val="22"/>
        </w:rPr>
      </w:pPr>
    </w:p>
    <w:p w14:paraId="14338C8E" w14:textId="77777777" w:rsidR="00106F96" w:rsidRPr="00106F96" w:rsidRDefault="00106F96" w:rsidP="00106F96">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106F96">
        <w:rPr>
          <w:b/>
          <w:noProof/>
          <w:sz w:val="22"/>
          <w:szCs w:val="22"/>
        </w:rPr>
        <w:t>KITAS (-I) SPECIALUS (-ŪS) ĮSPĖJIMAS (-AI) (JEI REIKIA)</w:t>
      </w:r>
    </w:p>
    <w:p w14:paraId="18A3D258" w14:textId="77777777" w:rsidR="00106F96" w:rsidRPr="00106F96" w:rsidRDefault="00106F96" w:rsidP="00106F96">
      <w:pPr>
        <w:keepNext/>
        <w:rPr>
          <w:noProof/>
          <w:sz w:val="22"/>
          <w:szCs w:val="22"/>
        </w:rPr>
      </w:pPr>
    </w:p>
    <w:p w14:paraId="5FC93AA1" w14:textId="77777777" w:rsidR="00106F96" w:rsidRPr="00106F96" w:rsidRDefault="00106F96" w:rsidP="00106F96">
      <w:pPr>
        <w:tabs>
          <w:tab w:val="left" w:pos="749"/>
        </w:tabs>
        <w:rPr>
          <w:sz w:val="22"/>
          <w:szCs w:val="22"/>
        </w:rPr>
      </w:pPr>
    </w:p>
    <w:p w14:paraId="45DB2953" w14:textId="77777777" w:rsidR="00106F96" w:rsidRPr="00106F96" w:rsidRDefault="00106F96" w:rsidP="00106F96">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106F96">
        <w:rPr>
          <w:b/>
          <w:sz w:val="22"/>
          <w:szCs w:val="22"/>
        </w:rPr>
        <w:t>TINKAMUMO LAIKAS</w:t>
      </w:r>
    </w:p>
    <w:p w14:paraId="03CD3224" w14:textId="77777777" w:rsidR="00106F96" w:rsidRPr="00106F96" w:rsidRDefault="00106F96" w:rsidP="00106F96">
      <w:pPr>
        <w:keepNext/>
        <w:rPr>
          <w:sz w:val="22"/>
          <w:szCs w:val="22"/>
        </w:rPr>
      </w:pPr>
    </w:p>
    <w:p w14:paraId="72095283" w14:textId="77777777" w:rsidR="00106F96" w:rsidRPr="00106F96" w:rsidRDefault="00106F96" w:rsidP="00106F96">
      <w:pPr>
        <w:rPr>
          <w:noProof/>
          <w:sz w:val="22"/>
          <w:szCs w:val="22"/>
        </w:rPr>
      </w:pPr>
      <w:r w:rsidRPr="00106F96">
        <w:rPr>
          <w:noProof/>
          <w:sz w:val="22"/>
          <w:szCs w:val="22"/>
        </w:rPr>
        <w:t>Tinka ik</w:t>
      </w:r>
      <w:r w:rsidR="00655DFA">
        <w:rPr>
          <w:noProof/>
          <w:sz w:val="22"/>
          <w:szCs w:val="22"/>
        </w:rPr>
        <w:t>i</w:t>
      </w:r>
      <w:r w:rsidRPr="00106F96">
        <w:rPr>
          <w:noProof/>
          <w:sz w:val="22"/>
          <w:szCs w:val="22"/>
        </w:rPr>
        <w:t xml:space="preserve"> {mm MMMM}</w:t>
      </w:r>
    </w:p>
    <w:p w14:paraId="6AAF57B6" w14:textId="77777777" w:rsidR="00106F96" w:rsidRDefault="00106F96" w:rsidP="00106F96">
      <w:pPr>
        <w:rPr>
          <w:noProof/>
          <w:sz w:val="22"/>
          <w:szCs w:val="22"/>
        </w:rPr>
      </w:pPr>
    </w:p>
    <w:p w14:paraId="63C4BF26" w14:textId="77777777" w:rsidR="00655DFA" w:rsidRPr="00106F96" w:rsidRDefault="00655DFA" w:rsidP="00106F96">
      <w:pPr>
        <w:rPr>
          <w:noProof/>
          <w:sz w:val="22"/>
          <w:szCs w:val="22"/>
        </w:rPr>
      </w:pPr>
    </w:p>
    <w:p w14:paraId="0DE61370" w14:textId="77777777" w:rsidR="00106F96" w:rsidRPr="00106F96" w:rsidRDefault="00106F96" w:rsidP="00106F96">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106F96">
        <w:rPr>
          <w:b/>
          <w:noProof/>
          <w:sz w:val="22"/>
          <w:szCs w:val="22"/>
        </w:rPr>
        <w:t>SPECIALIOS LAIKYMO SĄLYGOS</w:t>
      </w:r>
    </w:p>
    <w:p w14:paraId="4E84621D" w14:textId="77777777" w:rsidR="00106F96" w:rsidRPr="00106F96" w:rsidRDefault="00106F96" w:rsidP="00106F96">
      <w:pPr>
        <w:keepNext/>
        <w:rPr>
          <w:noProof/>
          <w:sz w:val="22"/>
          <w:szCs w:val="22"/>
        </w:rPr>
      </w:pPr>
    </w:p>
    <w:p w14:paraId="47B4D5BD" w14:textId="77777777" w:rsidR="00106F96" w:rsidRPr="00106F96" w:rsidRDefault="00106F96" w:rsidP="00106F96">
      <w:pPr>
        <w:ind w:left="567" w:hanging="567"/>
        <w:rPr>
          <w:noProof/>
          <w:sz w:val="22"/>
          <w:szCs w:val="22"/>
        </w:rPr>
      </w:pPr>
    </w:p>
    <w:p w14:paraId="7F78A061" w14:textId="77777777" w:rsidR="00106F96" w:rsidRPr="00106F96" w:rsidRDefault="00106F96" w:rsidP="00106F96">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b/>
          <w:noProof/>
          <w:sz w:val="22"/>
          <w:szCs w:val="22"/>
        </w:rPr>
      </w:pPr>
      <w:r w:rsidRPr="00106F96">
        <w:rPr>
          <w:b/>
          <w:noProof/>
          <w:sz w:val="22"/>
          <w:szCs w:val="22"/>
        </w:rPr>
        <w:t>SPECIALIOS ATSARGUMO PRIEMONĖS DĖL NESUVARTOTO VAISTINIO PREPARATO AR JO ATLIEKŲ TVARKYMO (JEI REIKIA)</w:t>
      </w:r>
    </w:p>
    <w:p w14:paraId="51AD9895" w14:textId="77777777" w:rsidR="00106F96" w:rsidRPr="00106F96" w:rsidRDefault="00106F96" w:rsidP="00106F96">
      <w:pPr>
        <w:rPr>
          <w:noProof/>
          <w:sz w:val="22"/>
          <w:szCs w:val="22"/>
        </w:rPr>
      </w:pPr>
    </w:p>
    <w:p w14:paraId="0BC362F9" w14:textId="77777777" w:rsidR="00106F96" w:rsidRPr="00106F96" w:rsidRDefault="00106F96" w:rsidP="00106F96">
      <w:pPr>
        <w:rPr>
          <w:noProof/>
          <w:sz w:val="22"/>
          <w:szCs w:val="22"/>
        </w:rPr>
      </w:pPr>
    </w:p>
    <w:p w14:paraId="61B8B1F0" w14:textId="77777777" w:rsidR="00106F96" w:rsidRPr="00106F96" w:rsidRDefault="00106F96" w:rsidP="00106F96">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b/>
          <w:noProof/>
          <w:sz w:val="22"/>
          <w:szCs w:val="22"/>
        </w:rPr>
      </w:pPr>
      <w:r w:rsidRPr="00106F96">
        <w:rPr>
          <w:b/>
          <w:noProof/>
          <w:sz w:val="22"/>
          <w:szCs w:val="22"/>
        </w:rPr>
        <w:t>REGISTRUOTOJO PAVADINIMAS IR ADRESAS</w:t>
      </w:r>
    </w:p>
    <w:p w14:paraId="058F28F8" w14:textId="77777777" w:rsidR="00106F96" w:rsidRPr="00106F96" w:rsidRDefault="00106F96" w:rsidP="00106F96">
      <w:pPr>
        <w:rPr>
          <w:noProof/>
          <w:sz w:val="22"/>
          <w:szCs w:val="22"/>
        </w:rPr>
      </w:pPr>
    </w:p>
    <w:p w14:paraId="60237155" w14:textId="77777777" w:rsidR="00106F96" w:rsidRPr="00106F96" w:rsidRDefault="00106F96" w:rsidP="00106F96">
      <w:pPr>
        <w:shd w:val="clear" w:color="auto" w:fill="FFFFFF"/>
        <w:rPr>
          <w:rFonts w:eastAsia="Times New Roman"/>
          <w:color w:val="000000"/>
          <w:sz w:val="22"/>
          <w:szCs w:val="22"/>
          <w:lang w:val="lt-LT" w:eastAsia="en-GB"/>
        </w:rPr>
      </w:pPr>
      <w:r w:rsidRPr="00106F96">
        <w:rPr>
          <w:rFonts w:eastAsia="Times New Roman"/>
          <w:color w:val="000000"/>
          <w:sz w:val="22"/>
          <w:szCs w:val="22"/>
          <w:lang w:val="lt-LT" w:eastAsia="en-GB"/>
        </w:rPr>
        <w:t>Teva B.V.</w:t>
      </w:r>
    </w:p>
    <w:p w14:paraId="4ABFAF68" w14:textId="77777777" w:rsidR="00106F96" w:rsidRPr="00106F96" w:rsidRDefault="00106F96" w:rsidP="00106F96">
      <w:pPr>
        <w:shd w:val="clear" w:color="auto" w:fill="FFFFFF"/>
        <w:rPr>
          <w:rFonts w:eastAsia="Times New Roman"/>
          <w:color w:val="000000"/>
          <w:sz w:val="22"/>
          <w:szCs w:val="22"/>
          <w:lang w:val="lt-LT" w:eastAsia="en-GB"/>
        </w:rPr>
      </w:pPr>
      <w:r w:rsidRPr="00106F96">
        <w:rPr>
          <w:rFonts w:eastAsia="Times New Roman"/>
          <w:color w:val="000000"/>
          <w:sz w:val="22"/>
          <w:szCs w:val="22"/>
          <w:lang w:val="lt-LT" w:eastAsia="en-GB"/>
        </w:rPr>
        <w:t>Swensweg 5</w:t>
      </w:r>
    </w:p>
    <w:p w14:paraId="36B90757" w14:textId="77777777" w:rsidR="00106F96" w:rsidRPr="00106F96" w:rsidRDefault="00106F96" w:rsidP="00106F96">
      <w:pPr>
        <w:shd w:val="clear" w:color="auto" w:fill="FFFFFF"/>
        <w:rPr>
          <w:rFonts w:eastAsia="Times New Roman"/>
          <w:color w:val="000000"/>
          <w:sz w:val="22"/>
          <w:szCs w:val="22"/>
          <w:lang w:val="lt-LT" w:eastAsia="en-GB"/>
        </w:rPr>
      </w:pPr>
      <w:r w:rsidRPr="00106F96">
        <w:rPr>
          <w:rFonts w:eastAsia="Times New Roman"/>
          <w:color w:val="000000"/>
          <w:sz w:val="22"/>
          <w:szCs w:val="22"/>
          <w:lang w:val="lt-LT" w:eastAsia="en-GB"/>
        </w:rPr>
        <w:t>2031 GA Haarlem</w:t>
      </w:r>
    </w:p>
    <w:p w14:paraId="735B7749" w14:textId="77777777" w:rsidR="00106F96" w:rsidRPr="00106F96" w:rsidRDefault="00106F96" w:rsidP="00106F96">
      <w:pPr>
        <w:rPr>
          <w:noProof/>
          <w:sz w:val="22"/>
          <w:szCs w:val="22"/>
        </w:rPr>
      </w:pPr>
      <w:r w:rsidRPr="00106F96">
        <w:rPr>
          <w:rFonts w:eastAsia="Times New Roman"/>
          <w:color w:val="000000"/>
          <w:sz w:val="22"/>
          <w:szCs w:val="22"/>
          <w:lang w:val="lt-LT" w:eastAsia="en-GB"/>
        </w:rPr>
        <w:t>Nyderlandai</w:t>
      </w:r>
      <w:r w:rsidRPr="00106F96">
        <w:rPr>
          <w:i/>
          <w:noProof/>
          <w:sz w:val="22"/>
          <w:szCs w:val="22"/>
        </w:rPr>
        <w:t xml:space="preserve"> </w:t>
      </w:r>
    </w:p>
    <w:p w14:paraId="16FC0DD4" w14:textId="77777777" w:rsidR="00106F96" w:rsidRPr="00106F96" w:rsidRDefault="00106F96" w:rsidP="00106F96">
      <w:pPr>
        <w:rPr>
          <w:noProof/>
          <w:sz w:val="22"/>
          <w:szCs w:val="22"/>
        </w:rPr>
      </w:pPr>
    </w:p>
    <w:p w14:paraId="5EAB3D7A" w14:textId="77777777" w:rsidR="00106F96" w:rsidRPr="00106F96" w:rsidRDefault="00106F96" w:rsidP="00106F96">
      <w:pPr>
        <w:rPr>
          <w:noProof/>
          <w:sz w:val="22"/>
          <w:szCs w:val="22"/>
        </w:rPr>
      </w:pPr>
    </w:p>
    <w:p w14:paraId="6A626BC0" w14:textId="77777777" w:rsidR="00106F96" w:rsidRPr="00106F96" w:rsidRDefault="00106F96" w:rsidP="00106F96">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106F96">
        <w:rPr>
          <w:b/>
          <w:noProof/>
          <w:sz w:val="22"/>
          <w:szCs w:val="22"/>
        </w:rPr>
        <w:t xml:space="preserve">REGISTRACIJOS PAŽYMĖJIMO NUMERIS (-IAI) </w:t>
      </w:r>
    </w:p>
    <w:p w14:paraId="5CCC9D4F" w14:textId="77777777" w:rsidR="00106F96" w:rsidRPr="00106F96" w:rsidRDefault="00106F96" w:rsidP="00106F96">
      <w:pPr>
        <w:rPr>
          <w:noProof/>
          <w:sz w:val="22"/>
          <w:szCs w:val="22"/>
        </w:rPr>
      </w:pPr>
    </w:p>
    <w:p w14:paraId="0BAF2B2B" w14:textId="77777777" w:rsidR="00F05FE6" w:rsidRPr="0014002C" w:rsidRDefault="00F05FE6" w:rsidP="00F05FE6">
      <w:pPr>
        <w:tabs>
          <w:tab w:val="left" w:pos="567"/>
        </w:tabs>
        <w:rPr>
          <w:rFonts w:eastAsia="Times New Roman"/>
          <w:noProof/>
          <w:sz w:val="22"/>
          <w:szCs w:val="22"/>
          <w:u w:val="single"/>
          <w:lang w:val="lt-LT" w:eastAsia="lt-LT" w:bidi="lt-LT"/>
        </w:rPr>
      </w:pPr>
      <w:r w:rsidRPr="0014002C">
        <w:rPr>
          <w:rFonts w:eastAsia="Times New Roman"/>
          <w:bCs/>
          <w:sz w:val="22"/>
          <w:szCs w:val="22"/>
          <w:u w:val="single"/>
          <w:lang w:val="lt-LT" w:eastAsia="en-US"/>
        </w:rPr>
        <w:t>Lizdinė plokštelė:</w:t>
      </w:r>
    </w:p>
    <w:p w14:paraId="5A17DAB9" w14:textId="77777777" w:rsidR="00F05FE6" w:rsidRPr="0014002C" w:rsidRDefault="00F05FE6" w:rsidP="00F05FE6">
      <w:pPr>
        <w:rPr>
          <w:rFonts w:eastAsia="Times New Roman"/>
          <w:bCs/>
          <w:sz w:val="22"/>
          <w:szCs w:val="22"/>
          <w:lang w:val="lt-LT" w:eastAsia="en-US"/>
        </w:rPr>
      </w:pPr>
      <w:r>
        <w:rPr>
          <w:rFonts w:eastAsia="Times New Roman"/>
          <w:sz w:val="22"/>
          <w:szCs w:val="22"/>
          <w:lang w:val="lt-LT" w:eastAsia="en-US"/>
        </w:rPr>
        <w:t xml:space="preserve">N20 - </w:t>
      </w:r>
      <w:r w:rsidRPr="0014002C">
        <w:rPr>
          <w:rFonts w:eastAsia="Times New Roman"/>
          <w:sz w:val="22"/>
          <w:szCs w:val="22"/>
          <w:lang w:val="lt-LT" w:eastAsia="en-US"/>
        </w:rPr>
        <w:t>LT/1/17/4034</w:t>
      </w:r>
      <w:r>
        <w:rPr>
          <w:rFonts w:eastAsia="Times New Roman"/>
          <w:sz w:val="22"/>
          <w:szCs w:val="22"/>
          <w:lang w:val="lt-LT" w:eastAsia="en-US"/>
        </w:rPr>
        <w:t>/012</w:t>
      </w:r>
    </w:p>
    <w:p w14:paraId="602EDDB2" w14:textId="77777777" w:rsidR="00F05FE6" w:rsidRPr="0014002C" w:rsidRDefault="00F05FE6" w:rsidP="00F05FE6">
      <w:pPr>
        <w:rPr>
          <w:rFonts w:eastAsia="Times New Roman"/>
          <w:bCs/>
          <w:sz w:val="22"/>
          <w:szCs w:val="22"/>
          <w:lang w:val="lt-LT" w:eastAsia="en-US"/>
        </w:rPr>
      </w:pPr>
      <w:r>
        <w:rPr>
          <w:rFonts w:eastAsia="Times New Roman"/>
          <w:sz w:val="22"/>
          <w:szCs w:val="22"/>
          <w:lang w:val="lt-LT" w:eastAsia="en-US"/>
        </w:rPr>
        <w:t xml:space="preserve">N20x1 - </w:t>
      </w:r>
      <w:r w:rsidRPr="0014002C">
        <w:rPr>
          <w:rFonts w:eastAsia="Times New Roman"/>
          <w:sz w:val="22"/>
          <w:szCs w:val="22"/>
          <w:lang w:val="lt-LT" w:eastAsia="en-US"/>
        </w:rPr>
        <w:t>LT/1/17/4034</w:t>
      </w:r>
      <w:r>
        <w:rPr>
          <w:rFonts w:eastAsia="Times New Roman"/>
          <w:sz w:val="22"/>
          <w:szCs w:val="22"/>
          <w:lang w:val="lt-LT" w:eastAsia="en-US"/>
        </w:rPr>
        <w:t>/013</w:t>
      </w:r>
    </w:p>
    <w:p w14:paraId="00FBE47D" w14:textId="77777777" w:rsidR="00F05FE6" w:rsidRPr="0014002C" w:rsidRDefault="00F05FE6" w:rsidP="00F05FE6">
      <w:pPr>
        <w:rPr>
          <w:rFonts w:eastAsia="Times New Roman"/>
          <w:bCs/>
          <w:sz w:val="22"/>
          <w:szCs w:val="22"/>
          <w:lang w:val="lt-LT" w:eastAsia="en-US"/>
        </w:rPr>
      </w:pPr>
      <w:r>
        <w:rPr>
          <w:rFonts w:eastAsia="Times New Roman"/>
          <w:sz w:val="22"/>
          <w:szCs w:val="22"/>
          <w:lang w:val="lt-LT" w:eastAsia="en-US"/>
        </w:rPr>
        <w:t xml:space="preserve">N60 - </w:t>
      </w:r>
      <w:r w:rsidRPr="0014002C">
        <w:rPr>
          <w:rFonts w:eastAsia="Times New Roman"/>
          <w:sz w:val="22"/>
          <w:szCs w:val="22"/>
          <w:lang w:val="lt-LT" w:eastAsia="en-US"/>
        </w:rPr>
        <w:t>LT/1/17/4034</w:t>
      </w:r>
      <w:r>
        <w:rPr>
          <w:rFonts w:eastAsia="Times New Roman"/>
          <w:sz w:val="22"/>
          <w:szCs w:val="22"/>
          <w:lang w:val="lt-LT" w:eastAsia="en-US"/>
        </w:rPr>
        <w:t>/014</w:t>
      </w:r>
    </w:p>
    <w:p w14:paraId="5A793553" w14:textId="77777777" w:rsidR="00F05FE6" w:rsidRPr="0014002C" w:rsidRDefault="00F05FE6" w:rsidP="00F05FE6">
      <w:pPr>
        <w:rPr>
          <w:rFonts w:eastAsia="Times New Roman"/>
          <w:bCs/>
          <w:sz w:val="22"/>
          <w:szCs w:val="22"/>
          <w:lang w:val="lt-LT" w:eastAsia="en-US"/>
        </w:rPr>
      </w:pPr>
      <w:r>
        <w:rPr>
          <w:rFonts w:eastAsia="Times New Roman"/>
          <w:sz w:val="22"/>
          <w:szCs w:val="22"/>
          <w:lang w:val="lt-LT" w:eastAsia="en-US"/>
        </w:rPr>
        <w:t xml:space="preserve">N60x1 - </w:t>
      </w:r>
      <w:r w:rsidRPr="0014002C">
        <w:rPr>
          <w:rFonts w:eastAsia="Times New Roman"/>
          <w:sz w:val="22"/>
          <w:szCs w:val="22"/>
          <w:lang w:val="lt-LT" w:eastAsia="en-US"/>
        </w:rPr>
        <w:t>LT/1/17/4034</w:t>
      </w:r>
      <w:r>
        <w:rPr>
          <w:rFonts w:eastAsia="Times New Roman"/>
          <w:sz w:val="22"/>
          <w:szCs w:val="22"/>
          <w:lang w:val="lt-LT" w:eastAsia="en-US"/>
        </w:rPr>
        <w:t>/015</w:t>
      </w:r>
    </w:p>
    <w:p w14:paraId="76FF878B" w14:textId="77777777" w:rsidR="00F05FE6" w:rsidRPr="0014002C" w:rsidRDefault="00F05FE6" w:rsidP="00F05FE6">
      <w:pPr>
        <w:rPr>
          <w:rFonts w:eastAsia="Times New Roman"/>
          <w:bCs/>
          <w:sz w:val="22"/>
          <w:szCs w:val="22"/>
          <w:lang w:val="lt-LT" w:eastAsia="en-US"/>
        </w:rPr>
      </w:pPr>
      <w:r>
        <w:rPr>
          <w:rFonts w:eastAsia="Times New Roman"/>
          <w:sz w:val="22"/>
          <w:szCs w:val="22"/>
          <w:lang w:val="lt-LT" w:eastAsia="en-US"/>
        </w:rPr>
        <w:t xml:space="preserve">N200 - </w:t>
      </w:r>
      <w:r w:rsidRPr="0014002C">
        <w:rPr>
          <w:rFonts w:eastAsia="Times New Roman"/>
          <w:sz w:val="22"/>
          <w:szCs w:val="22"/>
          <w:lang w:val="lt-LT" w:eastAsia="en-US"/>
        </w:rPr>
        <w:t>LT/1/17/4034</w:t>
      </w:r>
      <w:r>
        <w:rPr>
          <w:rFonts w:eastAsia="Times New Roman"/>
          <w:sz w:val="22"/>
          <w:szCs w:val="22"/>
          <w:lang w:val="lt-LT" w:eastAsia="en-US"/>
        </w:rPr>
        <w:t>/016</w:t>
      </w:r>
    </w:p>
    <w:p w14:paraId="43FFD55C" w14:textId="77777777" w:rsidR="00F05FE6" w:rsidRPr="0014002C" w:rsidRDefault="00F05FE6" w:rsidP="00F05FE6">
      <w:pPr>
        <w:rPr>
          <w:rFonts w:eastAsia="Times New Roman"/>
          <w:bCs/>
          <w:sz w:val="22"/>
          <w:szCs w:val="22"/>
          <w:lang w:val="lt-LT" w:eastAsia="en-US"/>
        </w:rPr>
      </w:pPr>
      <w:r>
        <w:rPr>
          <w:rFonts w:eastAsia="Times New Roman"/>
          <w:sz w:val="22"/>
          <w:szCs w:val="22"/>
          <w:lang w:val="lt-LT" w:eastAsia="en-US"/>
        </w:rPr>
        <w:t xml:space="preserve">N200x1 - </w:t>
      </w:r>
      <w:r w:rsidRPr="0014002C">
        <w:rPr>
          <w:rFonts w:eastAsia="Times New Roman"/>
          <w:sz w:val="22"/>
          <w:szCs w:val="22"/>
          <w:lang w:val="lt-LT" w:eastAsia="en-US"/>
        </w:rPr>
        <w:t>LT/1/17/4034</w:t>
      </w:r>
      <w:r>
        <w:rPr>
          <w:rFonts w:eastAsia="Times New Roman"/>
          <w:sz w:val="22"/>
          <w:szCs w:val="22"/>
          <w:lang w:val="lt-LT" w:eastAsia="en-US"/>
        </w:rPr>
        <w:t>/017</w:t>
      </w:r>
    </w:p>
    <w:p w14:paraId="48A8F99F" w14:textId="77777777" w:rsidR="00F05FE6" w:rsidRPr="0014002C" w:rsidRDefault="00F05FE6" w:rsidP="00F05FE6">
      <w:pPr>
        <w:rPr>
          <w:rFonts w:eastAsia="Times New Roman"/>
          <w:bCs/>
          <w:sz w:val="22"/>
          <w:szCs w:val="22"/>
          <w:lang w:val="lt-LT" w:eastAsia="en-US"/>
        </w:rPr>
      </w:pPr>
      <w:r>
        <w:rPr>
          <w:rFonts w:eastAsia="Times New Roman"/>
          <w:sz w:val="22"/>
          <w:szCs w:val="22"/>
          <w:lang w:val="lt-LT" w:eastAsia="en-US"/>
        </w:rPr>
        <w:t xml:space="preserve">N240 - </w:t>
      </w:r>
      <w:r w:rsidRPr="0014002C">
        <w:rPr>
          <w:rFonts w:eastAsia="Times New Roman"/>
          <w:sz w:val="22"/>
          <w:szCs w:val="22"/>
          <w:lang w:val="lt-LT" w:eastAsia="en-US"/>
        </w:rPr>
        <w:t>LT/1/17/4034</w:t>
      </w:r>
      <w:r>
        <w:rPr>
          <w:rFonts w:eastAsia="Times New Roman"/>
          <w:sz w:val="22"/>
          <w:szCs w:val="22"/>
          <w:lang w:val="lt-LT" w:eastAsia="en-US"/>
        </w:rPr>
        <w:t>/018</w:t>
      </w:r>
    </w:p>
    <w:p w14:paraId="157D2261" w14:textId="77777777" w:rsidR="00F05FE6" w:rsidRDefault="00F05FE6" w:rsidP="00F05FE6">
      <w:pPr>
        <w:rPr>
          <w:rFonts w:eastAsia="Times New Roman"/>
          <w:bCs/>
          <w:sz w:val="22"/>
          <w:szCs w:val="22"/>
          <w:lang w:val="lt-LT" w:eastAsia="en-US"/>
        </w:rPr>
      </w:pPr>
      <w:r>
        <w:rPr>
          <w:rFonts w:eastAsia="Times New Roman"/>
          <w:sz w:val="22"/>
          <w:szCs w:val="22"/>
          <w:lang w:val="lt-LT" w:eastAsia="en-US"/>
        </w:rPr>
        <w:t xml:space="preserve">N240x1 - </w:t>
      </w:r>
      <w:r w:rsidRPr="0014002C">
        <w:rPr>
          <w:rFonts w:eastAsia="Times New Roman"/>
          <w:sz w:val="22"/>
          <w:szCs w:val="22"/>
          <w:lang w:val="lt-LT" w:eastAsia="en-US"/>
        </w:rPr>
        <w:t>LT/1/17/4034</w:t>
      </w:r>
      <w:r>
        <w:rPr>
          <w:rFonts w:eastAsia="Times New Roman"/>
          <w:sz w:val="22"/>
          <w:szCs w:val="22"/>
          <w:lang w:val="lt-LT" w:eastAsia="en-US"/>
        </w:rPr>
        <w:t>/019</w:t>
      </w:r>
    </w:p>
    <w:p w14:paraId="7C9CA000" w14:textId="77777777" w:rsidR="00F05FE6" w:rsidRPr="0014002C" w:rsidRDefault="00F05FE6" w:rsidP="00F05FE6">
      <w:pPr>
        <w:rPr>
          <w:rFonts w:eastAsia="Times New Roman"/>
          <w:bCs/>
          <w:sz w:val="22"/>
          <w:szCs w:val="22"/>
          <w:u w:val="single"/>
          <w:lang w:val="lt-LT" w:eastAsia="en-US"/>
        </w:rPr>
      </w:pPr>
      <w:r w:rsidRPr="0014002C">
        <w:rPr>
          <w:rFonts w:eastAsia="Times New Roman"/>
          <w:bCs/>
          <w:sz w:val="22"/>
          <w:szCs w:val="22"/>
          <w:u w:val="single"/>
          <w:lang w:val="lt-LT" w:eastAsia="en-US"/>
        </w:rPr>
        <w:t>Buteliukas:</w:t>
      </w:r>
    </w:p>
    <w:p w14:paraId="1FB32C1E" w14:textId="77777777" w:rsidR="00F05FE6" w:rsidRPr="0014002C" w:rsidRDefault="00F05FE6" w:rsidP="00F05FE6">
      <w:pPr>
        <w:rPr>
          <w:rFonts w:eastAsia="Times New Roman"/>
          <w:bCs/>
          <w:sz w:val="22"/>
          <w:szCs w:val="22"/>
          <w:lang w:val="lt-LT" w:eastAsia="en-US"/>
        </w:rPr>
      </w:pPr>
      <w:r>
        <w:rPr>
          <w:rFonts w:eastAsia="Times New Roman"/>
          <w:sz w:val="22"/>
          <w:szCs w:val="22"/>
          <w:lang w:val="lt-LT" w:eastAsia="en-US"/>
        </w:rPr>
        <w:t>N60 - LT/1/17/4034/020</w:t>
      </w:r>
    </w:p>
    <w:p w14:paraId="37B04826" w14:textId="77777777" w:rsidR="00F05FE6" w:rsidRPr="0014002C" w:rsidRDefault="00F05FE6" w:rsidP="00F05FE6">
      <w:pPr>
        <w:rPr>
          <w:rFonts w:eastAsia="Times New Roman"/>
          <w:bCs/>
          <w:sz w:val="22"/>
          <w:szCs w:val="22"/>
          <w:lang w:val="lt-LT" w:eastAsia="en-US"/>
        </w:rPr>
      </w:pPr>
      <w:r>
        <w:rPr>
          <w:rFonts w:eastAsia="Times New Roman"/>
          <w:sz w:val="22"/>
          <w:szCs w:val="22"/>
          <w:lang w:val="lt-LT" w:eastAsia="en-US"/>
        </w:rPr>
        <w:t>N180 (60x3) - LT/1/17/4034/021</w:t>
      </w:r>
    </w:p>
    <w:p w14:paraId="00CCBE10" w14:textId="77777777" w:rsidR="00F05FE6" w:rsidRDefault="00F05FE6" w:rsidP="00F05FE6">
      <w:pPr>
        <w:tabs>
          <w:tab w:val="left" w:pos="567"/>
        </w:tabs>
        <w:rPr>
          <w:rFonts w:eastAsia="Times New Roman"/>
          <w:sz w:val="22"/>
          <w:szCs w:val="22"/>
          <w:lang w:val="lt-LT" w:eastAsia="en-US"/>
        </w:rPr>
      </w:pPr>
      <w:r>
        <w:rPr>
          <w:rFonts w:eastAsia="Times New Roman"/>
          <w:sz w:val="22"/>
          <w:szCs w:val="22"/>
          <w:lang w:val="lt-LT" w:eastAsia="en-US"/>
        </w:rPr>
        <w:t>N200 - LT/1/17/4034/022</w:t>
      </w:r>
    </w:p>
    <w:p w14:paraId="2E48039B" w14:textId="77777777" w:rsidR="00106F96" w:rsidRPr="00106F96" w:rsidRDefault="00106F96" w:rsidP="00106F96">
      <w:pPr>
        <w:rPr>
          <w:noProof/>
          <w:sz w:val="22"/>
          <w:szCs w:val="22"/>
        </w:rPr>
      </w:pPr>
    </w:p>
    <w:p w14:paraId="1BBF1FB0" w14:textId="77777777" w:rsidR="00106F96" w:rsidRPr="00106F96" w:rsidRDefault="00106F96" w:rsidP="00106F96">
      <w:pPr>
        <w:rPr>
          <w:noProof/>
          <w:sz w:val="22"/>
          <w:szCs w:val="22"/>
        </w:rPr>
      </w:pPr>
    </w:p>
    <w:p w14:paraId="0E2F5644" w14:textId="77777777" w:rsidR="00106F96" w:rsidRPr="00106F96" w:rsidRDefault="00106F96" w:rsidP="00106F96">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106F96">
        <w:rPr>
          <w:b/>
          <w:noProof/>
          <w:sz w:val="22"/>
          <w:szCs w:val="22"/>
        </w:rPr>
        <w:t>SERIJOS NUMERIS</w:t>
      </w:r>
    </w:p>
    <w:p w14:paraId="490D3270" w14:textId="77777777" w:rsidR="00106F96" w:rsidRPr="00106F96" w:rsidRDefault="00106F96" w:rsidP="00106F96">
      <w:pPr>
        <w:rPr>
          <w:i/>
          <w:noProof/>
          <w:sz w:val="22"/>
          <w:szCs w:val="22"/>
        </w:rPr>
      </w:pPr>
    </w:p>
    <w:p w14:paraId="1A54D452" w14:textId="77777777" w:rsidR="00106F96" w:rsidRPr="00106F96" w:rsidRDefault="00106F96" w:rsidP="00106F96">
      <w:pPr>
        <w:rPr>
          <w:noProof/>
          <w:sz w:val="22"/>
          <w:szCs w:val="22"/>
        </w:rPr>
      </w:pPr>
      <w:r w:rsidRPr="00106F96">
        <w:rPr>
          <w:noProof/>
          <w:sz w:val="22"/>
          <w:szCs w:val="22"/>
        </w:rPr>
        <w:t xml:space="preserve">Serija </w:t>
      </w:r>
    </w:p>
    <w:p w14:paraId="43621B44" w14:textId="77777777" w:rsidR="00106F96" w:rsidRDefault="00106F96" w:rsidP="00106F96">
      <w:pPr>
        <w:rPr>
          <w:noProof/>
          <w:sz w:val="22"/>
          <w:szCs w:val="22"/>
        </w:rPr>
      </w:pPr>
    </w:p>
    <w:p w14:paraId="25BCD280" w14:textId="77777777" w:rsidR="00655DFA" w:rsidRPr="00106F96" w:rsidRDefault="00655DFA" w:rsidP="00106F96">
      <w:pPr>
        <w:rPr>
          <w:noProof/>
          <w:sz w:val="22"/>
          <w:szCs w:val="22"/>
        </w:rPr>
      </w:pPr>
    </w:p>
    <w:p w14:paraId="57E44753" w14:textId="77777777" w:rsidR="00106F96" w:rsidRPr="00106F96" w:rsidRDefault="00106F96" w:rsidP="00106F96">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106F96">
        <w:rPr>
          <w:b/>
          <w:noProof/>
          <w:sz w:val="22"/>
          <w:szCs w:val="22"/>
        </w:rPr>
        <w:t>PARDAVIMO (IŠDAVIMO) TVARKA</w:t>
      </w:r>
    </w:p>
    <w:p w14:paraId="6B911849" w14:textId="77777777" w:rsidR="00106F96" w:rsidRPr="00106F96" w:rsidRDefault="00106F96" w:rsidP="00106F96">
      <w:pPr>
        <w:rPr>
          <w:i/>
          <w:noProof/>
          <w:sz w:val="22"/>
          <w:szCs w:val="22"/>
        </w:rPr>
      </w:pPr>
    </w:p>
    <w:p w14:paraId="385DA041" w14:textId="77777777" w:rsidR="00106F96" w:rsidRPr="00106F96" w:rsidRDefault="00106F96" w:rsidP="00106F96">
      <w:pPr>
        <w:rPr>
          <w:sz w:val="22"/>
          <w:szCs w:val="22"/>
        </w:rPr>
      </w:pPr>
      <w:r w:rsidRPr="00106F96">
        <w:rPr>
          <w:sz w:val="22"/>
          <w:szCs w:val="22"/>
        </w:rPr>
        <w:lastRenderedPageBreak/>
        <w:t>Receptinis vaistas.</w:t>
      </w:r>
    </w:p>
    <w:p w14:paraId="7AD9C1A4" w14:textId="77777777" w:rsidR="00106F96" w:rsidRDefault="00106F96" w:rsidP="00106F96">
      <w:pPr>
        <w:rPr>
          <w:noProof/>
          <w:sz w:val="22"/>
          <w:szCs w:val="22"/>
        </w:rPr>
      </w:pPr>
    </w:p>
    <w:p w14:paraId="0EE69D3A" w14:textId="77777777" w:rsidR="00655DFA" w:rsidRPr="00106F96" w:rsidRDefault="00655DFA" w:rsidP="00106F96">
      <w:pPr>
        <w:rPr>
          <w:noProof/>
          <w:sz w:val="22"/>
          <w:szCs w:val="22"/>
        </w:rPr>
      </w:pPr>
    </w:p>
    <w:p w14:paraId="402A7C3B" w14:textId="77777777" w:rsidR="00106F96" w:rsidRPr="00106F96" w:rsidRDefault="00106F96" w:rsidP="00106F96">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106F96">
        <w:rPr>
          <w:b/>
          <w:noProof/>
          <w:sz w:val="22"/>
          <w:szCs w:val="22"/>
        </w:rPr>
        <w:t>VARTOJIMO INSTRUKCIJA</w:t>
      </w:r>
    </w:p>
    <w:p w14:paraId="38ECCC2F" w14:textId="77777777" w:rsidR="00106F96" w:rsidRPr="00106F96" w:rsidRDefault="00106F96" w:rsidP="00106F96">
      <w:pPr>
        <w:rPr>
          <w:noProof/>
          <w:sz w:val="22"/>
          <w:szCs w:val="22"/>
        </w:rPr>
      </w:pPr>
    </w:p>
    <w:p w14:paraId="6F61FE5D" w14:textId="77777777" w:rsidR="00106F96" w:rsidRPr="00106F96" w:rsidRDefault="00106F96" w:rsidP="00106F96">
      <w:pPr>
        <w:rPr>
          <w:noProof/>
          <w:sz w:val="22"/>
          <w:szCs w:val="22"/>
        </w:rPr>
      </w:pPr>
    </w:p>
    <w:p w14:paraId="1D682714" w14:textId="77777777" w:rsidR="00106F96" w:rsidRPr="00106F96" w:rsidRDefault="00106F96" w:rsidP="00106F96">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106F96">
        <w:rPr>
          <w:b/>
          <w:noProof/>
          <w:sz w:val="22"/>
          <w:szCs w:val="22"/>
        </w:rPr>
        <w:t>INFORMACIJA BRAILIO RAŠTU</w:t>
      </w:r>
    </w:p>
    <w:p w14:paraId="3FAFF651" w14:textId="77777777" w:rsidR="00106F96" w:rsidRPr="00106F96" w:rsidRDefault="00106F96" w:rsidP="00106F96">
      <w:pPr>
        <w:rPr>
          <w:noProof/>
          <w:sz w:val="22"/>
          <w:szCs w:val="22"/>
        </w:rPr>
      </w:pPr>
    </w:p>
    <w:p w14:paraId="5C896946" w14:textId="77777777" w:rsidR="00106F96" w:rsidRPr="00106F96" w:rsidRDefault="00106F96" w:rsidP="00106F96">
      <w:pPr>
        <w:rPr>
          <w:noProof/>
          <w:sz w:val="22"/>
          <w:szCs w:val="22"/>
          <w:shd w:val="clear" w:color="auto" w:fill="CCCCCC"/>
        </w:rPr>
      </w:pPr>
      <w:r w:rsidRPr="00106F96">
        <w:rPr>
          <w:sz w:val="22"/>
          <w:szCs w:val="22"/>
        </w:rPr>
        <w:t>Darunavir Teva 600</w:t>
      </w:r>
      <w:r w:rsidR="00655DFA">
        <w:rPr>
          <w:sz w:val="22"/>
          <w:szCs w:val="22"/>
        </w:rPr>
        <w:t> </w:t>
      </w:r>
      <w:r w:rsidRPr="00106F96">
        <w:rPr>
          <w:sz w:val="22"/>
          <w:szCs w:val="22"/>
        </w:rPr>
        <w:t>mg</w:t>
      </w:r>
    </w:p>
    <w:p w14:paraId="1E989932" w14:textId="77777777" w:rsidR="00106F96" w:rsidRPr="00106F96" w:rsidRDefault="00106F96" w:rsidP="00106F96">
      <w:pPr>
        <w:rPr>
          <w:noProof/>
          <w:sz w:val="22"/>
          <w:szCs w:val="22"/>
          <w:shd w:val="clear" w:color="auto" w:fill="CCCCCC"/>
        </w:rPr>
      </w:pPr>
    </w:p>
    <w:p w14:paraId="5F39C2D1" w14:textId="77777777" w:rsidR="00106F96" w:rsidRPr="00106F96" w:rsidRDefault="00106F96" w:rsidP="00106F96">
      <w:pPr>
        <w:rPr>
          <w:noProof/>
          <w:sz w:val="22"/>
          <w:szCs w:val="22"/>
          <w:shd w:val="clear" w:color="auto" w:fill="CCCCCC"/>
        </w:rPr>
      </w:pPr>
    </w:p>
    <w:p w14:paraId="45F3B9D8" w14:textId="77777777" w:rsidR="00106F96" w:rsidRPr="00106F96" w:rsidRDefault="00106F96" w:rsidP="00106F96">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i/>
          <w:noProof/>
          <w:sz w:val="22"/>
          <w:szCs w:val="22"/>
        </w:rPr>
      </w:pPr>
      <w:r w:rsidRPr="00106F96">
        <w:rPr>
          <w:b/>
          <w:noProof/>
          <w:sz w:val="22"/>
          <w:szCs w:val="22"/>
        </w:rPr>
        <w:t>UNIKALUS IDENTIFIKATORIUS – 2D BRŪKŠNINIS KODAS</w:t>
      </w:r>
    </w:p>
    <w:p w14:paraId="322D7F38" w14:textId="77777777" w:rsidR="00106F96" w:rsidRPr="00106F96" w:rsidRDefault="00106F96" w:rsidP="00106F96">
      <w:pPr>
        <w:rPr>
          <w:noProof/>
          <w:sz w:val="22"/>
          <w:szCs w:val="22"/>
        </w:rPr>
      </w:pPr>
    </w:p>
    <w:p w14:paraId="16764277" w14:textId="77777777" w:rsidR="00106F96" w:rsidRPr="00106F96" w:rsidRDefault="00106F96" w:rsidP="00106F96">
      <w:pPr>
        <w:rPr>
          <w:noProof/>
          <w:sz w:val="22"/>
          <w:szCs w:val="22"/>
          <w:shd w:val="clear" w:color="auto" w:fill="CCCCCC"/>
        </w:rPr>
      </w:pPr>
      <w:r w:rsidRPr="003A4091">
        <w:rPr>
          <w:sz w:val="22"/>
          <w:highlight w:val="lightGray"/>
        </w:rPr>
        <w:t>2D brūkšninis kodas su nurodytu unikaliu identifikatoriumi.</w:t>
      </w:r>
    </w:p>
    <w:p w14:paraId="51E08EC5" w14:textId="77777777" w:rsidR="00106F96" w:rsidRPr="00106F96" w:rsidRDefault="00106F96" w:rsidP="00106F96">
      <w:pPr>
        <w:rPr>
          <w:noProof/>
          <w:vanish/>
          <w:sz w:val="22"/>
          <w:szCs w:val="22"/>
        </w:rPr>
      </w:pPr>
    </w:p>
    <w:p w14:paraId="2ED1F69B" w14:textId="77777777" w:rsidR="00106F96" w:rsidRPr="00106F96" w:rsidRDefault="00106F96" w:rsidP="00106F96">
      <w:pPr>
        <w:rPr>
          <w:noProof/>
          <w:sz w:val="22"/>
          <w:szCs w:val="22"/>
        </w:rPr>
      </w:pPr>
    </w:p>
    <w:p w14:paraId="47EE6662" w14:textId="77777777" w:rsidR="00106F96" w:rsidRPr="00106F96" w:rsidRDefault="00106F96" w:rsidP="00106F96">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i/>
          <w:noProof/>
          <w:sz w:val="22"/>
          <w:szCs w:val="22"/>
        </w:rPr>
      </w:pPr>
      <w:r w:rsidRPr="00106F96">
        <w:rPr>
          <w:b/>
          <w:noProof/>
          <w:sz w:val="22"/>
          <w:szCs w:val="22"/>
        </w:rPr>
        <w:t>UNIKALUS IDENTIFIKATORIUS – ŽMONĖMS SUPRANTAMI DUOMENYS</w:t>
      </w:r>
    </w:p>
    <w:p w14:paraId="1FDAA1C8" w14:textId="77777777" w:rsidR="00106F96" w:rsidRPr="00106F96" w:rsidRDefault="00106F96" w:rsidP="00106F96">
      <w:pPr>
        <w:rPr>
          <w:noProof/>
          <w:sz w:val="22"/>
          <w:szCs w:val="22"/>
        </w:rPr>
      </w:pPr>
    </w:p>
    <w:p w14:paraId="217D49E1" w14:textId="77777777" w:rsidR="00106F96" w:rsidRPr="00106F96" w:rsidRDefault="00106F96" w:rsidP="00106F96">
      <w:pPr>
        <w:rPr>
          <w:color w:val="008000"/>
          <w:sz w:val="22"/>
          <w:szCs w:val="22"/>
        </w:rPr>
      </w:pPr>
      <w:r w:rsidRPr="00106F96">
        <w:rPr>
          <w:sz w:val="22"/>
          <w:szCs w:val="22"/>
        </w:rPr>
        <w:t xml:space="preserve">PC: {numeris} </w:t>
      </w:r>
    </w:p>
    <w:p w14:paraId="5E87F682" w14:textId="77777777" w:rsidR="00106F96" w:rsidRPr="00106F96" w:rsidRDefault="00106F96" w:rsidP="00106F96">
      <w:pPr>
        <w:rPr>
          <w:sz w:val="22"/>
          <w:szCs w:val="22"/>
        </w:rPr>
      </w:pPr>
      <w:r w:rsidRPr="00106F96">
        <w:rPr>
          <w:sz w:val="22"/>
          <w:szCs w:val="22"/>
        </w:rPr>
        <w:t xml:space="preserve">SN: {numeris} </w:t>
      </w:r>
    </w:p>
    <w:p w14:paraId="2108B4CB" w14:textId="77777777" w:rsidR="00106F96" w:rsidRPr="00106F96" w:rsidRDefault="00106F96" w:rsidP="00106F96">
      <w:pPr>
        <w:rPr>
          <w:sz w:val="22"/>
          <w:szCs w:val="22"/>
        </w:rPr>
      </w:pPr>
      <w:r w:rsidRPr="00106F96">
        <w:rPr>
          <w:sz w:val="22"/>
          <w:szCs w:val="22"/>
        </w:rPr>
        <w:t>NN: {numeris}</w:t>
      </w:r>
    </w:p>
    <w:p w14:paraId="660C81DF" w14:textId="77777777" w:rsidR="00106F96" w:rsidRPr="00106F96" w:rsidRDefault="00106F96" w:rsidP="00106F96">
      <w:pPr>
        <w:rPr>
          <w:b/>
          <w:noProof/>
          <w:sz w:val="22"/>
          <w:szCs w:val="22"/>
        </w:rPr>
      </w:pPr>
      <w:r w:rsidRPr="00106F96">
        <w:rPr>
          <w:sz w:val="22"/>
          <w:szCs w:val="22"/>
        </w:rPr>
        <w:br w:type="page"/>
      </w:r>
    </w:p>
    <w:p w14:paraId="08DF35B6" w14:textId="77777777" w:rsidR="00106F96" w:rsidRPr="00106F96" w:rsidRDefault="00106F96" w:rsidP="00106F96">
      <w:pPr>
        <w:pBdr>
          <w:top w:val="single" w:sz="4" w:space="1" w:color="auto"/>
          <w:left w:val="single" w:sz="4" w:space="4" w:color="auto"/>
          <w:bottom w:val="single" w:sz="4" w:space="1" w:color="auto"/>
          <w:right w:val="single" w:sz="4" w:space="4" w:color="auto"/>
        </w:pBdr>
        <w:tabs>
          <w:tab w:val="left" w:pos="0"/>
        </w:tabs>
        <w:rPr>
          <w:b/>
          <w:noProof/>
          <w:sz w:val="22"/>
          <w:szCs w:val="22"/>
        </w:rPr>
      </w:pPr>
      <w:r w:rsidRPr="00106F96">
        <w:rPr>
          <w:b/>
          <w:noProof/>
          <w:sz w:val="22"/>
          <w:szCs w:val="22"/>
        </w:rPr>
        <w:lastRenderedPageBreak/>
        <w:t>MINIMALI INFORMACIJA ANT LIZDINIŲ PLOKŠTELIŲ</w:t>
      </w:r>
      <w:r w:rsidR="00655DFA">
        <w:rPr>
          <w:b/>
          <w:noProof/>
          <w:sz w:val="22"/>
          <w:szCs w:val="22"/>
        </w:rPr>
        <w:t xml:space="preserve"> ARBA DVISLUOKSNIŲ JUOSTELIŲ</w:t>
      </w:r>
    </w:p>
    <w:p w14:paraId="761C3798" w14:textId="77777777" w:rsidR="00106F96" w:rsidRPr="00106F96" w:rsidRDefault="00106F96" w:rsidP="00106F96">
      <w:pPr>
        <w:pBdr>
          <w:top w:val="single" w:sz="4" w:space="1" w:color="auto"/>
          <w:left w:val="single" w:sz="4" w:space="4" w:color="auto"/>
          <w:bottom w:val="single" w:sz="4" w:space="1" w:color="auto"/>
          <w:right w:val="single" w:sz="4" w:space="4" w:color="auto"/>
        </w:pBdr>
        <w:ind w:left="567" w:hanging="567"/>
        <w:rPr>
          <w:b/>
          <w:noProof/>
          <w:sz w:val="22"/>
          <w:szCs w:val="22"/>
        </w:rPr>
      </w:pPr>
    </w:p>
    <w:p w14:paraId="338DB011" w14:textId="77777777" w:rsidR="00106F96" w:rsidRPr="00106F96" w:rsidRDefault="00106F96" w:rsidP="00106F96">
      <w:pPr>
        <w:pBdr>
          <w:top w:val="single" w:sz="4" w:space="1" w:color="auto"/>
          <w:left w:val="single" w:sz="4" w:space="4" w:color="auto"/>
          <w:bottom w:val="single" w:sz="4" w:space="1" w:color="auto"/>
          <w:right w:val="single" w:sz="4" w:space="4" w:color="auto"/>
        </w:pBdr>
        <w:ind w:left="567" w:hanging="567"/>
        <w:rPr>
          <w:b/>
          <w:noProof/>
          <w:sz w:val="22"/>
          <w:szCs w:val="22"/>
        </w:rPr>
      </w:pPr>
      <w:r w:rsidRPr="00106F96">
        <w:rPr>
          <w:b/>
          <w:noProof/>
          <w:sz w:val="22"/>
          <w:szCs w:val="22"/>
        </w:rPr>
        <w:t>Lizdinė</w:t>
      </w:r>
      <w:r w:rsidR="00655DFA">
        <w:rPr>
          <w:b/>
          <w:noProof/>
          <w:sz w:val="22"/>
          <w:szCs w:val="22"/>
        </w:rPr>
        <w:t>s</w:t>
      </w:r>
      <w:r w:rsidRPr="00106F96">
        <w:rPr>
          <w:b/>
          <w:noProof/>
          <w:sz w:val="22"/>
          <w:szCs w:val="22"/>
        </w:rPr>
        <w:t xml:space="preserve"> plokštelė</w:t>
      </w:r>
      <w:r w:rsidR="00655DFA">
        <w:rPr>
          <w:b/>
          <w:noProof/>
          <w:sz w:val="22"/>
          <w:szCs w:val="22"/>
        </w:rPr>
        <w:t>s</w:t>
      </w:r>
      <w:r w:rsidRPr="00106F96">
        <w:rPr>
          <w:b/>
          <w:noProof/>
          <w:sz w:val="22"/>
          <w:szCs w:val="22"/>
        </w:rPr>
        <w:t xml:space="preserve"> </w:t>
      </w:r>
    </w:p>
    <w:p w14:paraId="5DA83ABD" w14:textId="77777777" w:rsidR="00106F96" w:rsidRPr="00106F96" w:rsidRDefault="00106F96" w:rsidP="00106F96">
      <w:pPr>
        <w:rPr>
          <w:noProof/>
          <w:sz w:val="22"/>
          <w:szCs w:val="22"/>
        </w:rPr>
      </w:pPr>
    </w:p>
    <w:p w14:paraId="19E25834" w14:textId="77777777" w:rsidR="00106F96" w:rsidRPr="00106F96" w:rsidRDefault="00106F96" w:rsidP="00106F96">
      <w:pPr>
        <w:rPr>
          <w:noProof/>
          <w:sz w:val="22"/>
          <w:szCs w:val="22"/>
        </w:rPr>
      </w:pPr>
    </w:p>
    <w:p w14:paraId="1B5E79D1" w14:textId="77777777" w:rsidR="00106F96" w:rsidRPr="00106F96" w:rsidRDefault="00106F96" w:rsidP="00106F96">
      <w:pPr>
        <w:numPr>
          <w:ilvl w:val="1"/>
          <w:numId w:val="20"/>
        </w:numPr>
        <w:pBdr>
          <w:top w:val="single" w:sz="4" w:space="1" w:color="auto"/>
          <w:left w:val="single" w:sz="4" w:space="4" w:color="auto"/>
          <w:bottom w:val="single" w:sz="4" w:space="1" w:color="auto"/>
          <w:right w:val="single" w:sz="4" w:space="4" w:color="auto"/>
        </w:pBdr>
        <w:tabs>
          <w:tab w:val="left" w:pos="567"/>
        </w:tabs>
        <w:ind w:left="567" w:hanging="555"/>
        <w:outlineLvl w:val="0"/>
        <w:rPr>
          <w:b/>
          <w:noProof/>
          <w:sz w:val="22"/>
          <w:szCs w:val="22"/>
        </w:rPr>
      </w:pPr>
      <w:r w:rsidRPr="00106F96">
        <w:rPr>
          <w:b/>
          <w:noProof/>
          <w:sz w:val="22"/>
          <w:szCs w:val="22"/>
        </w:rPr>
        <w:t>VAISTINIO PREPARATO PAVADINIMAS</w:t>
      </w:r>
    </w:p>
    <w:p w14:paraId="1273FFE0" w14:textId="77777777" w:rsidR="00106F96" w:rsidRPr="00106F96" w:rsidRDefault="00106F96" w:rsidP="00106F96">
      <w:pPr>
        <w:rPr>
          <w:i/>
          <w:noProof/>
          <w:sz w:val="22"/>
          <w:szCs w:val="22"/>
        </w:rPr>
      </w:pPr>
    </w:p>
    <w:p w14:paraId="072BE9A7" w14:textId="77777777" w:rsidR="00106F96" w:rsidRPr="00106F96" w:rsidRDefault="00106F96" w:rsidP="00106F96">
      <w:pPr>
        <w:ind w:left="567" w:hanging="567"/>
        <w:rPr>
          <w:sz w:val="22"/>
          <w:szCs w:val="22"/>
        </w:rPr>
      </w:pPr>
      <w:r w:rsidRPr="00106F96">
        <w:rPr>
          <w:sz w:val="22"/>
          <w:szCs w:val="22"/>
        </w:rPr>
        <w:t>Darunavir Teva 600</w:t>
      </w:r>
      <w:r w:rsidR="00655DFA">
        <w:rPr>
          <w:sz w:val="22"/>
          <w:szCs w:val="22"/>
        </w:rPr>
        <w:t> </w:t>
      </w:r>
      <w:r w:rsidRPr="00106F96">
        <w:rPr>
          <w:sz w:val="22"/>
          <w:szCs w:val="22"/>
        </w:rPr>
        <w:t>mg plėvele dengtos tabletės</w:t>
      </w:r>
    </w:p>
    <w:p w14:paraId="3AAF64C4" w14:textId="77777777" w:rsidR="00106F96" w:rsidRPr="00106F96" w:rsidRDefault="00106F96" w:rsidP="00106F96">
      <w:pPr>
        <w:ind w:left="567" w:hanging="567"/>
        <w:rPr>
          <w:sz w:val="22"/>
          <w:szCs w:val="22"/>
        </w:rPr>
      </w:pPr>
      <w:r w:rsidRPr="00106F96">
        <w:rPr>
          <w:sz w:val="22"/>
          <w:szCs w:val="22"/>
        </w:rPr>
        <w:t>Darunavirum</w:t>
      </w:r>
    </w:p>
    <w:p w14:paraId="75B97669" w14:textId="77777777" w:rsidR="00106F96" w:rsidRPr="00106F96" w:rsidRDefault="00106F96" w:rsidP="00106F96">
      <w:pPr>
        <w:rPr>
          <w:sz w:val="22"/>
          <w:szCs w:val="22"/>
        </w:rPr>
      </w:pPr>
    </w:p>
    <w:p w14:paraId="670097B9" w14:textId="77777777" w:rsidR="00106F96" w:rsidRPr="00106F96" w:rsidRDefault="00106F96" w:rsidP="00106F96">
      <w:pPr>
        <w:rPr>
          <w:sz w:val="22"/>
          <w:szCs w:val="22"/>
        </w:rPr>
      </w:pPr>
    </w:p>
    <w:p w14:paraId="1CC97E88" w14:textId="77777777" w:rsidR="00106F96" w:rsidRPr="00106F96" w:rsidRDefault="00106F96" w:rsidP="00106F96">
      <w:pPr>
        <w:numPr>
          <w:ilvl w:val="1"/>
          <w:numId w:val="20"/>
        </w:numPr>
        <w:pBdr>
          <w:top w:val="single" w:sz="4" w:space="1" w:color="auto"/>
          <w:left w:val="single" w:sz="4" w:space="4" w:color="auto"/>
          <w:bottom w:val="single" w:sz="4" w:space="1" w:color="auto"/>
          <w:right w:val="single" w:sz="4" w:space="4" w:color="auto"/>
        </w:pBdr>
        <w:tabs>
          <w:tab w:val="left" w:pos="567"/>
        </w:tabs>
        <w:ind w:left="567" w:hanging="555"/>
        <w:outlineLvl w:val="0"/>
        <w:rPr>
          <w:b/>
          <w:sz w:val="22"/>
          <w:szCs w:val="22"/>
        </w:rPr>
      </w:pPr>
      <w:r w:rsidRPr="00106F96">
        <w:rPr>
          <w:b/>
          <w:sz w:val="22"/>
          <w:szCs w:val="22"/>
        </w:rPr>
        <w:t>REGISTRUOTOJO PAVADINIMAS</w:t>
      </w:r>
    </w:p>
    <w:p w14:paraId="7907F794" w14:textId="77777777" w:rsidR="00106F96" w:rsidRPr="00106F96" w:rsidRDefault="00106F96" w:rsidP="00106F96">
      <w:pPr>
        <w:rPr>
          <w:noProof/>
          <w:sz w:val="22"/>
          <w:szCs w:val="22"/>
        </w:rPr>
      </w:pPr>
    </w:p>
    <w:p w14:paraId="41B1D03E" w14:textId="77777777" w:rsidR="00106F96" w:rsidRPr="00106F96" w:rsidRDefault="00106F96" w:rsidP="00106F96">
      <w:pPr>
        <w:rPr>
          <w:noProof/>
          <w:sz w:val="22"/>
          <w:szCs w:val="22"/>
        </w:rPr>
      </w:pPr>
      <w:r w:rsidRPr="00106F96">
        <w:rPr>
          <w:sz w:val="22"/>
          <w:szCs w:val="22"/>
        </w:rPr>
        <w:t>Teva</w:t>
      </w:r>
    </w:p>
    <w:p w14:paraId="5D8EAE84" w14:textId="77777777" w:rsidR="00106F96" w:rsidRPr="00106F96" w:rsidRDefault="00106F96" w:rsidP="00106F96">
      <w:pPr>
        <w:rPr>
          <w:noProof/>
          <w:sz w:val="22"/>
          <w:szCs w:val="22"/>
        </w:rPr>
      </w:pPr>
    </w:p>
    <w:p w14:paraId="45C9EF8B" w14:textId="77777777" w:rsidR="00106F96" w:rsidRPr="00106F96" w:rsidRDefault="00106F96" w:rsidP="00106F96">
      <w:pPr>
        <w:rPr>
          <w:noProof/>
          <w:sz w:val="22"/>
          <w:szCs w:val="22"/>
        </w:rPr>
      </w:pPr>
    </w:p>
    <w:p w14:paraId="6EF78F6B" w14:textId="77777777" w:rsidR="00106F96" w:rsidRPr="00106F96" w:rsidRDefault="00106F96" w:rsidP="00106F96">
      <w:pPr>
        <w:numPr>
          <w:ilvl w:val="1"/>
          <w:numId w:val="20"/>
        </w:numPr>
        <w:pBdr>
          <w:top w:val="single" w:sz="4" w:space="1" w:color="auto"/>
          <w:left w:val="single" w:sz="4" w:space="4" w:color="auto"/>
          <w:bottom w:val="single" w:sz="4" w:space="1" w:color="auto"/>
          <w:right w:val="single" w:sz="4" w:space="4" w:color="auto"/>
        </w:pBdr>
        <w:tabs>
          <w:tab w:val="left" w:pos="567"/>
        </w:tabs>
        <w:ind w:left="567" w:hanging="555"/>
        <w:outlineLvl w:val="0"/>
        <w:rPr>
          <w:b/>
          <w:noProof/>
          <w:sz w:val="22"/>
          <w:szCs w:val="22"/>
        </w:rPr>
      </w:pPr>
      <w:r w:rsidRPr="00106F96">
        <w:rPr>
          <w:b/>
          <w:noProof/>
          <w:sz w:val="22"/>
          <w:szCs w:val="22"/>
        </w:rPr>
        <w:t>TINKAMUMO LAIKAS</w:t>
      </w:r>
    </w:p>
    <w:p w14:paraId="2A45F99A" w14:textId="77777777" w:rsidR="00106F96" w:rsidRPr="00106F96" w:rsidRDefault="00106F96" w:rsidP="00106F96">
      <w:pPr>
        <w:rPr>
          <w:noProof/>
          <w:sz w:val="22"/>
          <w:szCs w:val="22"/>
        </w:rPr>
      </w:pPr>
    </w:p>
    <w:p w14:paraId="59855AFE" w14:textId="77777777" w:rsidR="00106F96" w:rsidRPr="00106F96" w:rsidRDefault="00106F96" w:rsidP="00106F96">
      <w:pPr>
        <w:rPr>
          <w:noProof/>
          <w:sz w:val="22"/>
          <w:szCs w:val="22"/>
        </w:rPr>
      </w:pPr>
      <w:r w:rsidRPr="00106F96">
        <w:rPr>
          <w:noProof/>
          <w:sz w:val="22"/>
          <w:szCs w:val="22"/>
        </w:rPr>
        <w:t>EXP</w:t>
      </w:r>
      <w:r w:rsidR="007D40A1">
        <w:rPr>
          <w:noProof/>
          <w:sz w:val="22"/>
          <w:szCs w:val="22"/>
        </w:rPr>
        <w:t xml:space="preserve"> {mm MMMM}</w:t>
      </w:r>
    </w:p>
    <w:p w14:paraId="6C009824" w14:textId="77777777" w:rsidR="00106F96" w:rsidRDefault="00106F96" w:rsidP="00106F96">
      <w:pPr>
        <w:rPr>
          <w:noProof/>
          <w:sz w:val="22"/>
          <w:szCs w:val="22"/>
        </w:rPr>
      </w:pPr>
    </w:p>
    <w:p w14:paraId="6DD97D0F" w14:textId="77777777" w:rsidR="00655DFA" w:rsidRPr="00106F96" w:rsidRDefault="00655DFA" w:rsidP="00106F96">
      <w:pPr>
        <w:rPr>
          <w:noProof/>
          <w:sz w:val="22"/>
          <w:szCs w:val="22"/>
        </w:rPr>
      </w:pPr>
    </w:p>
    <w:p w14:paraId="4B9F9C83" w14:textId="77777777" w:rsidR="00106F96" w:rsidRPr="00106F96" w:rsidRDefault="00106F96" w:rsidP="00106F96">
      <w:pPr>
        <w:numPr>
          <w:ilvl w:val="1"/>
          <w:numId w:val="20"/>
        </w:numPr>
        <w:pBdr>
          <w:top w:val="single" w:sz="4" w:space="1" w:color="auto"/>
          <w:left w:val="single" w:sz="4" w:space="4" w:color="auto"/>
          <w:bottom w:val="single" w:sz="4" w:space="1" w:color="auto"/>
          <w:right w:val="single" w:sz="4" w:space="4" w:color="auto"/>
        </w:pBdr>
        <w:tabs>
          <w:tab w:val="left" w:pos="567"/>
        </w:tabs>
        <w:ind w:left="567" w:hanging="555"/>
        <w:outlineLvl w:val="0"/>
        <w:rPr>
          <w:b/>
          <w:noProof/>
          <w:sz w:val="22"/>
          <w:szCs w:val="22"/>
        </w:rPr>
      </w:pPr>
      <w:r w:rsidRPr="00106F96">
        <w:rPr>
          <w:b/>
          <w:noProof/>
          <w:sz w:val="22"/>
          <w:szCs w:val="22"/>
        </w:rPr>
        <w:t>SERIJOS NUMERIS</w:t>
      </w:r>
    </w:p>
    <w:p w14:paraId="4544355E" w14:textId="77777777" w:rsidR="00106F96" w:rsidRPr="00106F96" w:rsidRDefault="00106F96" w:rsidP="00106F96">
      <w:pPr>
        <w:rPr>
          <w:noProof/>
          <w:sz w:val="22"/>
          <w:szCs w:val="22"/>
        </w:rPr>
      </w:pPr>
    </w:p>
    <w:p w14:paraId="64C02094" w14:textId="77777777" w:rsidR="00106F96" w:rsidRPr="00106F96" w:rsidRDefault="00106F96" w:rsidP="00106F96">
      <w:pPr>
        <w:rPr>
          <w:noProof/>
          <w:sz w:val="22"/>
          <w:szCs w:val="22"/>
        </w:rPr>
      </w:pPr>
      <w:r w:rsidRPr="00106F96">
        <w:rPr>
          <w:noProof/>
          <w:sz w:val="22"/>
          <w:szCs w:val="22"/>
        </w:rPr>
        <w:t>Lot</w:t>
      </w:r>
    </w:p>
    <w:p w14:paraId="39AEA7E8" w14:textId="77777777" w:rsidR="00106F96" w:rsidRDefault="00106F96" w:rsidP="00106F96">
      <w:pPr>
        <w:rPr>
          <w:noProof/>
          <w:sz w:val="22"/>
          <w:szCs w:val="22"/>
        </w:rPr>
      </w:pPr>
    </w:p>
    <w:p w14:paraId="7C6C3676" w14:textId="77777777" w:rsidR="00655DFA" w:rsidRPr="00106F96" w:rsidRDefault="00655DFA" w:rsidP="00106F96">
      <w:pPr>
        <w:rPr>
          <w:noProof/>
          <w:sz w:val="22"/>
          <w:szCs w:val="22"/>
        </w:rPr>
      </w:pPr>
    </w:p>
    <w:p w14:paraId="5E723C22" w14:textId="77777777" w:rsidR="00106F96" w:rsidRPr="00106F96" w:rsidRDefault="00106F96" w:rsidP="00106F96">
      <w:pPr>
        <w:numPr>
          <w:ilvl w:val="1"/>
          <w:numId w:val="20"/>
        </w:numPr>
        <w:pBdr>
          <w:top w:val="single" w:sz="4" w:space="1" w:color="auto"/>
          <w:left w:val="single" w:sz="4" w:space="4" w:color="auto"/>
          <w:bottom w:val="single" w:sz="4" w:space="1" w:color="auto"/>
          <w:right w:val="single" w:sz="4" w:space="4" w:color="auto"/>
        </w:pBdr>
        <w:tabs>
          <w:tab w:val="left" w:pos="567"/>
        </w:tabs>
        <w:ind w:left="567" w:hanging="555"/>
        <w:outlineLvl w:val="0"/>
        <w:rPr>
          <w:b/>
          <w:noProof/>
          <w:sz w:val="22"/>
          <w:szCs w:val="22"/>
        </w:rPr>
      </w:pPr>
      <w:r w:rsidRPr="00106F96">
        <w:rPr>
          <w:b/>
          <w:noProof/>
          <w:sz w:val="22"/>
          <w:szCs w:val="22"/>
        </w:rPr>
        <w:t>KITA</w:t>
      </w:r>
    </w:p>
    <w:p w14:paraId="5F79DA83" w14:textId="77777777" w:rsidR="00106F96" w:rsidRPr="00106F96" w:rsidRDefault="00106F96" w:rsidP="00106F96">
      <w:pPr>
        <w:rPr>
          <w:noProof/>
          <w:sz w:val="22"/>
          <w:szCs w:val="22"/>
        </w:rPr>
      </w:pPr>
    </w:p>
    <w:p w14:paraId="60C0BE96" w14:textId="77777777" w:rsidR="00106F96" w:rsidRPr="00106F96" w:rsidRDefault="00106F96" w:rsidP="00106F96">
      <w:pPr>
        <w:rPr>
          <w:sz w:val="22"/>
          <w:szCs w:val="22"/>
        </w:rPr>
      </w:pPr>
    </w:p>
    <w:p w14:paraId="5D5C6904" w14:textId="77777777" w:rsidR="00106F96" w:rsidRPr="00532388" w:rsidRDefault="00106F96" w:rsidP="00106F96"/>
    <w:p w14:paraId="3D35A734" w14:textId="77777777" w:rsidR="00106F96" w:rsidRPr="00532388" w:rsidRDefault="00106F96" w:rsidP="00106F96"/>
    <w:p w14:paraId="4E5C4D2E" w14:textId="77777777" w:rsidR="00106F96" w:rsidRPr="00532388" w:rsidRDefault="00106F96" w:rsidP="00106F96">
      <w:pPr>
        <w:rPr>
          <w:noProof/>
          <w:szCs w:val="22"/>
        </w:rPr>
      </w:pPr>
    </w:p>
    <w:p w14:paraId="4609CF01" w14:textId="77777777" w:rsidR="00106F96" w:rsidRPr="00532388" w:rsidRDefault="00106F96" w:rsidP="00106F96">
      <w:pPr>
        <w:rPr>
          <w:noProof/>
          <w:szCs w:val="22"/>
        </w:rPr>
      </w:pPr>
    </w:p>
    <w:p w14:paraId="0157256B" w14:textId="77777777" w:rsidR="00106F96" w:rsidRPr="00532388" w:rsidRDefault="00106F96" w:rsidP="00106F96">
      <w:pPr>
        <w:outlineLvl w:val="0"/>
        <w:rPr>
          <w:b/>
          <w:noProof/>
        </w:rPr>
      </w:pPr>
      <w:r>
        <w:rPr>
          <w:noProof/>
          <w:szCs w:val="22"/>
        </w:rPr>
        <w:br w:type="page"/>
      </w:r>
    </w:p>
    <w:p w14:paraId="07433B5D" w14:textId="77777777" w:rsidR="00106F96" w:rsidRPr="00532388" w:rsidRDefault="00106F96" w:rsidP="00106F96">
      <w:pPr>
        <w:outlineLvl w:val="0"/>
        <w:rPr>
          <w:b/>
          <w:noProof/>
        </w:rPr>
      </w:pPr>
    </w:p>
    <w:p w14:paraId="394908D2" w14:textId="77777777" w:rsidR="00106F96" w:rsidRPr="00532388" w:rsidRDefault="00106F96" w:rsidP="00106F96">
      <w:pPr>
        <w:outlineLvl w:val="0"/>
        <w:rPr>
          <w:b/>
          <w:noProof/>
        </w:rPr>
      </w:pPr>
    </w:p>
    <w:p w14:paraId="41E441CF" w14:textId="77777777" w:rsidR="00106F96" w:rsidRPr="00532388" w:rsidRDefault="00106F96" w:rsidP="00106F96">
      <w:pPr>
        <w:outlineLvl w:val="0"/>
        <w:rPr>
          <w:b/>
          <w:noProof/>
        </w:rPr>
      </w:pPr>
    </w:p>
    <w:p w14:paraId="6CBD785D" w14:textId="77777777" w:rsidR="00106F96" w:rsidRPr="00532388" w:rsidRDefault="00106F96" w:rsidP="00106F96">
      <w:pPr>
        <w:outlineLvl w:val="0"/>
        <w:rPr>
          <w:b/>
          <w:noProof/>
        </w:rPr>
      </w:pPr>
    </w:p>
    <w:p w14:paraId="3BBF83A4" w14:textId="77777777" w:rsidR="00106F96" w:rsidRPr="00106F96" w:rsidRDefault="00106F96" w:rsidP="00106F96">
      <w:pPr>
        <w:outlineLvl w:val="0"/>
        <w:rPr>
          <w:b/>
          <w:noProof/>
          <w:sz w:val="22"/>
          <w:szCs w:val="22"/>
        </w:rPr>
      </w:pPr>
    </w:p>
    <w:p w14:paraId="3D2A0E29" w14:textId="77777777" w:rsidR="00106F96" w:rsidRPr="00106F96" w:rsidRDefault="00106F96" w:rsidP="00106F96">
      <w:pPr>
        <w:outlineLvl w:val="0"/>
        <w:rPr>
          <w:b/>
          <w:noProof/>
          <w:sz w:val="22"/>
          <w:szCs w:val="22"/>
        </w:rPr>
      </w:pPr>
    </w:p>
    <w:p w14:paraId="116DFDBC" w14:textId="77777777" w:rsidR="00106F96" w:rsidRPr="00106F96" w:rsidRDefault="00106F96" w:rsidP="00106F96">
      <w:pPr>
        <w:outlineLvl w:val="0"/>
        <w:rPr>
          <w:b/>
          <w:noProof/>
          <w:sz w:val="22"/>
          <w:szCs w:val="22"/>
        </w:rPr>
      </w:pPr>
    </w:p>
    <w:p w14:paraId="43ABC9AC" w14:textId="77777777" w:rsidR="00106F96" w:rsidRPr="00106F96" w:rsidRDefault="00106F96" w:rsidP="00106F96">
      <w:pPr>
        <w:outlineLvl w:val="0"/>
        <w:rPr>
          <w:b/>
          <w:noProof/>
          <w:sz w:val="22"/>
          <w:szCs w:val="22"/>
        </w:rPr>
      </w:pPr>
    </w:p>
    <w:p w14:paraId="3064A40D" w14:textId="77777777" w:rsidR="00106F96" w:rsidRPr="00106F96" w:rsidRDefault="00106F96" w:rsidP="00106F96">
      <w:pPr>
        <w:outlineLvl w:val="0"/>
        <w:rPr>
          <w:b/>
          <w:noProof/>
          <w:sz w:val="22"/>
          <w:szCs w:val="22"/>
        </w:rPr>
      </w:pPr>
    </w:p>
    <w:p w14:paraId="1FF65506" w14:textId="77777777" w:rsidR="00106F96" w:rsidRPr="00106F96" w:rsidRDefault="00106F96" w:rsidP="00106F96">
      <w:pPr>
        <w:outlineLvl w:val="0"/>
        <w:rPr>
          <w:b/>
          <w:noProof/>
          <w:sz w:val="22"/>
          <w:szCs w:val="22"/>
        </w:rPr>
      </w:pPr>
    </w:p>
    <w:p w14:paraId="482899E6" w14:textId="77777777" w:rsidR="00106F96" w:rsidRPr="00106F96" w:rsidRDefault="00106F96" w:rsidP="00106F96">
      <w:pPr>
        <w:outlineLvl w:val="0"/>
        <w:rPr>
          <w:b/>
          <w:noProof/>
          <w:sz w:val="22"/>
          <w:szCs w:val="22"/>
        </w:rPr>
      </w:pPr>
    </w:p>
    <w:p w14:paraId="58A4FAC6" w14:textId="77777777" w:rsidR="00106F96" w:rsidRDefault="00106F96" w:rsidP="00106F96">
      <w:pPr>
        <w:outlineLvl w:val="0"/>
        <w:rPr>
          <w:b/>
          <w:noProof/>
          <w:sz w:val="22"/>
          <w:szCs w:val="22"/>
        </w:rPr>
      </w:pPr>
    </w:p>
    <w:p w14:paraId="4C355F30" w14:textId="77777777" w:rsidR="00106F96" w:rsidRPr="00106F96" w:rsidRDefault="00106F96" w:rsidP="00106F96">
      <w:pPr>
        <w:outlineLvl w:val="0"/>
        <w:rPr>
          <w:b/>
          <w:noProof/>
          <w:sz w:val="22"/>
          <w:szCs w:val="22"/>
        </w:rPr>
      </w:pPr>
    </w:p>
    <w:p w14:paraId="36918570" w14:textId="77777777" w:rsidR="00106F96" w:rsidRPr="00106F96" w:rsidRDefault="00106F96" w:rsidP="00106F96">
      <w:pPr>
        <w:outlineLvl w:val="0"/>
        <w:rPr>
          <w:b/>
          <w:noProof/>
          <w:sz w:val="22"/>
          <w:szCs w:val="22"/>
        </w:rPr>
      </w:pPr>
    </w:p>
    <w:p w14:paraId="07B8DABB" w14:textId="77777777" w:rsidR="00106F96" w:rsidRPr="00106F96" w:rsidRDefault="00106F96" w:rsidP="00106F96">
      <w:pPr>
        <w:jc w:val="center"/>
        <w:outlineLvl w:val="0"/>
        <w:rPr>
          <w:rStyle w:val="DoNotTranslateExternal1"/>
          <w:sz w:val="22"/>
        </w:rPr>
      </w:pPr>
    </w:p>
    <w:p w14:paraId="59ABDE85" w14:textId="77777777" w:rsidR="00655DFA" w:rsidRDefault="00655DFA" w:rsidP="00106F96">
      <w:pPr>
        <w:jc w:val="center"/>
        <w:outlineLvl w:val="0"/>
        <w:rPr>
          <w:rStyle w:val="DoNotTranslateExternal1"/>
          <w:sz w:val="22"/>
        </w:rPr>
      </w:pPr>
    </w:p>
    <w:p w14:paraId="31848310" w14:textId="77777777" w:rsidR="00655DFA" w:rsidRDefault="00655DFA" w:rsidP="00106F96">
      <w:pPr>
        <w:jc w:val="center"/>
        <w:outlineLvl w:val="0"/>
        <w:rPr>
          <w:rStyle w:val="DoNotTranslateExternal1"/>
          <w:sz w:val="22"/>
        </w:rPr>
      </w:pPr>
    </w:p>
    <w:p w14:paraId="43A4C21F" w14:textId="77777777" w:rsidR="00655DFA" w:rsidRDefault="00655DFA" w:rsidP="00106F96">
      <w:pPr>
        <w:jc w:val="center"/>
        <w:outlineLvl w:val="0"/>
        <w:rPr>
          <w:rStyle w:val="DoNotTranslateExternal1"/>
          <w:sz w:val="22"/>
        </w:rPr>
      </w:pPr>
    </w:p>
    <w:p w14:paraId="22B7F9C7" w14:textId="77777777" w:rsidR="00655DFA" w:rsidRDefault="00655DFA" w:rsidP="00106F96">
      <w:pPr>
        <w:jc w:val="center"/>
        <w:outlineLvl w:val="0"/>
        <w:rPr>
          <w:rStyle w:val="DoNotTranslateExternal1"/>
          <w:sz w:val="22"/>
        </w:rPr>
      </w:pPr>
    </w:p>
    <w:p w14:paraId="06F60AF5" w14:textId="77777777" w:rsidR="00655DFA" w:rsidRDefault="00655DFA" w:rsidP="00106F96">
      <w:pPr>
        <w:jc w:val="center"/>
        <w:outlineLvl w:val="0"/>
        <w:rPr>
          <w:rStyle w:val="DoNotTranslateExternal1"/>
          <w:sz w:val="22"/>
        </w:rPr>
      </w:pPr>
    </w:p>
    <w:p w14:paraId="280F0D4E" w14:textId="77777777" w:rsidR="00655DFA" w:rsidRDefault="00655DFA" w:rsidP="00106F96">
      <w:pPr>
        <w:jc w:val="center"/>
        <w:outlineLvl w:val="0"/>
        <w:rPr>
          <w:rStyle w:val="DoNotTranslateExternal1"/>
          <w:sz w:val="22"/>
        </w:rPr>
      </w:pPr>
    </w:p>
    <w:p w14:paraId="647E3AEE" w14:textId="77777777" w:rsidR="00655DFA" w:rsidRDefault="00655DFA" w:rsidP="00106F96">
      <w:pPr>
        <w:jc w:val="center"/>
        <w:outlineLvl w:val="0"/>
        <w:rPr>
          <w:rStyle w:val="DoNotTranslateExternal1"/>
          <w:sz w:val="22"/>
        </w:rPr>
      </w:pPr>
    </w:p>
    <w:p w14:paraId="49A420A3" w14:textId="77777777" w:rsidR="00F05FE6" w:rsidRDefault="00F05FE6" w:rsidP="00106F96">
      <w:pPr>
        <w:jc w:val="center"/>
        <w:outlineLvl w:val="0"/>
        <w:rPr>
          <w:rStyle w:val="DoNotTranslateExternal1"/>
          <w:sz w:val="22"/>
        </w:rPr>
      </w:pPr>
    </w:p>
    <w:p w14:paraId="59A7B53E" w14:textId="77777777" w:rsidR="00106F96" w:rsidRPr="00106F96" w:rsidRDefault="00106F96" w:rsidP="00106F96">
      <w:pPr>
        <w:jc w:val="center"/>
        <w:outlineLvl w:val="0"/>
        <w:rPr>
          <w:b/>
          <w:noProof/>
          <w:sz w:val="22"/>
          <w:szCs w:val="22"/>
        </w:rPr>
      </w:pPr>
      <w:r w:rsidRPr="00106F96">
        <w:rPr>
          <w:rStyle w:val="DoNotTranslateExternal1"/>
          <w:sz w:val="22"/>
        </w:rPr>
        <w:t>B.</w:t>
      </w:r>
      <w:r w:rsidRPr="00106F96">
        <w:rPr>
          <w:b/>
          <w:noProof/>
          <w:sz w:val="22"/>
          <w:szCs w:val="22"/>
        </w:rPr>
        <w:t xml:space="preserve"> PAKUOTĖS LAPELIS</w:t>
      </w:r>
    </w:p>
    <w:p w14:paraId="11E1043C" w14:textId="77777777" w:rsidR="00106F96" w:rsidRPr="00832FC3" w:rsidRDefault="00106F96" w:rsidP="00106F96">
      <w:pPr>
        <w:jc w:val="center"/>
        <w:outlineLvl w:val="0"/>
        <w:rPr>
          <w:rFonts w:eastAsia="Times New Roman"/>
          <w:noProof/>
          <w:sz w:val="22"/>
          <w:lang w:val="lt-LT" w:eastAsia="lt-LT" w:bidi="lt-LT"/>
        </w:rPr>
      </w:pPr>
      <w:r w:rsidRPr="00106F96">
        <w:rPr>
          <w:sz w:val="22"/>
          <w:szCs w:val="22"/>
        </w:rPr>
        <w:br w:type="page"/>
      </w:r>
      <w:r w:rsidRPr="00832FC3">
        <w:rPr>
          <w:rFonts w:eastAsia="Times New Roman"/>
          <w:b/>
          <w:noProof/>
          <w:sz w:val="22"/>
          <w:lang w:val="lt-LT" w:eastAsia="lt-LT" w:bidi="lt-LT"/>
        </w:rPr>
        <w:lastRenderedPageBreak/>
        <w:t>Pakuotės lapelis: informacija vartotojui</w:t>
      </w:r>
    </w:p>
    <w:p w14:paraId="006C3D2E" w14:textId="77777777" w:rsidR="00106F96" w:rsidRPr="00832FC3" w:rsidRDefault="00106F96" w:rsidP="00106F96">
      <w:pPr>
        <w:numPr>
          <w:ilvl w:val="12"/>
          <w:numId w:val="0"/>
        </w:numPr>
        <w:shd w:val="clear" w:color="auto" w:fill="FFFFFF"/>
        <w:jc w:val="center"/>
        <w:rPr>
          <w:rFonts w:eastAsia="Times New Roman"/>
          <w:noProof/>
          <w:sz w:val="22"/>
          <w:lang w:val="lt-LT" w:eastAsia="lt-LT" w:bidi="lt-LT"/>
        </w:rPr>
      </w:pPr>
    </w:p>
    <w:p w14:paraId="5373B6D9" w14:textId="77777777" w:rsidR="00106F96" w:rsidRPr="00832FC3" w:rsidRDefault="00106F96" w:rsidP="00106F96">
      <w:pPr>
        <w:jc w:val="center"/>
        <w:rPr>
          <w:lang w:val="lt-LT"/>
        </w:rPr>
      </w:pPr>
      <w:r w:rsidRPr="00832FC3">
        <w:rPr>
          <w:rFonts w:eastAsia="Times New Roman"/>
          <w:b/>
          <w:noProof/>
          <w:sz w:val="22"/>
          <w:lang w:val="lt-LT" w:eastAsia="lt-LT" w:bidi="lt-LT"/>
        </w:rPr>
        <w:t>Darunavir Teva</w:t>
      </w:r>
      <w:r w:rsidRPr="00832FC3">
        <w:rPr>
          <w:b/>
          <w:lang w:val="lt-LT"/>
        </w:rPr>
        <w:t xml:space="preserve"> 600 mg plėvele dengtos tabletės</w:t>
      </w:r>
    </w:p>
    <w:p w14:paraId="193A71F6" w14:textId="77777777" w:rsidR="00106F96" w:rsidRPr="00832FC3" w:rsidRDefault="00106F96" w:rsidP="00106F96">
      <w:pPr>
        <w:numPr>
          <w:ilvl w:val="12"/>
          <w:numId w:val="0"/>
        </w:numPr>
        <w:jc w:val="center"/>
        <w:rPr>
          <w:rFonts w:eastAsia="Times New Roman"/>
          <w:sz w:val="22"/>
          <w:lang w:val="lt-LT" w:eastAsia="lt-LT" w:bidi="lt-LT"/>
        </w:rPr>
      </w:pPr>
      <w:r w:rsidRPr="00832FC3">
        <w:rPr>
          <w:rFonts w:eastAsia="Times New Roman"/>
          <w:sz w:val="22"/>
          <w:lang w:val="lt-LT" w:eastAsia="lt-LT" w:bidi="lt-LT"/>
        </w:rPr>
        <w:t>Darunaviras</w:t>
      </w:r>
    </w:p>
    <w:p w14:paraId="7232A21C" w14:textId="77777777" w:rsidR="00106F96" w:rsidRPr="00832FC3" w:rsidRDefault="00106F96" w:rsidP="00106F96">
      <w:pPr>
        <w:numPr>
          <w:ilvl w:val="12"/>
          <w:numId w:val="0"/>
        </w:numPr>
        <w:jc w:val="center"/>
        <w:rPr>
          <w:rFonts w:eastAsia="Times New Roman"/>
          <w:noProof/>
          <w:sz w:val="22"/>
          <w:lang w:val="lt-LT" w:eastAsia="lt-LT" w:bidi="lt-LT"/>
        </w:rPr>
      </w:pPr>
    </w:p>
    <w:p w14:paraId="1B8211C6" w14:textId="77777777" w:rsidR="00106F96" w:rsidRPr="00832FC3" w:rsidRDefault="00106F96" w:rsidP="00106F96">
      <w:pPr>
        <w:suppressAutoHyphens/>
        <w:rPr>
          <w:rFonts w:eastAsia="Times New Roman"/>
          <w:noProof/>
          <w:sz w:val="22"/>
          <w:lang w:val="lt-LT" w:eastAsia="lt-LT" w:bidi="lt-LT"/>
        </w:rPr>
      </w:pPr>
      <w:r w:rsidRPr="00832FC3">
        <w:rPr>
          <w:rFonts w:eastAsia="Times New Roman"/>
          <w:b/>
          <w:sz w:val="22"/>
          <w:lang w:val="lt-LT" w:eastAsia="lt-LT" w:bidi="lt-LT"/>
        </w:rPr>
        <w:t>Atidžiai perskaitykite visą šį lapelį, prieš pradėdami vartoti vaistą, nes jame pateikiama Jums svarbi informacija</w:t>
      </w:r>
      <w:r w:rsidRPr="00832FC3">
        <w:rPr>
          <w:rFonts w:eastAsia="Times New Roman"/>
          <w:b/>
          <w:noProof/>
          <w:sz w:val="22"/>
          <w:lang w:val="lt-LT" w:eastAsia="lt-LT" w:bidi="lt-LT"/>
        </w:rPr>
        <w:t>.</w:t>
      </w:r>
    </w:p>
    <w:p w14:paraId="67F0874F" w14:textId="77777777" w:rsidR="00106F96" w:rsidRPr="00832FC3" w:rsidRDefault="00106F96" w:rsidP="00106F96">
      <w:pPr>
        <w:numPr>
          <w:ilvl w:val="0"/>
          <w:numId w:val="22"/>
        </w:numPr>
        <w:tabs>
          <w:tab w:val="left" w:pos="567"/>
        </w:tabs>
        <w:spacing w:line="260" w:lineRule="exact"/>
        <w:ind w:left="567" w:right="-2" w:hanging="567"/>
        <w:rPr>
          <w:rFonts w:eastAsia="Times New Roman"/>
          <w:noProof/>
          <w:sz w:val="22"/>
          <w:lang w:val="lt-LT" w:eastAsia="lt-LT" w:bidi="lt-LT"/>
        </w:rPr>
      </w:pPr>
      <w:r w:rsidRPr="00832FC3">
        <w:rPr>
          <w:rFonts w:eastAsia="Times New Roman"/>
          <w:sz w:val="22"/>
          <w:lang w:val="lt-LT" w:eastAsia="lt-LT" w:bidi="lt-LT"/>
        </w:rPr>
        <w:t xml:space="preserve">Neišmeskite šio lapelio, nes vėl gali prireikti jį perskaityti. </w:t>
      </w:r>
    </w:p>
    <w:p w14:paraId="1183CC40" w14:textId="77777777" w:rsidR="00106F96" w:rsidRPr="00832FC3" w:rsidRDefault="00106F96" w:rsidP="00106F96">
      <w:pPr>
        <w:numPr>
          <w:ilvl w:val="0"/>
          <w:numId w:val="22"/>
        </w:numPr>
        <w:tabs>
          <w:tab w:val="left" w:pos="567"/>
        </w:tabs>
        <w:spacing w:line="260" w:lineRule="exact"/>
        <w:ind w:left="567" w:right="-2" w:hanging="567"/>
        <w:rPr>
          <w:rFonts w:eastAsia="Times New Roman"/>
          <w:noProof/>
          <w:sz w:val="22"/>
          <w:lang w:val="lt-LT" w:eastAsia="lt-LT" w:bidi="lt-LT"/>
        </w:rPr>
      </w:pPr>
      <w:r w:rsidRPr="00832FC3">
        <w:rPr>
          <w:rFonts w:eastAsia="Times New Roman"/>
          <w:sz w:val="22"/>
          <w:lang w:val="lt-LT" w:eastAsia="lt-LT" w:bidi="lt-LT"/>
        </w:rPr>
        <w:t>Jeigu kiltų daugiau klausimų, kreipkitės į gydytoją</w:t>
      </w:r>
      <w:r w:rsidR="00655DFA">
        <w:rPr>
          <w:rFonts w:eastAsia="Times New Roman"/>
          <w:sz w:val="22"/>
          <w:lang w:val="lt-LT" w:eastAsia="lt-LT" w:bidi="lt-LT"/>
        </w:rPr>
        <w:t>,</w:t>
      </w:r>
      <w:r w:rsidRPr="00832FC3">
        <w:rPr>
          <w:rFonts w:eastAsia="Times New Roman"/>
          <w:sz w:val="22"/>
          <w:lang w:val="lt-LT" w:eastAsia="lt-LT" w:bidi="lt-LT"/>
        </w:rPr>
        <w:t xml:space="preserve"> vaistininką</w:t>
      </w:r>
      <w:r w:rsidR="00655DFA" w:rsidRPr="00655DFA">
        <w:rPr>
          <w:rFonts w:eastAsia="Times New Roman"/>
          <w:sz w:val="22"/>
          <w:lang w:val="lt-LT" w:eastAsia="lt-LT" w:bidi="lt-LT"/>
        </w:rPr>
        <w:t xml:space="preserve"> </w:t>
      </w:r>
      <w:r w:rsidR="00655DFA" w:rsidRPr="00832FC3">
        <w:rPr>
          <w:rFonts w:eastAsia="Times New Roman"/>
          <w:sz w:val="22"/>
          <w:lang w:val="lt-LT" w:eastAsia="lt-LT" w:bidi="lt-LT"/>
        </w:rPr>
        <w:t>arba</w:t>
      </w:r>
      <w:r w:rsidR="00655DFA">
        <w:rPr>
          <w:rFonts w:eastAsia="Times New Roman"/>
          <w:sz w:val="22"/>
          <w:lang w:val="lt-LT" w:eastAsia="lt-LT" w:bidi="lt-LT"/>
        </w:rPr>
        <w:t xml:space="preserve"> slaugytoją</w:t>
      </w:r>
      <w:r w:rsidRPr="00832FC3">
        <w:rPr>
          <w:rFonts w:eastAsia="Times New Roman"/>
          <w:sz w:val="22"/>
          <w:lang w:val="lt-LT" w:eastAsia="lt-LT" w:bidi="lt-LT"/>
        </w:rPr>
        <w:t>.</w:t>
      </w:r>
    </w:p>
    <w:p w14:paraId="083F71F8" w14:textId="77777777" w:rsidR="00106F96" w:rsidRPr="00832FC3" w:rsidRDefault="00106F96" w:rsidP="00106F96">
      <w:pPr>
        <w:tabs>
          <w:tab w:val="left" w:pos="567"/>
        </w:tabs>
        <w:ind w:left="567" w:right="-2" w:hanging="567"/>
        <w:rPr>
          <w:rFonts w:eastAsia="Times New Roman"/>
          <w:noProof/>
          <w:sz w:val="22"/>
          <w:lang w:val="lt-LT" w:eastAsia="lt-LT" w:bidi="lt-LT"/>
        </w:rPr>
      </w:pPr>
      <w:r w:rsidRPr="00832FC3">
        <w:rPr>
          <w:rFonts w:eastAsia="Times New Roman"/>
          <w:sz w:val="22"/>
          <w:lang w:val="lt-LT" w:eastAsia="lt-LT" w:bidi="lt-LT"/>
        </w:rPr>
        <w:t>-</w:t>
      </w:r>
      <w:r w:rsidRPr="00832FC3">
        <w:rPr>
          <w:rFonts w:eastAsia="Times New Roman"/>
          <w:sz w:val="22"/>
          <w:lang w:val="lt-LT" w:eastAsia="lt-LT" w:bidi="lt-LT"/>
        </w:rPr>
        <w:tab/>
        <w:t>Šis vaistas skirtas tik Jums, todėl kitiems žmonėms jo duoti negalima. Vaistas gali jiems pakenkti (net tiems, kurių ligos požymiai yra tokie patys kaip Jūsų).</w:t>
      </w:r>
    </w:p>
    <w:p w14:paraId="0503EBD9" w14:textId="77777777" w:rsidR="00106F96" w:rsidRPr="00832FC3" w:rsidRDefault="00106F96" w:rsidP="00106F96">
      <w:pPr>
        <w:numPr>
          <w:ilvl w:val="0"/>
          <w:numId w:val="22"/>
        </w:numPr>
        <w:tabs>
          <w:tab w:val="left" w:pos="567"/>
        </w:tabs>
        <w:spacing w:line="260" w:lineRule="exact"/>
        <w:ind w:left="567" w:hanging="567"/>
        <w:rPr>
          <w:rFonts w:eastAsia="Times New Roman"/>
          <w:sz w:val="22"/>
          <w:lang w:val="lt-LT" w:eastAsia="lt-LT" w:bidi="lt-LT"/>
        </w:rPr>
      </w:pPr>
      <w:r w:rsidRPr="00832FC3">
        <w:rPr>
          <w:rFonts w:eastAsia="Times New Roman"/>
          <w:sz w:val="22"/>
          <w:lang w:val="lt-LT" w:eastAsia="lt-LT" w:bidi="lt-LT"/>
        </w:rPr>
        <w:t>Jeigu pasireiškė šalutinis poveikis (net jeigu jis šiame lapelyje nenurodytas),</w:t>
      </w:r>
      <w:r w:rsidRPr="00832FC3">
        <w:rPr>
          <w:rFonts w:eastAsia="Times New Roman"/>
          <w:color w:val="FF0000"/>
          <w:sz w:val="22"/>
          <w:lang w:val="lt-LT" w:eastAsia="lt-LT" w:bidi="lt-LT"/>
        </w:rPr>
        <w:t xml:space="preserve"> </w:t>
      </w:r>
      <w:r w:rsidRPr="00832FC3">
        <w:rPr>
          <w:rFonts w:eastAsia="Times New Roman"/>
          <w:sz w:val="22"/>
          <w:lang w:val="lt-LT" w:eastAsia="lt-LT" w:bidi="lt-LT"/>
        </w:rPr>
        <w:t>kreipkitės į gydytoją</w:t>
      </w:r>
      <w:r w:rsidR="00655DFA">
        <w:rPr>
          <w:rFonts w:eastAsia="Times New Roman"/>
          <w:sz w:val="22"/>
          <w:lang w:val="lt-LT" w:eastAsia="lt-LT" w:bidi="lt-LT"/>
        </w:rPr>
        <w:t>,</w:t>
      </w:r>
      <w:r w:rsidRPr="00832FC3">
        <w:rPr>
          <w:rFonts w:eastAsia="Times New Roman"/>
          <w:sz w:val="22"/>
          <w:lang w:val="lt-LT" w:eastAsia="lt-LT" w:bidi="lt-LT"/>
        </w:rPr>
        <w:t xml:space="preserve"> vaistininką</w:t>
      </w:r>
      <w:r w:rsidR="00655DFA" w:rsidRPr="00655DFA">
        <w:rPr>
          <w:rFonts w:eastAsia="Times New Roman"/>
          <w:sz w:val="22"/>
          <w:lang w:val="lt-LT" w:eastAsia="lt-LT" w:bidi="lt-LT"/>
        </w:rPr>
        <w:t xml:space="preserve"> </w:t>
      </w:r>
      <w:r w:rsidR="00655DFA" w:rsidRPr="00832FC3">
        <w:rPr>
          <w:rFonts w:eastAsia="Times New Roman"/>
          <w:sz w:val="22"/>
          <w:lang w:val="lt-LT" w:eastAsia="lt-LT" w:bidi="lt-LT"/>
        </w:rPr>
        <w:t>arba</w:t>
      </w:r>
      <w:r w:rsidR="00655DFA">
        <w:rPr>
          <w:rFonts w:eastAsia="Times New Roman"/>
          <w:sz w:val="22"/>
          <w:lang w:val="lt-LT" w:eastAsia="lt-LT" w:bidi="lt-LT"/>
        </w:rPr>
        <w:t xml:space="preserve"> slaugytoją</w:t>
      </w:r>
      <w:r w:rsidRPr="00832FC3">
        <w:rPr>
          <w:rFonts w:eastAsia="Times New Roman"/>
          <w:sz w:val="22"/>
          <w:lang w:val="lt-LT" w:eastAsia="lt-LT" w:bidi="lt-LT"/>
        </w:rPr>
        <w:t>. Žr. 4 skyrių.</w:t>
      </w:r>
    </w:p>
    <w:p w14:paraId="027B9284" w14:textId="77777777" w:rsidR="00106F96" w:rsidRPr="00832FC3" w:rsidRDefault="00106F96" w:rsidP="00106F96">
      <w:pPr>
        <w:ind w:right="-2"/>
        <w:rPr>
          <w:rFonts w:eastAsia="Times New Roman"/>
          <w:sz w:val="22"/>
          <w:lang w:val="lt-LT" w:eastAsia="lt-LT" w:bidi="lt-LT"/>
        </w:rPr>
      </w:pPr>
    </w:p>
    <w:p w14:paraId="59B08BA6" w14:textId="77777777" w:rsidR="00106F96" w:rsidRPr="00832FC3" w:rsidRDefault="00106F96" w:rsidP="00106F96">
      <w:pPr>
        <w:ind w:right="-2"/>
        <w:rPr>
          <w:rFonts w:eastAsia="Times New Roman"/>
          <w:noProof/>
          <w:sz w:val="22"/>
          <w:lang w:val="lt-LT" w:eastAsia="lt-LT" w:bidi="lt-LT"/>
        </w:rPr>
      </w:pPr>
    </w:p>
    <w:p w14:paraId="64EA33E6" w14:textId="77777777" w:rsidR="00106F96" w:rsidRPr="00832FC3" w:rsidRDefault="00106F96" w:rsidP="00106F96">
      <w:pPr>
        <w:keepNext/>
        <w:numPr>
          <w:ilvl w:val="12"/>
          <w:numId w:val="0"/>
        </w:numPr>
        <w:ind w:right="-2"/>
        <w:outlineLvl w:val="0"/>
        <w:rPr>
          <w:rFonts w:eastAsia="Times New Roman"/>
          <w:noProof/>
          <w:sz w:val="22"/>
          <w:lang w:val="lt-LT" w:eastAsia="lt-LT" w:bidi="lt-LT"/>
        </w:rPr>
      </w:pPr>
      <w:r w:rsidRPr="00832FC3">
        <w:rPr>
          <w:rFonts w:eastAsia="Times New Roman"/>
          <w:b/>
          <w:sz w:val="22"/>
          <w:lang w:val="lt-LT" w:eastAsia="lt-LT" w:bidi="lt-LT"/>
        </w:rPr>
        <w:t>Apie ką rašoma šiame lapelyje?</w:t>
      </w:r>
    </w:p>
    <w:p w14:paraId="07D5F22C" w14:textId="77777777" w:rsidR="00106F96" w:rsidRPr="00832FC3" w:rsidRDefault="00106F96" w:rsidP="00106F96">
      <w:pPr>
        <w:numPr>
          <w:ilvl w:val="0"/>
          <w:numId w:val="23"/>
        </w:numPr>
        <w:tabs>
          <w:tab w:val="left" w:pos="426"/>
          <w:tab w:val="left" w:pos="567"/>
        </w:tabs>
        <w:spacing w:line="260" w:lineRule="exact"/>
        <w:ind w:left="426" w:right="-29"/>
        <w:contextualSpacing/>
        <w:rPr>
          <w:rFonts w:eastAsia="Times New Roman"/>
          <w:noProof/>
          <w:sz w:val="22"/>
          <w:lang w:val="lt-LT" w:eastAsia="lt-LT" w:bidi="lt-LT"/>
        </w:rPr>
      </w:pPr>
      <w:r w:rsidRPr="00832FC3">
        <w:rPr>
          <w:rFonts w:eastAsia="Times New Roman"/>
          <w:sz w:val="22"/>
          <w:lang w:val="lt-LT" w:eastAsia="lt-LT" w:bidi="lt-LT"/>
        </w:rPr>
        <w:t xml:space="preserve">Kas yra Darunavir Teva ir kam jis vartojamas </w:t>
      </w:r>
    </w:p>
    <w:p w14:paraId="35B83FE0" w14:textId="77777777" w:rsidR="00106F96" w:rsidRPr="00832FC3" w:rsidRDefault="00106F96" w:rsidP="00106F96">
      <w:pPr>
        <w:numPr>
          <w:ilvl w:val="0"/>
          <w:numId w:val="23"/>
        </w:numPr>
        <w:tabs>
          <w:tab w:val="left" w:pos="426"/>
          <w:tab w:val="left" w:pos="567"/>
        </w:tabs>
        <w:spacing w:line="260" w:lineRule="exact"/>
        <w:ind w:left="426" w:right="-29"/>
        <w:contextualSpacing/>
        <w:rPr>
          <w:rFonts w:eastAsia="Times New Roman"/>
          <w:noProof/>
          <w:sz w:val="22"/>
          <w:lang w:val="lt-LT" w:eastAsia="lt-LT" w:bidi="lt-LT"/>
        </w:rPr>
      </w:pPr>
      <w:r w:rsidRPr="00832FC3">
        <w:rPr>
          <w:rFonts w:eastAsia="Times New Roman"/>
          <w:sz w:val="22"/>
          <w:lang w:val="lt-LT" w:eastAsia="lt-LT" w:bidi="lt-LT"/>
        </w:rPr>
        <w:t xml:space="preserve">Kas žinotina prieš vartojant Darunavir Teva </w:t>
      </w:r>
    </w:p>
    <w:p w14:paraId="78774F8F" w14:textId="77777777" w:rsidR="00106F96" w:rsidRPr="00832FC3" w:rsidRDefault="00106F96" w:rsidP="00106F96">
      <w:pPr>
        <w:numPr>
          <w:ilvl w:val="0"/>
          <w:numId w:val="23"/>
        </w:numPr>
        <w:tabs>
          <w:tab w:val="left" w:pos="426"/>
          <w:tab w:val="left" w:pos="567"/>
        </w:tabs>
        <w:spacing w:line="260" w:lineRule="exact"/>
        <w:ind w:left="426" w:right="-29"/>
        <w:contextualSpacing/>
        <w:rPr>
          <w:rFonts w:eastAsia="Times New Roman"/>
          <w:noProof/>
          <w:sz w:val="22"/>
          <w:lang w:val="lt-LT" w:eastAsia="lt-LT" w:bidi="lt-LT"/>
        </w:rPr>
      </w:pPr>
      <w:r w:rsidRPr="00832FC3">
        <w:rPr>
          <w:rFonts w:eastAsia="Times New Roman"/>
          <w:sz w:val="22"/>
          <w:lang w:val="lt-LT" w:eastAsia="lt-LT" w:bidi="lt-LT"/>
        </w:rPr>
        <w:t xml:space="preserve">Kaip vartoti Darunavir Teva </w:t>
      </w:r>
    </w:p>
    <w:p w14:paraId="14342354" w14:textId="77777777" w:rsidR="00106F96" w:rsidRPr="00832FC3" w:rsidRDefault="00106F96" w:rsidP="00106F96">
      <w:pPr>
        <w:numPr>
          <w:ilvl w:val="0"/>
          <w:numId w:val="23"/>
        </w:numPr>
        <w:tabs>
          <w:tab w:val="left" w:pos="426"/>
          <w:tab w:val="left" w:pos="567"/>
        </w:tabs>
        <w:spacing w:line="260" w:lineRule="exact"/>
        <w:ind w:left="426" w:right="-29"/>
        <w:contextualSpacing/>
        <w:rPr>
          <w:rFonts w:eastAsia="Times New Roman"/>
          <w:noProof/>
          <w:sz w:val="22"/>
          <w:lang w:val="lt-LT" w:eastAsia="lt-LT" w:bidi="lt-LT"/>
        </w:rPr>
      </w:pPr>
      <w:r w:rsidRPr="00832FC3">
        <w:rPr>
          <w:rFonts w:eastAsia="Times New Roman"/>
          <w:sz w:val="22"/>
          <w:lang w:val="lt-LT" w:eastAsia="lt-LT" w:bidi="lt-LT"/>
        </w:rPr>
        <w:t xml:space="preserve">Galimas šalutinis poveikis </w:t>
      </w:r>
    </w:p>
    <w:p w14:paraId="2F3C0317" w14:textId="77777777" w:rsidR="00106F96" w:rsidRPr="00832FC3" w:rsidRDefault="00106F96" w:rsidP="00106F96">
      <w:pPr>
        <w:numPr>
          <w:ilvl w:val="0"/>
          <w:numId w:val="23"/>
        </w:numPr>
        <w:tabs>
          <w:tab w:val="left" w:pos="426"/>
          <w:tab w:val="left" w:pos="567"/>
        </w:tabs>
        <w:spacing w:line="260" w:lineRule="exact"/>
        <w:ind w:left="426" w:right="-29"/>
        <w:contextualSpacing/>
        <w:rPr>
          <w:rFonts w:eastAsia="Times New Roman"/>
          <w:noProof/>
          <w:sz w:val="22"/>
          <w:lang w:val="lt-LT" w:eastAsia="lt-LT" w:bidi="lt-LT"/>
        </w:rPr>
      </w:pPr>
      <w:r w:rsidRPr="00832FC3">
        <w:rPr>
          <w:rFonts w:eastAsia="Times New Roman"/>
          <w:sz w:val="22"/>
          <w:lang w:val="lt-LT" w:eastAsia="lt-LT" w:bidi="lt-LT"/>
        </w:rPr>
        <w:t xml:space="preserve">Kaip laikyti Darunavir Teva </w:t>
      </w:r>
    </w:p>
    <w:p w14:paraId="2C4F5E53" w14:textId="77777777" w:rsidR="00106F96" w:rsidRPr="00832FC3" w:rsidRDefault="00106F96" w:rsidP="00106F96">
      <w:pPr>
        <w:numPr>
          <w:ilvl w:val="0"/>
          <w:numId w:val="23"/>
        </w:numPr>
        <w:tabs>
          <w:tab w:val="left" w:pos="426"/>
          <w:tab w:val="left" w:pos="567"/>
        </w:tabs>
        <w:spacing w:line="260" w:lineRule="exact"/>
        <w:ind w:left="426" w:right="-29"/>
        <w:contextualSpacing/>
        <w:rPr>
          <w:rFonts w:eastAsia="Times New Roman"/>
          <w:noProof/>
          <w:sz w:val="22"/>
          <w:lang w:val="lt-LT" w:eastAsia="lt-LT" w:bidi="lt-LT"/>
        </w:rPr>
      </w:pPr>
      <w:r w:rsidRPr="00832FC3">
        <w:rPr>
          <w:rFonts w:eastAsia="Times New Roman"/>
          <w:sz w:val="22"/>
          <w:lang w:val="lt-LT" w:eastAsia="lt-LT" w:bidi="lt-LT"/>
        </w:rPr>
        <w:t>Pakuotės turinys ir kita informacija</w:t>
      </w:r>
    </w:p>
    <w:p w14:paraId="7BE26F3D" w14:textId="77777777" w:rsidR="00106F96" w:rsidRPr="00832FC3" w:rsidRDefault="00106F96" w:rsidP="00106F96">
      <w:pPr>
        <w:numPr>
          <w:ilvl w:val="12"/>
          <w:numId w:val="0"/>
        </w:numPr>
        <w:ind w:right="-2"/>
        <w:rPr>
          <w:rFonts w:eastAsia="Times New Roman"/>
          <w:noProof/>
          <w:sz w:val="22"/>
          <w:lang w:val="lt-LT" w:eastAsia="lt-LT" w:bidi="lt-LT"/>
        </w:rPr>
      </w:pPr>
    </w:p>
    <w:p w14:paraId="38D2763D" w14:textId="77777777" w:rsidR="00106F96" w:rsidRPr="00832FC3" w:rsidRDefault="00106F96" w:rsidP="00106F96">
      <w:pPr>
        <w:rPr>
          <w:lang w:val="lt-LT"/>
        </w:rPr>
      </w:pPr>
    </w:p>
    <w:p w14:paraId="7D0EDE65" w14:textId="77777777" w:rsidR="00106F96" w:rsidRPr="00832FC3" w:rsidRDefault="00106F96" w:rsidP="00106F96">
      <w:pPr>
        <w:keepNext/>
        <w:numPr>
          <w:ilvl w:val="0"/>
          <w:numId w:val="24"/>
        </w:numPr>
        <w:tabs>
          <w:tab w:val="left" w:pos="567"/>
        </w:tabs>
        <w:spacing w:line="260" w:lineRule="exact"/>
        <w:ind w:left="567" w:right="-2"/>
        <w:rPr>
          <w:rFonts w:eastAsia="Times New Roman"/>
          <w:b/>
          <w:noProof/>
          <w:sz w:val="22"/>
          <w:szCs w:val="22"/>
          <w:lang w:val="lt-LT" w:eastAsia="lt-LT" w:bidi="lt-LT"/>
        </w:rPr>
      </w:pPr>
      <w:r w:rsidRPr="00832FC3">
        <w:rPr>
          <w:rFonts w:eastAsia="Times New Roman"/>
          <w:b/>
          <w:noProof/>
          <w:sz w:val="22"/>
          <w:lang w:val="lt-LT" w:eastAsia="lt-LT" w:bidi="lt-LT"/>
        </w:rPr>
        <w:t>Kas yra Darunavir Teva ir kam jis vartojamas</w:t>
      </w:r>
    </w:p>
    <w:p w14:paraId="3E76B989" w14:textId="77777777" w:rsidR="00106F96" w:rsidRPr="00832FC3" w:rsidRDefault="00106F96" w:rsidP="00106F96">
      <w:pPr>
        <w:numPr>
          <w:ilvl w:val="12"/>
          <w:numId w:val="0"/>
        </w:numPr>
        <w:rPr>
          <w:rFonts w:eastAsia="Times New Roman"/>
          <w:noProof/>
          <w:sz w:val="22"/>
          <w:szCs w:val="22"/>
          <w:lang w:val="lt-LT" w:eastAsia="lt-LT" w:bidi="lt-LT"/>
        </w:rPr>
      </w:pPr>
    </w:p>
    <w:p w14:paraId="6BB88586" w14:textId="77777777" w:rsidR="00106F96" w:rsidRPr="00106F96" w:rsidRDefault="00106F96" w:rsidP="00106F96">
      <w:pPr>
        <w:rPr>
          <w:b/>
          <w:sz w:val="22"/>
          <w:szCs w:val="22"/>
          <w:lang w:val="lt-LT"/>
        </w:rPr>
      </w:pPr>
      <w:r w:rsidRPr="00106F96">
        <w:rPr>
          <w:b/>
          <w:sz w:val="22"/>
          <w:szCs w:val="22"/>
          <w:lang w:val="lt-LT"/>
        </w:rPr>
        <w:t xml:space="preserve">Kas yra </w:t>
      </w:r>
      <w:r w:rsidRPr="00106F96">
        <w:rPr>
          <w:rFonts w:eastAsia="Times New Roman"/>
          <w:b/>
          <w:sz w:val="22"/>
          <w:szCs w:val="22"/>
          <w:lang w:val="lt-LT" w:eastAsia="lt-LT" w:bidi="lt-LT"/>
        </w:rPr>
        <w:t>Darunavir Teva</w:t>
      </w:r>
      <w:r w:rsidRPr="00106F96">
        <w:rPr>
          <w:b/>
          <w:sz w:val="22"/>
          <w:szCs w:val="22"/>
          <w:lang w:val="lt-LT"/>
        </w:rPr>
        <w:t>?</w:t>
      </w:r>
    </w:p>
    <w:p w14:paraId="20E74DD5" w14:textId="77777777" w:rsidR="00106F96" w:rsidRPr="00832FC3" w:rsidRDefault="00106F96" w:rsidP="00106F96">
      <w:pPr>
        <w:rPr>
          <w:sz w:val="22"/>
          <w:szCs w:val="22"/>
          <w:lang w:val="lt-LT"/>
        </w:rPr>
      </w:pPr>
      <w:r w:rsidRPr="00832FC3">
        <w:rPr>
          <w:rFonts w:eastAsia="Times New Roman"/>
          <w:sz w:val="22"/>
          <w:szCs w:val="22"/>
          <w:lang w:val="lt-LT" w:eastAsia="lt-LT" w:bidi="lt-LT"/>
        </w:rPr>
        <w:t>Darunavir Teva</w:t>
      </w:r>
      <w:r w:rsidRPr="00832FC3">
        <w:rPr>
          <w:sz w:val="22"/>
          <w:szCs w:val="22"/>
          <w:lang w:val="lt-LT"/>
        </w:rPr>
        <w:t xml:space="preserve"> sudėtyje yra veikliosios medžiagos darunaviro. </w:t>
      </w:r>
      <w:r w:rsidRPr="00832FC3">
        <w:rPr>
          <w:rFonts w:eastAsia="Times New Roman"/>
          <w:sz w:val="22"/>
          <w:szCs w:val="22"/>
          <w:lang w:val="lt-LT" w:eastAsia="lt-LT" w:bidi="lt-LT"/>
        </w:rPr>
        <w:t>Darunavir Teva</w:t>
      </w:r>
      <w:r w:rsidRPr="00832FC3">
        <w:rPr>
          <w:sz w:val="22"/>
          <w:szCs w:val="22"/>
          <w:lang w:val="lt-LT"/>
        </w:rPr>
        <w:t xml:space="preserve"> yra antiretrovirusinis vaistas žmogaus imunodeficito viruso (ŽIV) infekcijai gydyti. Jis priklauso vadinamųjų proteazės inhibitorių grupei. </w:t>
      </w:r>
      <w:r w:rsidRPr="00832FC3">
        <w:rPr>
          <w:rFonts w:eastAsia="Times New Roman"/>
          <w:sz w:val="22"/>
          <w:szCs w:val="22"/>
          <w:lang w:val="lt-LT" w:eastAsia="lt-LT" w:bidi="lt-LT"/>
        </w:rPr>
        <w:t>Darunavir Teva</w:t>
      </w:r>
      <w:r w:rsidRPr="00832FC3">
        <w:rPr>
          <w:sz w:val="22"/>
          <w:szCs w:val="22"/>
          <w:lang w:val="lt-LT"/>
        </w:rPr>
        <w:t xml:space="preserve"> veikia mažindamas žmogaus imunodeficito virusų (ŽIV) kiekį organizme. Tai sustiprins Jūsų imuninę sistemą ir sumažins su ŽIV infekcija susijusių ligų pavojų.</w:t>
      </w:r>
    </w:p>
    <w:p w14:paraId="64A1AA6F" w14:textId="77777777" w:rsidR="00106F96" w:rsidRPr="00832FC3" w:rsidRDefault="00106F96" w:rsidP="00106F96">
      <w:pPr>
        <w:rPr>
          <w:sz w:val="22"/>
          <w:szCs w:val="22"/>
          <w:lang w:val="lt-LT"/>
        </w:rPr>
      </w:pPr>
    </w:p>
    <w:p w14:paraId="29145E29" w14:textId="77777777" w:rsidR="00106F96" w:rsidRPr="00106F96" w:rsidRDefault="00106F96" w:rsidP="00106F96">
      <w:pPr>
        <w:rPr>
          <w:b/>
          <w:sz w:val="22"/>
          <w:szCs w:val="22"/>
          <w:lang w:val="lt-LT"/>
        </w:rPr>
      </w:pPr>
      <w:r w:rsidRPr="00106F96">
        <w:rPr>
          <w:b/>
          <w:sz w:val="22"/>
          <w:szCs w:val="22"/>
          <w:lang w:val="lt-LT"/>
        </w:rPr>
        <w:t>Kam jis vartojamas?</w:t>
      </w:r>
    </w:p>
    <w:p w14:paraId="0D6D0BB6" w14:textId="77777777" w:rsidR="00106F96" w:rsidRPr="00832FC3" w:rsidRDefault="00106F96" w:rsidP="00106F96">
      <w:pPr>
        <w:rPr>
          <w:sz w:val="22"/>
          <w:szCs w:val="22"/>
          <w:lang w:val="lt-LT"/>
        </w:rPr>
      </w:pPr>
      <w:r w:rsidRPr="00832FC3">
        <w:rPr>
          <w:rFonts w:eastAsia="Times New Roman"/>
          <w:sz w:val="22"/>
          <w:szCs w:val="22"/>
          <w:lang w:val="lt-LT" w:eastAsia="lt-LT" w:bidi="lt-LT"/>
        </w:rPr>
        <w:t>Darunavir Teva</w:t>
      </w:r>
      <w:r w:rsidRPr="00832FC3">
        <w:rPr>
          <w:sz w:val="22"/>
          <w:szCs w:val="22"/>
          <w:lang w:val="lt-LT"/>
        </w:rPr>
        <w:t xml:space="preserve"> 600 mg gydomi suaugusieji užsikrėtę ŽIV, kurie anksčiau gydyti antiretrovirusiniais vaistais ir (tai nustatys gydytojas) 3 metų bei vyresni vaikai, kurie sveria ne mažiau kaip 15 kg, užsikrėtę ŽIV.</w:t>
      </w:r>
    </w:p>
    <w:p w14:paraId="2B66FD2A" w14:textId="77777777" w:rsidR="00106F96" w:rsidRPr="00832FC3" w:rsidRDefault="00106F96" w:rsidP="00106F96">
      <w:pPr>
        <w:rPr>
          <w:sz w:val="22"/>
          <w:szCs w:val="22"/>
          <w:lang w:val="lt-LT"/>
        </w:rPr>
      </w:pPr>
    </w:p>
    <w:p w14:paraId="290B0901" w14:textId="77777777" w:rsidR="00106F96" w:rsidRPr="00832FC3" w:rsidRDefault="00106F96" w:rsidP="00106F96">
      <w:pPr>
        <w:rPr>
          <w:sz w:val="22"/>
          <w:szCs w:val="22"/>
          <w:lang w:val="lt-LT"/>
        </w:rPr>
      </w:pPr>
      <w:r w:rsidRPr="00832FC3">
        <w:rPr>
          <w:rFonts w:eastAsia="Times New Roman"/>
          <w:sz w:val="22"/>
          <w:lang w:val="lt-LT" w:eastAsia="lt-LT" w:bidi="lt-LT"/>
        </w:rPr>
        <w:t>Darunavir Teva</w:t>
      </w:r>
      <w:r w:rsidRPr="00832FC3">
        <w:rPr>
          <w:sz w:val="22"/>
          <w:szCs w:val="22"/>
          <w:lang w:val="lt-LT"/>
        </w:rPr>
        <w:t xml:space="preserve"> būtina vartoti kartu su maža ritonaviro doze ir kitais vaistais nuo ŽIV. Gydytojas aptars su Jumis, koks vaistų derinys Jums geriausias.</w:t>
      </w:r>
    </w:p>
    <w:p w14:paraId="27652F8D" w14:textId="77777777" w:rsidR="00106F96" w:rsidRDefault="00106F96" w:rsidP="00106F96">
      <w:pPr>
        <w:rPr>
          <w:sz w:val="22"/>
          <w:szCs w:val="22"/>
          <w:lang w:val="lt-LT"/>
        </w:rPr>
      </w:pPr>
    </w:p>
    <w:p w14:paraId="5DF43D78" w14:textId="77777777" w:rsidR="00F05FE6" w:rsidRPr="00832FC3" w:rsidRDefault="00F05FE6" w:rsidP="00106F96">
      <w:pPr>
        <w:rPr>
          <w:sz w:val="22"/>
          <w:szCs w:val="22"/>
          <w:lang w:val="lt-LT"/>
        </w:rPr>
      </w:pPr>
    </w:p>
    <w:p w14:paraId="6FDDF2EF" w14:textId="77777777" w:rsidR="00106F96" w:rsidRPr="00832FC3" w:rsidRDefault="00106F96" w:rsidP="00106F96">
      <w:pPr>
        <w:keepNext/>
        <w:numPr>
          <w:ilvl w:val="0"/>
          <w:numId w:val="24"/>
        </w:numPr>
        <w:tabs>
          <w:tab w:val="left" w:pos="567"/>
        </w:tabs>
        <w:spacing w:line="260" w:lineRule="exact"/>
        <w:ind w:left="567" w:right="-2"/>
        <w:rPr>
          <w:rFonts w:eastAsia="Times New Roman"/>
          <w:b/>
          <w:noProof/>
          <w:sz w:val="22"/>
          <w:szCs w:val="22"/>
          <w:lang w:val="lt-LT" w:eastAsia="lt-LT" w:bidi="lt-LT"/>
        </w:rPr>
      </w:pPr>
      <w:r w:rsidRPr="00832FC3">
        <w:rPr>
          <w:rFonts w:eastAsia="Times New Roman"/>
          <w:b/>
          <w:noProof/>
          <w:sz w:val="22"/>
          <w:lang w:val="lt-LT" w:eastAsia="lt-LT" w:bidi="lt-LT"/>
        </w:rPr>
        <w:t>Kas žinotina prieš vartojant Darunavir Teva</w:t>
      </w:r>
      <w:r w:rsidRPr="00832FC3">
        <w:rPr>
          <w:rFonts w:eastAsia="Times New Roman"/>
          <w:sz w:val="22"/>
          <w:lang w:val="lt-LT" w:eastAsia="lt-LT" w:bidi="lt-LT"/>
        </w:rPr>
        <w:t xml:space="preserve"> </w:t>
      </w:r>
    </w:p>
    <w:p w14:paraId="30BDBC4D" w14:textId="77777777" w:rsidR="00106F96" w:rsidRPr="00832FC3" w:rsidRDefault="00106F96" w:rsidP="00106F96">
      <w:pPr>
        <w:rPr>
          <w:rFonts w:eastAsia="Times New Roman"/>
          <w:b/>
          <w:sz w:val="22"/>
          <w:lang w:val="lt-LT" w:eastAsia="lt-LT" w:bidi="lt-LT"/>
        </w:rPr>
      </w:pPr>
    </w:p>
    <w:p w14:paraId="79EDAB03" w14:textId="77777777" w:rsidR="00106F96" w:rsidRPr="00832FC3" w:rsidRDefault="00106F96" w:rsidP="00106F96">
      <w:pPr>
        <w:rPr>
          <w:b/>
          <w:sz w:val="22"/>
          <w:szCs w:val="22"/>
          <w:lang w:val="lt-LT"/>
        </w:rPr>
      </w:pPr>
      <w:r w:rsidRPr="00832FC3">
        <w:rPr>
          <w:rFonts w:eastAsia="Times New Roman"/>
          <w:b/>
          <w:sz w:val="22"/>
          <w:lang w:val="lt-LT" w:eastAsia="lt-LT" w:bidi="lt-LT"/>
        </w:rPr>
        <w:t xml:space="preserve">Darunavir Teva </w:t>
      </w:r>
      <w:r w:rsidRPr="00832FC3">
        <w:rPr>
          <w:b/>
          <w:sz w:val="22"/>
          <w:szCs w:val="22"/>
          <w:lang w:val="lt-LT"/>
        </w:rPr>
        <w:t>vartoti negalima:</w:t>
      </w:r>
    </w:p>
    <w:p w14:paraId="2DC69883"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 xml:space="preserve">jeigu yra </w:t>
      </w:r>
      <w:r w:rsidRPr="00832FC3">
        <w:rPr>
          <w:b/>
          <w:sz w:val="22"/>
          <w:szCs w:val="22"/>
          <w:lang w:val="lt-LT"/>
        </w:rPr>
        <w:t>alergija</w:t>
      </w:r>
      <w:r w:rsidRPr="00832FC3">
        <w:rPr>
          <w:sz w:val="22"/>
          <w:szCs w:val="22"/>
          <w:lang w:val="lt-LT"/>
        </w:rPr>
        <w:t xml:space="preserve"> darunavirui arba bet kuriai pagalbinei šio vaisto medžiagai (jos išvardytos</w:t>
      </w:r>
    </w:p>
    <w:p w14:paraId="36D5AE56"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6 skyriuje) arba ritonavirui;</w:t>
      </w:r>
    </w:p>
    <w:p w14:paraId="3E8DDD6D"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 xml:space="preserve">jeigu sergate </w:t>
      </w:r>
      <w:r w:rsidRPr="00832FC3">
        <w:rPr>
          <w:b/>
          <w:sz w:val="22"/>
          <w:szCs w:val="22"/>
          <w:lang w:val="lt-LT"/>
        </w:rPr>
        <w:t>sunkia kepenų liga</w:t>
      </w:r>
      <w:r w:rsidRPr="00832FC3">
        <w:rPr>
          <w:sz w:val="22"/>
          <w:szCs w:val="22"/>
          <w:lang w:val="lt-LT"/>
        </w:rPr>
        <w:t>. Jeigu Jums reikia informacijos apie Jūsų kepenų ligos sunkumą, kreipkitės į savo gydytoją. Tokiais atvejais gali prireikti atlikti papildomus tyrimus.</w:t>
      </w:r>
    </w:p>
    <w:p w14:paraId="637483AD" w14:textId="77777777" w:rsidR="00106F96" w:rsidRPr="00832FC3" w:rsidRDefault="00106F96" w:rsidP="00106F96">
      <w:pPr>
        <w:rPr>
          <w:sz w:val="22"/>
          <w:szCs w:val="22"/>
          <w:lang w:val="lt-LT"/>
        </w:rPr>
      </w:pPr>
    </w:p>
    <w:p w14:paraId="07EC5EF7" w14:textId="77777777" w:rsidR="00106F96" w:rsidRPr="00832FC3" w:rsidRDefault="00106F96" w:rsidP="00106F96">
      <w:pPr>
        <w:rPr>
          <w:b/>
          <w:sz w:val="22"/>
          <w:szCs w:val="22"/>
          <w:lang w:val="lt-LT"/>
        </w:rPr>
      </w:pPr>
      <w:r w:rsidRPr="00832FC3">
        <w:rPr>
          <w:b/>
          <w:sz w:val="22"/>
          <w:szCs w:val="22"/>
          <w:lang w:val="lt-LT"/>
        </w:rPr>
        <w:t xml:space="preserve">Nevartokite </w:t>
      </w:r>
      <w:r w:rsidRPr="00832FC3">
        <w:rPr>
          <w:rFonts w:eastAsia="Times New Roman"/>
          <w:b/>
          <w:noProof/>
          <w:sz w:val="22"/>
          <w:lang w:val="lt-LT" w:eastAsia="lt-LT" w:bidi="lt-LT"/>
        </w:rPr>
        <w:t xml:space="preserve">Darunavir Teva </w:t>
      </w:r>
      <w:r w:rsidRPr="00832FC3">
        <w:rPr>
          <w:b/>
          <w:sz w:val="22"/>
          <w:szCs w:val="22"/>
          <w:lang w:val="lt-LT"/>
        </w:rPr>
        <w:t xml:space="preserve"> su bet kuriuo iš toliau išvardytų vaistų</w:t>
      </w:r>
    </w:p>
    <w:p w14:paraId="1203D86A" w14:textId="77777777" w:rsidR="00106F96" w:rsidRPr="00832FC3" w:rsidRDefault="00106F96" w:rsidP="00106F96">
      <w:pPr>
        <w:rPr>
          <w:sz w:val="22"/>
          <w:szCs w:val="22"/>
          <w:lang w:val="lt-LT"/>
        </w:rPr>
      </w:pPr>
      <w:r w:rsidRPr="00832FC3">
        <w:rPr>
          <w:sz w:val="22"/>
          <w:szCs w:val="22"/>
          <w:lang w:val="lt-LT"/>
        </w:rPr>
        <w:t>Jeigu vartojate kurį nors iš šių vaistų, prašykite gydytojo pakeisti jį kitu.</w:t>
      </w:r>
    </w:p>
    <w:p w14:paraId="38921434" w14:textId="77777777" w:rsidR="00106F96" w:rsidRPr="00832FC3" w:rsidRDefault="00106F96" w:rsidP="00106F96">
      <w:pPr>
        <w:rPr>
          <w:sz w:val="22"/>
          <w:szCs w:val="22"/>
          <w:lang w:val="lt-LT"/>
        </w:rPr>
      </w:pPr>
    </w:p>
    <w:p w14:paraId="571DE37C" w14:textId="77777777" w:rsidR="00106F96" w:rsidRPr="00832FC3" w:rsidRDefault="00106F96" w:rsidP="00106F96">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0"/>
        <w:gridCol w:w="4490"/>
      </w:tblGrid>
      <w:tr w:rsidR="00106F96" w:rsidRPr="00832FC3" w14:paraId="16D7F110" w14:textId="77777777" w:rsidTr="00640597">
        <w:tc>
          <w:tcPr>
            <w:tcW w:w="4927" w:type="dxa"/>
            <w:shd w:val="clear" w:color="auto" w:fill="auto"/>
          </w:tcPr>
          <w:p w14:paraId="30ACE8A9" w14:textId="77777777" w:rsidR="00106F96" w:rsidRPr="00640597" w:rsidRDefault="00106F96" w:rsidP="00640597">
            <w:pPr>
              <w:jc w:val="center"/>
              <w:rPr>
                <w:b/>
                <w:sz w:val="22"/>
                <w:szCs w:val="22"/>
                <w:lang w:val="lt-LT"/>
              </w:rPr>
            </w:pPr>
            <w:r w:rsidRPr="00640597">
              <w:rPr>
                <w:b/>
                <w:sz w:val="22"/>
                <w:szCs w:val="22"/>
                <w:lang w:val="lt-LT"/>
              </w:rPr>
              <w:t>Vaistas</w:t>
            </w:r>
          </w:p>
        </w:tc>
        <w:tc>
          <w:tcPr>
            <w:tcW w:w="4927" w:type="dxa"/>
            <w:shd w:val="clear" w:color="auto" w:fill="auto"/>
          </w:tcPr>
          <w:p w14:paraId="74666259" w14:textId="77777777" w:rsidR="00106F96" w:rsidRPr="00640597" w:rsidRDefault="00106F96" w:rsidP="00640597">
            <w:pPr>
              <w:jc w:val="center"/>
              <w:rPr>
                <w:b/>
                <w:sz w:val="22"/>
                <w:szCs w:val="22"/>
                <w:lang w:val="lt-LT"/>
              </w:rPr>
            </w:pPr>
            <w:r w:rsidRPr="00640597">
              <w:rPr>
                <w:b/>
                <w:sz w:val="22"/>
                <w:szCs w:val="22"/>
                <w:lang w:val="lt-LT"/>
              </w:rPr>
              <w:t>Šio vaisto vartojimo tikslas</w:t>
            </w:r>
          </w:p>
        </w:tc>
      </w:tr>
      <w:tr w:rsidR="00106F96" w:rsidRPr="00832FC3" w14:paraId="1CDDFBA1" w14:textId="77777777" w:rsidTr="00640597">
        <w:tc>
          <w:tcPr>
            <w:tcW w:w="4927" w:type="dxa"/>
            <w:shd w:val="clear" w:color="auto" w:fill="auto"/>
          </w:tcPr>
          <w:p w14:paraId="7547A8AF" w14:textId="77777777" w:rsidR="00106F96" w:rsidRPr="00640597" w:rsidRDefault="00106F96" w:rsidP="00106F96">
            <w:pPr>
              <w:rPr>
                <w:i/>
                <w:sz w:val="22"/>
                <w:szCs w:val="22"/>
                <w:lang w:val="lt-LT"/>
              </w:rPr>
            </w:pPr>
            <w:r w:rsidRPr="00640597">
              <w:rPr>
                <w:i/>
                <w:sz w:val="22"/>
                <w:szCs w:val="22"/>
                <w:lang w:val="lt-LT"/>
              </w:rPr>
              <w:t>Avanafilis</w:t>
            </w:r>
          </w:p>
        </w:tc>
        <w:tc>
          <w:tcPr>
            <w:tcW w:w="4927" w:type="dxa"/>
            <w:shd w:val="clear" w:color="auto" w:fill="auto"/>
          </w:tcPr>
          <w:p w14:paraId="591F326A" w14:textId="77777777" w:rsidR="00106F96" w:rsidRPr="00640597" w:rsidRDefault="00292CC3" w:rsidP="00106F96">
            <w:pPr>
              <w:rPr>
                <w:sz w:val="22"/>
                <w:szCs w:val="22"/>
                <w:lang w:val="lt-LT"/>
              </w:rPr>
            </w:pPr>
            <w:r w:rsidRPr="00640597">
              <w:rPr>
                <w:sz w:val="22"/>
                <w:szCs w:val="22"/>
                <w:lang w:val="lt-LT"/>
              </w:rPr>
              <w:t>gydomi erekcijos sutrikimai</w:t>
            </w:r>
          </w:p>
        </w:tc>
      </w:tr>
      <w:tr w:rsidR="00106F96" w:rsidRPr="00832FC3" w14:paraId="727C3CEC" w14:textId="77777777" w:rsidTr="00640597">
        <w:tc>
          <w:tcPr>
            <w:tcW w:w="4927" w:type="dxa"/>
            <w:shd w:val="clear" w:color="auto" w:fill="auto"/>
          </w:tcPr>
          <w:p w14:paraId="0B0B1147" w14:textId="77777777" w:rsidR="00106F96" w:rsidRPr="00640597" w:rsidRDefault="00106F96" w:rsidP="00106F96">
            <w:pPr>
              <w:rPr>
                <w:i/>
                <w:sz w:val="22"/>
                <w:szCs w:val="22"/>
                <w:lang w:val="lt-LT"/>
              </w:rPr>
            </w:pPr>
            <w:r w:rsidRPr="00640597">
              <w:rPr>
                <w:i/>
                <w:sz w:val="22"/>
                <w:szCs w:val="22"/>
                <w:lang w:val="lt-LT"/>
              </w:rPr>
              <w:t>Astemizolas ar terfenadinas</w:t>
            </w:r>
          </w:p>
        </w:tc>
        <w:tc>
          <w:tcPr>
            <w:tcW w:w="4927" w:type="dxa"/>
            <w:shd w:val="clear" w:color="auto" w:fill="auto"/>
          </w:tcPr>
          <w:p w14:paraId="42A296B4" w14:textId="77777777" w:rsidR="00106F96" w:rsidRPr="00640597" w:rsidRDefault="00292CC3" w:rsidP="00106F96">
            <w:pPr>
              <w:rPr>
                <w:sz w:val="22"/>
                <w:szCs w:val="22"/>
                <w:lang w:val="lt-LT"/>
              </w:rPr>
            </w:pPr>
            <w:r w:rsidRPr="00640597">
              <w:rPr>
                <w:sz w:val="22"/>
                <w:szCs w:val="22"/>
                <w:lang w:val="lt-LT"/>
              </w:rPr>
              <w:t>g</w:t>
            </w:r>
            <w:r w:rsidR="00106F96" w:rsidRPr="00640597">
              <w:rPr>
                <w:sz w:val="22"/>
                <w:szCs w:val="22"/>
                <w:lang w:val="lt-LT"/>
              </w:rPr>
              <w:t>ydomi alergijos simptomai</w:t>
            </w:r>
          </w:p>
        </w:tc>
      </w:tr>
      <w:tr w:rsidR="00106F96" w:rsidRPr="00832FC3" w14:paraId="6BEBE2AC" w14:textId="77777777" w:rsidTr="00640597">
        <w:tc>
          <w:tcPr>
            <w:tcW w:w="4927" w:type="dxa"/>
            <w:shd w:val="clear" w:color="auto" w:fill="auto"/>
          </w:tcPr>
          <w:p w14:paraId="233A1928" w14:textId="77777777" w:rsidR="00106F96" w:rsidRPr="00640597" w:rsidRDefault="00106F96" w:rsidP="00106F96">
            <w:pPr>
              <w:rPr>
                <w:sz w:val="22"/>
                <w:szCs w:val="22"/>
                <w:lang w:val="lt-LT"/>
              </w:rPr>
            </w:pPr>
            <w:r w:rsidRPr="00640597">
              <w:rPr>
                <w:i/>
                <w:sz w:val="22"/>
                <w:szCs w:val="22"/>
                <w:lang w:val="lt-LT"/>
              </w:rPr>
              <w:t>Triazolamas</w:t>
            </w:r>
            <w:r w:rsidRPr="00640597">
              <w:rPr>
                <w:sz w:val="22"/>
                <w:szCs w:val="22"/>
                <w:lang w:val="lt-LT"/>
              </w:rPr>
              <w:t xml:space="preserve"> ir </w:t>
            </w:r>
            <w:r w:rsidRPr="00640597">
              <w:rPr>
                <w:i/>
                <w:sz w:val="22"/>
                <w:szCs w:val="22"/>
                <w:lang w:val="lt-LT"/>
              </w:rPr>
              <w:t>geriamasis</w:t>
            </w:r>
            <w:r w:rsidRPr="00640597">
              <w:rPr>
                <w:sz w:val="22"/>
                <w:szCs w:val="22"/>
                <w:lang w:val="lt-LT"/>
              </w:rPr>
              <w:t xml:space="preserve"> (vartojamas per burną) </w:t>
            </w:r>
            <w:r w:rsidRPr="00640597">
              <w:rPr>
                <w:i/>
                <w:sz w:val="22"/>
                <w:szCs w:val="22"/>
                <w:lang w:val="lt-LT"/>
              </w:rPr>
              <w:t>midazolamas</w:t>
            </w:r>
          </w:p>
        </w:tc>
        <w:tc>
          <w:tcPr>
            <w:tcW w:w="4927" w:type="dxa"/>
            <w:shd w:val="clear" w:color="auto" w:fill="auto"/>
          </w:tcPr>
          <w:p w14:paraId="06E3CAE8" w14:textId="77777777" w:rsidR="00106F96" w:rsidRPr="00640597" w:rsidRDefault="00292CC3" w:rsidP="00106F96">
            <w:pPr>
              <w:rPr>
                <w:sz w:val="22"/>
                <w:szCs w:val="22"/>
                <w:lang w:val="lt-LT"/>
              </w:rPr>
            </w:pPr>
            <w:r w:rsidRPr="00640597">
              <w:rPr>
                <w:sz w:val="22"/>
                <w:szCs w:val="22"/>
                <w:lang w:val="lt-LT"/>
              </w:rPr>
              <w:t>p</w:t>
            </w:r>
            <w:r w:rsidR="00106F96" w:rsidRPr="00640597">
              <w:rPr>
                <w:sz w:val="22"/>
                <w:szCs w:val="22"/>
                <w:lang w:val="lt-LT"/>
              </w:rPr>
              <w:t>adeda užmigti ir (arba) slopina</w:t>
            </w:r>
          </w:p>
        </w:tc>
      </w:tr>
      <w:tr w:rsidR="00106F96" w:rsidRPr="00832FC3" w14:paraId="4F4A3463" w14:textId="77777777" w:rsidTr="00640597">
        <w:tc>
          <w:tcPr>
            <w:tcW w:w="4927" w:type="dxa"/>
            <w:shd w:val="clear" w:color="auto" w:fill="auto"/>
          </w:tcPr>
          <w:p w14:paraId="5363C9C2" w14:textId="77777777" w:rsidR="00106F96" w:rsidRPr="00640597" w:rsidRDefault="00106F96" w:rsidP="00106F96">
            <w:pPr>
              <w:rPr>
                <w:i/>
                <w:sz w:val="22"/>
                <w:szCs w:val="22"/>
                <w:lang w:val="lt-LT"/>
              </w:rPr>
            </w:pPr>
            <w:r w:rsidRPr="00640597">
              <w:rPr>
                <w:i/>
                <w:sz w:val="22"/>
                <w:szCs w:val="22"/>
                <w:lang w:val="lt-LT"/>
              </w:rPr>
              <w:t>Cisapridas</w:t>
            </w:r>
          </w:p>
        </w:tc>
        <w:tc>
          <w:tcPr>
            <w:tcW w:w="4927" w:type="dxa"/>
            <w:shd w:val="clear" w:color="auto" w:fill="auto"/>
          </w:tcPr>
          <w:p w14:paraId="363FF942" w14:textId="77777777" w:rsidR="00106F96" w:rsidRPr="00640597" w:rsidRDefault="00292CC3" w:rsidP="00106F96">
            <w:pPr>
              <w:rPr>
                <w:sz w:val="22"/>
                <w:szCs w:val="22"/>
                <w:lang w:val="lt-LT"/>
              </w:rPr>
            </w:pPr>
            <w:r w:rsidRPr="00640597">
              <w:rPr>
                <w:sz w:val="22"/>
                <w:szCs w:val="22"/>
                <w:lang w:val="lt-LT"/>
              </w:rPr>
              <w:t>g</w:t>
            </w:r>
            <w:r w:rsidR="00106F96" w:rsidRPr="00640597">
              <w:rPr>
                <w:sz w:val="22"/>
                <w:szCs w:val="22"/>
                <w:lang w:val="lt-LT"/>
              </w:rPr>
              <w:t>ydomos tam tikros skrandžio būklės</w:t>
            </w:r>
          </w:p>
        </w:tc>
      </w:tr>
      <w:tr w:rsidR="00106F96" w:rsidRPr="00832FC3" w14:paraId="4DD91617" w14:textId="77777777" w:rsidTr="00640597">
        <w:tc>
          <w:tcPr>
            <w:tcW w:w="4927" w:type="dxa"/>
            <w:shd w:val="clear" w:color="auto" w:fill="auto"/>
          </w:tcPr>
          <w:p w14:paraId="6CC8AAE1" w14:textId="77777777" w:rsidR="00106F96" w:rsidRPr="00640597" w:rsidRDefault="00106F96" w:rsidP="00106F96">
            <w:pPr>
              <w:rPr>
                <w:sz w:val="22"/>
                <w:szCs w:val="22"/>
                <w:lang w:val="lt-LT"/>
              </w:rPr>
            </w:pPr>
            <w:r w:rsidRPr="00640597">
              <w:rPr>
                <w:i/>
                <w:sz w:val="22"/>
                <w:szCs w:val="22"/>
                <w:lang w:val="lt-LT"/>
              </w:rPr>
              <w:t>Kolchicinas</w:t>
            </w:r>
            <w:r w:rsidRPr="00640597">
              <w:rPr>
                <w:sz w:val="22"/>
                <w:szCs w:val="22"/>
                <w:lang w:val="lt-LT"/>
              </w:rPr>
              <w:t xml:space="preserve"> (jeigu Jums yra inkstų ir (arba) kepenų veiklos sutrikimų)</w:t>
            </w:r>
          </w:p>
        </w:tc>
        <w:tc>
          <w:tcPr>
            <w:tcW w:w="4927" w:type="dxa"/>
            <w:shd w:val="clear" w:color="auto" w:fill="auto"/>
          </w:tcPr>
          <w:p w14:paraId="69506FAC" w14:textId="77777777" w:rsidR="00106F96" w:rsidRPr="00640597" w:rsidRDefault="00292CC3" w:rsidP="00106F96">
            <w:pPr>
              <w:rPr>
                <w:sz w:val="22"/>
                <w:szCs w:val="22"/>
                <w:lang w:val="lt-LT"/>
              </w:rPr>
            </w:pPr>
            <w:r w:rsidRPr="00640597">
              <w:rPr>
                <w:sz w:val="22"/>
                <w:szCs w:val="22"/>
                <w:lang w:val="lt-LT"/>
              </w:rPr>
              <w:t>gydoma podagra</w:t>
            </w:r>
          </w:p>
        </w:tc>
      </w:tr>
      <w:tr w:rsidR="00106F96" w:rsidRPr="00832FC3" w14:paraId="453D324E" w14:textId="77777777" w:rsidTr="00640597">
        <w:tc>
          <w:tcPr>
            <w:tcW w:w="4927" w:type="dxa"/>
            <w:shd w:val="clear" w:color="auto" w:fill="auto"/>
          </w:tcPr>
          <w:p w14:paraId="1C314CD2" w14:textId="77777777" w:rsidR="00106F96" w:rsidRPr="00640597" w:rsidRDefault="00106F96" w:rsidP="00106F96">
            <w:pPr>
              <w:rPr>
                <w:i/>
                <w:sz w:val="22"/>
                <w:szCs w:val="22"/>
                <w:lang w:val="lt-LT"/>
              </w:rPr>
            </w:pPr>
            <w:r w:rsidRPr="00640597">
              <w:rPr>
                <w:i/>
                <w:sz w:val="22"/>
                <w:szCs w:val="22"/>
                <w:lang w:val="lt-LT"/>
              </w:rPr>
              <w:t>Pimozidas, kvetiapinas ar sertindolas</w:t>
            </w:r>
          </w:p>
        </w:tc>
        <w:tc>
          <w:tcPr>
            <w:tcW w:w="4927" w:type="dxa"/>
            <w:shd w:val="clear" w:color="auto" w:fill="auto"/>
          </w:tcPr>
          <w:p w14:paraId="2A5CCD50" w14:textId="77777777" w:rsidR="00106F96" w:rsidRPr="00640597" w:rsidRDefault="00292CC3" w:rsidP="00106F96">
            <w:pPr>
              <w:rPr>
                <w:sz w:val="22"/>
                <w:szCs w:val="22"/>
                <w:lang w:val="lt-LT"/>
              </w:rPr>
            </w:pPr>
            <w:r w:rsidRPr="00640597">
              <w:rPr>
                <w:sz w:val="22"/>
                <w:szCs w:val="22"/>
                <w:lang w:val="lt-LT"/>
              </w:rPr>
              <w:t>gydomi psichikos sutrikimai</w:t>
            </w:r>
          </w:p>
        </w:tc>
      </w:tr>
      <w:tr w:rsidR="00106F96" w:rsidRPr="00832FC3" w14:paraId="2F718305" w14:textId="77777777" w:rsidTr="00640597">
        <w:tc>
          <w:tcPr>
            <w:tcW w:w="4927" w:type="dxa"/>
            <w:shd w:val="clear" w:color="auto" w:fill="auto"/>
          </w:tcPr>
          <w:p w14:paraId="57BFB5AC" w14:textId="77777777" w:rsidR="00106F96" w:rsidRPr="00640597" w:rsidRDefault="00106F96" w:rsidP="00106F96">
            <w:pPr>
              <w:rPr>
                <w:sz w:val="22"/>
                <w:szCs w:val="22"/>
                <w:lang w:val="lt-LT"/>
              </w:rPr>
            </w:pPr>
            <w:r w:rsidRPr="00640597">
              <w:rPr>
                <w:i/>
                <w:sz w:val="22"/>
                <w:szCs w:val="22"/>
                <w:lang w:val="lt-LT"/>
              </w:rPr>
              <w:t>Skalsių alkaloidai</w:t>
            </w:r>
            <w:r w:rsidRPr="00640597">
              <w:rPr>
                <w:sz w:val="22"/>
                <w:szCs w:val="22"/>
                <w:lang w:val="lt-LT"/>
              </w:rPr>
              <w:t xml:space="preserve">, pavyzdžiui, </w:t>
            </w:r>
            <w:r w:rsidRPr="00640597">
              <w:rPr>
                <w:i/>
                <w:sz w:val="22"/>
                <w:szCs w:val="22"/>
                <w:lang w:val="lt-LT"/>
              </w:rPr>
              <w:t>ergotaminas</w:t>
            </w:r>
            <w:r w:rsidRPr="00640597">
              <w:rPr>
                <w:sz w:val="22"/>
                <w:szCs w:val="22"/>
                <w:lang w:val="lt-LT"/>
              </w:rPr>
              <w:t xml:space="preserve">, </w:t>
            </w:r>
            <w:r w:rsidRPr="00640597">
              <w:rPr>
                <w:i/>
                <w:sz w:val="22"/>
                <w:szCs w:val="22"/>
                <w:lang w:val="lt-LT"/>
              </w:rPr>
              <w:t>dihidroergotaminas, ergonovinas</w:t>
            </w:r>
            <w:r w:rsidRPr="00640597">
              <w:rPr>
                <w:sz w:val="22"/>
                <w:szCs w:val="22"/>
                <w:lang w:val="lt-LT"/>
              </w:rPr>
              <w:t xml:space="preserve"> ir </w:t>
            </w:r>
            <w:r w:rsidRPr="00640597">
              <w:rPr>
                <w:i/>
                <w:sz w:val="22"/>
                <w:szCs w:val="22"/>
                <w:lang w:val="lt-LT"/>
              </w:rPr>
              <w:t>metilergonovinas</w:t>
            </w:r>
          </w:p>
        </w:tc>
        <w:tc>
          <w:tcPr>
            <w:tcW w:w="4927" w:type="dxa"/>
            <w:shd w:val="clear" w:color="auto" w:fill="auto"/>
          </w:tcPr>
          <w:p w14:paraId="70A9716E" w14:textId="77777777" w:rsidR="00106F96" w:rsidRPr="00640597" w:rsidRDefault="00292CC3" w:rsidP="00106F96">
            <w:pPr>
              <w:rPr>
                <w:sz w:val="22"/>
                <w:szCs w:val="22"/>
                <w:lang w:val="lt-LT"/>
              </w:rPr>
            </w:pPr>
            <w:r w:rsidRPr="00640597">
              <w:rPr>
                <w:sz w:val="22"/>
                <w:szCs w:val="22"/>
                <w:lang w:val="lt-LT"/>
              </w:rPr>
              <w:t>g</w:t>
            </w:r>
            <w:r w:rsidR="00106F96" w:rsidRPr="00640597">
              <w:rPr>
                <w:sz w:val="22"/>
                <w:szCs w:val="22"/>
                <w:lang w:val="lt-LT"/>
              </w:rPr>
              <w:t>y</w:t>
            </w:r>
            <w:r w:rsidRPr="00640597">
              <w:rPr>
                <w:sz w:val="22"/>
                <w:szCs w:val="22"/>
                <w:lang w:val="lt-LT"/>
              </w:rPr>
              <w:t>doma migrena ir galvos skausmas</w:t>
            </w:r>
          </w:p>
        </w:tc>
      </w:tr>
      <w:tr w:rsidR="00106F96" w:rsidRPr="00832FC3" w14:paraId="5C0072AF" w14:textId="77777777" w:rsidTr="00640597">
        <w:tc>
          <w:tcPr>
            <w:tcW w:w="4927" w:type="dxa"/>
            <w:shd w:val="clear" w:color="auto" w:fill="auto"/>
          </w:tcPr>
          <w:p w14:paraId="30BC2C9C" w14:textId="77777777" w:rsidR="00106F96" w:rsidRPr="00640597" w:rsidRDefault="00106F96" w:rsidP="00106F96">
            <w:pPr>
              <w:rPr>
                <w:i/>
                <w:sz w:val="22"/>
                <w:szCs w:val="22"/>
                <w:lang w:val="lt-LT"/>
              </w:rPr>
            </w:pPr>
            <w:r w:rsidRPr="00640597">
              <w:rPr>
                <w:i/>
                <w:sz w:val="22"/>
                <w:szCs w:val="22"/>
                <w:lang w:val="lt-LT"/>
              </w:rPr>
              <w:t>Amjodaronas, bepridilis, dronedaronas, chinidinas, ranolazinas ir sisteminio poveikio lidokainas</w:t>
            </w:r>
          </w:p>
        </w:tc>
        <w:tc>
          <w:tcPr>
            <w:tcW w:w="4927" w:type="dxa"/>
            <w:shd w:val="clear" w:color="auto" w:fill="auto"/>
          </w:tcPr>
          <w:p w14:paraId="3E0835B0" w14:textId="77777777" w:rsidR="00106F96" w:rsidRPr="00640597" w:rsidRDefault="00292CC3" w:rsidP="00106F96">
            <w:pPr>
              <w:rPr>
                <w:sz w:val="22"/>
                <w:szCs w:val="22"/>
                <w:lang w:val="lt-LT"/>
              </w:rPr>
            </w:pPr>
            <w:r w:rsidRPr="00640597">
              <w:rPr>
                <w:sz w:val="22"/>
                <w:szCs w:val="22"/>
                <w:lang w:val="lt-LT"/>
              </w:rPr>
              <w:t>g</w:t>
            </w:r>
            <w:r w:rsidR="00106F96" w:rsidRPr="00640597">
              <w:rPr>
                <w:sz w:val="22"/>
                <w:szCs w:val="22"/>
                <w:lang w:val="lt-LT"/>
              </w:rPr>
              <w:t>ydomi tam tikri širdies sutrikimai, pavyzdži</w:t>
            </w:r>
            <w:r w:rsidRPr="00640597">
              <w:rPr>
                <w:sz w:val="22"/>
                <w:szCs w:val="22"/>
                <w:lang w:val="lt-LT"/>
              </w:rPr>
              <w:t>ui, nenormalus širdies plakimas</w:t>
            </w:r>
          </w:p>
        </w:tc>
      </w:tr>
      <w:tr w:rsidR="00106F96" w:rsidRPr="00832FC3" w14:paraId="23EE4397" w14:textId="77777777" w:rsidTr="00640597">
        <w:tc>
          <w:tcPr>
            <w:tcW w:w="4927" w:type="dxa"/>
            <w:shd w:val="clear" w:color="auto" w:fill="auto"/>
          </w:tcPr>
          <w:p w14:paraId="183C83EF" w14:textId="77777777" w:rsidR="00106F96" w:rsidRPr="00640597" w:rsidRDefault="00106F96" w:rsidP="00106F96">
            <w:pPr>
              <w:rPr>
                <w:i/>
                <w:sz w:val="22"/>
                <w:szCs w:val="22"/>
                <w:lang w:val="lt-LT"/>
              </w:rPr>
            </w:pPr>
            <w:r w:rsidRPr="00640597">
              <w:rPr>
                <w:i/>
                <w:sz w:val="22"/>
                <w:szCs w:val="22"/>
                <w:lang w:val="lt-LT"/>
              </w:rPr>
              <w:t>Lovastatinas ir simvastatinas</w:t>
            </w:r>
          </w:p>
        </w:tc>
        <w:tc>
          <w:tcPr>
            <w:tcW w:w="4927" w:type="dxa"/>
            <w:shd w:val="clear" w:color="auto" w:fill="auto"/>
          </w:tcPr>
          <w:p w14:paraId="649E31ED" w14:textId="77777777" w:rsidR="00106F96" w:rsidRPr="00640597" w:rsidRDefault="00292CC3" w:rsidP="00106F96">
            <w:pPr>
              <w:rPr>
                <w:sz w:val="22"/>
                <w:szCs w:val="22"/>
                <w:lang w:val="lt-LT"/>
              </w:rPr>
            </w:pPr>
            <w:r w:rsidRPr="00640597">
              <w:rPr>
                <w:sz w:val="22"/>
                <w:szCs w:val="22"/>
                <w:lang w:val="lt-LT"/>
              </w:rPr>
              <w:t>m</w:t>
            </w:r>
            <w:r w:rsidR="00106F96" w:rsidRPr="00640597">
              <w:rPr>
                <w:sz w:val="22"/>
                <w:szCs w:val="22"/>
                <w:lang w:val="lt-LT"/>
              </w:rPr>
              <w:t>ažina chol</w:t>
            </w:r>
            <w:r w:rsidRPr="00640597">
              <w:rPr>
                <w:sz w:val="22"/>
                <w:szCs w:val="22"/>
                <w:lang w:val="lt-LT"/>
              </w:rPr>
              <w:t>esterolio koncentraciją</w:t>
            </w:r>
          </w:p>
        </w:tc>
      </w:tr>
      <w:tr w:rsidR="00106F96" w:rsidRPr="00832FC3" w14:paraId="7C42A4FF" w14:textId="77777777" w:rsidTr="00640597">
        <w:tc>
          <w:tcPr>
            <w:tcW w:w="4927" w:type="dxa"/>
            <w:shd w:val="clear" w:color="auto" w:fill="auto"/>
          </w:tcPr>
          <w:p w14:paraId="06A3C051" w14:textId="77777777" w:rsidR="00106F96" w:rsidRPr="00640597" w:rsidRDefault="00106F96" w:rsidP="00106F96">
            <w:pPr>
              <w:rPr>
                <w:i/>
                <w:sz w:val="22"/>
                <w:szCs w:val="22"/>
                <w:lang w:val="lt-LT"/>
              </w:rPr>
            </w:pPr>
            <w:r w:rsidRPr="00640597">
              <w:rPr>
                <w:i/>
                <w:sz w:val="22"/>
                <w:szCs w:val="22"/>
                <w:lang w:val="lt-LT"/>
              </w:rPr>
              <w:t>Rifampicinas</w:t>
            </w:r>
          </w:p>
        </w:tc>
        <w:tc>
          <w:tcPr>
            <w:tcW w:w="4927" w:type="dxa"/>
            <w:shd w:val="clear" w:color="auto" w:fill="auto"/>
          </w:tcPr>
          <w:p w14:paraId="53158957" w14:textId="77777777" w:rsidR="00106F96" w:rsidRPr="00640597" w:rsidRDefault="00292CC3" w:rsidP="00106F96">
            <w:pPr>
              <w:rPr>
                <w:sz w:val="22"/>
                <w:szCs w:val="22"/>
                <w:lang w:val="lt-LT"/>
              </w:rPr>
            </w:pPr>
            <w:r w:rsidRPr="00640597">
              <w:rPr>
                <w:sz w:val="22"/>
                <w:szCs w:val="22"/>
                <w:lang w:val="lt-LT"/>
              </w:rPr>
              <w:t>g</w:t>
            </w:r>
            <w:r w:rsidR="00106F96" w:rsidRPr="00640597">
              <w:rPr>
                <w:sz w:val="22"/>
                <w:szCs w:val="22"/>
                <w:lang w:val="lt-LT"/>
              </w:rPr>
              <w:t>ydomos kai kurios infek</w:t>
            </w:r>
            <w:r w:rsidRPr="00640597">
              <w:rPr>
                <w:sz w:val="22"/>
                <w:szCs w:val="22"/>
                <w:lang w:val="lt-LT"/>
              </w:rPr>
              <w:t>cijos, pavyzdžiui, tuberkuliozė</w:t>
            </w:r>
          </w:p>
        </w:tc>
      </w:tr>
      <w:tr w:rsidR="00106F96" w:rsidRPr="00832FC3" w14:paraId="6D532C7F" w14:textId="77777777" w:rsidTr="00640597">
        <w:tc>
          <w:tcPr>
            <w:tcW w:w="4927" w:type="dxa"/>
            <w:shd w:val="clear" w:color="auto" w:fill="auto"/>
          </w:tcPr>
          <w:p w14:paraId="23C0B509" w14:textId="77777777" w:rsidR="00106F96" w:rsidRPr="00640597" w:rsidRDefault="00106F96" w:rsidP="00106F96">
            <w:pPr>
              <w:rPr>
                <w:i/>
                <w:sz w:val="22"/>
                <w:szCs w:val="22"/>
                <w:lang w:val="lt-LT"/>
              </w:rPr>
            </w:pPr>
            <w:r w:rsidRPr="00640597">
              <w:rPr>
                <w:i/>
                <w:sz w:val="22"/>
                <w:szCs w:val="22"/>
                <w:lang w:val="lt-LT"/>
              </w:rPr>
              <w:t>Lopinaviro/ritonaviro derinys</w:t>
            </w:r>
          </w:p>
        </w:tc>
        <w:tc>
          <w:tcPr>
            <w:tcW w:w="4927" w:type="dxa"/>
            <w:shd w:val="clear" w:color="auto" w:fill="auto"/>
          </w:tcPr>
          <w:p w14:paraId="32EDF16A" w14:textId="77777777" w:rsidR="00106F96" w:rsidRPr="00640597" w:rsidRDefault="00292CC3" w:rsidP="00106F96">
            <w:pPr>
              <w:rPr>
                <w:sz w:val="22"/>
                <w:szCs w:val="22"/>
                <w:lang w:val="lt-LT"/>
              </w:rPr>
            </w:pPr>
            <w:r w:rsidRPr="00640597">
              <w:rPr>
                <w:sz w:val="22"/>
                <w:szCs w:val="22"/>
                <w:lang w:val="lt-LT"/>
              </w:rPr>
              <w:t>š</w:t>
            </w:r>
            <w:r w:rsidR="00106F96" w:rsidRPr="00640597">
              <w:rPr>
                <w:sz w:val="22"/>
                <w:szCs w:val="22"/>
                <w:lang w:val="lt-LT"/>
              </w:rPr>
              <w:t xml:space="preserve">is vaistas nuo ŽIV priklauso tai pačiai vaistų grupei, kaip </w:t>
            </w:r>
            <w:r w:rsidR="00106F96" w:rsidRPr="00640597">
              <w:rPr>
                <w:rFonts w:eastAsia="Times New Roman"/>
                <w:sz w:val="22"/>
                <w:lang w:val="lt-LT" w:eastAsia="lt-LT" w:bidi="lt-LT"/>
              </w:rPr>
              <w:t>Darunavir Teva</w:t>
            </w:r>
          </w:p>
        </w:tc>
      </w:tr>
      <w:tr w:rsidR="00106F96" w:rsidRPr="00832FC3" w14:paraId="34B47425" w14:textId="77777777" w:rsidTr="00640597">
        <w:tc>
          <w:tcPr>
            <w:tcW w:w="4927" w:type="dxa"/>
            <w:shd w:val="clear" w:color="auto" w:fill="auto"/>
          </w:tcPr>
          <w:p w14:paraId="2ADEFECC" w14:textId="77777777" w:rsidR="00106F96" w:rsidRPr="00640597" w:rsidRDefault="00106F96" w:rsidP="00106F96">
            <w:pPr>
              <w:rPr>
                <w:i/>
                <w:sz w:val="22"/>
                <w:szCs w:val="22"/>
                <w:lang w:val="lt-LT"/>
              </w:rPr>
            </w:pPr>
            <w:r w:rsidRPr="00640597">
              <w:rPr>
                <w:i/>
                <w:sz w:val="22"/>
                <w:szCs w:val="22"/>
                <w:lang w:val="lt-LT"/>
              </w:rPr>
              <w:t>Alfuzozinas</w:t>
            </w:r>
          </w:p>
        </w:tc>
        <w:tc>
          <w:tcPr>
            <w:tcW w:w="4927" w:type="dxa"/>
            <w:shd w:val="clear" w:color="auto" w:fill="auto"/>
          </w:tcPr>
          <w:p w14:paraId="47E198EC" w14:textId="77777777" w:rsidR="00106F96" w:rsidRPr="00640597" w:rsidRDefault="00292CC3" w:rsidP="00106F96">
            <w:pPr>
              <w:rPr>
                <w:sz w:val="22"/>
                <w:szCs w:val="22"/>
                <w:lang w:val="lt-LT"/>
              </w:rPr>
            </w:pPr>
            <w:r w:rsidRPr="00640597">
              <w:rPr>
                <w:sz w:val="22"/>
                <w:szCs w:val="22"/>
                <w:lang w:val="lt-LT"/>
              </w:rPr>
              <w:t>g</w:t>
            </w:r>
            <w:r w:rsidR="00106F96" w:rsidRPr="00640597">
              <w:rPr>
                <w:sz w:val="22"/>
                <w:szCs w:val="22"/>
                <w:lang w:val="lt-LT"/>
              </w:rPr>
              <w:t>ydoma</w:t>
            </w:r>
            <w:r w:rsidRPr="00640597">
              <w:rPr>
                <w:sz w:val="22"/>
                <w:szCs w:val="22"/>
                <w:lang w:val="lt-LT"/>
              </w:rPr>
              <w:t>s priešinės liaukos padidėjimas</w:t>
            </w:r>
          </w:p>
        </w:tc>
      </w:tr>
      <w:tr w:rsidR="00106F96" w:rsidRPr="00832FC3" w14:paraId="78365DD6" w14:textId="77777777" w:rsidTr="00640597">
        <w:tc>
          <w:tcPr>
            <w:tcW w:w="4927" w:type="dxa"/>
            <w:shd w:val="clear" w:color="auto" w:fill="auto"/>
          </w:tcPr>
          <w:p w14:paraId="09D88430" w14:textId="77777777" w:rsidR="00106F96" w:rsidRPr="00640597" w:rsidRDefault="00106F96" w:rsidP="00106F96">
            <w:pPr>
              <w:rPr>
                <w:i/>
                <w:sz w:val="22"/>
                <w:szCs w:val="22"/>
                <w:lang w:val="lt-LT"/>
              </w:rPr>
            </w:pPr>
            <w:r w:rsidRPr="00640597">
              <w:rPr>
                <w:i/>
                <w:sz w:val="22"/>
                <w:szCs w:val="22"/>
                <w:lang w:val="lt-LT"/>
              </w:rPr>
              <w:t>Sildenafilis</w:t>
            </w:r>
          </w:p>
        </w:tc>
        <w:tc>
          <w:tcPr>
            <w:tcW w:w="4927" w:type="dxa"/>
            <w:shd w:val="clear" w:color="auto" w:fill="auto"/>
          </w:tcPr>
          <w:p w14:paraId="5253E99F" w14:textId="77777777" w:rsidR="00106F96" w:rsidRPr="00640597" w:rsidRDefault="00292CC3" w:rsidP="00106F96">
            <w:pPr>
              <w:rPr>
                <w:sz w:val="22"/>
                <w:szCs w:val="22"/>
                <w:lang w:val="lt-LT"/>
              </w:rPr>
            </w:pPr>
            <w:r w:rsidRPr="00640597">
              <w:rPr>
                <w:sz w:val="22"/>
                <w:szCs w:val="22"/>
                <w:lang w:val="lt-LT"/>
              </w:rPr>
              <w:t>p</w:t>
            </w:r>
            <w:r w:rsidR="00106F96" w:rsidRPr="00640597">
              <w:rPr>
                <w:sz w:val="22"/>
                <w:szCs w:val="22"/>
                <w:lang w:val="lt-LT"/>
              </w:rPr>
              <w:t>adidėjusiam kraujospūdžiui plaučių kraujagyslėse gydyti</w:t>
            </w:r>
          </w:p>
        </w:tc>
      </w:tr>
      <w:tr w:rsidR="00106F96" w:rsidRPr="00832FC3" w14:paraId="5B6A2706" w14:textId="77777777" w:rsidTr="00640597">
        <w:tc>
          <w:tcPr>
            <w:tcW w:w="4927" w:type="dxa"/>
            <w:shd w:val="clear" w:color="auto" w:fill="auto"/>
          </w:tcPr>
          <w:p w14:paraId="58BADC38" w14:textId="77777777" w:rsidR="00106F96" w:rsidRPr="00640597" w:rsidRDefault="00106F96" w:rsidP="00106F96">
            <w:pPr>
              <w:rPr>
                <w:i/>
                <w:sz w:val="22"/>
                <w:szCs w:val="22"/>
                <w:lang w:val="lt-LT"/>
              </w:rPr>
            </w:pPr>
            <w:r w:rsidRPr="00640597">
              <w:rPr>
                <w:i/>
                <w:sz w:val="22"/>
                <w:szCs w:val="22"/>
                <w:lang w:val="lt-LT"/>
              </w:rPr>
              <w:t>Tikagreloras</w:t>
            </w:r>
          </w:p>
        </w:tc>
        <w:tc>
          <w:tcPr>
            <w:tcW w:w="4927" w:type="dxa"/>
            <w:shd w:val="clear" w:color="auto" w:fill="auto"/>
          </w:tcPr>
          <w:p w14:paraId="139F2564" w14:textId="77777777" w:rsidR="00106F96" w:rsidRPr="00640597" w:rsidRDefault="00292CC3" w:rsidP="00106F96">
            <w:pPr>
              <w:rPr>
                <w:sz w:val="22"/>
                <w:szCs w:val="22"/>
                <w:lang w:val="lt-LT"/>
              </w:rPr>
            </w:pPr>
            <w:r w:rsidRPr="00640597">
              <w:rPr>
                <w:sz w:val="22"/>
                <w:szCs w:val="22"/>
                <w:lang w:val="lt-LT"/>
              </w:rPr>
              <w:t>p</w:t>
            </w:r>
            <w:r w:rsidR="00106F96" w:rsidRPr="00640597">
              <w:rPr>
                <w:sz w:val="22"/>
                <w:szCs w:val="22"/>
                <w:lang w:val="lt-LT"/>
              </w:rPr>
              <w:t>adeda sumažinti trombocitų sukibimą, gydant pacientus, kuriems yra buvęs širdies priepuolis</w:t>
            </w:r>
          </w:p>
        </w:tc>
      </w:tr>
    </w:tbl>
    <w:p w14:paraId="1267E5C7" w14:textId="77777777" w:rsidR="00106F96" w:rsidRPr="00832FC3" w:rsidRDefault="00106F96" w:rsidP="00106F96">
      <w:pPr>
        <w:rPr>
          <w:lang w:val="lt-LT"/>
        </w:rPr>
      </w:pPr>
    </w:p>
    <w:p w14:paraId="36E6B98B" w14:textId="77777777" w:rsidR="00106F96" w:rsidRPr="00832FC3" w:rsidRDefault="00106F96" w:rsidP="00106F96">
      <w:pPr>
        <w:rPr>
          <w:sz w:val="22"/>
          <w:szCs w:val="22"/>
          <w:lang w:val="lt-LT"/>
        </w:rPr>
      </w:pPr>
      <w:r w:rsidRPr="00832FC3">
        <w:rPr>
          <w:sz w:val="22"/>
          <w:szCs w:val="22"/>
          <w:lang w:val="lt-LT"/>
        </w:rPr>
        <w:t xml:space="preserve">Nevartokite </w:t>
      </w:r>
      <w:r w:rsidRPr="00832FC3">
        <w:rPr>
          <w:rFonts w:eastAsia="Times New Roman"/>
          <w:sz w:val="22"/>
          <w:lang w:val="lt-LT" w:eastAsia="lt-LT" w:bidi="lt-LT"/>
        </w:rPr>
        <w:t xml:space="preserve">Darunavir Teva </w:t>
      </w:r>
      <w:r w:rsidRPr="00832FC3">
        <w:rPr>
          <w:sz w:val="22"/>
          <w:szCs w:val="22"/>
          <w:lang w:val="lt-LT"/>
        </w:rPr>
        <w:t>kartu su vaistais, kurių sudėtyje yra jonažolių (</w:t>
      </w:r>
      <w:r w:rsidRPr="00832FC3">
        <w:rPr>
          <w:i/>
          <w:sz w:val="22"/>
          <w:szCs w:val="22"/>
          <w:lang w:val="lt-LT"/>
        </w:rPr>
        <w:t>Hypericum perforatum</w:t>
      </w:r>
      <w:r w:rsidRPr="00832FC3">
        <w:rPr>
          <w:sz w:val="22"/>
          <w:szCs w:val="22"/>
          <w:lang w:val="lt-LT"/>
        </w:rPr>
        <w:t>).</w:t>
      </w:r>
    </w:p>
    <w:p w14:paraId="4C68D074" w14:textId="77777777" w:rsidR="00106F96" w:rsidRPr="00832FC3" w:rsidRDefault="00106F96" w:rsidP="00106F96">
      <w:pPr>
        <w:rPr>
          <w:sz w:val="22"/>
          <w:szCs w:val="22"/>
          <w:lang w:val="lt-LT"/>
        </w:rPr>
      </w:pPr>
    </w:p>
    <w:p w14:paraId="6C11CC80" w14:textId="77777777" w:rsidR="00106F96" w:rsidRPr="00832FC3" w:rsidRDefault="00106F96" w:rsidP="00106F96">
      <w:pPr>
        <w:rPr>
          <w:b/>
          <w:sz w:val="22"/>
          <w:szCs w:val="22"/>
          <w:lang w:val="lt-LT"/>
        </w:rPr>
      </w:pPr>
      <w:r w:rsidRPr="00832FC3">
        <w:rPr>
          <w:b/>
          <w:sz w:val="22"/>
          <w:szCs w:val="22"/>
          <w:lang w:val="lt-LT"/>
        </w:rPr>
        <w:t>Įspėjimai ir atsargumo priemonės</w:t>
      </w:r>
    </w:p>
    <w:p w14:paraId="01DF4CF4" w14:textId="77777777" w:rsidR="00106F96" w:rsidRPr="00832FC3" w:rsidRDefault="00106F96" w:rsidP="00106F96">
      <w:pPr>
        <w:rPr>
          <w:sz w:val="22"/>
          <w:szCs w:val="22"/>
          <w:lang w:val="lt-LT"/>
        </w:rPr>
      </w:pPr>
      <w:r w:rsidRPr="00832FC3">
        <w:rPr>
          <w:sz w:val="22"/>
          <w:szCs w:val="22"/>
          <w:lang w:val="lt-LT"/>
        </w:rPr>
        <w:t xml:space="preserve">Pasitarkite su gydytoju, vaistininku arba slaugytoja, prieš pradėdami vartoti </w:t>
      </w:r>
      <w:r w:rsidRPr="00832FC3">
        <w:rPr>
          <w:rFonts w:eastAsia="Times New Roman"/>
          <w:sz w:val="22"/>
          <w:lang w:val="lt-LT" w:eastAsia="lt-LT" w:bidi="lt-LT"/>
        </w:rPr>
        <w:t>Darunavir Teva</w:t>
      </w:r>
      <w:r w:rsidRPr="00832FC3">
        <w:rPr>
          <w:sz w:val="22"/>
          <w:szCs w:val="22"/>
          <w:lang w:val="lt-LT"/>
        </w:rPr>
        <w:t>.</w:t>
      </w:r>
    </w:p>
    <w:p w14:paraId="6E97E941" w14:textId="77777777" w:rsidR="00106F96" w:rsidRPr="00832FC3" w:rsidRDefault="00106F96" w:rsidP="00106F96">
      <w:pPr>
        <w:rPr>
          <w:sz w:val="22"/>
          <w:szCs w:val="22"/>
          <w:lang w:val="lt-LT"/>
        </w:rPr>
      </w:pPr>
      <w:r w:rsidRPr="00832FC3">
        <w:rPr>
          <w:rFonts w:eastAsia="Times New Roman"/>
          <w:sz w:val="22"/>
          <w:lang w:val="lt-LT" w:eastAsia="lt-LT" w:bidi="lt-LT"/>
        </w:rPr>
        <w:t xml:space="preserve">Darunavir Teva </w:t>
      </w:r>
      <w:r w:rsidRPr="00832FC3">
        <w:rPr>
          <w:sz w:val="22"/>
          <w:szCs w:val="22"/>
          <w:lang w:val="lt-LT"/>
        </w:rPr>
        <w:t>neišgydo ŽIV infekcijos. Vartodami šį vaistą, Jūs vis dar galite užkrėsti ŽIV kitus žmones, nors rizika dėl efektyvaus antiretrovirusinio gydymo yra sumažėjusi. Pasitarkite su gydytoju dėl atsargumo priemonių, kad neužkrėstumėte kitų žmonių.</w:t>
      </w:r>
    </w:p>
    <w:p w14:paraId="54DC60CB" w14:textId="77777777" w:rsidR="00106F96" w:rsidRPr="00832FC3" w:rsidRDefault="00106F96" w:rsidP="00106F96">
      <w:pPr>
        <w:rPr>
          <w:sz w:val="22"/>
          <w:szCs w:val="22"/>
          <w:lang w:val="lt-LT"/>
        </w:rPr>
      </w:pPr>
    </w:p>
    <w:p w14:paraId="257A382B" w14:textId="77777777" w:rsidR="00106F96" w:rsidRPr="00832FC3" w:rsidRDefault="00106F96" w:rsidP="00106F96">
      <w:pPr>
        <w:rPr>
          <w:sz w:val="22"/>
          <w:szCs w:val="22"/>
          <w:lang w:val="lt-LT"/>
        </w:rPr>
      </w:pPr>
      <w:r w:rsidRPr="00832FC3">
        <w:rPr>
          <w:sz w:val="22"/>
          <w:szCs w:val="22"/>
          <w:lang w:val="lt-LT"/>
        </w:rPr>
        <w:t xml:space="preserve">Asmenys, vartojantys </w:t>
      </w:r>
      <w:r w:rsidRPr="00832FC3">
        <w:rPr>
          <w:rFonts w:eastAsia="Times New Roman"/>
          <w:sz w:val="22"/>
          <w:lang w:val="lt-LT" w:eastAsia="lt-LT" w:bidi="lt-LT"/>
        </w:rPr>
        <w:t>Darunavir Teva</w:t>
      </w:r>
      <w:r w:rsidRPr="00832FC3">
        <w:rPr>
          <w:sz w:val="22"/>
          <w:szCs w:val="22"/>
          <w:lang w:val="lt-LT"/>
        </w:rPr>
        <w:t>, vis tiek gali susirgti kitomis infekcijomis ar kitomis ligomis, susijusiomis su ŽIV infekcija. Būtina palaikyti pastovų ryšį su savo gydytoju.</w:t>
      </w:r>
    </w:p>
    <w:p w14:paraId="5CC99D17" w14:textId="77777777" w:rsidR="00106F96" w:rsidRPr="00832FC3" w:rsidRDefault="00106F96" w:rsidP="00106F96">
      <w:pPr>
        <w:rPr>
          <w:sz w:val="22"/>
          <w:szCs w:val="22"/>
          <w:lang w:val="lt-LT"/>
        </w:rPr>
      </w:pPr>
    </w:p>
    <w:p w14:paraId="3D9C6288" w14:textId="77777777" w:rsidR="00106F96" w:rsidRPr="00832FC3" w:rsidRDefault="00106F96" w:rsidP="00106F96">
      <w:pPr>
        <w:rPr>
          <w:sz w:val="22"/>
          <w:szCs w:val="22"/>
          <w:lang w:val="lt-LT"/>
        </w:rPr>
      </w:pPr>
      <w:r w:rsidRPr="00832FC3">
        <w:rPr>
          <w:rFonts w:eastAsia="Times New Roman"/>
          <w:sz w:val="22"/>
          <w:lang w:val="lt-LT" w:eastAsia="lt-LT" w:bidi="lt-LT"/>
        </w:rPr>
        <w:t>Darunavir Teva</w:t>
      </w:r>
      <w:r w:rsidRPr="00832FC3">
        <w:rPr>
          <w:sz w:val="22"/>
          <w:szCs w:val="22"/>
          <w:lang w:val="lt-LT"/>
        </w:rPr>
        <w:t xml:space="preserve"> vartojantiems žmonėms gali pasireikšti odos išbėrimas. Nedažnais atvejais išbėrimas gali būti sunkus arba kelti pavojų gyvybei. Jeigu atsirado odos išbėrimas, kreipkitės į gydytoją.</w:t>
      </w:r>
    </w:p>
    <w:p w14:paraId="337CD9D1" w14:textId="77777777" w:rsidR="00106F96" w:rsidRPr="00832FC3" w:rsidRDefault="00106F96" w:rsidP="00106F96">
      <w:pPr>
        <w:rPr>
          <w:sz w:val="22"/>
          <w:szCs w:val="22"/>
          <w:lang w:val="lt-LT"/>
        </w:rPr>
      </w:pPr>
    </w:p>
    <w:p w14:paraId="57BCFBAB" w14:textId="77777777" w:rsidR="00106F96" w:rsidRPr="00832FC3" w:rsidRDefault="00106F96" w:rsidP="00106F96">
      <w:pPr>
        <w:rPr>
          <w:sz w:val="22"/>
          <w:szCs w:val="22"/>
          <w:lang w:val="lt-LT"/>
        </w:rPr>
      </w:pPr>
      <w:r w:rsidRPr="00832FC3">
        <w:rPr>
          <w:rFonts w:eastAsia="Times New Roman"/>
          <w:sz w:val="22"/>
          <w:szCs w:val="22"/>
          <w:lang w:val="lt-LT" w:eastAsia="lt-LT" w:bidi="lt-LT"/>
        </w:rPr>
        <w:t>Darunavir Teva</w:t>
      </w:r>
      <w:r w:rsidRPr="00832FC3">
        <w:rPr>
          <w:sz w:val="22"/>
          <w:szCs w:val="22"/>
          <w:lang w:val="lt-LT"/>
        </w:rPr>
        <w:t xml:space="preserve"> ir raltegravirą (ŽIV infekcijai gydyti) kartu vartojantiems žmonėms išbėrimas (dažniausiai lengvas ar vidutinio sunkumo) gali pasireikšti dažniau nei kiekvieną iš šių vaistų atskirai vartojantiems žmonėms.</w:t>
      </w:r>
    </w:p>
    <w:p w14:paraId="080FB9AC" w14:textId="77777777" w:rsidR="00106F96" w:rsidRPr="00832FC3" w:rsidRDefault="00106F96" w:rsidP="00106F96">
      <w:pPr>
        <w:rPr>
          <w:sz w:val="22"/>
          <w:szCs w:val="22"/>
          <w:lang w:val="lt-LT"/>
        </w:rPr>
      </w:pPr>
    </w:p>
    <w:p w14:paraId="5E52BA33" w14:textId="77777777" w:rsidR="00106F96" w:rsidRPr="00832FC3" w:rsidRDefault="00106F96" w:rsidP="00106F96">
      <w:pPr>
        <w:rPr>
          <w:sz w:val="22"/>
          <w:szCs w:val="22"/>
          <w:lang w:val="lt-LT"/>
        </w:rPr>
      </w:pPr>
      <w:r w:rsidRPr="00832FC3">
        <w:rPr>
          <w:rFonts w:eastAsia="Times New Roman"/>
          <w:sz w:val="22"/>
          <w:lang w:val="lt-LT" w:eastAsia="lt-LT" w:bidi="lt-LT"/>
        </w:rPr>
        <w:t>Darunavir Teva</w:t>
      </w:r>
      <w:r w:rsidRPr="00832FC3">
        <w:rPr>
          <w:sz w:val="22"/>
          <w:szCs w:val="22"/>
          <w:lang w:val="lt-LT"/>
        </w:rPr>
        <w:t xml:space="preserve"> vartojo nedaug 65 metų ir vyresnių žmonių. Jeigu Jūs priklausote šiai amžiaus grupei, pasitarkite su savo gydytoju, ar galite vartoti </w:t>
      </w:r>
      <w:r w:rsidRPr="00832FC3">
        <w:rPr>
          <w:rFonts w:eastAsia="Times New Roman"/>
          <w:sz w:val="22"/>
          <w:lang w:val="lt-LT" w:eastAsia="lt-LT" w:bidi="lt-LT"/>
        </w:rPr>
        <w:t>Darunavir Teva</w:t>
      </w:r>
      <w:r w:rsidRPr="00832FC3">
        <w:rPr>
          <w:sz w:val="22"/>
          <w:szCs w:val="22"/>
          <w:lang w:val="lt-LT"/>
        </w:rPr>
        <w:t>.</w:t>
      </w:r>
    </w:p>
    <w:p w14:paraId="26BE11A4" w14:textId="77777777" w:rsidR="00106F96" w:rsidRPr="00832FC3" w:rsidRDefault="00106F96" w:rsidP="00106F96">
      <w:pPr>
        <w:rPr>
          <w:sz w:val="22"/>
          <w:szCs w:val="22"/>
          <w:lang w:val="lt-LT"/>
        </w:rPr>
      </w:pPr>
    </w:p>
    <w:p w14:paraId="64B7959F" w14:textId="77777777" w:rsidR="00106F96" w:rsidRPr="00832FC3" w:rsidRDefault="00106F96" w:rsidP="00106F96">
      <w:pPr>
        <w:rPr>
          <w:b/>
          <w:sz w:val="22"/>
          <w:szCs w:val="22"/>
          <w:lang w:val="lt-LT"/>
        </w:rPr>
      </w:pPr>
      <w:r w:rsidRPr="00832FC3">
        <w:rPr>
          <w:b/>
          <w:sz w:val="22"/>
          <w:szCs w:val="22"/>
          <w:lang w:val="lt-LT"/>
        </w:rPr>
        <w:t>Pasakykite gydytojui apie savo būklę PRIEŠ pradedant gydymą ir GYDYMO METU</w:t>
      </w:r>
    </w:p>
    <w:p w14:paraId="71F3D4D1" w14:textId="77777777" w:rsidR="00106F96" w:rsidRPr="00832FC3" w:rsidRDefault="00106F96" w:rsidP="00106F96">
      <w:pPr>
        <w:rPr>
          <w:sz w:val="22"/>
          <w:szCs w:val="22"/>
          <w:lang w:val="lt-LT"/>
        </w:rPr>
      </w:pPr>
      <w:r w:rsidRPr="00832FC3">
        <w:rPr>
          <w:sz w:val="22"/>
          <w:szCs w:val="22"/>
          <w:lang w:val="lt-LT"/>
        </w:rPr>
        <w:t>Atkreipkite dėmesį į šiuos dalykus ir pasakykite gydytojui, ar Jūsų būklė su jais susijusi.</w:t>
      </w:r>
    </w:p>
    <w:p w14:paraId="323850E2"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 xml:space="preserve">Pasakykite gydytojui, jeigu sergate ar esate sirgęs </w:t>
      </w:r>
      <w:r w:rsidRPr="00832FC3">
        <w:rPr>
          <w:b/>
          <w:sz w:val="22"/>
          <w:szCs w:val="22"/>
          <w:lang w:val="lt-LT"/>
        </w:rPr>
        <w:t>kepenų ligomis</w:t>
      </w:r>
      <w:r w:rsidRPr="00832FC3">
        <w:rPr>
          <w:sz w:val="22"/>
          <w:szCs w:val="22"/>
          <w:lang w:val="lt-LT"/>
        </w:rPr>
        <w:t xml:space="preserve">, įskaitant hepatitą B ar C. Prieš spręsdamas, ar galite vartoti </w:t>
      </w:r>
      <w:r w:rsidRPr="00832FC3">
        <w:rPr>
          <w:rFonts w:eastAsia="Times New Roman"/>
          <w:sz w:val="22"/>
          <w:lang w:val="lt-LT" w:eastAsia="lt-LT" w:bidi="lt-LT"/>
        </w:rPr>
        <w:t>Darunavir Teva</w:t>
      </w:r>
      <w:r w:rsidRPr="00832FC3">
        <w:rPr>
          <w:sz w:val="22"/>
          <w:szCs w:val="22"/>
          <w:lang w:val="lt-LT"/>
        </w:rPr>
        <w:t>, gydytojas įvertins Jūsų kepenų ligos sunkumą.</w:t>
      </w:r>
    </w:p>
    <w:p w14:paraId="3583CACA"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 xml:space="preserve">Pasakykite gydytojui, jei sergate </w:t>
      </w:r>
      <w:r w:rsidRPr="00832FC3">
        <w:rPr>
          <w:b/>
          <w:sz w:val="22"/>
          <w:szCs w:val="22"/>
          <w:lang w:val="lt-LT"/>
        </w:rPr>
        <w:t>cukriniu diabetu</w:t>
      </w:r>
      <w:r w:rsidRPr="00832FC3">
        <w:rPr>
          <w:sz w:val="22"/>
          <w:szCs w:val="22"/>
          <w:lang w:val="lt-LT"/>
        </w:rPr>
        <w:t xml:space="preserve">. </w:t>
      </w:r>
      <w:r w:rsidRPr="00832FC3">
        <w:rPr>
          <w:rFonts w:eastAsia="Times New Roman"/>
          <w:sz w:val="22"/>
          <w:lang w:val="lt-LT" w:eastAsia="lt-LT" w:bidi="lt-LT"/>
        </w:rPr>
        <w:t xml:space="preserve">Darunavir Teva </w:t>
      </w:r>
      <w:r w:rsidRPr="00832FC3">
        <w:rPr>
          <w:sz w:val="22"/>
          <w:szCs w:val="22"/>
          <w:lang w:val="lt-LT"/>
        </w:rPr>
        <w:t>gali didinti cukraus koncentraciją kraujyje.</w:t>
      </w:r>
    </w:p>
    <w:p w14:paraId="1C077550"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 xml:space="preserve">Nedelsdami pasakykite gydytojui, pastebėję bet kokius </w:t>
      </w:r>
      <w:r w:rsidRPr="00832FC3">
        <w:rPr>
          <w:b/>
          <w:sz w:val="22"/>
          <w:szCs w:val="22"/>
          <w:lang w:val="lt-LT"/>
        </w:rPr>
        <w:t>infekcijos simptomus</w:t>
      </w:r>
      <w:r w:rsidRPr="00832FC3">
        <w:rPr>
          <w:sz w:val="22"/>
          <w:szCs w:val="22"/>
          <w:lang w:val="lt-LT"/>
        </w:rPr>
        <w:t xml:space="preserve"> (pavyzdžiui, limfmazgių padidėjimas ir karščiavimas). Kartais netrukus po to, kai pradedama gydyti nuo įsisenėjusios ŽIV infekcijos ir kitų sukėlėjų sukeltų infekcijų, gali atsirasti uždegimo požymių ir simptomų dėl anksčiau buvusios infekcijos. Manoma, kad šie simptomai atsiranda dėl pagerėjusio organizmo imuninio atsako, įgalinančio organizmą kovoti su infekcija, kuri galėjo nepasireikšti jokiais aiškiais simptomais.</w:t>
      </w:r>
    </w:p>
    <w:p w14:paraId="652C2DF1"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Pradėjus vartoti vaistų ŽIV sukeltai infekcinei ligai gydyti, be oportunistinių infekcijų, Jums gali atsirasti ir autoimuninių sutrikimų (tai būklės, kurios pasireiškia imuninei sistemai atakuojant sveikus kūno audinius). Autoimuniniai sutrikimai gali pasireikšti po daugelio mėnesių nuo gydymo pradžios. Jeigu pastebite bet kokius infekcijos simptomus ar kitokius simptomus, pvz., raumenų silpnumą, silpnumą, prasidedantį nuo plaštakų ar pėdų ir plintantį į liemenį, palpitaciją (dažną juntamą širdies plakimą), drebulį arba padidėjusį aktyvumą, nedelsdami kreipkitės į savo gydytoją dėl būtino gydymo.</w:t>
      </w:r>
    </w:p>
    <w:p w14:paraId="6AEB5303"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 xml:space="preserve">Pasakykite gydytojui, jei sergate </w:t>
      </w:r>
      <w:r w:rsidRPr="00832FC3">
        <w:rPr>
          <w:b/>
          <w:sz w:val="22"/>
          <w:szCs w:val="22"/>
          <w:lang w:val="lt-LT"/>
        </w:rPr>
        <w:t>hemofilija</w:t>
      </w:r>
      <w:r w:rsidRPr="00832FC3">
        <w:rPr>
          <w:sz w:val="22"/>
          <w:szCs w:val="22"/>
          <w:lang w:val="lt-LT"/>
        </w:rPr>
        <w:t xml:space="preserve">. </w:t>
      </w:r>
      <w:r w:rsidRPr="00832FC3">
        <w:rPr>
          <w:rFonts w:eastAsia="Times New Roman"/>
          <w:sz w:val="22"/>
          <w:lang w:val="lt-LT" w:eastAsia="lt-LT" w:bidi="lt-LT"/>
        </w:rPr>
        <w:t xml:space="preserve">Darunavir Teva </w:t>
      </w:r>
      <w:r w:rsidRPr="00832FC3">
        <w:rPr>
          <w:sz w:val="22"/>
          <w:szCs w:val="22"/>
          <w:lang w:val="lt-LT"/>
        </w:rPr>
        <w:t>gali padidinti kraujavimo pavojų.</w:t>
      </w:r>
    </w:p>
    <w:p w14:paraId="60DC7979"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 xml:space="preserve">Pasakykite gydytojui, jeigu esate </w:t>
      </w:r>
      <w:r w:rsidRPr="00832FC3">
        <w:rPr>
          <w:b/>
          <w:sz w:val="22"/>
          <w:szCs w:val="22"/>
          <w:lang w:val="lt-LT"/>
        </w:rPr>
        <w:t>alergiškas sulfonamidams</w:t>
      </w:r>
      <w:r w:rsidRPr="00832FC3">
        <w:rPr>
          <w:sz w:val="22"/>
          <w:szCs w:val="22"/>
          <w:lang w:val="lt-LT"/>
        </w:rPr>
        <w:t xml:space="preserve"> (vaistams tam tikroms infekcijoms gydyti).</w:t>
      </w:r>
    </w:p>
    <w:p w14:paraId="052CF9A4"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 xml:space="preserve">Pasakykite gydytojui, jeigu Jums atsiranda bet kokie </w:t>
      </w:r>
      <w:r w:rsidRPr="00832FC3">
        <w:rPr>
          <w:b/>
          <w:sz w:val="22"/>
          <w:szCs w:val="22"/>
          <w:lang w:val="lt-LT"/>
        </w:rPr>
        <w:t>kaulų ir raumenų pažeidimo</w:t>
      </w:r>
      <w:r w:rsidRPr="00832FC3">
        <w:rPr>
          <w:sz w:val="22"/>
          <w:szCs w:val="22"/>
          <w:lang w:val="lt-LT"/>
        </w:rPr>
        <w:t xml:space="preserve"> simptomai. Kai kuriems gydomiems antiretrovirusinių vaistų deriniu pacientams gali išsivystyti kaulų liga, kuri vadinama osteonekroze (kaulinio audinio žuvimas dėl sutrikusio aprūpinimo krauju). Gydymo antiretrovirusinių vaistų deriniu trukmė, kortikosteroidų vartojimas, alkoholio vartojimas, sunkus imuninės sistemos slopinimas, didesnis kūno masės indeksas kartu su kitais yra rizikos faktoriai tokiai ligai išsivystyti. Osteonekrozės požymiai yra sąnarių sustingimas, skausmas (ypač klubo, kelio ir peties sąnariuose) ir pasunkėję judesiai. Atsiradus bet kuriam iš šių simptomų, praneškite savo gydytojui.</w:t>
      </w:r>
    </w:p>
    <w:p w14:paraId="2971C486" w14:textId="77777777" w:rsidR="00106F96" w:rsidRPr="00832FC3" w:rsidRDefault="00106F96" w:rsidP="00106F96">
      <w:pPr>
        <w:rPr>
          <w:sz w:val="22"/>
          <w:szCs w:val="22"/>
          <w:lang w:val="lt-LT"/>
        </w:rPr>
      </w:pPr>
    </w:p>
    <w:p w14:paraId="0C8D0826" w14:textId="77777777" w:rsidR="00106F96" w:rsidRPr="00832FC3" w:rsidRDefault="00106F96" w:rsidP="00106F96">
      <w:pPr>
        <w:rPr>
          <w:b/>
          <w:sz w:val="22"/>
          <w:szCs w:val="22"/>
          <w:lang w:val="lt-LT"/>
        </w:rPr>
      </w:pPr>
      <w:r w:rsidRPr="00832FC3">
        <w:rPr>
          <w:b/>
          <w:sz w:val="22"/>
          <w:szCs w:val="22"/>
          <w:lang w:val="lt-LT"/>
        </w:rPr>
        <w:t>Vartojimas vaikams ir paaugliams</w:t>
      </w:r>
    </w:p>
    <w:p w14:paraId="197E4783" w14:textId="77777777" w:rsidR="00106F96" w:rsidRPr="00832FC3" w:rsidRDefault="00106F96" w:rsidP="00106F96">
      <w:pPr>
        <w:rPr>
          <w:sz w:val="22"/>
          <w:szCs w:val="22"/>
          <w:lang w:val="lt-LT"/>
        </w:rPr>
      </w:pPr>
      <w:r w:rsidRPr="00832FC3">
        <w:rPr>
          <w:rFonts w:eastAsia="Times New Roman"/>
          <w:sz w:val="22"/>
          <w:lang w:val="lt-LT" w:eastAsia="lt-LT" w:bidi="lt-LT"/>
        </w:rPr>
        <w:t>Darunavir Teva 6</w:t>
      </w:r>
      <w:r w:rsidRPr="00832FC3">
        <w:rPr>
          <w:sz w:val="22"/>
          <w:szCs w:val="22"/>
          <w:lang w:val="lt-LT"/>
        </w:rPr>
        <w:t>00 mg tablečių negalima vartoti jaunesniems nei 3 metų vaikams ir paaugliams, kurie sveria mažiau kaip 15 kilogramų.</w:t>
      </w:r>
    </w:p>
    <w:p w14:paraId="1C8A3ECA" w14:textId="77777777" w:rsidR="00106F96" w:rsidRPr="00832FC3" w:rsidRDefault="00106F96" w:rsidP="00106F96">
      <w:pPr>
        <w:rPr>
          <w:sz w:val="22"/>
          <w:szCs w:val="22"/>
          <w:lang w:val="lt-LT"/>
        </w:rPr>
      </w:pPr>
    </w:p>
    <w:p w14:paraId="7E9788D2" w14:textId="77777777" w:rsidR="00106F96" w:rsidRPr="00832FC3" w:rsidRDefault="00106F96" w:rsidP="00106F96">
      <w:pPr>
        <w:rPr>
          <w:b/>
          <w:sz w:val="22"/>
          <w:szCs w:val="22"/>
          <w:lang w:val="lt-LT"/>
        </w:rPr>
      </w:pPr>
      <w:r w:rsidRPr="00832FC3">
        <w:rPr>
          <w:b/>
          <w:sz w:val="22"/>
          <w:szCs w:val="22"/>
          <w:lang w:val="lt-LT"/>
        </w:rPr>
        <w:t xml:space="preserve">Kiti vaistai ir </w:t>
      </w:r>
      <w:r w:rsidRPr="00832FC3">
        <w:rPr>
          <w:rFonts w:eastAsia="Times New Roman"/>
          <w:b/>
          <w:sz w:val="22"/>
          <w:lang w:val="lt-LT" w:eastAsia="lt-LT" w:bidi="lt-LT"/>
        </w:rPr>
        <w:t xml:space="preserve">Darunavir Teva </w:t>
      </w:r>
      <w:r w:rsidRPr="00832FC3">
        <w:rPr>
          <w:b/>
          <w:sz w:val="22"/>
          <w:szCs w:val="22"/>
          <w:lang w:val="lt-LT"/>
        </w:rPr>
        <w:t xml:space="preserve"> </w:t>
      </w:r>
    </w:p>
    <w:p w14:paraId="1668DE65" w14:textId="77777777" w:rsidR="00106F96" w:rsidRPr="00832FC3" w:rsidRDefault="00106F96" w:rsidP="00106F96">
      <w:pPr>
        <w:rPr>
          <w:sz w:val="22"/>
          <w:szCs w:val="22"/>
          <w:lang w:val="lt-LT"/>
        </w:rPr>
      </w:pPr>
      <w:r w:rsidRPr="00832FC3">
        <w:rPr>
          <w:sz w:val="22"/>
          <w:szCs w:val="22"/>
          <w:lang w:val="lt-LT"/>
        </w:rPr>
        <w:t>Jeigu vartojate ar neseniai vartojote kitų vaistų arba dėl to nesate tikri, apie tai pasakykite gydytojui arba vaistininkui.</w:t>
      </w:r>
    </w:p>
    <w:p w14:paraId="50289724" w14:textId="77777777" w:rsidR="00106F96" w:rsidRPr="00832FC3" w:rsidRDefault="00106F96" w:rsidP="00106F96">
      <w:pPr>
        <w:rPr>
          <w:sz w:val="22"/>
          <w:szCs w:val="22"/>
          <w:lang w:val="lt-LT"/>
        </w:rPr>
      </w:pPr>
    </w:p>
    <w:p w14:paraId="403B20BC" w14:textId="77777777" w:rsidR="00106F96" w:rsidRPr="00832FC3" w:rsidRDefault="00106F96" w:rsidP="00106F96">
      <w:pPr>
        <w:rPr>
          <w:sz w:val="22"/>
          <w:szCs w:val="22"/>
          <w:lang w:val="lt-LT"/>
        </w:rPr>
      </w:pPr>
      <w:r w:rsidRPr="00832FC3">
        <w:rPr>
          <w:sz w:val="22"/>
          <w:szCs w:val="22"/>
          <w:lang w:val="lt-LT"/>
        </w:rPr>
        <w:lastRenderedPageBreak/>
        <w:t xml:space="preserve">Yra keletas vaistų, kurių </w:t>
      </w:r>
      <w:r w:rsidRPr="00832FC3">
        <w:rPr>
          <w:b/>
          <w:sz w:val="22"/>
          <w:szCs w:val="22"/>
          <w:lang w:val="lt-LT"/>
        </w:rPr>
        <w:t>negalima vartoti kartu</w:t>
      </w:r>
      <w:r w:rsidRPr="00832FC3">
        <w:rPr>
          <w:sz w:val="22"/>
          <w:szCs w:val="22"/>
          <w:lang w:val="lt-LT"/>
        </w:rPr>
        <w:t xml:space="preserve"> su </w:t>
      </w:r>
      <w:r w:rsidRPr="00832FC3">
        <w:rPr>
          <w:rFonts w:eastAsia="Times New Roman"/>
          <w:sz w:val="22"/>
          <w:lang w:val="lt-LT" w:eastAsia="lt-LT" w:bidi="lt-LT"/>
        </w:rPr>
        <w:t>Darunavir Teva</w:t>
      </w:r>
      <w:r w:rsidRPr="00832FC3">
        <w:rPr>
          <w:sz w:val="22"/>
          <w:szCs w:val="22"/>
          <w:lang w:val="lt-LT"/>
        </w:rPr>
        <w:t xml:space="preserve">. Jie yra išvardyti anksčiau pastraipoje „Nevartokite </w:t>
      </w:r>
      <w:r w:rsidRPr="00832FC3">
        <w:rPr>
          <w:rFonts w:eastAsia="Times New Roman"/>
          <w:sz w:val="22"/>
          <w:lang w:val="lt-LT" w:eastAsia="lt-LT" w:bidi="lt-LT"/>
        </w:rPr>
        <w:t xml:space="preserve">Darunavir Teva </w:t>
      </w:r>
      <w:r w:rsidRPr="00832FC3">
        <w:rPr>
          <w:sz w:val="22"/>
          <w:szCs w:val="22"/>
          <w:lang w:val="lt-LT"/>
        </w:rPr>
        <w:t xml:space="preserve"> su bet kuriuo iš toliau išvardytų vaistų“.</w:t>
      </w:r>
    </w:p>
    <w:p w14:paraId="3763B246" w14:textId="77777777" w:rsidR="00106F96" w:rsidRPr="00832FC3" w:rsidRDefault="00106F96" w:rsidP="00106F96">
      <w:pPr>
        <w:rPr>
          <w:sz w:val="22"/>
          <w:szCs w:val="22"/>
          <w:lang w:val="lt-LT"/>
        </w:rPr>
      </w:pPr>
    </w:p>
    <w:p w14:paraId="06BB0971" w14:textId="77777777" w:rsidR="00106F96" w:rsidRPr="00832FC3" w:rsidRDefault="00106F96" w:rsidP="00106F96">
      <w:pPr>
        <w:rPr>
          <w:sz w:val="22"/>
          <w:szCs w:val="22"/>
          <w:lang w:val="lt-LT"/>
        </w:rPr>
      </w:pPr>
      <w:r w:rsidRPr="00832FC3">
        <w:rPr>
          <w:sz w:val="22"/>
          <w:szCs w:val="22"/>
          <w:lang w:val="lt-LT"/>
        </w:rPr>
        <w:t xml:space="preserve">Daugumoje atvejų </w:t>
      </w:r>
      <w:r w:rsidRPr="00832FC3">
        <w:rPr>
          <w:rFonts w:eastAsia="Times New Roman"/>
          <w:sz w:val="22"/>
          <w:lang w:val="lt-LT" w:eastAsia="lt-LT" w:bidi="lt-LT"/>
        </w:rPr>
        <w:t xml:space="preserve">Darunavir Teva </w:t>
      </w:r>
      <w:r w:rsidRPr="00832FC3">
        <w:rPr>
          <w:sz w:val="22"/>
          <w:szCs w:val="22"/>
          <w:lang w:val="lt-LT"/>
        </w:rPr>
        <w:t xml:space="preserve">galima derinti su kitai grupei priklausančiais vaistais nuo ŽIV infekcijos [t.y. NATI (nukleozidų atvirkštinės transkriptazės inhibitoriais), NNATI (nenukleozidiniais atvirkštinės transkriptazės inhibitoriais), CCR5 antagonistais ir FI (fuzijos inhibitoriais)]. Galimybė vartoti </w:t>
      </w:r>
      <w:r w:rsidRPr="00832FC3">
        <w:rPr>
          <w:rFonts w:eastAsia="Times New Roman"/>
          <w:sz w:val="22"/>
          <w:lang w:val="lt-LT" w:eastAsia="lt-LT" w:bidi="lt-LT"/>
        </w:rPr>
        <w:t>Darunavir Teva</w:t>
      </w:r>
      <w:r w:rsidRPr="00832FC3">
        <w:rPr>
          <w:sz w:val="22"/>
          <w:szCs w:val="22"/>
          <w:lang w:val="lt-LT"/>
        </w:rPr>
        <w:t xml:space="preserve"> ir ritonaviro derinį su kitais PI (proteazės inhibitoriais) nebuvo ištirta su visais PI, ir minėtą derinį draudžiama vartoti su kitais ŽIV proteazės inhibitoriais. Kai kuriais atvejais gali tekti keisti kai kurių kitų vaistų dozes. Visada pasakykite gydytojui, jeigu vartojate kitų vaistų nuo ŽIV, ir laikykitės jo nurodymų dėl vaistų, kurie gali būti vartojami kartu.</w:t>
      </w:r>
    </w:p>
    <w:p w14:paraId="5065D7A4" w14:textId="77777777" w:rsidR="00106F96" w:rsidRPr="00832FC3" w:rsidRDefault="00106F96" w:rsidP="00106F96">
      <w:pPr>
        <w:rPr>
          <w:rFonts w:eastAsia="Times New Roman"/>
          <w:sz w:val="22"/>
          <w:lang w:val="lt-LT" w:eastAsia="lt-LT" w:bidi="lt-LT"/>
        </w:rPr>
      </w:pPr>
    </w:p>
    <w:p w14:paraId="6E0E9321" w14:textId="77777777" w:rsidR="00106F96" w:rsidRPr="00832FC3" w:rsidRDefault="00106F96" w:rsidP="00106F96">
      <w:pPr>
        <w:rPr>
          <w:sz w:val="22"/>
          <w:szCs w:val="22"/>
          <w:lang w:val="lt-LT"/>
        </w:rPr>
      </w:pPr>
      <w:r w:rsidRPr="00832FC3">
        <w:rPr>
          <w:rFonts w:eastAsia="Times New Roman"/>
          <w:sz w:val="22"/>
          <w:lang w:val="lt-LT" w:eastAsia="lt-LT" w:bidi="lt-LT"/>
        </w:rPr>
        <w:t xml:space="preserve">Darunavir Teva </w:t>
      </w:r>
      <w:r w:rsidRPr="00832FC3">
        <w:rPr>
          <w:sz w:val="22"/>
          <w:szCs w:val="22"/>
          <w:lang w:val="lt-LT"/>
        </w:rPr>
        <w:t>poveikis gali susilpnėti, jei vartojate kurį nors iš toliau išvardytų preparatų. Pasakykite gydytojui, jei vartojate:</w:t>
      </w:r>
    </w:p>
    <w:p w14:paraId="402F500D" w14:textId="77777777" w:rsidR="00106F96" w:rsidRPr="00832FC3" w:rsidRDefault="00106F96" w:rsidP="00106F96">
      <w:pPr>
        <w:pStyle w:val="BT-EMEASMCA"/>
        <w:numPr>
          <w:ilvl w:val="0"/>
          <w:numId w:val="25"/>
        </w:numPr>
        <w:ind w:left="567" w:hanging="567"/>
        <w:rPr>
          <w:sz w:val="22"/>
          <w:szCs w:val="22"/>
          <w:lang w:val="lt-LT"/>
        </w:rPr>
      </w:pPr>
      <w:r w:rsidRPr="00AF7C0C">
        <w:rPr>
          <w:i/>
          <w:sz w:val="22"/>
          <w:szCs w:val="22"/>
          <w:lang w:val="lt-LT"/>
        </w:rPr>
        <w:t>fenobarbitalį, fenitoiną</w:t>
      </w:r>
      <w:r w:rsidRPr="00832FC3">
        <w:rPr>
          <w:sz w:val="22"/>
          <w:szCs w:val="22"/>
          <w:lang w:val="lt-LT"/>
        </w:rPr>
        <w:t xml:space="preserve"> (vaistus nuo traukulių);</w:t>
      </w:r>
    </w:p>
    <w:p w14:paraId="721ECE53" w14:textId="77777777" w:rsidR="00106F96" w:rsidRPr="00832FC3" w:rsidRDefault="00106F96" w:rsidP="00106F96">
      <w:pPr>
        <w:pStyle w:val="BT-EMEASMCA"/>
        <w:numPr>
          <w:ilvl w:val="0"/>
          <w:numId w:val="25"/>
        </w:numPr>
        <w:ind w:left="567" w:hanging="567"/>
        <w:rPr>
          <w:sz w:val="22"/>
          <w:szCs w:val="22"/>
          <w:lang w:val="lt-LT"/>
        </w:rPr>
      </w:pPr>
      <w:r w:rsidRPr="00AF7C0C">
        <w:rPr>
          <w:i/>
          <w:sz w:val="22"/>
          <w:szCs w:val="22"/>
          <w:lang w:val="lt-LT"/>
        </w:rPr>
        <w:t>deksametazoną</w:t>
      </w:r>
      <w:r w:rsidRPr="00832FC3">
        <w:rPr>
          <w:sz w:val="22"/>
          <w:szCs w:val="22"/>
          <w:lang w:val="lt-LT"/>
        </w:rPr>
        <w:t xml:space="preserve"> (kortikosteroidą);</w:t>
      </w:r>
    </w:p>
    <w:p w14:paraId="22DE2A8F" w14:textId="77777777" w:rsidR="00106F96" w:rsidRPr="00832FC3" w:rsidRDefault="00106F96" w:rsidP="00106F96">
      <w:pPr>
        <w:pStyle w:val="BT-EMEASMCA"/>
        <w:numPr>
          <w:ilvl w:val="0"/>
          <w:numId w:val="25"/>
        </w:numPr>
        <w:ind w:left="567" w:hanging="567"/>
        <w:rPr>
          <w:sz w:val="22"/>
          <w:szCs w:val="22"/>
          <w:lang w:val="lt-LT"/>
        </w:rPr>
      </w:pPr>
      <w:r w:rsidRPr="00AF7C0C">
        <w:rPr>
          <w:i/>
          <w:sz w:val="22"/>
          <w:szCs w:val="22"/>
          <w:lang w:val="lt-LT"/>
        </w:rPr>
        <w:t>efavirenzą</w:t>
      </w:r>
      <w:r w:rsidRPr="00832FC3">
        <w:rPr>
          <w:sz w:val="22"/>
          <w:szCs w:val="22"/>
          <w:lang w:val="lt-LT"/>
        </w:rPr>
        <w:t xml:space="preserve"> (ŽIV infekcijai gydyti);</w:t>
      </w:r>
    </w:p>
    <w:p w14:paraId="401372B6" w14:textId="77777777" w:rsidR="00106F96" w:rsidRPr="00832FC3" w:rsidRDefault="00106F96" w:rsidP="00106F96">
      <w:pPr>
        <w:pStyle w:val="BT-EMEASMCA"/>
        <w:numPr>
          <w:ilvl w:val="0"/>
          <w:numId w:val="25"/>
        </w:numPr>
        <w:ind w:left="567" w:hanging="567"/>
        <w:rPr>
          <w:sz w:val="22"/>
          <w:szCs w:val="22"/>
          <w:lang w:val="lt-LT"/>
        </w:rPr>
      </w:pPr>
      <w:r w:rsidRPr="00AF7C0C">
        <w:rPr>
          <w:i/>
          <w:sz w:val="22"/>
          <w:szCs w:val="22"/>
          <w:lang w:val="lt-LT"/>
        </w:rPr>
        <w:t>telaprevirą</w:t>
      </w:r>
      <w:r w:rsidRPr="00832FC3">
        <w:rPr>
          <w:sz w:val="22"/>
          <w:szCs w:val="22"/>
          <w:lang w:val="lt-LT"/>
        </w:rPr>
        <w:t xml:space="preserve">, </w:t>
      </w:r>
      <w:r w:rsidRPr="00AF7C0C">
        <w:rPr>
          <w:i/>
          <w:sz w:val="22"/>
          <w:szCs w:val="22"/>
          <w:lang w:val="lt-LT"/>
        </w:rPr>
        <w:t>boceprevirą</w:t>
      </w:r>
      <w:r w:rsidRPr="00832FC3">
        <w:rPr>
          <w:sz w:val="22"/>
          <w:szCs w:val="22"/>
          <w:lang w:val="lt-LT"/>
        </w:rPr>
        <w:t xml:space="preserve"> (hepatito C viruso infekcijai gydyti);</w:t>
      </w:r>
    </w:p>
    <w:p w14:paraId="452483E3" w14:textId="77777777" w:rsidR="00106F96" w:rsidRPr="00832FC3" w:rsidRDefault="00106F96" w:rsidP="00106F96">
      <w:pPr>
        <w:pStyle w:val="BT-EMEASMCA"/>
        <w:numPr>
          <w:ilvl w:val="0"/>
          <w:numId w:val="25"/>
        </w:numPr>
        <w:ind w:left="567" w:hanging="567"/>
        <w:rPr>
          <w:sz w:val="22"/>
          <w:szCs w:val="22"/>
          <w:lang w:val="lt-LT"/>
        </w:rPr>
      </w:pPr>
      <w:r w:rsidRPr="00AF7C0C">
        <w:rPr>
          <w:i/>
          <w:sz w:val="22"/>
          <w:szCs w:val="22"/>
          <w:lang w:val="lt-LT"/>
        </w:rPr>
        <w:t>rifapentiną</w:t>
      </w:r>
      <w:r w:rsidRPr="00832FC3">
        <w:rPr>
          <w:sz w:val="22"/>
          <w:szCs w:val="22"/>
          <w:lang w:val="lt-LT"/>
        </w:rPr>
        <w:t xml:space="preserve">, </w:t>
      </w:r>
      <w:r w:rsidRPr="00AF7C0C">
        <w:rPr>
          <w:i/>
          <w:sz w:val="22"/>
          <w:szCs w:val="22"/>
          <w:lang w:val="lt-LT"/>
        </w:rPr>
        <w:t>rifabutiną</w:t>
      </w:r>
      <w:r w:rsidRPr="00832FC3">
        <w:rPr>
          <w:sz w:val="22"/>
          <w:szCs w:val="22"/>
          <w:lang w:val="lt-LT"/>
        </w:rPr>
        <w:t xml:space="preserve"> (vaistus, kai kurioms infekcijoms gydyti, tokioms kaip tuberkuliozė);</w:t>
      </w:r>
    </w:p>
    <w:p w14:paraId="24E47827" w14:textId="77777777" w:rsidR="00106F96" w:rsidRPr="00832FC3" w:rsidRDefault="00106F96" w:rsidP="00106F96">
      <w:pPr>
        <w:pStyle w:val="BT-EMEASMCA"/>
        <w:numPr>
          <w:ilvl w:val="0"/>
          <w:numId w:val="25"/>
        </w:numPr>
        <w:ind w:left="567" w:hanging="567"/>
        <w:rPr>
          <w:sz w:val="22"/>
          <w:szCs w:val="22"/>
          <w:lang w:val="lt-LT"/>
        </w:rPr>
      </w:pPr>
      <w:r w:rsidRPr="00AF7C0C">
        <w:rPr>
          <w:i/>
          <w:sz w:val="22"/>
          <w:szCs w:val="22"/>
          <w:lang w:val="lt-LT"/>
        </w:rPr>
        <w:t>sakvinavirą</w:t>
      </w:r>
      <w:r w:rsidRPr="00832FC3">
        <w:rPr>
          <w:sz w:val="22"/>
          <w:szCs w:val="22"/>
          <w:lang w:val="lt-LT"/>
        </w:rPr>
        <w:t xml:space="preserve"> (ŽIV infekcijai gydyti).</w:t>
      </w:r>
    </w:p>
    <w:p w14:paraId="6BE23E17" w14:textId="77777777" w:rsidR="00106F96" w:rsidRPr="00832FC3" w:rsidRDefault="00106F96" w:rsidP="00106F96">
      <w:pPr>
        <w:rPr>
          <w:sz w:val="22"/>
          <w:szCs w:val="22"/>
          <w:lang w:val="lt-LT"/>
        </w:rPr>
      </w:pPr>
    </w:p>
    <w:p w14:paraId="6174F4F6" w14:textId="77777777" w:rsidR="00106F96" w:rsidRPr="00832FC3" w:rsidRDefault="00106F96" w:rsidP="00106F96">
      <w:pPr>
        <w:rPr>
          <w:sz w:val="22"/>
          <w:szCs w:val="22"/>
          <w:lang w:val="lt-LT"/>
        </w:rPr>
      </w:pPr>
      <w:r w:rsidRPr="00832FC3">
        <w:rPr>
          <w:sz w:val="22"/>
          <w:szCs w:val="22"/>
          <w:lang w:val="lt-LT"/>
        </w:rPr>
        <w:t xml:space="preserve">Jei vartojate </w:t>
      </w:r>
      <w:r w:rsidRPr="00832FC3">
        <w:rPr>
          <w:rFonts w:eastAsia="Times New Roman"/>
          <w:sz w:val="22"/>
          <w:lang w:val="lt-LT" w:eastAsia="lt-LT" w:bidi="lt-LT"/>
        </w:rPr>
        <w:t>Darunavir Teva</w:t>
      </w:r>
      <w:r w:rsidRPr="00832FC3">
        <w:rPr>
          <w:sz w:val="22"/>
          <w:szCs w:val="22"/>
          <w:lang w:val="lt-LT"/>
        </w:rPr>
        <w:t>, gali pakisti kitų vaistų poveikis. Pasakykite gydytojui, jei vartojate:</w:t>
      </w:r>
    </w:p>
    <w:p w14:paraId="5EE65DE7" w14:textId="77777777" w:rsidR="00106F96" w:rsidRPr="00832FC3" w:rsidRDefault="00106F96" w:rsidP="00106F96">
      <w:pPr>
        <w:pStyle w:val="BT-EMEASMCA"/>
        <w:numPr>
          <w:ilvl w:val="0"/>
          <w:numId w:val="25"/>
        </w:numPr>
        <w:ind w:left="567" w:hanging="567"/>
        <w:rPr>
          <w:sz w:val="22"/>
          <w:szCs w:val="22"/>
          <w:lang w:val="lt-LT"/>
        </w:rPr>
      </w:pPr>
      <w:r w:rsidRPr="00AF7C0C">
        <w:rPr>
          <w:i/>
          <w:sz w:val="22"/>
          <w:szCs w:val="22"/>
          <w:lang w:val="lt-LT"/>
        </w:rPr>
        <w:t>amlodipiną, diltiazemą, dizopiramidą, karvedilolį, felodipiną, flekainidą, metoprololį, meksiletiną, nifedipiną, nikardipiną, propafenoną, timololį, verapamilį</w:t>
      </w:r>
      <w:r w:rsidRPr="00832FC3">
        <w:rPr>
          <w:sz w:val="22"/>
          <w:szCs w:val="22"/>
          <w:lang w:val="lt-LT"/>
        </w:rPr>
        <w:t xml:space="preserve"> (vaistus nuo širdies ligų), nes gali sustiprėti šių vaistų gydomasis ar šalutinis poveikis;</w:t>
      </w:r>
    </w:p>
    <w:p w14:paraId="46AD4D45" w14:textId="77777777" w:rsidR="00106F96" w:rsidRPr="00832FC3" w:rsidRDefault="00106F96" w:rsidP="00106F96">
      <w:pPr>
        <w:pStyle w:val="BT-EMEASMCA"/>
        <w:numPr>
          <w:ilvl w:val="0"/>
          <w:numId w:val="25"/>
        </w:numPr>
        <w:ind w:left="567" w:hanging="567"/>
        <w:rPr>
          <w:sz w:val="22"/>
          <w:szCs w:val="22"/>
          <w:lang w:val="lt-LT"/>
        </w:rPr>
      </w:pPr>
      <w:r w:rsidRPr="004E29AA">
        <w:rPr>
          <w:i/>
          <w:sz w:val="22"/>
          <w:szCs w:val="22"/>
          <w:lang w:val="lt-LT"/>
        </w:rPr>
        <w:t>apiksabaną, dabigatrano eteksilatą, rivaroksabaną, varfariną</w:t>
      </w:r>
      <w:r w:rsidRPr="00832FC3">
        <w:rPr>
          <w:sz w:val="22"/>
          <w:szCs w:val="22"/>
          <w:lang w:val="lt-LT"/>
        </w:rPr>
        <w:t xml:space="preserve"> (vaistą, mažinantį kraujo krešėjimą), nes gali pasikeisti šio medikamento gydomasis ar šalutinis poveikis; Jūsų gydytojui gali tekti atlikti Jūsų kraujo tyrimus;</w:t>
      </w:r>
    </w:p>
    <w:p w14:paraId="017A2E8E"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 xml:space="preserve">hormoninius kontraceptikus, kurių sudėtyje yra estrogeno, ir pakaitinę hormonų terapiją. </w:t>
      </w:r>
      <w:r w:rsidRPr="00832FC3">
        <w:rPr>
          <w:rFonts w:eastAsia="Times New Roman"/>
          <w:sz w:val="22"/>
          <w:szCs w:val="22"/>
          <w:lang w:val="lt-LT" w:eastAsia="lt-LT" w:bidi="lt-LT"/>
        </w:rPr>
        <w:t>Darunavir Teva</w:t>
      </w:r>
      <w:r w:rsidRPr="00832FC3">
        <w:rPr>
          <w:sz w:val="22"/>
          <w:szCs w:val="22"/>
          <w:lang w:val="lt-LT"/>
        </w:rPr>
        <w:t xml:space="preserve"> gali mažinti hormoninių kontraceptikų veiksmingumą, todėl, norint išvengti nėštumo, rekomenduojama naudotis nehormoninės kontracepcijos metodais;</w:t>
      </w:r>
    </w:p>
    <w:p w14:paraId="4758B2EF" w14:textId="77777777" w:rsidR="00106F96" w:rsidRPr="00832FC3" w:rsidRDefault="00106F96" w:rsidP="00106F96">
      <w:pPr>
        <w:pStyle w:val="BT-EMEASMCA"/>
        <w:numPr>
          <w:ilvl w:val="0"/>
          <w:numId w:val="25"/>
        </w:numPr>
        <w:ind w:left="567" w:hanging="567"/>
        <w:rPr>
          <w:sz w:val="22"/>
          <w:szCs w:val="22"/>
          <w:lang w:val="lt-LT"/>
        </w:rPr>
      </w:pPr>
      <w:r w:rsidRPr="004E29AA">
        <w:rPr>
          <w:i/>
          <w:sz w:val="22"/>
          <w:szCs w:val="22"/>
          <w:lang w:val="lt-LT"/>
        </w:rPr>
        <w:t>atorvastatiną, pravastatiną, rozuvastatiną</w:t>
      </w:r>
      <w:r w:rsidRPr="00832FC3">
        <w:rPr>
          <w:sz w:val="22"/>
          <w:szCs w:val="22"/>
          <w:lang w:val="lt-LT"/>
        </w:rPr>
        <w:t xml:space="preserve"> (vaistus cholesterolio koncentracijai mažinti). Dėl to gali padidėti raumenų pažeidimo pavojus. Jūsų gydytojas nustatys, kuris gydymo būdas cholesterolio koncentracijai mažinti Jums yra tinkamiausias;</w:t>
      </w:r>
    </w:p>
    <w:p w14:paraId="30D56141" w14:textId="77777777" w:rsidR="00106F96" w:rsidRPr="00832FC3" w:rsidRDefault="00106F96" w:rsidP="00106F96">
      <w:pPr>
        <w:pStyle w:val="BT-EMEASMCA"/>
        <w:numPr>
          <w:ilvl w:val="0"/>
          <w:numId w:val="25"/>
        </w:numPr>
        <w:ind w:left="567" w:hanging="567"/>
        <w:rPr>
          <w:sz w:val="22"/>
          <w:szCs w:val="22"/>
          <w:lang w:val="lt-LT"/>
        </w:rPr>
      </w:pPr>
      <w:r w:rsidRPr="004E29AA">
        <w:rPr>
          <w:i/>
          <w:sz w:val="22"/>
          <w:szCs w:val="22"/>
          <w:lang w:val="lt-LT"/>
        </w:rPr>
        <w:t>klaritromiciną</w:t>
      </w:r>
      <w:r w:rsidRPr="00832FC3">
        <w:rPr>
          <w:sz w:val="22"/>
          <w:szCs w:val="22"/>
          <w:lang w:val="lt-LT"/>
        </w:rPr>
        <w:t xml:space="preserve"> (antibiotiką);</w:t>
      </w:r>
    </w:p>
    <w:p w14:paraId="0500C52C" w14:textId="77777777" w:rsidR="00106F96" w:rsidRPr="00832FC3" w:rsidRDefault="00106F96" w:rsidP="00106F96">
      <w:pPr>
        <w:pStyle w:val="BT-EMEASMCA"/>
        <w:numPr>
          <w:ilvl w:val="0"/>
          <w:numId w:val="25"/>
        </w:numPr>
        <w:ind w:left="567" w:hanging="567"/>
        <w:rPr>
          <w:sz w:val="22"/>
          <w:szCs w:val="22"/>
          <w:lang w:val="lt-LT"/>
        </w:rPr>
      </w:pPr>
      <w:r w:rsidRPr="004E29AA">
        <w:rPr>
          <w:i/>
          <w:sz w:val="22"/>
          <w:szCs w:val="22"/>
          <w:lang w:val="lt-LT"/>
        </w:rPr>
        <w:t>ciklosporiną, everolimuzą, takrolimuzą, sirolimuzą</w:t>
      </w:r>
      <w:r w:rsidRPr="00832FC3">
        <w:rPr>
          <w:sz w:val="22"/>
          <w:szCs w:val="22"/>
          <w:lang w:val="lt-LT"/>
        </w:rPr>
        <w:t xml:space="preserve"> (vaistus, veikiančius imuninę sistemą), nes gali sustiprėti šių vaistų gydomasis ar šalutinis poveikis. Gydytojas gali siūlyti atlikti kai kuriuos papildomus tyrimus;</w:t>
      </w:r>
    </w:p>
    <w:p w14:paraId="0998D233" w14:textId="77777777" w:rsidR="00106F96" w:rsidRPr="00832FC3" w:rsidRDefault="00106F96" w:rsidP="00106F96">
      <w:pPr>
        <w:pStyle w:val="BT-EMEASMCA"/>
        <w:numPr>
          <w:ilvl w:val="0"/>
          <w:numId w:val="25"/>
        </w:numPr>
        <w:ind w:left="567" w:hanging="567"/>
        <w:rPr>
          <w:sz w:val="22"/>
          <w:szCs w:val="22"/>
          <w:lang w:val="lt-LT"/>
        </w:rPr>
      </w:pPr>
      <w:r w:rsidRPr="004E29AA">
        <w:rPr>
          <w:i/>
          <w:sz w:val="22"/>
          <w:szCs w:val="22"/>
          <w:lang w:val="lt-LT"/>
        </w:rPr>
        <w:t>flutikazoną, budezonidą</w:t>
      </w:r>
      <w:r w:rsidRPr="00832FC3">
        <w:rPr>
          <w:sz w:val="22"/>
          <w:szCs w:val="22"/>
          <w:lang w:val="lt-LT"/>
        </w:rPr>
        <w:t xml:space="preserve"> (vaistus astmai gydyti). Šiuos vaistus galima vartoti tik po medicininio ištyrimo ir atidžiai prižiūrint gydytojui dėl kortikosteroidų sukeliamų šalutinių reiškinių;</w:t>
      </w:r>
    </w:p>
    <w:p w14:paraId="46C49E42" w14:textId="77777777" w:rsidR="00106F96" w:rsidRPr="00832FC3" w:rsidRDefault="00106F96" w:rsidP="00106F96">
      <w:pPr>
        <w:pStyle w:val="BT-EMEASMCA"/>
        <w:numPr>
          <w:ilvl w:val="0"/>
          <w:numId w:val="25"/>
        </w:numPr>
        <w:ind w:left="567" w:hanging="567"/>
        <w:rPr>
          <w:sz w:val="22"/>
          <w:szCs w:val="22"/>
          <w:lang w:val="lt-LT"/>
        </w:rPr>
      </w:pPr>
      <w:r w:rsidRPr="004E29AA">
        <w:rPr>
          <w:i/>
          <w:sz w:val="22"/>
          <w:szCs w:val="22"/>
          <w:lang w:val="lt-LT"/>
        </w:rPr>
        <w:t>buprenorfiną ar naloksoną</w:t>
      </w:r>
      <w:r w:rsidRPr="00832FC3">
        <w:rPr>
          <w:sz w:val="22"/>
          <w:szCs w:val="22"/>
          <w:lang w:val="lt-LT"/>
        </w:rPr>
        <w:t xml:space="preserve"> (vaistus, kuriais gydoma priklausomybė nuo opijaus preparatų);</w:t>
      </w:r>
    </w:p>
    <w:p w14:paraId="7FF8187F" w14:textId="77777777" w:rsidR="00106F96" w:rsidRPr="00832FC3" w:rsidRDefault="00106F96" w:rsidP="00106F96">
      <w:pPr>
        <w:pStyle w:val="BT-EMEASMCA"/>
        <w:numPr>
          <w:ilvl w:val="0"/>
          <w:numId w:val="25"/>
        </w:numPr>
        <w:ind w:left="567" w:hanging="567"/>
        <w:rPr>
          <w:sz w:val="22"/>
          <w:szCs w:val="22"/>
          <w:lang w:val="lt-LT"/>
        </w:rPr>
      </w:pPr>
      <w:r w:rsidRPr="004E29AA">
        <w:rPr>
          <w:i/>
          <w:sz w:val="22"/>
          <w:szCs w:val="22"/>
          <w:lang w:val="lt-LT"/>
        </w:rPr>
        <w:t>salmeterolį</w:t>
      </w:r>
      <w:r w:rsidRPr="00832FC3">
        <w:rPr>
          <w:sz w:val="22"/>
          <w:szCs w:val="22"/>
          <w:lang w:val="lt-LT"/>
        </w:rPr>
        <w:t xml:space="preserve"> (vaistą astmai gydyti);</w:t>
      </w:r>
    </w:p>
    <w:p w14:paraId="6BD0CE20" w14:textId="77777777" w:rsidR="00106F96" w:rsidRPr="00832FC3" w:rsidRDefault="00106F96" w:rsidP="00106F96">
      <w:pPr>
        <w:pStyle w:val="BT-EMEASMCA"/>
        <w:numPr>
          <w:ilvl w:val="0"/>
          <w:numId w:val="25"/>
        </w:numPr>
        <w:ind w:left="567" w:hanging="567"/>
        <w:rPr>
          <w:sz w:val="22"/>
          <w:szCs w:val="22"/>
          <w:lang w:val="lt-LT"/>
        </w:rPr>
      </w:pPr>
      <w:r w:rsidRPr="004E29AA">
        <w:rPr>
          <w:i/>
          <w:sz w:val="22"/>
          <w:szCs w:val="22"/>
          <w:lang w:val="lt-LT"/>
        </w:rPr>
        <w:t>artemeterą ir lumefantriną</w:t>
      </w:r>
      <w:r w:rsidRPr="00832FC3">
        <w:rPr>
          <w:sz w:val="22"/>
          <w:szCs w:val="22"/>
          <w:lang w:val="lt-LT"/>
        </w:rPr>
        <w:t xml:space="preserve"> (vaistų derinį maliarijai gydyti);</w:t>
      </w:r>
    </w:p>
    <w:p w14:paraId="4480838E" w14:textId="77777777" w:rsidR="00106F96" w:rsidRPr="00832FC3" w:rsidRDefault="00106F96" w:rsidP="00106F96">
      <w:pPr>
        <w:pStyle w:val="BT-EMEASMCA"/>
        <w:numPr>
          <w:ilvl w:val="0"/>
          <w:numId w:val="25"/>
        </w:numPr>
        <w:ind w:left="567" w:hanging="567"/>
        <w:rPr>
          <w:sz w:val="22"/>
          <w:szCs w:val="22"/>
          <w:lang w:val="lt-LT"/>
        </w:rPr>
      </w:pPr>
      <w:r w:rsidRPr="004E29AA">
        <w:rPr>
          <w:i/>
          <w:sz w:val="22"/>
          <w:szCs w:val="22"/>
          <w:lang w:val="lt-LT"/>
        </w:rPr>
        <w:lastRenderedPageBreak/>
        <w:t>dazatinibą, everolimuzą, nilotinibą, vinblastiną, vinkristiną</w:t>
      </w:r>
      <w:r w:rsidRPr="00832FC3">
        <w:rPr>
          <w:sz w:val="22"/>
          <w:szCs w:val="22"/>
          <w:lang w:val="lt-LT"/>
        </w:rPr>
        <w:t xml:space="preserve"> (vaistus vėžiui gydyti);</w:t>
      </w:r>
    </w:p>
    <w:p w14:paraId="1143C803" w14:textId="77777777" w:rsidR="00106F96" w:rsidRPr="00832FC3" w:rsidRDefault="00106F96" w:rsidP="00106F96">
      <w:pPr>
        <w:pStyle w:val="BT-EMEASMCA"/>
        <w:numPr>
          <w:ilvl w:val="0"/>
          <w:numId w:val="25"/>
        </w:numPr>
        <w:ind w:left="567" w:hanging="567"/>
        <w:rPr>
          <w:sz w:val="22"/>
          <w:szCs w:val="22"/>
          <w:lang w:val="lt-LT"/>
        </w:rPr>
      </w:pPr>
      <w:r w:rsidRPr="004E29AA">
        <w:rPr>
          <w:i/>
          <w:sz w:val="22"/>
          <w:szCs w:val="22"/>
          <w:lang w:val="lt-LT"/>
        </w:rPr>
        <w:t>prednizoną</w:t>
      </w:r>
      <w:r w:rsidRPr="00832FC3">
        <w:rPr>
          <w:sz w:val="22"/>
          <w:szCs w:val="22"/>
          <w:lang w:val="lt-LT"/>
        </w:rPr>
        <w:t xml:space="preserve"> (kortikosteroidą);</w:t>
      </w:r>
    </w:p>
    <w:p w14:paraId="705CE45E" w14:textId="77777777" w:rsidR="00106F96" w:rsidRPr="00832FC3" w:rsidRDefault="00106F96" w:rsidP="00106F96">
      <w:pPr>
        <w:pStyle w:val="BT-EMEASMCA"/>
        <w:numPr>
          <w:ilvl w:val="0"/>
          <w:numId w:val="25"/>
        </w:numPr>
        <w:ind w:left="567" w:hanging="567"/>
        <w:rPr>
          <w:sz w:val="22"/>
          <w:szCs w:val="22"/>
          <w:lang w:val="lt-LT"/>
        </w:rPr>
      </w:pPr>
      <w:r w:rsidRPr="004E29AA">
        <w:rPr>
          <w:i/>
          <w:sz w:val="22"/>
          <w:szCs w:val="22"/>
          <w:lang w:val="lt-LT"/>
        </w:rPr>
        <w:t>sildenafilį, tadalafilį, vardenafilį</w:t>
      </w:r>
      <w:r w:rsidRPr="00832FC3">
        <w:rPr>
          <w:sz w:val="22"/>
          <w:szCs w:val="22"/>
          <w:lang w:val="lt-LT"/>
        </w:rPr>
        <w:t xml:space="preserve"> (vaistus erekcijos disfunkcijai arba širdies ir plaučių sutrikimui, vadinamam plaučių arterine hipertenzija, gydyti).</w:t>
      </w:r>
    </w:p>
    <w:p w14:paraId="36B1DCB7" w14:textId="77777777" w:rsidR="00106F96" w:rsidRPr="00832FC3" w:rsidRDefault="00106F96" w:rsidP="00106F96">
      <w:pPr>
        <w:rPr>
          <w:sz w:val="22"/>
          <w:szCs w:val="22"/>
          <w:lang w:val="lt-LT"/>
        </w:rPr>
      </w:pPr>
    </w:p>
    <w:p w14:paraId="606D27FA" w14:textId="77777777" w:rsidR="00106F96" w:rsidRPr="00832FC3" w:rsidRDefault="00106F96" w:rsidP="00106F96">
      <w:pPr>
        <w:rPr>
          <w:sz w:val="22"/>
          <w:szCs w:val="22"/>
          <w:lang w:val="lt-LT"/>
        </w:rPr>
      </w:pPr>
      <w:r w:rsidRPr="00832FC3">
        <w:rPr>
          <w:sz w:val="22"/>
          <w:szCs w:val="22"/>
          <w:lang w:val="lt-LT"/>
        </w:rPr>
        <w:t xml:space="preserve">Gali prireikti keisti kitų vaistų dozavimą, nes vartojant juos kartu, gali kisti jų arba </w:t>
      </w:r>
      <w:r w:rsidRPr="00832FC3">
        <w:rPr>
          <w:rFonts w:eastAsia="Times New Roman"/>
          <w:sz w:val="22"/>
          <w:szCs w:val="22"/>
          <w:lang w:val="lt-LT" w:eastAsia="lt-LT" w:bidi="lt-LT"/>
        </w:rPr>
        <w:t xml:space="preserve">Darunavir Teva </w:t>
      </w:r>
      <w:r w:rsidRPr="00832FC3">
        <w:rPr>
          <w:sz w:val="22"/>
          <w:szCs w:val="22"/>
          <w:lang w:val="lt-LT"/>
        </w:rPr>
        <w:t>gydomasis ar šalutinis poveikis.</w:t>
      </w:r>
    </w:p>
    <w:p w14:paraId="56A3974F" w14:textId="77777777" w:rsidR="00106F96" w:rsidRPr="00832FC3" w:rsidRDefault="00106F96" w:rsidP="00106F96">
      <w:pPr>
        <w:rPr>
          <w:sz w:val="22"/>
          <w:szCs w:val="22"/>
          <w:lang w:val="lt-LT"/>
        </w:rPr>
      </w:pPr>
      <w:r w:rsidRPr="00832FC3">
        <w:rPr>
          <w:sz w:val="22"/>
          <w:szCs w:val="22"/>
          <w:lang w:val="lt-LT"/>
        </w:rPr>
        <w:t>Pasakykite gydytojui, jei vartojate:</w:t>
      </w:r>
    </w:p>
    <w:p w14:paraId="5CF08458" w14:textId="77777777" w:rsidR="00106F96" w:rsidRPr="00832FC3" w:rsidRDefault="00106F96" w:rsidP="00106F96">
      <w:pPr>
        <w:pStyle w:val="BT-EMEASMCA"/>
        <w:numPr>
          <w:ilvl w:val="0"/>
          <w:numId w:val="25"/>
        </w:numPr>
        <w:ind w:left="567" w:hanging="567"/>
        <w:rPr>
          <w:sz w:val="22"/>
          <w:szCs w:val="22"/>
          <w:lang w:val="lt-LT"/>
        </w:rPr>
      </w:pPr>
      <w:r w:rsidRPr="004E29AA">
        <w:rPr>
          <w:i/>
          <w:sz w:val="22"/>
          <w:szCs w:val="22"/>
          <w:lang w:val="lt-LT"/>
        </w:rPr>
        <w:t>alfentanilį</w:t>
      </w:r>
      <w:r w:rsidRPr="00832FC3">
        <w:rPr>
          <w:sz w:val="22"/>
          <w:szCs w:val="22"/>
          <w:lang w:val="lt-LT"/>
        </w:rPr>
        <w:t xml:space="preserve"> (injekcinius stiprius ir trumpai veikiančiu nuskausminamuosius vaistus, kurie yra vartojami chirurginių procedūrų metu);</w:t>
      </w:r>
    </w:p>
    <w:p w14:paraId="12120B39" w14:textId="77777777" w:rsidR="00106F96" w:rsidRPr="00832FC3" w:rsidRDefault="00106F96" w:rsidP="00106F96">
      <w:pPr>
        <w:pStyle w:val="BT-EMEASMCA"/>
        <w:numPr>
          <w:ilvl w:val="0"/>
          <w:numId w:val="25"/>
        </w:numPr>
        <w:ind w:left="567" w:hanging="567"/>
        <w:rPr>
          <w:sz w:val="22"/>
          <w:szCs w:val="22"/>
          <w:lang w:val="lt-LT"/>
        </w:rPr>
      </w:pPr>
      <w:r w:rsidRPr="004E29AA">
        <w:rPr>
          <w:i/>
          <w:sz w:val="22"/>
          <w:szCs w:val="22"/>
          <w:lang w:val="lt-LT"/>
        </w:rPr>
        <w:t>digoksiną</w:t>
      </w:r>
      <w:r w:rsidRPr="00832FC3">
        <w:rPr>
          <w:sz w:val="22"/>
          <w:szCs w:val="22"/>
          <w:lang w:val="lt-LT"/>
        </w:rPr>
        <w:t xml:space="preserve"> (vaistą nuo širdies sutrikimo);</w:t>
      </w:r>
    </w:p>
    <w:p w14:paraId="594548B8" w14:textId="77777777" w:rsidR="00106F96" w:rsidRPr="00832FC3" w:rsidRDefault="00106F96" w:rsidP="00106F96">
      <w:pPr>
        <w:pStyle w:val="BT-EMEASMCA"/>
        <w:numPr>
          <w:ilvl w:val="0"/>
          <w:numId w:val="25"/>
        </w:numPr>
        <w:ind w:left="567" w:hanging="567"/>
        <w:rPr>
          <w:sz w:val="22"/>
          <w:szCs w:val="22"/>
          <w:lang w:val="lt-LT"/>
        </w:rPr>
      </w:pPr>
      <w:r w:rsidRPr="004E29AA">
        <w:rPr>
          <w:i/>
          <w:sz w:val="22"/>
          <w:szCs w:val="22"/>
          <w:lang w:val="lt-LT"/>
        </w:rPr>
        <w:t>klaritromiciną</w:t>
      </w:r>
      <w:r w:rsidRPr="00832FC3">
        <w:rPr>
          <w:sz w:val="22"/>
          <w:szCs w:val="22"/>
          <w:lang w:val="lt-LT"/>
        </w:rPr>
        <w:t xml:space="preserve"> (antibiotiką);</w:t>
      </w:r>
    </w:p>
    <w:p w14:paraId="5203B1D4" w14:textId="77777777" w:rsidR="00106F96" w:rsidRPr="00832FC3" w:rsidRDefault="00106F96" w:rsidP="00106F96">
      <w:pPr>
        <w:pStyle w:val="BT-EMEASMCA"/>
        <w:numPr>
          <w:ilvl w:val="0"/>
          <w:numId w:val="25"/>
        </w:numPr>
        <w:ind w:left="567" w:hanging="567"/>
        <w:rPr>
          <w:sz w:val="22"/>
          <w:szCs w:val="22"/>
          <w:lang w:val="lt-LT"/>
        </w:rPr>
      </w:pPr>
      <w:r w:rsidRPr="004E29AA">
        <w:rPr>
          <w:i/>
          <w:sz w:val="22"/>
          <w:szCs w:val="22"/>
          <w:lang w:val="lt-LT"/>
        </w:rPr>
        <w:t xml:space="preserve">ketokonazolą, itrakonazolą, flukonazolą, pozakonazolą, klotrimazolą </w:t>
      </w:r>
      <w:r w:rsidRPr="00832FC3">
        <w:rPr>
          <w:sz w:val="22"/>
          <w:szCs w:val="22"/>
          <w:lang w:val="lt-LT"/>
        </w:rPr>
        <w:t>(grybelių sukeltoms infekcijoms gydyti). Vorikonazolą galima vartoti tik po medicininio ištyrimo;</w:t>
      </w:r>
    </w:p>
    <w:p w14:paraId="72C9FCEF" w14:textId="77777777" w:rsidR="00106F96" w:rsidRPr="00832FC3" w:rsidRDefault="00106F96" w:rsidP="00106F96">
      <w:pPr>
        <w:pStyle w:val="BT-EMEASMCA"/>
        <w:numPr>
          <w:ilvl w:val="0"/>
          <w:numId w:val="25"/>
        </w:numPr>
        <w:ind w:left="567" w:hanging="567"/>
        <w:rPr>
          <w:sz w:val="22"/>
          <w:szCs w:val="22"/>
          <w:lang w:val="lt-LT"/>
        </w:rPr>
      </w:pPr>
      <w:r w:rsidRPr="004E29AA">
        <w:rPr>
          <w:i/>
          <w:sz w:val="22"/>
          <w:szCs w:val="22"/>
          <w:lang w:val="lt-LT"/>
        </w:rPr>
        <w:t>rifabutiną</w:t>
      </w:r>
      <w:r w:rsidRPr="00832FC3">
        <w:rPr>
          <w:sz w:val="22"/>
          <w:szCs w:val="22"/>
          <w:lang w:val="lt-LT"/>
        </w:rPr>
        <w:t xml:space="preserve"> (vaistą nuo bakterijų sukeltų infekcijų);</w:t>
      </w:r>
    </w:p>
    <w:p w14:paraId="49F964BE" w14:textId="77777777" w:rsidR="00106F96" w:rsidRPr="00832FC3" w:rsidRDefault="00106F96" w:rsidP="00106F96">
      <w:pPr>
        <w:pStyle w:val="BT-EMEASMCA"/>
        <w:numPr>
          <w:ilvl w:val="0"/>
          <w:numId w:val="25"/>
        </w:numPr>
        <w:ind w:left="567" w:hanging="567"/>
        <w:rPr>
          <w:sz w:val="22"/>
          <w:szCs w:val="22"/>
          <w:lang w:val="lt-LT"/>
        </w:rPr>
      </w:pPr>
      <w:r w:rsidRPr="004E29AA">
        <w:rPr>
          <w:i/>
          <w:sz w:val="22"/>
          <w:szCs w:val="22"/>
          <w:lang w:val="lt-LT"/>
        </w:rPr>
        <w:t>sildenafilį, vardenafilį, tadalafilį</w:t>
      </w:r>
      <w:r w:rsidRPr="00832FC3">
        <w:rPr>
          <w:sz w:val="22"/>
          <w:szCs w:val="22"/>
          <w:lang w:val="lt-LT"/>
        </w:rPr>
        <w:t xml:space="preserve"> (vaistus nuo erekcijos sutrikimo arba padidėjusio kraujospūdžio plaučių kraujagyslėse);</w:t>
      </w:r>
    </w:p>
    <w:p w14:paraId="7F9ABA0A" w14:textId="77777777" w:rsidR="00106F96" w:rsidRPr="00832FC3" w:rsidRDefault="00106F96" w:rsidP="00106F96">
      <w:pPr>
        <w:pStyle w:val="BT-EMEASMCA"/>
        <w:numPr>
          <w:ilvl w:val="0"/>
          <w:numId w:val="25"/>
        </w:numPr>
        <w:ind w:left="567" w:hanging="567"/>
        <w:rPr>
          <w:sz w:val="22"/>
          <w:szCs w:val="22"/>
          <w:lang w:val="lt-LT"/>
        </w:rPr>
      </w:pPr>
      <w:r w:rsidRPr="004E29AA">
        <w:rPr>
          <w:i/>
          <w:sz w:val="22"/>
          <w:szCs w:val="22"/>
          <w:lang w:val="lt-LT"/>
        </w:rPr>
        <w:t>amitriptiliną, dezipraminą, imipramią, nortriptiliną, paroksetiną, sertraliną, trazodoną</w:t>
      </w:r>
      <w:r w:rsidRPr="00832FC3">
        <w:rPr>
          <w:sz w:val="22"/>
          <w:szCs w:val="22"/>
          <w:lang w:val="lt-LT"/>
        </w:rPr>
        <w:t xml:space="preserve"> (vaistus depresijai ir nerimui gydyti);</w:t>
      </w:r>
    </w:p>
    <w:p w14:paraId="6DE01CD9" w14:textId="77777777" w:rsidR="00106F96" w:rsidRPr="00832FC3" w:rsidRDefault="00106F96" w:rsidP="00106F96">
      <w:pPr>
        <w:pStyle w:val="BT-EMEASMCA"/>
        <w:numPr>
          <w:ilvl w:val="0"/>
          <w:numId w:val="25"/>
        </w:numPr>
        <w:ind w:left="567" w:hanging="567"/>
        <w:rPr>
          <w:sz w:val="22"/>
          <w:szCs w:val="22"/>
          <w:lang w:val="lt-LT"/>
        </w:rPr>
      </w:pPr>
      <w:r w:rsidRPr="004E29AA">
        <w:rPr>
          <w:i/>
          <w:sz w:val="22"/>
          <w:szCs w:val="22"/>
          <w:lang w:val="lt-LT"/>
        </w:rPr>
        <w:t>maraviroką</w:t>
      </w:r>
      <w:r w:rsidRPr="00832FC3">
        <w:rPr>
          <w:sz w:val="22"/>
          <w:szCs w:val="22"/>
          <w:lang w:val="lt-LT"/>
        </w:rPr>
        <w:t xml:space="preserve"> (ŽIV infekcijai gydyti);</w:t>
      </w:r>
    </w:p>
    <w:p w14:paraId="49BF9D8D" w14:textId="77777777" w:rsidR="00106F96" w:rsidRPr="00832FC3" w:rsidRDefault="00106F96" w:rsidP="00106F96">
      <w:pPr>
        <w:pStyle w:val="BT-EMEASMCA"/>
        <w:numPr>
          <w:ilvl w:val="0"/>
          <w:numId w:val="25"/>
        </w:numPr>
        <w:ind w:left="567" w:hanging="567"/>
        <w:rPr>
          <w:sz w:val="22"/>
          <w:szCs w:val="22"/>
          <w:lang w:val="lt-LT"/>
        </w:rPr>
      </w:pPr>
      <w:r w:rsidRPr="004E29AA">
        <w:rPr>
          <w:i/>
          <w:sz w:val="22"/>
          <w:szCs w:val="22"/>
          <w:lang w:val="lt-LT"/>
        </w:rPr>
        <w:t>metadoną</w:t>
      </w:r>
      <w:r w:rsidRPr="00832FC3">
        <w:rPr>
          <w:sz w:val="22"/>
          <w:szCs w:val="22"/>
          <w:lang w:val="lt-LT"/>
        </w:rPr>
        <w:t xml:space="preserve"> (priklausomybei nuo opiatų gydyti);</w:t>
      </w:r>
    </w:p>
    <w:p w14:paraId="570C19A4" w14:textId="77777777" w:rsidR="00106F96" w:rsidRPr="00832FC3" w:rsidRDefault="00106F96" w:rsidP="00106F96">
      <w:pPr>
        <w:pStyle w:val="BT-EMEASMCA"/>
        <w:numPr>
          <w:ilvl w:val="0"/>
          <w:numId w:val="25"/>
        </w:numPr>
        <w:ind w:left="567" w:hanging="567"/>
        <w:rPr>
          <w:sz w:val="22"/>
          <w:szCs w:val="22"/>
          <w:lang w:val="lt-LT"/>
        </w:rPr>
      </w:pPr>
      <w:r w:rsidRPr="004E29AA">
        <w:rPr>
          <w:i/>
          <w:sz w:val="22"/>
          <w:szCs w:val="22"/>
          <w:lang w:val="lt-LT"/>
        </w:rPr>
        <w:t>karbamazepiną</w:t>
      </w:r>
      <w:r w:rsidRPr="00832FC3">
        <w:rPr>
          <w:sz w:val="22"/>
          <w:szCs w:val="22"/>
          <w:lang w:val="lt-LT"/>
        </w:rPr>
        <w:t xml:space="preserve"> (nuo priepuolių ar tam tikro nervinio skausmo);</w:t>
      </w:r>
    </w:p>
    <w:p w14:paraId="0640863E" w14:textId="77777777" w:rsidR="00106F96" w:rsidRPr="00832FC3" w:rsidRDefault="00106F96" w:rsidP="00106F96">
      <w:pPr>
        <w:pStyle w:val="BT-EMEASMCA"/>
        <w:numPr>
          <w:ilvl w:val="0"/>
          <w:numId w:val="25"/>
        </w:numPr>
        <w:ind w:left="567" w:hanging="567"/>
        <w:rPr>
          <w:sz w:val="22"/>
          <w:szCs w:val="22"/>
          <w:lang w:val="lt-LT"/>
        </w:rPr>
      </w:pPr>
      <w:r w:rsidRPr="004E29AA">
        <w:rPr>
          <w:i/>
          <w:sz w:val="22"/>
          <w:szCs w:val="22"/>
          <w:lang w:val="lt-LT"/>
        </w:rPr>
        <w:t>kolchiciną</w:t>
      </w:r>
      <w:r w:rsidRPr="00832FC3">
        <w:rPr>
          <w:sz w:val="22"/>
          <w:szCs w:val="22"/>
          <w:lang w:val="lt-LT"/>
        </w:rPr>
        <w:t xml:space="preserve"> (podagrai gydyti);</w:t>
      </w:r>
    </w:p>
    <w:p w14:paraId="746AADF2" w14:textId="77777777" w:rsidR="00106F96" w:rsidRPr="00832FC3" w:rsidRDefault="00106F96" w:rsidP="00106F96">
      <w:pPr>
        <w:pStyle w:val="BT-EMEASMCA"/>
        <w:numPr>
          <w:ilvl w:val="0"/>
          <w:numId w:val="25"/>
        </w:numPr>
        <w:ind w:left="567" w:hanging="567"/>
        <w:rPr>
          <w:sz w:val="22"/>
          <w:szCs w:val="22"/>
          <w:lang w:val="lt-LT"/>
        </w:rPr>
      </w:pPr>
      <w:r w:rsidRPr="004E29AA">
        <w:rPr>
          <w:i/>
          <w:sz w:val="22"/>
          <w:szCs w:val="22"/>
          <w:lang w:val="lt-LT"/>
        </w:rPr>
        <w:t>bozentaną</w:t>
      </w:r>
      <w:r w:rsidRPr="00832FC3">
        <w:rPr>
          <w:sz w:val="22"/>
          <w:szCs w:val="22"/>
          <w:lang w:val="lt-LT"/>
        </w:rPr>
        <w:t xml:space="preserve"> (padidėjusiam kraujospūdžiui plaučių kraujagyslėse gydyti);</w:t>
      </w:r>
    </w:p>
    <w:p w14:paraId="3BA00A4F" w14:textId="77777777" w:rsidR="00106F96" w:rsidRPr="00832FC3" w:rsidRDefault="00106F96" w:rsidP="00106F96">
      <w:pPr>
        <w:pStyle w:val="BT-EMEASMCA"/>
        <w:numPr>
          <w:ilvl w:val="0"/>
          <w:numId w:val="25"/>
        </w:numPr>
        <w:ind w:left="567" w:hanging="567"/>
        <w:rPr>
          <w:sz w:val="22"/>
          <w:szCs w:val="22"/>
          <w:lang w:val="lt-LT"/>
        </w:rPr>
      </w:pPr>
      <w:r w:rsidRPr="004E29AA">
        <w:rPr>
          <w:i/>
          <w:sz w:val="22"/>
          <w:szCs w:val="22"/>
          <w:lang w:val="lt-LT"/>
        </w:rPr>
        <w:t>buspironą, klorazepatą, diazepamą, estazolamą, flurazepamą, ne per burną vartojamą midazolamą, zoldipemą</w:t>
      </w:r>
      <w:r w:rsidRPr="00832FC3">
        <w:rPr>
          <w:sz w:val="22"/>
          <w:szCs w:val="22"/>
          <w:lang w:val="lt-LT"/>
        </w:rPr>
        <w:t xml:space="preserve"> (raminamuosius vaistus);</w:t>
      </w:r>
    </w:p>
    <w:p w14:paraId="05B85A09"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perfenaziną, risperidoną, tioridaziną (psichinėms būklėms gydyti);</w:t>
      </w:r>
    </w:p>
    <w:p w14:paraId="0C62BCE0" w14:textId="77777777" w:rsidR="00106F96" w:rsidRPr="00832FC3" w:rsidRDefault="00106F96" w:rsidP="00106F96">
      <w:pPr>
        <w:rPr>
          <w:sz w:val="22"/>
          <w:szCs w:val="22"/>
          <w:lang w:val="lt-LT"/>
        </w:rPr>
      </w:pPr>
    </w:p>
    <w:p w14:paraId="42F49A4B" w14:textId="77777777" w:rsidR="00106F96" w:rsidRPr="00832FC3" w:rsidRDefault="00106F96" w:rsidP="00106F96">
      <w:pPr>
        <w:rPr>
          <w:lang w:val="lt-LT"/>
        </w:rPr>
      </w:pPr>
      <w:r w:rsidRPr="00832FC3">
        <w:rPr>
          <w:sz w:val="22"/>
          <w:szCs w:val="22"/>
          <w:lang w:val="lt-LT"/>
        </w:rPr>
        <w:t xml:space="preserve">Šis vaistų sąrašas </w:t>
      </w:r>
      <w:r w:rsidRPr="00832FC3">
        <w:rPr>
          <w:b/>
          <w:sz w:val="22"/>
          <w:szCs w:val="22"/>
          <w:lang w:val="lt-LT"/>
        </w:rPr>
        <w:t>nėra</w:t>
      </w:r>
      <w:r w:rsidRPr="00832FC3">
        <w:rPr>
          <w:sz w:val="22"/>
          <w:szCs w:val="22"/>
          <w:lang w:val="lt-LT"/>
        </w:rPr>
        <w:t xml:space="preserve"> baigtinis. Pasakykite sveikatos priežiūros specialistui apie visus vaistus, kuriuos vartojate</w:t>
      </w:r>
      <w:r w:rsidRPr="00832FC3">
        <w:rPr>
          <w:lang w:val="lt-LT"/>
        </w:rPr>
        <w:t>.</w:t>
      </w:r>
    </w:p>
    <w:p w14:paraId="3CCFFC93" w14:textId="77777777" w:rsidR="00106F96" w:rsidRPr="00832FC3" w:rsidRDefault="00106F96" w:rsidP="00106F96">
      <w:pPr>
        <w:rPr>
          <w:rFonts w:eastAsia="Times New Roman"/>
          <w:sz w:val="22"/>
          <w:szCs w:val="22"/>
          <w:lang w:val="lt-LT" w:eastAsia="lt-LT" w:bidi="lt-LT"/>
        </w:rPr>
      </w:pPr>
    </w:p>
    <w:p w14:paraId="12195844" w14:textId="77777777" w:rsidR="00106F96" w:rsidRPr="00832FC3" w:rsidRDefault="00106F96" w:rsidP="00106F96">
      <w:pPr>
        <w:rPr>
          <w:b/>
          <w:sz w:val="22"/>
          <w:szCs w:val="22"/>
          <w:lang w:val="lt-LT"/>
        </w:rPr>
      </w:pPr>
      <w:r w:rsidRPr="00832FC3">
        <w:rPr>
          <w:rFonts w:eastAsia="Times New Roman"/>
          <w:b/>
          <w:sz w:val="22"/>
          <w:szCs w:val="22"/>
          <w:lang w:val="lt-LT" w:eastAsia="lt-LT" w:bidi="lt-LT"/>
        </w:rPr>
        <w:t xml:space="preserve">Darunavir Teva </w:t>
      </w:r>
      <w:r w:rsidRPr="00832FC3">
        <w:rPr>
          <w:b/>
          <w:sz w:val="22"/>
          <w:szCs w:val="22"/>
          <w:lang w:val="lt-LT"/>
        </w:rPr>
        <w:t>vartojimas su maistu ir gėrimais</w:t>
      </w:r>
    </w:p>
    <w:p w14:paraId="715BD967" w14:textId="77777777" w:rsidR="00106F96" w:rsidRPr="00832FC3" w:rsidRDefault="00106F96" w:rsidP="00106F96">
      <w:pPr>
        <w:rPr>
          <w:sz w:val="22"/>
          <w:szCs w:val="22"/>
          <w:lang w:val="lt-LT"/>
        </w:rPr>
      </w:pPr>
      <w:r w:rsidRPr="00832FC3">
        <w:rPr>
          <w:sz w:val="22"/>
          <w:szCs w:val="22"/>
          <w:lang w:val="lt-LT"/>
        </w:rPr>
        <w:t xml:space="preserve">Žr. 3 skyrių „Kaip vartoti </w:t>
      </w:r>
      <w:r w:rsidRPr="00832FC3">
        <w:rPr>
          <w:rFonts w:eastAsia="Times New Roman"/>
          <w:sz w:val="22"/>
          <w:szCs w:val="22"/>
          <w:lang w:val="lt-LT" w:eastAsia="lt-LT" w:bidi="lt-LT"/>
        </w:rPr>
        <w:t xml:space="preserve">Darunavir Teva </w:t>
      </w:r>
      <w:r w:rsidRPr="00832FC3">
        <w:rPr>
          <w:sz w:val="22"/>
          <w:szCs w:val="22"/>
          <w:lang w:val="lt-LT"/>
        </w:rPr>
        <w:t>“.</w:t>
      </w:r>
    </w:p>
    <w:p w14:paraId="6BB0472A" w14:textId="77777777" w:rsidR="00574881" w:rsidRDefault="00574881" w:rsidP="00106F96">
      <w:pPr>
        <w:rPr>
          <w:b/>
          <w:sz w:val="22"/>
          <w:szCs w:val="22"/>
          <w:lang w:val="lt-LT"/>
        </w:rPr>
      </w:pPr>
    </w:p>
    <w:p w14:paraId="64A7151C" w14:textId="77777777" w:rsidR="00106F96" w:rsidRPr="00832FC3" w:rsidRDefault="00106F96" w:rsidP="00106F96">
      <w:pPr>
        <w:rPr>
          <w:b/>
          <w:sz w:val="22"/>
          <w:szCs w:val="22"/>
          <w:lang w:val="lt-LT"/>
        </w:rPr>
      </w:pPr>
      <w:r w:rsidRPr="00832FC3">
        <w:rPr>
          <w:b/>
          <w:sz w:val="22"/>
          <w:szCs w:val="22"/>
          <w:lang w:val="lt-LT"/>
        </w:rPr>
        <w:t>Nėštumas ir žindymo laikotarpis</w:t>
      </w:r>
    </w:p>
    <w:p w14:paraId="78E1C0F0" w14:textId="77777777" w:rsidR="00106F96" w:rsidRPr="00832FC3" w:rsidRDefault="00106F96" w:rsidP="00106F96">
      <w:pPr>
        <w:rPr>
          <w:sz w:val="22"/>
          <w:szCs w:val="22"/>
          <w:lang w:val="lt-LT"/>
        </w:rPr>
      </w:pPr>
      <w:r w:rsidRPr="00832FC3">
        <w:rPr>
          <w:sz w:val="22"/>
          <w:szCs w:val="22"/>
          <w:lang w:val="lt-LT"/>
        </w:rPr>
        <w:t xml:space="preserve">Jei esate nėščia ar žindote kūdikį, nedelsdama pasakykite gydytojui. </w:t>
      </w:r>
      <w:r w:rsidRPr="00832FC3">
        <w:rPr>
          <w:rFonts w:eastAsia="Times New Roman"/>
          <w:sz w:val="22"/>
          <w:lang w:val="lt-LT" w:eastAsia="lt-LT" w:bidi="lt-LT"/>
        </w:rPr>
        <w:t xml:space="preserve">Darunavir Teva </w:t>
      </w:r>
      <w:r w:rsidRPr="00832FC3">
        <w:rPr>
          <w:sz w:val="22"/>
          <w:szCs w:val="22"/>
          <w:lang w:val="lt-LT"/>
        </w:rPr>
        <w:t>nėštumo metu ir žindymo laikotarpiu vartoti negalima, išskyrus atvejus, kai tai daryti nurodė gydytojas. Rekomenduojama, kad ŽIV infekuota motina nežindytų kūdiki</w:t>
      </w:r>
      <w:r w:rsidR="00574881">
        <w:rPr>
          <w:sz w:val="22"/>
          <w:szCs w:val="22"/>
          <w:lang w:val="lt-LT"/>
        </w:rPr>
        <w:t>o</w:t>
      </w:r>
      <w:r w:rsidRPr="00832FC3">
        <w:rPr>
          <w:sz w:val="22"/>
          <w:szCs w:val="22"/>
          <w:lang w:val="lt-LT"/>
        </w:rPr>
        <w:t>, nes yra galimybė, kad kūdikis užsikrės ŽIV per Jūsų pieną, be to, nėra žinoma apie vaisto poveikį Jūsų vaikui.</w:t>
      </w:r>
    </w:p>
    <w:p w14:paraId="07B3BB5D" w14:textId="77777777" w:rsidR="00106F96" w:rsidRPr="00832FC3" w:rsidRDefault="00106F96" w:rsidP="00106F96">
      <w:pPr>
        <w:rPr>
          <w:sz w:val="22"/>
          <w:szCs w:val="22"/>
          <w:lang w:val="lt-LT"/>
        </w:rPr>
      </w:pPr>
    </w:p>
    <w:p w14:paraId="1527A226" w14:textId="77777777" w:rsidR="00106F96" w:rsidRPr="00832FC3" w:rsidRDefault="00106F96" w:rsidP="00106F96">
      <w:pPr>
        <w:rPr>
          <w:b/>
          <w:sz w:val="22"/>
          <w:szCs w:val="22"/>
          <w:lang w:val="lt-LT"/>
        </w:rPr>
      </w:pPr>
      <w:r w:rsidRPr="00832FC3">
        <w:rPr>
          <w:b/>
          <w:sz w:val="22"/>
          <w:szCs w:val="22"/>
          <w:lang w:val="lt-LT"/>
        </w:rPr>
        <w:t>Vairavimas ir mechanizmų valdymas</w:t>
      </w:r>
    </w:p>
    <w:p w14:paraId="2C844A99" w14:textId="77777777" w:rsidR="00106F96" w:rsidRPr="00832FC3" w:rsidRDefault="00106F96" w:rsidP="00106F96">
      <w:pPr>
        <w:rPr>
          <w:sz w:val="22"/>
          <w:szCs w:val="22"/>
          <w:lang w:val="lt-LT"/>
        </w:rPr>
      </w:pPr>
      <w:r w:rsidRPr="00832FC3">
        <w:rPr>
          <w:sz w:val="22"/>
          <w:szCs w:val="22"/>
          <w:lang w:val="lt-LT"/>
        </w:rPr>
        <w:t xml:space="preserve">Mechanizmų valdyti ir vairuoti negalima, jeigu pavartojus </w:t>
      </w:r>
      <w:r w:rsidRPr="00832FC3">
        <w:rPr>
          <w:rFonts w:eastAsia="Times New Roman"/>
          <w:sz w:val="22"/>
          <w:lang w:val="lt-LT" w:eastAsia="lt-LT" w:bidi="lt-LT"/>
        </w:rPr>
        <w:t>Darunavir Teva</w:t>
      </w:r>
      <w:r w:rsidRPr="00832FC3">
        <w:rPr>
          <w:sz w:val="22"/>
          <w:szCs w:val="22"/>
          <w:lang w:val="lt-LT"/>
        </w:rPr>
        <w:t>, juntamas galvos svaig</w:t>
      </w:r>
      <w:r w:rsidR="00BD18CB">
        <w:rPr>
          <w:sz w:val="22"/>
          <w:szCs w:val="22"/>
          <w:lang w:val="lt-LT"/>
        </w:rPr>
        <w:t>ulys</w:t>
      </w:r>
      <w:r w:rsidRPr="00832FC3">
        <w:rPr>
          <w:sz w:val="22"/>
          <w:szCs w:val="22"/>
          <w:lang w:val="lt-LT"/>
        </w:rPr>
        <w:t>.</w:t>
      </w:r>
    </w:p>
    <w:p w14:paraId="6A2E8B4C" w14:textId="77777777" w:rsidR="00106F96" w:rsidRDefault="00106F96" w:rsidP="00106F96">
      <w:pPr>
        <w:rPr>
          <w:sz w:val="22"/>
          <w:szCs w:val="22"/>
          <w:lang w:val="lt-LT"/>
        </w:rPr>
      </w:pPr>
    </w:p>
    <w:p w14:paraId="7DE717E8" w14:textId="77777777" w:rsidR="00F05FE6" w:rsidRPr="00832FC3" w:rsidRDefault="00F05FE6" w:rsidP="00106F96">
      <w:pPr>
        <w:rPr>
          <w:sz w:val="22"/>
          <w:szCs w:val="22"/>
          <w:lang w:val="lt-LT"/>
        </w:rPr>
      </w:pPr>
    </w:p>
    <w:p w14:paraId="16A2D9E6" w14:textId="77777777" w:rsidR="00106F96" w:rsidRPr="00832FC3" w:rsidRDefault="00106F96" w:rsidP="00106F96">
      <w:pPr>
        <w:keepNext/>
        <w:keepLines/>
        <w:tabs>
          <w:tab w:val="left" w:pos="567"/>
        </w:tabs>
        <w:outlineLvl w:val="2"/>
        <w:rPr>
          <w:b/>
          <w:sz w:val="22"/>
          <w:szCs w:val="22"/>
          <w:lang w:val="lt-LT"/>
        </w:rPr>
      </w:pPr>
      <w:r w:rsidRPr="00832FC3">
        <w:rPr>
          <w:rFonts w:eastAsia="Times New Roman"/>
          <w:b/>
          <w:bCs/>
          <w:snapToGrid w:val="0"/>
          <w:sz w:val="22"/>
          <w:szCs w:val="26"/>
          <w:lang w:val="lt-LT" w:eastAsia="x-none"/>
        </w:rPr>
        <w:t>3.</w:t>
      </w:r>
      <w:r w:rsidRPr="00832FC3">
        <w:rPr>
          <w:rFonts w:eastAsia="Times New Roman"/>
          <w:b/>
          <w:bCs/>
          <w:snapToGrid w:val="0"/>
          <w:sz w:val="22"/>
          <w:szCs w:val="26"/>
          <w:lang w:val="lt-LT" w:eastAsia="x-none"/>
        </w:rPr>
        <w:tab/>
        <w:t xml:space="preserve">Kaip vartoti </w:t>
      </w:r>
      <w:r w:rsidRPr="00832FC3">
        <w:rPr>
          <w:rFonts w:eastAsia="Times New Roman"/>
          <w:b/>
          <w:sz w:val="22"/>
          <w:lang w:val="lt-LT" w:eastAsia="lt-LT" w:bidi="lt-LT"/>
        </w:rPr>
        <w:t>Darunavir Teva</w:t>
      </w:r>
    </w:p>
    <w:p w14:paraId="008E06A1" w14:textId="77777777" w:rsidR="00106F96" w:rsidRPr="00832FC3" w:rsidRDefault="00106F96" w:rsidP="00106F96">
      <w:pPr>
        <w:rPr>
          <w:sz w:val="22"/>
          <w:szCs w:val="22"/>
          <w:lang w:val="lt-LT"/>
        </w:rPr>
      </w:pPr>
    </w:p>
    <w:p w14:paraId="63A0F932" w14:textId="77777777" w:rsidR="00106F96" w:rsidRPr="00832FC3" w:rsidRDefault="00106F96" w:rsidP="00106F96">
      <w:pPr>
        <w:rPr>
          <w:sz w:val="22"/>
          <w:szCs w:val="22"/>
          <w:lang w:val="lt-LT"/>
        </w:rPr>
      </w:pPr>
      <w:r w:rsidRPr="00832FC3">
        <w:rPr>
          <w:sz w:val="22"/>
          <w:szCs w:val="22"/>
          <w:lang w:val="lt-LT"/>
        </w:rPr>
        <w:lastRenderedPageBreak/>
        <w:t xml:space="preserve">Visada vartokite šį vaistą tiksliai kaip aprašyta šiame lapelyje arba kaip nurodė gydytojas, vaistininkas arba slaugytoja. Jeigu abejojate, kreipkitės į gydytoją, vaistininką arba slaugytoją. Net jei pasijutote geriau, be gydytojo leidimo nenustokite vartoti </w:t>
      </w:r>
      <w:r w:rsidRPr="00832FC3">
        <w:rPr>
          <w:rFonts w:eastAsia="Times New Roman"/>
          <w:sz w:val="22"/>
          <w:lang w:val="lt-LT" w:eastAsia="lt-LT" w:bidi="lt-LT"/>
        </w:rPr>
        <w:t>Darunavir Teva ir</w:t>
      </w:r>
      <w:r w:rsidRPr="00832FC3">
        <w:rPr>
          <w:sz w:val="22"/>
          <w:szCs w:val="22"/>
          <w:lang w:val="lt-LT"/>
        </w:rPr>
        <w:t xml:space="preserve"> ritonavir</w:t>
      </w:r>
      <w:r w:rsidR="00574881">
        <w:rPr>
          <w:sz w:val="22"/>
          <w:szCs w:val="22"/>
          <w:lang w:val="lt-LT"/>
        </w:rPr>
        <w:t>o</w:t>
      </w:r>
      <w:r w:rsidRPr="00832FC3">
        <w:rPr>
          <w:sz w:val="22"/>
          <w:szCs w:val="22"/>
          <w:lang w:val="lt-LT"/>
        </w:rPr>
        <w:t>.</w:t>
      </w:r>
    </w:p>
    <w:p w14:paraId="3184E189" w14:textId="77777777" w:rsidR="00106F96" w:rsidRPr="00832FC3" w:rsidRDefault="00106F96" w:rsidP="00106F96">
      <w:pPr>
        <w:rPr>
          <w:sz w:val="22"/>
          <w:szCs w:val="22"/>
          <w:lang w:val="lt-LT"/>
        </w:rPr>
      </w:pPr>
    </w:p>
    <w:p w14:paraId="51CD1910" w14:textId="77777777" w:rsidR="00106F96" w:rsidRPr="00832FC3" w:rsidRDefault="00574881" w:rsidP="00106F96">
      <w:pPr>
        <w:rPr>
          <w:sz w:val="22"/>
          <w:szCs w:val="22"/>
          <w:lang w:val="lt-LT"/>
        </w:rPr>
      </w:pPr>
      <w:r>
        <w:rPr>
          <w:sz w:val="22"/>
          <w:szCs w:val="22"/>
          <w:lang w:val="lt-LT"/>
        </w:rPr>
        <w:t>Pradėjus gydymą, dozės ar vaisto formos</w:t>
      </w:r>
      <w:r w:rsidR="00106F96" w:rsidRPr="00832FC3">
        <w:rPr>
          <w:sz w:val="22"/>
          <w:szCs w:val="22"/>
          <w:lang w:val="lt-LT"/>
        </w:rPr>
        <w:t xml:space="preserve"> keisti arba gydymo nutraukti be gydytojo nurodymo negalima. </w:t>
      </w:r>
    </w:p>
    <w:p w14:paraId="444761EA" w14:textId="77777777" w:rsidR="00106F96" w:rsidRPr="00832FC3" w:rsidRDefault="00106F96" w:rsidP="00106F96">
      <w:pPr>
        <w:rPr>
          <w:b/>
          <w:sz w:val="22"/>
          <w:szCs w:val="22"/>
          <w:lang w:val="lt-LT"/>
        </w:rPr>
      </w:pPr>
    </w:p>
    <w:p w14:paraId="01842574" w14:textId="77777777" w:rsidR="00106F96" w:rsidRPr="00832FC3" w:rsidRDefault="00106F96" w:rsidP="00106F96">
      <w:pPr>
        <w:rPr>
          <w:b/>
          <w:sz w:val="22"/>
          <w:szCs w:val="22"/>
          <w:lang w:val="lt-LT"/>
        </w:rPr>
      </w:pPr>
      <w:r w:rsidRPr="00832FC3">
        <w:rPr>
          <w:b/>
          <w:sz w:val="22"/>
          <w:szCs w:val="22"/>
          <w:lang w:val="lt-LT"/>
        </w:rPr>
        <w:t>Dozė suaugusiesiems, kurie anksčiau nevartojo antiretrovirusinių vaistų (ją nustatys gydytojas)</w:t>
      </w:r>
    </w:p>
    <w:p w14:paraId="459D85A4" w14:textId="77777777" w:rsidR="00106F96" w:rsidRPr="00832FC3" w:rsidRDefault="00106F96" w:rsidP="00106F96">
      <w:pPr>
        <w:rPr>
          <w:sz w:val="22"/>
          <w:szCs w:val="22"/>
          <w:lang w:val="lt-LT"/>
        </w:rPr>
      </w:pPr>
      <w:r w:rsidRPr="00832FC3">
        <w:rPr>
          <w:sz w:val="22"/>
          <w:szCs w:val="22"/>
          <w:lang w:val="lt-LT"/>
        </w:rPr>
        <w:t xml:space="preserve">Jums prireiks kitokios </w:t>
      </w:r>
      <w:r w:rsidRPr="00832FC3">
        <w:rPr>
          <w:rFonts w:eastAsia="Times New Roman"/>
          <w:sz w:val="22"/>
          <w:lang w:val="lt-LT" w:eastAsia="lt-LT" w:bidi="lt-LT"/>
        </w:rPr>
        <w:t>Darunavir Teva</w:t>
      </w:r>
      <w:r w:rsidRPr="00832FC3">
        <w:rPr>
          <w:sz w:val="22"/>
          <w:szCs w:val="22"/>
          <w:lang w:val="lt-LT"/>
        </w:rPr>
        <w:t xml:space="preserve"> dozės, kurios neįmanoma gauti, vartojant šias 600 mg tabletes. Galima vartoti kitokio stiprumo </w:t>
      </w:r>
      <w:r w:rsidRPr="00832FC3">
        <w:rPr>
          <w:rFonts w:eastAsia="Times New Roman"/>
          <w:sz w:val="22"/>
          <w:lang w:val="lt-LT" w:eastAsia="lt-LT" w:bidi="lt-LT"/>
        </w:rPr>
        <w:t>Darunavir Teva tabletes.</w:t>
      </w:r>
    </w:p>
    <w:p w14:paraId="471CCEC1" w14:textId="77777777" w:rsidR="00106F96" w:rsidRPr="00832FC3" w:rsidRDefault="00106F96" w:rsidP="00106F96">
      <w:pPr>
        <w:rPr>
          <w:sz w:val="22"/>
          <w:szCs w:val="22"/>
          <w:lang w:val="lt-LT"/>
        </w:rPr>
      </w:pPr>
    </w:p>
    <w:p w14:paraId="37348FD1" w14:textId="77777777" w:rsidR="00106F96" w:rsidRPr="00832FC3" w:rsidRDefault="00106F96" w:rsidP="00106F96">
      <w:pPr>
        <w:pStyle w:val="BT-EMEASMCA"/>
        <w:numPr>
          <w:ilvl w:val="0"/>
          <w:numId w:val="0"/>
        </w:numPr>
        <w:rPr>
          <w:b/>
          <w:sz w:val="22"/>
          <w:szCs w:val="22"/>
          <w:lang w:val="lt-LT"/>
        </w:rPr>
      </w:pPr>
      <w:r w:rsidRPr="00832FC3">
        <w:rPr>
          <w:b/>
          <w:sz w:val="22"/>
          <w:szCs w:val="22"/>
          <w:lang w:val="lt-LT"/>
        </w:rPr>
        <w:t>Dozė suaugusiesiems, kurie anksčiau vartojo antiretrovirusinių vaistų (ją nustatys gydytojas)</w:t>
      </w:r>
    </w:p>
    <w:p w14:paraId="767E0643" w14:textId="77777777" w:rsidR="00106F96" w:rsidRPr="00832FC3" w:rsidRDefault="00106F96" w:rsidP="00106F96">
      <w:pPr>
        <w:pStyle w:val="BT-EMEASMCA"/>
        <w:numPr>
          <w:ilvl w:val="0"/>
          <w:numId w:val="0"/>
        </w:numPr>
        <w:rPr>
          <w:sz w:val="22"/>
          <w:szCs w:val="22"/>
          <w:lang w:val="lt-LT"/>
        </w:rPr>
      </w:pPr>
      <w:r w:rsidRPr="00832FC3">
        <w:rPr>
          <w:sz w:val="22"/>
          <w:szCs w:val="22"/>
          <w:lang w:val="lt-LT"/>
        </w:rPr>
        <w:t>Dozė gali būti:</w:t>
      </w:r>
    </w:p>
    <w:p w14:paraId="5BC3212A"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 xml:space="preserve">600 miligramų </w:t>
      </w:r>
      <w:r w:rsidRPr="00832FC3">
        <w:rPr>
          <w:rFonts w:eastAsia="Times New Roman"/>
          <w:sz w:val="22"/>
          <w:lang w:val="lt-LT" w:eastAsia="lt-LT" w:bidi="lt-LT"/>
        </w:rPr>
        <w:t xml:space="preserve">Darunavir Teva </w:t>
      </w:r>
      <w:r w:rsidRPr="00832FC3">
        <w:rPr>
          <w:sz w:val="22"/>
          <w:szCs w:val="22"/>
          <w:lang w:val="lt-LT"/>
        </w:rPr>
        <w:t xml:space="preserve">(2 tabletės, kuriose yra po 300 miligramų </w:t>
      </w:r>
      <w:r w:rsidRPr="00832FC3">
        <w:rPr>
          <w:rFonts w:eastAsia="Times New Roman"/>
          <w:sz w:val="22"/>
          <w:lang w:val="lt-LT" w:eastAsia="lt-LT" w:bidi="lt-LT"/>
        </w:rPr>
        <w:t>Darunavir Teva arba viena tabletė, kurioje yra 600 mg Darunavir Teva</w:t>
      </w:r>
      <w:r w:rsidRPr="00832FC3">
        <w:rPr>
          <w:sz w:val="22"/>
          <w:szCs w:val="22"/>
          <w:lang w:val="lt-LT"/>
        </w:rPr>
        <w:t>) kartu su 100 miligramų ritonaviro vieną kartą per parą;</w:t>
      </w:r>
    </w:p>
    <w:p w14:paraId="67DC2697" w14:textId="77777777" w:rsidR="00106F96" w:rsidRPr="00832FC3" w:rsidRDefault="00106F96" w:rsidP="00106F96">
      <w:pPr>
        <w:pStyle w:val="BT-EMEASMCA"/>
        <w:numPr>
          <w:ilvl w:val="0"/>
          <w:numId w:val="0"/>
        </w:numPr>
        <w:rPr>
          <w:sz w:val="22"/>
          <w:szCs w:val="22"/>
          <w:lang w:val="lt-LT"/>
        </w:rPr>
      </w:pPr>
      <w:r w:rsidRPr="00832FC3">
        <w:rPr>
          <w:sz w:val="22"/>
          <w:szCs w:val="22"/>
          <w:lang w:val="lt-LT"/>
        </w:rPr>
        <w:t>ARBA</w:t>
      </w:r>
    </w:p>
    <w:p w14:paraId="03C16300" w14:textId="77777777" w:rsidR="00106F96" w:rsidRPr="00936ACB" w:rsidRDefault="00106F96" w:rsidP="00106F96">
      <w:pPr>
        <w:pStyle w:val="BT-EMEASMCA"/>
        <w:numPr>
          <w:ilvl w:val="0"/>
          <w:numId w:val="25"/>
        </w:numPr>
        <w:ind w:left="567" w:hanging="567"/>
        <w:rPr>
          <w:sz w:val="22"/>
          <w:szCs w:val="22"/>
          <w:lang w:val="lt-LT"/>
        </w:rPr>
      </w:pPr>
      <w:r w:rsidRPr="00832FC3">
        <w:rPr>
          <w:sz w:val="22"/>
          <w:szCs w:val="22"/>
          <w:lang w:val="lt-LT"/>
        </w:rPr>
        <w:t xml:space="preserve">800 miligramų </w:t>
      </w:r>
      <w:r w:rsidRPr="00832FC3">
        <w:rPr>
          <w:rFonts w:eastAsia="Times New Roman"/>
          <w:sz w:val="22"/>
          <w:lang w:val="lt-LT" w:eastAsia="lt-LT" w:bidi="lt-LT"/>
        </w:rPr>
        <w:t>Darunavir Teva</w:t>
      </w:r>
      <w:r w:rsidRPr="00832FC3">
        <w:rPr>
          <w:sz w:val="22"/>
          <w:szCs w:val="22"/>
          <w:lang w:val="lt-LT"/>
        </w:rPr>
        <w:t xml:space="preserve"> (2 tabletės, kuriose yra po 400 miligramų </w:t>
      </w:r>
      <w:r w:rsidRPr="00832FC3">
        <w:rPr>
          <w:rFonts w:eastAsia="Times New Roman"/>
          <w:sz w:val="22"/>
          <w:lang w:val="lt-LT" w:eastAsia="lt-LT" w:bidi="lt-LT"/>
        </w:rPr>
        <w:t>Darunavir Teva) k</w:t>
      </w:r>
      <w:r w:rsidRPr="00832FC3">
        <w:rPr>
          <w:sz w:val="22"/>
          <w:szCs w:val="22"/>
          <w:lang w:val="lt-LT"/>
        </w:rPr>
        <w:t>artu su 100 miligramų ritonaviro du kartus per parą.</w:t>
      </w:r>
      <w:r w:rsidR="00FC3F29">
        <w:rPr>
          <w:sz w:val="22"/>
          <w:szCs w:val="22"/>
          <w:lang w:val="lt-LT"/>
        </w:rPr>
        <w:t xml:space="preserve"> </w:t>
      </w:r>
      <w:r w:rsidR="00FC3F29" w:rsidRPr="00936ACB">
        <w:rPr>
          <w:sz w:val="22"/>
          <w:szCs w:val="22"/>
          <w:lang w:val="lt-LT"/>
        </w:rPr>
        <w:t xml:space="preserve">Darunavir Teva 400 mg tabletės gali būti vartojamos, tik paskyrus </w:t>
      </w:r>
      <w:r w:rsidR="00936ACB" w:rsidRPr="00936ACB">
        <w:rPr>
          <w:sz w:val="22"/>
          <w:szCs w:val="22"/>
          <w:lang w:val="lt-LT"/>
        </w:rPr>
        <w:t>800 mg vieną kartą per parą vartojimo režimą.</w:t>
      </w:r>
    </w:p>
    <w:p w14:paraId="2CFF98F2" w14:textId="77777777" w:rsidR="00106F96" w:rsidRPr="00832FC3" w:rsidRDefault="00106F96" w:rsidP="00106F96">
      <w:pPr>
        <w:rPr>
          <w:sz w:val="22"/>
          <w:szCs w:val="22"/>
          <w:lang w:val="lt-LT"/>
        </w:rPr>
      </w:pPr>
    </w:p>
    <w:p w14:paraId="649B3A41" w14:textId="77777777" w:rsidR="00106F96" w:rsidRDefault="00106F96" w:rsidP="00106F96">
      <w:pPr>
        <w:rPr>
          <w:sz w:val="22"/>
          <w:szCs w:val="22"/>
          <w:lang w:val="lt-LT"/>
        </w:rPr>
      </w:pPr>
      <w:r w:rsidRPr="00832FC3">
        <w:rPr>
          <w:sz w:val="22"/>
          <w:szCs w:val="22"/>
          <w:lang w:val="lt-LT"/>
        </w:rPr>
        <w:t>Pasitarkite su gydytoju, kuri dozė Jums tinka.</w:t>
      </w:r>
    </w:p>
    <w:p w14:paraId="3216AE40" w14:textId="77777777" w:rsidR="00936ACB" w:rsidRPr="00832FC3" w:rsidRDefault="00936ACB" w:rsidP="00106F96">
      <w:pPr>
        <w:rPr>
          <w:sz w:val="22"/>
          <w:szCs w:val="22"/>
          <w:lang w:val="lt-LT"/>
        </w:rPr>
      </w:pPr>
    </w:p>
    <w:p w14:paraId="2B27908A" w14:textId="77777777" w:rsidR="00936ACB" w:rsidRPr="00832FC3" w:rsidRDefault="00936ACB" w:rsidP="00936ACB">
      <w:pPr>
        <w:rPr>
          <w:b/>
          <w:i/>
          <w:sz w:val="22"/>
          <w:szCs w:val="22"/>
          <w:lang w:val="lt-LT"/>
        </w:rPr>
      </w:pPr>
      <w:r w:rsidRPr="00832FC3">
        <w:rPr>
          <w:b/>
          <w:i/>
          <w:sz w:val="22"/>
          <w:szCs w:val="22"/>
          <w:lang w:val="lt-LT"/>
        </w:rPr>
        <w:t>Instrukcijos suaugusiesiems</w:t>
      </w:r>
    </w:p>
    <w:p w14:paraId="27E0B5F5" w14:textId="77777777" w:rsidR="00936ACB" w:rsidRPr="00832FC3" w:rsidRDefault="00936ACB" w:rsidP="00936ACB">
      <w:pPr>
        <w:pStyle w:val="BT-EMEASMCA"/>
        <w:numPr>
          <w:ilvl w:val="0"/>
          <w:numId w:val="25"/>
        </w:numPr>
        <w:ind w:left="567" w:hanging="567"/>
        <w:rPr>
          <w:sz w:val="22"/>
          <w:szCs w:val="22"/>
          <w:lang w:val="lt-LT"/>
        </w:rPr>
      </w:pPr>
      <w:r w:rsidRPr="00832FC3">
        <w:rPr>
          <w:sz w:val="22"/>
          <w:szCs w:val="22"/>
          <w:lang w:val="lt-LT"/>
        </w:rPr>
        <w:t xml:space="preserve">Visada vartokite </w:t>
      </w:r>
      <w:r w:rsidRPr="00832FC3">
        <w:rPr>
          <w:rFonts w:eastAsia="Times New Roman"/>
          <w:sz w:val="22"/>
          <w:lang w:val="lt-LT" w:eastAsia="lt-LT" w:bidi="lt-LT"/>
        </w:rPr>
        <w:t>Darunavir Teva</w:t>
      </w:r>
      <w:r w:rsidRPr="00832FC3">
        <w:rPr>
          <w:sz w:val="22"/>
          <w:szCs w:val="22"/>
          <w:lang w:val="lt-LT"/>
        </w:rPr>
        <w:t xml:space="preserve"> kartu su ritonaviru. Be ritonaviro </w:t>
      </w:r>
      <w:r w:rsidRPr="00832FC3">
        <w:rPr>
          <w:rFonts w:eastAsia="Times New Roman"/>
          <w:sz w:val="22"/>
          <w:lang w:val="lt-LT" w:eastAsia="lt-LT" w:bidi="lt-LT"/>
        </w:rPr>
        <w:t>Darunavir Teva</w:t>
      </w:r>
      <w:r w:rsidRPr="00832FC3">
        <w:rPr>
          <w:sz w:val="22"/>
          <w:szCs w:val="22"/>
          <w:lang w:val="lt-LT"/>
        </w:rPr>
        <w:t xml:space="preserve"> veikia nepakankamai.</w:t>
      </w:r>
    </w:p>
    <w:p w14:paraId="72B137D7" w14:textId="77777777" w:rsidR="00936ACB" w:rsidRPr="00832FC3" w:rsidRDefault="00936ACB" w:rsidP="00936ACB">
      <w:pPr>
        <w:pStyle w:val="BT-EMEASMCA"/>
        <w:numPr>
          <w:ilvl w:val="0"/>
          <w:numId w:val="25"/>
        </w:numPr>
        <w:ind w:left="567" w:hanging="567"/>
        <w:rPr>
          <w:sz w:val="22"/>
          <w:szCs w:val="22"/>
          <w:lang w:val="lt-LT"/>
        </w:rPr>
      </w:pPr>
      <w:r w:rsidRPr="00832FC3">
        <w:rPr>
          <w:sz w:val="22"/>
          <w:szCs w:val="22"/>
          <w:lang w:val="lt-LT"/>
        </w:rPr>
        <w:t xml:space="preserve">Ryte vartokite vieną 600 miligramų </w:t>
      </w:r>
      <w:r w:rsidRPr="00832FC3">
        <w:rPr>
          <w:rFonts w:eastAsia="Times New Roman"/>
          <w:sz w:val="22"/>
          <w:lang w:val="lt-LT" w:eastAsia="lt-LT" w:bidi="lt-LT"/>
        </w:rPr>
        <w:t>Darunavir Teva</w:t>
      </w:r>
      <w:r w:rsidRPr="00832FC3">
        <w:rPr>
          <w:sz w:val="22"/>
          <w:szCs w:val="22"/>
          <w:lang w:val="lt-LT"/>
        </w:rPr>
        <w:t xml:space="preserve"> tabletę kartu su 100 miligramų ritonaviro.</w:t>
      </w:r>
    </w:p>
    <w:p w14:paraId="13B82A05" w14:textId="77777777" w:rsidR="00936ACB" w:rsidRPr="00832FC3" w:rsidRDefault="00936ACB" w:rsidP="00936ACB">
      <w:pPr>
        <w:pStyle w:val="BT-EMEASMCA"/>
        <w:numPr>
          <w:ilvl w:val="0"/>
          <w:numId w:val="25"/>
        </w:numPr>
        <w:ind w:left="567" w:hanging="567"/>
        <w:rPr>
          <w:sz w:val="22"/>
          <w:szCs w:val="22"/>
          <w:lang w:val="lt-LT"/>
        </w:rPr>
      </w:pPr>
      <w:r w:rsidRPr="00832FC3">
        <w:rPr>
          <w:sz w:val="22"/>
          <w:szCs w:val="22"/>
          <w:lang w:val="lt-LT"/>
        </w:rPr>
        <w:t xml:space="preserve">Vakare vartokite vieną 600 miligramų </w:t>
      </w:r>
      <w:r w:rsidRPr="00832FC3">
        <w:rPr>
          <w:rFonts w:eastAsia="Times New Roman"/>
          <w:sz w:val="22"/>
          <w:lang w:val="lt-LT" w:eastAsia="lt-LT" w:bidi="lt-LT"/>
        </w:rPr>
        <w:t>Darunavir Teva</w:t>
      </w:r>
      <w:r w:rsidRPr="00832FC3">
        <w:rPr>
          <w:sz w:val="22"/>
          <w:szCs w:val="22"/>
          <w:lang w:val="lt-LT"/>
        </w:rPr>
        <w:t xml:space="preserve"> tabletę kartu su 100 miligramų ritonaviro.</w:t>
      </w:r>
    </w:p>
    <w:p w14:paraId="1B30BF7C" w14:textId="77777777" w:rsidR="00936ACB" w:rsidRPr="00832FC3" w:rsidRDefault="00936ACB" w:rsidP="00936ACB">
      <w:pPr>
        <w:pStyle w:val="BT-EMEASMCA"/>
        <w:numPr>
          <w:ilvl w:val="0"/>
          <w:numId w:val="25"/>
        </w:numPr>
        <w:ind w:left="567" w:hanging="567"/>
        <w:rPr>
          <w:sz w:val="22"/>
          <w:szCs w:val="22"/>
          <w:lang w:val="lt-LT"/>
        </w:rPr>
      </w:pPr>
      <w:r w:rsidRPr="00832FC3">
        <w:rPr>
          <w:sz w:val="22"/>
          <w:szCs w:val="22"/>
          <w:lang w:val="lt-LT"/>
        </w:rPr>
        <w:t xml:space="preserve">Vartokite </w:t>
      </w:r>
      <w:r w:rsidRPr="00832FC3">
        <w:rPr>
          <w:rFonts w:eastAsia="Times New Roman"/>
          <w:sz w:val="22"/>
          <w:lang w:val="lt-LT" w:eastAsia="lt-LT" w:bidi="lt-LT"/>
        </w:rPr>
        <w:t>Darunavir Teva</w:t>
      </w:r>
      <w:r w:rsidRPr="00832FC3">
        <w:rPr>
          <w:sz w:val="22"/>
          <w:szCs w:val="22"/>
          <w:lang w:val="lt-LT"/>
        </w:rPr>
        <w:t xml:space="preserve"> valgymo metu. Be maisto </w:t>
      </w:r>
      <w:r w:rsidRPr="00832FC3">
        <w:rPr>
          <w:rFonts w:eastAsia="Times New Roman"/>
          <w:sz w:val="22"/>
          <w:lang w:val="lt-LT" w:eastAsia="lt-LT" w:bidi="lt-LT"/>
        </w:rPr>
        <w:t>Darunavir Teva</w:t>
      </w:r>
      <w:r w:rsidRPr="00832FC3">
        <w:rPr>
          <w:sz w:val="22"/>
          <w:szCs w:val="22"/>
          <w:lang w:val="lt-LT"/>
        </w:rPr>
        <w:t xml:space="preserve"> veikia nepakankamai. Maisto rūšis nėra svarbu.</w:t>
      </w:r>
    </w:p>
    <w:p w14:paraId="382EBE55" w14:textId="77777777" w:rsidR="00936ACB" w:rsidRPr="00832FC3" w:rsidRDefault="00936ACB" w:rsidP="00936ACB">
      <w:pPr>
        <w:pStyle w:val="BT-EMEASMCA"/>
        <w:numPr>
          <w:ilvl w:val="0"/>
          <w:numId w:val="25"/>
        </w:numPr>
        <w:ind w:left="567" w:hanging="567"/>
        <w:rPr>
          <w:sz w:val="22"/>
          <w:szCs w:val="22"/>
          <w:lang w:val="lt-LT"/>
        </w:rPr>
      </w:pPr>
      <w:r w:rsidRPr="00832FC3">
        <w:rPr>
          <w:sz w:val="22"/>
          <w:szCs w:val="22"/>
          <w:lang w:val="lt-LT"/>
        </w:rPr>
        <w:t>Nurydami tabletes kuo nors užgerkite, pavyzdžiui, vandeniu arba pienu.</w:t>
      </w:r>
    </w:p>
    <w:p w14:paraId="744884E3" w14:textId="77777777" w:rsidR="00936ACB" w:rsidRPr="00832FC3" w:rsidRDefault="00936ACB" w:rsidP="00936ACB">
      <w:pPr>
        <w:pStyle w:val="BT-EMEASMCA"/>
        <w:numPr>
          <w:ilvl w:val="0"/>
          <w:numId w:val="25"/>
        </w:numPr>
        <w:ind w:left="567" w:hanging="567"/>
        <w:rPr>
          <w:sz w:val="22"/>
          <w:szCs w:val="22"/>
          <w:lang w:val="lt-LT"/>
        </w:rPr>
      </w:pPr>
      <w:r w:rsidRPr="00832FC3">
        <w:rPr>
          <w:rFonts w:eastAsia="Times New Roman"/>
          <w:sz w:val="22"/>
          <w:lang w:val="lt-LT" w:eastAsia="lt-LT" w:bidi="lt-LT"/>
        </w:rPr>
        <w:t>Darunavir Teva</w:t>
      </w:r>
      <w:r w:rsidRPr="00832FC3">
        <w:rPr>
          <w:sz w:val="22"/>
          <w:szCs w:val="22"/>
          <w:lang w:val="lt-LT"/>
        </w:rPr>
        <w:t xml:space="preserve"> 150 miligramų tabletės sukurtos vaikams, bet kai kuriais atvejais gali būti vartojamos ir suaugusiųjų.</w:t>
      </w:r>
    </w:p>
    <w:p w14:paraId="1D1EF9A5" w14:textId="77777777" w:rsidR="00106F96" w:rsidRPr="00832FC3" w:rsidRDefault="00106F96" w:rsidP="00106F96">
      <w:pPr>
        <w:rPr>
          <w:sz w:val="22"/>
          <w:szCs w:val="22"/>
          <w:lang w:val="lt-LT"/>
        </w:rPr>
      </w:pPr>
    </w:p>
    <w:p w14:paraId="485BE81D" w14:textId="77777777" w:rsidR="00106F96" w:rsidRPr="00832FC3" w:rsidRDefault="00106F96" w:rsidP="00106F96">
      <w:pPr>
        <w:rPr>
          <w:b/>
          <w:sz w:val="22"/>
          <w:szCs w:val="22"/>
          <w:lang w:val="lt-LT"/>
        </w:rPr>
      </w:pPr>
      <w:r w:rsidRPr="00832FC3">
        <w:rPr>
          <w:b/>
          <w:sz w:val="22"/>
          <w:szCs w:val="22"/>
          <w:lang w:val="lt-LT"/>
        </w:rPr>
        <w:t>Dozė 3 metų ir vyresniems vaikams, kurie sveria ne mažiau kaip 15 kilogramų, kurie anksčiau nevartojo antiretrovirusinių vaistų (ją nustatys Jūsų vaiko gydytojas)</w:t>
      </w:r>
    </w:p>
    <w:p w14:paraId="08E46AB8" w14:textId="77777777" w:rsidR="00106F96" w:rsidRPr="00832FC3" w:rsidRDefault="00106F96" w:rsidP="00106F96">
      <w:pPr>
        <w:rPr>
          <w:sz w:val="22"/>
          <w:szCs w:val="22"/>
          <w:lang w:val="lt-LT"/>
        </w:rPr>
      </w:pPr>
      <w:r w:rsidRPr="00832FC3">
        <w:rPr>
          <w:sz w:val="22"/>
          <w:szCs w:val="22"/>
          <w:lang w:val="lt-LT"/>
        </w:rPr>
        <w:t>Tikslią vieno karto per parą dozę pagal vaiko kūno svorį apskaičiuos gydytojas (žr. toliau esančią lentelę). Ši dozė negali būti didesnė už rekomenduojamą suaugusiesiems, t. y. 800 miligramų</w:t>
      </w:r>
      <w:r w:rsidRPr="00832FC3">
        <w:rPr>
          <w:rFonts w:eastAsia="Times New Roman"/>
          <w:sz w:val="22"/>
          <w:lang w:val="lt-LT" w:eastAsia="lt-LT" w:bidi="lt-LT"/>
        </w:rPr>
        <w:t xml:space="preserve"> Darunavir Teva</w:t>
      </w:r>
      <w:r w:rsidRPr="00832FC3">
        <w:rPr>
          <w:sz w:val="22"/>
          <w:szCs w:val="22"/>
          <w:lang w:val="lt-LT"/>
        </w:rPr>
        <w:t xml:space="preserve"> kartu su 100 miligramų ritonaviro vieną kartą per parą.</w:t>
      </w:r>
    </w:p>
    <w:p w14:paraId="3DDEC194" w14:textId="77777777" w:rsidR="00106F96" w:rsidRPr="00832FC3" w:rsidRDefault="00106F96" w:rsidP="00106F96">
      <w:pPr>
        <w:rPr>
          <w:sz w:val="22"/>
          <w:szCs w:val="22"/>
          <w:lang w:val="lt-LT"/>
        </w:rPr>
      </w:pPr>
      <w:r w:rsidRPr="00832FC3">
        <w:rPr>
          <w:sz w:val="22"/>
          <w:szCs w:val="22"/>
          <w:lang w:val="lt-LT"/>
        </w:rPr>
        <w:t>Gydytojas nurodys, kiek Darunavir Teva tablečių ir kiek ritonaviro (kapsulių, tablečių ar tirpalo) turi išgerti vaikas.</w:t>
      </w:r>
    </w:p>
    <w:p w14:paraId="25B50F1A" w14:textId="77777777" w:rsidR="00106F96" w:rsidRPr="00832FC3" w:rsidRDefault="00106F96" w:rsidP="00106F96">
      <w:pPr>
        <w:rPr>
          <w:sz w:val="22"/>
          <w:szCs w:val="22"/>
          <w:lang w:val="lt-LT"/>
        </w:rPr>
      </w:pPr>
    </w:p>
    <w:tbl>
      <w:tblPr>
        <w:tblW w:w="0" w:type="auto"/>
        <w:tblInd w:w="99" w:type="dxa"/>
        <w:tblLayout w:type="fixed"/>
        <w:tblCellMar>
          <w:left w:w="0" w:type="dxa"/>
          <w:right w:w="0" w:type="dxa"/>
        </w:tblCellMar>
        <w:tblLook w:val="01E0" w:firstRow="1" w:lastRow="1" w:firstColumn="1" w:lastColumn="1" w:noHBand="0" w:noVBand="0"/>
      </w:tblPr>
      <w:tblGrid>
        <w:gridCol w:w="3024"/>
        <w:gridCol w:w="3024"/>
        <w:gridCol w:w="3024"/>
      </w:tblGrid>
      <w:tr w:rsidR="00106F96" w:rsidRPr="00832FC3" w14:paraId="45801B57" w14:textId="77777777" w:rsidTr="00106F96">
        <w:trPr>
          <w:trHeight w:hRule="exact" w:val="309"/>
        </w:trPr>
        <w:tc>
          <w:tcPr>
            <w:tcW w:w="3024" w:type="dxa"/>
            <w:tcBorders>
              <w:top w:val="single" w:sz="4" w:space="0" w:color="000000"/>
              <w:left w:val="single" w:sz="4" w:space="0" w:color="000000"/>
              <w:bottom w:val="single" w:sz="4" w:space="0" w:color="000000"/>
              <w:right w:val="single" w:sz="4" w:space="0" w:color="000000"/>
            </w:tcBorders>
            <w:hideMark/>
          </w:tcPr>
          <w:p w14:paraId="2E112519" w14:textId="77777777" w:rsidR="00106F96" w:rsidRPr="00832FC3" w:rsidRDefault="00106F96" w:rsidP="00106F96">
            <w:pPr>
              <w:tabs>
                <w:tab w:val="left" w:pos="567"/>
              </w:tabs>
              <w:spacing w:before="12" w:line="252" w:lineRule="exact"/>
              <w:ind w:left="1126" w:right="1107"/>
              <w:jc w:val="center"/>
              <w:rPr>
                <w:rFonts w:eastAsia="Times New Roman"/>
                <w:sz w:val="22"/>
                <w:lang w:val="lt-LT" w:eastAsia="en-US"/>
              </w:rPr>
            </w:pPr>
            <w:r w:rsidRPr="00832FC3">
              <w:rPr>
                <w:rFonts w:eastAsia="Times New Roman"/>
                <w:b/>
                <w:bCs/>
                <w:sz w:val="22"/>
                <w:szCs w:val="22"/>
                <w:lang w:val="lt-LT" w:eastAsia="en-US"/>
              </w:rPr>
              <w:t>Svoris</w:t>
            </w:r>
          </w:p>
        </w:tc>
        <w:tc>
          <w:tcPr>
            <w:tcW w:w="3024" w:type="dxa"/>
            <w:tcBorders>
              <w:top w:val="single" w:sz="4" w:space="0" w:color="000000"/>
              <w:left w:val="single" w:sz="4" w:space="0" w:color="000000"/>
              <w:bottom w:val="single" w:sz="4" w:space="0" w:color="000000"/>
              <w:right w:val="single" w:sz="4" w:space="0" w:color="000000"/>
            </w:tcBorders>
            <w:hideMark/>
          </w:tcPr>
          <w:p w14:paraId="62C902F3" w14:textId="77777777" w:rsidR="00106F96" w:rsidRPr="00832FC3" w:rsidRDefault="00106F96" w:rsidP="00106F96">
            <w:pPr>
              <w:tabs>
                <w:tab w:val="left" w:pos="720"/>
              </w:tabs>
              <w:spacing w:before="12" w:line="252" w:lineRule="exact"/>
              <w:ind w:left="395" w:right="-20" w:hanging="394"/>
              <w:jc w:val="center"/>
              <w:rPr>
                <w:rFonts w:eastAsia="Times New Roman"/>
                <w:sz w:val="22"/>
                <w:lang w:val="lt-LT" w:eastAsia="en-US"/>
              </w:rPr>
            </w:pPr>
            <w:r w:rsidRPr="00832FC3">
              <w:rPr>
                <w:rFonts w:eastAsia="Times New Roman"/>
                <w:b/>
                <w:bCs/>
                <w:sz w:val="22"/>
                <w:szCs w:val="22"/>
                <w:lang w:val="lt-LT" w:eastAsia="en-US"/>
              </w:rPr>
              <w:t xml:space="preserve">Viena </w:t>
            </w:r>
            <w:r w:rsidRPr="00832FC3">
              <w:rPr>
                <w:rFonts w:eastAsia="Times New Roman"/>
                <w:b/>
                <w:sz w:val="22"/>
                <w:lang w:val="lt-LT" w:eastAsia="lt-LT" w:bidi="lt-LT"/>
              </w:rPr>
              <w:t>Darunavir Teva</w:t>
            </w:r>
            <w:r w:rsidRPr="00832FC3">
              <w:rPr>
                <w:rFonts w:eastAsia="Times New Roman"/>
                <w:b/>
                <w:sz w:val="22"/>
                <w:szCs w:val="22"/>
                <w:lang w:val="lt-LT" w:eastAsia="en-US"/>
              </w:rPr>
              <w:t xml:space="preserve"> </w:t>
            </w:r>
            <w:r w:rsidRPr="00832FC3">
              <w:rPr>
                <w:rFonts w:eastAsia="Times New Roman"/>
                <w:b/>
                <w:bCs/>
                <w:sz w:val="22"/>
                <w:szCs w:val="22"/>
                <w:lang w:val="lt-LT" w:eastAsia="en-US"/>
              </w:rPr>
              <w:t>dozė</w:t>
            </w:r>
          </w:p>
        </w:tc>
        <w:tc>
          <w:tcPr>
            <w:tcW w:w="3024" w:type="dxa"/>
            <w:tcBorders>
              <w:top w:val="single" w:sz="4" w:space="0" w:color="000000"/>
              <w:left w:val="single" w:sz="4" w:space="0" w:color="000000"/>
              <w:bottom w:val="single" w:sz="4" w:space="0" w:color="000000"/>
              <w:right w:val="single" w:sz="4" w:space="0" w:color="000000"/>
            </w:tcBorders>
            <w:hideMark/>
          </w:tcPr>
          <w:p w14:paraId="5483206F" w14:textId="77777777" w:rsidR="00106F96" w:rsidRPr="00832FC3" w:rsidRDefault="00106F96" w:rsidP="00106F96">
            <w:pPr>
              <w:tabs>
                <w:tab w:val="left" w:pos="567"/>
              </w:tabs>
              <w:spacing w:line="265" w:lineRule="exact"/>
              <w:ind w:left="489" w:right="-20"/>
              <w:rPr>
                <w:rFonts w:eastAsia="Times New Roman"/>
                <w:sz w:val="22"/>
                <w:lang w:val="lt-LT" w:eastAsia="en-US"/>
              </w:rPr>
            </w:pPr>
            <w:r w:rsidRPr="00832FC3">
              <w:rPr>
                <w:rFonts w:eastAsia="Times New Roman"/>
                <w:b/>
                <w:bCs/>
                <w:position w:val="-1"/>
                <w:sz w:val="22"/>
                <w:szCs w:val="22"/>
                <w:lang w:val="lt-LT" w:eastAsia="en-US"/>
              </w:rPr>
              <w:t>Viena ritonaviro</w:t>
            </w:r>
            <w:r w:rsidRPr="00832FC3">
              <w:rPr>
                <w:rFonts w:eastAsia="Times New Roman"/>
                <w:b/>
                <w:bCs/>
                <w:position w:val="9"/>
                <w:sz w:val="14"/>
                <w:szCs w:val="14"/>
                <w:lang w:val="lt-LT" w:eastAsia="en-US"/>
              </w:rPr>
              <w:t>a</w:t>
            </w:r>
            <w:r w:rsidRPr="00832FC3">
              <w:rPr>
                <w:rFonts w:eastAsia="Times New Roman"/>
                <w:b/>
                <w:bCs/>
                <w:spacing w:val="19"/>
                <w:position w:val="9"/>
                <w:sz w:val="14"/>
                <w:szCs w:val="14"/>
                <w:lang w:val="lt-LT" w:eastAsia="en-US"/>
              </w:rPr>
              <w:t xml:space="preserve"> </w:t>
            </w:r>
            <w:r w:rsidRPr="00832FC3">
              <w:rPr>
                <w:rFonts w:eastAsia="Times New Roman"/>
                <w:b/>
                <w:bCs/>
                <w:position w:val="-1"/>
                <w:sz w:val="22"/>
                <w:szCs w:val="22"/>
                <w:lang w:val="lt-LT" w:eastAsia="en-US"/>
              </w:rPr>
              <w:t>dozė</w:t>
            </w:r>
          </w:p>
        </w:tc>
      </w:tr>
      <w:tr w:rsidR="00106F96" w:rsidRPr="00832FC3" w14:paraId="2A96F1EE" w14:textId="77777777" w:rsidTr="00106F96">
        <w:trPr>
          <w:trHeight w:hRule="exact" w:val="264"/>
        </w:trPr>
        <w:tc>
          <w:tcPr>
            <w:tcW w:w="3024" w:type="dxa"/>
            <w:tcBorders>
              <w:top w:val="single" w:sz="4" w:space="0" w:color="000000"/>
              <w:left w:val="single" w:sz="4" w:space="0" w:color="000000"/>
              <w:bottom w:val="single" w:sz="4" w:space="0" w:color="000000"/>
              <w:right w:val="single" w:sz="4" w:space="0" w:color="000000"/>
            </w:tcBorders>
            <w:hideMark/>
          </w:tcPr>
          <w:p w14:paraId="5EA5AA5A" w14:textId="77777777" w:rsidR="00106F96" w:rsidRPr="00832FC3" w:rsidRDefault="00106F96" w:rsidP="00106F96">
            <w:pPr>
              <w:tabs>
                <w:tab w:val="left" w:pos="567"/>
              </w:tabs>
              <w:spacing w:before="10"/>
              <w:ind w:left="102" w:right="-20"/>
              <w:rPr>
                <w:rFonts w:eastAsia="Times New Roman"/>
                <w:sz w:val="22"/>
                <w:lang w:val="lt-LT" w:eastAsia="en-US"/>
              </w:rPr>
            </w:pPr>
            <w:r w:rsidRPr="00832FC3">
              <w:rPr>
                <w:rFonts w:eastAsia="Times New Roman"/>
                <w:sz w:val="22"/>
                <w:szCs w:val="22"/>
                <w:lang w:val="lt-LT" w:eastAsia="en-US"/>
              </w:rPr>
              <w:t>Nuo 15 kg iki 30 </w:t>
            </w:r>
            <w:r w:rsidRPr="00832FC3">
              <w:rPr>
                <w:rFonts w:eastAsia="Times New Roman"/>
                <w:spacing w:val="-1"/>
                <w:sz w:val="22"/>
                <w:szCs w:val="22"/>
                <w:lang w:val="lt-LT" w:eastAsia="en-US"/>
              </w:rPr>
              <w:t>kg</w:t>
            </w:r>
          </w:p>
        </w:tc>
        <w:tc>
          <w:tcPr>
            <w:tcW w:w="3024" w:type="dxa"/>
            <w:tcBorders>
              <w:top w:val="single" w:sz="4" w:space="0" w:color="000000"/>
              <w:left w:val="single" w:sz="4" w:space="0" w:color="000000"/>
              <w:bottom w:val="single" w:sz="4" w:space="0" w:color="000000"/>
              <w:right w:val="single" w:sz="4" w:space="0" w:color="000000"/>
            </w:tcBorders>
            <w:hideMark/>
          </w:tcPr>
          <w:p w14:paraId="14851F0E" w14:textId="77777777" w:rsidR="00106F96" w:rsidRPr="00832FC3" w:rsidRDefault="00106F96" w:rsidP="00106F96">
            <w:pPr>
              <w:tabs>
                <w:tab w:val="left" w:pos="567"/>
              </w:tabs>
              <w:spacing w:before="10"/>
              <w:ind w:left="880" w:right="-20"/>
              <w:rPr>
                <w:rFonts w:eastAsia="Times New Roman"/>
                <w:sz w:val="22"/>
                <w:lang w:val="lt-LT" w:eastAsia="en-US"/>
              </w:rPr>
            </w:pPr>
            <w:r w:rsidRPr="00832FC3">
              <w:rPr>
                <w:rFonts w:eastAsia="Times New Roman"/>
                <w:sz w:val="22"/>
                <w:szCs w:val="22"/>
                <w:lang w:val="lt-LT" w:eastAsia="en-US"/>
              </w:rPr>
              <w:t>600 miligramų</w:t>
            </w:r>
          </w:p>
        </w:tc>
        <w:tc>
          <w:tcPr>
            <w:tcW w:w="3024" w:type="dxa"/>
            <w:tcBorders>
              <w:top w:val="single" w:sz="4" w:space="0" w:color="000000"/>
              <w:left w:val="single" w:sz="4" w:space="0" w:color="000000"/>
              <w:bottom w:val="single" w:sz="4" w:space="0" w:color="000000"/>
              <w:right w:val="single" w:sz="4" w:space="0" w:color="000000"/>
            </w:tcBorders>
            <w:hideMark/>
          </w:tcPr>
          <w:p w14:paraId="52052630" w14:textId="77777777" w:rsidR="00106F96" w:rsidRPr="00832FC3" w:rsidRDefault="00106F96" w:rsidP="00106F96">
            <w:pPr>
              <w:tabs>
                <w:tab w:val="left" w:pos="567"/>
              </w:tabs>
              <w:spacing w:before="10"/>
              <w:ind w:left="880" w:right="-20"/>
              <w:rPr>
                <w:rFonts w:eastAsia="Times New Roman"/>
                <w:sz w:val="22"/>
                <w:lang w:val="lt-LT" w:eastAsia="en-US"/>
              </w:rPr>
            </w:pPr>
            <w:r w:rsidRPr="00832FC3">
              <w:rPr>
                <w:rFonts w:eastAsia="Times New Roman"/>
                <w:sz w:val="22"/>
                <w:szCs w:val="22"/>
                <w:lang w:val="lt-LT" w:eastAsia="en-US"/>
              </w:rPr>
              <w:t>100 miligramų</w:t>
            </w:r>
          </w:p>
        </w:tc>
      </w:tr>
      <w:tr w:rsidR="00106F96" w:rsidRPr="00832FC3" w14:paraId="1001CACF" w14:textId="77777777" w:rsidTr="00106F96">
        <w:trPr>
          <w:trHeight w:hRule="exact" w:val="264"/>
        </w:trPr>
        <w:tc>
          <w:tcPr>
            <w:tcW w:w="3024" w:type="dxa"/>
            <w:tcBorders>
              <w:top w:val="single" w:sz="4" w:space="0" w:color="000000"/>
              <w:left w:val="single" w:sz="4" w:space="0" w:color="000000"/>
              <w:bottom w:val="single" w:sz="4" w:space="0" w:color="000000"/>
              <w:right w:val="single" w:sz="4" w:space="0" w:color="000000"/>
            </w:tcBorders>
            <w:hideMark/>
          </w:tcPr>
          <w:p w14:paraId="7BCBFFEA" w14:textId="77777777" w:rsidR="00106F96" w:rsidRPr="00832FC3" w:rsidRDefault="00106F96" w:rsidP="00106F96">
            <w:pPr>
              <w:tabs>
                <w:tab w:val="left" w:pos="567"/>
              </w:tabs>
              <w:spacing w:before="7"/>
              <w:ind w:left="102" w:right="-20"/>
              <w:rPr>
                <w:rFonts w:eastAsia="Times New Roman"/>
                <w:sz w:val="22"/>
                <w:lang w:val="lt-LT" w:eastAsia="en-US"/>
              </w:rPr>
            </w:pPr>
            <w:r w:rsidRPr="00832FC3">
              <w:rPr>
                <w:rFonts w:eastAsia="Times New Roman"/>
                <w:sz w:val="22"/>
                <w:szCs w:val="22"/>
                <w:lang w:val="lt-LT" w:eastAsia="en-US"/>
              </w:rPr>
              <w:lastRenderedPageBreak/>
              <w:t>Nuo 30 kg iki 40 </w:t>
            </w:r>
            <w:r w:rsidRPr="00832FC3">
              <w:rPr>
                <w:rFonts w:eastAsia="Times New Roman"/>
                <w:spacing w:val="-1"/>
                <w:sz w:val="22"/>
                <w:szCs w:val="22"/>
                <w:lang w:val="lt-LT" w:eastAsia="en-US"/>
              </w:rPr>
              <w:t>kg</w:t>
            </w:r>
          </w:p>
        </w:tc>
        <w:tc>
          <w:tcPr>
            <w:tcW w:w="3024" w:type="dxa"/>
            <w:tcBorders>
              <w:top w:val="single" w:sz="4" w:space="0" w:color="000000"/>
              <w:left w:val="single" w:sz="4" w:space="0" w:color="000000"/>
              <w:bottom w:val="single" w:sz="4" w:space="0" w:color="000000"/>
              <w:right w:val="single" w:sz="4" w:space="0" w:color="000000"/>
            </w:tcBorders>
            <w:hideMark/>
          </w:tcPr>
          <w:p w14:paraId="5C25A6A6" w14:textId="77777777" w:rsidR="00106F96" w:rsidRPr="00832FC3" w:rsidRDefault="00106F96" w:rsidP="00106F96">
            <w:pPr>
              <w:tabs>
                <w:tab w:val="left" w:pos="567"/>
              </w:tabs>
              <w:spacing w:before="7"/>
              <w:ind w:left="880" w:right="-20"/>
              <w:rPr>
                <w:rFonts w:eastAsia="Times New Roman"/>
                <w:sz w:val="22"/>
                <w:lang w:val="lt-LT" w:eastAsia="en-US"/>
              </w:rPr>
            </w:pPr>
            <w:r w:rsidRPr="00832FC3">
              <w:rPr>
                <w:rFonts w:eastAsia="Times New Roman"/>
                <w:sz w:val="22"/>
                <w:szCs w:val="22"/>
                <w:lang w:val="lt-LT" w:eastAsia="en-US"/>
              </w:rPr>
              <w:t>675 miligramai</w:t>
            </w:r>
          </w:p>
        </w:tc>
        <w:tc>
          <w:tcPr>
            <w:tcW w:w="3024" w:type="dxa"/>
            <w:tcBorders>
              <w:top w:val="single" w:sz="4" w:space="0" w:color="000000"/>
              <w:left w:val="single" w:sz="4" w:space="0" w:color="000000"/>
              <w:bottom w:val="single" w:sz="4" w:space="0" w:color="000000"/>
              <w:right w:val="single" w:sz="4" w:space="0" w:color="000000"/>
            </w:tcBorders>
            <w:hideMark/>
          </w:tcPr>
          <w:p w14:paraId="2B7704D9" w14:textId="77777777" w:rsidR="00106F96" w:rsidRPr="00832FC3" w:rsidRDefault="00106F96" w:rsidP="00106F96">
            <w:pPr>
              <w:tabs>
                <w:tab w:val="left" w:pos="567"/>
              </w:tabs>
              <w:spacing w:before="7"/>
              <w:ind w:left="880" w:right="-20"/>
              <w:rPr>
                <w:rFonts w:eastAsia="Times New Roman"/>
                <w:sz w:val="22"/>
                <w:lang w:val="lt-LT" w:eastAsia="en-US"/>
              </w:rPr>
            </w:pPr>
            <w:r w:rsidRPr="00832FC3">
              <w:rPr>
                <w:rFonts w:eastAsia="Times New Roman"/>
                <w:sz w:val="22"/>
                <w:szCs w:val="22"/>
                <w:lang w:val="lt-LT" w:eastAsia="en-US"/>
              </w:rPr>
              <w:t>100 miligramų</w:t>
            </w:r>
          </w:p>
        </w:tc>
      </w:tr>
      <w:tr w:rsidR="00106F96" w:rsidRPr="00832FC3" w14:paraId="011C2B61" w14:textId="77777777" w:rsidTr="00106F96">
        <w:trPr>
          <w:trHeight w:hRule="exact" w:val="262"/>
        </w:trPr>
        <w:tc>
          <w:tcPr>
            <w:tcW w:w="3024" w:type="dxa"/>
            <w:tcBorders>
              <w:top w:val="single" w:sz="4" w:space="0" w:color="000000"/>
              <w:left w:val="single" w:sz="4" w:space="0" w:color="000000"/>
              <w:bottom w:val="single" w:sz="4" w:space="0" w:color="000000"/>
              <w:right w:val="single" w:sz="4" w:space="0" w:color="000000"/>
            </w:tcBorders>
            <w:hideMark/>
          </w:tcPr>
          <w:p w14:paraId="2FCE0FBD" w14:textId="77777777" w:rsidR="00106F96" w:rsidRPr="00832FC3" w:rsidRDefault="00106F96" w:rsidP="00106F96">
            <w:pPr>
              <w:tabs>
                <w:tab w:val="left" w:pos="567"/>
              </w:tabs>
              <w:spacing w:before="7"/>
              <w:ind w:left="102" w:right="-20"/>
              <w:rPr>
                <w:rFonts w:eastAsia="Times New Roman"/>
                <w:sz w:val="22"/>
                <w:lang w:val="lt-LT" w:eastAsia="en-US"/>
              </w:rPr>
            </w:pPr>
            <w:r w:rsidRPr="00832FC3">
              <w:rPr>
                <w:rFonts w:eastAsia="Times New Roman"/>
                <w:sz w:val="22"/>
                <w:szCs w:val="22"/>
                <w:lang w:val="lt-LT" w:eastAsia="en-US"/>
              </w:rPr>
              <w:t>Daugiau kaip 40 </w:t>
            </w:r>
            <w:r w:rsidRPr="00832FC3">
              <w:rPr>
                <w:rFonts w:eastAsia="Times New Roman"/>
                <w:spacing w:val="-1"/>
                <w:sz w:val="22"/>
                <w:szCs w:val="22"/>
                <w:lang w:val="lt-LT" w:eastAsia="en-US"/>
              </w:rPr>
              <w:t>kg</w:t>
            </w:r>
          </w:p>
        </w:tc>
        <w:tc>
          <w:tcPr>
            <w:tcW w:w="3024" w:type="dxa"/>
            <w:tcBorders>
              <w:top w:val="single" w:sz="4" w:space="0" w:color="000000"/>
              <w:left w:val="single" w:sz="4" w:space="0" w:color="000000"/>
              <w:bottom w:val="single" w:sz="4" w:space="0" w:color="000000"/>
              <w:right w:val="single" w:sz="4" w:space="0" w:color="000000"/>
            </w:tcBorders>
            <w:hideMark/>
          </w:tcPr>
          <w:p w14:paraId="0F3E8368" w14:textId="77777777" w:rsidR="00106F96" w:rsidRPr="00832FC3" w:rsidRDefault="00106F96" w:rsidP="00106F96">
            <w:pPr>
              <w:tabs>
                <w:tab w:val="left" w:pos="567"/>
              </w:tabs>
              <w:spacing w:before="7"/>
              <w:ind w:left="880" w:right="-20"/>
              <w:rPr>
                <w:rFonts w:eastAsia="Times New Roman"/>
                <w:sz w:val="22"/>
                <w:lang w:val="lt-LT" w:eastAsia="en-US"/>
              </w:rPr>
            </w:pPr>
            <w:r w:rsidRPr="00832FC3">
              <w:rPr>
                <w:rFonts w:eastAsia="Times New Roman"/>
                <w:sz w:val="22"/>
                <w:szCs w:val="22"/>
                <w:lang w:val="lt-LT" w:eastAsia="en-US"/>
              </w:rPr>
              <w:t>800 miligramų</w:t>
            </w:r>
          </w:p>
        </w:tc>
        <w:tc>
          <w:tcPr>
            <w:tcW w:w="3024" w:type="dxa"/>
            <w:tcBorders>
              <w:top w:val="single" w:sz="4" w:space="0" w:color="000000"/>
              <w:left w:val="single" w:sz="4" w:space="0" w:color="000000"/>
              <w:bottom w:val="single" w:sz="4" w:space="0" w:color="000000"/>
              <w:right w:val="single" w:sz="4" w:space="0" w:color="000000"/>
            </w:tcBorders>
            <w:hideMark/>
          </w:tcPr>
          <w:p w14:paraId="6C43D3AB" w14:textId="77777777" w:rsidR="00106F96" w:rsidRPr="00832FC3" w:rsidRDefault="00106F96" w:rsidP="00106F96">
            <w:pPr>
              <w:tabs>
                <w:tab w:val="left" w:pos="567"/>
              </w:tabs>
              <w:spacing w:before="7"/>
              <w:ind w:left="880" w:right="-20"/>
              <w:rPr>
                <w:rFonts w:eastAsia="Times New Roman"/>
                <w:sz w:val="22"/>
                <w:lang w:val="lt-LT" w:eastAsia="en-US"/>
              </w:rPr>
            </w:pPr>
            <w:r w:rsidRPr="00832FC3">
              <w:rPr>
                <w:rFonts w:eastAsia="Times New Roman"/>
                <w:sz w:val="22"/>
                <w:szCs w:val="22"/>
                <w:lang w:val="lt-LT" w:eastAsia="en-US"/>
              </w:rPr>
              <w:t>100 miligramų</w:t>
            </w:r>
          </w:p>
        </w:tc>
      </w:tr>
    </w:tbl>
    <w:p w14:paraId="30B8DD37" w14:textId="77777777" w:rsidR="00106F96" w:rsidRPr="00912F9A" w:rsidRDefault="00106F96" w:rsidP="00106F96">
      <w:pPr>
        <w:rPr>
          <w:sz w:val="18"/>
          <w:szCs w:val="18"/>
          <w:lang w:val="lt-LT"/>
        </w:rPr>
      </w:pPr>
      <w:r w:rsidRPr="00912F9A">
        <w:rPr>
          <w:sz w:val="18"/>
          <w:szCs w:val="18"/>
          <w:vertAlign w:val="superscript"/>
          <w:lang w:val="lt-LT"/>
        </w:rPr>
        <w:t xml:space="preserve">a </w:t>
      </w:r>
      <w:r w:rsidRPr="00912F9A">
        <w:rPr>
          <w:sz w:val="18"/>
          <w:szCs w:val="18"/>
          <w:lang w:val="lt-LT"/>
        </w:rPr>
        <w:t>Geriamasis ritonaviro tirpalas: 80 miligramų mililitre.</w:t>
      </w:r>
    </w:p>
    <w:p w14:paraId="3F0B4A91" w14:textId="77777777" w:rsidR="00106F96" w:rsidRPr="00832FC3" w:rsidRDefault="00106F96" w:rsidP="00106F96">
      <w:pPr>
        <w:rPr>
          <w:sz w:val="22"/>
          <w:szCs w:val="22"/>
          <w:lang w:val="lt-LT"/>
        </w:rPr>
      </w:pPr>
    </w:p>
    <w:p w14:paraId="2F387BE0" w14:textId="77777777" w:rsidR="00106F96" w:rsidRPr="00832FC3" w:rsidRDefault="00106F96" w:rsidP="00106F96">
      <w:pPr>
        <w:rPr>
          <w:sz w:val="22"/>
          <w:szCs w:val="22"/>
          <w:lang w:val="lt-LT"/>
        </w:rPr>
      </w:pPr>
      <w:r w:rsidRPr="00E4759F">
        <w:rPr>
          <w:i/>
          <w:sz w:val="22"/>
          <w:szCs w:val="22"/>
          <w:lang w:val="lt-LT"/>
        </w:rPr>
        <w:t>Šio vaistinio preparato visų stiprumo formų nėra. Dėl to nėra galimybių vartoti 675 mg dozę. Norint vartoti šią dozę reikia naudoti kitus rinkoje esančius darunaviro preparatus</w:t>
      </w:r>
      <w:r w:rsidRPr="00832FC3">
        <w:rPr>
          <w:sz w:val="22"/>
          <w:szCs w:val="22"/>
          <w:lang w:val="lt-LT"/>
        </w:rPr>
        <w:t>.</w:t>
      </w:r>
    </w:p>
    <w:p w14:paraId="24F4FE6B" w14:textId="77777777" w:rsidR="00106F96" w:rsidRPr="00832FC3" w:rsidRDefault="00106F96" w:rsidP="00106F96">
      <w:pPr>
        <w:rPr>
          <w:sz w:val="22"/>
          <w:szCs w:val="22"/>
          <w:lang w:val="lt-LT"/>
        </w:rPr>
      </w:pPr>
    </w:p>
    <w:p w14:paraId="65D111A1" w14:textId="77777777" w:rsidR="00106F96" w:rsidRPr="00832FC3" w:rsidRDefault="00106F96" w:rsidP="00106F96">
      <w:pPr>
        <w:rPr>
          <w:b/>
          <w:sz w:val="22"/>
          <w:szCs w:val="22"/>
          <w:lang w:val="lt-LT"/>
        </w:rPr>
      </w:pPr>
      <w:r w:rsidRPr="00832FC3">
        <w:rPr>
          <w:b/>
          <w:sz w:val="22"/>
          <w:szCs w:val="22"/>
          <w:lang w:val="lt-LT"/>
        </w:rPr>
        <w:t>Dozė 3 metų ir vyresniems vaikams, kurie sveria ne mažiau kaip 15 kilogramų, kurie anksčiau vartojo antiretrovirusinių vaistų (ją nustatys Jūsų vaiko gydytojas)</w:t>
      </w:r>
    </w:p>
    <w:p w14:paraId="209E47A0" w14:textId="77777777" w:rsidR="00106F96" w:rsidRPr="00832FC3" w:rsidRDefault="00106F96" w:rsidP="00106F96">
      <w:pPr>
        <w:rPr>
          <w:sz w:val="22"/>
          <w:szCs w:val="22"/>
          <w:lang w:val="lt-LT"/>
        </w:rPr>
      </w:pPr>
      <w:r w:rsidRPr="00832FC3">
        <w:rPr>
          <w:sz w:val="22"/>
          <w:szCs w:val="22"/>
          <w:lang w:val="lt-LT"/>
        </w:rPr>
        <w:t>Tikslią vieno karto per parą dozę pagal vaiko kūno svorį apskaičiuos gydytojas (žr. toliau esančią lentelę). Gydytojas nupręs, ar vaikui tinkamiausia dozė yra vieną kartą per parą, ar du kartus per parą.</w:t>
      </w:r>
    </w:p>
    <w:p w14:paraId="732E7B72" w14:textId="77777777" w:rsidR="00106F96" w:rsidRPr="00832FC3" w:rsidRDefault="00106F96" w:rsidP="00106F96">
      <w:pPr>
        <w:rPr>
          <w:sz w:val="22"/>
          <w:szCs w:val="22"/>
          <w:lang w:val="lt-LT"/>
        </w:rPr>
      </w:pPr>
      <w:r w:rsidRPr="00832FC3">
        <w:rPr>
          <w:sz w:val="22"/>
          <w:szCs w:val="22"/>
          <w:lang w:val="lt-LT"/>
        </w:rPr>
        <w:t xml:space="preserve">Ši dozė negali būti didesnė už rekomenduojamą suaugusiesiems, t. y. 600 miligramų </w:t>
      </w:r>
      <w:r w:rsidRPr="00832FC3">
        <w:rPr>
          <w:rFonts w:eastAsia="Times New Roman"/>
          <w:sz w:val="22"/>
          <w:lang w:val="lt-LT" w:eastAsia="lt-LT" w:bidi="lt-LT"/>
        </w:rPr>
        <w:t>Darunavir Teva</w:t>
      </w:r>
      <w:r w:rsidRPr="00832FC3">
        <w:rPr>
          <w:sz w:val="22"/>
          <w:szCs w:val="22"/>
          <w:lang w:val="lt-LT"/>
        </w:rPr>
        <w:t xml:space="preserve"> kartu su 100 miligramų ritonaviro du kartus per parą arba 800 miligramų </w:t>
      </w:r>
      <w:r w:rsidRPr="00832FC3">
        <w:rPr>
          <w:rFonts w:eastAsia="Times New Roman"/>
          <w:sz w:val="22"/>
          <w:lang w:val="lt-LT" w:eastAsia="lt-LT" w:bidi="lt-LT"/>
        </w:rPr>
        <w:t>Darunavir Teva</w:t>
      </w:r>
      <w:r w:rsidRPr="00832FC3">
        <w:rPr>
          <w:sz w:val="22"/>
          <w:szCs w:val="22"/>
          <w:lang w:val="lt-LT"/>
        </w:rPr>
        <w:t xml:space="preserve"> kartu su 100 miligramų ritonaviro vieną kartą per parą. </w:t>
      </w:r>
    </w:p>
    <w:p w14:paraId="5942B8B4" w14:textId="77777777" w:rsidR="00106F96" w:rsidRPr="00832FC3" w:rsidRDefault="00106F96" w:rsidP="00106F96">
      <w:pPr>
        <w:rPr>
          <w:sz w:val="22"/>
          <w:szCs w:val="22"/>
          <w:lang w:val="lt-LT"/>
        </w:rPr>
      </w:pPr>
      <w:r w:rsidRPr="00832FC3">
        <w:rPr>
          <w:sz w:val="22"/>
          <w:szCs w:val="22"/>
          <w:lang w:val="lt-LT"/>
        </w:rPr>
        <w:t xml:space="preserve">Gydytojas nurodys, kiek </w:t>
      </w:r>
      <w:r w:rsidRPr="00832FC3">
        <w:rPr>
          <w:rFonts w:eastAsia="Times New Roman"/>
          <w:sz w:val="22"/>
          <w:lang w:val="lt-LT" w:eastAsia="lt-LT" w:bidi="lt-LT"/>
        </w:rPr>
        <w:t>Darunavir Teva</w:t>
      </w:r>
      <w:r w:rsidRPr="00832FC3">
        <w:rPr>
          <w:sz w:val="22"/>
          <w:szCs w:val="22"/>
          <w:lang w:val="lt-LT"/>
        </w:rPr>
        <w:t xml:space="preserve"> tablečių ir kiek ritonaviro (kapsulių, tablečių ar tirpalo) turi išgerti vaikas. Tiekiamos mažesnio stiprumo tabletės, kad būtų galima tinkamai vartoti vaistą pagal dozavimo planą. </w:t>
      </w:r>
    </w:p>
    <w:p w14:paraId="6FB4A7A1" w14:textId="77777777" w:rsidR="00106F96" w:rsidRPr="00832FC3" w:rsidRDefault="00106F96" w:rsidP="00106F96">
      <w:pPr>
        <w:rPr>
          <w:sz w:val="22"/>
          <w:szCs w:val="22"/>
          <w:lang w:val="lt-LT"/>
        </w:rPr>
      </w:pPr>
    </w:p>
    <w:p w14:paraId="008FCE51" w14:textId="77777777" w:rsidR="00106F96" w:rsidRPr="00832FC3" w:rsidRDefault="00106F96" w:rsidP="00106F96">
      <w:pPr>
        <w:rPr>
          <w:sz w:val="22"/>
          <w:szCs w:val="22"/>
          <w:lang w:val="lt-LT"/>
        </w:rPr>
      </w:pPr>
      <w:r w:rsidRPr="00832FC3">
        <w:rPr>
          <w:sz w:val="22"/>
          <w:szCs w:val="22"/>
          <w:lang w:val="lt-LT"/>
        </w:rPr>
        <w:t>Dviejų kartų per parą dozė</w:t>
      </w:r>
    </w:p>
    <w:tbl>
      <w:tblPr>
        <w:tblW w:w="9072" w:type="dxa"/>
        <w:tblInd w:w="99" w:type="dxa"/>
        <w:tblLayout w:type="fixed"/>
        <w:tblCellMar>
          <w:left w:w="0" w:type="dxa"/>
          <w:right w:w="0" w:type="dxa"/>
        </w:tblCellMar>
        <w:tblLook w:val="01E0" w:firstRow="1" w:lastRow="1" w:firstColumn="1" w:lastColumn="1" w:noHBand="0" w:noVBand="0"/>
      </w:tblPr>
      <w:tblGrid>
        <w:gridCol w:w="2174"/>
        <w:gridCol w:w="6898"/>
      </w:tblGrid>
      <w:tr w:rsidR="00106F96" w:rsidRPr="00832FC3" w14:paraId="2EFD5470" w14:textId="77777777" w:rsidTr="00106F96">
        <w:trPr>
          <w:trHeight w:hRule="exact" w:val="309"/>
        </w:trPr>
        <w:tc>
          <w:tcPr>
            <w:tcW w:w="2174" w:type="dxa"/>
            <w:tcBorders>
              <w:top w:val="single" w:sz="4" w:space="0" w:color="000000"/>
              <w:left w:val="single" w:sz="4" w:space="0" w:color="000000"/>
              <w:bottom w:val="single" w:sz="4" w:space="0" w:color="000000"/>
              <w:right w:val="single" w:sz="4" w:space="0" w:color="000000"/>
            </w:tcBorders>
            <w:hideMark/>
          </w:tcPr>
          <w:p w14:paraId="27EAB299" w14:textId="77777777" w:rsidR="00106F96" w:rsidRPr="00832FC3" w:rsidRDefault="00106F96" w:rsidP="00106F96">
            <w:pPr>
              <w:tabs>
                <w:tab w:val="left" w:pos="567"/>
              </w:tabs>
              <w:spacing w:before="12" w:line="252" w:lineRule="exact"/>
              <w:ind w:left="190" w:right="1107"/>
              <w:rPr>
                <w:rFonts w:eastAsia="Times New Roman"/>
                <w:sz w:val="22"/>
                <w:lang w:val="lt-LT" w:eastAsia="en-US"/>
              </w:rPr>
            </w:pPr>
            <w:r w:rsidRPr="00832FC3">
              <w:rPr>
                <w:rFonts w:eastAsia="Times New Roman"/>
                <w:b/>
                <w:bCs/>
                <w:sz w:val="22"/>
                <w:szCs w:val="22"/>
                <w:lang w:val="lt-LT" w:eastAsia="en-US"/>
              </w:rPr>
              <w:t xml:space="preserve">Svoris </w:t>
            </w:r>
          </w:p>
        </w:tc>
        <w:tc>
          <w:tcPr>
            <w:tcW w:w="6898" w:type="dxa"/>
            <w:tcBorders>
              <w:top w:val="single" w:sz="4" w:space="0" w:color="000000"/>
              <w:left w:val="single" w:sz="4" w:space="0" w:color="000000"/>
              <w:bottom w:val="single" w:sz="4" w:space="0" w:color="000000"/>
              <w:right w:val="single" w:sz="4" w:space="0" w:color="000000"/>
            </w:tcBorders>
            <w:hideMark/>
          </w:tcPr>
          <w:p w14:paraId="71D261C2" w14:textId="77777777" w:rsidR="00106F96" w:rsidRPr="00832FC3" w:rsidRDefault="00106F96" w:rsidP="00106F96">
            <w:pPr>
              <w:tabs>
                <w:tab w:val="left" w:pos="720"/>
              </w:tabs>
              <w:spacing w:before="12" w:line="252" w:lineRule="exact"/>
              <w:ind w:left="395" w:right="-20" w:hanging="394"/>
              <w:jc w:val="center"/>
              <w:rPr>
                <w:rFonts w:eastAsia="Times New Roman"/>
                <w:sz w:val="22"/>
                <w:lang w:val="lt-LT" w:eastAsia="en-US"/>
              </w:rPr>
            </w:pPr>
            <w:r w:rsidRPr="00832FC3">
              <w:rPr>
                <w:rFonts w:eastAsia="Times New Roman"/>
                <w:b/>
                <w:bCs/>
                <w:sz w:val="22"/>
                <w:szCs w:val="22"/>
                <w:lang w:val="lt-LT" w:eastAsia="en-US"/>
              </w:rPr>
              <w:t>Viena dozė</w:t>
            </w:r>
          </w:p>
        </w:tc>
      </w:tr>
      <w:tr w:rsidR="00106F96" w:rsidRPr="00832FC3" w14:paraId="32A13DB6" w14:textId="77777777" w:rsidTr="00106F96">
        <w:trPr>
          <w:trHeight w:hRule="exact" w:val="264"/>
        </w:trPr>
        <w:tc>
          <w:tcPr>
            <w:tcW w:w="2174" w:type="dxa"/>
            <w:tcBorders>
              <w:top w:val="single" w:sz="4" w:space="0" w:color="000000"/>
              <w:left w:val="single" w:sz="4" w:space="0" w:color="000000"/>
              <w:bottom w:val="single" w:sz="4" w:space="0" w:color="000000"/>
              <w:right w:val="single" w:sz="4" w:space="0" w:color="000000"/>
            </w:tcBorders>
            <w:hideMark/>
          </w:tcPr>
          <w:p w14:paraId="479D1FC8" w14:textId="77777777" w:rsidR="00106F96" w:rsidRPr="00832FC3" w:rsidRDefault="00106F96" w:rsidP="00106F96">
            <w:pPr>
              <w:tabs>
                <w:tab w:val="left" w:pos="567"/>
              </w:tabs>
              <w:spacing w:before="10"/>
              <w:ind w:left="102" w:right="-20"/>
              <w:rPr>
                <w:rFonts w:eastAsia="Times New Roman"/>
                <w:sz w:val="22"/>
                <w:lang w:val="lt-LT" w:eastAsia="en-US"/>
              </w:rPr>
            </w:pPr>
            <w:r w:rsidRPr="00832FC3">
              <w:rPr>
                <w:rFonts w:eastAsia="Times New Roman"/>
                <w:sz w:val="22"/>
                <w:szCs w:val="22"/>
                <w:lang w:val="lt-LT" w:eastAsia="en-US"/>
              </w:rPr>
              <w:t>Nuo 15 kg iki 30 </w:t>
            </w:r>
            <w:r w:rsidRPr="00832FC3">
              <w:rPr>
                <w:rFonts w:eastAsia="Times New Roman"/>
                <w:spacing w:val="-1"/>
                <w:sz w:val="22"/>
                <w:szCs w:val="22"/>
                <w:lang w:val="lt-LT" w:eastAsia="en-US"/>
              </w:rPr>
              <w:t>kg</w:t>
            </w:r>
          </w:p>
        </w:tc>
        <w:tc>
          <w:tcPr>
            <w:tcW w:w="6898" w:type="dxa"/>
            <w:tcBorders>
              <w:top w:val="single" w:sz="4" w:space="0" w:color="000000"/>
              <w:left w:val="single" w:sz="4" w:space="0" w:color="000000"/>
              <w:bottom w:val="single" w:sz="4" w:space="0" w:color="000000"/>
              <w:right w:val="single" w:sz="4" w:space="0" w:color="000000"/>
            </w:tcBorders>
            <w:hideMark/>
          </w:tcPr>
          <w:p w14:paraId="71D9265A" w14:textId="77777777" w:rsidR="00106F96" w:rsidRPr="00832FC3" w:rsidRDefault="00106F96" w:rsidP="00106F96">
            <w:pPr>
              <w:tabs>
                <w:tab w:val="left" w:pos="567"/>
              </w:tabs>
              <w:spacing w:before="10"/>
              <w:ind w:left="880" w:right="-20" w:hanging="738"/>
              <w:rPr>
                <w:rFonts w:eastAsia="Times New Roman"/>
                <w:sz w:val="22"/>
                <w:lang w:val="lt-LT" w:eastAsia="en-US"/>
              </w:rPr>
            </w:pPr>
            <w:r w:rsidRPr="00832FC3">
              <w:rPr>
                <w:rFonts w:eastAsia="Times New Roman"/>
                <w:sz w:val="22"/>
                <w:szCs w:val="22"/>
                <w:lang w:val="lt-LT" w:eastAsia="en-US"/>
              </w:rPr>
              <w:t xml:space="preserve">375 miligramai </w:t>
            </w:r>
            <w:r w:rsidRPr="00832FC3">
              <w:rPr>
                <w:rFonts w:eastAsia="Times New Roman"/>
                <w:sz w:val="22"/>
                <w:lang w:val="lt-LT" w:eastAsia="lt-LT" w:bidi="lt-LT"/>
              </w:rPr>
              <w:t>Darunavir Teva+50 miligram</w:t>
            </w:r>
            <w:r w:rsidRPr="00832FC3">
              <w:rPr>
                <w:rFonts w:eastAsia="Times New Roman"/>
                <w:sz w:val="22"/>
                <w:szCs w:val="22"/>
                <w:lang w:val="lt-LT" w:eastAsia="en-US"/>
              </w:rPr>
              <w:t>ų ritonaviro du kartus per parą</w:t>
            </w:r>
          </w:p>
        </w:tc>
      </w:tr>
      <w:tr w:rsidR="00106F96" w:rsidRPr="00832FC3" w14:paraId="0338A873" w14:textId="77777777" w:rsidTr="00106F96">
        <w:trPr>
          <w:trHeight w:hRule="exact" w:val="264"/>
        </w:trPr>
        <w:tc>
          <w:tcPr>
            <w:tcW w:w="2174" w:type="dxa"/>
            <w:tcBorders>
              <w:top w:val="single" w:sz="4" w:space="0" w:color="000000"/>
              <w:left w:val="single" w:sz="4" w:space="0" w:color="000000"/>
              <w:bottom w:val="single" w:sz="4" w:space="0" w:color="000000"/>
              <w:right w:val="single" w:sz="4" w:space="0" w:color="000000"/>
            </w:tcBorders>
            <w:hideMark/>
          </w:tcPr>
          <w:p w14:paraId="6EC9420F" w14:textId="77777777" w:rsidR="00106F96" w:rsidRPr="00832FC3" w:rsidRDefault="00106F96" w:rsidP="00106F96">
            <w:pPr>
              <w:tabs>
                <w:tab w:val="left" w:pos="567"/>
              </w:tabs>
              <w:spacing w:before="7"/>
              <w:ind w:left="102" w:right="-20"/>
              <w:rPr>
                <w:rFonts w:eastAsia="Times New Roman"/>
                <w:sz w:val="22"/>
                <w:lang w:val="lt-LT" w:eastAsia="en-US"/>
              </w:rPr>
            </w:pPr>
            <w:r w:rsidRPr="00832FC3">
              <w:rPr>
                <w:rFonts w:eastAsia="Times New Roman"/>
                <w:sz w:val="22"/>
                <w:szCs w:val="22"/>
                <w:lang w:val="lt-LT" w:eastAsia="en-US"/>
              </w:rPr>
              <w:t>Nuo 30 kg iki 40 </w:t>
            </w:r>
            <w:r w:rsidRPr="00832FC3">
              <w:rPr>
                <w:rFonts w:eastAsia="Times New Roman"/>
                <w:spacing w:val="-1"/>
                <w:sz w:val="22"/>
                <w:szCs w:val="22"/>
                <w:lang w:val="lt-LT" w:eastAsia="en-US"/>
              </w:rPr>
              <w:t>kg</w:t>
            </w:r>
          </w:p>
        </w:tc>
        <w:tc>
          <w:tcPr>
            <w:tcW w:w="6898" w:type="dxa"/>
            <w:tcBorders>
              <w:top w:val="single" w:sz="4" w:space="0" w:color="000000"/>
              <w:left w:val="single" w:sz="4" w:space="0" w:color="000000"/>
              <w:bottom w:val="single" w:sz="4" w:space="0" w:color="000000"/>
              <w:right w:val="single" w:sz="4" w:space="0" w:color="000000"/>
            </w:tcBorders>
            <w:hideMark/>
          </w:tcPr>
          <w:p w14:paraId="39F83C93" w14:textId="77777777" w:rsidR="00106F96" w:rsidRPr="00832FC3" w:rsidRDefault="00106F96" w:rsidP="00106F96">
            <w:pPr>
              <w:tabs>
                <w:tab w:val="left" w:pos="567"/>
              </w:tabs>
              <w:spacing w:before="7"/>
              <w:ind w:left="142" w:right="-20"/>
              <w:rPr>
                <w:rFonts w:eastAsia="Times New Roman"/>
                <w:sz w:val="22"/>
                <w:lang w:val="lt-LT" w:eastAsia="en-US"/>
              </w:rPr>
            </w:pPr>
            <w:r w:rsidRPr="00832FC3">
              <w:rPr>
                <w:rFonts w:eastAsia="Times New Roman"/>
                <w:sz w:val="22"/>
                <w:szCs w:val="22"/>
                <w:lang w:val="lt-LT" w:eastAsia="en-US"/>
              </w:rPr>
              <w:t xml:space="preserve">450 miligramų </w:t>
            </w:r>
            <w:r w:rsidRPr="00832FC3">
              <w:rPr>
                <w:rFonts w:eastAsia="Times New Roman"/>
                <w:sz w:val="22"/>
                <w:lang w:val="lt-LT" w:eastAsia="lt-LT" w:bidi="lt-LT"/>
              </w:rPr>
              <w:t>Darunavir Teva+60 miligram</w:t>
            </w:r>
            <w:r w:rsidRPr="00832FC3">
              <w:rPr>
                <w:rFonts w:eastAsia="Times New Roman"/>
                <w:sz w:val="22"/>
                <w:szCs w:val="22"/>
                <w:lang w:val="lt-LT" w:eastAsia="en-US"/>
              </w:rPr>
              <w:t>ų ritonaviro du kartus per parą</w:t>
            </w:r>
          </w:p>
        </w:tc>
      </w:tr>
      <w:tr w:rsidR="00106F96" w:rsidRPr="00832FC3" w14:paraId="014A5100" w14:textId="77777777" w:rsidTr="00106F96">
        <w:trPr>
          <w:trHeight w:hRule="exact" w:val="262"/>
        </w:trPr>
        <w:tc>
          <w:tcPr>
            <w:tcW w:w="2174" w:type="dxa"/>
            <w:tcBorders>
              <w:top w:val="single" w:sz="4" w:space="0" w:color="000000"/>
              <w:left w:val="single" w:sz="4" w:space="0" w:color="000000"/>
              <w:bottom w:val="single" w:sz="4" w:space="0" w:color="000000"/>
              <w:right w:val="single" w:sz="4" w:space="0" w:color="000000"/>
            </w:tcBorders>
            <w:hideMark/>
          </w:tcPr>
          <w:p w14:paraId="2FA2FD79" w14:textId="77777777" w:rsidR="00106F96" w:rsidRPr="00832FC3" w:rsidRDefault="00106F96" w:rsidP="00106F96">
            <w:pPr>
              <w:tabs>
                <w:tab w:val="left" w:pos="567"/>
              </w:tabs>
              <w:spacing w:before="7"/>
              <w:ind w:left="102" w:right="-20"/>
              <w:rPr>
                <w:rFonts w:eastAsia="Times New Roman"/>
                <w:sz w:val="22"/>
                <w:lang w:val="lt-LT" w:eastAsia="en-US"/>
              </w:rPr>
            </w:pPr>
            <w:r w:rsidRPr="00832FC3">
              <w:rPr>
                <w:rFonts w:eastAsia="Times New Roman"/>
                <w:sz w:val="22"/>
                <w:szCs w:val="22"/>
                <w:lang w:val="lt-LT" w:eastAsia="en-US"/>
              </w:rPr>
              <w:t>Daugiau kaip 40 </w:t>
            </w:r>
            <w:r w:rsidRPr="00832FC3">
              <w:rPr>
                <w:rFonts w:eastAsia="Times New Roman"/>
                <w:spacing w:val="-1"/>
                <w:sz w:val="22"/>
                <w:szCs w:val="22"/>
                <w:lang w:val="lt-LT" w:eastAsia="en-US"/>
              </w:rPr>
              <w:t>kg</w:t>
            </w:r>
            <w:r w:rsidR="00912F9A">
              <w:rPr>
                <w:spacing w:val="-1"/>
                <w:szCs w:val="22"/>
              </w:rPr>
              <w:t>*</w:t>
            </w:r>
          </w:p>
        </w:tc>
        <w:tc>
          <w:tcPr>
            <w:tcW w:w="6898" w:type="dxa"/>
            <w:tcBorders>
              <w:top w:val="single" w:sz="4" w:space="0" w:color="000000"/>
              <w:left w:val="single" w:sz="4" w:space="0" w:color="000000"/>
              <w:bottom w:val="single" w:sz="4" w:space="0" w:color="000000"/>
              <w:right w:val="single" w:sz="4" w:space="0" w:color="000000"/>
            </w:tcBorders>
            <w:hideMark/>
          </w:tcPr>
          <w:p w14:paraId="1AE2DF8E" w14:textId="77777777" w:rsidR="00106F96" w:rsidRPr="00832FC3" w:rsidRDefault="00106F96" w:rsidP="00106F96">
            <w:pPr>
              <w:tabs>
                <w:tab w:val="left" w:pos="567"/>
              </w:tabs>
              <w:spacing w:before="7"/>
              <w:ind w:left="880" w:right="-20" w:hanging="738"/>
              <w:rPr>
                <w:rFonts w:eastAsia="Times New Roman"/>
                <w:sz w:val="22"/>
                <w:lang w:val="lt-LT" w:eastAsia="en-US"/>
              </w:rPr>
            </w:pPr>
            <w:r w:rsidRPr="00832FC3">
              <w:rPr>
                <w:rFonts w:eastAsia="Times New Roman"/>
                <w:sz w:val="22"/>
                <w:szCs w:val="22"/>
                <w:lang w:val="lt-LT" w:eastAsia="en-US"/>
              </w:rPr>
              <w:t xml:space="preserve">600 miligramų </w:t>
            </w:r>
            <w:r w:rsidRPr="00832FC3">
              <w:rPr>
                <w:rFonts w:eastAsia="Times New Roman"/>
                <w:sz w:val="22"/>
                <w:lang w:val="lt-LT" w:eastAsia="lt-LT" w:bidi="lt-LT"/>
              </w:rPr>
              <w:t>Darunavir Teva+100 miligram</w:t>
            </w:r>
            <w:r w:rsidRPr="00832FC3">
              <w:rPr>
                <w:rFonts w:eastAsia="Times New Roman"/>
                <w:sz w:val="22"/>
                <w:szCs w:val="22"/>
                <w:lang w:val="lt-LT" w:eastAsia="en-US"/>
              </w:rPr>
              <w:t>ų ritonaviro du kartus per parą 800 miligramų</w:t>
            </w:r>
          </w:p>
          <w:p w14:paraId="0CA717D7" w14:textId="77777777" w:rsidR="00106F96" w:rsidRPr="00832FC3" w:rsidRDefault="00106F96" w:rsidP="00106F96">
            <w:pPr>
              <w:tabs>
                <w:tab w:val="left" w:pos="567"/>
              </w:tabs>
              <w:spacing w:before="7"/>
              <w:ind w:left="880" w:right="-20"/>
              <w:rPr>
                <w:rFonts w:eastAsia="Times New Roman"/>
                <w:sz w:val="22"/>
                <w:lang w:val="lt-LT" w:eastAsia="en-US"/>
              </w:rPr>
            </w:pPr>
            <w:r w:rsidRPr="00832FC3">
              <w:rPr>
                <w:rFonts w:eastAsia="Times New Roman"/>
                <w:sz w:val="22"/>
                <w:szCs w:val="22"/>
                <w:lang w:val="lt-LT" w:eastAsia="en-US"/>
              </w:rPr>
              <w:t>100 miligramų</w:t>
            </w:r>
          </w:p>
        </w:tc>
      </w:tr>
    </w:tbl>
    <w:p w14:paraId="1B1221D4" w14:textId="77777777" w:rsidR="00106F96" w:rsidRPr="00912F9A" w:rsidRDefault="00106F96" w:rsidP="00106F96">
      <w:pPr>
        <w:rPr>
          <w:sz w:val="18"/>
          <w:szCs w:val="18"/>
          <w:lang w:val="lt-LT"/>
        </w:rPr>
      </w:pPr>
      <w:r w:rsidRPr="00912F9A">
        <w:rPr>
          <w:sz w:val="18"/>
          <w:szCs w:val="18"/>
          <w:lang w:val="lt-LT"/>
        </w:rPr>
        <w:t xml:space="preserve">* 12 metų ar vyresniems vaikams ir sveriantiems ne mažiau kaip 40 kilogramų Jūsų vaiko gydytojas nustatys, ar galima vartoti </w:t>
      </w:r>
      <w:r w:rsidRPr="00912F9A">
        <w:rPr>
          <w:rFonts w:eastAsia="Times New Roman"/>
          <w:sz w:val="18"/>
          <w:szCs w:val="18"/>
          <w:lang w:val="lt-LT" w:eastAsia="lt-LT" w:bidi="lt-LT"/>
        </w:rPr>
        <w:t>Darunavir Teva</w:t>
      </w:r>
      <w:r w:rsidRPr="00912F9A">
        <w:rPr>
          <w:sz w:val="18"/>
          <w:szCs w:val="18"/>
          <w:lang w:val="lt-LT"/>
        </w:rPr>
        <w:t xml:space="preserve"> 800 miligramų dozę vieną kartą per parą. Tokios dozės negalima gauti vartojant 600 miligramų tabletes. Tiekiamas kitokio stiprumo </w:t>
      </w:r>
      <w:r w:rsidRPr="00912F9A">
        <w:rPr>
          <w:rFonts w:eastAsia="Times New Roman"/>
          <w:sz w:val="18"/>
          <w:szCs w:val="18"/>
          <w:lang w:val="lt-LT" w:eastAsia="lt-LT" w:bidi="lt-LT"/>
        </w:rPr>
        <w:t>Darunavir Teva</w:t>
      </w:r>
      <w:r w:rsidRPr="00912F9A">
        <w:rPr>
          <w:sz w:val="18"/>
          <w:szCs w:val="18"/>
          <w:lang w:val="lt-LT"/>
        </w:rPr>
        <w:t>.</w:t>
      </w:r>
    </w:p>
    <w:p w14:paraId="21A877AB" w14:textId="77777777" w:rsidR="00106F96" w:rsidRPr="00832FC3" w:rsidRDefault="00106F96" w:rsidP="00106F96">
      <w:pPr>
        <w:rPr>
          <w:sz w:val="22"/>
          <w:szCs w:val="22"/>
          <w:lang w:val="lt-LT"/>
        </w:rPr>
      </w:pPr>
    </w:p>
    <w:p w14:paraId="57039C32" w14:textId="77777777" w:rsidR="00106F96" w:rsidRPr="00832FC3" w:rsidRDefault="00106F96" w:rsidP="00106F96">
      <w:pPr>
        <w:rPr>
          <w:sz w:val="22"/>
          <w:szCs w:val="22"/>
          <w:lang w:val="lt-LT"/>
        </w:rPr>
      </w:pPr>
      <w:r w:rsidRPr="00832FC3">
        <w:rPr>
          <w:sz w:val="22"/>
          <w:szCs w:val="22"/>
          <w:lang w:val="lt-LT"/>
        </w:rPr>
        <w:t>Vieno karto per parą dozė</w:t>
      </w:r>
    </w:p>
    <w:tbl>
      <w:tblPr>
        <w:tblW w:w="0" w:type="auto"/>
        <w:tblInd w:w="99" w:type="dxa"/>
        <w:tblLayout w:type="fixed"/>
        <w:tblCellMar>
          <w:left w:w="0" w:type="dxa"/>
          <w:right w:w="0" w:type="dxa"/>
        </w:tblCellMar>
        <w:tblLook w:val="01E0" w:firstRow="1" w:lastRow="1" w:firstColumn="1" w:lastColumn="1" w:noHBand="0" w:noVBand="0"/>
      </w:tblPr>
      <w:tblGrid>
        <w:gridCol w:w="3024"/>
        <w:gridCol w:w="3024"/>
        <w:gridCol w:w="3024"/>
      </w:tblGrid>
      <w:tr w:rsidR="00106F96" w:rsidRPr="00832FC3" w14:paraId="0C20C524" w14:textId="77777777" w:rsidTr="00106F96">
        <w:trPr>
          <w:trHeight w:hRule="exact" w:val="309"/>
        </w:trPr>
        <w:tc>
          <w:tcPr>
            <w:tcW w:w="3024" w:type="dxa"/>
            <w:tcBorders>
              <w:top w:val="single" w:sz="4" w:space="0" w:color="000000"/>
              <w:left w:val="single" w:sz="4" w:space="0" w:color="000000"/>
              <w:bottom w:val="single" w:sz="4" w:space="0" w:color="000000"/>
              <w:right w:val="single" w:sz="4" w:space="0" w:color="000000"/>
            </w:tcBorders>
            <w:hideMark/>
          </w:tcPr>
          <w:p w14:paraId="408C0DC8" w14:textId="77777777" w:rsidR="00106F96" w:rsidRPr="00832FC3" w:rsidRDefault="00106F96" w:rsidP="00106F96">
            <w:pPr>
              <w:tabs>
                <w:tab w:val="left" w:pos="567"/>
              </w:tabs>
              <w:spacing w:before="12" w:line="252" w:lineRule="exact"/>
              <w:ind w:left="1126" w:right="1107"/>
              <w:jc w:val="center"/>
              <w:rPr>
                <w:rFonts w:eastAsia="Times New Roman"/>
                <w:sz w:val="22"/>
                <w:lang w:val="lt-LT" w:eastAsia="en-US"/>
              </w:rPr>
            </w:pPr>
            <w:r w:rsidRPr="00832FC3">
              <w:rPr>
                <w:rFonts w:eastAsia="Times New Roman"/>
                <w:b/>
                <w:bCs/>
                <w:sz w:val="22"/>
                <w:szCs w:val="22"/>
                <w:lang w:val="lt-LT" w:eastAsia="en-US"/>
              </w:rPr>
              <w:t>Svoris</w:t>
            </w:r>
          </w:p>
        </w:tc>
        <w:tc>
          <w:tcPr>
            <w:tcW w:w="3024" w:type="dxa"/>
            <w:tcBorders>
              <w:top w:val="single" w:sz="4" w:space="0" w:color="000000"/>
              <w:left w:val="single" w:sz="4" w:space="0" w:color="000000"/>
              <w:bottom w:val="single" w:sz="4" w:space="0" w:color="000000"/>
              <w:right w:val="single" w:sz="4" w:space="0" w:color="000000"/>
            </w:tcBorders>
            <w:hideMark/>
          </w:tcPr>
          <w:p w14:paraId="57F98B1F" w14:textId="77777777" w:rsidR="00106F96" w:rsidRPr="00832FC3" w:rsidRDefault="00106F96" w:rsidP="00106F96">
            <w:pPr>
              <w:tabs>
                <w:tab w:val="left" w:pos="720"/>
              </w:tabs>
              <w:spacing w:before="12" w:line="252" w:lineRule="exact"/>
              <w:ind w:left="395" w:right="-20" w:hanging="394"/>
              <w:jc w:val="center"/>
              <w:rPr>
                <w:rFonts w:eastAsia="Times New Roman"/>
                <w:sz w:val="22"/>
                <w:lang w:val="lt-LT" w:eastAsia="en-US"/>
              </w:rPr>
            </w:pPr>
            <w:r w:rsidRPr="00832FC3">
              <w:rPr>
                <w:rFonts w:eastAsia="Times New Roman"/>
                <w:b/>
                <w:bCs/>
                <w:sz w:val="22"/>
                <w:szCs w:val="22"/>
                <w:lang w:val="lt-LT" w:eastAsia="en-US"/>
              </w:rPr>
              <w:t xml:space="preserve">Viena </w:t>
            </w:r>
            <w:r w:rsidRPr="00832FC3">
              <w:rPr>
                <w:rFonts w:eastAsia="Times New Roman"/>
                <w:b/>
                <w:sz w:val="22"/>
                <w:lang w:val="lt-LT" w:eastAsia="lt-LT" w:bidi="lt-LT"/>
              </w:rPr>
              <w:t>Darunavir Teva</w:t>
            </w:r>
            <w:r w:rsidRPr="00832FC3">
              <w:rPr>
                <w:rFonts w:eastAsia="Times New Roman"/>
                <w:b/>
                <w:sz w:val="22"/>
                <w:szCs w:val="22"/>
                <w:lang w:val="lt-LT" w:eastAsia="en-US"/>
              </w:rPr>
              <w:t xml:space="preserve"> </w:t>
            </w:r>
            <w:r w:rsidRPr="00832FC3">
              <w:rPr>
                <w:rFonts w:eastAsia="Times New Roman"/>
                <w:b/>
                <w:bCs/>
                <w:sz w:val="22"/>
                <w:szCs w:val="22"/>
                <w:lang w:val="lt-LT" w:eastAsia="en-US"/>
              </w:rPr>
              <w:t>dozė</w:t>
            </w:r>
          </w:p>
        </w:tc>
        <w:tc>
          <w:tcPr>
            <w:tcW w:w="3024" w:type="dxa"/>
            <w:tcBorders>
              <w:top w:val="single" w:sz="4" w:space="0" w:color="000000"/>
              <w:left w:val="single" w:sz="4" w:space="0" w:color="000000"/>
              <w:bottom w:val="single" w:sz="4" w:space="0" w:color="000000"/>
              <w:right w:val="single" w:sz="4" w:space="0" w:color="000000"/>
            </w:tcBorders>
            <w:hideMark/>
          </w:tcPr>
          <w:p w14:paraId="1B5AF975" w14:textId="77777777" w:rsidR="00106F96" w:rsidRPr="00832FC3" w:rsidRDefault="00106F96" w:rsidP="00106F96">
            <w:pPr>
              <w:tabs>
                <w:tab w:val="left" w:pos="567"/>
              </w:tabs>
              <w:spacing w:line="265" w:lineRule="exact"/>
              <w:ind w:left="489" w:right="-20"/>
              <w:rPr>
                <w:rFonts w:eastAsia="Times New Roman"/>
                <w:sz w:val="22"/>
                <w:lang w:val="lt-LT" w:eastAsia="en-US"/>
              </w:rPr>
            </w:pPr>
            <w:r w:rsidRPr="00832FC3">
              <w:rPr>
                <w:rFonts w:eastAsia="Times New Roman"/>
                <w:b/>
                <w:bCs/>
                <w:position w:val="-1"/>
                <w:sz w:val="22"/>
                <w:szCs w:val="22"/>
                <w:lang w:val="lt-LT" w:eastAsia="en-US"/>
              </w:rPr>
              <w:t>Viena ritonaviro</w:t>
            </w:r>
            <w:r w:rsidRPr="00832FC3">
              <w:rPr>
                <w:rFonts w:eastAsia="Times New Roman"/>
                <w:b/>
                <w:bCs/>
                <w:position w:val="9"/>
                <w:sz w:val="14"/>
                <w:szCs w:val="14"/>
                <w:lang w:val="lt-LT" w:eastAsia="en-US"/>
              </w:rPr>
              <w:t>a</w:t>
            </w:r>
            <w:r w:rsidRPr="00832FC3">
              <w:rPr>
                <w:rFonts w:eastAsia="Times New Roman"/>
                <w:b/>
                <w:bCs/>
                <w:spacing w:val="19"/>
                <w:position w:val="9"/>
                <w:sz w:val="14"/>
                <w:szCs w:val="14"/>
                <w:lang w:val="lt-LT" w:eastAsia="en-US"/>
              </w:rPr>
              <w:t xml:space="preserve"> </w:t>
            </w:r>
            <w:r w:rsidRPr="00832FC3">
              <w:rPr>
                <w:rFonts w:eastAsia="Times New Roman"/>
                <w:b/>
                <w:bCs/>
                <w:position w:val="-1"/>
                <w:sz w:val="22"/>
                <w:szCs w:val="22"/>
                <w:lang w:val="lt-LT" w:eastAsia="en-US"/>
              </w:rPr>
              <w:t>dozė</w:t>
            </w:r>
          </w:p>
        </w:tc>
      </w:tr>
      <w:tr w:rsidR="00106F96" w:rsidRPr="00832FC3" w14:paraId="4A1C16E0" w14:textId="77777777" w:rsidTr="00106F96">
        <w:trPr>
          <w:trHeight w:hRule="exact" w:val="264"/>
        </w:trPr>
        <w:tc>
          <w:tcPr>
            <w:tcW w:w="3024" w:type="dxa"/>
            <w:tcBorders>
              <w:top w:val="single" w:sz="4" w:space="0" w:color="000000"/>
              <w:left w:val="single" w:sz="4" w:space="0" w:color="000000"/>
              <w:bottom w:val="single" w:sz="4" w:space="0" w:color="000000"/>
              <w:right w:val="single" w:sz="4" w:space="0" w:color="000000"/>
            </w:tcBorders>
            <w:hideMark/>
          </w:tcPr>
          <w:p w14:paraId="60379C11" w14:textId="77777777" w:rsidR="00106F96" w:rsidRPr="00832FC3" w:rsidRDefault="00106F96" w:rsidP="00106F96">
            <w:pPr>
              <w:tabs>
                <w:tab w:val="left" w:pos="567"/>
              </w:tabs>
              <w:spacing w:before="10"/>
              <w:ind w:left="102" w:right="-20"/>
              <w:rPr>
                <w:rFonts w:eastAsia="Times New Roman"/>
                <w:sz w:val="22"/>
                <w:lang w:val="lt-LT" w:eastAsia="en-US"/>
              </w:rPr>
            </w:pPr>
            <w:r w:rsidRPr="00832FC3">
              <w:rPr>
                <w:rFonts w:eastAsia="Times New Roman"/>
                <w:sz w:val="22"/>
                <w:szCs w:val="22"/>
                <w:lang w:val="lt-LT" w:eastAsia="en-US"/>
              </w:rPr>
              <w:t>Nuo 15 kg iki 30 </w:t>
            </w:r>
            <w:r w:rsidRPr="00832FC3">
              <w:rPr>
                <w:rFonts w:eastAsia="Times New Roman"/>
                <w:spacing w:val="-1"/>
                <w:sz w:val="22"/>
                <w:szCs w:val="22"/>
                <w:lang w:val="lt-LT" w:eastAsia="en-US"/>
              </w:rPr>
              <w:t>kg</w:t>
            </w:r>
          </w:p>
        </w:tc>
        <w:tc>
          <w:tcPr>
            <w:tcW w:w="3024" w:type="dxa"/>
            <w:tcBorders>
              <w:top w:val="single" w:sz="4" w:space="0" w:color="000000"/>
              <w:left w:val="single" w:sz="4" w:space="0" w:color="000000"/>
              <w:bottom w:val="single" w:sz="4" w:space="0" w:color="000000"/>
              <w:right w:val="single" w:sz="4" w:space="0" w:color="000000"/>
            </w:tcBorders>
            <w:hideMark/>
          </w:tcPr>
          <w:p w14:paraId="506B1589" w14:textId="77777777" w:rsidR="00106F96" w:rsidRPr="00832FC3" w:rsidRDefault="00106F96" w:rsidP="00106F96">
            <w:pPr>
              <w:tabs>
                <w:tab w:val="left" w:pos="567"/>
              </w:tabs>
              <w:spacing w:before="10"/>
              <w:ind w:left="880" w:right="-20"/>
              <w:rPr>
                <w:rFonts w:eastAsia="Times New Roman"/>
                <w:sz w:val="22"/>
                <w:lang w:val="lt-LT" w:eastAsia="en-US"/>
              </w:rPr>
            </w:pPr>
            <w:r w:rsidRPr="00832FC3">
              <w:rPr>
                <w:rFonts w:eastAsia="Times New Roman"/>
                <w:sz w:val="22"/>
                <w:szCs w:val="22"/>
                <w:lang w:val="lt-LT" w:eastAsia="en-US"/>
              </w:rPr>
              <w:t>600 miligramų</w:t>
            </w:r>
          </w:p>
        </w:tc>
        <w:tc>
          <w:tcPr>
            <w:tcW w:w="3024" w:type="dxa"/>
            <w:tcBorders>
              <w:top w:val="single" w:sz="4" w:space="0" w:color="000000"/>
              <w:left w:val="single" w:sz="4" w:space="0" w:color="000000"/>
              <w:bottom w:val="single" w:sz="4" w:space="0" w:color="000000"/>
              <w:right w:val="single" w:sz="4" w:space="0" w:color="000000"/>
            </w:tcBorders>
            <w:hideMark/>
          </w:tcPr>
          <w:p w14:paraId="37260F0C" w14:textId="77777777" w:rsidR="00106F96" w:rsidRPr="00832FC3" w:rsidRDefault="00106F96" w:rsidP="00106F96">
            <w:pPr>
              <w:tabs>
                <w:tab w:val="left" w:pos="567"/>
              </w:tabs>
              <w:spacing w:before="10"/>
              <w:ind w:left="880" w:right="-20"/>
              <w:rPr>
                <w:rFonts w:eastAsia="Times New Roman"/>
                <w:sz w:val="22"/>
                <w:lang w:val="lt-LT" w:eastAsia="en-US"/>
              </w:rPr>
            </w:pPr>
            <w:r w:rsidRPr="00832FC3">
              <w:rPr>
                <w:rFonts w:eastAsia="Times New Roman"/>
                <w:sz w:val="22"/>
                <w:szCs w:val="22"/>
                <w:lang w:val="lt-LT" w:eastAsia="en-US"/>
              </w:rPr>
              <w:t>100 miligramų</w:t>
            </w:r>
          </w:p>
        </w:tc>
      </w:tr>
      <w:tr w:rsidR="00106F96" w:rsidRPr="00832FC3" w14:paraId="29CE51E6" w14:textId="77777777" w:rsidTr="00106F96">
        <w:trPr>
          <w:trHeight w:hRule="exact" w:val="264"/>
        </w:trPr>
        <w:tc>
          <w:tcPr>
            <w:tcW w:w="3024" w:type="dxa"/>
            <w:tcBorders>
              <w:top w:val="single" w:sz="4" w:space="0" w:color="000000"/>
              <w:left w:val="single" w:sz="4" w:space="0" w:color="000000"/>
              <w:bottom w:val="single" w:sz="4" w:space="0" w:color="000000"/>
              <w:right w:val="single" w:sz="4" w:space="0" w:color="000000"/>
            </w:tcBorders>
            <w:hideMark/>
          </w:tcPr>
          <w:p w14:paraId="32A66F36" w14:textId="77777777" w:rsidR="00106F96" w:rsidRPr="00832FC3" w:rsidRDefault="00106F96" w:rsidP="00106F96">
            <w:pPr>
              <w:tabs>
                <w:tab w:val="left" w:pos="567"/>
              </w:tabs>
              <w:spacing w:before="7"/>
              <w:ind w:left="102" w:right="-20"/>
              <w:rPr>
                <w:rFonts w:eastAsia="Times New Roman"/>
                <w:sz w:val="22"/>
                <w:lang w:val="lt-LT" w:eastAsia="en-US"/>
              </w:rPr>
            </w:pPr>
            <w:r w:rsidRPr="00832FC3">
              <w:rPr>
                <w:rFonts w:eastAsia="Times New Roman"/>
                <w:sz w:val="22"/>
                <w:szCs w:val="22"/>
                <w:lang w:val="lt-LT" w:eastAsia="en-US"/>
              </w:rPr>
              <w:t>Nuo 30 kg iki 40 </w:t>
            </w:r>
            <w:r w:rsidRPr="00832FC3">
              <w:rPr>
                <w:rFonts w:eastAsia="Times New Roman"/>
                <w:spacing w:val="-1"/>
                <w:sz w:val="22"/>
                <w:szCs w:val="22"/>
                <w:lang w:val="lt-LT" w:eastAsia="en-US"/>
              </w:rPr>
              <w:t>kg</w:t>
            </w:r>
          </w:p>
        </w:tc>
        <w:tc>
          <w:tcPr>
            <w:tcW w:w="3024" w:type="dxa"/>
            <w:tcBorders>
              <w:top w:val="single" w:sz="4" w:space="0" w:color="000000"/>
              <w:left w:val="single" w:sz="4" w:space="0" w:color="000000"/>
              <w:bottom w:val="single" w:sz="4" w:space="0" w:color="000000"/>
              <w:right w:val="single" w:sz="4" w:space="0" w:color="000000"/>
            </w:tcBorders>
            <w:hideMark/>
          </w:tcPr>
          <w:p w14:paraId="36052A4F" w14:textId="77777777" w:rsidR="00106F96" w:rsidRPr="00832FC3" w:rsidRDefault="00106F96" w:rsidP="00106F96">
            <w:pPr>
              <w:tabs>
                <w:tab w:val="left" w:pos="567"/>
              </w:tabs>
              <w:spacing w:before="7"/>
              <w:ind w:left="880" w:right="-20"/>
              <w:rPr>
                <w:rFonts w:eastAsia="Times New Roman"/>
                <w:sz w:val="22"/>
                <w:lang w:val="lt-LT" w:eastAsia="en-US"/>
              </w:rPr>
            </w:pPr>
            <w:r w:rsidRPr="00832FC3">
              <w:rPr>
                <w:rFonts w:eastAsia="Times New Roman"/>
                <w:sz w:val="22"/>
                <w:szCs w:val="22"/>
                <w:lang w:val="lt-LT" w:eastAsia="en-US"/>
              </w:rPr>
              <w:t>675 miligramai</w:t>
            </w:r>
          </w:p>
        </w:tc>
        <w:tc>
          <w:tcPr>
            <w:tcW w:w="3024" w:type="dxa"/>
            <w:tcBorders>
              <w:top w:val="single" w:sz="4" w:space="0" w:color="000000"/>
              <w:left w:val="single" w:sz="4" w:space="0" w:color="000000"/>
              <w:bottom w:val="single" w:sz="4" w:space="0" w:color="000000"/>
              <w:right w:val="single" w:sz="4" w:space="0" w:color="000000"/>
            </w:tcBorders>
            <w:hideMark/>
          </w:tcPr>
          <w:p w14:paraId="7F34DB4F" w14:textId="77777777" w:rsidR="00106F96" w:rsidRPr="00832FC3" w:rsidRDefault="00106F96" w:rsidP="00106F96">
            <w:pPr>
              <w:tabs>
                <w:tab w:val="left" w:pos="567"/>
              </w:tabs>
              <w:spacing w:before="7"/>
              <w:ind w:left="880" w:right="-20"/>
              <w:rPr>
                <w:rFonts w:eastAsia="Times New Roman"/>
                <w:sz w:val="22"/>
                <w:lang w:val="lt-LT" w:eastAsia="en-US"/>
              </w:rPr>
            </w:pPr>
            <w:r w:rsidRPr="00832FC3">
              <w:rPr>
                <w:rFonts w:eastAsia="Times New Roman"/>
                <w:sz w:val="22"/>
                <w:szCs w:val="22"/>
                <w:lang w:val="lt-LT" w:eastAsia="en-US"/>
              </w:rPr>
              <w:t>100 miligramų</w:t>
            </w:r>
          </w:p>
        </w:tc>
      </w:tr>
      <w:tr w:rsidR="00106F96" w:rsidRPr="00832FC3" w14:paraId="3B7A9182" w14:textId="77777777" w:rsidTr="00106F96">
        <w:trPr>
          <w:trHeight w:hRule="exact" w:val="262"/>
        </w:trPr>
        <w:tc>
          <w:tcPr>
            <w:tcW w:w="3024" w:type="dxa"/>
            <w:tcBorders>
              <w:top w:val="single" w:sz="4" w:space="0" w:color="000000"/>
              <w:left w:val="single" w:sz="4" w:space="0" w:color="000000"/>
              <w:bottom w:val="single" w:sz="4" w:space="0" w:color="000000"/>
              <w:right w:val="single" w:sz="4" w:space="0" w:color="000000"/>
            </w:tcBorders>
            <w:hideMark/>
          </w:tcPr>
          <w:p w14:paraId="6B28A31E" w14:textId="77777777" w:rsidR="00106F96" w:rsidRPr="00832FC3" w:rsidRDefault="00106F96" w:rsidP="00106F96">
            <w:pPr>
              <w:tabs>
                <w:tab w:val="left" w:pos="567"/>
              </w:tabs>
              <w:spacing w:before="7"/>
              <w:ind w:left="102" w:right="-20"/>
              <w:rPr>
                <w:rFonts w:eastAsia="Times New Roman"/>
                <w:sz w:val="22"/>
                <w:lang w:val="lt-LT" w:eastAsia="en-US"/>
              </w:rPr>
            </w:pPr>
            <w:r w:rsidRPr="00832FC3">
              <w:rPr>
                <w:rFonts w:eastAsia="Times New Roman"/>
                <w:sz w:val="22"/>
                <w:szCs w:val="22"/>
                <w:lang w:val="lt-LT" w:eastAsia="en-US"/>
              </w:rPr>
              <w:t>Daugiau kaip 40 </w:t>
            </w:r>
            <w:r w:rsidRPr="00832FC3">
              <w:rPr>
                <w:rFonts w:eastAsia="Times New Roman"/>
                <w:spacing w:val="-1"/>
                <w:sz w:val="22"/>
                <w:szCs w:val="22"/>
                <w:lang w:val="lt-LT" w:eastAsia="en-US"/>
              </w:rPr>
              <w:t>kg</w:t>
            </w:r>
          </w:p>
        </w:tc>
        <w:tc>
          <w:tcPr>
            <w:tcW w:w="3024" w:type="dxa"/>
            <w:tcBorders>
              <w:top w:val="single" w:sz="4" w:space="0" w:color="000000"/>
              <w:left w:val="single" w:sz="4" w:space="0" w:color="000000"/>
              <w:bottom w:val="single" w:sz="4" w:space="0" w:color="000000"/>
              <w:right w:val="single" w:sz="4" w:space="0" w:color="000000"/>
            </w:tcBorders>
            <w:hideMark/>
          </w:tcPr>
          <w:p w14:paraId="1106A971" w14:textId="77777777" w:rsidR="00106F96" w:rsidRPr="00832FC3" w:rsidRDefault="00106F96" w:rsidP="00106F96">
            <w:pPr>
              <w:tabs>
                <w:tab w:val="left" w:pos="567"/>
              </w:tabs>
              <w:spacing w:before="7"/>
              <w:ind w:left="880" w:right="-20"/>
              <w:rPr>
                <w:rFonts w:eastAsia="Times New Roman"/>
                <w:sz w:val="22"/>
                <w:lang w:val="lt-LT" w:eastAsia="en-US"/>
              </w:rPr>
            </w:pPr>
            <w:r w:rsidRPr="00832FC3">
              <w:rPr>
                <w:rFonts w:eastAsia="Times New Roman"/>
                <w:sz w:val="22"/>
                <w:szCs w:val="22"/>
                <w:lang w:val="lt-LT" w:eastAsia="en-US"/>
              </w:rPr>
              <w:t>800 miligramų</w:t>
            </w:r>
          </w:p>
        </w:tc>
        <w:tc>
          <w:tcPr>
            <w:tcW w:w="3024" w:type="dxa"/>
            <w:tcBorders>
              <w:top w:val="single" w:sz="4" w:space="0" w:color="000000"/>
              <w:left w:val="single" w:sz="4" w:space="0" w:color="000000"/>
              <w:bottom w:val="single" w:sz="4" w:space="0" w:color="000000"/>
              <w:right w:val="single" w:sz="4" w:space="0" w:color="000000"/>
            </w:tcBorders>
            <w:hideMark/>
          </w:tcPr>
          <w:p w14:paraId="479F0B1F" w14:textId="77777777" w:rsidR="00106F96" w:rsidRPr="00832FC3" w:rsidRDefault="00106F96" w:rsidP="00106F96">
            <w:pPr>
              <w:tabs>
                <w:tab w:val="left" w:pos="567"/>
              </w:tabs>
              <w:spacing w:before="7"/>
              <w:ind w:left="880" w:right="-20"/>
              <w:rPr>
                <w:rFonts w:eastAsia="Times New Roman"/>
                <w:sz w:val="22"/>
                <w:lang w:val="lt-LT" w:eastAsia="en-US"/>
              </w:rPr>
            </w:pPr>
            <w:r w:rsidRPr="00832FC3">
              <w:rPr>
                <w:rFonts w:eastAsia="Times New Roman"/>
                <w:sz w:val="22"/>
                <w:szCs w:val="22"/>
                <w:lang w:val="lt-LT" w:eastAsia="en-US"/>
              </w:rPr>
              <w:t>100 miligramų</w:t>
            </w:r>
          </w:p>
        </w:tc>
      </w:tr>
    </w:tbl>
    <w:p w14:paraId="682CFB9F" w14:textId="77777777" w:rsidR="00106F96" w:rsidRPr="000810B1" w:rsidRDefault="00106F96" w:rsidP="00106F96">
      <w:pPr>
        <w:rPr>
          <w:sz w:val="18"/>
          <w:szCs w:val="18"/>
          <w:lang w:val="lt-LT"/>
        </w:rPr>
      </w:pPr>
      <w:r w:rsidRPr="000810B1">
        <w:rPr>
          <w:sz w:val="18"/>
          <w:szCs w:val="18"/>
          <w:vertAlign w:val="superscript"/>
          <w:lang w:val="lt-LT"/>
        </w:rPr>
        <w:t xml:space="preserve">a </w:t>
      </w:r>
      <w:r w:rsidRPr="000810B1">
        <w:rPr>
          <w:sz w:val="18"/>
          <w:szCs w:val="18"/>
          <w:lang w:val="lt-LT"/>
        </w:rPr>
        <w:t>Geriamasis ritonaviro tirpalas: 80 miligramų mililitre.</w:t>
      </w:r>
    </w:p>
    <w:p w14:paraId="20BDE2F9" w14:textId="77777777" w:rsidR="00106F96" w:rsidRPr="00832FC3" w:rsidRDefault="00106F96" w:rsidP="00106F96">
      <w:pPr>
        <w:rPr>
          <w:sz w:val="22"/>
          <w:szCs w:val="22"/>
          <w:lang w:val="lt-LT"/>
        </w:rPr>
      </w:pPr>
    </w:p>
    <w:p w14:paraId="2FB926A0" w14:textId="77777777" w:rsidR="00106F96" w:rsidRPr="00832FC3" w:rsidRDefault="00106F96" w:rsidP="00106F96">
      <w:pPr>
        <w:rPr>
          <w:sz w:val="22"/>
          <w:szCs w:val="22"/>
          <w:lang w:val="lt-LT"/>
        </w:rPr>
      </w:pPr>
      <w:r w:rsidRPr="00832FC3">
        <w:rPr>
          <w:sz w:val="22"/>
          <w:szCs w:val="22"/>
          <w:lang w:val="lt-LT"/>
        </w:rPr>
        <w:t>Šio vaistinio preparato visų stiprumo formų nėra. Dėl to nėra galimybių vartoti 375 mg ir 675 mg dozes. Norint vartoti šias dozes reikia naudoti kitus rinkoje esančius darunaviro preparatus.</w:t>
      </w:r>
    </w:p>
    <w:p w14:paraId="6D0B9C7E" w14:textId="77777777" w:rsidR="00106F96" w:rsidRPr="00832FC3" w:rsidRDefault="00106F96" w:rsidP="00106F96">
      <w:pPr>
        <w:rPr>
          <w:sz w:val="22"/>
          <w:szCs w:val="22"/>
          <w:lang w:val="lt-LT"/>
        </w:rPr>
      </w:pPr>
    </w:p>
    <w:p w14:paraId="717F7BD7" w14:textId="77777777" w:rsidR="00106F96" w:rsidRPr="00832FC3" w:rsidRDefault="00106F96" w:rsidP="00106F96">
      <w:pPr>
        <w:rPr>
          <w:b/>
          <w:i/>
          <w:sz w:val="22"/>
          <w:szCs w:val="22"/>
          <w:lang w:val="lt-LT"/>
        </w:rPr>
      </w:pPr>
      <w:r w:rsidRPr="00832FC3">
        <w:rPr>
          <w:b/>
          <w:i/>
          <w:sz w:val="22"/>
          <w:szCs w:val="22"/>
          <w:lang w:val="lt-LT"/>
        </w:rPr>
        <w:t>Instrukcijos vaikams</w:t>
      </w:r>
    </w:p>
    <w:p w14:paraId="42BEE0DD"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 xml:space="preserve">Vaikas </w:t>
      </w:r>
      <w:r w:rsidRPr="00832FC3">
        <w:rPr>
          <w:rFonts w:eastAsia="Times New Roman"/>
          <w:sz w:val="22"/>
          <w:lang w:val="lt-LT" w:eastAsia="lt-LT" w:bidi="lt-LT"/>
        </w:rPr>
        <w:t>Darunavir Teva</w:t>
      </w:r>
      <w:r w:rsidRPr="00832FC3">
        <w:rPr>
          <w:sz w:val="22"/>
          <w:szCs w:val="22"/>
          <w:lang w:val="lt-LT"/>
        </w:rPr>
        <w:t xml:space="preserve"> visada turi vartoti kartu su ritonaviru. Be ritonaviro </w:t>
      </w:r>
      <w:r w:rsidRPr="00832FC3">
        <w:rPr>
          <w:rFonts w:eastAsia="Times New Roman"/>
          <w:sz w:val="22"/>
          <w:lang w:val="lt-LT" w:eastAsia="lt-LT" w:bidi="lt-LT"/>
        </w:rPr>
        <w:t>Darunavir Teva</w:t>
      </w:r>
      <w:r w:rsidRPr="00832FC3">
        <w:rPr>
          <w:sz w:val="22"/>
          <w:szCs w:val="22"/>
          <w:lang w:val="lt-LT"/>
        </w:rPr>
        <w:t xml:space="preserve"> veikia nepakankamai.</w:t>
      </w:r>
    </w:p>
    <w:p w14:paraId="2FC55E92"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 xml:space="preserve">Vaikas turi vartoti tinkamas </w:t>
      </w:r>
      <w:r w:rsidRPr="00832FC3">
        <w:rPr>
          <w:rFonts w:eastAsia="Times New Roman"/>
          <w:sz w:val="22"/>
          <w:lang w:val="lt-LT" w:eastAsia="lt-LT" w:bidi="lt-LT"/>
        </w:rPr>
        <w:t>Darunavir Teva</w:t>
      </w:r>
      <w:r w:rsidRPr="00832FC3">
        <w:rPr>
          <w:sz w:val="22"/>
          <w:szCs w:val="22"/>
          <w:lang w:val="lt-LT"/>
        </w:rPr>
        <w:t xml:space="preserve"> ir ritonaviro dozes du kartus arba vieną kartą per parą. Jei skirta vartoti </w:t>
      </w:r>
      <w:r w:rsidRPr="00832FC3">
        <w:rPr>
          <w:rFonts w:eastAsia="Times New Roman"/>
          <w:sz w:val="22"/>
          <w:lang w:val="lt-LT" w:eastAsia="lt-LT" w:bidi="lt-LT"/>
        </w:rPr>
        <w:t>Darunavir Teva</w:t>
      </w:r>
      <w:r w:rsidRPr="00832FC3">
        <w:rPr>
          <w:sz w:val="22"/>
          <w:szCs w:val="22"/>
          <w:lang w:val="lt-LT"/>
        </w:rPr>
        <w:t xml:space="preserve"> du kartus per parą, vaikas turi vieną dozę išgerti ryte, o kitą vakare. Jūsų vaiko gydytojas paskirs tinkamą dozavimo planą Jūsų vaikui.</w:t>
      </w:r>
    </w:p>
    <w:p w14:paraId="41C9CA2D"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lastRenderedPageBreak/>
        <w:t xml:space="preserve">Vaikas turi vartoti </w:t>
      </w:r>
      <w:r w:rsidRPr="00832FC3">
        <w:rPr>
          <w:rFonts w:eastAsia="Times New Roman"/>
          <w:sz w:val="22"/>
          <w:lang w:val="lt-LT" w:eastAsia="lt-LT" w:bidi="lt-LT"/>
        </w:rPr>
        <w:t>Darunavir Teva</w:t>
      </w:r>
      <w:r w:rsidRPr="00832FC3">
        <w:rPr>
          <w:sz w:val="22"/>
          <w:szCs w:val="22"/>
          <w:lang w:val="lt-LT"/>
        </w:rPr>
        <w:t xml:space="preserve"> kartu su maistu. Be maisto vartojamas </w:t>
      </w:r>
      <w:r w:rsidRPr="00832FC3">
        <w:rPr>
          <w:rFonts w:eastAsia="Times New Roman"/>
          <w:sz w:val="22"/>
          <w:lang w:val="lt-LT" w:eastAsia="lt-LT" w:bidi="lt-LT"/>
        </w:rPr>
        <w:t>Darunavir Teva</w:t>
      </w:r>
      <w:r w:rsidRPr="00832FC3">
        <w:rPr>
          <w:sz w:val="22"/>
          <w:szCs w:val="22"/>
          <w:lang w:val="lt-LT"/>
        </w:rPr>
        <w:t xml:space="preserve"> veikia nepakankamai. Maisto rūšis nesvarbi.</w:t>
      </w:r>
    </w:p>
    <w:p w14:paraId="755DF098"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Vaikas turi nuryti tabletes užsigerdamas gėrimu, pavyzdžiui, vandeniu ar pienu.</w:t>
      </w:r>
    </w:p>
    <w:p w14:paraId="2FE3E5AA" w14:textId="77777777" w:rsidR="00106F96" w:rsidRPr="00832FC3" w:rsidRDefault="00106F96" w:rsidP="00106F96">
      <w:pPr>
        <w:pStyle w:val="BT-EMEASMCA"/>
        <w:numPr>
          <w:ilvl w:val="0"/>
          <w:numId w:val="25"/>
        </w:numPr>
        <w:ind w:left="567" w:hanging="567"/>
        <w:rPr>
          <w:sz w:val="22"/>
          <w:szCs w:val="22"/>
          <w:lang w:val="lt-LT"/>
        </w:rPr>
      </w:pPr>
      <w:r w:rsidRPr="00832FC3">
        <w:rPr>
          <w:rFonts w:eastAsia="Times New Roman"/>
          <w:sz w:val="22"/>
          <w:lang w:val="lt-LT" w:eastAsia="lt-LT" w:bidi="lt-LT"/>
        </w:rPr>
        <w:t>Darunavir Teva</w:t>
      </w:r>
      <w:r w:rsidRPr="00832FC3">
        <w:rPr>
          <w:sz w:val="22"/>
          <w:szCs w:val="22"/>
          <w:lang w:val="lt-LT"/>
        </w:rPr>
        <w:t xml:space="preserve"> 150 miligramų tabletės sukurtos vaikams, kurie sveria mažiau kaip 40 kg, bet tam tikrais atvejais gali būti taip pat vartojamos ir suaugusiųjų.</w:t>
      </w:r>
    </w:p>
    <w:p w14:paraId="54EE7AB5" w14:textId="77777777" w:rsidR="00106F96" w:rsidRPr="00832FC3" w:rsidRDefault="00106F96" w:rsidP="00106F96">
      <w:pPr>
        <w:ind w:left="567" w:hanging="567"/>
        <w:rPr>
          <w:sz w:val="22"/>
          <w:szCs w:val="22"/>
          <w:lang w:val="lt-LT"/>
        </w:rPr>
      </w:pPr>
    </w:p>
    <w:p w14:paraId="5BE64453" w14:textId="77777777" w:rsidR="00106F96" w:rsidRPr="00832FC3" w:rsidRDefault="00106F96" w:rsidP="00106F96">
      <w:pPr>
        <w:rPr>
          <w:b/>
          <w:sz w:val="22"/>
          <w:szCs w:val="22"/>
          <w:lang w:val="lt-LT"/>
        </w:rPr>
      </w:pPr>
      <w:r w:rsidRPr="00832FC3">
        <w:rPr>
          <w:b/>
          <w:sz w:val="22"/>
          <w:szCs w:val="22"/>
          <w:lang w:val="lt-LT"/>
        </w:rPr>
        <w:t xml:space="preserve">Ką daryti pavartojus per didelę </w:t>
      </w:r>
      <w:r w:rsidRPr="00832FC3">
        <w:rPr>
          <w:rFonts w:eastAsia="Times New Roman"/>
          <w:b/>
          <w:sz w:val="22"/>
          <w:lang w:val="lt-LT" w:eastAsia="lt-LT" w:bidi="lt-LT"/>
        </w:rPr>
        <w:t>Darunavir Teva</w:t>
      </w:r>
      <w:r w:rsidRPr="00832FC3">
        <w:rPr>
          <w:b/>
          <w:sz w:val="22"/>
          <w:szCs w:val="22"/>
          <w:lang w:val="lt-LT"/>
        </w:rPr>
        <w:t xml:space="preserve"> dozę?</w:t>
      </w:r>
    </w:p>
    <w:p w14:paraId="2BD80470" w14:textId="77777777" w:rsidR="00106F96" w:rsidRPr="00832FC3" w:rsidRDefault="00106F96" w:rsidP="00106F96">
      <w:pPr>
        <w:rPr>
          <w:sz w:val="22"/>
          <w:szCs w:val="22"/>
          <w:lang w:val="lt-LT"/>
        </w:rPr>
      </w:pPr>
      <w:r w:rsidRPr="00832FC3">
        <w:rPr>
          <w:sz w:val="22"/>
          <w:szCs w:val="22"/>
          <w:lang w:val="lt-LT"/>
        </w:rPr>
        <w:t>Nedelsdami kreipkitės į gydytoją, vaistininką arba slaugytoją.</w:t>
      </w:r>
    </w:p>
    <w:p w14:paraId="192EFFD3" w14:textId="77777777" w:rsidR="00106F96" w:rsidRPr="00832FC3" w:rsidRDefault="00106F96" w:rsidP="00106F96">
      <w:pPr>
        <w:rPr>
          <w:sz w:val="22"/>
          <w:szCs w:val="22"/>
          <w:lang w:val="lt-LT"/>
        </w:rPr>
      </w:pPr>
    </w:p>
    <w:p w14:paraId="3B1911E7" w14:textId="77777777" w:rsidR="00106F96" w:rsidRPr="00832FC3" w:rsidRDefault="00106F96" w:rsidP="00106F96">
      <w:pPr>
        <w:rPr>
          <w:b/>
          <w:sz w:val="22"/>
          <w:szCs w:val="22"/>
          <w:lang w:val="lt-LT"/>
        </w:rPr>
      </w:pPr>
      <w:r w:rsidRPr="00832FC3">
        <w:rPr>
          <w:b/>
          <w:sz w:val="22"/>
          <w:szCs w:val="22"/>
          <w:lang w:val="lt-LT"/>
        </w:rPr>
        <w:t xml:space="preserve">Pamiršus pavartoti </w:t>
      </w:r>
      <w:r w:rsidRPr="00832FC3">
        <w:rPr>
          <w:rFonts w:eastAsia="Times New Roman"/>
          <w:b/>
          <w:sz w:val="22"/>
          <w:lang w:val="lt-LT" w:eastAsia="lt-LT" w:bidi="lt-LT"/>
        </w:rPr>
        <w:t>Darunavir Teva</w:t>
      </w:r>
    </w:p>
    <w:p w14:paraId="4BD09300" w14:textId="77777777" w:rsidR="00106F96" w:rsidRPr="00832FC3" w:rsidRDefault="00106F96" w:rsidP="00106F96">
      <w:pPr>
        <w:rPr>
          <w:sz w:val="22"/>
          <w:szCs w:val="22"/>
          <w:lang w:val="lt-LT"/>
        </w:rPr>
      </w:pPr>
      <w:r w:rsidRPr="00832FC3">
        <w:rPr>
          <w:sz w:val="22"/>
          <w:szCs w:val="22"/>
          <w:lang w:val="lt-LT"/>
        </w:rPr>
        <w:t xml:space="preserve">Jei tai pastebėjote </w:t>
      </w:r>
      <w:r w:rsidRPr="00832FC3">
        <w:rPr>
          <w:b/>
          <w:sz w:val="22"/>
          <w:szCs w:val="22"/>
          <w:lang w:val="lt-LT"/>
        </w:rPr>
        <w:t>ne vėliau kaip po 6 valandų</w:t>
      </w:r>
      <w:r w:rsidRPr="00832FC3">
        <w:rPr>
          <w:sz w:val="22"/>
          <w:szCs w:val="22"/>
          <w:lang w:val="lt-LT"/>
        </w:rPr>
        <w:t xml:space="preserve">, išgerkite pamirštą dozę nedelsiant. Visada vartokite tabletes kartu su  ritonaviru ir maistu. Jei prisiminėte </w:t>
      </w:r>
      <w:r w:rsidRPr="00832FC3">
        <w:rPr>
          <w:b/>
          <w:sz w:val="22"/>
          <w:szCs w:val="22"/>
          <w:lang w:val="lt-LT"/>
        </w:rPr>
        <w:t>po 6 valandų</w:t>
      </w:r>
      <w:r w:rsidRPr="00832FC3">
        <w:rPr>
          <w:sz w:val="22"/>
          <w:szCs w:val="22"/>
          <w:lang w:val="lt-LT"/>
        </w:rPr>
        <w:t>, praleiskite užmirštąją dozę, o kitą gerkite įprastu laiku. Negalima vartoti dvigubos dozės norint kompensuoti praleistą dozę.</w:t>
      </w:r>
    </w:p>
    <w:p w14:paraId="1BA436CD" w14:textId="77777777" w:rsidR="00106F96" w:rsidRPr="00832FC3" w:rsidRDefault="00106F96" w:rsidP="00106F96">
      <w:pPr>
        <w:rPr>
          <w:sz w:val="22"/>
          <w:szCs w:val="22"/>
          <w:lang w:val="lt-LT"/>
        </w:rPr>
      </w:pPr>
    </w:p>
    <w:p w14:paraId="05D71B1C" w14:textId="77777777" w:rsidR="00106F96" w:rsidRPr="00832FC3" w:rsidRDefault="00106F96" w:rsidP="00106F96">
      <w:pPr>
        <w:rPr>
          <w:b/>
          <w:sz w:val="22"/>
          <w:szCs w:val="22"/>
          <w:lang w:val="lt-LT"/>
        </w:rPr>
      </w:pPr>
      <w:r w:rsidRPr="00832FC3">
        <w:rPr>
          <w:b/>
          <w:sz w:val="22"/>
          <w:szCs w:val="22"/>
          <w:lang w:val="lt-LT"/>
        </w:rPr>
        <w:t xml:space="preserve">Nenustokite vartoti </w:t>
      </w:r>
      <w:r w:rsidRPr="00832FC3">
        <w:rPr>
          <w:rFonts w:eastAsia="Times New Roman"/>
          <w:b/>
          <w:sz w:val="22"/>
          <w:lang w:val="lt-LT" w:eastAsia="lt-LT" w:bidi="lt-LT"/>
        </w:rPr>
        <w:t>Darunavir Teva</w:t>
      </w:r>
      <w:r w:rsidRPr="00832FC3">
        <w:rPr>
          <w:b/>
          <w:sz w:val="22"/>
          <w:szCs w:val="22"/>
          <w:lang w:val="lt-LT"/>
        </w:rPr>
        <w:t xml:space="preserve"> nepasitarę su gydytoju</w:t>
      </w:r>
    </w:p>
    <w:p w14:paraId="2837C356" w14:textId="77777777" w:rsidR="00106F96" w:rsidRPr="00832FC3" w:rsidRDefault="00106F96" w:rsidP="00106F96">
      <w:pPr>
        <w:rPr>
          <w:sz w:val="22"/>
          <w:szCs w:val="22"/>
          <w:lang w:val="lt-LT"/>
        </w:rPr>
      </w:pPr>
      <w:r w:rsidRPr="00832FC3">
        <w:rPr>
          <w:sz w:val="22"/>
          <w:szCs w:val="22"/>
          <w:lang w:val="lt-LT"/>
        </w:rPr>
        <w:t xml:space="preserve">ŽIV infekcijos gydymas gali padidinti geros savijautos įspūdį. Net pasijutę geriau, nesiliaukite vartoję </w:t>
      </w:r>
      <w:r w:rsidRPr="00832FC3">
        <w:rPr>
          <w:rFonts w:eastAsia="Times New Roman"/>
          <w:sz w:val="22"/>
          <w:lang w:val="lt-LT" w:eastAsia="lt-LT" w:bidi="lt-LT"/>
        </w:rPr>
        <w:t>Darunavir Teva</w:t>
      </w:r>
      <w:r w:rsidRPr="00832FC3">
        <w:rPr>
          <w:sz w:val="22"/>
          <w:szCs w:val="22"/>
          <w:lang w:val="lt-LT"/>
        </w:rPr>
        <w:t>. Pirmiau pasitarkite su gydytoju.</w:t>
      </w:r>
    </w:p>
    <w:p w14:paraId="7E4D7CA0" w14:textId="77777777" w:rsidR="00106F96" w:rsidRPr="00832FC3" w:rsidRDefault="00106F96" w:rsidP="00106F96">
      <w:pPr>
        <w:rPr>
          <w:sz w:val="22"/>
          <w:szCs w:val="22"/>
          <w:lang w:val="lt-LT"/>
        </w:rPr>
      </w:pPr>
    </w:p>
    <w:p w14:paraId="7DB303C7" w14:textId="77777777" w:rsidR="00106F96" w:rsidRPr="00832FC3" w:rsidRDefault="00106F96" w:rsidP="00106F96">
      <w:pPr>
        <w:rPr>
          <w:sz w:val="22"/>
          <w:szCs w:val="22"/>
          <w:lang w:val="lt-LT"/>
        </w:rPr>
      </w:pPr>
      <w:r w:rsidRPr="00832FC3">
        <w:rPr>
          <w:sz w:val="22"/>
          <w:szCs w:val="22"/>
          <w:lang w:val="lt-LT"/>
        </w:rPr>
        <w:t>Jeigu kiltų daugiau klausimų dėl šio vaisto vartojimo, kreipkitės į gydytoją, vaistininką arba</w:t>
      </w:r>
    </w:p>
    <w:p w14:paraId="57A4DAA9" w14:textId="77777777" w:rsidR="00106F96" w:rsidRPr="00832FC3" w:rsidRDefault="00106F96" w:rsidP="00106F96">
      <w:pPr>
        <w:rPr>
          <w:sz w:val="22"/>
          <w:szCs w:val="22"/>
          <w:lang w:val="lt-LT"/>
        </w:rPr>
      </w:pPr>
      <w:r w:rsidRPr="00832FC3">
        <w:rPr>
          <w:sz w:val="22"/>
          <w:szCs w:val="22"/>
          <w:lang w:val="lt-LT"/>
        </w:rPr>
        <w:t>slaugytoją.</w:t>
      </w:r>
    </w:p>
    <w:p w14:paraId="6A65587D" w14:textId="77777777" w:rsidR="00106F96" w:rsidRPr="00832FC3" w:rsidRDefault="00106F96" w:rsidP="00106F96">
      <w:pPr>
        <w:rPr>
          <w:sz w:val="22"/>
          <w:szCs w:val="22"/>
          <w:lang w:val="lt-LT"/>
        </w:rPr>
      </w:pPr>
    </w:p>
    <w:p w14:paraId="4D009E1C" w14:textId="77777777" w:rsidR="00106F96" w:rsidRPr="00832FC3" w:rsidRDefault="00106F96" w:rsidP="00106F96">
      <w:pPr>
        <w:keepNext/>
        <w:keepLines/>
        <w:tabs>
          <w:tab w:val="left" w:pos="567"/>
        </w:tabs>
        <w:outlineLvl w:val="2"/>
        <w:rPr>
          <w:rFonts w:eastAsia="Times New Roman"/>
          <w:b/>
          <w:bCs/>
          <w:snapToGrid w:val="0"/>
          <w:sz w:val="22"/>
          <w:szCs w:val="26"/>
          <w:lang w:val="lt-LT" w:eastAsia="x-none"/>
        </w:rPr>
      </w:pPr>
    </w:p>
    <w:p w14:paraId="2BBE64D3" w14:textId="77777777" w:rsidR="00106F96" w:rsidRPr="00832FC3" w:rsidRDefault="00106F96" w:rsidP="00106F96">
      <w:pPr>
        <w:keepNext/>
        <w:keepLines/>
        <w:tabs>
          <w:tab w:val="left" w:pos="567"/>
        </w:tabs>
        <w:outlineLvl w:val="2"/>
        <w:rPr>
          <w:rFonts w:eastAsia="Times New Roman"/>
          <w:b/>
          <w:bCs/>
          <w:snapToGrid w:val="0"/>
          <w:sz w:val="22"/>
          <w:szCs w:val="26"/>
          <w:lang w:val="lt-LT" w:eastAsia="x-none"/>
        </w:rPr>
      </w:pPr>
      <w:r w:rsidRPr="00832FC3">
        <w:rPr>
          <w:rFonts w:eastAsia="Times New Roman"/>
          <w:b/>
          <w:bCs/>
          <w:snapToGrid w:val="0"/>
          <w:sz w:val="22"/>
          <w:szCs w:val="26"/>
          <w:lang w:val="lt-LT" w:eastAsia="x-none"/>
        </w:rPr>
        <w:t>4.</w:t>
      </w:r>
      <w:r w:rsidRPr="00832FC3">
        <w:rPr>
          <w:rFonts w:eastAsia="Times New Roman"/>
          <w:b/>
          <w:bCs/>
          <w:snapToGrid w:val="0"/>
          <w:sz w:val="22"/>
          <w:szCs w:val="26"/>
          <w:lang w:val="lt-LT" w:eastAsia="x-none"/>
        </w:rPr>
        <w:tab/>
        <w:t>Galimas šalutinis poveikis</w:t>
      </w:r>
    </w:p>
    <w:p w14:paraId="422EC586" w14:textId="77777777" w:rsidR="00106F96" w:rsidRPr="00832FC3" w:rsidRDefault="00106F96" w:rsidP="00106F96">
      <w:pPr>
        <w:rPr>
          <w:sz w:val="22"/>
          <w:szCs w:val="22"/>
          <w:lang w:val="lt-LT"/>
        </w:rPr>
      </w:pPr>
    </w:p>
    <w:p w14:paraId="175C7B7A" w14:textId="77777777" w:rsidR="00106F96" w:rsidRPr="00832FC3" w:rsidRDefault="00106F96" w:rsidP="00106F96">
      <w:pPr>
        <w:rPr>
          <w:sz w:val="22"/>
          <w:szCs w:val="22"/>
          <w:lang w:val="lt-LT"/>
        </w:rPr>
      </w:pPr>
      <w:r w:rsidRPr="00832FC3">
        <w:rPr>
          <w:sz w:val="22"/>
          <w:szCs w:val="22"/>
          <w:lang w:val="lt-LT"/>
        </w:rPr>
        <w:t>Gydymo nuo ŽIV metu gali padidėti svoris ir lipidų bei gliukozės koncentracijos kraujyje. Tokie pokyčiai iš dalies gali būti susiję su sveikatos būklės pagerėjimu ir gyvenimo būdu, o lipidų pokyčiai kai kuriais atvejais yra susiję su vaistų nuo ŽIV vartojimu. Jūsų gydytojas tirs, ar neatsiranda tokių pokyčių.</w:t>
      </w:r>
    </w:p>
    <w:p w14:paraId="51F9A9F9" w14:textId="77777777" w:rsidR="00106F96" w:rsidRPr="00832FC3" w:rsidRDefault="00106F96" w:rsidP="00106F96">
      <w:pPr>
        <w:rPr>
          <w:sz w:val="22"/>
          <w:szCs w:val="22"/>
          <w:lang w:val="lt-LT"/>
        </w:rPr>
      </w:pPr>
    </w:p>
    <w:p w14:paraId="71FA8733" w14:textId="77777777" w:rsidR="00106F96" w:rsidRPr="00832FC3" w:rsidRDefault="00106F96" w:rsidP="00106F96">
      <w:pPr>
        <w:rPr>
          <w:sz w:val="22"/>
          <w:szCs w:val="22"/>
          <w:lang w:val="lt-LT"/>
        </w:rPr>
      </w:pPr>
      <w:r w:rsidRPr="00832FC3">
        <w:rPr>
          <w:sz w:val="22"/>
          <w:szCs w:val="22"/>
          <w:lang w:val="lt-LT"/>
        </w:rPr>
        <w:t>Šis vaistas, kaip ir visi kiti, gali sukelti šalutinį poveikį, nors jis pasireiškia ne visiems žmonėms.</w:t>
      </w:r>
    </w:p>
    <w:p w14:paraId="3321B640" w14:textId="77777777" w:rsidR="00106F96" w:rsidRPr="00832FC3" w:rsidRDefault="00106F96" w:rsidP="00106F96">
      <w:pPr>
        <w:rPr>
          <w:sz w:val="22"/>
          <w:szCs w:val="22"/>
          <w:lang w:val="lt-LT"/>
        </w:rPr>
      </w:pPr>
    </w:p>
    <w:p w14:paraId="2F597F81" w14:textId="77777777" w:rsidR="00106F96" w:rsidRDefault="00106F96" w:rsidP="00106F96">
      <w:pPr>
        <w:rPr>
          <w:b/>
          <w:sz w:val="22"/>
          <w:szCs w:val="22"/>
          <w:lang w:val="lt-LT"/>
        </w:rPr>
      </w:pPr>
      <w:r w:rsidRPr="00832FC3">
        <w:rPr>
          <w:b/>
          <w:sz w:val="22"/>
          <w:szCs w:val="22"/>
          <w:lang w:val="lt-LT"/>
        </w:rPr>
        <w:t>Jeigu pasireiškia bet kuris nurodytas šalutinis poveikis, apie tai pasakykite gydytojui.</w:t>
      </w:r>
    </w:p>
    <w:p w14:paraId="177D51EE" w14:textId="77777777" w:rsidR="000810B1" w:rsidRPr="00832FC3" w:rsidRDefault="000810B1" w:rsidP="00106F96">
      <w:pPr>
        <w:rPr>
          <w:b/>
          <w:sz w:val="22"/>
          <w:szCs w:val="22"/>
          <w:lang w:val="lt-LT"/>
        </w:rPr>
      </w:pPr>
    </w:p>
    <w:p w14:paraId="3DBCD7AD" w14:textId="77777777" w:rsidR="00106F96" w:rsidRPr="00832FC3" w:rsidRDefault="00106F96" w:rsidP="00106F96">
      <w:pPr>
        <w:rPr>
          <w:sz w:val="22"/>
          <w:szCs w:val="22"/>
          <w:lang w:val="lt-LT"/>
        </w:rPr>
      </w:pPr>
      <w:r w:rsidRPr="00832FC3">
        <w:rPr>
          <w:sz w:val="22"/>
          <w:szCs w:val="22"/>
          <w:lang w:val="lt-LT"/>
        </w:rPr>
        <w:t xml:space="preserve">Gauta pranešimų apie kepenų sutrikimus, kurie kartais gali būti sunkūs. Jūsų gydytojas turės atlikti kraujo tyrimus prieš pradedant vartoti </w:t>
      </w:r>
      <w:r w:rsidRPr="00832FC3">
        <w:rPr>
          <w:rFonts w:eastAsia="Times New Roman"/>
          <w:sz w:val="22"/>
          <w:lang w:val="lt-LT" w:eastAsia="lt-LT" w:bidi="lt-LT"/>
        </w:rPr>
        <w:t>Darunavir Teva</w:t>
      </w:r>
      <w:r w:rsidRPr="00832FC3">
        <w:rPr>
          <w:sz w:val="22"/>
          <w:szCs w:val="22"/>
          <w:lang w:val="lt-LT"/>
        </w:rPr>
        <w:t>. Jeigu Jums yra lėtinė hepatito B ar C infekcija, Jūsų gydytojas turės Jums dažniau atlikti kraujo tyrimus, nes gali padidėti kepenų sutrikimų atsiradimo rizika. Pasakykite savo gydytojui apie kepenų sutrikimų požymius ir simptomus. Tai gali būti Jūsų odos ar akių baltymo pageltimas, tamsus (arbatos spalvos) šlapimas, blyški išmatų spalva, pykinimas, vėmimas, apetito nebuvimas arba skausmas, diegliai arba skausmingumas dešinėje pusėje žemiau šonkaulių.</w:t>
      </w:r>
    </w:p>
    <w:p w14:paraId="10AAD4E1" w14:textId="77777777" w:rsidR="00106F96" w:rsidRPr="00832FC3" w:rsidRDefault="00106F96" w:rsidP="00106F96">
      <w:pPr>
        <w:rPr>
          <w:sz w:val="22"/>
          <w:szCs w:val="22"/>
          <w:lang w:val="lt-LT"/>
        </w:rPr>
      </w:pPr>
    </w:p>
    <w:p w14:paraId="04B564BA" w14:textId="77777777" w:rsidR="00106F96" w:rsidRPr="00832FC3" w:rsidRDefault="00106F96" w:rsidP="00106F96">
      <w:pPr>
        <w:rPr>
          <w:sz w:val="22"/>
          <w:szCs w:val="22"/>
          <w:lang w:val="lt-LT"/>
        </w:rPr>
      </w:pPr>
      <w:r w:rsidRPr="00832FC3">
        <w:rPr>
          <w:sz w:val="22"/>
          <w:szCs w:val="22"/>
          <w:lang w:val="lt-LT"/>
        </w:rPr>
        <w:t xml:space="preserve">Odos išbėrimas (pasireiškia dažniau vaistą vartojant kartu su raltegraviru), niežulys. Išbėrimas paprastai būna lengvas arba vidutinio sunkumo. Odos išbėrimas taip pat gali būti retai pasitaikančios sunkios būklės simptomas. Dėl to atsiradus išbėrimui, reikia pranešti savo gydytojui. Jis paaiškins, ką reikia daryti, ir ar reikia nutraukti gydymą </w:t>
      </w:r>
      <w:r w:rsidRPr="00832FC3">
        <w:rPr>
          <w:rFonts w:eastAsia="Times New Roman"/>
          <w:sz w:val="22"/>
          <w:lang w:val="lt-LT" w:eastAsia="lt-LT" w:bidi="lt-LT"/>
        </w:rPr>
        <w:t>Darunavir Teva</w:t>
      </w:r>
      <w:r w:rsidRPr="00832FC3">
        <w:rPr>
          <w:sz w:val="22"/>
          <w:szCs w:val="22"/>
          <w:lang w:val="lt-LT"/>
        </w:rPr>
        <w:t>.</w:t>
      </w:r>
    </w:p>
    <w:p w14:paraId="3DE5F4C2" w14:textId="77777777" w:rsidR="00106F96" w:rsidRPr="00832FC3" w:rsidRDefault="00106F96" w:rsidP="00106F96">
      <w:pPr>
        <w:rPr>
          <w:sz w:val="22"/>
          <w:szCs w:val="22"/>
          <w:lang w:val="lt-LT"/>
        </w:rPr>
      </w:pPr>
    </w:p>
    <w:p w14:paraId="39EB915E" w14:textId="77777777" w:rsidR="00106F96" w:rsidRPr="00832FC3" w:rsidRDefault="00106F96" w:rsidP="00106F96">
      <w:pPr>
        <w:rPr>
          <w:sz w:val="22"/>
          <w:szCs w:val="22"/>
          <w:lang w:val="lt-LT"/>
        </w:rPr>
      </w:pPr>
      <w:r w:rsidRPr="00832FC3">
        <w:rPr>
          <w:sz w:val="22"/>
          <w:szCs w:val="22"/>
          <w:lang w:val="lt-LT"/>
        </w:rPr>
        <w:t>Kitas klinikiniu požiūriu svarbus sunkus šalutinis poveikis buvo cukrinis diabetas (dažnas) ir kasos uždegimas (nedažnas).</w:t>
      </w:r>
    </w:p>
    <w:p w14:paraId="1D34834A" w14:textId="77777777" w:rsidR="00106F96" w:rsidRPr="00832FC3" w:rsidRDefault="00106F96" w:rsidP="00106F96">
      <w:pPr>
        <w:rPr>
          <w:sz w:val="22"/>
          <w:szCs w:val="22"/>
          <w:lang w:val="lt-LT"/>
        </w:rPr>
      </w:pPr>
    </w:p>
    <w:p w14:paraId="029D73F2" w14:textId="77777777" w:rsidR="00106F96" w:rsidRPr="00832FC3" w:rsidRDefault="00106F96" w:rsidP="00106F96">
      <w:pPr>
        <w:rPr>
          <w:sz w:val="22"/>
          <w:szCs w:val="22"/>
          <w:lang w:val="lt-LT"/>
        </w:rPr>
      </w:pPr>
      <w:r w:rsidRPr="00832FC3">
        <w:rPr>
          <w:sz w:val="22"/>
          <w:szCs w:val="22"/>
          <w:lang w:val="lt-LT"/>
        </w:rPr>
        <w:t>Labai dažnas šalutinis poveikis (gali pasireikšti daugiau kaip 1 iš 10 žmonių)</w:t>
      </w:r>
    </w:p>
    <w:p w14:paraId="6D75B805"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Viduriavimas.</w:t>
      </w:r>
    </w:p>
    <w:p w14:paraId="58217EFE" w14:textId="77777777" w:rsidR="00106F96" w:rsidRPr="00832FC3" w:rsidRDefault="00106F96" w:rsidP="00106F96">
      <w:pPr>
        <w:pStyle w:val="BT-EMEASMCA"/>
        <w:numPr>
          <w:ilvl w:val="0"/>
          <w:numId w:val="0"/>
        </w:numPr>
        <w:rPr>
          <w:sz w:val="22"/>
          <w:szCs w:val="22"/>
          <w:lang w:val="lt-LT"/>
        </w:rPr>
      </w:pPr>
    </w:p>
    <w:p w14:paraId="1811CBB0" w14:textId="77777777" w:rsidR="00106F96" w:rsidRPr="00832FC3" w:rsidRDefault="00106F96" w:rsidP="00106F96">
      <w:pPr>
        <w:pStyle w:val="BT-EMEASMCA"/>
        <w:numPr>
          <w:ilvl w:val="0"/>
          <w:numId w:val="0"/>
        </w:numPr>
        <w:rPr>
          <w:sz w:val="22"/>
          <w:szCs w:val="22"/>
          <w:lang w:val="lt-LT"/>
        </w:rPr>
      </w:pPr>
      <w:r w:rsidRPr="00832FC3">
        <w:rPr>
          <w:sz w:val="22"/>
          <w:szCs w:val="22"/>
          <w:lang w:val="lt-LT"/>
        </w:rPr>
        <w:t xml:space="preserve">Dažnas šalutinis poveikis (gali pasireikšti </w:t>
      </w:r>
      <w:r w:rsidR="00BD18CB">
        <w:rPr>
          <w:sz w:val="22"/>
          <w:szCs w:val="22"/>
          <w:lang w:val="lt-LT"/>
        </w:rPr>
        <w:t>rečiau</w:t>
      </w:r>
      <w:r w:rsidRPr="00832FC3">
        <w:rPr>
          <w:sz w:val="22"/>
          <w:szCs w:val="22"/>
          <w:lang w:val="lt-LT"/>
        </w:rPr>
        <w:t xml:space="preserve"> kaip 1 iš 10 žmonių)</w:t>
      </w:r>
    </w:p>
    <w:p w14:paraId="7DBFEA9D"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Vėmimas, pykinimas, pilvo skausmas ar pilvo įtempimas, nevirškinimas, dujų susikaupimas virškinimo trakte.</w:t>
      </w:r>
    </w:p>
    <w:p w14:paraId="46987468"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Galvos skausmas, nuovargis, svaigulys, mieguistumas, tirpulys, rankų ar kojų dilgčiojimas ar skausmas, jėgų neturėjimas, negalėjimas užmigti.</w:t>
      </w:r>
    </w:p>
    <w:p w14:paraId="61B69EDC" w14:textId="77777777" w:rsidR="00106F96" w:rsidRPr="00832FC3" w:rsidRDefault="00106F96" w:rsidP="00106F96">
      <w:pPr>
        <w:pStyle w:val="BT-EMEASMCA"/>
        <w:numPr>
          <w:ilvl w:val="0"/>
          <w:numId w:val="0"/>
        </w:numPr>
        <w:rPr>
          <w:sz w:val="22"/>
          <w:szCs w:val="22"/>
          <w:lang w:val="lt-LT"/>
        </w:rPr>
      </w:pPr>
    </w:p>
    <w:p w14:paraId="35F93909" w14:textId="77777777" w:rsidR="00106F96" w:rsidRPr="00832FC3" w:rsidRDefault="00106F96" w:rsidP="00106F96">
      <w:pPr>
        <w:pStyle w:val="BT-EMEASMCA"/>
        <w:numPr>
          <w:ilvl w:val="0"/>
          <w:numId w:val="0"/>
        </w:numPr>
        <w:rPr>
          <w:sz w:val="22"/>
          <w:szCs w:val="22"/>
          <w:lang w:val="lt-LT"/>
        </w:rPr>
      </w:pPr>
      <w:r w:rsidRPr="00832FC3">
        <w:rPr>
          <w:sz w:val="22"/>
          <w:szCs w:val="22"/>
          <w:lang w:val="lt-LT"/>
        </w:rPr>
        <w:t xml:space="preserve">Nedažnas šalutinis poveikis (gali pasireikšti </w:t>
      </w:r>
      <w:r w:rsidR="00BD18CB">
        <w:rPr>
          <w:sz w:val="22"/>
          <w:szCs w:val="22"/>
          <w:lang w:val="lt-LT"/>
        </w:rPr>
        <w:t>rečiau</w:t>
      </w:r>
      <w:r w:rsidRPr="00832FC3">
        <w:rPr>
          <w:sz w:val="22"/>
          <w:szCs w:val="22"/>
          <w:lang w:val="lt-LT"/>
        </w:rPr>
        <w:t xml:space="preserve"> nei 1 iš 100 žmonių)</w:t>
      </w:r>
    </w:p>
    <w:p w14:paraId="350DE350"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Krūtinės skausmas, elektrokardiogramos pokyčiai, dažnas širdies plakimas.</w:t>
      </w:r>
    </w:p>
    <w:p w14:paraId="70D6541E"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Odos jautrumo susilpnėjimas ar išnykimas, dilgsėjimas ir dilgčiojimas, dėmesio sutrikimas, atminties nebuvimas, pusiausvyros sutrikimai.</w:t>
      </w:r>
    </w:p>
    <w:p w14:paraId="6965FDDB"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Kvėpavimo pasunkėjimas, kosulys, kraujavimas iš nosies, gerklės dirginimas.</w:t>
      </w:r>
    </w:p>
    <w:p w14:paraId="08C89740"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Skrandžio ar burnos uždegimas, rėmuo, žagsėjimas, burnos džiūvimas, nemalonūs pojūčiai pilve, vidurių užkietėjimas, raugėjimas.</w:t>
      </w:r>
    </w:p>
    <w:p w14:paraId="125F19D1"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Inkstų funkcijos nepakankamumas, akmenys inkstuose, negalėjimas pasišlapinti, dažnas arba gausus šlapinimasis, kartais naktį.</w:t>
      </w:r>
    </w:p>
    <w:p w14:paraId="656E16CE"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Dilgėlinė, sunkus odos ir kitų audinių (dažniausiai lūpų ar akių) patinimas, egzema, gausus prakaitavimas, prakaitavimas naktį, nuplikimas, spuogai, žvynelinė, nagų spalvos pokyčiai.</w:t>
      </w:r>
    </w:p>
    <w:p w14:paraId="4B6DB94C"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Raumenų skausmas, raumenų mėšlungis ar silpnumas, galūnės skausmas, osteoporozė.</w:t>
      </w:r>
    </w:p>
    <w:p w14:paraId="4B6A77FE"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Skydliaukės funkcijos sulėtėjimas. Tai gali rodyti kraujo tyrimai.</w:t>
      </w:r>
    </w:p>
    <w:p w14:paraId="4E8A2DE1"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Kraujospūdžio padidėjimas, kraujo samplūdis į veidą ir kaklą.</w:t>
      </w:r>
    </w:p>
    <w:p w14:paraId="260EEC14"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Akių paraudimas ir sausumas.</w:t>
      </w:r>
    </w:p>
    <w:p w14:paraId="25837EDA"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Karščiavimas, apatinių galūnių tinimas dėl skysčių kaupimosi, negalavimas, dirglumas, skausmas.</w:t>
      </w:r>
    </w:p>
    <w:p w14:paraId="40A644E4"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Infekcijos simptomai, paprastoji pūslelinė.</w:t>
      </w:r>
    </w:p>
    <w:p w14:paraId="45ADB48C"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Erekcijos sutrikimas, krūtų padidėjimas.</w:t>
      </w:r>
    </w:p>
    <w:p w14:paraId="33F430E8"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Miego sutrikimai, mieguistumas, depresija, nerimas, nenormalūs sapnai, lytinio potraukio susilpnėjimas.</w:t>
      </w:r>
    </w:p>
    <w:p w14:paraId="3A050A26" w14:textId="77777777" w:rsidR="00106F96" w:rsidRPr="00832FC3" w:rsidRDefault="00106F96" w:rsidP="00106F96">
      <w:pPr>
        <w:rPr>
          <w:lang w:val="lt-LT"/>
        </w:rPr>
      </w:pPr>
    </w:p>
    <w:p w14:paraId="6E6333C9" w14:textId="5AC7B0C4" w:rsidR="00106F96" w:rsidRPr="00832FC3" w:rsidRDefault="00106F96" w:rsidP="00106F96">
      <w:pPr>
        <w:rPr>
          <w:sz w:val="22"/>
          <w:szCs w:val="22"/>
          <w:lang w:val="lt-LT"/>
        </w:rPr>
      </w:pPr>
      <w:r w:rsidRPr="00832FC3">
        <w:rPr>
          <w:sz w:val="22"/>
          <w:szCs w:val="22"/>
          <w:lang w:val="lt-LT"/>
        </w:rPr>
        <w:t xml:space="preserve">Retas šalutinis poveikis (gali pasireikšti </w:t>
      </w:r>
      <w:r w:rsidR="00BD18CB">
        <w:rPr>
          <w:sz w:val="22"/>
          <w:szCs w:val="22"/>
          <w:lang w:val="lt-LT"/>
        </w:rPr>
        <w:t>rečiau</w:t>
      </w:r>
      <w:r w:rsidR="00A81A70">
        <w:rPr>
          <w:sz w:val="22"/>
          <w:szCs w:val="22"/>
          <w:lang w:val="lt-LT"/>
        </w:rPr>
        <w:t xml:space="preserve"> </w:t>
      </w:r>
      <w:r w:rsidRPr="00832FC3">
        <w:rPr>
          <w:sz w:val="22"/>
          <w:szCs w:val="22"/>
          <w:lang w:val="lt-LT"/>
        </w:rPr>
        <w:t>nei 1 iš 1 000 žmonių)</w:t>
      </w:r>
    </w:p>
    <w:p w14:paraId="6EC69A02"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Reakcija, kuri vadinama DRESS [sunkus išbėrimas, kuris gali būti susijęs su karščiavimu, nuo</w:t>
      </w:r>
      <w:r>
        <w:rPr>
          <w:sz w:val="22"/>
          <w:szCs w:val="22"/>
          <w:lang w:val="lt-LT"/>
        </w:rPr>
        <w:t>vargiu, veid</w:t>
      </w:r>
      <w:r w:rsidRPr="00832FC3">
        <w:rPr>
          <w:sz w:val="22"/>
          <w:szCs w:val="22"/>
          <w:lang w:val="lt-LT"/>
        </w:rPr>
        <w:t>o ar limfmazgių patinimu, eozinofilų (baltųjų kraujo ląstelių rūšis) kiekio padidėjimu, poveikiu kepenims, inkstams ir plaučiams].</w:t>
      </w:r>
    </w:p>
    <w:p w14:paraId="540F1F75"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Širdies priepuolis, retas širdies plakimas, širdies plakimo jutimas.</w:t>
      </w:r>
    </w:p>
    <w:p w14:paraId="6336B886"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Regėjimo sutrikimas.</w:t>
      </w:r>
    </w:p>
    <w:p w14:paraId="4551D188"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Šaltkrėtis, nenormalūs jutimai.</w:t>
      </w:r>
    </w:p>
    <w:p w14:paraId="6EE03AFA"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Sumišimo jutimas ar orientacijos sutrikimas, nuotaikos pokyčiai, nerimastingumas.</w:t>
      </w:r>
    </w:p>
    <w:p w14:paraId="2B436A3B"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Apalpimas, epilepsijos priepuoliai, skonio pojūčio pokyčiai arba išnykimas.</w:t>
      </w:r>
    </w:p>
    <w:p w14:paraId="544F1201"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Burnos opos, vėmimas krauju, lūpų uždegimas, lūpų džiūvimas, liežuvio apnašos.</w:t>
      </w:r>
    </w:p>
    <w:p w14:paraId="78728F85"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Skystos išskyros iš nosies.</w:t>
      </w:r>
    </w:p>
    <w:p w14:paraId="5DF8D561"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Odos pažeidimai, odos sausumas.</w:t>
      </w:r>
    </w:p>
    <w:p w14:paraId="2E1ED204"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lastRenderedPageBreak/>
        <w:t>Raumenų ar sąnarių sąstingis, sąnarių skausmas, pasireiškiantis su ar be uždegimo.</w:t>
      </w:r>
    </w:p>
    <w:p w14:paraId="6F6BACE1"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Kai kurių kraujo ląstelių ar cheminės sudėties rodmenų pokyčiai, kurie gali būti matomi atlikus kraujo tyrimus. Jūsų gydytojas apie tai paaiškins. Tokie pokyčiai gali būti: kai kurių baltųjų kraujo ląstelių kiekio padidėjimas.</w:t>
      </w:r>
    </w:p>
    <w:p w14:paraId="10D4343E" w14:textId="77777777" w:rsidR="00106F96" w:rsidRPr="00832FC3" w:rsidRDefault="00106F96" w:rsidP="00106F96">
      <w:pPr>
        <w:rPr>
          <w:lang w:val="lt-LT"/>
        </w:rPr>
      </w:pPr>
    </w:p>
    <w:p w14:paraId="37E4F5C8" w14:textId="77777777" w:rsidR="00106F96" w:rsidRPr="00832FC3" w:rsidRDefault="00106F96" w:rsidP="00106F96">
      <w:pPr>
        <w:rPr>
          <w:sz w:val="22"/>
          <w:szCs w:val="22"/>
          <w:lang w:val="lt-LT"/>
        </w:rPr>
      </w:pPr>
      <w:r w:rsidRPr="00832FC3">
        <w:rPr>
          <w:sz w:val="22"/>
          <w:szCs w:val="22"/>
          <w:lang w:val="lt-LT"/>
        </w:rPr>
        <w:t xml:space="preserve">Kai kuris šalutinis poveikis būdingas tos pačios grupės, kuriai priklauso </w:t>
      </w:r>
      <w:r w:rsidRPr="00832FC3">
        <w:rPr>
          <w:rFonts w:eastAsia="Times New Roman"/>
          <w:sz w:val="22"/>
          <w:szCs w:val="22"/>
          <w:lang w:val="lt-LT" w:eastAsia="lt-LT" w:bidi="lt-LT"/>
        </w:rPr>
        <w:t>Darunavir Teva</w:t>
      </w:r>
      <w:r w:rsidRPr="00832FC3">
        <w:rPr>
          <w:sz w:val="22"/>
          <w:szCs w:val="22"/>
          <w:lang w:val="lt-LT"/>
        </w:rPr>
        <w:t>, vaistams nuo ŽIV. Tai:</w:t>
      </w:r>
    </w:p>
    <w:p w14:paraId="65B5C987"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raumenų skausmas, jautrumas ir silpnumas. Kartais šie raumenų sutrikimai gali būti sunkūs.</w:t>
      </w:r>
    </w:p>
    <w:p w14:paraId="0A013203" w14:textId="77777777" w:rsidR="00106F96" w:rsidRPr="00832FC3" w:rsidRDefault="00106F96" w:rsidP="00106F96">
      <w:pPr>
        <w:rPr>
          <w:lang w:val="lt-LT"/>
        </w:rPr>
      </w:pPr>
    </w:p>
    <w:p w14:paraId="6AE85B21" w14:textId="77777777" w:rsidR="00106F96" w:rsidRPr="00832FC3" w:rsidRDefault="00106F96" w:rsidP="00106F96">
      <w:pPr>
        <w:widowControl w:val="0"/>
        <w:tabs>
          <w:tab w:val="left" w:pos="567"/>
        </w:tabs>
        <w:rPr>
          <w:rFonts w:eastAsia="Times New Roman"/>
          <w:b/>
          <w:snapToGrid w:val="0"/>
          <w:sz w:val="22"/>
          <w:szCs w:val="22"/>
          <w:lang w:val="lt-LT" w:eastAsia="en-US"/>
        </w:rPr>
      </w:pPr>
      <w:r w:rsidRPr="00832FC3">
        <w:rPr>
          <w:rFonts w:eastAsia="Times New Roman"/>
          <w:b/>
          <w:noProof/>
          <w:snapToGrid w:val="0"/>
          <w:sz w:val="22"/>
          <w:szCs w:val="22"/>
          <w:lang w:val="lt-LT" w:eastAsia="en-US"/>
        </w:rPr>
        <w:t>Pranešimas apie šalutinį poveikį</w:t>
      </w:r>
    </w:p>
    <w:p w14:paraId="6EFCEA1C" w14:textId="77777777" w:rsidR="00106F96" w:rsidRPr="00832FC3" w:rsidRDefault="00106F96" w:rsidP="00106F96">
      <w:pPr>
        <w:widowControl w:val="0"/>
        <w:ind w:right="-449"/>
        <w:rPr>
          <w:rFonts w:eastAsia="Times New Roman"/>
          <w:noProof/>
          <w:snapToGrid w:val="0"/>
          <w:sz w:val="22"/>
          <w:szCs w:val="22"/>
          <w:lang w:val="lt-LT" w:eastAsia="en-US"/>
        </w:rPr>
      </w:pPr>
      <w:r w:rsidRPr="00832FC3">
        <w:rPr>
          <w:rFonts w:eastAsia="Times New Roman"/>
          <w:snapToGrid w:val="0"/>
          <w:sz w:val="22"/>
          <w:szCs w:val="22"/>
          <w:lang w:val="lt-LT" w:eastAsia="en-US"/>
        </w:rPr>
        <w:t>Jeigu pasireiškia stiprus šalutinis poveikis arba jeigu atsiranda šiame lapelyje nepaminėtas šalutinis poveikis, pasakykite gydytojui arba vaistininkui. Apie šalutinį poveikį taip pat galite pranešti Valstybinei vaistų kontrolės tarnybai prie Lietuvos Respublikos sveikatos apsaugos ministerijos nemokamu t</w:t>
      </w:r>
      <w:r w:rsidRPr="00832FC3">
        <w:rPr>
          <w:rFonts w:eastAsia="Times New Roman"/>
          <w:snapToGrid w:val="0"/>
          <w:sz w:val="22"/>
          <w:szCs w:val="22"/>
          <w:lang w:val="lt-LT" w:eastAsia="zh-CN"/>
        </w:rPr>
        <w:t>elefonu 8 800 73568</w:t>
      </w:r>
      <w:r w:rsidRPr="00832FC3">
        <w:rPr>
          <w:rFonts w:eastAsia="Times New Roman"/>
          <w:snapToGrid w:val="0"/>
          <w:sz w:val="22"/>
          <w:szCs w:val="22"/>
          <w:lang w:val="lt-LT" w:eastAsia="en-US"/>
        </w:rPr>
        <w:t xml:space="preserve"> arba užpildyti interneto svetainėje </w:t>
      </w:r>
      <w:hyperlink r:id="rId11" w:history="1">
        <w:r w:rsidRPr="00832FC3">
          <w:rPr>
            <w:rFonts w:eastAsia="SimSun"/>
            <w:snapToGrid w:val="0"/>
            <w:color w:val="0000FF"/>
            <w:sz w:val="22"/>
            <w:szCs w:val="22"/>
            <w:u w:val="single"/>
            <w:lang w:val="lt-LT" w:eastAsia="en-US"/>
          </w:rPr>
          <w:t>www.vvkt.lt</w:t>
        </w:r>
      </w:hyperlink>
      <w:r w:rsidRPr="00832FC3">
        <w:rPr>
          <w:rFonts w:eastAsia="Times New Roman"/>
          <w:snapToGrid w:val="0"/>
          <w:sz w:val="22"/>
          <w:szCs w:val="22"/>
          <w:lang w:val="lt-LT" w:eastAsia="en-US"/>
        </w:rPr>
        <w:t xml:space="preserve"> esančią formą ir pateikti ją Valstybinei vaistų kontrolės tarnybai prie Lietuvos Respublikos sveikatos apsaugos ministerijos vienu iš šių būdų: raštu (adresu Žirmūnų g. 139A, LT-09120 Vilnius), </w:t>
      </w:r>
      <w:r w:rsidRPr="00832FC3">
        <w:rPr>
          <w:rFonts w:eastAsia="Times New Roman"/>
          <w:snapToGrid w:val="0"/>
          <w:sz w:val="22"/>
          <w:szCs w:val="22"/>
          <w:lang w:val="lt-LT" w:eastAsia="zh-CN"/>
        </w:rPr>
        <w:t xml:space="preserve">nemokamu </w:t>
      </w:r>
      <w:r w:rsidRPr="00832FC3">
        <w:rPr>
          <w:rFonts w:eastAsia="Times New Roman"/>
          <w:snapToGrid w:val="0"/>
          <w:sz w:val="22"/>
          <w:szCs w:val="22"/>
          <w:lang w:val="lt-LT" w:eastAsia="en-US"/>
        </w:rPr>
        <w:t>fakso numeriu 8 800 20131</w:t>
      </w:r>
      <w:r w:rsidRPr="00832FC3">
        <w:rPr>
          <w:rFonts w:eastAsia="Times New Roman"/>
          <w:snapToGrid w:val="0"/>
          <w:sz w:val="22"/>
          <w:szCs w:val="22"/>
          <w:lang w:val="lt-LT" w:eastAsia="zh-CN"/>
        </w:rPr>
        <w:t xml:space="preserve">, </w:t>
      </w:r>
      <w:r w:rsidRPr="00832FC3">
        <w:rPr>
          <w:rFonts w:eastAsia="Times New Roman"/>
          <w:snapToGrid w:val="0"/>
          <w:sz w:val="22"/>
          <w:szCs w:val="22"/>
          <w:lang w:val="lt-LT" w:eastAsia="en-US"/>
        </w:rPr>
        <w:t xml:space="preserve">el. paštu </w:t>
      </w:r>
      <w:hyperlink r:id="rId12" w:history="1">
        <w:r w:rsidRPr="00832FC3">
          <w:rPr>
            <w:rFonts w:eastAsia="SimSun"/>
            <w:snapToGrid w:val="0"/>
            <w:color w:val="0000FF"/>
            <w:sz w:val="22"/>
            <w:szCs w:val="22"/>
            <w:u w:val="single"/>
            <w:lang w:val="lt-LT" w:eastAsia="en-US"/>
          </w:rPr>
          <w:t>NepageidaujamaR@vvkt.lt</w:t>
        </w:r>
      </w:hyperlink>
      <w:r w:rsidRPr="00832FC3">
        <w:rPr>
          <w:rFonts w:eastAsia="Times New Roman"/>
          <w:snapToGrid w:val="0"/>
          <w:sz w:val="22"/>
          <w:szCs w:val="22"/>
          <w:lang w:val="lt-LT" w:eastAsia="en-US"/>
        </w:rPr>
        <w:t xml:space="preserve">, taip pat per Valstybinės vaistų kontrolės tarnybos prie Lietuvos Respublikos sveikatos apsaugos ministerijos interneto svetainę (adresu </w:t>
      </w:r>
      <w:hyperlink r:id="rId13" w:history="1">
        <w:r w:rsidRPr="00832FC3">
          <w:rPr>
            <w:rFonts w:eastAsia="SimSun"/>
            <w:snapToGrid w:val="0"/>
            <w:color w:val="0000FF"/>
            <w:sz w:val="22"/>
            <w:szCs w:val="22"/>
            <w:u w:val="single"/>
            <w:lang w:val="lt-LT" w:eastAsia="en-US"/>
          </w:rPr>
          <w:t>http://www.vvkt.lt</w:t>
        </w:r>
      </w:hyperlink>
      <w:r w:rsidRPr="00832FC3">
        <w:rPr>
          <w:rFonts w:eastAsia="Times New Roman"/>
          <w:snapToGrid w:val="0"/>
          <w:sz w:val="22"/>
          <w:szCs w:val="22"/>
          <w:lang w:val="lt-LT" w:eastAsia="en-US"/>
        </w:rPr>
        <w:t>). Pranešdami apie šalutinį poveikį galite mums padėti gauti daugiau informacijos apie šio vaisto saugumą.</w:t>
      </w:r>
    </w:p>
    <w:p w14:paraId="77AE2E60" w14:textId="77777777" w:rsidR="00106F96" w:rsidRPr="00832FC3" w:rsidRDefault="00106F96" w:rsidP="00106F96">
      <w:pPr>
        <w:widowControl w:val="0"/>
        <w:tabs>
          <w:tab w:val="left" w:pos="567"/>
        </w:tabs>
        <w:ind w:right="-449"/>
        <w:rPr>
          <w:rFonts w:eastAsia="Times New Roman"/>
          <w:noProof/>
          <w:snapToGrid w:val="0"/>
          <w:sz w:val="22"/>
          <w:szCs w:val="22"/>
          <w:lang w:val="lt-LT" w:eastAsia="en-US"/>
        </w:rPr>
      </w:pPr>
    </w:p>
    <w:p w14:paraId="703622F7" w14:textId="77777777" w:rsidR="00106F96" w:rsidRPr="00832FC3" w:rsidRDefault="00106F96" w:rsidP="00106F96">
      <w:pPr>
        <w:rPr>
          <w:lang w:val="lt-LT"/>
        </w:rPr>
      </w:pPr>
    </w:p>
    <w:p w14:paraId="67E854F0" w14:textId="77777777" w:rsidR="00106F96" w:rsidRPr="00832FC3" w:rsidRDefault="00106F96" w:rsidP="00106F96">
      <w:pPr>
        <w:keepNext/>
        <w:keepLines/>
        <w:tabs>
          <w:tab w:val="left" w:pos="567"/>
        </w:tabs>
        <w:outlineLvl w:val="2"/>
        <w:rPr>
          <w:rFonts w:eastAsia="Times New Roman"/>
          <w:b/>
          <w:bCs/>
          <w:snapToGrid w:val="0"/>
          <w:sz w:val="22"/>
          <w:szCs w:val="26"/>
          <w:lang w:val="lt-LT" w:eastAsia="x-none"/>
        </w:rPr>
      </w:pPr>
      <w:r w:rsidRPr="00832FC3">
        <w:rPr>
          <w:rFonts w:eastAsia="Times New Roman"/>
          <w:b/>
          <w:bCs/>
          <w:snapToGrid w:val="0"/>
          <w:sz w:val="22"/>
          <w:szCs w:val="26"/>
          <w:lang w:val="lt-LT" w:eastAsia="x-none"/>
        </w:rPr>
        <w:t>5.</w:t>
      </w:r>
      <w:r w:rsidRPr="00832FC3">
        <w:rPr>
          <w:rFonts w:eastAsia="Times New Roman"/>
          <w:b/>
          <w:bCs/>
          <w:snapToGrid w:val="0"/>
          <w:sz w:val="22"/>
          <w:szCs w:val="26"/>
          <w:lang w:val="lt-LT" w:eastAsia="x-none"/>
        </w:rPr>
        <w:tab/>
        <w:t xml:space="preserve">Kaip laikyti </w:t>
      </w:r>
      <w:r w:rsidRPr="00832FC3">
        <w:rPr>
          <w:rFonts w:eastAsia="Times New Roman"/>
          <w:b/>
          <w:sz w:val="22"/>
          <w:lang w:val="lt-LT" w:eastAsia="lt-LT" w:bidi="lt-LT"/>
        </w:rPr>
        <w:t>Darunavir Teva</w:t>
      </w:r>
    </w:p>
    <w:p w14:paraId="570F7B17" w14:textId="77777777" w:rsidR="00106F96" w:rsidRPr="00832FC3" w:rsidRDefault="00106F96" w:rsidP="00106F96">
      <w:pPr>
        <w:rPr>
          <w:lang w:val="lt-LT"/>
        </w:rPr>
      </w:pPr>
    </w:p>
    <w:p w14:paraId="07F1FD85" w14:textId="77777777" w:rsidR="00106F96" w:rsidRPr="00832FC3" w:rsidRDefault="00106F96" w:rsidP="00106F96">
      <w:pPr>
        <w:rPr>
          <w:lang w:val="lt-LT"/>
        </w:rPr>
      </w:pPr>
      <w:r w:rsidRPr="00832FC3">
        <w:rPr>
          <w:lang w:val="lt-LT"/>
        </w:rPr>
        <w:t>Šį vaistą laikykite vaikams nepastebimoje ir nepasiekiamoje vietoje.</w:t>
      </w:r>
    </w:p>
    <w:p w14:paraId="69979AD3" w14:textId="77777777" w:rsidR="00106F96" w:rsidRPr="00832FC3" w:rsidRDefault="00106F96" w:rsidP="00106F96">
      <w:pPr>
        <w:rPr>
          <w:lang w:val="lt-LT"/>
        </w:rPr>
      </w:pPr>
    </w:p>
    <w:p w14:paraId="781B83BD" w14:textId="77777777" w:rsidR="00106F96" w:rsidRPr="00832FC3" w:rsidRDefault="00106F96" w:rsidP="00106F96">
      <w:pPr>
        <w:rPr>
          <w:sz w:val="22"/>
          <w:szCs w:val="22"/>
          <w:lang w:val="lt-LT"/>
        </w:rPr>
      </w:pPr>
      <w:r w:rsidRPr="00832FC3">
        <w:rPr>
          <w:sz w:val="22"/>
          <w:szCs w:val="22"/>
          <w:lang w:val="lt-LT"/>
        </w:rPr>
        <w:t>Ant dėžutės</w:t>
      </w:r>
      <w:r w:rsidR="000810B1">
        <w:rPr>
          <w:sz w:val="22"/>
          <w:szCs w:val="22"/>
          <w:lang w:val="lt-LT"/>
        </w:rPr>
        <w:t>, lizdinės plokštelės</w:t>
      </w:r>
      <w:r w:rsidRPr="00832FC3">
        <w:rPr>
          <w:sz w:val="22"/>
          <w:szCs w:val="22"/>
          <w:lang w:val="lt-LT"/>
        </w:rPr>
        <w:t xml:space="preserve"> ir buteliuko po ,,Tinka iki“ </w:t>
      </w:r>
      <w:r w:rsidR="000810B1">
        <w:rPr>
          <w:sz w:val="22"/>
          <w:szCs w:val="22"/>
          <w:lang w:val="lt-LT"/>
        </w:rPr>
        <w:t xml:space="preserve">/ ,,EXP“ </w:t>
      </w:r>
      <w:r w:rsidRPr="00832FC3">
        <w:rPr>
          <w:sz w:val="22"/>
          <w:szCs w:val="22"/>
          <w:lang w:val="lt-LT"/>
        </w:rPr>
        <w:t>nurodytam tinkamumo laikui pasibaigus, šio vaisto vartoti negalima. Vaistas tinkamas vartoti iki paskutinės nurodyto mėnesio dienos.</w:t>
      </w:r>
    </w:p>
    <w:p w14:paraId="5299E9DD" w14:textId="77777777" w:rsidR="00106F96" w:rsidRPr="00832FC3" w:rsidRDefault="00106F96" w:rsidP="00106F96">
      <w:pPr>
        <w:rPr>
          <w:sz w:val="22"/>
          <w:szCs w:val="22"/>
          <w:lang w:val="lt-LT"/>
        </w:rPr>
      </w:pPr>
    </w:p>
    <w:p w14:paraId="75AD9507" w14:textId="77777777" w:rsidR="00106F96" w:rsidRPr="00832FC3" w:rsidRDefault="00106F96" w:rsidP="00106F96">
      <w:pPr>
        <w:rPr>
          <w:sz w:val="22"/>
          <w:szCs w:val="22"/>
          <w:lang w:val="lt-LT"/>
        </w:rPr>
      </w:pPr>
      <w:r w:rsidRPr="00832FC3">
        <w:rPr>
          <w:sz w:val="22"/>
          <w:szCs w:val="22"/>
          <w:lang w:val="lt-LT"/>
        </w:rPr>
        <w:t xml:space="preserve">Šiam </w:t>
      </w:r>
      <w:r w:rsidR="00AC5D71">
        <w:rPr>
          <w:sz w:val="22"/>
          <w:szCs w:val="22"/>
          <w:lang w:val="lt-LT"/>
        </w:rPr>
        <w:t>vaistui</w:t>
      </w:r>
      <w:r w:rsidRPr="00832FC3">
        <w:rPr>
          <w:sz w:val="22"/>
          <w:szCs w:val="22"/>
          <w:lang w:val="lt-LT"/>
        </w:rPr>
        <w:t xml:space="preserve"> specialių laikymo sąlygų nereikia.</w:t>
      </w:r>
    </w:p>
    <w:p w14:paraId="1F3B3444" w14:textId="77777777" w:rsidR="00106F96" w:rsidRPr="00832FC3" w:rsidRDefault="00106F96" w:rsidP="00106F96">
      <w:pPr>
        <w:rPr>
          <w:sz w:val="22"/>
          <w:szCs w:val="22"/>
          <w:lang w:val="lt-LT"/>
        </w:rPr>
      </w:pPr>
    </w:p>
    <w:p w14:paraId="3D50DEF5" w14:textId="77777777" w:rsidR="00106F96" w:rsidRPr="00832FC3" w:rsidRDefault="00106F96" w:rsidP="00106F96">
      <w:pPr>
        <w:rPr>
          <w:sz w:val="22"/>
          <w:szCs w:val="22"/>
          <w:lang w:val="lt-LT"/>
        </w:rPr>
      </w:pPr>
      <w:r w:rsidRPr="00832FC3">
        <w:rPr>
          <w:sz w:val="22"/>
          <w:szCs w:val="22"/>
          <w:lang w:val="lt-LT"/>
        </w:rPr>
        <w:t>Vaistų negalima išmesti į kanalizaciją arba su buitinėmis atliekomis. Kaip išmesti nereikalingus vaistus, klauskite vaistininko. Šios priemonės padės apsaugoti aplinką.</w:t>
      </w:r>
    </w:p>
    <w:p w14:paraId="62863711" w14:textId="77777777" w:rsidR="00106F96" w:rsidRDefault="00106F96" w:rsidP="00106F96">
      <w:pPr>
        <w:rPr>
          <w:lang w:val="lt-LT"/>
        </w:rPr>
      </w:pPr>
    </w:p>
    <w:p w14:paraId="51FB6DC0" w14:textId="77777777" w:rsidR="00530778" w:rsidRPr="00832FC3" w:rsidRDefault="00530778" w:rsidP="00106F96">
      <w:pPr>
        <w:rPr>
          <w:lang w:val="lt-LT"/>
        </w:rPr>
      </w:pPr>
    </w:p>
    <w:p w14:paraId="35AE5224" w14:textId="77777777" w:rsidR="00106F96" w:rsidRPr="00832FC3" w:rsidRDefault="00106F96" w:rsidP="00106F96">
      <w:pPr>
        <w:keepNext/>
        <w:keepLines/>
        <w:tabs>
          <w:tab w:val="left" w:pos="567"/>
        </w:tabs>
        <w:outlineLvl w:val="2"/>
        <w:rPr>
          <w:rFonts w:eastAsia="Times New Roman"/>
          <w:b/>
          <w:bCs/>
          <w:snapToGrid w:val="0"/>
          <w:sz w:val="22"/>
          <w:szCs w:val="26"/>
          <w:lang w:val="lt-LT" w:eastAsia="x-none"/>
        </w:rPr>
      </w:pPr>
      <w:r w:rsidRPr="00832FC3">
        <w:rPr>
          <w:rFonts w:eastAsia="Times New Roman"/>
          <w:b/>
          <w:bCs/>
          <w:snapToGrid w:val="0"/>
          <w:sz w:val="22"/>
          <w:szCs w:val="26"/>
          <w:lang w:val="lt-LT" w:eastAsia="x-none"/>
        </w:rPr>
        <w:t>6.</w:t>
      </w:r>
      <w:r w:rsidRPr="00832FC3">
        <w:rPr>
          <w:rFonts w:eastAsia="Times New Roman"/>
          <w:bCs/>
          <w:snapToGrid w:val="0"/>
          <w:sz w:val="22"/>
          <w:szCs w:val="26"/>
          <w:lang w:val="lt-LT" w:eastAsia="x-none"/>
        </w:rPr>
        <w:tab/>
      </w:r>
      <w:r w:rsidRPr="00832FC3">
        <w:rPr>
          <w:rFonts w:eastAsia="Times New Roman"/>
          <w:b/>
          <w:bCs/>
          <w:snapToGrid w:val="0"/>
          <w:sz w:val="22"/>
          <w:szCs w:val="26"/>
          <w:lang w:val="lt-LT" w:eastAsia="x-none"/>
        </w:rPr>
        <w:t>Pakuotės turinys ir kita informacija</w:t>
      </w:r>
    </w:p>
    <w:p w14:paraId="7B91FE6D" w14:textId="77777777" w:rsidR="00106F96" w:rsidRPr="00832FC3" w:rsidRDefault="00106F96" w:rsidP="00106F96">
      <w:pPr>
        <w:rPr>
          <w:b/>
          <w:lang w:val="lt-LT"/>
        </w:rPr>
      </w:pPr>
    </w:p>
    <w:p w14:paraId="2ADA8326" w14:textId="77777777" w:rsidR="00106F96" w:rsidRPr="00832FC3" w:rsidRDefault="00106F96" w:rsidP="00106F96">
      <w:pPr>
        <w:rPr>
          <w:b/>
          <w:sz w:val="22"/>
          <w:szCs w:val="22"/>
          <w:lang w:val="lt-LT"/>
        </w:rPr>
      </w:pPr>
      <w:r w:rsidRPr="00832FC3">
        <w:rPr>
          <w:rFonts w:eastAsia="Times New Roman"/>
          <w:b/>
          <w:sz w:val="22"/>
          <w:szCs w:val="22"/>
          <w:lang w:val="lt-LT" w:eastAsia="lt-LT" w:bidi="lt-LT"/>
        </w:rPr>
        <w:t>Darunavir Teva</w:t>
      </w:r>
      <w:r w:rsidRPr="00832FC3">
        <w:rPr>
          <w:rFonts w:eastAsia="Times New Roman"/>
          <w:sz w:val="22"/>
          <w:szCs w:val="22"/>
          <w:lang w:val="lt-LT" w:eastAsia="lt-LT" w:bidi="lt-LT"/>
        </w:rPr>
        <w:t xml:space="preserve"> </w:t>
      </w:r>
      <w:r w:rsidRPr="00832FC3">
        <w:rPr>
          <w:b/>
          <w:sz w:val="22"/>
          <w:szCs w:val="22"/>
          <w:lang w:val="lt-LT"/>
        </w:rPr>
        <w:t>sudėtis</w:t>
      </w:r>
    </w:p>
    <w:p w14:paraId="1BE623D8" w14:textId="77777777" w:rsidR="00106F96" w:rsidRPr="00832FC3" w:rsidRDefault="00106F96" w:rsidP="00106F96">
      <w:pPr>
        <w:rPr>
          <w:b/>
          <w:sz w:val="22"/>
          <w:szCs w:val="22"/>
          <w:lang w:val="lt-LT"/>
        </w:rPr>
      </w:pPr>
    </w:p>
    <w:p w14:paraId="66F9E38B"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Veiklioji medžiaga yra darunaviras. Kiekvienoje tabletėje yra 600 miligramų darunaviro.</w:t>
      </w:r>
    </w:p>
    <w:p w14:paraId="1B9B2FAE" w14:textId="77777777" w:rsidR="00106F96" w:rsidRPr="00832FC3" w:rsidRDefault="00106F96" w:rsidP="00106F96">
      <w:pPr>
        <w:pStyle w:val="BT-EMEASMCA"/>
        <w:numPr>
          <w:ilvl w:val="0"/>
          <w:numId w:val="25"/>
        </w:numPr>
        <w:ind w:left="567" w:hanging="567"/>
        <w:rPr>
          <w:sz w:val="22"/>
          <w:szCs w:val="22"/>
          <w:lang w:val="lt-LT"/>
        </w:rPr>
      </w:pPr>
      <w:r w:rsidRPr="00832FC3">
        <w:rPr>
          <w:sz w:val="22"/>
          <w:szCs w:val="22"/>
          <w:lang w:val="lt-LT"/>
        </w:rPr>
        <w:t>Pagalbinės medžiagos yra:</w:t>
      </w:r>
    </w:p>
    <w:p w14:paraId="2B80D412" w14:textId="77777777" w:rsidR="00106F96" w:rsidRPr="00832FC3" w:rsidRDefault="00106F96" w:rsidP="00106F96">
      <w:pPr>
        <w:pStyle w:val="BT-EMEASMCA"/>
        <w:numPr>
          <w:ilvl w:val="0"/>
          <w:numId w:val="0"/>
        </w:numPr>
        <w:ind w:left="567"/>
        <w:rPr>
          <w:sz w:val="22"/>
          <w:szCs w:val="22"/>
          <w:lang w:val="lt-LT"/>
        </w:rPr>
      </w:pPr>
      <w:r w:rsidRPr="00832FC3">
        <w:rPr>
          <w:sz w:val="22"/>
          <w:szCs w:val="22"/>
          <w:lang w:val="lt-LT"/>
        </w:rPr>
        <w:t>tabletės branduo</w:t>
      </w:r>
      <w:r w:rsidR="00530778">
        <w:rPr>
          <w:sz w:val="22"/>
          <w:szCs w:val="22"/>
          <w:lang w:val="lt-LT"/>
        </w:rPr>
        <w:t>l</w:t>
      </w:r>
      <w:r w:rsidRPr="00832FC3">
        <w:rPr>
          <w:sz w:val="22"/>
          <w:szCs w:val="22"/>
          <w:lang w:val="lt-LT"/>
        </w:rPr>
        <w:t>ys: mikrokristalinė celiuliozė, koloidinis bevandenis silicio dioksidas, krospovidonas, magnio stearatas;</w:t>
      </w:r>
    </w:p>
    <w:p w14:paraId="08547050" w14:textId="77777777" w:rsidR="00106F96" w:rsidRPr="00832FC3" w:rsidRDefault="00106F96" w:rsidP="00106F96">
      <w:pPr>
        <w:pStyle w:val="BT-EMEASMCA"/>
        <w:numPr>
          <w:ilvl w:val="0"/>
          <w:numId w:val="0"/>
        </w:numPr>
        <w:ind w:left="567"/>
        <w:rPr>
          <w:sz w:val="22"/>
          <w:szCs w:val="22"/>
          <w:lang w:val="lt-LT"/>
        </w:rPr>
      </w:pPr>
      <w:r w:rsidRPr="00832FC3">
        <w:rPr>
          <w:sz w:val="22"/>
          <w:szCs w:val="22"/>
          <w:lang w:val="lt-LT"/>
        </w:rPr>
        <w:t xml:space="preserve">tabletę dengianti plėvelė: </w:t>
      </w:r>
      <w:r w:rsidR="00530778" w:rsidRPr="00832FC3">
        <w:rPr>
          <w:sz w:val="22"/>
          <w:szCs w:val="22"/>
          <w:lang w:val="lt-LT"/>
        </w:rPr>
        <w:t xml:space="preserve">dalinai hidrolizuotas </w:t>
      </w:r>
      <w:r w:rsidRPr="00832FC3">
        <w:rPr>
          <w:sz w:val="22"/>
          <w:szCs w:val="22"/>
          <w:lang w:val="lt-LT"/>
        </w:rPr>
        <w:t>polivinilo alkoholis, titano dioksidas (E171), makrogolis 3350, talkas, geltonasis geležies oksidas (E172), raudonasis geležies oksidas (E172).</w:t>
      </w:r>
    </w:p>
    <w:p w14:paraId="2A656243" w14:textId="77777777" w:rsidR="00106F96" w:rsidRPr="00832FC3" w:rsidRDefault="00106F96" w:rsidP="00106F96">
      <w:pPr>
        <w:rPr>
          <w:sz w:val="22"/>
          <w:szCs w:val="22"/>
          <w:lang w:val="lt-LT"/>
        </w:rPr>
      </w:pPr>
    </w:p>
    <w:p w14:paraId="0E777CD5" w14:textId="77777777" w:rsidR="00106F96" w:rsidRPr="00832FC3" w:rsidRDefault="00106F96" w:rsidP="00106F96">
      <w:pPr>
        <w:rPr>
          <w:b/>
          <w:sz w:val="22"/>
          <w:szCs w:val="22"/>
          <w:lang w:val="lt-LT"/>
        </w:rPr>
      </w:pPr>
      <w:r w:rsidRPr="00832FC3">
        <w:rPr>
          <w:rFonts w:eastAsia="Times New Roman"/>
          <w:b/>
          <w:sz w:val="22"/>
          <w:szCs w:val="22"/>
          <w:lang w:val="lt-LT" w:eastAsia="lt-LT" w:bidi="lt-LT"/>
        </w:rPr>
        <w:t>Darunavir Teva</w:t>
      </w:r>
      <w:r w:rsidRPr="00832FC3">
        <w:rPr>
          <w:b/>
          <w:sz w:val="22"/>
          <w:szCs w:val="22"/>
          <w:lang w:val="lt-LT"/>
        </w:rPr>
        <w:t xml:space="preserve"> išvaizda ir kiekis pakuotėje</w:t>
      </w:r>
    </w:p>
    <w:p w14:paraId="18FCBEB7" w14:textId="77777777" w:rsidR="00106F96" w:rsidRPr="00832FC3" w:rsidRDefault="00326815" w:rsidP="00106F96">
      <w:pPr>
        <w:autoSpaceDE w:val="0"/>
        <w:autoSpaceDN w:val="0"/>
        <w:adjustRightInd w:val="0"/>
        <w:rPr>
          <w:rFonts w:eastAsia="TimesNewRoman"/>
          <w:sz w:val="22"/>
          <w:szCs w:val="22"/>
          <w:lang w:val="lt-LT" w:eastAsia="en-US"/>
        </w:rPr>
      </w:pPr>
      <w:r>
        <w:rPr>
          <w:rFonts w:eastAsia="TimesNewRoman"/>
          <w:sz w:val="22"/>
          <w:szCs w:val="22"/>
          <w:lang w:val="lt-LT" w:eastAsia="en-US"/>
        </w:rPr>
        <w:t>Darunavir Teva 600 </w:t>
      </w:r>
      <w:r w:rsidR="00530778" w:rsidRPr="00530778">
        <w:rPr>
          <w:rFonts w:eastAsia="TimesNewRoman"/>
          <w:sz w:val="22"/>
          <w:szCs w:val="22"/>
          <w:lang w:val="lt-LT" w:eastAsia="en-US"/>
        </w:rPr>
        <w:t xml:space="preserve">mg </w:t>
      </w:r>
      <w:r w:rsidR="00530778">
        <w:rPr>
          <w:rFonts w:eastAsia="TimesNewRoman"/>
          <w:sz w:val="22"/>
          <w:szCs w:val="22"/>
          <w:lang w:val="lt-LT" w:eastAsia="en-US"/>
        </w:rPr>
        <w:t>yra o</w:t>
      </w:r>
      <w:r w:rsidR="00106F96" w:rsidRPr="00832FC3">
        <w:rPr>
          <w:rFonts w:eastAsia="TimesNewRoman"/>
          <w:sz w:val="22"/>
          <w:szCs w:val="22"/>
          <w:lang w:val="lt-LT" w:eastAsia="en-US"/>
        </w:rPr>
        <w:t>ranžinė ovali plėvele dengta tabletė, kurios vienoje pusėje yra vagelė ir įspaudas „600“</w:t>
      </w:r>
      <w:r w:rsidR="00530778">
        <w:rPr>
          <w:rFonts w:eastAsia="TimesNewRoman"/>
          <w:sz w:val="22"/>
          <w:szCs w:val="22"/>
          <w:lang w:val="lt-LT" w:eastAsia="en-US"/>
        </w:rPr>
        <w:t xml:space="preserve"> (kairėje vagelės pusėje)</w:t>
      </w:r>
      <w:r w:rsidR="00106F96" w:rsidRPr="00832FC3">
        <w:rPr>
          <w:rFonts w:eastAsia="TimesNewRoman"/>
          <w:sz w:val="22"/>
          <w:szCs w:val="22"/>
          <w:lang w:val="lt-LT" w:eastAsia="en-US"/>
        </w:rPr>
        <w:t xml:space="preserve">, o kita </w:t>
      </w:r>
      <w:r w:rsidR="00530778">
        <w:rPr>
          <w:rFonts w:eastAsia="TimesNewRoman"/>
          <w:sz w:val="22"/>
          <w:szCs w:val="22"/>
          <w:lang w:val="lt-LT" w:eastAsia="en-US"/>
        </w:rPr>
        <w:t xml:space="preserve">tabletės </w:t>
      </w:r>
      <w:r w:rsidR="00106F96" w:rsidRPr="00832FC3">
        <w:rPr>
          <w:rFonts w:eastAsia="TimesNewRoman"/>
          <w:sz w:val="22"/>
          <w:szCs w:val="22"/>
          <w:lang w:val="lt-LT" w:eastAsia="en-US"/>
        </w:rPr>
        <w:t>pusė lygi; maždaug 21,5 mm</w:t>
      </w:r>
      <w:r w:rsidR="000810B1">
        <w:rPr>
          <w:rFonts w:eastAsia="TimesNewRoman"/>
          <w:sz w:val="22"/>
          <w:szCs w:val="22"/>
          <w:lang w:val="lt-LT" w:eastAsia="en-US"/>
        </w:rPr>
        <w:t xml:space="preserve"> </w:t>
      </w:r>
      <w:r w:rsidR="00106F96" w:rsidRPr="00832FC3">
        <w:rPr>
          <w:rFonts w:eastAsia="TimesNewRoman"/>
          <w:sz w:val="22"/>
          <w:szCs w:val="22"/>
          <w:lang w:val="lt-LT" w:eastAsia="en-US"/>
        </w:rPr>
        <w:t>x</w:t>
      </w:r>
      <w:r w:rsidR="000810B1">
        <w:rPr>
          <w:rFonts w:eastAsia="TimesNewRoman"/>
          <w:sz w:val="22"/>
          <w:szCs w:val="22"/>
          <w:lang w:val="lt-LT" w:eastAsia="en-US"/>
        </w:rPr>
        <w:t xml:space="preserve"> </w:t>
      </w:r>
      <w:r w:rsidR="00106F96" w:rsidRPr="00832FC3">
        <w:rPr>
          <w:rFonts w:eastAsia="TimesNewRoman"/>
          <w:sz w:val="22"/>
          <w:szCs w:val="22"/>
          <w:lang w:val="lt-LT" w:eastAsia="en-US"/>
        </w:rPr>
        <w:t>10,6 mm dydžio</w:t>
      </w:r>
      <w:r w:rsidR="00530778">
        <w:rPr>
          <w:rFonts w:eastAsia="TimesNewRoman"/>
          <w:sz w:val="22"/>
          <w:szCs w:val="22"/>
          <w:lang w:val="lt-LT" w:eastAsia="en-US"/>
        </w:rPr>
        <w:t>.</w:t>
      </w:r>
    </w:p>
    <w:p w14:paraId="332D22F6" w14:textId="77777777" w:rsidR="00106F96" w:rsidRPr="00832FC3" w:rsidRDefault="00106F96" w:rsidP="00106F96">
      <w:pPr>
        <w:autoSpaceDE w:val="0"/>
        <w:autoSpaceDN w:val="0"/>
        <w:adjustRightInd w:val="0"/>
        <w:rPr>
          <w:rFonts w:eastAsia="TimesNewRoman"/>
          <w:sz w:val="22"/>
          <w:szCs w:val="22"/>
          <w:lang w:val="lt-LT" w:eastAsia="en-US"/>
        </w:rPr>
      </w:pPr>
    </w:p>
    <w:p w14:paraId="65A2FED9" w14:textId="77777777" w:rsidR="00106F96" w:rsidRPr="00832FC3" w:rsidRDefault="00106F96" w:rsidP="00106F96">
      <w:pPr>
        <w:autoSpaceDE w:val="0"/>
        <w:autoSpaceDN w:val="0"/>
        <w:adjustRightInd w:val="0"/>
        <w:rPr>
          <w:rFonts w:eastAsia="TimesNewRoman"/>
          <w:sz w:val="22"/>
          <w:szCs w:val="22"/>
          <w:lang w:val="lt-LT" w:eastAsia="en-US"/>
        </w:rPr>
      </w:pPr>
      <w:r w:rsidRPr="00832FC3">
        <w:rPr>
          <w:rFonts w:eastAsia="TimesNewRoman"/>
          <w:sz w:val="22"/>
          <w:szCs w:val="22"/>
          <w:lang w:val="lt-LT" w:eastAsia="en-US"/>
        </w:rPr>
        <w:t>Tabletę galima padalyti į lygias dozes.</w:t>
      </w:r>
    </w:p>
    <w:p w14:paraId="3917AF9D" w14:textId="77777777" w:rsidR="00106F96" w:rsidRPr="00832FC3" w:rsidRDefault="00106F96" w:rsidP="00106F96">
      <w:pPr>
        <w:autoSpaceDE w:val="0"/>
        <w:autoSpaceDN w:val="0"/>
        <w:adjustRightInd w:val="0"/>
        <w:rPr>
          <w:rFonts w:eastAsia="TimesNewRoman"/>
          <w:sz w:val="22"/>
          <w:szCs w:val="22"/>
          <w:lang w:val="lt-LT" w:eastAsia="en-US"/>
        </w:rPr>
      </w:pPr>
    </w:p>
    <w:p w14:paraId="5CB8D946" w14:textId="77777777" w:rsidR="00106F96" w:rsidRPr="00832FC3" w:rsidRDefault="00106F96" w:rsidP="00106F96">
      <w:pPr>
        <w:widowControl w:val="0"/>
        <w:tabs>
          <w:tab w:val="left" w:pos="567"/>
        </w:tabs>
        <w:rPr>
          <w:rFonts w:eastAsia="Times New Roman"/>
          <w:sz w:val="22"/>
          <w:szCs w:val="22"/>
          <w:lang w:val="lt-LT" w:eastAsia="en-US"/>
        </w:rPr>
      </w:pPr>
      <w:r w:rsidRPr="00832FC3">
        <w:rPr>
          <w:rFonts w:eastAsia="Times New Roman"/>
          <w:sz w:val="22"/>
          <w:lang w:val="lt-LT" w:eastAsia="lt-LT" w:bidi="lt-LT"/>
        </w:rPr>
        <w:t>Darunavir Teva 600 mg tiekiam</w:t>
      </w:r>
      <w:r w:rsidR="00326815">
        <w:rPr>
          <w:rFonts w:eastAsia="Times New Roman"/>
          <w:sz w:val="22"/>
          <w:lang w:val="lt-LT" w:eastAsia="lt-LT" w:bidi="lt-LT"/>
        </w:rPr>
        <w:t>a</w:t>
      </w:r>
      <w:r w:rsidRPr="00832FC3">
        <w:rPr>
          <w:rFonts w:eastAsia="Times New Roman"/>
          <w:sz w:val="22"/>
          <w:lang w:val="lt-LT" w:eastAsia="lt-LT" w:bidi="lt-LT"/>
        </w:rPr>
        <w:t xml:space="preserve">s po </w:t>
      </w:r>
      <w:r w:rsidRPr="00832FC3">
        <w:rPr>
          <w:rFonts w:eastAsia="Times New Roman"/>
          <w:snapToGrid w:val="0"/>
          <w:sz w:val="22"/>
          <w:szCs w:val="22"/>
          <w:lang w:val="lt-LT" w:eastAsia="en-US"/>
        </w:rPr>
        <w:t xml:space="preserve">20, </w:t>
      </w:r>
      <w:r w:rsidRPr="00832FC3">
        <w:rPr>
          <w:rFonts w:eastAsia="Times New Roman"/>
          <w:sz w:val="22"/>
          <w:szCs w:val="22"/>
          <w:lang w:val="lt-LT" w:eastAsia="en-US"/>
        </w:rPr>
        <w:t xml:space="preserve">20x1, 60, 60x1, 200, 200x1, 240 </w:t>
      </w:r>
      <w:r w:rsidR="00530778">
        <w:rPr>
          <w:rFonts w:eastAsia="Times New Roman"/>
          <w:sz w:val="22"/>
          <w:szCs w:val="22"/>
          <w:lang w:val="lt-LT" w:eastAsia="en-US"/>
        </w:rPr>
        <w:t>arba</w:t>
      </w:r>
      <w:r w:rsidRPr="00832FC3">
        <w:rPr>
          <w:rFonts w:eastAsia="Times New Roman"/>
          <w:sz w:val="22"/>
          <w:szCs w:val="22"/>
          <w:lang w:val="lt-LT" w:eastAsia="en-US"/>
        </w:rPr>
        <w:t xml:space="preserve"> 240x1 plėvele dengtų tablečių lizdinėse plokštelėse ir po </w:t>
      </w:r>
      <w:r w:rsidRPr="00832FC3">
        <w:rPr>
          <w:rFonts w:eastAsia="TimesNewRoman"/>
          <w:sz w:val="22"/>
          <w:szCs w:val="22"/>
          <w:lang w:val="lt-LT" w:eastAsia="en-US"/>
        </w:rPr>
        <w:t xml:space="preserve">60, 180 (60x3) </w:t>
      </w:r>
      <w:r w:rsidR="00530778">
        <w:rPr>
          <w:rFonts w:eastAsia="TimesNewRoman"/>
          <w:sz w:val="22"/>
          <w:szCs w:val="22"/>
          <w:lang w:val="lt-LT" w:eastAsia="en-US"/>
        </w:rPr>
        <w:t>arba</w:t>
      </w:r>
      <w:r w:rsidRPr="00832FC3">
        <w:rPr>
          <w:rFonts w:eastAsia="TimesNewRoman"/>
          <w:sz w:val="22"/>
          <w:szCs w:val="22"/>
          <w:lang w:val="lt-LT" w:eastAsia="en-US"/>
        </w:rPr>
        <w:t xml:space="preserve"> 200 plėvele dengtų tablečių </w:t>
      </w:r>
      <w:r w:rsidR="00530778">
        <w:rPr>
          <w:rFonts w:eastAsia="TimesNewRoman"/>
          <w:sz w:val="22"/>
          <w:szCs w:val="22"/>
          <w:lang w:val="lt-LT" w:eastAsia="en-US"/>
        </w:rPr>
        <w:t>DT</w:t>
      </w:r>
      <w:r w:rsidR="00530778" w:rsidRPr="00832FC3">
        <w:rPr>
          <w:rFonts w:eastAsia="TimesNewRoman"/>
          <w:sz w:val="22"/>
          <w:szCs w:val="22"/>
          <w:lang w:val="lt-LT" w:eastAsia="en-US"/>
        </w:rPr>
        <w:t xml:space="preserve">PE </w:t>
      </w:r>
      <w:r w:rsidRPr="00832FC3">
        <w:rPr>
          <w:rFonts w:eastAsia="TimesNewRoman"/>
          <w:sz w:val="22"/>
          <w:szCs w:val="22"/>
          <w:lang w:val="lt-LT" w:eastAsia="en-US"/>
        </w:rPr>
        <w:t>buteliukuose.</w:t>
      </w:r>
    </w:p>
    <w:p w14:paraId="3A7437F5" w14:textId="77777777" w:rsidR="00106F96" w:rsidRPr="00832FC3" w:rsidRDefault="00106F96" w:rsidP="00106F96">
      <w:pPr>
        <w:autoSpaceDE w:val="0"/>
        <w:autoSpaceDN w:val="0"/>
        <w:adjustRightInd w:val="0"/>
        <w:rPr>
          <w:rFonts w:eastAsia="TimesNewRoman"/>
          <w:sz w:val="22"/>
          <w:szCs w:val="22"/>
          <w:lang w:val="lt-LT" w:eastAsia="en-US"/>
        </w:rPr>
      </w:pPr>
    </w:p>
    <w:p w14:paraId="17939091" w14:textId="77777777" w:rsidR="00106F96" w:rsidRPr="00832FC3" w:rsidRDefault="00106F96" w:rsidP="00106F96">
      <w:pPr>
        <w:autoSpaceDE w:val="0"/>
        <w:autoSpaceDN w:val="0"/>
        <w:adjustRightInd w:val="0"/>
        <w:rPr>
          <w:rFonts w:eastAsia="TimesNewRoman"/>
          <w:sz w:val="22"/>
          <w:szCs w:val="22"/>
          <w:lang w:val="lt-LT" w:eastAsia="en-US"/>
        </w:rPr>
      </w:pPr>
      <w:r w:rsidRPr="00832FC3">
        <w:rPr>
          <w:rFonts w:eastAsia="TimesNewRoman"/>
          <w:sz w:val="22"/>
          <w:szCs w:val="22"/>
          <w:lang w:val="lt-LT" w:eastAsia="en-US"/>
        </w:rPr>
        <w:t>Gali būti tiekiamos ne visų dydžių pakuotės.</w:t>
      </w:r>
    </w:p>
    <w:p w14:paraId="131DC6FF" w14:textId="77777777" w:rsidR="00106F96" w:rsidRPr="00832FC3" w:rsidRDefault="00106F96" w:rsidP="00106F96">
      <w:pPr>
        <w:rPr>
          <w:b/>
          <w:sz w:val="22"/>
          <w:lang w:val="lt-LT"/>
        </w:rPr>
      </w:pPr>
    </w:p>
    <w:p w14:paraId="7867E094" w14:textId="77777777" w:rsidR="00106F96" w:rsidRPr="00832FC3" w:rsidRDefault="00106F96" w:rsidP="00106F96">
      <w:pPr>
        <w:rPr>
          <w:lang w:val="lt-LT"/>
        </w:rPr>
      </w:pPr>
      <w:r w:rsidRPr="00832FC3">
        <w:rPr>
          <w:b/>
          <w:sz w:val="22"/>
          <w:lang w:val="lt-LT"/>
        </w:rPr>
        <w:t>Registruotojas ir gamintojas</w:t>
      </w:r>
      <w:r w:rsidRPr="00832FC3">
        <w:rPr>
          <w:lang w:val="lt-LT"/>
        </w:rPr>
        <w:t xml:space="preserve"> </w:t>
      </w:r>
    </w:p>
    <w:p w14:paraId="441F7398" w14:textId="77777777" w:rsidR="00106F96" w:rsidRDefault="00106F96" w:rsidP="00106F96">
      <w:pPr>
        <w:rPr>
          <w:sz w:val="22"/>
          <w:szCs w:val="22"/>
          <w:lang w:val="lt-LT"/>
        </w:rPr>
      </w:pPr>
    </w:p>
    <w:p w14:paraId="05A2625E" w14:textId="77777777" w:rsidR="002664E4" w:rsidRPr="002664E4" w:rsidRDefault="002664E4" w:rsidP="00106F96">
      <w:pPr>
        <w:rPr>
          <w:i/>
          <w:sz w:val="22"/>
          <w:szCs w:val="22"/>
          <w:lang w:val="lt-LT"/>
        </w:rPr>
      </w:pPr>
      <w:r w:rsidRPr="002664E4">
        <w:rPr>
          <w:i/>
          <w:sz w:val="22"/>
          <w:szCs w:val="22"/>
          <w:lang w:val="lt-LT"/>
        </w:rPr>
        <w:t>Registruotojas</w:t>
      </w:r>
    </w:p>
    <w:p w14:paraId="41A462F3" w14:textId="77777777" w:rsidR="00106F96" w:rsidRPr="00832FC3" w:rsidRDefault="00106F96" w:rsidP="00106F96">
      <w:pPr>
        <w:shd w:val="clear" w:color="auto" w:fill="FFFFFF"/>
        <w:rPr>
          <w:rFonts w:ascii="Arial" w:eastAsia="Times New Roman" w:hAnsi="Arial" w:cs="Arial"/>
          <w:sz w:val="22"/>
          <w:szCs w:val="22"/>
          <w:lang w:val="lt-LT" w:eastAsia="en-GB"/>
        </w:rPr>
      </w:pPr>
      <w:r w:rsidRPr="00832FC3">
        <w:rPr>
          <w:rFonts w:eastAsia="Times New Roman"/>
          <w:sz w:val="22"/>
          <w:szCs w:val="22"/>
          <w:lang w:val="lt-LT" w:eastAsia="en-GB"/>
        </w:rPr>
        <w:t>Teva B.V.</w:t>
      </w:r>
    </w:p>
    <w:p w14:paraId="5A74E3F6" w14:textId="77777777" w:rsidR="00106F96" w:rsidRPr="00832FC3" w:rsidRDefault="00106F96" w:rsidP="00106F96">
      <w:pPr>
        <w:shd w:val="clear" w:color="auto" w:fill="FFFFFF"/>
        <w:rPr>
          <w:rFonts w:eastAsia="Times New Roman"/>
          <w:sz w:val="22"/>
          <w:szCs w:val="22"/>
          <w:lang w:val="lt-LT" w:eastAsia="en-GB"/>
        </w:rPr>
      </w:pPr>
      <w:r w:rsidRPr="00832FC3">
        <w:rPr>
          <w:rFonts w:eastAsia="Times New Roman"/>
          <w:sz w:val="22"/>
          <w:szCs w:val="22"/>
          <w:lang w:val="lt-LT" w:eastAsia="en-GB"/>
        </w:rPr>
        <w:t>Swensweg 5</w:t>
      </w:r>
    </w:p>
    <w:p w14:paraId="515A2C7B" w14:textId="77777777" w:rsidR="00106F96" w:rsidRPr="00832FC3" w:rsidRDefault="00106F96" w:rsidP="00106F96">
      <w:pPr>
        <w:shd w:val="clear" w:color="auto" w:fill="FFFFFF"/>
        <w:rPr>
          <w:rFonts w:eastAsia="Times New Roman"/>
          <w:sz w:val="22"/>
          <w:szCs w:val="22"/>
          <w:lang w:val="lt-LT" w:eastAsia="en-GB"/>
        </w:rPr>
      </w:pPr>
      <w:r w:rsidRPr="00832FC3">
        <w:rPr>
          <w:rFonts w:eastAsia="Times New Roman"/>
          <w:sz w:val="22"/>
          <w:szCs w:val="22"/>
          <w:lang w:val="lt-LT" w:eastAsia="en-GB"/>
        </w:rPr>
        <w:t>2031 GA, Haarlem</w:t>
      </w:r>
    </w:p>
    <w:p w14:paraId="0B695BE7" w14:textId="77777777" w:rsidR="00106F96" w:rsidRPr="00832FC3" w:rsidRDefault="00106F96" w:rsidP="00106F96">
      <w:pPr>
        <w:shd w:val="clear" w:color="auto" w:fill="FFFFFF"/>
        <w:rPr>
          <w:rFonts w:ascii="Arial" w:eastAsia="Times New Roman" w:hAnsi="Arial" w:cs="Arial"/>
          <w:sz w:val="22"/>
          <w:szCs w:val="22"/>
          <w:lang w:val="lt-LT" w:eastAsia="en-GB"/>
        </w:rPr>
      </w:pPr>
      <w:r w:rsidRPr="00832FC3">
        <w:rPr>
          <w:rFonts w:eastAsia="Times New Roman"/>
          <w:sz w:val="22"/>
          <w:szCs w:val="22"/>
          <w:lang w:val="lt-LT" w:eastAsia="en-GB"/>
        </w:rPr>
        <w:t>Nyderlandai</w:t>
      </w:r>
    </w:p>
    <w:p w14:paraId="63F77200" w14:textId="77777777" w:rsidR="002664E4" w:rsidRDefault="002664E4" w:rsidP="002664E4">
      <w:pPr>
        <w:rPr>
          <w:i/>
          <w:sz w:val="22"/>
          <w:szCs w:val="22"/>
          <w:lang w:val="lt-LT"/>
        </w:rPr>
      </w:pPr>
    </w:p>
    <w:p w14:paraId="26DD55F9" w14:textId="77777777" w:rsidR="002664E4" w:rsidRPr="00532388" w:rsidRDefault="002664E4" w:rsidP="002664E4">
      <w:pPr>
        <w:rPr>
          <w:i/>
          <w:sz w:val="22"/>
          <w:szCs w:val="22"/>
          <w:lang w:val="lt-LT"/>
        </w:rPr>
      </w:pPr>
      <w:r w:rsidRPr="00532388">
        <w:rPr>
          <w:i/>
          <w:sz w:val="22"/>
          <w:szCs w:val="22"/>
          <w:lang w:val="lt-LT"/>
        </w:rPr>
        <w:t>Gamintojas</w:t>
      </w:r>
    </w:p>
    <w:p w14:paraId="1438017C" w14:textId="77777777" w:rsidR="00530778" w:rsidRDefault="002664E4" w:rsidP="002664E4">
      <w:pPr>
        <w:rPr>
          <w:rFonts w:eastAsia="TimesNewRoman,Bold"/>
          <w:bCs/>
          <w:sz w:val="22"/>
          <w:szCs w:val="22"/>
          <w:lang w:val="lt-LT" w:eastAsia="lt-LT"/>
        </w:rPr>
      </w:pPr>
      <w:r w:rsidRPr="00532388">
        <w:rPr>
          <w:rFonts w:eastAsia="TimesNewRoman,Bold"/>
          <w:bCs/>
          <w:sz w:val="22"/>
          <w:szCs w:val="22"/>
          <w:lang w:val="lt-LT" w:eastAsia="lt-LT"/>
        </w:rPr>
        <w:t>Teva Operations Po</w:t>
      </w:r>
      <w:r>
        <w:rPr>
          <w:rFonts w:eastAsia="TimesNewRoman,Bold"/>
          <w:bCs/>
          <w:sz w:val="22"/>
          <w:szCs w:val="22"/>
          <w:lang w:val="lt-LT" w:eastAsia="lt-LT"/>
        </w:rPr>
        <w:t>land Sp. z.o.o</w:t>
      </w:r>
    </w:p>
    <w:p w14:paraId="439DA539" w14:textId="77777777" w:rsidR="00530778" w:rsidRDefault="002664E4" w:rsidP="002664E4">
      <w:pPr>
        <w:rPr>
          <w:rFonts w:eastAsia="TimesNewRoman,Bold"/>
          <w:bCs/>
          <w:sz w:val="22"/>
          <w:szCs w:val="22"/>
          <w:lang w:val="lt-LT" w:eastAsia="lt-LT"/>
        </w:rPr>
      </w:pPr>
      <w:r>
        <w:rPr>
          <w:rFonts w:eastAsia="TimesNewRoman,Bold"/>
          <w:bCs/>
          <w:sz w:val="22"/>
          <w:szCs w:val="22"/>
          <w:lang w:val="lt-LT" w:eastAsia="lt-LT"/>
        </w:rPr>
        <w:t>ul. Mogilska 80</w:t>
      </w:r>
    </w:p>
    <w:p w14:paraId="11D857DF" w14:textId="77777777" w:rsidR="00530778" w:rsidRDefault="002664E4" w:rsidP="002664E4">
      <w:pPr>
        <w:rPr>
          <w:rFonts w:eastAsia="TimesNewRoman,Bold"/>
          <w:bCs/>
          <w:sz w:val="22"/>
          <w:szCs w:val="22"/>
          <w:lang w:val="lt-LT" w:eastAsia="lt-LT"/>
        </w:rPr>
      </w:pPr>
      <w:r w:rsidRPr="00532388">
        <w:rPr>
          <w:rFonts w:eastAsia="TimesNewRoman,Bold"/>
          <w:bCs/>
          <w:sz w:val="22"/>
          <w:szCs w:val="22"/>
          <w:lang w:val="lt-LT" w:eastAsia="lt-LT"/>
        </w:rPr>
        <w:t>Krakow, 31-546</w:t>
      </w:r>
    </w:p>
    <w:p w14:paraId="33AFC986" w14:textId="77777777" w:rsidR="002664E4" w:rsidRPr="00532388" w:rsidRDefault="002664E4" w:rsidP="002664E4">
      <w:pPr>
        <w:rPr>
          <w:rFonts w:eastAsia="TimesNewRoman,Bold"/>
          <w:bCs/>
          <w:sz w:val="22"/>
          <w:szCs w:val="22"/>
          <w:lang w:val="lt-LT" w:eastAsia="lt-LT"/>
        </w:rPr>
      </w:pPr>
      <w:r w:rsidRPr="00532388">
        <w:rPr>
          <w:rFonts w:eastAsia="TimesNewRoman,Bold"/>
          <w:bCs/>
          <w:sz w:val="22"/>
          <w:szCs w:val="22"/>
          <w:lang w:val="lt-LT" w:eastAsia="lt-LT"/>
        </w:rPr>
        <w:t>Lenkija</w:t>
      </w:r>
    </w:p>
    <w:p w14:paraId="79D2E667" w14:textId="77777777" w:rsidR="002664E4" w:rsidRPr="00532388" w:rsidRDefault="002664E4" w:rsidP="002664E4">
      <w:pPr>
        <w:rPr>
          <w:rFonts w:eastAsia="TimesNewRoman,Bold"/>
          <w:bCs/>
          <w:sz w:val="22"/>
          <w:szCs w:val="22"/>
          <w:lang w:val="lt-LT" w:eastAsia="lt-LT"/>
        </w:rPr>
      </w:pPr>
    </w:p>
    <w:p w14:paraId="2ADDFD9F" w14:textId="77777777" w:rsidR="002664E4" w:rsidRPr="00532388" w:rsidRDefault="002664E4" w:rsidP="002664E4">
      <w:pPr>
        <w:rPr>
          <w:rFonts w:eastAsia="TimesNewRoman,Bold"/>
          <w:bCs/>
          <w:sz w:val="22"/>
          <w:szCs w:val="22"/>
          <w:lang w:val="lt-LT" w:eastAsia="lt-LT"/>
        </w:rPr>
      </w:pPr>
      <w:r w:rsidRPr="00532388">
        <w:rPr>
          <w:rFonts w:eastAsia="TimesNewRoman,Bold"/>
          <w:bCs/>
          <w:sz w:val="22"/>
          <w:szCs w:val="22"/>
          <w:lang w:val="lt-LT" w:eastAsia="lt-LT"/>
        </w:rPr>
        <w:t>arba</w:t>
      </w:r>
    </w:p>
    <w:p w14:paraId="21578E83" w14:textId="77777777" w:rsidR="002664E4" w:rsidRPr="00532388" w:rsidRDefault="002664E4" w:rsidP="002664E4">
      <w:pPr>
        <w:rPr>
          <w:rFonts w:eastAsia="TimesNewRoman,Bold"/>
          <w:bCs/>
          <w:sz w:val="22"/>
          <w:szCs w:val="22"/>
          <w:lang w:val="lt-LT" w:eastAsia="lt-LT"/>
        </w:rPr>
      </w:pPr>
    </w:p>
    <w:p w14:paraId="3702F196" w14:textId="77777777" w:rsidR="00530778" w:rsidRDefault="002664E4" w:rsidP="002664E4">
      <w:pPr>
        <w:rPr>
          <w:rFonts w:eastAsia="TimesNewRoman,Bold"/>
          <w:bCs/>
          <w:sz w:val="22"/>
          <w:szCs w:val="22"/>
          <w:lang w:val="lt-LT" w:eastAsia="lt-LT"/>
        </w:rPr>
      </w:pPr>
      <w:r w:rsidRPr="00532388">
        <w:rPr>
          <w:rFonts w:eastAsia="TimesNewRoman,Bold"/>
          <w:bCs/>
          <w:sz w:val="22"/>
          <w:szCs w:val="22"/>
          <w:lang w:val="lt-LT" w:eastAsia="lt-LT"/>
        </w:rPr>
        <w:t>Merckle GmbH</w:t>
      </w:r>
    </w:p>
    <w:p w14:paraId="06FAD19A" w14:textId="77777777" w:rsidR="00530778" w:rsidRDefault="002664E4" w:rsidP="002664E4">
      <w:pPr>
        <w:rPr>
          <w:rFonts w:eastAsia="TimesNewRoman,Bold"/>
          <w:bCs/>
          <w:sz w:val="22"/>
          <w:szCs w:val="22"/>
          <w:lang w:val="lt-LT" w:eastAsia="lt-LT"/>
        </w:rPr>
      </w:pPr>
      <w:r w:rsidRPr="00532388">
        <w:rPr>
          <w:rFonts w:eastAsia="TimesNewRoman,Bold"/>
          <w:bCs/>
          <w:sz w:val="22"/>
          <w:szCs w:val="22"/>
          <w:lang w:val="lt-LT" w:eastAsia="lt-LT"/>
        </w:rPr>
        <w:t>Ludwig-Merckle-Straße 3</w:t>
      </w:r>
    </w:p>
    <w:p w14:paraId="5F47A6B5" w14:textId="77777777" w:rsidR="00530778" w:rsidRDefault="002664E4" w:rsidP="002664E4">
      <w:pPr>
        <w:rPr>
          <w:rFonts w:eastAsia="TimesNewRoman,Bold"/>
          <w:bCs/>
          <w:sz w:val="22"/>
          <w:szCs w:val="22"/>
          <w:lang w:val="lt-LT" w:eastAsia="lt-LT"/>
        </w:rPr>
      </w:pPr>
      <w:r w:rsidRPr="00532388">
        <w:rPr>
          <w:rFonts w:eastAsia="TimesNewRoman,Bold"/>
          <w:bCs/>
          <w:sz w:val="22"/>
          <w:szCs w:val="22"/>
          <w:lang w:val="lt-LT" w:eastAsia="lt-LT"/>
        </w:rPr>
        <w:t>Blaubeuren, 89143</w:t>
      </w:r>
    </w:p>
    <w:p w14:paraId="5AD35C92" w14:textId="77777777" w:rsidR="002664E4" w:rsidRPr="00532388" w:rsidRDefault="002664E4" w:rsidP="002664E4">
      <w:pPr>
        <w:rPr>
          <w:rFonts w:eastAsia="TimesNewRoman,Bold"/>
          <w:bCs/>
          <w:sz w:val="22"/>
          <w:szCs w:val="22"/>
          <w:lang w:val="lt-LT" w:eastAsia="lt-LT"/>
        </w:rPr>
      </w:pPr>
      <w:r w:rsidRPr="00532388">
        <w:rPr>
          <w:rFonts w:eastAsia="TimesNewRoman,Bold"/>
          <w:bCs/>
          <w:sz w:val="22"/>
          <w:szCs w:val="22"/>
          <w:lang w:val="lt-LT" w:eastAsia="lt-LT"/>
        </w:rPr>
        <w:t>Vokietija</w:t>
      </w:r>
    </w:p>
    <w:p w14:paraId="79933FAD" w14:textId="77777777" w:rsidR="002664E4" w:rsidRPr="00532388" w:rsidRDefault="002664E4" w:rsidP="002664E4">
      <w:pPr>
        <w:rPr>
          <w:rFonts w:eastAsia="TimesNewRoman,Bold"/>
          <w:bCs/>
          <w:sz w:val="22"/>
          <w:szCs w:val="22"/>
          <w:lang w:val="lt-LT" w:eastAsia="lt-LT"/>
        </w:rPr>
      </w:pPr>
    </w:p>
    <w:p w14:paraId="20FECC9B" w14:textId="77777777" w:rsidR="002664E4" w:rsidRPr="00532388" w:rsidRDefault="002664E4" w:rsidP="002664E4">
      <w:pPr>
        <w:rPr>
          <w:noProof/>
          <w:sz w:val="22"/>
          <w:szCs w:val="22"/>
        </w:rPr>
      </w:pPr>
      <w:r w:rsidRPr="00532388">
        <w:rPr>
          <w:rFonts w:eastAsia="TimesNewRoman,Bold"/>
          <w:bCs/>
          <w:sz w:val="22"/>
          <w:szCs w:val="22"/>
          <w:lang w:val="lt-LT" w:eastAsia="lt-LT"/>
        </w:rPr>
        <w:t>arba</w:t>
      </w:r>
    </w:p>
    <w:p w14:paraId="69FC1A6B" w14:textId="77777777" w:rsidR="002664E4" w:rsidRPr="00532388" w:rsidRDefault="002664E4" w:rsidP="002664E4">
      <w:pPr>
        <w:rPr>
          <w:noProof/>
          <w:sz w:val="22"/>
          <w:szCs w:val="22"/>
        </w:rPr>
      </w:pPr>
    </w:p>
    <w:p w14:paraId="078E58FC" w14:textId="77777777" w:rsidR="00530778" w:rsidRDefault="002664E4" w:rsidP="002664E4">
      <w:pPr>
        <w:rPr>
          <w:rFonts w:eastAsia="TimesNewRoman,Bold"/>
          <w:bCs/>
          <w:sz w:val="22"/>
          <w:szCs w:val="22"/>
          <w:lang w:val="lt-LT" w:eastAsia="lt-LT"/>
        </w:rPr>
      </w:pPr>
      <w:r w:rsidRPr="00532388">
        <w:rPr>
          <w:rFonts w:eastAsia="TimesNewRoman,Bold"/>
          <w:bCs/>
          <w:sz w:val="22"/>
          <w:szCs w:val="22"/>
          <w:lang w:val="lt-LT" w:eastAsia="lt-LT"/>
        </w:rPr>
        <w:t>Teva Pharma B.V.</w:t>
      </w:r>
    </w:p>
    <w:p w14:paraId="7AF8746A" w14:textId="77777777" w:rsidR="00530778" w:rsidRDefault="002664E4" w:rsidP="002664E4">
      <w:pPr>
        <w:rPr>
          <w:rFonts w:eastAsia="TimesNewRoman,Bold"/>
          <w:bCs/>
          <w:sz w:val="22"/>
          <w:szCs w:val="22"/>
          <w:lang w:val="lt-LT" w:eastAsia="lt-LT"/>
        </w:rPr>
      </w:pPr>
      <w:r w:rsidRPr="00532388">
        <w:rPr>
          <w:rFonts w:eastAsia="TimesNewRoman,Bold"/>
          <w:bCs/>
          <w:sz w:val="22"/>
          <w:szCs w:val="22"/>
          <w:lang w:val="lt-LT" w:eastAsia="lt-LT"/>
        </w:rPr>
        <w:t>Swensweg 5</w:t>
      </w:r>
    </w:p>
    <w:p w14:paraId="2897018B" w14:textId="77777777" w:rsidR="00530778" w:rsidRDefault="002664E4" w:rsidP="002664E4">
      <w:pPr>
        <w:rPr>
          <w:rFonts w:eastAsia="TimesNewRoman,Bold"/>
          <w:bCs/>
          <w:sz w:val="22"/>
          <w:szCs w:val="22"/>
          <w:lang w:val="lt-LT" w:eastAsia="lt-LT"/>
        </w:rPr>
      </w:pPr>
      <w:r w:rsidRPr="00532388">
        <w:rPr>
          <w:rFonts w:eastAsia="TimesNewRoman,Bold"/>
          <w:bCs/>
          <w:sz w:val="22"/>
          <w:szCs w:val="22"/>
          <w:lang w:val="lt-LT" w:eastAsia="lt-LT"/>
        </w:rPr>
        <w:t>Haarlem, 2031 GA</w:t>
      </w:r>
    </w:p>
    <w:p w14:paraId="4422EEDD" w14:textId="77777777" w:rsidR="002664E4" w:rsidRPr="00532388" w:rsidRDefault="002664E4" w:rsidP="002664E4">
      <w:pPr>
        <w:rPr>
          <w:rFonts w:eastAsia="TimesNewRoman,Bold"/>
          <w:bCs/>
          <w:sz w:val="22"/>
          <w:szCs w:val="22"/>
          <w:lang w:val="lt-LT" w:eastAsia="lt-LT"/>
        </w:rPr>
      </w:pPr>
      <w:r w:rsidRPr="00532388">
        <w:rPr>
          <w:rFonts w:eastAsia="TimesNewRoman,Bold"/>
          <w:bCs/>
          <w:sz w:val="22"/>
          <w:szCs w:val="22"/>
          <w:lang w:val="lt-LT" w:eastAsia="lt-LT"/>
        </w:rPr>
        <w:t>Nyderlandai</w:t>
      </w:r>
    </w:p>
    <w:p w14:paraId="0B326510" w14:textId="77777777" w:rsidR="002664E4" w:rsidRPr="00532388" w:rsidRDefault="002664E4" w:rsidP="002664E4">
      <w:pPr>
        <w:rPr>
          <w:rFonts w:eastAsia="TimesNewRoman,Bold"/>
          <w:bCs/>
          <w:sz w:val="22"/>
          <w:szCs w:val="22"/>
          <w:lang w:val="lt-LT" w:eastAsia="lt-LT"/>
        </w:rPr>
      </w:pPr>
    </w:p>
    <w:p w14:paraId="275BC2F2" w14:textId="77777777" w:rsidR="002664E4" w:rsidRPr="00532388" w:rsidRDefault="002664E4" w:rsidP="002664E4">
      <w:pPr>
        <w:rPr>
          <w:noProof/>
          <w:sz w:val="22"/>
          <w:szCs w:val="22"/>
        </w:rPr>
      </w:pPr>
      <w:r w:rsidRPr="00532388">
        <w:rPr>
          <w:rFonts w:eastAsia="TimesNewRoman,Bold"/>
          <w:bCs/>
          <w:sz w:val="22"/>
          <w:szCs w:val="22"/>
          <w:lang w:val="lt-LT" w:eastAsia="lt-LT"/>
        </w:rPr>
        <w:t>arba</w:t>
      </w:r>
    </w:p>
    <w:p w14:paraId="0652973C" w14:textId="77777777" w:rsidR="002664E4" w:rsidRPr="00532388" w:rsidRDefault="002664E4" w:rsidP="002664E4">
      <w:pPr>
        <w:rPr>
          <w:rFonts w:eastAsia="TimesNewRoman,Bold"/>
          <w:bCs/>
          <w:sz w:val="22"/>
          <w:szCs w:val="22"/>
          <w:lang w:val="lt-LT" w:eastAsia="lt-LT"/>
        </w:rPr>
      </w:pPr>
    </w:p>
    <w:p w14:paraId="298079B1" w14:textId="77777777" w:rsidR="00530778" w:rsidRDefault="002664E4" w:rsidP="002664E4">
      <w:pPr>
        <w:rPr>
          <w:rFonts w:eastAsia="TimesNewRoman,Bold"/>
          <w:bCs/>
          <w:sz w:val="22"/>
          <w:szCs w:val="22"/>
          <w:lang w:val="lt-LT" w:eastAsia="lt-LT"/>
        </w:rPr>
      </w:pPr>
      <w:r w:rsidRPr="00532388">
        <w:rPr>
          <w:rFonts w:eastAsia="TimesNewRoman,Bold"/>
          <w:bCs/>
          <w:sz w:val="22"/>
          <w:szCs w:val="22"/>
          <w:lang w:val="lt-LT" w:eastAsia="lt-LT"/>
        </w:rPr>
        <w:t>PLIVA Hrvatska d.o.o. (PLIVA Croatia Ltd.)</w:t>
      </w:r>
    </w:p>
    <w:p w14:paraId="40C94B2D" w14:textId="77777777" w:rsidR="00530778" w:rsidRDefault="002664E4" w:rsidP="002664E4">
      <w:pPr>
        <w:rPr>
          <w:rFonts w:eastAsia="TimesNewRoman,Bold"/>
          <w:bCs/>
          <w:sz w:val="22"/>
          <w:szCs w:val="22"/>
          <w:lang w:val="lt-LT" w:eastAsia="lt-LT"/>
        </w:rPr>
      </w:pPr>
      <w:r w:rsidRPr="00532388">
        <w:rPr>
          <w:rFonts w:eastAsia="TimesNewRoman,Bold"/>
          <w:bCs/>
          <w:sz w:val="22"/>
          <w:szCs w:val="22"/>
          <w:lang w:val="lt-LT" w:eastAsia="lt-LT"/>
        </w:rPr>
        <w:t>Prilaz baruna Filipovica 25</w:t>
      </w:r>
    </w:p>
    <w:p w14:paraId="0555C8F4" w14:textId="77777777" w:rsidR="00530778" w:rsidRDefault="002664E4" w:rsidP="002664E4">
      <w:pPr>
        <w:rPr>
          <w:rFonts w:eastAsia="TimesNewRoman,Bold"/>
          <w:bCs/>
          <w:sz w:val="22"/>
          <w:szCs w:val="22"/>
          <w:lang w:val="lt-LT" w:eastAsia="lt-LT"/>
        </w:rPr>
      </w:pPr>
      <w:r w:rsidRPr="00532388">
        <w:rPr>
          <w:rFonts w:eastAsia="TimesNewRoman,Bold"/>
          <w:bCs/>
          <w:sz w:val="22"/>
          <w:szCs w:val="22"/>
          <w:lang w:val="lt-LT" w:eastAsia="lt-LT"/>
        </w:rPr>
        <w:t>Zagreb, 10000</w:t>
      </w:r>
    </w:p>
    <w:p w14:paraId="470AF6AE" w14:textId="77777777" w:rsidR="002664E4" w:rsidRPr="00532388" w:rsidRDefault="002664E4" w:rsidP="002664E4">
      <w:pPr>
        <w:rPr>
          <w:noProof/>
          <w:sz w:val="22"/>
          <w:szCs w:val="22"/>
        </w:rPr>
      </w:pPr>
      <w:r w:rsidRPr="00532388">
        <w:rPr>
          <w:rFonts w:eastAsia="TimesNewRoman,Bold"/>
          <w:bCs/>
          <w:sz w:val="22"/>
          <w:szCs w:val="22"/>
          <w:lang w:val="lt-LT" w:eastAsia="lt-LT"/>
        </w:rPr>
        <w:t>Kroatija</w:t>
      </w:r>
    </w:p>
    <w:p w14:paraId="0AA65A57" w14:textId="77777777" w:rsidR="002664E4" w:rsidRDefault="002664E4" w:rsidP="00106F96">
      <w:pPr>
        <w:widowControl w:val="0"/>
        <w:numPr>
          <w:ilvl w:val="12"/>
          <w:numId w:val="0"/>
        </w:numPr>
        <w:tabs>
          <w:tab w:val="left" w:pos="567"/>
        </w:tabs>
        <w:ind w:right="-2"/>
        <w:rPr>
          <w:rFonts w:eastAsia="Times New Roman"/>
          <w:noProof/>
          <w:snapToGrid w:val="0"/>
          <w:sz w:val="22"/>
          <w:szCs w:val="22"/>
          <w:lang w:val="lt-LT" w:eastAsia="en-US"/>
        </w:rPr>
      </w:pPr>
    </w:p>
    <w:p w14:paraId="2AE46903" w14:textId="77777777" w:rsidR="00106F96" w:rsidRPr="00832FC3" w:rsidRDefault="00106F96" w:rsidP="00106F96">
      <w:pPr>
        <w:widowControl w:val="0"/>
        <w:numPr>
          <w:ilvl w:val="12"/>
          <w:numId w:val="0"/>
        </w:numPr>
        <w:tabs>
          <w:tab w:val="left" w:pos="567"/>
        </w:tabs>
        <w:ind w:right="-2"/>
        <w:rPr>
          <w:rFonts w:eastAsia="Times New Roman"/>
          <w:noProof/>
          <w:snapToGrid w:val="0"/>
          <w:sz w:val="22"/>
          <w:szCs w:val="22"/>
          <w:lang w:val="lt-LT" w:eastAsia="en-US"/>
        </w:rPr>
      </w:pPr>
      <w:r w:rsidRPr="00832FC3">
        <w:rPr>
          <w:rFonts w:eastAsia="Times New Roman"/>
          <w:noProof/>
          <w:snapToGrid w:val="0"/>
          <w:sz w:val="22"/>
          <w:szCs w:val="22"/>
          <w:lang w:val="lt-LT" w:eastAsia="en-US"/>
        </w:rPr>
        <w:t>Jeigu apie šį vaistą norite sužinoti daugiau, kreipkitės į vietinį registruotojo atstovą.</w:t>
      </w:r>
    </w:p>
    <w:p w14:paraId="179D74C7" w14:textId="77777777" w:rsidR="00106F96" w:rsidRPr="00832FC3" w:rsidRDefault="00106F96" w:rsidP="00106F96">
      <w:pPr>
        <w:widowControl w:val="0"/>
        <w:tabs>
          <w:tab w:val="left" w:pos="567"/>
        </w:tabs>
        <w:rPr>
          <w:rFonts w:eastAsia="Times New Roman"/>
          <w:noProof/>
          <w:snapToGrid w:val="0"/>
          <w:sz w:val="22"/>
          <w:szCs w:val="22"/>
          <w:lang w:val="lt-LT" w:eastAsia="en-US"/>
        </w:rPr>
      </w:pPr>
    </w:p>
    <w:p w14:paraId="0E95C439" w14:textId="77777777" w:rsidR="002664E4" w:rsidRPr="002664E4" w:rsidRDefault="002664E4" w:rsidP="002664E4">
      <w:pPr>
        <w:rPr>
          <w:rFonts w:eastAsia="Times New Roman"/>
          <w:sz w:val="22"/>
          <w:szCs w:val="22"/>
          <w:lang w:val="lt-LT" w:eastAsia="lt-LT"/>
        </w:rPr>
      </w:pPr>
      <w:r w:rsidRPr="002664E4">
        <w:rPr>
          <w:rFonts w:eastAsia="Times New Roman"/>
          <w:sz w:val="22"/>
          <w:szCs w:val="22"/>
          <w:lang w:val="lt-LT" w:eastAsia="lt-LT"/>
        </w:rPr>
        <w:t>UAB „Sicor Biotech“</w:t>
      </w:r>
    </w:p>
    <w:p w14:paraId="22956E97" w14:textId="77777777" w:rsidR="002664E4" w:rsidRPr="002664E4" w:rsidRDefault="002664E4" w:rsidP="002664E4">
      <w:pPr>
        <w:rPr>
          <w:rFonts w:eastAsia="Times New Roman"/>
          <w:sz w:val="22"/>
          <w:szCs w:val="22"/>
          <w:lang w:val="lt-LT" w:eastAsia="lt-LT"/>
        </w:rPr>
      </w:pPr>
      <w:r w:rsidRPr="002664E4">
        <w:rPr>
          <w:rFonts w:eastAsia="Times New Roman"/>
          <w:sz w:val="22"/>
          <w:szCs w:val="22"/>
          <w:lang w:val="lt-LT" w:eastAsia="lt-LT"/>
        </w:rPr>
        <w:lastRenderedPageBreak/>
        <w:t>Molėtų pl. 5</w:t>
      </w:r>
    </w:p>
    <w:p w14:paraId="59C04CF4" w14:textId="77777777" w:rsidR="00106F96" w:rsidRPr="00832FC3" w:rsidRDefault="002664E4" w:rsidP="002664E4">
      <w:pPr>
        <w:rPr>
          <w:rFonts w:eastAsia="Times New Roman"/>
          <w:sz w:val="22"/>
          <w:szCs w:val="22"/>
          <w:lang w:val="lt-LT" w:eastAsia="lt-LT"/>
        </w:rPr>
      </w:pPr>
      <w:r w:rsidRPr="002664E4">
        <w:rPr>
          <w:rFonts w:eastAsia="Times New Roman"/>
          <w:sz w:val="22"/>
          <w:szCs w:val="22"/>
          <w:lang w:val="lt-LT" w:eastAsia="lt-LT"/>
        </w:rPr>
        <w:t>LT-08409 Vilnius</w:t>
      </w:r>
    </w:p>
    <w:p w14:paraId="41550C06" w14:textId="77777777" w:rsidR="00106F96" w:rsidRPr="00832FC3" w:rsidRDefault="00106F96" w:rsidP="00106F96">
      <w:pPr>
        <w:widowControl w:val="0"/>
        <w:numPr>
          <w:ilvl w:val="12"/>
          <w:numId w:val="0"/>
        </w:numPr>
        <w:tabs>
          <w:tab w:val="left" w:pos="567"/>
        </w:tabs>
        <w:ind w:right="-2"/>
        <w:rPr>
          <w:rFonts w:eastAsia="Times New Roman"/>
          <w:snapToGrid w:val="0"/>
          <w:sz w:val="22"/>
          <w:szCs w:val="22"/>
          <w:lang w:val="lt-LT" w:eastAsia="en-US"/>
        </w:rPr>
      </w:pPr>
      <w:r w:rsidRPr="00832FC3">
        <w:rPr>
          <w:rFonts w:eastAsia="Times New Roman"/>
          <w:sz w:val="22"/>
          <w:szCs w:val="22"/>
          <w:lang w:val="lt-LT" w:eastAsia="lt-LT"/>
        </w:rPr>
        <w:t>Tel. + 370 5 266 02 03</w:t>
      </w:r>
    </w:p>
    <w:p w14:paraId="76BB24C8" w14:textId="77777777" w:rsidR="00106F96" w:rsidRPr="00832FC3" w:rsidRDefault="00106F96" w:rsidP="00106F96">
      <w:pPr>
        <w:widowControl w:val="0"/>
        <w:numPr>
          <w:ilvl w:val="12"/>
          <w:numId w:val="0"/>
        </w:numPr>
        <w:tabs>
          <w:tab w:val="left" w:pos="567"/>
        </w:tabs>
        <w:ind w:right="-2"/>
        <w:rPr>
          <w:rFonts w:eastAsia="Times New Roman"/>
          <w:b/>
          <w:snapToGrid w:val="0"/>
          <w:sz w:val="22"/>
          <w:szCs w:val="22"/>
          <w:lang w:val="lt-LT" w:eastAsia="en-US"/>
        </w:rPr>
      </w:pPr>
    </w:p>
    <w:p w14:paraId="047F0E5C" w14:textId="77777777" w:rsidR="00106F96" w:rsidRPr="00832FC3" w:rsidRDefault="00106F96" w:rsidP="00106F96">
      <w:pPr>
        <w:widowControl w:val="0"/>
        <w:numPr>
          <w:ilvl w:val="12"/>
          <w:numId w:val="0"/>
        </w:numPr>
        <w:tabs>
          <w:tab w:val="left" w:pos="567"/>
        </w:tabs>
        <w:ind w:right="-2"/>
        <w:rPr>
          <w:rFonts w:eastAsia="Times New Roman"/>
          <w:snapToGrid w:val="0"/>
          <w:sz w:val="22"/>
          <w:szCs w:val="22"/>
          <w:lang w:val="lt-LT" w:eastAsia="en-US"/>
        </w:rPr>
      </w:pPr>
      <w:r w:rsidRPr="00832FC3">
        <w:rPr>
          <w:rFonts w:eastAsia="Times New Roman"/>
          <w:b/>
          <w:snapToGrid w:val="0"/>
          <w:sz w:val="22"/>
          <w:szCs w:val="22"/>
          <w:lang w:val="lt-LT" w:eastAsia="en-US"/>
        </w:rPr>
        <w:t>Šis vaistas EEE valstybėse narėse registruotas tokiais pavadinimais</w:t>
      </w:r>
      <w:r w:rsidRPr="00832FC3">
        <w:rPr>
          <w:rFonts w:eastAsia="Times New Roman"/>
          <w:snapToGrid w:val="0"/>
          <w:sz w:val="22"/>
          <w:szCs w:val="22"/>
          <w:lang w:val="lt-LT" w:eastAsia="en-US"/>
        </w:rPr>
        <w:t>:</w:t>
      </w:r>
    </w:p>
    <w:p w14:paraId="1956A316" w14:textId="77777777" w:rsidR="00106F96" w:rsidRDefault="002664E4" w:rsidP="00C67A50">
      <w:pPr>
        <w:autoSpaceDE w:val="0"/>
        <w:autoSpaceDN w:val="0"/>
        <w:adjustRightInd w:val="0"/>
        <w:rPr>
          <w:rFonts w:eastAsia="TimesNewRoman"/>
          <w:sz w:val="22"/>
          <w:szCs w:val="22"/>
          <w:lang w:val="lt-LT" w:eastAsia="lt-LT"/>
        </w:rPr>
      </w:pPr>
      <w:r w:rsidRPr="00B003FD">
        <w:rPr>
          <w:rFonts w:eastAsia="Times New Roman"/>
          <w:b/>
          <w:snapToGrid w:val="0"/>
          <w:sz w:val="22"/>
          <w:szCs w:val="22"/>
          <w:lang w:val="lt-LT" w:eastAsia="en-US"/>
        </w:rPr>
        <w:t>Belgija:</w:t>
      </w:r>
      <w:r w:rsidRPr="00B003FD">
        <w:rPr>
          <w:rFonts w:eastAsia="Times New Roman"/>
          <w:snapToGrid w:val="0"/>
          <w:sz w:val="22"/>
          <w:szCs w:val="22"/>
          <w:lang w:val="lt-LT" w:eastAsia="en-US"/>
        </w:rPr>
        <w:t xml:space="preserve"> </w:t>
      </w:r>
      <w:r w:rsidRPr="00B003FD">
        <w:rPr>
          <w:sz w:val="22"/>
          <w:szCs w:val="22"/>
          <w:lang w:val="lt-LT" w:eastAsia="lt-LT"/>
        </w:rPr>
        <w:t xml:space="preserve">Darunavir Teva 600 mg filmomhulde tabletten/comprimés pelliculés/Filmtabletten; </w:t>
      </w:r>
      <w:r w:rsidRPr="00B003FD">
        <w:rPr>
          <w:b/>
          <w:sz w:val="22"/>
          <w:szCs w:val="22"/>
          <w:lang w:val="lt-LT" w:eastAsia="lt-LT"/>
        </w:rPr>
        <w:t>Kipras:</w:t>
      </w:r>
      <w:r w:rsidRPr="00B003FD">
        <w:rPr>
          <w:sz w:val="22"/>
          <w:szCs w:val="22"/>
          <w:lang w:val="lt-LT" w:eastAsia="lt-LT"/>
        </w:rPr>
        <w:t xml:space="preserve"> Darunavir/Teva 600 mg Επικαλυμμένα με λεπτό υμένιο δισκία;</w:t>
      </w:r>
      <w:r w:rsidRPr="00B003FD">
        <w:rPr>
          <w:b/>
          <w:sz w:val="22"/>
          <w:szCs w:val="22"/>
          <w:lang w:val="lt-LT" w:eastAsia="lt-LT"/>
        </w:rPr>
        <w:t xml:space="preserve"> Čekija:</w:t>
      </w:r>
      <w:r w:rsidRPr="00B003FD">
        <w:rPr>
          <w:sz w:val="22"/>
          <w:szCs w:val="22"/>
          <w:lang w:val="lt-LT" w:eastAsia="lt-LT"/>
        </w:rPr>
        <w:t xml:space="preserve"> Darunavir Teva 600 mg potahované tablety; </w:t>
      </w:r>
      <w:r w:rsidRPr="00B003FD">
        <w:rPr>
          <w:b/>
          <w:sz w:val="22"/>
          <w:szCs w:val="22"/>
          <w:lang w:val="lt-LT" w:eastAsia="lt-LT"/>
        </w:rPr>
        <w:t>Vokietija:</w:t>
      </w:r>
      <w:r w:rsidRPr="00B003FD">
        <w:rPr>
          <w:sz w:val="22"/>
          <w:szCs w:val="22"/>
          <w:lang w:val="lt-LT" w:eastAsia="lt-LT"/>
        </w:rPr>
        <w:t xml:space="preserve"> Darunavir-ratiopharm 600 mg Filmtabletten; </w:t>
      </w:r>
      <w:r w:rsidR="0048278E" w:rsidRPr="00B003FD">
        <w:rPr>
          <w:b/>
          <w:sz w:val="22"/>
          <w:szCs w:val="22"/>
          <w:lang w:val="lt-LT" w:eastAsia="lt-LT"/>
        </w:rPr>
        <w:t>Danija, Estija</w:t>
      </w:r>
      <w:r w:rsidR="00B003FD">
        <w:rPr>
          <w:b/>
          <w:sz w:val="22"/>
          <w:szCs w:val="22"/>
          <w:lang w:val="lt-LT" w:eastAsia="lt-LT"/>
        </w:rPr>
        <w:t>,</w:t>
      </w:r>
      <w:r w:rsidR="00B003FD" w:rsidRPr="00B003FD">
        <w:rPr>
          <w:b/>
          <w:sz w:val="22"/>
          <w:szCs w:val="22"/>
          <w:lang w:val="lt-LT" w:eastAsia="lt-LT"/>
        </w:rPr>
        <w:t xml:space="preserve"> Lenkija, Portugalija</w:t>
      </w:r>
      <w:r w:rsidR="0048278E" w:rsidRPr="00B003FD">
        <w:rPr>
          <w:b/>
          <w:sz w:val="22"/>
          <w:szCs w:val="22"/>
          <w:lang w:val="lt-LT" w:eastAsia="lt-LT"/>
        </w:rPr>
        <w:t>:</w:t>
      </w:r>
      <w:r w:rsidR="0048278E" w:rsidRPr="00B003FD">
        <w:rPr>
          <w:sz w:val="22"/>
          <w:szCs w:val="22"/>
          <w:lang w:val="lt-LT" w:eastAsia="lt-LT"/>
        </w:rPr>
        <w:t xml:space="preserve"> Darunavir Teva; </w:t>
      </w:r>
      <w:r w:rsidR="0048278E" w:rsidRPr="00B003FD">
        <w:rPr>
          <w:b/>
          <w:sz w:val="22"/>
          <w:szCs w:val="22"/>
          <w:lang w:val="lt-LT" w:eastAsia="lt-LT"/>
        </w:rPr>
        <w:t>Graikija:</w:t>
      </w:r>
      <w:r w:rsidR="0048278E" w:rsidRPr="00B003FD">
        <w:rPr>
          <w:sz w:val="22"/>
          <w:szCs w:val="22"/>
          <w:lang w:val="lt-LT" w:eastAsia="lt-LT"/>
        </w:rPr>
        <w:t xml:space="preserve"> Darunavir/Teva 600 mg Επικαλυμμένα με λεπτό υμένιο Δισκία; </w:t>
      </w:r>
      <w:r w:rsidR="0048278E" w:rsidRPr="00B003FD">
        <w:rPr>
          <w:b/>
          <w:sz w:val="22"/>
          <w:szCs w:val="22"/>
          <w:lang w:val="lt-LT" w:eastAsia="lt-LT"/>
        </w:rPr>
        <w:t>Ispanija:</w:t>
      </w:r>
      <w:r w:rsidR="0048278E" w:rsidRPr="00B003FD">
        <w:rPr>
          <w:sz w:val="22"/>
          <w:szCs w:val="22"/>
          <w:lang w:val="lt-LT" w:eastAsia="lt-LT"/>
        </w:rPr>
        <w:t xml:space="preserve"> </w:t>
      </w:r>
      <w:r w:rsidR="00C67A50" w:rsidRPr="00B003FD">
        <w:rPr>
          <w:rFonts w:eastAsia="TimesNewRoman"/>
          <w:sz w:val="22"/>
          <w:szCs w:val="22"/>
          <w:lang w:val="lt-LT" w:eastAsia="lt-LT"/>
        </w:rPr>
        <w:t xml:space="preserve">Teva 600 mg comprimidos </w:t>
      </w:r>
      <w:r w:rsidR="0048278E" w:rsidRPr="00B003FD">
        <w:rPr>
          <w:rFonts w:eastAsia="TimesNewRoman"/>
          <w:sz w:val="22"/>
          <w:szCs w:val="22"/>
          <w:lang w:val="lt-LT" w:eastAsia="lt-LT"/>
        </w:rPr>
        <w:t>recubiertos con pelí</w:t>
      </w:r>
      <w:r w:rsidR="00C67A50" w:rsidRPr="00B003FD">
        <w:rPr>
          <w:rFonts w:eastAsia="TimesNewRoman"/>
          <w:sz w:val="22"/>
          <w:szCs w:val="22"/>
          <w:lang w:val="lt-LT" w:eastAsia="lt-LT"/>
        </w:rPr>
        <w:t xml:space="preserve">cula EFG </w:t>
      </w:r>
      <w:r w:rsidR="0048278E" w:rsidRPr="00B003FD">
        <w:rPr>
          <w:rFonts w:eastAsia="TimesNewRoman"/>
          <w:sz w:val="22"/>
          <w:szCs w:val="22"/>
          <w:lang w:val="lt-LT" w:eastAsia="lt-LT"/>
        </w:rPr>
        <w:t>Teva</w:t>
      </w:r>
      <w:r w:rsidR="00D61976" w:rsidRPr="00B003FD">
        <w:rPr>
          <w:rFonts w:eastAsia="TimesNewRoman"/>
          <w:sz w:val="22"/>
          <w:szCs w:val="22"/>
          <w:lang w:val="lt-LT" w:eastAsia="lt-LT"/>
        </w:rPr>
        <w:t xml:space="preserve">, </w:t>
      </w:r>
      <w:r w:rsidR="00D61976" w:rsidRPr="00B003FD">
        <w:rPr>
          <w:b/>
          <w:sz w:val="22"/>
          <w:szCs w:val="22"/>
          <w:lang w:val="lt-LT" w:eastAsia="lt-LT"/>
        </w:rPr>
        <w:t>Prancūzija:</w:t>
      </w:r>
      <w:r w:rsidR="00D61976" w:rsidRPr="00B003FD">
        <w:rPr>
          <w:sz w:val="22"/>
          <w:szCs w:val="22"/>
          <w:lang w:val="lt-LT" w:eastAsia="lt-LT"/>
        </w:rPr>
        <w:t xml:space="preserve"> DARUNAVIR TEVA 600 mg comprimé pelliculé;</w:t>
      </w:r>
      <w:r w:rsidR="00B003FD" w:rsidRPr="00B003FD">
        <w:rPr>
          <w:sz w:val="22"/>
          <w:szCs w:val="22"/>
          <w:lang w:val="lt-LT" w:eastAsia="lt-LT"/>
        </w:rPr>
        <w:t xml:space="preserve"> </w:t>
      </w:r>
      <w:r w:rsidR="00B003FD" w:rsidRPr="00B003FD">
        <w:rPr>
          <w:b/>
          <w:sz w:val="22"/>
          <w:szCs w:val="22"/>
          <w:lang w:val="lt-LT" w:eastAsia="lt-LT"/>
        </w:rPr>
        <w:t>Kroatija:</w:t>
      </w:r>
      <w:r w:rsidR="00B003FD" w:rsidRPr="00B003FD">
        <w:rPr>
          <w:sz w:val="22"/>
          <w:szCs w:val="22"/>
          <w:lang w:val="lt-LT" w:eastAsia="lt-LT"/>
        </w:rPr>
        <w:t xml:space="preserve"> Darunavir Pliva 600 mg filmom obložene tablete; </w:t>
      </w:r>
      <w:r w:rsidR="00B003FD" w:rsidRPr="00B003FD">
        <w:rPr>
          <w:b/>
          <w:sz w:val="22"/>
          <w:szCs w:val="22"/>
          <w:lang w:val="lt-LT" w:eastAsia="lt-LT"/>
        </w:rPr>
        <w:t>Airija:</w:t>
      </w:r>
      <w:r w:rsidR="00B003FD" w:rsidRPr="00B003FD">
        <w:rPr>
          <w:sz w:val="22"/>
          <w:szCs w:val="22"/>
          <w:lang w:val="lt-LT" w:eastAsia="lt-LT"/>
        </w:rPr>
        <w:t xml:space="preserve"> Darunavir Teva 600 mg Filmcoated Tablets; </w:t>
      </w:r>
      <w:r w:rsidR="00B003FD" w:rsidRPr="00B003FD">
        <w:rPr>
          <w:b/>
          <w:sz w:val="22"/>
          <w:szCs w:val="22"/>
          <w:lang w:val="lt-LT" w:eastAsia="lt-LT"/>
        </w:rPr>
        <w:t>Italija:</w:t>
      </w:r>
      <w:r w:rsidR="00B003FD" w:rsidRPr="00B003FD">
        <w:rPr>
          <w:sz w:val="22"/>
          <w:szCs w:val="22"/>
          <w:lang w:val="lt-LT" w:eastAsia="lt-LT"/>
        </w:rPr>
        <w:t xml:space="preserve"> DARUNAVIR TEVA; </w:t>
      </w:r>
      <w:r w:rsidR="00B003FD" w:rsidRPr="00B003FD">
        <w:rPr>
          <w:b/>
          <w:sz w:val="22"/>
          <w:szCs w:val="22"/>
          <w:lang w:val="lt-LT" w:eastAsia="lt-LT"/>
        </w:rPr>
        <w:t>Latvija:</w:t>
      </w:r>
      <w:r w:rsidR="00B003FD" w:rsidRPr="00B003FD">
        <w:rPr>
          <w:sz w:val="22"/>
          <w:szCs w:val="22"/>
          <w:lang w:val="lt-LT" w:eastAsia="lt-LT"/>
        </w:rPr>
        <w:t xml:space="preserve"> Darunavir Teva 600 mg apvalkotās tabletes; </w:t>
      </w:r>
      <w:r w:rsidR="00B003FD" w:rsidRPr="00B003FD">
        <w:rPr>
          <w:b/>
          <w:sz w:val="22"/>
          <w:szCs w:val="22"/>
          <w:lang w:val="lt-LT" w:eastAsia="lt-LT"/>
        </w:rPr>
        <w:t>Malta:</w:t>
      </w:r>
      <w:r w:rsidR="00B003FD" w:rsidRPr="00B003FD">
        <w:rPr>
          <w:sz w:val="22"/>
          <w:szCs w:val="22"/>
          <w:lang w:val="lt-LT" w:eastAsia="lt-LT"/>
        </w:rPr>
        <w:t xml:space="preserve"> Darunavir Teva 600 mg Filmcoated Tablets; </w:t>
      </w:r>
      <w:r w:rsidR="00B003FD" w:rsidRPr="00B003FD">
        <w:rPr>
          <w:b/>
          <w:sz w:val="22"/>
          <w:szCs w:val="22"/>
          <w:lang w:val="lt-LT" w:eastAsia="lt-LT"/>
        </w:rPr>
        <w:t>Nyderlandai:</w:t>
      </w:r>
      <w:r w:rsidR="00B003FD" w:rsidRPr="00B003FD">
        <w:rPr>
          <w:sz w:val="22"/>
          <w:szCs w:val="22"/>
          <w:lang w:val="lt-LT" w:eastAsia="lt-LT"/>
        </w:rPr>
        <w:t xml:space="preserve"> Darunavir Teva 600</w:t>
      </w:r>
      <w:r w:rsidR="00B003FD">
        <w:rPr>
          <w:sz w:val="22"/>
          <w:szCs w:val="22"/>
          <w:lang w:val="lt-LT" w:eastAsia="lt-LT"/>
        </w:rPr>
        <w:t xml:space="preserve"> mg, filmomhulde tabletten; </w:t>
      </w:r>
      <w:r w:rsidR="00B003FD" w:rsidRPr="00B003FD">
        <w:rPr>
          <w:b/>
          <w:sz w:val="22"/>
          <w:szCs w:val="22"/>
          <w:lang w:val="lt-LT" w:eastAsia="lt-LT"/>
        </w:rPr>
        <w:t>Rumunija:</w:t>
      </w:r>
      <w:r w:rsidR="00B003FD" w:rsidRPr="00B003FD">
        <w:rPr>
          <w:sz w:val="22"/>
          <w:szCs w:val="22"/>
          <w:lang w:val="lt-LT" w:eastAsia="lt-LT"/>
        </w:rPr>
        <w:t xml:space="preserve"> DARUNAVIR TEVA 600 mg comprimate filmate; </w:t>
      </w:r>
      <w:r w:rsidR="00B003FD" w:rsidRPr="00B003FD">
        <w:rPr>
          <w:b/>
          <w:sz w:val="22"/>
          <w:szCs w:val="22"/>
          <w:lang w:val="lt-LT" w:eastAsia="lt-LT"/>
        </w:rPr>
        <w:t>Jungtinė Karalystė:</w:t>
      </w:r>
      <w:r w:rsidR="00B003FD" w:rsidRPr="00B003FD">
        <w:rPr>
          <w:sz w:val="22"/>
          <w:szCs w:val="22"/>
          <w:lang w:val="lt-LT" w:eastAsia="lt-LT"/>
        </w:rPr>
        <w:t xml:space="preserve"> </w:t>
      </w:r>
      <w:r w:rsidR="00B003FD" w:rsidRPr="00B003FD">
        <w:rPr>
          <w:rFonts w:eastAsia="TimesNewRoman"/>
          <w:sz w:val="22"/>
          <w:szCs w:val="22"/>
          <w:lang w:val="lt-LT" w:eastAsia="lt-LT"/>
        </w:rPr>
        <w:t>Darunavir 600 mg Film-coated Tablets</w:t>
      </w:r>
      <w:r w:rsidR="00B003FD">
        <w:rPr>
          <w:rFonts w:eastAsia="TimesNewRoman"/>
          <w:sz w:val="22"/>
          <w:szCs w:val="22"/>
          <w:lang w:val="lt-LT" w:eastAsia="lt-LT"/>
        </w:rPr>
        <w:t>.</w:t>
      </w:r>
    </w:p>
    <w:p w14:paraId="2BBB374B" w14:textId="77777777" w:rsidR="00103DAA" w:rsidRPr="00B003FD" w:rsidRDefault="00103DAA" w:rsidP="00C67A50">
      <w:pPr>
        <w:autoSpaceDE w:val="0"/>
        <w:autoSpaceDN w:val="0"/>
        <w:adjustRightInd w:val="0"/>
        <w:rPr>
          <w:rFonts w:eastAsia="TimesNewRoman"/>
          <w:sz w:val="22"/>
          <w:szCs w:val="22"/>
          <w:lang w:val="lt-LT" w:eastAsia="lt-LT"/>
        </w:rPr>
      </w:pPr>
    </w:p>
    <w:p w14:paraId="484509D8" w14:textId="77777777" w:rsidR="00106F96" w:rsidRPr="00B003FD" w:rsidRDefault="00106F96" w:rsidP="00106F96">
      <w:pPr>
        <w:rPr>
          <w:sz w:val="22"/>
          <w:szCs w:val="22"/>
          <w:lang w:val="lt-LT"/>
        </w:rPr>
      </w:pPr>
    </w:p>
    <w:p w14:paraId="1B9775E4" w14:textId="36857D2E" w:rsidR="00106F96" w:rsidRPr="00832FC3" w:rsidRDefault="00106F96" w:rsidP="00106F96">
      <w:pPr>
        <w:rPr>
          <w:b/>
          <w:sz w:val="22"/>
          <w:szCs w:val="22"/>
          <w:lang w:val="lt-LT"/>
        </w:rPr>
      </w:pPr>
      <w:r w:rsidRPr="00832FC3">
        <w:rPr>
          <w:b/>
          <w:sz w:val="22"/>
          <w:szCs w:val="22"/>
          <w:lang w:val="lt-LT"/>
        </w:rPr>
        <w:t>Šis pakuotės lapelis paskut</w:t>
      </w:r>
      <w:r w:rsidR="00F05FE6">
        <w:rPr>
          <w:b/>
          <w:sz w:val="22"/>
          <w:szCs w:val="22"/>
          <w:lang w:val="lt-LT"/>
        </w:rPr>
        <w:t>inį kartą peržiūrėtas 2017-01-26</w:t>
      </w:r>
    </w:p>
    <w:p w14:paraId="1C927E2D" w14:textId="77777777" w:rsidR="00106F96" w:rsidRDefault="00106F96" w:rsidP="00106F96">
      <w:pPr>
        <w:rPr>
          <w:sz w:val="22"/>
          <w:szCs w:val="22"/>
          <w:lang w:val="lt-LT"/>
        </w:rPr>
      </w:pPr>
    </w:p>
    <w:p w14:paraId="258D0E07" w14:textId="77777777" w:rsidR="00F05FE6" w:rsidRPr="00F05FE6" w:rsidRDefault="00F05FE6" w:rsidP="00106F96">
      <w:pPr>
        <w:rPr>
          <w:sz w:val="22"/>
          <w:szCs w:val="22"/>
          <w:lang w:val="lt-LT"/>
        </w:rPr>
      </w:pPr>
    </w:p>
    <w:p w14:paraId="3AFF4FBA" w14:textId="77777777" w:rsidR="00106F96" w:rsidRPr="00832FC3" w:rsidRDefault="00106F96" w:rsidP="00106F96">
      <w:pPr>
        <w:rPr>
          <w:sz w:val="22"/>
          <w:szCs w:val="22"/>
          <w:lang w:val="lt-LT"/>
        </w:rPr>
      </w:pPr>
      <w:r w:rsidRPr="00832FC3">
        <w:rPr>
          <w:sz w:val="22"/>
          <w:szCs w:val="22"/>
          <w:lang w:val="lt-LT"/>
        </w:rPr>
        <w:t>Išsami informacija apie šį vaistą pateikiama Valstybinės vaistų kontrolės tarnybos prie Lietuvos Respublikos sveikatos apsaugos ministerijos tinklalapyje</w:t>
      </w:r>
      <w:r w:rsidRPr="00832FC3">
        <w:rPr>
          <w:i/>
          <w:sz w:val="22"/>
          <w:szCs w:val="22"/>
          <w:lang w:val="lt-LT"/>
        </w:rPr>
        <w:t xml:space="preserve"> </w:t>
      </w:r>
      <w:hyperlink r:id="rId14" w:history="1">
        <w:r w:rsidRPr="00832FC3">
          <w:rPr>
            <w:rStyle w:val="Hipersaitas"/>
            <w:rFonts w:eastAsia="SimSun"/>
            <w:sz w:val="22"/>
            <w:szCs w:val="22"/>
            <w:lang w:val="lt-LT"/>
          </w:rPr>
          <w:t>http://www.vvkt.lt/</w:t>
        </w:r>
      </w:hyperlink>
    </w:p>
    <w:p w14:paraId="6FA26211" w14:textId="77777777" w:rsidR="00106F96" w:rsidRPr="00532388" w:rsidRDefault="00106F96" w:rsidP="00106F96">
      <w:pPr>
        <w:rPr>
          <w:noProof/>
          <w:szCs w:val="22"/>
        </w:rPr>
      </w:pPr>
    </w:p>
    <w:p w14:paraId="43991BAA" w14:textId="77777777" w:rsidR="001A7268" w:rsidRPr="004509B9" w:rsidRDefault="001A7268" w:rsidP="00530778">
      <w:pPr>
        <w:rPr>
          <w:lang w:val="lt-LT"/>
        </w:rPr>
      </w:pPr>
    </w:p>
    <w:sectPr w:rsidR="001A7268" w:rsidRPr="004509B9" w:rsidSect="00E4759F">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DB1E6" w14:textId="77777777" w:rsidR="00A40427" w:rsidRDefault="00A40427">
      <w:r>
        <w:separator/>
      </w:r>
    </w:p>
  </w:endnote>
  <w:endnote w:type="continuationSeparator" w:id="0">
    <w:p w14:paraId="4D1FF1B3" w14:textId="77777777" w:rsidR="00A40427" w:rsidRDefault="00A40427">
      <w:r>
        <w:continuationSeparator/>
      </w:r>
    </w:p>
  </w:endnote>
  <w:endnote w:type="continuationNotice" w:id="1">
    <w:p w14:paraId="4CF01907" w14:textId="77777777" w:rsidR="00A40427" w:rsidRDefault="00A404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9" w:csb1="00000000"/>
  </w:font>
  <w:font w:name="TimesNewRoman,Italic">
    <w:altName w:val="Times New Roman"/>
    <w:panose1 w:val="00000000000000000000"/>
    <w:charset w:val="EE"/>
    <w:family w:val="auto"/>
    <w:notTrueType/>
    <w:pitch w:val="default"/>
    <w:sig w:usb0="00000005" w:usb1="00000000" w:usb2="00000000" w:usb3="00000000" w:csb0="0000008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8F680" w14:textId="77777777" w:rsidR="003F64AE" w:rsidRPr="00F05FE6" w:rsidRDefault="003F64AE">
    <w:pPr>
      <w:pStyle w:val="Porat"/>
      <w:jc w:val="right"/>
      <w:rPr>
        <w:sz w:val="22"/>
      </w:rPr>
    </w:pPr>
    <w:r w:rsidRPr="00F05FE6">
      <w:rPr>
        <w:sz w:val="22"/>
      </w:rPr>
      <w:fldChar w:fldCharType="begin"/>
    </w:r>
    <w:r w:rsidRPr="00F05FE6">
      <w:rPr>
        <w:sz w:val="22"/>
      </w:rPr>
      <w:instrText xml:space="preserve"> PAGE   \* MERGEFORMAT </w:instrText>
    </w:r>
    <w:r w:rsidRPr="00F05FE6">
      <w:rPr>
        <w:sz w:val="22"/>
      </w:rPr>
      <w:fldChar w:fldCharType="separate"/>
    </w:r>
    <w:r w:rsidR="008625E3">
      <w:rPr>
        <w:noProof/>
        <w:sz w:val="22"/>
      </w:rPr>
      <w:t>38</w:t>
    </w:r>
    <w:r w:rsidRPr="00F05FE6">
      <w:rPr>
        <w:noProof/>
        <w:sz w:val="22"/>
      </w:rPr>
      <w:fldChar w:fldCharType="end"/>
    </w:r>
  </w:p>
  <w:p w14:paraId="4F955D1F" w14:textId="77777777" w:rsidR="003F64AE" w:rsidRDefault="003F64A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E9987" w14:textId="77777777" w:rsidR="00A40427" w:rsidRDefault="00A40427">
      <w:r>
        <w:separator/>
      </w:r>
    </w:p>
  </w:footnote>
  <w:footnote w:type="continuationSeparator" w:id="0">
    <w:p w14:paraId="1C97C1BA" w14:textId="77777777" w:rsidR="00A40427" w:rsidRDefault="00A40427">
      <w:r>
        <w:continuationSeparator/>
      </w:r>
    </w:p>
  </w:footnote>
  <w:footnote w:type="continuationNotice" w:id="1">
    <w:p w14:paraId="79B4B45D" w14:textId="77777777" w:rsidR="00A40427" w:rsidRDefault="00A4042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961024"/>
    <w:multiLevelType w:val="hybridMultilevel"/>
    <w:tmpl w:val="CAA47E66"/>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03FCE"/>
    <w:multiLevelType w:val="hybridMultilevel"/>
    <w:tmpl w:val="6568A0D2"/>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32D15"/>
    <w:multiLevelType w:val="multilevel"/>
    <w:tmpl w:val="6174295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46F7CC5"/>
    <w:multiLevelType w:val="hybridMultilevel"/>
    <w:tmpl w:val="6464D574"/>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DF727C"/>
    <w:multiLevelType w:val="multilevel"/>
    <w:tmpl w:val="7AD8146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2B3603D2"/>
    <w:multiLevelType w:val="hybridMultilevel"/>
    <w:tmpl w:val="D4D204B8"/>
    <w:lvl w:ilvl="0" w:tplc="C6042084">
      <w:numFmt w:val="bullet"/>
      <w:lvlText w:val=""/>
      <w:lvlJc w:val="left"/>
      <w:pPr>
        <w:ind w:left="720" w:hanging="360"/>
      </w:pPr>
      <w:rPr>
        <w:rFonts w:ascii="Times New Roman" w:eastAsia="TimesNewRoman,Bold"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399C6486"/>
    <w:multiLevelType w:val="hybridMultilevel"/>
    <w:tmpl w:val="626A00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E342FF"/>
    <w:multiLevelType w:val="hybridMultilevel"/>
    <w:tmpl w:val="FD8A3E9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A61BC"/>
    <w:multiLevelType w:val="hybridMultilevel"/>
    <w:tmpl w:val="4BC2E5E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CF448C"/>
    <w:multiLevelType w:val="hybridMultilevel"/>
    <w:tmpl w:val="D3F27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F22F02"/>
    <w:multiLevelType w:val="hybridMultilevel"/>
    <w:tmpl w:val="B10479FA"/>
    <w:lvl w:ilvl="0" w:tplc="E6E232E0">
      <w:start w:val="2"/>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B677A67"/>
    <w:multiLevelType w:val="hybridMultilevel"/>
    <w:tmpl w:val="84E0187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7B4BAD"/>
    <w:multiLevelType w:val="hybridMultilevel"/>
    <w:tmpl w:val="90220EAC"/>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7" w15:restartNumberingAfterBreak="0">
    <w:nsid w:val="58E64368"/>
    <w:multiLevelType w:val="multilevel"/>
    <w:tmpl w:val="42367036"/>
    <w:lvl w:ilvl="0">
      <w:start w:val="4"/>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606B35DA"/>
    <w:multiLevelType w:val="hybridMultilevel"/>
    <w:tmpl w:val="E5881568"/>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870EE6"/>
    <w:multiLevelType w:val="hybridMultilevel"/>
    <w:tmpl w:val="486E209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1" w15:restartNumberingAfterBreak="0">
    <w:nsid w:val="65FE0125"/>
    <w:multiLevelType w:val="hybridMultilevel"/>
    <w:tmpl w:val="27660284"/>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7BB4097C"/>
    <w:multiLevelType w:val="hybridMultilevel"/>
    <w:tmpl w:val="C4906BD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6"/>
  </w:num>
  <w:num w:numId="4">
    <w:abstractNumId w:val="10"/>
  </w:num>
  <w:num w:numId="5">
    <w:abstractNumId w:val="23"/>
  </w:num>
  <w:num w:numId="6">
    <w:abstractNumId w:val="13"/>
  </w:num>
  <w:num w:numId="7">
    <w:abstractNumId w:val="11"/>
  </w:num>
  <w:num w:numId="8">
    <w:abstractNumId w:val="2"/>
  </w:num>
  <w:num w:numId="9">
    <w:abstractNumId w:val="20"/>
  </w:num>
  <w:num w:numId="10">
    <w:abstractNumId w:val="18"/>
  </w:num>
  <w:num w:numId="11">
    <w:abstractNumId w:val="4"/>
  </w:num>
  <w:num w:numId="12">
    <w:abstractNumId w:val="19"/>
  </w:num>
  <w:num w:numId="13">
    <w:abstractNumId w:val="15"/>
  </w:num>
  <w:num w:numId="14">
    <w:abstractNumId w:val="9"/>
  </w:num>
  <w:num w:numId="15">
    <w:abstractNumId w:val="12"/>
  </w:num>
  <w:num w:numId="16">
    <w:abstractNumId w:val="1"/>
  </w:num>
  <w:num w:numId="17">
    <w:abstractNumId w:val="17"/>
  </w:num>
  <w:num w:numId="18">
    <w:abstractNumId w:val="3"/>
  </w:num>
  <w:num w:numId="19">
    <w:abstractNumId w:val="5"/>
  </w:num>
  <w:num w:numId="20">
    <w:abstractNumId w:val="16"/>
  </w:num>
  <w:num w:numId="21">
    <w:abstractNumId w:val="22"/>
  </w:num>
  <w:num w:numId="22">
    <w:abstractNumId w:val="0"/>
    <w:lvlOverride w:ilvl="0">
      <w:lvl w:ilvl="0">
        <w:start w:val="1"/>
        <w:numFmt w:val="bullet"/>
        <w:lvlText w:val="-"/>
        <w:legacy w:legacy="1" w:legacySpace="0" w:legacyIndent="360"/>
        <w:lvlJc w:val="left"/>
        <w:pPr>
          <w:ind w:left="360" w:hanging="360"/>
        </w:pPr>
      </w:lvl>
    </w:lvlOverride>
  </w:num>
  <w:num w:numId="23">
    <w:abstractNumId w:val="7"/>
  </w:num>
  <w:num w:numId="24">
    <w:abstractNumId w:val="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readOnly" w:enforcement="1" w:cryptProviderType="rsaAES" w:cryptAlgorithmClass="hash" w:cryptAlgorithmType="typeAny" w:cryptAlgorithmSid="14" w:cryptSpinCount="100000" w:hash="WQjrzN/dgIeslS1SHNHJ180XaL04FcjDL3Fuv7vV/PyaH2jdOIqANM+fPBgGmYhbfvTUnCFhOMh6/j6ABXuukw==" w:salt="QNCDcZrAJ+R5LbpBKcVnV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48"/>
    <w:rsid w:val="00021ED3"/>
    <w:rsid w:val="00025403"/>
    <w:rsid w:val="00026AAE"/>
    <w:rsid w:val="000311F3"/>
    <w:rsid w:val="0003354D"/>
    <w:rsid w:val="000514E0"/>
    <w:rsid w:val="0006136F"/>
    <w:rsid w:val="000810B1"/>
    <w:rsid w:val="000A47B4"/>
    <w:rsid w:val="000D6BCB"/>
    <w:rsid w:val="001002DC"/>
    <w:rsid w:val="00103DAA"/>
    <w:rsid w:val="00106F96"/>
    <w:rsid w:val="001564C8"/>
    <w:rsid w:val="001611AC"/>
    <w:rsid w:val="001A2AEE"/>
    <w:rsid w:val="001A7268"/>
    <w:rsid w:val="001D03AC"/>
    <w:rsid w:val="00220897"/>
    <w:rsid w:val="00255546"/>
    <w:rsid w:val="002664E4"/>
    <w:rsid w:val="00276842"/>
    <w:rsid w:val="00277835"/>
    <w:rsid w:val="00292CC3"/>
    <w:rsid w:val="002C337A"/>
    <w:rsid w:val="00321EED"/>
    <w:rsid w:val="00326815"/>
    <w:rsid w:val="003448FD"/>
    <w:rsid w:val="003A4091"/>
    <w:rsid w:val="003B5E69"/>
    <w:rsid w:val="003F64AE"/>
    <w:rsid w:val="00417EC1"/>
    <w:rsid w:val="00442FFE"/>
    <w:rsid w:val="004509B9"/>
    <w:rsid w:val="00460928"/>
    <w:rsid w:val="0048278E"/>
    <w:rsid w:val="004B61CB"/>
    <w:rsid w:val="004C7C8B"/>
    <w:rsid w:val="004E29AA"/>
    <w:rsid w:val="004E2D1D"/>
    <w:rsid w:val="005145B9"/>
    <w:rsid w:val="00530778"/>
    <w:rsid w:val="0053128F"/>
    <w:rsid w:val="00543088"/>
    <w:rsid w:val="00574881"/>
    <w:rsid w:val="005A132A"/>
    <w:rsid w:val="005B7008"/>
    <w:rsid w:val="005D1178"/>
    <w:rsid w:val="005E3343"/>
    <w:rsid w:val="00634C1C"/>
    <w:rsid w:val="00640597"/>
    <w:rsid w:val="00643665"/>
    <w:rsid w:val="00646B80"/>
    <w:rsid w:val="00646DFE"/>
    <w:rsid w:val="006470F4"/>
    <w:rsid w:val="00652F44"/>
    <w:rsid w:val="00655DFA"/>
    <w:rsid w:val="006703C3"/>
    <w:rsid w:val="006C5BE0"/>
    <w:rsid w:val="00706B0D"/>
    <w:rsid w:val="007179A6"/>
    <w:rsid w:val="00753B7D"/>
    <w:rsid w:val="00756286"/>
    <w:rsid w:val="007C35D4"/>
    <w:rsid w:val="007D40A1"/>
    <w:rsid w:val="007F62DB"/>
    <w:rsid w:val="0081572D"/>
    <w:rsid w:val="0082652A"/>
    <w:rsid w:val="00826EE7"/>
    <w:rsid w:val="008625E3"/>
    <w:rsid w:val="00863151"/>
    <w:rsid w:val="00896C8E"/>
    <w:rsid w:val="008C15EF"/>
    <w:rsid w:val="008C3C9D"/>
    <w:rsid w:val="008D0B5C"/>
    <w:rsid w:val="00903C3A"/>
    <w:rsid w:val="00912F9A"/>
    <w:rsid w:val="00936ACB"/>
    <w:rsid w:val="00940F50"/>
    <w:rsid w:val="009659DE"/>
    <w:rsid w:val="009735CA"/>
    <w:rsid w:val="009800A3"/>
    <w:rsid w:val="009C16AC"/>
    <w:rsid w:val="009E6384"/>
    <w:rsid w:val="009F1FA5"/>
    <w:rsid w:val="009F5848"/>
    <w:rsid w:val="00A00AC3"/>
    <w:rsid w:val="00A40427"/>
    <w:rsid w:val="00A70625"/>
    <w:rsid w:val="00A81A70"/>
    <w:rsid w:val="00AA0A66"/>
    <w:rsid w:val="00AA59B1"/>
    <w:rsid w:val="00AC5D71"/>
    <w:rsid w:val="00AF7C0C"/>
    <w:rsid w:val="00B003FD"/>
    <w:rsid w:val="00B056EA"/>
    <w:rsid w:val="00B07A28"/>
    <w:rsid w:val="00B11C54"/>
    <w:rsid w:val="00B54041"/>
    <w:rsid w:val="00B801ED"/>
    <w:rsid w:val="00BA6F00"/>
    <w:rsid w:val="00BD18CB"/>
    <w:rsid w:val="00BE59B6"/>
    <w:rsid w:val="00C177D5"/>
    <w:rsid w:val="00C24953"/>
    <w:rsid w:val="00C42C71"/>
    <w:rsid w:val="00C43889"/>
    <w:rsid w:val="00C44943"/>
    <w:rsid w:val="00C67A50"/>
    <w:rsid w:val="00C75EC3"/>
    <w:rsid w:val="00CB05BE"/>
    <w:rsid w:val="00CB7AD9"/>
    <w:rsid w:val="00D61976"/>
    <w:rsid w:val="00D63C81"/>
    <w:rsid w:val="00DD74D4"/>
    <w:rsid w:val="00E104D4"/>
    <w:rsid w:val="00E13F8A"/>
    <w:rsid w:val="00E16C6C"/>
    <w:rsid w:val="00E1767D"/>
    <w:rsid w:val="00E4759F"/>
    <w:rsid w:val="00E50F40"/>
    <w:rsid w:val="00E67D63"/>
    <w:rsid w:val="00E746A0"/>
    <w:rsid w:val="00E940B1"/>
    <w:rsid w:val="00EA7B71"/>
    <w:rsid w:val="00EB15DE"/>
    <w:rsid w:val="00EB3BAA"/>
    <w:rsid w:val="00EC5FD5"/>
    <w:rsid w:val="00EC6F04"/>
    <w:rsid w:val="00ED5338"/>
    <w:rsid w:val="00ED5B4B"/>
    <w:rsid w:val="00EE2CC9"/>
    <w:rsid w:val="00EE4719"/>
    <w:rsid w:val="00F05FE6"/>
    <w:rsid w:val="00F37A99"/>
    <w:rsid w:val="00F41361"/>
    <w:rsid w:val="00F72503"/>
    <w:rsid w:val="00FA103E"/>
    <w:rsid w:val="00FA7E5B"/>
    <w:rsid w:val="00FC3F29"/>
    <w:rsid w:val="00FC7B00"/>
    <w:rsid w:val="00FD6BC3"/>
    <w:rsid w:val="00FE4CE4"/>
    <w:rsid w:val="00FF25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3B37B-7411-4FCC-AAAD-CB2C0043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6C6C"/>
    <w:rPr>
      <w:rFonts w:ascii="Times New Roman" w:hAnsi="Times New Roman"/>
      <w:sz w:val="24"/>
      <w:lang w:val="sl-SI" w:eastAsia="sl-SI"/>
    </w:rPr>
  </w:style>
  <w:style w:type="paragraph" w:styleId="Antrat1">
    <w:name w:val="heading 1"/>
    <w:basedOn w:val="prastasis"/>
    <w:next w:val="prastasis"/>
    <w:link w:val="Antrat1Diagrama"/>
    <w:uiPriority w:val="99"/>
    <w:qFormat/>
    <w:rsid w:val="00EB15DE"/>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EB15DE"/>
    <w:pPr>
      <w:keepNext/>
      <w:tabs>
        <w:tab w:val="left" w:pos="4300"/>
        <w:tab w:val="left" w:pos="5940"/>
        <w:tab w:val="left" w:pos="8180"/>
      </w:tabs>
      <w:spacing w:line="360" w:lineRule="atLeast"/>
      <w:outlineLvl w:val="1"/>
    </w:pPr>
    <w:rPr>
      <w:rFonts w:eastAsia="Times New Roman"/>
      <w:b/>
      <w:u w:val="single"/>
      <w:lang w:val="en-US"/>
    </w:rPr>
  </w:style>
  <w:style w:type="paragraph" w:styleId="Antrat3">
    <w:name w:val="heading 3"/>
    <w:basedOn w:val="prastasis"/>
    <w:next w:val="prastasis"/>
    <w:link w:val="Antrat3Diagrama"/>
    <w:uiPriority w:val="99"/>
    <w:qFormat/>
    <w:rsid w:val="00EB15DE"/>
    <w:pPr>
      <w:keepNext/>
      <w:tabs>
        <w:tab w:val="decimal" w:pos="6760"/>
      </w:tabs>
      <w:spacing w:line="480" w:lineRule="atLeast"/>
      <w:outlineLvl w:val="2"/>
    </w:pPr>
    <w:rPr>
      <w:rFonts w:eastAsia="Times New Roman"/>
      <w:b/>
      <w:lang w:val="en-US"/>
    </w:rPr>
  </w:style>
  <w:style w:type="paragraph" w:styleId="Antrat4">
    <w:name w:val="heading 4"/>
    <w:basedOn w:val="prastasis"/>
    <w:next w:val="prastasis"/>
    <w:link w:val="Antrat4Diagrama"/>
    <w:uiPriority w:val="99"/>
    <w:qFormat/>
    <w:rsid w:val="00EB15DE"/>
    <w:pPr>
      <w:keepNext/>
      <w:spacing w:before="240" w:after="60"/>
      <w:outlineLvl w:val="3"/>
    </w:pPr>
    <w:rPr>
      <w:rFonts w:eastAsia="Times New Roman"/>
      <w:b/>
      <w:bCs/>
      <w:sz w:val="28"/>
      <w:szCs w:val="28"/>
    </w:rPr>
  </w:style>
  <w:style w:type="paragraph" w:styleId="Antrat5">
    <w:name w:val="heading 5"/>
    <w:basedOn w:val="prastasis"/>
    <w:next w:val="prastasis"/>
    <w:link w:val="Antrat5Diagrama"/>
    <w:uiPriority w:val="99"/>
    <w:qFormat/>
    <w:rsid w:val="00EB15DE"/>
    <w:pPr>
      <w:keepNext/>
      <w:tabs>
        <w:tab w:val="left" w:pos="567"/>
      </w:tabs>
      <w:spacing w:line="260" w:lineRule="exact"/>
      <w:jc w:val="both"/>
      <w:outlineLvl w:val="4"/>
    </w:pPr>
    <w:rPr>
      <w:rFonts w:eastAsia="SimSun"/>
      <w:noProof/>
      <w:sz w:val="22"/>
      <w:lang w:val="en-GB" w:eastAsia="en-US"/>
    </w:rPr>
  </w:style>
  <w:style w:type="paragraph" w:styleId="Antrat6">
    <w:name w:val="heading 6"/>
    <w:basedOn w:val="prastasis"/>
    <w:next w:val="prastasis"/>
    <w:link w:val="Antrat6Diagrama"/>
    <w:uiPriority w:val="99"/>
    <w:qFormat/>
    <w:rsid w:val="00EB15DE"/>
    <w:pPr>
      <w:keepNext/>
      <w:keepLines/>
      <w:tabs>
        <w:tab w:val="right" w:pos="4536"/>
        <w:tab w:val="left" w:pos="5180"/>
        <w:tab w:val="left" w:pos="5380"/>
        <w:tab w:val="left" w:pos="8222"/>
      </w:tabs>
      <w:outlineLvl w:val="5"/>
    </w:pPr>
    <w:rPr>
      <w:rFonts w:eastAsia="Times New Roman"/>
      <w:b/>
      <w:lang w:val="en-US"/>
    </w:rPr>
  </w:style>
  <w:style w:type="paragraph" w:styleId="Antrat7">
    <w:name w:val="heading 7"/>
    <w:basedOn w:val="prastasis"/>
    <w:next w:val="prastasis"/>
    <w:link w:val="Antrat7Diagrama"/>
    <w:uiPriority w:val="99"/>
    <w:qFormat/>
    <w:rsid w:val="00EB15DE"/>
    <w:pPr>
      <w:keepNext/>
      <w:tabs>
        <w:tab w:val="left" w:pos="-720"/>
        <w:tab w:val="left" w:pos="567"/>
        <w:tab w:val="left" w:pos="4536"/>
      </w:tabs>
      <w:suppressAutoHyphens/>
      <w:spacing w:line="260" w:lineRule="exact"/>
      <w:jc w:val="both"/>
      <w:outlineLvl w:val="6"/>
    </w:pPr>
    <w:rPr>
      <w:rFonts w:eastAsia="SimSun"/>
      <w:i/>
      <w:sz w:val="22"/>
      <w:lang w:val="en-GB" w:eastAsia="en-US"/>
    </w:rPr>
  </w:style>
  <w:style w:type="paragraph" w:styleId="Antrat8">
    <w:name w:val="heading 8"/>
    <w:basedOn w:val="prastasis"/>
    <w:next w:val="prastasis"/>
    <w:link w:val="Antrat8Diagrama"/>
    <w:uiPriority w:val="99"/>
    <w:qFormat/>
    <w:rsid w:val="00EB15DE"/>
    <w:pPr>
      <w:keepNext/>
      <w:tabs>
        <w:tab w:val="left" w:pos="567"/>
      </w:tabs>
      <w:spacing w:line="260" w:lineRule="exact"/>
      <w:ind w:left="567" w:hanging="567"/>
      <w:jc w:val="both"/>
      <w:outlineLvl w:val="7"/>
    </w:pPr>
    <w:rPr>
      <w:rFonts w:eastAsia="SimSun"/>
      <w:b/>
      <w:i/>
      <w:sz w:val="22"/>
      <w:lang w:val="en-GB" w:eastAsia="en-US"/>
    </w:rPr>
  </w:style>
  <w:style w:type="paragraph" w:styleId="Antrat9">
    <w:name w:val="heading 9"/>
    <w:basedOn w:val="prastasis"/>
    <w:next w:val="prastasis"/>
    <w:link w:val="Antrat9Diagrama"/>
    <w:uiPriority w:val="99"/>
    <w:qFormat/>
    <w:rsid w:val="00EB15DE"/>
    <w:pPr>
      <w:keepNext/>
      <w:tabs>
        <w:tab w:val="left" w:pos="567"/>
      </w:tabs>
      <w:spacing w:line="260" w:lineRule="exact"/>
      <w:jc w:val="both"/>
      <w:outlineLvl w:val="8"/>
    </w:pPr>
    <w:rPr>
      <w:rFonts w:eastAsia="SimSu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EB15DE"/>
    <w:rPr>
      <w:rFonts w:ascii="Arial" w:eastAsia="Times New Roman" w:hAnsi="Arial" w:cs="Arial"/>
      <w:b/>
      <w:bCs/>
      <w:kern w:val="32"/>
      <w:sz w:val="32"/>
      <w:szCs w:val="32"/>
      <w:lang w:val="sl-SI" w:eastAsia="sl-SI"/>
    </w:rPr>
  </w:style>
  <w:style w:type="character" w:customStyle="1" w:styleId="Antrat2Diagrama">
    <w:name w:val="Antraštė 2 Diagrama"/>
    <w:link w:val="Antrat2"/>
    <w:uiPriority w:val="99"/>
    <w:rsid w:val="00EB15DE"/>
    <w:rPr>
      <w:rFonts w:ascii="Times New Roman" w:eastAsia="Times New Roman" w:hAnsi="Times New Roman" w:cs="Times New Roman"/>
      <w:b/>
      <w:sz w:val="24"/>
      <w:szCs w:val="20"/>
      <w:u w:val="single"/>
      <w:lang w:val="en-US" w:eastAsia="sl-SI"/>
    </w:rPr>
  </w:style>
  <w:style w:type="character" w:customStyle="1" w:styleId="Antrat3Diagrama">
    <w:name w:val="Antraštė 3 Diagrama"/>
    <w:link w:val="Antrat3"/>
    <w:uiPriority w:val="99"/>
    <w:rsid w:val="00EB15DE"/>
    <w:rPr>
      <w:rFonts w:ascii="Times New Roman" w:eastAsia="Times New Roman" w:hAnsi="Times New Roman" w:cs="Times New Roman"/>
      <w:b/>
      <w:sz w:val="24"/>
      <w:szCs w:val="20"/>
      <w:lang w:val="en-US" w:eastAsia="sl-SI"/>
    </w:rPr>
  </w:style>
  <w:style w:type="character" w:customStyle="1" w:styleId="Antrat4Diagrama">
    <w:name w:val="Antraštė 4 Diagrama"/>
    <w:link w:val="Antrat4"/>
    <w:uiPriority w:val="99"/>
    <w:rsid w:val="00EB15DE"/>
    <w:rPr>
      <w:rFonts w:ascii="Times New Roman" w:eastAsia="Times New Roman" w:hAnsi="Times New Roman" w:cs="Times New Roman"/>
      <w:b/>
      <w:bCs/>
      <w:sz w:val="28"/>
      <w:szCs w:val="28"/>
      <w:lang w:val="sl-SI" w:eastAsia="sl-SI"/>
    </w:rPr>
  </w:style>
  <w:style w:type="character" w:customStyle="1" w:styleId="Antrat5Diagrama">
    <w:name w:val="Antraštė 5 Diagrama"/>
    <w:link w:val="Antrat5"/>
    <w:uiPriority w:val="99"/>
    <w:rsid w:val="00EB15DE"/>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EB15DE"/>
    <w:rPr>
      <w:rFonts w:ascii="Times New Roman" w:eastAsia="Times New Roman" w:hAnsi="Times New Roman" w:cs="Times New Roman"/>
      <w:b/>
      <w:sz w:val="24"/>
      <w:szCs w:val="20"/>
      <w:lang w:val="en-US" w:eastAsia="sl-SI"/>
    </w:rPr>
  </w:style>
  <w:style w:type="character" w:customStyle="1" w:styleId="Antrat7Diagrama">
    <w:name w:val="Antraštė 7 Diagrama"/>
    <w:link w:val="Antrat7"/>
    <w:uiPriority w:val="99"/>
    <w:rsid w:val="00EB15DE"/>
    <w:rPr>
      <w:rFonts w:ascii="Times New Roman" w:eastAsia="SimSun" w:hAnsi="Times New Roman" w:cs="Times New Roman"/>
      <w:i/>
      <w:szCs w:val="20"/>
      <w:lang w:val="en-GB"/>
    </w:rPr>
  </w:style>
  <w:style w:type="character" w:customStyle="1" w:styleId="Antrat8Diagrama">
    <w:name w:val="Antraštė 8 Diagrama"/>
    <w:link w:val="Antrat8"/>
    <w:uiPriority w:val="99"/>
    <w:rsid w:val="00EB15DE"/>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EB15DE"/>
    <w:rPr>
      <w:rFonts w:ascii="Times New Roman" w:eastAsia="SimSun" w:hAnsi="Times New Roman" w:cs="Times New Roman"/>
      <w:b/>
      <w:i/>
      <w:szCs w:val="20"/>
      <w:lang w:val="en-GB"/>
    </w:rPr>
  </w:style>
  <w:style w:type="paragraph" w:styleId="Antrat">
    <w:name w:val="caption"/>
    <w:basedOn w:val="prastasis"/>
    <w:next w:val="prastasis"/>
    <w:qFormat/>
    <w:rsid w:val="00EB15DE"/>
    <w:pPr>
      <w:jc w:val="both"/>
    </w:pPr>
    <w:rPr>
      <w:rFonts w:eastAsia="Times New Roman"/>
      <w:lang w:val="en-GB"/>
    </w:rPr>
  </w:style>
  <w:style w:type="paragraph" w:styleId="Pavadinimas">
    <w:name w:val="Title"/>
    <w:basedOn w:val="prastasis"/>
    <w:link w:val="PavadinimasDiagrama"/>
    <w:uiPriority w:val="99"/>
    <w:qFormat/>
    <w:rsid w:val="00EB15DE"/>
    <w:pPr>
      <w:jc w:val="center"/>
    </w:pPr>
    <w:rPr>
      <w:rFonts w:eastAsia="SimSun"/>
      <w:b/>
      <w:sz w:val="22"/>
      <w:lang w:val="en-GB" w:eastAsia="en-US"/>
    </w:rPr>
  </w:style>
  <w:style w:type="character" w:customStyle="1" w:styleId="PavadinimasDiagrama">
    <w:name w:val="Pavadinimas Diagrama"/>
    <w:link w:val="Pavadinimas"/>
    <w:uiPriority w:val="99"/>
    <w:rsid w:val="00EB15DE"/>
    <w:rPr>
      <w:rFonts w:ascii="Times New Roman" w:eastAsia="SimSun" w:hAnsi="Times New Roman" w:cs="Times New Roman"/>
      <w:b/>
      <w:szCs w:val="20"/>
      <w:lang w:val="en-GB"/>
    </w:rPr>
  </w:style>
  <w:style w:type="character" w:styleId="Grietas">
    <w:name w:val="Strong"/>
    <w:uiPriority w:val="99"/>
    <w:qFormat/>
    <w:rsid w:val="00EB15DE"/>
    <w:rPr>
      <w:rFonts w:cs="Times New Roman"/>
      <w:b/>
      <w:bCs/>
    </w:rPr>
  </w:style>
  <w:style w:type="paragraph" w:styleId="Betarp">
    <w:name w:val="No Spacing"/>
    <w:uiPriority w:val="1"/>
    <w:qFormat/>
    <w:rsid w:val="00EB15DE"/>
    <w:pPr>
      <w:tabs>
        <w:tab w:val="left" w:pos="567"/>
      </w:tabs>
    </w:pPr>
    <w:rPr>
      <w:rFonts w:ascii="Times New Roman" w:eastAsia="Times New Roman" w:hAnsi="Times New Roman"/>
      <w:snapToGrid w:val="0"/>
      <w:sz w:val="22"/>
      <w:lang w:val="en-GB" w:eastAsia="en-US"/>
    </w:rPr>
  </w:style>
  <w:style w:type="paragraph" w:styleId="Sraopastraipa">
    <w:name w:val="List Paragraph"/>
    <w:basedOn w:val="prastasis"/>
    <w:uiPriority w:val="34"/>
    <w:qFormat/>
    <w:rsid w:val="00EB15DE"/>
    <w:pPr>
      <w:ind w:left="720"/>
      <w:contextualSpacing/>
    </w:pPr>
    <w:rPr>
      <w:rFonts w:eastAsia="Times New Roman"/>
    </w:rPr>
  </w:style>
  <w:style w:type="paragraph" w:customStyle="1" w:styleId="BT-EMEASMCA">
    <w:name w:val="BT- EMEA_SMCA"/>
    <w:basedOn w:val="prastasis"/>
    <w:rsid w:val="009F5848"/>
    <w:pPr>
      <w:numPr>
        <w:numId w:val="16"/>
      </w:numPr>
    </w:pPr>
  </w:style>
  <w:style w:type="table" w:styleId="Lentelstinklelis">
    <w:name w:val="Table Grid"/>
    <w:basedOn w:val="prastojilentel"/>
    <w:uiPriority w:val="59"/>
    <w:rsid w:val="009F5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F5848"/>
    <w:rPr>
      <w:rFonts w:ascii="Tahoma" w:hAnsi="Tahoma" w:cs="Tahoma"/>
      <w:sz w:val="16"/>
      <w:szCs w:val="16"/>
    </w:rPr>
  </w:style>
  <w:style w:type="character" w:customStyle="1" w:styleId="DebesliotekstasDiagrama">
    <w:name w:val="Debesėlio tekstas Diagrama"/>
    <w:link w:val="Debesliotekstas"/>
    <w:uiPriority w:val="99"/>
    <w:semiHidden/>
    <w:rsid w:val="009F5848"/>
    <w:rPr>
      <w:rFonts w:ascii="Tahoma" w:hAnsi="Tahoma" w:cs="Tahoma"/>
      <w:sz w:val="16"/>
      <w:szCs w:val="16"/>
      <w:lang w:val="sl-SI" w:eastAsia="sl-SI"/>
    </w:rPr>
  </w:style>
  <w:style w:type="paragraph" w:customStyle="1" w:styleId="BTEMEASMCA">
    <w:name w:val="BT EMEA_SMCA"/>
    <w:basedOn w:val="prastasis"/>
    <w:link w:val="BTEMEASMCAChar"/>
    <w:autoRedefine/>
    <w:rsid w:val="009F5848"/>
    <w:rPr>
      <w:rFonts w:eastAsia="Times New Roman"/>
      <w:noProof/>
      <w:sz w:val="22"/>
      <w:szCs w:val="22"/>
      <w:lang w:val="lt-LT" w:eastAsia="en-US"/>
    </w:rPr>
  </w:style>
  <w:style w:type="character" w:customStyle="1" w:styleId="BTEMEASMCAChar">
    <w:name w:val="BT EMEA_SMCA Char"/>
    <w:link w:val="BTEMEASMCA"/>
    <w:rsid w:val="009F5848"/>
    <w:rPr>
      <w:rFonts w:ascii="Times New Roman" w:eastAsia="Times New Roman" w:hAnsi="Times New Roman" w:cs="Times New Roman"/>
      <w:noProof/>
    </w:rPr>
  </w:style>
  <w:style w:type="paragraph" w:styleId="Antrats">
    <w:name w:val="header"/>
    <w:basedOn w:val="prastasis"/>
    <w:link w:val="AntratsDiagrama"/>
    <w:uiPriority w:val="99"/>
    <w:unhideWhenUsed/>
    <w:rsid w:val="009F5848"/>
    <w:pPr>
      <w:tabs>
        <w:tab w:val="center" w:pos="4819"/>
        <w:tab w:val="right" w:pos="9638"/>
      </w:tabs>
    </w:pPr>
  </w:style>
  <w:style w:type="character" w:customStyle="1" w:styleId="AntratsDiagrama">
    <w:name w:val="Antraštės Diagrama"/>
    <w:link w:val="Antrats"/>
    <w:uiPriority w:val="99"/>
    <w:rsid w:val="009F5848"/>
    <w:rPr>
      <w:rFonts w:ascii="Times New Roman" w:hAnsi="Times New Roman"/>
      <w:sz w:val="24"/>
      <w:szCs w:val="20"/>
      <w:lang w:val="sl-SI" w:eastAsia="sl-SI"/>
    </w:rPr>
  </w:style>
  <w:style w:type="paragraph" w:styleId="Porat">
    <w:name w:val="footer"/>
    <w:basedOn w:val="prastasis"/>
    <w:link w:val="PoratDiagrama"/>
    <w:uiPriority w:val="99"/>
    <w:unhideWhenUsed/>
    <w:rsid w:val="009F5848"/>
    <w:pPr>
      <w:tabs>
        <w:tab w:val="center" w:pos="4819"/>
        <w:tab w:val="right" w:pos="9638"/>
      </w:tabs>
    </w:pPr>
  </w:style>
  <w:style w:type="character" w:customStyle="1" w:styleId="PoratDiagrama">
    <w:name w:val="Poraštė Diagrama"/>
    <w:link w:val="Porat"/>
    <w:uiPriority w:val="99"/>
    <w:rsid w:val="009F5848"/>
    <w:rPr>
      <w:rFonts w:ascii="Times New Roman" w:hAnsi="Times New Roman"/>
      <w:sz w:val="24"/>
      <w:szCs w:val="20"/>
      <w:lang w:val="sl-SI" w:eastAsia="sl-SI"/>
    </w:rPr>
  </w:style>
  <w:style w:type="character" w:customStyle="1" w:styleId="DoNotTranslateExternal1">
    <w:name w:val="DoNotTranslateExternal1"/>
    <w:qFormat/>
    <w:rsid w:val="00106F96"/>
    <w:rPr>
      <w:b/>
      <w:noProof/>
      <w:szCs w:val="22"/>
    </w:rPr>
  </w:style>
  <w:style w:type="character" w:styleId="Hipersaitas">
    <w:name w:val="Hyperlink"/>
    <w:uiPriority w:val="99"/>
    <w:rsid w:val="00106F96"/>
    <w:rPr>
      <w:color w:val="0000FF"/>
      <w:u w:val="single"/>
    </w:rPr>
  </w:style>
  <w:style w:type="character" w:styleId="Komentaronuoroda">
    <w:name w:val="annotation reference"/>
    <w:uiPriority w:val="99"/>
    <w:semiHidden/>
    <w:unhideWhenUsed/>
    <w:rsid w:val="00646DFE"/>
    <w:rPr>
      <w:sz w:val="16"/>
      <w:szCs w:val="16"/>
    </w:rPr>
  </w:style>
  <w:style w:type="paragraph" w:styleId="Komentarotekstas">
    <w:name w:val="annotation text"/>
    <w:basedOn w:val="prastasis"/>
    <w:link w:val="KomentarotekstasDiagrama"/>
    <w:uiPriority w:val="99"/>
    <w:semiHidden/>
    <w:unhideWhenUsed/>
    <w:rsid w:val="00646DFE"/>
    <w:rPr>
      <w:sz w:val="20"/>
    </w:rPr>
  </w:style>
  <w:style w:type="character" w:customStyle="1" w:styleId="KomentarotekstasDiagrama">
    <w:name w:val="Komentaro tekstas Diagrama"/>
    <w:link w:val="Komentarotekstas"/>
    <w:uiPriority w:val="99"/>
    <w:semiHidden/>
    <w:rsid w:val="00646DFE"/>
    <w:rPr>
      <w:rFonts w:ascii="Times New Roman" w:hAnsi="Times New Roman"/>
      <w:lang w:val="sl-SI" w:eastAsia="sl-SI"/>
    </w:rPr>
  </w:style>
  <w:style w:type="paragraph" w:styleId="Komentarotema">
    <w:name w:val="annotation subject"/>
    <w:basedOn w:val="Komentarotekstas"/>
    <w:next w:val="Komentarotekstas"/>
    <w:link w:val="KomentarotemaDiagrama"/>
    <w:uiPriority w:val="99"/>
    <w:semiHidden/>
    <w:unhideWhenUsed/>
    <w:rsid w:val="00646DFE"/>
    <w:rPr>
      <w:b/>
      <w:bCs/>
    </w:rPr>
  </w:style>
  <w:style w:type="character" w:customStyle="1" w:styleId="KomentarotemaDiagrama">
    <w:name w:val="Komentaro tema Diagrama"/>
    <w:link w:val="Komentarotema"/>
    <w:uiPriority w:val="99"/>
    <w:semiHidden/>
    <w:rsid w:val="00646DFE"/>
    <w:rPr>
      <w:rFonts w:ascii="Times New Roman" w:hAnsi="Times New Roman"/>
      <w:b/>
      <w:bCs/>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20052">
      <w:bodyDiv w:val="1"/>
      <w:marLeft w:val="0"/>
      <w:marRight w:val="0"/>
      <w:marTop w:val="0"/>
      <w:marBottom w:val="0"/>
      <w:divBdr>
        <w:top w:val="none" w:sz="0" w:space="0" w:color="auto"/>
        <w:left w:val="none" w:sz="0" w:space="0" w:color="auto"/>
        <w:bottom w:val="none" w:sz="0" w:space="0" w:color="auto"/>
        <w:right w:val="none" w:sz="0" w:space="0" w:color="auto"/>
      </w:divBdr>
    </w:div>
    <w:div w:id="1548880875">
      <w:bodyDiv w:val="1"/>
      <w:marLeft w:val="0"/>
      <w:marRight w:val="0"/>
      <w:marTop w:val="0"/>
      <w:marBottom w:val="0"/>
      <w:divBdr>
        <w:top w:val="none" w:sz="0" w:space="0" w:color="auto"/>
        <w:left w:val="none" w:sz="0" w:space="0" w:color="auto"/>
        <w:bottom w:val="none" w:sz="0" w:space="0" w:color="auto"/>
        <w:right w:val="none" w:sz="0" w:space="0" w:color="auto"/>
      </w:divBdr>
    </w:div>
    <w:div w:id="1817070580">
      <w:bodyDiv w:val="1"/>
      <w:marLeft w:val="0"/>
      <w:marRight w:val="0"/>
      <w:marTop w:val="0"/>
      <w:marBottom w:val="0"/>
      <w:divBdr>
        <w:top w:val="none" w:sz="0" w:space="0" w:color="auto"/>
        <w:left w:val="none" w:sz="0" w:space="0" w:color="auto"/>
        <w:bottom w:val="none" w:sz="0" w:space="0" w:color="auto"/>
        <w:right w:val="none" w:sz="0" w:space="0" w:color="auto"/>
      </w:divBdr>
    </w:div>
    <w:div w:id="182793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8C63F79-A2E0-462C-ACB6-BB0BF16D7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89160</Words>
  <Characters>50822</Characters>
  <Application>Microsoft Office Word</Application>
  <DocSecurity>8</DocSecurity>
  <Lines>423</Lines>
  <Paragraphs>279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139703</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dc:creator>
  <cp:keywords/>
  <cp:lastModifiedBy>Birutė Valkauskaitė</cp:lastModifiedBy>
  <cp:revision>3</cp:revision>
  <dcterms:created xsi:type="dcterms:W3CDTF">2017-01-31T13:22:00Z</dcterms:created>
  <dcterms:modified xsi:type="dcterms:W3CDTF">2017-01-31T13:23:00Z</dcterms:modified>
</cp:coreProperties>
</file>