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2A3B0" w14:textId="77777777" w:rsidR="00435BD8" w:rsidRPr="00435BD8" w:rsidRDefault="00435BD8" w:rsidP="00435BD8">
      <w:pPr>
        <w:pStyle w:val="Pavadinimas"/>
        <w:spacing w:after="0"/>
        <w:jc w:val="center"/>
        <w:rPr>
          <w:rFonts w:ascii="Times New Roman" w:hAnsi="Times New Roman" w:cs="Times New Roman"/>
          <w:b/>
          <w:bCs/>
          <w:sz w:val="22"/>
          <w:szCs w:val="22"/>
        </w:rPr>
      </w:pPr>
      <w:r w:rsidRPr="00435BD8">
        <w:rPr>
          <w:rFonts w:ascii="Times New Roman" w:hAnsi="Times New Roman" w:cs="Times New Roman"/>
          <w:b/>
          <w:bCs/>
          <w:sz w:val="22"/>
          <w:szCs w:val="22"/>
        </w:rPr>
        <w:t>Pakuotės lapelis: informacija vartotojui</w:t>
      </w:r>
    </w:p>
    <w:p w14:paraId="1BFE8EAD" w14:textId="77777777" w:rsidR="00435BD8" w:rsidRPr="00435BD8" w:rsidRDefault="00435BD8" w:rsidP="00435BD8">
      <w:pPr>
        <w:pStyle w:val="Pavadinimas"/>
        <w:spacing w:after="0"/>
        <w:rPr>
          <w:rFonts w:ascii="Times New Roman" w:hAnsi="Times New Roman" w:cs="Times New Roman"/>
          <w:sz w:val="22"/>
          <w:szCs w:val="22"/>
        </w:rPr>
      </w:pPr>
    </w:p>
    <w:p w14:paraId="0FB44084" w14:textId="77777777" w:rsidR="00435BD8" w:rsidRPr="00435BD8" w:rsidRDefault="00435BD8" w:rsidP="00435BD8">
      <w:pPr>
        <w:pStyle w:val="Pagrindinistekstas"/>
        <w:spacing w:after="0"/>
        <w:contextualSpacing/>
        <w:jc w:val="center"/>
        <w:rPr>
          <w:szCs w:val="22"/>
        </w:rPr>
      </w:pPr>
      <w:r w:rsidRPr="00435BD8">
        <w:rPr>
          <w:b/>
          <w:szCs w:val="22"/>
        </w:rPr>
        <w:t>LINEX kietosios kapsulės</w:t>
      </w:r>
    </w:p>
    <w:p w14:paraId="111BCE3D" w14:textId="77777777" w:rsidR="00435BD8" w:rsidRPr="00435BD8" w:rsidRDefault="00435BD8" w:rsidP="00435BD8">
      <w:pPr>
        <w:contextualSpacing/>
        <w:jc w:val="center"/>
        <w:rPr>
          <w:iCs/>
          <w:szCs w:val="22"/>
        </w:rPr>
      </w:pPr>
      <w:proofErr w:type="spellStart"/>
      <w:r w:rsidRPr="00435BD8">
        <w:rPr>
          <w:i/>
          <w:szCs w:val="22"/>
        </w:rPr>
        <w:t>Lactobacillus</w:t>
      </w:r>
      <w:proofErr w:type="spellEnd"/>
      <w:r w:rsidRPr="00435BD8">
        <w:rPr>
          <w:i/>
          <w:szCs w:val="22"/>
        </w:rPr>
        <w:t xml:space="preserve"> </w:t>
      </w:r>
      <w:proofErr w:type="spellStart"/>
      <w:r w:rsidRPr="00435BD8">
        <w:rPr>
          <w:i/>
          <w:szCs w:val="22"/>
        </w:rPr>
        <w:t>acidophilus</w:t>
      </w:r>
      <w:proofErr w:type="spellEnd"/>
      <w:r w:rsidRPr="00435BD8">
        <w:rPr>
          <w:iCs/>
          <w:szCs w:val="22"/>
        </w:rPr>
        <w:t xml:space="preserve"> (</w:t>
      </w:r>
      <w:proofErr w:type="spellStart"/>
      <w:r w:rsidRPr="00435BD8">
        <w:rPr>
          <w:i/>
          <w:szCs w:val="22"/>
        </w:rPr>
        <w:t>sp.L.gasseri</w:t>
      </w:r>
      <w:proofErr w:type="spellEnd"/>
      <w:r w:rsidRPr="00435BD8">
        <w:rPr>
          <w:iCs/>
          <w:szCs w:val="22"/>
        </w:rPr>
        <w:t xml:space="preserve">), </w:t>
      </w:r>
      <w:proofErr w:type="spellStart"/>
      <w:r w:rsidRPr="00435BD8">
        <w:rPr>
          <w:i/>
          <w:szCs w:val="22"/>
        </w:rPr>
        <w:t>Bifidobacterium</w:t>
      </w:r>
      <w:proofErr w:type="spellEnd"/>
      <w:r w:rsidRPr="00435BD8">
        <w:rPr>
          <w:i/>
          <w:szCs w:val="22"/>
        </w:rPr>
        <w:t xml:space="preserve"> </w:t>
      </w:r>
      <w:proofErr w:type="spellStart"/>
      <w:r w:rsidRPr="00435BD8">
        <w:rPr>
          <w:i/>
          <w:szCs w:val="22"/>
        </w:rPr>
        <w:t>infantis</w:t>
      </w:r>
      <w:proofErr w:type="spellEnd"/>
      <w:r w:rsidRPr="00435BD8">
        <w:rPr>
          <w:iCs/>
          <w:szCs w:val="22"/>
        </w:rPr>
        <w:t xml:space="preserve">, </w:t>
      </w:r>
      <w:proofErr w:type="spellStart"/>
      <w:r w:rsidRPr="00435BD8">
        <w:rPr>
          <w:i/>
          <w:szCs w:val="22"/>
        </w:rPr>
        <w:t>Enterococcus</w:t>
      </w:r>
      <w:proofErr w:type="spellEnd"/>
      <w:r w:rsidRPr="00435BD8">
        <w:rPr>
          <w:i/>
          <w:szCs w:val="22"/>
        </w:rPr>
        <w:t xml:space="preserve"> </w:t>
      </w:r>
      <w:proofErr w:type="spellStart"/>
      <w:r w:rsidRPr="00435BD8">
        <w:rPr>
          <w:i/>
          <w:szCs w:val="22"/>
        </w:rPr>
        <w:t>faecium</w:t>
      </w:r>
      <w:proofErr w:type="spellEnd"/>
    </w:p>
    <w:p w14:paraId="72C3BC2B" w14:textId="77777777" w:rsidR="00435BD8" w:rsidRPr="00435BD8" w:rsidRDefault="00435BD8" w:rsidP="00435BD8">
      <w:pPr>
        <w:contextualSpacing/>
        <w:rPr>
          <w:szCs w:val="22"/>
        </w:rPr>
      </w:pPr>
    </w:p>
    <w:p w14:paraId="5A16BECC" w14:textId="77777777" w:rsidR="00435BD8" w:rsidRPr="00435BD8" w:rsidRDefault="00435BD8" w:rsidP="00435BD8">
      <w:pPr>
        <w:contextualSpacing/>
        <w:rPr>
          <w:b/>
          <w:szCs w:val="22"/>
        </w:rPr>
      </w:pPr>
      <w:r w:rsidRPr="00435BD8">
        <w:rPr>
          <w:b/>
          <w:szCs w:val="22"/>
        </w:rPr>
        <w:t xml:space="preserve">Atidžiai perskaitykite visą šį lapelį, prieš pradėdami vartoti šį vaistą, nes jame pateikiama Jums svarbi informacija. </w:t>
      </w:r>
    </w:p>
    <w:p w14:paraId="35A277A5" w14:textId="77777777" w:rsidR="00435BD8" w:rsidRPr="00435BD8" w:rsidRDefault="00435BD8" w:rsidP="00435BD8">
      <w:pPr>
        <w:contextualSpacing/>
        <w:rPr>
          <w:szCs w:val="22"/>
        </w:rPr>
      </w:pPr>
      <w:r w:rsidRPr="00435BD8">
        <w:rPr>
          <w:szCs w:val="22"/>
        </w:rPr>
        <w:t>Visada vartokite šį vaistą tiksliai kaip aprašyta šiame lapelyje arba kaip nurodė gydytojas arba vaistininkas.</w:t>
      </w:r>
    </w:p>
    <w:p w14:paraId="34D4BF1F" w14:textId="77777777" w:rsidR="00435BD8" w:rsidRPr="00435BD8" w:rsidRDefault="00435BD8" w:rsidP="00435BD8">
      <w:pPr>
        <w:pStyle w:val="Sraopastraipa"/>
        <w:numPr>
          <w:ilvl w:val="0"/>
          <w:numId w:val="3"/>
        </w:numPr>
        <w:rPr>
          <w:szCs w:val="22"/>
        </w:rPr>
      </w:pPr>
      <w:r w:rsidRPr="00435BD8">
        <w:rPr>
          <w:szCs w:val="22"/>
        </w:rPr>
        <w:t>Neišmeskite šio lapelio, nes vėl gali prireikti jį perskaityti.</w:t>
      </w:r>
    </w:p>
    <w:p w14:paraId="60B4DB5B" w14:textId="77777777" w:rsidR="00435BD8" w:rsidRPr="00435BD8" w:rsidRDefault="00435BD8" w:rsidP="00435BD8">
      <w:pPr>
        <w:pStyle w:val="Sraopastraipa"/>
        <w:numPr>
          <w:ilvl w:val="0"/>
          <w:numId w:val="3"/>
        </w:numPr>
        <w:rPr>
          <w:szCs w:val="22"/>
        </w:rPr>
      </w:pPr>
      <w:r w:rsidRPr="00435BD8">
        <w:rPr>
          <w:szCs w:val="22"/>
        </w:rPr>
        <w:t>Jeigu norite sužinoti daugiau arba pasitarti, kreipkitės į vaistininką.</w:t>
      </w:r>
    </w:p>
    <w:p w14:paraId="15501CC2" w14:textId="77777777" w:rsidR="00435BD8" w:rsidRPr="00435BD8" w:rsidRDefault="00435BD8" w:rsidP="00435BD8">
      <w:pPr>
        <w:pStyle w:val="Sraopastraipa"/>
        <w:numPr>
          <w:ilvl w:val="0"/>
          <w:numId w:val="3"/>
        </w:numPr>
        <w:rPr>
          <w:szCs w:val="22"/>
        </w:rPr>
      </w:pPr>
      <w:r w:rsidRPr="00435BD8">
        <w:rPr>
          <w:szCs w:val="22"/>
        </w:rPr>
        <w:t>Jeigu pasireiškė šalutinis poveikis (net jeigu jis šiame lapelyje nenurodytas), kreipkitės į gydytoją arba vaistininką. Žr. 4 skyrių.</w:t>
      </w:r>
    </w:p>
    <w:p w14:paraId="3D6C0B21" w14:textId="77777777" w:rsidR="00435BD8" w:rsidRPr="00435BD8" w:rsidRDefault="00435BD8" w:rsidP="00435BD8">
      <w:pPr>
        <w:pStyle w:val="Sraopastraipa"/>
        <w:numPr>
          <w:ilvl w:val="0"/>
          <w:numId w:val="3"/>
        </w:numPr>
        <w:rPr>
          <w:szCs w:val="22"/>
        </w:rPr>
      </w:pPr>
      <w:r w:rsidRPr="00435BD8">
        <w:rPr>
          <w:szCs w:val="22"/>
        </w:rPr>
        <w:t>Jeigu per 2 dienas Jūsų savijauta nepagerėjo arba net pablogėjo, kreipkitės į gydytoją.</w:t>
      </w:r>
    </w:p>
    <w:p w14:paraId="74F3C3DB" w14:textId="77777777" w:rsidR="00435BD8" w:rsidRPr="00435BD8" w:rsidRDefault="00435BD8" w:rsidP="00435BD8">
      <w:pPr>
        <w:contextualSpacing/>
        <w:rPr>
          <w:szCs w:val="22"/>
        </w:rPr>
      </w:pPr>
    </w:p>
    <w:p w14:paraId="46ADA4B7" w14:textId="77777777" w:rsidR="00435BD8" w:rsidRPr="00435BD8" w:rsidRDefault="00435BD8" w:rsidP="00435BD8">
      <w:pPr>
        <w:contextualSpacing/>
        <w:rPr>
          <w:b/>
          <w:bCs/>
          <w:szCs w:val="22"/>
        </w:rPr>
      </w:pPr>
      <w:r w:rsidRPr="00435BD8">
        <w:rPr>
          <w:b/>
          <w:bCs/>
          <w:szCs w:val="22"/>
        </w:rPr>
        <w:t xml:space="preserve">Apie ką rašoma šiame lapelyje? </w:t>
      </w:r>
    </w:p>
    <w:p w14:paraId="0E94D993" w14:textId="77777777" w:rsidR="00435BD8" w:rsidRPr="00435BD8" w:rsidRDefault="00435BD8" w:rsidP="00435BD8">
      <w:pPr>
        <w:contextualSpacing/>
        <w:rPr>
          <w:b/>
          <w:bCs/>
          <w:szCs w:val="22"/>
        </w:rPr>
      </w:pPr>
    </w:p>
    <w:p w14:paraId="7F6B8EC0" w14:textId="77777777" w:rsidR="00435BD8" w:rsidRPr="00435BD8" w:rsidRDefault="00435BD8" w:rsidP="00435BD8">
      <w:pPr>
        <w:tabs>
          <w:tab w:val="left" w:pos="567"/>
        </w:tabs>
        <w:contextualSpacing/>
        <w:rPr>
          <w:szCs w:val="22"/>
        </w:rPr>
      </w:pPr>
      <w:r w:rsidRPr="00435BD8">
        <w:rPr>
          <w:szCs w:val="22"/>
        </w:rPr>
        <w:t xml:space="preserve">1. </w:t>
      </w:r>
      <w:r w:rsidRPr="00435BD8">
        <w:rPr>
          <w:szCs w:val="22"/>
        </w:rPr>
        <w:tab/>
        <w:t>Kas yra LINEX  ir kam jis vartojamas</w:t>
      </w:r>
    </w:p>
    <w:p w14:paraId="5C505E59" w14:textId="77777777" w:rsidR="00435BD8" w:rsidRPr="00435BD8" w:rsidRDefault="00435BD8" w:rsidP="00435BD8">
      <w:pPr>
        <w:tabs>
          <w:tab w:val="left" w:pos="567"/>
        </w:tabs>
        <w:contextualSpacing/>
        <w:rPr>
          <w:szCs w:val="22"/>
        </w:rPr>
      </w:pPr>
      <w:r w:rsidRPr="00435BD8">
        <w:rPr>
          <w:szCs w:val="22"/>
        </w:rPr>
        <w:t xml:space="preserve">2. </w:t>
      </w:r>
      <w:r w:rsidRPr="00435BD8">
        <w:rPr>
          <w:szCs w:val="22"/>
        </w:rPr>
        <w:tab/>
        <w:t>Kas žinotina prieš vartojant LINEX</w:t>
      </w:r>
    </w:p>
    <w:p w14:paraId="12406D41" w14:textId="77777777" w:rsidR="00435BD8" w:rsidRPr="00435BD8" w:rsidRDefault="00435BD8" w:rsidP="00435BD8">
      <w:pPr>
        <w:tabs>
          <w:tab w:val="left" w:pos="567"/>
        </w:tabs>
        <w:contextualSpacing/>
        <w:rPr>
          <w:szCs w:val="22"/>
        </w:rPr>
      </w:pPr>
      <w:r w:rsidRPr="00435BD8">
        <w:rPr>
          <w:szCs w:val="22"/>
        </w:rPr>
        <w:t xml:space="preserve">3. </w:t>
      </w:r>
      <w:r w:rsidRPr="00435BD8">
        <w:rPr>
          <w:szCs w:val="22"/>
        </w:rPr>
        <w:tab/>
        <w:t xml:space="preserve">Kaip vartoti LINEX </w:t>
      </w:r>
    </w:p>
    <w:p w14:paraId="4CABFFD3" w14:textId="77777777" w:rsidR="00435BD8" w:rsidRPr="00435BD8" w:rsidRDefault="00435BD8" w:rsidP="00435BD8">
      <w:pPr>
        <w:tabs>
          <w:tab w:val="left" w:pos="567"/>
        </w:tabs>
        <w:contextualSpacing/>
        <w:rPr>
          <w:szCs w:val="22"/>
        </w:rPr>
      </w:pPr>
      <w:r w:rsidRPr="00435BD8">
        <w:rPr>
          <w:szCs w:val="22"/>
        </w:rPr>
        <w:t xml:space="preserve">4. </w:t>
      </w:r>
      <w:r w:rsidRPr="00435BD8">
        <w:rPr>
          <w:szCs w:val="22"/>
        </w:rPr>
        <w:tab/>
        <w:t>Galimas šalutinis poveikis</w:t>
      </w:r>
    </w:p>
    <w:p w14:paraId="7D8217BE" w14:textId="77777777" w:rsidR="00435BD8" w:rsidRPr="00435BD8" w:rsidRDefault="00435BD8" w:rsidP="00435BD8">
      <w:pPr>
        <w:tabs>
          <w:tab w:val="left" w:pos="567"/>
        </w:tabs>
        <w:contextualSpacing/>
        <w:rPr>
          <w:szCs w:val="22"/>
        </w:rPr>
      </w:pPr>
      <w:r w:rsidRPr="00435BD8">
        <w:rPr>
          <w:szCs w:val="22"/>
        </w:rPr>
        <w:t xml:space="preserve">5. </w:t>
      </w:r>
      <w:r w:rsidRPr="00435BD8">
        <w:rPr>
          <w:szCs w:val="22"/>
        </w:rPr>
        <w:tab/>
        <w:t xml:space="preserve">Kaip laikyti LINEX </w:t>
      </w:r>
    </w:p>
    <w:p w14:paraId="02D5C8EA" w14:textId="77777777" w:rsidR="00435BD8" w:rsidRPr="00435BD8" w:rsidRDefault="00435BD8" w:rsidP="00435BD8">
      <w:pPr>
        <w:tabs>
          <w:tab w:val="left" w:pos="567"/>
        </w:tabs>
        <w:contextualSpacing/>
        <w:rPr>
          <w:szCs w:val="22"/>
        </w:rPr>
      </w:pPr>
      <w:r w:rsidRPr="00435BD8">
        <w:rPr>
          <w:szCs w:val="22"/>
        </w:rPr>
        <w:t xml:space="preserve">6. </w:t>
      </w:r>
      <w:r w:rsidRPr="00435BD8">
        <w:rPr>
          <w:szCs w:val="22"/>
        </w:rPr>
        <w:tab/>
        <w:t>Pakuotės turinys ir kita informacija</w:t>
      </w:r>
    </w:p>
    <w:p w14:paraId="5E897A45" w14:textId="77777777" w:rsidR="00435BD8" w:rsidRPr="00435BD8" w:rsidRDefault="00435BD8" w:rsidP="00435BD8">
      <w:pPr>
        <w:contextualSpacing/>
        <w:jc w:val="both"/>
        <w:rPr>
          <w:szCs w:val="22"/>
        </w:rPr>
      </w:pPr>
    </w:p>
    <w:p w14:paraId="5B248AEC" w14:textId="77777777" w:rsidR="00435BD8" w:rsidRPr="00435BD8" w:rsidRDefault="00435BD8" w:rsidP="00435BD8">
      <w:pPr>
        <w:contextualSpacing/>
        <w:jc w:val="both"/>
        <w:rPr>
          <w:szCs w:val="22"/>
        </w:rPr>
      </w:pPr>
    </w:p>
    <w:p w14:paraId="23F2791F" w14:textId="77777777" w:rsidR="00435BD8" w:rsidRPr="00435BD8" w:rsidRDefault="00435BD8" w:rsidP="00435BD8">
      <w:pPr>
        <w:numPr>
          <w:ilvl w:val="12"/>
          <w:numId w:val="0"/>
        </w:numPr>
        <w:tabs>
          <w:tab w:val="left" w:pos="567"/>
        </w:tabs>
        <w:contextualSpacing/>
        <w:jc w:val="both"/>
        <w:outlineLvl w:val="0"/>
        <w:rPr>
          <w:b/>
          <w:caps/>
          <w:szCs w:val="22"/>
        </w:rPr>
      </w:pPr>
      <w:r w:rsidRPr="00435BD8">
        <w:rPr>
          <w:b/>
          <w:szCs w:val="22"/>
        </w:rPr>
        <w:t xml:space="preserve">1. </w:t>
      </w:r>
      <w:r w:rsidRPr="00435BD8">
        <w:rPr>
          <w:b/>
          <w:szCs w:val="22"/>
        </w:rPr>
        <w:tab/>
        <w:t>Kas yra LINEX ir kam jis vartojamas</w:t>
      </w:r>
    </w:p>
    <w:p w14:paraId="281D57A1" w14:textId="77777777" w:rsidR="00435BD8" w:rsidRPr="00435BD8" w:rsidRDefault="00435BD8" w:rsidP="00435BD8">
      <w:pPr>
        <w:pStyle w:val="Pagrindinistekstas"/>
        <w:spacing w:after="0"/>
        <w:contextualSpacing/>
        <w:rPr>
          <w:b/>
          <w:szCs w:val="22"/>
        </w:rPr>
      </w:pPr>
    </w:p>
    <w:p w14:paraId="08B78C44" w14:textId="77777777" w:rsidR="00435BD8" w:rsidRPr="00435BD8" w:rsidRDefault="00435BD8" w:rsidP="00435BD8">
      <w:pPr>
        <w:pStyle w:val="Pagrindinistekstas"/>
        <w:spacing w:after="0"/>
        <w:contextualSpacing/>
        <w:rPr>
          <w:szCs w:val="22"/>
        </w:rPr>
      </w:pPr>
      <w:r w:rsidRPr="00435BD8">
        <w:rPr>
          <w:szCs w:val="22"/>
        </w:rPr>
        <w:t xml:space="preserve">LINEX yra </w:t>
      </w:r>
      <w:proofErr w:type="spellStart"/>
      <w:r w:rsidRPr="00435BD8">
        <w:rPr>
          <w:szCs w:val="22"/>
        </w:rPr>
        <w:t>probiotikas</w:t>
      </w:r>
      <w:proofErr w:type="spellEnd"/>
      <w:r w:rsidRPr="00435BD8">
        <w:rPr>
          <w:szCs w:val="22"/>
        </w:rPr>
        <w:t xml:space="preserve"> – tai reiškia, kad jo sudėtyje yra mikroorganizmų, kurių tam tikras kiekis yra naudingas sveikatai. LINEX kapsulėse yra trijų rūšių </w:t>
      </w:r>
      <w:proofErr w:type="spellStart"/>
      <w:r w:rsidRPr="00435BD8">
        <w:rPr>
          <w:szCs w:val="22"/>
        </w:rPr>
        <w:t>liofilizuotų</w:t>
      </w:r>
      <w:proofErr w:type="spellEnd"/>
      <w:r w:rsidRPr="00435BD8">
        <w:rPr>
          <w:szCs w:val="22"/>
        </w:rPr>
        <w:t xml:space="preserve"> gyvybingų pieno rūgšties bakterijų, kurios palaiko fiziologinę žarnyno mikrofloros pusiausvyrą ir yra atsparios antibiotikams ir chemoterapiniams vaistams. </w:t>
      </w:r>
    </w:p>
    <w:p w14:paraId="048CB8D7" w14:textId="77777777" w:rsidR="00435BD8" w:rsidRPr="00435BD8" w:rsidRDefault="00435BD8" w:rsidP="00435BD8">
      <w:pPr>
        <w:pStyle w:val="Pagrindinistekstas"/>
        <w:spacing w:after="0"/>
        <w:contextualSpacing/>
        <w:rPr>
          <w:szCs w:val="22"/>
        </w:rPr>
      </w:pPr>
    </w:p>
    <w:p w14:paraId="259BC30F" w14:textId="77777777" w:rsidR="00435BD8" w:rsidRPr="00435BD8" w:rsidRDefault="00435BD8" w:rsidP="00435BD8">
      <w:pPr>
        <w:pStyle w:val="Pagrindinistekstas"/>
        <w:spacing w:after="0"/>
        <w:contextualSpacing/>
        <w:rPr>
          <w:szCs w:val="22"/>
        </w:rPr>
      </w:pPr>
      <w:r w:rsidRPr="00435BD8">
        <w:rPr>
          <w:szCs w:val="22"/>
        </w:rPr>
        <w:t xml:space="preserve">LINEX vartojamas pagalbiniam viduriavimo, vidurių pūtimo arba kitokio virškinimo sutrikimo gydymui, jei šiuos negalavimus sukėlė: </w:t>
      </w:r>
    </w:p>
    <w:p w14:paraId="6396DDB4" w14:textId="77777777" w:rsidR="00435BD8" w:rsidRPr="00435BD8" w:rsidRDefault="00435BD8" w:rsidP="00435BD8">
      <w:pPr>
        <w:pStyle w:val="Pagrindinistekstas"/>
        <w:numPr>
          <w:ilvl w:val="0"/>
          <w:numId w:val="5"/>
        </w:numPr>
        <w:spacing w:after="0"/>
        <w:ind w:left="567" w:hanging="567"/>
        <w:contextualSpacing/>
        <w:rPr>
          <w:szCs w:val="22"/>
          <w:lang w:eastAsia="en-US"/>
        </w:rPr>
      </w:pPr>
      <w:r w:rsidRPr="00435BD8">
        <w:rPr>
          <w:szCs w:val="22"/>
          <w:lang w:eastAsia="en-US"/>
        </w:rPr>
        <w:t xml:space="preserve">bakterinės arba virusinės virškinimo trakto infekcijos, </w:t>
      </w:r>
    </w:p>
    <w:p w14:paraId="2DC438A1" w14:textId="77777777" w:rsidR="00435BD8" w:rsidRPr="00435BD8" w:rsidRDefault="00435BD8" w:rsidP="00435BD8">
      <w:pPr>
        <w:pStyle w:val="Pagrindinistekstas"/>
        <w:numPr>
          <w:ilvl w:val="0"/>
          <w:numId w:val="5"/>
        </w:numPr>
        <w:spacing w:after="0"/>
        <w:ind w:left="567" w:hanging="567"/>
        <w:contextualSpacing/>
        <w:rPr>
          <w:szCs w:val="22"/>
          <w:lang w:eastAsia="en-US"/>
        </w:rPr>
      </w:pPr>
      <w:r w:rsidRPr="00435BD8">
        <w:rPr>
          <w:szCs w:val="22"/>
          <w:lang w:eastAsia="en-US"/>
        </w:rPr>
        <w:t xml:space="preserve">plataus spektro antibiotikų ar chemoterapinių vaistų vartojimas, </w:t>
      </w:r>
    </w:p>
    <w:p w14:paraId="5BBD4417" w14:textId="77777777" w:rsidR="00435BD8" w:rsidRPr="00435BD8" w:rsidRDefault="00435BD8" w:rsidP="00435BD8">
      <w:pPr>
        <w:pStyle w:val="Pagrindinistekstas"/>
        <w:numPr>
          <w:ilvl w:val="0"/>
          <w:numId w:val="5"/>
        </w:numPr>
        <w:spacing w:after="0"/>
        <w:ind w:left="567" w:hanging="567"/>
        <w:contextualSpacing/>
        <w:rPr>
          <w:szCs w:val="22"/>
        </w:rPr>
      </w:pPr>
      <w:r w:rsidRPr="00435BD8">
        <w:rPr>
          <w:szCs w:val="22"/>
          <w:lang w:eastAsia="en-US"/>
        </w:rPr>
        <w:t>pilvo ir dubens organų spindulinis gydymas</w:t>
      </w:r>
      <w:r w:rsidRPr="00435BD8">
        <w:rPr>
          <w:szCs w:val="22"/>
        </w:rPr>
        <w:t>.</w:t>
      </w:r>
    </w:p>
    <w:p w14:paraId="06EA0AC3" w14:textId="77777777" w:rsidR="00435BD8" w:rsidRPr="00435BD8" w:rsidRDefault="00435BD8" w:rsidP="00435BD8">
      <w:pPr>
        <w:pStyle w:val="Pagrindinistekstas"/>
        <w:spacing w:after="0"/>
        <w:contextualSpacing/>
        <w:rPr>
          <w:szCs w:val="22"/>
        </w:rPr>
      </w:pPr>
    </w:p>
    <w:p w14:paraId="5BAB9D99" w14:textId="77777777" w:rsidR="00435BD8" w:rsidRPr="00435BD8" w:rsidRDefault="00435BD8" w:rsidP="00435BD8">
      <w:pPr>
        <w:pStyle w:val="Pagrindinistekstas"/>
        <w:spacing w:after="0"/>
        <w:contextualSpacing/>
        <w:rPr>
          <w:szCs w:val="22"/>
        </w:rPr>
      </w:pPr>
      <w:r w:rsidRPr="00435BD8">
        <w:rPr>
          <w:szCs w:val="22"/>
        </w:rPr>
        <w:t>Jeigu per 2 dienas Jūsų savijauta nepagerėjo arba net pablogėjo, kreipkitės į gydytoją.</w:t>
      </w:r>
    </w:p>
    <w:p w14:paraId="61C9F0B7" w14:textId="77777777" w:rsidR="00435BD8" w:rsidRPr="00435BD8" w:rsidRDefault="00435BD8" w:rsidP="00435BD8">
      <w:pPr>
        <w:pStyle w:val="Pagrindinistekstas"/>
        <w:spacing w:after="0"/>
        <w:contextualSpacing/>
        <w:rPr>
          <w:szCs w:val="22"/>
        </w:rPr>
      </w:pPr>
    </w:p>
    <w:p w14:paraId="1B24792B" w14:textId="77777777" w:rsidR="00435BD8" w:rsidRPr="00435BD8" w:rsidRDefault="00435BD8" w:rsidP="00435BD8">
      <w:pPr>
        <w:pStyle w:val="Pagrindinistekstas"/>
        <w:spacing w:after="0"/>
        <w:contextualSpacing/>
        <w:rPr>
          <w:szCs w:val="22"/>
        </w:rPr>
      </w:pPr>
    </w:p>
    <w:p w14:paraId="6149348B" w14:textId="77777777" w:rsidR="00435BD8" w:rsidRPr="00435BD8" w:rsidRDefault="00435BD8" w:rsidP="00435BD8">
      <w:pPr>
        <w:pStyle w:val="Antrat2"/>
        <w:tabs>
          <w:tab w:val="left" w:pos="567"/>
        </w:tabs>
        <w:spacing w:before="0" w:after="0"/>
        <w:contextualSpacing/>
        <w:rPr>
          <w:rFonts w:ascii="Times New Roman" w:hAnsi="Times New Roman" w:cs="Times New Roman"/>
          <w:b/>
          <w:bCs/>
          <w:color w:val="auto"/>
          <w:sz w:val="22"/>
          <w:szCs w:val="22"/>
        </w:rPr>
      </w:pPr>
      <w:r w:rsidRPr="00435BD8">
        <w:rPr>
          <w:rFonts w:ascii="Times New Roman" w:hAnsi="Times New Roman" w:cs="Times New Roman"/>
          <w:b/>
          <w:bCs/>
          <w:color w:val="auto"/>
          <w:sz w:val="22"/>
          <w:szCs w:val="22"/>
        </w:rPr>
        <w:t xml:space="preserve">2. </w:t>
      </w:r>
      <w:r w:rsidRPr="00435BD8">
        <w:rPr>
          <w:rFonts w:ascii="Times New Roman" w:hAnsi="Times New Roman" w:cs="Times New Roman"/>
          <w:b/>
          <w:bCs/>
          <w:color w:val="auto"/>
          <w:sz w:val="22"/>
          <w:szCs w:val="22"/>
        </w:rPr>
        <w:tab/>
        <w:t>Kas žinotina prieš vartojant LINEX</w:t>
      </w:r>
    </w:p>
    <w:p w14:paraId="5071B51A" w14:textId="77777777" w:rsidR="00435BD8" w:rsidRPr="00435BD8" w:rsidRDefault="00435BD8" w:rsidP="00435BD8">
      <w:pPr>
        <w:pStyle w:val="Pagrindinistekstas"/>
        <w:spacing w:after="0"/>
        <w:contextualSpacing/>
        <w:rPr>
          <w:szCs w:val="22"/>
        </w:rPr>
      </w:pPr>
    </w:p>
    <w:p w14:paraId="353D82E8" w14:textId="77777777" w:rsidR="00435BD8" w:rsidRPr="00435BD8" w:rsidRDefault="00435BD8" w:rsidP="00435BD8">
      <w:pPr>
        <w:pStyle w:val="Antrat3"/>
        <w:spacing w:before="0" w:after="0"/>
        <w:contextualSpacing/>
        <w:rPr>
          <w:rFonts w:ascii="Times New Roman" w:hAnsi="Times New Roman" w:cs="Times New Roman"/>
          <w:b/>
          <w:bCs/>
          <w:color w:val="auto"/>
          <w:sz w:val="22"/>
          <w:szCs w:val="22"/>
        </w:rPr>
      </w:pPr>
      <w:r w:rsidRPr="00435BD8">
        <w:rPr>
          <w:rFonts w:ascii="Times New Roman" w:hAnsi="Times New Roman" w:cs="Times New Roman"/>
          <w:b/>
          <w:bCs/>
          <w:color w:val="auto"/>
          <w:sz w:val="22"/>
          <w:szCs w:val="22"/>
        </w:rPr>
        <w:t>LINEX vartoti draudžiama:</w:t>
      </w:r>
    </w:p>
    <w:p w14:paraId="13D3DDAB" w14:textId="77777777" w:rsidR="00435BD8" w:rsidRPr="00435BD8" w:rsidRDefault="00435BD8" w:rsidP="00435BD8">
      <w:pPr>
        <w:pStyle w:val="Pagrindinistekstas"/>
        <w:numPr>
          <w:ilvl w:val="0"/>
          <w:numId w:val="1"/>
        </w:numPr>
        <w:tabs>
          <w:tab w:val="clear" w:pos="720"/>
        </w:tabs>
        <w:spacing w:after="0"/>
        <w:ind w:left="567" w:hanging="567"/>
        <w:contextualSpacing/>
        <w:rPr>
          <w:szCs w:val="22"/>
        </w:rPr>
      </w:pPr>
      <w:r w:rsidRPr="00435BD8">
        <w:rPr>
          <w:szCs w:val="22"/>
        </w:rPr>
        <w:t>jeigu yra alergija veikliosioms medžiagoms, pieno baltymams arba bet kuriai pagalbinei šio vaisto medžiagai (jos išvardytos 6 skyriuje).</w:t>
      </w:r>
    </w:p>
    <w:p w14:paraId="41EBA55D" w14:textId="77777777" w:rsidR="00435BD8" w:rsidRPr="00435BD8" w:rsidRDefault="00435BD8" w:rsidP="00435BD8">
      <w:pPr>
        <w:pStyle w:val="Pagrindinistekstas"/>
        <w:spacing w:after="0"/>
        <w:contextualSpacing/>
        <w:rPr>
          <w:szCs w:val="22"/>
        </w:rPr>
      </w:pPr>
      <w:r w:rsidRPr="00435BD8">
        <w:rPr>
          <w:szCs w:val="22"/>
        </w:rPr>
        <w:t xml:space="preserve"> </w:t>
      </w:r>
    </w:p>
    <w:p w14:paraId="0833BC20" w14:textId="77777777" w:rsidR="00435BD8" w:rsidRPr="00435BD8" w:rsidRDefault="00435BD8" w:rsidP="00435BD8">
      <w:pPr>
        <w:pStyle w:val="Default"/>
        <w:contextualSpacing/>
        <w:rPr>
          <w:color w:val="auto"/>
          <w:sz w:val="22"/>
          <w:szCs w:val="22"/>
        </w:rPr>
      </w:pPr>
      <w:r w:rsidRPr="00435BD8">
        <w:rPr>
          <w:b/>
          <w:bCs/>
          <w:color w:val="auto"/>
          <w:sz w:val="22"/>
          <w:szCs w:val="22"/>
        </w:rPr>
        <w:t xml:space="preserve">Įspėjimai ir atsargumo priemonės </w:t>
      </w:r>
    </w:p>
    <w:p w14:paraId="43C4DB36" w14:textId="77777777" w:rsidR="00435BD8" w:rsidRPr="00435BD8" w:rsidRDefault="00435BD8" w:rsidP="00435BD8">
      <w:pPr>
        <w:pStyle w:val="Pagrindinistekstas"/>
        <w:spacing w:after="0"/>
        <w:contextualSpacing/>
        <w:rPr>
          <w:szCs w:val="22"/>
        </w:rPr>
      </w:pPr>
      <w:r w:rsidRPr="00435BD8">
        <w:rPr>
          <w:szCs w:val="22"/>
        </w:rPr>
        <w:t>Pasitarkite su gydytoju arba vaistininku, prieš pradėdami vartoti LINEX:</w:t>
      </w:r>
    </w:p>
    <w:p w14:paraId="721A7A4F" w14:textId="77777777" w:rsidR="00435BD8" w:rsidRPr="00435BD8" w:rsidRDefault="00435BD8" w:rsidP="00435BD8">
      <w:pPr>
        <w:pStyle w:val="Pagrindinistekstas"/>
        <w:numPr>
          <w:ilvl w:val="0"/>
          <w:numId w:val="2"/>
        </w:numPr>
        <w:tabs>
          <w:tab w:val="clear" w:pos="360"/>
        </w:tabs>
        <w:spacing w:after="0"/>
        <w:ind w:left="567" w:hanging="567"/>
        <w:contextualSpacing/>
        <w:rPr>
          <w:szCs w:val="22"/>
        </w:rPr>
      </w:pPr>
      <w:r w:rsidRPr="00435BD8">
        <w:rPr>
          <w:szCs w:val="22"/>
        </w:rPr>
        <w:t>jeigu Jūsų kūno temperatūra viršija 38 °C;</w:t>
      </w:r>
    </w:p>
    <w:p w14:paraId="7CD324C7" w14:textId="77777777" w:rsidR="00435BD8" w:rsidRPr="00435BD8" w:rsidRDefault="00435BD8" w:rsidP="00435BD8">
      <w:pPr>
        <w:pStyle w:val="Pagrindinistekstas"/>
        <w:numPr>
          <w:ilvl w:val="0"/>
          <w:numId w:val="2"/>
        </w:numPr>
        <w:tabs>
          <w:tab w:val="clear" w:pos="360"/>
        </w:tabs>
        <w:spacing w:after="0"/>
        <w:ind w:left="567" w:hanging="567"/>
        <w:contextualSpacing/>
        <w:rPr>
          <w:szCs w:val="22"/>
        </w:rPr>
      </w:pPr>
      <w:r w:rsidRPr="00435BD8">
        <w:rPr>
          <w:szCs w:val="22"/>
        </w:rPr>
        <w:t>jeigu išmatose pastebėjote kraujo ar gleivių;</w:t>
      </w:r>
    </w:p>
    <w:p w14:paraId="4B36DEB4" w14:textId="77777777" w:rsidR="00435BD8" w:rsidRPr="00435BD8" w:rsidRDefault="00435BD8" w:rsidP="00435BD8">
      <w:pPr>
        <w:pStyle w:val="Pagrindinistekstas"/>
        <w:numPr>
          <w:ilvl w:val="0"/>
          <w:numId w:val="2"/>
        </w:numPr>
        <w:tabs>
          <w:tab w:val="clear" w:pos="360"/>
        </w:tabs>
        <w:spacing w:after="0"/>
        <w:ind w:left="567" w:hanging="567"/>
        <w:contextualSpacing/>
        <w:rPr>
          <w:szCs w:val="22"/>
        </w:rPr>
      </w:pPr>
      <w:r w:rsidRPr="00435BD8">
        <w:rPr>
          <w:szCs w:val="22"/>
        </w:rPr>
        <w:t>jeigu viduriuojate ilgiau kaip dvi dienas;</w:t>
      </w:r>
    </w:p>
    <w:p w14:paraId="130A7556" w14:textId="77777777" w:rsidR="00435BD8" w:rsidRPr="00435BD8" w:rsidRDefault="00435BD8" w:rsidP="00435BD8">
      <w:pPr>
        <w:pStyle w:val="Pagrindinistekstas"/>
        <w:numPr>
          <w:ilvl w:val="0"/>
          <w:numId w:val="2"/>
        </w:numPr>
        <w:tabs>
          <w:tab w:val="clear" w:pos="360"/>
        </w:tabs>
        <w:spacing w:after="0"/>
        <w:ind w:left="567" w:hanging="567"/>
        <w:contextualSpacing/>
        <w:rPr>
          <w:szCs w:val="22"/>
        </w:rPr>
      </w:pPr>
      <w:r w:rsidRPr="00435BD8">
        <w:rPr>
          <w:szCs w:val="22"/>
        </w:rPr>
        <w:t>jeigu labai viduriuojate, netekote daug skysčių ir sumažėjo kūno svoris;</w:t>
      </w:r>
    </w:p>
    <w:p w14:paraId="134424D5" w14:textId="77777777" w:rsidR="00435BD8" w:rsidRPr="00435BD8" w:rsidRDefault="00435BD8" w:rsidP="00435BD8">
      <w:pPr>
        <w:pStyle w:val="Pagrindinistekstas"/>
        <w:numPr>
          <w:ilvl w:val="0"/>
          <w:numId w:val="2"/>
        </w:numPr>
        <w:tabs>
          <w:tab w:val="clear" w:pos="360"/>
        </w:tabs>
        <w:spacing w:after="0"/>
        <w:ind w:left="567" w:hanging="567"/>
        <w:contextualSpacing/>
        <w:rPr>
          <w:szCs w:val="22"/>
        </w:rPr>
      </w:pPr>
      <w:r w:rsidRPr="00435BD8">
        <w:rPr>
          <w:szCs w:val="22"/>
        </w:rPr>
        <w:t>jeigu viduriuojate ir labai skauda pilvą;</w:t>
      </w:r>
    </w:p>
    <w:p w14:paraId="3845C8E2" w14:textId="77777777" w:rsidR="00435BD8" w:rsidRPr="00435BD8" w:rsidRDefault="00435BD8" w:rsidP="00435BD8">
      <w:pPr>
        <w:pStyle w:val="Pagrindinistekstas"/>
        <w:numPr>
          <w:ilvl w:val="0"/>
          <w:numId w:val="2"/>
        </w:numPr>
        <w:tabs>
          <w:tab w:val="clear" w:pos="360"/>
        </w:tabs>
        <w:spacing w:after="0"/>
        <w:ind w:left="567" w:hanging="567"/>
        <w:contextualSpacing/>
        <w:rPr>
          <w:szCs w:val="22"/>
        </w:rPr>
      </w:pPr>
      <w:r w:rsidRPr="00435BD8">
        <w:rPr>
          <w:szCs w:val="22"/>
        </w:rPr>
        <w:t>jeigu sergate lėtine liga (pvz., diabetu) arba Jūsų imuninė sistema susilpnėjusi (pvz., sergate ŽIV, AIDS).</w:t>
      </w:r>
    </w:p>
    <w:p w14:paraId="68386735" w14:textId="77777777" w:rsidR="00435BD8" w:rsidRPr="00435BD8" w:rsidRDefault="00435BD8" w:rsidP="00435BD8">
      <w:pPr>
        <w:pStyle w:val="Pagrindinistekstas"/>
        <w:spacing w:after="0"/>
        <w:contextualSpacing/>
        <w:rPr>
          <w:szCs w:val="22"/>
        </w:rPr>
      </w:pPr>
    </w:p>
    <w:p w14:paraId="56DC45AD" w14:textId="77777777" w:rsidR="00435BD8" w:rsidRPr="00435BD8" w:rsidRDefault="00435BD8" w:rsidP="00435BD8">
      <w:pPr>
        <w:pStyle w:val="Pagrindinistekstas"/>
        <w:spacing w:after="0"/>
        <w:contextualSpacing/>
        <w:rPr>
          <w:szCs w:val="22"/>
        </w:rPr>
      </w:pPr>
      <w:r w:rsidRPr="00435BD8">
        <w:rPr>
          <w:szCs w:val="22"/>
        </w:rPr>
        <w:t>Gydant viduriavimą, svarbiausia priemonė yra palaikyti reikiamą skysčių bei druskų kiekį.</w:t>
      </w:r>
    </w:p>
    <w:p w14:paraId="5B69ED7D" w14:textId="77777777" w:rsidR="00435BD8" w:rsidRPr="00435BD8" w:rsidRDefault="00435BD8" w:rsidP="00435BD8">
      <w:pPr>
        <w:pStyle w:val="Pagrindinistekstas"/>
        <w:spacing w:after="0"/>
        <w:contextualSpacing/>
        <w:rPr>
          <w:b/>
          <w:bCs/>
          <w:szCs w:val="22"/>
        </w:rPr>
      </w:pPr>
    </w:p>
    <w:p w14:paraId="09C8C6FB" w14:textId="77777777" w:rsidR="00435BD8" w:rsidRPr="00435BD8" w:rsidRDefault="00435BD8" w:rsidP="00435BD8">
      <w:pPr>
        <w:pStyle w:val="Pagrindinistekstas"/>
        <w:spacing w:after="0"/>
        <w:contextualSpacing/>
        <w:rPr>
          <w:szCs w:val="22"/>
        </w:rPr>
      </w:pPr>
      <w:r w:rsidRPr="00435BD8">
        <w:rPr>
          <w:b/>
          <w:bCs/>
          <w:szCs w:val="22"/>
        </w:rPr>
        <w:t>Vaikams</w:t>
      </w:r>
    </w:p>
    <w:p w14:paraId="7686343E" w14:textId="77777777" w:rsidR="00435BD8" w:rsidRPr="00435BD8" w:rsidRDefault="00435BD8" w:rsidP="00435BD8">
      <w:pPr>
        <w:pStyle w:val="Pagrindinistekstas"/>
        <w:spacing w:after="0"/>
        <w:contextualSpacing/>
        <w:rPr>
          <w:szCs w:val="22"/>
        </w:rPr>
      </w:pPr>
      <w:r w:rsidRPr="00435BD8">
        <w:rPr>
          <w:szCs w:val="22"/>
        </w:rPr>
        <w:t>Gydant kūdikių ir vaikų, jaunesnių kaip 3 metų, viduriavimą, būtina gydytojo priežiūra.</w:t>
      </w:r>
    </w:p>
    <w:p w14:paraId="158F1D0C" w14:textId="77777777" w:rsidR="00435BD8" w:rsidRPr="00435BD8" w:rsidRDefault="00435BD8" w:rsidP="00435BD8">
      <w:pPr>
        <w:pStyle w:val="Pagrindinistekstas"/>
        <w:spacing w:after="0"/>
        <w:contextualSpacing/>
        <w:rPr>
          <w:szCs w:val="22"/>
        </w:rPr>
      </w:pPr>
    </w:p>
    <w:p w14:paraId="2E5A05D7" w14:textId="77777777" w:rsidR="00435BD8" w:rsidRPr="00435BD8" w:rsidRDefault="00435BD8" w:rsidP="00435BD8">
      <w:pPr>
        <w:pStyle w:val="Antrat3"/>
        <w:spacing w:before="0" w:after="0"/>
        <w:contextualSpacing/>
        <w:rPr>
          <w:rFonts w:ascii="Times New Roman" w:hAnsi="Times New Roman" w:cs="Times New Roman"/>
          <w:b/>
          <w:bCs/>
          <w:color w:val="auto"/>
          <w:sz w:val="22"/>
          <w:szCs w:val="22"/>
        </w:rPr>
      </w:pPr>
      <w:r w:rsidRPr="00435BD8">
        <w:rPr>
          <w:rFonts w:ascii="Times New Roman" w:hAnsi="Times New Roman" w:cs="Times New Roman"/>
          <w:b/>
          <w:bCs/>
          <w:color w:val="auto"/>
          <w:sz w:val="22"/>
          <w:szCs w:val="22"/>
        </w:rPr>
        <w:t>Kiti vaistai ir LINEX</w:t>
      </w:r>
    </w:p>
    <w:p w14:paraId="4E9ED096" w14:textId="77777777" w:rsidR="00435BD8" w:rsidRPr="00435BD8" w:rsidRDefault="00435BD8" w:rsidP="00435BD8">
      <w:pPr>
        <w:pStyle w:val="Pagrindinistekstas"/>
        <w:spacing w:after="0"/>
        <w:contextualSpacing/>
        <w:rPr>
          <w:szCs w:val="22"/>
        </w:rPr>
      </w:pPr>
      <w:r w:rsidRPr="00435BD8">
        <w:rPr>
          <w:szCs w:val="22"/>
        </w:rPr>
        <w:t xml:space="preserve">Jeigu vartojate ar neseniai vartojote kitų vaistų arba dėl to nesate tikri, apie tai pasakykite gydytojui arba vaistininkui. </w:t>
      </w:r>
    </w:p>
    <w:p w14:paraId="3DB4EF45" w14:textId="77777777" w:rsidR="00435BD8" w:rsidRPr="00435BD8" w:rsidRDefault="00435BD8" w:rsidP="00435BD8">
      <w:pPr>
        <w:pStyle w:val="Pagrindinistekstas"/>
        <w:spacing w:after="0"/>
        <w:contextualSpacing/>
        <w:rPr>
          <w:szCs w:val="22"/>
        </w:rPr>
      </w:pPr>
      <w:r w:rsidRPr="00435BD8">
        <w:rPr>
          <w:szCs w:val="22"/>
        </w:rPr>
        <w:t>LINEX ir kitų vaistų sąveikos tyrimų neatlikta.</w:t>
      </w:r>
    </w:p>
    <w:p w14:paraId="614C0FAB" w14:textId="77777777" w:rsidR="00435BD8" w:rsidRPr="00435BD8" w:rsidRDefault="00435BD8" w:rsidP="00435BD8">
      <w:pPr>
        <w:pStyle w:val="Pagrindinistekstas"/>
        <w:spacing w:after="0"/>
        <w:contextualSpacing/>
        <w:rPr>
          <w:szCs w:val="22"/>
        </w:rPr>
      </w:pPr>
    </w:p>
    <w:p w14:paraId="3E01F8A6" w14:textId="77777777" w:rsidR="00435BD8" w:rsidRPr="00435BD8" w:rsidRDefault="00435BD8" w:rsidP="00435BD8">
      <w:pPr>
        <w:pStyle w:val="Antrat3"/>
        <w:spacing w:before="0" w:after="0"/>
        <w:contextualSpacing/>
        <w:rPr>
          <w:rFonts w:ascii="Times New Roman" w:hAnsi="Times New Roman" w:cs="Times New Roman"/>
          <w:b/>
          <w:bCs/>
          <w:color w:val="auto"/>
          <w:sz w:val="22"/>
          <w:szCs w:val="22"/>
        </w:rPr>
      </w:pPr>
      <w:r w:rsidRPr="00435BD8">
        <w:rPr>
          <w:rFonts w:ascii="Times New Roman" w:hAnsi="Times New Roman" w:cs="Times New Roman"/>
          <w:b/>
          <w:bCs/>
          <w:color w:val="auto"/>
          <w:sz w:val="22"/>
          <w:szCs w:val="22"/>
        </w:rPr>
        <w:t>LINEX vartojimas su maistu, gėrimais ir alkoholiu</w:t>
      </w:r>
    </w:p>
    <w:p w14:paraId="6CACD6DD" w14:textId="77777777" w:rsidR="00435BD8" w:rsidRPr="00435BD8" w:rsidRDefault="00435BD8" w:rsidP="00435BD8">
      <w:pPr>
        <w:pStyle w:val="Pagrindinistekstas"/>
        <w:spacing w:after="0"/>
        <w:contextualSpacing/>
        <w:rPr>
          <w:szCs w:val="22"/>
        </w:rPr>
      </w:pPr>
      <w:r w:rsidRPr="00435BD8">
        <w:rPr>
          <w:szCs w:val="22"/>
        </w:rPr>
        <w:t>LINEX rekomenduojama vartoti po valgio.</w:t>
      </w:r>
    </w:p>
    <w:p w14:paraId="3DBBBEF7" w14:textId="77777777" w:rsidR="00435BD8" w:rsidRPr="00435BD8" w:rsidRDefault="00435BD8" w:rsidP="00435BD8">
      <w:pPr>
        <w:pStyle w:val="Pagrindinistekstas"/>
        <w:spacing w:after="0"/>
        <w:contextualSpacing/>
        <w:rPr>
          <w:szCs w:val="22"/>
        </w:rPr>
      </w:pPr>
      <w:r w:rsidRPr="00435BD8">
        <w:rPr>
          <w:szCs w:val="22"/>
        </w:rPr>
        <w:t>LINEX negalima vartoti su alkoholiu ar karštais gėrimais.</w:t>
      </w:r>
    </w:p>
    <w:p w14:paraId="6699EC1C" w14:textId="77777777" w:rsidR="00435BD8" w:rsidRPr="00435BD8" w:rsidRDefault="00435BD8" w:rsidP="00435BD8">
      <w:pPr>
        <w:pStyle w:val="Pagrindinistekstas"/>
        <w:spacing w:after="0"/>
        <w:contextualSpacing/>
        <w:rPr>
          <w:szCs w:val="22"/>
        </w:rPr>
      </w:pPr>
    </w:p>
    <w:p w14:paraId="3A03DAF8" w14:textId="77777777" w:rsidR="00435BD8" w:rsidRPr="00435BD8" w:rsidRDefault="00435BD8" w:rsidP="00435BD8">
      <w:pPr>
        <w:pStyle w:val="Antrat3"/>
        <w:spacing w:before="0" w:after="0"/>
        <w:contextualSpacing/>
        <w:rPr>
          <w:rFonts w:ascii="Times New Roman" w:hAnsi="Times New Roman" w:cs="Times New Roman"/>
          <w:b/>
          <w:bCs/>
          <w:color w:val="auto"/>
          <w:sz w:val="22"/>
          <w:szCs w:val="22"/>
        </w:rPr>
      </w:pPr>
      <w:r w:rsidRPr="00435BD8">
        <w:rPr>
          <w:rFonts w:ascii="Times New Roman" w:hAnsi="Times New Roman" w:cs="Times New Roman"/>
          <w:b/>
          <w:bCs/>
          <w:color w:val="auto"/>
          <w:sz w:val="22"/>
          <w:szCs w:val="22"/>
        </w:rPr>
        <w:t>Nėštumas ir žindymo laikotarpis</w:t>
      </w:r>
    </w:p>
    <w:p w14:paraId="40F42C0B" w14:textId="77777777" w:rsidR="00435BD8" w:rsidRPr="00435BD8" w:rsidRDefault="00435BD8" w:rsidP="00435BD8">
      <w:pPr>
        <w:contextualSpacing/>
        <w:rPr>
          <w:szCs w:val="22"/>
        </w:rPr>
      </w:pPr>
      <w:r w:rsidRPr="00435BD8">
        <w:rPr>
          <w:szCs w:val="22"/>
        </w:rPr>
        <w:t xml:space="preserve">Jeigu esate nėščia, žindote kūdikį, manote, kad galbūt esate nėščia, arba planuojate pastoti, tai prieš vartodama šį vaistą, pasitarkite su gydytoju arba vaistininku. </w:t>
      </w:r>
    </w:p>
    <w:p w14:paraId="724A7490" w14:textId="77777777" w:rsidR="00435BD8" w:rsidRPr="00435BD8" w:rsidRDefault="00435BD8" w:rsidP="00435BD8">
      <w:pPr>
        <w:contextualSpacing/>
        <w:rPr>
          <w:szCs w:val="22"/>
        </w:rPr>
      </w:pPr>
      <w:r w:rsidRPr="00435BD8">
        <w:rPr>
          <w:szCs w:val="22"/>
        </w:rPr>
        <w:t>Gydant viduriavimą nėštumo ir žindymo laikotarpiu, būtina gydytojo priežiūra.</w:t>
      </w:r>
    </w:p>
    <w:p w14:paraId="2D66BEF6" w14:textId="77777777" w:rsidR="00435BD8" w:rsidRPr="00435BD8" w:rsidRDefault="00435BD8" w:rsidP="00435BD8">
      <w:pPr>
        <w:contextualSpacing/>
        <w:rPr>
          <w:szCs w:val="22"/>
        </w:rPr>
      </w:pPr>
      <w:r w:rsidRPr="00435BD8">
        <w:rPr>
          <w:szCs w:val="22"/>
        </w:rPr>
        <w:t>Kadangi klinikinių duomenų apie LINEX vartojimą nėštumo metu nėra, nėščioms bei žindančioms moterims šio vaisto skiriama atsargiai.</w:t>
      </w:r>
    </w:p>
    <w:p w14:paraId="59B8A694" w14:textId="77777777" w:rsidR="00435BD8" w:rsidRPr="00435BD8" w:rsidRDefault="00435BD8" w:rsidP="00435BD8">
      <w:pPr>
        <w:pStyle w:val="Pagrindinistekstas"/>
        <w:spacing w:after="0"/>
        <w:contextualSpacing/>
        <w:rPr>
          <w:szCs w:val="22"/>
        </w:rPr>
      </w:pPr>
    </w:p>
    <w:p w14:paraId="1BDB52FC" w14:textId="77777777" w:rsidR="00435BD8" w:rsidRPr="00435BD8" w:rsidRDefault="00435BD8" w:rsidP="00435BD8">
      <w:pPr>
        <w:pStyle w:val="Antrat3"/>
        <w:spacing w:before="0" w:after="0"/>
        <w:contextualSpacing/>
        <w:rPr>
          <w:rFonts w:ascii="Times New Roman" w:hAnsi="Times New Roman" w:cs="Times New Roman"/>
          <w:b/>
          <w:bCs/>
          <w:color w:val="auto"/>
          <w:sz w:val="22"/>
          <w:szCs w:val="22"/>
        </w:rPr>
      </w:pPr>
      <w:r w:rsidRPr="00435BD8">
        <w:rPr>
          <w:rFonts w:ascii="Times New Roman" w:hAnsi="Times New Roman" w:cs="Times New Roman"/>
          <w:b/>
          <w:bCs/>
          <w:color w:val="auto"/>
          <w:sz w:val="22"/>
          <w:szCs w:val="22"/>
        </w:rPr>
        <w:t>Vairavimas ir mechanizmų valdymas</w:t>
      </w:r>
    </w:p>
    <w:p w14:paraId="480B5182" w14:textId="77777777" w:rsidR="00435BD8" w:rsidRPr="00435BD8" w:rsidRDefault="00435BD8" w:rsidP="00435BD8">
      <w:pPr>
        <w:pStyle w:val="Pagrindinistekstas"/>
        <w:spacing w:after="0"/>
        <w:contextualSpacing/>
        <w:rPr>
          <w:szCs w:val="22"/>
        </w:rPr>
      </w:pPr>
      <w:r w:rsidRPr="00435BD8">
        <w:rPr>
          <w:szCs w:val="22"/>
        </w:rPr>
        <w:t>Neigiamo LINEX poveikio gebėjimui vairuoti bei valdyti mechanizmus nepastebėta.</w:t>
      </w:r>
    </w:p>
    <w:p w14:paraId="7542B866" w14:textId="77777777" w:rsidR="00435BD8" w:rsidRPr="00435BD8" w:rsidRDefault="00435BD8" w:rsidP="00435BD8">
      <w:pPr>
        <w:pStyle w:val="Pagrindinistekstas"/>
        <w:spacing w:after="0"/>
        <w:contextualSpacing/>
        <w:rPr>
          <w:b/>
          <w:szCs w:val="22"/>
        </w:rPr>
      </w:pPr>
    </w:p>
    <w:p w14:paraId="1BA90889" w14:textId="77777777" w:rsidR="00435BD8" w:rsidRPr="00435BD8" w:rsidRDefault="00435BD8" w:rsidP="00435BD8">
      <w:pPr>
        <w:pStyle w:val="Pagrindinistekstas"/>
        <w:spacing w:after="0"/>
        <w:contextualSpacing/>
        <w:rPr>
          <w:b/>
          <w:szCs w:val="22"/>
        </w:rPr>
      </w:pPr>
      <w:r w:rsidRPr="00435BD8">
        <w:rPr>
          <w:b/>
          <w:szCs w:val="22"/>
        </w:rPr>
        <w:t>LINEX sudėtyje yra laktozės</w:t>
      </w:r>
    </w:p>
    <w:p w14:paraId="3EB91D67" w14:textId="77777777" w:rsidR="00435BD8" w:rsidRPr="00435BD8" w:rsidRDefault="00435BD8" w:rsidP="00435BD8">
      <w:pPr>
        <w:tabs>
          <w:tab w:val="left" w:pos="567"/>
        </w:tabs>
        <w:contextualSpacing/>
        <w:rPr>
          <w:szCs w:val="22"/>
          <w:lang w:eastAsia="en-US"/>
        </w:rPr>
      </w:pPr>
      <w:r w:rsidRPr="00435BD8">
        <w:rPr>
          <w:szCs w:val="22"/>
        </w:rPr>
        <w:t xml:space="preserve">Vienoje LINEX kapsulėje yra 14 mg laktozės. </w:t>
      </w:r>
      <w:r w:rsidRPr="00435BD8">
        <w:rPr>
          <w:szCs w:val="22"/>
          <w:lang w:eastAsia="en-US"/>
        </w:rPr>
        <w:t>Jeigu gydytojas Jums yra sakęs, kad netoleruojate kokių nors angliavandenių, kreipkitės į jį prieš pradėdami vartoti šį vaistą.</w:t>
      </w:r>
    </w:p>
    <w:p w14:paraId="5EA9C3A5" w14:textId="77777777" w:rsidR="00435BD8" w:rsidRPr="00435BD8" w:rsidRDefault="00435BD8" w:rsidP="00435BD8">
      <w:pPr>
        <w:pStyle w:val="Pagrindinistekstas"/>
        <w:spacing w:after="0"/>
        <w:contextualSpacing/>
        <w:rPr>
          <w:szCs w:val="22"/>
        </w:rPr>
      </w:pPr>
    </w:p>
    <w:p w14:paraId="31C378DE" w14:textId="77777777" w:rsidR="00435BD8" w:rsidRPr="00435BD8" w:rsidRDefault="00435BD8" w:rsidP="00435BD8">
      <w:pPr>
        <w:pStyle w:val="Pagrindinistekstas"/>
        <w:spacing w:after="0"/>
        <w:contextualSpacing/>
        <w:rPr>
          <w:szCs w:val="22"/>
        </w:rPr>
      </w:pPr>
    </w:p>
    <w:p w14:paraId="3300B404" w14:textId="77777777" w:rsidR="00435BD8" w:rsidRPr="00435BD8" w:rsidRDefault="00435BD8" w:rsidP="00435BD8">
      <w:pPr>
        <w:pStyle w:val="Antrat2"/>
        <w:spacing w:before="0" w:after="0"/>
        <w:ind w:left="567" w:hanging="567"/>
        <w:contextualSpacing/>
        <w:rPr>
          <w:rFonts w:ascii="Times New Roman" w:hAnsi="Times New Roman" w:cs="Times New Roman"/>
          <w:b/>
          <w:bCs/>
          <w:color w:val="auto"/>
          <w:sz w:val="22"/>
          <w:szCs w:val="22"/>
        </w:rPr>
      </w:pPr>
      <w:r w:rsidRPr="00435BD8">
        <w:rPr>
          <w:rFonts w:ascii="Times New Roman" w:hAnsi="Times New Roman" w:cs="Times New Roman"/>
          <w:b/>
          <w:bCs/>
          <w:color w:val="auto"/>
          <w:sz w:val="22"/>
          <w:szCs w:val="22"/>
        </w:rPr>
        <w:t xml:space="preserve">3. </w:t>
      </w:r>
      <w:r w:rsidRPr="00435BD8">
        <w:rPr>
          <w:rFonts w:ascii="Times New Roman" w:hAnsi="Times New Roman" w:cs="Times New Roman"/>
          <w:b/>
          <w:bCs/>
          <w:color w:val="auto"/>
          <w:sz w:val="22"/>
          <w:szCs w:val="22"/>
        </w:rPr>
        <w:tab/>
        <w:t>Kaip vartoti LINEX</w:t>
      </w:r>
    </w:p>
    <w:p w14:paraId="3D06CF5A" w14:textId="77777777" w:rsidR="00435BD8" w:rsidRPr="00435BD8" w:rsidRDefault="00435BD8" w:rsidP="00435BD8">
      <w:pPr>
        <w:pStyle w:val="Pagrindinistekstas"/>
        <w:spacing w:after="0"/>
        <w:contextualSpacing/>
        <w:rPr>
          <w:szCs w:val="22"/>
        </w:rPr>
      </w:pPr>
    </w:p>
    <w:p w14:paraId="494D77A0" w14:textId="77777777" w:rsidR="00435BD8" w:rsidRPr="00435BD8" w:rsidRDefault="00435BD8" w:rsidP="00435BD8">
      <w:pPr>
        <w:pStyle w:val="Pagrindinistekstas"/>
        <w:spacing w:after="0"/>
        <w:contextualSpacing/>
        <w:rPr>
          <w:szCs w:val="22"/>
        </w:rPr>
      </w:pPr>
      <w:r w:rsidRPr="00435BD8">
        <w:rPr>
          <w:szCs w:val="22"/>
        </w:rPr>
        <w:t>Visada vartokite šį vaistą tiksliai, kaip aprašyta šiame lapelyje arba kaip nurodė gydytojas arba vaistininkas. Jeigu abejojate, kreipkitės į gydytoją arba vaistininką.</w:t>
      </w:r>
    </w:p>
    <w:p w14:paraId="3BF31D5A" w14:textId="77777777" w:rsidR="00435BD8" w:rsidRPr="00435BD8" w:rsidRDefault="00435BD8" w:rsidP="00435BD8">
      <w:pPr>
        <w:pStyle w:val="Pagrindinistekstas"/>
        <w:spacing w:after="0"/>
        <w:contextualSpacing/>
        <w:rPr>
          <w:szCs w:val="22"/>
        </w:rPr>
      </w:pPr>
    </w:p>
    <w:p w14:paraId="78B9D292" w14:textId="77777777" w:rsidR="00435BD8" w:rsidRPr="00435BD8" w:rsidRDefault="00435BD8" w:rsidP="00435BD8">
      <w:pPr>
        <w:pStyle w:val="Pagrindinistekstas"/>
        <w:spacing w:after="0"/>
        <w:contextualSpacing/>
        <w:rPr>
          <w:i/>
          <w:szCs w:val="22"/>
          <w:u w:val="single"/>
        </w:rPr>
      </w:pPr>
      <w:r w:rsidRPr="00435BD8">
        <w:rPr>
          <w:i/>
          <w:szCs w:val="22"/>
          <w:u w:val="single"/>
        </w:rPr>
        <w:t>Kaip vartoti kapsules:</w:t>
      </w:r>
    </w:p>
    <w:p w14:paraId="0BD012D1" w14:textId="77777777" w:rsidR="00435BD8" w:rsidRPr="00435BD8" w:rsidRDefault="00435BD8" w:rsidP="00435BD8">
      <w:pPr>
        <w:pStyle w:val="Pagrindinistekstas"/>
        <w:numPr>
          <w:ilvl w:val="0"/>
          <w:numId w:val="6"/>
        </w:numPr>
        <w:spacing w:after="0"/>
        <w:contextualSpacing/>
        <w:rPr>
          <w:szCs w:val="22"/>
        </w:rPr>
      </w:pPr>
      <w:r w:rsidRPr="00435BD8">
        <w:rPr>
          <w:szCs w:val="22"/>
        </w:rPr>
        <w:t>LINEX reikia nuryti užgeriant stikline vandens.</w:t>
      </w:r>
    </w:p>
    <w:p w14:paraId="486EA56E" w14:textId="77777777" w:rsidR="00435BD8" w:rsidRPr="00435BD8" w:rsidRDefault="00435BD8" w:rsidP="00435BD8">
      <w:pPr>
        <w:pStyle w:val="Pagrindinistekstas"/>
        <w:numPr>
          <w:ilvl w:val="0"/>
          <w:numId w:val="6"/>
        </w:numPr>
        <w:spacing w:after="0"/>
        <w:contextualSpacing/>
        <w:rPr>
          <w:szCs w:val="22"/>
        </w:rPr>
      </w:pPr>
      <w:r w:rsidRPr="00435BD8">
        <w:rPr>
          <w:szCs w:val="22"/>
        </w:rPr>
        <w:t>Kapsules rekomenduojama vartoti po valgio.</w:t>
      </w:r>
    </w:p>
    <w:p w14:paraId="57CD4E11" w14:textId="77777777" w:rsidR="00435BD8" w:rsidRPr="00435BD8" w:rsidRDefault="00435BD8" w:rsidP="00435BD8">
      <w:pPr>
        <w:pStyle w:val="Pagrindinistekstas"/>
        <w:numPr>
          <w:ilvl w:val="0"/>
          <w:numId w:val="6"/>
        </w:numPr>
        <w:spacing w:after="0"/>
        <w:contextualSpacing/>
        <w:rPr>
          <w:szCs w:val="22"/>
        </w:rPr>
      </w:pPr>
      <w:r w:rsidRPr="00435BD8">
        <w:rPr>
          <w:szCs w:val="22"/>
        </w:rPr>
        <w:t>LINEX negalima vartoti kartu su alkoholiu ar karštais gėrimais.</w:t>
      </w:r>
    </w:p>
    <w:p w14:paraId="7A38CB99" w14:textId="77777777" w:rsidR="00435BD8" w:rsidRPr="00435BD8" w:rsidRDefault="00435BD8" w:rsidP="00435BD8">
      <w:pPr>
        <w:pStyle w:val="Pagrindinistekstas"/>
        <w:numPr>
          <w:ilvl w:val="0"/>
          <w:numId w:val="6"/>
        </w:numPr>
        <w:spacing w:after="0"/>
        <w:contextualSpacing/>
        <w:rPr>
          <w:szCs w:val="22"/>
        </w:rPr>
      </w:pPr>
      <w:r w:rsidRPr="00435BD8">
        <w:rPr>
          <w:szCs w:val="22"/>
        </w:rPr>
        <w:t>Jeigu vaikas kapsulės praryti negali arba nemoka, kapsulę reikia atverti, jos turinį (miltelius) išberti į šaukštą ir sumaišyti su tiek skysčio, kad vaikas galėtų nuryti.</w:t>
      </w:r>
    </w:p>
    <w:p w14:paraId="6FE79C39" w14:textId="77777777" w:rsidR="00435BD8" w:rsidRPr="00435BD8" w:rsidRDefault="00435BD8" w:rsidP="00435BD8">
      <w:pPr>
        <w:pStyle w:val="Pagrindinistekstas"/>
        <w:spacing w:after="0"/>
        <w:contextualSpacing/>
        <w:rPr>
          <w:szCs w:val="22"/>
        </w:rPr>
      </w:pPr>
    </w:p>
    <w:p w14:paraId="2361296D" w14:textId="77777777" w:rsidR="00435BD8" w:rsidRPr="00435BD8" w:rsidRDefault="00435BD8" w:rsidP="00435BD8">
      <w:pPr>
        <w:pStyle w:val="Pagrindinistekstas"/>
        <w:spacing w:after="0"/>
        <w:contextualSpacing/>
        <w:rPr>
          <w:i/>
          <w:szCs w:val="22"/>
          <w:u w:val="single"/>
        </w:rPr>
      </w:pPr>
      <w:r w:rsidRPr="00435BD8">
        <w:rPr>
          <w:i/>
          <w:szCs w:val="22"/>
          <w:u w:val="single"/>
        </w:rPr>
        <w:t>Dozavimas ir vartojimo trukmė:</w:t>
      </w:r>
    </w:p>
    <w:p w14:paraId="617EF1AB" w14:textId="77777777" w:rsidR="00435BD8" w:rsidRPr="00435BD8" w:rsidRDefault="00435BD8" w:rsidP="00435BD8">
      <w:pPr>
        <w:pStyle w:val="Pagrindinistekstas"/>
        <w:spacing w:after="0"/>
        <w:contextualSpacing/>
        <w:rPr>
          <w:szCs w:val="22"/>
        </w:rPr>
      </w:pPr>
      <w:r w:rsidRPr="00435BD8">
        <w:rPr>
          <w:b/>
          <w:i/>
          <w:szCs w:val="22"/>
        </w:rPr>
        <w:t>Kūdikiams ir jaunesniems nei 2 metų vaikams:</w:t>
      </w:r>
      <w:r w:rsidRPr="00435BD8">
        <w:rPr>
          <w:i/>
          <w:szCs w:val="22"/>
        </w:rPr>
        <w:t xml:space="preserve"> </w:t>
      </w:r>
      <w:r w:rsidRPr="00435BD8">
        <w:rPr>
          <w:szCs w:val="22"/>
        </w:rPr>
        <w:t>po 1 kapsulę 3 kartus per dieną (pvz., ryte, per pietus ir vakare).</w:t>
      </w:r>
    </w:p>
    <w:p w14:paraId="5E0A1A5D" w14:textId="77777777" w:rsidR="00435BD8" w:rsidRPr="00435BD8" w:rsidRDefault="00435BD8" w:rsidP="00435BD8">
      <w:pPr>
        <w:pStyle w:val="Pagrindinistekstas"/>
        <w:spacing w:after="0"/>
        <w:contextualSpacing/>
        <w:rPr>
          <w:i/>
          <w:szCs w:val="22"/>
        </w:rPr>
      </w:pPr>
    </w:p>
    <w:p w14:paraId="44A25B8B" w14:textId="77777777" w:rsidR="00435BD8" w:rsidRPr="00435BD8" w:rsidRDefault="00435BD8" w:rsidP="00435BD8">
      <w:pPr>
        <w:pStyle w:val="Pagrindinistekstas"/>
        <w:spacing w:after="0"/>
        <w:contextualSpacing/>
        <w:rPr>
          <w:i/>
          <w:szCs w:val="22"/>
        </w:rPr>
      </w:pPr>
      <w:r w:rsidRPr="00435BD8">
        <w:rPr>
          <w:b/>
          <w:i/>
          <w:szCs w:val="22"/>
        </w:rPr>
        <w:t>2</w:t>
      </w:r>
      <w:r w:rsidRPr="00435BD8">
        <w:rPr>
          <w:b/>
          <w:i/>
          <w:szCs w:val="22"/>
        </w:rPr>
        <w:noBreakHyphen/>
        <w:t>12 metų amžiaus vaikams</w:t>
      </w:r>
      <w:r w:rsidRPr="00435BD8">
        <w:rPr>
          <w:i/>
          <w:szCs w:val="22"/>
        </w:rPr>
        <w:t xml:space="preserve">: </w:t>
      </w:r>
      <w:r w:rsidRPr="00435BD8">
        <w:rPr>
          <w:szCs w:val="22"/>
        </w:rPr>
        <w:t>po 1</w:t>
      </w:r>
      <w:r w:rsidRPr="00435BD8">
        <w:rPr>
          <w:szCs w:val="22"/>
        </w:rPr>
        <w:noBreakHyphen/>
        <w:t>2 kapsules 3 kartus per dieną.</w:t>
      </w:r>
    </w:p>
    <w:p w14:paraId="239EC3B5" w14:textId="77777777" w:rsidR="00435BD8" w:rsidRPr="00435BD8" w:rsidRDefault="00435BD8" w:rsidP="00435BD8">
      <w:pPr>
        <w:pStyle w:val="Pagrindinistekstas"/>
        <w:spacing w:after="0"/>
        <w:contextualSpacing/>
        <w:rPr>
          <w:i/>
          <w:szCs w:val="22"/>
        </w:rPr>
      </w:pPr>
    </w:p>
    <w:p w14:paraId="1CC6B2EC" w14:textId="77777777" w:rsidR="00435BD8" w:rsidRPr="00435BD8" w:rsidRDefault="00435BD8" w:rsidP="00435BD8">
      <w:pPr>
        <w:pStyle w:val="Pagrindinistekstas"/>
        <w:spacing w:after="0"/>
        <w:contextualSpacing/>
        <w:rPr>
          <w:szCs w:val="22"/>
        </w:rPr>
      </w:pPr>
      <w:r w:rsidRPr="00435BD8">
        <w:rPr>
          <w:b/>
          <w:i/>
          <w:szCs w:val="22"/>
        </w:rPr>
        <w:t>Suaugusiems ir vaikams, vyresniems nei 12 metų:</w:t>
      </w:r>
      <w:r w:rsidRPr="00435BD8">
        <w:rPr>
          <w:i/>
          <w:szCs w:val="22"/>
        </w:rPr>
        <w:t xml:space="preserve"> </w:t>
      </w:r>
      <w:r w:rsidRPr="00435BD8">
        <w:rPr>
          <w:szCs w:val="22"/>
        </w:rPr>
        <w:t>po 2 kapsules 3 kartus per dieną.</w:t>
      </w:r>
    </w:p>
    <w:p w14:paraId="0DCADC1B" w14:textId="77777777" w:rsidR="00435BD8" w:rsidRPr="00435BD8" w:rsidRDefault="00435BD8" w:rsidP="00435BD8">
      <w:pPr>
        <w:pStyle w:val="Pagrindinistekstas"/>
        <w:spacing w:after="0"/>
        <w:contextualSpacing/>
        <w:rPr>
          <w:szCs w:val="22"/>
        </w:rPr>
      </w:pPr>
    </w:p>
    <w:p w14:paraId="3A6ABF84" w14:textId="77777777" w:rsidR="00435BD8" w:rsidRPr="00435BD8" w:rsidRDefault="00435BD8" w:rsidP="00435BD8">
      <w:pPr>
        <w:pStyle w:val="Pagrindinistekstas"/>
        <w:spacing w:after="0"/>
        <w:contextualSpacing/>
        <w:rPr>
          <w:szCs w:val="22"/>
        </w:rPr>
      </w:pPr>
      <w:r w:rsidRPr="00435BD8">
        <w:rPr>
          <w:szCs w:val="22"/>
        </w:rPr>
        <w:t>Jei po 2 LINEX vartojimo dienų būklė (viduriavimas) nepalengvėjo, kreipkitės į gydytoją. Gydant viduriavimą, labai svarbu atstatyti prarastus skysčius bei druskas.</w:t>
      </w:r>
    </w:p>
    <w:p w14:paraId="2C41FE46" w14:textId="77777777" w:rsidR="00435BD8" w:rsidRPr="00435BD8" w:rsidRDefault="00435BD8" w:rsidP="00435BD8">
      <w:pPr>
        <w:pStyle w:val="Pagrindinistekstas"/>
        <w:spacing w:after="0"/>
        <w:contextualSpacing/>
        <w:rPr>
          <w:szCs w:val="22"/>
        </w:rPr>
      </w:pPr>
    </w:p>
    <w:p w14:paraId="7AC49CAB" w14:textId="77777777" w:rsidR="00435BD8" w:rsidRPr="00435BD8" w:rsidRDefault="00435BD8" w:rsidP="00435BD8">
      <w:pPr>
        <w:pStyle w:val="Antrat3"/>
        <w:spacing w:before="0" w:after="0"/>
        <w:contextualSpacing/>
        <w:rPr>
          <w:rFonts w:ascii="Times New Roman" w:hAnsi="Times New Roman" w:cs="Times New Roman"/>
          <w:b/>
          <w:bCs/>
          <w:color w:val="auto"/>
          <w:sz w:val="22"/>
          <w:szCs w:val="22"/>
        </w:rPr>
      </w:pPr>
      <w:r w:rsidRPr="00435BD8">
        <w:rPr>
          <w:rFonts w:ascii="Times New Roman" w:hAnsi="Times New Roman" w:cs="Times New Roman"/>
          <w:b/>
          <w:bCs/>
          <w:color w:val="auto"/>
          <w:sz w:val="22"/>
          <w:szCs w:val="22"/>
        </w:rPr>
        <w:t>Ką daryti pavartojus per didelę LINEX dozę?</w:t>
      </w:r>
    </w:p>
    <w:p w14:paraId="63BB32C5" w14:textId="77777777" w:rsidR="00435BD8" w:rsidRPr="00435BD8" w:rsidRDefault="00435BD8" w:rsidP="00435BD8">
      <w:pPr>
        <w:pStyle w:val="Pagrindinistekstas"/>
        <w:spacing w:after="0"/>
        <w:contextualSpacing/>
        <w:rPr>
          <w:szCs w:val="22"/>
        </w:rPr>
      </w:pPr>
      <w:r w:rsidRPr="00435BD8">
        <w:rPr>
          <w:szCs w:val="22"/>
        </w:rPr>
        <w:t>Jeigu pavartojus per didelę dozę, pasireiškia šalutinis poveikis, kreipkitės į gydytoją arba vaistininką. Iki šiol nebuvo pranešimų apie perdozavimo atvejus.</w:t>
      </w:r>
    </w:p>
    <w:p w14:paraId="1F97AA14" w14:textId="77777777" w:rsidR="00435BD8" w:rsidRPr="00435BD8" w:rsidRDefault="00435BD8" w:rsidP="00435BD8">
      <w:pPr>
        <w:pStyle w:val="Pagrindinistekstas"/>
        <w:spacing w:after="0"/>
        <w:contextualSpacing/>
        <w:rPr>
          <w:szCs w:val="22"/>
        </w:rPr>
      </w:pPr>
    </w:p>
    <w:p w14:paraId="18647412" w14:textId="77777777" w:rsidR="00435BD8" w:rsidRPr="00435BD8" w:rsidRDefault="00435BD8" w:rsidP="00435BD8">
      <w:pPr>
        <w:pStyle w:val="Antrat3"/>
        <w:spacing w:before="0" w:after="0"/>
        <w:contextualSpacing/>
        <w:rPr>
          <w:rFonts w:ascii="Times New Roman" w:hAnsi="Times New Roman" w:cs="Times New Roman"/>
          <w:b/>
          <w:bCs/>
          <w:color w:val="auto"/>
          <w:sz w:val="22"/>
          <w:szCs w:val="22"/>
        </w:rPr>
      </w:pPr>
      <w:r w:rsidRPr="00435BD8">
        <w:rPr>
          <w:rFonts w:ascii="Times New Roman" w:hAnsi="Times New Roman" w:cs="Times New Roman"/>
          <w:b/>
          <w:bCs/>
          <w:color w:val="auto"/>
          <w:sz w:val="22"/>
          <w:szCs w:val="22"/>
        </w:rPr>
        <w:lastRenderedPageBreak/>
        <w:t>Pamiršus pavartoti LINEX</w:t>
      </w:r>
    </w:p>
    <w:p w14:paraId="60C58FDC" w14:textId="77777777" w:rsidR="00435BD8" w:rsidRPr="00435BD8" w:rsidRDefault="00435BD8" w:rsidP="00435BD8">
      <w:pPr>
        <w:pStyle w:val="Pagrindinistekstas"/>
        <w:spacing w:after="0"/>
        <w:contextualSpacing/>
        <w:rPr>
          <w:szCs w:val="22"/>
        </w:rPr>
      </w:pPr>
      <w:r w:rsidRPr="00435BD8">
        <w:rPr>
          <w:szCs w:val="22"/>
        </w:rPr>
        <w:t xml:space="preserve">Negalima vartoti dvigubos dozės norint kompensuoti praleistą dozę. </w:t>
      </w:r>
    </w:p>
    <w:p w14:paraId="162CC30A" w14:textId="77777777" w:rsidR="00435BD8" w:rsidRPr="00435BD8" w:rsidRDefault="00435BD8" w:rsidP="00435BD8">
      <w:pPr>
        <w:pStyle w:val="Pagrindinistekstas"/>
        <w:spacing w:after="0"/>
        <w:contextualSpacing/>
        <w:rPr>
          <w:szCs w:val="22"/>
        </w:rPr>
      </w:pPr>
      <w:r w:rsidRPr="00435BD8">
        <w:rPr>
          <w:szCs w:val="22"/>
        </w:rPr>
        <w:t>Išgerkite vaisto iš karto, kai tik prisiminsite. Jeigu jau beveik laikas gerti kitą dozę, pamirštą dozę praleiskite ir toliau vartokite vaisto kaip įprasta.</w:t>
      </w:r>
    </w:p>
    <w:p w14:paraId="4E43217C" w14:textId="77777777" w:rsidR="00435BD8" w:rsidRPr="00435BD8" w:rsidRDefault="00435BD8" w:rsidP="00435BD8">
      <w:pPr>
        <w:pStyle w:val="Pagrindinistekstas"/>
        <w:spacing w:after="0"/>
        <w:contextualSpacing/>
        <w:rPr>
          <w:szCs w:val="22"/>
        </w:rPr>
      </w:pPr>
    </w:p>
    <w:p w14:paraId="00687D80" w14:textId="77777777" w:rsidR="00435BD8" w:rsidRPr="00435BD8" w:rsidRDefault="00435BD8" w:rsidP="00435BD8">
      <w:pPr>
        <w:pStyle w:val="Pagrindinistekstas"/>
        <w:spacing w:after="0"/>
        <w:contextualSpacing/>
        <w:rPr>
          <w:szCs w:val="22"/>
        </w:rPr>
      </w:pPr>
      <w:r w:rsidRPr="00435BD8">
        <w:rPr>
          <w:szCs w:val="22"/>
        </w:rPr>
        <w:t>Jeigu kiltų daugiau klausimų dėl šio vaisto vartojimo, kreipkitės į gydytoją arba vaistininką.</w:t>
      </w:r>
    </w:p>
    <w:p w14:paraId="43A336BF" w14:textId="77777777" w:rsidR="00435BD8" w:rsidRPr="00435BD8" w:rsidRDefault="00435BD8" w:rsidP="00435BD8">
      <w:pPr>
        <w:pStyle w:val="Pagrindinistekstas"/>
        <w:spacing w:after="0"/>
        <w:contextualSpacing/>
        <w:rPr>
          <w:szCs w:val="22"/>
        </w:rPr>
      </w:pPr>
    </w:p>
    <w:p w14:paraId="67780D69" w14:textId="77777777" w:rsidR="00435BD8" w:rsidRPr="00435BD8" w:rsidRDefault="00435BD8" w:rsidP="00435BD8">
      <w:pPr>
        <w:pStyle w:val="Pagrindinistekstas"/>
        <w:spacing w:after="0"/>
        <w:contextualSpacing/>
        <w:rPr>
          <w:szCs w:val="22"/>
        </w:rPr>
      </w:pPr>
    </w:p>
    <w:p w14:paraId="03A75D13" w14:textId="77777777" w:rsidR="00435BD8" w:rsidRPr="00435BD8" w:rsidRDefault="00435BD8" w:rsidP="00435BD8">
      <w:pPr>
        <w:pStyle w:val="Antrat2"/>
        <w:tabs>
          <w:tab w:val="left" w:pos="567"/>
        </w:tabs>
        <w:spacing w:before="0" w:after="0"/>
        <w:contextualSpacing/>
        <w:rPr>
          <w:rFonts w:ascii="Times New Roman" w:hAnsi="Times New Roman" w:cs="Times New Roman"/>
          <w:b/>
          <w:bCs/>
          <w:color w:val="auto"/>
          <w:sz w:val="22"/>
          <w:szCs w:val="22"/>
        </w:rPr>
      </w:pPr>
      <w:r w:rsidRPr="00435BD8">
        <w:rPr>
          <w:rFonts w:ascii="Times New Roman" w:hAnsi="Times New Roman" w:cs="Times New Roman"/>
          <w:b/>
          <w:bCs/>
          <w:color w:val="auto"/>
          <w:sz w:val="22"/>
          <w:szCs w:val="22"/>
        </w:rPr>
        <w:t xml:space="preserve">4.  </w:t>
      </w:r>
      <w:r w:rsidRPr="00435BD8">
        <w:rPr>
          <w:rFonts w:ascii="Times New Roman" w:hAnsi="Times New Roman" w:cs="Times New Roman"/>
          <w:b/>
          <w:bCs/>
          <w:color w:val="auto"/>
          <w:sz w:val="22"/>
          <w:szCs w:val="22"/>
        </w:rPr>
        <w:tab/>
        <w:t>Galimas šalutinis poveikis</w:t>
      </w:r>
    </w:p>
    <w:p w14:paraId="46AA52E8" w14:textId="77777777" w:rsidR="00435BD8" w:rsidRPr="00435BD8" w:rsidRDefault="00435BD8" w:rsidP="00435BD8">
      <w:pPr>
        <w:pStyle w:val="Pagrindinistekstas"/>
        <w:spacing w:after="0"/>
        <w:contextualSpacing/>
        <w:rPr>
          <w:szCs w:val="22"/>
        </w:rPr>
      </w:pPr>
    </w:p>
    <w:p w14:paraId="0F3B602E" w14:textId="77777777" w:rsidR="00435BD8" w:rsidRPr="00435BD8" w:rsidRDefault="00435BD8" w:rsidP="00435BD8">
      <w:pPr>
        <w:pStyle w:val="Pagrindinistekstas"/>
        <w:spacing w:after="0"/>
        <w:contextualSpacing/>
        <w:rPr>
          <w:szCs w:val="22"/>
        </w:rPr>
      </w:pPr>
      <w:r w:rsidRPr="00435BD8">
        <w:rPr>
          <w:szCs w:val="22"/>
        </w:rPr>
        <w:t>Šis vaistas, kaip ir visi kiti, gali sukelti šalutinį poveikį, nors jis pasireiškia ne visiems žmonėms.</w:t>
      </w:r>
    </w:p>
    <w:p w14:paraId="73E58CA4" w14:textId="77777777" w:rsidR="00435BD8" w:rsidRPr="00435BD8" w:rsidRDefault="00435BD8" w:rsidP="00435BD8">
      <w:pPr>
        <w:pStyle w:val="Pagrindinistekstas"/>
        <w:spacing w:after="0"/>
        <w:contextualSpacing/>
        <w:rPr>
          <w:szCs w:val="22"/>
        </w:rPr>
      </w:pPr>
    </w:p>
    <w:p w14:paraId="485157CE" w14:textId="77777777" w:rsidR="00435BD8" w:rsidRPr="00435BD8" w:rsidRDefault="00435BD8" w:rsidP="00435BD8">
      <w:pPr>
        <w:pStyle w:val="Pagrindinistekstas"/>
        <w:spacing w:after="0"/>
        <w:contextualSpacing/>
        <w:rPr>
          <w:szCs w:val="22"/>
        </w:rPr>
      </w:pPr>
      <w:r w:rsidRPr="00435BD8">
        <w:rPr>
          <w:szCs w:val="22"/>
        </w:rPr>
        <w:t>Šalutinis poveikis vartojant pieno rūgšties bakterijų pasireiškia labai retai (mažiau nei 1 iš 10000 žmonių).</w:t>
      </w:r>
    </w:p>
    <w:p w14:paraId="73A246C9" w14:textId="77777777" w:rsidR="00435BD8" w:rsidRPr="00435BD8" w:rsidRDefault="00435BD8" w:rsidP="00435BD8">
      <w:pPr>
        <w:pStyle w:val="Pagrindinistekstas"/>
        <w:spacing w:after="0"/>
        <w:contextualSpacing/>
        <w:rPr>
          <w:szCs w:val="22"/>
        </w:rPr>
      </w:pPr>
      <w:r w:rsidRPr="00435BD8">
        <w:rPr>
          <w:szCs w:val="22"/>
        </w:rPr>
        <w:t xml:space="preserve">Gali pasireikšti alerginės reakcijos. </w:t>
      </w:r>
    </w:p>
    <w:p w14:paraId="33827BC4" w14:textId="77777777" w:rsidR="00435BD8" w:rsidRPr="00435BD8" w:rsidRDefault="00435BD8" w:rsidP="00435BD8">
      <w:pPr>
        <w:pStyle w:val="Pagrindinistekstas"/>
        <w:spacing w:after="0"/>
        <w:contextualSpacing/>
        <w:rPr>
          <w:szCs w:val="22"/>
        </w:rPr>
      </w:pPr>
    </w:p>
    <w:p w14:paraId="2FD2D3AA" w14:textId="77777777" w:rsidR="00435BD8" w:rsidRPr="00435BD8" w:rsidRDefault="00435BD8" w:rsidP="00435BD8">
      <w:pPr>
        <w:pStyle w:val="Default"/>
        <w:contextualSpacing/>
        <w:rPr>
          <w:color w:val="auto"/>
          <w:sz w:val="22"/>
          <w:szCs w:val="22"/>
        </w:rPr>
      </w:pPr>
      <w:r w:rsidRPr="00435BD8">
        <w:rPr>
          <w:b/>
          <w:bCs/>
          <w:color w:val="auto"/>
          <w:sz w:val="22"/>
          <w:szCs w:val="22"/>
        </w:rPr>
        <w:t xml:space="preserve">Pranešimas apie šalutinį poveikį </w:t>
      </w:r>
    </w:p>
    <w:p w14:paraId="460EE2D8" w14:textId="77777777" w:rsidR="00435BD8" w:rsidRPr="00435BD8" w:rsidRDefault="00435BD8" w:rsidP="00435BD8">
      <w:pPr>
        <w:tabs>
          <w:tab w:val="left" w:pos="567"/>
        </w:tabs>
        <w:spacing w:line="260" w:lineRule="exact"/>
        <w:ind w:right="-1"/>
        <w:rPr>
          <w:szCs w:val="22"/>
        </w:rPr>
      </w:pPr>
      <w:r w:rsidRPr="00435BD8">
        <w:rPr>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435BD8">
        <w:rPr>
          <w:szCs w:val="22"/>
          <w:u w:val="single"/>
        </w:rPr>
        <w:t>https://vvkt.lrv.lt/lt/</w:t>
      </w:r>
      <w:r w:rsidRPr="00435BD8">
        <w:rPr>
          <w:szCs w:val="22"/>
        </w:rPr>
        <w:t xml:space="preserve"> nurodytais būdais arba paskambinti nemokamu telefonu +370 800 73 568. Pranešdami apie šalutinį poveikį galite mums padėti gauti daugiau informacijos apie šio vaisto saugumą.</w:t>
      </w:r>
    </w:p>
    <w:p w14:paraId="44215A40" w14:textId="77777777" w:rsidR="00435BD8" w:rsidRPr="00435BD8" w:rsidRDefault="00435BD8" w:rsidP="00435BD8">
      <w:pPr>
        <w:pStyle w:val="Pagrindinistekstas"/>
        <w:spacing w:after="0"/>
        <w:contextualSpacing/>
        <w:rPr>
          <w:szCs w:val="22"/>
        </w:rPr>
      </w:pPr>
    </w:p>
    <w:p w14:paraId="4E9024A9" w14:textId="77777777" w:rsidR="00435BD8" w:rsidRPr="00435BD8" w:rsidRDefault="00435BD8" w:rsidP="00435BD8">
      <w:pPr>
        <w:pStyle w:val="Pagrindinistekstas"/>
        <w:spacing w:after="0"/>
        <w:contextualSpacing/>
        <w:rPr>
          <w:szCs w:val="22"/>
        </w:rPr>
      </w:pPr>
    </w:p>
    <w:p w14:paraId="0ADB5851" w14:textId="77777777" w:rsidR="00435BD8" w:rsidRPr="00435BD8" w:rsidRDefault="00435BD8" w:rsidP="00435BD8">
      <w:pPr>
        <w:pStyle w:val="Antrat2"/>
        <w:spacing w:before="0" w:after="0"/>
        <w:ind w:left="567" w:hanging="567"/>
        <w:contextualSpacing/>
        <w:rPr>
          <w:rFonts w:ascii="Times New Roman" w:hAnsi="Times New Roman" w:cs="Times New Roman"/>
          <w:b/>
          <w:bCs/>
          <w:color w:val="auto"/>
          <w:sz w:val="22"/>
          <w:szCs w:val="22"/>
        </w:rPr>
      </w:pPr>
      <w:r w:rsidRPr="00435BD8">
        <w:rPr>
          <w:rFonts w:ascii="Times New Roman" w:hAnsi="Times New Roman" w:cs="Times New Roman"/>
          <w:b/>
          <w:bCs/>
          <w:color w:val="auto"/>
          <w:sz w:val="22"/>
          <w:szCs w:val="22"/>
        </w:rPr>
        <w:t xml:space="preserve">5.  </w:t>
      </w:r>
      <w:r w:rsidRPr="00435BD8">
        <w:rPr>
          <w:rFonts w:ascii="Times New Roman" w:hAnsi="Times New Roman" w:cs="Times New Roman"/>
          <w:b/>
          <w:bCs/>
          <w:color w:val="auto"/>
          <w:sz w:val="22"/>
          <w:szCs w:val="22"/>
        </w:rPr>
        <w:tab/>
        <w:t>Kaip laikyti LINEX</w:t>
      </w:r>
    </w:p>
    <w:p w14:paraId="1BD7C4A4" w14:textId="77777777" w:rsidR="00435BD8" w:rsidRPr="00435BD8" w:rsidRDefault="00435BD8" w:rsidP="00435BD8">
      <w:pPr>
        <w:pStyle w:val="Pagrindinistekstas"/>
        <w:spacing w:after="0"/>
        <w:contextualSpacing/>
        <w:rPr>
          <w:szCs w:val="22"/>
        </w:rPr>
      </w:pPr>
    </w:p>
    <w:p w14:paraId="3F9F774F" w14:textId="77777777" w:rsidR="00435BD8" w:rsidRPr="00435BD8" w:rsidRDefault="00435BD8" w:rsidP="00435BD8">
      <w:pPr>
        <w:pStyle w:val="Pagrindinistekstas"/>
        <w:spacing w:after="0"/>
        <w:contextualSpacing/>
        <w:rPr>
          <w:szCs w:val="22"/>
        </w:rPr>
      </w:pPr>
      <w:r w:rsidRPr="00435BD8">
        <w:rPr>
          <w:szCs w:val="22"/>
        </w:rPr>
        <w:t>Šį vaistą laikykite vaikams nepastebimoje ir nepasiekiamoje vietoje.</w:t>
      </w:r>
    </w:p>
    <w:p w14:paraId="63B0E039" w14:textId="77777777" w:rsidR="00435BD8" w:rsidRPr="00435BD8" w:rsidRDefault="00435BD8" w:rsidP="00435BD8">
      <w:pPr>
        <w:pStyle w:val="Pagrindinistekstas"/>
        <w:spacing w:after="0"/>
        <w:contextualSpacing/>
        <w:rPr>
          <w:szCs w:val="22"/>
        </w:rPr>
      </w:pPr>
    </w:p>
    <w:p w14:paraId="1396D256" w14:textId="77777777" w:rsidR="00435BD8" w:rsidRPr="00435BD8" w:rsidRDefault="00435BD8" w:rsidP="00435BD8">
      <w:pPr>
        <w:pStyle w:val="Pagrindinistekstas"/>
        <w:spacing w:after="0"/>
        <w:contextualSpacing/>
        <w:rPr>
          <w:szCs w:val="22"/>
        </w:rPr>
      </w:pPr>
      <w:r w:rsidRPr="00435BD8">
        <w:rPr>
          <w:szCs w:val="22"/>
        </w:rPr>
        <w:t>Ant dėžutės po „EXP“ ir lizdinės plokštelės  nurodytam tinkamumo laikui pasibaigus, šio vaisto vartoti negalima. Vaistas tinkamas vartoti iki paskutinės nurodyto mėnesio dienos.</w:t>
      </w:r>
    </w:p>
    <w:p w14:paraId="1C0FE8BD" w14:textId="77777777" w:rsidR="00435BD8" w:rsidRPr="00435BD8" w:rsidRDefault="00435BD8" w:rsidP="00435BD8">
      <w:pPr>
        <w:pStyle w:val="Pagrindinistekstas"/>
        <w:spacing w:after="0"/>
        <w:contextualSpacing/>
        <w:rPr>
          <w:szCs w:val="22"/>
        </w:rPr>
      </w:pPr>
    </w:p>
    <w:p w14:paraId="296056AE" w14:textId="77777777" w:rsidR="00435BD8" w:rsidRPr="00435BD8" w:rsidRDefault="00435BD8" w:rsidP="00435BD8">
      <w:pPr>
        <w:pStyle w:val="Pagrindinistekstas"/>
        <w:spacing w:after="0"/>
        <w:contextualSpacing/>
        <w:rPr>
          <w:szCs w:val="22"/>
        </w:rPr>
      </w:pPr>
      <w:r w:rsidRPr="00435BD8">
        <w:rPr>
          <w:szCs w:val="22"/>
        </w:rPr>
        <w:t>Laikyti ne aukštesnėje kaip 25 </w:t>
      </w:r>
      <w:r w:rsidRPr="00435BD8">
        <w:rPr>
          <w:szCs w:val="22"/>
        </w:rPr>
        <w:sym w:font="Symbol" w:char="F0B0"/>
      </w:r>
      <w:r w:rsidRPr="00435BD8">
        <w:rPr>
          <w:szCs w:val="22"/>
        </w:rPr>
        <w:t xml:space="preserve">C temperatūroje. </w:t>
      </w:r>
    </w:p>
    <w:p w14:paraId="6FEA17A4" w14:textId="77777777" w:rsidR="00435BD8" w:rsidRPr="00435BD8" w:rsidRDefault="00435BD8" w:rsidP="00435BD8">
      <w:pPr>
        <w:pStyle w:val="Pagrindinistekstas"/>
        <w:spacing w:after="0"/>
        <w:contextualSpacing/>
        <w:rPr>
          <w:szCs w:val="22"/>
        </w:rPr>
      </w:pPr>
      <w:r w:rsidRPr="00435BD8">
        <w:rPr>
          <w:szCs w:val="22"/>
        </w:rPr>
        <w:t>Laikyti gamintojo pakuotėje.</w:t>
      </w:r>
    </w:p>
    <w:p w14:paraId="0299E4E5" w14:textId="77777777" w:rsidR="00435BD8" w:rsidRPr="00435BD8" w:rsidRDefault="00435BD8" w:rsidP="00435BD8">
      <w:pPr>
        <w:pStyle w:val="Pagrindinistekstas"/>
        <w:spacing w:after="0"/>
        <w:contextualSpacing/>
        <w:rPr>
          <w:szCs w:val="22"/>
        </w:rPr>
      </w:pPr>
      <w:r w:rsidRPr="00435BD8">
        <w:rPr>
          <w:szCs w:val="22"/>
        </w:rPr>
        <w:t>Vaistų negalima išmesti į kanalizaciją arba su buitinėmis atliekomis. Kaip išmesti nereikalingus vaistus, klauskite vaistininko. Šios priemonės padės apsaugoti aplinką</w:t>
      </w:r>
    </w:p>
    <w:p w14:paraId="64EED179" w14:textId="77777777" w:rsidR="00435BD8" w:rsidRPr="00435BD8" w:rsidRDefault="00435BD8" w:rsidP="00435BD8">
      <w:pPr>
        <w:pStyle w:val="Pagrindinistekstas"/>
        <w:spacing w:after="0"/>
        <w:contextualSpacing/>
        <w:rPr>
          <w:szCs w:val="22"/>
        </w:rPr>
      </w:pPr>
    </w:p>
    <w:p w14:paraId="38E6F636" w14:textId="77777777" w:rsidR="00435BD8" w:rsidRPr="00435BD8" w:rsidRDefault="00435BD8" w:rsidP="00435BD8">
      <w:pPr>
        <w:pStyle w:val="Pagrindinistekstas"/>
        <w:spacing w:after="0"/>
        <w:contextualSpacing/>
        <w:rPr>
          <w:szCs w:val="22"/>
        </w:rPr>
      </w:pPr>
    </w:p>
    <w:p w14:paraId="0F804BA3" w14:textId="77777777" w:rsidR="00435BD8" w:rsidRPr="00435BD8" w:rsidRDefault="00435BD8" w:rsidP="00435BD8">
      <w:pPr>
        <w:pStyle w:val="Pagrindinistekstas"/>
        <w:tabs>
          <w:tab w:val="left" w:pos="567"/>
        </w:tabs>
        <w:spacing w:after="0"/>
        <w:contextualSpacing/>
        <w:jc w:val="both"/>
        <w:rPr>
          <w:b/>
          <w:spacing w:val="-4"/>
          <w:szCs w:val="22"/>
        </w:rPr>
      </w:pPr>
      <w:r w:rsidRPr="00435BD8">
        <w:rPr>
          <w:b/>
          <w:spacing w:val="-4"/>
          <w:szCs w:val="22"/>
        </w:rPr>
        <w:t xml:space="preserve">6. </w:t>
      </w:r>
      <w:r w:rsidRPr="00435BD8">
        <w:rPr>
          <w:b/>
          <w:spacing w:val="-4"/>
          <w:szCs w:val="22"/>
        </w:rPr>
        <w:tab/>
        <w:t>Pakuotės turinys ir kita informacija</w:t>
      </w:r>
    </w:p>
    <w:p w14:paraId="47E273C5" w14:textId="77777777" w:rsidR="00435BD8" w:rsidRPr="00435BD8" w:rsidRDefault="00435BD8" w:rsidP="00435BD8">
      <w:pPr>
        <w:pStyle w:val="Pagrindinistekstas"/>
        <w:spacing w:after="0"/>
        <w:contextualSpacing/>
        <w:rPr>
          <w:spacing w:val="-6"/>
          <w:szCs w:val="22"/>
        </w:rPr>
      </w:pPr>
    </w:p>
    <w:p w14:paraId="55803850" w14:textId="77777777" w:rsidR="00435BD8" w:rsidRPr="00435BD8" w:rsidRDefault="00435BD8" w:rsidP="00435BD8">
      <w:pPr>
        <w:contextualSpacing/>
        <w:rPr>
          <w:b/>
          <w:szCs w:val="22"/>
        </w:rPr>
      </w:pPr>
      <w:r w:rsidRPr="00435BD8">
        <w:rPr>
          <w:b/>
          <w:szCs w:val="22"/>
        </w:rPr>
        <w:t>LINEX sudėtis</w:t>
      </w:r>
    </w:p>
    <w:p w14:paraId="32FD368C" w14:textId="77777777" w:rsidR="00435BD8" w:rsidRPr="00435BD8" w:rsidRDefault="00435BD8" w:rsidP="00435BD8">
      <w:pPr>
        <w:pStyle w:val="Pagrindinistekstas"/>
        <w:numPr>
          <w:ilvl w:val="0"/>
          <w:numId w:val="4"/>
        </w:numPr>
        <w:spacing w:after="0"/>
        <w:ind w:left="360"/>
        <w:contextualSpacing/>
        <w:rPr>
          <w:iCs/>
          <w:szCs w:val="22"/>
        </w:rPr>
      </w:pPr>
      <w:r w:rsidRPr="00435BD8">
        <w:rPr>
          <w:szCs w:val="22"/>
        </w:rPr>
        <w:t xml:space="preserve">Veikliosios medžiagos yra  </w:t>
      </w:r>
      <w:proofErr w:type="spellStart"/>
      <w:r w:rsidRPr="00435BD8">
        <w:rPr>
          <w:szCs w:val="22"/>
        </w:rPr>
        <w:t>liofilizuotos</w:t>
      </w:r>
      <w:proofErr w:type="spellEnd"/>
      <w:r w:rsidRPr="00435BD8">
        <w:rPr>
          <w:szCs w:val="22"/>
        </w:rPr>
        <w:t xml:space="preserve"> bakterijos: </w:t>
      </w:r>
      <w:proofErr w:type="spellStart"/>
      <w:r w:rsidRPr="00435BD8">
        <w:rPr>
          <w:i/>
          <w:iCs/>
          <w:szCs w:val="22"/>
        </w:rPr>
        <w:t>Lactobacillus</w:t>
      </w:r>
      <w:proofErr w:type="spellEnd"/>
      <w:r w:rsidRPr="00435BD8">
        <w:rPr>
          <w:i/>
          <w:iCs/>
          <w:szCs w:val="22"/>
        </w:rPr>
        <w:t xml:space="preserve"> </w:t>
      </w:r>
      <w:proofErr w:type="spellStart"/>
      <w:r w:rsidRPr="00435BD8">
        <w:rPr>
          <w:i/>
          <w:iCs/>
          <w:szCs w:val="22"/>
        </w:rPr>
        <w:t>acidophilus</w:t>
      </w:r>
      <w:proofErr w:type="spellEnd"/>
      <w:r w:rsidRPr="00435BD8">
        <w:rPr>
          <w:iCs/>
          <w:szCs w:val="22"/>
        </w:rPr>
        <w:t xml:space="preserve"> (</w:t>
      </w:r>
      <w:proofErr w:type="spellStart"/>
      <w:r w:rsidRPr="00435BD8">
        <w:rPr>
          <w:i/>
          <w:szCs w:val="22"/>
        </w:rPr>
        <w:t>sp.L.gasseri</w:t>
      </w:r>
      <w:proofErr w:type="spellEnd"/>
      <w:r w:rsidRPr="00435BD8">
        <w:rPr>
          <w:iCs/>
          <w:szCs w:val="22"/>
        </w:rPr>
        <w:t xml:space="preserve">), </w:t>
      </w:r>
      <w:proofErr w:type="spellStart"/>
      <w:r w:rsidRPr="00435BD8">
        <w:rPr>
          <w:i/>
          <w:iCs/>
          <w:szCs w:val="22"/>
        </w:rPr>
        <w:t>Bifidobacterium</w:t>
      </w:r>
      <w:proofErr w:type="spellEnd"/>
      <w:r w:rsidRPr="00435BD8">
        <w:rPr>
          <w:i/>
          <w:iCs/>
          <w:szCs w:val="22"/>
        </w:rPr>
        <w:t xml:space="preserve"> </w:t>
      </w:r>
      <w:proofErr w:type="spellStart"/>
      <w:r w:rsidRPr="00435BD8">
        <w:rPr>
          <w:i/>
          <w:iCs/>
          <w:szCs w:val="22"/>
        </w:rPr>
        <w:t>infantis</w:t>
      </w:r>
      <w:proofErr w:type="spellEnd"/>
      <w:r w:rsidRPr="00435BD8">
        <w:rPr>
          <w:iCs/>
          <w:szCs w:val="22"/>
        </w:rPr>
        <w:t xml:space="preserve"> bei </w:t>
      </w:r>
      <w:proofErr w:type="spellStart"/>
      <w:r w:rsidRPr="00435BD8">
        <w:rPr>
          <w:i/>
          <w:iCs/>
          <w:szCs w:val="22"/>
        </w:rPr>
        <w:t>Enterococcus</w:t>
      </w:r>
      <w:proofErr w:type="spellEnd"/>
      <w:r w:rsidRPr="00435BD8">
        <w:rPr>
          <w:i/>
          <w:iCs/>
          <w:szCs w:val="22"/>
        </w:rPr>
        <w:t xml:space="preserve"> </w:t>
      </w:r>
      <w:proofErr w:type="spellStart"/>
      <w:r w:rsidRPr="00435BD8">
        <w:rPr>
          <w:i/>
          <w:iCs/>
          <w:szCs w:val="22"/>
        </w:rPr>
        <w:t>faecium</w:t>
      </w:r>
      <w:proofErr w:type="spellEnd"/>
      <w:r w:rsidRPr="00435BD8">
        <w:rPr>
          <w:iCs/>
          <w:szCs w:val="22"/>
        </w:rPr>
        <w:t xml:space="preserve">. </w:t>
      </w:r>
      <w:r w:rsidRPr="00435BD8">
        <w:rPr>
          <w:szCs w:val="22"/>
        </w:rPr>
        <w:t>Vienoje kietojoje kapsulėje yra ne mažiau kaip 1,2 x 10</w:t>
      </w:r>
      <w:r w:rsidRPr="00435BD8">
        <w:rPr>
          <w:szCs w:val="22"/>
          <w:vertAlign w:val="superscript"/>
        </w:rPr>
        <w:t>7</w:t>
      </w:r>
      <w:r w:rsidRPr="00435BD8">
        <w:rPr>
          <w:szCs w:val="22"/>
        </w:rPr>
        <w:t xml:space="preserve"> KSV (kolonijas sudarančių vienetų) </w:t>
      </w:r>
      <w:proofErr w:type="spellStart"/>
      <w:r w:rsidRPr="00435BD8">
        <w:rPr>
          <w:szCs w:val="22"/>
        </w:rPr>
        <w:t>liofilizuotų</w:t>
      </w:r>
      <w:proofErr w:type="spellEnd"/>
      <w:r w:rsidRPr="00435BD8">
        <w:rPr>
          <w:szCs w:val="22"/>
        </w:rPr>
        <w:t xml:space="preserve"> gyvybingų pieno rūgšties bakterijų: </w:t>
      </w:r>
      <w:proofErr w:type="spellStart"/>
      <w:r w:rsidRPr="00435BD8">
        <w:rPr>
          <w:i/>
          <w:iCs/>
          <w:szCs w:val="22"/>
        </w:rPr>
        <w:t>Lactobacillus</w:t>
      </w:r>
      <w:proofErr w:type="spellEnd"/>
      <w:r w:rsidRPr="00435BD8">
        <w:rPr>
          <w:i/>
          <w:iCs/>
          <w:szCs w:val="22"/>
        </w:rPr>
        <w:t xml:space="preserve"> </w:t>
      </w:r>
      <w:proofErr w:type="spellStart"/>
      <w:r w:rsidRPr="00435BD8">
        <w:rPr>
          <w:i/>
          <w:iCs/>
          <w:szCs w:val="22"/>
        </w:rPr>
        <w:t>acidophilus</w:t>
      </w:r>
      <w:proofErr w:type="spellEnd"/>
      <w:r w:rsidRPr="00435BD8">
        <w:rPr>
          <w:i/>
          <w:iCs/>
          <w:szCs w:val="22"/>
        </w:rPr>
        <w:t xml:space="preserve"> (</w:t>
      </w:r>
      <w:proofErr w:type="spellStart"/>
      <w:r w:rsidRPr="00435BD8">
        <w:rPr>
          <w:i/>
          <w:iCs/>
          <w:szCs w:val="22"/>
        </w:rPr>
        <w:t>sp.L.gasseri</w:t>
      </w:r>
      <w:proofErr w:type="spellEnd"/>
      <w:r w:rsidRPr="00435BD8">
        <w:rPr>
          <w:i/>
          <w:iCs/>
          <w:szCs w:val="22"/>
        </w:rPr>
        <w:t xml:space="preserve">), </w:t>
      </w:r>
      <w:proofErr w:type="spellStart"/>
      <w:r w:rsidRPr="00435BD8">
        <w:rPr>
          <w:i/>
          <w:iCs/>
          <w:szCs w:val="22"/>
        </w:rPr>
        <w:t>Bifidobacterium</w:t>
      </w:r>
      <w:proofErr w:type="spellEnd"/>
      <w:r w:rsidRPr="00435BD8">
        <w:rPr>
          <w:i/>
          <w:iCs/>
          <w:szCs w:val="22"/>
        </w:rPr>
        <w:t xml:space="preserve"> </w:t>
      </w:r>
      <w:proofErr w:type="spellStart"/>
      <w:r w:rsidRPr="00435BD8">
        <w:rPr>
          <w:i/>
          <w:iCs/>
          <w:szCs w:val="22"/>
        </w:rPr>
        <w:t>infantis</w:t>
      </w:r>
      <w:proofErr w:type="spellEnd"/>
      <w:r w:rsidRPr="00435BD8">
        <w:rPr>
          <w:i/>
          <w:iCs/>
          <w:szCs w:val="22"/>
        </w:rPr>
        <w:t xml:space="preserve"> </w:t>
      </w:r>
      <w:r w:rsidRPr="00435BD8">
        <w:rPr>
          <w:iCs/>
          <w:szCs w:val="22"/>
        </w:rPr>
        <w:t>bei</w:t>
      </w:r>
      <w:r w:rsidRPr="00435BD8">
        <w:rPr>
          <w:i/>
          <w:iCs/>
          <w:szCs w:val="22"/>
        </w:rPr>
        <w:t xml:space="preserve"> </w:t>
      </w:r>
      <w:proofErr w:type="spellStart"/>
      <w:r w:rsidRPr="00435BD8">
        <w:rPr>
          <w:i/>
          <w:iCs/>
          <w:szCs w:val="22"/>
        </w:rPr>
        <w:t>Enterococcus</w:t>
      </w:r>
      <w:proofErr w:type="spellEnd"/>
      <w:r w:rsidRPr="00435BD8">
        <w:rPr>
          <w:i/>
          <w:iCs/>
          <w:szCs w:val="22"/>
        </w:rPr>
        <w:t xml:space="preserve"> </w:t>
      </w:r>
      <w:proofErr w:type="spellStart"/>
      <w:r w:rsidRPr="00435BD8">
        <w:rPr>
          <w:i/>
          <w:iCs/>
          <w:szCs w:val="22"/>
        </w:rPr>
        <w:t>faecium</w:t>
      </w:r>
      <w:proofErr w:type="spellEnd"/>
      <w:r w:rsidRPr="00435BD8">
        <w:rPr>
          <w:i/>
          <w:iCs/>
          <w:szCs w:val="22"/>
        </w:rPr>
        <w:t>.</w:t>
      </w:r>
      <w:r w:rsidRPr="00435BD8">
        <w:rPr>
          <w:iCs/>
          <w:szCs w:val="22"/>
        </w:rPr>
        <w:t xml:space="preserve"> </w:t>
      </w:r>
    </w:p>
    <w:p w14:paraId="37225866" w14:textId="77777777" w:rsidR="00435BD8" w:rsidRPr="00435BD8" w:rsidRDefault="00435BD8" w:rsidP="00435BD8">
      <w:pPr>
        <w:pStyle w:val="Pagrindinistekstas"/>
        <w:numPr>
          <w:ilvl w:val="0"/>
          <w:numId w:val="4"/>
        </w:numPr>
        <w:spacing w:after="0"/>
        <w:ind w:left="360"/>
        <w:contextualSpacing/>
        <w:rPr>
          <w:spacing w:val="-5"/>
          <w:szCs w:val="22"/>
        </w:rPr>
      </w:pPr>
      <w:r w:rsidRPr="00435BD8">
        <w:rPr>
          <w:szCs w:val="22"/>
        </w:rPr>
        <w:t xml:space="preserve">Pagalbinės medžiagos: </w:t>
      </w:r>
    </w:p>
    <w:p w14:paraId="3BA61C18" w14:textId="77777777" w:rsidR="00435BD8" w:rsidRPr="00435BD8" w:rsidRDefault="00435BD8" w:rsidP="00435BD8">
      <w:pPr>
        <w:pStyle w:val="Pagrindinistekstas"/>
        <w:spacing w:after="0"/>
        <w:ind w:left="360"/>
        <w:contextualSpacing/>
        <w:rPr>
          <w:spacing w:val="-5"/>
          <w:szCs w:val="22"/>
        </w:rPr>
      </w:pPr>
      <w:r w:rsidRPr="00435BD8">
        <w:rPr>
          <w:szCs w:val="22"/>
        </w:rPr>
        <w:t xml:space="preserve">Kapsulės turinys - laktozė </w:t>
      </w:r>
      <w:proofErr w:type="spellStart"/>
      <w:r w:rsidRPr="00435BD8">
        <w:rPr>
          <w:szCs w:val="22"/>
        </w:rPr>
        <w:t>monohidratas</w:t>
      </w:r>
      <w:proofErr w:type="spellEnd"/>
      <w:r w:rsidRPr="00435BD8">
        <w:rPr>
          <w:szCs w:val="22"/>
        </w:rPr>
        <w:t xml:space="preserve">, bulvių krakmolas, magnio </w:t>
      </w:r>
      <w:proofErr w:type="spellStart"/>
      <w:r w:rsidRPr="00435BD8">
        <w:rPr>
          <w:szCs w:val="22"/>
        </w:rPr>
        <w:t>stearatas</w:t>
      </w:r>
      <w:proofErr w:type="spellEnd"/>
      <w:r w:rsidRPr="00435BD8">
        <w:rPr>
          <w:szCs w:val="22"/>
        </w:rPr>
        <w:t xml:space="preserve"> ir </w:t>
      </w:r>
      <w:proofErr w:type="spellStart"/>
      <w:r w:rsidRPr="00435BD8">
        <w:rPr>
          <w:szCs w:val="22"/>
        </w:rPr>
        <w:t>dekstrinas</w:t>
      </w:r>
      <w:proofErr w:type="spellEnd"/>
      <w:r w:rsidRPr="00435BD8">
        <w:rPr>
          <w:szCs w:val="22"/>
        </w:rPr>
        <w:t xml:space="preserve">. </w:t>
      </w:r>
    </w:p>
    <w:p w14:paraId="6E9092CB" w14:textId="77777777" w:rsidR="00435BD8" w:rsidRPr="00435BD8" w:rsidRDefault="00435BD8" w:rsidP="00435BD8">
      <w:pPr>
        <w:pStyle w:val="Pagrindinistekstas"/>
        <w:spacing w:after="0"/>
        <w:ind w:left="360"/>
        <w:contextualSpacing/>
        <w:rPr>
          <w:spacing w:val="-5"/>
          <w:szCs w:val="22"/>
        </w:rPr>
      </w:pPr>
      <w:r w:rsidRPr="00435BD8">
        <w:rPr>
          <w:szCs w:val="22"/>
        </w:rPr>
        <w:t xml:space="preserve">Kapsulės korpusas - želatina, geltonasis geležies oksidas (E172). </w:t>
      </w:r>
    </w:p>
    <w:p w14:paraId="3B5C59ED" w14:textId="77777777" w:rsidR="00435BD8" w:rsidRPr="00435BD8" w:rsidRDefault="00435BD8" w:rsidP="00435BD8">
      <w:pPr>
        <w:contextualSpacing/>
        <w:rPr>
          <w:b/>
          <w:szCs w:val="22"/>
        </w:rPr>
      </w:pPr>
    </w:p>
    <w:p w14:paraId="60F2AD64" w14:textId="77777777" w:rsidR="00435BD8" w:rsidRPr="00435BD8" w:rsidRDefault="00435BD8" w:rsidP="00435BD8">
      <w:pPr>
        <w:contextualSpacing/>
        <w:rPr>
          <w:b/>
          <w:szCs w:val="22"/>
        </w:rPr>
      </w:pPr>
      <w:r w:rsidRPr="00435BD8">
        <w:rPr>
          <w:b/>
          <w:szCs w:val="22"/>
        </w:rPr>
        <w:t>LINEX išvaizda ir kiekis pakuotėje</w:t>
      </w:r>
    </w:p>
    <w:p w14:paraId="58F2BC6E" w14:textId="77777777" w:rsidR="00435BD8" w:rsidRPr="00435BD8" w:rsidRDefault="00435BD8" w:rsidP="00435BD8">
      <w:pPr>
        <w:pStyle w:val="Pagrindinistekstas"/>
        <w:spacing w:after="0"/>
        <w:contextualSpacing/>
        <w:rPr>
          <w:szCs w:val="22"/>
        </w:rPr>
      </w:pPr>
      <w:r w:rsidRPr="00435BD8">
        <w:rPr>
          <w:szCs w:val="22"/>
        </w:rPr>
        <w:t>Kietosios kapsulės. Kapsulės yra su geltonos arba šviesiai rudos spalvos permatomu korpusu ir geltonos arba šviesiai rudos spalvos permatomu dangteliu be užrašo. Jose yra baltų miltelių.</w:t>
      </w:r>
    </w:p>
    <w:p w14:paraId="73339F66" w14:textId="77777777" w:rsidR="00435BD8" w:rsidRPr="00435BD8" w:rsidRDefault="00435BD8" w:rsidP="00435BD8">
      <w:pPr>
        <w:pStyle w:val="Pagrindinistekstas"/>
        <w:spacing w:after="0"/>
        <w:contextualSpacing/>
        <w:rPr>
          <w:szCs w:val="22"/>
        </w:rPr>
      </w:pPr>
    </w:p>
    <w:p w14:paraId="1E770B49" w14:textId="77777777" w:rsidR="00435BD8" w:rsidRPr="00435BD8" w:rsidRDefault="00435BD8" w:rsidP="00435BD8">
      <w:pPr>
        <w:contextualSpacing/>
        <w:rPr>
          <w:szCs w:val="22"/>
        </w:rPr>
      </w:pPr>
      <w:r w:rsidRPr="00435BD8">
        <w:rPr>
          <w:szCs w:val="22"/>
        </w:rPr>
        <w:t>Al/Al lizdinės plokštelės kartono dėžutėje.  Al/Al lizdinės plokštelės yra pagamintos iš kietos ir minkštos aliuminio folijos. Joje yra 16 ar 32 kietosios kapsulės.</w:t>
      </w:r>
    </w:p>
    <w:p w14:paraId="57F8B37A" w14:textId="77777777" w:rsidR="00435BD8" w:rsidRPr="00435BD8" w:rsidRDefault="00435BD8" w:rsidP="00435BD8">
      <w:pPr>
        <w:contextualSpacing/>
        <w:jc w:val="both"/>
        <w:rPr>
          <w:szCs w:val="22"/>
        </w:rPr>
      </w:pPr>
    </w:p>
    <w:p w14:paraId="7B0A45DB" w14:textId="77777777" w:rsidR="00435BD8" w:rsidRPr="00435BD8" w:rsidRDefault="00435BD8" w:rsidP="00435BD8">
      <w:pPr>
        <w:contextualSpacing/>
        <w:jc w:val="both"/>
        <w:rPr>
          <w:szCs w:val="22"/>
        </w:rPr>
      </w:pPr>
      <w:r w:rsidRPr="00435BD8">
        <w:rPr>
          <w:b/>
          <w:szCs w:val="22"/>
        </w:rPr>
        <w:t xml:space="preserve">Registruotojas </w:t>
      </w:r>
    </w:p>
    <w:p w14:paraId="5426CA09" w14:textId="77777777" w:rsidR="00435BD8" w:rsidRPr="00435BD8" w:rsidRDefault="00435BD8" w:rsidP="00435BD8">
      <w:pPr>
        <w:pStyle w:val="Pagrindinistekstas"/>
        <w:spacing w:after="0"/>
        <w:contextualSpacing/>
        <w:jc w:val="both"/>
        <w:rPr>
          <w:szCs w:val="22"/>
        </w:rPr>
      </w:pPr>
      <w:proofErr w:type="spellStart"/>
      <w:r w:rsidRPr="00435BD8">
        <w:rPr>
          <w:szCs w:val="22"/>
        </w:rPr>
        <w:t>Sandoz</w:t>
      </w:r>
      <w:proofErr w:type="spellEnd"/>
      <w:r w:rsidRPr="00435BD8">
        <w:rPr>
          <w:szCs w:val="22"/>
        </w:rPr>
        <w:t xml:space="preserve"> </w:t>
      </w:r>
      <w:proofErr w:type="spellStart"/>
      <w:r w:rsidRPr="00435BD8">
        <w:rPr>
          <w:szCs w:val="22"/>
        </w:rPr>
        <w:t>d.d</w:t>
      </w:r>
      <w:proofErr w:type="spellEnd"/>
      <w:r w:rsidRPr="00435BD8">
        <w:rPr>
          <w:szCs w:val="22"/>
        </w:rPr>
        <w:t>.</w:t>
      </w:r>
    </w:p>
    <w:p w14:paraId="6F218F43" w14:textId="77777777" w:rsidR="00435BD8" w:rsidRPr="00435BD8" w:rsidRDefault="00435BD8" w:rsidP="00435BD8">
      <w:pPr>
        <w:pStyle w:val="Pagrindinistekstas"/>
        <w:spacing w:after="0"/>
        <w:contextualSpacing/>
        <w:jc w:val="both"/>
        <w:rPr>
          <w:szCs w:val="22"/>
        </w:rPr>
      </w:pPr>
      <w:proofErr w:type="spellStart"/>
      <w:r w:rsidRPr="00435BD8">
        <w:rPr>
          <w:szCs w:val="22"/>
        </w:rPr>
        <w:lastRenderedPageBreak/>
        <w:t>Verovškova</w:t>
      </w:r>
      <w:proofErr w:type="spellEnd"/>
      <w:r w:rsidRPr="00435BD8">
        <w:rPr>
          <w:szCs w:val="22"/>
        </w:rPr>
        <w:t xml:space="preserve"> 57</w:t>
      </w:r>
    </w:p>
    <w:p w14:paraId="7581EEEE" w14:textId="77777777" w:rsidR="00435BD8" w:rsidRPr="00435BD8" w:rsidRDefault="00435BD8" w:rsidP="00435BD8">
      <w:pPr>
        <w:pStyle w:val="Pagrindinistekstas"/>
        <w:spacing w:after="0"/>
        <w:contextualSpacing/>
        <w:jc w:val="both"/>
        <w:rPr>
          <w:szCs w:val="22"/>
        </w:rPr>
      </w:pPr>
      <w:r w:rsidRPr="00435BD8">
        <w:rPr>
          <w:szCs w:val="22"/>
        </w:rPr>
        <w:t xml:space="preserve">1000 </w:t>
      </w:r>
      <w:proofErr w:type="spellStart"/>
      <w:r w:rsidRPr="00435BD8">
        <w:rPr>
          <w:szCs w:val="22"/>
        </w:rPr>
        <w:t>Ljubljana</w:t>
      </w:r>
      <w:proofErr w:type="spellEnd"/>
    </w:p>
    <w:p w14:paraId="14B80864" w14:textId="77777777" w:rsidR="00435BD8" w:rsidRPr="00435BD8" w:rsidRDefault="00435BD8" w:rsidP="00435BD8">
      <w:pPr>
        <w:pStyle w:val="Pagrindinistekstas"/>
        <w:tabs>
          <w:tab w:val="left" w:pos="6375"/>
        </w:tabs>
        <w:spacing w:after="0"/>
        <w:contextualSpacing/>
        <w:jc w:val="both"/>
        <w:rPr>
          <w:szCs w:val="22"/>
        </w:rPr>
      </w:pPr>
      <w:r w:rsidRPr="00435BD8">
        <w:rPr>
          <w:szCs w:val="22"/>
        </w:rPr>
        <w:t>Slovėnija</w:t>
      </w:r>
      <w:r w:rsidRPr="00435BD8">
        <w:rPr>
          <w:szCs w:val="22"/>
        </w:rPr>
        <w:tab/>
      </w:r>
    </w:p>
    <w:p w14:paraId="73269567" w14:textId="77777777" w:rsidR="00435BD8" w:rsidRPr="00435BD8" w:rsidRDefault="00435BD8" w:rsidP="00435BD8">
      <w:pPr>
        <w:contextualSpacing/>
        <w:jc w:val="both"/>
        <w:rPr>
          <w:szCs w:val="22"/>
        </w:rPr>
      </w:pPr>
    </w:p>
    <w:p w14:paraId="2A3E8FA6" w14:textId="77777777" w:rsidR="00435BD8" w:rsidRPr="00435BD8" w:rsidRDefault="00435BD8" w:rsidP="00435BD8">
      <w:pPr>
        <w:contextualSpacing/>
        <w:jc w:val="both"/>
        <w:rPr>
          <w:szCs w:val="22"/>
        </w:rPr>
      </w:pPr>
      <w:r w:rsidRPr="00435BD8">
        <w:rPr>
          <w:b/>
          <w:szCs w:val="22"/>
        </w:rPr>
        <w:t>Gamintojas</w:t>
      </w:r>
    </w:p>
    <w:p w14:paraId="3D199744" w14:textId="77777777" w:rsidR="00435BD8" w:rsidRPr="00435BD8" w:rsidRDefault="00435BD8" w:rsidP="00435BD8">
      <w:pPr>
        <w:contextualSpacing/>
        <w:rPr>
          <w:szCs w:val="22"/>
        </w:rPr>
      </w:pPr>
      <w:proofErr w:type="spellStart"/>
      <w:r w:rsidRPr="00435BD8">
        <w:rPr>
          <w:szCs w:val="22"/>
        </w:rPr>
        <w:t>Lek</w:t>
      </w:r>
      <w:proofErr w:type="spellEnd"/>
      <w:r w:rsidRPr="00435BD8">
        <w:rPr>
          <w:szCs w:val="22"/>
        </w:rPr>
        <w:t xml:space="preserve"> </w:t>
      </w:r>
      <w:proofErr w:type="spellStart"/>
      <w:r w:rsidRPr="00435BD8">
        <w:rPr>
          <w:szCs w:val="22"/>
        </w:rPr>
        <w:t>Pharmaceuticals</w:t>
      </w:r>
      <w:proofErr w:type="spellEnd"/>
      <w:r w:rsidRPr="00435BD8">
        <w:rPr>
          <w:szCs w:val="22"/>
        </w:rPr>
        <w:t xml:space="preserve"> </w:t>
      </w:r>
      <w:proofErr w:type="spellStart"/>
      <w:r w:rsidRPr="00435BD8">
        <w:rPr>
          <w:szCs w:val="22"/>
        </w:rPr>
        <w:t>d.d</w:t>
      </w:r>
      <w:proofErr w:type="spellEnd"/>
      <w:r w:rsidRPr="00435BD8">
        <w:rPr>
          <w:szCs w:val="22"/>
        </w:rPr>
        <w:t>.</w:t>
      </w:r>
    </w:p>
    <w:p w14:paraId="19CCDBE1" w14:textId="77777777" w:rsidR="00435BD8" w:rsidRPr="00435BD8" w:rsidRDefault="00435BD8" w:rsidP="00435BD8">
      <w:pPr>
        <w:contextualSpacing/>
        <w:rPr>
          <w:szCs w:val="22"/>
        </w:rPr>
      </w:pPr>
      <w:proofErr w:type="spellStart"/>
      <w:r w:rsidRPr="00435BD8">
        <w:rPr>
          <w:szCs w:val="22"/>
        </w:rPr>
        <w:t>Trimlini</w:t>
      </w:r>
      <w:proofErr w:type="spellEnd"/>
      <w:r w:rsidRPr="00435BD8">
        <w:rPr>
          <w:szCs w:val="22"/>
        </w:rPr>
        <w:t xml:space="preserve"> 2 D</w:t>
      </w:r>
    </w:p>
    <w:p w14:paraId="631C07D9" w14:textId="77777777" w:rsidR="00435BD8" w:rsidRPr="00435BD8" w:rsidRDefault="00435BD8" w:rsidP="00435BD8">
      <w:pPr>
        <w:contextualSpacing/>
        <w:rPr>
          <w:szCs w:val="22"/>
        </w:rPr>
      </w:pPr>
      <w:r w:rsidRPr="00435BD8">
        <w:rPr>
          <w:szCs w:val="22"/>
        </w:rPr>
        <w:t xml:space="preserve">9220 </w:t>
      </w:r>
      <w:proofErr w:type="spellStart"/>
      <w:r w:rsidRPr="00435BD8">
        <w:rPr>
          <w:szCs w:val="22"/>
        </w:rPr>
        <w:t>Lendava</w:t>
      </w:r>
      <w:proofErr w:type="spellEnd"/>
    </w:p>
    <w:p w14:paraId="45660A1D" w14:textId="77777777" w:rsidR="00435BD8" w:rsidRPr="00435BD8" w:rsidRDefault="00435BD8" w:rsidP="00435BD8">
      <w:pPr>
        <w:contextualSpacing/>
        <w:rPr>
          <w:szCs w:val="22"/>
        </w:rPr>
      </w:pPr>
      <w:r w:rsidRPr="00435BD8">
        <w:rPr>
          <w:szCs w:val="22"/>
        </w:rPr>
        <w:t>Slovėnija</w:t>
      </w:r>
    </w:p>
    <w:p w14:paraId="769EE528" w14:textId="77777777" w:rsidR="00435BD8" w:rsidRPr="00435BD8" w:rsidRDefault="00435BD8" w:rsidP="00435BD8">
      <w:pPr>
        <w:contextualSpacing/>
        <w:jc w:val="both"/>
        <w:rPr>
          <w:szCs w:val="22"/>
        </w:rPr>
      </w:pPr>
    </w:p>
    <w:p w14:paraId="48CA1B94" w14:textId="77777777" w:rsidR="00435BD8" w:rsidRPr="00435BD8" w:rsidRDefault="00435BD8" w:rsidP="00435BD8">
      <w:pPr>
        <w:contextualSpacing/>
        <w:jc w:val="both"/>
        <w:rPr>
          <w:szCs w:val="22"/>
        </w:rPr>
      </w:pPr>
      <w:r w:rsidRPr="00435BD8">
        <w:rPr>
          <w:szCs w:val="22"/>
        </w:rPr>
        <w:t>Jeigu apie šį vaistą norite sužinoti daugiau, kreipkitės į vietinį registruotojo atstovą.</w:t>
      </w:r>
    </w:p>
    <w:p w14:paraId="0C90D3E9" w14:textId="77777777" w:rsidR="00435BD8" w:rsidRPr="00435BD8" w:rsidRDefault="00435BD8" w:rsidP="00435BD8">
      <w:pPr>
        <w:contextualSpacing/>
        <w:rPr>
          <w:szCs w:val="22"/>
        </w:rPr>
      </w:pPr>
    </w:p>
    <w:p w14:paraId="2B1E4EA3" w14:textId="77777777" w:rsidR="00435BD8" w:rsidRPr="00435BD8" w:rsidRDefault="00435BD8" w:rsidP="00435BD8">
      <w:pPr>
        <w:contextualSpacing/>
        <w:rPr>
          <w:szCs w:val="22"/>
        </w:rPr>
      </w:pPr>
      <w:proofErr w:type="spellStart"/>
      <w:r w:rsidRPr="00435BD8">
        <w:rPr>
          <w:szCs w:val="22"/>
        </w:rPr>
        <w:t>Sandoz</w:t>
      </w:r>
      <w:proofErr w:type="spellEnd"/>
      <w:r w:rsidRPr="00435BD8">
        <w:rPr>
          <w:szCs w:val="22"/>
        </w:rPr>
        <w:t xml:space="preserve"> </w:t>
      </w:r>
      <w:proofErr w:type="spellStart"/>
      <w:r w:rsidRPr="00435BD8">
        <w:rPr>
          <w:szCs w:val="22"/>
        </w:rPr>
        <w:t>Pharmaceuticals</w:t>
      </w:r>
      <w:proofErr w:type="spellEnd"/>
      <w:r w:rsidRPr="00435BD8">
        <w:rPr>
          <w:szCs w:val="22"/>
        </w:rPr>
        <w:t xml:space="preserve"> </w:t>
      </w:r>
      <w:proofErr w:type="spellStart"/>
      <w:r w:rsidRPr="00435BD8">
        <w:rPr>
          <w:szCs w:val="22"/>
        </w:rPr>
        <w:t>d.d</w:t>
      </w:r>
      <w:proofErr w:type="spellEnd"/>
      <w:r w:rsidRPr="00435BD8">
        <w:rPr>
          <w:szCs w:val="22"/>
        </w:rPr>
        <w:t>. filialas</w:t>
      </w:r>
    </w:p>
    <w:p w14:paraId="44BB9782" w14:textId="77777777" w:rsidR="00435BD8" w:rsidRPr="00435BD8" w:rsidRDefault="00435BD8" w:rsidP="00435BD8">
      <w:pPr>
        <w:contextualSpacing/>
        <w:rPr>
          <w:szCs w:val="22"/>
        </w:rPr>
      </w:pPr>
      <w:r w:rsidRPr="00435BD8">
        <w:rPr>
          <w:szCs w:val="22"/>
        </w:rPr>
        <w:t>Tel.: +370 5 2636037</w:t>
      </w:r>
    </w:p>
    <w:p w14:paraId="6BB03D53" w14:textId="77777777" w:rsidR="00435BD8" w:rsidRPr="00435BD8" w:rsidRDefault="00435BD8" w:rsidP="00435BD8">
      <w:pPr>
        <w:contextualSpacing/>
        <w:rPr>
          <w:rStyle w:val="Hipersaitas"/>
          <w:color w:val="auto"/>
          <w:szCs w:val="22"/>
        </w:rPr>
      </w:pPr>
      <w:r w:rsidRPr="00435BD8">
        <w:rPr>
          <w:szCs w:val="22"/>
        </w:rPr>
        <w:t xml:space="preserve">El. paštas: </w:t>
      </w:r>
      <w:hyperlink r:id="rId5" w:history="1">
        <w:r w:rsidRPr="00435BD8">
          <w:rPr>
            <w:rStyle w:val="Hipersaitas"/>
            <w:color w:val="auto"/>
            <w:szCs w:val="22"/>
          </w:rPr>
          <w:t>info.lithuania@sandoz.com</w:t>
        </w:r>
      </w:hyperlink>
    </w:p>
    <w:p w14:paraId="632D96F5" w14:textId="77777777" w:rsidR="00435BD8" w:rsidRPr="00435BD8" w:rsidRDefault="00435BD8" w:rsidP="00435BD8">
      <w:pPr>
        <w:contextualSpacing/>
        <w:jc w:val="both"/>
        <w:rPr>
          <w:szCs w:val="22"/>
        </w:rPr>
      </w:pPr>
    </w:p>
    <w:p w14:paraId="67050DF1" w14:textId="77777777" w:rsidR="00435BD8" w:rsidRPr="00435BD8" w:rsidRDefault="00435BD8" w:rsidP="00435BD8">
      <w:pPr>
        <w:contextualSpacing/>
        <w:jc w:val="both"/>
        <w:rPr>
          <w:b/>
          <w:szCs w:val="22"/>
        </w:rPr>
      </w:pPr>
      <w:r w:rsidRPr="00435BD8">
        <w:rPr>
          <w:b/>
          <w:szCs w:val="22"/>
        </w:rPr>
        <w:t xml:space="preserve">Šis pakuotės lapelis paskutinį kartą peržiūrėtas 2026-02-28. </w:t>
      </w:r>
    </w:p>
    <w:p w14:paraId="47F4C7B1" w14:textId="77777777" w:rsidR="00435BD8" w:rsidRPr="00435BD8" w:rsidRDefault="00435BD8" w:rsidP="00435BD8">
      <w:pPr>
        <w:contextualSpacing/>
        <w:jc w:val="both"/>
        <w:rPr>
          <w:szCs w:val="22"/>
        </w:rPr>
      </w:pPr>
    </w:p>
    <w:p w14:paraId="149DB5C8" w14:textId="77777777" w:rsidR="00435BD8" w:rsidRPr="00435BD8" w:rsidRDefault="00435BD8" w:rsidP="00435BD8">
      <w:pPr>
        <w:contextualSpacing/>
        <w:rPr>
          <w:szCs w:val="22"/>
        </w:rPr>
      </w:pPr>
      <w:r w:rsidRPr="00435BD8">
        <w:rPr>
          <w:szCs w:val="22"/>
        </w:rPr>
        <w:t xml:space="preserve">Išsami informacija apie šį vaistą pateikiama Valstybinės vaistų kontrolės tarnybos prie Lietuvos Respublikos sveikatos apsaugos ministerijos tinklalapyje </w:t>
      </w:r>
      <w:r w:rsidRPr="00435BD8">
        <w:rPr>
          <w:szCs w:val="22"/>
          <w:u w:val="single"/>
        </w:rPr>
        <w:t>https://vvkt.lrv.lt/lt/</w:t>
      </w:r>
      <w:r w:rsidRPr="00435BD8">
        <w:rPr>
          <w:szCs w:val="22"/>
        </w:rPr>
        <w:t>.</w:t>
      </w:r>
    </w:p>
    <w:p w14:paraId="01538364" w14:textId="77777777" w:rsidR="00435BD8" w:rsidRPr="00435BD8" w:rsidRDefault="00435BD8" w:rsidP="00435BD8">
      <w:pPr>
        <w:contextualSpacing/>
        <w:rPr>
          <w:szCs w:val="22"/>
        </w:rPr>
      </w:pPr>
    </w:p>
    <w:p w14:paraId="7BE43C9C" w14:textId="77777777" w:rsidR="00435BD8" w:rsidRPr="00435BD8" w:rsidRDefault="00435BD8" w:rsidP="00435BD8">
      <w:pPr>
        <w:contextualSpacing/>
        <w:rPr>
          <w:szCs w:val="22"/>
        </w:rPr>
      </w:pPr>
    </w:p>
    <w:p w14:paraId="2B8636F6" w14:textId="77777777" w:rsidR="00222FED" w:rsidRPr="00435BD8" w:rsidRDefault="00222FED" w:rsidP="00435BD8">
      <w:pPr>
        <w:rPr>
          <w:szCs w:val="22"/>
        </w:rPr>
      </w:pPr>
    </w:p>
    <w:sectPr w:rsidR="00222FED" w:rsidRPr="00435BD8" w:rsidSect="00435BD8">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6137B"/>
    <w:multiLevelType w:val="hybridMultilevel"/>
    <w:tmpl w:val="28CA4A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DFE07F6"/>
    <w:multiLevelType w:val="hybridMultilevel"/>
    <w:tmpl w:val="449A3AC0"/>
    <w:lvl w:ilvl="0" w:tplc="B3D81C06">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571D438E"/>
    <w:multiLevelType w:val="hybridMultilevel"/>
    <w:tmpl w:val="DB54BD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C3238C"/>
    <w:multiLevelType w:val="hybridMultilevel"/>
    <w:tmpl w:val="F49229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6224CBA"/>
    <w:multiLevelType w:val="hybridMultilevel"/>
    <w:tmpl w:val="8E6E8BB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357"/>
        </w:tabs>
        <w:ind w:left="2357" w:hanging="360"/>
      </w:pPr>
      <w:rPr>
        <w:rFonts w:ascii="Courier New" w:hAnsi="Courier New" w:cs="Courier New" w:hint="default"/>
      </w:rPr>
    </w:lvl>
    <w:lvl w:ilvl="2" w:tplc="04090005">
      <w:start w:val="1"/>
      <w:numFmt w:val="bullet"/>
      <w:lvlText w:val=""/>
      <w:lvlJc w:val="left"/>
      <w:pPr>
        <w:tabs>
          <w:tab w:val="num" w:pos="3077"/>
        </w:tabs>
        <w:ind w:left="3077" w:hanging="360"/>
      </w:pPr>
      <w:rPr>
        <w:rFonts w:ascii="Wingdings" w:hAnsi="Wingdings" w:hint="default"/>
      </w:rPr>
    </w:lvl>
    <w:lvl w:ilvl="3" w:tplc="04090001">
      <w:start w:val="1"/>
      <w:numFmt w:val="bullet"/>
      <w:lvlText w:val=""/>
      <w:lvlJc w:val="left"/>
      <w:pPr>
        <w:tabs>
          <w:tab w:val="num" w:pos="3797"/>
        </w:tabs>
        <w:ind w:left="3797" w:hanging="360"/>
      </w:pPr>
      <w:rPr>
        <w:rFonts w:ascii="Symbol" w:hAnsi="Symbol" w:hint="default"/>
      </w:rPr>
    </w:lvl>
    <w:lvl w:ilvl="4" w:tplc="04090003">
      <w:start w:val="1"/>
      <w:numFmt w:val="bullet"/>
      <w:lvlText w:val="o"/>
      <w:lvlJc w:val="left"/>
      <w:pPr>
        <w:tabs>
          <w:tab w:val="num" w:pos="4517"/>
        </w:tabs>
        <w:ind w:left="4517" w:hanging="360"/>
      </w:pPr>
      <w:rPr>
        <w:rFonts w:ascii="Courier New" w:hAnsi="Courier New" w:cs="Courier New" w:hint="default"/>
      </w:rPr>
    </w:lvl>
    <w:lvl w:ilvl="5" w:tplc="04090005">
      <w:start w:val="1"/>
      <w:numFmt w:val="bullet"/>
      <w:lvlText w:val=""/>
      <w:lvlJc w:val="left"/>
      <w:pPr>
        <w:tabs>
          <w:tab w:val="num" w:pos="5237"/>
        </w:tabs>
        <w:ind w:left="5237" w:hanging="360"/>
      </w:pPr>
      <w:rPr>
        <w:rFonts w:ascii="Wingdings" w:hAnsi="Wingdings" w:hint="default"/>
      </w:rPr>
    </w:lvl>
    <w:lvl w:ilvl="6" w:tplc="04090001">
      <w:start w:val="1"/>
      <w:numFmt w:val="bullet"/>
      <w:lvlText w:val=""/>
      <w:lvlJc w:val="left"/>
      <w:pPr>
        <w:tabs>
          <w:tab w:val="num" w:pos="5957"/>
        </w:tabs>
        <w:ind w:left="5957" w:hanging="360"/>
      </w:pPr>
      <w:rPr>
        <w:rFonts w:ascii="Symbol" w:hAnsi="Symbol" w:hint="default"/>
      </w:rPr>
    </w:lvl>
    <w:lvl w:ilvl="7" w:tplc="04090003">
      <w:start w:val="1"/>
      <w:numFmt w:val="bullet"/>
      <w:lvlText w:val="o"/>
      <w:lvlJc w:val="left"/>
      <w:pPr>
        <w:tabs>
          <w:tab w:val="num" w:pos="6677"/>
        </w:tabs>
        <w:ind w:left="6677" w:hanging="360"/>
      </w:pPr>
      <w:rPr>
        <w:rFonts w:ascii="Courier New" w:hAnsi="Courier New" w:cs="Courier New" w:hint="default"/>
      </w:rPr>
    </w:lvl>
    <w:lvl w:ilvl="8" w:tplc="04090005">
      <w:start w:val="1"/>
      <w:numFmt w:val="bullet"/>
      <w:lvlText w:val=""/>
      <w:lvlJc w:val="left"/>
      <w:pPr>
        <w:tabs>
          <w:tab w:val="num" w:pos="7397"/>
        </w:tabs>
        <w:ind w:left="7397" w:hanging="360"/>
      </w:pPr>
      <w:rPr>
        <w:rFonts w:ascii="Wingdings" w:hAnsi="Wingdings" w:hint="default"/>
      </w:rPr>
    </w:lvl>
  </w:abstractNum>
  <w:abstractNum w:abstractNumId="5" w15:restartNumberingAfterBreak="0">
    <w:nsid w:val="7A10091D"/>
    <w:multiLevelType w:val="hybridMultilevel"/>
    <w:tmpl w:val="B8204E3C"/>
    <w:lvl w:ilvl="0" w:tplc="B3D81C0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87811471">
    <w:abstractNumId w:val="2"/>
  </w:num>
  <w:num w:numId="2" w16cid:durableId="1003817730">
    <w:abstractNumId w:val="4"/>
  </w:num>
  <w:num w:numId="3" w16cid:durableId="13460117">
    <w:abstractNumId w:val="1"/>
  </w:num>
  <w:num w:numId="4" w16cid:durableId="381901373">
    <w:abstractNumId w:val="5"/>
  </w:num>
  <w:num w:numId="5" w16cid:durableId="1011836741">
    <w:abstractNumId w:val="0"/>
  </w:num>
  <w:num w:numId="6" w16cid:durableId="231283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BD8"/>
    <w:rsid w:val="00222FED"/>
    <w:rsid w:val="00435BD8"/>
    <w:rsid w:val="005F173E"/>
    <w:rsid w:val="008B3AD4"/>
    <w:rsid w:val="00984A0A"/>
    <w:rsid w:val="00C977AF"/>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A5CF4"/>
  <w15:chartTrackingRefBased/>
  <w15:docId w15:val="{E9E7EE74-A76E-4B2D-842E-4B03C2038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5BD8"/>
    <w:pPr>
      <w:spacing w:after="0" w:line="240" w:lineRule="auto"/>
    </w:pPr>
    <w:rPr>
      <w:rFonts w:eastAsia="Times New Roman"/>
      <w:kern w:val="0"/>
      <w:szCs w:val="20"/>
      <w:lang w:eastAsia="lt-LT"/>
      <w14:ligatures w14:val="none"/>
    </w:rPr>
  </w:style>
  <w:style w:type="paragraph" w:styleId="Antrat1">
    <w:name w:val="heading 1"/>
    <w:basedOn w:val="prastasis"/>
    <w:next w:val="prastasis"/>
    <w:link w:val="Antrat1Diagrama"/>
    <w:uiPriority w:val="9"/>
    <w:qFormat/>
    <w:rsid w:val="00435B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435B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semiHidden/>
    <w:unhideWhenUsed/>
    <w:qFormat/>
    <w:rsid w:val="00435BD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35BD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35BD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435BD8"/>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35BD8"/>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35BD8"/>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35BD8"/>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35BD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435BD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semiHidden/>
    <w:rsid w:val="00435BD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35BD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35BD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435BD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35BD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35BD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35BD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435BD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435BD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35BD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35BD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35BD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35BD8"/>
    <w:rPr>
      <w:i/>
      <w:iCs/>
      <w:color w:val="404040" w:themeColor="text1" w:themeTint="BF"/>
    </w:rPr>
  </w:style>
  <w:style w:type="paragraph" w:styleId="Sraopastraipa">
    <w:name w:val="List Paragraph"/>
    <w:basedOn w:val="prastasis"/>
    <w:uiPriority w:val="34"/>
    <w:qFormat/>
    <w:rsid w:val="00435BD8"/>
    <w:pPr>
      <w:ind w:left="720"/>
      <w:contextualSpacing/>
    </w:pPr>
  </w:style>
  <w:style w:type="character" w:styleId="Rykuspabraukimas">
    <w:name w:val="Intense Emphasis"/>
    <w:basedOn w:val="Numatytasispastraiposriftas"/>
    <w:uiPriority w:val="21"/>
    <w:qFormat/>
    <w:rsid w:val="00435BD8"/>
    <w:rPr>
      <w:i/>
      <w:iCs/>
      <w:color w:val="0F4761" w:themeColor="accent1" w:themeShade="BF"/>
    </w:rPr>
  </w:style>
  <w:style w:type="paragraph" w:styleId="Iskirtacitata">
    <w:name w:val="Intense Quote"/>
    <w:basedOn w:val="prastasis"/>
    <w:next w:val="prastasis"/>
    <w:link w:val="IskirtacitataDiagrama"/>
    <w:uiPriority w:val="30"/>
    <w:qFormat/>
    <w:rsid w:val="00435B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35BD8"/>
    <w:rPr>
      <w:i/>
      <w:iCs/>
      <w:color w:val="0F4761" w:themeColor="accent1" w:themeShade="BF"/>
    </w:rPr>
  </w:style>
  <w:style w:type="character" w:styleId="Rykinuoroda">
    <w:name w:val="Intense Reference"/>
    <w:basedOn w:val="Numatytasispastraiposriftas"/>
    <w:uiPriority w:val="32"/>
    <w:qFormat/>
    <w:rsid w:val="00435BD8"/>
    <w:rPr>
      <w:b/>
      <w:bCs/>
      <w:smallCaps/>
      <w:color w:val="0F4761" w:themeColor="accent1" w:themeShade="BF"/>
      <w:spacing w:val="5"/>
    </w:rPr>
  </w:style>
  <w:style w:type="paragraph" w:styleId="Pagrindinistekstas">
    <w:name w:val="Body Text"/>
    <w:basedOn w:val="prastasis"/>
    <w:link w:val="PagrindinistekstasDiagrama"/>
    <w:semiHidden/>
    <w:unhideWhenUsed/>
    <w:rsid w:val="00435BD8"/>
    <w:pPr>
      <w:spacing w:after="120"/>
    </w:pPr>
  </w:style>
  <w:style w:type="character" w:customStyle="1" w:styleId="PagrindinistekstasDiagrama">
    <w:name w:val="Pagrindinis tekstas Diagrama"/>
    <w:basedOn w:val="Numatytasispastraiposriftas"/>
    <w:link w:val="Pagrindinistekstas"/>
    <w:semiHidden/>
    <w:rsid w:val="00435BD8"/>
    <w:rPr>
      <w:rFonts w:eastAsia="Times New Roman"/>
      <w:kern w:val="0"/>
      <w:szCs w:val="20"/>
      <w:lang w:eastAsia="lt-LT"/>
      <w14:ligatures w14:val="none"/>
    </w:rPr>
  </w:style>
  <w:style w:type="paragraph" w:customStyle="1" w:styleId="Default">
    <w:name w:val="Default"/>
    <w:rsid w:val="00435BD8"/>
    <w:pPr>
      <w:autoSpaceDE w:val="0"/>
      <w:autoSpaceDN w:val="0"/>
      <w:adjustRightInd w:val="0"/>
      <w:spacing w:after="0" w:line="240" w:lineRule="auto"/>
    </w:pPr>
    <w:rPr>
      <w:color w:val="000000"/>
      <w:kern w:val="0"/>
      <w:sz w:val="24"/>
      <w:szCs w:val="24"/>
      <w14:ligatures w14:val="none"/>
    </w:rPr>
  </w:style>
  <w:style w:type="character" w:styleId="Hipersaitas">
    <w:name w:val="Hyperlink"/>
    <w:uiPriority w:val="99"/>
    <w:rsid w:val="00435B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lithuania@sandoz.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5210</Words>
  <Characters>2970</Characters>
  <Application>Microsoft Office Word</Application>
  <DocSecurity>0</DocSecurity>
  <Lines>24</Lines>
  <Paragraphs>16</Paragraphs>
  <ScaleCrop>false</ScaleCrop>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2026-04-15T11:31:00Z</dcterms:created>
  <dcterms:modified xsi:type="dcterms:W3CDTF">2026-04-15T11:36:00Z</dcterms:modified>
</cp:coreProperties>
</file>