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9CAE7" w14:textId="77777777" w:rsidR="008C4948" w:rsidRPr="009F10EE" w:rsidRDefault="008C4948" w:rsidP="008C4948">
      <w:pPr>
        <w:tabs>
          <w:tab w:val="left" w:pos="567"/>
        </w:tabs>
        <w:spacing w:after="0" w:line="240" w:lineRule="auto"/>
        <w:outlineLvl w:val="0"/>
        <w:rPr>
          <w:rFonts w:ascii="Times New Roman" w:eastAsia="Times New Roman" w:hAnsi="Times New Roman" w:cs="Times New Roman"/>
          <w:b/>
          <w:lang w:eastAsia="lt-LT"/>
        </w:rPr>
      </w:pPr>
      <w:bookmarkStart w:id="0" w:name="_GoBack"/>
      <w:bookmarkEnd w:id="0"/>
    </w:p>
    <w:p w14:paraId="3019FD20" w14:textId="77777777" w:rsidR="008C4948" w:rsidRPr="009F10EE" w:rsidRDefault="008C4948" w:rsidP="008C4948">
      <w:pPr>
        <w:tabs>
          <w:tab w:val="left" w:pos="567"/>
        </w:tabs>
        <w:spacing w:after="0" w:line="240" w:lineRule="auto"/>
        <w:outlineLvl w:val="0"/>
        <w:rPr>
          <w:rFonts w:ascii="Times New Roman" w:eastAsia="Times New Roman" w:hAnsi="Times New Roman" w:cs="Times New Roman"/>
          <w:b/>
          <w:lang w:eastAsia="lt-LT"/>
        </w:rPr>
      </w:pPr>
    </w:p>
    <w:p w14:paraId="70107C2E" w14:textId="77777777" w:rsidR="008C4948" w:rsidRPr="009F10EE" w:rsidRDefault="008C4948" w:rsidP="008C4948">
      <w:pPr>
        <w:tabs>
          <w:tab w:val="left" w:pos="567"/>
        </w:tabs>
        <w:spacing w:after="0" w:line="240" w:lineRule="auto"/>
        <w:outlineLvl w:val="0"/>
        <w:rPr>
          <w:rFonts w:ascii="Times New Roman" w:eastAsia="Times New Roman" w:hAnsi="Times New Roman" w:cs="Times New Roman"/>
          <w:b/>
          <w:lang w:eastAsia="lt-LT"/>
        </w:rPr>
      </w:pPr>
    </w:p>
    <w:p w14:paraId="4378DC75"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0EAE5624"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512B4A31"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04CA0C9A"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56521868"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267F2AEB"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779E4ABD"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0EA63EE8"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1AC802B4"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061C849E"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0F1850FB"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32E76DC6"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736B0E6E"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6D15996E"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70ABFA62"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10B17153"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02552A0A"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183A6D8B" w14:textId="77777777" w:rsidR="008C4948" w:rsidRPr="009F10EE" w:rsidRDefault="008C4948" w:rsidP="008C4948">
      <w:pPr>
        <w:tabs>
          <w:tab w:val="left" w:pos="-1440"/>
          <w:tab w:val="left" w:pos="-720"/>
          <w:tab w:val="left" w:pos="567"/>
        </w:tabs>
        <w:spacing w:after="0" w:line="240" w:lineRule="auto"/>
        <w:rPr>
          <w:rFonts w:ascii="Times New Roman" w:eastAsia="Times New Roman" w:hAnsi="Times New Roman" w:cs="Times New Roman"/>
          <w:b/>
          <w:lang w:eastAsia="lt-LT"/>
        </w:rPr>
      </w:pPr>
    </w:p>
    <w:p w14:paraId="148931E9"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E4C7BE7"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b/>
          <w:lang w:eastAsia="lt-LT"/>
        </w:rPr>
      </w:pPr>
    </w:p>
    <w:p w14:paraId="073A38F8"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b/>
          <w:bCs/>
          <w:iCs/>
          <w:lang w:eastAsia="lt-LT"/>
        </w:rPr>
      </w:pPr>
      <w:r w:rsidRPr="009F10EE">
        <w:rPr>
          <w:rFonts w:ascii="Times New Roman" w:eastAsia="Times New Roman" w:hAnsi="Times New Roman" w:cs="Times New Roman"/>
          <w:b/>
          <w:lang w:eastAsia="lt-LT"/>
        </w:rPr>
        <w:t>I PRIEDAS</w:t>
      </w:r>
    </w:p>
    <w:p w14:paraId="5FA832DF"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b/>
          <w:lang w:eastAsia="lt-LT"/>
        </w:rPr>
      </w:pPr>
    </w:p>
    <w:p w14:paraId="52B4785E"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b/>
          <w:lang w:eastAsia="lt-LT"/>
        </w:rPr>
      </w:pPr>
      <w:r w:rsidRPr="009F10EE">
        <w:rPr>
          <w:rFonts w:ascii="Times New Roman" w:eastAsia="Times New Roman" w:hAnsi="Times New Roman" w:cs="Times New Roman"/>
          <w:b/>
          <w:lang w:eastAsia="lt-LT"/>
        </w:rPr>
        <w:t>PREPARATO CHARAKTERISTIKŲ SANTRAUKA</w:t>
      </w:r>
    </w:p>
    <w:p w14:paraId="707A8271"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26EB1027"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r w:rsidRPr="009F10EE">
        <w:rPr>
          <w:rFonts w:ascii="Times New Roman" w:eastAsia="Times New Roman" w:hAnsi="Times New Roman" w:cs="Times New Roman"/>
          <w:lang w:eastAsia="lt-LT"/>
        </w:rPr>
        <w:br w:type="page"/>
      </w:r>
      <w:r w:rsidRPr="009F10EE">
        <w:rPr>
          <w:rFonts w:ascii="Times New Roman" w:eastAsia="Times New Roman" w:hAnsi="Times New Roman" w:cs="Times New Roman"/>
          <w:b/>
          <w:lang w:eastAsia="lt-LT"/>
        </w:rPr>
        <w:lastRenderedPageBreak/>
        <w:t>1.</w:t>
      </w:r>
      <w:r w:rsidRPr="009F10EE">
        <w:rPr>
          <w:rFonts w:ascii="Times New Roman" w:eastAsia="Times New Roman" w:hAnsi="Times New Roman" w:cs="Times New Roman"/>
          <w:b/>
          <w:lang w:eastAsia="lt-LT"/>
        </w:rPr>
        <w:tab/>
        <w:t>VAISTINIO PREPARATO PAVADINIMAS</w:t>
      </w:r>
    </w:p>
    <w:p w14:paraId="22D77F9D"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p>
    <w:p w14:paraId="40475C8A"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Tadalafil Accord 5 mg pl</w:t>
      </w:r>
      <w:r w:rsidRPr="009F10EE">
        <w:rPr>
          <w:rFonts w:ascii="Times New Roman" w:eastAsia="TimesNewRomanPSMT" w:hAnsi="Times New Roman" w:cs="Times New Roman"/>
          <w:lang w:eastAsia="lt-LT"/>
        </w:rPr>
        <w:t>ė</w:t>
      </w:r>
      <w:r w:rsidRPr="009F10EE">
        <w:rPr>
          <w:rFonts w:ascii="Times New Roman" w:eastAsia="Times New Roman" w:hAnsi="Times New Roman" w:cs="Times New Roman"/>
          <w:lang w:eastAsia="lt-LT"/>
        </w:rPr>
        <w:t>vele dengtos tablet</w:t>
      </w:r>
      <w:r w:rsidRPr="009F10EE">
        <w:rPr>
          <w:rFonts w:ascii="Times New Roman" w:eastAsia="TimesNewRomanPSMT" w:hAnsi="Times New Roman" w:cs="Times New Roman"/>
          <w:lang w:eastAsia="lt-LT"/>
        </w:rPr>
        <w:t>ė</w:t>
      </w:r>
      <w:r w:rsidRPr="009F10EE">
        <w:rPr>
          <w:rFonts w:ascii="Times New Roman" w:eastAsia="Times New Roman" w:hAnsi="Times New Roman" w:cs="Times New Roman"/>
          <w:lang w:eastAsia="lt-LT"/>
        </w:rPr>
        <w:t>s</w:t>
      </w:r>
    </w:p>
    <w:p w14:paraId="0CB5DDF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38104F2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4B95485" w14:textId="77777777" w:rsidR="008C4948" w:rsidRPr="009F10EE" w:rsidRDefault="008C4948" w:rsidP="008C4948">
      <w:pPr>
        <w:keepNext/>
        <w:tabs>
          <w:tab w:val="left" w:pos="567"/>
        </w:tabs>
        <w:spacing w:after="0" w:line="240" w:lineRule="auto"/>
        <w:outlineLvl w:val="2"/>
        <w:rPr>
          <w:rFonts w:ascii="Times New Roman" w:eastAsia="Times New Roman" w:hAnsi="Times New Roman" w:cs="Times New Roman"/>
          <w:b/>
          <w:bCs/>
        </w:rPr>
      </w:pPr>
      <w:r w:rsidRPr="009F10EE">
        <w:rPr>
          <w:rFonts w:ascii="Times New Roman" w:eastAsia="Times New Roman" w:hAnsi="Times New Roman" w:cs="Times New Roman"/>
          <w:b/>
          <w:bCs/>
        </w:rPr>
        <w:t>2.</w:t>
      </w:r>
      <w:r w:rsidRPr="009F10EE">
        <w:rPr>
          <w:rFonts w:ascii="Times New Roman" w:eastAsia="Times New Roman" w:hAnsi="Times New Roman" w:cs="Times New Roman"/>
          <w:b/>
          <w:bCs/>
        </w:rPr>
        <w:tab/>
        <w:t>KOKYBINĖ IR KIEKYBINĖ SUDĖTIS</w:t>
      </w:r>
    </w:p>
    <w:p w14:paraId="34EC6BDA"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CF2557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K</w:t>
      </w:r>
      <w:r w:rsidRPr="009F10EE">
        <w:rPr>
          <w:rFonts w:ascii="Times New Roman" w:eastAsia="TimesNewRomanPSMT" w:hAnsi="Times New Roman" w:cs="Times New Roman"/>
          <w:lang w:eastAsia="lt-LT"/>
        </w:rPr>
        <w:t>iekvienoje plėvele dengtoje tabletėje yra 5 mg tadalafilio.</w:t>
      </w:r>
    </w:p>
    <w:p w14:paraId="27C6D808"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125A7E2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u w:val="single"/>
          <w:lang w:eastAsia="lt-LT"/>
        </w:rPr>
        <w:t>Pagalbinė medžiaga, kurios poveikis žinomas</w:t>
      </w:r>
      <w:r w:rsidRPr="009F10EE">
        <w:rPr>
          <w:rFonts w:ascii="Times New Roman" w:eastAsia="TimesNewRomanPSMT" w:hAnsi="Times New Roman" w:cs="Times New Roman"/>
          <w:lang w:eastAsia="lt-LT"/>
        </w:rPr>
        <w:t xml:space="preserve">: </w:t>
      </w:r>
    </w:p>
    <w:p w14:paraId="70346375"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highlight w:val="lightGray"/>
          <w:lang w:eastAsia="lt-LT"/>
        </w:rPr>
      </w:pPr>
      <w:r w:rsidRPr="009F10EE">
        <w:rPr>
          <w:rFonts w:ascii="Times New Roman" w:eastAsia="Times New Roman" w:hAnsi="Times New Roman" w:cs="Times New Roman"/>
          <w:lang w:eastAsia="lt-LT"/>
        </w:rPr>
        <w:t>K</w:t>
      </w:r>
      <w:r w:rsidRPr="009F10EE">
        <w:rPr>
          <w:rFonts w:ascii="Times New Roman" w:eastAsia="TimesNewRomanPSMT" w:hAnsi="Times New Roman" w:cs="Times New Roman"/>
          <w:lang w:eastAsia="lt-LT"/>
        </w:rPr>
        <w:t>iekvienoje plėvele dengtoje tabletėje yra 91,572 mg laktozės (monohidrato pavidalu).</w:t>
      </w:r>
    </w:p>
    <w:p w14:paraId="24D8797D"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p>
    <w:p w14:paraId="1FB97F29"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Visos pagalbinės medžiagos išvardytos 6.1 skyriuje.</w:t>
      </w:r>
    </w:p>
    <w:p w14:paraId="2A501E10"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E9E214E"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37090D7" w14:textId="77777777" w:rsidR="008C4948" w:rsidRPr="009F10EE" w:rsidRDefault="008C4948" w:rsidP="008C4948">
      <w:pPr>
        <w:keepNext/>
        <w:tabs>
          <w:tab w:val="left" w:pos="567"/>
        </w:tabs>
        <w:spacing w:after="0" w:line="240" w:lineRule="auto"/>
        <w:outlineLvl w:val="2"/>
        <w:rPr>
          <w:rFonts w:ascii="Times New Roman" w:eastAsia="Times New Roman" w:hAnsi="Times New Roman" w:cs="Times New Roman"/>
          <w:b/>
          <w:bCs/>
        </w:rPr>
      </w:pPr>
      <w:r w:rsidRPr="009F10EE">
        <w:rPr>
          <w:rFonts w:ascii="Times New Roman" w:eastAsia="Times New Roman" w:hAnsi="Times New Roman" w:cs="Times New Roman"/>
          <w:b/>
          <w:bCs/>
        </w:rPr>
        <w:t>3.</w:t>
      </w:r>
      <w:r w:rsidRPr="009F10EE">
        <w:rPr>
          <w:rFonts w:ascii="Times New Roman" w:eastAsia="Times New Roman" w:hAnsi="Times New Roman" w:cs="Times New Roman"/>
          <w:b/>
          <w:bCs/>
        </w:rPr>
        <w:tab/>
        <w:t>FARMACINĖ FORMA</w:t>
      </w:r>
    </w:p>
    <w:p w14:paraId="40716A5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A09442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Plėvele dengta tabletė.</w:t>
      </w:r>
    </w:p>
    <w:p w14:paraId="3089518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1F08B5EE"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highlight w:val="lightGray"/>
          <w:lang w:eastAsia="lt-LT"/>
        </w:rPr>
      </w:pPr>
      <w:r w:rsidRPr="009F10EE">
        <w:rPr>
          <w:rFonts w:ascii="Times New Roman" w:eastAsia="Times New Roman" w:hAnsi="Times New Roman" w:cs="Times New Roman"/>
          <w:lang w:eastAsia="lt-LT"/>
        </w:rPr>
        <w:t>Šviesiai geltona, kapsulės formos, maždaug 8,6 mm ilgio ir 4,8 mm pločio, abipus išgaubta, nuožulniais kraštai, plėvele dengta tabletė, vienoje pusėje įspausta „T 5“, kita pusė lygi.</w:t>
      </w:r>
    </w:p>
    <w:p w14:paraId="2C382CCD"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021B76F0"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2AE8D15" w14:textId="77777777" w:rsidR="008C4948" w:rsidRPr="009F10EE" w:rsidRDefault="008C4948" w:rsidP="008C4948">
      <w:pPr>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w:t>
      </w:r>
      <w:r w:rsidRPr="009F10EE">
        <w:rPr>
          <w:rFonts w:ascii="Times New Roman" w:eastAsia="Times New Roman" w:hAnsi="Times New Roman" w:cs="Times New Roman"/>
          <w:b/>
        </w:rPr>
        <w:tab/>
        <w:t>KLINIKINĖ INFORMACIJA</w:t>
      </w:r>
    </w:p>
    <w:p w14:paraId="2D674BCE"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ED3DAE6" w14:textId="77777777" w:rsidR="008C4948" w:rsidRPr="009F10EE" w:rsidRDefault="008C4948" w:rsidP="008C4948">
      <w:pPr>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4.1</w:t>
      </w:r>
      <w:r w:rsidRPr="009F10EE">
        <w:rPr>
          <w:rFonts w:ascii="Times New Roman" w:eastAsia="Times New Roman" w:hAnsi="Times New Roman" w:cs="Times New Roman"/>
          <w:b/>
        </w:rPr>
        <w:tab/>
        <w:t>Terapinės indikacijos</w:t>
      </w:r>
    </w:p>
    <w:p w14:paraId="5081AB2E"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1990E6D8"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Suaugusių vyrų erekcijos funkcijos sutrikimo gydymas.</w:t>
      </w:r>
    </w:p>
    <w:p w14:paraId="66F4ABDB"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371E40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Kad tadalafilis būtų veiksmingas, gydant erekcijos funkcijos sutrikimą, būtina seksualinė stimuliacija.</w:t>
      </w:r>
    </w:p>
    <w:p w14:paraId="5345907F"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2EC53B91"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Suaugusių vyrų gerybinės prostatos hiperplazijos požymių ir simptomų gydymas.</w:t>
      </w:r>
    </w:p>
    <w:p w14:paraId="5F8B04F0"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3494E2A" w14:textId="116794C6"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Tadalafil Accord nėra skirtas vartoti moterims.</w:t>
      </w:r>
    </w:p>
    <w:p w14:paraId="5E489F6F"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23196108"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r w:rsidRPr="009F10EE">
        <w:rPr>
          <w:rFonts w:ascii="Times New Roman" w:eastAsia="Times New Roman" w:hAnsi="Times New Roman" w:cs="Times New Roman"/>
          <w:b/>
          <w:lang w:eastAsia="lt-LT"/>
        </w:rPr>
        <w:t>4.2</w:t>
      </w:r>
      <w:r w:rsidRPr="009F10EE">
        <w:rPr>
          <w:rFonts w:ascii="Times New Roman" w:eastAsia="Times New Roman" w:hAnsi="Times New Roman" w:cs="Times New Roman"/>
          <w:b/>
          <w:lang w:eastAsia="lt-LT"/>
        </w:rPr>
        <w:tab/>
        <w:t>Dozavimas ir vartojimo metodas</w:t>
      </w:r>
    </w:p>
    <w:p w14:paraId="1FAC457A"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p>
    <w:p w14:paraId="2EF21D6E" w14:textId="77777777" w:rsidR="008C4948" w:rsidRPr="009F10EE" w:rsidRDefault="008C4948" w:rsidP="008C4948">
      <w:pPr>
        <w:tabs>
          <w:tab w:val="left" w:pos="567"/>
        </w:tabs>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Dozavimas</w:t>
      </w:r>
    </w:p>
    <w:p w14:paraId="195FE313"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0E9708C7"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NewRomanPSMT" w:hAnsi="Times New Roman" w:cs="Times New Roman"/>
          <w:i/>
          <w:lang w:eastAsia="lt-LT"/>
        </w:rPr>
        <w:t>Erekcijos funkcijos sutrikimas</w:t>
      </w:r>
      <w:r w:rsidRPr="009F10EE">
        <w:rPr>
          <w:rFonts w:ascii="Times New Roman" w:eastAsia="TimesNewRomanPSMT" w:hAnsi="Times New Roman" w:cs="Times New Roman"/>
          <w:lang w:eastAsia="lt-LT"/>
        </w:rPr>
        <w:t xml:space="preserve"> </w:t>
      </w:r>
      <w:r w:rsidRPr="009F10EE">
        <w:rPr>
          <w:rFonts w:ascii="Times New Roman" w:eastAsia="Times New Roman" w:hAnsi="Times New Roman" w:cs="Times New Roman"/>
          <w:i/>
          <w:iCs/>
          <w:lang w:eastAsia="lt-LT"/>
        </w:rPr>
        <w:t>suaugusiems vyrams</w:t>
      </w:r>
    </w:p>
    <w:p w14:paraId="53386899"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3611992A"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Paprastai rekomenduojama dozė yra 10 mg. Ją reikia vartoti prieš planuojamus lytinius</w:t>
      </w:r>
      <w:r w:rsidRPr="009F10EE">
        <w:rPr>
          <w:rFonts w:ascii="Times New Roman" w:eastAsia="Times New Roman" w:hAnsi="Times New Roman" w:cs="Times New Roman"/>
          <w:lang w:eastAsia="lt-LT"/>
        </w:rPr>
        <w:t xml:space="preserve"> santykius, valgio metu arba nevalgius. </w:t>
      </w:r>
    </w:p>
    <w:p w14:paraId="5C2DA31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Pacientams, kuriems 10 mg tadalafilio dozė pakankamo poveikio nesukelia, </w:t>
      </w:r>
      <w:r w:rsidRPr="009F10EE">
        <w:rPr>
          <w:rFonts w:ascii="Times New Roman" w:eastAsia="Times New Roman" w:hAnsi="Times New Roman" w:cs="Times New Roman"/>
          <w:lang w:eastAsia="lt-LT"/>
        </w:rPr>
        <w:t>gali būti išbandyta 20 mg</w:t>
      </w:r>
      <w:r w:rsidRPr="009F10EE">
        <w:rPr>
          <w:rFonts w:ascii="Times New Roman" w:eastAsia="TimesNewRomanPSMT" w:hAnsi="Times New Roman" w:cs="Times New Roman"/>
          <w:lang w:eastAsia="lt-LT"/>
        </w:rPr>
        <w:t xml:space="preserve"> dozė. Ją reikia vartoti iki lytinių santykių</w:t>
      </w:r>
      <w:r w:rsidRPr="009F10EE">
        <w:rPr>
          <w:rFonts w:ascii="Times New Roman" w:eastAsia="Times New Roman" w:hAnsi="Times New Roman" w:cs="Times New Roman"/>
          <w:lang w:eastAsia="lt-LT"/>
        </w:rPr>
        <w:t xml:space="preserve"> likus ne mažiau kaip 30 </w:t>
      </w:r>
      <w:r w:rsidRPr="009F10EE">
        <w:rPr>
          <w:rFonts w:ascii="Times New Roman" w:eastAsia="TimesNewRomanPSMT" w:hAnsi="Times New Roman" w:cs="Times New Roman"/>
          <w:lang w:eastAsia="lt-LT"/>
        </w:rPr>
        <w:t>min.</w:t>
      </w:r>
    </w:p>
    <w:p w14:paraId="5DD6AA75"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F56231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Vaistinio preparato galima vartoti ne dažniau kaip vieną kartą per parą.</w:t>
      </w:r>
    </w:p>
    <w:p w14:paraId="768C37D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C4705D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Tadalafilio 10 mg ir 20 mg</w:t>
      </w:r>
      <w:r w:rsidRPr="009F10EE">
        <w:rPr>
          <w:rFonts w:ascii="Times New Roman" w:eastAsia="TimesNewRomanPSMT" w:hAnsi="Times New Roman" w:cs="Times New Roman"/>
          <w:lang w:eastAsia="lt-LT"/>
        </w:rPr>
        <w:t xml:space="preserve"> tabletės skirtos vartoti prieš planuojamus lytinius santykius, jų nerekomenduojama vartoti kasdien.</w:t>
      </w:r>
    </w:p>
    <w:p w14:paraId="4BB75DD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4991558" w14:textId="192F7CFA" w:rsidR="008C4948" w:rsidRPr="005F03A9"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5F03A9">
        <w:rPr>
          <w:rFonts w:ascii="Times New Roman" w:eastAsia="TimesNewRomanPSMT" w:hAnsi="Times New Roman" w:cs="Times New Roman"/>
          <w:lang w:eastAsia="lt-LT"/>
        </w:rPr>
        <w:lastRenderedPageBreak/>
        <w:t xml:space="preserve">Atsižvelgiant į paciento pasirinkimą ir gydytojo sprendimą, pacientams, kurie Tadalafil Accord planuoja vartoti dažnai (t. y. mažiausiai 2 kartus per savaitę), gali tikti kasdieninis vienos mažesnės </w:t>
      </w:r>
      <w:r w:rsidR="00E74685" w:rsidRPr="005F03A9">
        <w:rPr>
          <w:rFonts w:ascii="Times New Roman" w:eastAsia="TimesNewRomanPSMT" w:hAnsi="Times New Roman" w:cs="Times New Roman"/>
          <w:lang w:eastAsia="lt-LT"/>
        </w:rPr>
        <w:t>Tadalafil Accord</w:t>
      </w:r>
      <w:r w:rsidRPr="005F03A9">
        <w:rPr>
          <w:rFonts w:ascii="Times New Roman" w:eastAsia="TimesNewRomanPSMT" w:hAnsi="Times New Roman" w:cs="Times New Roman"/>
          <w:lang w:eastAsia="lt-LT"/>
        </w:rPr>
        <w:t xml:space="preserve"> dozės vartojimas.</w:t>
      </w:r>
    </w:p>
    <w:p w14:paraId="0FD4A8F0" w14:textId="77777777" w:rsidR="008C4948" w:rsidRPr="005F03A9"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C61BC1A" w14:textId="77777777" w:rsidR="008C4948" w:rsidRPr="005F03A9"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5F03A9">
        <w:rPr>
          <w:rFonts w:ascii="Times New Roman" w:eastAsia="Times New Roman" w:hAnsi="Times New Roman" w:cs="Times New Roman"/>
          <w:lang w:eastAsia="lt-LT"/>
        </w:rPr>
        <w:t>Tokiems pacientams rekome</w:t>
      </w:r>
      <w:r w:rsidRPr="005F03A9">
        <w:rPr>
          <w:rFonts w:ascii="Times New Roman" w:eastAsia="TimesNewRomanPSMT" w:hAnsi="Times New Roman" w:cs="Times New Roman"/>
          <w:lang w:eastAsia="lt-LT"/>
        </w:rPr>
        <w:t xml:space="preserve">nduojama dozė yra 5 mg. Ji vartojama vieną kartą per parą, maždaug tokiu pačiu paros laiku. Atsižvelgiant į toleravimą, paros dozę galima sumažinti </w:t>
      </w:r>
      <w:r w:rsidRPr="005F03A9">
        <w:rPr>
          <w:rFonts w:ascii="Times New Roman" w:hAnsi="Times New Roman" w:cs="Times New Roman"/>
        </w:rPr>
        <w:t>iki 2,5 mg</w:t>
      </w:r>
      <w:r w:rsidRPr="005F03A9">
        <w:rPr>
          <w:rFonts w:ascii="Times New Roman" w:eastAsia="TimesNewRomanPSMT" w:hAnsi="Times New Roman" w:cs="Times New Roman"/>
          <w:lang w:eastAsia="lt-LT"/>
        </w:rPr>
        <w:t>.</w:t>
      </w:r>
    </w:p>
    <w:p w14:paraId="7C7A2522" w14:textId="77777777" w:rsidR="008C4948" w:rsidRPr="009F10EE" w:rsidRDefault="008C4948" w:rsidP="008C4948">
      <w:pPr>
        <w:tabs>
          <w:tab w:val="left" w:pos="567"/>
        </w:tabs>
        <w:spacing w:after="0" w:line="240" w:lineRule="auto"/>
        <w:contextualSpacing/>
        <w:outlineLvl w:val="0"/>
        <w:rPr>
          <w:rFonts w:ascii="Times New Roman" w:eastAsia="TimesNewRomanPSMT" w:hAnsi="Times New Roman" w:cs="Times New Roman"/>
          <w:lang w:eastAsia="lt-LT"/>
        </w:rPr>
      </w:pPr>
      <w:r w:rsidRPr="005F03A9">
        <w:rPr>
          <w:rFonts w:ascii="Times New Roman" w:eastAsia="TimesNewRomanPSMT" w:hAnsi="Times New Roman" w:cs="Times New Roman"/>
          <w:lang w:eastAsia="lt-LT"/>
        </w:rPr>
        <w:t>Kadangi šio vaistinio preparato 2,5 mg dozė nėra tiekiama, reikia vartoti kitus rinkoje esančius tadalafilio 2,5 mg vaistinius preparatus.</w:t>
      </w:r>
    </w:p>
    <w:p w14:paraId="74EF7492" w14:textId="77777777" w:rsidR="008C4948" w:rsidRPr="009F10EE" w:rsidRDefault="008C4948" w:rsidP="008C4948">
      <w:pPr>
        <w:tabs>
          <w:tab w:val="left" w:pos="567"/>
        </w:tabs>
        <w:spacing w:after="0" w:line="240" w:lineRule="auto"/>
        <w:contextualSpacing/>
        <w:outlineLvl w:val="0"/>
        <w:rPr>
          <w:rFonts w:ascii="Times New Roman" w:eastAsia="TimesNewRomanPSMT" w:hAnsi="Times New Roman" w:cs="Times New Roman"/>
          <w:lang w:eastAsia="lt-LT"/>
        </w:rPr>
      </w:pPr>
    </w:p>
    <w:p w14:paraId="2158028C" w14:textId="77777777" w:rsidR="008C4948" w:rsidRPr="009F10EE" w:rsidRDefault="008C4948" w:rsidP="008C4948">
      <w:pPr>
        <w:tabs>
          <w:tab w:val="left" w:pos="567"/>
        </w:tabs>
        <w:spacing w:after="0" w:line="240" w:lineRule="auto"/>
        <w:contextualSpacing/>
        <w:outlineLvl w:val="0"/>
        <w:rPr>
          <w:rFonts w:ascii="Times New Roman" w:eastAsia="TimesNewRomanPSMT" w:hAnsi="Times New Roman" w:cs="Times New Roman"/>
          <w:lang w:eastAsia="lt-LT"/>
        </w:rPr>
      </w:pPr>
      <w:r w:rsidRPr="005F03A9">
        <w:rPr>
          <w:rFonts w:ascii="Times New Roman" w:eastAsia="TimesNewRomanPSMT" w:hAnsi="Times New Roman" w:cs="Times New Roman"/>
          <w:lang w:eastAsia="lt-LT"/>
        </w:rPr>
        <w:t>Reikia reguliariai iš naujo įvertinti tolesnio kasdieninio vartojimo tinkamumą.</w:t>
      </w:r>
    </w:p>
    <w:p w14:paraId="486671E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D2D6C5D"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NewRomanPSMT" w:hAnsi="Times New Roman" w:cs="Times New Roman"/>
          <w:i/>
          <w:lang w:eastAsia="lt-LT"/>
        </w:rPr>
        <w:t>Gerybinė prostatos hiperplazija</w:t>
      </w:r>
      <w:r w:rsidRPr="009F10EE">
        <w:rPr>
          <w:rFonts w:ascii="Times New Roman" w:eastAsia="TimesNewRomanPSMT" w:hAnsi="Times New Roman" w:cs="Times New Roman"/>
          <w:lang w:eastAsia="lt-LT"/>
        </w:rPr>
        <w:t xml:space="preserve"> </w:t>
      </w:r>
      <w:r w:rsidRPr="009F10EE">
        <w:rPr>
          <w:rFonts w:ascii="Times New Roman" w:eastAsia="Times New Roman" w:hAnsi="Times New Roman" w:cs="Times New Roman"/>
          <w:i/>
          <w:iCs/>
          <w:lang w:eastAsia="lt-LT"/>
        </w:rPr>
        <w:t>suaugusiems vyrams</w:t>
      </w:r>
    </w:p>
    <w:p w14:paraId="72A2E866"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6EBA8F3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Rekomenduojama dozė yra 5 mg. Ją reikia vartoti kiekvieną parą maždaug tokiu pačiu laiku</w:t>
      </w:r>
      <w:r w:rsidRPr="009F10EE">
        <w:rPr>
          <w:rFonts w:ascii="Times New Roman" w:eastAsia="Times New Roman" w:hAnsi="Times New Roman" w:cs="Times New Roman"/>
          <w:lang w:eastAsia="lt-LT"/>
        </w:rPr>
        <w:t xml:space="preserve">, valgio metu arba nevalgius. </w:t>
      </w:r>
      <w:r w:rsidRPr="009F10EE">
        <w:rPr>
          <w:rFonts w:ascii="Times New Roman" w:eastAsia="TimesNewRomanPSMT" w:hAnsi="Times New Roman" w:cs="Times New Roman"/>
          <w:lang w:eastAsia="lt-LT"/>
        </w:rPr>
        <w:t>Suaugusiems vyrams, kurie yra gydomi ne tik nuo gerybinės prostatos hiperplazijos, bet ir erekcijos funkcijos sutrikimo, rekomenduojama dozė taip pat yra 5 mg. Ją reikia vartoti kiekvieną parą maždaug tokiu pačiu laiku. Pacientams, kurie 5 mg tadalafilio dozės gerybinės prostatos hiperplazijai gydyti toleruoti negali, turi būti apgalvotas alternatyvus gydymas, kadangi 2,5 mg tadalafilio dozės veiksmingumas gydant gerybinę prostatos hiperplaziją nėra įrodytas.</w:t>
      </w:r>
    </w:p>
    <w:p w14:paraId="0615C625"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C5F28BA"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Ypatingos populiacijos</w:t>
      </w:r>
    </w:p>
    <w:p w14:paraId="39AA0C4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BA62682"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Senyviems vyrams</w:t>
      </w:r>
    </w:p>
    <w:p w14:paraId="402028D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Senyviems pacientams dozės koreguoti nereikia.</w:t>
      </w:r>
    </w:p>
    <w:p w14:paraId="2CCB6AE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2D07BC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Vyrams, kurių inkstų funkcija sutrikusi</w:t>
      </w:r>
    </w:p>
    <w:p w14:paraId="632A528B"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Pacientams, kuriems yra lengvas arba vidutinio sunkumo inkstų funkcijos sutrikimas, dozės koreguoti nereikia. Pacientams, kuriems yra sunkus inkstų funkcijos sutrikimas, didžiausia rekomenduojama dozė vartojant pagal poreikį yra 10 mg.</w:t>
      </w:r>
    </w:p>
    <w:p w14:paraId="69AD8DFD"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p>
    <w:p w14:paraId="422D078A"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Kasdieninės vienos 2,5</w:t>
      </w:r>
      <w:r w:rsidRPr="009F10EE">
        <w:rPr>
          <w:rFonts w:ascii="Times New Roman" w:eastAsia="TimesNewRomanPSMT" w:hAnsi="Times New Roman" w:cs="Times New Roman"/>
          <w:lang w:eastAsia="lt-LT"/>
        </w:rPr>
        <w:noBreakHyphen/>
        <w:t>5 mg tadalafilio paros dozės vartojimas tiek erekcijos funkcijos sutrikimui, tiek gerybinei prostatos hiperplazijai gydyti, pacientams, kuriems yra sunkus inkstų funkcijos sutrikimas, nerekomenduojamas (žr. 4.4 ir 5.2 skyrius).</w:t>
      </w:r>
    </w:p>
    <w:p w14:paraId="548710C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5C9C4FE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Vyrams, kurių kepenų funkcija sutrikusi</w:t>
      </w:r>
    </w:p>
    <w:p w14:paraId="73B1488C"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iCs/>
          <w:lang w:eastAsia="lt-LT"/>
        </w:rPr>
        <w:t xml:space="preserve">Pagal poreikį vartojant </w:t>
      </w:r>
      <w:r w:rsidRPr="009F10EE">
        <w:rPr>
          <w:rFonts w:ascii="Times New Roman" w:eastAsia="TimesNewRomanPSMT" w:hAnsi="Times New Roman" w:cs="Times New Roman"/>
          <w:lang w:eastAsia="lt-LT"/>
        </w:rPr>
        <w:t>Tadalafil Accord erekcijos funkcijos sutrikimui gydyti</w:t>
      </w:r>
      <w:r w:rsidRPr="009F10EE">
        <w:rPr>
          <w:rFonts w:ascii="Times New Roman" w:hAnsi="Times New Roman" w:cs="Times New Roman"/>
        </w:rPr>
        <w:t xml:space="preserve">, </w:t>
      </w:r>
      <w:r w:rsidRPr="009F10EE">
        <w:rPr>
          <w:rFonts w:ascii="Times New Roman" w:eastAsia="TimesNewRomanPSMT" w:hAnsi="Times New Roman" w:cs="Times New Roman"/>
          <w:lang w:eastAsia="lt-LT"/>
        </w:rPr>
        <w:t xml:space="preserve">rekomenduojama tadalafilio dozė yra 10 mg. Ją reikia vartoti prieš planuojamus lytinius santykius, valgio metu arba nevalgius. Apie tadalafilio saugumą pacientams, kuriems yra sunkus kepenų funkcijos sutrikimas (C klasės pagal </w:t>
      </w:r>
      <w:r w:rsidRPr="009F10EE">
        <w:rPr>
          <w:rFonts w:ascii="Times New Roman" w:eastAsia="TimesNewRomanPSMT" w:hAnsi="Times New Roman" w:cs="Times New Roman"/>
          <w:i/>
          <w:lang w:eastAsia="lt-LT"/>
        </w:rPr>
        <w:t>Child</w:t>
      </w:r>
      <w:r w:rsidRPr="009F10EE">
        <w:rPr>
          <w:rFonts w:ascii="Times New Roman" w:eastAsia="Times New Roman" w:hAnsi="Times New Roman" w:cs="Times New Roman"/>
          <w:i/>
          <w:lang w:eastAsia="lt-LT"/>
        </w:rPr>
        <w:t>-</w:t>
      </w:r>
      <w:r w:rsidRPr="009F10EE">
        <w:rPr>
          <w:rFonts w:ascii="Times New Roman" w:eastAsia="TimesNewRomanPSMT" w:hAnsi="Times New Roman" w:cs="Times New Roman"/>
          <w:i/>
          <w:lang w:eastAsia="lt-LT"/>
        </w:rPr>
        <w:t>Pugh</w:t>
      </w:r>
      <w:r w:rsidRPr="009F10EE">
        <w:rPr>
          <w:rFonts w:ascii="Times New Roman" w:eastAsia="TimesNewRomanPSMT" w:hAnsi="Times New Roman" w:cs="Times New Roman"/>
          <w:lang w:eastAsia="lt-LT"/>
        </w:rPr>
        <w:t>), klinikinių duomenų yra nedaug. Prieš s</w:t>
      </w:r>
      <w:r w:rsidRPr="009F10EE">
        <w:rPr>
          <w:rFonts w:ascii="Times New Roman" w:eastAsia="Times New Roman" w:hAnsi="Times New Roman" w:cs="Times New Roman"/>
          <w:lang w:eastAsia="lt-LT"/>
        </w:rPr>
        <w:t xml:space="preserve">kirdamas šio </w:t>
      </w:r>
      <w:r w:rsidRPr="009F10EE">
        <w:rPr>
          <w:rFonts w:ascii="Times New Roman" w:eastAsia="TimesNewRomanPSMT" w:hAnsi="Times New Roman" w:cs="Times New Roman"/>
          <w:lang w:eastAsia="lt-LT"/>
        </w:rPr>
        <w:t>vaistinio preparato, gydytojas turi atidžiai įvertinti individualų naudos ir rizikos santykį tokiam pacientui. Apie pacientų, kurių kepenų funkcija sutrikusi, gydymą didesne negu 10 mg</w:t>
      </w:r>
      <w:r w:rsidRPr="009F10EE">
        <w:rPr>
          <w:rFonts w:ascii="Times New Roman" w:eastAsia="Times New Roman" w:hAnsi="Times New Roman" w:cs="Times New Roman"/>
          <w:lang w:eastAsia="lt-LT"/>
        </w:rPr>
        <w:t xml:space="preserve"> tadalafilio </w:t>
      </w:r>
      <w:r w:rsidRPr="009F10EE">
        <w:rPr>
          <w:rFonts w:ascii="Times New Roman" w:eastAsia="TimesNewRomanPSMT" w:hAnsi="Times New Roman" w:cs="Times New Roman"/>
          <w:lang w:eastAsia="lt-LT"/>
        </w:rPr>
        <w:t>doze, duomenų nėra.</w:t>
      </w:r>
    </w:p>
    <w:p w14:paraId="73390C95"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p>
    <w:p w14:paraId="6EA4955B"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Kasdieninis vienos</w:t>
      </w:r>
      <w:r w:rsidRPr="009F10EE">
        <w:rPr>
          <w:rFonts w:ascii="Times New Roman" w:hAnsi="Times New Roman" w:cs="Times New Roman"/>
        </w:rPr>
        <w:t xml:space="preserve"> </w:t>
      </w:r>
      <w:r w:rsidRPr="009F10EE">
        <w:rPr>
          <w:rFonts w:ascii="Times New Roman" w:eastAsia="TimesNewRomanPSMT" w:hAnsi="Times New Roman" w:cs="Times New Roman"/>
          <w:lang w:eastAsia="lt-LT"/>
        </w:rPr>
        <w:t>tadalafilio paros dozės vartojimas tiek erekcijos funkcijos sutrikimui, tiek gerybinei prostatos hiperplazijai gydyti pacientams, kurių kepenų funkcija sutrikusi, netirtas. Prieš s</w:t>
      </w:r>
      <w:r w:rsidRPr="009F10EE">
        <w:rPr>
          <w:rFonts w:ascii="Times New Roman" w:eastAsia="Times New Roman" w:hAnsi="Times New Roman" w:cs="Times New Roman"/>
          <w:lang w:eastAsia="lt-LT"/>
        </w:rPr>
        <w:t xml:space="preserve">kirdamas šio </w:t>
      </w:r>
      <w:r w:rsidRPr="009F10EE">
        <w:rPr>
          <w:rFonts w:ascii="Times New Roman" w:eastAsia="TimesNewRomanPSMT" w:hAnsi="Times New Roman" w:cs="Times New Roman"/>
          <w:lang w:eastAsia="lt-LT"/>
        </w:rPr>
        <w:t xml:space="preserve">vaistinio preparato, gydytojas turi atidžiai įvertinti individualų naudos ir rizikos santykį tokiam pacientui (žr. 4.4 </w:t>
      </w:r>
      <w:r w:rsidRPr="009F10EE">
        <w:rPr>
          <w:rFonts w:ascii="Times New Roman" w:eastAsia="Times New Roman" w:hAnsi="Times New Roman" w:cs="Times New Roman"/>
          <w:lang w:eastAsia="lt-LT"/>
        </w:rPr>
        <w:t>ir 5.2 skyrius).</w:t>
      </w:r>
    </w:p>
    <w:p w14:paraId="3B02AD2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0BAB7E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Cukriniu diabetu sergantiems vyrams</w:t>
      </w:r>
    </w:p>
    <w:p w14:paraId="462E960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Cukriniu diabetu sergantiems pacientams dozės koreguoti nereikia.</w:t>
      </w:r>
    </w:p>
    <w:p w14:paraId="043E548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63C70B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Vaikų populiacija</w:t>
      </w:r>
    </w:p>
    <w:p w14:paraId="37BC070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Tadalafil Accord</w:t>
      </w:r>
      <w:r w:rsidRPr="009F10EE">
        <w:rPr>
          <w:rFonts w:ascii="Times New Roman" w:eastAsia="TimesNewRomanPSMT" w:hAnsi="Times New Roman" w:cs="Times New Roman"/>
          <w:lang w:eastAsia="lt-LT"/>
        </w:rPr>
        <w:t xml:space="preserve"> nėra skirtas vaikų populiacijai erekcijos funkcijos sutrikimui gydyti.</w:t>
      </w:r>
    </w:p>
    <w:p w14:paraId="4365568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21B5567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lastRenderedPageBreak/>
        <w:t>Vartojimo metodas</w:t>
      </w:r>
    </w:p>
    <w:p w14:paraId="44C37391"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Tabletes reikia vartoti per burną.</w:t>
      </w:r>
    </w:p>
    <w:p w14:paraId="19355513"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p>
    <w:p w14:paraId="2E0D73C0" w14:textId="77777777" w:rsidR="008C4948" w:rsidRPr="009F10EE" w:rsidRDefault="008C4948" w:rsidP="008C4948">
      <w:pPr>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4.3</w:t>
      </w:r>
      <w:r w:rsidRPr="009F10EE">
        <w:rPr>
          <w:rFonts w:ascii="Times New Roman" w:eastAsia="Times New Roman" w:hAnsi="Times New Roman" w:cs="Times New Roman"/>
          <w:b/>
        </w:rPr>
        <w:tab/>
        <w:t>Kontraindikacijos</w:t>
      </w:r>
    </w:p>
    <w:p w14:paraId="551E48EB"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p>
    <w:p w14:paraId="05E033BF"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Padidėjęs jautrumas veikliajai arba bet kuriai 6.1 skyriuje nurodytai pagalbinei medžiagai.</w:t>
      </w:r>
    </w:p>
    <w:p w14:paraId="052DC7BC"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48542441" w14:textId="4DDA33E6"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Klinikinių tyrimų metu nustatyta, kad tadalafilis stiprina nitratų sukeliamą hipotenzinį poveikį. Manoma, kad tai lemia bendras nitratų ir tadalafilio poveikis azoto oksido ir cGMF reakcijų grandinei. Vadinasi, Tadalafil Accord </w:t>
      </w:r>
      <w:r w:rsidR="0028007C">
        <w:rPr>
          <w:rFonts w:ascii="Times New Roman" w:eastAsia="Times New Roman" w:hAnsi="Times New Roman" w:cs="Times New Roman"/>
          <w:lang w:eastAsia="lt-LT"/>
        </w:rPr>
        <w:t>draudžiama</w:t>
      </w:r>
      <w:r w:rsidR="0028007C" w:rsidRPr="009F10EE">
        <w:rPr>
          <w:rFonts w:ascii="Times New Roman" w:eastAsia="Times New Roman" w:hAnsi="Times New Roman" w:cs="Times New Roman"/>
          <w:lang w:eastAsia="lt-LT"/>
        </w:rPr>
        <w:t xml:space="preserve"> </w:t>
      </w:r>
      <w:r w:rsidRPr="009F10EE">
        <w:rPr>
          <w:rFonts w:ascii="Times New Roman" w:eastAsia="Times New Roman" w:hAnsi="Times New Roman" w:cs="Times New Roman"/>
          <w:lang w:eastAsia="lt-LT"/>
        </w:rPr>
        <w:t>skirti pacientams, vartojantiems bet kokių organinių nitratų preparatų (žr. 4.5 skyrių).</w:t>
      </w:r>
    </w:p>
    <w:p w14:paraId="5EFFAADA"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114A53DA" w14:textId="46260E0B"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Tadalafil Accord </w:t>
      </w:r>
      <w:r w:rsidR="0028007C">
        <w:rPr>
          <w:rFonts w:ascii="Times New Roman" w:eastAsia="Times New Roman" w:hAnsi="Times New Roman" w:cs="Times New Roman"/>
          <w:lang w:eastAsia="lt-LT"/>
        </w:rPr>
        <w:t>neturi</w:t>
      </w:r>
      <w:r w:rsidR="0028007C" w:rsidRPr="009F10EE">
        <w:rPr>
          <w:rFonts w:ascii="Times New Roman" w:eastAsia="Times New Roman" w:hAnsi="Times New Roman" w:cs="Times New Roman"/>
          <w:lang w:eastAsia="lt-LT"/>
        </w:rPr>
        <w:t xml:space="preserve"> </w:t>
      </w:r>
      <w:r w:rsidRPr="009F10EE">
        <w:rPr>
          <w:rFonts w:ascii="Times New Roman" w:eastAsia="Times New Roman" w:hAnsi="Times New Roman" w:cs="Times New Roman"/>
          <w:lang w:eastAsia="lt-LT"/>
        </w:rPr>
        <w:t>vartoti vyra</w:t>
      </w:r>
      <w:r w:rsidR="0028007C">
        <w:rPr>
          <w:rFonts w:ascii="Times New Roman" w:eastAsia="Times New Roman" w:hAnsi="Times New Roman" w:cs="Times New Roman"/>
          <w:lang w:eastAsia="lt-LT"/>
        </w:rPr>
        <w:t>i</w:t>
      </w:r>
      <w:r w:rsidRPr="009F10EE">
        <w:rPr>
          <w:rFonts w:ascii="Times New Roman" w:eastAsia="Times New Roman" w:hAnsi="Times New Roman" w:cs="Times New Roman"/>
          <w:lang w:eastAsia="lt-LT"/>
        </w:rPr>
        <w:t>, kurie serga širdies liga, dėl kurios seksualinis aktyvumas nerekomenduojamas. Jeigu pacientas serga širdies ir kraujagyslių sistemos liga, gydytojas turi įvertinti seksualinio aktyvumo keliamą riziką širdžiai.</w:t>
      </w:r>
    </w:p>
    <w:p w14:paraId="6B7F7FD3"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1557B33F" w14:textId="36B84AF0"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Toliau nurodytų grupių pacientai, sergantys širdies ir kraujagyslių sistemos ligomis, klinikiniuose tyrimuose nedalyvavo, todėl jiems tadalafilio vartoti </w:t>
      </w:r>
      <w:r w:rsidR="0028007C">
        <w:rPr>
          <w:rFonts w:ascii="Times New Roman" w:eastAsia="Times New Roman" w:hAnsi="Times New Roman" w:cs="Times New Roman"/>
          <w:lang w:eastAsia="lt-LT"/>
        </w:rPr>
        <w:t>draudžiama</w:t>
      </w:r>
      <w:r w:rsidR="00626627">
        <w:rPr>
          <w:rFonts w:ascii="Times New Roman" w:eastAsia="Times New Roman" w:hAnsi="Times New Roman" w:cs="Times New Roman"/>
          <w:lang w:eastAsia="lt-LT"/>
        </w:rPr>
        <w:t>:</w:t>
      </w:r>
    </w:p>
    <w:p w14:paraId="60843973" w14:textId="77777777" w:rsidR="008C4948" w:rsidRPr="009F10EE" w:rsidRDefault="008C4948" w:rsidP="008C4948">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pacientai, kuriuos per paskutines 90 dienų ištiko miokardo infarktas;</w:t>
      </w:r>
    </w:p>
    <w:p w14:paraId="4B9CC825" w14:textId="77777777" w:rsidR="008C4948" w:rsidRPr="009F10EE" w:rsidRDefault="008C4948" w:rsidP="008C4948">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pacientai, kurie serga nestabilia krūtinės angina arba kuriems krūtinės angina pasireiškia lytinio akto metu;</w:t>
      </w:r>
    </w:p>
    <w:p w14:paraId="58B70556" w14:textId="77777777" w:rsidR="008C4948" w:rsidRPr="009F10EE" w:rsidRDefault="008C4948" w:rsidP="008C4948">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pacientai, kurie per paskutinius 6 mėn. sirgo 2 klasės pagal NYHA arba sunkesniu širdies nepakankamumu;</w:t>
      </w:r>
    </w:p>
    <w:p w14:paraId="0054A28A" w14:textId="77777777" w:rsidR="008C4948" w:rsidRPr="009F10EE" w:rsidRDefault="008C4948" w:rsidP="008C4948">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pacientai, kurie serga nekontroliuojama aritmija, hipotenzija (&lt; 90/50 mmHg) arba nekontroliuojama hipertenzija;</w:t>
      </w:r>
    </w:p>
    <w:p w14:paraId="49EC49FF" w14:textId="77777777" w:rsidR="008C4948" w:rsidRPr="009F10EE" w:rsidRDefault="008C4948" w:rsidP="008C4948">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pacientai, kuriuos per paskutinius 6 mėn. ištiko insultas.</w:t>
      </w:r>
    </w:p>
    <w:p w14:paraId="08DF888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0284FFC1" w14:textId="571FAC5B"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Tadalafil Accord </w:t>
      </w:r>
      <w:r w:rsidR="0028007C">
        <w:rPr>
          <w:rFonts w:ascii="Times New Roman" w:eastAsia="Times New Roman" w:hAnsi="Times New Roman" w:cs="Times New Roman"/>
          <w:lang w:eastAsia="lt-LT"/>
        </w:rPr>
        <w:t>draudžiama</w:t>
      </w:r>
      <w:r w:rsidR="0028007C" w:rsidRPr="009F10EE">
        <w:rPr>
          <w:rFonts w:ascii="Times New Roman" w:eastAsia="Times New Roman" w:hAnsi="Times New Roman" w:cs="Times New Roman"/>
          <w:lang w:eastAsia="lt-LT"/>
        </w:rPr>
        <w:t xml:space="preserve"> </w:t>
      </w:r>
      <w:r w:rsidRPr="009F10EE">
        <w:rPr>
          <w:rFonts w:ascii="Times New Roman" w:eastAsia="Times New Roman" w:hAnsi="Times New Roman" w:cs="Times New Roman"/>
          <w:lang w:eastAsia="lt-LT"/>
        </w:rPr>
        <w:t>vartoti pacientams, kuriems atsirado vienos akies aklumas dėl ne arterito sukeltos priekinės išeminės regos nervo neuropatijos (</w:t>
      </w:r>
      <w:r w:rsidRPr="009F10EE">
        <w:rPr>
          <w:rFonts w:ascii="Times New Roman" w:eastAsia="Times New Roman" w:hAnsi="Times New Roman" w:cs="Times New Roman"/>
          <w:i/>
          <w:lang w:eastAsia="lt-LT"/>
        </w:rPr>
        <w:t>non-arteritic anterior ischaemic optic neuropathy</w:t>
      </w:r>
      <w:r w:rsidRPr="009F10EE">
        <w:rPr>
          <w:rFonts w:ascii="Times New Roman" w:eastAsia="Times New Roman" w:hAnsi="Times New Roman" w:cs="Times New Roman"/>
          <w:lang w:eastAsia="lt-LT"/>
        </w:rPr>
        <w:t>, NAION), nepriklausomai nuo to, ar toks epizodas buvo susijęs su ankstesniu fosfodiesterazės-5 (FDE5) inhibitorių vartojimu (žr. 4.4 skyrių).</w:t>
      </w:r>
    </w:p>
    <w:p w14:paraId="435453BF"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151DAEEB" w14:textId="752410B9"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Skirti FDE5 inhibitorių, tokių kaip tadalafilio kartu su guanilatciklazės stimuliatoriais, tokiais kaip riociguatu </w:t>
      </w:r>
      <w:r w:rsidR="0028007C">
        <w:rPr>
          <w:rFonts w:ascii="Times New Roman" w:eastAsia="Times New Roman" w:hAnsi="Times New Roman" w:cs="Times New Roman"/>
          <w:lang w:eastAsia="lt-LT"/>
        </w:rPr>
        <w:t>draudžiama</w:t>
      </w:r>
      <w:r w:rsidRPr="009F10EE">
        <w:rPr>
          <w:rFonts w:ascii="Times New Roman" w:eastAsia="Times New Roman" w:hAnsi="Times New Roman" w:cs="Times New Roman"/>
          <w:lang w:eastAsia="lt-LT"/>
        </w:rPr>
        <w:t>, nes tai galėtų sukelti simptominę hipotenziją (žr. 4.5 skyrių).</w:t>
      </w:r>
    </w:p>
    <w:p w14:paraId="2ECC206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803B747"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r w:rsidRPr="009F10EE">
        <w:rPr>
          <w:rFonts w:ascii="Times New Roman" w:eastAsia="Times New Roman" w:hAnsi="Times New Roman" w:cs="Times New Roman"/>
          <w:b/>
          <w:lang w:eastAsia="lt-LT"/>
        </w:rPr>
        <w:t>4.4</w:t>
      </w:r>
      <w:r w:rsidRPr="009F10EE">
        <w:rPr>
          <w:rFonts w:ascii="Times New Roman" w:eastAsia="Times New Roman" w:hAnsi="Times New Roman" w:cs="Times New Roman"/>
          <w:b/>
          <w:lang w:eastAsia="lt-LT"/>
        </w:rPr>
        <w:tab/>
        <w:t>Specialūs įspėjimai ir atsargumo priemonės</w:t>
      </w:r>
    </w:p>
    <w:p w14:paraId="719B10E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64E4869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Prieš gydymą Tadalafil Accord</w:t>
      </w:r>
    </w:p>
    <w:p w14:paraId="2E0D62CC"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5293E83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 xml:space="preserve">Prieš pradedant gydymą vaistiniais preparatais, reikia susipažinti su paciento ligos istorija ir jį ištirti, kad būtų galima nustatyti erekcijos funkcijos sutrikimą </w:t>
      </w:r>
      <w:r w:rsidRPr="009F10EE">
        <w:rPr>
          <w:rFonts w:ascii="Times New Roman" w:eastAsia="TimesNewRomanPSMT" w:hAnsi="Times New Roman" w:cs="Times New Roman"/>
          <w:lang w:eastAsia="lt-LT"/>
        </w:rPr>
        <w:t>arba gerybinę prostatos hiperplaziją ir nustatyti galimas jų priežastis.</w:t>
      </w:r>
    </w:p>
    <w:p w14:paraId="0F3FE04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208C6913"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Prieš pradėdamas bet kokį erekcijos sutrikimo gydymą, gydytojas turi įvertinti paciento širdies ir kraujagyslių sistemos būklę, nes galima su seksualiniu aktyvumu susijusi rizika širdžiai. Tadalafilis plečia kraujagysles, todėl laikinai šiek tiek sumažina kraujospūdį (žr. 5.1 skyrių) ir taip sustiprina nitratų sukeliamą hipotenzinį poveikį (žr. 4.3 skyrių).</w:t>
      </w:r>
    </w:p>
    <w:p w14:paraId="45A7D0D9"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203F19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Prieš pradedant gerybinės prostatos hiperplazijos gydymą tadalafiliu, pacientą reikia ištirti, kad būtų galima paneigti prostatos karcinomos buvimą, ir atidžiai įvertinti širdies bei kraujagyslių sistemos būklę (žr. 4.3 skyrių).</w:t>
      </w:r>
    </w:p>
    <w:p w14:paraId="7C58291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D2E0FA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lastRenderedPageBreak/>
        <w:t>Erekcijos funkcijos sutrikimo įvertinimas turi apimti galimų priežasčių ir tinkamo gydymo nustatymą po atitinkamo medicininio ištyrimo. Nežinoma, ar tadalafilis yra veiksmingas pacientams, kuriems atlikta dubens organų chirurginė operacija arba radikali nervų netausojanti prostatos pašalinimo operacija.</w:t>
      </w:r>
    </w:p>
    <w:p w14:paraId="4B1B7CD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8922C82"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Širdies ir kraujagyslių sistema</w:t>
      </w:r>
    </w:p>
    <w:p w14:paraId="1AC26B9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2FA65D2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Po vaistinio preparato patekimo į rinką ir (arba) klinikinių tyrimų metu buvo pranešta apie sunkius širdies ir kraujagyslių sistemos reiškinius, įskaitant miokardo infarktą, staigią kardialinę mirtį, nestabiliąją krūtinės anginą, skilvelinę aritmiją, insultą, praeinantį išemijos priepuolį, krūtinės skausmą, palpitacijas ir tachikardiją. Daugumai pacientų, kuriems pasireiškė šie reiškiniai, širdies ir kraujagyslių sistemos sutrikimo rizikos veiksnių buvo prieš pradedant gydymą. Vis dėlto neįmanoma tiksliai nustatyti, ar šie reiškiniai yra tiesiogiai susiję su minėtais rizikos veiksniais, tadalafilio poveikiu, seksualiniu aktyvumu ar su šių bei kitų veiksnių deriniu.</w:t>
      </w:r>
    </w:p>
    <w:p w14:paraId="1C500D6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61E6A9A"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Antihipertenziniais vaistiniais preparatais gydomiems pacientams tadalafilis gali sukelti kraujospūdžio sumažėjimą. Pradedant kasdienį tadalafilio vartojimą, būtina tinkamai įvertinti klinikinę paciento būklę ir nuspręsti, ar reikia koreguoti antihipertenzinių vaistinių preparatų dozę.</w:t>
      </w:r>
    </w:p>
    <w:p w14:paraId="17EC7568"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560D9FD"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Jeigu tadalafilio vartojama kartu su alfa 1 adrenoreceptorių blokatoriais, kai kuriems pacientams gali atsirasti hipotenzijos simptomų (žr. 4.5 skyrių). Tadalafilio nerekomenduojama vartoti kartu su doksazosinu.</w:t>
      </w:r>
    </w:p>
    <w:p w14:paraId="4F97BC7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B26F1B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Rega</w:t>
      </w:r>
    </w:p>
    <w:p w14:paraId="7014897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5EEAA811" w14:textId="4DC32281"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Gauta pranešimų apie su tadalafilio ir kitų FDE5 inhibitorių vartojimu susijusius regos sutrikimo</w:t>
      </w:r>
      <w:r w:rsidR="00F933FB">
        <w:rPr>
          <w:rFonts w:ascii="Times New Roman" w:eastAsia="TimesNewRomanPSMT" w:hAnsi="Times New Roman" w:cs="Times New Roman"/>
          <w:lang w:eastAsia="lt-LT"/>
        </w:rPr>
        <w:t xml:space="preserve">, </w:t>
      </w:r>
      <w:r w:rsidR="00F933FB" w:rsidRPr="00F933FB">
        <w:rPr>
          <w:rFonts w:ascii="Times New Roman" w:eastAsia="TimesNewRomanPSMT" w:hAnsi="Times New Roman" w:cs="Times New Roman"/>
          <w:lang w:eastAsia="lt-LT"/>
        </w:rPr>
        <w:t>įskaitant centrinę serozinę chorioretinopatiją (CSCR)</w:t>
      </w:r>
      <w:r w:rsidR="00F933FB">
        <w:rPr>
          <w:rFonts w:ascii="Times New Roman" w:eastAsia="TimesNewRomanPSMT" w:hAnsi="Times New Roman" w:cs="Times New Roman"/>
          <w:lang w:eastAsia="lt-LT"/>
        </w:rPr>
        <w:t>,</w:t>
      </w:r>
      <w:r w:rsidRPr="009F10EE">
        <w:rPr>
          <w:rFonts w:ascii="Times New Roman" w:eastAsia="TimesNewRomanPSMT" w:hAnsi="Times New Roman" w:cs="Times New Roman"/>
          <w:lang w:eastAsia="lt-LT"/>
        </w:rPr>
        <w:t xml:space="preserve"> ir ne arterito sukeltos priekinės išeminės regos nervo neuropatijos (angl. </w:t>
      </w:r>
      <w:r w:rsidRPr="009F10EE">
        <w:rPr>
          <w:rFonts w:ascii="Times New Roman" w:eastAsia="TimesNewRomanPSMT" w:hAnsi="Times New Roman" w:cs="Times New Roman"/>
          <w:i/>
          <w:iCs/>
          <w:lang w:eastAsia="lt-LT"/>
        </w:rPr>
        <w:t>NAION</w:t>
      </w:r>
      <w:r w:rsidRPr="009F10EE">
        <w:rPr>
          <w:rFonts w:ascii="Times New Roman" w:eastAsia="TimesNewRomanPSMT" w:hAnsi="Times New Roman" w:cs="Times New Roman"/>
          <w:lang w:eastAsia="lt-LT"/>
        </w:rPr>
        <w:t xml:space="preserve">) atvejus. </w:t>
      </w:r>
      <w:r w:rsidR="00F933FB" w:rsidRPr="00F933FB">
        <w:rPr>
          <w:rFonts w:ascii="Times New Roman" w:eastAsia="TimesNewRomanPSMT" w:hAnsi="Times New Roman" w:cs="Times New Roman"/>
          <w:lang w:eastAsia="lt-LT"/>
        </w:rPr>
        <w:t xml:space="preserve">Nutraukus tadalafilio vartojimą, dauguma CSCR atvejų išnyko savaime. Vertinant NAION, </w:t>
      </w:r>
      <w:r w:rsidR="00F933FB">
        <w:rPr>
          <w:rFonts w:ascii="Times New Roman" w:eastAsia="TimesNewRomanPSMT" w:hAnsi="Times New Roman" w:cs="Times New Roman"/>
          <w:lang w:eastAsia="lt-LT"/>
        </w:rPr>
        <w:t>i</w:t>
      </w:r>
      <w:r w:rsidRPr="009F10EE">
        <w:rPr>
          <w:rFonts w:ascii="Times New Roman" w:eastAsia="TimesNewRomanPSMT" w:hAnsi="Times New Roman" w:cs="Times New Roman"/>
          <w:lang w:eastAsia="lt-LT"/>
        </w:rPr>
        <w:t xml:space="preserve">štyrus stebėjimo duomenis nustatytas padidėjęs ūmios NAION pavojus erekcijos sutrikimų turintiems vyrams, vartojusiems tadalafilio ar kitų FDE5 inhibitorių. Kadangi tai gali būti taikoma visiems tadalafilio vartojusiems pacientams, pacientą būtina įspėti, kad staiga sutrikus regai, </w:t>
      </w:r>
      <w:r w:rsidR="00F933FB" w:rsidRPr="00F933FB">
        <w:rPr>
          <w:rFonts w:ascii="Times New Roman" w:eastAsia="TimesNewRomanPSMT" w:hAnsi="Times New Roman" w:cs="Times New Roman"/>
          <w:lang w:eastAsia="lt-LT"/>
        </w:rPr>
        <w:t>sumažėjus regos aštrumui ir (arba) atsiradus matomo vaizdo iškraipymų,</w:t>
      </w:r>
      <w:r w:rsidR="00F933FB">
        <w:rPr>
          <w:rFonts w:ascii="Times New Roman" w:eastAsia="TimesNewRomanPSMT" w:hAnsi="Times New Roman" w:cs="Times New Roman"/>
          <w:lang w:eastAsia="lt-LT"/>
        </w:rPr>
        <w:t xml:space="preserve"> </w:t>
      </w:r>
      <w:r w:rsidRPr="009F10EE">
        <w:rPr>
          <w:rFonts w:ascii="Times New Roman" w:eastAsia="TimesNewRomanPSMT" w:hAnsi="Times New Roman" w:cs="Times New Roman"/>
          <w:lang w:eastAsia="lt-LT"/>
        </w:rPr>
        <w:t xml:space="preserve">Tadalafil Accord vartojimą būtina nutraukti ir nedelsiant kreiptis į gydytoją (žr. 4.3 skyrių). </w:t>
      </w:r>
    </w:p>
    <w:p w14:paraId="6B3E8E88" w14:textId="1FF57A14"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9EEE8F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Suprastėjusi arba staiga pradingusi klausa</w:t>
      </w:r>
    </w:p>
    <w:p w14:paraId="3D6D669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290479A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Gauta pranešimų apie staigų klausos praradimą pavartojus tadalafilio. Nors kai kuriais atvejais buvo kitų rizikos faktorių (pvz., amžius, diabetas, hipertenzija ir ankstesni klausos praradimo atvejai), pacientams turi būti patarta staiga suprastėjus arba dingus klausai tadalafilio nebevartoti ir nedelsiant kreiptis į gydytoją.</w:t>
      </w:r>
    </w:p>
    <w:p w14:paraId="2BBCDA1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7082C1B" w14:textId="3A423FD5"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Inkstų ir kepenų funkcijos sutrikimas</w:t>
      </w:r>
    </w:p>
    <w:p w14:paraId="5F90C9A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5095985C" w14:textId="6C485234"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Pacientams, kuriems yra sunkus inkstų funkcijos sutrikimas, Tadalafil Accord vartoti kartą per parą nerekomenduojama, kadangi didėja tadalafilio ekspozicija organizme (AUC), klinikinės gydymo patirties yra nedaug ir nėra galimybės dialize padidinti klirensą.</w:t>
      </w:r>
    </w:p>
    <w:p w14:paraId="1602E933" w14:textId="2D868A28"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8B912F6" w14:textId="03A2781B" w:rsidR="008C4948" w:rsidRPr="009F10EE" w:rsidRDefault="008C4948" w:rsidP="00E822E1">
      <w:pPr>
        <w:tabs>
          <w:tab w:val="left" w:pos="567"/>
        </w:tabs>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Klinikinių duomenų apie vienos tadalafilio dozės saugumą pacientams, kuriems yra sunkus kepenų nepakankamumas (</w:t>
      </w:r>
      <w:r w:rsidRPr="009F10EE">
        <w:rPr>
          <w:rFonts w:ascii="Times New Roman" w:eastAsia="Times New Roman" w:hAnsi="Times New Roman" w:cs="Times New Roman"/>
          <w:i/>
          <w:lang w:eastAsia="lt-LT"/>
        </w:rPr>
        <w:t>Child-Pugh</w:t>
      </w:r>
      <w:r w:rsidRPr="009F10EE">
        <w:rPr>
          <w:rFonts w:ascii="Times New Roman" w:eastAsia="Times New Roman" w:hAnsi="Times New Roman" w:cs="Times New Roman"/>
          <w:lang w:eastAsia="lt-LT"/>
        </w:rPr>
        <w:t xml:space="preserve"> klasė C), yra nedaug</w:t>
      </w:r>
      <w:r w:rsidRPr="009F10EE">
        <w:rPr>
          <w:rFonts w:ascii="Times New Roman" w:eastAsia="TimesNewRomanPSMT" w:hAnsi="Times New Roman" w:cs="Times New Roman"/>
          <w:lang w:eastAsia="lt-LT"/>
        </w:rPr>
        <w:t xml:space="preserve">. Tadalafilio vartojimas </w:t>
      </w:r>
      <w:r w:rsidR="00B322CA" w:rsidRPr="00B322CA">
        <w:rPr>
          <w:rFonts w:ascii="Times New Roman" w:eastAsia="TimesNewRomanPSMT" w:hAnsi="Times New Roman" w:cs="Times New Roman"/>
          <w:lang w:eastAsia="lt-LT"/>
        </w:rPr>
        <w:t>erekcijos funkcijos sutrikim</w:t>
      </w:r>
      <w:r w:rsidR="00D94E6C">
        <w:rPr>
          <w:rFonts w:ascii="Times New Roman" w:eastAsia="TimesNewRomanPSMT" w:hAnsi="Times New Roman" w:cs="Times New Roman"/>
          <w:lang w:eastAsia="lt-LT"/>
        </w:rPr>
        <w:t>o</w:t>
      </w:r>
      <w:r w:rsidR="00B322CA">
        <w:rPr>
          <w:rFonts w:ascii="Times New Roman" w:eastAsia="TimesNewRomanPSMT" w:hAnsi="Times New Roman" w:cs="Times New Roman"/>
          <w:lang w:eastAsia="lt-LT"/>
        </w:rPr>
        <w:t xml:space="preserve"> </w:t>
      </w:r>
      <w:r w:rsidR="001C4301">
        <w:rPr>
          <w:rFonts w:ascii="Times New Roman" w:eastAsia="TimesNewRomanPSMT" w:hAnsi="Times New Roman" w:cs="Times New Roman"/>
          <w:lang w:eastAsia="lt-LT"/>
        </w:rPr>
        <w:t xml:space="preserve">arba gerybinės prostatos hiperplazijos gydymui </w:t>
      </w:r>
      <w:r w:rsidRPr="009F10EE">
        <w:rPr>
          <w:rFonts w:ascii="Times New Roman" w:eastAsia="TimesNewRomanPSMT" w:hAnsi="Times New Roman" w:cs="Times New Roman"/>
          <w:lang w:eastAsia="lt-LT"/>
        </w:rPr>
        <w:t>kartą per parą pacientams, kuriems yra kepenų nepakankamumas, netirtas. Prieš skirdamas vartoti Tadalafil Accord, gydytojas turi atidžiai nustatyti tokio gydymo naudos ir rizikos santykį.</w:t>
      </w:r>
    </w:p>
    <w:p w14:paraId="3F191B25"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13321A0" w14:textId="77777777" w:rsidR="008C4948" w:rsidRPr="009F10EE" w:rsidRDefault="008C4948" w:rsidP="00B65F27">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lastRenderedPageBreak/>
        <w:t>Priapizmas ir anatominė varpos deformacija</w:t>
      </w:r>
    </w:p>
    <w:p w14:paraId="619DC007" w14:textId="77777777" w:rsidR="008C4948" w:rsidRPr="009F10EE" w:rsidRDefault="008C4948" w:rsidP="00B65F27">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7BDCC2A0" w14:textId="77777777" w:rsidR="008C4948" w:rsidRPr="009F10EE" w:rsidRDefault="008C4948" w:rsidP="00B65F27">
      <w:pPr>
        <w:keepNext/>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Pacientus būtina įspėti, kad tuo atveju, jeigu erekcija trunka 4 valandas arba ilgiau, būtina nedelsiant kreiptis medicininės pagalbos. Jeigu priapizmas nepradedamas nedelsiant gydyti, gali atsirasti varpos audinio pažaida ir visam laikui išnykti lytinis pajėgumas.</w:t>
      </w:r>
    </w:p>
    <w:p w14:paraId="5F237E8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FB97AA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Tadalafil Accord reikia atsargiai vartoti pacientams, kuriems yra anatominė varpos deformacija (pvz., anguliacija, kaverninė fibrozė arba Peironi [</w:t>
      </w:r>
      <w:r w:rsidRPr="009F10EE">
        <w:rPr>
          <w:rFonts w:ascii="Times New Roman" w:eastAsia="TimesNewRomanPSMT" w:hAnsi="Times New Roman" w:cs="Times New Roman"/>
          <w:i/>
          <w:iCs/>
          <w:lang w:eastAsia="lt-LT"/>
        </w:rPr>
        <w:t>Peyronie</w:t>
      </w:r>
      <w:r w:rsidRPr="009F10EE">
        <w:rPr>
          <w:rFonts w:ascii="Times New Roman" w:eastAsia="TimesNewRomanPSMT" w:hAnsi="Times New Roman" w:cs="Times New Roman"/>
          <w:lang w:eastAsia="lt-LT"/>
        </w:rPr>
        <w:t xml:space="preserve">] liga) bei pacientams, kuriems yra būklė, galinti skatinti priapizmo pasireiškimą (pvz., pjautuvinė anemija, dauginė mieloma arba leukemija). </w:t>
      </w:r>
    </w:p>
    <w:p w14:paraId="39A407D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4CD26DB" w14:textId="71720B9B"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Vartojimas kartu su CYP3A4 induktoriais arba inhibitoriais</w:t>
      </w:r>
    </w:p>
    <w:p w14:paraId="2D588D68" w14:textId="0768C300" w:rsidR="008C4948" w:rsidRPr="009F10EE" w:rsidRDefault="008C4948" w:rsidP="008C4948">
      <w:pPr>
        <w:tabs>
          <w:tab w:val="left" w:pos="567"/>
        </w:tabs>
        <w:spacing w:after="0" w:line="240" w:lineRule="auto"/>
        <w:rPr>
          <w:rFonts w:ascii="Times New Roman" w:eastAsia="Times New Roman" w:hAnsi="Times New Roman" w:cs="Times New Roman"/>
          <w:highlight w:val="yellow"/>
          <w:lang w:eastAsia="lt-LT"/>
        </w:rPr>
      </w:pPr>
    </w:p>
    <w:p w14:paraId="56769CC4"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Atsargiai</w:t>
      </w:r>
      <w:r w:rsidRPr="009F10EE">
        <w:rPr>
          <w:rFonts w:ascii="Times New Roman" w:hAnsi="Times New Roman" w:cs="Times New Roman"/>
        </w:rPr>
        <w:t xml:space="preserve"> </w:t>
      </w:r>
      <w:r w:rsidRPr="009F10EE">
        <w:rPr>
          <w:rFonts w:ascii="Times New Roman" w:eastAsia="Times New Roman" w:hAnsi="Times New Roman" w:cs="Times New Roman"/>
          <w:lang w:eastAsia="lt-LT"/>
        </w:rPr>
        <w:t>Tadalafil Accord reikia skirti vartoti pacientams, vartojantiems stiprių CYP3A4 inhibitorių (ritonaviro, sakvinaviro, ketokonazolo, itrakonazolo, eritromicino), nes buvo nustatyta, kad kartu su šiais vaistiniais preparatais vartojamo tadalafilio ekspozicija (</w:t>
      </w:r>
      <w:r w:rsidRPr="009F10EE">
        <w:rPr>
          <w:rFonts w:ascii="Times New Roman" w:eastAsia="Times New Roman" w:hAnsi="Times New Roman" w:cs="Times New Roman"/>
          <w:iCs/>
          <w:lang w:eastAsia="lt-LT"/>
        </w:rPr>
        <w:t>AUC</w:t>
      </w:r>
      <w:r w:rsidRPr="009F10EE">
        <w:rPr>
          <w:rFonts w:ascii="Times New Roman" w:eastAsia="Times New Roman" w:hAnsi="Times New Roman" w:cs="Times New Roman"/>
          <w:lang w:eastAsia="lt-LT"/>
        </w:rPr>
        <w:t>) padidėja (žr. 4.5 skyrių).</w:t>
      </w:r>
    </w:p>
    <w:p w14:paraId="1F68F0B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7E8147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Tadalafil Accord ir kitas erekcijos funkcijos sutrikimo gydymas</w:t>
      </w:r>
    </w:p>
    <w:p w14:paraId="3D67087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34BC2C7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Ar saugu ir veiksminga tadalafilio vartoti kartu su kitais FDE5 inhibitoriais arba kitokiais vaistiniais preparatais nuo erekcijos funkcijos sutrikimo, netirta. Pacientai turi būti informuoti, kad tadalafilio vartoti kartu su tokiais vaistiniais preparatais negalima.</w:t>
      </w:r>
    </w:p>
    <w:p w14:paraId="3201F73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076D999"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Laktozė</w:t>
      </w:r>
    </w:p>
    <w:p w14:paraId="3A866E6A"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246BC50" w14:textId="302A6EAD" w:rsidR="008C4948" w:rsidRPr="0015590A"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15590A">
        <w:rPr>
          <w:rFonts w:ascii="Times New Roman" w:eastAsia="TimesNewRomanPSMT" w:hAnsi="Times New Roman" w:cs="Times New Roman"/>
          <w:lang w:eastAsia="lt-LT"/>
        </w:rPr>
        <w:t xml:space="preserve">Tadalafil Accord sudėtyje yra laktozės. </w:t>
      </w:r>
      <w:r w:rsidR="0015590A" w:rsidRPr="0015590A">
        <w:rPr>
          <w:rFonts w:ascii="Times New Roman" w:eastAsia="TimesNewRomanPSMT" w:hAnsi="Times New Roman" w:cs="Times New Roman"/>
          <w:lang w:eastAsia="lt-LT"/>
        </w:rPr>
        <w:t>Šio vaistinio preparato negalima vartoti p</w:t>
      </w:r>
      <w:r w:rsidRPr="0015590A">
        <w:rPr>
          <w:rFonts w:ascii="Times New Roman" w:eastAsia="TimesNewRomanPSMT" w:hAnsi="Times New Roman" w:cs="Times New Roman"/>
          <w:lang w:eastAsia="lt-LT"/>
        </w:rPr>
        <w:t xml:space="preserve">acientams, kuriems nustatytas retas paveldimas sutrikimas – galaktozės netoleravimas, </w:t>
      </w:r>
      <w:r w:rsidR="0015590A" w:rsidRPr="0015590A">
        <w:rPr>
          <w:rFonts w:ascii="Times New Roman" w:eastAsia="TimesNewRomanPSMT" w:hAnsi="Times New Roman" w:cs="Times New Roman"/>
          <w:lang w:eastAsia="lt-LT"/>
        </w:rPr>
        <w:t>visiškas</w:t>
      </w:r>
      <w:r w:rsidRPr="0015590A">
        <w:rPr>
          <w:rFonts w:ascii="Times New Roman" w:eastAsia="TimesNewRomanPSMT" w:hAnsi="Times New Roman" w:cs="Times New Roman"/>
          <w:i/>
          <w:iCs/>
          <w:lang w:eastAsia="lt-LT"/>
        </w:rPr>
        <w:t xml:space="preserve"> </w:t>
      </w:r>
      <w:r w:rsidRPr="0015590A">
        <w:rPr>
          <w:rFonts w:ascii="Times New Roman" w:eastAsia="TimesNewRomanPSMT" w:hAnsi="Times New Roman" w:cs="Times New Roman"/>
          <w:lang w:eastAsia="lt-LT"/>
        </w:rPr>
        <w:t>laktazės stygius arba gliukozės ir galaktozės malabsorbcija,.</w:t>
      </w:r>
    </w:p>
    <w:p w14:paraId="2ECEA16F" w14:textId="4813E070" w:rsidR="0015590A" w:rsidRPr="0015590A" w:rsidRDefault="0015590A"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3D95FC9C" w14:textId="6DFBFEC1" w:rsidR="0015590A" w:rsidRPr="00B16E93" w:rsidRDefault="0015590A"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B16E93">
        <w:rPr>
          <w:rFonts w:ascii="Times New Roman" w:eastAsia="TimesNewRomanPSMT" w:hAnsi="Times New Roman" w:cs="Times New Roman"/>
          <w:u w:val="single"/>
          <w:lang w:eastAsia="lt-LT"/>
        </w:rPr>
        <w:t>Natris</w:t>
      </w:r>
    </w:p>
    <w:p w14:paraId="776930AA" w14:textId="081D8B3B" w:rsidR="0015590A" w:rsidRPr="0015590A" w:rsidRDefault="0015590A" w:rsidP="0015590A">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15590A">
        <w:rPr>
          <w:rFonts w:ascii="Times New Roman" w:eastAsia="TimesNewRomanPSMT" w:hAnsi="Times New Roman" w:cs="Times New Roman"/>
          <w:lang w:eastAsia="lt-LT"/>
        </w:rPr>
        <w:t>Šio vaistinio preparato tabletėje yra mažiau kaip 1 mmol (23 mg) natrio, t.</w:t>
      </w:r>
      <w:r>
        <w:rPr>
          <w:rFonts w:ascii="Times New Roman" w:eastAsia="TimesNewRomanPSMT" w:hAnsi="Times New Roman" w:cs="Times New Roman"/>
          <w:lang w:eastAsia="lt-LT"/>
        </w:rPr>
        <w:t xml:space="preserve"> </w:t>
      </w:r>
      <w:r w:rsidRPr="0015590A">
        <w:rPr>
          <w:rFonts w:ascii="Times New Roman" w:eastAsia="TimesNewRomanPSMT" w:hAnsi="Times New Roman" w:cs="Times New Roman"/>
          <w:lang w:eastAsia="lt-LT"/>
        </w:rPr>
        <w:t>y. jis beveik neturi reikšmės.</w:t>
      </w:r>
    </w:p>
    <w:p w14:paraId="7EB320CD" w14:textId="77777777" w:rsidR="008C4948" w:rsidRPr="0015590A" w:rsidRDefault="008C4948" w:rsidP="008C4948">
      <w:pPr>
        <w:tabs>
          <w:tab w:val="left" w:pos="567"/>
        </w:tabs>
        <w:spacing w:after="0" w:line="240" w:lineRule="auto"/>
        <w:rPr>
          <w:rFonts w:ascii="Times New Roman" w:eastAsia="TimesNewRomanPSMT" w:hAnsi="Times New Roman" w:cs="Times New Roman"/>
          <w:b/>
          <w:lang w:eastAsia="lt-LT"/>
        </w:rPr>
      </w:pPr>
    </w:p>
    <w:p w14:paraId="38FE4D36" w14:textId="77777777" w:rsidR="008C4948" w:rsidRPr="009F10EE" w:rsidRDefault="008C4948" w:rsidP="008C4948">
      <w:pPr>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4.5</w:t>
      </w:r>
      <w:r w:rsidRPr="009F10EE">
        <w:rPr>
          <w:rFonts w:ascii="Times New Roman" w:eastAsia="Times New Roman" w:hAnsi="Times New Roman" w:cs="Times New Roman"/>
          <w:b/>
        </w:rPr>
        <w:tab/>
        <w:t>Sąveika su kitais vaistiniais preparatais ir kitokia sąveika</w:t>
      </w:r>
    </w:p>
    <w:p w14:paraId="0EE4EA7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F035C2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Sąveikos tyrimų metu vartota 10 mg ir (arba) 20 mg tadalafilio dozė (kaip nurodyta toliau). Remiantis tų tyrimų, kurių metu vartota tik 10 mg dozė, rezultatais, visiškai paneigti kliniškai reikšmingos sąveikos vartojant didesnę dozę negalima.</w:t>
      </w:r>
    </w:p>
    <w:p w14:paraId="3EF403B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324037F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Kitų medžiagų poveikis tadalafiliui</w:t>
      </w:r>
    </w:p>
    <w:p w14:paraId="64AFAB1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4243593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Citochromo P450 inhibitoriai</w:t>
      </w:r>
    </w:p>
    <w:p w14:paraId="2CC24DE0" w14:textId="30E561FC"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Daugiausiai tadalafilio metabolizuojama veikiant CYP3A4 fermentams. Selektyvaus poveikio CYP3A4 inhibitorius ketokonazolas (200 mg paros dozė) tadalafilio (10 mg dozės) ekspoziciją (AUC) padidino 2 kartus, didžiausią koncentraciją kraujo plazmoje (C</w:t>
      </w:r>
      <w:r w:rsidRPr="009F10EE">
        <w:rPr>
          <w:rFonts w:ascii="Times New Roman" w:eastAsia="Times New Roman" w:hAnsi="Times New Roman" w:cs="Times New Roman"/>
          <w:vertAlign w:val="subscript"/>
          <w:lang w:eastAsia="lt-LT"/>
        </w:rPr>
        <w:t>max</w:t>
      </w:r>
      <w:r w:rsidRPr="009F10EE">
        <w:rPr>
          <w:rFonts w:ascii="Times New Roman" w:eastAsia="Times New Roman" w:hAnsi="Times New Roman" w:cs="Times New Roman"/>
          <w:lang w:eastAsia="lt-LT"/>
        </w:rPr>
        <w:t xml:space="preserve">) – 15%, palyginti su </w:t>
      </w:r>
      <w:r w:rsidRPr="009F10EE">
        <w:rPr>
          <w:rFonts w:ascii="Times New Roman" w:eastAsia="Times New Roman" w:hAnsi="Times New Roman" w:cs="Times New Roman"/>
          <w:i/>
          <w:iCs/>
          <w:lang w:eastAsia="lt-LT"/>
        </w:rPr>
        <w:t xml:space="preserve">AUC </w:t>
      </w:r>
      <w:r w:rsidRPr="009F10EE">
        <w:rPr>
          <w:rFonts w:ascii="Times New Roman" w:eastAsia="Times New Roman" w:hAnsi="Times New Roman" w:cs="Times New Roman"/>
          <w:lang w:eastAsia="lt-LT"/>
        </w:rPr>
        <w:t xml:space="preserve">ir </w:t>
      </w:r>
      <w:r w:rsidRPr="009F10EE">
        <w:rPr>
          <w:rFonts w:ascii="Times New Roman" w:eastAsia="TimesNewRomanPSMT" w:hAnsi="Times New Roman" w:cs="Times New Roman"/>
          <w:i/>
          <w:iCs/>
          <w:lang w:eastAsia="lt-LT"/>
        </w:rPr>
        <w:t>C</w:t>
      </w:r>
      <w:r w:rsidRPr="009F10EE">
        <w:rPr>
          <w:rFonts w:ascii="Times New Roman" w:eastAsia="TimesNewRomanPSMT" w:hAnsi="Times New Roman" w:cs="Times New Roman"/>
          <w:i/>
          <w:iCs/>
          <w:vertAlign w:val="subscript"/>
          <w:lang w:eastAsia="lt-LT"/>
        </w:rPr>
        <w:t>max</w:t>
      </w:r>
      <w:r w:rsidRPr="009F10EE">
        <w:rPr>
          <w:rFonts w:ascii="Times New Roman" w:eastAsia="Times New Roman" w:hAnsi="Times New Roman" w:cs="Times New Roman"/>
          <w:i/>
          <w:iCs/>
          <w:lang w:eastAsia="lt-LT"/>
        </w:rPr>
        <w:t xml:space="preserve"> </w:t>
      </w:r>
      <w:r w:rsidRPr="009F10EE">
        <w:rPr>
          <w:rFonts w:ascii="Times New Roman" w:eastAsia="Times New Roman" w:hAnsi="Times New Roman" w:cs="Times New Roman"/>
          <w:lang w:eastAsia="lt-LT"/>
        </w:rPr>
        <w:t xml:space="preserve">rodmenimis, būnančiais vartojant vien tadalafilio. Ketokonazolas (400 mg </w:t>
      </w:r>
      <w:r w:rsidRPr="009F10EE">
        <w:rPr>
          <w:rFonts w:ascii="Times New Roman" w:eastAsia="TimesNewRomanPSMT" w:hAnsi="Times New Roman" w:cs="Times New Roman"/>
          <w:lang w:eastAsia="lt-LT"/>
        </w:rPr>
        <w:t>per parą</w:t>
      </w:r>
      <w:r w:rsidRPr="009F10EE">
        <w:rPr>
          <w:rFonts w:ascii="Times New Roman" w:eastAsia="Times New Roman" w:hAnsi="Times New Roman" w:cs="Times New Roman"/>
          <w:lang w:eastAsia="lt-LT"/>
        </w:rPr>
        <w:t xml:space="preserve">) padidino tadalafilio (20 mg) </w:t>
      </w:r>
      <w:r w:rsidRPr="009F10EE">
        <w:rPr>
          <w:rFonts w:ascii="Times New Roman" w:eastAsia="TimesNewRomanPSMT" w:hAnsi="Times New Roman" w:cs="Times New Roman"/>
          <w:lang w:eastAsia="lt-LT"/>
        </w:rPr>
        <w:t xml:space="preserve">dozės ekspoziciją </w:t>
      </w:r>
      <w:r w:rsidRPr="009F10EE">
        <w:rPr>
          <w:rFonts w:ascii="Times New Roman" w:eastAsia="Times New Roman" w:hAnsi="Times New Roman" w:cs="Times New Roman"/>
          <w:lang w:eastAsia="lt-LT"/>
        </w:rPr>
        <w:t>(</w:t>
      </w:r>
      <w:r w:rsidRPr="009F10EE">
        <w:rPr>
          <w:rFonts w:ascii="Times New Roman" w:eastAsia="Times New Roman" w:hAnsi="Times New Roman" w:cs="Times New Roman"/>
          <w:i/>
          <w:iCs/>
          <w:lang w:eastAsia="lt-LT"/>
        </w:rPr>
        <w:t>AUC</w:t>
      </w:r>
      <w:r w:rsidRPr="009F10EE">
        <w:rPr>
          <w:rFonts w:ascii="Times New Roman" w:eastAsia="Times New Roman" w:hAnsi="Times New Roman" w:cs="Times New Roman"/>
          <w:lang w:eastAsia="lt-LT"/>
        </w:rPr>
        <w:t xml:space="preserve">) 4 kartus ir </w:t>
      </w:r>
      <w:r w:rsidRPr="009F10EE">
        <w:rPr>
          <w:rFonts w:ascii="Times New Roman" w:eastAsia="TimesNewRomanPSMT" w:hAnsi="Times New Roman" w:cs="Times New Roman"/>
          <w:iCs/>
          <w:lang w:eastAsia="lt-LT"/>
        </w:rPr>
        <w:t>C</w:t>
      </w:r>
      <w:r w:rsidRPr="009F10EE">
        <w:rPr>
          <w:rFonts w:ascii="Times New Roman" w:eastAsia="TimesNewRomanPSMT" w:hAnsi="Times New Roman" w:cs="Times New Roman"/>
          <w:iCs/>
          <w:vertAlign w:val="subscript"/>
          <w:lang w:eastAsia="lt-LT"/>
        </w:rPr>
        <w:t>max</w:t>
      </w:r>
      <w:r w:rsidRPr="009F10EE">
        <w:rPr>
          <w:rFonts w:ascii="Times New Roman" w:eastAsia="Times New Roman" w:hAnsi="Times New Roman" w:cs="Times New Roman"/>
          <w:i/>
          <w:iCs/>
          <w:lang w:eastAsia="lt-LT"/>
        </w:rPr>
        <w:t xml:space="preserve"> – </w:t>
      </w:r>
      <w:r w:rsidRPr="009F10EE">
        <w:rPr>
          <w:rFonts w:ascii="Times New Roman" w:eastAsia="Times New Roman" w:hAnsi="Times New Roman" w:cs="Times New Roman"/>
          <w:lang w:eastAsia="lt-LT"/>
        </w:rPr>
        <w:t xml:space="preserve">22%. Proteazės inhibitorius ritonaviras (200 mg </w:t>
      </w:r>
      <w:r w:rsidRPr="009F10EE">
        <w:rPr>
          <w:rFonts w:ascii="Times New Roman" w:eastAsia="TimesNewRomanPSMT" w:hAnsi="Times New Roman" w:cs="Times New Roman"/>
          <w:lang w:eastAsia="lt-LT"/>
        </w:rPr>
        <w:t>du kartus per parą</w:t>
      </w:r>
      <w:r w:rsidRPr="009F10EE">
        <w:rPr>
          <w:rFonts w:ascii="Times New Roman" w:eastAsia="Times New Roman" w:hAnsi="Times New Roman" w:cs="Times New Roman"/>
          <w:lang w:eastAsia="lt-LT"/>
        </w:rPr>
        <w:t>), kuris yra CYP3A4, CYP2C9, CYP2C19 ir CYP2D6 inhibitorius, tadalafilio (20 mg)</w:t>
      </w:r>
      <w:r w:rsidRPr="009F10EE">
        <w:rPr>
          <w:rFonts w:ascii="Times New Roman" w:eastAsia="TimesNewRomanPSMT" w:hAnsi="Times New Roman" w:cs="Times New Roman"/>
          <w:lang w:eastAsia="lt-LT"/>
        </w:rPr>
        <w:t xml:space="preserve"> ekspoziciją </w:t>
      </w:r>
      <w:r w:rsidRPr="009F10EE">
        <w:rPr>
          <w:rFonts w:ascii="Times New Roman" w:eastAsia="Times New Roman" w:hAnsi="Times New Roman" w:cs="Times New Roman"/>
          <w:lang w:eastAsia="lt-LT"/>
        </w:rPr>
        <w:t>(</w:t>
      </w:r>
      <w:r w:rsidRPr="009F10EE">
        <w:rPr>
          <w:rFonts w:ascii="Times New Roman" w:eastAsia="Times New Roman" w:hAnsi="Times New Roman" w:cs="Times New Roman"/>
          <w:i/>
          <w:iCs/>
          <w:lang w:eastAsia="lt-LT"/>
        </w:rPr>
        <w:t>AUC</w:t>
      </w:r>
      <w:r w:rsidRPr="009F10EE">
        <w:rPr>
          <w:rFonts w:ascii="Times New Roman" w:eastAsia="Times New Roman" w:hAnsi="Times New Roman" w:cs="Times New Roman"/>
          <w:lang w:eastAsia="lt-LT"/>
        </w:rPr>
        <w:t xml:space="preserve">) padidino 2 </w:t>
      </w:r>
      <w:r w:rsidRPr="009F10EE">
        <w:rPr>
          <w:rFonts w:ascii="Times New Roman" w:eastAsia="TimesNewRomanPSMT" w:hAnsi="Times New Roman" w:cs="Times New Roman"/>
          <w:lang w:eastAsia="lt-LT"/>
        </w:rPr>
        <w:t xml:space="preserve">kartus, tačiau nedarė įtakos </w:t>
      </w:r>
      <w:r w:rsidRPr="009F10EE">
        <w:rPr>
          <w:rFonts w:ascii="Times New Roman" w:eastAsia="TimesNewRomanPSMT" w:hAnsi="Times New Roman" w:cs="Times New Roman"/>
          <w:i/>
          <w:iCs/>
          <w:lang w:eastAsia="lt-LT"/>
        </w:rPr>
        <w:t>C</w:t>
      </w:r>
      <w:r w:rsidRPr="009F10EE">
        <w:rPr>
          <w:rFonts w:ascii="Times New Roman" w:eastAsia="TimesNewRomanPSMT" w:hAnsi="Times New Roman" w:cs="Times New Roman"/>
          <w:i/>
          <w:iCs/>
          <w:vertAlign w:val="subscript"/>
          <w:lang w:eastAsia="lt-LT"/>
        </w:rPr>
        <w:t>max</w:t>
      </w:r>
      <w:r w:rsidRPr="009F10EE">
        <w:rPr>
          <w:rFonts w:ascii="Times New Roman" w:eastAsia="Times New Roman" w:hAnsi="Times New Roman" w:cs="Times New Roman"/>
          <w:lang w:eastAsia="lt-LT"/>
        </w:rPr>
        <w:t xml:space="preserve">. </w:t>
      </w:r>
      <w:r w:rsidRPr="009F10EE">
        <w:rPr>
          <w:rFonts w:ascii="Times New Roman" w:eastAsia="TimesNewRomanPSMT" w:hAnsi="Times New Roman" w:cs="Times New Roman"/>
          <w:lang w:eastAsia="lt-LT"/>
        </w:rPr>
        <w:t xml:space="preserve">Nors specifinių sąveikos tyrimų neatlikta, kitų proteazės inhibitorių (tokių, kaip sakvinaviras), kitų CYP3A4 inhibitorių (tokių, kaip eritromicinas, klaritromicinas, itrakonazolas) ir greipfrutų sulčių kartu turi būti vartojama atsargiai, kadangi tikėtina, jog minėtos medžiagos padidins tadalafilio koncentracijas kraujo plazmoje (žr. 4.4 skyrių). </w:t>
      </w:r>
    </w:p>
    <w:p w14:paraId="35325B6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Taigi, gali padidėti 4.8 skyriuje išvardytų nepageidaujamų reakcijų dažnis.</w:t>
      </w:r>
    </w:p>
    <w:p w14:paraId="67E832E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51F607F5" w14:textId="77777777" w:rsidR="008C4948" w:rsidRPr="009F10EE" w:rsidRDefault="008C4948" w:rsidP="00B65F27">
      <w:pPr>
        <w:keepNext/>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lastRenderedPageBreak/>
        <w:t>Nešikliai</w:t>
      </w:r>
    </w:p>
    <w:p w14:paraId="669C30BF" w14:textId="77777777" w:rsidR="008C4948" w:rsidRPr="009F10EE" w:rsidRDefault="008C4948" w:rsidP="00B65F27">
      <w:pPr>
        <w:keepNext/>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Nešiklių (pvz., p-glikoproteino) vaidmuo tadalafilio pasiskirstymui nežinomas. Todėl galima vaistinių preparatų sąveika, priklausanti nuo nešiklių slopinimo.</w:t>
      </w:r>
    </w:p>
    <w:p w14:paraId="1106FB1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53DA48F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lang w:eastAsia="lt-LT"/>
        </w:rPr>
      </w:pPr>
      <w:r w:rsidRPr="009F10EE">
        <w:rPr>
          <w:rFonts w:ascii="Times New Roman" w:eastAsia="TimesNewRomanPSMT" w:hAnsi="Times New Roman" w:cs="Times New Roman"/>
          <w:i/>
          <w:iCs/>
          <w:lang w:eastAsia="lt-LT"/>
        </w:rPr>
        <w:t>Citochromo P450 induktoriai</w:t>
      </w:r>
    </w:p>
    <w:p w14:paraId="782DEF6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Kartu su CYP 3A4 induktoriumi rifampicinu vartojamo tadalafilio </w:t>
      </w:r>
      <w:r w:rsidRPr="009F10EE">
        <w:rPr>
          <w:rFonts w:ascii="Times New Roman" w:eastAsia="TimesNewRomanPSMT" w:hAnsi="Times New Roman" w:cs="Times New Roman"/>
          <w:i/>
          <w:iCs/>
          <w:lang w:eastAsia="lt-LT"/>
        </w:rPr>
        <w:t xml:space="preserve">AUC </w:t>
      </w:r>
      <w:r w:rsidRPr="009F10EE">
        <w:rPr>
          <w:rFonts w:ascii="Times New Roman" w:eastAsia="TimesNewRomanPSMT" w:hAnsi="Times New Roman" w:cs="Times New Roman"/>
          <w:iCs/>
          <w:lang w:eastAsia="lt-LT"/>
        </w:rPr>
        <w:t>reikšmės</w:t>
      </w:r>
      <w:r w:rsidRPr="009F10EE">
        <w:rPr>
          <w:rFonts w:ascii="Times New Roman" w:eastAsia="TimesNewRomanPSMT" w:hAnsi="Times New Roman" w:cs="Times New Roman"/>
          <w:i/>
          <w:iCs/>
          <w:lang w:eastAsia="lt-LT"/>
        </w:rPr>
        <w:t xml:space="preserve"> </w:t>
      </w:r>
      <w:r w:rsidRPr="009F10EE">
        <w:rPr>
          <w:rFonts w:ascii="Times New Roman" w:eastAsia="TimesNewRomanPSMT" w:hAnsi="Times New Roman" w:cs="Times New Roman"/>
          <w:lang w:eastAsia="lt-LT"/>
        </w:rPr>
        <w:t xml:space="preserve">buvo 88% mažesnės, negu AUC reikšmės vartojamo vieno tadalafilio (10 mg). Tikėtina, kad dėl tokio ekspozicijos sumažėjimo sumažėja ir tadalafilio veiksmingumas. Kiek jis sumažėja, nežinoma. </w:t>
      </w:r>
    </w:p>
    <w:p w14:paraId="1545A9F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Kiti CYP3A4 induktoriai, pvz., fenobarbitalis, fenitoinas ir karbamazepinas, taip pat gali mažinti kartu vartojamo tadalafilio koncentracijas kraujo plazmoje.</w:t>
      </w:r>
    </w:p>
    <w:p w14:paraId="2C97470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28C6B2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u w:val="single"/>
          <w:lang w:eastAsia="lt-LT"/>
        </w:rPr>
        <w:t>Tadalafilio poveikis kitiems vaistiniams preparatams</w:t>
      </w:r>
    </w:p>
    <w:p w14:paraId="1FF8677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u w:val="single"/>
          <w:lang w:eastAsia="lt-LT"/>
        </w:rPr>
      </w:pPr>
    </w:p>
    <w:p w14:paraId="17A59945"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Nitratai</w:t>
      </w:r>
    </w:p>
    <w:p w14:paraId="46F5B486" w14:textId="6BB2B50B"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Klinikinių tyrimų metu tadalafilis (5 mg, 10 mg ir 20 mg dozė) sustiprino nitratų sukeliamą hipotenzinį poveikį. Dėl to pacientams, vartojantiems bet kokios formos organinio nitrato, Tadalafil Accord vartoti draudžiama (žr. 4.3 skyrių). Remiantis klinikinio tyrimo, kurio metu 150 pacientų 7 paras kasdien vartojo 20 mg tadalafilio dozę ir įvairiu laiku po liežuviu vartojo 0,4 mg nitroglicerino dozę, duomenimis, minėta sąveika trunka ilgiau negu 24 valandas ir tampa nepastebima praėjus 48 valandoms po paskutinės tadalafilio dozės vartojimo. Vadinasi, pacientams, kuriems paskirta bet kokia Tadalafil Accord dozė (2,5-20 mg) ir kuriems gyvybei pavojingos būklės atveju vartoti nitratų yra būtina, jų galima vartoti tik praėjus mažiausiai 48 val. po paskutinės</w:t>
      </w:r>
      <w:r w:rsidRPr="009F10EE">
        <w:rPr>
          <w:rFonts w:ascii="Times New Roman" w:hAnsi="Times New Roman" w:cs="Times New Roman"/>
        </w:rPr>
        <w:t xml:space="preserve"> </w:t>
      </w:r>
      <w:r w:rsidRPr="009F10EE">
        <w:rPr>
          <w:rFonts w:ascii="Times New Roman" w:eastAsia="TimesNewRomanPSMT" w:hAnsi="Times New Roman" w:cs="Times New Roman"/>
          <w:lang w:eastAsia="lt-LT"/>
        </w:rPr>
        <w:t xml:space="preserve">Tadalafil Accord dozės pavartojimo. Tokiu atveju nitratų galima vartoti tik atidžiai gydytojui prižiūrint ir tinkamai sekant hemodinamiką. </w:t>
      </w:r>
    </w:p>
    <w:p w14:paraId="5B1B44F5"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40314166"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Antihipertenziniai vaistiniai preparatai (įskaitant kalcio kanalų blokatorius)</w:t>
      </w:r>
    </w:p>
    <w:p w14:paraId="3CA6AA17"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Doksazosino (4 mg ir 8 mg per parą) vartojant kartu su tadalafiliu (5 mg paros doze ir 20 mg vienkartine doze), šio alfa adrenoreceptorių blokatoriaus kraujospūdį mažinantis poveikis reikšmingai sustiprėjo. Toks poveikis trunka ne trumpiau kaip dvylika valandų ir gali sukelti simptomus, įskaitant apalpimą. Todėl šio derinio vartoti nerekomenduojama (žr. 4.4 skyrių). </w:t>
      </w:r>
    </w:p>
    <w:p w14:paraId="60D80B7F"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Sąveikos tyrimų, kuriuose dalyvavo nedidelis skaičius sveikų savanorių, duomenimis, vartojant vaistinį preparatą kartu su alfuzozinu arba tamsulozinu, toks poveikis nepasireiškė. Vis dėlto tadalafilio vartoti pacientams, kurie gydomi bet kuriais alfa adrenoreceptorių blokatoriais, ypač senyvus pacientus, reikia atsargiai. Gydymą reikia pradėti mažiausia vaistinio preparato doze ir ją palaipsniui didinti.</w:t>
      </w:r>
    </w:p>
    <w:p w14:paraId="5B3DEA7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159B81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Klinikinių farmakologinių tyrimų metu buvo tirta, ar tadalafilis gali stiprinti antihipertenzinių vaistinių preparatų sukeliamą hipotenzinį poveikį. Buvo tirtos pagrindinės antihipertenzinių vaistinių preparatų grupės: kalcio kanalų blokatoriai (amlodipinas), angiotenziną konvertuojančio fermento (AKF) inhibitoriai (enalaprilis), beta adrenoreceptorių blokatoriai (metoprololis), tiazidų grupės diuretikai (bendroflumetiazidas) ir angiotenzino II receptorių blokatoriai (įvairūs jų tipai ir dozės, vartoti vieni ar kartu su tiazidais, kalcio kanalų blokatoriais, beta adrenoreceptorių blokatoriais ir (ar) alfa adrenoreceptorių blokatoriais). Kliniškai reikšmingos tadalafilio (10 mg dozė, išskyrus sąveikos su angiotenzino II receptorių blokatoriais ir amlodipinu tyrimus, kurių metu buvo vartota 20 mg dozė) sąveikos su visų tirtų grupių vaistiniais preparatais nepastebėta. Kito klinikinio farmakologinio tyrimo metu nustatinėta 20 mg tadalafilio dozės sąveika su 4 grupių antihipertenziniais vaistiniais preparatais. Tiriamiesiems, vartojantiems kelis antihipertenzinius vaistinius preparatus, ambulatorijoje matuojamo kraujospūdžio pokyčiai priklausė nuo jo kontroliavimo laipsnio. Vadinasi, tų tiriamųjų, kurių kraujospūdis buvo gerai kontroliuojamas, jo mažėjimas buvo minimalus ir panašus į pasireiškiantį sveikiems žmonėms. Pacientams, kurių kraujospūdis nebuvo kontroliuojamas, jis mažėjo daugiau, tačiau daugumai tiriamųjų mažėjimas nebuvo susijęs su hipotenzijos simptomais. Pacientams, gydomiems antihipertenziniais vaistiniais preparatais, 20 mg tadalafilio dozė gali sukelti kraujospūdžio sumažėjimą, kuris (išskyrus alfa adrenoreceptorių blokatorius, žr. anksčiau) paprastai būna nedidelis ir nepanašu, kad būtų kliniškai reikšmingas. </w:t>
      </w:r>
    </w:p>
    <w:p w14:paraId="19F74B4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lastRenderedPageBreak/>
        <w:t>III fazės klinikinių tyrimų duomenų analizė rodo, kad pacientams, vartojusiems tadalafilio kartu su antihipertenziniais vaistiniais preparatais ar be jų, pasireiškę nepageidaujami reiškiniai nesiskyrė Vis dėlto pacientus, gydomus antihipertenziniais vaistiniais preparatais, reikia tinkamai informuoti apie galimą kraujospūdžio mažėjimą.</w:t>
      </w:r>
    </w:p>
    <w:p w14:paraId="3F0FBA3C"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p>
    <w:p w14:paraId="596868A9" w14:textId="77777777" w:rsidR="008C4948" w:rsidRPr="009F10EE" w:rsidRDefault="008C4948" w:rsidP="008C4948">
      <w:pPr>
        <w:tabs>
          <w:tab w:val="left" w:pos="567"/>
        </w:tabs>
        <w:spacing w:after="0" w:line="240" w:lineRule="auto"/>
        <w:rPr>
          <w:rFonts w:ascii="Times New Roman" w:eastAsia="Times New Roman" w:hAnsi="Times New Roman" w:cs="Times New Roman"/>
          <w:i/>
          <w:lang w:eastAsia="lt-LT"/>
        </w:rPr>
      </w:pPr>
      <w:r w:rsidRPr="009F10EE">
        <w:rPr>
          <w:rFonts w:ascii="Times New Roman" w:eastAsia="Times New Roman" w:hAnsi="Times New Roman" w:cs="Times New Roman"/>
          <w:i/>
          <w:lang w:eastAsia="lt-LT"/>
        </w:rPr>
        <w:t>Riociguatas</w:t>
      </w:r>
    </w:p>
    <w:p w14:paraId="15840592" w14:textId="6AECBD03"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Ikiklinikinių tyrimų metu buvo nustatytas pridėtinis sisteminio kraujospūdžio sumažinimo poveikis kuomet FDE5 inhibitoriai buvo skirti kartu su riociguatu. Klinikinių tyrimų metu nustatyta, kad riociguatas sustiprino FDE5 inhibitorių hipotenzinį poveikį. Populiacijos tyrimų metu šios kombinacijos palankus klinikinis poveikis įrodytas nebuvo. Riociguato kartu su FDE5 inhibitoriais, įskaitant tadalafilą, vartoti </w:t>
      </w:r>
      <w:r w:rsidR="002461DD">
        <w:rPr>
          <w:rFonts w:ascii="Times New Roman" w:eastAsia="Times New Roman" w:hAnsi="Times New Roman" w:cs="Times New Roman"/>
          <w:lang w:eastAsia="lt-LT"/>
        </w:rPr>
        <w:t>draudžiama</w:t>
      </w:r>
      <w:r w:rsidR="002461DD" w:rsidRPr="009F10EE">
        <w:rPr>
          <w:rFonts w:ascii="Times New Roman" w:eastAsia="Times New Roman" w:hAnsi="Times New Roman" w:cs="Times New Roman"/>
          <w:lang w:eastAsia="lt-LT"/>
        </w:rPr>
        <w:t xml:space="preserve"> </w:t>
      </w:r>
      <w:r w:rsidRPr="009F10EE">
        <w:rPr>
          <w:rFonts w:ascii="Times New Roman" w:eastAsia="Times New Roman" w:hAnsi="Times New Roman" w:cs="Times New Roman"/>
          <w:lang w:eastAsia="lt-LT"/>
        </w:rPr>
        <w:t>(žr. 4.3 skyrių).</w:t>
      </w:r>
    </w:p>
    <w:p w14:paraId="04D67448"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p>
    <w:p w14:paraId="32379126"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5-alfa reduktazės inhibitoriai</w:t>
      </w:r>
    </w:p>
    <w:p w14:paraId="18C831FA"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Klinikiniu tyrimu, kurio metu buvo lyginamas tadalafilio 5 mg</w:t>
      </w:r>
      <w:r w:rsidRPr="009F10EE">
        <w:rPr>
          <w:rFonts w:ascii="Times New Roman" w:eastAsia="TimesNewRomanPSMT" w:hAnsi="Times New Roman" w:cs="Times New Roman"/>
          <w:lang w:eastAsia="lt-LT"/>
        </w:rPr>
        <w:t xml:space="preserve"> dozės, vartojamos kartu su finasterido</w:t>
      </w:r>
      <w:r w:rsidRPr="009F10EE">
        <w:rPr>
          <w:rFonts w:ascii="Times New Roman" w:eastAsia="Times New Roman" w:hAnsi="Times New Roman" w:cs="Times New Roman"/>
          <w:lang w:eastAsia="lt-LT"/>
        </w:rPr>
        <w:t xml:space="preserve"> 5 mg doze, ir placebo, vartojamo kartu su finasterido 5 mg</w:t>
      </w:r>
      <w:r w:rsidRPr="009F10EE">
        <w:rPr>
          <w:rFonts w:ascii="Times New Roman" w:eastAsia="TimesNewRomanPSMT" w:hAnsi="Times New Roman" w:cs="Times New Roman"/>
          <w:lang w:eastAsia="lt-LT"/>
        </w:rPr>
        <w:t xml:space="preserve"> doze, poveikis gerybinės prostatos hiperplazijos (GPH) simptomams lengvinti, naujų nepageidaujamų reakcijų nenustatyta. Vis dėlto, kadangi specifinių sąveikos tyrimų, kuriais būtų vertintas tadalafilio ir 5</w:t>
      </w:r>
      <w:r w:rsidRPr="009F10EE">
        <w:rPr>
          <w:rFonts w:ascii="Times New Roman" w:eastAsia="Times New Roman" w:hAnsi="Times New Roman" w:cs="Times New Roman"/>
          <w:lang w:eastAsia="lt-LT"/>
        </w:rPr>
        <w:t>-</w:t>
      </w:r>
      <w:r w:rsidRPr="009F10EE">
        <w:rPr>
          <w:rFonts w:ascii="Times New Roman" w:eastAsia="TimesNewRomanPSMT" w:hAnsi="Times New Roman" w:cs="Times New Roman"/>
          <w:lang w:eastAsia="lt-LT"/>
        </w:rPr>
        <w:t>alfa reduktazės inhibitorių (5</w:t>
      </w:r>
      <w:r w:rsidRPr="009F10EE">
        <w:rPr>
          <w:rFonts w:ascii="Times New Roman" w:eastAsia="Times New Roman" w:hAnsi="Times New Roman" w:cs="Times New Roman"/>
          <w:lang w:eastAsia="lt-LT"/>
        </w:rPr>
        <w:t>-ARI) poveikis, neatlikta, tadalafiliu kartu su 5-ARI reikia gydyti atsargiai.</w:t>
      </w:r>
    </w:p>
    <w:p w14:paraId="53320F1F"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427B0728"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CYP1A2 substratai (pvz., teofilinas)</w:t>
      </w:r>
    </w:p>
    <w:p w14:paraId="04CE5CC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Klinikinio farmakologinio tyrimo, kurio metu 10 mg</w:t>
      </w:r>
      <w:r w:rsidRPr="009F10EE">
        <w:rPr>
          <w:rFonts w:ascii="Times New Roman" w:eastAsia="TimesNewRomanPSMT" w:hAnsi="Times New Roman" w:cs="Times New Roman"/>
          <w:lang w:eastAsia="lt-LT"/>
        </w:rPr>
        <w:t xml:space="preserve"> tadalafilio dozė buvo vartota kartu su teofilinu (neselektyviu fosfodiesterazės inhibitoriumi), duomenimis, farmakokinetinė sąveika nepasireiškė.</w:t>
      </w:r>
      <w:r w:rsidRPr="009F10EE">
        <w:rPr>
          <w:rFonts w:ascii="Times New Roman" w:eastAsia="Times New Roman" w:hAnsi="Times New Roman" w:cs="Times New Roman"/>
          <w:lang w:eastAsia="lt-LT"/>
        </w:rPr>
        <w:t xml:space="preserve"> Vienintelis farmakodinaminis poveikis buvo nedidelis (3,5 </w:t>
      </w:r>
      <w:r w:rsidRPr="009F10EE">
        <w:rPr>
          <w:rFonts w:ascii="Times New Roman" w:eastAsia="TimesNewRomanPSMT" w:hAnsi="Times New Roman" w:cs="Times New Roman"/>
          <w:lang w:eastAsia="lt-LT"/>
        </w:rPr>
        <w:t>plakimų per minutę) širdies susitraukimų padažnėjimas. Nors toks poveikis yra nedidelis ir šio tyrimo metu buvo kliniškai nereikšmingas, vis dėlto į jį reikia atsižvelgti šių vaistinių preparatų vartojant kartu.</w:t>
      </w:r>
    </w:p>
    <w:p w14:paraId="7BCA1090"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p>
    <w:p w14:paraId="11EA4F17" w14:textId="77777777" w:rsidR="008C4948" w:rsidRPr="009F10EE" w:rsidRDefault="008C4948" w:rsidP="008C4948">
      <w:pPr>
        <w:keepNext/>
        <w:keepLines/>
        <w:tabs>
          <w:tab w:val="left" w:pos="567"/>
        </w:tabs>
        <w:spacing w:after="0" w:line="240" w:lineRule="auto"/>
        <w:rPr>
          <w:rFonts w:ascii="Times New Roman" w:eastAsia="Times New Roman" w:hAnsi="Times New Roman" w:cs="Times New Roman"/>
          <w:i/>
          <w:lang w:eastAsia="lt-LT"/>
        </w:rPr>
      </w:pPr>
      <w:r w:rsidRPr="009F10EE">
        <w:rPr>
          <w:rFonts w:ascii="Times New Roman" w:eastAsia="Times New Roman" w:hAnsi="Times New Roman" w:cs="Times New Roman"/>
          <w:i/>
          <w:lang w:eastAsia="lt-LT"/>
        </w:rPr>
        <w:t xml:space="preserve">Etinilestradiolis ir terbutalinas </w:t>
      </w:r>
    </w:p>
    <w:p w14:paraId="64E8D2AF" w14:textId="77777777" w:rsidR="008C4948" w:rsidRPr="009F10EE" w:rsidRDefault="008C4948" w:rsidP="008C4948">
      <w:pPr>
        <w:keepNext/>
        <w:keepLines/>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Nustatyta, kad tadalafilis didina biologinį išgerto etinilestradiolio prieinamumą. Galima tikėtis, kad panaši sąveika galima ir su išgertu terbutalinu, tačiau klinikinės jos pasekmės nežinomos. </w:t>
      </w:r>
    </w:p>
    <w:p w14:paraId="52E77FA8" w14:textId="77777777" w:rsidR="008C4948" w:rsidRPr="009F10EE" w:rsidRDefault="008C4948" w:rsidP="008C4948">
      <w:pPr>
        <w:keepNext/>
        <w:keepLines/>
        <w:tabs>
          <w:tab w:val="left" w:pos="567"/>
        </w:tabs>
        <w:spacing w:after="0" w:line="240" w:lineRule="auto"/>
        <w:rPr>
          <w:rFonts w:ascii="Times New Roman" w:eastAsia="TimesNewRomanPSMT" w:hAnsi="Times New Roman" w:cs="Times New Roman"/>
          <w:lang w:eastAsia="lt-LT"/>
        </w:rPr>
      </w:pPr>
    </w:p>
    <w:p w14:paraId="16192215"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Alkoholis</w:t>
      </w:r>
    </w:p>
    <w:p w14:paraId="5D3D2F22"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Kartu vartojamas tadalafilis (10 mg arba 20 mg dozė) alkoholio koncentracijų kraujyje (vidutinė didžiausia koncentracija kraujyje </w:t>
      </w:r>
      <w:r w:rsidRPr="009F10EE">
        <w:rPr>
          <w:rFonts w:ascii="Times New Roman" w:eastAsia="Times New Roman" w:hAnsi="Times New Roman" w:cs="Times New Roman"/>
          <w:lang w:eastAsia="lt-LT"/>
        </w:rPr>
        <w:t xml:space="preserve">– 0,08%) </w:t>
      </w:r>
      <w:r w:rsidRPr="009F10EE">
        <w:rPr>
          <w:rFonts w:ascii="Times New Roman" w:eastAsia="TimesNewRomanPSMT" w:hAnsi="Times New Roman" w:cs="Times New Roman"/>
          <w:lang w:eastAsia="lt-LT"/>
        </w:rPr>
        <w:t xml:space="preserve">nepaveikė. Be to, tadalafilio koncentracijos, praėjus 3 </w:t>
      </w:r>
      <w:r w:rsidRPr="009F10EE">
        <w:rPr>
          <w:rFonts w:ascii="Times New Roman" w:eastAsia="Times New Roman" w:hAnsi="Times New Roman" w:cs="Times New Roman"/>
          <w:lang w:eastAsia="lt-LT"/>
        </w:rPr>
        <w:t>valandom po alkoholio pavartojimo,</w:t>
      </w:r>
      <w:r w:rsidRPr="009F10EE">
        <w:rPr>
          <w:rFonts w:ascii="Times New Roman" w:eastAsia="TimesNewRomanPSMT" w:hAnsi="Times New Roman" w:cs="Times New Roman"/>
          <w:lang w:eastAsia="lt-LT"/>
        </w:rPr>
        <w:t xml:space="preserve"> nekito. Alkoholis buvo geriamas tokiu būdu, kad absorbcija būtų greičiausia (nevalgius visą naktį ir</w:t>
      </w:r>
      <w:r w:rsidRPr="009F10EE">
        <w:rPr>
          <w:rFonts w:ascii="Times New Roman" w:eastAsia="Times New Roman" w:hAnsi="Times New Roman" w:cs="Times New Roman"/>
          <w:lang w:eastAsia="lt-LT"/>
        </w:rPr>
        <w:t xml:space="preserve"> 2 valandas po a</w:t>
      </w:r>
      <w:r w:rsidRPr="009F10EE">
        <w:rPr>
          <w:rFonts w:ascii="Times New Roman" w:eastAsia="TimesNewRomanPSMT" w:hAnsi="Times New Roman" w:cs="Times New Roman"/>
          <w:lang w:eastAsia="lt-LT"/>
        </w:rPr>
        <w:t xml:space="preserve">lkoholio išgėrimo). </w:t>
      </w:r>
    </w:p>
    <w:p w14:paraId="0F460B57"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D2DAFDF"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Tadalafilio (20 mg) dozė nestiprino alkoholio (0,7 </w:t>
      </w:r>
      <w:r w:rsidRPr="009F10EE">
        <w:rPr>
          <w:rFonts w:ascii="Times New Roman" w:eastAsia="Times New Roman" w:hAnsi="Times New Roman" w:cs="Times New Roman"/>
          <w:lang w:eastAsia="lt-LT"/>
        </w:rPr>
        <w:t xml:space="preserve">g/kg </w:t>
      </w:r>
      <w:r w:rsidRPr="009F10EE">
        <w:rPr>
          <w:rFonts w:ascii="Times New Roman" w:eastAsia="TimesNewRomanPSMT" w:hAnsi="Times New Roman" w:cs="Times New Roman"/>
          <w:lang w:eastAsia="lt-LT"/>
        </w:rPr>
        <w:t xml:space="preserve">kūno svorio arba apytiksliai 180 ml 40 % alkoholio (degtinės) 80 kg sveriančiam vyrui) sukelto vidutinio kraujospūdžio mažėjimo, tačiau kai kuriems tiriamiesiems pasireiškė su kūno padėties pakeitimu susijęs galvos svaigimas ir ortostatinė hipotenzija. Tadalafilio vartojant kartu su mažesne alkoholio </w:t>
      </w:r>
      <w:r w:rsidRPr="009F10EE">
        <w:rPr>
          <w:rFonts w:ascii="Times New Roman" w:eastAsia="Times New Roman" w:hAnsi="Times New Roman" w:cs="Times New Roman"/>
          <w:lang w:eastAsia="lt-LT"/>
        </w:rPr>
        <w:t>doze (0,6 </w:t>
      </w:r>
      <w:r w:rsidRPr="009F10EE">
        <w:rPr>
          <w:rFonts w:ascii="Times New Roman" w:eastAsia="TimesNewRomanPSMT" w:hAnsi="Times New Roman" w:cs="Times New Roman"/>
          <w:lang w:eastAsia="lt-LT"/>
        </w:rPr>
        <w:t>g/kg kūno svorio) hipotenzija nepasireiškė, o galvos svaigimo dažnis buvo panašus į atsirandantį išgėrus vien alkoholio. Alk</w:t>
      </w:r>
      <w:r w:rsidRPr="009F10EE">
        <w:rPr>
          <w:rFonts w:ascii="Times New Roman" w:eastAsia="Times New Roman" w:hAnsi="Times New Roman" w:cs="Times New Roman"/>
          <w:lang w:eastAsia="lt-LT"/>
        </w:rPr>
        <w:t>oholio poveikio pažinimo funkcijai 10 mg</w:t>
      </w:r>
      <w:r w:rsidRPr="009F10EE">
        <w:rPr>
          <w:rFonts w:ascii="Times New Roman" w:eastAsia="TimesNewRomanPSMT" w:hAnsi="Times New Roman" w:cs="Times New Roman"/>
          <w:lang w:eastAsia="lt-LT"/>
        </w:rPr>
        <w:t xml:space="preserve"> tadalafilio dozė </w:t>
      </w:r>
      <w:r w:rsidRPr="009F10EE">
        <w:rPr>
          <w:rFonts w:ascii="Times New Roman" w:eastAsia="Times New Roman" w:hAnsi="Times New Roman" w:cs="Times New Roman"/>
          <w:lang w:eastAsia="lt-LT"/>
        </w:rPr>
        <w:t>nestiprino.</w:t>
      </w:r>
    </w:p>
    <w:p w14:paraId="2CC0B862"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786E4E2E"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Citochromo P450 metabolizuojami vaistiniai preparatai</w:t>
      </w:r>
    </w:p>
    <w:p w14:paraId="3ABA3EF6"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Nesitikima, kad tadalafilis galėtų sukelti kliniškai reikšmingą vaistinių preparatų, metabolizuojamų CYP 450 izofermentų,</w:t>
      </w:r>
      <w:r w:rsidRPr="009F10EE">
        <w:rPr>
          <w:rFonts w:ascii="Times New Roman" w:eastAsia="Times New Roman" w:hAnsi="Times New Roman" w:cs="Times New Roman"/>
          <w:lang w:eastAsia="lt-LT"/>
        </w:rPr>
        <w:t xml:space="preserve"> klirenso slopinimą ar indukciją</w:t>
      </w:r>
      <w:r w:rsidRPr="009F10EE">
        <w:rPr>
          <w:rFonts w:ascii="Times New Roman" w:eastAsia="TimesNewRomanPSMT" w:hAnsi="Times New Roman" w:cs="Times New Roman"/>
          <w:lang w:eastAsia="lt-LT"/>
        </w:rPr>
        <w:t xml:space="preserve">. Tyrimais patvirtinta, kad tadalafilis neslopina ir neindukuoja </w:t>
      </w:r>
      <w:r w:rsidRPr="009F10EE">
        <w:rPr>
          <w:rFonts w:ascii="Times New Roman" w:eastAsia="Times New Roman" w:hAnsi="Times New Roman" w:cs="Times New Roman"/>
          <w:lang w:eastAsia="lt-LT"/>
        </w:rPr>
        <w:t xml:space="preserve">CYP </w:t>
      </w:r>
      <w:r w:rsidRPr="009F10EE">
        <w:rPr>
          <w:rFonts w:ascii="Times New Roman" w:eastAsia="TimesNewRomanPSMT" w:hAnsi="Times New Roman" w:cs="Times New Roman"/>
          <w:lang w:eastAsia="lt-LT"/>
        </w:rPr>
        <w:t xml:space="preserve">450 izofermentų, įskaitant CYP </w:t>
      </w:r>
      <w:r w:rsidRPr="009F10EE">
        <w:rPr>
          <w:rFonts w:ascii="Times New Roman" w:eastAsia="Times New Roman" w:hAnsi="Times New Roman" w:cs="Times New Roman"/>
          <w:lang w:eastAsia="lt-LT"/>
        </w:rPr>
        <w:t>3A4, CYP 1A2, CYP 2D6, CYP 2E1, CYP 2C9 ir CYP 2C19 fermentus.</w:t>
      </w:r>
    </w:p>
    <w:p w14:paraId="160E2DC6"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38FEC691"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CYP2C9 substratai (pvz., R-varfarinas)</w:t>
      </w:r>
    </w:p>
    <w:p w14:paraId="2114870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Tadalafil</w:t>
      </w:r>
      <w:r w:rsidRPr="009F10EE">
        <w:rPr>
          <w:rFonts w:ascii="Times New Roman" w:eastAsia="TimesNewRomanPSMT" w:hAnsi="Times New Roman" w:cs="Times New Roman"/>
          <w:lang w:eastAsia="lt-LT"/>
        </w:rPr>
        <w:t>io (</w:t>
      </w:r>
      <w:r w:rsidRPr="009F10EE">
        <w:rPr>
          <w:rFonts w:ascii="Times New Roman" w:eastAsia="Times New Roman" w:hAnsi="Times New Roman" w:cs="Times New Roman"/>
          <w:lang w:eastAsia="lt-LT"/>
        </w:rPr>
        <w:t xml:space="preserve">10 mg arba 20 mg) </w:t>
      </w:r>
      <w:r w:rsidRPr="009F10EE">
        <w:rPr>
          <w:rFonts w:ascii="Times New Roman" w:eastAsia="TimesNewRomanPSMT" w:hAnsi="Times New Roman" w:cs="Times New Roman"/>
          <w:lang w:eastAsia="lt-LT"/>
        </w:rPr>
        <w:t>dozė kliniškai reikšmingo poveikio S</w:t>
      </w:r>
      <w:r w:rsidRPr="009F10EE">
        <w:rPr>
          <w:rFonts w:ascii="Times New Roman" w:eastAsia="Times New Roman" w:hAnsi="Times New Roman" w:cs="Times New Roman"/>
          <w:lang w:eastAsia="lt-LT"/>
        </w:rPr>
        <w:t>-varfarino ar R-varfarino (CYP 2C9 substrato) ekspozicijai (</w:t>
      </w:r>
      <w:r w:rsidRPr="009F10EE">
        <w:rPr>
          <w:rFonts w:ascii="Times New Roman" w:eastAsia="Times New Roman" w:hAnsi="Times New Roman" w:cs="Times New Roman"/>
          <w:iCs/>
          <w:lang w:eastAsia="lt-LT"/>
        </w:rPr>
        <w:t>AUC</w:t>
      </w:r>
      <w:r w:rsidRPr="009F10EE">
        <w:rPr>
          <w:rFonts w:ascii="Times New Roman" w:eastAsia="TimesNewRomanPSMT" w:hAnsi="Times New Roman" w:cs="Times New Roman"/>
          <w:lang w:eastAsia="lt-LT"/>
        </w:rPr>
        <w:t>) bei varfarino sukeliamam protrombino laiko pokyčiui nedaro.</w:t>
      </w:r>
    </w:p>
    <w:p w14:paraId="2B8C4BDE"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40474BF4"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lastRenderedPageBreak/>
        <w:t>Aspirinas</w:t>
      </w:r>
    </w:p>
    <w:p w14:paraId="0A39B45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 xml:space="preserve">Tadalafilio (10 mg arba 20 mg) </w:t>
      </w:r>
      <w:r w:rsidRPr="009F10EE">
        <w:rPr>
          <w:rFonts w:ascii="Times New Roman" w:eastAsia="TimesNewRomanPSMT" w:hAnsi="Times New Roman" w:cs="Times New Roman"/>
          <w:lang w:eastAsia="lt-LT"/>
        </w:rPr>
        <w:t>dozė nestiprina acetilsalicilo rūgšties sukeliamo kraujavimo laiką ilginančio poveikio.</w:t>
      </w:r>
    </w:p>
    <w:p w14:paraId="62C8729A"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p w14:paraId="3EE16798"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Antidiabetiniai vaistiniai preparatai</w:t>
      </w:r>
    </w:p>
    <w:p w14:paraId="6850106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Specifinių tadalafilio ir antidiabetinių vaistinių preparatų sąveikos tyrimų neatlikta.</w:t>
      </w:r>
    </w:p>
    <w:p w14:paraId="6292259E"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1BBA1550" w14:textId="77777777" w:rsidR="008C4948" w:rsidRPr="009F10EE" w:rsidRDefault="008C4948" w:rsidP="008C4948">
      <w:pPr>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4.6</w:t>
      </w:r>
      <w:r w:rsidRPr="009F10EE">
        <w:rPr>
          <w:rFonts w:ascii="Times New Roman" w:eastAsia="Times New Roman" w:hAnsi="Times New Roman" w:cs="Times New Roman"/>
          <w:b/>
        </w:rPr>
        <w:tab/>
        <w:t>Vaisingumas, nėštumo ir žindymo laikotarpis</w:t>
      </w:r>
    </w:p>
    <w:p w14:paraId="4CD05BA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058FB58" w14:textId="520FA001" w:rsidR="008C4948" w:rsidRPr="009F10EE" w:rsidRDefault="008C4948" w:rsidP="008C4948">
      <w:pPr>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Tadalafil Accord</w:t>
      </w:r>
      <w:r w:rsidRPr="009F10EE">
        <w:rPr>
          <w:rFonts w:ascii="Times New Roman" w:eastAsia="Times New Roman" w:hAnsi="Times New Roman" w:cs="Times New Roman"/>
          <w:lang w:eastAsia="lt-LT"/>
        </w:rPr>
        <w:t xml:space="preserve"> nėra skirtas vartoti moterims.</w:t>
      </w:r>
    </w:p>
    <w:p w14:paraId="20AF4B7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FEEEEAA"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Nėštumas</w:t>
      </w:r>
    </w:p>
    <w:p w14:paraId="0C46F92E"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Duomenų apie tadalafilio vartojimą nėštumo metu nepakanka. </w:t>
      </w:r>
      <w:r w:rsidRPr="009F10EE">
        <w:rPr>
          <w:rFonts w:ascii="Times New Roman" w:eastAsia="TimesNewRomanPSMT" w:hAnsi="Times New Roman" w:cs="Times New Roman"/>
          <w:lang w:eastAsia="lt-LT"/>
        </w:rPr>
        <w:t xml:space="preserve">Tyrimai su gyvūnais tiesioginio ar netiesioginio kenksmingo poveikio nėštumo eigai, embriono ar vaisiaus vystymuisi, gimdymui ar postnataliniam vystymuisi neparodė (žr. 5.3 skyrių). Dėl atsargumo nėštumo metu Tadalafil Accord vartojimo geriau </w:t>
      </w:r>
      <w:r w:rsidRPr="009F10EE">
        <w:rPr>
          <w:rFonts w:ascii="Times New Roman" w:eastAsia="Times New Roman" w:hAnsi="Times New Roman" w:cs="Times New Roman"/>
          <w:lang w:eastAsia="lt-LT"/>
        </w:rPr>
        <w:t>vengti.</w:t>
      </w:r>
    </w:p>
    <w:p w14:paraId="19D21249"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2B143351"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Žindymas</w:t>
      </w:r>
    </w:p>
    <w:p w14:paraId="41017820"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 xml:space="preserve">Turimi farmakodinaminio ir toksinio poveikio tyrimų su gyvūnais duomenys rodo, kad tadalafilis išsiskiria į motinos pieną. Rizikos žindomam kūdikiui paneigti negalima. </w:t>
      </w:r>
      <w:r w:rsidRPr="009F10EE">
        <w:rPr>
          <w:rFonts w:ascii="Times New Roman" w:eastAsia="Times New Roman" w:hAnsi="Times New Roman" w:cs="Times New Roman"/>
          <w:lang w:eastAsia="lt-LT"/>
        </w:rPr>
        <w:t>Žindymo laikotarpiu Tadalafil Accord vartoti negalima.</w:t>
      </w:r>
    </w:p>
    <w:p w14:paraId="706A4B53"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38D897FA"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Vaisingumas</w:t>
      </w:r>
    </w:p>
    <w:p w14:paraId="684B3027"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 xml:space="preserve">Šunims buvo pastebėtas poveikis, kuris gali rodyti vaisingumo sutrikimą. Du vėlesni klinikiniai tyrimai rodo, kad toks poveikis žmogui nėra tikėtinas, nors kai kuriems vyrams buvo nustatytas spermos koncentracijos sumažėjimas (žr. 5.1 ir 5.3 </w:t>
      </w:r>
      <w:r w:rsidRPr="009F10EE">
        <w:rPr>
          <w:rFonts w:ascii="Times New Roman" w:eastAsia="Times New Roman" w:hAnsi="Times New Roman" w:cs="Times New Roman"/>
          <w:lang w:eastAsia="lt-LT"/>
        </w:rPr>
        <w:t>skyrius).</w:t>
      </w:r>
    </w:p>
    <w:p w14:paraId="27833C4F"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0AD6B01" w14:textId="77777777" w:rsidR="008C4948" w:rsidRPr="009F10EE" w:rsidRDefault="008C4948" w:rsidP="008C4948">
      <w:pPr>
        <w:keepNext/>
        <w:keepLines/>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4.7</w:t>
      </w:r>
      <w:r w:rsidRPr="009F10EE">
        <w:rPr>
          <w:rFonts w:ascii="Times New Roman" w:eastAsia="Times New Roman" w:hAnsi="Times New Roman" w:cs="Times New Roman"/>
          <w:b/>
        </w:rPr>
        <w:tab/>
        <w:t>Poveikis gebėjimui vairuoti ir valdyti mechanizmus</w:t>
      </w:r>
    </w:p>
    <w:p w14:paraId="47EEEA11" w14:textId="77777777" w:rsidR="008C4948" w:rsidRPr="009F10EE" w:rsidRDefault="008C4948" w:rsidP="008C4948">
      <w:pPr>
        <w:keepNext/>
        <w:keepLines/>
        <w:tabs>
          <w:tab w:val="left" w:pos="567"/>
        </w:tabs>
        <w:spacing w:after="0" w:line="240" w:lineRule="auto"/>
        <w:rPr>
          <w:rFonts w:ascii="Times New Roman" w:eastAsia="Times New Roman" w:hAnsi="Times New Roman" w:cs="Times New Roman"/>
          <w:lang w:eastAsia="lt-LT"/>
        </w:rPr>
      </w:pPr>
    </w:p>
    <w:p w14:paraId="33966CD0"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Tadalafilis gebėjimą vairuoti ir valdyti mechanizmus veikia nereikšmingai. Nors klinikinių tyrimų metu tadalafilio ar placebo vartojusiems vyrams galvos svaigimo dažnis buvo panašus, vis dėlto pacientą reikia įspėti, kad prieš vairavimą ir mechanizmų valdymą jis turi žinoti, kaip reaguoja į Tadalafil Accord.</w:t>
      </w:r>
    </w:p>
    <w:p w14:paraId="2CD92AD9"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224DA505" w14:textId="77777777" w:rsidR="008C4948" w:rsidRPr="009F10EE" w:rsidRDefault="008C4948" w:rsidP="008C4948">
      <w:pPr>
        <w:tabs>
          <w:tab w:val="left" w:pos="567"/>
        </w:tabs>
        <w:spacing w:after="0" w:line="240" w:lineRule="auto"/>
        <w:outlineLvl w:val="0"/>
        <w:rPr>
          <w:rFonts w:ascii="Times New Roman" w:eastAsia="Times New Roman" w:hAnsi="Times New Roman" w:cs="Times New Roman"/>
          <w:lang w:eastAsia="lt-LT"/>
        </w:rPr>
      </w:pPr>
      <w:r w:rsidRPr="009F10EE">
        <w:rPr>
          <w:rFonts w:ascii="Times New Roman" w:eastAsia="Times New Roman" w:hAnsi="Times New Roman" w:cs="Times New Roman"/>
          <w:b/>
          <w:lang w:eastAsia="lt-LT"/>
        </w:rPr>
        <w:t>4.8</w:t>
      </w:r>
      <w:r w:rsidRPr="009F10EE">
        <w:rPr>
          <w:rFonts w:ascii="Times New Roman" w:eastAsia="Times New Roman" w:hAnsi="Times New Roman" w:cs="Times New Roman"/>
          <w:b/>
          <w:lang w:eastAsia="lt-LT"/>
        </w:rPr>
        <w:tab/>
        <w:t>Nepageidaujamas poveikis</w:t>
      </w:r>
    </w:p>
    <w:p w14:paraId="17C070A8" w14:textId="77777777" w:rsidR="008C4948" w:rsidRPr="009F10EE" w:rsidRDefault="008C4948" w:rsidP="008C4948">
      <w:pPr>
        <w:tabs>
          <w:tab w:val="left" w:pos="567"/>
        </w:tabs>
        <w:spacing w:after="0" w:line="240" w:lineRule="auto"/>
        <w:rPr>
          <w:rFonts w:ascii="Times New Roman" w:eastAsia="Times New Roman" w:hAnsi="Times New Roman" w:cs="Times New Roman"/>
          <w:u w:val="single"/>
          <w:lang w:eastAsia="lt-LT"/>
        </w:rPr>
      </w:pPr>
    </w:p>
    <w:p w14:paraId="4CAEAD94" w14:textId="77777777" w:rsidR="008C4948" w:rsidRPr="009F10EE" w:rsidRDefault="008C4948" w:rsidP="008C4948">
      <w:pPr>
        <w:spacing w:after="0" w:line="240" w:lineRule="auto"/>
        <w:rPr>
          <w:rFonts w:ascii="Times New Roman" w:eastAsia="Times New Roman" w:hAnsi="Times New Roman" w:cs="Times New Roman"/>
          <w:iCs/>
          <w:color w:val="000000"/>
          <w:u w:val="single"/>
          <w:lang w:eastAsia="cs-CZ"/>
        </w:rPr>
      </w:pPr>
      <w:r w:rsidRPr="009F10EE">
        <w:rPr>
          <w:rFonts w:ascii="Times New Roman" w:eastAsia="Times New Roman" w:hAnsi="Times New Roman" w:cs="Times New Roman"/>
          <w:iCs/>
          <w:color w:val="000000"/>
          <w:u w:val="single"/>
          <w:lang w:eastAsia="cs-CZ"/>
        </w:rPr>
        <w:t>Saugumo duomenų santrauka</w:t>
      </w:r>
    </w:p>
    <w:p w14:paraId="6445EAB8" w14:textId="77777777" w:rsidR="008C4948" w:rsidRPr="009F10EE" w:rsidRDefault="008C4948" w:rsidP="008C4948">
      <w:pPr>
        <w:spacing w:after="0" w:line="240" w:lineRule="auto"/>
        <w:rPr>
          <w:rFonts w:ascii="Times New Roman" w:eastAsia="Times New Roman" w:hAnsi="Times New Roman" w:cs="Times New Roman"/>
          <w:color w:val="000000"/>
          <w:u w:val="single"/>
          <w:lang w:eastAsia="cs-CZ"/>
        </w:rPr>
      </w:pPr>
    </w:p>
    <w:p w14:paraId="694A7A85"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color w:val="000000"/>
          <w:lang w:eastAsia="cs-CZ"/>
        </w:rPr>
        <w:t xml:space="preserve">Pacientams, tadalafilio vartojantiems erekcijos funkcijos sutrikimui arba gerybinės prostatos hiperplazijos gydyti, dažniausiai pasireiškusios nepageidaujamos reakcijos buvo galvos skausmas, dispepsija, nugaros skausmas ir mialgija, šių reakcijų dažnis didėjo didinant tadalafilio dozę. </w:t>
      </w:r>
      <w:r w:rsidRPr="009F10EE">
        <w:rPr>
          <w:rFonts w:ascii="Times New Roman" w:eastAsia="TimesNewRomanPSMT" w:hAnsi="Times New Roman" w:cs="Times New Roman"/>
          <w:lang w:eastAsia="lt-LT"/>
        </w:rPr>
        <w:t>Nepageidaujamos reakcijos, apie kurias pranešta, buvo trumpalaikės ir paprastai lengvos arba vidutinio sunkumo. Galvos skausmas, pastebėtas kasdien vartojant po vieną tadalafilio dozę, dažniausiai pasireiškė per pirmas 10</w:t>
      </w:r>
      <w:r w:rsidRPr="009F10EE">
        <w:rPr>
          <w:rFonts w:ascii="Times New Roman" w:eastAsia="TimesNewRomanPSMT" w:hAnsi="Times New Roman" w:cs="Times New Roman"/>
          <w:lang w:eastAsia="lt-LT"/>
        </w:rPr>
        <w:noBreakHyphen/>
        <w:t>30 parų nuo gydymo pradžios.</w:t>
      </w:r>
    </w:p>
    <w:p w14:paraId="694B2CC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403020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Nepageidaujamų reakcijų santrauka lentelėje</w:t>
      </w:r>
    </w:p>
    <w:p w14:paraId="02709D0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354600DF" w14:textId="77777777" w:rsidR="008C4948" w:rsidRPr="009F10EE" w:rsidRDefault="008C4948" w:rsidP="008C4948">
      <w:pPr>
        <w:spacing w:after="0" w:line="240" w:lineRule="auto"/>
        <w:rPr>
          <w:rFonts w:ascii="Times New Roman" w:eastAsia="Times New Roman" w:hAnsi="Times New Roman" w:cs="Times New Roman"/>
          <w:color w:val="000000"/>
          <w:lang w:eastAsia="cs-CZ"/>
        </w:rPr>
      </w:pPr>
      <w:r w:rsidRPr="009F10EE">
        <w:rPr>
          <w:rFonts w:ascii="Times New Roman" w:eastAsia="Times New Roman" w:hAnsi="Times New Roman" w:cs="Times New Roman"/>
          <w:color w:val="000000"/>
          <w:lang w:eastAsia="cs-CZ"/>
        </w:rPr>
        <w:t>Toliau esančioje lentelėje išvardytos nepageidaujamos reakcijos, nustatytos remiantis spontaniniais pranešimais ir pastebėtos placebu kontroliuojamų klinikinių tyrimų metu (8022 pacientų vartojo tadalafilio, 4422  − placebo), kai erekcijos funkcijos sutrikimui gydyti vaistinio preparato buvo vartojama pagal poreikį arba kartą per parą, gerybinei prostatos hiperplazijai gydyti − kartą per parą.</w:t>
      </w:r>
    </w:p>
    <w:p w14:paraId="599C3C3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9BFB6B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lastRenderedPageBreak/>
        <w:t>Nepageidaujamo poveikio dažnis apibūdinamas taip: labai dažnas (≥ 1/10), dažnas (nuo ≥ 1/100 iki &lt; 1/10), nedažnas (nuo ≥ 1/1 000 iki &lt; 1/100), retas (nuo ≥ 1/10 000 iki &lt; 1/1000), labai retas (&lt; 1/10 000) ir nežinomas (negali būti apskaičiuotas pagal turimus duomenis).</w:t>
      </w:r>
    </w:p>
    <w:p w14:paraId="2AD274E9" w14:textId="77777777" w:rsidR="008C4948" w:rsidRPr="009F10EE" w:rsidRDefault="008C4948" w:rsidP="008C4948">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p w14:paraId="66DBD8F9" w14:textId="77777777" w:rsidR="008C4948" w:rsidRPr="009F10EE" w:rsidRDefault="008C4948" w:rsidP="008C4948">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4"/>
        <w:gridCol w:w="1760"/>
        <w:gridCol w:w="1962"/>
        <w:gridCol w:w="2168"/>
        <w:gridCol w:w="1780"/>
      </w:tblGrid>
      <w:tr w:rsidR="00F933FB" w:rsidRPr="009F10EE" w14:paraId="0B45262C" w14:textId="716E1943" w:rsidTr="007D3ACB">
        <w:tc>
          <w:tcPr>
            <w:tcW w:w="1724" w:type="dxa"/>
            <w:tcBorders>
              <w:top w:val="single" w:sz="4" w:space="0" w:color="auto"/>
              <w:left w:val="single" w:sz="4" w:space="0" w:color="auto"/>
              <w:bottom w:val="single" w:sz="4" w:space="0" w:color="auto"/>
              <w:right w:val="single" w:sz="4" w:space="0" w:color="auto"/>
            </w:tcBorders>
            <w:hideMark/>
          </w:tcPr>
          <w:p w14:paraId="1B1FA97E" w14:textId="3C7A2AD8"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b/>
                <w:bCs/>
                <w:highlight w:val="yellow"/>
                <w:lang w:eastAsia="lt-LT"/>
              </w:rPr>
            </w:pPr>
            <w:r w:rsidRPr="009F10EE">
              <w:rPr>
                <w:rFonts w:ascii="Times New Roman" w:eastAsia="TimesNewRomanPSMT" w:hAnsi="Times New Roman" w:cs="Times New Roman"/>
                <w:b/>
                <w:bCs/>
                <w:lang w:eastAsia="lt-LT"/>
              </w:rPr>
              <w:t xml:space="preserve">Labai dažnas </w:t>
            </w:r>
          </w:p>
        </w:tc>
        <w:tc>
          <w:tcPr>
            <w:tcW w:w="1760" w:type="dxa"/>
            <w:tcBorders>
              <w:top w:val="single" w:sz="4" w:space="0" w:color="auto"/>
              <w:left w:val="single" w:sz="4" w:space="0" w:color="auto"/>
              <w:bottom w:val="single" w:sz="4" w:space="0" w:color="auto"/>
              <w:right w:val="single" w:sz="4" w:space="0" w:color="auto"/>
            </w:tcBorders>
            <w:hideMark/>
          </w:tcPr>
          <w:p w14:paraId="28B602DE" w14:textId="35CA6A33" w:rsidR="00F933FB" w:rsidRPr="009F10EE" w:rsidRDefault="00F933FB" w:rsidP="00771646">
            <w:pPr>
              <w:tabs>
                <w:tab w:val="left" w:pos="567"/>
              </w:tabs>
              <w:autoSpaceDE w:val="0"/>
              <w:autoSpaceDN w:val="0"/>
              <w:adjustRightInd w:val="0"/>
              <w:spacing w:after="0" w:line="240" w:lineRule="auto"/>
              <w:jc w:val="center"/>
              <w:rPr>
                <w:rFonts w:ascii="Times New Roman" w:eastAsia="TimesNewRomanPSMT" w:hAnsi="Times New Roman" w:cs="Times New Roman"/>
                <w:b/>
                <w:highlight w:val="yellow"/>
                <w:lang w:eastAsia="lt-LT"/>
              </w:rPr>
            </w:pPr>
            <w:r w:rsidRPr="009F10EE">
              <w:rPr>
                <w:rFonts w:ascii="Times New Roman" w:eastAsia="TimesNewRomanPSMT" w:hAnsi="Times New Roman" w:cs="Times New Roman"/>
                <w:b/>
                <w:bCs/>
                <w:lang w:eastAsia="lt-LT"/>
              </w:rPr>
              <w:t>Dažnas</w:t>
            </w:r>
          </w:p>
        </w:tc>
        <w:tc>
          <w:tcPr>
            <w:tcW w:w="1962" w:type="dxa"/>
            <w:tcBorders>
              <w:top w:val="single" w:sz="4" w:space="0" w:color="auto"/>
              <w:left w:val="single" w:sz="4" w:space="0" w:color="auto"/>
              <w:bottom w:val="single" w:sz="4" w:space="0" w:color="auto"/>
              <w:right w:val="single" w:sz="4" w:space="0" w:color="auto"/>
            </w:tcBorders>
            <w:hideMark/>
          </w:tcPr>
          <w:p w14:paraId="6998CC0C" w14:textId="3158F62D" w:rsidR="00F933FB" w:rsidRPr="009F10EE" w:rsidRDefault="00F933FB" w:rsidP="00771646">
            <w:pPr>
              <w:tabs>
                <w:tab w:val="left" w:pos="567"/>
              </w:tabs>
              <w:autoSpaceDE w:val="0"/>
              <w:autoSpaceDN w:val="0"/>
              <w:adjustRightInd w:val="0"/>
              <w:spacing w:after="0" w:line="240" w:lineRule="auto"/>
              <w:jc w:val="center"/>
              <w:rPr>
                <w:rFonts w:ascii="Times New Roman" w:eastAsia="TimesNewRomanPSMT" w:hAnsi="Times New Roman" w:cs="Times New Roman"/>
                <w:b/>
                <w:highlight w:val="yellow"/>
                <w:lang w:eastAsia="lt-LT"/>
              </w:rPr>
            </w:pPr>
            <w:r w:rsidRPr="009F10EE">
              <w:rPr>
                <w:rFonts w:ascii="Times New Roman" w:eastAsia="TimesNewRomanPSMT" w:hAnsi="Times New Roman" w:cs="Times New Roman"/>
                <w:b/>
                <w:bCs/>
                <w:lang w:eastAsia="lt-LT"/>
              </w:rPr>
              <w:t xml:space="preserve">Nedažnas </w:t>
            </w:r>
          </w:p>
        </w:tc>
        <w:tc>
          <w:tcPr>
            <w:tcW w:w="2168" w:type="dxa"/>
            <w:tcBorders>
              <w:top w:val="single" w:sz="4" w:space="0" w:color="auto"/>
              <w:left w:val="single" w:sz="4" w:space="0" w:color="auto"/>
              <w:bottom w:val="single" w:sz="4" w:space="0" w:color="auto"/>
              <w:right w:val="single" w:sz="4" w:space="0" w:color="auto"/>
            </w:tcBorders>
            <w:hideMark/>
          </w:tcPr>
          <w:p w14:paraId="25D8DA8D" w14:textId="3CE8F969" w:rsidR="00F933FB" w:rsidRPr="009F10EE" w:rsidRDefault="00F933FB" w:rsidP="00771646">
            <w:pPr>
              <w:tabs>
                <w:tab w:val="left" w:pos="567"/>
              </w:tabs>
              <w:autoSpaceDE w:val="0"/>
              <w:autoSpaceDN w:val="0"/>
              <w:adjustRightInd w:val="0"/>
              <w:spacing w:after="0" w:line="240" w:lineRule="auto"/>
              <w:jc w:val="center"/>
              <w:rPr>
                <w:rFonts w:ascii="Times New Roman" w:eastAsia="TimesNewRomanPSMT" w:hAnsi="Times New Roman" w:cs="Times New Roman"/>
                <w:b/>
                <w:highlight w:val="yellow"/>
                <w:lang w:eastAsia="lt-LT"/>
              </w:rPr>
            </w:pPr>
            <w:r w:rsidRPr="009F10EE">
              <w:rPr>
                <w:rFonts w:ascii="Times New Roman" w:eastAsia="TimesNewRomanPSMT" w:hAnsi="Times New Roman" w:cs="Times New Roman"/>
                <w:b/>
                <w:bCs/>
                <w:lang w:eastAsia="lt-LT"/>
              </w:rPr>
              <w:t xml:space="preserve">Retas </w:t>
            </w:r>
          </w:p>
        </w:tc>
        <w:tc>
          <w:tcPr>
            <w:tcW w:w="1780" w:type="dxa"/>
            <w:tcBorders>
              <w:top w:val="single" w:sz="4" w:space="0" w:color="auto"/>
              <w:left w:val="single" w:sz="4" w:space="0" w:color="auto"/>
              <w:bottom w:val="single" w:sz="4" w:space="0" w:color="auto"/>
              <w:right w:val="single" w:sz="4" w:space="0" w:color="auto"/>
            </w:tcBorders>
          </w:tcPr>
          <w:p w14:paraId="27CC0E29" w14:textId="7D0A0F1E" w:rsidR="00F933FB" w:rsidRPr="009F10EE" w:rsidRDefault="00F933FB" w:rsidP="00771646">
            <w:pPr>
              <w:tabs>
                <w:tab w:val="left" w:pos="567"/>
              </w:tabs>
              <w:autoSpaceDE w:val="0"/>
              <w:autoSpaceDN w:val="0"/>
              <w:adjustRightInd w:val="0"/>
              <w:spacing w:after="0" w:line="240" w:lineRule="auto"/>
              <w:jc w:val="center"/>
              <w:rPr>
                <w:rFonts w:ascii="Times New Roman" w:eastAsia="TimesNewRomanPSMT" w:hAnsi="Times New Roman" w:cs="Times New Roman"/>
                <w:b/>
                <w:bCs/>
                <w:lang w:eastAsia="lt-LT"/>
              </w:rPr>
            </w:pPr>
            <w:r>
              <w:rPr>
                <w:rFonts w:ascii="Times New Roman" w:eastAsia="TimesNewRomanPSMT" w:hAnsi="Times New Roman" w:cs="Times New Roman"/>
                <w:b/>
                <w:bCs/>
                <w:lang w:eastAsia="lt-LT"/>
              </w:rPr>
              <w:t>Nežinomas</w:t>
            </w:r>
          </w:p>
        </w:tc>
      </w:tr>
      <w:tr w:rsidR="00F933FB" w:rsidRPr="009F10EE" w14:paraId="0F0BB080" w14:textId="5A48073F" w:rsidTr="008F33F8">
        <w:trPr>
          <w:trHeight w:val="401"/>
        </w:trPr>
        <w:tc>
          <w:tcPr>
            <w:tcW w:w="9394" w:type="dxa"/>
            <w:gridSpan w:val="5"/>
            <w:tcBorders>
              <w:top w:val="single" w:sz="4" w:space="0" w:color="auto"/>
              <w:left w:val="single" w:sz="4" w:space="0" w:color="auto"/>
              <w:bottom w:val="single" w:sz="4" w:space="0" w:color="auto"/>
              <w:right w:val="single" w:sz="4" w:space="0" w:color="auto"/>
            </w:tcBorders>
            <w:hideMark/>
          </w:tcPr>
          <w:p w14:paraId="184AD940" w14:textId="42CB4C35"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Imuninės sistemos sutrikimai</w:t>
            </w:r>
          </w:p>
        </w:tc>
      </w:tr>
      <w:tr w:rsidR="00F933FB" w:rsidRPr="009F10EE" w14:paraId="726BB308" w14:textId="0A7D2C2B" w:rsidTr="007D3ACB">
        <w:trPr>
          <w:trHeight w:val="401"/>
        </w:trPr>
        <w:tc>
          <w:tcPr>
            <w:tcW w:w="1724" w:type="dxa"/>
            <w:tcBorders>
              <w:top w:val="single" w:sz="4" w:space="0" w:color="auto"/>
              <w:left w:val="single" w:sz="4" w:space="0" w:color="auto"/>
              <w:bottom w:val="single" w:sz="4" w:space="0" w:color="auto"/>
              <w:right w:val="single" w:sz="4" w:space="0" w:color="auto"/>
            </w:tcBorders>
          </w:tcPr>
          <w:p w14:paraId="4E7ECA55"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tcPr>
          <w:p w14:paraId="712502AE"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hideMark/>
          </w:tcPr>
          <w:p w14:paraId="33E4CB51"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Padidėjusio jautrumo</w:t>
            </w:r>
          </w:p>
          <w:p w14:paraId="6B58B0E0"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reakcijos</w:t>
            </w:r>
          </w:p>
        </w:tc>
        <w:tc>
          <w:tcPr>
            <w:tcW w:w="2168" w:type="dxa"/>
            <w:tcBorders>
              <w:top w:val="single" w:sz="4" w:space="0" w:color="auto"/>
              <w:left w:val="single" w:sz="4" w:space="0" w:color="auto"/>
              <w:bottom w:val="single" w:sz="4" w:space="0" w:color="auto"/>
              <w:right w:val="single" w:sz="4" w:space="0" w:color="auto"/>
            </w:tcBorders>
            <w:hideMark/>
          </w:tcPr>
          <w:p w14:paraId="44866208"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r w:rsidRPr="009F10EE">
              <w:rPr>
                <w:rFonts w:ascii="Times New Roman" w:eastAsia="Times New Roman" w:hAnsi="Times New Roman" w:cs="Times New Roman"/>
              </w:rPr>
              <w:t>Angioneurozinė edema</w:t>
            </w:r>
            <w:r w:rsidRPr="009F10EE">
              <w:rPr>
                <w:rFonts w:ascii="Times New Roman" w:eastAsia="Times New Roman" w:hAnsi="Times New Roman" w:cs="Times New Roman"/>
                <w:vertAlign w:val="superscript"/>
              </w:rPr>
              <w:t>2</w:t>
            </w:r>
          </w:p>
        </w:tc>
        <w:tc>
          <w:tcPr>
            <w:tcW w:w="1780" w:type="dxa"/>
            <w:tcBorders>
              <w:top w:val="single" w:sz="4" w:space="0" w:color="auto"/>
              <w:left w:val="single" w:sz="4" w:space="0" w:color="auto"/>
              <w:bottom w:val="single" w:sz="4" w:space="0" w:color="auto"/>
              <w:right w:val="single" w:sz="4" w:space="0" w:color="auto"/>
            </w:tcBorders>
          </w:tcPr>
          <w:p w14:paraId="7F141EC5"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 New Roman" w:hAnsi="Times New Roman" w:cs="Times New Roman"/>
              </w:rPr>
            </w:pPr>
          </w:p>
        </w:tc>
      </w:tr>
      <w:tr w:rsidR="00F933FB" w:rsidRPr="009F10EE" w14:paraId="6F12520E" w14:textId="41ED71C3" w:rsidTr="00D26E84">
        <w:tc>
          <w:tcPr>
            <w:tcW w:w="9394" w:type="dxa"/>
            <w:gridSpan w:val="5"/>
            <w:tcBorders>
              <w:top w:val="single" w:sz="4" w:space="0" w:color="auto"/>
              <w:left w:val="single" w:sz="4" w:space="0" w:color="auto"/>
              <w:bottom w:val="single" w:sz="4" w:space="0" w:color="auto"/>
              <w:right w:val="single" w:sz="4" w:space="0" w:color="auto"/>
            </w:tcBorders>
            <w:hideMark/>
          </w:tcPr>
          <w:p w14:paraId="4D322BF7" w14:textId="1686FE9B"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Nervų sistemos sutrikimai</w:t>
            </w:r>
          </w:p>
        </w:tc>
      </w:tr>
      <w:tr w:rsidR="00F933FB" w:rsidRPr="009F10EE" w14:paraId="1929B9AF" w14:textId="18CD92AD" w:rsidTr="007D3ACB">
        <w:tc>
          <w:tcPr>
            <w:tcW w:w="1724" w:type="dxa"/>
            <w:tcBorders>
              <w:top w:val="single" w:sz="4" w:space="0" w:color="auto"/>
              <w:left w:val="single" w:sz="4" w:space="0" w:color="auto"/>
              <w:bottom w:val="single" w:sz="4" w:space="0" w:color="auto"/>
              <w:right w:val="single" w:sz="4" w:space="0" w:color="auto"/>
            </w:tcBorders>
          </w:tcPr>
          <w:p w14:paraId="2CE2D654"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hideMark/>
          </w:tcPr>
          <w:p w14:paraId="15451615"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Galvos skausmas</w:t>
            </w:r>
          </w:p>
        </w:tc>
        <w:tc>
          <w:tcPr>
            <w:tcW w:w="1962" w:type="dxa"/>
            <w:tcBorders>
              <w:top w:val="single" w:sz="4" w:space="0" w:color="auto"/>
              <w:left w:val="single" w:sz="4" w:space="0" w:color="auto"/>
              <w:bottom w:val="single" w:sz="4" w:space="0" w:color="auto"/>
              <w:right w:val="single" w:sz="4" w:space="0" w:color="auto"/>
            </w:tcBorders>
            <w:hideMark/>
          </w:tcPr>
          <w:p w14:paraId="166CD4A3"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Svaigulys</w:t>
            </w:r>
          </w:p>
        </w:tc>
        <w:tc>
          <w:tcPr>
            <w:tcW w:w="2168" w:type="dxa"/>
            <w:tcBorders>
              <w:top w:val="single" w:sz="4" w:space="0" w:color="auto"/>
              <w:left w:val="single" w:sz="4" w:space="0" w:color="auto"/>
              <w:bottom w:val="single" w:sz="4" w:space="0" w:color="auto"/>
              <w:right w:val="single" w:sz="4" w:space="0" w:color="auto"/>
            </w:tcBorders>
            <w:hideMark/>
          </w:tcPr>
          <w:p w14:paraId="68261CBF"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color w:val="000000"/>
                <w:lang w:eastAsia="cs-CZ"/>
              </w:rPr>
              <w:t>Insultas</w:t>
            </w:r>
            <w:r w:rsidRPr="009F10EE">
              <w:rPr>
                <w:rFonts w:ascii="Times New Roman" w:eastAsia="Times New Roman" w:hAnsi="Times New Roman" w:cs="Times New Roman"/>
                <w:color w:val="000000"/>
                <w:vertAlign w:val="superscript"/>
                <w:lang w:eastAsia="cs-CZ"/>
              </w:rPr>
              <w:t>1</w:t>
            </w:r>
            <w:r w:rsidRPr="009F10EE">
              <w:rPr>
                <w:rFonts w:ascii="Times New Roman" w:eastAsia="Times New Roman" w:hAnsi="Times New Roman" w:cs="Times New Roman"/>
                <w:color w:val="000000"/>
                <w:lang w:eastAsia="cs-CZ"/>
              </w:rPr>
              <w:t xml:space="preserve"> (įskaitant hemoraginius sutrikimus), apalpimas, praeinantieji smegenų išemijos priepuoliai</w:t>
            </w:r>
            <w:r w:rsidRPr="009F10EE">
              <w:rPr>
                <w:rFonts w:ascii="Times New Roman" w:eastAsia="Times New Roman" w:hAnsi="Times New Roman" w:cs="Times New Roman"/>
                <w:color w:val="000000"/>
                <w:vertAlign w:val="superscript"/>
                <w:lang w:eastAsia="cs-CZ"/>
              </w:rPr>
              <w:t>1</w:t>
            </w:r>
            <w:r w:rsidRPr="009F10EE">
              <w:rPr>
                <w:rFonts w:ascii="Times New Roman" w:eastAsia="Times New Roman" w:hAnsi="Times New Roman" w:cs="Times New Roman"/>
                <w:color w:val="000000"/>
                <w:lang w:eastAsia="cs-CZ"/>
              </w:rPr>
              <w:t>, migrena</w:t>
            </w:r>
            <w:r w:rsidRPr="009F10EE">
              <w:rPr>
                <w:rFonts w:ascii="Times New Roman" w:eastAsia="Times New Roman" w:hAnsi="Times New Roman" w:cs="Times New Roman"/>
                <w:color w:val="000000"/>
                <w:vertAlign w:val="superscript"/>
                <w:lang w:eastAsia="cs-CZ"/>
              </w:rPr>
              <w:t>2</w:t>
            </w:r>
            <w:r w:rsidRPr="009F10EE">
              <w:rPr>
                <w:rFonts w:ascii="Times New Roman" w:eastAsia="Times New Roman" w:hAnsi="Times New Roman" w:cs="Times New Roman"/>
                <w:color w:val="000000"/>
                <w:lang w:eastAsia="cs-CZ"/>
              </w:rPr>
              <w:t>, traukuliai</w:t>
            </w:r>
            <w:r w:rsidRPr="009F10EE">
              <w:rPr>
                <w:rFonts w:ascii="Times New Roman" w:eastAsia="Times New Roman" w:hAnsi="Times New Roman" w:cs="Times New Roman"/>
                <w:color w:val="000000"/>
                <w:vertAlign w:val="superscript"/>
                <w:lang w:eastAsia="cs-CZ"/>
              </w:rPr>
              <w:t>2</w:t>
            </w:r>
            <w:r w:rsidRPr="009F10EE">
              <w:rPr>
                <w:rFonts w:ascii="Times New Roman" w:eastAsia="Times New Roman" w:hAnsi="Times New Roman" w:cs="Times New Roman"/>
                <w:color w:val="000000"/>
                <w:lang w:eastAsia="cs-CZ"/>
              </w:rPr>
              <w:t>, laikina amnezija</w:t>
            </w:r>
          </w:p>
        </w:tc>
        <w:tc>
          <w:tcPr>
            <w:tcW w:w="1780" w:type="dxa"/>
            <w:tcBorders>
              <w:top w:val="single" w:sz="4" w:space="0" w:color="auto"/>
              <w:left w:val="single" w:sz="4" w:space="0" w:color="auto"/>
              <w:bottom w:val="single" w:sz="4" w:space="0" w:color="auto"/>
              <w:right w:val="single" w:sz="4" w:space="0" w:color="auto"/>
            </w:tcBorders>
          </w:tcPr>
          <w:p w14:paraId="2180B890"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color w:val="000000"/>
                <w:lang w:eastAsia="cs-CZ"/>
              </w:rPr>
            </w:pPr>
          </w:p>
        </w:tc>
      </w:tr>
      <w:tr w:rsidR="00F933FB" w:rsidRPr="009F10EE" w14:paraId="57E00590" w14:textId="62352B40" w:rsidTr="00785B24">
        <w:tc>
          <w:tcPr>
            <w:tcW w:w="9394" w:type="dxa"/>
            <w:gridSpan w:val="5"/>
            <w:tcBorders>
              <w:top w:val="single" w:sz="4" w:space="0" w:color="auto"/>
              <w:left w:val="single" w:sz="4" w:space="0" w:color="auto"/>
              <w:bottom w:val="single" w:sz="4" w:space="0" w:color="auto"/>
              <w:right w:val="single" w:sz="4" w:space="0" w:color="auto"/>
            </w:tcBorders>
            <w:hideMark/>
          </w:tcPr>
          <w:p w14:paraId="2CC92645" w14:textId="318D25A6"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Akių sutrikimai</w:t>
            </w:r>
          </w:p>
        </w:tc>
      </w:tr>
      <w:tr w:rsidR="00F933FB" w:rsidRPr="009F10EE" w14:paraId="541B0017" w14:textId="3BCDEDBF" w:rsidTr="007D3ACB">
        <w:tc>
          <w:tcPr>
            <w:tcW w:w="1724" w:type="dxa"/>
            <w:tcBorders>
              <w:top w:val="single" w:sz="4" w:space="0" w:color="auto"/>
              <w:left w:val="single" w:sz="4" w:space="0" w:color="auto"/>
              <w:bottom w:val="single" w:sz="4" w:space="0" w:color="auto"/>
              <w:right w:val="single" w:sz="4" w:space="0" w:color="auto"/>
            </w:tcBorders>
          </w:tcPr>
          <w:p w14:paraId="48424D3D"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tcPr>
          <w:p w14:paraId="3299F487"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tcPr>
          <w:p w14:paraId="5746B0F0"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Matomo vaizdo neryškumas,</w:t>
            </w:r>
          </w:p>
          <w:p w14:paraId="4DFED57B"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pojūtis, apibūdintas kaip akių skausmas </w:t>
            </w:r>
          </w:p>
          <w:p w14:paraId="4450B7E9"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2168" w:type="dxa"/>
            <w:tcBorders>
              <w:top w:val="single" w:sz="4" w:space="0" w:color="auto"/>
              <w:left w:val="single" w:sz="4" w:space="0" w:color="auto"/>
              <w:bottom w:val="single" w:sz="4" w:space="0" w:color="auto"/>
              <w:right w:val="single" w:sz="4" w:space="0" w:color="auto"/>
            </w:tcBorders>
            <w:hideMark/>
          </w:tcPr>
          <w:p w14:paraId="67AC3285"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color w:val="000000"/>
                <w:lang w:eastAsia="cs-CZ"/>
              </w:rPr>
              <w:t>Akipločio defektas, akių vokų patinimas, junginės hiperemija, ne arterito sukelta priekinė išeminė regos nervo neuropatija (NAION)</w:t>
            </w:r>
            <w:r w:rsidRPr="009F10EE">
              <w:rPr>
                <w:rFonts w:ascii="Times New Roman" w:eastAsia="Times New Roman" w:hAnsi="Times New Roman" w:cs="Times New Roman"/>
                <w:color w:val="000000"/>
                <w:vertAlign w:val="superscript"/>
                <w:lang w:eastAsia="cs-CZ"/>
              </w:rPr>
              <w:t>2</w:t>
            </w:r>
            <w:r w:rsidRPr="009F10EE">
              <w:rPr>
                <w:rFonts w:ascii="Times New Roman" w:eastAsia="Times New Roman" w:hAnsi="Times New Roman" w:cs="Times New Roman"/>
                <w:color w:val="000000"/>
                <w:lang w:eastAsia="cs-CZ"/>
              </w:rPr>
              <w:t>, tinklainės kraujagyslių okliuzija</w:t>
            </w:r>
            <w:r w:rsidRPr="009F10EE">
              <w:rPr>
                <w:rFonts w:ascii="Times New Roman" w:eastAsia="Times New Roman" w:hAnsi="Times New Roman" w:cs="Times New Roman"/>
                <w:color w:val="000000"/>
                <w:vertAlign w:val="superscript"/>
                <w:lang w:eastAsia="cs-CZ"/>
              </w:rPr>
              <w:t>2</w:t>
            </w:r>
          </w:p>
        </w:tc>
        <w:tc>
          <w:tcPr>
            <w:tcW w:w="1780" w:type="dxa"/>
            <w:tcBorders>
              <w:top w:val="single" w:sz="4" w:space="0" w:color="auto"/>
              <w:left w:val="single" w:sz="4" w:space="0" w:color="auto"/>
              <w:bottom w:val="single" w:sz="4" w:space="0" w:color="auto"/>
              <w:right w:val="single" w:sz="4" w:space="0" w:color="auto"/>
            </w:tcBorders>
          </w:tcPr>
          <w:p w14:paraId="66269991" w14:textId="204DD8EE" w:rsidR="00F933FB" w:rsidRPr="009F10EE" w:rsidRDefault="00F933FB" w:rsidP="00F933FB">
            <w:pPr>
              <w:tabs>
                <w:tab w:val="left" w:pos="567"/>
              </w:tabs>
              <w:autoSpaceDE w:val="0"/>
              <w:autoSpaceDN w:val="0"/>
              <w:adjustRightInd w:val="0"/>
              <w:spacing w:after="0" w:line="240" w:lineRule="auto"/>
              <w:rPr>
                <w:rFonts w:ascii="Times New Roman" w:eastAsia="Times New Roman" w:hAnsi="Times New Roman" w:cs="Times New Roman"/>
                <w:color w:val="000000"/>
                <w:lang w:eastAsia="cs-CZ"/>
              </w:rPr>
            </w:pPr>
            <w:r w:rsidRPr="00F933FB">
              <w:rPr>
                <w:rFonts w:ascii="Times New Roman" w:eastAsia="Times New Roman" w:hAnsi="Times New Roman" w:cs="Times New Roman"/>
                <w:color w:val="000000"/>
                <w:lang w:eastAsia="cs-CZ"/>
              </w:rPr>
              <w:t>Centrinė serozinė</w:t>
            </w:r>
            <w:r>
              <w:rPr>
                <w:rFonts w:ascii="Times New Roman" w:eastAsia="Times New Roman" w:hAnsi="Times New Roman" w:cs="Times New Roman"/>
                <w:color w:val="000000"/>
                <w:lang w:eastAsia="cs-CZ"/>
              </w:rPr>
              <w:t xml:space="preserve"> </w:t>
            </w:r>
            <w:r w:rsidRPr="00F933FB">
              <w:rPr>
                <w:rFonts w:ascii="Times New Roman" w:eastAsia="Times New Roman" w:hAnsi="Times New Roman" w:cs="Times New Roman"/>
                <w:color w:val="000000"/>
                <w:lang w:eastAsia="cs-CZ"/>
              </w:rPr>
              <w:t>chorioretinopatija</w:t>
            </w:r>
          </w:p>
        </w:tc>
      </w:tr>
      <w:tr w:rsidR="00F933FB" w:rsidRPr="009F10EE" w14:paraId="56C525F1" w14:textId="71DE4011" w:rsidTr="00837C3A">
        <w:tc>
          <w:tcPr>
            <w:tcW w:w="9394" w:type="dxa"/>
            <w:gridSpan w:val="5"/>
            <w:tcBorders>
              <w:top w:val="single" w:sz="4" w:space="0" w:color="auto"/>
              <w:left w:val="single" w:sz="4" w:space="0" w:color="auto"/>
              <w:bottom w:val="single" w:sz="4" w:space="0" w:color="auto"/>
              <w:right w:val="single" w:sz="4" w:space="0" w:color="auto"/>
            </w:tcBorders>
            <w:hideMark/>
          </w:tcPr>
          <w:p w14:paraId="764CB7B2" w14:textId="5F4F0C12"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Ausų ir labirintų sutrikimai</w:t>
            </w:r>
          </w:p>
        </w:tc>
      </w:tr>
      <w:tr w:rsidR="00F933FB" w:rsidRPr="009F10EE" w14:paraId="16440663" w14:textId="78301AAD" w:rsidTr="007D3ACB">
        <w:tc>
          <w:tcPr>
            <w:tcW w:w="1724" w:type="dxa"/>
            <w:tcBorders>
              <w:top w:val="single" w:sz="4" w:space="0" w:color="auto"/>
              <w:left w:val="single" w:sz="4" w:space="0" w:color="auto"/>
              <w:bottom w:val="single" w:sz="4" w:space="0" w:color="auto"/>
              <w:right w:val="single" w:sz="4" w:space="0" w:color="auto"/>
            </w:tcBorders>
          </w:tcPr>
          <w:p w14:paraId="644D7C18"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tcPr>
          <w:p w14:paraId="0B9E93FE"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hideMark/>
          </w:tcPr>
          <w:p w14:paraId="5DA020A2"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Ūžesys (</w:t>
            </w:r>
            <w:r w:rsidRPr="009F10EE">
              <w:rPr>
                <w:rFonts w:ascii="Times New Roman" w:eastAsia="Times New Roman" w:hAnsi="Times New Roman" w:cs="Times New Roman"/>
                <w:i/>
                <w:lang w:eastAsia="lt-LT"/>
              </w:rPr>
              <w:t>tinitas</w:t>
            </w:r>
            <w:r w:rsidRPr="009F10EE">
              <w:rPr>
                <w:rFonts w:ascii="Times New Roman" w:eastAsia="Times New Roman" w:hAnsi="Times New Roman" w:cs="Times New Roman"/>
                <w:lang w:eastAsia="lt-LT"/>
              </w:rPr>
              <w:t>)</w:t>
            </w:r>
          </w:p>
        </w:tc>
        <w:tc>
          <w:tcPr>
            <w:tcW w:w="2168" w:type="dxa"/>
            <w:tcBorders>
              <w:top w:val="single" w:sz="4" w:space="0" w:color="auto"/>
              <w:left w:val="single" w:sz="4" w:space="0" w:color="auto"/>
              <w:bottom w:val="single" w:sz="4" w:space="0" w:color="auto"/>
              <w:right w:val="single" w:sz="4" w:space="0" w:color="auto"/>
            </w:tcBorders>
            <w:hideMark/>
          </w:tcPr>
          <w:p w14:paraId="6310CAE1"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Staigus klausos netekimas</w:t>
            </w:r>
          </w:p>
        </w:tc>
        <w:tc>
          <w:tcPr>
            <w:tcW w:w="1780" w:type="dxa"/>
            <w:tcBorders>
              <w:top w:val="single" w:sz="4" w:space="0" w:color="auto"/>
              <w:left w:val="single" w:sz="4" w:space="0" w:color="auto"/>
              <w:bottom w:val="single" w:sz="4" w:space="0" w:color="auto"/>
              <w:right w:val="single" w:sz="4" w:space="0" w:color="auto"/>
            </w:tcBorders>
          </w:tcPr>
          <w:p w14:paraId="687C5828"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p>
        </w:tc>
      </w:tr>
      <w:tr w:rsidR="00F933FB" w:rsidRPr="009F10EE" w14:paraId="3A78E2A2" w14:textId="054ED35F" w:rsidTr="00DA2323">
        <w:tc>
          <w:tcPr>
            <w:tcW w:w="9394" w:type="dxa"/>
            <w:gridSpan w:val="5"/>
            <w:tcBorders>
              <w:top w:val="single" w:sz="4" w:space="0" w:color="auto"/>
              <w:left w:val="single" w:sz="4" w:space="0" w:color="auto"/>
              <w:bottom w:val="single" w:sz="4" w:space="0" w:color="auto"/>
              <w:right w:val="single" w:sz="4" w:space="0" w:color="auto"/>
            </w:tcBorders>
            <w:hideMark/>
          </w:tcPr>
          <w:p w14:paraId="3C0F9903" w14:textId="5CF6C465"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Širdies sutrikimai</w:t>
            </w:r>
            <w:r w:rsidRPr="009F10EE">
              <w:rPr>
                <w:rFonts w:ascii="Times New Roman" w:eastAsia="Times New Roman" w:hAnsi="Times New Roman" w:cs="Times New Roman"/>
                <w:i/>
                <w:iCs/>
                <w:vertAlign w:val="superscript"/>
                <w:lang w:eastAsia="lt-LT"/>
              </w:rPr>
              <w:t>1</w:t>
            </w:r>
          </w:p>
        </w:tc>
      </w:tr>
      <w:tr w:rsidR="00F933FB" w:rsidRPr="009F10EE" w14:paraId="2ADA877A" w14:textId="3D6DD617" w:rsidTr="007D3ACB">
        <w:tc>
          <w:tcPr>
            <w:tcW w:w="1724" w:type="dxa"/>
            <w:tcBorders>
              <w:top w:val="single" w:sz="4" w:space="0" w:color="auto"/>
              <w:left w:val="single" w:sz="4" w:space="0" w:color="auto"/>
              <w:bottom w:val="single" w:sz="4" w:space="0" w:color="auto"/>
              <w:right w:val="single" w:sz="4" w:space="0" w:color="auto"/>
            </w:tcBorders>
          </w:tcPr>
          <w:p w14:paraId="4A9B4063"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p w14:paraId="4101E025"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tcPr>
          <w:p w14:paraId="0000BE8B"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tcPr>
          <w:p w14:paraId="379A7878"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Tachikardija, palpitacijos</w:t>
            </w:r>
          </w:p>
          <w:p w14:paraId="3C0C603F"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2168" w:type="dxa"/>
            <w:tcBorders>
              <w:top w:val="single" w:sz="4" w:space="0" w:color="auto"/>
              <w:left w:val="single" w:sz="4" w:space="0" w:color="auto"/>
              <w:bottom w:val="single" w:sz="4" w:space="0" w:color="auto"/>
              <w:right w:val="single" w:sz="4" w:space="0" w:color="auto"/>
            </w:tcBorders>
            <w:hideMark/>
          </w:tcPr>
          <w:p w14:paraId="41D5318B"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color w:val="000000"/>
                <w:lang w:eastAsia="cs-CZ"/>
              </w:rPr>
              <w:t>Miokardo infarktas, nestabilioji krūtinės angina</w:t>
            </w:r>
            <w:r w:rsidRPr="009F10EE">
              <w:rPr>
                <w:rFonts w:ascii="Times New Roman" w:eastAsia="Times New Roman" w:hAnsi="Times New Roman" w:cs="Times New Roman"/>
                <w:color w:val="000000"/>
                <w:vertAlign w:val="superscript"/>
                <w:lang w:eastAsia="cs-CZ"/>
              </w:rPr>
              <w:t>2</w:t>
            </w:r>
            <w:r w:rsidRPr="009F10EE">
              <w:rPr>
                <w:rFonts w:ascii="Times New Roman" w:eastAsia="Times New Roman" w:hAnsi="Times New Roman" w:cs="Times New Roman"/>
                <w:color w:val="000000"/>
                <w:lang w:eastAsia="cs-CZ"/>
              </w:rPr>
              <w:t xml:space="preserve">, skilvelinė aritmija </w:t>
            </w:r>
            <w:r w:rsidRPr="009F10EE">
              <w:rPr>
                <w:rFonts w:ascii="Times New Roman" w:eastAsia="Times New Roman" w:hAnsi="Times New Roman" w:cs="Times New Roman"/>
                <w:color w:val="000000"/>
                <w:vertAlign w:val="superscript"/>
                <w:lang w:eastAsia="cs-CZ"/>
              </w:rPr>
              <w:t>2</w:t>
            </w:r>
          </w:p>
        </w:tc>
        <w:tc>
          <w:tcPr>
            <w:tcW w:w="1780" w:type="dxa"/>
            <w:tcBorders>
              <w:top w:val="single" w:sz="4" w:space="0" w:color="auto"/>
              <w:left w:val="single" w:sz="4" w:space="0" w:color="auto"/>
              <w:bottom w:val="single" w:sz="4" w:space="0" w:color="auto"/>
              <w:right w:val="single" w:sz="4" w:space="0" w:color="auto"/>
            </w:tcBorders>
          </w:tcPr>
          <w:p w14:paraId="39BB0D91"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color w:val="000000"/>
                <w:lang w:eastAsia="cs-CZ"/>
              </w:rPr>
            </w:pPr>
          </w:p>
        </w:tc>
      </w:tr>
      <w:tr w:rsidR="00F933FB" w:rsidRPr="009F10EE" w14:paraId="4426E3AF" w14:textId="58044C04" w:rsidTr="00240FBE">
        <w:tc>
          <w:tcPr>
            <w:tcW w:w="9394" w:type="dxa"/>
            <w:gridSpan w:val="5"/>
            <w:tcBorders>
              <w:top w:val="single" w:sz="4" w:space="0" w:color="auto"/>
              <w:left w:val="single" w:sz="4" w:space="0" w:color="auto"/>
              <w:bottom w:val="single" w:sz="4" w:space="0" w:color="auto"/>
              <w:right w:val="single" w:sz="4" w:space="0" w:color="auto"/>
            </w:tcBorders>
            <w:hideMark/>
          </w:tcPr>
          <w:p w14:paraId="37E51536" w14:textId="33DF8ABA"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Kraujagyslių sutrikimai</w:t>
            </w:r>
          </w:p>
        </w:tc>
      </w:tr>
      <w:tr w:rsidR="00F933FB" w:rsidRPr="009F10EE" w14:paraId="3AD74314" w14:textId="6A6B97B3" w:rsidTr="007D3ACB">
        <w:tc>
          <w:tcPr>
            <w:tcW w:w="1724" w:type="dxa"/>
            <w:tcBorders>
              <w:top w:val="single" w:sz="4" w:space="0" w:color="auto"/>
              <w:left w:val="single" w:sz="4" w:space="0" w:color="auto"/>
              <w:bottom w:val="single" w:sz="4" w:space="0" w:color="auto"/>
              <w:right w:val="single" w:sz="4" w:space="0" w:color="auto"/>
            </w:tcBorders>
          </w:tcPr>
          <w:p w14:paraId="22F99521"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hideMark/>
          </w:tcPr>
          <w:p w14:paraId="5BDAE3AF"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Staigus paraudimas</w:t>
            </w:r>
          </w:p>
        </w:tc>
        <w:tc>
          <w:tcPr>
            <w:tcW w:w="1962" w:type="dxa"/>
            <w:tcBorders>
              <w:top w:val="single" w:sz="4" w:space="0" w:color="auto"/>
              <w:left w:val="single" w:sz="4" w:space="0" w:color="auto"/>
              <w:bottom w:val="single" w:sz="4" w:space="0" w:color="auto"/>
              <w:right w:val="single" w:sz="4" w:space="0" w:color="auto"/>
            </w:tcBorders>
            <w:hideMark/>
          </w:tcPr>
          <w:p w14:paraId="775DA276"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Hipotenzija</w:t>
            </w:r>
            <w:r w:rsidRPr="009F10EE">
              <w:rPr>
                <w:rFonts w:ascii="Times New Roman" w:eastAsia="Times New Roman" w:hAnsi="Times New Roman" w:cs="Times New Roman"/>
                <w:vertAlign w:val="superscript"/>
                <w:lang w:eastAsia="lt-LT"/>
              </w:rPr>
              <w:t>3</w:t>
            </w:r>
            <w:r w:rsidRPr="009F10EE">
              <w:rPr>
                <w:rFonts w:ascii="Times New Roman" w:eastAsia="Times New Roman" w:hAnsi="Times New Roman" w:cs="Times New Roman"/>
                <w:lang w:eastAsia="lt-LT"/>
              </w:rPr>
              <w:t>, hipertenzija</w:t>
            </w:r>
          </w:p>
        </w:tc>
        <w:tc>
          <w:tcPr>
            <w:tcW w:w="2168" w:type="dxa"/>
            <w:tcBorders>
              <w:top w:val="single" w:sz="4" w:space="0" w:color="auto"/>
              <w:left w:val="single" w:sz="4" w:space="0" w:color="auto"/>
              <w:bottom w:val="single" w:sz="4" w:space="0" w:color="auto"/>
              <w:right w:val="single" w:sz="4" w:space="0" w:color="auto"/>
            </w:tcBorders>
          </w:tcPr>
          <w:p w14:paraId="5E2E8CAA"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780" w:type="dxa"/>
            <w:tcBorders>
              <w:top w:val="single" w:sz="4" w:space="0" w:color="auto"/>
              <w:left w:val="single" w:sz="4" w:space="0" w:color="auto"/>
              <w:bottom w:val="single" w:sz="4" w:space="0" w:color="auto"/>
              <w:right w:val="single" w:sz="4" w:space="0" w:color="auto"/>
            </w:tcBorders>
          </w:tcPr>
          <w:p w14:paraId="3CA79B20"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r>
      <w:tr w:rsidR="00F933FB" w:rsidRPr="009F10EE" w14:paraId="66976C93" w14:textId="04F6E016" w:rsidTr="00A63BF6">
        <w:tc>
          <w:tcPr>
            <w:tcW w:w="9394" w:type="dxa"/>
            <w:gridSpan w:val="5"/>
            <w:tcBorders>
              <w:top w:val="single" w:sz="4" w:space="0" w:color="auto"/>
              <w:left w:val="single" w:sz="4" w:space="0" w:color="auto"/>
              <w:bottom w:val="single" w:sz="4" w:space="0" w:color="auto"/>
              <w:right w:val="single" w:sz="4" w:space="0" w:color="auto"/>
            </w:tcBorders>
            <w:hideMark/>
          </w:tcPr>
          <w:p w14:paraId="0DFF6E15" w14:textId="1410E71E"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Kvėpavimo sistemos, krūtinės ląstos ir tarpuplaučio sutrikimai</w:t>
            </w:r>
          </w:p>
        </w:tc>
      </w:tr>
      <w:tr w:rsidR="00F933FB" w:rsidRPr="009F10EE" w14:paraId="2553C356" w14:textId="1B2ED70D" w:rsidTr="007D3ACB">
        <w:tc>
          <w:tcPr>
            <w:tcW w:w="1724" w:type="dxa"/>
            <w:tcBorders>
              <w:top w:val="single" w:sz="4" w:space="0" w:color="auto"/>
              <w:left w:val="single" w:sz="4" w:space="0" w:color="auto"/>
              <w:bottom w:val="single" w:sz="4" w:space="0" w:color="auto"/>
              <w:right w:val="single" w:sz="4" w:space="0" w:color="auto"/>
            </w:tcBorders>
          </w:tcPr>
          <w:p w14:paraId="5A2D2662"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hideMark/>
          </w:tcPr>
          <w:p w14:paraId="1126556C"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Nosies užgulimas</w:t>
            </w:r>
          </w:p>
        </w:tc>
        <w:tc>
          <w:tcPr>
            <w:tcW w:w="1962" w:type="dxa"/>
            <w:tcBorders>
              <w:top w:val="single" w:sz="4" w:space="0" w:color="auto"/>
              <w:left w:val="single" w:sz="4" w:space="0" w:color="auto"/>
              <w:bottom w:val="single" w:sz="4" w:space="0" w:color="auto"/>
              <w:right w:val="single" w:sz="4" w:space="0" w:color="auto"/>
            </w:tcBorders>
            <w:hideMark/>
          </w:tcPr>
          <w:p w14:paraId="06A7BF38"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Dusulys</w:t>
            </w:r>
            <w:r w:rsidRPr="009F10EE">
              <w:rPr>
                <w:rFonts w:ascii="Times New Roman" w:eastAsia="Times New Roman" w:hAnsi="Times New Roman" w:cs="Times New Roman"/>
                <w:lang w:eastAsia="lt-LT"/>
              </w:rPr>
              <w:t>, kraujavimas iš nosies</w:t>
            </w:r>
          </w:p>
        </w:tc>
        <w:tc>
          <w:tcPr>
            <w:tcW w:w="2168" w:type="dxa"/>
            <w:tcBorders>
              <w:top w:val="single" w:sz="4" w:space="0" w:color="auto"/>
              <w:left w:val="single" w:sz="4" w:space="0" w:color="auto"/>
              <w:bottom w:val="single" w:sz="4" w:space="0" w:color="auto"/>
              <w:right w:val="single" w:sz="4" w:space="0" w:color="auto"/>
            </w:tcBorders>
          </w:tcPr>
          <w:p w14:paraId="6C5F768C"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780" w:type="dxa"/>
            <w:tcBorders>
              <w:top w:val="single" w:sz="4" w:space="0" w:color="auto"/>
              <w:left w:val="single" w:sz="4" w:space="0" w:color="auto"/>
              <w:bottom w:val="single" w:sz="4" w:space="0" w:color="auto"/>
              <w:right w:val="single" w:sz="4" w:space="0" w:color="auto"/>
            </w:tcBorders>
          </w:tcPr>
          <w:p w14:paraId="6EFCC2C5"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r>
      <w:tr w:rsidR="00F933FB" w:rsidRPr="009F10EE" w14:paraId="6319B603" w14:textId="71C8F07B" w:rsidTr="003B5B2A">
        <w:tc>
          <w:tcPr>
            <w:tcW w:w="9394" w:type="dxa"/>
            <w:gridSpan w:val="5"/>
            <w:tcBorders>
              <w:top w:val="single" w:sz="4" w:space="0" w:color="auto"/>
              <w:left w:val="single" w:sz="4" w:space="0" w:color="auto"/>
              <w:bottom w:val="single" w:sz="4" w:space="0" w:color="auto"/>
              <w:right w:val="single" w:sz="4" w:space="0" w:color="auto"/>
            </w:tcBorders>
            <w:hideMark/>
          </w:tcPr>
          <w:p w14:paraId="44BE94B2" w14:textId="55F1AD3A"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Virškinimo trakto sutrikimai</w:t>
            </w:r>
          </w:p>
        </w:tc>
      </w:tr>
      <w:tr w:rsidR="00F933FB" w:rsidRPr="009F10EE" w14:paraId="47A0FFA2" w14:textId="5E5B4DCC" w:rsidTr="007D3ACB">
        <w:tc>
          <w:tcPr>
            <w:tcW w:w="1724" w:type="dxa"/>
            <w:tcBorders>
              <w:top w:val="single" w:sz="4" w:space="0" w:color="auto"/>
              <w:left w:val="single" w:sz="4" w:space="0" w:color="auto"/>
              <w:bottom w:val="single" w:sz="4" w:space="0" w:color="auto"/>
              <w:right w:val="single" w:sz="4" w:space="0" w:color="auto"/>
            </w:tcBorders>
          </w:tcPr>
          <w:p w14:paraId="6C688800"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hideMark/>
          </w:tcPr>
          <w:p w14:paraId="01364BF5"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Dispepsija</w:t>
            </w:r>
          </w:p>
        </w:tc>
        <w:tc>
          <w:tcPr>
            <w:tcW w:w="1962" w:type="dxa"/>
            <w:tcBorders>
              <w:top w:val="single" w:sz="4" w:space="0" w:color="auto"/>
              <w:left w:val="single" w:sz="4" w:space="0" w:color="auto"/>
              <w:bottom w:val="single" w:sz="4" w:space="0" w:color="auto"/>
              <w:right w:val="single" w:sz="4" w:space="0" w:color="auto"/>
            </w:tcBorders>
            <w:hideMark/>
          </w:tcPr>
          <w:p w14:paraId="1B0CB579"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 xml:space="preserve">Pilvo skausmas, </w:t>
            </w:r>
          </w:p>
          <w:p w14:paraId="519A90AA" w14:textId="77777777" w:rsidR="00F933FB" w:rsidRPr="009F10EE" w:rsidRDefault="00F933FB" w:rsidP="00771646">
            <w:pPr>
              <w:pStyle w:val="Default"/>
              <w:rPr>
                <w:sz w:val="22"/>
                <w:szCs w:val="22"/>
                <w:lang w:val="lt-LT"/>
              </w:rPr>
            </w:pPr>
            <w:r w:rsidRPr="009F10EE">
              <w:rPr>
                <w:sz w:val="22"/>
                <w:szCs w:val="22"/>
                <w:lang w:val="lt-LT"/>
              </w:rPr>
              <w:t xml:space="preserve">vėmimas, pykinimas, gastroezofaginis refliuksas. </w:t>
            </w:r>
          </w:p>
        </w:tc>
        <w:tc>
          <w:tcPr>
            <w:tcW w:w="2168" w:type="dxa"/>
            <w:tcBorders>
              <w:top w:val="single" w:sz="4" w:space="0" w:color="auto"/>
              <w:left w:val="single" w:sz="4" w:space="0" w:color="auto"/>
              <w:bottom w:val="single" w:sz="4" w:space="0" w:color="auto"/>
              <w:right w:val="single" w:sz="4" w:space="0" w:color="auto"/>
            </w:tcBorders>
          </w:tcPr>
          <w:p w14:paraId="31ACA775"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780" w:type="dxa"/>
            <w:tcBorders>
              <w:top w:val="single" w:sz="4" w:space="0" w:color="auto"/>
              <w:left w:val="single" w:sz="4" w:space="0" w:color="auto"/>
              <w:bottom w:val="single" w:sz="4" w:space="0" w:color="auto"/>
              <w:right w:val="single" w:sz="4" w:space="0" w:color="auto"/>
            </w:tcBorders>
          </w:tcPr>
          <w:p w14:paraId="6FC482D8"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r>
      <w:tr w:rsidR="00F933FB" w:rsidRPr="009F10EE" w14:paraId="52744CFA" w14:textId="60DC7C59" w:rsidTr="00A03C79">
        <w:tc>
          <w:tcPr>
            <w:tcW w:w="9394" w:type="dxa"/>
            <w:gridSpan w:val="5"/>
            <w:tcBorders>
              <w:top w:val="single" w:sz="4" w:space="0" w:color="auto"/>
              <w:left w:val="single" w:sz="4" w:space="0" w:color="auto"/>
              <w:bottom w:val="single" w:sz="4" w:space="0" w:color="auto"/>
              <w:right w:val="single" w:sz="4" w:space="0" w:color="auto"/>
            </w:tcBorders>
            <w:hideMark/>
          </w:tcPr>
          <w:p w14:paraId="059B411F" w14:textId="3B97B38B"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Odos ir poodinio audinio sutrikimai</w:t>
            </w:r>
          </w:p>
        </w:tc>
      </w:tr>
      <w:tr w:rsidR="00F933FB" w:rsidRPr="009F10EE" w14:paraId="5256EDA5" w14:textId="301DED1F" w:rsidTr="007D3ACB">
        <w:tc>
          <w:tcPr>
            <w:tcW w:w="1724" w:type="dxa"/>
            <w:tcBorders>
              <w:top w:val="single" w:sz="4" w:space="0" w:color="auto"/>
              <w:left w:val="single" w:sz="4" w:space="0" w:color="auto"/>
              <w:bottom w:val="single" w:sz="4" w:space="0" w:color="auto"/>
              <w:right w:val="single" w:sz="4" w:space="0" w:color="auto"/>
            </w:tcBorders>
          </w:tcPr>
          <w:p w14:paraId="52B9E936"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tcPr>
          <w:p w14:paraId="4134A704"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tcPr>
          <w:p w14:paraId="1BF81B99"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Išbėrimas</w:t>
            </w:r>
          </w:p>
        </w:tc>
        <w:tc>
          <w:tcPr>
            <w:tcW w:w="2168" w:type="dxa"/>
            <w:tcBorders>
              <w:top w:val="single" w:sz="4" w:space="0" w:color="auto"/>
              <w:left w:val="single" w:sz="4" w:space="0" w:color="auto"/>
              <w:bottom w:val="single" w:sz="4" w:space="0" w:color="auto"/>
              <w:right w:val="single" w:sz="4" w:space="0" w:color="auto"/>
            </w:tcBorders>
            <w:hideMark/>
          </w:tcPr>
          <w:p w14:paraId="18477994"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Dilgėlinė,</w:t>
            </w:r>
          </w:p>
          <w:p w14:paraId="090FD0B3"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Stivenso-Džonsono (</w:t>
            </w:r>
            <w:r w:rsidRPr="009F10EE">
              <w:rPr>
                <w:rFonts w:ascii="Times New Roman" w:eastAsia="Times New Roman" w:hAnsi="Times New Roman" w:cs="Times New Roman"/>
                <w:i/>
                <w:color w:val="000000"/>
                <w:lang w:eastAsia="cs-CZ"/>
              </w:rPr>
              <w:t>Stevens-Johnson</w:t>
            </w:r>
            <w:r w:rsidRPr="009F10EE">
              <w:rPr>
                <w:rFonts w:ascii="Times New Roman" w:eastAsia="Times New Roman" w:hAnsi="Times New Roman" w:cs="Times New Roman"/>
                <w:color w:val="000000"/>
                <w:lang w:eastAsia="cs-CZ"/>
              </w:rPr>
              <w:t xml:space="preserve">) </w:t>
            </w:r>
            <w:r w:rsidRPr="009F10EE">
              <w:rPr>
                <w:rFonts w:ascii="Times New Roman" w:eastAsia="Times New Roman" w:hAnsi="Times New Roman" w:cs="Times New Roman"/>
                <w:lang w:eastAsia="lt-LT"/>
              </w:rPr>
              <w:t>sindromas</w:t>
            </w:r>
            <w:r w:rsidRPr="009F10EE">
              <w:rPr>
                <w:rFonts w:ascii="Times New Roman" w:eastAsia="Times New Roman" w:hAnsi="Times New Roman" w:cs="Times New Roman"/>
                <w:vertAlign w:val="superscript"/>
                <w:lang w:eastAsia="lt-LT"/>
              </w:rPr>
              <w:t>2</w:t>
            </w:r>
            <w:r w:rsidRPr="009F10EE">
              <w:rPr>
                <w:rFonts w:ascii="Times New Roman" w:eastAsia="Times New Roman" w:hAnsi="Times New Roman" w:cs="Times New Roman"/>
                <w:lang w:eastAsia="lt-LT"/>
              </w:rPr>
              <w:t>, eksfoliacinis dermatitas</w:t>
            </w:r>
            <w:r w:rsidRPr="009F10EE">
              <w:rPr>
                <w:rFonts w:ascii="Times New Roman" w:eastAsia="Times New Roman" w:hAnsi="Times New Roman" w:cs="Times New Roman"/>
                <w:vertAlign w:val="superscript"/>
                <w:lang w:eastAsia="lt-LT"/>
              </w:rPr>
              <w:t>2</w:t>
            </w:r>
            <w:r w:rsidRPr="009F10EE">
              <w:rPr>
                <w:rFonts w:ascii="Times New Roman" w:eastAsia="Times New Roman" w:hAnsi="Times New Roman" w:cs="Times New Roman"/>
                <w:lang w:eastAsia="lt-LT"/>
              </w:rPr>
              <w:t xml:space="preserve">, </w:t>
            </w:r>
          </w:p>
          <w:p w14:paraId="3EC623C4" w14:textId="77777777" w:rsidR="00F933FB" w:rsidRPr="009F10EE" w:rsidRDefault="00F933FB" w:rsidP="00771646">
            <w:pPr>
              <w:pStyle w:val="Default"/>
              <w:rPr>
                <w:sz w:val="22"/>
                <w:szCs w:val="22"/>
                <w:lang w:val="lt-LT"/>
              </w:rPr>
            </w:pPr>
            <w:r w:rsidRPr="009F10EE">
              <w:rPr>
                <w:sz w:val="22"/>
                <w:szCs w:val="22"/>
                <w:lang w:val="lt-LT"/>
              </w:rPr>
              <w:t xml:space="preserve">hiperhidrozė (pernelyg stiprus prakaitavimas). </w:t>
            </w:r>
          </w:p>
        </w:tc>
        <w:tc>
          <w:tcPr>
            <w:tcW w:w="1780" w:type="dxa"/>
            <w:tcBorders>
              <w:top w:val="single" w:sz="4" w:space="0" w:color="auto"/>
              <w:left w:val="single" w:sz="4" w:space="0" w:color="auto"/>
              <w:bottom w:val="single" w:sz="4" w:space="0" w:color="auto"/>
              <w:right w:val="single" w:sz="4" w:space="0" w:color="auto"/>
            </w:tcBorders>
          </w:tcPr>
          <w:p w14:paraId="071E9435"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r>
      <w:tr w:rsidR="00F933FB" w:rsidRPr="009F10EE" w14:paraId="31B6E803" w14:textId="3B2875D8" w:rsidTr="00B55389">
        <w:tc>
          <w:tcPr>
            <w:tcW w:w="9394" w:type="dxa"/>
            <w:gridSpan w:val="5"/>
            <w:tcBorders>
              <w:top w:val="single" w:sz="4" w:space="0" w:color="auto"/>
              <w:left w:val="single" w:sz="4" w:space="0" w:color="auto"/>
              <w:bottom w:val="single" w:sz="4" w:space="0" w:color="auto"/>
              <w:right w:val="single" w:sz="4" w:space="0" w:color="auto"/>
            </w:tcBorders>
            <w:hideMark/>
          </w:tcPr>
          <w:p w14:paraId="1A3DA8FA" w14:textId="379E6326"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Skeleto, raumenų ir jungiamojo audinio sutrikimai</w:t>
            </w:r>
          </w:p>
        </w:tc>
      </w:tr>
      <w:tr w:rsidR="00F933FB" w:rsidRPr="009F10EE" w14:paraId="5C507D23" w14:textId="4A883990" w:rsidTr="007D3ACB">
        <w:tc>
          <w:tcPr>
            <w:tcW w:w="1724" w:type="dxa"/>
            <w:tcBorders>
              <w:top w:val="single" w:sz="4" w:space="0" w:color="auto"/>
              <w:left w:val="single" w:sz="4" w:space="0" w:color="auto"/>
              <w:bottom w:val="single" w:sz="4" w:space="0" w:color="auto"/>
              <w:right w:val="single" w:sz="4" w:space="0" w:color="auto"/>
            </w:tcBorders>
          </w:tcPr>
          <w:p w14:paraId="50EF7D67"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hideMark/>
          </w:tcPr>
          <w:p w14:paraId="0EAAA8BF"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Nugaros skausmas, mialgija</w:t>
            </w:r>
            <w:r w:rsidRPr="009F10EE">
              <w:rPr>
                <w:rFonts w:ascii="Times New Roman" w:eastAsia="TimesNewRomanPSMT" w:hAnsi="Times New Roman" w:cs="Times New Roman"/>
                <w:lang w:eastAsia="lt-LT"/>
              </w:rPr>
              <w:t>, galūnių skausmas</w:t>
            </w:r>
          </w:p>
        </w:tc>
        <w:tc>
          <w:tcPr>
            <w:tcW w:w="1962" w:type="dxa"/>
            <w:tcBorders>
              <w:top w:val="single" w:sz="4" w:space="0" w:color="auto"/>
              <w:left w:val="single" w:sz="4" w:space="0" w:color="auto"/>
              <w:bottom w:val="single" w:sz="4" w:space="0" w:color="auto"/>
              <w:right w:val="single" w:sz="4" w:space="0" w:color="auto"/>
            </w:tcBorders>
          </w:tcPr>
          <w:p w14:paraId="44185013"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2168" w:type="dxa"/>
            <w:tcBorders>
              <w:top w:val="single" w:sz="4" w:space="0" w:color="auto"/>
              <w:left w:val="single" w:sz="4" w:space="0" w:color="auto"/>
              <w:bottom w:val="single" w:sz="4" w:space="0" w:color="auto"/>
              <w:right w:val="single" w:sz="4" w:space="0" w:color="auto"/>
            </w:tcBorders>
          </w:tcPr>
          <w:p w14:paraId="73C4B494"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780" w:type="dxa"/>
            <w:tcBorders>
              <w:top w:val="single" w:sz="4" w:space="0" w:color="auto"/>
              <w:left w:val="single" w:sz="4" w:space="0" w:color="auto"/>
              <w:bottom w:val="single" w:sz="4" w:space="0" w:color="auto"/>
              <w:right w:val="single" w:sz="4" w:space="0" w:color="auto"/>
            </w:tcBorders>
          </w:tcPr>
          <w:p w14:paraId="671532BC"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r>
      <w:tr w:rsidR="00F933FB" w:rsidRPr="009F10EE" w14:paraId="4C6F22DC" w14:textId="334845F1" w:rsidTr="00165825">
        <w:tc>
          <w:tcPr>
            <w:tcW w:w="9394" w:type="dxa"/>
            <w:gridSpan w:val="5"/>
            <w:tcBorders>
              <w:top w:val="single" w:sz="4" w:space="0" w:color="auto"/>
              <w:left w:val="single" w:sz="4" w:space="0" w:color="auto"/>
              <w:bottom w:val="single" w:sz="4" w:space="0" w:color="auto"/>
              <w:right w:val="single" w:sz="4" w:space="0" w:color="auto"/>
            </w:tcBorders>
            <w:hideMark/>
          </w:tcPr>
          <w:p w14:paraId="76AFFAC0" w14:textId="3227D704"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Inkstų ir šlapimo takų sutrikimai</w:t>
            </w:r>
          </w:p>
        </w:tc>
      </w:tr>
      <w:tr w:rsidR="00F933FB" w:rsidRPr="009F10EE" w14:paraId="1545F286" w14:textId="58338D89" w:rsidTr="007D3ACB">
        <w:tc>
          <w:tcPr>
            <w:tcW w:w="1724" w:type="dxa"/>
            <w:tcBorders>
              <w:top w:val="single" w:sz="4" w:space="0" w:color="auto"/>
              <w:left w:val="single" w:sz="4" w:space="0" w:color="auto"/>
              <w:bottom w:val="single" w:sz="4" w:space="0" w:color="auto"/>
              <w:right w:val="single" w:sz="4" w:space="0" w:color="auto"/>
            </w:tcBorders>
          </w:tcPr>
          <w:p w14:paraId="5E9926F7"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tcPr>
          <w:p w14:paraId="3478B1CA"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tcPr>
          <w:p w14:paraId="154966FB"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Hematurija</w:t>
            </w:r>
          </w:p>
          <w:p w14:paraId="3C00616F"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2168" w:type="dxa"/>
            <w:tcBorders>
              <w:top w:val="single" w:sz="4" w:space="0" w:color="auto"/>
              <w:left w:val="single" w:sz="4" w:space="0" w:color="auto"/>
              <w:bottom w:val="single" w:sz="4" w:space="0" w:color="auto"/>
              <w:right w:val="single" w:sz="4" w:space="0" w:color="auto"/>
            </w:tcBorders>
          </w:tcPr>
          <w:p w14:paraId="75A6A647"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780" w:type="dxa"/>
            <w:tcBorders>
              <w:top w:val="single" w:sz="4" w:space="0" w:color="auto"/>
              <w:left w:val="single" w:sz="4" w:space="0" w:color="auto"/>
              <w:bottom w:val="single" w:sz="4" w:space="0" w:color="auto"/>
              <w:right w:val="single" w:sz="4" w:space="0" w:color="auto"/>
            </w:tcBorders>
          </w:tcPr>
          <w:p w14:paraId="4CC9AF4A"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r>
      <w:tr w:rsidR="00F933FB" w:rsidRPr="009F10EE" w14:paraId="399C7611" w14:textId="705680A6" w:rsidTr="00B457FD">
        <w:tc>
          <w:tcPr>
            <w:tcW w:w="9394" w:type="dxa"/>
            <w:gridSpan w:val="5"/>
            <w:tcBorders>
              <w:top w:val="single" w:sz="4" w:space="0" w:color="auto"/>
              <w:left w:val="single" w:sz="4" w:space="0" w:color="auto"/>
              <w:bottom w:val="single" w:sz="4" w:space="0" w:color="auto"/>
              <w:right w:val="single" w:sz="4" w:space="0" w:color="auto"/>
            </w:tcBorders>
            <w:hideMark/>
          </w:tcPr>
          <w:p w14:paraId="4192472E" w14:textId="41C2B1A0"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Lytinės sistemos ir krūties sutrikimai</w:t>
            </w:r>
          </w:p>
        </w:tc>
      </w:tr>
      <w:tr w:rsidR="00F933FB" w:rsidRPr="009F10EE" w14:paraId="7438590D" w14:textId="23C198B0" w:rsidTr="007D3ACB">
        <w:tc>
          <w:tcPr>
            <w:tcW w:w="1724" w:type="dxa"/>
            <w:tcBorders>
              <w:top w:val="single" w:sz="4" w:space="0" w:color="auto"/>
              <w:left w:val="single" w:sz="4" w:space="0" w:color="auto"/>
              <w:bottom w:val="single" w:sz="4" w:space="0" w:color="auto"/>
              <w:right w:val="single" w:sz="4" w:space="0" w:color="auto"/>
            </w:tcBorders>
          </w:tcPr>
          <w:p w14:paraId="426A32C8"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tcPr>
          <w:p w14:paraId="7F2AFCDE"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hideMark/>
          </w:tcPr>
          <w:p w14:paraId="2F33C52A" w14:textId="77777777" w:rsidR="00F933FB" w:rsidRPr="009F10EE" w:rsidRDefault="00F933FB" w:rsidP="00771646">
            <w:pPr>
              <w:pStyle w:val="Default"/>
              <w:rPr>
                <w:sz w:val="22"/>
                <w:szCs w:val="22"/>
                <w:lang w:val="lt-LT"/>
              </w:rPr>
            </w:pPr>
            <w:r w:rsidRPr="009F10EE">
              <w:rPr>
                <w:sz w:val="22"/>
                <w:szCs w:val="22"/>
                <w:lang w:val="lt-LT"/>
              </w:rPr>
              <w:t xml:space="preserve">Užsitęsusi erekcija. </w:t>
            </w:r>
          </w:p>
          <w:p w14:paraId="701FA11D" w14:textId="77777777" w:rsidR="00F933FB" w:rsidRPr="009F10EE" w:rsidRDefault="00F933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2168" w:type="dxa"/>
            <w:tcBorders>
              <w:top w:val="single" w:sz="4" w:space="0" w:color="auto"/>
              <w:left w:val="single" w:sz="4" w:space="0" w:color="auto"/>
              <w:bottom w:val="single" w:sz="4" w:space="0" w:color="auto"/>
              <w:right w:val="single" w:sz="4" w:space="0" w:color="auto"/>
            </w:tcBorders>
          </w:tcPr>
          <w:p w14:paraId="0874D2F8"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Priapizmas, </w:t>
            </w:r>
          </w:p>
          <w:p w14:paraId="04CE2A45" w14:textId="77777777" w:rsidR="00F933FB" w:rsidRPr="009F10EE" w:rsidRDefault="00F933FB" w:rsidP="00771646">
            <w:pPr>
              <w:pStyle w:val="Default"/>
              <w:rPr>
                <w:rFonts w:eastAsia="TimesNewRomanPSMT"/>
                <w:sz w:val="22"/>
                <w:szCs w:val="22"/>
                <w:lang w:val="lt-LT"/>
              </w:rPr>
            </w:pPr>
            <w:r w:rsidRPr="009F10EE">
              <w:rPr>
                <w:sz w:val="22"/>
                <w:szCs w:val="22"/>
                <w:lang w:val="lt-LT"/>
              </w:rPr>
              <w:t xml:space="preserve">kraujavimas iš varpos, hematospermija </w:t>
            </w:r>
          </w:p>
        </w:tc>
        <w:tc>
          <w:tcPr>
            <w:tcW w:w="1780" w:type="dxa"/>
            <w:tcBorders>
              <w:top w:val="single" w:sz="4" w:space="0" w:color="auto"/>
              <w:left w:val="single" w:sz="4" w:space="0" w:color="auto"/>
              <w:bottom w:val="single" w:sz="4" w:space="0" w:color="auto"/>
              <w:right w:val="single" w:sz="4" w:space="0" w:color="auto"/>
            </w:tcBorders>
          </w:tcPr>
          <w:p w14:paraId="550B5DC5"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p>
        </w:tc>
      </w:tr>
      <w:tr w:rsidR="00F933FB" w:rsidRPr="009F10EE" w14:paraId="692F58D3" w14:textId="3019337F" w:rsidTr="00CE5104">
        <w:tc>
          <w:tcPr>
            <w:tcW w:w="9394" w:type="dxa"/>
            <w:gridSpan w:val="5"/>
            <w:tcBorders>
              <w:top w:val="single" w:sz="4" w:space="0" w:color="auto"/>
              <w:left w:val="single" w:sz="4" w:space="0" w:color="auto"/>
              <w:bottom w:val="single" w:sz="4" w:space="0" w:color="auto"/>
              <w:right w:val="single" w:sz="4" w:space="0" w:color="auto"/>
            </w:tcBorders>
            <w:hideMark/>
          </w:tcPr>
          <w:p w14:paraId="51D95C50" w14:textId="3A67A58B"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Bendrieji sutrikimai ir vartojimo vietos pažeidimai</w:t>
            </w:r>
          </w:p>
        </w:tc>
      </w:tr>
      <w:tr w:rsidR="00F933FB" w:rsidRPr="009F10EE" w14:paraId="5709D83C" w14:textId="1AB7465A" w:rsidTr="007D3ACB">
        <w:tc>
          <w:tcPr>
            <w:tcW w:w="1724" w:type="dxa"/>
            <w:tcBorders>
              <w:top w:val="single" w:sz="4" w:space="0" w:color="auto"/>
              <w:left w:val="single" w:sz="4" w:space="0" w:color="auto"/>
              <w:bottom w:val="single" w:sz="4" w:space="0" w:color="auto"/>
              <w:right w:val="single" w:sz="4" w:space="0" w:color="auto"/>
            </w:tcBorders>
          </w:tcPr>
          <w:p w14:paraId="586F840C"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tcPr>
          <w:p w14:paraId="4929A1B1" w14:textId="77777777" w:rsidR="00F933FB" w:rsidRPr="009F10EE" w:rsidRDefault="00F933FB" w:rsidP="00771646">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hideMark/>
          </w:tcPr>
          <w:p w14:paraId="5D2CDB44"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Krūtinės skausmas</w:t>
            </w:r>
            <w:r w:rsidRPr="009F10EE">
              <w:rPr>
                <w:rFonts w:ascii="Times New Roman" w:eastAsia="Times New Roman" w:hAnsi="Times New Roman" w:cs="Times New Roman"/>
                <w:vertAlign w:val="superscript"/>
                <w:lang w:eastAsia="lt-LT"/>
              </w:rPr>
              <w:t>1</w:t>
            </w:r>
            <w:r w:rsidRPr="009F10EE">
              <w:rPr>
                <w:rFonts w:ascii="Times New Roman" w:eastAsia="Times New Roman" w:hAnsi="Times New Roman" w:cs="Times New Roman"/>
                <w:lang w:eastAsia="lt-LT"/>
              </w:rPr>
              <w:t xml:space="preserve">, </w:t>
            </w:r>
          </w:p>
          <w:p w14:paraId="1CE4A2FC" w14:textId="77777777" w:rsidR="00F933FB" w:rsidRPr="009F10EE" w:rsidRDefault="00F933FB" w:rsidP="00771646">
            <w:pPr>
              <w:pStyle w:val="Default"/>
              <w:rPr>
                <w:sz w:val="22"/>
                <w:szCs w:val="22"/>
                <w:lang w:val="lt-LT"/>
              </w:rPr>
            </w:pPr>
            <w:r w:rsidRPr="009F10EE">
              <w:rPr>
                <w:sz w:val="22"/>
                <w:szCs w:val="22"/>
                <w:lang w:val="lt-LT"/>
              </w:rPr>
              <w:t xml:space="preserve">periferinė edema, nuovargis </w:t>
            </w:r>
          </w:p>
        </w:tc>
        <w:tc>
          <w:tcPr>
            <w:tcW w:w="2168" w:type="dxa"/>
            <w:tcBorders>
              <w:top w:val="single" w:sz="4" w:space="0" w:color="auto"/>
              <w:left w:val="single" w:sz="4" w:space="0" w:color="auto"/>
              <w:bottom w:val="single" w:sz="4" w:space="0" w:color="auto"/>
              <w:right w:val="single" w:sz="4" w:space="0" w:color="auto"/>
            </w:tcBorders>
            <w:hideMark/>
          </w:tcPr>
          <w:p w14:paraId="0A4D6AE0"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Veido edema</w:t>
            </w:r>
            <w:r w:rsidRPr="009F10EE">
              <w:rPr>
                <w:rFonts w:ascii="Times New Roman" w:eastAsia="Times New Roman" w:hAnsi="Times New Roman" w:cs="Times New Roman"/>
                <w:vertAlign w:val="superscript"/>
                <w:lang w:eastAsia="lt-LT"/>
              </w:rPr>
              <w:t>2</w:t>
            </w:r>
            <w:r w:rsidRPr="009F10EE">
              <w:rPr>
                <w:rFonts w:ascii="Times New Roman" w:eastAsia="TimesNewRomanPSMT" w:hAnsi="Times New Roman" w:cs="Times New Roman"/>
                <w:lang w:eastAsia="lt-LT"/>
              </w:rPr>
              <w:t>, staigi kardialinė</w:t>
            </w:r>
            <w:r w:rsidRPr="009F10EE">
              <w:rPr>
                <w:rFonts w:ascii="Times New Roman" w:eastAsia="Times New Roman" w:hAnsi="Times New Roman" w:cs="Times New Roman"/>
                <w:lang w:eastAsia="lt-LT"/>
              </w:rPr>
              <w:t xml:space="preserve"> mirtis </w:t>
            </w:r>
            <w:r w:rsidRPr="009F10EE">
              <w:rPr>
                <w:rFonts w:ascii="Times New Roman" w:eastAsia="Times New Roman" w:hAnsi="Times New Roman" w:cs="Times New Roman"/>
                <w:vertAlign w:val="superscript"/>
                <w:lang w:eastAsia="lt-LT"/>
              </w:rPr>
              <w:t>1,2</w:t>
            </w:r>
          </w:p>
        </w:tc>
        <w:tc>
          <w:tcPr>
            <w:tcW w:w="1780" w:type="dxa"/>
            <w:tcBorders>
              <w:top w:val="single" w:sz="4" w:space="0" w:color="auto"/>
              <w:left w:val="single" w:sz="4" w:space="0" w:color="auto"/>
              <w:bottom w:val="single" w:sz="4" w:space="0" w:color="auto"/>
              <w:right w:val="single" w:sz="4" w:space="0" w:color="auto"/>
            </w:tcBorders>
          </w:tcPr>
          <w:p w14:paraId="0412A3A5" w14:textId="77777777" w:rsidR="00F933FB" w:rsidRPr="009F10EE" w:rsidRDefault="00F933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p>
        </w:tc>
      </w:tr>
    </w:tbl>
    <w:p w14:paraId="2FB94CDD" w14:textId="7F9FE17B" w:rsidR="008C4948" w:rsidRPr="009F10EE" w:rsidRDefault="00B322CA"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NewRomanPSMT" w:hAnsi="Times New Roman" w:cs="Times New Roman"/>
          <w:lang w:eastAsia="lt-LT"/>
        </w:rPr>
        <w:t>(</w:t>
      </w:r>
      <w:r w:rsidR="008C4948" w:rsidRPr="00B65F27">
        <w:rPr>
          <w:rFonts w:ascii="Times New Roman" w:eastAsia="TimesNewRomanPSMT" w:hAnsi="Times New Roman" w:cs="Times New Roman"/>
          <w:lang w:eastAsia="lt-LT"/>
        </w:rPr>
        <w:t>1</w:t>
      </w:r>
      <w:r>
        <w:rPr>
          <w:rFonts w:ascii="Times New Roman" w:eastAsia="TimesNewRomanPSMT" w:hAnsi="Times New Roman" w:cs="Times New Roman"/>
          <w:lang w:eastAsia="lt-LT"/>
        </w:rPr>
        <w:t>)</w:t>
      </w:r>
      <w:r w:rsidR="008C4948" w:rsidRPr="009F10EE">
        <w:rPr>
          <w:rFonts w:ascii="Times New Roman" w:eastAsia="TimesNewRomanPSMT" w:hAnsi="Times New Roman" w:cs="Times New Roman"/>
          <w:lang w:eastAsia="lt-LT"/>
        </w:rPr>
        <w:t xml:space="preserve"> </w:t>
      </w:r>
      <w:r w:rsidR="008C4948" w:rsidRPr="009F10EE">
        <w:rPr>
          <w:rFonts w:ascii="Times New Roman" w:eastAsia="Times New Roman" w:hAnsi="Times New Roman" w:cs="Times New Roman"/>
          <w:color w:val="000000"/>
          <w:lang w:eastAsia="cs-CZ"/>
        </w:rPr>
        <w:t>Dauguma pacientų jau turėjo kardiovaskulinės rizikos veiksnių (žr. 4.4 skyrių).</w:t>
      </w:r>
    </w:p>
    <w:p w14:paraId="72C696AB" w14:textId="2297AF93" w:rsidR="008C4948" w:rsidRPr="009F10EE" w:rsidRDefault="00B322CA"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 New Roman" w:hAnsi="Times New Roman" w:cs="Times New Roman"/>
          <w:lang w:eastAsia="lt-LT"/>
        </w:rPr>
        <w:t>(</w:t>
      </w:r>
      <w:r w:rsidR="008C4948" w:rsidRPr="00B65F27">
        <w:rPr>
          <w:rFonts w:ascii="Times New Roman" w:eastAsia="Times New Roman" w:hAnsi="Times New Roman" w:cs="Times New Roman"/>
          <w:lang w:eastAsia="lt-LT"/>
        </w:rPr>
        <w:t>2</w:t>
      </w:r>
      <w:r>
        <w:rPr>
          <w:rFonts w:ascii="Times New Roman" w:eastAsia="Times New Roman" w:hAnsi="Times New Roman" w:cs="Times New Roman"/>
          <w:lang w:eastAsia="lt-LT"/>
        </w:rPr>
        <w:t>)</w:t>
      </w:r>
      <w:r w:rsidR="008C4948" w:rsidRPr="009F10EE">
        <w:rPr>
          <w:rFonts w:ascii="Times New Roman" w:eastAsia="Times New Roman" w:hAnsi="Times New Roman" w:cs="Times New Roman"/>
          <w:lang w:eastAsia="lt-LT"/>
        </w:rPr>
        <w:t xml:space="preserve"> </w:t>
      </w:r>
      <w:r w:rsidR="008C4948" w:rsidRPr="009F10EE">
        <w:rPr>
          <w:rFonts w:ascii="Times New Roman" w:eastAsia="TimesNewRomanPSMT" w:hAnsi="Times New Roman" w:cs="Times New Roman"/>
          <w:lang w:eastAsia="lt-LT"/>
        </w:rPr>
        <w:t>Stebėjimo po vaistinio preparato patekimo į rinką metu pranešta apie nepageidaujamas reakcijas, kurių nepastebėta placebu kontroliuojamų klinikinių tyrimų metu.</w:t>
      </w:r>
    </w:p>
    <w:p w14:paraId="478F1CE6" w14:textId="04FD152A" w:rsidR="008C4948" w:rsidRPr="009F10EE" w:rsidRDefault="00B322CA"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 New Roman" w:hAnsi="Times New Roman" w:cs="Times New Roman"/>
          <w:lang w:eastAsia="lt-LT"/>
        </w:rPr>
        <w:t>(</w:t>
      </w:r>
      <w:r w:rsidR="008C4948" w:rsidRPr="00B65F27">
        <w:rPr>
          <w:rFonts w:ascii="Times New Roman" w:eastAsia="Times New Roman" w:hAnsi="Times New Roman" w:cs="Times New Roman"/>
          <w:lang w:eastAsia="lt-LT"/>
        </w:rPr>
        <w:t>3</w:t>
      </w:r>
      <w:r>
        <w:rPr>
          <w:rFonts w:ascii="Times New Roman" w:eastAsia="Times New Roman" w:hAnsi="Times New Roman" w:cs="Times New Roman"/>
          <w:lang w:eastAsia="lt-LT"/>
        </w:rPr>
        <w:t>)</w:t>
      </w:r>
      <w:r w:rsidR="008C4948" w:rsidRPr="009F10EE">
        <w:rPr>
          <w:rFonts w:ascii="Times New Roman" w:eastAsia="TimesNewRomanPSMT" w:hAnsi="Times New Roman" w:cs="Times New Roman"/>
          <w:lang w:eastAsia="lt-LT"/>
        </w:rPr>
        <w:t xml:space="preserve"> Pranešimų gauta dažniau, kai tadalafilio skirta pacientams, jau vartojantiems antihipertenzinių vaistinių preparatų.</w:t>
      </w:r>
    </w:p>
    <w:p w14:paraId="58548A48" w14:textId="77777777" w:rsidR="008C4948" w:rsidRPr="009F10EE" w:rsidRDefault="008C4948" w:rsidP="008C4948">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p w14:paraId="3E49C71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Atrinktų nepageidaujamų reakcijų apibūdinimas</w:t>
      </w:r>
    </w:p>
    <w:p w14:paraId="2F68B75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5F4F7972" w14:textId="77777777" w:rsidR="008C4948" w:rsidRPr="009F10EE" w:rsidRDefault="008C4948" w:rsidP="008C4948">
      <w:pPr>
        <w:tabs>
          <w:tab w:val="left" w:pos="567"/>
        </w:tabs>
        <w:spacing w:after="0" w:line="240" w:lineRule="auto"/>
        <w:rPr>
          <w:rFonts w:ascii="Times New Roman" w:eastAsia="Times New Roman" w:hAnsi="Times New Roman" w:cs="Times New Roman"/>
          <w:iCs/>
          <w:color w:val="000000"/>
          <w:lang w:eastAsia="cs-CZ"/>
        </w:rPr>
      </w:pPr>
      <w:r w:rsidRPr="009F10EE">
        <w:rPr>
          <w:rFonts w:ascii="Times New Roman" w:eastAsia="Times New Roman" w:hAnsi="Times New Roman" w:cs="Times New Roman"/>
          <w:iCs/>
          <w:color w:val="000000"/>
          <w:lang w:eastAsia="cs-CZ"/>
        </w:rPr>
        <w:t>Pacientams, tadalafilio vartojusiems kartą per parą, palyginti su vartojusiais placebo, šiek tiek dažniau atsirado neįprastų EKG pokyčių, pirmiausiai sinusinė bradikardija. Dauguma tokių neįprastų EKG pokyčių nebuvo susiję su nepageidaujamomis reakcijomis.</w:t>
      </w:r>
    </w:p>
    <w:p w14:paraId="06F304A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34052B6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Kitos ypatingos populiacijos</w:t>
      </w:r>
    </w:p>
    <w:p w14:paraId="455F71A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7998D076"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NewRomanPSMT" w:hAnsi="Times New Roman" w:cs="Times New Roman"/>
          <w:lang w:eastAsia="lt-LT"/>
        </w:rPr>
        <w:t>Duomenų apie vyresnių negu 65 metų pacientų, klinikinių tyrimų metu tadalafilio vartojusių arba erekcijos funkcijos sutrikimui, arba gerybinei prostatos hiperplazijai gydyti, yra nedaug. Klinikinių tyrimų, kurių metu erekcijos disfunkcijai gydyti tadalafilis buvo vartojamas pagal poreikį, viduriavimas dažniau pasireiškė vyresniems negu 65 metų pacientams. Klinikinių tyrimų, kurių metu gerybinė prostatos hiperplazija buvo gydoma kartą per parą vartojama 5 mg tadalafilio doze, dažniau gauta pranešimų apie galvos svaigimą ir viduriavimą vyresniems negu 75 metų pacientams.</w:t>
      </w:r>
    </w:p>
    <w:p w14:paraId="76823E2B" w14:textId="77777777" w:rsidR="008C4948" w:rsidRPr="009F10EE" w:rsidRDefault="008C4948" w:rsidP="008C4948">
      <w:pPr>
        <w:tabs>
          <w:tab w:val="left" w:pos="567"/>
        </w:tabs>
        <w:autoSpaceDE w:val="0"/>
        <w:autoSpaceDN w:val="0"/>
        <w:adjustRightInd w:val="0"/>
        <w:spacing w:after="0" w:line="240" w:lineRule="auto"/>
        <w:jc w:val="both"/>
        <w:rPr>
          <w:rFonts w:ascii="Times New Roman" w:eastAsia="Times New Roman" w:hAnsi="Times New Roman" w:cs="Times New Roman"/>
          <w:u w:val="single"/>
          <w:lang w:eastAsia="lt-LT"/>
        </w:rPr>
      </w:pPr>
    </w:p>
    <w:p w14:paraId="7D97E8D6" w14:textId="77777777" w:rsidR="008C4948" w:rsidRPr="009F10EE" w:rsidRDefault="008C4948" w:rsidP="008C4948">
      <w:pPr>
        <w:keepNext/>
        <w:keepLines/>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r w:rsidRPr="009F10EE">
        <w:rPr>
          <w:rFonts w:ascii="Times New Roman" w:eastAsia="Times New Roman" w:hAnsi="Times New Roman" w:cs="Times New Roman"/>
          <w:snapToGrid w:val="0"/>
          <w:u w:val="single"/>
        </w:rPr>
        <w:lastRenderedPageBreak/>
        <w:t>Pranešimas apie įtariamas nepageidaujamas reakcijas</w:t>
      </w:r>
    </w:p>
    <w:p w14:paraId="47CC4544" w14:textId="41F907E8" w:rsidR="008C4948" w:rsidRPr="009F10EE" w:rsidRDefault="008C4948" w:rsidP="008C4948">
      <w:pPr>
        <w:keepNext/>
        <w:keepLines/>
        <w:tabs>
          <w:tab w:val="left" w:pos="567"/>
        </w:tabs>
        <w:autoSpaceDE w:val="0"/>
        <w:autoSpaceDN w:val="0"/>
        <w:adjustRightInd w:val="0"/>
        <w:spacing w:after="0" w:line="260" w:lineRule="exact"/>
        <w:rPr>
          <w:rFonts w:ascii="Times New Roman" w:eastAsia="Times New Roman" w:hAnsi="Times New Roman" w:cs="Times New Roman"/>
          <w:snapToGrid w:val="0"/>
        </w:rPr>
      </w:pPr>
      <w:r w:rsidRPr="009F10EE">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w:t>
      </w:r>
      <w:r w:rsidR="00C7358D" w:rsidRPr="00C7358D">
        <w:rPr>
          <w:rFonts w:ascii="Times New Roman" w:eastAsia="Times New Roman" w:hAnsi="Times New Roman" w:cs="Times New Roman"/>
          <w:snapToGrid w:val="0"/>
        </w:rPr>
        <w:t xml:space="preserve">tiesiogiai užpildę pranešimo formą internetu Tarnybos Vaistinių preparatų informacinėje sistemoje </w:t>
      </w:r>
      <w:r w:rsidR="00C7358D" w:rsidRPr="00C7358D">
        <w:rPr>
          <w:rFonts w:ascii="Times New Roman" w:eastAsia="Times New Roman" w:hAnsi="Times New Roman" w:cs="Times New Roman"/>
          <w:snapToGrid w:val="0"/>
          <w:u w:val="single"/>
        </w:rPr>
        <w:t>https://vapris.vvkt.lt/vvkt-web/public/nrvSpecialist</w:t>
      </w:r>
      <w:r w:rsidR="00C7358D" w:rsidRPr="00C7358D">
        <w:rPr>
          <w:rFonts w:ascii="Times New Roman" w:eastAsia="Times New Roman" w:hAnsi="Times New Roman" w:cs="Times New Roman"/>
          <w:snapToGrid w:val="0"/>
        </w:rPr>
        <w:t xml:space="preserve"> arba užpildę Sveikatos priežiūros ar farmacijos specialisto pranešimo apie įtariamą nepageidaujamą reakciją (ĮNR) formą, kuri skelbiama </w:t>
      </w:r>
      <w:r w:rsidR="00C7358D" w:rsidRPr="00C7358D">
        <w:rPr>
          <w:rFonts w:ascii="Times New Roman" w:eastAsia="Times New Roman" w:hAnsi="Times New Roman" w:cs="Times New Roman"/>
          <w:snapToGrid w:val="0"/>
          <w:u w:val="single"/>
        </w:rPr>
        <w:t>https://www.vvkt.lt/index.php?1399030386</w:t>
      </w:r>
      <w:r w:rsidR="00C7358D" w:rsidRPr="00C7358D">
        <w:rPr>
          <w:rFonts w:ascii="Times New Roman" w:eastAsia="Times New Roman" w:hAnsi="Times New Roman" w:cs="Times New Roman"/>
          <w:snapToGrid w:val="0"/>
        </w:rPr>
        <w:t>, ir atsiųsti elektroniniu paštu (adresu NepageidaujamaR@vvkt.lt).</w:t>
      </w:r>
    </w:p>
    <w:p w14:paraId="028A0E5C"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05558BEF"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r w:rsidRPr="009F10EE">
        <w:rPr>
          <w:rFonts w:ascii="Times New Roman" w:eastAsia="Times New Roman" w:hAnsi="Times New Roman" w:cs="Times New Roman"/>
          <w:b/>
          <w:lang w:eastAsia="lt-LT"/>
        </w:rPr>
        <w:t>4.9</w:t>
      </w:r>
      <w:r w:rsidRPr="009F10EE">
        <w:rPr>
          <w:rFonts w:ascii="Times New Roman" w:eastAsia="Times New Roman" w:hAnsi="Times New Roman" w:cs="Times New Roman"/>
          <w:b/>
          <w:lang w:eastAsia="lt-LT"/>
        </w:rPr>
        <w:tab/>
        <w:t>Perdozavimas</w:t>
      </w:r>
    </w:p>
    <w:p w14:paraId="3DE5FF4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3B7E509F" w14:textId="77777777" w:rsidR="008C4948" w:rsidRPr="009F10EE" w:rsidRDefault="008C4948" w:rsidP="008C4948">
      <w:pPr>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Sveiki suaugę vyrai vartojo ne didesnę kaip 500 mg vienkartinę dozę, pacientai vartojo ne didesnes kaip 100 mg kartotines paros dozes. Pastebėti nepageidaujami reiškiniai buvo tokie patys, kaip ir vartojant mažesnes dozes.</w:t>
      </w:r>
    </w:p>
    <w:p w14:paraId="77E7C384" w14:textId="77777777" w:rsidR="008C4948" w:rsidRPr="009F10EE" w:rsidRDefault="008C4948" w:rsidP="008C4948">
      <w:pPr>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lang w:eastAsia="lt-LT"/>
        </w:rPr>
        <w:t>Perdozavus pagal poreikį reikia gydyti įprastinėmis palaikomosiomis priemonėmis. Hemodializė tadalafilio eliminaciją veikia nereikšmingai.</w:t>
      </w:r>
    </w:p>
    <w:p w14:paraId="1144A46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1163CA3A"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3C51DF7F" w14:textId="77777777" w:rsidR="008C4948" w:rsidRPr="009F10EE" w:rsidRDefault="008C4948" w:rsidP="008C4948">
      <w:pPr>
        <w:keepNext/>
        <w:tabs>
          <w:tab w:val="left" w:pos="567"/>
        </w:tabs>
        <w:spacing w:after="0" w:line="240" w:lineRule="auto"/>
        <w:outlineLvl w:val="2"/>
        <w:rPr>
          <w:rFonts w:ascii="Times New Roman" w:eastAsia="Times New Roman" w:hAnsi="Times New Roman" w:cs="Times New Roman"/>
          <w:b/>
          <w:bCs/>
        </w:rPr>
      </w:pPr>
      <w:r w:rsidRPr="009F10EE">
        <w:rPr>
          <w:rFonts w:ascii="Times New Roman" w:eastAsia="Times New Roman" w:hAnsi="Times New Roman" w:cs="Times New Roman"/>
          <w:b/>
          <w:bCs/>
        </w:rPr>
        <w:t>5.</w:t>
      </w:r>
      <w:r w:rsidRPr="009F10EE">
        <w:rPr>
          <w:rFonts w:ascii="Times New Roman" w:eastAsia="Times New Roman" w:hAnsi="Times New Roman" w:cs="Times New Roman"/>
          <w:b/>
          <w:bCs/>
        </w:rPr>
        <w:tab/>
        <w:t>FARMAKOLOGINĖS SAVYBĖS</w:t>
      </w:r>
    </w:p>
    <w:p w14:paraId="2BF7EF78"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61AA8A63"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5.1</w:t>
      </w:r>
      <w:r w:rsidRPr="009F10EE">
        <w:rPr>
          <w:rFonts w:ascii="Times New Roman" w:eastAsia="Times New Roman" w:hAnsi="Times New Roman" w:cs="Times New Roman"/>
          <w:b/>
          <w:bCs/>
        </w:rPr>
        <w:t xml:space="preserve"> </w:t>
      </w:r>
      <w:r w:rsidRPr="009F10EE">
        <w:rPr>
          <w:rFonts w:ascii="Times New Roman" w:eastAsia="Times New Roman" w:hAnsi="Times New Roman" w:cs="Times New Roman"/>
          <w:b/>
        </w:rPr>
        <w:tab/>
        <w:t>Farmakodinaminės savybės</w:t>
      </w:r>
    </w:p>
    <w:p w14:paraId="668BCFDB"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1CB1E0DF"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r w:rsidRPr="009F10EE">
        <w:rPr>
          <w:rFonts w:ascii="Times New Roman" w:eastAsia="TimesNewRomanPSMT" w:hAnsi="Times New Roman" w:cs="Times New Roman"/>
          <w:lang w:eastAsia="ar-SA"/>
        </w:rPr>
        <w:t xml:space="preserve">Farmakoterapinė grupė </w:t>
      </w:r>
      <w:r w:rsidRPr="009F10EE">
        <w:rPr>
          <w:rFonts w:ascii="Times New Roman" w:eastAsia="SymbolMT" w:hAnsi="Times New Roman" w:cs="Times New Roman"/>
          <w:lang w:eastAsia="ar-SA"/>
        </w:rPr>
        <w:t xml:space="preserve">− </w:t>
      </w:r>
      <w:r w:rsidRPr="009F10EE">
        <w:rPr>
          <w:rFonts w:ascii="Times New Roman" w:eastAsia="TimesNewRomanPSMT" w:hAnsi="Times New Roman" w:cs="Times New Roman"/>
          <w:lang w:eastAsia="ar-SA"/>
        </w:rPr>
        <w:t>urogenitalinę sistemą veikiantys vaistiniai preparatai, vaistiniai preparatai, vartojami esant erekcijos funkcijos sutrikimams, ATC kodas – G04BE08.</w:t>
      </w:r>
    </w:p>
    <w:p w14:paraId="6F0C9C75"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51DB1F5A"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r w:rsidRPr="009F10EE">
        <w:rPr>
          <w:rFonts w:ascii="Times New Roman" w:eastAsia="TimesNewRomanPSMT" w:hAnsi="Times New Roman" w:cs="Times New Roman"/>
          <w:u w:val="single"/>
          <w:lang w:eastAsia="ar-SA"/>
        </w:rPr>
        <w:t>Veikimo mechanizmas</w:t>
      </w:r>
    </w:p>
    <w:p w14:paraId="5E4E9A6F"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p>
    <w:p w14:paraId="08876CE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Tadalafilis selektyviai ir laikinai slopina cikliniam guanozino monofosfatui (cGMF) specifinę 5-ojo tipo fosfodiesterazę (FDE5). </w:t>
      </w:r>
    </w:p>
    <w:p w14:paraId="4E693521"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Tuo atveju, kai seksualinės stimuliacijos metu lokaliai išsiskiria azoto oksido, dėl tadalafilio sukelto FDE5 slopinimo akytkūnyje padidėja cGMF kiekis. Dėl to atsipalaiduoja lygieji raumenys, į varpos audinius priteka kraujo ir pasireiškia erekcija. Jeigu seksualinės stimuliacijos nėra, tadalafilis poveikio nesukelia.</w:t>
      </w:r>
    </w:p>
    <w:p w14:paraId="352805B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B6FDEF9"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r w:rsidRPr="009F10EE">
        <w:rPr>
          <w:rFonts w:ascii="Times New Roman" w:eastAsia="TimesNewRomanPSMT" w:hAnsi="Times New Roman" w:cs="Times New Roman"/>
          <w:lang w:eastAsia="ar-SA"/>
        </w:rPr>
        <w:t>FDE5 slopinimo poveikis cGMF koncentracijai akytkūnyje taip pat pastebėtas prostatos lygiesiems raumenims, šlapimo pūslei ir jų aprūpinimui krauju. Sukeltas kraujagyslių atpalaidavimas pagerina kraujotaką, kuri gali būti mechanizmas, kuriuo yra sumažinami prostatos hiperplazijos simptomai. Šis poveikis kraujagyslėms gali būti papildytas šlapimo pūslės aferentinių nervų aktyvumo slopinimu ir prostatos bei šlapimo pūslės lygiųjų raumenų atpalaidavimu.</w:t>
      </w:r>
    </w:p>
    <w:p w14:paraId="6DC9D7B6"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7365587A"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r w:rsidRPr="009F10EE">
        <w:rPr>
          <w:rFonts w:ascii="Times New Roman" w:eastAsia="TimesNewRomanPSMT" w:hAnsi="Times New Roman" w:cs="Times New Roman"/>
          <w:u w:val="single"/>
          <w:lang w:eastAsia="ar-SA"/>
        </w:rPr>
        <w:t>Farmakodinaminis poveikis</w:t>
      </w:r>
    </w:p>
    <w:p w14:paraId="120027CD"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p>
    <w:p w14:paraId="2B03911B" w14:textId="0F0E2F4C"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r w:rsidRPr="009F10EE">
        <w:rPr>
          <w:rFonts w:ascii="Times New Roman" w:eastAsia="TimesNewRomanPSMT" w:hAnsi="Times New Roman" w:cs="Times New Roman"/>
          <w:lang w:eastAsia="ar-SA"/>
        </w:rPr>
        <w:t xml:space="preserve">Tyrimais </w:t>
      </w:r>
      <w:r w:rsidRPr="009F10EE">
        <w:rPr>
          <w:rFonts w:ascii="Times New Roman" w:eastAsia="TimesNewRomanPSMT" w:hAnsi="Times New Roman" w:cs="Times New Roman"/>
          <w:i/>
          <w:iCs/>
          <w:lang w:eastAsia="ar-SA"/>
        </w:rPr>
        <w:t xml:space="preserve">in vitro </w:t>
      </w:r>
      <w:r w:rsidRPr="009F10EE">
        <w:rPr>
          <w:rFonts w:ascii="Times New Roman" w:eastAsia="TimesNewRomanPSMT" w:hAnsi="Times New Roman" w:cs="Times New Roman"/>
          <w:lang w:eastAsia="ar-SA"/>
        </w:rPr>
        <w:t>įrodyta, kad tadalafilis selektyviai slopina FDE5. FDE5 yra fermentas, kurio būna lygiuosiuose akytkūnio, kraujagyslių ir vidaus organų raumenyse, griaučių raumenyse, trombocituose, inkstuose, plaučiuose ir smegenėlėse. FDE5 tadalafilis veikia stipriau, negu kitas fosfodiesterazes. FDE5 tadalafilis veikia &gt; 10 000 kartų stipriau negu FDE1, FDE2 ir FDE4, t. y fermentus, kurių yra širdyje, smegenyse, kraujagyslėse, kepenyse ir kituose organuose. FDE5 tadalafilis veikia &gt; 10 000 kartų stipriau, negu FDE3, t.</w:t>
      </w:r>
      <w:r w:rsidR="00C63DF6" w:rsidRPr="009F10EE">
        <w:rPr>
          <w:rFonts w:ascii="Times New Roman" w:eastAsia="TimesNewRomanPSMT" w:hAnsi="Times New Roman" w:cs="Times New Roman"/>
          <w:lang w:eastAsia="ar-SA"/>
        </w:rPr>
        <w:t xml:space="preserve"> </w:t>
      </w:r>
      <w:r w:rsidRPr="009F10EE">
        <w:rPr>
          <w:rFonts w:ascii="Times New Roman" w:eastAsia="TimesNewRomanPSMT" w:hAnsi="Times New Roman" w:cs="Times New Roman"/>
          <w:lang w:eastAsia="ar-SA"/>
        </w:rPr>
        <w:t>y. fermentą, kurio yra širdyje ir kraujagyslėse. Kad FDE5 jis veikia stipriau negu FDE3, yra svarbu, nes FDE3 yra susijusi su širdies susitraukimu. Be to, FDE5 tadalafilis veikia maždaug 700 kartų stipriau, negu FDE6, t. y. fermentą, kurio yra tinklainėje ir kuris yra atsakingas už šviesos perdavimą. Taip pat FDE5 tadalafilis veikia &gt; 10 000 kartų stipriau, negu FDE7</w:t>
      </w:r>
      <w:r w:rsidRPr="009F10EE">
        <w:rPr>
          <w:rFonts w:ascii="Times New Roman" w:eastAsia="TimesNewRomanPSMT" w:hAnsi="Times New Roman" w:cs="Times New Roman"/>
          <w:lang w:eastAsia="ar-SA"/>
        </w:rPr>
        <w:noBreakHyphen/>
        <w:t>FDE10.</w:t>
      </w:r>
    </w:p>
    <w:p w14:paraId="42E28409"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06F03533" w14:textId="77777777" w:rsidR="008C4948" w:rsidRPr="009F10EE" w:rsidRDefault="008C4948" w:rsidP="008C4948">
      <w:pPr>
        <w:keepNext/>
        <w:keepLines/>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r w:rsidRPr="009F10EE">
        <w:rPr>
          <w:rFonts w:ascii="Times New Roman" w:eastAsia="TimesNewRomanPSMT" w:hAnsi="Times New Roman" w:cs="Times New Roman"/>
          <w:u w:val="single"/>
          <w:lang w:eastAsia="ar-SA"/>
        </w:rPr>
        <w:lastRenderedPageBreak/>
        <w:t>Klinikinis veiksmingumas ir saugumas</w:t>
      </w:r>
    </w:p>
    <w:p w14:paraId="48359688" w14:textId="77777777" w:rsidR="008C4948" w:rsidRPr="009F10EE" w:rsidRDefault="008C4948" w:rsidP="008C4948">
      <w:pPr>
        <w:keepNext/>
        <w:keepLines/>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4ADCB14D" w14:textId="77777777" w:rsidR="008C4948" w:rsidRPr="009F10EE" w:rsidRDefault="008C4948" w:rsidP="008C4948">
      <w:pPr>
        <w:keepNext/>
        <w:keepLines/>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Sveikiems vyrams tadalafilis, palyginti su placebu, reikšmingo sistolinio ir diastolinio kraujospūdžio pokyčio gulint (vidutinis didžiausias sumažėjimas buvo atitinkamai 1,6 mmHg ir 0,8 mmHg) ar stovint (vidutinis didžiausias sumažėjimas buvo atitinkamai 0,2 mmHg ir 4,6 mmHg) nesukėlė ir širdies susitraukimų dažnio reikšmingai nekeitė.</w:t>
      </w:r>
    </w:p>
    <w:p w14:paraId="0F8AC54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9BEA9ED"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Tiriant tadalafilio poveikį regai, nenustatyta sutrikusio spalvų (mėlynos ir žalios) skyrimo naudojant </w:t>
      </w:r>
      <w:r w:rsidRPr="009F10EE">
        <w:rPr>
          <w:rFonts w:ascii="Times New Roman" w:eastAsia="Times New Roman" w:hAnsi="Times New Roman" w:cs="Times New Roman"/>
          <w:i/>
          <w:lang w:eastAsia="lt-LT"/>
        </w:rPr>
        <w:t>Farnsworth-Munsell 100-hue</w:t>
      </w:r>
      <w:r w:rsidRPr="009F10EE">
        <w:rPr>
          <w:rFonts w:ascii="Times New Roman" w:eastAsia="Times New Roman" w:hAnsi="Times New Roman" w:cs="Times New Roman"/>
          <w:lang w:eastAsia="lt-LT"/>
        </w:rPr>
        <w:t xml:space="preserve"> testą. Šie duomenys atitinka mažą tadalafilio afinitetą FDE6, palyginti su FDE5. Visų klinikinių tyrimų metu spalvinio regėjimo sutrikimo dažnis buvo retas (&lt; 0,1%).</w:t>
      </w:r>
    </w:p>
    <w:p w14:paraId="0289DC57" w14:textId="77777777" w:rsidR="008C4948" w:rsidRPr="009F10EE" w:rsidRDefault="008C4948" w:rsidP="008C4948">
      <w:pPr>
        <w:keepNext/>
        <w:keepLines/>
        <w:tabs>
          <w:tab w:val="left" w:pos="567"/>
        </w:tabs>
        <w:spacing w:after="0" w:line="240" w:lineRule="auto"/>
        <w:rPr>
          <w:rFonts w:ascii="Times New Roman" w:eastAsia="Times New Roman" w:hAnsi="Times New Roman" w:cs="Times New Roman"/>
          <w:lang w:eastAsia="lt-LT"/>
        </w:rPr>
      </w:pPr>
    </w:p>
    <w:p w14:paraId="7DD6B704" w14:textId="6AD20542" w:rsidR="008C4948" w:rsidRPr="009F10EE" w:rsidRDefault="008C4948" w:rsidP="008C4948">
      <w:pPr>
        <w:keepNext/>
        <w:keepLines/>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Buvo atlikti trys tyrimai, kurių metu nustatinėtas kasdien vartojamos tadalafilio 10 mg (tyrimas truko 6 mėn.) arba 20 mg (vienas tyrimas truko 6 mėn., kitas − 9 mėn.) dozės poveikis vyrų spermatogenezei. Dviejų iš šių tyrimų metu pasireiškė nuo tadalafilio vartojimo priklausomas spermos kiekio ir koncentracijos sumažėjimas, kurio klinikinė svarba nėra tikėtina. Su kitų parametrų, pvz., judrumo, morfologijos ar FSH kiekio, pokyčiais minėtas poveikis nebuvo susijęs. </w:t>
      </w:r>
    </w:p>
    <w:p w14:paraId="31380440"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i/>
          <w:u w:val="single"/>
          <w:lang w:eastAsia="ar-SA"/>
        </w:rPr>
      </w:pPr>
    </w:p>
    <w:p w14:paraId="4D07D61A"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i/>
          <w:lang w:eastAsia="ar-SA"/>
        </w:rPr>
        <w:t>Erekcijos funkcijos sutrikimas</w:t>
      </w:r>
    </w:p>
    <w:p w14:paraId="40AD8EE5"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Reakcijos į pagal poreikį vartojamą tadalafilį trukmė buvo nustatinėta trimis klinikiniais tyrimais, kuriuose dalyvavo 1 054 namuose esantys vyrai. Tadalafilis 36 valandoms po dozės pavartojimo statistiškai reikšmingai pagerino erekcijos funkciją ir gebėjimą atlikti sėkmingą lytinį aktą. Praėjus 16 minučių po dozės pavartojimo, tadalafilis, palyginti su placebu, pagerino gebėjimą sukelti ir palaikyti erekciją sėkmingam lytiniam aktui atlikti.</w:t>
      </w:r>
    </w:p>
    <w:p w14:paraId="59AA55AD" w14:textId="5E772CDA"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6A5AA0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12 savaičių trukmės tyrime, kuriame dalyvavo 186 pacientai (142 vartojo tadalafilio, 44 – placebo), sergančių antrine nugaros smegenų pažeidimo sukelta erekcijos disfunkcija, tadalafilis reikšmingai pagerino erekcijos funkciją: sėkmingai lytinį aktą atliko 48% pacientų, gydytų 10 mg arba 20 mg tadalafilio doze (dozuojant pasirinktinai pagal poreikį), palyginti su 17% vartojant placebo.</w:t>
      </w:r>
    </w:p>
    <w:p w14:paraId="4C77F89A"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3188F8BF" w14:textId="71A3A422"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Vieną kartą per parą vartojamos 2,5 mg, 5 mg arba 10 mg tadalafilio dozės poveikis iš pradžių buvo vertintas atlikus 3 klinikinius tyrimus, kuriuose dalyvavo 853 įvairaus amžiaus (21-82 metų) ir etninių grupių pacientai, kuriems buvo įvairaus sunkumo (lengva, vidutinio sunkumo arba sunkus) ir įvairių priežasčių sukeltas erekcijos funkcijos sutrikimas. Dviejų pirminio veiksmingumo bendrojoje populiacijoje tyrimų metu sėkmingai lytinį aktą atliko vidutiniškai 57% ir 67% vyrų, vartojusių 5 mg tadalafilio dozę, ir 50%, vartojusių 2,5 mg tadalafilio dozę, palyginti su atitinkamai 31% ir 37% placebo vartojusių vyrų. Tyrimo metu analizuojant pacientų, sergančių antriniu diabeto sukeltu erekcijos funkcijos sutrikimu, duomenis, nustatyta, kad vartojant 5 mg tadalafilio dozę sėkmingai lytinį aktą atliko 41%, vartojant 2,5 mg tadalafilio dozę − 46% tiriamųjų, palyginti su 28%vartojusių placebo. Dauguma šiuose trijuose tyrimuose dalyvavusių pacientų reagavo į ankstesnį gydymą FDE5 inhibitoriais, vartotais pagal poreikį. Tolimesnio tyrimo metu 217 anksčiau FDE5 inhibitoriais negydytų pacientų atsitiktinių imčių būdu buvo suskirstyti į 2 grupes: vienos grupės tiriamieji kartą per parą vartojo 5 mg dozę, kitos − placebo. Tadalafilio vartojusių tiriamųjų grupėje sėkmingų bandymų atlikti lytinį aktą vidurkis asmeniui buvo 68%, vartojusių placebo grupėje − 52%.</w:t>
      </w:r>
    </w:p>
    <w:p w14:paraId="6EBB983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2DCA83B7"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i/>
          <w:lang w:eastAsia="lt-LT"/>
        </w:rPr>
      </w:pPr>
      <w:r w:rsidRPr="009F10EE">
        <w:rPr>
          <w:rFonts w:ascii="Times New Roman" w:eastAsia="TimesNewRomanPSMT" w:hAnsi="Times New Roman" w:cs="Times New Roman"/>
          <w:i/>
          <w:lang w:eastAsia="lt-LT"/>
        </w:rPr>
        <w:lastRenderedPageBreak/>
        <w:t>Gerybinė prostatos hiperplazija</w:t>
      </w:r>
    </w:p>
    <w:p w14:paraId="4D2BDD52"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Tadalafilio poveikis buvo tirtas 4 klinikiniuose 12 savaičių trukmės tyrimuose, kuriuose dalyvavusiems 1500 pacientų buvo gerybinės prostatos hiperplazijos požymių ir simptomų. Bendras tarptautinės prostatos simptomų vertinimo skalės pagerėjimas vartojant 5 mg tadalafilio 4 tyrimuose buvo atitinkamai -4,8, -5,6, -6,1 ir -6,3, palyginti su -2,2, -3,6, -3,8 ir -4,2 vartojant placebo. Bendras tarptautinės prostatos simptomų vertinimo skalės pagerėjimas pasireiškė ne anksčiau kaip po savaitės. Viename iš tyrimų, į kurį taip pat buvo įtraukta 0,4 mg tamsulozino, kaip aktyvaus palyginamojo preparato, dozė, duomenimis, bendras tarptautinės prostatos simptomų vertinimo skalės pagerėjimas vartojant 5 mg tadalafilio, tamsulozino ir placebo buvo atitinkamai -6,3, -5,7 ir -4,2.</w:t>
      </w:r>
    </w:p>
    <w:p w14:paraId="26D66476" w14:textId="77777777" w:rsidR="008C4948" w:rsidRPr="009F10EE" w:rsidRDefault="008C4948" w:rsidP="008C4948">
      <w:pPr>
        <w:spacing w:after="0" w:line="240" w:lineRule="auto"/>
        <w:rPr>
          <w:rFonts w:ascii="Times New Roman" w:eastAsia="Calibri" w:hAnsi="Times New Roman" w:cs="Times New Roman"/>
          <w:shd w:val="clear" w:color="auto" w:fill="FFFF00"/>
          <w:lang w:eastAsia="lt-LT"/>
        </w:rPr>
      </w:pPr>
    </w:p>
    <w:p w14:paraId="09D8DC43"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Vieno iš šių tyrimų metu buvo vertintas erekcijos funkcijos sutrikimo ir gerybinės prostatos hiperplazijos požymių ir simptomų pagerėjimas pacientams, kuriems buvo abu šie sutrikimai. Šio tyrimo metu tarptautinis erekcijos funkcijos indeksas ir Tarptautinės prostatos simptomų skalės bendras įvertinimas pacientams, vartojusiems 5 mg tadalafilio dozę, buvo atitinkamai 6,5 ir -6,1, vartojusiems placebo − atitinkamai 1,8 ir -3,8. Pacientams, vartojusiems 5 mg tadalafilio dozę, sėkmingo lytinio akto dažnio asmeniui vidurkis buvo 71,9%, vartojusiems placebo − 48,3%.</w:t>
      </w:r>
    </w:p>
    <w:p w14:paraId="5F869E33" w14:textId="77777777" w:rsidR="008C4948" w:rsidRPr="009F10EE" w:rsidRDefault="008C4948" w:rsidP="008C4948">
      <w:pPr>
        <w:spacing w:after="0" w:line="240" w:lineRule="auto"/>
        <w:rPr>
          <w:rFonts w:ascii="Times New Roman" w:eastAsia="Times New Roman" w:hAnsi="Times New Roman" w:cs="Times New Roman"/>
        </w:rPr>
      </w:pPr>
    </w:p>
    <w:p w14:paraId="4A6FFCA5"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Poveikio palaikymas buvo vertintas vieno tyrimo tęstinės fazės, atliekamos atviru būdu, metu. Tyrimas parodė, kad Tarptautinės prostatos simptomų skalės bendro balo pagerėjimas, nustatytas 12 savaitę, buvo palaikomas iki vienerių papildomo gydymo 5 mg tadalafilio doze metų.</w:t>
      </w:r>
    </w:p>
    <w:p w14:paraId="453C11EB" w14:textId="77777777" w:rsidR="008C4948" w:rsidRPr="009F10EE" w:rsidRDefault="008C4948" w:rsidP="008C4948">
      <w:pPr>
        <w:tabs>
          <w:tab w:val="left" w:pos="567"/>
        </w:tabs>
        <w:overflowPunct w:val="0"/>
        <w:autoSpaceDE w:val="0"/>
        <w:autoSpaceDN w:val="0"/>
        <w:adjustRightInd w:val="0"/>
        <w:spacing w:after="0" w:line="240" w:lineRule="auto"/>
        <w:rPr>
          <w:rFonts w:ascii="Times New Roman" w:eastAsia="TimesNewRomanPSMT" w:hAnsi="Times New Roman" w:cs="Times New Roman"/>
          <w:lang w:eastAsia="lt-LT"/>
        </w:rPr>
      </w:pPr>
    </w:p>
    <w:p w14:paraId="2C884541" w14:textId="77777777" w:rsidR="008C4948" w:rsidRPr="009F10EE" w:rsidRDefault="008C4948" w:rsidP="008C4948">
      <w:pPr>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r w:rsidRPr="009F10EE">
        <w:rPr>
          <w:rFonts w:ascii="Times New Roman" w:eastAsia="TimesNewRomanPSMT" w:hAnsi="Times New Roman" w:cs="Times New Roman"/>
          <w:u w:val="single"/>
          <w:lang w:eastAsia="ar-SA"/>
        </w:rPr>
        <w:t>Vaikų populiacija</w:t>
      </w:r>
    </w:p>
    <w:p w14:paraId="02D5A323" w14:textId="77777777" w:rsidR="008C4948" w:rsidRPr="009F10EE" w:rsidRDefault="008C4948" w:rsidP="008C4948">
      <w:pPr>
        <w:tabs>
          <w:tab w:val="left" w:pos="567"/>
        </w:tabs>
        <w:overflowPunct w:val="0"/>
        <w:autoSpaceDE w:val="0"/>
        <w:autoSpaceDN w:val="0"/>
        <w:adjustRightInd w:val="0"/>
        <w:spacing w:after="0" w:line="240" w:lineRule="auto"/>
        <w:rPr>
          <w:rFonts w:ascii="Times New Roman" w:hAnsi="Times New Roman" w:cs="Times New Roman"/>
        </w:rPr>
      </w:pPr>
      <w:r w:rsidRPr="009F10EE">
        <w:rPr>
          <w:rFonts w:ascii="Times New Roman" w:hAnsi="Times New Roman" w:cs="Times New Roman"/>
          <w:iCs/>
        </w:rPr>
        <w:t>Buvo atliktas vienas tyrimas su pacientais vaikais, sergančiais Diušeno raumenų distrofija (DMD), kurio metu veiksmingumo įrodymų gauta nebuvo. Atsitiktinės imties</w:t>
      </w:r>
      <w:r w:rsidRPr="009F10EE">
        <w:rPr>
          <w:rFonts w:ascii="Times New Roman" w:hAnsi="Times New Roman" w:cs="Times New Roman"/>
        </w:rPr>
        <w:t xml:space="preserve">, dvigubai aklame, placebu kontroliuojamame, lygiagrečiame, 3 atšakų tadalafilio tyrime dalyvavo 331 berniukas nuo 7 iki 14 metų amžiaus, sergantys DMD, kuriems tuo pat metu buvo taikomas gydymas kortikosteroidais. Tyrimą sudarė 48 savaičių dvigubai aklas laikotarpis, kurio metu atsitiktinės imties principu atrinkti pacientai kasdien vartojo 0,3 mg/kg tadalafilio, 0,6 mg/kg tadalafilio arba placebą. Nenustatytas tadalafilio veiksmingumas lėtinant funkcinės būklės prastėjimą, išmatuotą pagal pirminį 6 minučių ėjimo atstumą (6MWD) ribiniame taškę: mažiausių kvadratų (MK) vidutinis 6MWD pokytis po 48 savaičių buvo – 51,0 metras (m) placebo grupėje, lyginant su </w:t>
      </w:r>
      <w:r w:rsidRPr="009F10EE">
        <w:rPr>
          <w:rFonts w:ascii="Times New Roman" w:hAnsi="Times New Roman" w:cs="Times New Roman"/>
        </w:rPr>
        <w:noBreakHyphen/>
        <w:t xml:space="preserve">64,7 m tadalafilio 0,3 mg/kg grupe (p = 0,307) ir </w:t>
      </w:r>
      <w:r w:rsidRPr="009F10EE">
        <w:rPr>
          <w:rFonts w:ascii="Times New Roman" w:hAnsi="Times New Roman" w:cs="Times New Roman"/>
        </w:rPr>
        <w:noBreakHyphen/>
        <w:t>59,1 m tadalafilio 0,6 mg/kg grupėje (p = 0,538). Be to, nebuvo gauta jokių šio tyrimo metu atliktų antrinių tyrimų veiksmingumo įrodymų. Paprastai bendri šio tyrimo saugos rezultatai atitiko žinomas tadalafilio saugos charakteristikas ir nepageidaujamas reakcijas (NR), kurių tikimasi kortikosteroidus vartojančių vaikų, sergančių DMD, populiacijoje.</w:t>
      </w:r>
    </w:p>
    <w:p w14:paraId="58E024FE" w14:textId="77777777" w:rsidR="008C4948" w:rsidRPr="009F10EE" w:rsidRDefault="008C4948" w:rsidP="008C4948">
      <w:pPr>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p>
    <w:p w14:paraId="29F815B8" w14:textId="77777777" w:rsidR="008C4948" w:rsidRPr="009F10EE" w:rsidRDefault="008C4948" w:rsidP="008C4948">
      <w:pPr>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r w:rsidRPr="009F10EE">
        <w:rPr>
          <w:rFonts w:ascii="Times New Roman" w:eastAsia="TimesNewRomanPSMT" w:hAnsi="Times New Roman" w:cs="Times New Roman"/>
          <w:lang w:eastAsia="ar-SA"/>
        </w:rPr>
        <w:t>Europos vaistų agentūra atleido nuo įpareigojimo pateikti erekcijos funkcijos sutrikimo gydymo tyrimų su visais vaikų populiacijos pogrupiais duomenis (vartojimo vaikams informacija pateikiama 4.2 skyriuje).</w:t>
      </w:r>
    </w:p>
    <w:p w14:paraId="2D65FE79"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3CE03E80"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5.2</w:t>
      </w:r>
      <w:r w:rsidRPr="009F10EE">
        <w:rPr>
          <w:rFonts w:ascii="Times New Roman" w:eastAsia="Times New Roman" w:hAnsi="Times New Roman" w:cs="Times New Roman"/>
          <w:b/>
        </w:rPr>
        <w:tab/>
        <w:t>Farmakokinetinės savybės</w:t>
      </w:r>
    </w:p>
    <w:p w14:paraId="01CA867A"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51959EDB"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Absorbcija</w:t>
      </w:r>
    </w:p>
    <w:p w14:paraId="73FC1BAA"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14:paraId="29BE2D03"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Išgertas tadalafilis absorbuojamas lengvai, vidutinė didžiausia koncentracija (</w:t>
      </w:r>
      <w:r w:rsidRPr="009F10EE">
        <w:rPr>
          <w:rFonts w:ascii="Times New Roman" w:eastAsia="Times New Roman" w:hAnsi="Times New Roman" w:cs="Times New Roman"/>
          <w:iCs/>
          <w:lang w:eastAsia="lt-LT"/>
        </w:rPr>
        <w:t>C</w:t>
      </w:r>
      <w:r w:rsidRPr="009F10EE">
        <w:rPr>
          <w:rFonts w:ascii="Times New Roman" w:eastAsia="Times New Roman" w:hAnsi="Times New Roman" w:cs="Times New Roman"/>
          <w:iCs/>
          <w:vertAlign w:val="subscript"/>
          <w:lang w:eastAsia="lt-LT"/>
        </w:rPr>
        <w:t>max</w:t>
      </w:r>
      <w:r w:rsidRPr="009F10EE">
        <w:rPr>
          <w:rFonts w:ascii="Times New Roman" w:eastAsia="Times New Roman" w:hAnsi="Times New Roman" w:cs="Times New Roman"/>
          <w:lang w:eastAsia="lt-LT"/>
        </w:rPr>
        <w:t xml:space="preserve">) kraujo plazmoje atsiranda vidutiniškai po 2 val. </w:t>
      </w:r>
      <w:r w:rsidRPr="009F10EE">
        <w:rPr>
          <w:rFonts w:ascii="Times New Roman" w:eastAsia="TimesNewRomanPSMT" w:hAnsi="Times New Roman" w:cs="Times New Roman"/>
          <w:lang w:eastAsia="lt-LT"/>
        </w:rPr>
        <w:t xml:space="preserve">Vartojamo per burną tadalafilio </w:t>
      </w:r>
      <w:r w:rsidRPr="009F10EE">
        <w:rPr>
          <w:rFonts w:ascii="Times New Roman" w:eastAsia="Times New Roman" w:hAnsi="Times New Roman" w:cs="Times New Roman"/>
          <w:lang w:eastAsia="lt-LT"/>
        </w:rPr>
        <w:t>absoliutus biologinis prieinamumas nenustatytas.</w:t>
      </w:r>
    </w:p>
    <w:p w14:paraId="7FD1A76D"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2910EA8C" w14:textId="0DE2EFBE"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Maistas tadalafilio ab</w:t>
      </w:r>
      <w:r w:rsidRPr="009F10EE">
        <w:rPr>
          <w:rFonts w:ascii="Times New Roman" w:eastAsia="TimesNewRomanPSMT" w:hAnsi="Times New Roman" w:cs="Times New Roman"/>
          <w:lang w:eastAsia="lt-LT"/>
        </w:rPr>
        <w:t xml:space="preserve">sorbcijos greičiui ir apimčiai įtakos nedaro, todėl </w:t>
      </w:r>
      <w:r w:rsidRPr="009F10EE">
        <w:rPr>
          <w:rFonts w:ascii="Times New Roman" w:eastAsia="Times New Roman" w:hAnsi="Times New Roman" w:cs="Times New Roman"/>
          <w:lang w:eastAsia="lt-LT"/>
        </w:rPr>
        <w:t xml:space="preserve">tadalafilio galima vartoti valgio metu arba nevalgius. Vartojimo laikas (ryte ar vakare) kliniškai reikšmingo poveikio absorbcijos </w:t>
      </w:r>
      <w:r w:rsidRPr="009F10EE">
        <w:rPr>
          <w:rFonts w:ascii="Times New Roman" w:eastAsia="TimesNewRomanPSMT" w:hAnsi="Times New Roman" w:cs="Times New Roman"/>
          <w:lang w:eastAsia="lt-LT"/>
        </w:rPr>
        <w:t>greičiui ir apimčiai nedaro.</w:t>
      </w:r>
    </w:p>
    <w:p w14:paraId="0902D0B5"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C0D6D0B"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Pasiskirstymas</w:t>
      </w:r>
    </w:p>
    <w:p w14:paraId="3A1D2F2A"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14:paraId="0CA734E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lastRenderedPageBreak/>
        <w:t>Vidutinis pasiskirstymo tūris yra ma</w:t>
      </w:r>
      <w:r w:rsidRPr="009F10EE">
        <w:rPr>
          <w:rFonts w:ascii="Times New Roman" w:eastAsia="Times New Roman" w:hAnsi="Times New Roman" w:cs="Times New Roman"/>
          <w:lang w:eastAsia="lt-LT"/>
        </w:rPr>
        <w:t>ždaug 63 l. Tai rodo, kad tadalafilis pasiskirsto audiniuose. Esant gydomajai koncentracijai</w:t>
      </w:r>
      <w:r w:rsidRPr="009F10EE">
        <w:rPr>
          <w:rFonts w:ascii="Times New Roman" w:eastAsia="TimesNewRomanPSMT" w:hAnsi="Times New Roman" w:cs="Times New Roman"/>
          <w:lang w:eastAsia="lt-LT"/>
        </w:rPr>
        <w:t>, 94% tadalafilio būna junginių su kraujo plazmos baltymais pavidalu. Inkstų funkcijos sutrikimas prisijungimui prie baltymų įtakos nedaro.</w:t>
      </w:r>
    </w:p>
    <w:p w14:paraId="05A44E52"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Mažiau kaip 0,0005</w:t>
      </w:r>
      <w:r w:rsidRPr="009F10EE">
        <w:rPr>
          <w:rFonts w:ascii="Times New Roman" w:eastAsia="TimesNewRomanPSMT" w:hAnsi="Times New Roman" w:cs="Times New Roman"/>
          <w:lang w:eastAsia="lt-LT"/>
        </w:rPr>
        <w:t>% pavartotos dozės patenka į sveikų vyrų spermą.</w:t>
      </w:r>
    </w:p>
    <w:p w14:paraId="0B5D4435"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40E635F"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u w:val="single"/>
          <w:lang w:eastAsia="ar-SA"/>
        </w:rPr>
      </w:pPr>
      <w:r w:rsidRPr="009F10EE">
        <w:rPr>
          <w:rFonts w:ascii="Times New Roman" w:eastAsia="Times New Roman" w:hAnsi="Times New Roman" w:cs="Times New Roman"/>
          <w:u w:val="single"/>
          <w:lang w:eastAsia="ar-SA"/>
        </w:rPr>
        <w:t>Biotransformacija</w:t>
      </w:r>
    </w:p>
    <w:p w14:paraId="0706FD3F"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u w:val="single"/>
          <w:lang w:eastAsia="ar-SA"/>
        </w:rPr>
      </w:pPr>
    </w:p>
    <w:p w14:paraId="322E032C"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r w:rsidRPr="009F10EE">
        <w:rPr>
          <w:rFonts w:ascii="Times New Roman" w:eastAsia="Times New Roman" w:hAnsi="Times New Roman" w:cs="Times New Roman"/>
          <w:lang w:eastAsia="ar-SA"/>
        </w:rPr>
        <w:t>Daugiausia tadalafilis yra metabolizuojamas citochromo P 450 (CYP) 3A4 izofermentais.</w:t>
      </w:r>
    </w:p>
    <w:p w14:paraId="2A3C8C0C"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NewRomanPSMT" w:hAnsi="Times New Roman" w:cs="Times New Roman"/>
          <w:lang w:eastAsia="ar-SA"/>
        </w:rPr>
        <w:t>Pagrindinis kraujyje aptinkamas metabolitas yra metilkatecholgliukuronidas. Šis meta</w:t>
      </w:r>
      <w:r w:rsidRPr="009F10EE">
        <w:rPr>
          <w:rFonts w:ascii="Times New Roman" w:eastAsia="Times New Roman" w:hAnsi="Times New Roman" w:cs="Times New Roman"/>
          <w:lang w:eastAsia="ar-SA"/>
        </w:rPr>
        <w:t xml:space="preserve">bolitas FDE5 </w:t>
      </w:r>
      <w:r w:rsidRPr="009F10EE">
        <w:rPr>
          <w:rFonts w:ascii="Times New Roman" w:eastAsia="Times New Roman" w:hAnsi="Times New Roman" w:cs="Times New Roman"/>
        </w:rPr>
        <w:t xml:space="preserve">veikia mažiausiai 13 </w:t>
      </w:r>
      <w:r w:rsidRPr="009F10EE">
        <w:rPr>
          <w:rFonts w:ascii="Times New Roman" w:eastAsia="TimesNewRomanPSMT" w:hAnsi="Times New Roman" w:cs="Times New Roman"/>
        </w:rPr>
        <w:t>000 kartų silpniau negu tadalafilis. Todėl manoma, kad atsirandanti metabolito</w:t>
      </w:r>
      <w:r w:rsidRPr="009F10EE">
        <w:rPr>
          <w:rFonts w:ascii="Times New Roman" w:eastAsia="Times New Roman" w:hAnsi="Times New Roman" w:cs="Times New Roman"/>
        </w:rPr>
        <w:t xml:space="preserve"> koncentracija klinikinio poveikio nesukelia.</w:t>
      </w:r>
    </w:p>
    <w:p w14:paraId="6FD572C3"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6AA08AD7"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Eliminacija</w:t>
      </w:r>
    </w:p>
    <w:p w14:paraId="2BFB3871"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14:paraId="5FB114D3" w14:textId="5F3E2034"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Sveikiems asmenims vidutinis išgerto tadalafilio klirensas, nusistovėjus pusiausvyrinei </w:t>
      </w:r>
      <w:r w:rsidR="0073657D">
        <w:rPr>
          <w:rFonts w:ascii="Times New Roman" w:eastAsia="TimesNewRomanPSMT" w:hAnsi="Times New Roman" w:cs="Times New Roman"/>
          <w:lang w:eastAsia="lt-LT"/>
        </w:rPr>
        <w:t>koncentracijai</w:t>
      </w:r>
      <w:r w:rsidRPr="009F10EE">
        <w:rPr>
          <w:rFonts w:ascii="Times New Roman" w:eastAsia="TimesNewRomanPSMT" w:hAnsi="Times New Roman" w:cs="Times New Roman"/>
          <w:lang w:eastAsia="lt-LT"/>
        </w:rPr>
        <w:t>, yra 2,5</w:t>
      </w:r>
      <w:r w:rsidR="00626627">
        <w:rPr>
          <w:rFonts w:ascii="Times New Roman" w:eastAsia="TimesNewRomanPSMT" w:hAnsi="Times New Roman" w:cs="Times New Roman"/>
          <w:lang w:eastAsia="lt-LT"/>
        </w:rPr>
        <w:t> </w:t>
      </w:r>
      <w:r w:rsidRPr="009F10EE">
        <w:rPr>
          <w:rFonts w:ascii="Times New Roman" w:eastAsia="Times New Roman" w:hAnsi="Times New Roman" w:cs="Times New Roman"/>
          <w:lang w:eastAsia="lt-LT"/>
        </w:rPr>
        <w:t>l/val. ir viduti</w:t>
      </w:r>
      <w:r w:rsidRPr="009F10EE">
        <w:rPr>
          <w:rFonts w:ascii="Times New Roman" w:eastAsia="TimesNewRomanPSMT" w:hAnsi="Times New Roman" w:cs="Times New Roman"/>
          <w:lang w:eastAsia="lt-LT"/>
        </w:rPr>
        <w:t xml:space="preserve">nis pusinės </w:t>
      </w:r>
      <w:r w:rsidRPr="009F10EE">
        <w:rPr>
          <w:rFonts w:ascii="Times New Roman" w:eastAsia="Times New Roman" w:hAnsi="Times New Roman" w:cs="Times New Roman"/>
          <w:lang w:eastAsia="lt-LT"/>
        </w:rPr>
        <w:t>eliminacijos laikas – 17,5</w:t>
      </w:r>
      <w:r w:rsidR="00626627">
        <w:rPr>
          <w:rFonts w:ascii="Times New Roman" w:eastAsia="Times New Roman" w:hAnsi="Times New Roman" w:cs="Times New Roman"/>
          <w:lang w:eastAsia="lt-LT"/>
        </w:rPr>
        <w:t> </w:t>
      </w:r>
      <w:r w:rsidRPr="009F10EE">
        <w:rPr>
          <w:rFonts w:ascii="Times New Roman" w:eastAsia="TimesNewRomanPSMT" w:hAnsi="Times New Roman" w:cs="Times New Roman"/>
          <w:lang w:eastAsia="lt-LT"/>
        </w:rPr>
        <w:t>val. Daugiausiai tadalafilio šalinama neaktyvių metabolitų pavidalu, daugiausiai su išmatomis (apie 61</w:t>
      </w:r>
      <w:r w:rsidR="00626627">
        <w:rPr>
          <w:rFonts w:ascii="Times New Roman" w:eastAsia="TimesNewRomanPSMT" w:hAnsi="Times New Roman" w:cs="Times New Roman"/>
          <w:lang w:eastAsia="lt-LT"/>
        </w:rPr>
        <w:t> </w:t>
      </w:r>
      <w:r w:rsidRPr="009F10EE">
        <w:rPr>
          <w:rFonts w:ascii="Times New Roman" w:eastAsia="TimesNewRomanPSMT" w:hAnsi="Times New Roman" w:cs="Times New Roman"/>
          <w:lang w:eastAsia="lt-LT"/>
        </w:rPr>
        <w:t>% dozės) ir mažesne apimtimi</w:t>
      </w:r>
      <w:r w:rsidRPr="009F10EE">
        <w:rPr>
          <w:rFonts w:ascii="Times New Roman" w:eastAsia="Times New Roman" w:hAnsi="Times New Roman" w:cs="Times New Roman"/>
          <w:lang w:eastAsia="lt-LT"/>
        </w:rPr>
        <w:t xml:space="preserve"> </w:t>
      </w:r>
      <w:r w:rsidRPr="009F10EE">
        <w:rPr>
          <w:rFonts w:ascii="Times New Roman" w:eastAsia="TimesNewRomanPSMT" w:hAnsi="Times New Roman" w:cs="Times New Roman"/>
          <w:lang w:eastAsia="lt-LT"/>
        </w:rPr>
        <w:t>su šlapimu (apie 36</w:t>
      </w:r>
      <w:r w:rsidR="00626627">
        <w:rPr>
          <w:rFonts w:ascii="Times New Roman" w:eastAsia="TimesNewRomanPSMT" w:hAnsi="Times New Roman" w:cs="Times New Roman"/>
          <w:lang w:eastAsia="lt-LT"/>
        </w:rPr>
        <w:t> </w:t>
      </w:r>
      <w:r w:rsidRPr="009F10EE">
        <w:rPr>
          <w:rFonts w:ascii="Times New Roman" w:eastAsia="TimesNewRomanPSMT" w:hAnsi="Times New Roman" w:cs="Times New Roman"/>
          <w:lang w:eastAsia="lt-LT"/>
        </w:rPr>
        <w:t>% dozės).</w:t>
      </w:r>
    </w:p>
    <w:p w14:paraId="2778D153"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1031B7E"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Tiesinis / netiesinis pobūdis</w:t>
      </w:r>
    </w:p>
    <w:p w14:paraId="4F428F68"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4784726E" w14:textId="77777777" w:rsidR="008C4948" w:rsidRPr="009F10EE" w:rsidRDefault="008C4948" w:rsidP="008C4948">
      <w:pPr>
        <w:keepNext/>
        <w:keepLines/>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Sveikų vyrų organizme tadalafilio farmakokinetika yra tiesinė, atsižvelgiant į laiką ir dozės dydį. Vartojant 2,5</w:t>
      </w:r>
      <w:r w:rsidRPr="009F10EE">
        <w:rPr>
          <w:rFonts w:ascii="Times New Roman" w:eastAsia="Times New Roman" w:hAnsi="Times New Roman" w:cs="Times New Roman"/>
          <w:lang w:eastAsia="lt-LT"/>
        </w:rPr>
        <w:noBreakHyphen/>
        <w:t>20 mg dozes, ekspozicija (AUC) didėja proporcingai dozei. Tadalafilio geriant vieną kartą per parą, pusiausvyrinė koncentracija plazmoje nusistovi per 5 paras.</w:t>
      </w:r>
    </w:p>
    <w:p w14:paraId="3F26C42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4D3FA5A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Pacientų, kuriems yra erekcijos funkcijos sutrikimas, organizme vaistinio preparato farmakokinetika yra tokia pat kaip vyrų, kuriems šio sutrikimo nėra, organizme. </w:t>
      </w:r>
    </w:p>
    <w:p w14:paraId="1DC27B7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9084E5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Ypatingos populiacijos</w:t>
      </w:r>
    </w:p>
    <w:p w14:paraId="5EB32B76"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1A973A5E"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Senyvi pacientai</w:t>
      </w:r>
    </w:p>
    <w:p w14:paraId="36A6DC3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Sveikiems senyviems (65 metų ar vyresniems) vyrams išgerto tadalafilio klirensas yra mažesnis, todėl </w:t>
      </w:r>
      <w:r w:rsidRPr="009F10EE">
        <w:rPr>
          <w:rFonts w:ascii="Times New Roman" w:eastAsia="Times New Roman" w:hAnsi="Times New Roman" w:cs="Times New Roman"/>
          <w:lang w:eastAsia="lt-LT"/>
        </w:rPr>
        <w:t>ekspozicija (</w:t>
      </w:r>
      <w:r w:rsidRPr="009F10EE">
        <w:rPr>
          <w:rFonts w:ascii="Times New Roman" w:eastAsia="Times New Roman" w:hAnsi="Times New Roman" w:cs="Times New Roman"/>
          <w:i/>
          <w:iCs/>
          <w:lang w:eastAsia="lt-LT"/>
        </w:rPr>
        <w:t>AUC</w:t>
      </w:r>
      <w:r w:rsidRPr="009F10EE">
        <w:rPr>
          <w:rFonts w:ascii="Times New Roman" w:eastAsia="TimesNewRomanPSMT" w:hAnsi="Times New Roman" w:cs="Times New Roman"/>
          <w:lang w:eastAsia="lt-LT"/>
        </w:rPr>
        <w:t>) yra 25 % didesnė, negu sveikiems 19</w:t>
      </w:r>
      <w:r w:rsidRPr="009F10EE">
        <w:rPr>
          <w:rFonts w:ascii="Times New Roman" w:eastAsia="Times New Roman" w:hAnsi="Times New Roman" w:cs="Times New Roman"/>
          <w:lang w:eastAsia="lt-LT"/>
        </w:rPr>
        <w:t xml:space="preserve">-45 </w:t>
      </w:r>
      <w:r w:rsidRPr="009F10EE">
        <w:rPr>
          <w:rFonts w:ascii="Times New Roman" w:eastAsia="TimesNewRomanPSMT" w:hAnsi="Times New Roman" w:cs="Times New Roman"/>
          <w:lang w:eastAsia="lt-LT"/>
        </w:rPr>
        <w:t>metų vyrams. Tokia amžiaus įtaka nėra kliniškai reikšminga, todėl dozės koreguoti nereikia.</w:t>
      </w:r>
    </w:p>
    <w:p w14:paraId="3A5B59C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D8F6C9F" w14:textId="77777777" w:rsidR="008C4948" w:rsidRPr="009F10EE" w:rsidRDefault="008C4948" w:rsidP="008C4948">
      <w:pPr>
        <w:tabs>
          <w:tab w:val="left" w:pos="567"/>
        </w:tabs>
        <w:spacing w:after="0" w:line="240" w:lineRule="auto"/>
        <w:rPr>
          <w:rFonts w:ascii="Times New Roman" w:eastAsia="Times New Roman" w:hAnsi="Times New Roman" w:cs="Times New Roman"/>
          <w:i/>
          <w:lang w:eastAsia="lt-LT"/>
        </w:rPr>
      </w:pPr>
      <w:r w:rsidRPr="009F10EE">
        <w:rPr>
          <w:rFonts w:ascii="Times New Roman" w:eastAsia="Times New Roman" w:hAnsi="Times New Roman" w:cs="Times New Roman"/>
          <w:i/>
          <w:lang w:eastAsia="lt-LT"/>
        </w:rPr>
        <w:t>Sutrikusi inkstų funkcija</w:t>
      </w:r>
    </w:p>
    <w:p w14:paraId="62470758"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Klinikinės farmakologijos tyrimų metu vyrų, kuriems buvo nesunkus (kreatinino klirensas 51</w:t>
      </w:r>
      <w:r w:rsidRPr="009F10EE">
        <w:rPr>
          <w:rFonts w:ascii="Times New Roman" w:eastAsia="Times New Roman" w:hAnsi="Times New Roman" w:cs="Times New Roman"/>
          <w:lang w:eastAsia="lt-LT"/>
        </w:rPr>
        <w:noBreakHyphen/>
        <w:t>80 ml/min.) arba vidutinio sunkumo (kreatinino klirensas 31</w:t>
      </w:r>
      <w:r w:rsidRPr="009F10EE">
        <w:rPr>
          <w:rFonts w:ascii="Times New Roman" w:eastAsia="Times New Roman" w:hAnsi="Times New Roman" w:cs="Times New Roman"/>
          <w:lang w:eastAsia="lt-LT"/>
        </w:rPr>
        <w:noBreakHyphen/>
        <w:t>50 ml/min.) inkstų funkcijos sutrikimas, ir dializėmis gydomų vyrų, kuriems buvo galutinė inkstų ligos stadija, organizme vienkartinės 5-20 mg tadalafilio dozės ekspozicija (AUC) buvo maždaug du kartus didesnė negu sveikų vyrų organizme. Hemodializėmis gydomų pacientų organizme C</w:t>
      </w:r>
      <w:r w:rsidRPr="009F10EE">
        <w:rPr>
          <w:rFonts w:ascii="Times New Roman" w:eastAsia="Times New Roman" w:hAnsi="Times New Roman" w:cs="Times New Roman"/>
          <w:vertAlign w:val="subscript"/>
          <w:lang w:eastAsia="lt-LT"/>
        </w:rPr>
        <w:t>max</w:t>
      </w:r>
      <w:r w:rsidRPr="009F10EE">
        <w:rPr>
          <w:rFonts w:ascii="Times New Roman" w:eastAsia="Times New Roman" w:hAnsi="Times New Roman" w:cs="Times New Roman"/>
          <w:lang w:eastAsia="lt-LT"/>
        </w:rPr>
        <w:t xml:space="preserve"> buvo 41% didesnė negu sveikų vyrų organizme. Hemodializės įtaka tadalafilio eliminacijai yra nereikšminga. </w:t>
      </w:r>
    </w:p>
    <w:p w14:paraId="59F1B74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2910DF62" w14:textId="77777777" w:rsidR="008C4948" w:rsidRPr="009F10EE" w:rsidRDefault="008C4948" w:rsidP="008C4948">
      <w:pPr>
        <w:tabs>
          <w:tab w:val="left" w:pos="567"/>
        </w:tabs>
        <w:spacing w:after="0" w:line="240" w:lineRule="auto"/>
        <w:rPr>
          <w:rFonts w:ascii="Times New Roman" w:eastAsia="Times New Roman" w:hAnsi="Times New Roman" w:cs="Times New Roman"/>
          <w:i/>
          <w:lang w:eastAsia="lt-LT"/>
        </w:rPr>
      </w:pPr>
      <w:r w:rsidRPr="009F10EE">
        <w:rPr>
          <w:rFonts w:ascii="Times New Roman" w:eastAsia="Times New Roman" w:hAnsi="Times New Roman" w:cs="Times New Roman"/>
          <w:i/>
          <w:lang w:eastAsia="lt-LT"/>
        </w:rPr>
        <w:t>Sutrikusi kepenų funkcija</w:t>
      </w:r>
    </w:p>
    <w:p w14:paraId="07567C1C" w14:textId="6D665BF4"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10 mg tadalafilio dozės ekspozicija (AUC) pacientų, kuriems yra nesunkus ar vidutinio sunkumo kepenų funkcijos sutrikimas (</w:t>
      </w:r>
      <w:r w:rsidRPr="009F10EE">
        <w:rPr>
          <w:rFonts w:ascii="Times New Roman" w:hAnsi="Times New Roman" w:cs="Times New Roman"/>
        </w:rPr>
        <w:t>Child-Pugh</w:t>
      </w:r>
      <w:r w:rsidRPr="009F10EE">
        <w:rPr>
          <w:rFonts w:ascii="Times New Roman" w:eastAsia="Times New Roman" w:hAnsi="Times New Roman" w:cs="Times New Roman"/>
          <w:lang w:eastAsia="lt-LT"/>
        </w:rPr>
        <w:t xml:space="preserve"> klasė A arba B), organizme yra panaši į ekspoziciją sveikų vyrų organizme. Klinikinių duomenų apie tadalafilio saugumą pacientams, kuriems yra sunkus kepenų nepakankamumas (</w:t>
      </w:r>
      <w:r w:rsidRPr="009F10EE">
        <w:rPr>
          <w:rFonts w:ascii="Times New Roman" w:hAnsi="Times New Roman" w:cs="Times New Roman"/>
        </w:rPr>
        <w:t>Child-Pugh</w:t>
      </w:r>
      <w:r w:rsidRPr="009F10EE">
        <w:rPr>
          <w:rFonts w:ascii="Times New Roman" w:eastAsia="Times New Roman" w:hAnsi="Times New Roman" w:cs="Times New Roman"/>
          <w:lang w:eastAsia="lt-LT"/>
        </w:rPr>
        <w:t xml:space="preserve"> klasė C), yra nedaug. Duomenų apie kasdieninį vienos tadalafilio dozės vartojimą pacientams, kurių kepenų funkcija sutrikusi nėra. Prieš skirdamas </w:t>
      </w:r>
      <w:r w:rsidR="008A6596">
        <w:rPr>
          <w:rFonts w:ascii="Times New Roman" w:eastAsia="Times New Roman" w:hAnsi="Times New Roman" w:cs="Times New Roman"/>
          <w:lang w:eastAsia="lt-LT"/>
        </w:rPr>
        <w:t>Tadalafil Accord</w:t>
      </w:r>
      <w:r w:rsidR="008A6596" w:rsidRPr="009F10EE">
        <w:rPr>
          <w:rFonts w:ascii="Times New Roman" w:eastAsia="Times New Roman" w:hAnsi="Times New Roman" w:cs="Times New Roman"/>
          <w:lang w:eastAsia="lt-LT"/>
        </w:rPr>
        <w:t xml:space="preserve"> </w:t>
      </w:r>
      <w:r w:rsidRPr="009F10EE">
        <w:rPr>
          <w:rFonts w:ascii="Times New Roman" w:eastAsia="Times New Roman" w:hAnsi="Times New Roman" w:cs="Times New Roman"/>
          <w:lang w:eastAsia="lt-LT"/>
        </w:rPr>
        <w:t>kasdieniniam vartojimui, gydytojas turi atidžiai nustatyti tokio gydymo naudos ir rizikos santykį.</w:t>
      </w:r>
    </w:p>
    <w:p w14:paraId="1BE3F8E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3D1126F"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Cukriniu diabetu sergantys pacientai</w:t>
      </w:r>
    </w:p>
    <w:p w14:paraId="56BCF59A" w14:textId="0AE2A385"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lastRenderedPageBreak/>
        <w:t xml:space="preserve">Tadalafilio ekspozicija </w:t>
      </w:r>
      <w:r w:rsidRPr="009F10EE">
        <w:rPr>
          <w:rFonts w:ascii="Times New Roman" w:eastAsia="TimesNewRomanPSMT" w:hAnsi="Times New Roman" w:cs="Times New Roman"/>
          <w:i/>
          <w:lang w:eastAsia="lt-LT"/>
        </w:rPr>
        <w:t>(AUC)</w:t>
      </w:r>
      <w:r w:rsidRPr="009F10EE">
        <w:rPr>
          <w:rFonts w:ascii="Times New Roman" w:eastAsia="TimesNewRomanPSMT" w:hAnsi="Times New Roman" w:cs="Times New Roman"/>
          <w:lang w:eastAsia="lt-LT"/>
        </w:rPr>
        <w:t xml:space="preserve"> cukriniu diabetu sergantiems pacientams</w:t>
      </w:r>
      <w:r w:rsidRPr="009F10EE">
        <w:rPr>
          <w:rFonts w:ascii="Times New Roman" w:eastAsia="Times New Roman" w:hAnsi="Times New Roman" w:cs="Times New Roman"/>
          <w:lang w:eastAsia="lt-LT"/>
        </w:rPr>
        <w:t xml:space="preserve"> yra 19</w:t>
      </w:r>
      <w:r w:rsidRPr="009F10EE">
        <w:rPr>
          <w:rFonts w:ascii="Times New Roman" w:eastAsia="TimesNewRomanPSMT" w:hAnsi="Times New Roman" w:cs="Times New Roman"/>
          <w:lang w:eastAsia="lt-LT"/>
        </w:rPr>
        <w:t xml:space="preserve">% mažesnė, negu </w:t>
      </w:r>
      <w:r w:rsidRPr="009F10EE">
        <w:rPr>
          <w:rFonts w:ascii="Times New Roman" w:eastAsia="TimesNewRomanPSMT" w:hAnsi="Times New Roman" w:cs="Times New Roman"/>
          <w:i/>
          <w:lang w:eastAsia="lt-LT"/>
        </w:rPr>
        <w:t>AUC</w:t>
      </w:r>
      <w:r w:rsidRPr="009F10EE">
        <w:rPr>
          <w:rFonts w:ascii="Times New Roman" w:eastAsia="TimesNewRomanPSMT" w:hAnsi="Times New Roman" w:cs="Times New Roman"/>
          <w:lang w:eastAsia="lt-LT"/>
        </w:rPr>
        <w:t xml:space="preserve"> reikšmė sveikiems asmenims. Dėl tokio ekspozicijos skirtumo dozės koreguoti nereikia.</w:t>
      </w:r>
    </w:p>
    <w:p w14:paraId="2A27078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3657FC0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BoldMT" w:hAnsi="Times New Roman" w:cs="Times New Roman"/>
          <w:b/>
          <w:bCs/>
          <w:lang w:eastAsia="lt-LT"/>
        </w:rPr>
      </w:pPr>
      <w:r w:rsidRPr="009F10EE">
        <w:rPr>
          <w:rFonts w:ascii="Times New Roman" w:eastAsia="Times New Roman" w:hAnsi="Times New Roman" w:cs="Times New Roman"/>
          <w:b/>
          <w:bCs/>
          <w:lang w:eastAsia="lt-LT"/>
        </w:rPr>
        <w:t>5.3</w:t>
      </w:r>
      <w:r w:rsidRPr="009F10EE">
        <w:rPr>
          <w:rFonts w:ascii="Times New Roman" w:eastAsia="Times New Roman" w:hAnsi="Times New Roman" w:cs="Times New Roman"/>
          <w:b/>
          <w:bCs/>
          <w:lang w:eastAsia="lt-LT"/>
        </w:rPr>
        <w:tab/>
      </w:r>
      <w:r w:rsidRPr="009F10EE">
        <w:rPr>
          <w:rFonts w:ascii="Times New Roman" w:eastAsia="TimesNewRomanPS-BoldMT" w:hAnsi="Times New Roman" w:cs="Times New Roman"/>
          <w:b/>
          <w:bCs/>
          <w:lang w:eastAsia="lt-LT"/>
        </w:rPr>
        <w:t>Ikiklinikinių saugumo tyrimų duomenys</w:t>
      </w:r>
    </w:p>
    <w:p w14:paraId="686BED9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F875071"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Įprastų farmakologinio saugumo, kartotinių dozių toksiškumo, genotoksiškumo, galimo kancerogeniškumo ir toksinio poveikio reprodukcijai ikiklinikinių tyrimų duomenys specifinio pavojaus žmogui nerodo.</w:t>
      </w:r>
    </w:p>
    <w:p w14:paraId="5525BF90"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Žiurkėms ir pelėms, vartojusioms ne didesnes kaip 1 </w:t>
      </w:r>
      <w:r w:rsidRPr="009F10EE">
        <w:rPr>
          <w:rFonts w:ascii="Times New Roman" w:eastAsia="Times New Roman" w:hAnsi="Times New Roman" w:cs="Times New Roman"/>
          <w:lang w:eastAsia="lt-LT"/>
        </w:rPr>
        <w:t xml:space="preserve">000 mg/kg </w:t>
      </w:r>
      <w:r w:rsidRPr="009F10EE">
        <w:rPr>
          <w:rFonts w:ascii="Times New Roman" w:eastAsia="TimesNewRomanPSMT" w:hAnsi="Times New Roman" w:cs="Times New Roman"/>
          <w:lang w:eastAsia="lt-LT"/>
        </w:rPr>
        <w:t xml:space="preserve">kūno svorio tadalafilio paros dozes, teratogeninis, embriotoksinis ar toksinis poveikis vaisiui nepasireiškė. Žiurkių vystymosi prenataliniu ir postnataliniu laikotarpiu tyrimo metu toksinio poveikio nesukelianti paros dozė buvo 30 mg/kg kūno svorio. Nuo minėtų dozių vaikingoms žiurkėms </w:t>
      </w:r>
      <w:r w:rsidRPr="009F10EE">
        <w:rPr>
          <w:rFonts w:ascii="Times New Roman" w:eastAsia="Times New Roman" w:hAnsi="Times New Roman" w:cs="Times New Roman"/>
          <w:i/>
          <w:iCs/>
          <w:lang w:eastAsia="lt-LT"/>
        </w:rPr>
        <w:t>AUC</w:t>
      </w:r>
      <w:r w:rsidRPr="009F10EE">
        <w:rPr>
          <w:rFonts w:ascii="Times New Roman" w:eastAsia="TimesNewRomanPSMT" w:hAnsi="Times New Roman" w:cs="Times New Roman"/>
          <w:lang w:eastAsia="lt-LT"/>
        </w:rPr>
        <w:t>, apskaičiuotas atsižvelgiant į laisvo</w:t>
      </w:r>
      <w:r w:rsidRPr="009F10EE">
        <w:rPr>
          <w:rFonts w:ascii="Times New Roman" w:eastAsia="Times New Roman" w:hAnsi="Times New Roman" w:cs="Times New Roman"/>
          <w:lang w:eastAsia="lt-LT"/>
        </w:rPr>
        <w:t>s veikliosios medžiagos koncentrac</w:t>
      </w:r>
      <w:r w:rsidRPr="009F10EE">
        <w:rPr>
          <w:rFonts w:ascii="Times New Roman" w:eastAsia="TimesNewRomanPSMT" w:hAnsi="Times New Roman" w:cs="Times New Roman"/>
          <w:lang w:eastAsia="lt-LT"/>
        </w:rPr>
        <w:t>iją</w:t>
      </w:r>
      <w:r w:rsidRPr="009F10EE">
        <w:rPr>
          <w:rFonts w:ascii="Times New Roman" w:eastAsia="Times New Roman" w:hAnsi="Times New Roman" w:cs="Times New Roman"/>
          <w:lang w:eastAsia="lt-LT"/>
        </w:rPr>
        <w:t xml:space="preserve">, buvo maždaug 18 </w:t>
      </w:r>
      <w:r w:rsidRPr="009F10EE">
        <w:rPr>
          <w:rFonts w:ascii="Times New Roman" w:eastAsia="TimesNewRomanPSMT" w:hAnsi="Times New Roman" w:cs="Times New Roman"/>
          <w:lang w:eastAsia="lt-LT"/>
        </w:rPr>
        <w:t xml:space="preserve">kartų didesnis, nei </w:t>
      </w:r>
      <w:r w:rsidRPr="009F10EE">
        <w:rPr>
          <w:rFonts w:ascii="Times New Roman" w:eastAsia="Times New Roman" w:hAnsi="Times New Roman" w:cs="Times New Roman"/>
          <w:lang w:eastAsia="lt-LT"/>
        </w:rPr>
        <w:t>20 mg</w:t>
      </w:r>
      <w:r w:rsidRPr="009F10EE">
        <w:rPr>
          <w:rFonts w:ascii="Times New Roman" w:eastAsia="TimesNewRomanPSMT" w:hAnsi="Times New Roman" w:cs="Times New Roman"/>
          <w:lang w:eastAsia="lt-LT"/>
        </w:rPr>
        <w:t xml:space="preserve"> dozę vartojančiam žmogui.</w:t>
      </w:r>
    </w:p>
    <w:p w14:paraId="2432E037"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Žiurkių patinų ir patelių vaisingumo tadalafilis netrikdė. Šunims, 6</w:t>
      </w:r>
      <w:r w:rsidRPr="009F10EE">
        <w:rPr>
          <w:rFonts w:ascii="Times New Roman" w:eastAsia="Times New Roman" w:hAnsi="Times New Roman" w:cs="Times New Roman"/>
          <w:lang w:eastAsia="lt-LT"/>
        </w:rPr>
        <w:t>-</w:t>
      </w:r>
      <w:r w:rsidRPr="009F10EE">
        <w:rPr>
          <w:rFonts w:ascii="Times New Roman" w:eastAsia="TimesNewRomanPSMT" w:hAnsi="Times New Roman" w:cs="Times New Roman"/>
          <w:lang w:eastAsia="lt-LT"/>
        </w:rPr>
        <w:t xml:space="preserve">12 mėn. vartojusiems </w:t>
      </w:r>
      <w:r w:rsidRPr="009F10EE">
        <w:rPr>
          <w:rFonts w:ascii="Times New Roman" w:eastAsia="Times New Roman" w:hAnsi="Times New Roman" w:cs="Times New Roman"/>
          <w:lang w:eastAsia="lt-LT"/>
        </w:rPr>
        <w:t>25 mg</w:t>
      </w:r>
      <w:r w:rsidRPr="009F10EE">
        <w:rPr>
          <w:rFonts w:ascii="Times New Roman" w:eastAsia="TimesNewRomanPSMT" w:hAnsi="Times New Roman" w:cs="Times New Roman"/>
          <w:lang w:eastAsia="lt-LT"/>
        </w:rPr>
        <w:t xml:space="preserve">/kg kūno svorio (nuo jos gyvūnams ekspozicija buvo mažiausiai 3 kartus </w:t>
      </w:r>
      <w:r w:rsidRPr="009F10EE">
        <w:rPr>
          <w:rFonts w:ascii="Times New Roman" w:eastAsia="Times New Roman" w:hAnsi="Times New Roman" w:cs="Times New Roman"/>
          <w:lang w:eastAsia="lt-LT"/>
        </w:rPr>
        <w:t xml:space="preserve">(nuo 3,7 iki </w:t>
      </w:r>
      <w:r w:rsidRPr="009F10EE">
        <w:rPr>
          <w:rFonts w:ascii="Times New Roman" w:eastAsia="TimesNewRomanPSMT" w:hAnsi="Times New Roman" w:cs="Times New Roman"/>
          <w:lang w:eastAsia="lt-LT"/>
        </w:rPr>
        <w:t>18,6) didesnė negu vienkartinę 20 mg dozę išgėrusiems žmonėms) ar didesnę tadalafilio paros dozę, atsirado sėklinių kanalėlių spermatogeninio epitelio regresija, dėl kurios kai kuriems šunims sumažėjo spermatogenezė. Taip pat žr. 5.1 skyrių.</w:t>
      </w:r>
    </w:p>
    <w:p w14:paraId="4ED05CD8"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2A86B38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0CA1C21F" w14:textId="77777777" w:rsidR="008C4948" w:rsidRPr="009F10EE" w:rsidRDefault="008C4948" w:rsidP="008C4948">
      <w:pPr>
        <w:keepNext/>
        <w:tabs>
          <w:tab w:val="left" w:pos="567"/>
        </w:tabs>
        <w:spacing w:after="0" w:line="240" w:lineRule="auto"/>
        <w:outlineLvl w:val="2"/>
        <w:rPr>
          <w:rFonts w:ascii="Times New Roman" w:eastAsia="Times New Roman" w:hAnsi="Times New Roman" w:cs="Times New Roman"/>
          <w:b/>
          <w:bCs/>
        </w:rPr>
      </w:pPr>
      <w:r w:rsidRPr="009F10EE">
        <w:rPr>
          <w:rFonts w:ascii="Times New Roman" w:eastAsia="Times New Roman" w:hAnsi="Times New Roman" w:cs="Times New Roman"/>
          <w:b/>
          <w:bCs/>
        </w:rPr>
        <w:t>6.</w:t>
      </w:r>
      <w:r w:rsidRPr="009F10EE">
        <w:rPr>
          <w:rFonts w:ascii="Times New Roman" w:eastAsia="Times New Roman" w:hAnsi="Times New Roman" w:cs="Times New Roman"/>
          <w:b/>
          <w:bCs/>
        </w:rPr>
        <w:tab/>
        <w:t>FARMACINĖ INFORMACIJA</w:t>
      </w:r>
    </w:p>
    <w:p w14:paraId="34A0D9B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19CCC24F" w14:textId="77777777" w:rsidR="008C4948" w:rsidRPr="009F10EE" w:rsidRDefault="008C4948" w:rsidP="008C4948">
      <w:pPr>
        <w:keepNext/>
        <w:tabs>
          <w:tab w:val="left" w:pos="567"/>
        </w:tabs>
        <w:spacing w:after="0" w:line="240" w:lineRule="auto"/>
        <w:jc w:val="both"/>
        <w:outlineLvl w:val="3"/>
        <w:rPr>
          <w:rFonts w:ascii="Times New Roman" w:eastAsia="Times New Roman" w:hAnsi="Times New Roman" w:cs="Times New Roman"/>
          <w:b/>
        </w:rPr>
      </w:pPr>
      <w:r w:rsidRPr="009F10EE">
        <w:rPr>
          <w:rFonts w:ascii="Times New Roman" w:eastAsia="Times New Roman" w:hAnsi="Times New Roman" w:cs="Times New Roman"/>
          <w:b/>
        </w:rPr>
        <w:t>6.1</w:t>
      </w:r>
      <w:r w:rsidRPr="009F10EE">
        <w:rPr>
          <w:rFonts w:ascii="Times New Roman" w:eastAsia="Times New Roman" w:hAnsi="Times New Roman" w:cs="Times New Roman"/>
          <w:b/>
        </w:rPr>
        <w:tab/>
        <w:t>Pagalbinių medžiagų sąrašas</w:t>
      </w:r>
    </w:p>
    <w:p w14:paraId="5F470419"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42752426" w14:textId="77777777" w:rsidR="008C4948" w:rsidRPr="009F10EE" w:rsidRDefault="008C4948" w:rsidP="008C4948">
      <w:pPr>
        <w:tabs>
          <w:tab w:val="left" w:pos="567"/>
        </w:tabs>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Tabletės šerdis</w:t>
      </w:r>
    </w:p>
    <w:p w14:paraId="22F8A351"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Laktozė monohidratas</w:t>
      </w:r>
    </w:p>
    <w:p w14:paraId="379E284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Kroskarmeliozės natrio druska</w:t>
      </w:r>
    </w:p>
    <w:p w14:paraId="497BFB11"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Hipromeliozė </w:t>
      </w:r>
    </w:p>
    <w:p w14:paraId="345B9BC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Mikrokristalinė celiuliozė</w:t>
      </w:r>
    </w:p>
    <w:p w14:paraId="3973407D"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Sorbitano stearatas</w:t>
      </w:r>
    </w:p>
    <w:p w14:paraId="157DBB2D"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Magnio stearatas</w:t>
      </w:r>
    </w:p>
    <w:p w14:paraId="138276EE"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0F194A2D" w14:textId="77777777" w:rsidR="008C4948" w:rsidRPr="009F10EE" w:rsidRDefault="008C4948" w:rsidP="008C4948">
      <w:pPr>
        <w:tabs>
          <w:tab w:val="left" w:pos="567"/>
        </w:tabs>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Tabletės plėvelė</w:t>
      </w:r>
    </w:p>
    <w:p w14:paraId="583F5F49"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Laktozė monohidratas</w:t>
      </w:r>
    </w:p>
    <w:p w14:paraId="1237638A"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Hipromeliozė</w:t>
      </w:r>
    </w:p>
    <w:p w14:paraId="71F26DCF"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Titano dioksidas (E171)</w:t>
      </w:r>
    </w:p>
    <w:p w14:paraId="7C6BA5BE"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Triacetinas</w:t>
      </w:r>
    </w:p>
    <w:p w14:paraId="48C25A7E"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Talkas</w:t>
      </w:r>
    </w:p>
    <w:p w14:paraId="63165FF9"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Geltonasis geležies oksidas (E172)</w:t>
      </w:r>
    </w:p>
    <w:p w14:paraId="6C6CC93E"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24713E0B"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6.2</w:t>
      </w:r>
      <w:r w:rsidRPr="009F10EE">
        <w:rPr>
          <w:rFonts w:ascii="Times New Roman" w:eastAsia="Times New Roman" w:hAnsi="Times New Roman" w:cs="Times New Roman"/>
          <w:b/>
        </w:rPr>
        <w:tab/>
        <w:t>Nesuderinamumas</w:t>
      </w:r>
    </w:p>
    <w:p w14:paraId="276602D7"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0F87B997"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r w:rsidRPr="009F10EE">
        <w:rPr>
          <w:rFonts w:ascii="Times New Roman" w:eastAsia="Times New Roman" w:hAnsi="Times New Roman" w:cs="Times New Roman"/>
          <w:lang w:eastAsia="ar-SA"/>
        </w:rPr>
        <w:t xml:space="preserve">Duomenys nebūtini. </w:t>
      </w:r>
    </w:p>
    <w:p w14:paraId="64E79445"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233000AC"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6.3</w:t>
      </w:r>
      <w:r w:rsidRPr="009F10EE">
        <w:rPr>
          <w:rFonts w:ascii="Times New Roman" w:eastAsia="Times New Roman" w:hAnsi="Times New Roman" w:cs="Times New Roman"/>
          <w:b/>
        </w:rPr>
        <w:tab/>
        <w:t>Tinkamumo laikas</w:t>
      </w:r>
    </w:p>
    <w:p w14:paraId="039685A7"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40920FDD"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r w:rsidRPr="009F10EE">
        <w:rPr>
          <w:rFonts w:ascii="Times New Roman" w:eastAsia="Times New Roman" w:hAnsi="Times New Roman" w:cs="Times New Roman"/>
          <w:lang w:eastAsia="ar-SA"/>
        </w:rPr>
        <w:t>3 metai.</w:t>
      </w:r>
    </w:p>
    <w:p w14:paraId="3E7773F7"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07A8AD0A"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6.4</w:t>
      </w:r>
      <w:r w:rsidRPr="009F10EE">
        <w:rPr>
          <w:rFonts w:ascii="Times New Roman" w:eastAsia="Times New Roman" w:hAnsi="Times New Roman" w:cs="Times New Roman"/>
          <w:b/>
        </w:rPr>
        <w:tab/>
        <w:t>Specialios laikymo sąlygos</w:t>
      </w:r>
    </w:p>
    <w:p w14:paraId="6D031818"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2AC04B27"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r w:rsidRPr="009F10EE">
        <w:rPr>
          <w:rFonts w:ascii="Times New Roman" w:eastAsia="Times New Roman" w:hAnsi="Times New Roman" w:cs="Times New Roman"/>
          <w:lang w:eastAsia="ar-SA"/>
        </w:rPr>
        <w:t>Šiam vaistiniam preparatui specialių laikymo sąlygų nereikia.</w:t>
      </w:r>
    </w:p>
    <w:p w14:paraId="2E0FE984"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337E3855"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6.5</w:t>
      </w:r>
      <w:r w:rsidRPr="009F10EE">
        <w:rPr>
          <w:rFonts w:ascii="Times New Roman" w:eastAsia="Times New Roman" w:hAnsi="Times New Roman" w:cs="Times New Roman"/>
          <w:b/>
        </w:rPr>
        <w:tab/>
        <w:t>Talpyklės pobūdis ir jos turinys</w:t>
      </w:r>
      <w:r w:rsidRPr="009F10EE">
        <w:rPr>
          <w:rFonts w:ascii="Times New Roman" w:eastAsia="Times New Roman" w:hAnsi="Times New Roman" w:cs="Times New Roman"/>
          <w:b/>
          <w:lang w:eastAsia="ar-SA"/>
        </w:rPr>
        <w:t xml:space="preserve"> </w:t>
      </w:r>
    </w:p>
    <w:p w14:paraId="0C43E462"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239D2C5D"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PVC/PE/PVdC permatomos aliuminio lizdinės plokštelės.</w:t>
      </w:r>
    </w:p>
    <w:p w14:paraId="5FBBBE6E" w14:textId="77777777" w:rsidR="008C4948" w:rsidRPr="009F10EE" w:rsidRDefault="008C4948" w:rsidP="008C4948">
      <w:pPr>
        <w:tabs>
          <w:tab w:val="left" w:pos="567"/>
        </w:tabs>
        <w:spacing w:after="0" w:line="240" w:lineRule="auto"/>
        <w:rPr>
          <w:rFonts w:ascii="Times New Roman" w:eastAsia="Times New Roman" w:hAnsi="Times New Roman" w:cs="Times New Roman"/>
          <w:u w:val="single"/>
          <w:lang w:eastAsia="lt-LT"/>
        </w:rPr>
      </w:pPr>
    </w:p>
    <w:p w14:paraId="4085693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u w:val="single"/>
          <w:lang w:eastAsia="lt-LT"/>
        </w:rPr>
        <w:t>Pakuočių dydžiai:</w:t>
      </w:r>
      <w:r w:rsidRPr="009F10EE">
        <w:rPr>
          <w:rFonts w:ascii="Times New Roman" w:eastAsia="Times New Roman" w:hAnsi="Times New Roman" w:cs="Times New Roman"/>
          <w:lang w:eastAsia="lt-LT"/>
        </w:rPr>
        <w:t xml:space="preserve"> 14, 28, 30, 84 arba 90 tablečių.</w:t>
      </w:r>
    </w:p>
    <w:p w14:paraId="592221FE"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0D7F0443"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Gali būti tiekiamos ne visų dydžių pakuotės.</w:t>
      </w:r>
    </w:p>
    <w:p w14:paraId="5CD342E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2FBA531D" w14:textId="77777777" w:rsidR="008C4948" w:rsidRPr="009F10EE" w:rsidRDefault="008C4948" w:rsidP="00B65F27">
      <w:pPr>
        <w:keepNext/>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bookmarkStart w:id="1" w:name="OLE_LINK1"/>
      <w:r w:rsidRPr="009F10EE">
        <w:rPr>
          <w:rFonts w:ascii="Times New Roman" w:eastAsia="Times New Roman" w:hAnsi="Times New Roman" w:cs="Times New Roman"/>
          <w:b/>
        </w:rPr>
        <w:t>6.6</w:t>
      </w:r>
      <w:r w:rsidRPr="009F10EE">
        <w:rPr>
          <w:rFonts w:ascii="Times New Roman" w:eastAsia="Times New Roman" w:hAnsi="Times New Roman" w:cs="Times New Roman"/>
          <w:b/>
        </w:rPr>
        <w:tab/>
        <w:t xml:space="preserve">Specialūs reikalavimai atliekoms tvarkyti </w:t>
      </w:r>
    </w:p>
    <w:bookmarkEnd w:id="1"/>
    <w:p w14:paraId="1A13460C" w14:textId="77777777" w:rsidR="008C4948" w:rsidRPr="009F10EE" w:rsidRDefault="008C4948" w:rsidP="00B65F27">
      <w:pPr>
        <w:keepNext/>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7072EAE9" w14:textId="77777777" w:rsidR="008C4948" w:rsidRPr="009F10EE" w:rsidRDefault="008C4948" w:rsidP="00B65F27">
      <w:pPr>
        <w:keepNext/>
        <w:tabs>
          <w:tab w:val="left" w:pos="567"/>
        </w:tabs>
        <w:spacing w:after="0" w:line="240" w:lineRule="auto"/>
        <w:rPr>
          <w:rFonts w:ascii="Times New Roman" w:eastAsia="Times New Roman" w:hAnsi="Times New Roman" w:cs="Times New Roman"/>
          <w:lang w:eastAsia="ar-SA"/>
        </w:rPr>
      </w:pPr>
      <w:r w:rsidRPr="009F10EE">
        <w:rPr>
          <w:rFonts w:ascii="Times New Roman" w:eastAsia="Times New Roman" w:hAnsi="Times New Roman" w:cs="Times New Roman"/>
          <w:lang w:eastAsia="ar-SA"/>
        </w:rPr>
        <w:t>Nesuvartotą vaistinį preparatą ar atliekas reikia tvarkyti laikantis vietinių reikalavimų.</w:t>
      </w:r>
    </w:p>
    <w:p w14:paraId="03AAE176" w14:textId="77777777" w:rsidR="008C4948" w:rsidRPr="009F10EE" w:rsidRDefault="008C4948" w:rsidP="00B65F27">
      <w:pPr>
        <w:keepNext/>
        <w:tabs>
          <w:tab w:val="left" w:pos="567"/>
        </w:tabs>
        <w:spacing w:after="0" w:line="240" w:lineRule="auto"/>
        <w:rPr>
          <w:rFonts w:ascii="Times New Roman" w:eastAsia="Times New Roman" w:hAnsi="Times New Roman" w:cs="Times New Roman"/>
          <w:lang w:eastAsia="ar-SA"/>
        </w:rPr>
      </w:pPr>
    </w:p>
    <w:p w14:paraId="4D98263C" w14:textId="77777777" w:rsidR="008C4948" w:rsidRPr="009F10EE" w:rsidRDefault="008C4948" w:rsidP="00B65F27">
      <w:pPr>
        <w:keepNext/>
        <w:tabs>
          <w:tab w:val="left" w:pos="567"/>
        </w:tabs>
        <w:spacing w:after="0" w:line="240" w:lineRule="auto"/>
        <w:rPr>
          <w:rFonts w:ascii="Times New Roman" w:eastAsia="Times New Roman" w:hAnsi="Times New Roman" w:cs="Times New Roman"/>
          <w:lang w:eastAsia="ar-SA"/>
        </w:rPr>
      </w:pPr>
    </w:p>
    <w:p w14:paraId="60FFB8BE" w14:textId="77777777" w:rsidR="008C4948" w:rsidRPr="009F10EE" w:rsidRDefault="008C4948" w:rsidP="008C4948">
      <w:pPr>
        <w:keepNext/>
        <w:keepLines/>
        <w:tabs>
          <w:tab w:val="left" w:pos="567"/>
        </w:tabs>
        <w:spacing w:after="0" w:line="240" w:lineRule="auto"/>
        <w:outlineLvl w:val="2"/>
        <w:rPr>
          <w:rFonts w:ascii="Times New Roman" w:eastAsia="Times New Roman" w:hAnsi="Times New Roman" w:cs="Times New Roman"/>
          <w:b/>
          <w:bCs/>
          <w:snapToGrid w:val="0"/>
        </w:rPr>
      </w:pPr>
      <w:r w:rsidRPr="009F10EE">
        <w:rPr>
          <w:rFonts w:ascii="Times New Roman" w:eastAsia="Times New Roman" w:hAnsi="Times New Roman" w:cs="Times New Roman"/>
          <w:b/>
          <w:bCs/>
          <w:snapToGrid w:val="0"/>
        </w:rPr>
        <w:t>7.</w:t>
      </w:r>
      <w:r w:rsidRPr="009F10EE">
        <w:rPr>
          <w:rFonts w:ascii="Times New Roman" w:eastAsia="Times New Roman" w:hAnsi="Times New Roman" w:cs="Times New Roman"/>
          <w:b/>
          <w:bCs/>
          <w:snapToGrid w:val="0"/>
        </w:rPr>
        <w:tab/>
        <w:t>REGISTRUOTOJAS</w:t>
      </w:r>
    </w:p>
    <w:p w14:paraId="4D5F2EE8" w14:textId="77777777" w:rsidR="008C4948" w:rsidRPr="009F10EE" w:rsidRDefault="008C4948" w:rsidP="008C4948">
      <w:pPr>
        <w:spacing w:after="0" w:line="240" w:lineRule="auto"/>
        <w:rPr>
          <w:rFonts w:ascii="Times New Roman" w:eastAsia="Times New Roman" w:hAnsi="Times New Roman" w:cs="Times New Roman"/>
          <w:snapToGrid w:val="0"/>
        </w:rPr>
      </w:pPr>
    </w:p>
    <w:p w14:paraId="57976AF9" w14:textId="52B142BD" w:rsidR="008C4948" w:rsidRPr="009F10EE" w:rsidRDefault="008C4948" w:rsidP="00E638B1">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 xml:space="preserve">Accord Healthcare </w:t>
      </w:r>
      <w:r w:rsidR="00C63DF6" w:rsidRPr="009F10EE">
        <w:rPr>
          <w:rFonts w:ascii="Times New Roman" w:hAnsi="Times New Roman" w:cs="Times New Roman"/>
        </w:rPr>
        <w:t xml:space="preserve">B.V. </w:t>
      </w:r>
    </w:p>
    <w:p w14:paraId="618945BE"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 xml:space="preserve">Winthontlaan 200 </w:t>
      </w:r>
    </w:p>
    <w:p w14:paraId="6A456549"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 xml:space="preserve">3526 KV Utrecht </w:t>
      </w:r>
    </w:p>
    <w:p w14:paraId="034B8481"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Nyderlandai</w:t>
      </w:r>
    </w:p>
    <w:p w14:paraId="39C75E62" w14:textId="77777777" w:rsidR="008C4948" w:rsidRPr="009F10EE" w:rsidRDefault="008C4948" w:rsidP="008C4948">
      <w:pPr>
        <w:spacing w:after="0" w:line="240" w:lineRule="auto"/>
        <w:rPr>
          <w:rFonts w:ascii="Times New Roman" w:eastAsia="Times New Roman" w:hAnsi="Times New Roman" w:cs="Times New Roman"/>
          <w:snapToGrid w:val="0"/>
        </w:rPr>
      </w:pPr>
    </w:p>
    <w:p w14:paraId="307CAA7F" w14:textId="77777777" w:rsidR="008C4948" w:rsidRPr="009F10EE" w:rsidRDefault="008C4948" w:rsidP="008C4948">
      <w:pPr>
        <w:spacing w:after="0" w:line="240" w:lineRule="auto"/>
        <w:rPr>
          <w:rFonts w:ascii="Times New Roman" w:eastAsia="Times New Roman" w:hAnsi="Times New Roman" w:cs="Times New Roman"/>
          <w:snapToGrid w:val="0"/>
        </w:rPr>
      </w:pPr>
    </w:p>
    <w:p w14:paraId="39A59C42" w14:textId="77777777" w:rsidR="008C4948" w:rsidRPr="009F10EE" w:rsidRDefault="008C4948" w:rsidP="008C4948">
      <w:pPr>
        <w:keepNext/>
        <w:keepLines/>
        <w:tabs>
          <w:tab w:val="left" w:pos="567"/>
        </w:tabs>
        <w:spacing w:after="0" w:line="240" w:lineRule="auto"/>
        <w:outlineLvl w:val="2"/>
        <w:rPr>
          <w:rFonts w:ascii="Times New Roman" w:eastAsia="Times New Roman" w:hAnsi="Times New Roman" w:cs="Times New Roman"/>
          <w:b/>
          <w:bCs/>
          <w:snapToGrid w:val="0"/>
        </w:rPr>
      </w:pPr>
      <w:r w:rsidRPr="009F10EE">
        <w:rPr>
          <w:rFonts w:ascii="Times New Roman" w:eastAsia="Times New Roman" w:hAnsi="Times New Roman" w:cs="Times New Roman"/>
          <w:b/>
          <w:bCs/>
          <w:snapToGrid w:val="0"/>
        </w:rPr>
        <w:t>8.</w:t>
      </w:r>
      <w:r w:rsidRPr="009F10EE">
        <w:rPr>
          <w:rFonts w:ascii="Times New Roman" w:eastAsia="Times New Roman" w:hAnsi="Times New Roman" w:cs="Times New Roman"/>
          <w:b/>
          <w:bCs/>
          <w:snapToGrid w:val="0"/>
        </w:rPr>
        <w:tab/>
        <w:t xml:space="preserve">REGISTRACIJOS PAŽYMĖJIMO NUMERIS (-IAI) </w:t>
      </w:r>
    </w:p>
    <w:p w14:paraId="21686CD1" w14:textId="77777777" w:rsidR="008C4948" w:rsidRPr="009F10EE" w:rsidRDefault="008C4948" w:rsidP="008C4948">
      <w:pPr>
        <w:spacing w:after="0" w:line="240" w:lineRule="auto"/>
        <w:rPr>
          <w:rFonts w:ascii="Times New Roman" w:eastAsia="Times New Roman" w:hAnsi="Times New Roman" w:cs="Times New Roman"/>
          <w:snapToGrid w:val="0"/>
        </w:rPr>
      </w:pPr>
    </w:p>
    <w:p w14:paraId="64693230" w14:textId="77777777" w:rsidR="00133AB8" w:rsidRPr="00133AB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LT/1/16/3972/001 – N14</w:t>
      </w:r>
    </w:p>
    <w:p w14:paraId="32B73534" w14:textId="77777777" w:rsidR="00133AB8" w:rsidRPr="00133AB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LT/1/16/3972/002 – N28</w:t>
      </w:r>
    </w:p>
    <w:p w14:paraId="3980D698" w14:textId="77777777" w:rsidR="00133AB8" w:rsidRPr="00133AB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LT/1/16/3972/003 – N30</w:t>
      </w:r>
    </w:p>
    <w:p w14:paraId="1EB562BB" w14:textId="77777777" w:rsidR="00133AB8" w:rsidRPr="00133AB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LT/1/16/3972/004 – N84</w:t>
      </w:r>
    </w:p>
    <w:p w14:paraId="05D233D6" w14:textId="2F996DC9" w:rsidR="008C494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LT/1/16/3972/005 – N90</w:t>
      </w:r>
    </w:p>
    <w:p w14:paraId="2C15874C" w14:textId="77777777" w:rsidR="00133AB8" w:rsidRPr="009F10EE" w:rsidRDefault="00133AB8" w:rsidP="00133AB8">
      <w:pPr>
        <w:spacing w:after="0" w:line="240" w:lineRule="auto"/>
        <w:rPr>
          <w:rFonts w:ascii="Times New Roman" w:eastAsia="Times New Roman" w:hAnsi="Times New Roman" w:cs="Times New Roman"/>
          <w:snapToGrid w:val="0"/>
        </w:rPr>
      </w:pPr>
    </w:p>
    <w:p w14:paraId="6C1B5F79" w14:textId="77777777" w:rsidR="008C4948" w:rsidRPr="009F10EE" w:rsidRDefault="008C4948" w:rsidP="008C4948">
      <w:pPr>
        <w:spacing w:after="0" w:line="240" w:lineRule="auto"/>
        <w:rPr>
          <w:rFonts w:ascii="Times New Roman" w:eastAsia="Times New Roman" w:hAnsi="Times New Roman" w:cs="Times New Roman"/>
          <w:snapToGrid w:val="0"/>
        </w:rPr>
      </w:pPr>
    </w:p>
    <w:p w14:paraId="712A90C7" w14:textId="77777777" w:rsidR="008C4948" w:rsidRPr="009F10EE" w:rsidRDefault="008C4948" w:rsidP="008C4948">
      <w:pPr>
        <w:keepNext/>
        <w:keepLines/>
        <w:tabs>
          <w:tab w:val="left" w:pos="567"/>
        </w:tabs>
        <w:spacing w:after="0" w:line="240" w:lineRule="auto"/>
        <w:outlineLvl w:val="2"/>
        <w:rPr>
          <w:rFonts w:ascii="Times New Roman" w:eastAsia="Times New Roman" w:hAnsi="Times New Roman" w:cs="Times New Roman"/>
          <w:b/>
          <w:bCs/>
          <w:snapToGrid w:val="0"/>
        </w:rPr>
      </w:pPr>
      <w:r w:rsidRPr="009F10EE">
        <w:rPr>
          <w:rFonts w:ascii="Times New Roman" w:eastAsia="Times New Roman" w:hAnsi="Times New Roman" w:cs="Times New Roman"/>
          <w:b/>
          <w:bCs/>
          <w:snapToGrid w:val="0"/>
        </w:rPr>
        <w:t>9.</w:t>
      </w:r>
      <w:r w:rsidRPr="009F10EE">
        <w:rPr>
          <w:rFonts w:ascii="Times New Roman" w:eastAsia="Times New Roman" w:hAnsi="Times New Roman" w:cs="Times New Roman"/>
          <w:b/>
          <w:bCs/>
          <w:snapToGrid w:val="0"/>
        </w:rPr>
        <w:tab/>
        <w:t>REGISTRAVIMO / PERREGISTRAVIMO DATA</w:t>
      </w:r>
    </w:p>
    <w:p w14:paraId="09010AD2" w14:textId="77777777" w:rsidR="008C4948" w:rsidRPr="009F10EE" w:rsidRDefault="008C4948" w:rsidP="008C4948">
      <w:pPr>
        <w:spacing w:after="0" w:line="240" w:lineRule="auto"/>
        <w:rPr>
          <w:rFonts w:ascii="Times New Roman" w:eastAsia="Times New Roman" w:hAnsi="Times New Roman" w:cs="Times New Roman"/>
          <w:snapToGrid w:val="0"/>
        </w:rPr>
      </w:pPr>
    </w:p>
    <w:p w14:paraId="0808DCC1" w14:textId="77777777" w:rsidR="008C4948" w:rsidRPr="009F10EE" w:rsidRDefault="008C4948" w:rsidP="008C4948">
      <w:pPr>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Registravimo data 2016 m. rugsėjo 26 d.</w:t>
      </w:r>
    </w:p>
    <w:p w14:paraId="57099002" w14:textId="6E894847" w:rsidR="008C4948" w:rsidRPr="009F10EE" w:rsidRDefault="003468F3" w:rsidP="008C4948">
      <w:pPr>
        <w:spacing w:after="0" w:line="240" w:lineRule="auto"/>
        <w:rPr>
          <w:rFonts w:ascii="Times New Roman" w:eastAsia="Times New Roman" w:hAnsi="Times New Roman" w:cs="Times New Roman"/>
          <w:snapToGrid w:val="0"/>
        </w:rPr>
      </w:pPr>
      <w:r w:rsidRPr="003468F3">
        <w:rPr>
          <w:rFonts w:ascii="Times New Roman" w:eastAsia="Times New Roman" w:hAnsi="Times New Roman" w:cs="Times New Roman"/>
          <w:snapToGrid w:val="0"/>
        </w:rPr>
        <w:t>Paskutinio perregistravimo data</w:t>
      </w:r>
      <w:r>
        <w:rPr>
          <w:rFonts w:ascii="Times New Roman" w:eastAsia="Times New Roman" w:hAnsi="Times New Roman" w:cs="Times New Roman"/>
          <w:snapToGrid w:val="0"/>
        </w:rPr>
        <w:t xml:space="preserve"> 2022 m.</w:t>
      </w:r>
      <w:r w:rsidR="00133AB8">
        <w:rPr>
          <w:rFonts w:ascii="Times New Roman" w:eastAsia="Times New Roman" w:hAnsi="Times New Roman" w:cs="Times New Roman"/>
          <w:snapToGrid w:val="0"/>
        </w:rPr>
        <w:t xml:space="preserve"> balandžio 22 d.</w:t>
      </w:r>
    </w:p>
    <w:p w14:paraId="724EEC24" w14:textId="77777777" w:rsidR="006D586E" w:rsidRPr="009F10EE" w:rsidRDefault="006D586E" w:rsidP="008C4948">
      <w:pPr>
        <w:spacing w:after="0" w:line="240" w:lineRule="auto"/>
        <w:rPr>
          <w:rFonts w:ascii="Times New Roman" w:eastAsia="Times New Roman" w:hAnsi="Times New Roman" w:cs="Times New Roman"/>
          <w:snapToGrid w:val="0"/>
        </w:rPr>
      </w:pPr>
    </w:p>
    <w:p w14:paraId="3B4508FB" w14:textId="77777777" w:rsidR="008C4948" w:rsidRPr="009F10EE" w:rsidRDefault="008C4948" w:rsidP="0099070E">
      <w:pPr>
        <w:keepNext/>
        <w:keepLines/>
        <w:tabs>
          <w:tab w:val="left" w:pos="567"/>
        </w:tabs>
        <w:spacing w:after="0" w:line="240" w:lineRule="auto"/>
        <w:outlineLvl w:val="2"/>
        <w:rPr>
          <w:rFonts w:ascii="Times New Roman" w:eastAsia="Times New Roman" w:hAnsi="Times New Roman" w:cs="Times New Roman"/>
          <w:b/>
          <w:bCs/>
          <w:snapToGrid w:val="0"/>
        </w:rPr>
      </w:pPr>
      <w:r w:rsidRPr="009F10EE">
        <w:rPr>
          <w:rFonts w:ascii="Times New Roman" w:eastAsia="Times New Roman" w:hAnsi="Times New Roman" w:cs="Times New Roman"/>
          <w:b/>
          <w:bCs/>
          <w:snapToGrid w:val="0"/>
        </w:rPr>
        <w:t>10.</w:t>
      </w:r>
      <w:r w:rsidRPr="009F10EE">
        <w:rPr>
          <w:rFonts w:ascii="Times New Roman" w:eastAsia="Times New Roman" w:hAnsi="Times New Roman" w:cs="Times New Roman"/>
          <w:b/>
          <w:bCs/>
          <w:snapToGrid w:val="0"/>
        </w:rPr>
        <w:tab/>
        <w:t>TEKSTO PERŽIŪROS DATA</w:t>
      </w:r>
    </w:p>
    <w:p w14:paraId="40A70FDD" w14:textId="77777777" w:rsidR="00133AB8" w:rsidRDefault="00133AB8" w:rsidP="00B16E93">
      <w:pPr>
        <w:keepNext/>
        <w:spacing w:after="0" w:line="240" w:lineRule="auto"/>
        <w:rPr>
          <w:rFonts w:ascii="Times New Roman" w:eastAsia="Times New Roman" w:hAnsi="Times New Roman" w:cs="Times New Roman"/>
          <w:snapToGrid w:val="0"/>
        </w:rPr>
      </w:pPr>
    </w:p>
    <w:p w14:paraId="397A2791" w14:textId="50B4FB8C" w:rsidR="008A6596" w:rsidRPr="009F10EE" w:rsidRDefault="008E30EC" w:rsidP="00B16E93">
      <w:pPr>
        <w:keepNext/>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2024 m. kovo 15 d.</w:t>
      </w:r>
    </w:p>
    <w:p w14:paraId="5AE87F47" w14:textId="77777777" w:rsidR="008C4948" w:rsidRPr="009F10EE" w:rsidRDefault="008C4948" w:rsidP="008C4948">
      <w:pPr>
        <w:spacing w:after="0" w:line="240" w:lineRule="auto"/>
        <w:rPr>
          <w:rFonts w:ascii="Times New Roman" w:eastAsia="Times New Roman" w:hAnsi="Times New Roman" w:cs="Times New Roman"/>
          <w:snapToGrid w:val="0"/>
        </w:rPr>
      </w:pPr>
    </w:p>
    <w:p w14:paraId="2467A32E" w14:textId="77777777" w:rsidR="008C4948" w:rsidRPr="009F10EE" w:rsidRDefault="008C4948" w:rsidP="008C4948">
      <w:pPr>
        <w:tabs>
          <w:tab w:val="left" w:pos="5954"/>
          <w:tab w:val="left" w:pos="6237"/>
          <w:tab w:val="left" w:pos="6663"/>
          <w:tab w:val="left" w:pos="6946"/>
        </w:tabs>
        <w:spacing w:after="0" w:line="240" w:lineRule="auto"/>
        <w:rPr>
          <w:rFonts w:ascii="Times New Roman" w:eastAsia="SimSun" w:hAnsi="Times New Roman" w:cs="Times New Roman"/>
        </w:rPr>
      </w:pPr>
      <w:r w:rsidRPr="009F10EE">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9F10EE">
        <w:rPr>
          <w:rFonts w:ascii="Times New Roman" w:eastAsia="SimSun" w:hAnsi="Times New Roman" w:cs="Times New Roman"/>
          <w:i/>
        </w:rPr>
        <w:t xml:space="preserve"> </w:t>
      </w:r>
      <w:hyperlink r:id="rId8" w:history="1">
        <w:r w:rsidRPr="009F10EE">
          <w:rPr>
            <w:rStyle w:val="Hipersaitas"/>
            <w:rFonts w:ascii="Times New Roman" w:hAnsi="Times New Roman" w:cs="Times New Roman"/>
          </w:rPr>
          <w:t>http://www.vvkt.lt</w:t>
        </w:r>
      </w:hyperlink>
    </w:p>
    <w:p w14:paraId="36EBF421" w14:textId="77777777" w:rsidR="008C4948" w:rsidRPr="009F10EE" w:rsidRDefault="008C4948" w:rsidP="008C4948">
      <w:pPr>
        <w:rPr>
          <w:rFonts w:ascii="Times New Roman" w:eastAsia="SimSun" w:hAnsi="Times New Roman" w:cs="Times New Roman"/>
        </w:rPr>
      </w:pPr>
      <w:r w:rsidRPr="009F10EE">
        <w:rPr>
          <w:rFonts w:ascii="Times New Roman" w:eastAsia="SimSun" w:hAnsi="Times New Roman" w:cs="Times New Roman"/>
        </w:rPr>
        <w:br w:type="page"/>
      </w:r>
    </w:p>
    <w:p w14:paraId="1501565B"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r w:rsidRPr="009F10EE">
        <w:rPr>
          <w:rFonts w:ascii="Times New Roman" w:eastAsia="Times New Roman" w:hAnsi="Times New Roman" w:cs="Times New Roman"/>
          <w:b/>
          <w:lang w:eastAsia="lt-LT"/>
        </w:rPr>
        <w:lastRenderedPageBreak/>
        <w:t>1.</w:t>
      </w:r>
      <w:r w:rsidRPr="009F10EE">
        <w:rPr>
          <w:rFonts w:ascii="Times New Roman" w:eastAsia="Times New Roman" w:hAnsi="Times New Roman" w:cs="Times New Roman"/>
          <w:b/>
          <w:lang w:eastAsia="lt-LT"/>
        </w:rPr>
        <w:tab/>
        <w:t>VAISTINIO PREPARATO PAVADINIMAS</w:t>
      </w:r>
    </w:p>
    <w:p w14:paraId="6F5A95A8"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p>
    <w:p w14:paraId="012C3B81"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Tadalafil Accord 10 mg pl</w:t>
      </w:r>
      <w:r w:rsidRPr="009F10EE">
        <w:rPr>
          <w:rFonts w:ascii="Times New Roman" w:eastAsia="TimesNewRomanPSMT" w:hAnsi="Times New Roman" w:cs="Times New Roman"/>
          <w:lang w:eastAsia="lt-LT"/>
        </w:rPr>
        <w:t>ė</w:t>
      </w:r>
      <w:r w:rsidRPr="009F10EE">
        <w:rPr>
          <w:rFonts w:ascii="Times New Roman" w:eastAsia="Times New Roman" w:hAnsi="Times New Roman" w:cs="Times New Roman"/>
          <w:lang w:eastAsia="lt-LT"/>
        </w:rPr>
        <w:t>vele dengtos tablet</w:t>
      </w:r>
      <w:r w:rsidRPr="009F10EE">
        <w:rPr>
          <w:rFonts w:ascii="Times New Roman" w:eastAsia="TimesNewRomanPSMT" w:hAnsi="Times New Roman" w:cs="Times New Roman"/>
          <w:lang w:eastAsia="lt-LT"/>
        </w:rPr>
        <w:t>ė</w:t>
      </w:r>
      <w:r w:rsidRPr="009F10EE">
        <w:rPr>
          <w:rFonts w:ascii="Times New Roman" w:eastAsia="Times New Roman" w:hAnsi="Times New Roman" w:cs="Times New Roman"/>
          <w:lang w:eastAsia="lt-LT"/>
        </w:rPr>
        <w:t>s</w:t>
      </w:r>
    </w:p>
    <w:p w14:paraId="18F385E1"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163BD30"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A5DC578" w14:textId="77777777" w:rsidR="008C4948" w:rsidRPr="009F10EE" w:rsidRDefault="008C4948" w:rsidP="008C4948">
      <w:pPr>
        <w:keepNext/>
        <w:tabs>
          <w:tab w:val="left" w:pos="567"/>
        </w:tabs>
        <w:spacing w:after="0" w:line="240" w:lineRule="auto"/>
        <w:outlineLvl w:val="2"/>
        <w:rPr>
          <w:rFonts w:ascii="Times New Roman" w:eastAsia="Times New Roman" w:hAnsi="Times New Roman" w:cs="Times New Roman"/>
          <w:b/>
          <w:bCs/>
        </w:rPr>
      </w:pPr>
      <w:r w:rsidRPr="009F10EE">
        <w:rPr>
          <w:rFonts w:ascii="Times New Roman" w:eastAsia="Times New Roman" w:hAnsi="Times New Roman" w:cs="Times New Roman"/>
          <w:b/>
          <w:bCs/>
        </w:rPr>
        <w:t>2.</w:t>
      </w:r>
      <w:r w:rsidRPr="009F10EE">
        <w:rPr>
          <w:rFonts w:ascii="Times New Roman" w:eastAsia="Times New Roman" w:hAnsi="Times New Roman" w:cs="Times New Roman"/>
          <w:b/>
          <w:bCs/>
        </w:rPr>
        <w:tab/>
        <w:t>KOKYBINĖ IR KIEKYBINĖ SUDĖTIS</w:t>
      </w:r>
    </w:p>
    <w:p w14:paraId="7A6D8BD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799E19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K</w:t>
      </w:r>
      <w:r w:rsidRPr="009F10EE">
        <w:rPr>
          <w:rFonts w:ascii="Times New Roman" w:eastAsia="TimesNewRomanPSMT" w:hAnsi="Times New Roman" w:cs="Times New Roman"/>
          <w:lang w:eastAsia="lt-LT"/>
        </w:rPr>
        <w:t>iekvienoje plėvele dengtoje tabletėje yra 10 mg tadalafilio.</w:t>
      </w:r>
    </w:p>
    <w:p w14:paraId="45711449"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1E23FC9A"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u w:val="single"/>
          <w:lang w:eastAsia="lt-LT"/>
        </w:rPr>
        <w:t>Pagalbinė medžiaga, kurios poveikis žinomas</w:t>
      </w:r>
      <w:r w:rsidRPr="009F10EE">
        <w:rPr>
          <w:rFonts w:ascii="Times New Roman" w:eastAsia="TimesNewRomanPSMT" w:hAnsi="Times New Roman" w:cs="Times New Roman"/>
          <w:lang w:eastAsia="lt-LT"/>
        </w:rPr>
        <w:t xml:space="preserve">: </w:t>
      </w:r>
    </w:p>
    <w:p w14:paraId="659E6FB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lang w:eastAsia="lt-LT"/>
        </w:rPr>
        <w:t>Laktozė (monohidrato pavidalu)</w:t>
      </w:r>
    </w:p>
    <w:p w14:paraId="0A31B706"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highlight w:val="lightGray"/>
          <w:lang w:eastAsia="lt-LT"/>
        </w:rPr>
      </w:pPr>
      <w:r w:rsidRPr="009F10EE">
        <w:rPr>
          <w:rFonts w:ascii="Times New Roman" w:eastAsia="Times New Roman" w:hAnsi="Times New Roman" w:cs="Times New Roman"/>
          <w:lang w:eastAsia="lt-LT"/>
        </w:rPr>
        <w:t>K</w:t>
      </w:r>
      <w:r w:rsidRPr="009F10EE">
        <w:rPr>
          <w:rFonts w:ascii="Times New Roman" w:eastAsia="TimesNewRomanPSMT" w:hAnsi="Times New Roman" w:cs="Times New Roman"/>
          <w:lang w:eastAsia="lt-LT"/>
        </w:rPr>
        <w:t>iekvienoje plėvele dengtoje tabletėje yra 183,144 mg laktozės (monohidrato pavidalu).</w:t>
      </w:r>
    </w:p>
    <w:p w14:paraId="30472358"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p>
    <w:p w14:paraId="3423A95B"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Visos pagalbinės medžiagos išvardytos 6.1 skyriuje.</w:t>
      </w:r>
    </w:p>
    <w:p w14:paraId="5724DF59"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3C994AA0"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FD0A82D" w14:textId="77777777" w:rsidR="008C4948" w:rsidRPr="009F10EE" w:rsidRDefault="008C4948" w:rsidP="008C4948">
      <w:pPr>
        <w:keepNext/>
        <w:tabs>
          <w:tab w:val="left" w:pos="567"/>
        </w:tabs>
        <w:spacing w:after="0" w:line="240" w:lineRule="auto"/>
        <w:outlineLvl w:val="2"/>
        <w:rPr>
          <w:rFonts w:ascii="Times New Roman" w:eastAsia="Times New Roman" w:hAnsi="Times New Roman" w:cs="Times New Roman"/>
          <w:b/>
          <w:bCs/>
        </w:rPr>
      </w:pPr>
      <w:r w:rsidRPr="009F10EE">
        <w:rPr>
          <w:rFonts w:ascii="Times New Roman" w:eastAsia="Times New Roman" w:hAnsi="Times New Roman" w:cs="Times New Roman"/>
          <w:b/>
          <w:bCs/>
        </w:rPr>
        <w:t>3.</w:t>
      </w:r>
      <w:r w:rsidRPr="009F10EE">
        <w:rPr>
          <w:rFonts w:ascii="Times New Roman" w:eastAsia="Times New Roman" w:hAnsi="Times New Roman" w:cs="Times New Roman"/>
          <w:b/>
          <w:bCs/>
        </w:rPr>
        <w:tab/>
        <w:t>FARMACINĖ FORMA</w:t>
      </w:r>
    </w:p>
    <w:p w14:paraId="62D0AE3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AB7AAE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Plėvele dengta tabletė.</w:t>
      </w:r>
    </w:p>
    <w:p w14:paraId="73251C1D"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1B47274" w14:textId="77777777" w:rsidR="008C4948" w:rsidRPr="009F10EE" w:rsidRDefault="008C4948" w:rsidP="008C4948">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color w:val="000000"/>
        </w:rPr>
        <w:t>Šviesiai geltona, kapsulės formos, maždaug 11 mm ilgio ir 5,5 mm pločio, abipus išgaubta plėvele dengta tabletė nuožulniais kraštais, vienoje pusėje įspausta „T 10“, kita pusė lygi.</w:t>
      </w:r>
    </w:p>
    <w:p w14:paraId="3297B7F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017940E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23BB5394" w14:textId="77777777" w:rsidR="008C4948" w:rsidRPr="009F10EE" w:rsidRDefault="008C4948" w:rsidP="008C4948">
      <w:pPr>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w:t>
      </w:r>
      <w:r w:rsidRPr="009F10EE">
        <w:rPr>
          <w:rFonts w:ascii="Times New Roman" w:eastAsia="Times New Roman" w:hAnsi="Times New Roman" w:cs="Times New Roman"/>
          <w:b/>
        </w:rPr>
        <w:tab/>
        <w:t>KLINIKINĖ INFORMACIJA</w:t>
      </w:r>
    </w:p>
    <w:p w14:paraId="64822C0E"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0E111E0" w14:textId="77777777" w:rsidR="008C4948" w:rsidRPr="009F10EE" w:rsidRDefault="008C4948" w:rsidP="008C4948">
      <w:pPr>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4.1</w:t>
      </w:r>
      <w:r w:rsidRPr="009F10EE">
        <w:rPr>
          <w:rFonts w:ascii="Times New Roman" w:eastAsia="Times New Roman" w:hAnsi="Times New Roman" w:cs="Times New Roman"/>
          <w:b/>
        </w:rPr>
        <w:tab/>
        <w:t>Terapinės indikacijos</w:t>
      </w:r>
    </w:p>
    <w:p w14:paraId="0577BF68"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DF6A42A"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Suaugusių vyrų erekcijos funkcijos sutrikimo gydymas.</w:t>
      </w:r>
    </w:p>
    <w:p w14:paraId="5A04BF9D"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0337DA82" w14:textId="4A2311DC"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Kad tadalafilis būtų veiksmingas, būtina seksualinė stimuliacija.</w:t>
      </w:r>
    </w:p>
    <w:p w14:paraId="10C652FE"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236AA2BC" w14:textId="3E710342"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Tadalafil Accord nėra skirtas vartoti moterims.</w:t>
      </w:r>
    </w:p>
    <w:p w14:paraId="4CF1C33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1DAE24E"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r w:rsidRPr="009F10EE">
        <w:rPr>
          <w:rFonts w:ascii="Times New Roman" w:eastAsia="Times New Roman" w:hAnsi="Times New Roman" w:cs="Times New Roman"/>
          <w:b/>
          <w:lang w:eastAsia="lt-LT"/>
        </w:rPr>
        <w:t>4.2</w:t>
      </w:r>
      <w:r w:rsidRPr="009F10EE">
        <w:rPr>
          <w:rFonts w:ascii="Times New Roman" w:eastAsia="Times New Roman" w:hAnsi="Times New Roman" w:cs="Times New Roman"/>
          <w:b/>
          <w:lang w:eastAsia="lt-LT"/>
        </w:rPr>
        <w:tab/>
        <w:t>Dozavimas ir vartojimo metodas</w:t>
      </w:r>
    </w:p>
    <w:p w14:paraId="7528B58E"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p>
    <w:p w14:paraId="35CA0617" w14:textId="77777777" w:rsidR="008C4948" w:rsidRPr="009F10EE" w:rsidRDefault="008C4948" w:rsidP="008C4948">
      <w:pPr>
        <w:tabs>
          <w:tab w:val="left" w:pos="567"/>
        </w:tabs>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Dozavimas</w:t>
      </w:r>
    </w:p>
    <w:p w14:paraId="225883CA"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38C49148"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Suaugusiems vyrams</w:t>
      </w:r>
    </w:p>
    <w:p w14:paraId="68065A22"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56BCC888"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Paprastai rekomenduojama dozė yra 10 mg. Ją reikia vartoti prieš planuojamus lytinius</w:t>
      </w:r>
      <w:r w:rsidRPr="009F10EE">
        <w:rPr>
          <w:rFonts w:ascii="Times New Roman" w:eastAsia="Times New Roman" w:hAnsi="Times New Roman" w:cs="Times New Roman"/>
          <w:lang w:eastAsia="lt-LT"/>
        </w:rPr>
        <w:t xml:space="preserve"> santykius, valgio metu arba nevalgius. </w:t>
      </w:r>
    </w:p>
    <w:p w14:paraId="2365DEC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Pacientams, kuriems 10 mg tadalafilio dozė pakankamo poveikio nesukelia, </w:t>
      </w:r>
      <w:r w:rsidRPr="009F10EE">
        <w:rPr>
          <w:rFonts w:ascii="Times New Roman" w:eastAsia="Times New Roman" w:hAnsi="Times New Roman" w:cs="Times New Roman"/>
          <w:lang w:eastAsia="lt-LT"/>
        </w:rPr>
        <w:t>gali būti išbandyta 20 mg</w:t>
      </w:r>
      <w:r w:rsidRPr="009F10EE">
        <w:rPr>
          <w:rFonts w:ascii="Times New Roman" w:eastAsia="TimesNewRomanPSMT" w:hAnsi="Times New Roman" w:cs="Times New Roman"/>
          <w:lang w:eastAsia="lt-LT"/>
        </w:rPr>
        <w:t xml:space="preserve"> dozė. Ją reikia vartoti iki lytinių santykių</w:t>
      </w:r>
      <w:r w:rsidRPr="009F10EE">
        <w:rPr>
          <w:rFonts w:ascii="Times New Roman" w:eastAsia="Times New Roman" w:hAnsi="Times New Roman" w:cs="Times New Roman"/>
          <w:lang w:eastAsia="lt-LT"/>
        </w:rPr>
        <w:t xml:space="preserve"> likus ne mažiau kaip 30 </w:t>
      </w:r>
      <w:r w:rsidRPr="009F10EE">
        <w:rPr>
          <w:rFonts w:ascii="Times New Roman" w:eastAsia="TimesNewRomanPSMT" w:hAnsi="Times New Roman" w:cs="Times New Roman"/>
          <w:lang w:eastAsia="lt-LT"/>
        </w:rPr>
        <w:t>min.</w:t>
      </w:r>
    </w:p>
    <w:p w14:paraId="161F4152"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819AAE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Vaistinio preparato galima vartoti ne dažniau kaip vieną kartą per parą.</w:t>
      </w:r>
    </w:p>
    <w:p w14:paraId="1BBE17A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69EB3F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Tadalafilio 10 mg ir 20 mg</w:t>
      </w:r>
      <w:r w:rsidRPr="009F10EE">
        <w:rPr>
          <w:rFonts w:ascii="Times New Roman" w:eastAsia="TimesNewRomanPSMT" w:hAnsi="Times New Roman" w:cs="Times New Roman"/>
          <w:lang w:eastAsia="lt-LT"/>
        </w:rPr>
        <w:t xml:space="preserve"> tabletės skirtos vartoti prieš planuojamus lytinius santykius, jų nerekomenduojama vartoti kasdien.</w:t>
      </w:r>
    </w:p>
    <w:p w14:paraId="716BEBF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447602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9C87392" w14:textId="0FDB0B5C" w:rsidR="005F03A9" w:rsidRPr="005F03A9" w:rsidRDefault="005F03A9" w:rsidP="005F03A9">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5F03A9">
        <w:rPr>
          <w:rFonts w:ascii="Times New Roman" w:eastAsia="TimesNewRomanPSMT" w:hAnsi="Times New Roman" w:cs="Times New Roman"/>
          <w:lang w:eastAsia="lt-LT"/>
        </w:rPr>
        <w:lastRenderedPageBreak/>
        <w:t xml:space="preserve">Atsižvelgiant į paciento pasirinkimą ir gydytojo sprendimą, pacientams, kurie Tadalafil Accord planuoja vartoti dažnai (t. y. mažiausiai 2 kartus per savaitę), gali tikti kasdieninis vienos mažesnės </w:t>
      </w:r>
      <w:r w:rsidR="008A6596" w:rsidRPr="00012F37">
        <w:rPr>
          <w:rFonts w:ascii="Times New Roman" w:eastAsia="TimesNewRomanPSMT" w:hAnsi="Times New Roman" w:cs="Times New Roman"/>
          <w:lang w:eastAsia="lt-LT"/>
        </w:rPr>
        <w:t>Tadalafil Accord</w:t>
      </w:r>
      <w:r w:rsidRPr="005F03A9">
        <w:rPr>
          <w:rFonts w:ascii="Times New Roman" w:eastAsia="TimesNewRomanPSMT" w:hAnsi="Times New Roman" w:cs="Times New Roman"/>
          <w:lang w:eastAsia="lt-LT"/>
        </w:rPr>
        <w:t xml:space="preserve"> dozės vartojimas.</w:t>
      </w:r>
    </w:p>
    <w:p w14:paraId="6A065777" w14:textId="77777777" w:rsidR="005F03A9" w:rsidRPr="005F03A9" w:rsidRDefault="005F03A9" w:rsidP="005F03A9">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0566F9D" w14:textId="77777777" w:rsidR="005F03A9" w:rsidRPr="005F03A9" w:rsidRDefault="005F03A9" w:rsidP="005F03A9">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5F03A9">
        <w:rPr>
          <w:rFonts w:ascii="Times New Roman" w:eastAsia="Times New Roman" w:hAnsi="Times New Roman" w:cs="Times New Roman"/>
          <w:lang w:eastAsia="lt-LT"/>
        </w:rPr>
        <w:t>Tokiems pacientams rekome</w:t>
      </w:r>
      <w:r w:rsidRPr="005F03A9">
        <w:rPr>
          <w:rFonts w:ascii="Times New Roman" w:eastAsia="TimesNewRomanPSMT" w:hAnsi="Times New Roman" w:cs="Times New Roman"/>
          <w:lang w:eastAsia="lt-LT"/>
        </w:rPr>
        <w:t xml:space="preserve">nduojama dozė yra 5 mg. Ji vartojama vieną kartą per parą, maždaug tokiu pačiu paros laiku. Atsižvelgiant į toleravimą, paros dozę galima sumažinti </w:t>
      </w:r>
      <w:r w:rsidRPr="005F03A9">
        <w:rPr>
          <w:rFonts w:ascii="Times New Roman" w:hAnsi="Times New Roman" w:cs="Times New Roman"/>
        </w:rPr>
        <w:t>iki 2,5 mg</w:t>
      </w:r>
      <w:r w:rsidRPr="005F03A9">
        <w:rPr>
          <w:rFonts w:ascii="Times New Roman" w:eastAsia="TimesNewRomanPSMT" w:hAnsi="Times New Roman" w:cs="Times New Roman"/>
          <w:lang w:eastAsia="lt-LT"/>
        </w:rPr>
        <w:t>.</w:t>
      </w:r>
    </w:p>
    <w:p w14:paraId="5F04856B" w14:textId="77777777" w:rsidR="005F03A9" w:rsidRPr="005F03A9" w:rsidRDefault="005F03A9" w:rsidP="005F03A9">
      <w:pPr>
        <w:tabs>
          <w:tab w:val="left" w:pos="567"/>
        </w:tabs>
        <w:spacing w:after="0" w:line="240" w:lineRule="auto"/>
        <w:contextualSpacing/>
        <w:outlineLvl w:val="0"/>
        <w:rPr>
          <w:rFonts w:ascii="Times New Roman" w:eastAsia="TimesNewRomanPSMT" w:hAnsi="Times New Roman" w:cs="Times New Roman"/>
          <w:lang w:eastAsia="lt-LT"/>
        </w:rPr>
      </w:pPr>
      <w:r w:rsidRPr="005F03A9">
        <w:rPr>
          <w:rFonts w:ascii="Times New Roman" w:eastAsia="TimesNewRomanPSMT" w:hAnsi="Times New Roman" w:cs="Times New Roman"/>
          <w:lang w:eastAsia="lt-LT"/>
        </w:rPr>
        <w:t>Kadangi šio vaistinio preparato 2,5 mg dozė nėra tiekiama, reikia vartoti kitus rinkoje esančius tadalafilio 2,5 mg vaistinius preparatus.</w:t>
      </w:r>
    </w:p>
    <w:p w14:paraId="4B7F3A3A" w14:textId="77777777" w:rsidR="005F03A9" w:rsidRPr="005F03A9" w:rsidRDefault="005F03A9" w:rsidP="005F03A9">
      <w:pPr>
        <w:tabs>
          <w:tab w:val="left" w:pos="567"/>
        </w:tabs>
        <w:spacing w:after="0" w:line="240" w:lineRule="auto"/>
        <w:contextualSpacing/>
        <w:outlineLvl w:val="0"/>
        <w:rPr>
          <w:rFonts w:ascii="Times New Roman" w:eastAsia="TimesNewRomanPSMT" w:hAnsi="Times New Roman" w:cs="Times New Roman"/>
          <w:lang w:eastAsia="lt-LT"/>
        </w:rPr>
      </w:pPr>
    </w:p>
    <w:p w14:paraId="6AE9B389" w14:textId="77777777" w:rsidR="005F03A9" w:rsidRPr="009F10EE" w:rsidRDefault="005F03A9" w:rsidP="005F03A9">
      <w:pPr>
        <w:tabs>
          <w:tab w:val="left" w:pos="567"/>
        </w:tabs>
        <w:spacing w:after="0" w:line="240" w:lineRule="auto"/>
        <w:contextualSpacing/>
        <w:outlineLvl w:val="0"/>
        <w:rPr>
          <w:rFonts w:ascii="Times New Roman" w:eastAsia="TimesNewRomanPSMT" w:hAnsi="Times New Roman" w:cs="Times New Roman"/>
          <w:lang w:eastAsia="lt-LT"/>
        </w:rPr>
      </w:pPr>
      <w:r w:rsidRPr="005F03A9">
        <w:rPr>
          <w:rFonts w:ascii="Times New Roman" w:eastAsia="TimesNewRomanPSMT" w:hAnsi="Times New Roman" w:cs="Times New Roman"/>
          <w:lang w:eastAsia="lt-LT"/>
        </w:rPr>
        <w:t>Reikia reguliariai iš naujo įvertinti tolesnio kasdieninio vartojimo tinkamumą.</w:t>
      </w:r>
    </w:p>
    <w:p w14:paraId="7600AFCB" w14:textId="77777777" w:rsidR="005F03A9" w:rsidRDefault="005F03A9"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513FBB43" w14:textId="22998143"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5F03A9">
        <w:rPr>
          <w:rFonts w:ascii="Times New Roman" w:eastAsia="TimesNewRomanPSMT" w:hAnsi="Times New Roman" w:cs="Times New Roman"/>
          <w:u w:val="single"/>
          <w:lang w:eastAsia="lt-LT"/>
        </w:rPr>
        <w:t>Ypatingos populiacijos</w:t>
      </w:r>
    </w:p>
    <w:p w14:paraId="14FFDB0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36832FC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Senyviems vyrams</w:t>
      </w:r>
    </w:p>
    <w:p w14:paraId="61CDC082"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Senyviems pacientams dozės koreguoti nereikia.</w:t>
      </w:r>
    </w:p>
    <w:p w14:paraId="2D5F30CA"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37DF8EF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Vyrams, kurių inkstų funkcija sutrikusi</w:t>
      </w:r>
    </w:p>
    <w:p w14:paraId="167DAFC5" w14:textId="1096C8C1"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Pacientams, kuriems yra lengvas arba vidutinio sunkumo inkstų funkcijos sutrikimas, dozės koreguoti nereikia. Pacientams, kuriems yra sunkus inkstų funkcijos sutrikimas, didžiausia rekomenduojama dozė yra 10 mg.</w:t>
      </w:r>
    </w:p>
    <w:p w14:paraId="43859F1B"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Kasdieninės tadalafilio paros dozės, pacientams, kuriems yra sunkus inkstų funkcijos sutrikimas, nerekomenduojamas (žr. 4.4 ir 5.2 skyrius).</w:t>
      </w:r>
    </w:p>
    <w:p w14:paraId="7835A53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3D0F7FE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Vyrams, kurių kepenų funkcija sutrikusi</w:t>
      </w:r>
    </w:p>
    <w:p w14:paraId="16AB7E3E"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iCs/>
          <w:lang w:eastAsia="lt-LT"/>
        </w:rPr>
        <w:t xml:space="preserve">Pagal poreikį vartojant </w:t>
      </w:r>
      <w:r w:rsidRPr="009F10EE">
        <w:rPr>
          <w:rFonts w:ascii="Times New Roman" w:eastAsia="TimesNewRomanPSMT" w:hAnsi="Times New Roman" w:cs="Times New Roman"/>
          <w:lang w:eastAsia="lt-LT"/>
        </w:rPr>
        <w:t>Tadalafil Accord erekcijos funkcijos sutrikimui gydyti</w:t>
      </w:r>
      <w:r w:rsidRPr="009F10EE">
        <w:rPr>
          <w:rFonts w:ascii="Times New Roman" w:hAnsi="Times New Roman" w:cs="Times New Roman"/>
        </w:rPr>
        <w:t xml:space="preserve">, </w:t>
      </w:r>
      <w:r w:rsidRPr="009F10EE">
        <w:rPr>
          <w:rFonts w:ascii="Times New Roman" w:eastAsia="TimesNewRomanPSMT" w:hAnsi="Times New Roman" w:cs="Times New Roman"/>
          <w:lang w:eastAsia="lt-LT"/>
        </w:rPr>
        <w:t xml:space="preserve">rekomenduojama tadalafilio dozė yra 10 mg. Ją reikia vartoti prieš planuojamus lytinius santykius, valgio metu arba nevalgius. Apie tadalafilio saugumą pacientams, kuriems yra sunkus kepenų funkcijos sutrikimas (C klasės pagal </w:t>
      </w:r>
      <w:r w:rsidRPr="009F10EE">
        <w:rPr>
          <w:rFonts w:ascii="Times New Roman" w:eastAsia="TimesNewRomanPSMT" w:hAnsi="Times New Roman" w:cs="Times New Roman"/>
          <w:i/>
          <w:lang w:eastAsia="lt-LT"/>
        </w:rPr>
        <w:t>Child</w:t>
      </w:r>
      <w:r w:rsidRPr="009F10EE">
        <w:rPr>
          <w:rFonts w:ascii="Times New Roman" w:eastAsia="Times New Roman" w:hAnsi="Times New Roman" w:cs="Times New Roman"/>
          <w:i/>
          <w:lang w:eastAsia="lt-LT"/>
        </w:rPr>
        <w:t>-</w:t>
      </w:r>
      <w:r w:rsidRPr="009F10EE">
        <w:rPr>
          <w:rFonts w:ascii="Times New Roman" w:eastAsia="TimesNewRomanPSMT" w:hAnsi="Times New Roman" w:cs="Times New Roman"/>
          <w:i/>
          <w:lang w:eastAsia="lt-LT"/>
        </w:rPr>
        <w:t>Pugh</w:t>
      </w:r>
      <w:r w:rsidRPr="009F10EE">
        <w:rPr>
          <w:rFonts w:ascii="Times New Roman" w:eastAsia="TimesNewRomanPSMT" w:hAnsi="Times New Roman" w:cs="Times New Roman"/>
          <w:lang w:eastAsia="lt-LT"/>
        </w:rPr>
        <w:t>), klinikinių duomenų yra nedaug. Prieš s</w:t>
      </w:r>
      <w:r w:rsidRPr="009F10EE">
        <w:rPr>
          <w:rFonts w:ascii="Times New Roman" w:eastAsia="Times New Roman" w:hAnsi="Times New Roman" w:cs="Times New Roman"/>
          <w:lang w:eastAsia="lt-LT"/>
        </w:rPr>
        <w:t xml:space="preserve">kirdamas šio </w:t>
      </w:r>
      <w:r w:rsidRPr="009F10EE">
        <w:rPr>
          <w:rFonts w:ascii="Times New Roman" w:eastAsia="TimesNewRomanPSMT" w:hAnsi="Times New Roman" w:cs="Times New Roman"/>
          <w:lang w:eastAsia="lt-LT"/>
        </w:rPr>
        <w:t>vaistinio preparato, gydytojas turi atidžiai įvertinti individualų naudos ir rizikos santykį tokiam pacientui. Apie pacientų, kurių kepenų funkcija sutrikusi, gydymą didesne negu 10 mg</w:t>
      </w:r>
      <w:r w:rsidRPr="009F10EE">
        <w:rPr>
          <w:rFonts w:ascii="Times New Roman" w:eastAsia="Times New Roman" w:hAnsi="Times New Roman" w:cs="Times New Roman"/>
          <w:lang w:eastAsia="lt-LT"/>
        </w:rPr>
        <w:t xml:space="preserve"> tadalafilio </w:t>
      </w:r>
      <w:r w:rsidRPr="009F10EE">
        <w:rPr>
          <w:rFonts w:ascii="Times New Roman" w:eastAsia="TimesNewRomanPSMT" w:hAnsi="Times New Roman" w:cs="Times New Roman"/>
          <w:lang w:eastAsia="lt-LT"/>
        </w:rPr>
        <w:t>doze, duomenų nėra.</w:t>
      </w:r>
    </w:p>
    <w:p w14:paraId="4C16CD84"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p>
    <w:p w14:paraId="21D71540" w14:textId="03A05C6C"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Kasdieninis vienos</w:t>
      </w:r>
      <w:r w:rsidRPr="009F10EE">
        <w:rPr>
          <w:rFonts w:ascii="Times New Roman" w:hAnsi="Times New Roman" w:cs="Times New Roman"/>
        </w:rPr>
        <w:t xml:space="preserve"> </w:t>
      </w:r>
      <w:r w:rsidRPr="009F10EE">
        <w:rPr>
          <w:rFonts w:ascii="Times New Roman" w:eastAsia="TimesNewRomanPSMT" w:hAnsi="Times New Roman" w:cs="Times New Roman"/>
          <w:lang w:eastAsia="lt-LT"/>
        </w:rPr>
        <w:t>paros dozės vartojimas pacientams, kurių kepenų funkcija sutrikusi, netirtas. Prieš s</w:t>
      </w:r>
      <w:r w:rsidRPr="009F10EE">
        <w:rPr>
          <w:rFonts w:ascii="Times New Roman" w:eastAsia="Times New Roman" w:hAnsi="Times New Roman" w:cs="Times New Roman"/>
          <w:lang w:eastAsia="lt-LT"/>
        </w:rPr>
        <w:t xml:space="preserve">kirdamas šio </w:t>
      </w:r>
      <w:r w:rsidRPr="009F10EE">
        <w:rPr>
          <w:rFonts w:ascii="Times New Roman" w:eastAsia="TimesNewRomanPSMT" w:hAnsi="Times New Roman" w:cs="Times New Roman"/>
          <w:lang w:eastAsia="lt-LT"/>
        </w:rPr>
        <w:t xml:space="preserve">vaistinio preparato, gydytojas turi atidžiai įvertinti individualų naudos ir rizikos santykį tokiam pacientui (žr. 4.4 </w:t>
      </w:r>
      <w:r w:rsidRPr="009F10EE">
        <w:rPr>
          <w:rFonts w:ascii="Times New Roman" w:eastAsia="Times New Roman" w:hAnsi="Times New Roman" w:cs="Times New Roman"/>
          <w:lang w:eastAsia="lt-LT"/>
        </w:rPr>
        <w:t>ir 5.2 skyrius).</w:t>
      </w:r>
    </w:p>
    <w:p w14:paraId="5356F8F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A9AD95A"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Cukriniu diabetu sergantiems vyrams</w:t>
      </w:r>
    </w:p>
    <w:p w14:paraId="31912A9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Cukriniu diabetu sergantiems pacientams dozės koreguoti nereikia.</w:t>
      </w:r>
    </w:p>
    <w:p w14:paraId="291A9A2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C977FD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Vaikų populiacija</w:t>
      </w:r>
    </w:p>
    <w:p w14:paraId="5B110AA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Tadalafil Accord</w:t>
      </w:r>
      <w:r w:rsidRPr="009F10EE">
        <w:rPr>
          <w:rFonts w:ascii="Times New Roman" w:eastAsia="TimesNewRomanPSMT" w:hAnsi="Times New Roman" w:cs="Times New Roman"/>
          <w:lang w:eastAsia="lt-LT"/>
        </w:rPr>
        <w:t xml:space="preserve"> nėra skirtas vaikų populiacijai erekcijos funkcijos sutrikimui gydyti.</w:t>
      </w:r>
    </w:p>
    <w:p w14:paraId="37D208D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0FA958E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Vartojimo metodas</w:t>
      </w:r>
    </w:p>
    <w:p w14:paraId="6EC54081"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Tabletes reikia vartoti per burną.</w:t>
      </w:r>
    </w:p>
    <w:p w14:paraId="20488ED9"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p>
    <w:p w14:paraId="1A9CE996" w14:textId="77777777" w:rsidR="008C4948" w:rsidRPr="009F10EE" w:rsidRDefault="008C4948" w:rsidP="008C4948">
      <w:pPr>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4.3</w:t>
      </w:r>
      <w:r w:rsidRPr="009F10EE">
        <w:rPr>
          <w:rFonts w:ascii="Times New Roman" w:eastAsia="Times New Roman" w:hAnsi="Times New Roman" w:cs="Times New Roman"/>
          <w:b/>
        </w:rPr>
        <w:tab/>
        <w:t>Kontraindikacijos</w:t>
      </w:r>
    </w:p>
    <w:p w14:paraId="10B9CF4D"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p>
    <w:p w14:paraId="43526C1A"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Padidėjęs jautrumas veikliajai arba bet kuriai 6.1 skyriuje nurodytai pagalbinei medžiagai.</w:t>
      </w:r>
    </w:p>
    <w:p w14:paraId="4C0A04F3"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376CC082" w14:textId="614F875C"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Klinikinių tyrimų metu nustatyta, kad tadalafilis stiprina nitratų sukeliamą hipotenzinį poveikį. Manoma, kad tai lemia bendras nitratų ir tadalafilio poveikis azoto oksido ir cGMF reakcijų grandinei. Vadinasi, Tadalafil Accord </w:t>
      </w:r>
      <w:r w:rsidR="00626627">
        <w:rPr>
          <w:rFonts w:ascii="Times New Roman" w:eastAsia="Times New Roman" w:hAnsi="Times New Roman" w:cs="Times New Roman"/>
          <w:lang w:eastAsia="lt-LT"/>
        </w:rPr>
        <w:t>draudžiama</w:t>
      </w:r>
      <w:r w:rsidR="00626627" w:rsidRPr="009F10EE">
        <w:rPr>
          <w:rFonts w:ascii="Times New Roman" w:eastAsia="Times New Roman" w:hAnsi="Times New Roman" w:cs="Times New Roman"/>
          <w:lang w:eastAsia="lt-LT"/>
        </w:rPr>
        <w:t xml:space="preserve"> </w:t>
      </w:r>
      <w:r w:rsidRPr="009F10EE">
        <w:rPr>
          <w:rFonts w:ascii="Times New Roman" w:eastAsia="Times New Roman" w:hAnsi="Times New Roman" w:cs="Times New Roman"/>
          <w:lang w:eastAsia="lt-LT"/>
        </w:rPr>
        <w:t>skirti pacientams, vartojantiems bet kokių organinių nitratų preparatų (žr. 4.5 skyrių).</w:t>
      </w:r>
    </w:p>
    <w:p w14:paraId="62221A1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14F962F" w14:textId="4264EBBB"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lastRenderedPageBreak/>
        <w:t xml:space="preserve">Tadalafil Accord </w:t>
      </w:r>
      <w:r w:rsidR="00626627">
        <w:rPr>
          <w:rFonts w:ascii="Times New Roman" w:eastAsia="Times New Roman" w:hAnsi="Times New Roman" w:cs="Times New Roman"/>
          <w:lang w:eastAsia="lt-LT"/>
        </w:rPr>
        <w:t>neturi</w:t>
      </w:r>
      <w:r w:rsidR="00626627" w:rsidRPr="009F10EE">
        <w:rPr>
          <w:rFonts w:ascii="Times New Roman" w:eastAsia="Times New Roman" w:hAnsi="Times New Roman" w:cs="Times New Roman"/>
          <w:lang w:eastAsia="lt-LT"/>
        </w:rPr>
        <w:t xml:space="preserve"> </w:t>
      </w:r>
      <w:r w:rsidRPr="009F10EE">
        <w:rPr>
          <w:rFonts w:ascii="Times New Roman" w:eastAsia="Times New Roman" w:hAnsi="Times New Roman" w:cs="Times New Roman"/>
          <w:lang w:eastAsia="lt-LT"/>
        </w:rPr>
        <w:t>vartoti vyra</w:t>
      </w:r>
      <w:r w:rsidR="00626627">
        <w:rPr>
          <w:rFonts w:ascii="Times New Roman" w:eastAsia="Times New Roman" w:hAnsi="Times New Roman" w:cs="Times New Roman"/>
          <w:lang w:eastAsia="lt-LT"/>
        </w:rPr>
        <w:t>i</w:t>
      </w:r>
      <w:r w:rsidRPr="009F10EE">
        <w:rPr>
          <w:rFonts w:ascii="Times New Roman" w:eastAsia="Times New Roman" w:hAnsi="Times New Roman" w:cs="Times New Roman"/>
          <w:lang w:eastAsia="lt-LT"/>
        </w:rPr>
        <w:t>, kurie serga širdies liga, dėl kurios seksualinis aktyvumas nerekomenduojamas. Jeigu pacientas serga širdies ir kraujagyslių sistemos liga, gydytojas turi įvertinti seksualinio aktyvumo keliamą riziką širdžiai.</w:t>
      </w:r>
    </w:p>
    <w:p w14:paraId="75415AE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748EA84" w14:textId="02F2B6EF"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Toliau nurodytų grupių pacientai, sergantys širdies ir kraujagyslių sistemos ligomis, klinikiniuose tyrimuose nedalyvavo, todėl jiems tadalafilio vartoti </w:t>
      </w:r>
      <w:r w:rsidR="00626627">
        <w:rPr>
          <w:rFonts w:ascii="Times New Roman" w:eastAsia="Times New Roman" w:hAnsi="Times New Roman" w:cs="Times New Roman"/>
          <w:lang w:eastAsia="lt-LT"/>
        </w:rPr>
        <w:t>draudžiama:</w:t>
      </w:r>
    </w:p>
    <w:p w14:paraId="7359B65F" w14:textId="77777777" w:rsidR="008C4948" w:rsidRPr="009F10EE" w:rsidRDefault="008C4948" w:rsidP="008C4948">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pacientai, kuriuos per paskutines 90 dienų ištiko miokardo infarktas;</w:t>
      </w:r>
    </w:p>
    <w:p w14:paraId="53B65458" w14:textId="77777777" w:rsidR="008C4948" w:rsidRPr="009F10EE" w:rsidRDefault="008C4948" w:rsidP="008C4948">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pacientai, kurie serga nestabilia krūtinės angina arba kuriems krūtinės angina pasireiškia lytinio akto metu;</w:t>
      </w:r>
    </w:p>
    <w:p w14:paraId="14CE9B4C" w14:textId="77777777" w:rsidR="008C4948" w:rsidRPr="009F10EE" w:rsidRDefault="008C4948" w:rsidP="008C4948">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pacientai, kurie per paskutinius 6 mėn. sirgo 2 klasės pagal NYHA arba sunkesniu širdies nepakankamumu;</w:t>
      </w:r>
    </w:p>
    <w:p w14:paraId="55287897" w14:textId="77777777" w:rsidR="008C4948" w:rsidRPr="009F10EE" w:rsidRDefault="008C4948" w:rsidP="008C4948">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pacientai, kurie serga nekontroliuojama aritmija, hipotenzija (&lt; 90/50 mmHg) arba nekontroliuojama hipertenzija;</w:t>
      </w:r>
    </w:p>
    <w:p w14:paraId="0CA72BB9" w14:textId="77777777" w:rsidR="008C4948" w:rsidRPr="009F10EE" w:rsidRDefault="008C4948" w:rsidP="008C4948">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pacientai, kuriuos per paskutinius 6 mėn. ištiko insultas.</w:t>
      </w:r>
    </w:p>
    <w:p w14:paraId="04451D2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A7BCC1C" w14:textId="34608D9F"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Tadalafil Accord </w:t>
      </w:r>
      <w:r w:rsidR="00BB47F8">
        <w:rPr>
          <w:rFonts w:ascii="Times New Roman" w:eastAsia="Times New Roman" w:hAnsi="Times New Roman" w:cs="Times New Roman"/>
          <w:lang w:eastAsia="lt-LT"/>
        </w:rPr>
        <w:t>draudžiama</w:t>
      </w:r>
      <w:r w:rsidR="00BB47F8" w:rsidRPr="009F10EE">
        <w:rPr>
          <w:rFonts w:ascii="Times New Roman" w:eastAsia="Times New Roman" w:hAnsi="Times New Roman" w:cs="Times New Roman"/>
          <w:lang w:eastAsia="lt-LT"/>
        </w:rPr>
        <w:t xml:space="preserve"> </w:t>
      </w:r>
      <w:r w:rsidRPr="009F10EE">
        <w:rPr>
          <w:rFonts w:ascii="Times New Roman" w:eastAsia="Times New Roman" w:hAnsi="Times New Roman" w:cs="Times New Roman"/>
          <w:lang w:eastAsia="lt-LT"/>
        </w:rPr>
        <w:t>vartoti pacientams, kuriems atsirado vienos akies aklumas dėl ne arterito sukeltos priekinės išeminės regos nervo neuropatijos (</w:t>
      </w:r>
      <w:r w:rsidRPr="009F10EE">
        <w:rPr>
          <w:rFonts w:ascii="Times New Roman" w:eastAsia="Times New Roman" w:hAnsi="Times New Roman" w:cs="Times New Roman"/>
          <w:i/>
          <w:lang w:eastAsia="lt-LT"/>
        </w:rPr>
        <w:t>non-arteritic anterior ischaemic optic neuropathy</w:t>
      </w:r>
      <w:r w:rsidRPr="009F10EE">
        <w:rPr>
          <w:rFonts w:ascii="Times New Roman" w:eastAsia="Times New Roman" w:hAnsi="Times New Roman" w:cs="Times New Roman"/>
          <w:lang w:eastAsia="lt-LT"/>
        </w:rPr>
        <w:t>, NAION), nepriklausomai nuo to, ar toks epizodas buvo susijęs su ankstesniu fosfodiesterazės-5 (FDE5) inhibitorių vartojimu (žr. 4.4 skyrių).</w:t>
      </w:r>
    </w:p>
    <w:p w14:paraId="2A524CCD"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32592D44" w14:textId="7725D956"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Skirti FDE5 inhibitorių, tokių kaip tadalafilio kartu su guanilatciklazės stimuliatoriais, tokiais kaip riociguatu </w:t>
      </w:r>
      <w:r w:rsidR="00BB47F8">
        <w:rPr>
          <w:rFonts w:ascii="Times New Roman" w:eastAsia="Times New Roman" w:hAnsi="Times New Roman" w:cs="Times New Roman"/>
          <w:lang w:eastAsia="lt-LT"/>
        </w:rPr>
        <w:t>draudžiama</w:t>
      </w:r>
      <w:r w:rsidRPr="009F10EE">
        <w:rPr>
          <w:rFonts w:ascii="Times New Roman" w:eastAsia="Times New Roman" w:hAnsi="Times New Roman" w:cs="Times New Roman"/>
          <w:lang w:eastAsia="lt-LT"/>
        </w:rPr>
        <w:t>, nes tai galėtų sukelti simptominę hipotenziją (žr. 4.5 skyrių).</w:t>
      </w:r>
    </w:p>
    <w:p w14:paraId="222A468C"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4AE12F37"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r w:rsidRPr="009F10EE">
        <w:rPr>
          <w:rFonts w:ascii="Times New Roman" w:eastAsia="Times New Roman" w:hAnsi="Times New Roman" w:cs="Times New Roman"/>
          <w:b/>
          <w:lang w:eastAsia="lt-LT"/>
        </w:rPr>
        <w:t>4.4</w:t>
      </w:r>
      <w:r w:rsidRPr="009F10EE">
        <w:rPr>
          <w:rFonts w:ascii="Times New Roman" w:eastAsia="Times New Roman" w:hAnsi="Times New Roman" w:cs="Times New Roman"/>
          <w:b/>
          <w:lang w:eastAsia="lt-LT"/>
        </w:rPr>
        <w:tab/>
        <w:t>Specialūs įspėjimai ir atsargumo priemonės</w:t>
      </w:r>
    </w:p>
    <w:p w14:paraId="3BDD405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31F986D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Prieš gydymą Tadalafil Accord</w:t>
      </w:r>
    </w:p>
    <w:p w14:paraId="4CB6EC60"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20970BE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 xml:space="preserve">Prieš pradedant gydymą vaistiniais preparatais, reikia susipažinti su paciento ligos istorija ir jį ištirti, kad būtų galima nustatyti erekcijos disfunkciją ir galimą jos priežastį. </w:t>
      </w:r>
    </w:p>
    <w:p w14:paraId="5DB0350B"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Prieš pradėdamas bet kokį erekcijos sutrikimo gydymą, gydytojas turi įvertinti paciento širdies ir kraujagyslių sistemos būklę, nes galima su seksualiniu aktyvumu susijusi rizika širdžiai. Tadalafilis plečia kraujagysles, todėl laikinai šiek tiek sumažina kraujospūdį (žr. 5.1 skyrių) ir taip sustiprina nitratų sukeliamą hipotenzinį poveikį (žr. 4.3 skyrių).</w:t>
      </w:r>
    </w:p>
    <w:p w14:paraId="4BEFD39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A944315"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Erekcijos funkcijos sutrikimo įvertinimas turi apimti galimų priežasčių ir tinkamo gydymo nustatymą po atitinkamo medicininio ištyrimo. Nežinoma, ar tadalafilis yra veiksmingas pacientams, kuriems atlikta dubens organų chirurginė operacija arba radikali nervų netausojanti prostatos pašalinimo operacija.</w:t>
      </w:r>
    </w:p>
    <w:p w14:paraId="34DE5B9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16B827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Širdies ir kraujagyslių sistema</w:t>
      </w:r>
    </w:p>
    <w:p w14:paraId="247929A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573FF9B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Po vaistinio preparato patekimo į rinką ir (arba) klinikinių tyrimų metu buvo pranešta apie sunkius širdies ir kraujagyslių sistemos reiškinius, įskaitant miokardo infarktą, staigią kardialinę mirtį, nestabiliąją krūtinės anginą, skilvelinę aritmiją, insultą, praeinantį išemijos priepuolį, krūtinės skausmą, palpitacijas ir tachikardiją. Daugumai pacientų, kuriems pasireiškė šie reiškiniai, širdies ir kraujagyslių sistemos sutrikimo rizikos veiksnių buvo prieš pradedant gydymą. Vis dėlto neįmanoma tiksliai nustatyti, ar šie reiškiniai yra tiesiogiai susiję su minėtais rizikos veiksniais, tadalafilio poveikiu, seksualiniu aktyvumu ar su šių bei kitų veiksnių deriniu.</w:t>
      </w:r>
    </w:p>
    <w:p w14:paraId="4C5C63C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0F6BE7BD"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Jeigu tadalafilio vartojama kartu su alfa 1 adrenoreceptorių blokatoriais, kai kuriems pacientams gali atsirasti hipotenzijos simptomų (žr. 4.5 skyrių). Tadalafilio nerekomenduojama vartoti kartu su doksazosinu.</w:t>
      </w:r>
    </w:p>
    <w:p w14:paraId="39A6047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31063C06" w14:textId="77777777" w:rsidR="008C4948" w:rsidRPr="009F10EE" w:rsidRDefault="008C4948" w:rsidP="007D3ACB">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lastRenderedPageBreak/>
        <w:t>Rega</w:t>
      </w:r>
    </w:p>
    <w:p w14:paraId="57397025" w14:textId="77777777" w:rsidR="008C4948" w:rsidRPr="009F10EE" w:rsidRDefault="008C4948" w:rsidP="007D3ACB">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51901D99" w14:textId="3A065993" w:rsidR="008C4948" w:rsidRPr="009F10EE" w:rsidRDefault="008C4948" w:rsidP="007D3ACB">
      <w:pPr>
        <w:keepNext/>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Gauta pranešimų apie su tadalafilio ir kitų FDE5 inhibitorių vartojimu susijusius regos sutrikimo</w:t>
      </w:r>
      <w:r w:rsidR="004048A7">
        <w:rPr>
          <w:rFonts w:ascii="Times New Roman" w:eastAsia="TimesNewRomanPSMT" w:hAnsi="Times New Roman" w:cs="Times New Roman"/>
          <w:lang w:eastAsia="lt-LT"/>
        </w:rPr>
        <w:t>,</w:t>
      </w:r>
      <w:r w:rsidR="004048A7" w:rsidRPr="004048A7">
        <w:rPr>
          <w:rFonts w:ascii="Times New Roman" w:hAnsi="Times New Roman" w:cs="Times New Roman"/>
        </w:rPr>
        <w:t xml:space="preserve"> </w:t>
      </w:r>
      <w:r w:rsidR="004048A7" w:rsidRPr="004048A7">
        <w:rPr>
          <w:rFonts w:ascii="Times New Roman" w:eastAsia="TimesNewRomanPSMT" w:hAnsi="Times New Roman" w:cs="Times New Roman"/>
          <w:lang w:eastAsia="lt-LT"/>
        </w:rPr>
        <w:t>įskaitant</w:t>
      </w:r>
      <w:r w:rsidR="004048A7">
        <w:rPr>
          <w:rFonts w:ascii="Times New Roman" w:eastAsia="TimesNewRomanPSMT" w:hAnsi="Times New Roman" w:cs="Times New Roman"/>
          <w:lang w:eastAsia="lt-LT"/>
        </w:rPr>
        <w:t xml:space="preserve"> </w:t>
      </w:r>
      <w:r w:rsidR="004048A7" w:rsidRPr="004048A7">
        <w:rPr>
          <w:rFonts w:ascii="Times New Roman" w:eastAsia="TimesNewRomanPSMT" w:hAnsi="Times New Roman" w:cs="Times New Roman"/>
          <w:lang w:eastAsia="lt-LT"/>
        </w:rPr>
        <w:t>centrinę serozinę chorioretinopatiją (CSCR),</w:t>
      </w:r>
      <w:r w:rsidRPr="009F10EE">
        <w:rPr>
          <w:rFonts w:ascii="Times New Roman" w:eastAsia="TimesNewRomanPSMT" w:hAnsi="Times New Roman" w:cs="Times New Roman"/>
          <w:lang w:eastAsia="lt-LT"/>
        </w:rPr>
        <w:t xml:space="preserve"> ir ne arterito sukeltos priekinės išeminės regos nervo neuropatijos (angl. </w:t>
      </w:r>
      <w:r w:rsidRPr="009F10EE">
        <w:rPr>
          <w:rFonts w:ascii="Times New Roman" w:eastAsia="TimesNewRomanPSMT" w:hAnsi="Times New Roman" w:cs="Times New Roman"/>
          <w:i/>
          <w:iCs/>
          <w:lang w:eastAsia="lt-LT"/>
        </w:rPr>
        <w:t>NAION</w:t>
      </w:r>
      <w:r w:rsidRPr="009F10EE">
        <w:rPr>
          <w:rFonts w:ascii="Times New Roman" w:eastAsia="TimesNewRomanPSMT" w:hAnsi="Times New Roman" w:cs="Times New Roman"/>
          <w:lang w:eastAsia="lt-LT"/>
        </w:rPr>
        <w:t xml:space="preserve">) atvejus. </w:t>
      </w:r>
      <w:r w:rsidR="004048A7" w:rsidRPr="004048A7">
        <w:rPr>
          <w:rFonts w:ascii="Times New Roman" w:eastAsia="TimesNewRomanPSMT" w:hAnsi="Times New Roman" w:cs="Times New Roman"/>
          <w:lang w:eastAsia="lt-LT"/>
        </w:rPr>
        <w:t>Nutraukus tadalafilio vartojimą,</w:t>
      </w:r>
      <w:r w:rsidR="004048A7">
        <w:rPr>
          <w:rFonts w:ascii="Times New Roman" w:eastAsia="TimesNewRomanPSMT" w:hAnsi="Times New Roman" w:cs="Times New Roman"/>
          <w:lang w:eastAsia="lt-LT"/>
        </w:rPr>
        <w:t xml:space="preserve"> </w:t>
      </w:r>
      <w:r w:rsidR="004048A7" w:rsidRPr="004048A7">
        <w:rPr>
          <w:rFonts w:ascii="Times New Roman" w:eastAsia="TimesNewRomanPSMT" w:hAnsi="Times New Roman" w:cs="Times New Roman"/>
          <w:lang w:eastAsia="lt-LT"/>
        </w:rPr>
        <w:t xml:space="preserve">dauguma CSCR atvejų išnyko savaime. Vertinant NAION, </w:t>
      </w:r>
      <w:r w:rsidR="004048A7">
        <w:rPr>
          <w:rFonts w:ascii="Times New Roman" w:eastAsia="TimesNewRomanPSMT" w:hAnsi="Times New Roman" w:cs="Times New Roman"/>
          <w:lang w:eastAsia="lt-LT"/>
        </w:rPr>
        <w:t>i</w:t>
      </w:r>
      <w:r w:rsidRPr="009F10EE">
        <w:rPr>
          <w:rFonts w:ascii="Times New Roman" w:eastAsia="TimesNewRomanPSMT" w:hAnsi="Times New Roman" w:cs="Times New Roman"/>
          <w:lang w:eastAsia="lt-LT"/>
        </w:rPr>
        <w:t xml:space="preserve">štyrus stebėjimo duomenis nustatytas padidėjęs ūmios NAION pavojus erekcijos sutrikimų turintiems vyrams, vartojusiems tadalafilio ar kitų FDE5 inhibitorių. Kadangi tai gali būti taikoma visiems tadalafilio vartojusiems pacientams, pacientą būtina įspėti, kad staiga sutrikus regai, </w:t>
      </w:r>
      <w:r w:rsidR="004048A7" w:rsidRPr="004048A7">
        <w:rPr>
          <w:rFonts w:ascii="Times New Roman" w:eastAsia="TimesNewRomanPSMT" w:hAnsi="Times New Roman" w:cs="Times New Roman"/>
          <w:lang w:eastAsia="lt-LT"/>
        </w:rPr>
        <w:t>sumažėjus regos aštrumui</w:t>
      </w:r>
      <w:r w:rsidR="004048A7">
        <w:rPr>
          <w:rFonts w:ascii="Times New Roman" w:eastAsia="TimesNewRomanPSMT" w:hAnsi="Times New Roman" w:cs="Times New Roman"/>
          <w:lang w:eastAsia="lt-LT"/>
        </w:rPr>
        <w:t xml:space="preserve"> </w:t>
      </w:r>
      <w:r w:rsidR="004048A7" w:rsidRPr="004048A7">
        <w:rPr>
          <w:rFonts w:ascii="Times New Roman" w:eastAsia="TimesNewRomanPSMT" w:hAnsi="Times New Roman" w:cs="Times New Roman"/>
          <w:lang w:eastAsia="lt-LT"/>
        </w:rPr>
        <w:t xml:space="preserve">ir (arba) atsiradus matomo vaizdo iškraipymų, </w:t>
      </w:r>
      <w:r w:rsidRPr="009F10EE">
        <w:rPr>
          <w:rFonts w:ascii="Times New Roman" w:eastAsia="TimesNewRomanPSMT" w:hAnsi="Times New Roman" w:cs="Times New Roman"/>
          <w:lang w:eastAsia="lt-LT"/>
        </w:rPr>
        <w:t xml:space="preserve">Tadalafil Accord vartojimą būtina nutraukti ir nedelsiant kreiptis į gydytoją (žr. 4.3 skyrių). </w:t>
      </w:r>
    </w:p>
    <w:p w14:paraId="20CC4E7A"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8EB544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Suprastėjusi arba staiga pradingusi klausa</w:t>
      </w:r>
    </w:p>
    <w:p w14:paraId="570CAC8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C430871"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Gauta pranešimų apie staigų klausos praradimą pavartojus tadalafilio. Nors kai kuriais atvejais buvo kitų rizikos faktorių (pvz., amžius, diabetas, hipertenzija ir ankstesni klausos praradimo atvejai), pacientams turi būti patarta staiga suprastėjus arba dingus klausai tadalafilio nebevartoti ir nedelsiant kreiptis į gydytoją.</w:t>
      </w:r>
    </w:p>
    <w:p w14:paraId="52A78B46"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096ED6D" w14:textId="020FC184" w:rsidR="008C4948" w:rsidRPr="009F10EE" w:rsidRDefault="00E50BD5"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Pr>
          <w:rFonts w:ascii="Times New Roman" w:eastAsia="TimesNewRomanPSMT" w:hAnsi="Times New Roman" w:cs="Times New Roman"/>
          <w:u w:val="single"/>
          <w:lang w:eastAsia="lt-LT"/>
        </w:rPr>
        <w:t>K</w:t>
      </w:r>
      <w:r w:rsidR="008C4948" w:rsidRPr="009F10EE">
        <w:rPr>
          <w:rFonts w:ascii="Times New Roman" w:eastAsia="TimesNewRomanPSMT" w:hAnsi="Times New Roman" w:cs="Times New Roman"/>
          <w:u w:val="single"/>
          <w:lang w:eastAsia="lt-LT"/>
        </w:rPr>
        <w:t>epenų funkcijos sutrikimas</w:t>
      </w:r>
    </w:p>
    <w:p w14:paraId="02812D12" w14:textId="12A3D91A"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30AAC16A"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Klinikinių duomenų apie vienos tadalafilio dozės saugumą pacientams, kuriems yra sunkus kepenų nepakankamumas (</w:t>
      </w:r>
      <w:r w:rsidRPr="009F10EE">
        <w:rPr>
          <w:rFonts w:ascii="Times New Roman" w:eastAsia="Times New Roman" w:hAnsi="Times New Roman" w:cs="Times New Roman"/>
          <w:i/>
          <w:lang w:eastAsia="lt-LT"/>
        </w:rPr>
        <w:t>Child-Pugh</w:t>
      </w:r>
      <w:r w:rsidRPr="009F10EE">
        <w:rPr>
          <w:rFonts w:ascii="Times New Roman" w:eastAsia="Times New Roman" w:hAnsi="Times New Roman" w:cs="Times New Roman"/>
          <w:lang w:eastAsia="lt-LT"/>
        </w:rPr>
        <w:t xml:space="preserve"> klasė C), yra nedaug</w:t>
      </w:r>
      <w:r w:rsidRPr="009F10EE">
        <w:rPr>
          <w:rFonts w:ascii="Times New Roman" w:eastAsia="TimesNewRomanPSMT" w:hAnsi="Times New Roman" w:cs="Times New Roman"/>
          <w:lang w:eastAsia="lt-LT"/>
        </w:rPr>
        <w:t>. Prieš skirdamas vartoti Tadalafil Accord, gydytojas turi atidžiai nustatyti tokio gydymo naudos ir rizikos santykį.</w:t>
      </w:r>
    </w:p>
    <w:p w14:paraId="21CAC9F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BB3CE8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Priapizmas ir anatominė varpos deformacija</w:t>
      </w:r>
    </w:p>
    <w:p w14:paraId="3C06957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63A0C54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Pacientus būtina įspėti, kad tuo atveju, jeigu erekcija trunka 4 valandas arba ilgiau, būtina nedelsiant kreiptis medicininės pagalbos. Jeigu priapizmas nepradedamas nedelsiant gydyti, gali atsirasti varpos audinio pažaida ir visam laikui išnykti lytinis pajėgumas.</w:t>
      </w:r>
    </w:p>
    <w:p w14:paraId="29BD26D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887A4C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Tadalafil Accord reikia atsargiai vartoti pacientams, kuriems yra anatominė varpos deformacija (pvz., anguliacija, kaverninė fibrozė arba Peironi [</w:t>
      </w:r>
      <w:r w:rsidRPr="009F10EE">
        <w:rPr>
          <w:rFonts w:ascii="Times New Roman" w:eastAsia="TimesNewRomanPSMT" w:hAnsi="Times New Roman" w:cs="Times New Roman"/>
          <w:i/>
          <w:iCs/>
          <w:lang w:eastAsia="lt-LT"/>
        </w:rPr>
        <w:t>Peyronie</w:t>
      </w:r>
      <w:r w:rsidRPr="009F10EE">
        <w:rPr>
          <w:rFonts w:ascii="Times New Roman" w:eastAsia="TimesNewRomanPSMT" w:hAnsi="Times New Roman" w:cs="Times New Roman"/>
          <w:lang w:eastAsia="lt-LT"/>
        </w:rPr>
        <w:t xml:space="preserve">] liga) bei pacientams, kuriems yra būklė, galinti skatinti priapizmo pasireiškimą (pvz., pjautuvinė anemija, dauginė mieloma arba leukemija). </w:t>
      </w:r>
    </w:p>
    <w:p w14:paraId="66C83EC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2B1C4642" w14:textId="159CE55E"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Vartojimas kartu su CYP3A4 inhibitoriais</w:t>
      </w:r>
    </w:p>
    <w:p w14:paraId="76C02B23" w14:textId="77777777" w:rsidR="008C4948" w:rsidRPr="009F10EE" w:rsidRDefault="008C4948" w:rsidP="008C4948">
      <w:pPr>
        <w:tabs>
          <w:tab w:val="left" w:pos="567"/>
        </w:tabs>
        <w:spacing w:after="0" w:line="240" w:lineRule="auto"/>
        <w:rPr>
          <w:rFonts w:ascii="Times New Roman" w:eastAsia="Times New Roman" w:hAnsi="Times New Roman" w:cs="Times New Roman"/>
          <w:highlight w:val="yellow"/>
          <w:lang w:eastAsia="lt-LT"/>
        </w:rPr>
      </w:pPr>
    </w:p>
    <w:p w14:paraId="4543E3C3"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Atsargiai</w:t>
      </w:r>
      <w:r w:rsidRPr="009F10EE">
        <w:rPr>
          <w:rFonts w:ascii="Times New Roman" w:hAnsi="Times New Roman" w:cs="Times New Roman"/>
        </w:rPr>
        <w:t xml:space="preserve"> </w:t>
      </w:r>
      <w:r w:rsidRPr="009F10EE">
        <w:rPr>
          <w:rFonts w:ascii="Times New Roman" w:eastAsia="Times New Roman" w:hAnsi="Times New Roman" w:cs="Times New Roman"/>
          <w:lang w:eastAsia="lt-LT"/>
        </w:rPr>
        <w:t>Tadalafil Accord reikia skirti vartoti pacientams, vartojantiems stiprių CYP3A4 inhibitorių (ritonaviro, sakvinaviro, ketokonazolo, itrakonazolo, eritromicino), nes buvo nustatyta, kad kartu su šiais vaistiniais preparatais vartojamo tadalafilio ekspozicija (</w:t>
      </w:r>
      <w:r w:rsidRPr="009F10EE">
        <w:rPr>
          <w:rFonts w:ascii="Times New Roman" w:eastAsia="Times New Roman" w:hAnsi="Times New Roman" w:cs="Times New Roman"/>
          <w:iCs/>
          <w:lang w:eastAsia="lt-LT"/>
        </w:rPr>
        <w:t>AUC</w:t>
      </w:r>
      <w:r w:rsidRPr="009F10EE">
        <w:rPr>
          <w:rFonts w:ascii="Times New Roman" w:eastAsia="Times New Roman" w:hAnsi="Times New Roman" w:cs="Times New Roman"/>
          <w:lang w:eastAsia="lt-LT"/>
        </w:rPr>
        <w:t>) padidėja (žr. 4.5 skyrių).</w:t>
      </w:r>
    </w:p>
    <w:p w14:paraId="5885880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5C06CB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Tadalafil Accord ir kitas erekcijos funkcijos sutrikimo gydymas</w:t>
      </w:r>
    </w:p>
    <w:p w14:paraId="121802E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3E33F78A"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Ar saugu ir veiksminga tadalafilio vartoti kartu su kitais FDE5 inhibitoriais arba kitokiais vaistiniais preparatais nuo erekcijos funkcijos sutrikimo, netirta. Pacientai turi būti informuoti, kad tadalafilio vartoti kartu su tokiais vaistiniais preparatais negalima.</w:t>
      </w:r>
    </w:p>
    <w:p w14:paraId="6AAC35A2"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B927326"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lastRenderedPageBreak/>
        <w:t>Laktozė</w:t>
      </w:r>
    </w:p>
    <w:p w14:paraId="6C5856D6"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4084E73" w14:textId="42BC7A02"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Tadalafil Accord sudėtyje yra laktozės. </w:t>
      </w:r>
      <w:r w:rsidR="009E6195" w:rsidRPr="0015590A">
        <w:rPr>
          <w:rFonts w:ascii="Times New Roman" w:eastAsia="TimesNewRomanPSMT" w:hAnsi="Times New Roman" w:cs="Times New Roman"/>
          <w:lang w:eastAsia="lt-LT"/>
        </w:rPr>
        <w:t>Šio vaistinio preparato negalima vartoti p</w:t>
      </w:r>
      <w:r w:rsidRPr="009F10EE">
        <w:rPr>
          <w:rFonts w:ascii="Times New Roman" w:eastAsia="TimesNewRomanPSMT" w:hAnsi="Times New Roman" w:cs="Times New Roman"/>
          <w:lang w:eastAsia="lt-LT"/>
        </w:rPr>
        <w:t xml:space="preserve">acientams, kuriems nustatytas retas paveldimas sutrikimas – galaktozės netoleravimas, </w:t>
      </w:r>
      <w:r w:rsidR="009E6195" w:rsidRPr="0015590A">
        <w:rPr>
          <w:rFonts w:ascii="Times New Roman" w:eastAsia="TimesNewRomanPSMT" w:hAnsi="Times New Roman" w:cs="Times New Roman"/>
          <w:lang w:eastAsia="lt-LT"/>
        </w:rPr>
        <w:t>visiškas</w:t>
      </w:r>
      <w:r w:rsidRPr="009F10EE">
        <w:rPr>
          <w:rFonts w:ascii="Times New Roman" w:eastAsia="TimesNewRomanPSMT" w:hAnsi="Times New Roman" w:cs="Times New Roman"/>
          <w:i/>
          <w:iCs/>
          <w:lang w:eastAsia="lt-LT"/>
        </w:rPr>
        <w:t xml:space="preserve"> </w:t>
      </w:r>
      <w:r w:rsidRPr="009F10EE">
        <w:rPr>
          <w:rFonts w:ascii="Times New Roman" w:eastAsia="TimesNewRomanPSMT" w:hAnsi="Times New Roman" w:cs="Times New Roman"/>
          <w:lang w:eastAsia="lt-LT"/>
        </w:rPr>
        <w:t>laktazės stygius arba gliukozės ir galaktozės malabsorbcija.</w:t>
      </w:r>
    </w:p>
    <w:p w14:paraId="0695C83B" w14:textId="77777777" w:rsidR="009E6195" w:rsidRDefault="009E6195" w:rsidP="009E6195">
      <w:pPr>
        <w:keepNext/>
        <w:keepLines/>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6D20FDAD" w14:textId="2B3AB746" w:rsidR="009E6195" w:rsidRPr="00410584" w:rsidRDefault="009E6195" w:rsidP="009E6195">
      <w:pPr>
        <w:keepNext/>
        <w:keepLines/>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410584">
        <w:rPr>
          <w:rFonts w:ascii="Times New Roman" w:eastAsia="TimesNewRomanPSMT" w:hAnsi="Times New Roman" w:cs="Times New Roman"/>
          <w:u w:val="single"/>
          <w:lang w:eastAsia="lt-LT"/>
        </w:rPr>
        <w:t>Natris</w:t>
      </w:r>
    </w:p>
    <w:p w14:paraId="25B0D84D" w14:textId="77777777" w:rsidR="009E6195" w:rsidRPr="0015590A" w:rsidRDefault="009E6195" w:rsidP="009E6195">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15590A">
        <w:rPr>
          <w:rFonts w:ascii="Times New Roman" w:eastAsia="TimesNewRomanPSMT" w:hAnsi="Times New Roman" w:cs="Times New Roman"/>
          <w:lang w:eastAsia="lt-LT"/>
        </w:rPr>
        <w:t>Šio vaistinio preparato tabletėje yra mažiau kaip 1 mmol (23 mg) natrio, t.</w:t>
      </w:r>
      <w:r>
        <w:rPr>
          <w:rFonts w:ascii="Times New Roman" w:eastAsia="TimesNewRomanPSMT" w:hAnsi="Times New Roman" w:cs="Times New Roman"/>
          <w:lang w:eastAsia="lt-LT"/>
        </w:rPr>
        <w:t xml:space="preserve"> </w:t>
      </w:r>
      <w:r w:rsidRPr="0015590A">
        <w:rPr>
          <w:rFonts w:ascii="Times New Roman" w:eastAsia="TimesNewRomanPSMT" w:hAnsi="Times New Roman" w:cs="Times New Roman"/>
          <w:lang w:eastAsia="lt-LT"/>
        </w:rPr>
        <w:t>y. jis beveik neturi reikšmės.</w:t>
      </w:r>
    </w:p>
    <w:p w14:paraId="1DB64B40" w14:textId="77777777" w:rsidR="008C4948" w:rsidRPr="009F10EE" w:rsidRDefault="008C4948" w:rsidP="008C4948">
      <w:pPr>
        <w:tabs>
          <w:tab w:val="left" w:pos="567"/>
        </w:tabs>
        <w:spacing w:after="0" w:line="240" w:lineRule="auto"/>
        <w:rPr>
          <w:rFonts w:ascii="Times New Roman" w:eastAsia="TimesNewRomanPSMT" w:hAnsi="Times New Roman" w:cs="Times New Roman"/>
          <w:b/>
          <w:lang w:eastAsia="lt-LT"/>
        </w:rPr>
      </w:pPr>
    </w:p>
    <w:p w14:paraId="757195F0" w14:textId="77777777" w:rsidR="008C4948" w:rsidRPr="009F10EE" w:rsidRDefault="008C4948" w:rsidP="008C4948">
      <w:pPr>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4.5</w:t>
      </w:r>
      <w:r w:rsidRPr="009F10EE">
        <w:rPr>
          <w:rFonts w:ascii="Times New Roman" w:eastAsia="Times New Roman" w:hAnsi="Times New Roman" w:cs="Times New Roman"/>
          <w:b/>
        </w:rPr>
        <w:tab/>
        <w:t>Sąveika su kitais vaistiniais preparatais ir kitokia sąveika</w:t>
      </w:r>
    </w:p>
    <w:p w14:paraId="2192012A"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9436E2A"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Sąveikos tyrimų metu vartota 10 mg ir (arba) 20 mg tadalafilio dozė (kaip nurodyta toliau). Remiantis tų tyrimų, kurių metu vartota tik 10 mg dozė, rezultatais, visiškai paneigti kliniškai reikšmingos sąveikos vartojant didesnę dozę negalima.</w:t>
      </w:r>
    </w:p>
    <w:p w14:paraId="2AE62D2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B5F209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Kitų medžiagų poveikis tadalafiliui</w:t>
      </w:r>
    </w:p>
    <w:p w14:paraId="6B71F82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0E49CBF5"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Citochromo P450 inhibitoriai</w:t>
      </w:r>
    </w:p>
    <w:p w14:paraId="40223D1C" w14:textId="3B300D5E"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Daugiausiai tadalafilio metabolizuojama veikiant CYP3A4 fermentams. Selektyvaus poveikio CYP3A4 inhibitorius ketokonazolas (200 mg paros dozė) tadalafilio (10 mg dozės) ekspoziciją (AUC) padidino 2 kartus, didžiausią koncentraciją kraujo plazmoje (C</w:t>
      </w:r>
      <w:r w:rsidRPr="009F10EE">
        <w:rPr>
          <w:rFonts w:ascii="Times New Roman" w:eastAsia="Times New Roman" w:hAnsi="Times New Roman" w:cs="Times New Roman"/>
          <w:vertAlign w:val="subscript"/>
          <w:lang w:eastAsia="lt-LT"/>
        </w:rPr>
        <w:t>max</w:t>
      </w:r>
      <w:r w:rsidRPr="009F10EE">
        <w:rPr>
          <w:rFonts w:ascii="Times New Roman" w:eastAsia="Times New Roman" w:hAnsi="Times New Roman" w:cs="Times New Roman"/>
          <w:lang w:eastAsia="lt-LT"/>
        </w:rPr>
        <w:t xml:space="preserve">) – 15%, palyginti su </w:t>
      </w:r>
      <w:r w:rsidRPr="009F10EE">
        <w:rPr>
          <w:rFonts w:ascii="Times New Roman" w:eastAsia="Times New Roman" w:hAnsi="Times New Roman" w:cs="Times New Roman"/>
          <w:i/>
          <w:iCs/>
          <w:lang w:eastAsia="lt-LT"/>
        </w:rPr>
        <w:t xml:space="preserve">AUC </w:t>
      </w:r>
      <w:r w:rsidRPr="009F10EE">
        <w:rPr>
          <w:rFonts w:ascii="Times New Roman" w:eastAsia="Times New Roman" w:hAnsi="Times New Roman" w:cs="Times New Roman"/>
          <w:lang w:eastAsia="lt-LT"/>
        </w:rPr>
        <w:t xml:space="preserve">ir </w:t>
      </w:r>
      <w:r w:rsidRPr="009F10EE">
        <w:rPr>
          <w:rFonts w:ascii="Times New Roman" w:eastAsia="TimesNewRomanPSMT" w:hAnsi="Times New Roman" w:cs="Times New Roman"/>
          <w:i/>
          <w:iCs/>
          <w:lang w:eastAsia="lt-LT"/>
        </w:rPr>
        <w:t>C</w:t>
      </w:r>
      <w:r w:rsidRPr="009F10EE">
        <w:rPr>
          <w:rFonts w:ascii="Times New Roman" w:eastAsia="TimesNewRomanPSMT" w:hAnsi="Times New Roman" w:cs="Times New Roman"/>
          <w:i/>
          <w:iCs/>
          <w:vertAlign w:val="subscript"/>
          <w:lang w:eastAsia="lt-LT"/>
        </w:rPr>
        <w:t>max</w:t>
      </w:r>
      <w:r w:rsidRPr="009F10EE">
        <w:rPr>
          <w:rFonts w:ascii="Times New Roman" w:eastAsia="Times New Roman" w:hAnsi="Times New Roman" w:cs="Times New Roman"/>
          <w:i/>
          <w:iCs/>
          <w:lang w:eastAsia="lt-LT"/>
        </w:rPr>
        <w:t xml:space="preserve"> </w:t>
      </w:r>
      <w:r w:rsidRPr="009F10EE">
        <w:rPr>
          <w:rFonts w:ascii="Times New Roman" w:eastAsia="Times New Roman" w:hAnsi="Times New Roman" w:cs="Times New Roman"/>
          <w:lang w:eastAsia="lt-LT"/>
        </w:rPr>
        <w:t xml:space="preserve">rodmenimis, būnančiais vartojant vien tadalafilio. Ketokonazolas (400 mg </w:t>
      </w:r>
      <w:r w:rsidRPr="009F10EE">
        <w:rPr>
          <w:rFonts w:ascii="Times New Roman" w:eastAsia="TimesNewRomanPSMT" w:hAnsi="Times New Roman" w:cs="Times New Roman"/>
          <w:lang w:eastAsia="lt-LT"/>
        </w:rPr>
        <w:t>per parą</w:t>
      </w:r>
      <w:r w:rsidRPr="009F10EE">
        <w:rPr>
          <w:rFonts w:ascii="Times New Roman" w:eastAsia="Times New Roman" w:hAnsi="Times New Roman" w:cs="Times New Roman"/>
          <w:lang w:eastAsia="lt-LT"/>
        </w:rPr>
        <w:t xml:space="preserve">) padidino tadalafilio (20 mg) </w:t>
      </w:r>
      <w:r w:rsidRPr="009F10EE">
        <w:rPr>
          <w:rFonts w:ascii="Times New Roman" w:eastAsia="TimesNewRomanPSMT" w:hAnsi="Times New Roman" w:cs="Times New Roman"/>
          <w:lang w:eastAsia="lt-LT"/>
        </w:rPr>
        <w:t xml:space="preserve">dozės ekspoziciją </w:t>
      </w:r>
      <w:r w:rsidRPr="009F10EE">
        <w:rPr>
          <w:rFonts w:ascii="Times New Roman" w:eastAsia="Times New Roman" w:hAnsi="Times New Roman" w:cs="Times New Roman"/>
          <w:lang w:eastAsia="lt-LT"/>
        </w:rPr>
        <w:t>(</w:t>
      </w:r>
      <w:r w:rsidRPr="009F10EE">
        <w:rPr>
          <w:rFonts w:ascii="Times New Roman" w:eastAsia="Times New Roman" w:hAnsi="Times New Roman" w:cs="Times New Roman"/>
          <w:i/>
          <w:iCs/>
          <w:lang w:eastAsia="lt-LT"/>
        </w:rPr>
        <w:t>AUC</w:t>
      </w:r>
      <w:r w:rsidRPr="009F10EE">
        <w:rPr>
          <w:rFonts w:ascii="Times New Roman" w:eastAsia="Times New Roman" w:hAnsi="Times New Roman" w:cs="Times New Roman"/>
          <w:lang w:eastAsia="lt-LT"/>
        </w:rPr>
        <w:t xml:space="preserve">) 4 kartus ir </w:t>
      </w:r>
      <w:r w:rsidRPr="009F10EE">
        <w:rPr>
          <w:rFonts w:ascii="Times New Roman" w:eastAsia="TimesNewRomanPSMT" w:hAnsi="Times New Roman" w:cs="Times New Roman"/>
          <w:iCs/>
          <w:lang w:eastAsia="lt-LT"/>
        </w:rPr>
        <w:t>C</w:t>
      </w:r>
      <w:r w:rsidRPr="009F10EE">
        <w:rPr>
          <w:rFonts w:ascii="Times New Roman" w:eastAsia="TimesNewRomanPSMT" w:hAnsi="Times New Roman" w:cs="Times New Roman"/>
          <w:iCs/>
          <w:vertAlign w:val="subscript"/>
          <w:lang w:eastAsia="lt-LT"/>
        </w:rPr>
        <w:t>max</w:t>
      </w:r>
      <w:r w:rsidRPr="009F10EE">
        <w:rPr>
          <w:rFonts w:ascii="Times New Roman" w:eastAsia="Times New Roman" w:hAnsi="Times New Roman" w:cs="Times New Roman"/>
          <w:i/>
          <w:iCs/>
          <w:lang w:eastAsia="lt-LT"/>
        </w:rPr>
        <w:t xml:space="preserve"> – </w:t>
      </w:r>
      <w:r w:rsidRPr="009F10EE">
        <w:rPr>
          <w:rFonts w:ascii="Times New Roman" w:eastAsia="Times New Roman" w:hAnsi="Times New Roman" w:cs="Times New Roman"/>
          <w:lang w:eastAsia="lt-LT"/>
        </w:rPr>
        <w:t xml:space="preserve">22%. Proteazės inhibitorius ritonaviras (200 mg </w:t>
      </w:r>
      <w:r w:rsidRPr="009F10EE">
        <w:rPr>
          <w:rFonts w:ascii="Times New Roman" w:eastAsia="TimesNewRomanPSMT" w:hAnsi="Times New Roman" w:cs="Times New Roman"/>
          <w:lang w:eastAsia="lt-LT"/>
        </w:rPr>
        <w:t>du kartus per parą</w:t>
      </w:r>
      <w:r w:rsidRPr="009F10EE">
        <w:rPr>
          <w:rFonts w:ascii="Times New Roman" w:eastAsia="Times New Roman" w:hAnsi="Times New Roman" w:cs="Times New Roman"/>
          <w:lang w:eastAsia="lt-LT"/>
        </w:rPr>
        <w:t>), kuris yra CYP3A4, CYP2C9, CYP2C19 ir CYP2D6 inhibitorius, tadalafilio (20 mg)</w:t>
      </w:r>
      <w:r w:rsidRPr="009F10EE">
        <w:rPr>
          <w:rFonts w:ascii="Times New Roman" w:eastAsia="TimesNewRomanPSMT" w:hAnsi="Times New Roman" w:cs="Times New Roman"/>
          <w:lang w:eastAsia="lt-LT"/>
        </w:rPr>
        <w:t xml:space="preserve"> ekspoziciją </w:t>
      </w:r>
      <w:r w:rsidRPr="009F10EE">
        <w:rPr>
          <w:rFonts w:ascii="Times New Roman" w:eastAsia="Times New Roman" w:hAnsi="Times New Roman" w:cs="Times New Roman"/>
          <w:lang w:eastAsia="lt-LT"/>
        </w:rPr>
        <w:t>(</w:t>
      </w:r>
      <w:r w:rsidRPr="009F10EE">
        <w:rPr>
          <w:rFonts w:ascii="Times New Roman" w:eastAsia="Times New Roman" w:hAnsi="Times New Roman" w:cs="Times New Roman"/>
          <w:i/>
          <w:iCs/>
          <w:lang w:eastAsia="lt-LT"/>
        </w:rPr>
        <w:t>AUC</w:t>
      </w:r>
      <w:r w:rsidRPr="009F10EE">
        <w:rPr>
          <w:rFonts w:ascii="Times New Roman" w:eastAsia="Times New Roman" w:hAnsi="Times New Roman" w:cs="Times New Roman"/>
          <w:lang w:eastAsia="lt-LT"/>
        </w:rPr>
        <w:t xml:space="preserve">) padidino 2 </w:t>
      </w:r>
      <w:r w:rsidRPr="009F10EE">
        <w:rPr>
          <w:rFonts w:ascii="Times New Roman" w:eastAsia="TimesNewRomanPSMT" w:hAnsi="Times New Roman" w:cs="Times New Roman"/>
          <w:lang w:eastAsia="lt-LT"/>
        </w:rPr>
        <w:t xml:space="preserve">kartus, tačiau nedarė įtakos </w:t>
      </w:r>
      <w:r w:rsidRPr="009F10EE">
        <w:rPr>
          <w:rFonts w:ascii="Times New Roman" w:eastAsia="TimesNewRomanPSMT" w:hAnsi="Times New Roman" w:cs="Times New Roman"/>
          <w:i/>
          <w:iCs/>
          <w:lang w:eastAsia="lt-LT"/>
        </w:rPr>
        <w:t>C</w:t>
      </w:r>
      <w:r w:rsidRPr="009F10EE">
        <w:rPr>
          <w:rFonts w:ascii="Times New Roman" w:eastAsia="TimesNewRomanPSMT" w:hAnsi="Times New Roman" w:cs="Times New Roman"/>
          <w:i/>
          <w:iCs/>
          <w:vertAlign w:val="subscript"/>
          <w:lang w:eastAsia="lt-LT"/>
        </w:rPr>
        <w:t>max</w:t>
      </w:r>
      <w:r w:rsidRPr="009F10EE">
        <w:rPr>
          <w:rFonts w:ascii="Times New Roman" w:eastAsia="Times New Roman" w:hAnsi="Times New Roman" w:cs="Times New Roman"/>
          <w:lang w:eastAsia="lt-LT"/>
        </w:rPr>
        <w:t xml:space="preserve">. </w:t>
      </w:r>
      <w:r w:rsidRPr="009F10EE">
        <w:rPr>
          <w:rFonts w:ascii="Times New Roman" w:eastAsia="TimesNewRomanPSMT" w:hAnsi="Times New Roman" w:cs="Times New Roman"/>
          <w:lang w:eastAsia="lt-LT"/>
        </w:rPr>
        <w:t xml:space="preserve">Nors specifinių sąveikos tyrimų neatlikta, kitų proteazės inhibitorių (tokių, kaip sakvinaviras), kitų CYP3A4 inhibitorių (tokių, kaip eritromicinas, klaritromicinas, itrakonazolas) ir greipfrutų sulčių kartu turi būti vartojama atsargiai, kadangi tikėtina, jog minėtos medžiagos padidins tadalafilio koncentracijas kraujo plazmoje (žr. 4.4 skyrių). </w:t>
      </w:r>
    </w:p>
    <w:p w14:paraId="7C8F437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Taigi, gali padidėti 4.8 skyriuje išvardytų nepageidaujamų reakcijų dažnis.</w:t>
      </w:r>
    </w:p>
    <w:p w14:paraId="1F1C4CC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1BBB383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Nešikliai</w:t>
      </w:r>
    </w:p>
    <w:p w14:paraId="7867F3A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Nešiklių (pvz., p-glikoproteino) vaidmuo tadalafilio pasiskirstymui nežinomas. Todėl galima vaistinių preparatų sąveika, priklausanti nuo nešiklių slopinimo.</w:t>
      </w:r>
    </w:p>
    <w:p w14:paraId="46FB934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3C4CFE0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lang w:eastAsia="lt-LT"/>
        </w:rPr>
      </w:pPr>
      <w:r w:rsidRPr="009F10EE">
        <w:rPr>
          <w:rFonts w:ascii="Times New Roman" w:eastAsia="TimesNewRomanPSMT" w:hAnsi="Times New Roman" w:cs="Times New Roman"/>
          <w:i/>
          <w:iCs/>
          <w:lang w:eastAsia="lt-LT"/>
        </w:rPr>
        <w:t>Citochromo P450 induktoriai</w:t>
      </w:r>
    </w:p>
    <w:p w14:paraId="70B93A9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Kartu su CYP 3A4 induktoriumi rifampicinu vartojamo tadalafilio </w:t>
      </w:r>
      <w:r w:rsidRPr="009F10EE">
        <w:rPr>
          <w:rFonts w:ascii="Times New Roman" w:eastAsia="TimesNewRomanPSMT" w:hAnsi="Times New Roman" w:cs="Times New Roman"/>
          <w:i/>
          <w:iCs/>
          <w:lang w:eastAsia="lt-LT"/>
        </w:rPr>
        <w:t xml:space="preserve">AUC </w:t>
      </w:r>
      <w:r w:rsidRPr="009F10EE">
        <w:rPr>
          <w:rFonts w:ascii="Times New Roman" w:eastAsia="TimesNewRomanPSMT" w:hAnsi="Times New Roman" w:cs="Times New Roman"/>
          <w:iCs/>
          <w:lang w:eastAsia="lt-LT"/>
        </w:rPr>
        <w:t>reikšmės</w:t>
      </w:r>
      <w:r w:rsidRPr="009F10EE">
        <w:rPr>
          <w:rFonts w:ascii="Times New Roman" w:eastAsia="TimesNewRomanPSMT" w:hAnsi="Times New Roman" w:cs="Times New Roman"/>
          <w:i/>
          <w:iCs/>
          <w:lang w:eastAsia="lt-LT"/>
        </w:rPr>
        <w:t xml:space="preserve"> </w:t>
      </w:r>
      <w:r w:rsidRPr="009F10EE">
        <w:rPr>
          <w:rFonts w:ascii="Times New Roman" w:eastAsia="TimesNewRomanPSMT" w:hAnsi="Times New Roman" w:cs="Times New Roman"/>
          <w:lang w:eastAsia="lt-LT"/>
        </w:rPr>
        <w:t xml:space="preserve">buvo 88% mažesnės, negu AUC reikšmės vartojamo vieno tadalafilio (10 mg). Tikėtina, kad dėl tokio ekspozicijos sumažėjimo sumažėja ir tadalafilio veiksmingumas. Kiek jis sumažėja, nežinoma. </w:t>
      </w:r>
    </w:p>
    <w:p w14:paraId="0D097E9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Kiti CYP3A4 induktoriai, pvz., fenobarbitalis, fenitoinas ir karbamazepinas, taip pat gali mažinti kartu vartojamo tadalafilio koncentracijas kraujo plazmoje.</w:t>
      </w:r>
    </w:p>
    <w:p w14:paraId="404AF2B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64E8B0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u w:val="single"/>
          <w:lang w:eastAsia="lt-LT"/>
        </w:rPr>
        <w:t>Tadalafilio poveikis kitiems vaistiniams preparatams</w:t>
      </w:r>
    </w:p>
    <w:p w14:paraId="5E398ED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u w:val="single"/>
          <w:lang w:eastAsia="lt-LT"/>
        </w:rPr>
      </w:pPr>
    </w:p>
    <w:p w14:paraId="6129F0D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Nitratai</w:t>
      </w:r>
    </w:p>
    <w:p w14:paraId="2109A2C1" w14:textId="14C3507D"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Klinikinių tyrimų metu tadalafilis (5 mg, 10 mg ir 20 mg dozė) sustiprino nitratų sukeliamą hipotenzinį poveikį. Dėl to pacientams, vartojantiems bet kokios formos organinio nitrato, Tadalafil Accord vartoti draudžiama (žr. 4.3 skyrių). Remiantis klinikinio tyrimo, kurio metu 150 pacientų 7 paras kasdien vartojo 20 mg tadalafilio dozę ir įvairiu laiku po liežuviu vartojo 0,4 mg nitroglicerino dozę, duomenimis, minėta sąveika trunka ilgiau negu 24 valandas ir tampa nepastebima praėjus 48 valandoms po paskutinės tadalafilio dozės vartojimo. Vadinasi, pacientams, kuriems paskirta bet kokia Tadalafil Accord dozė (2,5-20 mg) ir kuriems gyvybei pavojingos būklės atveju vartoti nitratų yra būtina, jų galima vartoti tik praėjus mažiausiai 48 val. po paskutinės</w:t>
      </w:r>
      <w:r w:rsidRPr="009F10EE">
        <w:rPr>
          <w:rFonts w:ascii="Times New Roman" w:hAnsi="Times New Roman" w:cs="Times New Roman"/>
        </w:rPr>
        <w:t xml:space="preserve"> </w:t>
      </w:r>
      <w:r w:rsidRPr="009F10EE">
        <w:rPr>
          <w:rFonts w:ascii="Times New Roman" w:eastAsia="TimesNewRomanPSMT" w:hAnsi="Times New Roman" w:cs="Times New Roman"/>
          <w:lang w:eastAsia="lt-LT"/>
        </w:rPr>
        <w:t xml:space="preserve">Tadalafil Accord dozės pavartojimo. Tokiu atveju nitratų galima vartoti tik atidžiai gydytojui prižiūrint ir tinkamai sekant hemodinamiką. </w:t>
      </w:r>
    </w:p>
    <w:p w14:paraId="09B58B8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14B5689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Antihipertenziniai vaistiniai preparatai (įskaitant kalcio kanalų blokatorius)</w:t>
      </w:r>
    </w:p>
    <w:p w14:paraId="0E7B5B4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Doksazosino (4 mg ir 8 mg per parą) vartojant kartu su tadalafiliu (5 mg paros doze ir 20 mg vienkartine doze), šio alfa adrenoreceptorių blokatoriaus kraujospūdį mažinantis poveikis reikšmingai sustiprėjo. Toks poveikis trunka ne trumpiau kaip dvylika valandų ir gali sukelti simptomus, įskaitant apalpimą. Todėl šio derinio vartoti nerekomenduojama (žr. 4.4 skyrių). </w:t>
      </w:r>
    </w:p>
    <w:p w14:paraId="2D6A740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Sąveikos tyrimų, kuriuose dalyvavo nedidelis skaičius sveikų savanorių, duomenimis, vartojant vaistinį preparatą kartu su alfuzozinu arba tamsulozinu, toks poveikis nepasireiškė. Vis dėlto tadalafilio vartoti pacientams, kurie gydomi bet kuriais alfa adrenoreceptorių blokatoriais, ypač senyvus pacientus, reikia atsargiai. Gydymą reikia pradėti mažiausia vaistinio preparato doze ir ją palaipsniui didinti.</w:t>
      </w:r>
    </w:p>
    <w:p w14:paraId="67F1652A"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32C2E070" w14:textId="3D7D9595"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Klinikinių farmakologinių tyrimų metu buvo tirta, ar tadalafilis gali stiprinti antihipertenzinių vaistinių preparatų sukeliamą hipotenzinį poveikį. Buvo tirtos pagrindinės antihipertenzinių vaistinių preparatų grupės: kalcio kanalų blokatoriai (amlodipinas), angiotenziną konvertuojančio fermento (AKF) inhibitoriai (enalaprilis), beta adrenoreceptorių blokatoriai (metoprololis), tiazidų grupės diuretikai (bendroflumetiazidas) ir angiotenzino II receptorių blokatoriai (įvairūs jų tipai ir dozės, vartoti vieni ar kartu su tiazidais, kalcio kanalų blokatoriais, beta adrenoreceptorių blokatoriais ir (ar) alfa adrenoreceptorių blokatoriais). Kliniškai reikšmingos tadalafilio (10 mg dozė, išskyrus sąveikos su angiotenzino II receptorių blokatoriais ir amlodipinu tyrimus, kurių metu buvo vartota 20 mg dozė) sąveikos su visų tirtų grupių vaistiniais preparatais nepastebėta. Kito klinikinio farmakologinio tyrimo metu nustatinėta 20 mg tadalafilio dozės sąveika su 4 grupių antihipertenziniais vaistiniais preparatais. Tiriamiesiems, vartojantiems kelis antihipertenzinius vaistinius preparatus, ambulatorijoje matuojamo kraujospūdžio pokyčiai priklausė nuo jo kontroliavimo laipsnio. Vadinasi, tų tiriamųjų, kurių kraujospūdis buvo gerai kontroliuojamas, jo mažėjimas buvo minimalus ir panašus į pasireiškiantį sveikiems žmonėms. Pacientams, kurių kraujospūdis nebuvo kontroliuojamas, jis mažėjo daugiau, tačiau daugumai tiriamųjų mažėjimas nebuvo susijęs su hipotenzijos simptomais. Pacientams, gydomiems antihipertenziniais vaistiniais preparatais, 20 mg tadalafilio dozė gali sukelti kraujospūdžio sumažėjimą, kuris (išskyrus alfa adrenoreceptorių blokatorius, žr. </w:t>
      </w:r>
      <w:r w:rsidR="008F2C4B">
        <w:rPr>
          <w:rFonts w:ascii="Times New Roman" w:eastAsia="TimesNewRomanPSMT" w:hAnsi="Times New Roman" w:cs="Times New Roman"/>
          <w:lang w:eastAsia="lt-LT"/>
        </w:rPr>
        <w:t>pirmiau</w:t>
      </w:r>
      <w:r w:rsidRPr="009F10EE">
        <w:rPr>
          <w:rFonts w:ascii="Times New Roman" w:eastAsia="TimesNewRomanPSMT" w:hAnsi="Times New Roman" w:cs="Times New Roman"/>
          <w:lang w:eastAsia="lt-LT"/>
        </w:rPr>
        <w:t xml:space="preserve">) paprastai būna nedidelis ir nepanašu, kad būtų kliniškai reikšmingas. </w:t>
      </w:r>
    </w:p>
    <w:p w14:paraId="7928FCE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III fazės klinikinių tyrimų duomenų analizė rodo, kad pacientams, vartojusiems tadalafilio kartu su antihipertenziniais vaistiniais preparatais ar be jų, pasireiškę nepageidaujami reiškiniai nesiskyrė Vis dėlto pacientus, gydomus antihipertenziniais vaistiniais preparatais, reikia tinkamai informuoti apie galimą kraujospūdžio mažėjimą.</w:t>
      </w:r>
    </w:p>
    <w:p w14:paraId="347B306A"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p>
    <w:p w14:paraId="74FD2E24" w14:textId="77777777" w:rsidR="008C4948" w:rsidRPr="009F10EE" w:rsidRDefault="008C4948" w:rsidP="008C4948">
      <w:pPr>
        <w:tabs>
          <w:tab w:val="left" w:pos="567"/>
        </w:tabs>
        <w:spacing w:after="0" w:line="240" w:lineRule="auto"/>
        <w:rPr>
          <w:rFonts w:ascii="Times New Roman" w:eastAsia="Times New Roman" w:hAnsi="Times New Roman" w:cs="Times New Roman"/>
          <w:i/>
          <w:lang w:eastAsia="lt-LT"/>
        </w:rPr>
      </w:pPr>
      <w:r w:rsidRPr="009F10EE">
        <w:rPr>
          <w:rFonts w:ascii="Times New Roman" w:eastAsia="Times New Roman" w:hAnsi="Times New Roman" w:cs="Times New Roman"/>
          <w:i/>
          <w:lang w:eastAsia="lt-LT"/>
        </w:rPr>
        <w:t>Riociguatas</w:t>
      </w:r>
    </w:p>
    <w:p w14:paraId="2FE020E7" w14:textId="15E04515"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Ikiklinikinių tyrimų metu buvo nustatytas pridėtinis sisteminio kraujospūdžio sumažinimo poveikis kuomet FDE5 inhibitoriai buvo skirti kartu su riociguatu. Klinikinių tyrimų metu nustatyta, kad riociguatas sustiprino FDE5 inhibitorių hipotenzinį poveikį. Populiacijos tyrimų metu šios kombinacijos palankus klinikinis poveikis įrodytas nebuvo. Riociguato kartu su FDE5 inhibitoriais, įskaitant tadalafilą, vartoti </w:t>
      </w:r>
      <w:r w:rsidR="002461DD">
        <w:rPr>
          <w:rFonts w:ascii="Times New Roman" w:eastAsia="Times New Roman" w:hAnsi="Times New Roman" w:cs="Times New Roman"/>
          <w:lang w:eastAsia="lt-LT"/>
        </w:rPr>
        <w:t>draudžiama</w:t>
      </w:r>
      <w:r w:rsidR="002461DD" w:rsidRPr="009F10EE">
        <w:rPr>
          <w:rFonts w:ascii="Times New Roman" w:eastAsia="Times New Roman" w:hAnsi="Times New Roman" w:cs="Times New Roman"/>
          <w:lang w:eastAsia="lt-LT"/>
        </w:rPr>
        <w:t xml:space="preserve"> </w:t>
      </w:r>
      <w:r w:rsidRPr="009F10EE">
        <w:rPr>
          <w:rFonts w:ascii="Times New Roman" w:eastAsia="Times New Roman" w:hAnsi="Times New Roman" w:cs="Times New Roman"/>
          <w:lang w:eastAsia="lt-LT"/>
        </w:rPr>
        <w:t>(žr. 4.3 skyrių).</w:t>
      </w:r>
    </w:p>
    <w:p w14:paraId="445B0147"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p>
    <w:p w14:paraId="724CE5F2"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5-alfa reduktazės inhibitoriai</w:t>
      </w:r>
    </w:p>
    <w:p w14:paraId="0B1E5700"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Klinikiniu tyrimu, kurio metu buvo lyginamas tadalafilio 5 mg</w:t>
      </w:r>
      <w:r w:rsidRPr="009F10EE">
        <w:rPr>
          <w:rFonts w:ascii="Times New Roman" w:eastAsia="TimesNewRomanPSMT" w:hAnsi="Times New Roman" w:cs="Times New Roman"/>
          <w:lang w:eastAsia="lt-LT"/>
        </w:rPr>
        <w:t xml:space="preserve"> dozės, vartojamos kartu su finasterido</w:t>
      </w:r>
      <w:r w:rsidRPr="009F10EE">
        <w:rPr>
          <w:rFonts w:ascii="Times New Roman" w:eastAsia="Times New Roman" w:hAnsi="Times New Roman" w:cs="Times New Roman"/>
          <w:lang w:eastAsia="lt-LT"/>
        </w:rPr>
        <w:t xml:space="preserve"> 5 mg doze, ir placebo, vartojamo kartu su finasterido 5 mg</w:t>
      </w:r>
      <w:r w:rsidRPr="009F10EE">
        <w:rPr>
          <w:rFonts w:ascii="Times New Roman" w:eastAsia="TimesNewRomanPSMT" w:hAnsi="Times New Roman" w:cs="Times New Roman"/>
          <w:lang w:eastAsia="lt-LT"/>
        </w:rPr>
        <w:t xml:space="preserve"> doze, poveikis gerybinės prostatos hiperplazijos (GPH) simptomams lengvinti, naujų nepageidaujamų reakcijų nenustatyta. Vis dėlto, kadangi specifinių sąveikos tyrimų, kuriais būtų vertintas tadalafilio ir 5</w:t>
      </w:r>
      <w:r w:rsidRPr="009F10EE">
        <w:rPr>
          <w:rFonts w:ascii="Times New Roman" w:eastAsia="Times New Roman" w:hAnsi="Times New Roman" w:cs="Times New Roman"/>
          <w:lang w:eastAsia="lt-LT"/>
        </w:rPr>
        <w:t>-</w:t>
      </w:r>
      <w:r w:rsidRPr="009F10EE">
        <w:rPr>
          <w:rFonts w:ascii="Times New Roman" w:eastAsia="TimesNewRomanPSMT" w:hAnsi="Times New Roman" w:cs="Times New Roman"/>
          <w:lang w:eastAsia="lt-LT"/>
        </w:rPr>
        <w:t>alfa reduktazės inhibitorių (5</w:t>
      </w:r>
      <w:r w:rsidRPr="009F10EE">
        <w:rPr>
          <w:rFonts w:ascii="Times New Roman" w:eastAsia="Times New Roman" w:hAnsi="Times New Roman" w:cs="Times New Roman"/>
          <w:lang w:eastAsia="lt-LT"/>
        </w:rPr>
        <w:t>-ARI) poveikis, neatlikta, tadalafiliu kartu su 5-ARI reikia gydyti atsargiai.</w:t>
      </w:r>
    </w:p>
    <w:p w14:paraId="25FC45A3"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5A083F40"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CYP1A2 substratai (pvz., teofilinas)</w:t>
      </w:r>
    </w:p>
    <w:p w14:paraId="096F6D9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Klinikinio farmakologinio tyrimo, kurio metu 10 mg</w:t>
      </w:r>
      <w:r w:rsidRPr="009F10EE">
        <w:rPr>
          <w:rFonts w:ascii="Times New Roman" w:eastAsia="TimesNewRomanPSMT" w:hAnsi="Times New Roman" w:cs="Times New Roman"/>
          <w:lang w:eastAsia="lt-LT"/>
        </w:rPr>
        <w:t xml:space="preserve"> tadalafilio dozė buvo vartota kartu su teofilinu (neselektyviu fosfodiesterazės inhibitoriumi), duomenimis, farmakokinetinė sąveika nepasireiškė.</w:t>
      </w:r>
      <w:r w:rsidRPr="009F10EE">
        <w:rPr>
          <w:rFonts w:ascii="Times New Roman" w:eastAsia="Times New Roman" w:hAnsi="Times New Roman" w:cs="Times New Roman"/>
          <w:lang w:eastAsia="lt-LT"/>
        </w:rPr>
        <w:t xml:space="preserve"> Vienintelis farmakodinaminis poveikis buvo nedidelis (3,5 </w:t>
      </w:r>
      <w:r w:rsidRPr="009F10EE">
        <w:rPr>
          <w:rFonts w:ascii="Times New Roman" w:eastAsia="TimesNewRomanPSMT" w:hAnsi="Times New Roman" w:cs="Times New Roman"/>
          <w:lang w:eastAsia="lt-LT"/>
        </w:rPr>
        <w:t xml:space="preserve">plakimų per minutę) širdies susitraukimų </w:t>
      </w:r>
      <w:r w:rsidRPr="009F10EE">
        <w:rPr>
          <w:rFonts w:ascii="Times New Roman" w:eastAsia="TimesNewRomanPSMT" w:hAnsi="Times New Roman" w:cs="Times New Roman"/>
          <w:lang w:eastAsia="lt-LT"/>
        </w:rPr>
        <w:lastRenderedPageBreak/>
        <w:t>padažnėjimas. Nors toks poveikis yra nedidelis ir šio tyrimo metu buvo kliniškai nereikšmingas, vis dėlto į jį reikia atsižvelgti šių vaistinių preparatų vartojant kartu.</w:t>
      </w:r>
    </w:p>
    <w:p w14:paraId="12CB1C0F"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p>
    <w:p w14:paraId="150030C3" w14:textId="77777777" w:rsidR="008C4948" w:rsidRPr="009F10EE" w:rsidRDefault="008C4948" w:rsidP="008C4948">
      <w:pPr>
        <w:tabs>
          <w:tab w:val="left" w:pos="567"/>
        </w:tabs>
        <w:spacing w:after="0" w:line="240" w:lineRule="auto"/>
        <w:rPr>
          <w:rFonts w:ascii="Times New Roman" w:eastAsia="Times New Roman" w:hAnsi="Times New Roman" w:cs="Times New Roman"/>
          <w:i/>
          <w:lang w:eastAsia="lt-LT"/>
        </w:rPr>
      </w:pPr>
      <w:r w:rsidRPr="009F10EE">
        <w:rPr>
          <w:rFonts w:ascii="Times New Roman" w:eastAsia="Times New Roman" w:hAnsi="Times New Roman" w:cs="Times New Roman"/>
          <w:i/>
          <w:lang w:eastAsia="lt-LT"/>
        </w:rPr>
        <w:t xml:space="preserve">Etinilestradiolis ir terbutalinas </w:t>
      </w:r>
    </w:p>
    <w:p w14:paraId="435B5CFD"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Nustatyta, kad tadalafilis didina biologinį išgerto etinilestradiolio prieinamumą. Galima tikėtis, kad panaši sąveika galima ir su išgertu terbutalinu, tačiau klinikinės jos pasekmės nežinomos. </w:t>
      </w:r>
    </w:p>
    <w:p w14:paraId="230B3FF0"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p>
    <w:p w14:paraId="01A08E7E"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Alkoholis</w:t>
      </w:r>
    </w:p>
    <w:p w14:paraId="07872303"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Kartu vartojamas tadalafilis (10 mg arba 20 mg dozė) alkoholio koncentracijų kraujyje (vidutinė didžiausia koncentracija kraujyje </w:t>
      </w:r>
      <w:r w:rsidRPr="009F10EE">
        <w:rPr>
          <w:rFonts w:ascii="Times New Roman" w:eastAsia="Times New Roman" w:hAnsi="Times New Roman" w:cs="Times New Roman"/>
          <w:lang w:eastAsia="lt-LT"/>
        </w:rPr>
        <w:t xml:space="preserve">– 0,08%) </w:t>
      </w:r>
      <w:r w:rsidRPr="009F10EE">
        <w:rPr>
          <w:rFonts w:ascii="Times New Roman" w:eastAsia="TimesNewRomanPSMT" w:hAnsi="Times New Roman" w:cs="Times New Roman"/>
          <w:lang w:eastAsia="lt-LT"/>
        </w:rPr>
        <w:t xml:space="preserve">nepaveikė. Be to, tadalafilio koncentracijos, praėjus 3 </w:t>
      </w:r>
      <w:r w:rsidRPr="009F10EE">
        <w:rPr>
          <w:rFonts w:ascii="Times New Roman" w:eastAsia="Times New Roman" w:hAnsi="Times New Roman" w:cs="Times New Roman"/>
          <w:lang w:eastAsia="lt-LT"/>
        </w:rPr>
        <w:t>valandom po alkoholio pavartojimo,</w:t>
      </w:r>
      <w:r w:rsidRPr="009F10EE">
        <w:rPr>
          <w:rFonts w:ascii="Times New Roman" w:eastAsia="TimesNewRomanPSMT" w:hAnsi="Times New Roman" w:cs="Times New Roman"/>
          <w:lang w:eastAsia="lt-LT"/>
        </w:rPr>
        <w:t xml:space="preserve"> nekito. Alkoholis buvo geriamas tokiu būdu, kad absorbcija būtų greičiausia (nevalgius visą naktį ir</w:t>
      </w:r>
      <w:r w:rsidRPr="009F10EE">
        <w:rPr>
          <w:rFonts w:ascii="Times New Roman" w:eastAsia="Times New Roman" w:hAnsi="Times New Roman" w:cs="Times New Roman"/>
          <w:lang w:eastAsia="lt-LT"/>
        </w:rPr>
        <w:t xml:space="preserve"> 2 valandas po a</w:t>
      </w:r>
      <w:r w:rsidRPr="009F10EE">
        <w:rPr>
          <w:rFonts w:ascii="Times New Roman" w:eastAsia="TimesNewRomanPSMT" w:hAnsi="Times New Roman" w:cs="Times New Roman"/>
          <w:lang w:eastAsia="lt-LT"/>
        </w:rPr>
        <w:t xml:space="preserve">lkoholio išgėrimo). </w:t>
      </w:r>
    </w:p>
    <w:p w14:paraId="6656D626"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2C624DA7"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Tadalafilio (20 mg) dozė nestiprino alkoholio (0,7 </w:t>
      </w:r>
      <w:r w:rsidRPr="009F10EE">
        <w:rPr>
          <w:rFonts w:ascii="Times New Roman" w:eastAsia="Times New Roman" w:hAnsi="Times New Roman" w:cs="Times New Roman"/>
          <w:lang w:eastAsia="lt-LT"/>
        </w:rPr>
        <w:t xml:space="preserve">g/kg </w:t>
      </w:r>
      <w:r w:rsidRPr="009F10EE">
        <w:rPr>
          <w:rFonts w:ascii="Times New Roman" w:eastAsia="TimesNewRomanPSMT" w:hAnsi="Times New Roman" w:cs="Times New Roman"/>
          <w:lang w:eastAsia="lt-LT"/>
        </w:rPr>
        <w:t xml:space="preserve">kūno svorio arba apytiksliai 180 ml 40 % alkoholio (degtinės) 80 kg sveriančiam vyrui) sukelto vidutinio kraujospūdžio mažėjimo, tačiau kai kuriems tiriamiesiems pasireiškė su kūno padėties pakeitimu susijęs galvos svaigimas ir ortostatinė hipotenzija. Tadalafilio vartojant kartu su mažesne alkoholio </w:t>
      </w:r>
      <w:r w:rsidRPr="009F10EE">
        <w:rPr>
          <w:rFonts w:ascii="Times New Roman" w:eastAsia="Times New Roman" w:hAnsi="Times New Roman" w:cs="Times New Roman"/>
          <w:lang w:eastAsia="lt-LT"/>
        </w:rPr>
        <w:t>doze (0,6 </w:t>
      </w:r>
      <w:r w:rsidRPr="009F10EE">
        <w:rPr>
          <w:rFonts w:ascii="Times New Roman" w:eastAsia="TimesNewRomanPSMT" w:hAnsi="Times New Roman" w:cs="Times New Roman"/>
          <w:lang w:eastAsia="lt-LT"/>
        </w:rPr>
        <w:t>g/kg kūno svorio) hipotenzija nepasireiškė, o galvos svaigimo dažnis buvo panašus į atsirandantį išgėrus vien alkoholio. Alk</w:t>
      </w:r>
      <w:r w:rsidRPr="009F10EE">
        <w:rPr>
          <w:rFonts w:ascii="Times New Roman" w:eastAsia="Times New Roman" w:hAnsi="Times New Roman" w:cs="Times New Roman"/>
          <w:lang w:eastAsia="lt-LT"/>
        </w:rPr>
        <w:t>oholio poveikio pažinimo funkcijai 10 mg</w:t>
      </w:r>
      <w:r w:rsidRPr="009F10EE">
        <w:rPr>
          <w:rFonts w:ascii="Times New Roman" w:eastAsia="TimesNewRomanPSMT" w:hAnsi="Times New Roman" w:cs="Times New Roman"/>
          <w:lang w:eastAsia="lt-LT"/>
        </w:rPr>
        <w:t xml:space="preserve"> tadalafilio dozė </w:t>
      </w:r>
      <w:r w:rsidRPr="009F10EE">
        <w:rPr>
          <w:rFonts w:ascii="Times New Roman" w:eastAsia="Times New Roman" w:hAnsi="Times New Roman" w:cs="Times New Roman"/>
          <w:lang w:eastAsia="lt-LT"/>
        </w:rPr>
        <w:t>nestiprino.</w:t>
      </w:r>
    </w:p>
    <w:p w14:paraId="5249D9BB"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7632C182"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Citochromo P450 metabolizuojami vaistiniai preparatai</w:t>
      </w:r>
    </w:p>
    <w:p w14:paraId="14368B9E"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Nesitikima, kad tadalafilis galėtų sukelti kliniškai reikšmingą vaistinių preparatų, metabolizuojamų CYP 450 izofermentų,</w:t>
      </w:r>
      <w:r w:rsidRPr="009F10EE">
        <w:rPr>
          <w:rFonts w:ascii="Times New Roman" w:eastAsia="Times New Roman" w:hAnsi="Times New Roman" w:cs="Times New Roman"/>
          <w:lang w:eastAsia="lt-LT"/>
        </w:rPr>
        <w:t xml:space="preserve"> klirenso slopinimą ar indukciją</w:t>
      </w:r>
      <w:r w:rsidRPr="009F10EE">
        <w:rPr>
          <w:rFonts w:ascii="Times New Roman" w:eastAsia="TimesNewRomanPSMT" w:hAnsi="Times New Roman" w:cs="Times New Roman"/>
          <w:lang w:eastAsia="lt-LT"/>
        </w:rPr>
        <w:t xml:space="preserve">. Tyrimais patvirtinta, kad tadalafilis neslopina ir neindukuoja </w:t>
      </w:r>
      <w:r w:rsidRPr="009F10EE">
        <w:rPr>
          <w:rFonts w:ascii="Times New Roman" w:eastAsia="Times New Roman" w:hAnsi="Times New Roman" w:cs="Times New Roman"/>
          <w:lang w:eastAsia="lt-LT"/>
        </w:rPr>
        <w:t xml:space="preserve">CYP </w:t>
      </w:r>
      <w:r w:rsidRPr="009F10EE">
        <w:rPr>
          <w:rFonts w:ascii="Times New Roman" w:eastAsia="TimesNewRomanPSMT" w:hAnsi="Times New Roman" w:cs="Times New Roman"/>
          <w:lang w:eastAsia="lt-LT"/>
        </w:rPr>
        <w:t xml:space="preserve">450 izofermentų, įskaitant CYP </w:t>
      </w:r>
      <w:r w:rsidRPr="009F10EE">
        <w:rPr>
          <w:rFonts w:ascii="Times New Roman" w:eastAsia="Times New Roman" w:hAnsi="Times New Roman" w:cs="Times New Roman"/>
          <w:lang w:eastAsia="lt-LT"/>
        </w:rPr>
        <w:t>3A4, CYP 1A2, CYP 2D6, CYP 2E1, CYP 2C9 ir CYP 2C19 fermentus.</w:t>
      </w:r>
    </w:p>
    <w:p w14:paraId="0B96FBC0"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3A44B5F0"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CYP2C9 substratai (pvz., R-varfarinas)</w:t>
      </w:r>
    </w:p>
    <w:p w14:paraId="7904931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Tadalafil</w:t>
      </w:r>
      <w:r w:rsidRPr="009F10EE">
        <w:rPr>
          <w:rFonts w:ascii="Times New Roman" w:eastAsia="TimesNewRomanPSMT" w:hAnsi="Times New Roman" w:cs="Times New Roman"/>
          <w:lang w:eastAsia="lt-LT"/>
        </w:rPr>
        <w:t>io (</w:t>
      </w:r>
      <w:r w:rsidRPr="009F10EE">
        <w:rPr>
          <w:rFonts w:ascii="Times New Roman" w:eastAsia="Times New Roman" w:hAnsi="Times New Roman" w:cs="Times New Roman"/>
          <w:lang w:eastAsia="lt-LT"/>
        </w:rPr>
        <w:t xml:space="preserve">10 mg arba 20 mg) </w:t>
      </w:r>
      <w:r w:rsidRPr="009F10EE">
        <w:rPr>
          <w:rFonts w:ascii="Times New Roman" w:eastAsia="TimesNewRomanPSMT" w:hAnsi="Times New Roman" w:cs="Times New Roman"/>
          <w:lang w:eastAsia="lt-LT"/>
        </w:rPr>
        <w:t>dozė kliniškai reikšmingo poveikio S</w:t>
      </w:r>
      <w:r w:rsidRPr="009F10EE">
        <w:rPr>
          <w:rFonts w:ascii="Times New Roman" w:eastAsia="Times New Roman" w:hAnsi="Times New Roman" w:cs="Times New Roman"/>
          <w:lang w:eastAsia="lt-LT"/>
        </w:rPr>
        <w:t>-varfarino ar R-varfarino (CYP 2C9 substrato) ekspozicijai (</w:t>
      </w:r>
      <w:r w:rsidRPr="009F10EE">
        <w:rPr>
          <w:rFonts w:ascii="Times New Roman" w:eastAsia="Times New Roman" w:hAnsi="Times New Roman" w:cs="Times New Roman"/>
          <w:iCs/>
          <w:lang w:eastAsia="lt-LT"/>
        </w:rPr>
        <w:t>AUC</w:t>
      </w:r>
      <w:r w:rsidRPr="009F10EE">
        <w:rPr>
          <w:rFonts w:ascii="Times New Roman" w:eastAsia="TimesNewRomanPSMT" w:hAnsi="Times New Roman" w:cs="Times New Roman"/>
          <w:lang w:eastAsia="lt-LT"/>
        </w:rPr>
        <w:t>) bei varfarino sukeliamam protrombino laiko pokyčiui nedaro.</w:t>
      </w:r>
    </w:p>
    <w:p w14:paraId="3F8B2668"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584D29D7"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Aspirinas</w:t>
      </w:r>
    </w:p>
    <w:p w14:paraId="234AF09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 xml:space="preserve">Tadalafilio (10 mg arba 20 mg) </w:t>
      </w:r>
      <w:r w:rsidRPr="009F10EE">
        <w:rPr>
          <w:rFonts w:ascii="Times New Roman" w:eastAsia="TimesNewRomanPSMT" w:hAnsi="Times New Roman" w:cs="Times New Roman"/>
          <w:lang w:eastAsia="lt-LT"/>
        </w:rPr>
        <w:t>dozė nestiprina acetilsalicilo rūgšties sukeliamo kraujavimo laiką ilginančio poveikio.</w:t>
      </w:r>
    </w:p>
    <w:p w14:paraId="0CFC1E95"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p w14:paraId="3F2DF22D"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Antidiabetiniai vaistiniai preparatai</w:t>
      </w:r>
    </w:p>
    <w:p w14:paraId="60B07D1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Specifinių tadalafilio ir antidiabetinių vaistinių preparatų sąveikos tyrimų neatlikta.</w:t>
      </w:r>
    </w:p>
    <w:p w14:paraId="6DBBC5E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7A413FF" w14:textId="77777777" w:rsidR="008C4948" w:rsidRPr="009F10EE" w:rsidRDefault="008C4948" w:rsidP="008C4948">
      <w:pPr>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4.6</w:t>
      </w:r>
      <w:r w:rsidRPr="009F10EE">
        <w:rPr>
          <w:rFonts w:ascii="Times New Roman" w:eastAsia="Times New Roman" w:hAnsi="Times New Roman" w:cs="Times New Roman"/>
          <w:b/>
        </w:rPr>
        <w:tab/>
        <w:t>Vaisingumas, nėštumo ir žindymo laikotarpis</w:t>
      </w:r>
    </w:p>
    <w:p w14:paraId="4C9FF8D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301992AA" w14:textId="77777777" w:rsidR="008C4948" w:rsidRPr="009F10EE" w:rsidRDefault="008C4948" w:rsidP="008C4948">
      <w:pPr>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Tadalafil Accord</w:t>
      </w:r>
      <w:r w:rsidRPr="009F10EE">
        <w:rPr>
          <w:rFonts w:ascii="Times New Roman" w:eastAsia="Times New Roman" w:hAnsi="Times New Roman" w:cs="Times New Roman"/>
          <w:lang w:eastAsia="lt-LT"/>
        </w:rPr>
        <w:t xml:space="preserve"> 10 mg nėra skirtas vartoti moterims.</w:t>
      </w:r>
    </w:p>
    <w:p w14:paraId="601C5FB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3B9004A2"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Nėštumas</w:t>
      </w:r>
    </w:p>
    <w:p w14:paraId="1F0E93F2"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Duomenų apie tadalafilio vartojimą nėštumo metu nepakanka. </w:t>
      </w:r>
      <w:r w:rsidRPr="009F10EE">
        <w:rPr>
          <w:rFonts w:ascii="Times New Roman" w:eastAsia="TimesNewRomanPSMT" w:hAnsi="Times New Roman" w:cs="Times New Roman"/>
          <w:lang w:eastAsia="lt-LT"/>
        </w:rPr>
        <w:t xml:space="preserve">Tyrimai su gyvūnais tiesioginio ar netiesioginio kenksmingo poveikio nėštumo eigai, embriono ar vaisiaus vystymuisi, gimdymui ar postnataliniam vystymuisi neparodė (žr. 5.3 skyrių). Dėl atsargumo nėštumo metu Tadalafil Accord vartojimo geriau </w:t>
      </w:r>
      <w:r w:rsidRPr="009F10EE">
        <w:rPr>
          <w:rFonts w:ascii="Times New Roman" w:eastAsia="Times New Roman" w:hAnsi="Times New Roman" w:cs="Times New Roman"/>
          <w:lang w:eastAsia="lt-LT"/>
        </w:rPr>
        <w:t>vengti.</w:t>
      </w:r>
    </w:p>
    <w:p w14:paraId="0D4E5D45"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125CD5F1"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Žindymas</w:t>
      </w:r>
    </w:p>
    <w:p w14:paraId="0E884908"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 xml:space="preserve">Turimi farmakodinaminio ir toksinio poveikio tyrimų su gyvūnais duomenys rodo, kad tadalafilis išsiskiria į motinos pieną. Rizikos žindomam kūdikiui paneigti negalima. </w:t>
      </w:r>
      <w:r w:rsidRPr="009F10EE">
        <w:rPr>
          <w:rFonts w:ascii="Times New Roman" w:eastAsia="Times New Roman" w:hAnsi="Times New Roman" w:cs="Times New Roman"/>
          <w:lang w:eastAsia="lt-LT"/>
        </w:rPr>
        <w:t>Žindymo laikotarpiu Tadalafil Accord vartoti negalima.</w:t>
      </w:r>
    </w:p>
    <w:p w14:paraId="1D668084"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005CFBCF"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Vaisingumas</w:t>
      </w:r>
    </w:p>
    <w:p w14:paraId="0A34DBFD"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lastRenderedPageBreak/>
        <w:t xml:space="preserve">Šunims buvo pastebėtas poveikis, kuris gali rodyti vaisingumo sutrikimą. Du vėlesni klinikiniai tyrimai rodo, kad toks poveikis žmogui nėra tikėtinas, nors kai kuriems vyrams buvo nustatytas spermos koncentracijos sumažėjimas (žr. 5.1 ir 5.3 </w:t>
      </w:r>
      <w:r w:rsidRPr="009F10EE">
        <w:rPr>
          <w:rFonts w:ascii="Times New Roman" w:eastAsia="Times New Roman" w:hAnsi="Times New Roman" w:cs="Times New Roman"/>
          <w:lang w:eastAsia="lt-LT"/>
        </w:rPr>
        <w:t>skyrius).</w:t>
      </w:r>
    </w:p>
    <w:p w14:paraId="28E83DB3"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093B423" w14:textId="77777777" w:rsidR="008C4948" w:rsidRPr="009F10EE" w:rsidRDefault="008C4948" w:rsidP="00B65F27">
      <w:pPr>
        <w:keepNext/>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4.7</w:t>
      </w:r>
      <w:r w:rsidRPr="009F10EE">
        <w:rPr>
          <w:rFonts w:ascii="Times New Roman" w:eastAsia="Times New Roman" w:hAnsi="Times New Roman" w:cs="Times New Roman"/>
          <w:b/>
        </w:rPr>
        <w:tab/>
        <w:t>Poveikis gebėjimui vairuoti ir valdyti mechanizmus</w:t>
      </w:r>
    </w:p>
    <w:p w14:paraId="6D72958A" w14:textId="77777777" w:rsidR="008C4948" w:rsidRPr="009F10EE" w:rsidRDefault="008C4948" w:rsidP="00B65F27">
      <w:pPr>
        <w:keepNext/>
        <w:tabs>
          <w:tab w:val="left" w:pos="567"/>
        </w:tabs>
        <w:spacing w:after="0" w:line="240" w:lineRule="auto"/>
        <w:rPr>
          <w:rFonts w:ascii="Times New Roman" w:eastAsia="Times New Roman" w:hAnsi="Times New Roman" w:cs="Times New Roman"/>
          <w:lang w:eastAsia="lt-LT"/>
        </w:rPr>
      </w:pPr>
    </w:p>
    <w:p w14:paraId="5FDFCA3D" w14:textId="77777777" w:rsidR="008C4948" w:rsidRPr="009F10EE" w:rsidRDefault="008C4948" w:rsidP="00B65F27">
      <w:pPr>
        <w:keepNext/>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Tadalafilis gebėjimą vairuoti ir valdyti mechanizmus veikia nereikšmingai. Nors klinikinių tyrimų metu tadalafilio ar placebo vartojusiems vyrams galvos svaigimo dažnis buvo panašus, vis dėlto pacientą reikia įspėti, kad prieš vairavimą ir mechanizmų valdymą jis turi žinoti, kaip reaguoja į Tadalafil Accord.</w:t>
      </w:r>
    </w:p>
    <w:p w14:paraId="275E70C9"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D1994B3" w14:textId="77777777" w:rsidR="008C4948" w:rsidRPr="009F10EE" w:rsidRDefault="008C4948" w:rsidP="008C4948">
      <w:pPr>
        <w:tabs>
          <w:tab w:val="left" w:pos="567"/>
        </w:tabs>
        <w:spacing w:after="0" w:line="240" w:lineRule="auto"/>
        <w:outlineLvl w:val="0"/>
        <w:rPr>
          <w:rFonts w:ascii="Times New Roman" w:eastAsia="Times New Roman" w:hAnsi="Times New Roman" w:cs="Times New Roman"/>
          <w:lang w:eastAsia="lt-LT"/>
        </w:rPr>
      </w:pPr>
      <w:r w:rsidRPr="009F10EE">
        <w:rPr>
          <w:rFonts w:ascii="Times New Roman" w:eastAsia="Times New Roman" w:hAnsi="Times New Roman" w:cs="Times New Roman"/>
          <w:b/>
          <w:lang w:eastAsia="lt-LT"/>
        </w:rPr>
        <w:t>4.8</w:t>
      </w:r>
      <w:r w:rsidRPr="009F10EE">
        <w:rPr>
          <w:rFonts w:ascii="Times New Roman" w:eastAsia="Times New Roman" w:hAnsi="Times New Roman" w:cs="Times New Roman"/>
          <w:b/>
          <w:lang w:eastAsia="lt-LT"/>
        </w:rPr>
        <w:tab/>
        <w:t>Nepageidaujamas poveikis</w:t>
      </w:r>
    </w:p>
    <w:p w14:paraId="096A9463" w14:textId="77777777" w:rsidR="008C4948" w:rsidRPr="009F10EE" w:rsidRDefault="008C4948" w:rsidP="008C4948">
      <w:pPr>
        <w:tabs>
          <w:tab w:val="left" w:pos="567"/>
        </w:tabs>
        <w:spacing w:after="0" w:line="240" w:lineRule="auto"/>
        <w:rPr>
          <w:rFonts w:ascii="Times New Roman" w:eastAsia="Times New Roman" w:hAnsi="Times New Roman" w:cs="Times New Roman"/>
          <w:u w:val="single"/>
          <w:lang w:eastAsia="lt-LT"/>
        </w:rPr>
      </w:pPr>
    </w:p>
    <w:p w14:paraId="58CB4918" w14:textId="77777777" w:rsidR="008C4948" w:rsidRPr="009F10EE" w:rsidRDefault="008C4948" w:rsidP="008C4948">
      <w:pPr>
        <w:spacing w:after="0" w:line="240" w:lineRule="auto"/>
        <w:rPr>
          <w:rFonts w:ascii="Times New Roman" w:eastAsia="Times New Roman" w:hAnsi="Times New Roman" w:cs="Times New Roman"/>
          <w:iCs/>
          <w:color w:val="000000"/>
          <w:u w:val="single"/>
          <w:lang w:eastAsia="cs-CZ"/>
        </w:rPr>
      </w:pPr>
      <w:r w:rsidRPr="009F10EE">
        <w:rPr>
          <w:rFonts w:ascii="Times New Roman" w:eastAsia="Times New Roman" w:hAnsi="Times New Roman" w:cs="Times New Roman"/>
          <w:iCs/>
          <w:color w:val="000000"/>
          <w:u w:val="single"/>
          <w:lang w:eastAsia="cs-CZ"/>
        </w:rPr>
        <w:t>Saugumo duomenų santrauka</w:t>
      </w:r>
    </w:p>
    <w:p w14:paraId="09C0013A" w14:textId="77777777" w:rsidR="008C4948" w:rsidRPr="009F10EE" w:rsidRDefault="008C4948" w:rsidP="008C4948">
      <w:pPr>
        <w:spacing w:after="0" w:line="240" w:lineRule="auto"/>
        <w:rPr>
          <w:rFonts w:ascii="Times New Roman" w:eastAsia="Times New Roman" w:hAnsi="Times New Roman" w:cs="Times New Roman"/>
          <w:color w:val="000000"/>
          <w:u w:val="single"/>
          <w:lang w:eastAsia="cs-CZ"/>
        </w:rPr>
      </w:pPr>
    </w:p>
    <w:p w14:paraId="25FBC9F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color w:val="000000"/>
          <w:lang w:eastAsia="cs-CZ"/>
        </w:rPr>
        <w:t xml:space="preserve">Pacientams, tadalafilio vartojantiems erekcijos funkcijos sutrikimui arba gerybinės prostatos hiperplazijos gydyti, dažniausiai pasireiškusios nepageidaujamos reakcijos buvo galvos skausmas, dispepsija, nugaros skausmas ir mialgija, šių reakcijų dažnis didėjo didinant tadalafilio dozę. </w:t>
      </w:r>
      <w:r w:rsidRPr="009F10EE">
        <w:rPr>
          <w:rFonts w:ascii="Times New Roman" w:eastAsia="TimesNewRomanPSMT" w:hAnsi="Times New Roman" w:cs="Times New Roman"/>
          <w:lang w:eastAsia="lt-LT"/>
        </w:rPr>
        <w:t>Nepageidaujamos reakcijos, apie kurias pranešta, buvo trumpalaikės ir paprastai lengvos arba vidutinio sunkumo. Galvos skausmas, pastebėtas kasdien vartojant po vieną tadalafilio dozę, dažniausiai pasireiškė per pirmas 10</w:t>
      </w:r>
      <w:r w:rsidRPr="009F10EE">
        <w:rPr>
          <w:rFonts w:ascii="Times New Roman" w:eastAsia="TimesNewRomanPSMT" w:hAnsi="Times New Roman" w:cs="Times New Roman"/>
          <w:lang w:eastAsia="lt-LT"/>
        </w:rPr>
        <w:noBreakHyphen/>
        <w:t>30 parų nuo gydymo pradžios.</w:t>
      </w:r>
    </w:p>
    <w:p w14:paraId="477EDB0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8A6338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Nepageidaujamų reakcijų santrauka lentelėje</w:t>
      </w:r>
    </w:p>
    <w:p w14:paraId="4B147A0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6B9ADF52" w14:textId="77777777" w:rsidR="008C4948" w:rsidRPr="009F10EE" w:rsidRDefault="008C4948" w:rsidP="008C4948">
      <w:pPr>
        <w:spacing w:after="0" w:line="240" w:lineRule="auto"/>
        <w:rPr>
          <w:rFonts w:ascii="Times New Roman" w:eastAsia="Times New Roman" w:hAnsi="Times New Roman" w:cs="Times New Roman"/>
          <w:color w:val="000000"/>
          <w:lang w:eastAsia="cs-CZ"/>
        </w:rPr>
      </w:pPr>
      <w:r w:rsidRPr="009F10EE">
        <w:rPr>
          <w:rFonts w:ascii="Times New Roman" w:eastAsia="Times New Roman" w:hAnsi="Times New Roman" w:cs="Times New Roman"/>
          <w:color w:val="000000"/>
          <w:lang w:eastAsia="cs-CZ"/>
        </w:rPr>
        <w:t>Toliau esančioje lentelėje išvardytos nepageidaujamos reakcijos, nustatytos remiantis spontaniniais pranešimais ir pastebėtos placebu kontroliuojamų klinikinių tyrimų metu (8022 pacientų vartojo tadalafilio, 4422 − placebo), kai erekcijos funkcijos sutrikimui gydyti vaistinio preparato buvo vartojama pagal poreikį arba kartą per parą, gerybinei prostatos hiperplazijai gydyti − kartą per parą.</w:t>
      </w:r>
    </w:p>
    <w:p w14:paraId="2F76392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57AC05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3132A905" w14:textId="77777777" w:rsidR="008C4948" w:rsidRPr="009F10EE" w:rsidRDefault="008C4948" w:rsidP="008C4948">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p w14:paraId="7F8AFA9B" w14:textId="77777777" w:rsidR="008C4948" w:rsidRPr="009F10EE" w:rsidRDefault="008C4948" w:rsidP="008C4948">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4"/>
        <w:gridCol w:w="1760"/>
        <w:gridCol w:w="1962"/>
        <w:gridCol w:w="2168"/>
        <w:gridCol w:w="1780"/>
      </w:tblGrid>
      <w:tr w:rsidR="004048A7" w:rsidRPr="009F10EE" w14:paraId="7CAAF9A9" w14:textId="436725F6" w:rsidTr="007D3ACB">
        <w:tc>
          <w:tcPr>
            <w:tcW w:w="1724" w:type="dxa"/>
            <w:tcBorders>
              <w:top w:val="single" w:sz="4" w:space="0" w:color="auto"/>
              <w:left w:val="single" w:sz="4" w:space="0" w:color="auto"/>
              <w:bottom w:val="single" w:sz="4" w:space="0" w:color="auto"/>
              <w:right w:val="single" w:sz="4" w:space="0" w:color="auto"/>
            </w:tcBorders>
            <w:hideMark/>
          </w:tcPr>
          <w:p w14:paraId="11BD0BB1" w14:textId="20A73B0A"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b/>
                <w:bCs/>
                <w:highlight w:val="yellow"/>
                <w:lang w:eastAsia="lt-LT"/>
              </w:rPr>
            </w:pPr>
            <w:r w:rsidRPr="009F10EE">
              <w:rPr>
                <w:rFonts w:ascii="Times New Roman" w:eastAsia="TimesNewRomanPSMT" w:hAnsi="Times New Roman" w:cs="Times New Roman"/>
                <w:b/>
                <w:bCs/>
                <w:lang w:eastAsia="lt-LT"/>
              </w:rPr>
              <w:t xml:space="preserve">Labai dažnas </w:t>
            </w:r>
          </w:p>
        </w:tc>
        <w:tc>
          <w:tcPr>
            <w:tcW w:w="1760" w:type="dxa"/>
            <w:tcBorders>
              <w:top w:val="single" w:sz="4" w:space="0" w:color="auto"/>
              <w:left w:val="single" w:sz="4" w:space="0" w:color="auto"/>
              <w:bottom w:val="single" w:sz="4" w:space="0" w:color="auto"/>
              <w:right w:val="single" w:sz="4" w:space="0" w:color="auto"/>
            </w:tcBorders>
            <w:hideMark/>
          </w:tcPr>
          <w:p w14:paraId="1C7630B0" w14:textId="4A90B1EB" w:rsidR="004048A7" w:rsidRPr="009F10EE" w:rsidRDefault="004048A7" w:rsidP="00771646">
            <w:pPr>
              <w:tabs>
                <w:tab w:val="left" w:pos="567"/>
              </w:tabs>
              <w:autoSpaceDE w:val="0"/>
              <w:autoSpaceDN w:val="0"/>
              <w:adjustRightInd w:val="0"/>
              <w:spacing w:after="0" w:line="240" w:lineRule="auto"/>
              <w:jc w:val="center"/>
              <w:rPr>
                <w:rFonts w:ascii="Times New Roman" w:eastAsia="TimesNewRomanPSMT" w:hAnsi="Times New Roman" w:cs="Times New Roman"/>
                <w:b/>
                <w:highlight w:val="yellow"/>
                <w:lang w:eastAsia="lt-LT"/>
              </w:rPr>
            </w:pPr>
            <w:r w:rsidRPr="009F10EE">
              <w:rPr>
                <w:rFonts w:ascii="Times New Roman" w:eastAsia="TimesNewRomanPSMT" w:hAnsi="Times New Roman" w:cs="Times New Roman"/>
                <w:b/>
                <w:bCs/>
                <w:lang w:eastAsia="lt-LT"/>
              </w:rPr>
              <w:t xml:space="preserve">Dažnas </w:t>
            </w:r>
          </w:p>
        </w:tc>
        <w:tc>
          <w:tcPr>
            <w:tcW w:w="1962" w:type="dxa"/>
            <w:tcBorders>
              <w:top w:val="single" w:sz="4" w:space="0" w:color="auto"/>
              <w:left w:val="single" w:sz="4" w:space="0" w:color="auto"/>
              <w:bottom w:val="single" w:sz="4" w:space="0" w:color="auto"/>
              <w:right w:val="single" w:sz="4" w:space="0" w:color="auto"/>
            </w:tcBorders>
            <w:hideMark/>
          </w:tcPr>
          <w:p w14:paraId="7D3689EE" w14:textId="2C06628F" w:rsidR="004048A7" w:rsidRPr="009F10EE" w:rsidRDefault="004048A7" w:rsidP="00771646">
            <w:pPr>
              <w:tabs>
                <w:tab w:val="left" w:pos="567"/>
              </w:tabs>
              <w:autoSpaceDE w:val="0"/>
              <w:autoSpaceDN w:val="0"/>
              <w:adjustRightInd w:val="0"/>
              <w:spacing w:after="0" w:line="240" w:lineRule="auto"/>
              <w:jc w:val="center"/>
              <w:rPr>
                <w:rFonts w:ascii="Times New Roman" w:eastAsia="TimesNewRomanPSMT" w:hAnsi="Times New Roman" w:cs="Times New Roman"/>
                <w:b/>
                <w:highlight w:val="yellow"/>
                <w:lang w:eastAsia="lt-LT"/>
              </w:rPr>
            </w:pPr>
            <w:r w:rsidRPr="009F10EE">
              <w:rPr>
                <w:rFonts w:ascii="Times New Roman" w:eastAsia="TimesNewRomanPSMT" w:hAnsi="Times New Roman" w:cs="Times New Roman"/>
                <w:b/>
                <w:bCs/>
                <w:lang w:eastAsia="lt-LT"/>
              </w:rPr>
              <w:t xml:space="preserve">Nedažnas </w:t>
            </w:r>
          </w:p>
        </w:tc>
        <w:tc>
          <w:tcPr>
            <w:tcW w:w="2168" w:type="dxa"/>
            <w:tcBorders>
              <w:top w:val="single" w:sz="4" w:space="0" w:color="auto"/>
              <w:left w:val="single" w:sz="4" w:space="0" w:color="auto"/>
              <w:bottom w:val="single" w:sz="4" w:space="0" w:color="auto"/>
              <w:right w:val="single" w:sz="4" w:space="0" w:color="auto"/>
            </w:tcBorders>
            <w:hideMark/>
          </w:tcPr>
          <w:p w14:paraId="30565FEE" w14:textId="0BFFC7CB" w:rsidR="004048A7" w:rsidRPr="009F10EE" w:rsidRDefault="004048A7" w:rsidP="00771646">
            <w:pPr>
              <w:tabs>
                <w:tab w:val="left" w:pos="567"/>
              </w:tabs>
              <w:autoSpaceDE w:val="0"/>
              <w:autoSpaceDN w:val="0"/>
              <w:adjustRightInd w:val="0"/>
              <w:spacing w:after="0" w:line="240" w:lineRule="auto"/>
              <w:jc w:val="center"/>
              <w:rPr>
                <w:rFonts w:ascii="Times New Roman" w:eastAsia="TimesNewRomanPSMT" w:hAnsi="Times New Roman" w:cs="Times New Roman"/>
                <w:b/>
                <w:highlight w:val="yellow"/>
                <w:lang w:eastAsia="lt-LT"/>
              </w:rPr>
            </w:pPr>
            <w:r w:rsidRPr="009F10EE">
              <w:rPr>
                <w:rFonts w:ascii="Times New Roman" w:eastAsia="TimesNewRomanPSMT" w:hAnsi="Times New Roman" w:cs="Times New Roman"/>
                <w:b/>
                <w:bCs/>
                <w:lang w:eastAsia="lt-LT"/>
              </w:rPr>
              <w:t xml:space="preserve">Retas </w:t>
            </w:r>
          </w:p>
        </w:tc>
        <w:tc>
          <w:tcPr>
            <w:tcW w:w="1780" w:type="dxa"/>
            <w:tcBorders>
              <w:top w:val="single" w:sz="4" w:space="0" w:color="auto"/>
              <w:left w:val="single" w:sz="4" w:space="0" w:color="auto"/>
              <w:bottom w:val="single" w:sz="4" w:space="0" w:color="auto"/>
              <w:right w:val="single" w:sz="4" w:space="0" w:color="auto"/>
            </w:tcBorders>
          </w:tcPr>
          <w:p w14:paraId="67282CED" w14:textId="59D28375" w:rsidR="004048A7" w:rsidRPr="009F10EE" w:rsidRDefault="004048A7" w:rsidP="00771646">
            <w:pPr>
              <w:tabs>
                <w:tab w:val="left" w:pos="567"/>
              </w:tabs>
              <w:autoSpaceDE w:val="0"/>
              <w:autoSpaceDN w:val="0"/>
              <w:adjustRightInd w:val="0"/>
              <w:spacing w:after="0" w:line="240" w:lineRule="auto"/>
              <w:jc w:val="center"/>
              <w:rPr>
                <w:rFonts w:ascii="Times New Roman" w:eastAsia="TimesNewRomanPSMT" w:hAnsi="Times New Roman" w:cs="Times New Roman"/>
                <w:b/>
                <w:bCs/>
                <w:lang w:eastAsia="lt-LT"/>
              </w:rPr>
            </w:pPr>
            <w:r>
              <w:rPr>
                <w:rFonts w:ascii="Times New Roman" w:eastAsia="TimesNewRomanPSMT" w:hAnsi="Times New Roman" w:cs="Times New Roman"/>
                <w:b/>
                <w:bCs/>
                <w:lang w:eastAsia="lt-LT"/>
              </w:rPr>
              <w:t>Nežinomas</w:t>
            </w:r>
          </w:p>
        </w:tc>
      </w:tr>
      <w:tr w:rsidR="004048A7" w:rsidRPr="009F10EE" w14:paraId="09E4D93C" w14:textId="0B5062C8" w:rsidTr="00FA7A98">
        <w:trPr>
          <w:trHeight w:val="401"/>
        </w:trPr>
        <w:tc>
          <w:tcPr>
            <w:tcW w:w="9394" w:type="dxa"/>
            <w:gridSpan w:val="5"/>
            <w:tcBorders>
              <w:top w:val="single" w:sz="4" w:space="0" w:color="auto"/>
              <w:left w:val="single" w:sz="4" w:space="0" w:color="auto"/>
              <w:bottom w:val="single" w:sz="4" w:space="0" w:color="auto"/>
              <w:right w:val="single" w:sz="4" w:space="0" w:color="auto"/>
            </w:tcBorders>
            <w:hideMark/>
          </w:tcPr>
          <w:p w14:paraId="25EA4E9A" w14:textId="3E3003FD"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Imuninės sistemos sutrikimai</w:t>
            </w:r>
          </w:p>
        </w:tc>
      </w:tr>
      <w:tr w:rsidR="004048A7" w:rsidRPr="009F10EE" w14:paraId="2E7FD498" w14:textId="28D62969" w:rsidTr="007D3ACB">
        <w:trPr>
          <w:trHeight w:val="401"/>
        </w:trPr>
        <w:tc>
          <w:tcPr>
            <w:tcW w:w="1724" w:type="dxa"/>
            <w:tcBorders>
              <w:top w:val="single" w:sz="4" w:space="0" w:color="auto"/>
              <w:left w:val="single" w:sz="4" w:space="0" w:color="auto"/>
              <w:bottom w:val="single" w:sz="4" w:space="0" w:color="auto"/>
              <w:right w:val="single" w:sz="4" w:space="0" w:color="auto"/>
            </w:tcBorders>
          </w:tcPr>
          <w:p w14:paraId="2B6E8334"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tcPr>
          <w:p w14:paraId="49AC2267"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hideMark/>
          </w:tcPr>
          <w:p w14:paraId="6BB0B251"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Padidėjusio jautrumo</w:t>
            </w:r>
          </w:p>
          <w:p w14:paraId="74B5B2A7"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reakcijos</w:t>
            </w:r>
          </w:p>
        </w:tc>
        <w:tc>
          <w:tcPr>
            <w:tcW w:w="2168" w:type="dxa"/>
            <w:tcBorders>
              <w:top w:val="single" w:sz="4" w:space="0" w:color="auto"/>
              <w:left w:val="single" w:sz="4" w:space="0" w:color="auto"/>
              <w:bottom w:val="single" w:sz="4" w:space="0" w:color="auto"/>
              <w:right w:val="single" w:sz="4" w:space="0" w:color="auto"/>
            </w:tcBorders>
            <w:hideMark/>
          </w:tcPr>
          <w:p w14:paraId="799399CA"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r w:rsidRPr="009F10EE">
              <w:rPr>
                <w:rFonts w:ascii="Times New Roman" w:eastAsia="Times New Roman" w:hAnsi="Times New Roman" w:cs="Times New Roman"/>
              </w:rPr>
              <w:t>Angioneurozinė edema</w:t>
            </w:r>
            <w:r w:rsidRPr="009F10EE">
              <w:rPr>
                <w:rFonts w:ascii="Times New Roman" w:eastAsia="Times New Roman" w:hAnsi="Times New Roman" w:cs="Times New Roman"/>
                <w:vertAlign w:val="superscript"/>
              </w:rPr>
              <w:t>2</w:t>
            </w:r>
          </w:p>
        </w:tc>
        <w:tc>
          <w:tcPr>
            <w:tcW w:w="1780" w:type="dxa"/>
            <w:tcBorders>
              <w:top w:val="single" w:sz="4" w:space="0" w:color="auto"/>
              <w:left w:val="single" w:sz="4" w:space="0" w:color="auto"/>
              <w:bottom w:val="single" w:sz="4" w:space="0" w:color="auto"/>
              <w:right w:val="single" w:sz="4" w:space="0" w:color="auto"/>
            </w:tcBorders>
          </w:tcPr>
          <w:p w14:paraId="3AFF7537"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 New Roman" w:hAnsi="Times New Roman" w:cs="Times New Roman"/>
              </w:rPr>
            </w:pPr>
          </w:p>
        </w:tc>
      </w:tr>
      <w:tr w:rsidR="004048A7" w:rsidRPr="009F10EE" w14:paraId="4A83B344" w14:textId="7540912D" w:rsidTr="00613D69">
        <w:tc>
          <w:tcPr>
            <w:tcW w:w="9394" w:type="dxa"/>
            <w:gridSpan w:val="5"/>
            <w:tcBorders>
              <w:top w:val="single" w:sz="4" w:space="0" w:color="auto"/>
              <w:left w:val="single" w:sz="4" w:space="0" w:color="auto"/>
              <w:bottom w:val="single" w:sz="4" w:space="0" w:color="auto"/>
              <w:right w:val="single" w:sz="4" w:space="0" w:color="auto"/>
            </w:tcBorders>
            <w:hideMark/>
          </w:tcPr>
          <w:p w14:paraId="490E4F27" w14:textId="436DFCDB"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Nervų sistemos sutrikimai</w:t>
            </w:r>
          </w:p>
        </w:tc>
      </w:tr>
      <w:tr w:rsidR="004048A7" w:rsidRPr="009F10EE" w14:paraId="0351CAC2" w14:textId="44FF62E9" w:rsidTr="007D3ACB">
        <w:tc>
          <w:tcPr>
            <w:tcW w:w="1724" w:type="dxa"/>
            <w:tcBorders>
              <w:top w:val="single" w:sz="4" w:space="0" w:color="auto"/>
              <w:left w:val="single" w:sz="4" w:space="0" w:color="auto"/>
              <w:bottom w:val="single" w:sz="4" w:space="0" w:color="auto"/>
              <w:right w:val="single" w:sz="4" w:space="0" w:color="auto"/>
            </w:tcBorders>
          </w:tcPr>
          <w:p w14:paraId="39810A5A"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hideMark/>
          </w:tcPr>
          <w:p w14:paraId="2676DF96"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Galvos skausmas</w:t>
            </w:r>
          </w:p>
        </w:tc>
        <w:tc>
          <w:tcPr>
            <w:tcW w:w="1962" w:type="dxa"/>
            <w:tcBorders>
              <w:top w:val="single" w:sz="4" w:space="0" w:color="auto"/>
              <w:left w:val="single" w:sz="4" w:space="0" w:color="auto"/>
              <w:bottom w:val="single" w:sz="4" w:space="0" w:color="auto"/>
              <w:right w:val="single" w:sz="4" w:space="0" w:color="auto"/>
            </w:tcBorders>
            <w:hideMark/>
          </w:tcPr>
          <w:p w14:paraId="396C3C82"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Svaigulys</w:t>
            </w:r>
          </w:p>
        </w:tc>
        <w:tc>
          <w:tcPr>
            <w:tcW w:w="2168" w:type="dxa"/>
            <w:tcBorders>
              <w:top w:val="single" w:sz="4" w:space="0" w:color="auto"/>
              <w:left w:val="single" w:sz="4" w:space="0" w:color="auto"/>
              <w:bottom w:val="single" w:sz="4" w:space="0" w:color="auto"/>
              <w:right w:val="single" w:sz="4" w:space="0" w:color="auto"/>
            </w:tcBorders>
            <w:hideMark/>
          </w:tcPr>
          <w:p w14:paraId="085A17DA"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color w:val="000000"/>
                <w:lang w:eastAsia="cs-CZ"/>
              </w:rPr>
              <w:t>Insultas</w:t>
            </w:r>
            <w:r w:rsidRPr="009F10EE">
              <w:rPr>
                <w:rFonts w:ascii="Times New Roman" w:eastAsia="Times New Roman" w:hAnsi="Times New Roman" w:cs="Times New Roman"/>
                <w:color w:val="000000"/>
                <w:vertAlign w:val="superscript"/>
                <w:lang w:eastAsia="cs-CZ"/>
              </w:rPr>
              <w:t>1</w:t>
            </w:r>
            <w:r w:rsidRPr="009F10EE">
              <w:rPr>
                <w:rFonts w:ascii="Times New Roman" w:eastAsia="Times New Roman" w:hAnsi="Times New Roman" w:cs="Times New Roman"/>
                <w:color w:val="000000"/>
                <w:lang w:eastAsia="cs-CZ"/>
              </w:rPr>
              <w:t xml:space="preserve"> (įskaitant hemoraginius sutrikimus), apalpimas, praeinantieji smegenų išemijos priepuoliai</w:t>
            </w:r>
            <w:r w:rsidRPr="009F10EE">
              <w:rPr>
                <w:rFonts w:ascii="Times New Roman" w:eastAsia="Times New Roman" w:hAnsi="Times New Roman" w:cs="Times New Roman"/>
                <w:color w:val="000000"/>
                <w:vertAlign w:val="superscript"/>
                <w:lang w:eastAsia="cs-CZ"/>
              </w:rPr>
              <w:t>1</w:t>
            </w:r>
            <w:r w:rsidRPr="009F10EE">
              <w:rPr>
                <w:rFonts w:ascii="Times New Roman" w:eastAsia="Times New Roman" w:hAnsi="Times New Roman" w:cs="Times New Roman"/>
                <w:color w:val="000000"/>
                <w:lang w:eastAsia="cs-CZ"/>
              </w:rPr>
              <w:t>, migrena</w:t>
            </w:r>
            <w:r w:rsidRPr="009F10EE">
              <w:rPr>
                <w:rFonts w:ascii="Times New Roman" w:eastAsia="Times New Roman" w:hAnsi="Times New Roman" w:cs="Times New Roman"/>
                <w:color w:val="000000"/>
                <w:vertAlign w:val="superscript"/>
                <w:lang w:eastAsia="cs-CZ"/>
              </w:rPr>
              <w:t>2</w:t>
            </w:r>
            <w:r w:rsidRPr="009F10EE">
              <w:rPr>
                <w:rFonts w:ascii="Times New Roman" w:eastAsia="Times New Roman" w:hAnsi="Times New Roman" w:cs="Times New Roman"/>
                <w:color w:val="000000"/>
                <w:lang w:eastAsia="cs-CZ"/>
              </w:rPr>
              <w:t>, traukuliai</w:t>
            </w:r>
            <w:r w:rsidRPr="009F10EE">
              <w:rPr>
                <w:rFonts w:ascii="Times New Roman" w:eastAsia="Times New Roman" w:hAnsi="Times New Roman" w:cs="Times New Roman"/>
                <w:color w:val="000000"/>
                <w:vertAlign w:val="superscript"/>
                <w:lang w:eastAsia="cs-CZ"/>
              </w:rPr>
              <w:t>2</w:t>
            </w:r>
            <w:r w:rsidRPr="009F10EE">
              <w:rPr>
                <w:rFonts w:ascii="Times New Roman" w:eastAsia="Times New Roman" w:hAnsi="Times New Roman" w:cs="Times New Roman"/>
                <w:color w:val="000000"/>
                <w:lang w:eastAsia="cs-CZ"/>
              </w:rPr>
              <w:t>, laikina amnezija</w:t>
            </w:r>
          </w:p>
        </w:tc>
        <w:tc>
          <w:tcPr>
            <w:tcW w:w="1780" w:type="dxa"/>
            <w:tcBorders>
              <w:top w:val="single" w:sz="4" w:space="0" w:color="auto"/>
              <w:left w:val="single" w:sz="4" w:space="0" w:color="auto"/>
              <w:bottom w:val="single" w:sz="4" w:space="0" w:color="auto"/>
              <w:right w:val="single" w:sz="4" w:space="0" w:color="auto"/>
            </w:tcBorders>
          </w:tcPr>
          <w:p w14:paraId="14825306"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color w:val="000000"/>
                <w:lang w:eastAsia="cs-CZ"/>
              </w:rPr>
            </w:pPr>
          </w:p>
        </w:tc>
      </w:tr>
      <w:tr w:rsidR="004048A7" w:rsidRPr="009F10EE" w14:paraId="611D9FFE" w14:textId="66B7C081" w:rsidTr="00C06DE3">
        <w:tc>
          <w:tcPr>
            <w:tcW w:w="9394" w:type="dxa"/>
            <w:gridSpan w:val="5"/>
            <w:tcBorders>
              <w:top w:val="single" w:sz="4" w:space="0" w:color="auto"/>
              <w:left w:val="single" w:sz="4" w:space="0" w:color="auto"/>
              <w:bottom w:val="single" w:sz="4" w:space="0" w:color="auto"/>
              <w:right w:val="single" w:sz="4" w:space="0" w:color="auto"/>
            </w:tcBorders>
            <w:hideMark/>
          </w:tcPr>
          <w:p w14:paraId="3260FEF7" w14:textId="7FC751C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Akių sutrikimai</w:t>
            </w:r>
          </w:p>
        </w:tc>
      </w:tr>
      <w:tr w:rsidR="004048A7" w:rsidRPr="009F10EE" w14:paraId="644F8957" w14:textId="4E220500" w:rsidTr="007D3ACB">
        <w:tc>
          <w:tcPr>
            <w:tcW w:w="1724" w:type="dxa"/>
            <w:tcBorders>
              <w:top w:val="single" w:sz="4" w:space="0" w:color="auto"/>
              <w:left w:val="single" w:sz="4" w:space="0" w:color="auto"/>
              <w:bottom w:val="single" w:sz="4" w:space="0" w:color="auto"/>
              <w:right w:val="single" w:sz="4" w:space="0" w:color="auto"/>
            </w:tcBorders>
          </w:tcPr>
          <w:p w14:paraId="488FC131"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tcPr>
          <w:p w14:paraId="4DF3608C"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tcPr>
          <w:p w14:paraId="0CCBBC58"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Matomo vaizdo neryškumas,</w:t>
            </w:r>
          </w:p>
          <w:p w14:paraId="7F053B81"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pojūtis, apibūdintas kaip akių skausmas </w:t>
            </w:r>
          </w:p>
          <w:p w14:paraId="06C8C545"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2168" w:type="dxa"/>
            <w:tcBorders>
              <w:top w:val="single" w:sz="4" w:space="0" w:color="auto"/>
              <w:left w:val="single" w:sz="4" w:space="0" w:color="auto"/>
              <w:bottom w:val="single" w:sz="4" w:space="0" w:color="auto"/>
              <w:right w:val="single" w:sz="4" w:space="0" w:color="auto"/>
            </w:tcBorders>
            <w:hideMark/>
          </w:tcPr>
          <w:p w14:paraId="5F448FDA"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color w:val="000000"/>
                <w:lang w:eastAsia="cs-CZ"/>
              </w:rPr>
              <w:lastRenderedPageBreak/>
              <w:t xml:space="preserve">Akipločio defektas, akių vokų patinimas, junginės hiperemija, ne arterito sukelta </w:t>
            </w:r>
            <w:r w:rsidRPr="009F10EE">
              <w:rPr>
                <w:rFonts w:ascii="Times New Roman" w:eastAsia="Times New Roman" w:hAnsi="Times New Roman" w:cs="Times New Roman"/>
                <w:color w:val="000000"/>
                <w:lang w:eastAsia="cs-CZ"/>
              </w:rPr>
              <w:lastRenderedPageBreak/>
              <w:t>priekinė išeminė regos nervo neuropatija (NAION)</w:t>
            </w:r>
            <w:r w:rsidRPr="009F10EE">
              <w:rPr>
                <w:rFonts w:ascii="Times New Roman" w:eastAsia="Times New Roman" w:hAnsi="Times New Roman" w:cs="Times New Roman"/>
                <w:color w:val="000000"/>
                <w:vertAlign w:val="superscript"/>
                <w:lang w:eastAsia="cs-CZ"/>
              </w:rPr>
              <w:t>2</w:t>
            </w:r>
            <w:r w:rsidRPr="009F10EE">
              <w:rPr>
                <w:rFonts w:ascii="Times New Roman" w:eastAsia="Times New Roman" w:hAnsi="Times New Roman" w:cs="Times New Roman"/>
                <w:color w:val="000000"/>
                <w:lang w:eastAsia="cs-CZ"/>
              </w:rPr>
              <w:t>, tinklainės kraujagyslių okliuzija</w:t>
            </w:r>
            <w:r w:rsidRPr="009F10EE">
              <w:rPr>
                <w:rFonts w:ascii="Times New Roman" w:eastAsia="Times New Roman" w:hAnsi="Times New Roman" w:cs="Times New Roman"/>
                <w:color w:val="000000"/>
                <w:vertAlign w:val="superscript"/>
                <w:lang w:eastAsia="cs-CZ"/>
              </w:rPr>
              <w:t>2</w:t>
            </w:r>
          </w:p>
        </w:tc>
        <w:tc>
          <w:tcPr>
            <w:tcW w:w="1780" w:type="dxa"/>
            <w:tcBorders>
              <w:top w:val="single" w:sz="4" w:space="0" w:color="auto"/>
              <w:left w:val="single" w:sz="4" w:space="0" w:color="auto"/>
              <w:bottom w:val="single" w:sz="4" w:space="0" w:color="auto"/>
              <w:right w:val="single" w:sz="4" w:space="0" w:color="auto"/>
            </w:tcBorders>
          </w:tcPr>
          <w:p w14:paraId="0A269E7B" w14:textId="1228893B" w:rsidR="004048A7" w:rsidRPr="009F10EE" w:rsidRDefault="004048A7" w:rsidP="004048A7">
            <w:pPr>
              <w:tabs>
                <w:tab w:val="left" w:pos="567"/>
              </w:tabs>
              <w:autoSpaceDE w:val="0"/>
              <w:autoSpaceDN w:val="0"/>
              <w:adjustRightInd w:val="0"/>
              <w:spacing w:after="0" w:line="240" w:lineRule="auto"/>
              <w:rPr>
                <w:rFonts w:ascii="Times New Roman" w:eastAsia="Times New Roman" w:hAnsi="Times New Roman" w:cs="Times New Roman"/>
                <w:color w:val="000000"/>
                <w:lang w:eastAsia="cs-CZ"/>
              </w:rPr>
            </w:pPr>
            <w:r w:rsidRPr="004048A7">
              <w:rPr>
                <w:rFonts w:ascii="Times New Roman" w:eastAsia="Times New Roman" w:hAnsi="Times New Roman" w:cs="Times New Roman"/>
                <w:color w:val="000000"/>
                <w:lang w:eastAsia="cs-CZ"/>
              </w:rPr>
              <w:lastRenderedPageBreak/>
              <w:t>Centrinė serozinė</w:t>
            </w:r>
            <w:r>
              <w:rPr>
                <w:rFonts w:ascii="Times New Roman" w:eastAsia="Times New Roman" w:hAnsi="Times New Roman" w:cs="Times New Roman"/>
                <w:color w:val="000000"/>
                <w:lang w:eastAsia="cs-CZ"/>
              </w:rPr>
              <w:t xml:space="preserve"> </w:t>
            </w:r>
            <w:r w:rsidRPr="004048A7">
              <w:rPr>
                <w:rFonts w:ascii="Times New Roman" w:eastAsia="Times New Roman" w:hAnsi="Times New Roman" w:cs="Times New Roman"/>
                <w:color w:val="000000"/>
                <w:lang w:eastAsia="cs-CZ"/>
              </w:rPr>
              <w:t>chorioretinopatija</w:t>
            </w:r>
          </w:p>
        </w:tc>
      </w:tr>
      <w:tr w:rsidR="004048A7" w:rsidRPr="009F10EE" w14:paraId="0118FDB0" w14:textId="069A811F" w:rsidTr="00907464">
        <w:tc>
          <w:tcPr>
            <w:tcW w:w="9394" w:type="dxa"/>
            <w:gridSpan w:val="5"/>
            <w:tcBorders>
              <w:top w:val="single" w:sz="4" w:space="0" w:color="auto"/>
              <w:left w:val="single" w:sz="4" w:space="0" w:color="auto"/>
              <w:bottom w:val="single" w:sz="4" w:space="0" w:color="auto"/>
              <w:right w:val="single" w:sz="4" w:space="0" w:color="auto"/>
            </w:tcBorders>
            <w:hideMark/>
          </w:tcPr>
          <w:p w14:paraId="70582AB8" w14:textId="4914106C"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Ausų ir labirintų sutrikimai</w:t>
            </w:r>
          </w:p>
        </w:tc>
      </w:tr>
      <w:tr w:rsidR="004048A7" w:rsidRPr="009F10EE" w14:paraId="333A1FA7" w14:textId="016BD859" w:rsidTr="007D3ACB">
        <w:tc>
          <w:tcPr>
            <w:tcW w:w="1724" w:type="dxa"/>
            <w:tcBorders>
              <w:top w:val="single" w:sz="4" w:space="0" w:color="auto"/>
              <w:left w:val="single" w:sz="4" w:space="0" w:color="auto"/>
              <w:bottom w:val="single" w:sz="4" w:space="0" w:color="auto"/>
              <w:right w:val="single" w:sz="4" w:space="0" w:color="auto"/>
            </w:tcBorders>
          </w:tcPr>
          <w:p w14:paraId="36C8FA9E"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tcPr>
          <w:p w14:paraId="57434349"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hideMark/>
          </w:tcPr>
          <w:p w14:paraId="4A791C30"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Ūžesys (</w:t>
            </w:r>
            <w:r w:rsidRPr="009F10EE">
              <w:rPr>
                <w:rFonts w:ascii="Times New Roman" w:eastAsia="Times New Roman" w:hAnsi="Times New Roman" w:cs="Times New Roman"/>
                <w:i/>
                <w:lang w:eastAsia="lt-LT"/>
              </w:rPr>
              <w:t>tinitas</w:t>
            </w:r>
            <w:r w:rsidRPr="009F10EE">
              <w:rPr>
                <w:rFonts w:ascii="Times New Roman" w:eastAsia="Times New Roman" w:hAnsi="Times New Roman" w:cs="Times New Roman"/>
                <w:lang w:eastAsia="lt-LT"/>
              </w:rPr>
              <w:t>)</w:t>
            </w:r>
          </w:p>
        </w:tc>
        <w:tc>
          <w:tcPr>
            <w:tcW w:w="2168" w:type="dxa"/>
            <w:tcBorders>
              <w:top w:val="single" w:sz="4" w:space="0" w:color="auto"/>
              <w:left w:val="single" w:sz="4" w:space="0" w:color="auto"/>
              <w:bottom w:val="single" w:sz="4" w:space="0" w:color="auto"/>
              <w:right w:val="single" w:sz="4" w:space="0" w:color="auto"/>
            </w:tcBorders>
            <w:hideMark/>
          </w:tcPr>
          <w:p w14:paraId="233B4105"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Staigus klausos netekimas</w:t>
            </w:r>
          </w:p>
        </w:tc>
        <w:tc>
          <w:tcPr>
            <w:tcW w:w="1780" w:type="dxa"/>
            <w:tcBorders>
              <w:top w:val="single" w:sz="4" w:space="0" w:color="auto"/>
              <w:left w:val="single" w:sz="4" w:space="0" w:color="auto"/>
              <w:bottom w:val="single" w:sz="4" w:space="0" w:color="auto"/>
              <w:right w:val="single" w:sz="4" w:space="0" w:color="auto"/>
            </w:tcBorders>
          </w:tcPr>
          <w:p w14:paraId="2157796B"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p>
        </w:tc>
      </w:tr>
      <w:tr w:rsidR="004048A7" w:rsidRPr="009F10EE" w14:paraId="59CA8258" w14:textId="33D9C25C" w:rsidTr="002068E4">
        <w:tc>
          <w:tcPr>
            <w:tcW w:w="9394" w:type="dxa"/>
            <w:gridSpan w:val="5"/>
            <w:tcBorders>
              <w:top w:val="single" w:sz="4" w:space="0" w:color="auto"/>
              <w:left w:val="single" w:sz="4" w:space="0" w:color="auto"/>
              <w:bottom w:val="single" w:sz="4" w:space="0" w:color="auto"/>
              <w:right w:val="single" w:sz="4" w:space="0" w:color="auto"/>
            </w:tcBorders>
            <w:hideMark/>
          </w:tcPr>
          <w:p w14:paraId="44020326" w14:textId="218E0741"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Širdies sutrikimai</w:t>
            </w:r>
            <w:r w:rsidRPr="009F10EE">
              <w:rPr>
                <w:rFonts w:ascii="Times New Roman" w:eastAsia="Times New Roman" w:hAnsi="Times New Roman" w:cs="Times New Roman"/>
                <w:i/>
                <w:iCs/>
                <w:vertAlign w:val="superscript"/>
                <w:lang w:eastAsia="lt-LT"/>
              </w:rPr>
              <w:t>1</w:t>
            </w:r>
          </w:p>
        </w:tc>
      </w:tr>
      <w:tr w:rsidR="004048A7" w:rsidRPr="009F10EE" w14:paraId="00A08EC3" w14:textId="1C3FA216" w:rsidTr="007D3ACB">
        <w:tc>
          <w:tcPr>
            <w:tcW w:w="1724" w:type="dxa"/>
            <w:tcBorders>
              <w:top w:val="single" w:sz="4" w:space="0" w:color="auto"/>
              <w:left w:val="single" w:sz="4" w:space="0" w:color="auto"/>
              <w:bottom w:val="single" w:sz="4" w:space="0" w:color="auto"/>
              <w:right w:val="single" w:sz="4" w:space="0" w:color="auto"/>
            </w:tcBorders>
          </w:tcPr>
          <w:p w14:paraId="48F75EA2"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p w14:paraId="54F63F92"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tcPr>
          <w:p w14:paraId="05F1B243"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tcPr>
          <w:p w14:paraId="24506F3C"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Tachikardija, palpitacijos</w:t>
            </w:r>
          </w:p>
          <w:p w14:paraId="3CC821CB"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2168" w:type="dxa"/>
            <w:tcBorders>
              <w:top w:val="single" w:sz="4" w:space="0" w:color="auto"/>
              <w:left w:val="single" w:sz="4" w:space="0" w:color="auto"/>
              <w:bottom w:val="single" w:sz="4" w:space="0" w:color="auto"/>
              <w:right w:val="single" w:sz="4" w:space="0" w:color="auto"/>
            </w:tcBorders>
            <w:hideMark/>
          </w:tcPr>
          <w:p w14:paraId="64C55025"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color w:val="000000"/>
                <w:lang w:eastAsia="cs-CZ"/>
              </w:rPr>
              <w:t>Miokardo infarktas, nestabilioji krūtinės angina</w:t>
            </w:r>
            <w:r w:rsidRPr="009F10EE">
              <w:rPr>
                <w:rFonts w:ascii="Times New Roman" w:eastAsia="Times New Roman" w:hAnsi="Times New Roman" w:cs="Times New Roman"/>
                <w:color w:val="000000"/>
                <w:vertAlign w:val="superscript"/>
                <w:lang w:eastAsia="cs-CZ"/>
              </w:rPr>
              <w:t>2</w:t>
            </w:r>
            <w:r w:rsidRPr="009F10EE">
              <w:rPr>
                <w:rFonts w:ascii="Times New Roman" w:eastAsia="Times New Roman" w:hAnsi="Times New Roman" w:cs="Times New Roman"/>
                <w:color w:val="000000"/>
                <w:lang w:eastAsia="cs-CZ"/>
              </w:rPr>
              <w:t xml:space="preserve">, skilvelinė aritmija </w:t>
            </w:r>
            <w:r w:rsidRPr="009F10EE">
              <w:rPr>
                <w:rFonts w:ascii="Times New Roman" w:eastAsia="Times New Roman" w:hAnsi="Times New Roman" w:cs="Times New Roman"/>
                <w:color w:val="000000"/>
                <w:vertAlign w:val="superscript"/>
                <w:lang w:eastAsia="cs-CZ"/>
              </w:rPr>
              <w:t>2</w:t>
            </w:r>
          </w:p>
        </w:tc>
        <w:tc>
          <w:tcPr>
            <w:tcW w:w="1780" w:type="dxa"/>
            <w:tcBorders>
              <w:top w:val="single" w:sz="4" w:space="0" w:color="auto"/>
              <w:left w:val="single" w:sz="4" w:space="0" w:color="auto"/>
              <w:bottom w:val="single" w:sz="4" w:space="0" w:color="auto"/>
              <w:right w:val="single" w:sz="4" w:space="0" w:color="auto"/>
            </w:tcBorders>
          </w:tcPr>
          <w:p w14:paraId="5039D68C"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color w:val="000000"/>
                <w:lang w:eastAsia="cs-CZ"/>
              </w:rPr>
            </w:pPr>
          </w:p>
        </w:tc>
      </w:tr>
      <w:tr w:rsidR="004048A7" w:rsidRPr="009F10EE" w14:paraId="28A36D3C" w14:textId="55E8874F" w:rsidTr="005706D6">
        <w:tc>
          <w:tcPr>
            <w:tcW w:w="9394" w:type="dxa"/>
            <w:gridSpan w:val="5"/>
            <w:tcBorders>
              <w:top w:val="single" w:sz="4" w:space="0" w:color="auto"/>
              <w:left w:val="single" w:sz="4" w:space="0" w:color="auto"/>
              <w:bottom w:val="single" w:sz="4" w:space="0" w:color="auto"/>
              <w:right w:val="single" w:sz="4" w:space="0" w:color="auto"/>
            </w:tcBorders>
            <w:hideMark/>
          </w:tcPr>
          <w:p w14:paraId="549BC25B" w14:textId="39DD5EE6"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Kraujagyslių sutrikimai</w:t>
            </w:r>
          </w:p>
        </w:tc>
      </w:tr>
      <w:tr w:rsidR="004048A7" w:rsidRPr="009F10EE" w14:paraId="418DD14F" w14:textId="767C0308" w:rsidTr="007D3ACB">
        <w:tc>
          <w:tcPr>
            <w:tcW w:w="1724" w:type="dxa"/>
            <w:tcBorders>
              <w:top w:val="single" w:sz="4" w:space="0" w:color="auto"/>
              <w:left w:val="single" w:sz="4" w:space="0" w:color="auto"/>
              <w:bottom w:val="single" w:sz="4" w:space="0" w:color="auto"/>
              <w:right w:val="single" w:sz="4" w:space="0" w:color="auto"/>
            </w:tcBorders>
          </w:tcPr>
          <w:p w14:paraId="20A25673"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hideMark/>
          </w:tcPr>
          <w:p w14:paraId="0EDB4C17"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Staigus paraudimas</w:t>
            </w:r>
          </w:p>
        </w:tc>
        <w:tc>
          <w:tcPr>
            <w:tcW w:w="1962" w:type="dxa"/>
            <w:tcBorders>
              <w:top w:val="single" w:sz="4" w:space="0" w:color="auto"/>
              <w:left w:val="single" w:sz="4" w:space="0" w:color="auto"/>
              <w:bottom w:val="single" w:sz="4" w:space="0" w:color="auto"/>
              <w:right w:val="single" w:sz="4" w:space="0" w:color="auto"/>
            </w:tcBorders>
            <w:hideMark/>
          </w:tcPr>
          <w:p w14:paraId="0E02C312"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Hipotenzija</w:t>
            </w:r>
            <w:r w:rsidRPr="009F10EE">
              <w:rPr>
                <w:rFonts w:ascii="Times New Roman" w:eastAsia="Times New Roman" w:hAnsi="Times New Roman" w:cs="Times New Roman"/>
                <w:vertAlign w:val="superscript"/>
                <w:lang w:eastAsia="lt-LT"/>
              </w:rPr>
              <w:t>3</w:t>
            </w:r>
            <w:r w:rsidRPr="009F10EE">
              <w:rPr>
                <w:rFonts w:ascii="Times New Roman" w:eastAsia="Times New Roman" w:hAnsi="Times New Roman" w:cs="Times New Roman"/>
                <w:lang w:eastAsia="lt-LT"/>
              </w:rPr>
              <w:t>, hipertenzija</w:t>
            </w:r>
          </w:p>
        </w:tc>
        <w:tc>
          <w:tcPr>
            <w:tcW w:w="2168" w:type="dxa"/>
            <w:tcBorders>
              <w:top w:val="single" w:sz="4" w:space="0" w:color="auto"/>
              <w:left w:val="single" w:sz="4" w:space="0" w:color="auto"/>
              <w:bottom w:val="single" w:sz="4" w:space="0" w:color="auto"/>
              <w:right w:val="single" w:sz="4" w:space="0" w:color="auto"/>
            </w:tcBorders>
          </w:tcPr>
          <w:p w14:paraId="1B0247EB"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780" w:type="dxa"/>
            <w:tcBorders>
              <w:top w:val="single" w:sz="4" w:space="0" w:color="auto"/>
              <w:left w:val="single" w:sz="4" w:space="0" w:color="auto"/>
              <w:bottom w:val="single" w:sz="4" w:space="0" w:color="auto"/>
              <w:right w:val="single" w:sz="4" w:space="0" w:color="auto"/>
            </w:tcBorders>
          </w:tcPr>
          <w:p w14:paraId="0E8D5247"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r>
      <w:tr w:rsidR="004048A7" w:rsidRPr="009F10EE" w14:paraId="370F2238" w14:textId="5E9A37BF" w:rsidTr="00D86C64">
        <w:tc>
          <w:tcPr>
            <w:tcW w:w="9394" w:type="dxa"/>
            <w:gridSpan w:val="5"/>
            <w:tcBorders>
              <w:top w:val="single" w:sz="4" w:space="0" w:color="auto"/>
              <w:left w:val="single" w:sz="4" w:space="0" w:color="auto"/>
              <w:bottom w:val="single" w:sz="4" w:space="0" w:color="auto"/>
              <w:right w:val="single" w:sz="4" w:space="0" w:color="auto"/>
            </w:tcBorders>
            <w:hideMark/>
          </w:tcPr>
          <w:p w14:paraId="5D597EF0" w14:textId="79B484B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Kvėpavimo sistemos, krūtinės ląstos ir tarpuplaučio sutrikimai</w:t>
            </w:r>
          </w:p>
        </w:tc>
      </w:tr>
      <w:tr w:rsidR="004048A7" w:rsidRPr="009F10EE" w14:paraId="7D5240F9" w14:textId="4D67B440" w:rsidTr="007D3ACB">
        <w:tc>
          <w:tcPr>
            <w:tcW w:w="1724" w:type="dxa"/>
            <w:tcBorders>
              <w:top w:val="single" w:sz="4" w:space="0" w:color="auto"/>
              <w:left w:val="single" w:sz="4" w:space="0" w:color="auto"/>
              <w:bottom w:val="single" w:sz="4" w:space="0" w:color="auto"/>
              <w:right w:val="single" w:sz="4" w:space="0" w:color="auto"/>
            </w:tcBorders>
          </w:tcPr>
          <w:p w14:paraId="5AA09316"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hideMark/>
          </w:tcPr>
          <w:p w14:paraId="5D379D8A"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Nosies užgulimas</w:t>
            </w:r>
          </w:p>
        </w:tc>
        <w:tc>
          <w:tcPr>
            <w:tcW w:w="1962" w:type="dxa"/>
            <w:tcBorders>
              <w:top w:val="single" w:sz="4" w:space="0" w:color="auto"/>
              <w:left w:val="single" w:sz="4" w:space="0" w:color="auto"/>
              <w:bottom w:val="single" w:sz="4" w:space="0" w:color="auto"/>
              <w:right w:val="single" w:sz="4" w:space="0" w:color="auto"/>
            </w:tcBorders>
            <w:hideMark/>
          </w:tcPr>
          <w:p w14:paraId="39A39C36"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Dusulys</w:t>
            </w:r>
            <w:r w:rsidRPr="009F10EE">
              <w:rPr>
                <w:rFonts w:ascii="Times New Roman" w:eastAsia="Times New Roman" w:hAnsi="Times New Roman" w:cs="Times New Roman"/>
                <w:lang w:eastAsia="lt-LT"/>
              </w:rPr>
              <w:t>, kraujavimas iš nosies</w:t>
            </w:r>
          </w:p>
        </w:tc>
        <w:tc>
          <w:tcPr>
            <w:tcW w:w="2168" w:type="dxa"/>
            <w:tcBorders>
              <w:top w:val="single" w:sz="4" w:space="0" w:color="auto"/>
              <w:left w:val="single" w:sz="4" w:space="0" w:color="auto"/>
              <w:bottom w:val="single" w:sz="4" w:space="0" w:color="auto"/>
              <w:right w:val="single" w:sz="4" w:space="0" w:color="auto"/>
            </w:tcBorders>
          </w:tcPr>
          <w:p w14:paraId="54AC9EBB"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780" w:type="dxa"/>
            <w:tcBorders>
              <w:top w:val="single" w:sz="4" w:space="0" w:color="auto"/>
              <w:left w:val="single" w:sz="4" w:space="0" w:color="auto"/>
              <w:bottom w:val="single" w:sz="4" w:space="0" w:color="auto"/>
              <w:right w:val="single" w:sz="4" w:space="0" w:color="auto"/>
            </w:tcBorders>
          </w:tcPr>
          <w:p w14:paraId="1E7AC6C8"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r>
      <w:tr w:rsidR="004048A7" w:rsidRPr="009F10EE" w14:paraId="54100A7B" w14:textId="67289DBA" w:rsidTr="00C34310">
        <w:tc>
          <w:tcPr>
            <w:tcW w:w="9394" w:type="dxa"/>
            <w:gridSpan w:val="5"/>
            <w:tcBorders>
              <w:top w:val="single" w:sz="4" w:space="0" w:color="auto"/>
              <w:left w:val="single" w:sz="4" w:space="0" w:color="auto"/>
              <w:bottom w:val="single" w:sz="4" w:space="0" w:color="auto"/>
              <w:right w:val="single" w:sz="4" w:space="0" w:color="auto"/>
            </w:tcBorders>
            <w:hideMark/>
          </w:tcPr>
          <w:p w14:paraId="1C37D5D1" w14:textId="48A30C22"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Virškinimo trakto sutrikimai</w:t>
            </w:r>
          </w:p>
        </w:tc>
      </w:tr>
      <w:tr w:rsidR="004048A7" w:rsidRPr="009F10EE" w14:paraId="4470A311" w14:textId="25128653" w:rsidTr="007D3ACB">
        <w:tc>
          <w:tcPr>
            <w:tcW w:w="1724" w:type="dxa"/>
            <w:tcBorders>
              <w:top w:val="single" w:sz="4" w:space="0" w:color="auto"/>
              <w:left w:val="single" w:sz="4" w:space="0" w:color="auto"/>
              <w:bottom w:val="single" w:sz="4" w:space="0" w:color="auto"/>
              <w:right w:val="single" w:sz="4" w:space="0" w:color="auto"/>
            </w:tcBorders>
          </w:tcPr>
          <w:p w14:paraId="066EFB3C"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hideMark/>
          </w:tcPr>
          <w:p w14:paraId="6AA8EB82"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Dispepsija</w:t>
            </w:r>
          </w:p>
        </w:tc>
        <w:tc>
          <w:tcPr>
            <w:tcW w:w="1962" w:type="dxa"/>
            <w:tcBorders>
              <w:top w:val="single" w:sz="4" w:space="0" w:color="auto"/>
              <w:left w:val="single" w:sz="4" w:space="0" w:color="auto"/>
              <w:bottom w:val="single" w:sz="4" w:space="0" w:color="auto"/>
              <w:right w:val="single" w:sz="4" w:space="0" w:color="auto"/>
            </w:tcBorders>
            <w:hideMark/>
          </w:tcPr>
          <w:p w14:paraId="6D5FDBB3"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 xml:space="preserve">Pilvo skausmas, </w:t>
            </w:r>
          </w:p>
          <w:p w14:paraId="117C5D70" w14:textId="77777777" w:rsidR="004048A7" w:rsidRPr="009F10EE" w:rsidRDefault="004048A7" w:rsidP="00771646">
            <w:pPr>
              <w:pStyle w:val="Default"/>
              <w:rPr>
                <w:sz w:val="22"/>
                <w:szCs w:val="22"/>
                <w:lang w:val="lt-LT"/>
              </w:rPr>
            </w:pPr>
            <w:r w:rsidRPr="009F10EE">
              <w:rPr>
                <w:sz w:val="22"/>
                <w:szCs w:val="22"/>
                <w:lang w:val="lt-LT"/>
              </w:rPr>
              <w:t xml:space="preserve">vėmimas, pykinimas, gastroezofaginis refliuksas. </w:t>
            </w:r>
          </w:p>
        </w:tc>
        <w:tc>
          <w:tcPr>
            <w:tcW w:w="2168" w:type="dxa"/>
            <w:tcBorders>
              <w:top w:val="single" w:sz="4" w:space="0" w:color="auto"/>
              <w:left w:val="single" w:sz="4" w:space="0" w:color="auto"/>
              <w:bottom w:val="single" w:sz="4" w:space="0" w:color="auto"/>
              <w:right w:val="single" w:sz="4" w:space="0" w:color="auto"/>
            </w:tcBorders>
          </w:tcPr>
          <w:p w14:paraId="6B194B74"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780" w:type="dxa"/>
            <w:tcBorders>
              <w:top w:val="single" w:sz="4" w:space="0" w:color="auto"/>
              <w:left w:val="single" w:sz="4" w:space="0" w:color="auto"/>
              <w:bottom w:val="single" w:sz="4" w:space="0" w:color="auto"/>
              <w:right w:val="single" w:sz="4" w:space="0" w:color="auto"/>
            </w:tcBorders>
          </w:tcPr>
          <w:p w14:paraId="52B7D7FF"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r>
      <w:tr w:rsidR="004048A7" w:rsidRPr="009F10EE" w14:paraId="3A627632" w14:textId="71E6342A" w:rsidTr="006C5179">
        <w:tc>
          <w:tcPr>
            <w:tcW w:w="9394" w:type="dxa"/>
            <w:gridSpan w:val="5"/>
            <w:tcBorders>
              <w:top w:val="single" w:sz="4" w:space="0" w:color="auto"/>
              <w:left w:val="single" w:sz="4" w:space="0" w:color="auto"/>
              <w:bottom w:val="single" w:sz="4" w:space="0" w:color="auto"/>
              <w:right w:val="single" w:sz="4" w:space="0" w:color="auto"/>
            </w:tcBorders>
            <w:hideMark/>
          </w:tcPr>
          <w:p w14:paraId="276C29FE" w14:textId="601A6FF9"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Odos ir poodinio audinio sutrikimai</w:t>
            </w:r>
          </w:p>
        </w:tc>
      </w:tr>
      <w:tr w:rsidR="004048A7" w:rsidRPr="009F10EE" w14:paraId="6D554E36" w14:textId="7B93BD20" w:rsidTr="007D3ACB">
        <w:tc>
          <w:tcPr>
            <w:tcW w:w="1724" w:type="dxa"/>
            <w:tcBorders>
              <w:top w:val="single" w:sz="4" w:space="0" w:color="auto"/>
              <w:left w:val="single" w:sz="4" w:space="0" w:color="auto"/>
              <w:bottom w:val="single" w:sz="4" w:space="0" w:color="auto"/>
              <w:right w:val="single" w:sz="4" w:space="0" w:color="auto"/>
            </w:tcBorders>
          </w:tcPr>
          <w:p w14:paraId="6E5D2AC3"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tcPr>
          <w:p w14:paraId="073E6970"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tcPr>
          <w:p w14:paraId="005FA510"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Išbėrimas, </w:t>
            </w:r>
          </w:p>
        </w:tc>
        <w:tc>
          <w:tcPr>
            <w:tcW w:w="2168" w:type="dxa"/>
            <w:tcBorders>
              <w:top w:val="single" w:sz="4" w:space="0" w:color="auto"/>
              <w:left w:val="single" w:sz="4" w:space="0" w:color="auto"/>
              <w:bottom w:val="single" w:sz="4" w:space="0" w:color="auto"/>
              <w:right w:val="single" w:sz="4" w:space="0" w:color="auto"/>
            </w:tcBorders>
            <w:hideMark/>
          </w:tcPr>
          <w:p w14:paraId="704C1334"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Dilgėlinė,</w:t>
            </w:r>
          </w:p>
          <w:p w14:paraId="31899B2B"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Stivenso-Džonsono (</w:t>
            </w:r>
            <w:r w:rsidRPr="009F10EE">
              <w:rPr>
                <w:rFonts w:ascii="Times New Roman" w:eastAsia="Times New Roman" w:hAnsi="Times New Roman" w:cs="Times New Roman"/>
                <w:i/>
                <w:color w:val="000000"/>
                <w:lang w:eastAsia="cs-CZ"/>
              </w:rPr>
              <w:t>Stevens-Johnson</w:t>
            </w:r>
            <w:r w:rsidRPr="009F10EE">
              <w:rPr>
                <w:rFonts w:ascii="Times New Roman" w:eastAsia="Times New Roman" w:hAnsi="Times New Roman" w:cs="Times New Roman"/>
                <w:color w:val="000000"/>
                <w:lang w:eastAsia="cs-CZ"/>
              </w:rPr>
              <w:t xml:space="preserve">) </w:t>
            </w:r>
            <w:r w:rsidRPr="009F10EE">
              <w:rPr>
                <w:rFonts w:ascii="Times New Roman" w:eastAsia="Times New Roman" w:hAnsi="Times New Roman" w:cs="Times New Roman"/>
                <w:lang w:eastAsia="lt-LT"/>
              </w:rPr>
              <w:t>sindromas</w:t>
            </w:r>
            <w:r w:rsidRPr="009F10EE">
              <w:rPr>
                <w:rFonts w:ascii="Times New Roman" w:eastAsia="Times New Roman" w:hAnsi="Times New Roman" w:cs="Times New Roman"/>
                <w:vertAlign w:val="superscript"/>
                <w:lang w:eastAsia="lt-LT"/>
              </w:rPr>
              <w:t>2</w:t>
            </w:r>
            <w:r w:rsidRPr="009F10EE">
              <w:rPr>
                <w:rFonts w:ascii="Times New Roman" w:eastAsia="Times New Roman" w:hAnsi="Times New Roman" w:cs="Times New Roman"/>
                <w:lang w:eastAsia="lt-LT"/>
              </w:rPr>
              <w:t>, eksfoliacinis dermatitas</w:t>
            </w:r>
            <w:r w:rsidRPr="009F10EE">
              <w:rPr>
                <w:rFonts w:ascii="Times New Roman" w:eastAsia="Times New Roman" w:hAnsi="Times New Roman" w:cs="Times New Roman"/>
                <w:vertAlign w:val="superscript"/>
                <w:lang w:eastAsia="lt-LT"/>
              </w:rPr>
              <w:t>2</w:t>
            </w:r>
            <w:r w:rsidRPr="009F10EE">
              <w:rPr>
                <w:rFonts w:ascii="Times New Roman" w:eastAsia="Times New Roman" w:hAnsi="Times New Roman" w:cs="Times New Roman"/>
                <w:lang w:eastAsia="lt-LT"/>
              </w:rPr>
              <w:t xml:space="preserve">, </w:t>
            </w:r>
          </w:p>
          <w:p w14:paraId="07128A6E" w14:textId="77777777" w:rsidR="004048A7" w:rsidRPr="009F10EE" w:rsidRDefault="004048A7" w:rsidP="00771646">
            <w:pPr>
              <w:pStyle w:val="Default"/>
              <w:rPr>
                <w:sz w:val="22"/>
                <w:szCs w:val="22"/>
                <w:lang w:val="lt-LT"/>
              </w:rPr>
            </w:pPr>
            <w:r w:rsidRPr="009F10EE">
              <w:rPr>
                <w:sz w:val="22"/>
                <w:szCs w:val="22"/>
                <w:lang w:val="lt-LT"/>
              </w:rPr>
              <w:t xml:space="preserve">hiperhidrozė (pernelyg stiprus prakaitavimas) </w:t>
            </w:r>
          </w:p>
        </w:tc>
        <w:tc>
          <w:tcPr>
            <w:tcW w:w="1780" w:type="dxa"/>
            <w:tcBorders>
              <w:top w:val="single" w:sz="4" w:space="0" w:color="auto"/>
              <w:left w:val="single" w:sz="4" w:space="0" w:color="auto"/>
              <w:bottom w:val="single" w:sz="4" w:space="0" w:color="auto"/>
              <w:right w:val="single" w:sz="4" w:space="0" w:color="auto"/>
            </w:tcBorders>
          </w:tcPr>
          <w:p w14:paraId="6DCB7C3E"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r>
      <w:tr w:rsidR="004048A7" w:rsidRPr="009F10EE" w14:paraId="17AD6497" w14:textId="326A4E09" w:rsidTr="000265E6">
        <w:tc>
          <w:tcPr>
            <w:tcW w:w="9394" w:type="dxa"/>
            <w:gridSpan w:val="5"/>
            <w:tcBorders>
              <w:top w:val="single" w:sz="4" w:space="0" w:color="auto"/>
              <w:left w:val="single" w:sz="4" w:space="0" w:color="auto"/>
              <w:bottom w:val="single" w:sz="4" w:space="0" w:color="auto"/>
              <w:right w:val="single" w:sz="4" w:space="0" w:color="auto"/>
            </w:tcBorders>
            <w:hideMark/>
          </w:tcPr>
          <w:p w14:paraId="33407E52" w14:textId="597B1A70"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Skeleto, raumenų ir jungiamojo audinio sutrikimai</w:t>
            </w:r>
          </w:p>
        </w:tc>
      </w:tr>
      <w:tr w:rsidR="004048A7" w:rsidRPr="009F10EE" w14:paraId="5E062DD3" w14:textId="4C3ADB77" w:rsidTr="007D3ACB">
        <w:tc>
          <w:tcPr>
            <w:tcW w:w="1724" w:type="dxa"/>
            <w:tcBorders>
              <w:top w:val="single" w:sz="4" w:space="0" w:color="auto"/>
              <w:left w:val="single" w:sz="4" w:space="0" w:color="auto"/>
              <w:bottom w:val="single" w:sz="4" w:space="0" w:color="auto"/>
              <w:right w:val="single" w:sz="4" w:space="0" w:color="auto"/>
            </w:tcBorders>
          </w:tcPr>
          <w:p w14:paraId="71F8BA03"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hideMark/>
          </w:tcPr>
          <w:p w14:paraId="6E04F807"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Nugaros skausmas, mialgija</w:t>
            </w:r>
            <w:r w:rsidRPr="009F10EE">
              <w:rPr>
                <w:rFonts w:ascii="Times New Roman" w:eastAsia="TimesNewRomanPSMT" w:hAnsi="Times New Roman" w:cs="Times New Roman"/>
                <w:lang w:eastAsia="lt-LT"/>
              </w:rPr>
              <w:t>, galūnių skausmas</w:t>
            </w:r>
          </w:p>
        </w:tc>
        <w:tc>
          <w:tcPr>
            <w:tcW w:w="1962" w:type="dxa"/>
            <w:tcBorders>
              <w:top w:val="single" w:sz="4" w:space="0" w:color="auto"/>
              <w:left w:val="single" w:sz="4" w:space="0" w:color="auto"/>
              <w:bottom w:val="single" w:sz="4" w:space="0" w:color="auto"/>
              <w:right w:val="single" w:sz="4" w:space="0" w:color="auto"/>
            </w:tcBorders>
          </w:tcPr>
          <w:p w14:paraId="4FAC16F5"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2168" w:type="dxa"/>
            <w:tcBorders>
              <w:top w:val="single" w:sz="4" w:space="0" w:color="auto"/>
              <w:left w:val="single" w:sz="4" w:space="0" w:color="auto"/>
              <w:bottom w:val="single" w:sz="4" w:space="0" w:color="auto"/>
              <w:right w:val="single" w:sz="4" w:space="0" w:color="auto"/>
            </w:tcBorders>
          </w:tcPr>
          <w:p w14:paraId="17F99CEF"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780" w:type="dxa"/>
            <w:tcBorders>
              <w:top w:val="single" w:sz="4" w:space="0" w:color="auto"/>
              <w:left w:val="single" w:sz="4" w:space="0" w:color="auto"/>
              <w:bottom w:val="single" w:sz="4" w:space="0" w:color="auto"/>
              <w:right w:val="single" w:sz="4" w:space="0" w:color="auto"/>
            </w:tcBorders>
          </w:tcPr>
          <w:p w14:paraId="09024F9B"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r>
      <w:tr w:rsidR="004048A7" w:rsidRPr="009F10EE" w14:paraId="0DB8ABF1" w14:textId="38B4ABF3" w:rsidTr="002724E3">
        <w:tc>
          <w:tcPr>
            <w:tcW w:w="9394" w:type="dxa"/>
            <w:gridSpan w:val="5"/>
            <w:tcBorders>
              <w:top w:val="single" w:sz="4" w:space="0" w:color="auto"/>
              <w:left w:val="single" w:sz="4" w:space="0" w:color="auto"/>
              <w:bottom w:val="single" w:sz="4" w:space="0" w:color="auto"/>
              <w:right w:val="single" w:sz="4" w:space="0" w:color="auto"/>
            </w:tcBorders>
            <w:hideMark/>
          </w:tcPr>
          <w:p w14:paraId="06355D6D" w14:textId="04CDC13A"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Inkstų ir šlapimo takų sutrikimai</w:t>
            </w:r>
          </w:p>
        </w:tc>
      </w:tr>
      <w:tr w:rsidR="004048A7" w:rsidRPr="009F10EE" w14:paraId="071DA61E" w14:textId="484DD166" w:rsidTr="007D3ACB">
        <w:tc>
          <w:tcPr>
            <w:tcW w:w="1724" w:type="dxa"/>
            <w:tcBorders>
              <w:top w:val="single" w:sz="4" w:space="0" w:color="auto"/>
              <w:left w:val="single" w:sz="4" w:space="0" w:color="auto"/>
              <w:bottom w:val="single" w:sz="4" w:space="0" w:color="auto"/>
              <w:right w:val="single" w:sz="4" w:space="0" w:color="auto"/>
            </w:tcBorders>
          </w:tcPr>
          <w:p w14:paraId="00A8FE6B"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tcPr>
          <w:p w14:paraId="6E34F562"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tcPr>
          <w:p w14:paraId="00B69862"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Hematurija</w:t>
            </w:r>
          </w:p>
          <w:p w14:paraId="78009647"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2168" w:type="dxa"/>
            <w:tcBorders>
              <w:top w:val="single" w:sz="4" w:space="0" w:color="auto"/>
              <w:left w:val="single" w:sz="4" w:space="0" w:color="auto"/>
              <w:bottom w:val="single" w:sz="4" w:space="0" w:color="auto"/>
              <w:right w:val="single" w:sz="4" w:space="0" w:color="auto"/>
            </w:tcBorders>
          </w:tcPr>
          <w:p w14:paraId="49922837"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780" w:type="dxa"/>
            <w:tcBorders>
              <w:top w:val="single" w:sz="4" w:space="0" w:color="auto"/>
              <w:left w:val="single" w:sz="4" w:space="0" w:color="auto"/>
              <w:bottom w:val="single" w:sz="4" w:space="0" w:color="auto"/>
              <w:right w:val="single" w:sz="4" w:space="0" w:color="auto"/>
            </w:tcBorders>
          </w:tcPr>
          <w:p w14:paraId="6C6715BC"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r>
      <w:tr w:rsidR="004048A7" w:rsidRPr="009F10EE" w14:paraId="51DDD192" w14:textId="49B9CBC7" w:rsidTr="00061C01">
        <w:tc>
          <w:tcPr>
            <w:tcW w:w="9394" w:type="dxa"/>
            <w:gridSpan w:val="5"/>
            <w:tcBorders>
              <w:top w:val="single" w:sz="4" w:space="0" w:color="auto"/>
              <w:left w:val="single" w:sz="4" w:space="0" w:color="auto"/>
              <w:bottom w:val="single" w:sz="4" w:space="0" w:color="auto"/>
              <w:right w:val="single" w:sz="4" w:space="0" w:color="auto"/>
            </w:tcBorders>
            <w:hideMark/>
          </w:tcPr>
          <w:p w14:paraId="77CB5C25" w14:textId="2354E1A1"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Lytinės sistemos ir krūties sutrikimai</w:t>
            </w:r>
          </w:p>
        </w:tc>
      </w:tr>
      <w:tr w:rsidR="004048A7" w:rsidRPr="009F10EE" w14:paraId="4607627C" w14:textId="4F9AE2E3" w:rsidTr="007D3ACB">
        <w:tc>
          <w:tcPr>
            <w:tcW w:w="1724" w:type="dxa"/>
            <w:tcBorders>
              <w:top w:val="single" w:sz="4" w:space="0" w:color="auto"/>
              <w:left w:val="single" w:sz="4" w:space="0" w:color="auto"/>
              <w:bottom w:val="single" w:sz="4" w:space="0" w:color="auto"/>
              <w:right w:val="single" w:sz="4" w:space="0" w:color="auto"/>
            </w:tcBorders>
          </w:tcPr>
          <w:p w14:paraId="45BDBBBC"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tcPr>
          <w:p w14:paraId="1AD7F224"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hideMark/>
          </w:tcPr>
          <w:p w14:paraId="6971168F" w14:textId="77777777" w:rsidR="004048A7" w:rsidRPr="009F10EE" w:rsidRDefault="004048A7" w:rsidP="00771646">
            <w:pPr>
              <w:pStyle w:val="Default"/>
              <w:rPr>
                <w:sz w:val="22"/>
                <w:szCs w:val="22"/>
                <w:lang w:val="lt-LT"/>
              </w:rPr>
            </w:pPr>
            <w:r w:rsidRPr="009F10EE">
              <w:rPr>
                <w:sz w:val="22"/>
                <w:szCs w:val="22"/>
                <w:lang w:val="lt-LT"/>
              </w:rPr>
              <w:t xml:space="preserve">Užsitęsusi erekcija. </w:t>
            </w:r>
          </w:p>
          <w:p w14:paraId="327B50BB" w14:textId="77777777" w:rsidR="004048A7" w:rsidRPr="009F10EE" w:rsidRDefault="004048A7"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2168" w:type="dxa"/>
            <w:tcBorders>
              <w:top w:val="single" w:sz="4" w:space="0" w:color="auto"/>
              <w:left w:val="single" w:sz="4" w:space="0" w:color="auto"/>
              <w:bottom w:val="single" w:sz="4" w:space="0" w:color="auto"/>
              <w:right w:val="single" w:sz="4" w:space="0" w:color="auto"/>
            </w:tcBorders>
          </w:tcPr>
          <w:p w14:paraId="3FD4D52C"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Priapizmas, </w:t>
            </w:r>
          </w:p>
          <w:p w14:paraId="6302DE83" w14:textId="77777777" w:rsidR="004048A7" w:rsidRPr="009F10EE" w:rsidRDefault="004048A7" w:rsidP="00771646">
            <w:pPr>
              <w:pStyle w:val="Default"/>
              <w:rPr>
                <w:sz w:val="22"/>
                <w:szCs w:val="22"/>
                <w:lang w:val="lt-LT"/>
              </w:rPr>
            </w:pPr>
            <w:r w:rsidRPr="009F10EE">
              <w:rPr>
                <w:sz w:val="22"/>
                <w:szCs w:val="22"/>
                <w:lang w:val="lt-LT"/>
              </w:rPr>
              <w:t xml:space="preserve">kraujavimas iš varpos, hematospermija </w:t>
            </w:r>
          </w:p>
          <w:p w14:paraId="001F2627"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780" w:type="dxa"/>
            <w:tcBorders>
              <w:top w:val="single" w:sz="4" w:space="0" w:color="auto"/>
              <w:left w:val="single" w:sz="4" w:space="0" w:color="auto"/>
              <w:bottom w:val="single" w:sz="4" w:space="0" w:color="auto"/>
              <w:right w:val="single" w:sz="4" w:space="0" w:color="auto"/>
            </w:tcBorders>
          </w:tcPr>
          <w:p w14:paraId="03FF0A97"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p>
        </w:tc>
      </w:tr>
      <w:tr w:rsidR="004048A7" w:rsidRPr="009F10EE" w14:paraId="2E589DE9" w14:textId="6A45FA73" w:rsidTr="00D339B0">
        <w:tc>
          <w:tcPr>
            <w:tcW w:w="9394" w:type="dxa"/>
            <w:gridSpan w:val="5"/>
            <w:tcBorders>
              <w:top w:val="single" w:sz="4" w:space="0" w:color="auto"/>
              <w:left w:val="single" w:sz="4" w:space="0" w:color="auto"/>
              <w:bottom w:val="single" w:sz="4" w:space="0" w:color="auto"/>
              <w:right w:val="single" w:sz="4" w:space="0" w:color="auto"/>
            </w:tcBorders>
            <w:hideMark/>
          </w:tcPr>
          <w:p w14:paraId="19A60571" w14:textId="25DBE2B1"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Bendrieji sutrikimai ir vartojimo vietos pažeidimai</w:t>
            </w:r>
          </w:p>
        </w:tc>
      </w:tr>
      <w:tr w:rsidR="004048A7" w:rsidRPr="009F10EE" w14:paraId="5C0C66FE" w14:textId="112B769A" w:rsidTr="007D3ACB">
        <w:tc>
          <w:tcPr>
            <w:tcW w:w="1724" w:type="dxa"/>
            <w:tcBorders>
              <w:top w:val="single" w:sz="4" w:space="0" w:color="auto"/>
              <w:left w:val="single" w:sz="4" w:space="0" w:color="auto"/>
              <w:bottom w:val="single" w:sz="4" w:space="0" w:color="auto"/>
              <w:right w:val="single" w:sz="4" w:space="0" w:color="auto"/>
            </w:tcBorders>
          </w:tcPr>
          <w:p w14:paraId="18AEC2EC"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tcPr>
          <w:p w14:paraId="037891F5" w14:textId="77777777" w:rsidR="004048A7" w:rsidRPr="009F10EE" w:rsidRDefault="004048A7" w:rsidP="00771646">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hideMark/>
          </w:tcPr>
          <w:p w14:paraId="43841CA6"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Krūtinės skausmas</w:t>
            </w:r>
            <w:r w:rsidRPr="009F10EE">
              <w:rPr>
                <w:rFonts w:ascii="Times New Roman" w:eastAsia="Times New Roman" w:hAnsi="Times New Roman" w:cs="Times New Roman"/>
                <w:vertAlign w:val="superscript"/>
                <w:lang w:eastAsia="lt-LT"/>
              </w:rPr>
              <w:t>1</w:t>
            </w:r>
            <w:r w:rsidRPr="009F10EE">
              <w:rPr>
                <w:rFonts w:ascii="Times New Roman" w:eastAsia="Times New Roman" w:hAnsi="Times New Roman" w:cs="Times New Roman"/>
                <w:lang w:eastAsia="lt-LT"/>
              </w:rPr>
              <w:t xml:space="preserve">, </w:t>
            </w:r>
          </w:p>
          <w:p w14:paraId="3E4BF26F" w14:textId="77777777" w:rsidR="004048A7" w:rsidRPr="009F10EE" w:rsidRDefault="004048A7" w:rsidP="00771646">
            <w:pPr>
              <w:pStyle w:val="Default"/>
              <w:rPr>
                <w:sz w:val="22"/>
                <w:szCs w:val="22"/>
                <w:lang w:val="lt-LT"/>
              </w:rPr>
            </w:pPr>
            <w:r w:rsidRPr="009F10EE">
              <w:rPr>
                <w:sz w:val="22"/>
                <w:szCs w:val="22"/>
                <w:lang w:val="lt-LT"/>
              </w:rPr>
              <w:t xml:space="preserve">periferinė edema, nuovargis </w:t>
            </w:r>
          </w:p>
        </w:tc>
        <w:tc>
          <w:tcPr>
            <w:tcW w:w="2168" w:type="dxa"/>
            <w:tcBorders>
              <w:top w:val="single" w:sz="4" w:space="0" w:color="auto"/>
              <w:left w:val="single" w:sz="4" w:space="0" w:color="auto"/>
              <w:bottom w:val="single" w:sz="4" w:space="0" w:color="auto"/>
              <w:right w:val="single" w:sz="4" w:space="0" w:color="auto"/>
            </w:tcBorders>
            <w:hideMark/>
          </w:tcPr>
          <w:p w14:paraId="02A055E8"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Veido edema</w:t>
            </w:r>
            <w:r w:rsidRPr="009F10EE">
              <w:rPr>
                <w:rFonts w:ascii="Times New Roman" w:eastAsia="Times New Roman" w:hAnsi="Times New Roman" w:cs="Times New Roman"/>
                <w:vertAlign w:val="superscript"/>
                <w:lang w:eastAsia="lt-LT"/>
              </w:rPr>
              <w:t>2</w:t>
            </w:r>
            <w:r w:rsidRPr="009F10EE">
              <w:rPr>
                <w:rFonts w:ascii="Times New Roman" w:eastAsia="TimesNewRomanPSMT" w:hAnsi="Times New Roman" w:cs="Times New Roman"/>
                <w:lang w:eastAsia="lt-LT"/>
              </w:rPr>
              <w:t>, staigi kardialinė</w:t>
            </w:r>
            <w:r w:rsidRPr="009F10EE">
              <w:rPr>
                <w:rFonts w:ascii="Times New Roman" w:eastAsia="Times New Roman" w:hAnsi="Times New Roman" w:cs="Times New Roman"/>
                <w:lang w:eastAsia="lt-LT"/>
              </w:rPr>
              <w:t xml:space="preserve"> mirtis </w:t>
            </w:r>
            <w:r w:rsidRPr="009F10EE">
              <w:rPr>
                <w:rFonts w:ascii="Times New Roman" w:eastAsia="Times New Roman" w:hAnsi="Times New Roman" w:cs="Times New Roman"/>
                <w:vertAlign w:val="superscript"/>
                <w:lang w:eastAsia="lt-LT"/>
              </w:rPr>
              <w:t>1,2</w:t>
            </w:r>
          </w:p>
        </w:tc>
        <w:tc>
          <w:tcPr>
            <w:tcW w:w="1780" w:type="dxa"/>
            <w:tcBorders>
              <w:top w:val="single" w:sz="4" w:space="0" w:color="auto"/>
              <w:left w:val="single" w:sz="4" w:space="0" w:color="auto"/>
              <w:bottom w:val="single" w:sz="4" w:space="0" w:color="auto"/>
              <w:right w:val="single" w:sz="4" w:space="0" w:color="auto"/>
            </w:tcBorders>
          </w:tcPr>
          <w:p w14:paraId="4B71AE69" w14:textId="77777777" w:rsidR="004048A7" w:rsidRPr="009F10EE" w:rsidRDefault="004048A7"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p>
        </w:tc>
      </w:tr>
    </w:tbl>
    <w:p w14:paraId="62D80394" w14:textId="0AC94C91" w:rsidR="008C4948" w:rsidRPr="009F10EE" w:rsidRDefault="008A6596"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NewRomanPSMT" w:hAnsi="Times New Roman" w:cs="Times New Roman"/>
          <w:lang w:eastAsia="lt-LT"/>
        </w:rPr>
        <w:t>(</w:t>
      </w:r>
      <w:r w:rsidR="008C4948" w:rsidRPr="00B65F27">
        <w:rPr>
          <w:rFonts w:ascii="Times New Roman" w:eastAsia="TimesNewRomanPSMT" w:hAnsi="Times New Roman" w:cs="Times New Roman"/>
          <w:lang w:eastAsia="lt-LT"/>
        </w:rPr>
        <w:t>1</w:t>
      </w:r>
      <w:r>
        <w:rPr>
          <w:rFonts w:ascii="Times New Roman" w:eastAsia="TimesNewRomanPSMT" w:hAnsi="Times New Roman" w:cs="Times New Roman"/>
          <w:lang w:eastAsia="lt-LT"/>
        </w:rPr>
        <w:t>)</w:t>
      </w:r>
      <w:r w:rsidR="008C4948" w:rsidRPr="009F10EE">
        <w:rPr>
          <w:rFonts w:ascii="Times New Roman" w:eastAsia="TimesNewRomanPSMT" w:hAnsi="Times New Roman" w:cs="Times New Roman"/>
          <w:lang w:eastAsia="lt-LT"/>
        </w:rPr>
        <w:t xml:space="preserve"> </w:t>
      </w:r>
      <w:r w:rsidR="008C4948" w:rsidRPr="009F10EE">
        <w:rPr>
          <w:rFonts w:ascii="Times New Roman" w:eastAsia="Times New Roman" w:hAnsi="Times New Roman" w:cs="Times New Roman"/>
          <w:color w:val="000000"/>
          <w:lang w:eastAsia="cs-CZ"/>
        </w:rPr>
        <w:t>Dauguma pacientų jau turėjo kardiovaskulinės rizikos veiksnių (žr. 4.4 skyrių).</w:t>
      </w:r>
    </w:p>
    <w:p w14:paraId="140E256D" w14:textId="6B9F917F" w:rsidR="008C4948" w:rsidRPr="009F10EE" w:rsidRDefault="008A6596"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 New Roman" w:hAnsi="Times New Roman" w:cs="Times New Roman"/>
          <w:lang w:eastAsia="lt-LT"/>
        </w:rPr>
        <w:t>(</w:t>
      </w:r>
      <w:r w:rsidR="008C4948" w:rsidRPr="00B65F27">
        <w:rPr>
          <w:rFonts w:ascii="Times New Roman" w:eastAsia="Times New Roman" w:hAnsi="Times New Roman" w:cs="Times New Roman"/>
          <w:lang w:eastAsia="lt-LT"/>
        </w:rPr>
        <w:t>2</w:t>
      </w:r>
      <w:r>
        <w:rPr>
          <w:rFonts w:ascii="Times New Roman" w:eastAsia="Times New Roman" w:hAnsi="Times New Roman" w:cs="Times New Roman"/>
          <w:lang w:eastAsia="lt-LT"/>
        </w:rPr>
        <w:t>)</w:t>
      </w:r>
      <w:r w:rsidR="008C4948" w:rsidRPr="009F10EE">
        <w:rPr>
          <w:rFonts w:ascii="Times New Roman" w:eastAsia="Times New Roman" w:hAnsi="Times New Roman" w:cs="Times New Roman"/>
          <w:lang w:eastAsia="lt-LT"/>
        </w:rPr>
        <w:t xml:space="preserve"> </w:t>
      </w:r>
      <w:r w:rsidR="008C4948" w:rsidRPr="009F10EE">
        <w:rPr>
          <w:rFonts w:ascii="Times New Roman" w:eastAsia="TimesNewRomanPSMT" w:hAnsi="Times New Roman" w:cs="Times New Roman"/>
          <w:lang w:eastAsia="lt-LT"/>
        </w:rPr>
        <w:t>Stebėjimo po vaistinio preparato patekimo į rinką metu pranešta apie nepageidaujamas reakcijas, kurių nepastebėta placebu kontroliuojamų klinikinių tyrimų metu.</w:t>
      </w:r>
    </w:p>
    <w:p w14:paraId="7DBE8635" w14:textId="3CCA5CC0" w:rsidR="008C4948" w:rsidRPr="009F10EE" w:rsidRDefault="008A6596"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 New Roman" w:hAnsi="Times New Roman" w:cs="Times New Roman"/>
          <w:lang w:eastAsia="lt-LT"/>
        </w:rPr>
        <w:t>(</w:t>
      </w:r>
      <w:r w:rsidR="008C4948" w:rsidRPr="00B65F27">
        <w:rPr>
          <w:rFonts w:ascii="Times New Roman" w:eastAsia="Times New Roman" w:hAnsi="Times New Roman" w:cs="Times New Roman"/>
          <w:lang w:eastAsia="lt-LT"/>
        </w:rPr>
        <w:t>3</w:t>
      </w:r>
      <w:r>
        <w:rPr>
          <w:rFonts w:ascii="Times New Roman" w:eastAsia="Times New Roman" w:hAnsi="Times New Roman" w:cs="Times New Roman"/>
          <w:lang w:eastAsia="lt-LT"/>
        </w:rPr>
        <w:t>)</w:t>
      </w:r>
      <w:r w:rsidR="008C4948" w:rsidRPr="009F10EE">
        <w:rPr>
          <w:rFonts w:ascii="Times New Roman" w:eastAsia="TimesNewRomanPSMT" w:hAnsi="Times New Roman" w:cs="Times New Roman"/>
          <w:lang w:eastAsia="lt-LT"/>
        </w:rPr>
        <w:t xml:space="preserve"> Pranešimų gauta dažniau, kai tadalafilio skirta pacientams, jau vartojantiems antihipertenzinių vaistinių preparatų.</w:t>
      </w:r>
    </w:p>
    <w:p w14:paraId="112FA7A0" w14:textId="77777777" w:rsidR="008C4948" w:rsidRPr="009F10EE" w:rsidRDefault="008C4948" w:rsidP="008C4948">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p w14:paraId="6C3E6F14" w14:textId="77777777" w:rsidR="008C4948" w:rsidRPr="009F10EE" w:rsidRDefault="008C4948" w:rsidP="00B65F27">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Atrinktų nepageidaujamų reakcijų apibūdinimas</w:t>
      </w:r>
    </w:p>
    <w:p w14:paraId="323836D2" w14:textId="77777777" w:rsidR="008C4948" w:rsidRPr="009F10EE" w:rsidRDefault="008C4948" w:rsidP="00B65F27">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319BE723" w14:textId="77777777" w:rsidR="008C4948" w:rsidRPr="009F10EE" w:rsidRDefault="008C4948" w:rsidP="00B65F27">
      <w:pPr>
        <w:keepNext/>
        <w:tabs>
          <w:tab w:val="left" w:pos="567"/>
        </w:tabs>
        <w:spacing w:after="0" w:line="240" w:lineRule="auto"/>
        <w:rPr>
          <w:rFonts w:ascii="Times New Roman" w:eastAsia="Times New Roman" w:hAnsi="Times New Roman" w:cs="Times New Roman"/>
          <w:iCs/>
          <w:color w:val="000000"/>
          <w:lang w:eastAsia="cs-CZ"/>
        </w:rPr>
      </w:pPr>
      <w:r w:rsidRPr="009F10EE">
        <w:rPr>
          <w:rFonts w:ascii="Times New Roman" w:eastAsia="Times New Roman" w:hAnsi="Times New Roman" w:cs="Times New Roman"/>
          <w:iCs/>
          <w:color w:val="000000"/>
          <w:lang w:eastAsia="cs-CZ"/>
        </w:rPr>
        <w:t>Pacientams, tadalafilio vartojusiems kartą per parą, palyginti su vartojusiais placebo, šiek tiek dažniau atsirado neįprastų EKG pokyčių, pirmiausiai sinusinė bradikardija. Dauguma tokių neįprastų EKG pokyčių nebuvo susiję su nepageidaujamomis reakcijomis.</w:t>
      </w:r>
    </w:p>
    <w:p w14:paraId="44FF032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629D0E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Kitos ypatingos populiacijos</w:t>
      </w:r>
    </w:p>
    <w:p w14:paraId="0D401BE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6F7BAC5B"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NewRomanPSMT" w:hAnsi="Times New Roman" w:cs="Times New Roman"/>
          <w:lang w:eastAsia="lt-LT"/>
        </w:rPr>
        <w:t>Duomenų apie vyresnių negu 65 metų pacientų, klinikinių tyrimų metu tadalafilio vartojusių arba erekcijos funkcijos sutrikimui, arba gerybinei prostatos hiperplazijai gydyti, yra nedaug. Klinikinių tyrimų, kurių metu erekcijos disfunkcijai gydyti tadalafilis buvo vartojamas pagal poreikį, viduriavimas dažniau pasireiškė vyresniems negu 65 metų pacientams. Klinikinių tyrimų, kurių metu gerybinė prostatos hiperplazija buvo gydoma kartą per parą vartojama 5 mg tadalafilio doze, dažniau gauta pranešimų apie galvos svaigimą ir viduriavimą vyresniems negu 75 metų pacientams.</w:t>
      </w:r>
    </w:p>
    <w:p w14:paraId="769022C8"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14:paraId="12933916" w14:textId="77777777" w:rsidR="008C4948" w:rsidRPr="009F10EE" w:rsidRDefault="008C4948" w:rsidP="008C4948">
      <w:pPr>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r w:rsidRPr="009F10EE">
        <w:rPr>
          <w:rFonts w:ascii="Times New Roman" w:eastAsia="Times New Roman" w:hAnsi="Times New Roman" w:cs="Times New Roman"/>
          <w:snapToGrid w:val="0"/>
          <w:u w:val="single"/>
        </w:rPr>
        <w:t>Pranešimas apie įtariamas nepageidaujamas reakcijas</w:t>
      </w:r>
    </w:p>
    <w:p w14:paraId="3501C028" w14:textId="69FFE14F" w:rsidR="008C4948" w:rsidRPr="009F10EE" w:rsidRDefault="008C4948" w:rsidP="008C4948">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9F10EE">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w:t>
      </w:r>
      <w:r w:rsidR="00C80646" w:rsidRPr="00C80646">
        <w:rPr>
          <w:rFonts w:ascii="Times New Roman" w:eastAsia="Times New Roman" w:hAnsi="Times New Roman" w:cs="Times New Roman"/>
          <w:snapToGrid w:val="0"/>
        </w:rPr>
        <w:t xml:space="preserve">tiesiogiai užpildę pranešimo formą internetu Tarnybos Vaistinių preparatų informacinėje sistemoje </w:t>
      </w:r>
      <w:r w:rsidR="00C80646" w:rsidRPr="00C80646">
        <w:rPr>
          <w:rFonts w:ascii="Times New Roman" w:eastAsia="Times New Roman" w:hAnsi="Times New Roman" w:cs="Times New Roman"/>
          <w:snapToGrid w:val="0"/>
          <w:u w:val="single"/>
        </w:rPr>
        <w:t>https://vapris.vvkt.lt/vvkt-web/public/nrvSpecialist</w:t>
      </w:r>
      <w:r w:rsidR="00C80646" w:rsidRPr="00C80646">
        <w:rPr>
          <w:rFonts w:ascii="Times New Roman" w:eastAsia="Times New Roman" w:hAnsi="Times New Roman" w:cs="Times New Roman"/>
          <w:snapToGrid w:val="0"/>
        </w:rPr>
        <w:t xml:space="preserve"> arba užpildę Sveikatos priežiūros ar farmacijos specialisto pranešimo apie įtariamą nepageidaujamą reakciją (ĮNR) formą, kuri skelbiama </w:t>
      </w:r>
      <w:r w:rsidR="00C80646" w:rsidRPr="00C80646">
        <w:rPr>
          <w:rFonts w:ascii="Times New Roman" w:eastAsia="Times New Roman" w:hAnsi="Times New Roman" w:cs="Times New Roman"/>
          <w:snapToGrid w:val="0"/>
          <w:u w:val="single"/>
        </w:rPr>
        <w:t>https://www.vvkt.lt/index.php?1399030386</w:t>
      </w:r>
      <w:r w:rsidR="00C80646" w:rsidRPr="00C80646">
        <w:rPr>
          <w:rFonts w:ascii="Times New Roman" w:eastAsia="Times New Roman" w:hAnsi="Times New Roman" w:cs="Times New Roman"/>
          <w:snapToGrid w:val="0"/>
        </w:rPr>
        <w:t>, ir atsiųsti elektroniniu paštu (adresu NepageidaujamaR@vvkt.lt).</w:t>
      </w:r>
    </w:p>
    <w:p w14:paraId="1F359D18"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6D85E09"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r w:rsidRPr="009F10EE">
        <w:rPr>
          <w:rFonts w:ascii="Times New Roman" w:eastAsia="Times New Roman" w:hAnsi="Times New Roman" w:cs="Times New Roman"/>
          <w:b/>
          <w:lang w:eastAsia="lt-LT"/>
        </w:rPr>
        <w:t>4.9</w:t>
      </w:r>
      <w:r w:rsidRPr="009F10EE">
        <w:rPr>
          <w:rFonts w:ascii="Times New Roman" w:eastAsia="Times New Roman" w:hAnsi="Times New Roman" w:cs="Times New Roman"/>
          <w:b/>
          <w:lang w:eastAsia="lt-LT"/>
        </w:rPr>
        <w:tab/>
        <w:t>Perdozavimas</w:t>
      </w:r>
    </w:p>
    <w:p w14:paraId="159C6194"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2B582A3B" w14:textId="77777777" w:rsidR="008C4948" w:rsidRPr="009F10EE" w:rsidRDefault="008C4948" w:rsidP="008C4948">
      <w:pPr>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Sveiki suaugę vyrai vartojo ne didesnę kaip 500 mg vienkartinę dozę, pacientai vartojo ne didesnes kaip 100 mg kartotines paros dozes. Pastebėti nepageidaujami reiškiniai buvo tokie patys, kaip ir vartojant mažesnes dozes.</w:t>
      </w:r>
    </w:p>
    <w:p w14:paraId="7058ED80" w14:textId="77777777" w:rsidR="008C4948" w:rsidRPr="009F10EE" w:rsidRDefault="008C4948" w:rsidP="008C4948">
      <w:pPr>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lang w:eastAsia="lt-LT"/>
        </w:rPr>
        <w:t>Perdozavus pagal poreikį reikia gydyti įprastinėmis palaikomosiomis priemonėmis. Hemodializė tadalafilio eliminaciją veikia nereikšmingai.</w:t>
      </w:r>
    </w:p>
    <w:p w14:paraId="1E9C4010"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B526354"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2B96C39" w14:textId="77777777" w:rsidR="008C4948" w:rsidRPr="009F10EE" w:rsidRDefault="008C4948" w:rsidP="0099070E">
      <w:pPr>
        <w:keepNext/>
        <w:tabs>
          <w:tab w:val="left" w:pos="567"/>
        </w:tabs>
        <w:spacing w:after="0" w:line="240" w:lineRule="auto"/>
        <w:outlineLvl w:val="2"/>
        <w:rPr>
          <w:rFonts w:ascii="Times New Roman" w:eastAsia="Times New Roman" w:hAnsi="Times New Roman" w:cs="Times New Roman"/>
          <w:b/>
          <w:bCs/>
        </w:rPr>
      </w:pPr>
      <w:r w:rsidRPr="009F10EE">
        <w:rPr>
          <w:rFonts w:ascii="Times New Roman" w:eastAsia="Times New Roman" w:hAnsi="Times New Roman" w:cs="Times New Roman"/>
          <w:b/>
          <w:bCs/>
        </w:rPr>
        <w:t>5.</w:t>
      </w:r>
      <w:r w:rsidRPr="009F10EE">
        <w:rPr>
          <w:rFonts w:ascii="Times New Roman" w:eastAsia="Times New Roman" w:hAnsi="Times New Roman" w:cs="Times New Roman"/>
          <w:b/>
          <w:bCs/>
        </w:rPr>
        <w:tab/>
        <w:t>FARMAKOLOGINĖS SAVYBĖS</w:t>
      </w:r>
    </w:p>
    <w:p w14:paraId="2E79B753" w14:textId="77777777" w:rsidR="008C4948" w:rsidRPr="009F10EE" w:rsidRDefault="008C4948" w:rsidP="00B16E93">
      <w:pPr>
        <w:keepNext/>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0E7AC538" w14:textId="77777777" w:rsidR="008C4948" w:rsidRPr="009F10EE" w:rsidRDefault="008C4948" w:rsidP="00B16E93">
      <w:pPr>
        <w:keepNext/>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5.1</w:t>
      </w:r>
      <w:r w:rsidRPr="009F10EE">
        <w:rPr>
          <w:rFonts w:ascii="Times New Roman" w:eastAsia="Times New Roman" w:hAnsi="Times New Roman" w:cs="Times New Roman"/>
          <w:b/>
          <w:bCs/>
        </w:rPr>
        <w:t xml:space="preserve"> </w:t>
      </w:r>
      <w:r w:rsidRPr="009F10EE">
        <w:rPr>
          <w:rFonts w:ascii="Times New Roman" w:eastAsia="Times New Roman" w:hAnsi="Times New Roman" w:cs="Times New Roman"/>
          <w:b/>
        </w:rPr>
        <w:tab/>
        <w:t>Farmakodinaminės savybės</w:t>
      </w:r>
    </w:p>
    <w:p w14:paraId="16ECB58F" w14:textId="77777777" w:rsidR="008C4948" w:rsidRPr="009F10EE" w:rsidRDefault="008C4948" w:rsidP="00B16E93">
      <w:pPr>
        <w:keepNext/>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11FDFBFB" w14:textId="77777777" w:rsidR="008C4948" w:rsidRPr="009F10EE" w:rsidRDefault="008C4948" w:rsidP="00B16E93">
      <w:pPr>
        <w:keepNext/>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r w:rsidRPr="009F10EE">
        <w:rPr>
          <w:rFonts w:ascii="Times New Roman" w:eastAsia="TimesNewRomanPSMT" w:hAnsi="Times New Roman" w:cs="Times New Roman"/>
          <w:lang w:eastAsia="ar-SA"/>
        </w:rPr>
        <w:t xml:space="preserve">Farmakoterapinė grupė </w:t>
      </w:r>
      <w:r w:rsidRPr="009F10EE">
        <w:rPr>
          <w:rFonts w:ascii="Times New Roman" w:eastAsia="SymbolMT" w:hAnsi="Times New Roman" w:cs="Times New Roman"/>
          <w:lang w:eastAsia="ar-SA"/>
        </w:rPr>
        <w:t xml:space="preserve">− </w:t>
      </w:r>
      <w:r w:rsidRPr="009F10EE">
        <w:rPr>
          <w:rFonts w:ascii="Times New Roman" w:eastAsia="TimesNewRomanPSMT" w:hAnsi="Times New Roman" w:cs="Times New Roman"/>
          <w:lang w:eastAsia="ar-SA"/>
        </w:rPr>
        <w:t>urogenitalinę sistemą veikiantys vaistiniai preparatai, vaistiniai preparatai, vartojami esant erekcijos funkcijos sutrikimams, ATC kodas – G04BE08.</w:t>
      </w:r>
    </w:p>
    <w:p w14:paraId="57B8752B"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5A73DA2C"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r w:rsidRPr="009F10EE">
        <w:rPr>
          <w:rFonts w:ascii="Times New Roman" w:eastAsia="TimesNewRomanPSMT" w:hAnsi="Times New Roman" w:cs="Times New Roman"/>
          <w:u w:val="single"/>
          <w:lang w:eastAsia="ar-SA"/>
        </w:rPr>
        <w:t>Veikimo mechanizmas</w:t>
      </w:r>
    </w:p>
    <w:p w14:paraId="2985A4E0"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p>
    <w:p w14:paraId="0712E584"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lastRenderedPageBreak/>
        <w:t xml:space="preserve">Tadalafilis selektyviai ir laikinai slopina cikliniam guanozino monofosfatui (cGMF) specifinę 5-ojo tipo fosfodiesterazę (FDE5). </w:t>
      </w:r>
    </w:p>
    <w:p w14:paraId="7AFBBF0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Tuo atveju, kai seksualinės stimuliacijos metu lokaliai išsiskiria azoto oksido, dėl tadalafilio sukelto FDE5 slopinimo akytkūnyje padidėja cGMF kiekis. Dėl to atsipalaiduoja lygieji raumenys, į varpos audinius priteka kraujo ir pasireiškia erekcija. Jeigu seksualinės stimuliacijos nėra, tadalafilis poveikio nesukelia.</w:t>
      </w:r>
    </w:p>
    <w:p w14:paraId="26DBA990"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5404BA46"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r w:rsidRPr="009F10EE">
        <w:rPr>
          <w:rFonts w:ascii="Times New Roman" w:eastAsia="TimesNewRomanPSMT" w:hAnsi="Times New Roman" w:cs="Times New Roman"/>
          <w:u w:val="single"/>
          <w:lang w:eastAsia="ar-SA"/>
        </w:rPr>
        <w:t>Farmakodinaminis poveikis</w:t>
      </w:r>
    </w:p>
    <w:p w14:paraId="546AFBC6"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p>
    <w:p w14:paraId="2749CDCC" w14:textId="6E38D421"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r w:rsidRPr="009F10EE">
        <w:rPr>
          <w:rFonts w:ascii="Times New Roman" w:eastAsia="TimesNewRomanPSMT" w:hAnsi="Times New Roman" w:cs="Times New Roman"/>
          <w:lang w:eastAsia="ar-SA"/>
        </w:rPr>
        <w:t xml:space="preserve">Tyrimais </w:t>
      </w:r>
      <w:r w:rsidRPr="009F10EE">
        <w:rPr>
          <w:rFonts w:ascii="Times New Roman" w:eastAsia="TimesNewRomanPSMT" w:hAnsi="Times New Roman" w:cs="Times New Roman"/>
          <w:i/>
          <w:iCs/>
          <w:lang w:eastAsia="ar-SA"/>
        </w:rPr>
        <w:t xml:space="preserve">in vitro </w:t>
      </w:r>
      <w:r w:rsidRPr="009F10EE">
        <w:rPr>
          <w:rFonts w:ascii="Times New Roman" w:eastAsia="TimesNewRomanPSMT" w:hAnsi="Times New Roman" w:cs="Times New Roman"/>
          <w:lang w:eastAsia="ar-SA"/>
        </w:rPr>
        <w:t>įrodyta, kad tadalafilis selektyviai slopina FDE5. FDE5 yra fermentas, kurio būna lygiuosiuose akytkūnio, kraujagyslių ir vidaus organų raumenyse, griaučių raumenyse, trombocituose, inkstuose, plaučiuose ir smegenėlėse. FDE5 tadalafilis veikia stipriau, negu kitas fosfodiesterazes. FDE5 tadalafilis veikia &gt; 10 000 kartų stipriau negu FDE1, FDE2 ir FDE4, t. y fermentus, kurių yra širdyje, smegenyse, kraujagyslėse, kepenyse ir kituose organuose. FDE5 tadalafilis veikia &gt; 10 000 kartų stipriau, negu FDE3, t.</w:t>
      </w:r>
      <w:r w:rsidR="00C63DF6" w:rsidRPr="009F10EE">
        <w:rPr>
          <w:rFonts w:ascii="Times New Roman" w:eastAsia="TimesNewRomanPSMT" w:hAnsi="Times New Roman" w:cs="Times New Roman"/>
          <w:lang w:eastAsia="ar-SA"/>
        </w:rPr>
        <w:t xml:space="preserve"> </w:t>
      </w:r>
      <w:r w:rsidRPr="009F10EE">
        <w:rPr>
          <w:rFonts w:ascii="Times New Roman" w:eastAsia="TimesNewRomanPSMT" w:hAnsi="Times New Roman" w:cs="Times New Roman"/>
          <w:lang w:eastAsia="ar-SA"/>
        </w:rPr>
        <w:t>y. fermentą, kurio yra širdyje ir kraujagyslėse. Kad FDE5 jis veikia stipriau negu FDE3, yra svarbu, nes FDE3 yra susijusi su širdies susitraukimu. Be to, FDE5 tadalafilis veikia maždaug 700 kartų stipriau, negu FDE6, t. y. fermentą, kurio yra tinklainėje ir kuris yra atsakingas už šviesos perdavimą. Taip pat FDE5 tadalafilis veikia &gt; 10 000 kartų stipriau, negu FDE7</w:t>
      </w:r>
      <w:r w:rsidRPr="009F10EE">
        <w:rPr>
          <w:rFonts w:ascii="Times New Roman" w:eastAsia="TimesNewRomanPSMT" w:hAnsi="Times New Roman" w:cs="Times New Roman"/>
          <w:lang w:eastAsia="ar-SA"/>
        </w:rPr>
        <w:noBreakHyphen/>
        <w:t>FDE10.</w:t>
      </w:r>
    </w:p>
    <w:p w14:paraId="5568D00B"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4EDEA0CF" w14:textId="338D22A3" w:rsidR="009F47FA" w:rsidRPr="009F47FA" w:rsidRDefault="008C4948" w:rsidP="009F47FA">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r w:rsidRPr="009F10EE">
        <w:rPr>
          <w:rFonts w:ascii="Times New Roman" w:eastAsia="TimesNewRomanPSMT" w:hAnsi="Times New Roman" w:cs="Times New Roman"/>
          <w:u w:val="single"/>
          <w:lang w:eastAsia="ar-SA"/>
        </w:rPr>
        <w:t>Klinikinis veiksmingumas ir saugumas</w:t>
      </w:r>
    </w:p>
    <w:p w14:paraId="37C74F2C" w14:textId="36CC41E0" w:rsidR="008C4948"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05130239" w14:textId="6B73556B" w:rsidR="008F2C4B" w:rsidRPr="009F10EE" w:rsidRDefault="008F2C4B" w:rsidP="008F2C4B">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Reakcijos į tadalafilį trukmė buvo nustatinėta trimis klinikiniais tyrimais, kuriuose dalyvavo 1 054 namuose esantys vyrai.</w:t>
      </w:r>
      <w:r w:rsidR="0091366A">
        <w:rPr>
          <w:rFonts w:ascii="Times New Roman" w:eastAsia="Times New Roman" w:hAnsi="Times New Roman" w:cs="Times New Roman"/>
          <w:lang w:eastAsia="lt-LT"/>
        </w:rPr>
        <w:t xml:space="preserve"> </w:t>
      </w:r>
      <w:r w:rsidRPr="009F10EE">
        <w:rPr>
          <w:rFonts w:ascii="Times New Roman" w:eastAsia="Times New Roman" w:hAnsi="Times New Roman" w:cs="Times New Roman"/>
          <w:lang w:eastAsia="lt-LT"/>
        </w:rPr>
        <w:t>Tadalafilis</w:t>
      </w:r>
      <w:r w:rsidR="0091366A">
        <w:rPr>
          <w:rFonts w:ascii="Times New Roman" w:eastAsia="Times New Roman" w:hAnsi="Times New Roman" w:cs="Times New Roman"/>
          <w:lang w:eastAsia="lt-LT"/>
        </w:rPr>
        <w:t xml:space="preserve">, palyginti su placebu, </w:t>
      </w:r>
      <w:r w:rsidRPr="009F10EE">
        <w:rPr>
          <w:rFonts w:ascii="Times New Roman" w:eastAsia="Times New Roman" w:hAnsi="Times New Roman" w:cs="Times New Roman"/>
          <w:lang w:eastAsia="lt-LT"/>
        </w:rPr>
        <w:t>36 valandoms po dozės pavartojimo statistiškai reikšmingai pagerino erekcijos funkciją ir gebėjimą atlikti sėkmingą lytinį aktą</w:t>
      </w:r>
      <w:r w:rsidR="0091366A">
        <w:rPr>
          <w:rFonts w:ascii="Times New Roman" w:eastAsia="Times New Roman" w:hAnsi="Times New Roman" w:cs="Times New Roman"/>
          <w:lang w:eastAsia="lt-LT"/>
        </w:rPr>
        <w:t>, o p</w:t>
      </w:r>
      <w:r w:rsidRPr="009F10EE">
        <w:rPr>
          <w:rFonts w:ascii="Times New Roman" w:eastAsia="Times New Roman" w:hAnsi="Times New Roman" w:cs="Times New Roman"/>
          <w:lang w:eastAsia="lt-LT"/>
        </w:rPr>
        <w:t>raėjus 16 minučių po dozės pavartojimo, pagerino gebėjimą sukelti ir palaikyti erekciją sėkmingam lytiniam aktui atlikti.</w:t>
      </w:r>
    </w:p>
    <w:p w14:paraId="55080691" w14:textId="77777777" w:rsidR="008F2C4B" w:rsidRPr="009F10EE" w:rsidRDefault="008F2C4B"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743523C6" w14:textId="03087713"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Sveikiems vyrams tadalafilis, palyginti su placebu, reikšmingo sistolinio ir diastolinio kraujospūdžio pokyčio gulint (vidutinis didžiausias sumažėjimas buvo atitinkamai 1,6 mmHg ir 0,8 mmHg) ar stovint (vidutinis didžiausias sumažėjimas buvo atitinkamai 0,2 mmHg ir 4,6 mmHg) nesukėlė ir širdies susitraukimų dažnio reikšmingai nekeitė.</w:t>
      </w:r>
    </w:p>
    <w:p w14:paraId="35AA4623"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051731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Tiriant tadalafilio poveikį regai, nenustatyta sutrikusio spalvų (mėlynos ir žalios) skyrimo naudojant </w:t>
      </w:r>
      <w:r w:rsidRPr="009F10EE">
        <w:rPr>
          <w:rFonts w:ascii="Times New Roman" w:eastAsia="Times New Roman" w:hAnsi="Times New Roman" w:cs="Times New Roman"/>
          <w:i/>
          <w:lang w:eastAsia="lt-LT"/>
        </w:rPr>
        <w:t>Farnsworth-Munsell 100-hue</w:t>
      </w:r>
      <w:r w:rsidRPr="009F10EE">
        <w:rPr>
          <w:rFonts w:ascii="Times New Roman" w:eastAsia="Times New Roman" w:hAnsi="Times New Roman" w:cs="Times New Roman"/>
          <w:lang w:eastAsia="lt-LT"/>
        </w:rPr>
        <w:t xml:space="preserve"> testą. Šie duomenys atitinka mažą tadalafilio afinitetą FDE6, palyginti su FDE5. Visų klinikinių tyrimų metu spalvinio regėjimo sutrikimo dažnis buvo retas (&lt; 0,1%).</w:t>
      </w:r>
    </w:p>
    <w:p w14:paraId="2FB868E2" w14:textId="77777777" w:rsidR="008C4948" w:rsidRPr="009F10EE" w:rsidRDefault="008C4948" w:rsidP="008C4948">
      <w:pPr>
        <w:keepNext/>
        <w:keepLines/>
        <w:tabs>
          <w:tab w:val="left" w:pos="567"/>
        </w:tabs>
        <w:spacing w:after="0" w:line="240" w:lineRule="auto"/>
        <w:rPr>
          <w:rFonts w:ascii="Times New Roman" w:eastAsia="Times New Roman" w:hAnsi="Times New Roman" w:cs="Times New Roman"/>
          <w:lang w:eastAsia="lt-LT"/>
        </w:rPr>
      </w:pPr>
    </w:p>
    <w:p w14:paraId="1E6C57A8" w14:textId="42A0E07C" w:rsidR="008C4948" w:rsidRPr="009F10EE" w:rsidRDefault="008C4948" w:rsidP="00B65F27">
      <w:pPr>
        <w:keepNext/>
        <w:keepLines/>
        <w:tabs>
          <w:tab w:val="left" w:pos="567"/>
        </w:tabs>
        <w:spacing w:after="0" w:line="240" w:lineRule="auto"/>
        <w:rPr>
          <w:rFonts w:ascii="Times New Roman" w:eastAsia="TimesNewRomanPSMT" w:hAnsi="Times New Roman" w:cs="Times New Roman"/>
          <w:i/>
          <w:u w:val="single"/>
          <w:lang w:eastAsia="ar-SA"/>
        </w:rPr>
      </w:pPr>
      <w:r w:rsidRPr="009F10EE">
        <w:rPr>
          <w:rFonts w:ascii="Times New Roman" w:eastAsia="Times New Roman" w:hAnsi="Times New Roman" w:cs="Times New Roman"/>
          <w:lang w:eastAsia="lt-LT"/>
        </w:rPr>
        <w:t xml:space="preserve">Buvo atlikti trys tyrimai, kurių metu nustatinėtas kasdien vartojamos tadalafilio 10 mg (tyrimas truko 6 mėn.) arba 20 mg (vienas tyrimas truko 6 mėn., kitas − 9 mėn.) dozės poveikis vyrų spermatogenezei. Dviejų iš šių tyrimų metu pasireiškė nuo tadalafilio vartojimo priklausomas spermos kiekio ir koncentracijos sumažėjimas, kurio klinikinė svarba nėra tikėtina. Su kitų parametrų, pvz., judrumo, morfologijos ar FSH kiekio, pokyčiais minėtas poveikis nebuvo susijęs. </w:t>
      </w:r>
    </w:p>
    <w:p w14:paraId="624DDACA" w14:textId="7219F1B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FCF63F4" w14:textId="77777777" w:rsidR="008C4948" w:rsidRPr="009F10EE" w:rsidRDefault="008C4948" w:rsidP="008C4948">
      <w:pPr>
        <w:tabs>
          <w:tab w:val="left" w:pos="567"/>
        </w:tabs>
        <w:autoSpaceDE w:val="0"/>
        <w:autoSpaceDN w:val="0"/>
        <w:adjustRightInd w:val="0"/>
        <w:spacing w:after="0" w:line="240" w:lineRule="auto"/>
        <w:rPr>
          <w:rFonts w:ascii="Times New Roman" w:eastAsia="SymbolMT" w:hAnsi="Times New Roman" w:cs="Times New Roman"/>
          <w:lang w:eastAsia="lt-LT"/>
        </w:rPr>
      </w:pPr>
      <w:r w:rsidRPr="009F10EE">
        <w:rPr>
          <w:rFonts w:ascii="Times New Roman" w:eastAsia="TimesNewRomanPSMT" w:hAnsi="Times New Roman" w:cs="Times New Roman"/>
          <w:lang w:eastAsia="lt-LT"/>
        </w:rPr>
        <w:t>Tadalafilio, vartojamo nuo 2 iki 100 mg dozėmis, veiksmingumas buvo vertintas 16 klinikinių tyrimų, kuriuose dalyvavo 3250 pacientų, įskaitant įvairaus amžiaus (21-82 metų) ir etninių grupių pacientus, kuriems buvo įvairaus sunkumo (lengvas, vidutinio sunkumo arba sunkus) ir įvairių priežasčių sukeltas erekcijos funkcijos sutrikimas. Dauguma pacientų erekcijos funkcijos sutrikimu skundėsi mažiausiai metus. Pirminio veiksmingumo tyrimų bendroje populiacijoje metu 81</w:t>
      </w:r>
      <w:r w:rsidRPr="009F10EE">
        <w:rPr>
          <w:rFonts w:ascii="Times New Roman" w:eastAsia="SymbolMT" w:hAnsi="Times New Roman" w:cs="Times New Roman"/>
          <w:lang w:eastAsia="lt-LT"/>
        </w:rPr>
        <w:t xml:space="preserve">% pacientų pranešė, kad tadalafilis pagerino erekcija, palyginti su </w:t>
      </w:r>
      <w:r w:rsidRPr="009F10EE">
        <w:rPr>
          <w:rFonts w:ascii="Times New Roman" w:eastAsia="TimesNewRomanPSMT" w:hAnsi="Times New Roman" w:cs="Times New Roman"/>
          <w:lang w:eastAsia="lt-LT"/>
        </w:rPr>
        <w:t>35</w:t>
      </w:r>
      <w:r w:rsidRPr="009F10EE">
        <w:rPr>
          <w:rFonts w:ascii="Times New Roman" w:eastAsia="SymbolMT" w:hAnsi="Times New Roman" w:cs="Times New Roman"/>
          <w:lang w:eastAsia="lt-LT"/>
        </w:rPr>
        <w:t>% pacientų, kurie vartojo placebo. Be to, pacientai, kuriems buvo visų sunkumo kategorijų erekcijos funkcijos sutrikimų, pranešė apie erekcijos pagerėjimą tadalafilio vartojimo metu (atitinkamai ,</w:t>
      </w:r>
      <w:r w:rsidRPr="009F10EE">
        <w:rPr>
          <w:rFonts w:ascii="Times New Roman" w:eastAsia="TimesNewRomanPSMT" w:hAnsi="Times New Roman" w:cs="Times New Roman"/>
          <w:lang w:eastAsia="lt-LT"/>
        </w:rPr>
        <w:t xml:space="preserve"> 86</w:t>
      </w:r>
      <w:r w:rsidRPr="009F10EE">
        <w:rPr>
          <w:rFonts w:ascii="Times New Roman" w:eastAsia="SymbolMT" w:hAnsi="Times New Roman" w:cs="Times New Roman"/>
          <w:lang w:eastAsia="lt-LT"/>
        </w:rPr>
        <w:t xml:space="preserve">%, </w:t>
      </w:r>
      <w:r w:rsidRPr="009F10EE">
        <w:rPr>
          <w:rFonts w:ascii="Times New Roman" w:eastAsia="TimesNewRomanPSMT" w:hAnsi="Times New Roman" w:cs="Times New Roman"/>
          <w:lang w:eastAsia="lt-LT"/>
        </w:rPr>
        <w:t>83</w:t>
      </w:r>
      <w:r w:rsidRPr="009F10EE">
        <w:rPr>
          <w:rFonts w:ascii="Times New Roman" w:eastAsia="SymbolMT" w:hAnsi="Times New Roman" w:cs="Times New Roman"/>
          <w:lang w:eastAsia="lt-LT"/>
        </w:rPr>
        <w:t xml:space="preserve">% ir 72% lengvo, vidutinio ir sunkaus sutrikimo atveju, palyginti su </w:t>
      </w:r>
      <w:r w:rsidRPr="009F10EE">
        <w:rPr>
          <w:rFonts w:ascii="Times New Roman" w:eastAsia="TimesNewRomanPSMT" w:hAnsi="Times New Roman" w:cs="Times New Roman"/>
          <w:lang w:eastAsia="lt-LT"/>
        </w:rPr>
        <w:t>45</w:t>
      </w:r>
      <w:r w:rsidRPr="009F10EE">
        <w:rPr>
          <w:rFonts w:ascii="Times New Roman" w:eastAsia="SymbolMT" w:hAnsi="Times New Roman" w:cs="Times New Roman"/>
          <w:lang w:eastAsia="lt-LT"/>
        </w:rPr>
        <w:t xml:space="preserve">%, </w:t>
      </w:r>
      <w:r w:rsidRPr="009F10EE">
        <w:rPr>
          <w:rFonts w:ascii="Times New Roman" w:eastAsia="TimesNewRomanPSMT" w:hAnsi="Times New Roman" w:cs="Times New Roman"/>
          <w:lang w:eastAsia="lt-LT"/>
        </w:rPr>
        <w:t>42</w:t>
      </w:r>
      <w:r w:rsidRPr="009F10EE">
        <w:rPr>
          <w:rFonts w:ascii="Times New Roman" w:eastAsia="SymbolMT" w:hAnsi="Times New Roman" w:cs="Times New Roman"/>
          <w:lang w:eastAsia="lt-LT"/>
        </w:rPr>
        <w:t>% ir 19% placebo vartojimo atveju). P</w:t>
      </w:r>
      <w:r w:rsidRPr="009F10EE">
        <w:rPr>
          <w:rFonts w:ascii="Times New Roman" w:eastAsia="TimesNewRomanPSMT" w:hAnsi="Times New Roman" w:cs="Times New Roman"/>
          <w:lang w:eastAsia="lt-LT"/>
        </w:rPr>
        <w:t>irminio veiksmingumo tyrimų duomenimis, tadalafiliu gydomiems pacientams 75</w:t>
      </w:r>
      <w:r w:rsidRPr="009F10EE">
        <w:rPr>
          <w:rFonts w:ascii="Times New Roman" w:eastAsia="SymbolMT" w:hAnsi="Times New Roman" w:cs="Times New Roman"/>
          <w:lang w:eastAsia="lt-LT"/>
        </w:rPr>
        <w:t xml:space="preserve">% mėginimų atlikti lytinį aktą buvo sėkmingi, palyginus su </w:t>
      </w:r>
      <w:r w:rsidRPr="009F10EE">
        <w:rPr>
          <w:rFonts w:ascii="Times New Roman" w:eastAsia="TimesNewRomanPSMT" w:hAnsi="Times New Roman" w:cs="Times New Roman"/>
          <w:lang w:eastAsia="lt-LT"/>
        </w:rPr>
        <w:t>35</w:t>
      </w:r>
      <w:r w:rsidRPr="009F10EE">
        <w:rPr>
          <w:rFonts w:ascii="Times New Roman" w:eastAsia="SymbolMT" w:hAnsi="Times New Roman" w:cs="Times New Roman"/>
          <w:lang w:eastAsia="lt-LT"/>
        </w:rPr>
        <w:t xml:space="preserve">% placebo grupėje. </w:t>
      </w:r>
    </w:p>
    <w:p w14:paraId="323A690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5DCD04C"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12 savaičių trukmės tyrime, kuriame dalyvavo 186 pacientai (142 vartojo tadalafilio, 44 – placebo), sergančių antrine nugaros smegenų pažeidimo sukelta erekcijos disfunkcija, tadalafilis reikšmingai </w:t>
      </w:r>
      <w:r w:rsidRPr="009F10EE">
        <w:rPr>
          <w:rFonts w:ascii="Times New Roman" w:eastAsia="Times New Roman" w:hAnsi="Times New Roman" w:cs="Times New Roman"/>
          <w:lang w:eastAsia="lt-LT"/>
        </w:rPr>
        <w:lastRenderedPageBreak/>
        <w:t>pagerino erekcijos funkciją: sėkmingai lytinį aktą atliko 48% pacientų, gydytų 10 mg arba 20 mg tadalafilio doze (dozuojant pasirinktinai pagal poreikį), palyginti su 17% vartojant placebo.</w:t>
      </w:r>
    </w:p>
    <w:p w14:paraId="032FAC69"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6F5DF7B" w14:textId="77777777" w:rsidR="008C4948" w:rsidRPr="009F10EE" w:rsidRDefault="008C4948" w:rsidP="008C4948">
      <w:pPr>
        <w:keepNext/>
        <w:keepLines/>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r w:rsidRPr="009F10EE">
        <w:rPr>
          <w:rFonts w:ascii="Times New Roman" w:eastAsia="TimesNewRomanPSMT" w:hAnsi="Times New Roman" w:cs="Times New Roman"/>
          <w:u w:val="single"/>
          <w:lang w:eastAsia="ar-SA"/>
        </w:rPr>
        <w:t>Vaikų populiacija</w:t>
      </w:r>
    </w:p>
    <w:p w14:paraId="318B5963"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49F1046E" w14:textId="77777777" w:rsidR="008C4948" w:rsidRPr="009F10EE" w:rsidRDefault="008C4948" w:rsidP="008C4948">
      <w:pPr>
        <w:tabs>
          <w:tab w:val="left" w:pos="567"/>
        </w:tabs>
        <w:spacing w:after="0" w:line="240" w:lineRule="auto"/>
        <w:rPr>
          <w:rFonts w:ascii="Times New Roman" w:hAnsi="Times New Roman" w:cs="Times New Roman"/>
        </w:rPr>
      </w:pPr>
      <w:r w:rsidRPr="009F10EE">
        <w:rPr>
          <w:rFonts w:ascii="Times New Roman" w:hAnsi="Times New Roman" w:cs="Times New Roman"/>
          <w:iCs/>
        </w:rPr>
        <w:t>Buvo atliktas vienas tyrimas su pacientais vaikais, sergančiais Diušeno raumenų distrofija (DMD), kurio metu veiksmingumo įrodymų gauta nebuvo. Atsitiktinės imties</w:t>
      </w:r>
      <w:r w:rsidRPr="009F10EE">
        <w:rPr>
          <w:rFonts w:ascii="Times New Roman" w:hAnsi="Times New Roman" w:cs="Times New Roman"/>
        </w:rPr>
        <w:t xml:space="preserve">, dvigubai aklame, placebu kontroliuojamame, lygiagrečiame, 3 atšakų tadalafilio tyrime dalyvavo 331 berniukas nuo 7 iki 14 metų amžiaus, sergantys DMD, kuriems tuo pat metu buvo taikomas gydymas kortikosteroidais. Tyrimą sudarė 48 savaičių dvigubai aklas laikotarpis, kurio metu atsitiktinės imties principu atrinkti pacientai kasdien vartojo 0,3 mg/kg tadalafilio, 0,6 mg/kg tadalafilio arba placebą. Nenustatytas tadalafilio veiksmingumas lėtinant funkcinės būklės prastėjimą, išmatuotą pagal pirminį 6 minučių ėjimo atstumą (6MWD) ribiniame taškę: mažiausių kvadratų (MK) vidutinis 6MWD pokytis po 48 savaičių buvo – 51,0 metras (m) placebo grupėje, lyginant su </w:t>
      </w:r>
      <w:r w:rsidRPr="009F10EE">
        <w:rPr>
          <w:rFonts w:ascii="Times New Roman" w:hAnsi="Times New Roman" w:cs="Times New Roman"/>
        </w:rPr>
        <w:noBreakHyphen/>
        <w:t xml:space="preserve">64,7 m tadalafilio 0,3 mg/kg grupe (p = 0,307) ir </w:t>
      </w:r>
      <w:r w:rsidRPr="009F10EE">
        <w:rPr>
          <w:rFonts w:ascii="Times New Roman" w:hAnsi="Times New Roman" w:cs="Times New Roman"/>
        </w:rPr>
        <w:noBreakHyphen/>
        <w:t>59,1 m tadalafilio 0,6 mg/kg grupėje (p = 0,538). Be to, nebuvo gauta jokių šio tyrimo metu atliktų antrinių tyrimų veiksmingumo įrodymų. Paprastai bendri šio tyrimo saugos rezultatai atitiko žinomas tadalafilio saugos charakteristikas ir nepageidaujamas reakcijas (NR), kurių tikimasi kortikosteroidus vartojančių vaikų, sergančių DMD, populiacijoje.</w:t>
      </w:r>
    </w:p>
    <w:p w14:paraId="3E43C528" w14:textId="77777777" w:rsidR="008C4948" w:rsidRPr="009F10EE" w:rsidRDefault="008C4948" w:rsidP="008C4948">
      <w:pPr>
        <w:keepNext/>
        <w:keepLines/>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48EF572A" w14:textId="77777777" w:rsidR="008C4948" w:rsidRPr="009F10EE" w:rsidRDefault="008C4948" w:rsidP="008C4948">
      <w:pPr>
        <w:keepNext/>
        <w:keepLines/>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r w:rsidRPr="009F10EE">
        <w:rPr>
          <w:rFonts w:ascii="Times New Roman" w:eastAsia="TimesNewRomanPSMT" w:hAnsi="Times New Roman" w:cs="Times New Roman"/>
          <w:lang w:eastAsia="ar-SA"/>
        </w:rPr>
        <w:t>Europos vaistų agentūra atleido nuo įpareigojimo pateikti erekcijos funkcijos sutrikimo gydymo tyrimų su visais vaikų populiacijos pogrupiais duomenis (vartojimo vaikams informacija pateikiama 4.2 skyriuje).</w:t>
      </w:r>
    </w:p>
    <w:p w14:paraId="20EFB29D"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26A3E809"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5.2</w:t>
      </w:r>
      <w:r w:rsidRPr="009F10EE">
        <w:rPr>
          <w:rFonts w:ascii="Times New Roman" w:eastAsia="Times New Roman" w:hAnsi="Times New Roman" w:cs="Times New Roman"/>
          <w:b/>
        </w:rPr>
        <w:tab/>
        <w:t>Farmakokinetinės savybės</w:t>
      </w:r>
    </w:p>
    <w:p w14:paraId="7909612E"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77E21F96"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Absorbcija</w:t>
      </w:r>
    </w:p>
    <w:p w14:paraId="38E2C3B1"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14:paraId="6E7A1D10"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Išgertas tadalafilis absorbuojamas lengvai, vidutinė didžiausia koncentracija (</w:t>
      </w:r>
      <w:r w:rsidRPr="009F10EE">
        <w:rPr>
          <w:rFonts w:ascii="Times New Roman" w:eastAsia="Times New Roman" w:hAnsi="Times New Roman" w:cs="Times New Roman"/>
          <w:iCs/>
          <w:lang w:eastAsia="lt-LT"/>
        </w:rPr>
        <w:t>C</w:t>
      </w:r>
      <w:r w:rsidRPr="009F10EE">
        <w:rPr>
          <w:rFonts w:ascii="Times New Roman" w:eastAsia="Times New Roman" w:hAnsi="Times New Roman" w:cs="Times New Roman"/>
          <w:iCs/>
          <w:vertAlign w:val="subscript"/>
          <w:lang w:eastAsia="lt-LT"/>
        </w:rPr>
        <w:t>max</w:t>
      </w:r>
      <w:r w:rsidRPr="009F10EE">
        <w:rPr>
          <w:rFonts w:ascii="Times New Roman" w:eastAsia="Times New Roman" w:hAnsi="Times New Roman" w:cs="Times New Roman"/>
          <w:lang w:eastAsia="lt-LT"/>
        </w:rPr>
        <w:t xml:space="preserve">) kraujo plazmoje atsiranda vidutiniškai po 2 val. </w:t>
      </w:r>
      <w:r w:rsidRPr="009F10EE">
        <w:rPr>
          <w:rFonts w:ascii="Times New Roman" w:eastAsia="TimesNewRomanPSMT" w:hAnsi="Times New Roman" w:cs="Times New Roman"/>
          <w:lang w:eastAsia="lt-LT"/>
        </w:rPr>
        <w:t xml:space="preserve">Vartojamo per burną tadalafilio </w:t>
      </w:r>
      <w:r w:rsidRPr="009F10EE">
        <w:rPr>
          <w:rFonts w:ascii="Times New Roman" w:eastAsia="Times New Roman" w:hAnsi="Times New Roman" w:cs="Times New Roman"/>
          <w:lang w:eastAsia="lt-LT"/>
        </w:rPr>
        <w:t>absoliutus biologinis prieinamumas nenustatytas.</w:t>
      </w:r>
    </w:p>
    <w:p w14:paraId="5DB9DEC1"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3EA37A57" w14:textId="0AA1AE2F"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Maistas tadalafilio ab</w:t>
      </w:r>
      <w:r w:rsidRPr="009F10EE">
        <w:rPr>
          <w:rFonts w:ascii="Times New Roman" w:eastAsia="TimesNewRomanPSMT" w:hAnsi="Times New Roman" w:cs="Times New Roman"/>
          <w:lang w:eastAsia="lt-LT"/>
        </w:rPr>
        <w:t xml:space="preserve">sorbcijos greičiui ir apimčiai įtakos nedaro, todėl </w:t>
      </w:r>
      <w:r w:rsidRPr="009F10EE">
        <w:rPr>
          <w:rFonts w:ascii="Times New Roman" w:eastAsia="Times New Roman" w:hAnsi="Times New Roman" w:cs="Times New Roman"/>
          <w:lang w:eastAsia="lt-LT"/>
        </w:rPr>
        <w:t xml:space="preserve">tadalafilio galima vartoti valgio metu arba nevalgius. Vartojimo laikas (ryte ar vakare) kliniškai reikšmingo poveikio absorbcijos </w:t>
      </w:r>
      <w:r w:rsidRPr="009F10EE">
        <w:rPr>
          <w:rFonts w:ascii="Times New Roman" w:eastAsia="TimesNewRomanPSMT" w:hAnsi="Times New Roman" w:cs="Times New Roman"/>
          <w:lang w:eastAsia="lt-LT"/>
        </w:rPr>
        <w:t>greičiui ir apimčiai nedaro.</w:t>
      </w:r>
    </w:p>
    <w:p w14:paraId="2099287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2EB2DE76"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Pasiskirstymas</w:t>
      </w:r>
    </w:p>
    <w:p w14:paraId="1F0D1E4D"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14:paraId="555023B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Vidutinis pasiskirstymo tūris yra ma</w:t>
      </w:r>
      <w:r w:rsidRPr="009F10EE">
        <w:rPr>
          <w:rFonts w:ascii="Times New Roman" w:eastAsia="Times New Roman" w:hAnsi="Times New Roman" w:cs="Times New Roman"/>
          <w:lang w:eastAsia="lt-LT"/>
        </w:rPr>
        <w:t>ždaug 63 l. Tai rodo, kad tadalafilis pasiskirsto audiniuose. Esant gydomajai koncentracijai</w:t>
      </w:r>
      <w:r w:rsidRPr="009F10EE">
        <w:rPr>
          <w:rFonts w:ascii="Times New Roman" w:eastAsia="TimesNewRomanPSMT" w:hAnsi="Times New Roman" w:cs="Times New Roman"/>
          <w:lang w:eastAsia="lt-LT"/>
        </w:rPr>
        <w:t>, 94% tadalafilio būna junginių su kraujo plazmos baltymais pavidalu. Inkstų funkcijos sutrikimas prisijungimui prie baltymų įtakos nedaro.</w:t>
      </w:r>
    </w:p>
    <w:p w14:paraId="7E7843E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Mažiau kaip 0,0005</w:t>
      </w:r>
      <w:r w:rsidRPr="009F10EE">
        <w:rPr>
          <w:rFonts w:ascii="Times New Roman" w:eastAsia="TimesNewRomanPSMT" w:hAnsi="Times New Roman" w:cs="Times New Roman"/>
          <w:lang w:eastAsia="lt-LT"/>
        </w:rPr>
        <w:t>% pavartotos dozės patenka į sveikų vyrų spermą.</w:t>
      </w:r>
    </w:p>
    <w:p w14:paraId="66D2F0BA"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56A05BB"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u w:val="single"/>
          <w:lang w:eastAsia="ar-SA"/>
        </w:rPr>
      </w:pPr>
      <w:r w:rsidRPr="009F10EE">
        <w:rPr>
          <w:rFonts w:ascii="Times New Roman" w:eastAsia="Times New Roman" w:hAnsi="Times New Roman" w:cs="Times New Roman"/>
          <w:u w:val="single"/>
          <w:lang w:eastAsia="ar-SA"/>
        </w:rPr>
        <w:t>Biotransformacija</w:t>
      </w:r>
    </w:p>
    <w:p w14:paraId="0F6AC1EF"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u w:val="single"/>
          <w:lang w:eastAsia="ar-SA"/>
        </w:rPr>
      </w:pPr>
    </w:p>
    <w:p w14:paraId="0D9EAFFD"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r w:rsidRPr="009F10EE">
        <w:rPr>
          <w:rFonts w:ascii="Times New Roman" w:eastAsia="Times New Roman" w:hAnsi="Times New Roman" w:cs="Times New Roman"/>
          <w:lang w:eastAsia="ar-SA"/>
        </w:rPr>
        <w:t>Daugiausia tadalafilis yra metabolizuojamas citochromo P 450 (CYP) 3A4 izofermentais.</w:t>
      </w:r>
    </w:p>
    <w:p w14:paraId="1BD23F4D"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NewRomanPSMT" w:hAnsi="Times New Roman" w:cs="Times New Roman"/>
          <w:lang w:eastAsia="ar-SA"/>
        </w:rPr>
        <w:t>Pagrindinis kraujyje aptinkamas metabolitas yra metilkatecholgliukuronidas. Šis meta</w:t>
      </w:r>
      <w:r w:rsidRPr="009F10EE">
        <w:rPr>
          <w:rFonts w:ascii="Times New Roman" w:eastAsia="Times New Roman" w:hAnsi="Times New Roman" w:cs="Times New Roman"/>
          <w:lang w:eastAsia="ar-SA"/>
        </w:rPr>
        <w:t xml:space="preserve">bolitas FDE5 </w:t>
      </w:r>
      <w:r w:rsidRPr="009F10EE">
        <w:rPr>
          <w:rFonts w:ascii="Times New Roman" w:eastAsia="Times New Roman" w:hAnsi="Times New Roman" w:cs="Times New Roman"/>
        </w:rPr>
        <w:t xml:space="preserve">veikia mažiausiai 13 </w:t>
      </w:r>
      <w:r w:rsidRPr="009F10EE">
        <w:rPr>
          <w:rFonts w:ascii="Times New Roman" w:eastAsia="TimesNewRomanPSMT" w:hAnsi="Times New Roman" w:cs="Times New Roman"/>
        </w:rPr>
        <w:t>000 kartų silpniau negu tadalafilis. Todėl manoma, kad atsirandanti metabolito</w:t>
      </w:r>
      <w:r w:rsidRPr="009F10EE">
        <w:rPr>
          <w:rFonts w:ascii="Times New Roman" w:eastAsia="Times New Roman" w:hAnsi="Times New Roman" w:cs="Times New Roman"/>
        </w:rPr>
        <w:t xml:space="preserve"> koncentracija klinikinio poveikio nesukelia.</w:t>
      </w:r>
    </w:p>
    <w:p w14:paraId="6BD31DE6"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1D2EF1D9"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Eliminacija</w:t>
      </w:r>
    </w:p>
    <w:p w14:paraId="2D00DDE3"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14:paraId="154D0EF5" w14:textId="77A3FFF0"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Sveikiems asmenims vidutinis išgerto tadalafilio klirensas, nusistovėjus pusiausvyrinei apykaitai, yra 2,5</w:t>
      </w:r>
      <w:r w:rsidR="009D4C1E">
        <w:rPr>
          <w:rFonts w:ascii="Times New Roman" w:eastAsia="TimesNewRomanPSMT" w:hAnsi="Times New Roman" w:cs="Times New Roman"/>
          <w:lang w:eastAsia="lt-LT"/>
        </w:rPr>
        <w:t> </w:t>
      </w:r>
      <w:r w:rsidRPr="009F10EE">
        <w:rPr>
          <w:rFonts w:ascii="Times New Roman" w:eastAsia="Times New Roman" w:hAnsi="Times New Roman" w:cs="Times New Roman"/>
          <w:lang w:eastAsia="lt-LT"/>
        </w:rPr>
        <w:t>l/val. ir viduti</w:t>
      </w:r>
      <w:r w:rsidRPr="009F10EE">
        <w:rPr>
          <w:rFonts w:ascii="Times New Roman" w:eastAsia="TimesNewRomanPSMT" w:hAnsi="Times New Roman" w:cs="Times New Roman"/>
          <w:lang w:eastAsia="lt-LT"/>
        </w:rPr>
        <w:t xml:space="preserve">nis pusinės </w:t>
      </w:r>
      <w:r w:rsidRPr="009F10EE">
        <w:rPr>
          <w:rFonts w:ascii="Times New Roman" w:eastAsia="Times New Roman" w:hAnsi="Times New Roman" w:cs="Times New Roman"/>
          <w:lang w:eastAsia="lt-LT"/>
        </w:rPr>
        <w:t xml:space="preserve">eliminacijos laikas – 17,5 </w:t>
      </w:r>
      <w:r w:rsidRPr="009F10EE">
        <w:rPr>
          <w:rFonts w:ascii="Times New Roman" w:eastAsia="TimesNewRomanPSMT" w:hAnsi="Times New Roman" w:cs="Times New Roman"/>
          <w:lang w:eastAsia="lt-LT"/>
        </w:rPr>
        <w:t xml:space="preserve">val. Daugiausiai tadalafilio šalinama neaktyvių </w:t>
      </w:r>
      <w:r w:rsidRPr="009F10EE">
        <w:rPr>
          <w:rFonts w:ascii="Times New Roman" w:eastAsia="TimesNewRomanPSMT" w:hAnsi="Times New Roman" w:cs="Times New Roman"/>
          <w:lang w:eastAsia="lt-LT"/>
        </w:rPr>
        <w:lastRenderedPageBreak/>
        <w:t>metabolitų pavidalu, daugiausiai su išmatomis (apie 61% dozės) ir mažesne apimtimi</w:t>
      </w:r>
      <w:r w:rsidRPr="009F10EE">
        <w:rPr>
          <w:rFonts w:ascii="Times New Roman" w:eastAsia="Times New Roman" w:hAnsi="Times New Roman" w:cs="Times New Roman"/>
          <w:lang w:eastAsia="lt-LT"/>
        </w:rPr>
        <w:t xml:space="preserve"> </w:t>
      </w:r>
      <w:r w:rsidRPr="009F10EE">
        <w:rPr>
          <w:rFonts w:ascii="Times New Roman" w:eastAsia="TimesNewRomanPSMT" w:hAnsi="Times New Roman" w:cs="Times New Roman"/>
          <w:lang w:eastAsia="lt-LT"/>
        </w:rPr>
        <w:t>su šlapimu (apie 36% dozės).</w:t>
      </w:r>
    </w:p>
    <w:p w14:paraId="4843770A"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F3A90A6"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Tiesinis / netiesinis pobūdis</w:t>
      </w:r>
    </w:p>
    <w:p w14:paraId="64CC1E3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05B05C7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Sveikų vyrų organizme tadalafilio farmakokinetika yra tiesinė, atsižvelgiant į laiką ir dozės dydį. Vartojant 2,5</w:t>
      </w:r>
      <w:r w:rsidRPr="009F10EE">
        <w:rPr>
          <w:rFonts w:ascii="Times New Roman" w:eastAsia="Times New Roman" w:hAnsi="Times New Roman" w:cs="Times New Roman"/>
          <w:lang w:eastAsia="lt-LT"/>
        </w:rPr>
        <w:noBreakHyphen/>
        <w:t>20 mg dozes, ekspozicija (AUC) didėja proporcingai dozei. Tadalafilio geriant vieną kartą per parą, pusiausvyrinė koncentracija plazmoje nusistovi per 5 paras.</w:t>
      </w:r>
    </w:p>
    <w:p w14:paraId="59D7AF9F"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42794CAA"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Pacientų, kuriems yra erekcijos funkcijos sutrikimas, organizme vaistinio preparato farmakokinetika yra tokia pat kaip vyrų, kuriems šio sutrikimo nėra, organizme. </w:t>
      </w:r>
    </w:p>
    <w:p w14:paraId="427EF0C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AE89030" w14:textId="77777777" w:rsidR="008C4948" w:rsidRPr="009F10EE" w:rsidRDefault="008C4948" w:rsidP="0068582E">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Ypatingos populiacijos</w:t>
      </w:r>
    </w:p>
    <w:p w14:paraId="66F03F40" w14:textId="77777777" w:rsidR="008C4948" w:rsidRPr="009F10EE" w:rsidRDefault="008C4948" w:rsidP="0068582E">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29B774D6" w14:textId="77777777" w:rsidR="008C4948" w:rsidRPr="009F10EE" w:rsidRDefault="008C4948" w:rsidP="0068582E">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Senyvi pacientai</w:t>
      </w:r>
    </w:p>
    <w:p w14:paraId="7E09EF82" w14:textId="77777777" w:rsidR="008C4948" w:rsidRPr="009F10EE" w:rsidRDefault="008C4948" w:rsidP="0068582E">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Sveikiems senyviems (65 metų ar vyresniems) vyrams išgerto tadalafilio klirensas yra mažesnis, todėl </w:t>
      </w:r>
      <w:r w:rsidRPr="009F10EE">
        <w:rPr>
          <w:rFonts w:ascii="Times New Roman" w:eastAsia="Times New Roman" w:hAnsi="Times New Roman" w:cs="Times New Roman"/>
          <w:lang w:eastAsia="lt-LT"/>
        </w:rPr>
        <w:t>ekspozicija (</w:t>
      </w:r>
      <w:r w:rsidRPr="009F10EE">
        <w:rPr>
          <w:rFonts w:ascii="Times New Roman" w:eastAsia="Times New Roman" w:hAnsi="Times New Roman" w:cs="Times New Roman"/>
          <w:i/>
          <w:iCs/>
          <w:lang w:eastAsia="lt-LT"/>
        </w:rPr>
        <w:t>AUC</w:t>
      </w:r>
      <w:r w:rsidRPr="009F10EE">
        <w:rPr>
          <w:rFonts w:ascii="Times New Roman" w:eastAsia="TimesNewRomanPSMT" w:hAnsi="Times New Roman" w:cs="Times New Roman"/>
          <w:lang w:eastAsia="lt-LT"/>
        </w:rPr>
        <w:t>) yra 25 % didesnė, negu sveikiems 19</w:t>
      </w:r>
      <w:r w:rsidRPr="009F10EE">
        <w:rPr>
          <w:rFonts w:ascii="Times New Roman" w:eastAsia="Times New Roman" w:hAnsi="Times New Roman" w:cs="Times New Roman"/>
          <w:lang w:eastAsia="lt-LT"/>
        </w:rPr>
        <w:t xml:space="preserve">-45 </w:t>
      </w:r>
      <w:r w:rsidRPr="009F10EE">
        <w:rPr>
          <w:rFonts w:ascii="Times New Roman" w:eastAsia="TimesNewRomanPSMT" w:hAnsi="Times New Roman" w:cs="Times New Roman"/>
          <w:lang w:eastAsia="lt-LT"/>
        </w:rPr>
        <w:t>metų vyrams. Tokia amžiaus įtaka nėra kliniškai reikšminga, todėl dozės koreguoti nereikia.</w:t>
      </w:r>
    </w:p>
    <w:p w14:paraId="5E36502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4ADC0CE" w14:textId="77777777" w:rsidR="008C4948" w:rsidRPr="009F10EE" w:rsidRDefault="008C4948" w:rsidP="008C4948">
      <w:pPr>
        <w:keepNext/>
        <w:keepLines/>
        <w:tabs>
          <w:tab w:val="left" w:pos="567"/>
        </w:tabs>
        <w:spacing w:after="0" w:line="240" w:lineRule="auto"/>
        <w:rPr>
          <w:rFonts w:ascii="Times New Roman" w:eastAsia="Times New Roman" w:hAnsi="Times New Roman" w:cs="Times New Roman"/>
          <w:i/>
          <w:lang w:eastAsia="lt-LT"/>
        </w:rPr>
      </w:pPr>
      <w:r w:rsidRPr="009F10EE">
        <w:rPr>
          <w:rFonts w:ascii="Times New Roman" w:eastAsia="Times New Roman" w:hAnsi="Times New Roman" w:cs="Times New Roman"/>
          <w:i/>
          <w:lang w:eastAsia="lt-LT"/>
        </w:rPr>
        <w:t>Sutrikusi inkstų funkcija</w:t>
      </w:r>
    </w:p>
    <w:p w14:paraId="78CA9A77" w14:textId="77777777" w:rsidR="008C4948" w:rsidRPr="009F10EE" w:rsidRDefault="008C4948" w:rsidP="008C4948">
      <w:pPr>
        <w:keepNext/>
        <w:keepLines/>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Klinikinės farmakologijos tyrimų metu vyrų, kuriems buvo nesunkus (kreatinino klirensas 51</w:t>
      </w:r>
      <w:r w:rsidRPr="009F10EE">
        <w:rPr>
          <w:rFonts w:ascii="Times New Roman" w:eastAsia="Times New Roman" w:hAnsi="Times New Roman" w:cs="Times New Roman"/>
          <w:lang w:eastAsia="lt-LT"/>
        </w:rPr>
        <w:noBreakHyphen/>
        <w:t>80 ml/min.) arba vidutinio sunkumo (kreatinino klirensas 31</w:t>
      </w:r>
      <w:r w:rsidRPr="009F10EE">
        <w:rPr>
          <w:rFonts w:ascii="Times New Roman" w:eastAsia="Times New Roman" w:hAnsi="Times New Roman" w:cs="Times New Roman"/>
          <w:lang w:eastAsia="lt-LT"/>
        </w:rPr>
        <w:noBreakHyphen/>
        <w:t>50 ml/min.) inkstų funkcijos sutrikimas, ir dializėmis gydomų vyrų, kuriems buvo galutinė inkstų ligos stadija, organizme vienkartinės 5-20 mg tadalafilio dozės ekspozicija (AUC) buvo maždaug du kartus didesnė negu sveikų vyrų organizme. Hemodializėmis gydomų pacientų organizme C</w:t>
      </w:r>
      <w:r w:rsidRPr="009F10EE">
        <w:rPr>
          <w:rFonts w:ascii="Times New Roman" w:eastAsia="Times New Roman" w:hAnsi="Times New Roman" w:cs="Times New Roman"/>
          <w:vertAlign w:val="subscript"/>
          <w:lang w:eastAsia="lt-LT"/>
        </w:rPr>
        <w:t>max</w:t>
      </w:r>
      <w:r w:rsidRPr="009F10EE">
        <w:rPr>
          <w:rFonts w:ascii="Times New Roman" w:eastAsia="Times New Roman" w:hAnsi="Times New Roman" w:cs="Times New Roman"/>
          <w:lang w:eastAsia="lt-LT"/>
        </w:rPr>
        <w:t xml:space="preserve"> buvo 41% didesnė negu sveikų vyrų organizme. Hemodializės įtaka tadalafilio eliminacijai yra nereikšminga. </w:t>
      </w:r>
    </w:p>
    <w:p w14:paraId="0F94BC3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8049278" w14:textId="77777777" w:rsidR="008C4948" w:rsidRPr="009F10EE" w:rsidRDefault="008C4948" w:rsidP="008C4948">
      <w:pPr>
        <w:tabs>
          <w:tab w:val="left" w:pos="567"/>
        </w:tabs>
        <w:spacing w:after="0" w:line="240" w:lineRule="auto"/>
        <w:rPr>
          <w:rFonts w:ascii="Times New Roman" w:eastAsia="Times New Roman" w:hAnsi="Times New Roman" w:cs="Times New Roman"/>
          <w:i/>
          <w:lang w:eastAsia="lt-LT"/>
        </w:rPr>
      </w:pPr>
      <w:r w:rsidRPr="009F10EE">
        <w:rPr>
          <w:rFonts w:ascii="Times New Roman" w:eastAsia="Times New Roman" w:hAnsi="Times New Roman" w:cs="Times New Roman"/>
          <w:i/>
          <w:lang w:eastAsia="lt-LT"/>
        </w:rPr>
        <w:t>Sutrikusi kepenų funkcija</w:t>
      </w:r>
    </w:p>
    <w:p w14:paraId="4273EA4C" w14:textId="0FE34D31" w:rsidR="008C4948" w:rsidRPr="009F10EE" w:rsidRDefault="008C4948" w:rsidP="00AB4521">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10 mg tadalafilio dozės ekspozicija (AUC) pacientų, kuriems yra nesunkus ar vidutinio sunkumo kepenų funkcijos sutrikimas (</w:t>
      </w:r>
      <w:r w:rsidRPr="009F10EE">
        <w:rPr>
          <w:rFonts w:ascii="Times New Roman" w:hAnsi="Times New Roman" w:cs="Times New Roman"/>
        </w:rPr>
        <w:t>Child-Pugh</w:t>
      </w:r>
      <w:r w:rsidRPr="009F10EE">
        <w:rPr>
          <w:rFonts w:ascii="Times New Roman" w:eastAsia="Times New Roman" w:hAnsi="Times New Roman" w:cs="Times New Roman"/>
          <w:lang w:eastAsia="lt-LT"/>
        </w:rPr>
        <w:t xml:space="preserve"> klasė A arba B), organizme yra panaši į ekspoziciją sveikų vyrų organizme. Klinikinių duomenų apie tadalafilio saugumą pacientams, kuriems yra sunkus kepenų nepakankamumas (</w:t>
      </w:r>
      <w:r w:rsidRPr="009F10EE">
        <w:rPr>
          <w:rFonts w:ascii="Times New Roman" w:hAnsi="Times New Roman" w:cs="Times New Roman"/>
        </w:rPr>
        <w:t>Child-Pugh</w:t>
      </w:r>
      <w:r w:rsidRPr="009F10EE">
        <w:rPr>
          <w:rFonts w:ascii="Times New Roman" w:eastAsia="Times New Roman" w:hAnsi="Times New Roman" w:cs="Times New Roman"/>
          <w:lang w:eastAsia="lt-LT"/>
        </w:rPr>
        <w:t xml:space="preserve"> klasė C), yra nedaug. Prieš skirdamas </w:t>
      </w:r>
      <w:r w:rsidR="0091366A">
        <w:rPr>
          <w:rFonts w:ascii="Times New Roman" w:eastAsia="Times New Roman" w:hAnsi="Times New Roman" w:cs="Times New Roman"/>
          <w:lang w:eastAsia="lt-LT"/>
        </w:rPr>
        <w:t xml:space="preserve">vartoti </w:t>
      </w:r>
      <w:r w:rsidR="009D4C1E">
        <w:rPr>
          <w:rFonts w:ascii="Times New Roman" w:eastAsia="Times New Roman" w:hAnsi="Times New Roman" w:cs="Times New Roman"/>
          <w:lang w:eastAsia="lt-LT"/>
        </w:rPr>
        <w:t>Tadalafil Accord</w:t>
      </w:r>
      <w:r w:rsidRPr="009F10EE">
        <w:rPr>
          <w:rFonts w:ascii="Times New Roman" w:eastAsia="Times New Roman" w:hAnsi="Times New Roman" w:cs="Times New Roman"/>
          <w:lang w:eastAsia="lt-LT"/>
        </w:rPr>
        <w:t>, gydytojas turi atidžiai nustatyti tokio gydymo naudos ir rizikos santykį.</w:t>
      </w:r>
      <w:r w:rsidR="00627886">
        <w:rPr>
          <w:rFonts w:ascii="Times New Roman" w:eastAsia="Times New Roman" w:hAnsi="Times New Roman" w:cs="Times New Roman"/>
          <w:lang w:eastAsia="lt-LT"/>
        </w:rPr>
        <w:t xml:space="preserve"> </w:t>
      </w:r>
      <w:r w:rsidR="00627886" w:rsidRPr="009F10EE">
        <w:rPr>
          <w:rFonts w:ascii="Times New Roman" w:eastAsia="Times New Roman" w:hAnsi="Times New Roman" w:cs="Times New Roman"/>
          <w:lang w:eastAsia="lt-LT"/>
        </w:rPr>
        <w:t xml:space="preserve">Duomenų apie kasdieninį </w:t>
      </w:r>
      <w:r w:rsidR="00627886">
        <w:rPr>
          <w:rFonts w:ascii="Times New Roman" w:eastAsia="Times New Roman" w:hAnsi="Times New Roman" w:cs="Times New Roman"/>
          <w:lang w:eastAsia="lt-LT"/>
        </w:rPr>
        <w:t xml:space="preserve">didesnės nei </w:t>
      </w:r>
      <w:r w:rsidR="00627886" w:rsidRPr="007D3ACB">
        <w:rPr>
          <w:rFonts w:ascii="Times New Roman" w:eastAsia="Times New Roman" w:hAnsi="Times New Roman" w:cs="Times New Roman"/>
          <w:lang w:eastAsia="lt-LT"/>
        </w:rPr>
        <w:t>10 mg</w:t>
      </w:r>
      <w:r w:rsidR="00627886" w:rsidRPr="009F10EE">
        <w:rPr>
          <w:rFonts w:ascii="Times New Roman" w:eastAsia="Times New Roman" w:hAnsi="Times New Roman" w:cs="Times New Roman"/>
          <w:lang w:eastAsia="lt-LT"/>
        </w:rPr>
        <w:t xml:space="preserve"> tadalafilio dozės vartojimą pacientams, kurių kepenų funkcija sutrikusi</w:t>
      </w:r>
      <w:r w:rsidR="009D4C1E">
        <w:rPr>
          <w:rFonts w:ascii="Times New Roman" w:eastAsia="Times New Roman" w:hAnsi="Times New Roman" w:cs="Times New Roman"/>
          <w:lang w:eastAsia="lt-LT"/>
        </w:rPr>
        <w:t>,</w:t>
      </w:r>
      <w:r w:rsidR="00627886" w:rsidRPr="009F10EE">
        <w:rPr>
          <w:rFonts w:ascii="Times New Roman" w:eastAsia="Times New Roman" w:hAnsi="Times New Roman" w:cs="Times New Roman"/>
          <w:lang w:eastAsia="lt-LT"/>
        </w:rPr>
        <w:t xml:space="preserve"> nėra.</w:t>
      </w:r>
    </w:p>
    <w:p w14:paraId="73F0443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376E82C"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Cukriniu diabetu sergantys pacientai</w:t>
      </w:r>
    </w:p>
    <w:p w14:paraId="63B5BE5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Tadalafilio ekspozicija </w:t>
      </w:r>
      <w:r w:rsidRPr="009F10EE">
        <w:rPr>
          <w:rFonts w:ascii="Times New Roman" w:eastAsia="TimesNewRomanPSMT" w:hAnsi="Times New Roman" w:cs="Times New Roman"/>
          <w:i/>
          <w:lang w:eastAsia="lt-LT"/>
        </w:rPr>
        <w:t>(AUC)</w:t>
      </w:r>
      <w:r w:rsidRPr="009F10EE">
        <w:rPr>
          <w:rFonts w:ascii="Times New Roman" w:eastAsia="TimesNewRomanPSMT" w:hAnsi="Times New Roman" w:cs="Times New Roman"/>
          <w:lang w:eastAsia="lt-LT"/>
        </w:rPr>
        <w:t xml:space="preserve"> cukriniu diabetu sergantiems pacientams</w:t>
      </w:r>
      <w:r w:rsidRPr="009F10EE">
        <w:rPr>
          <w:rFonts w:ascii="Times New Roman" w:eastAsia="Times New Roman" w:hAnsi="Times New Roman" w:cs="Times New Roman"/>
          <w:lang w:eastAsia="lt-LT"/>
        </w:rPr>
        <w:t xml:space="preserve"> yra 19</w:t>
      </w:r>
      <w:r w:rsidRPr="009F10EE">
        <w:rPr>
          <w:rFonts w:ascii="Times New Roman" w:eastAsia="TimesNewRomanPSMT" w:hAnsi="Times New Roman" w:cs="Times New Roman"/>
          <w:lang w:eastAsia="lt-LT"/>
        </w:rPr>
        <w:t xml:space="preserve">% mažesnė, negu </w:t>
      </w:r>
      <w:r w:rsidRPr="009F10EE">
        <w:rPr>
          <w:rFonts w:ascii="Times New Roman" w:eastAsia="TimesNewRomanPSMT" w:hAnsi="Times New Roman" w:cs="Times New Roman"/>
          <w:i/>
          <w:lang w:eastAsia="lt-LT"/>
        </w:rPr>
        <w:t>AUC</w:t>
      </w:r>
      <w:r w:rsidRPr="009F10EE">
        <w:rPr>
          <w:rFonts w:ascii="Times New Roman" w:eastAsia="TimesNewRomanPSMT" w:hAnsi="Times New Roman" w:cs="Times New Roman"/>
          <w:lang w:eastAsia="lt-LT"/>
        </w:rPr>
        <w:t xml:space="preserve"> reikšmė sveikiems asmenims. Dėl tokio ekspozicijos skirtumo dozės koreguoti nereikia.</w:t>
      </w:r>
    </w:p>
    <w:p w14:paraId="4E531D9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5A20BF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BoldMT" w:hAnsi="Times New Roman" w:cs="Times New Roman"/>
          <w:b/>
          <w:bCs/>
          <w:lang w:eastAsia="lt-LT"/>
        </w:rPr>
      </w:pPr>
      <w:r w:rsidRPr="009F10EE">
        <w:rPr>
          <w:rFonts w:ascii="Times New Roman" w:eastAsia="Times New Roman" w:hAnsi="Times New Roman" w:cs="Times New Roman"/>
          <w:b/>
          <w:bCs/>
          <w:lang w:eastAsia="lt-LT"/>
        </w:rPr>
        <w:t>5.3</w:t>
      </w:r>
      <w:r w:rsidRPr="009F10EE">
        <w:rPr>
          <w:rFonts w:ascii="Times New Roman" w:eastAsia="Times New Roman" w:hAnsi="Times New Roman" w:cs="Times New Roman"/>
          <w:b/>
          <w:bCs/>
          <w:lang w:eastAsia="lt-LT"/>
        </w:rPr>
        <w:tab/>
      </w:r>
      <w:r w:rsidRPr="009F10EE">
        <w:rPr>
          <w:rFonts w:ascii="Times New Roman" w:eastAsia="TimesNewRomanPS-BoldMT" w:hAnsi="Times New Roman" w:cs="Times New Roman"/>
          <w:b/>
          <w:bCs/>
          <w:lang w:eastAsia="lt-LT"/>
        </w:rPr>
        <w:t>Ikiklinikinių saugumo tyrimų duomenys</w:t>
      </w:r>
    </w:p>
    <w:p w14:paraId="14B280E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F07631A"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Įprastų farmakologinio saugumo, kartotinių dozių toksiškumo, genotoksiškumo, galimo kancerogeniškumo ir toksinio poveikio reprodukcijai ikiklinikinių tyrimų duomenys specifinio pavojaus žmogui nerodo.</w:t>
      </w:r>
    </w:p>
    <w:p w14:paraId="79719FBA"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Žiurkėms ir pelėms, vartojusioms ne didesnes kaip 1 </w:t>
      </w:r>
      <w:r w:rsidRPr="009F10EE">
        <w:rPr>
          <w:rFonts w:ascii="Times New Roman" w:eastAsia="Times New Roman" w:hAnsi="Times New Roman" w:cs="Times New Roman"/>
          <w:lang w:eastAsia="lt-LT"/>
        </w:rPr>
        <w:t xml:space="preserve">000 mg/kg </w:t>
      </w:r>
      <w:r w:rsidRPr="009F10EE">
        <w:rPr>
          <w:rFonts w:ascii="Times New Roman" w:eastAsia="TimesNewRomanPSMT" w:hAnsi="Times New Roman" w:cs="Times New Roman"/>
          <w:lang w:eastAsia="lt-LT"/>
        </w:rPr>
        <w:t xml:space="preserve">kūno svorio tadalafilio paros dozes, teratogeninis, embriotoksinis ar toksinis poveikis vaisiui nepasireiškė. Žiurkių vystymosi prenataliniu ir postnataliniu laikotarpiu tyrimo metu toksinio poveikio nesukelianti paros dozė buvo 30 mg/kg kūno svorio. Nuo minėtų dozių vaikingoms žiurkėms </w:t>
      </w:r>
      <w:r w:rsidRPr="009F10EE">
        <w:rPr>
          <w:rFonts w:ascii="Times New Roman" w:eastAsia="Times New Roman" w:hAnsi="Times New Roman" w:cs="Times New Roman"/>
          <w:i/>
          <w:iCs/>
          <w:lang w:eastAsia="lt-LT"/>
        </w:rPr>
        <w:t>AUC</w:t>
      </w:r>
      <w:r w:rsidRPr="009F10EE">
        <w:rPr>
          <w:rFonts w:ascii="Times New Roman" w:eastAsia="TimesNewRomanPSMT" w:hAnsi="Times New Roman" w:cs="Times New Roman"/>
          <w:lang w:eastAsia="lt-LT"/>
        </w:rPr>
        <w:t>, apskaičiuotas atsižvelgiant į laisvo</w:t>
      </w:r>
      <w:r w:rsidRPr="009F10EE">
        <w:rPr>
          <w:rFonts w:ascii="Times New Roman" w:eastAsia="Times New Roman" w:hAnsi="Times New Roman" w:cs="Times New Roman"/>
          <w:lang w:eastAsia="lt-LT"/>
        </w:rPr>
        <w:t>s veikliosios medžiagos koncentrac</w:t>
      </w:r>
      <w:r w:rsidRPr="009F10EE">
        <w:rPr>
          <w:rFonts w:ascii="Times New Roman" w:eastAsia="TimesNewRomanPSMT" w:hAnsi="Times New Roman" w:cs="Times New Roman"/>
          <w:lang w:eastAsia="lt-LT"/>
        </w:rPr>
        <w:t>iją</w:t>
      </w:r>
      <w:r w:rsidRPr="009F10EE">
        <w:rPr>
          <w:rFonts w:ascii="Times New Roman" w:eastAsia="Times New Roman" w:hAnsi="Times New Roman" w:cs="Times New Roman"/>
          <w:lang w:eastAsia="lt-LT"/>
        </w:rPr>
        <w:t xml:space="preserve">, buvo maždaug 18 </w:t>
      </w:r>
      <w:r w:rsidRPr="009F10EE">
        <w:rPr>
          <w:rFonts w:ascii="Times New Roman" w:eastAsia="TimesNewRomanPSMT" w:hAnsi="Times New Roman" w:cs="Times New Roman"/>
          <w:lang w:eastAsia="lt-LT"/>
        </w:rPr>
        <w:t xml:space="preserve">kartų didesnis, nei </w:t>
      </w:r>
      <w:r w:rsidRPr="009F10EE">
        <w:rPr>
          <w:rFonts w:ascii="Times New Roman" w:eastAsia="Times New Roman" w:hAnsi="Times New Roman" w:cs="Times New Roman"/>
          <w:lang w:eastAsia="lt-LT"/>
        </w:rPr>
        <w:t>20 mg</w:t>
      </w:r>
      <w:r w:rsidRPr="009F10EE">
        <w:rPr>
          <w:rFonts w:ascii="Times New Roman" w:eastAsia="TimesNewRomanPSMT" w:hAnsi="Times New Roman" w:cs="Times New Roman"/>
          <w:lang w:eastAsia="lt-LT"/>
        </w:rPr>
        <w:t xml:space="preserve"> dozę vartojančiam žmogui.</w:t>
      </w:r>
    </w:p>
    <w:p w14:paraId="1709A71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Žiurkių patinų ir patelių vaisingumo tadalafilis netrikdė. Šunims, 6</w:t>
      </w:r>
      <w:r w:rsidRPr="009F10EE">
        <w:rPr>
          <w:rFonts w:ascii="Times New Roman" w:eastAsia="Times New Roman" w:hAnsi="Times New Roman" w:cs="Times New Roman"/>
          <w:lang w:eastAsia="lt-LT"/>
        </w:rPr>
        <w:t>-</w:t>
      </w:r>
      <w:r w:rsidRPr="009F10EE">
        <w:rPr>
          <w:rFonts w:ascii="Times New Roman" w:eastAsia="TimesNewRomanPSMT" w:hAnsi="Times New Roman" w:cs="Times New Roman"/>
          <w:lang w:eastAsia="lt-LT"/>
        </w:rPr>
        <w:t xml:space="preserve">12 mėn. vartojusiems </w:t>
      </w:r>
      <w:r w:rsidRPr="009F10EE">
        <w:rPr>
          <w:rFonts w:ascii="Times New Roman" w:eastAsia="Times New Roman" w:hAnsi="Times New Roman" w:cs="Times New Roman"/>
          <w:lang w:eastAsia="lt-LT"/>
        </w:rPr>
        <w:t>25 mg</w:t>
      </w:r>
      <w:r w:rsidRPr="009F10EE">
        <w:rPr>
          <w:rFonts w:ascii="Times New Roman" w:eastAsia="TimesNewRomanPSMT" w:hAnsi="Times New Roman" w:cs="Times New Roman"/>
          <w:lang w:eastAsia="lt-LT"/>
        </w:rPr>
        <w:t xml:space="preserve">/kg kūno svorio (nuo jos gyvūnams ekspozicija buvo mažiausiai 3 kartus </w:t>
      </w:r>
      <w:r w:rsidRPr="009F10EE">
        <w:rPr>
          <w:rFonts w:ascii="Times New Roman" w:eastAsia="Times New Roman" w:hAnsi="Times New Roman" w:cs="Times New Roman"/>
          <w:lang w:eastAsia="lt-LT"/>
        </w:rPr>
        <w:t xml:space="preserve">(nuo 3,7 iki </w:t>
      </w:r>
      <w:r w:rsidRPr="009F10EE">
        <w:rPr>
          <w:rFonts w:ascii="Times New Roman" w:eastAsia="TimesNewRomanPSMT" w:hAnsi="Times New Roman" w:cs="Times New Roman"/>
          <w:lang w:eastAsia="lt-LT"/>
        </w:rPr>
        <w:t xml:space="preserve">18,6) didesnė negu vienkartinę 20 mg dozę išgėrusiems žmonėms) ar didesnę tadalafilio paros dozę, atsirado sėklinių </w:t>
      </w:r>
      <w:r w:rsidRPr="009F10EE">
        <w:rPr>
          <w:rFonts w:ascii="Times New Roman" w:eastAsia="TimesNewRomanPSMT" w:hAnsi="Times New Roman" w:cs="Times New Roman"/>
          <w:lang w:eastAsia="lt-LT"/>
        </w:rPr>
        <w:lastRenderedPageBreak/>
        <w:t>kanalėlių spermatogeninio epitelio regresija, dėl kurios kai kuriems šunims sumažėjo spermatogenezė. Taip pat žr. 5.1 skyrių.</w:t>
      </w:r>
    </w:p>
    <w:p w14:paraId="685D102C"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554265DD"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F4AAF1E" w14:textId="77777777" w:rsidR="008C4948" w:rsidRPr="009F10EE" w:rsidRDefault="008C4948" w:rsidP="008C4948">
      <w:pPr>
        <w:keepNext/>
        <w:tabs>
          <w:tab w:val="left" w:pos="567"/>
        </w:tabs>
        <w:spacing w:after="0" w:line="240" w:lineRule="auto"/>
        <w:outlineLvl w:val="2"/>
        <w:rPr>
          <w:rFonts w:ascii="Times New Roman" w:eastAsia="Times New Roman" w:hAnsi="Times New Roman" w:cs="Times New Roman"/>
          <w:b/>
          <w:bCs/>
        </w:rPr>
      </w:pPr>
      <w:r w:rsidRPr="009F10EE">
        <w:rPr>
          <w:rFonts w:ascii="Times New Roman" w:eastAsia="Times New Roman" w:hAnsi="Times New Roman" w:cs="Times New Roman"/>
          <w:b/>
          <w:bCs/>
        </w:rPr>
        <w:t>6.</w:t>
      </w:r>
      <w:r w:rsidRPr="009F10EE">
        <w:rPr>
          <w:rFonts w:ascii="Times New Roman" w:eastAsia="Times New Roman" w:hAnsi="Times New Roman" w:cs="Times New Roman"/>
          <w:b/>
          <w:bCs/>
        </w:rPr>
        <w:tab/>
        <w:t>FARMACINĖ INFORMACIJA</w:t>
      </w:r>
    </w:p>
    <w:p w14:paraId="1F2CF7F4"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1B310E68" w14:textId="77777777" w:rsidR="008C4948" w:rsidRPr="009F10EE" w:rsidRDefault="008C4948" w:rsidP="008C4948">
      <w:pPr>
        <w:keepNext/>
        <w:tabs>
          <w:tab w:val="left" w:pos="567"/>
        </w:tabs>
        <w:spacing w:after="0" w:line="240" w:lineRule="auto"/>
        <w:jc w:val="both"/>
        <w:outlineLvl w:val="3"/>
        <w:rPr>
          <w:rFonts w:ascii="Times New Roman" w:eastAsia="Times New Roman" w:hAnsi="Times New Roman" w:cs="Times New Roman"/>
          <w:b/>
        </w:rPr>
      </w:pPr>
      <w:r w:rsidRPr="009F10EE">
        <w:rPr>
          <w:rFonts w:ascii="Times New Roman" w:eastAsia="Times New Roman" w:hAnsi="Times New Roman" w:cs="Times New Roman"/>
          <w:b/>
        </w:rPr>
        <w:t>6.1</w:t>
      </w:r>
      <w:r w:rsidRPr="009F10EE">
        <w:rPr>
          <w:rFonts w:ascii="Times New Roman" w:eastAsia="Times New Roman" w:hAnsi="Times New Roman" w:cs="Times New Roman"/>
          <w:b/>
        </w:rPr>
        <w:tab/>
        <w:t>Pagalbinių medžiagų sąrašas</w:t>
      </w:r>
    </w:p>
    <w:p w14:paraId="44025930"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29246320" w14:textId="77777777" w:rsidR="008C4948" w:rsidRPr="009F10EE" w:rsidRDefault="008C4948" w:rsidP="008C4948">
      <w:pPr>
        <w:tabs>
          <w:tab w:val="left" w:pos="567"/>
        </w:tabs>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Tabletės šerdis</w:t>
      </w:r>
    </w:p>
    <w:p w14:paraId="73FB908C"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Laktozė monohidratas</w:t>
      </w:r>
    </w:p>
    <w:p w14:paraId="14E54778"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Kroskarmeliozės natrio druska</w:t>
      </w:r>
    </w:p>
    <w:p w14:paraId="3AF37CC4"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Hipromeliozė </w:t>
      </w:r>
    </w:p>
    <w:p w14:paraId="2A06518F"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Mikrokristalinė celiuliozė</w:t>
      </w:r>
    </w:p>
    <w:p w14:paraId="4F73931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Sorbitano stearatas</w:t>
      </w:r>
    </w:p>
    <w:p w14:paraId="1FDDF541"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Magnio stearatas</w:t>
      </w:r>
    </w:p>
    <w:p w14:paraId="21167EAE"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706984C" w14:textId="77777777" w:rsidR="008C4948" w:rsidRPr="009F10EE" w:rsidRDefault="008C4948" w:rsidP="008C4948">
      <w:pPr>
        <w:tabs>
          <w:tab w:val="left" w:pos="567"/>
        </w:tabs>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Tabletės plėvelė</w:t>
      </w:r>
    </w:p>
    <w:p w14:paraId="530D9990"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Laktozė monohidratas</w:t>
      </w:r>
    </w:p>
    <w:p w14:paraId="4BC91030"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Hipromeliozė</w:t>
      </w:r>
    </w:p>
    <w:p w14:paraId="7B7EEA5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Titano dioksidas (E171)</w:t>
      </w:r>
    </w:p>
    <w:p w14:paraId="4EF0CA78"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Triacetinas</w:t>
      </w:r>
    </w:p>
    <w:p w14:paraId="069446B9"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Talkas</w:t>
      </w:r>
    </w:p>
    <w:p w14:paraId="0169D49E"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Geltonasis geležies oksidas (E172)</w:t>
      </w:r>
    </w:p>
    <w:p w14:paraId="540E67B8"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47ADF222"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6.2</w:t>
      </w:r>
      <w:r w:rsidRPr="009F10EE">
        <w:rPr>
          <w:rFonts w:ascii="Times New Roman" w:eastAsia="Times New Roman" w:hAnsi="Times New Roman" w:cs="Times New Roman"/>
          <w:b/>
        </w:rPr>
        <w:tab/>
        <w:t>Nesuderinamumas</w:t>
      </w:r>
    </w:p>
    <w:p w14:paraId="772EE40E"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5CEFE7E4"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r w:rsidRPr="009F10EE">
        <w:rPr>
          <w:rFonts w:ascii="Times New Roman" w:eastAsia="Times New Roman" w:hAnsi="Times New Roman" w:cs="Times New Roman"/>
          <w:lang w:eastAsia="ar-SA"/>
        </w:rPr>
        <w:t xml:space="preserve">Duomenys nebūtini. </w:t>
      </w:r>
    </w:p>
    <w:p w14:paraId="7AA00AF0"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68D095B7"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6.3</w:t>
      </w:r>
      <w:r w:rsidRPr="009F10EE">
        <w:rPr>
          <w:rFonts w:ascii="Times New Roman" w:eastAsia="Times New Roman" w:hAnsi="Times New Roman" w:cs="Times New Roman"/>
          <w:b/>
        </w:rPr>
        <w:tab/>
        <w:t>Tinkamumo laikas</w:t>
      </w:r>
    </w:p>
    <w:p w14:paraId="250C897D"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6D034B7C"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r w:rsidRPr="009F10EE">
        <w:rPr>
          <w:rFonts w:ascii="Times New Roman" w:eastAsia="Times New Roman" w:hAnsi="Times New Roman" w:cs="Times New Roman"/>
          <w:lang w:eastAsia="ar-SA"/>
        </w:rPr>
        <w:t>3 metai.</w:t>
      </w:r>
    </w:p>
    <w:p w14:paraId="3273D466"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20A82CBE"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6.4</w:t>
      </w:r>
      <w:r w:rsidRPr="009F10EE">
        <w:rPr>
          <w:rFonts w:ascii="Times New Roman" w:eastAsia="Times New Roman" w:hAnsi="Times New Roman" w:cs="Times New Roman"/>
          <w:b/>
        </w:rPr>
        <w:tab/>
        <w:t>Specialios laikymo sąlygos</w:t>
      </w:r>
    </w:p>
    <w:p w14:paraId="6EC926C6"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35E16B26"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r w:rsidRPr="009F10EE">
        <w:rPr>
          <w:rFonts w:ascii="Times New Roman" w:eastAsia="Times New Roman" w:hAnsi="Times New Roman" w:cs="Times New Roman"/>
          <w:lang w:eastAsia="ar-SA"/>
        </w:rPr>
        <w:t>Šiam vaistiniam preparatui specialių laikymo sąlygų nereikia.</w:t>
      </w:r>
    </w:p>
    <w:p w14:paraId="23D855F7"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3D66B14F"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6.5</w:t>
      </w:r>
      <w:r w:rsidRPr="009F10EE">
        <w:rPr>
          <w:rFonts w:ascii="Times New Roman" w:eastAsia="Times New Roman" w:hAnsi="Times New Roman" w:cs="Times New Roman"/>
          <w:b/>
        </w:rPr>
        <w:tab/>
        <w:t>Talpyklės pobūdis ir jos turinys</w:t>
      </w:r>
      <w:r w:rsidRPr="009F10EE">
        <w:rPr>
          <w:rFonts w:ascii="Times New Roman" w:eastAsia="Times New Roman" w:hAnsi="Times New Roman" w:cs="Times New Roman"/>
          <w:b/>
          <w:lang w:eastAsia="ar-SA"/>
        </w:rPr>
        <w:t xml:space="preserve"> </w:t>
      </w:r>
    </w:p>
    <w:p w14:paraId="27ACEF9A"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3070C0DC"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PVC/PE/PVdC permatomos aliuminio lizdinės plokštelės.</w:t>
      </w:r>
    </w:p>
    <w:p w14:paraId="70A3908F" w14:textId="77777777" w:rsidR="008C4948" w:rsidRPr="009F10EE" w:rsidRDefault="008C4948" w:rsidP="008C4948">
      <w:pPr>
        <w:tabs>
          <w:tab w:val="left" w:pos="567"/>
        </w:tabs>
        <w:spacing w:after="0" w:line="240" w:lineRule="auto"/>
        <w:rPr>
          <w:rFonts w:ascii="Times New Roman" w:eastAsia="Times New Roman" w:hAnsi="Times New Roman" w:cs="Times New Roman"/>
          <w:u w:val="single"/>
          <w:lang w:eastAsia="lt-LT"/>
        </w:rPr>
      </w:pPr>
    </w:p>
    <w:p w14:paraId="4DEDB99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u w:val="single"/>
          <w:lang w:eastAsia="lt-LT"/>
        </w:rPr>
        <w:t>Pakuotės dydis:</w:t>
      </w:r>
      <w:r w:rsidRPr="009F10EE">
        <w:rPr>
          <w:rFonts w:ascii="Times New Roman" w:eastAsia="Times New Roman" w:hAnsi="Times New Roman" w:cs="Times New Roman"/>
          <w:lang w:eastAsia="lt-LT"/>
        </w:rPr>
        <w:t xml:space="preserve"> 4, 14, 28, 30 tabletės</w:t>
      </w:r>
    </w:p>
    <w:p w14:paraId="33F557E1"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63928E7"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6.6</w:t>
      </w:r>
      <w:r w:rsidRPr="009F10EE">
        <w:rPr>
          <w:rFonts w:ascii="Times New Roman" w:eastAsia="Times New Roman" w:hAnsi="Times New Roman" w:cs="Times New Roman"/>
          <w:b/>
        </w:rPr>
        <w:tab/>
        <w:t xml:space="preserve">Specialūs reikalavimai atliekoms tvarkyti </w:t>
      </w:r>
    </w:p>
    <w:p w14:paraId="39E321C6"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59938C6F"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ar-SA"/>
        </w:rPr>
      </w:pPr>
      <w:r w:rsidRPr="009F10EE">
        <w:rPr>
          <w:rFonts w:ascii="Times New Roman" w:eastAsia="Times New Roman" w:hAnsi="Times New Roman" w:cs="Times New Roman"/>
          <w:lang w:eastAsia="ar-SA"/>
        </w:rPr>
        <w:t>Nesuvartotą vaistinį preparatą ar atliekas reikia tvarkyti laikantis vietinių reikalavimų.</w:t>
      </w:r>
    </w:p>
    <w:p w14:paraId="0C7F608F"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ar-SA"/>
        </w:rPr>
      </w:pPr>
    </w:p>
    <w:p w14:paraId="0DA80673"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ar-SA"/>
        </w:rPr>
      </w:pPr>
    </w:p>
    <w:p w14:paraId="020C1B9C" w14:textId="77777777" w:rsidR="008C4948" w:rsidRPr="009F10EE" w:rsidRDefault="008C4948" w:rsidP="008C4948">
      <w:pPr>
        <w:keepNext/>
        <w:keepLines/>
        <w:tabs>
          <w:tab w:val="left" w:pos="567"/>
        </w:tabs>
        <w:spacing w:after="0" w:line="240" w:lineRule="auto"/>
        <w:outlineLvl w:val="2"/>
        <w:rPr>
          <w:rFonts w:ascii="Times New Roman" w:eastAsia="Times New Roman" w:hAnsi="Times New Roman" w:cs="Times New Roman"/>
          <w:b/>
          <w:bCs/>
          <w:snapToGrid w:val="0"/>
        </w:rPr>
      </w:pPr>
      <w:r w:rsidRPr="009F10EE">
        <w:rPr>
          <w:rFonts w:ascii="Times New Roman" w:eastAsia="Times New Roman" w:hAnsi="Times New Roman" w:cs="Times New Roman"/>
          <w:b/>
          <w:bCs/>
          <w:snapToGrid w:val="0"/>
        </w:rPr>
        <w:t>7.</w:t>
      </w:r>
      <w:r w:rsidRPr="009F10EE">
        <w:rPr>
          <w:rFonts w:ascii="Times New Roman" w:eastAsia="Times New Roman" w:hAnsi="Times New Roman" w:cs="Times New Roman"/>
          <w:b/>
          <w:bCs/>
          <w:snapToGrid w:val="0"/>
        </w:rPr>
        <w:tab/>
        <w:t>REGISTRUOTOJAS</w:t>
      </w:r>
    </w:p>
    <w:p w14:paraId="258BDB22" w14:textId="77777777" w:rsidR="008C4948" w:rsidRPr="009F10EE" w:rsidRDefault="008C4948" w:rsidP="008C4948">
      <w:pPr>
        <w:spacing w:after="0" w:line="240" w:lineRule="auto"/>
        <w:rPr>
          <w:rFonts w:ascii="Times New Roman" w:eastAsia="Times New Roman" w:hAnsi="Times New Roman" w:cs="Times New Roman"/>
          <w:snapToGrid w:val="0"/>
        </w:rPr>
      </w:pPr>
    </w:p>
    <w:p w14:paraId="01626852" w14:textId="4029B1DE" w:rsidR="008C4948" w:rsidRPr="009F10EE" w:rsidRDefault="008C4948" w:rsidP="00E638B1">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 xml:space="preserve">Accord Healthcare </w:t>
      </w:r>
      <w:r w:rsidR="00C63DF6" w:rsidRPr="009F10EE">
        <w:rPr>
          <w:rFonts w:ascii="Times New Roman" w:hAnsi="Times New Roman" w:cs="Times New Roman"/>
        </w:rPr>
        <w:t xml:space="preserve">B.V. </w:t>
      </w:r>
    </w:p>
    <w:p w14:paraId="45A55FA0"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 xml:space="preserve">Winthontlaan 200 </w:t>
      </w:r>
    </w:p>
    <w:p w14:paraId="74525ED4"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 xml:space="preserve">3526 KV Utrecht </w:t>
      </w:r>
    </w:p>
    <w:p w14:paraId="170CE5D3"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Nyderlandai</w:t>
      </w:r>
    </w:p>
    <w:p w14:paraId="2E336E0E" w14:textId="77777777" w:rsidR="008C4948" w:rsidRPr="009F10EE" w:rsidRDefault="008C4948" w:rsidP="008C4948">
      <w:pPr>
        <w:spacing w:after="0" w:line="240" w:lineRule="auto"/>
        <w:rPr>
          <w:rFonts w:ascii="Times New Roman" w:eastAsia="Times New Roman" w:hAnsi="Times New Roman" w:cs="Times New Roman"/>
          <w:snapToGrid w:val="0"/>
        </w:rPr>
      </w:pPr>
    </w:p>
    <w:p w14:paraId="0611C9D5" w14:textId="77777777" w:rsidR="008C4948" w:rsidRPr="009F10EE" w:rsidRDefault="008C4948" w:rsidP="008C4948">
      <w:pPr>
        <w:spacing w:after="0" w:line="240" w:lineRule="auto"/>
        <w:rPr>
          <w:rFonts w:ascii="Times New Roman" w:eastAsia="Times New Roman" w:hAnsi="Times New Roman" w:cs="Times New Roman"/>
          <w:snapToGrid w:val="0"/>
        </w:rPr>
      </w:pPr>
    </w:p>
    <w:p w14:paraId="7378B370" w14:textId="77777777" w:rsidR="008C4948" w:rsidRPr="009F10EE" w:rsidRDefault="008C4948" w:rsidP="008C4948">
      <w:pPr>
        <w:keepNext/>
        <w:keepLines/>
        <w:tabs>
          <w:tab w:val="left" w:pos="567"/>
        </w:tabs>
        <w:spacing w:after="0" w:line="240" w:lineRule="auto"/>
        <w:outlineLvl w:val="2"/>
        <w:rPr>
          <w:rFonts w:ascii="Times New Roman" w:eastAsia="Times New Roman" w:hAnsi="Times New Roman" w:cs="Times New Roman"/>
          <w:b/>
          <w:bCs/>
          <w:snapToGrid w:val="0"/>
        </w:rPr>
      </w:pPr>
      <w:r w:rsidRPr="009F10EE">
        <w:rPr>
          <w:rFonts w:ascii="Times New Roman" w:eastAsia="Times New Roman" w:hAnsi="Times New Roman" w:cs="Times New Roman"/>
          <w:b/>
          <w:bCs/>
          <w:snapToGrid w:val="0"/>
        </w:rPr>
        <w:t>8.</w:t>
      </w:r>
      <w:r w:rsidRPr="009F10EE">
        <w:rPr>
          <w:rFonts w:ascii="Times New Roman" w:eastAsia="Times New Roman" w:hAnsi="Times New Roman" w:cs="Times New Roman"/>
          <w:b/>
          <w:bCs/>
          <w:snapToGrid w:val="0"/>
        </w:rPr>
        <w:tab/>
        <w:t xml:space="preserve">REGISTRACIJOS PAŽYMĖJIMO NUMERIS (-IAI) </w:t>
      </w:r>
    </w:p>
    <w:p w14:paraId="7888BF54" w14:textId="77777777" w:rsidR="008C4948" w:rsidRPr="009F10EE" w:rsidRDefault="008C4948" w:rsidP="008C4948">
      <w:pPr>
        <w:spacing w:after="0" w:line="240" w:lineRule="auto"/>
        <w:rPr>
          <w:rFonts w:ascii="Times New Roman" w:eastAsia="Times New Roman" w:hAnsi="Times New Roman" w:cs="Times New Roman"/>
          <w:snapToGrid w:val="0"/>
        </w:rPr>
      </w:pPr>
    </w:p>
    <w:p w14:paraId="71ACACFC" w14:textId="77777777" w:rsidR="00133AB8" w:rsidRPr="00133AB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LT/1/16/3972/006 – N4</w:t>
      </w:r>
    </w:p>
    <w:p w14:paraId="087526CE" w14:textId="77777777" w:rsidR="00133AB8" w:rsidRPr="00133AB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LT/1/16/3972/013 – N14</w:t>
      </w:r>
    </w:p>
    <w:p w14:paraId="115E5C92" w14:textId="77777777" w:rsidR="00133AB8" w:rsidRPr="00133AB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LT/1/16/3972/014 – N28</w:t>
      </w:r>
    </w:p>
    <w:p w14:paraId="2DEE17B4" w14:textId="6C11F533" w:rsidR="008C494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LT/1/16/3972/015 – N30</w:t>
      </w:r>
    </w:p>
    <w:p w14:paraId="07F88D28" w14:textId="77777777" w:rsidR="00133AB8" w:rsidRPr="009F10EE" w:rsidRDefault="00133AB8" w:rsidP="00133AB8">
      <w:pPr>
        <w:spacing w:after="0" w:line="240" w:lineRule="auto"/>
        <w:rPr>
          <w:rFonts w:ascii="Times New Roman" w:eastAsia="Times New Roman" w:hAnsi="Times New Roman" w:cs="Times New Roman"/>
          <w:snapToGrid w:val="0"/>
        </w:rPr>
      </w:pPr>
    </w:p>
    <w:p w14:paraId="2210108F" w14:textId="77777777" w:rsidR="008C4948" w:rsidRPr="009F10EE" w:rsidRDefault="008C4948" w:rsidP="008C4948">
      <w:pPr>
        <w:spacing w:after="0" w:line="240" w:lineRule="auto"/>
        <w:rPr>
          <w:rFonts w:ascii="Times New Roman" w:eastAsia="Times New Roman" w:hAnsi="Times New Roman" w:cs="Times New Roman"/>
          <w:snapToGrid w:val="0"/>
        </w:rPr>
      </w:pPr>
    </w:p>
    <w:p w14:paraId="5D581251" w14:textId="77777777" w:rsidR="008C4948" w:rsidRPr="009F10EE" w:rsidRDefault="008C4948" w:rsidP="008C4948">
      <w:pPr>
        <w:keepNext/>
        <w:keepLines/>
        <w:tabs>
          <w:tab w:val="left" w:pos="567"/>
        </w:tabs>
        <w:spacing w:after="0" w:line="240" w:lineRule="auto"/>
        <w:outlineLvl w:val="2"/>
        <w:rPr>
          <w:rFonts w:ascii="Times New Roman" w:eastAsia="Times New Roman" w:hAnsi="Times New Roman" w:cs="Times New Roman"/>
          <w:b/>
          <w:bCs/>
          <w:snapToGrid w:val="0"/>
        </w:rPr>
      </w:pPr>
      <w:r w:rsidRPr="009F10EE">
        <w:rPr>
          <w:rFonts w:ascii="Times New Roman" w:eastAsia="Times New Roman" w:hAnsi="Times New Roman" w:cs="Times New Roman"/>
          <w:b/>
          <w:bCs/>
          <w:snapToGrid w:val="0"/>
        </w:rPr>
        <w:t>9.</w:t>
      </w:r>
      <w:r w:rsidRPr="009F10EE">
        <w:rPr>
          <w:rFonts w:ascii="Times New Roman" w:eastAsia="Times New Roman" w:hAnsi="Times New Roman" w:cs="Times New Roman"/>
          <w:b/>
          <w:bCs/>
          <w:snapToGrid w:val="0"/>
        </w:rPr>
        <w:tab/>
        <w:t>REGISTRAVIMO / PERREGISTRAVIMO DATA</w:t>
      </w:r>
    </w:p>
    <w:p w14:paraId="16C39B80" w14:textId="77777777" w:rsidR="008C4948" w:rsidRPr="009F10EE" w:rsidRDefault="008C4948" w:rsidP="008C4948">
      <w:pPr>
        <w:spacing w:after="0" w:line="240" w:lineRule="auto"/>
        <w:rPr>
          <w:rFonts w:ascii="Times New Roman" w:eastAsia="Times New Roman" w:hAnsi="Times New Roman" w:cs="Times New Roman"/>
          <w:snapToGrid w:val="0"/>
        </w:rPr>
      </w:pPr>
    </w:p>
    <w:p w14:paraId="69312A74" w14:textId="77777777" w:rsidR="008C4948" w:rsidRPr="009F10EE" w:rsidRDefault="008C4948" w:rsidP="008C4948">
      <w:pPr>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Registravimo data 2016 m. rugsėjo 26 d.</w:t>
      </w:r>
    </w:p>
    <w:p w14:paraId="1E36A3BF" w14:textId="2DB9EF6F" w:rsidR="008C4948" w:rsidRDefault="003468F3" w:rsidP="008C4948">
      <w:pPr>
        <w:spacing w:after="0" w:line="240" w:lineRule="auto"/>
        <w:rPr>
          <w:rFonts w:ascii="Times New Roman" w:eastAsia="Times New Roman" w:hAnsi="Times New Roman" w:cs="Times New Roman"/>
          <w:snapToGrid w:val="0"/>
        </w:rPr>
      </w:pPr>
      <w:r w:rsidRPr="003468F3">
        <w:rPr>
          <w:rFonts w:ascii="Times New Roman" w:eastAsia="Times New Roman" w:hAnsi="Times New Roman" w:cs="Times New Roman"/>
          <w:snapToGrid w:val="0"/>
        </w:rPr>
        <w:t>Paskutinio perregistravimo data</w:t>
      </w:r>
      <w:r>
        <w:rPr>
          <w:rFonts w:ascii="Times New Roman" w:eastAsia="Times New Roman" w:hAnsi="Times New Roman" w:cs="Times New Roman"/>
          <w:snapToGrid w:val="0"/>
        </w:rPr>
        <w:t xml:space="preserve"> 2022 m.</w:t>
      </w:r>
      <w:r w:rsidR="00133AB8">
        <w:rPr>
          <w:rFonts w:ascii="Times New Roman" w:eastAsia="Times New Roman" w:hAnsi="Times New Roman" w:cs="Times New Roman"/>
          <w:snapToGrid w:val="0"/>
        </w:rPr>
        <w:t xml:space="preserve"> balandžio 22 d.</w:t>
      </w:r>
    </w:p>
    <w:p w14:paraId="390B6104" w14:textId="77777777" w:rsidR="003468F3" w:rsidRPr="009F10EE" w:rsidRDefault="003468F3" w:rsidP="008C4948">
      <w:pPr>
        <w:spacing w:after="0" w:line="240" w:lineRule="auto"/>
        <w:rPr>
          <w:rFonts w:ascii="Times New Roman" w:eastAsia="Times New Roman" w:hAnsi="Times New Roman" w:cs="Times New Roman"/>
          <w:snapToGrid w:val="0"/>
        </w:rPr>
      </w:pPr>
    </w:p>
    <w:p w14:paraId="313496AD" w14:textId="77777777" w:rsidR="008C4948" w:rsidRPr="009F10EE" w:rsidRDefault="008C4948" w:rsidP="008C4948">
      <w:pPr>
        <w:spacing w:after="0" w:line="240" w:lineRule="auto"/>
        <w:rPr>
          <w:rFonts w:ascii="Times New Roman" w:eastAsia="Times New Roman" w:hAnsi="Times New Roman" w:cs="Times New Roman"/>
          <w:snapToGrid w:val="0"/>
        </w:rPr>
      </w:pPr>
    </w:p>
    <w:p w14:paraId="49853ED8" w14:textId="77777777" w:rsidR="008C4948" w:rsidRPr="009F10EE" w:rsidRDefault="008C4948" w:rsidP="008C4948">
      <w:pPr>
        <w:keepNext/>
        <w:keepLines/>
        <w:tabs>
          <w:tab w:val="left" w:pos="567"/>
        </w:tabs>
        <w:spacing w:after="0" w:line="240" w:lineRule="auto"/>
        <w:outlineLvl w:val="2"/>
        <w:rPr>
          <w:rFonts w:ascii="Times New Roman" w:eastAsia="Times New Roman" w:hAnsi="Times New Roman" w:cs="Times New Roman"/>
          <w:b/>
          <w:bCs/>
          <w:snapToGrid w:val="0"/>
        </w:rPr>
      </w:pPr>
      <w:r w:rsidRPr="009F10EE">
        <w:rPr>
          <w:rFonts w:ascii="Times New Roman" w:eastAsia="Times New Roman" w:hAnsi="Times New Roman" w:cs="Times New Roman"/>
          <w:b/>
          <w:bCs/>
          <w:snapToGrid w:val="0"/>
        </w:rPr>
        <w:t>10.</w:t>
      </w:r>
      <w:r w:rsidRPr="009F10EE">
        <w:rPr>
          <w:rFonts w:ascii="Times New Roman" w:eastAsia="Times New Roman" w:hAnsi="Times New Roman" w:cs="Times New Roman"/>
          <w:b/>
          <w:bCs/>
          <w:snapToGrid w:val="0"/>
        </w:rPr>
        <w:tab/>
        <w:t>TEKSTO PERŽIŪROS DATA</w:t>
      </w:r>
    </w:p>
    <w:p w14:paraId="17C8AFB3" w14:textId="160E847D" w:rsidR="008C4948" w:rsidRPr="009F10EE" w:rsidRDefault="008C4948" w:rsidP="008C4948">
      <w:pPr>
        <w:spacing w:after="0" w:line="240" w:lineRule="auto"/>
        <w:rPr>
          <w:rFonts w:ascii="Times New Roman" w:eastAsia="Times New Roman" w:hAnsi="Times New Roman" w:cs="Times New Roman"/>
          <w:snapToGrid w:val="0"/>
        </w:rPr>
      </w:pPr>
    </w:p>
    <w:p w14:paraId="356315F2" w14:textId="19B36E6B" w:rsidR="008E30EC" w:rsidRPr="009F10EE" w:rsidRDefault="008E30EC" w:rsidP="0091366A">
      <w:pPr>
        <w:keepNext/>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2024 m. kovo 15 d.</w:t>
      </w:r>
    </w:p>
    <w:p w14:paraId="512337A3" w14:textId="77777777" w:rsidR="00133AB8" w:rsidRPr="009F10EE" w:rsidRDefault="00133AB8" w:rsidP="008C4948">
      <w:pPr>
        <w:spacing w:after="0" w:line="240" w:lineRule="auto"/>
        <w:rPr>
          <w:rFonts w:ascii="Times New Roman" w:eastAsia="Times New Roman" w:hAnsi="Times New Roman" w:cs="Times New Roman"/>
          <w:snapToGrid w:val="0"/>
        </w:rPr>
      </w:pPr>
    </w:p>
    <w:p w14:paraId="1CA5693E" w14:textId="77777777" w:rsidR="008C4948" w:rsidRPr="009F10EE" w:rsidRDefault="008C4948" w:rsidP="008C4948">
      <w:pPr>
        <w:tabs>
          <w:tab w:val="left" w:pos="5954"/>
          <w:tab w:val="left" w:pos="6237"/>
          <w:tab w:val="left" w:pos="6663"/>
          <w:tab w:val="left" w:pos="6946"/>
        </w:tabs>
        <w:spacing w:after="0" w:line="240" w:lineRule="auto"/>
        <w:rPr>
          <w:rFonts w:ascii="Times New Roman" w:eastAsia="SimSun" w:hAnsi="Times New Roman" w:cs="Times New Roman"/>
        </w:rPr>
      </w:pPr>
      <w:r w:rsidRPr="009F10EE">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9F10EE">
        <w:rPr>
          <w:rFonts w:ascii="Times New Roman" w:eastAsia="SimSun" w:hAnsi="Times New Roman" w:cs="Times New Roman"/>
          <w:i/>
        </w:rPr>
        <w:t xml:space="preserve"> </w:t>
      </w:r>
      <w:hyperlink r:id="rId9" w:history="1">
        <w:r w:rsidRPr="009F10EE">
          <w:rPr>
            <w:rStyle w:val="Hipersaitas"/>
            <w:rFonts w:ascii="Times New Roman" w:hAnsi="Times New Roman" w:cs="Times New Roman"/>
          </w:rPr>
          <w:t>http://www.vvkt.lt</w:t>
        </w:r>
      </w:hyperlink>
    </w:p>
    <w:p w14:paraId="10C33163" w14:textId="77777777" w:rsidR="008C4948" w:rsidRPr="009F10EE" w:rsidRDefault="008C4948" w:rsidP="008C4948">
      <w:pPr>
        <w:rPr>
          <w:rFonts w:ascii="Times New Roman" w:eastAsia="SimSun" w:hAnsi="Times New Roman" w:cs="Times New Roman"/>
        </w:rPr>
      </w:pPr>
      <w:r w:rsidRPr="009F10EE">
        <w:rPr>
          <w:rFonts w:ascii="Times New Roman" w:eastAsia="SimSun" w:hAnsi="Times New Roman" w:cs="Times New Roman"/>
        </w:rPr>
        <w:br w:type="page"/>
      </w:r>
    </w:p>
    <w:p w14:paraId="2B4A6FD8"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r w:rsidRPr="009F10EE">
        <w:rPr>
          <w:rFonts w:ascii="Times New Roman" w:eastAsia="Times New Roman" w:hAnsi="Times New Roman" w:cs="Times New Roman"/>
          <w:b/>
          <w:lang w:eastAsia="lt-LT"/>
        </w:rPr>
        <w:lastRenderedPageBreak/>
        <w:t>1.</w:t>
      </w:r>
      <w:r w:rsidRPr="009F10EE">
        <w:rPr>
          <w:rFonts w:ascii="Times New Roman" w:eastAsia="Times New Roman" w:hAnsi="Times New Roman" w:cs="Times New Roman"/>
          <w:b/>
          <w:lang w:eastAsia="lt-LT"/>
        </w:rPr>
        <w:tab/>
        <w:t>VAISTINIO PREPARATO PAVADINIMAS</w:t>
      </w:r>
    </w:p>
    <w:p w14:paraId="61B172E1"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p>
    <w:p w14:paraId="6F911187"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Tadalafil Accord 20 mg pl</w:t>
      </w:r>
      <w:r w:rsidRPr="009F10EE">
        <w:rPr>
          <w:rFonts w:ascii="Times New Roman" w:eastAsia="TimesNewRomanPSMT" w:hAnsi="Times New Roman" w:cs="Times New Roman"/>
          <w:lang w:eastAsia="lt-LT"/>
        </w:rPr>
        <w:t>ė</w:t>
      </w:r>
      <w:r w:rsidRPr="009F10EE">
        <w:rPr>
          <w:rFonts w:ascii="Times New Roman" w:eastAsia="Times New Roman" w:hAnsi="Times New Roman" w:cs="Times New Roman"/>
          <w:lang w:eastAsia="lt-LT"/>
        </w:rPr>
        <w:t>vele dengtos tablet</w:t>
      </w:r>
      <w:r w:rsidRPr="009F10EE">
        <w:rPr>
          <w:rFonts w:ascii="Times New Roman" w:eastAsia="TimesNewRomanPSMT" w:hAnsi="Times New Roman" w:cs="Times New Roman"/>
          <w:lang w:eastAsia="lt-LT"/>
        </w:rPr>
        <w:t>ė</w:t>
      </w:r>
      <w:r w:rsidRPr="009F10EE">
        <w:rPr>
          <w:rFonts w:ascii="Times New Roman" w:eastAsia="Times New Roman" w:hAnsi="Times New Roman" w:cs="Times New Roman"/>
          <w:lang w:eastAsia="lt-LT"/>
        </w:rPr>
        <w:t>s</w:t>
      </w:r>
    </w:p>
    <w:p w14:paraId="2B5A688C"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46698A1E"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9E470C5" w14:textId="77777777" w:rsidR="008C4948" w:rsidRPr="009F10EE" w:rsidRDefault="008C4948" w:rsidP="008C4948">
      <w:pPr>
        <w:keepNext/>
        <w:tabs>
          <w:tab w:val="left" w:pos="567"/>
        </w:tabs>
        <w:spacing w:after="0" w:line="240" w:lineRule="auto"/>
        <w:outlineLvl w:val="2"/>
        <w:rPr>
          <w:rFonts w:ascii="Times New Roman" w:eastAsia="Times New Roman" w:hAnsi="Times New Roman" w:cs="Times New Roman"/>
          <w:b/>
          <w:bCs/>
        </w:rPr>
      </w:pPr>
      <w:r w:rsidRPr="009F10EE">
        <w:rPr>
          <w:rFonts w:ascii="Times New Roman" w:eastAsia="Times New Roman" w:hAnsi="Times New Roman" w:cs="Times New Roman"/>
          <w:b/>
          <w:bCs/>
        </w:rPr>
        <w:t>2.</w:t>
      </w:r>
      <w:r w:rsidRPr="009F10EE">
        <w:rPr>
          <w:rFonts w:ascii="Times New Roman" w:eastAsia="Times New Roman" w:hAnsi="Times New Roman" w:cs="Times New Roman"/>
          <w:b/>
          <w:bCs/>
        </w:rPr>
        <w:tab/>
        <w:t>KOKYBINĖ IR KIEKYBINĖ SUDĖTIS</w:t>
      </w:r>
    </w:p>
    <w:p w14:paraId="2BC72789"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124470D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K</w:t>
      </w:r>
      <w:r w:rsidRPr="009F10EE">
        <w:rPr>
          <w:rFonts w:ascii="Times New Roman" w:eastAsia="TimesNewRomanPSMT" w:hAnsi="Times New Roman" w:cs="Times New Roman"/>
          <w:lang w:eastAsia="lt-LT"/>
        </w:rPr>
        <w:t>iekvienoje plėvele dengtoje tabletėje yra 20 mg tadalafilio.</w:t>
      </w:r>
    </w:p>
    <w:p w14:paraId="66A89E5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DCEA9E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u w:val="single"/>
          <w:lang w:eastAsia="lt-LT"/>
        </w:rPr>
        <w:t>Pagalbinė medžiaga, kurios poveikis žinomas</w:t>
      </w:r>
      <w:r w:rsidRPr="009F10EE">
        <w:rPr>
          <w:rFonts w:ascii="Times New Roman" w:eastAsia="TimesNewRomanPSMT" w:hAnsi="Times New Roman" w:cs="Times New Roman"/>
          <w:lang w:eastAsia="lt-LT"/>
        </w:rPr>
        <w:t xml:space="preserve">: </w:t>
      </w:r>
    </w:p>
    <w:p w14:paraId="2C599F6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lang w:eastAsia="lt-LT"/>
        </w:rPr>
        <w:t>Laktozė (monohidrato pavidalu)</w:t>
      </w:r>
    </w:p>
    <w:p w14:paraId="0545C03D"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highlight w:val="lightGray"/>
          <w:lang w:eastAsia="lt-LT"/>
        </w:rPr>
      </w:pPr>
      <w:r w:rsidRPr="009F10EE">
        <w:rPr>
          <w:rFonts w:ascii="Times New Roman" w:eastAsia="Times New Roman" w:hAnsi="Times New Roman" w:cs="Times New Roman"/>
          <w:lang w:eastAsia="lt-LT"/>
        </w:rPr>
        <w:t>K</w:t>
      </w:r>
      <w:r w:rsidRPr="009F10EE">
        <w:rPr>
          <w:rFonts w:ascii="Times New Roman" w:eastAsia="TimesNewRomanPSMT" w:hAnsi="Times New Roman" w:cs="Times New Roman"/>
          <w:lang w:eastAsia="lt-LT"/>
        </w:rPr>
        <w:t>iekvienoje 20 mg plėvele dengtoje tabletėje yra 367,584 mg laktozės (monohidrato pavidalu).</w:t>
      </w:r>
    </w:p>
    <w:p w14:paraId="5FEC9B02"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p>
    <w:p w14:paraId="13037412"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Visos pagalbinės medžiagos išvardytos 6.1 skyriuje.</w:t>
      </w:r>
    </w:p>
    <w:p w14:paraId="06888FF0"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4006A2E9"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9A48B60" w14:textId="77777777" w:rsidR="008C4948" w:rsidRPr="009F10EE" w:rsidRDefault="008C4948" w:rsidP="008C4948">
      <w:pPr>
        <w:keepNext/>
        <w:tabs>
          <w:tab w:val="left" w:pos="567"/>
        </w:tabs>
        <w:spacing w:after="0" w:line="240" w:lineRule="auto"/>
        <w:outlineLvl w:val="2"/>
        <w:rPr>
          <w:rFonts w:ascii="Times New Roman" w:eastAsia="Times New Roman" w:hAnsi="Times New Roman" w:cs="Times New Roman"/>
          <w:b/>
          <w:bCs/>
        </w:rPr>
      </w:pPr>
      <w:r w:rsidRPr="009F10EE">
        <w:rPr>
          <w:rFonts w:ascii="Times New Roman" w:eastAsia="Times New Roman" w:hAnsi="Times New Roman" w:cs="Times New Roman"/>
          <w:b/>
          <w:bCs/>
        </w:rPr>
        <w:t>3.</w:t>
      </w:r>
      <w:r w:rsidRPr="009F10EE">
        <w:rPr>
          <w:rFonts w:ascii="Times New Roman" w:eastAsia="Times New Roman" w:hAnsi="Times New Roman" w:cs="Times New Roman"/>
          <w:b/>
          <w:bCs/>
        </w:rPr>
        <w:tab/>
        <w:t>FARMACINĖ FORMA</w:t>
      </w:r>
    </w:p>
    <w:p w14:paraId="1883CDB3"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13770E1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Plėvele dengta tabletė.</w:t>
      </w:r>
    </w:p>
    <w:p w14:paraId="59655051"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1EC70ED7" w14:textId="77777777" w:rsidR="008C4948" w:rsidRPr="009F10EE" w:rsidRDefault="008C4948" w:rsidP="008C4948">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color w:val="000000"/>
        </w:rPr>
        <w:t>Geltona, kapsulės formos, maždaug 14,3 mm ilgio ir 7 mm pločio, abipus išgaubta plėvele dengta tabletė nuožulniais kraštais, vienoje pusėje įspausta „T 20“, kita pusė lygi.</w:t>
      </w:r>
    </w:p>
    <w:p w14:paraId="559118A8"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3A6BDAF8"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6BC322F" w14:textId="77777777" w:rsidR="008C4948" w:rsidRPr="009F10EE" w:rsidRDefault="008C4948" w:rsidP="008C4948">
      <w:pPr>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w:t>
      </w:r>
      <w:r w:rsidRPr="009F10EE">
        <w:rPr>
          <w:rFonts w:ascii="Times New Roman" w:eastAsia="Times New Roman" w:hAnsi="Times New Roman" w:cs="Times New Roman"/>
          <w:b/>
        </w:rPr>
        <w:tab/>
        <w:t>KLINIKINĖ INFORMACIJA</w:t>
      </w:r>
    </w:p>
    <w:p w14:paraId="0CDE29F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41FCA9FE" w14:textId="77777777" w:rsidR="008C4948" w:rsidRPr="009F10EE" w:rsidRDefault="008C4948" w:rsidP="008C4948">
      <w:pPr>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4.1</w:t>
      </w:r>
      <w:r w:rsidRPr="009F10EE">
        <w:rPr>
          <w:rFonts w:ascii="Times New Roman" w:eastAsia="Times New Roman" w:hAnsi="Times New Roman" w:cs="Times New Roman"/>
          <w:b/>
        </w:rPr>
        <w:tab/>
        <w:t>Terapinės indikacijos</w:t>
      </w:r>
    </w:p>
    <w:p w14:paraId="1512572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BA56F5E" w14:textId="0E7DD8D8"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Suaugusių vyrų erekcijos funkcijos sutrikimo gydymas.</w:t>
      </w:r>
    </w:p>
    <w:p w14:paraId="14AE55F3"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F23F4DC"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Kad tadalafilis būtų veiksmingas, gydant erekcijos funkcijos sutrikimą, būtina seksualinė stimuliacija.</w:t>
      </w:r>
    </w:p>
    <w:p w14:paraId="217594DC"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36DC75FE" w14:textId="77777777" w:rsidR="008C4948" w:rsidRPr="009F10EE" w:rsidRDefault="008C4948" w:rsidP="008C4948">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color w:val="000000"/>
        </w:rPr>
        <w:t>Suaugusių žmonių II ir III funkcinės klasės pagal PSO klasifikaciją plautinės arterinės hipertenzijos (PAH) gydymas, norint pagerinti fizinį pajėgumą (žr. 5.1 skyrių).</w:t>
      </w:r>
    </w:p>
    <w:p w14:paraId="42A76259" w14:textId="77777777" w:rsidR="008C4948" w:rsidRPr="009F10EE" w:rsidRDefault="008C4948" w:rsidP="008C4948">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color w:val="000000"/>
        </w:rPr>
        <w:t>Vaistinis preparatas veiksmingas gydant idiopatinę PAH (IPAH) ir PAH, susijusią su kolageno (kraujagyslių) liga.</w:t>
      </w:r>
    </w:p>
    <w:p w14:paraId="7FD7B8BB" w14:textId="77777777" w:rsidR="00160484" w:rsidRPr="009F10EE" w:rsidRDefault="00160484" w:rsidP="00160484">
      <w:pPr>
        <w:tabs>
          <w:tab w:val="left" w:pos="567"/>
        </w:tabs>
        <w:spacing w:after="0" w:line="240" w:lineRule="auto"/>
        <w:rPr>
          <w:rFonts w:ascii="Times New Roman" w:eastAsia="Times New Roman" w:hAnsi="Times New Roman" w:cs="Times New Roman"/>
          <w:lang w:eastAsia="lt-LT"/>
        </w:rPr>
      </w:pPr>
    </w:p>
    <w:p w14:paraId="5AD0AA6F"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r w:rsidRPr="009F10EE">
        <w:rPr>
          <w:rFonts w:ascii="Times New Roman" w:eastAsia="Times New Roman" w:hAnsi="Times New Roman" w:cs="Times New Roman"/>
          <w:b/>
          <w:lang w:eastAsia="lt-LT"/>
        </w:rPr>
        <w:t>4.2</w:t>
      </w:r>
      <w:r w:rsidRPr="009F10EE">
        <w:rPr>
          <w:rFonts w:ascii="Times New Roman" w:eastAsia="Times New Roman" w:hAnsi="Times New Roman" w:cs="Times New Roman"/>
          <w:b/>
          <w:lang w:eastAsia="lt-LT"/>
        </w:rPr>
        <w:tab/>
        <w:t>Dozavimas ir vartojimo metodas</w:t>
      </w:r>
    </w:p>
    <w:p w14:paraId="12275372"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p>
    <w:p w14:paraId="09B8FE34" w14:textId="77777777" w:rsidR="008C4948" w:rsidRPr="009F10EE" w:rsidRDefault="008C4948" w:rsidP="008C4948">
      <w:pPr>
        <w:tabs>
          <w:tab w:val="left" w:pos="567"/>
        </w:tabs>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Dozavimas</w:t>
      </w:r>
    </w:p>
    <w:p w14:paraId="18FCD6CD"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36C93C02"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Erekcijos funkcijos sutrikimo gydymas suaugusiems vyrams</w:t>
      </w:r>
    </w:p>
    <w:p w14:paraId="610FE1C8"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39559351"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Paprastai rekomenduojama dozė yra 10 mg. Ją reikia vartoti prieš planuojamus lytinius</w:t>
      </w:r>
      <w:r w:rsidRPr="009F10EE">
        <w:rPr>
          <w:rFonts w:ascii="Times New Roman" w:eastAsia="Times New Roman" w:hAnsi="Times New Roman" w:cs="Times New Roman"/>
          <w:lang w:eastAsia="lt-LT"/>
        </w:rPr>
        <w:t xml:space="preserve"> santykius, valgio metu arba nevalgius. </w:t>
      </w:r>
    </w:p>
    <w:p w14:paraId="2301663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Pacientams, kuriems 10 mg tadalafilio dozė pakankamo poveikio nesukelia, </w:t>
      </w:r>
      <w:r w:rsidRPr="009F10EE">
        <w:rPr>
          <w:rFonts w:ascii="Times New Roman" w:eastAsia="Times New Roman" w:hAnsi="Times New Roman" w:cs="Times New Roman"/>
          <w:lang w:eastAsia="lt-LT"/>
        </w:rPr>
        <w:t>gali būti išbandyta 20 mg</w:t>
      </w:r>
      <w:r w:rsidRPr="009F10EE">
        <w:rPr>
          <w:rFonts w:ascii="Times New Roman" w:eastAsia="TimesNewRomanPSMT" w:hAnsi="Times New Roman" w:cs="Times New Roman"/>
          <w:lang w:eastAsia="lt-LT"/>
        </w:rPr>
        <w:t xml:space="preserve"> dozė. Ją reikia vartoti iki lytinių santykių</w:t>
      </w:r>
      <w:r w:rsidRPr="009F10EE">
        <w:rPr>
          <w:rFonts w:ascii="Times New Roman" w:eastAsia="Times New Roman" w:hAnsi="Times New Roman" w:cs="Times New Roman"/>
          <w:lang w:eastAsia="lt-LT"/>
        </w:rPr>
        <w:t xml:space="preserve"> likus ne mažiau kaip 30 </w:t>
      </w:r>
      <w:r w:rsidRPr="009F10EE">
        <w:rPr>
          <w:rFonts w:ascii="Times New Roman" w:eastAsia="TimesNewRomanPSMT" w:hAnsi="Times New Roman" w:cs="Times New Roman"/>
          <w:lang w:eastAsia="lt-LT"/>
        </w:rPr>
        <w:t>min.</w:t>
      </w:r>
    </w:p>
    <w:p w14:paraId="07BB130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2ED53B6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Vaistinio preparato galima vartoti ne dažniau kaip vieną kartą per parą.</w:t>
      </w:r>
    </w:p>
    <w:p w14:paraId="4555763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AA465CE" w14:textId="792AB315"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Tadalafilio 10 mg ir 20 mg</w:t>
      </w:r>
      <w:r w:rsidRPr="009F10EE">
        <w:rPr>
          <w:rFonts w:ascii="Times New Roman" w:eastAsia="TimesNewRomanPSMT" w:hAnsi="Times New Roman" w:cs="Times New Roman"/>
          <w:lang w:eastAsia="lt-LT"/>
        </w:rPr>
        <w:t xml:space="preserve"> tabletės skirtos vartoti prieš planuojamus lytinius santykius, jų nerekomenduojama vartoti kasdien.</w:t>
      </w:r>
    </w:p>
    <w:p w14:paraId="0FE2838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4911DA1" w14:textId="288B3B5F" w:rsidR="005F03A9" w:rsidRPr="005F03A9" w:rsidRDefault="005F03A9" w:rsidP="005F03A9">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5F03A9">
        <w:rPr>
          <w:rFonts w:ascii="Times New Roman" w:eastAsia="TimesNewRomanPSMT" w:hAnsi="Times New Roman" w:cs="Times New Roman"/>
          <w:lang w:eastAsia="lt-LT"/>
        </w:rPr>
        <w:lastRenderedPageBreak/>
        <w:t xml:space="preserve">Atsižvelgiant į paciento pasirinkimą ir gydytojo sprendimą, pacientams, kurie Tadalafil Accord planuoja vartoti dažnai (t. y. mažiausiai 2 kartus per savaitę), gali tikti kasdieninis vienos mažesnės </w:t>
      </w:r>
      <w:r w:rsidR="0091366A">
        <w:rPr>
          <w:rFonts w:ascii="Times New Roman" w:eastAsia="TimesNewRomanPSMT" w:hAnsi="Times New Roman" w:cs="Times New Roman"/>
          <w:lang w:eastAsia="lt-LT"/>
        </w:rPr>
        <w:t>T</w:t>
      </w:r>
      <w:r w:rsidR="0091366A" w:rsidRPr="005F03A9">
        <w:rPr>
          <w:rFonts w:ascii="Times New Roman" w:eastAsia="TimesNewRomanPSMT" w:hAnsi="Times New Roman" w:cs="Times New Roman"/>
          <w:lang w:eastAsia="lt-LT"/>
        </w:rPr>
        <w:t>adalafil</w:t>
      </w:r>
      <w:r w:rsidR="0091366A">
        <w:rPr>
          <w:rFonts w:ascii="Times New Roman" w:eastAsia="TimesNewRomanPSMT" w:hAnsi="Times New Roman" w:cs="Times New Roman"/>
          <w:lang w:eastAsia="lt-LT"/>
        </w:rPr>
        <w:t xml:space="preserve"> Accord </w:t>
      </w:r>
      <w:r w:rsidRPr="005F03A9">
        <w:rPr>
          <w:rFonts w:ascii="Times New Roman" w:eastAsia="TimesNewRomanPSMT" w:hAnsi="Times New Roman" w:cs="Times New Roman"/>
          <w:lang w:eastAsia="lt-LT"/>
        </w:rPr>
        <w:t>dozės vartojimas.</w:t>
      </w:r>
    </w:p>
    <w:p w14:paraId="1E2A764B" w14:textId="77777777" w:rsidR="005F03A9" w:rsidRPr="005F03A9" w:rsidRDefault="005F03A9" w:rsidP="005F03A9">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E08D5B0" w14:textId="77777777" w:rsidR="005F03A9" w:rsidRPr="005F03A9" w:rsidRDefault="005F03A9" w:rsidP="005F03A9">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5F03A9">
        <w:rPr>
          <w:rFonts w:ascii="Times New Roman" w:eastAsia="TimesNewRomanPSMT" w:hAnsi="Times New Roman" w:cs="Times New Roman"/>
          <w:lang w:eastAsia="lt-LT"/>
        </w:rPr>
        <w:t>Tokiems pacientams rekomenduojama dozė yra 5 mg. Ji vartojama vieną kartą per parą, maždaug tokiu pačiu paros laiku. Atsižvelgiant į toleravimą, paros dozę galima sumažinti iki 2,5 mg.</w:t>
      </w:r>
    </w:p>
    <w:p w14:paraId="13FAB4DB" w14:textId="77777777" w:rsidR="005F03A9" w:rsidRPr="005F03A9" w:rsidRDefault="005F03A9" w:rsidP="005F03A9">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5F03A9">
        <w:rPr>
          <w:rFonts w:ascii="Times New Roman" w:eastAsia="TimesNewRomanPSMT" w:hAnsi="Times New Roman" w:cs="Times New Roman"/>
          <w:lang w:eastAsia="lt-LT"/>
        </w:rPr>
        <w:t>Kadangi šio vaistinio preparato 2,5 mg dozė nėra tiekiama, reikia vartoti kitus rinkoje esančius tadalafilio 2,5 mg vaistinius preparatus.</w:t>
      </w:r>
    </w:p>
    <w:p w14:paraId="13F8E8F6" w14:textId="77777777" w:rsidR="005F03A9" w:rsidRPr="005F03A9" w:rsidRDefault="005F03A9" w:rsidP="005F03A9">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F0DF012" w14:textId="77777777" w:rsidR="005F03A9" w:rsidRPr="005F03A9" w:rsidRDefault="005F03A9" w:rsidP="005F03A9">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5F03A9">
        <w:rPr>
          <w:rFonts w:ascii="Times New Roman" w:eastAsia="TimesNewRomanPSMT" w:hAnsi="Times New Roman" w:cs="Times New Roman"/>
          <w:lang w:eastAsia="lt-LT"/>
        </w:rPr>
        <w:t>Reikia reguliariai iš naujo įvertinti tolesnio kasdieninio vartojimo tinkamumą.</w:t>
      </w:r>
    </w:p>
    <w:p w14:paraId="7FDC96E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C95F2FC" w14:textId="77777777" w:rsidR="008C4948" w:rsidRPr="009F10EE" w:rsidRDefault="008C4948" w:rsidP="008C4948">
      <w:pPr>
        <w:spacing w:after="0" w:line="240" w:lineRule="auto"/>
        <w:rPr>
          <w:rFonts w:ascii="Times New Roman" w:eastAsia="Times New Roman" w:hAnsi="Times New Roman" w:cs="Times New Roman"/>
          <w:i/>
          <w:iCs/>
        </w:rPr>
      </w:pPr>
      <w:r w:rsidRPr="005F03A9">
        <w:rPr>
          <w:rFonts w:ascii="Times New Roman" w:eastAsia="Times New Roman" w:hAnsi="Times New Roman" w:cs="Times New Roman"/>
          <w:i/>
          <w:iCs/>
        </w:rPr>
        <w:t>Plautinė arterinė hipertenzija</w:t>
      </w:r>
    </w:p>
    <w:p w14:paraId="5715AB07" w14:textId="62CC0FC3" w:rsidR="00470509" w:rsidRPr="007D3ACB" w:rsidRDefault="00470509" w:rsidP="008C4948">
      <w:pPr>
        <w:spacing w:after="0" w:line="240" w:lineRule="auto"/>
        <w:rPr>
          <w:rFonts w:ascii="Times New Roman" w:hAnsi="Times New Roman" w:cs="Times New Roman"/>
          <w:i/>
          <w:iCs/>
          <w:u w:val="single"/>
        </w:rPr>
      </w:pPr>
    </w:p>
    <w:p w14:paraId="63992DFB" w14:textId="77777777" w:rsidR="008C4948" w:rsidRPr="009F10EE" w:rsidRDefault="008C4948" w:rsidP="008C4948">
      <w:pPr>
        <w:spacing w:after="0" w:line="240" w:lineRule="auto"/>
        <w:rPr>
          <w:rFonts w:ascii="Times New Roman" w:eastAsia="Times New Roman" w:hAnsi="Times New Roman" w:cs="Times New Roman"/>
          <w:iCs/>
        </w:rPr>
      </w:pPr>
      <w:r w:rsidRPr="009F10EE">
        <w:rPr>
          <w:rFonts w:ascii="Times New Roman" w:eastAsia="Times New Roman" w:hAnsi="Times New Roman" w:cs="Times New Roman"/>
          <w:iCs/>
        </w:rPr>
        <w:t>Gydymą pradėti ir pacientą stebėti gali tik gydytojas, turintis PAH gydymo patirties.</w:t>
      </w:r>
    </w:p>
    <w:p w14:paraId="0685D4AC" w14:textId="77777777" w:rsidR="008C4948" w:rsidRPr="009F10EE" w:rsidRDefault="008C4948" w:rsidP="008C4948">
      <w:pPr>
        <w:spacing w:after="0" w:line="240" w:lineRule="auto"/>
        <w:rPr>
          <w:rFonts w:ascii="Times New Roman" w:eastAsia="Times New Roman" w:hAnsi="Times New Roman" w:cs="Times New Roman"/>
          <w:i/>
          <w:iCs/>
        </w:rPr>
      </w:pPr>
    </w:p>
    <w:p w14:paraId="49859304" w14:textId="139FBE57" w:rsidR="00470509" w:rsidRPr="007C5DE8" w:rsidRDefault="00470509" w:rsidP="00470509">
      <w:pPr>
        <w:spacing w:after="0" w:line="240" w:lineRule="auto"/>
        <w:rPr>
          <w:rFonts w:ascii="Times New Roman" w:hAnsi="Times New Roman" w:cs="Times New Roman"/>
          <w:i/>
          <w:iCs/>
          <w:u w:val="single"/>
        </w:rPr>
      </w:pPr>
      <w:r w:rsidRPr="007C5DE8">
        <w:rPr>
          <w:rFonts w:ascii="Times New Roman" w:hAnsi="Times New Roman" w:cs="Times New Roman"/>
          <w:i/>
          <w:iCs/>
          <w:u w:val="single"/>
        </w:rPr>
        <w:t>Suaugusie</w:t>
      </w:r>
      <w:r w:rsidR="0050602E">
        <w:rPr>
          <w:rFonts w:ascii="Times New Roman" w:hAnsi="Times New Roman" w:cs="Times New Roman"/>
          <w:i/>
          <w:iCs/>
          <w:u w:val="single"/>
        </w:rPr>
        <w:t>siems</w:t>
      </w:r>
    </w:p>
    <w:p w14:paraId="4700F4CE" w14:textId="77777777" w:rsidR="008C4948" w:rsidRPr="009F10EE" w:rsidRDefault="008C4948" w:rsidP="008C4948">
      <w:pPr>
        <w:spacing w:after="0" w:line="240" w:lineRule="auto"/>
        <w:rPr>
          <w:rFonts w:ascii="Times New Roman" w:eastAsia="Times New Roman" w:hAnsi="Times New Roman" w:cs="Times New Roman"/>
          <w:iCs/>
        </w:rPr>
      </w:pPr>
      <w:r w:rsidRPr="009F10EE">
        <w:rPr>
          <w:rFonts w:ascii="Times New Roman" w:eastAsia="Times New Roman" w:hAnsi="Times New Roman" w:cs="Times New Roman"/>
          <w:iCs/>
        </w:rPr>
        <w:t>Rekomenduojama dozė yra 40 mg (2 x 20 mg) kartą per parą su maistu arba be maisto.</w:t>
      </w:r>
    </w:p>
    <w:p w14:paraId="045E385C" w14:textId="77777777" w:rsidR="00470509" w:rsidRPr="009F10EE" w:rsidRDefault="00470509"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8F9B67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Ypatingos populiacijos</w:t>
      </w:r>
    </w:p>
    <w:p w14:paraId="1EDA26C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320DC26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Senyviems pacientams</w:t>
      </w:r>
    </w:p>
    <w:p w14:paraId="54E7F92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Senyviems pacientams dozės koreguoti nereikia.</w:t>
      </w:r>
    </w:p>
    <w:p w14:paraId="624D4FA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AF5FD15"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Pacientams, kurių inkstų funkcija sutrikusi</w:t>
      </w:r>
    </w:p>
    <w:p w14:paraId="59FADDAD"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i/>
          <w:lang w:eastAsia="lt-LT"/>
        </w:rPr>
      </w:pPr>
      <w:r w:rsidRPr="009F10EE">
        <w:rPr>
          <w:rFonts w:ascii="Times New Roman" w:eastAsia="TimesNewRomanPSMT" w:hAnsi="Times New Roman" w:cs="Times New Roman"/>
          <w:i/>
          <w:lang w:eastAsia="lt-LT"/>
        </w:rPr>
        <w:t>Suaugę vyrai, kuriems yra erekcijos funkcijos sutrikimas</w:t>
      </w:r>
    </w:p>
    <w:p w14:paraId="081727E4" w14:textId="5E4C7842"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Pacientams, kuriems yra lengvas arba vidutinio sunkumo inkstų funkcijos sutrikimas, dozės koreguoti nereikia. Pacientams, kuriems yra sunkus inkstų funkcijos sutrikimas, didžiausia rekomenduojama dozė yra 10 mg.</w:t>
      </w:r>
    </w:p>
    <w:p w14:paraId="7B621AD5"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p>
    <w:p w14:paraId="7DAC68BE"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Kasdieninės vienos tadalafilio paros dozės, pacientams, kuriems yra sunkus inkstų funkcijos sutrikimas, nerekomenduojamas (žr. 4.4 ir 5.2 skyrius).</w:t>
      </w:r>
    </w:p>
    <w:p w14:paraId="5A3B3B8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2D67A9A6"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i/>
          <w:iCs/>
        </w:rPr>
        <w:t>Plautinė arterinė hipertenzija</w:t>
      </w:r>
    </w:p>
    <w:p w14:paraId="7CE40597" w14:textId="58BD45BC" w:rsidR="008C4948" w:rsidRPr="009F10EE" w:rsidRDefault="008C4948" w:rsidP="00470509">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Pacientams, kuriems yra lengvas ar vidutinio sunkumo inkstų funkcijos sutrikimas, rekomenduojama kartą per parą vartoti 20 mg pradinę dozę. Atsižvelgiant į individualų veiksmingumą ir toleravimą, dozę galima padidinti iki 40 mg kartą per parą. Pacientams, kuriems yra sunkus inkstų funkcijos sutrikimas, tadalafilio vartoti nerekomenduojama (žr. 4.4 ir 5.2 skyrius)</w:t>
      </w:r>
    </w:p>
    <w:p w14:paraId="2D7B12FF" w14:textId="77777777" w:rsidR="00BA7026" w:rsidRPr="009F10EE" w:rsidRDefault="00BA7026" w:rsidP="00BA7026">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61BF454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Pacientams, kurių kepenų funkcija sutrikusi</w:t>
      </w:r>
    </w:p>
    <w:p w14:paraId="01D1CA0E"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i/>
          <w:lang w:eastAsia="lt-LT"/>
        </w:rPr>
      </w:pPr>
      <w:r w:rsidRPr="009F10EE">
        <w:rPr>
          <w:rFonts w:ascii="Times New Roman" w:eastAsia="TimesNewRomanPSMT" w:hAnsi="Times New Roman" w:cs="Times New Roman"/>
          <w:i/>
          <w:lang w:eastAsia="lt-LT"/>
        </w:rPr>
        <w:t>Suaugę vyrai, kuriems yra erekcijos funkcijos sutrikimas</w:t>
      </w:r>
    </w:p>
    <w:p w14:paraId="684127F7" w14:textId="5BD52BDA" w:rsidR="008C4948" w:rsidRPr="009F10EE" w:rsidRDefault="00BA7026" w:rsidP="008C4948">
      <w:pPr>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NewRomanPSMT" w:hAnsi="Times New Roman" w:cs="Times New Roman"/>
          <w:iCs/>
          <w:lang w:eastAsia="lt-LT"/>
        </w:rPr>
        <w:t>R</w:t>
      </w:r>
      <w:r w:rsidR="008C4948" w:rsidRPr="009F10EE">
        <w:rPr>
          <w:rFonts w:ascii="Times New Roman" w:eastAsia="TimesNewRomanPSMT" w:hAnsi="Times New Roman" w:cs="Times New Roman"/>
          <w:lang w:eastAsia="lt-LT"/>
        </w:rPr>
        <w:t xml:space="preserve">ekomenduojama tadalafilio dozė yra 10 mg. Ją reikia vartoti prieš planuojamus lytinius santykius, valgio metu arba nevalgius. Apie tadalafilio saugumą pacientams, kuriems yra sunkus kepenų funkcijos sutrikimas (C klasės pagal </w:t>
      </w:r>
      <w:r w:rsidR="008C4948" w:rsidRPr="009F10EE">
        <w:rPr>
          <w:rFonts w:ascii="Times New Roman" w:eastAsia="TimesNewRomanPSMT" w:hAnsi="Times New Roman" w:cs="Times New Roman"/>
          <w:i/>
          <w:lang w:eastAsia="lt-LT"/>
        </w:rPr>
        <w:t>Child</w:t>
      </w:r>
      <w:r w:rsidR="008C4948" w:rsidRPr="009F10EE">
        <w:rPr>
          <w:rFonts w:ascii="Times New Roman" w:eastAsia="Times New Roman" w:hAnsi="Times New Roman" w:cs="Times New Roman"/>
          <w:i/>
          <w:lang w:eastAsia="lt-LT"/>
        </w:rPr>
        <w:t>-</w:t>
      </w:r>
      <w:r w:rsidR="008C4948" w:rsidRPr="009F10EE">
        <w:rPr>
          <w:rFonts w:ascii="Times New Roman" w:eastAsia="TimesNewRomanPSMT" w:hAnsi="Times New Roman" w:cs="Times New Roman"/>
          <w:i/>
          <w:lang w:eastAsia="lt-LT"/>
        </w:rPr>
        <w:t>Pugh</w:t>
      </w:r>
      <w:r w:rsidR="008C4948" w:rsidRPr="009F10EE">
        <w:rPr>
          <w:rFonts w:ascii="Times New Roman" w:eastAsia="TimesNewRomanPSMT" w:hAnsi="Times New Roman" w:cs="Times New Roman"/>
          <w:lang w:eastAsia="lt-LT"/>
        </w:rPr>
        <w:t>), klinikinių duomenų yra nedaug. Prieš s</w:t>
      </w:r>
      <w:r w:rsidR="008C4948" w:rsidRPr="009F10EE">
        <w:rPr>
          <w:rFonts w:ascii="Times New Roman" w:eastAsia="Times New Roman" w:hAnsi="Times New Roman" w:cs="Times New Roman"/>
          <w:lang w:eastAsia="lt-LT"/>
        </w:rPr>
        <w:t xml:space="preserve">kirdamas šio </w:t>
      </w:r>
      <w:r w:rsidR="008C4948" w:rsidRPr="009F10EE">
        <w:rPr>
          <w:rFonts w:ascii="Times New Roman" w:eastAsia="TimesNewRomanPSMT" w:hAnsi="Times New Roman" w:cs="Times New Roman"/>
          <w:lang w:eastAsia="lt-LT"/>
        </w:rPr>
        <w:t>vaistinio preparato, gydytojas turi atidžiai įvertinti individualų naudos ir rizikos santykį tokiam pacientui. Apie pacientų, kurių kepenų funkcija sutrikusi, gydymą didesne negu 10 mg</w:t>
      </w:r>
      <w:r w:rsidR="008C4948" w:rsidRPr="009F10EE">
        <w:rPr>
          <w:rFonts w:ascii="Times New Roman" w:eastAsia="Times New Roman" w:hAnsi="Times New Roman" w:cs="Times New Roman"/>
          <w:lang w:eastAsia="lt-LT"/>
        </w:rPr>
        <w:t xml:space="preserve"> tadalafilio </w:t>
      </w:r>
      <w:r w:rsidR="008C4948" w:rsidRPr="009F10EE">
        <w:rPr>
          <w:rFonts w:ascii="Times New Roman" w:eastAsia="TimesNewRomanPSMT" w:hAnsi="Times New Roman" w:cs="Times New Roman"/>
          <w:lang w:eastAsia="lt-LT"/>
        </w:rPr>
        <w:t>doze, duomenų nėra.</w:t>
      </w:r>
    </w:p>
    <w:p w14:paraId="26A7275F"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p>
    <w:p w14:paraId="759E1C8F" w14:textId="77777777" w:rsidR="008C4948" w:rsidRPr="009F10EE" w:rsidRDefault="008C4948" w:rsidP="008C4948">
      <w:pPr>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Kasdieninis vienos</w:t>
      </w:r>
      <w:r w:rsidRPr="009F10EE">
        <w:rPr>
          <w:rFonts w:ascii="Times New Roman" w:hAnsi="Times New Roman" w:cs="Times New Roman"/>
        </w:rPr>
        <w:t xml:space="preserve"> </w:t>
      </w:r>
      <w:r w:rsidRPr="009F10EE">
        <w:rPr>
          <w:rFonts w:ascii="Times New Roman" w:eastAsia="TimesNewRomanPSMT" w:hAnsi="Times New Roman" w:cs="Times New Roman"/>
          <w:lang w:eastAsia="lt-LT"/>
        </w:rPr>
        <w:t>tadalafilio paros dozės vartojimas pacientams, kurių kepenų funkcija sutrikusi, netirtas. Prieš s</w:t>
      </w:r>
      <w:r w:rsidRPr="009F10EE">
        <w:rPr>
          <w:rFonts w:ascii="Times New Roman" w:eastAsia="Times New Roman" w:hAnsi="Times New Roman" w:cs="Times New Roman"/>
          <w:lang w:eastAsia="lt-LT"/>
        </w:rPr>
        <w:t xml:space="preserve">kirdamas šio </w:t>
      </w:r>
      <w:r w:rsidRPr="009F10EE">
        <w:rPr>
          <w:rFonts w:ascii="Times New Roman" w:eastAsia="TimesNewRomanPSMT" w:hAnsi="Times New Roman" w:cs="Times New Roman"/>
          <w:lang w:eastAsia="lt-LT"/>
        </w:rPr>
        <w:t xml:space="preserve">vaistinio preparato, gydytojas turi atidžiai įvertinti individualų naudos ir rizikos santykį tokiam pacientui (žr. 4.4 </w:t>
      </w:r>
      <w:r w:rsidRPr="009F10EE">
        <w:rPr>
          <w:rFonts w:ascii="Times New Roman" w:eastAsia="Times New Roman" w:hAnsi="Times New Roman" w:cs="Times New Roman"/>
          <w:lang w:eastAsia="lt-LT"/>
        </w:rPr>
        <w:t>ir 5.2 skyrius).</w:t>
      </w:r>
    </w:p>
    <w:p w14:paraId="4DBA8AD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86E364D" w14:textId="77777777" w:rsidR="008C4948" w:rsidRPr="009F10EE" w:rsidRDefault="008C4948" w:rsidP="00B65F27">
      <w:pPr>
        <w:keepNext/>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i/>
          <w:iCs/>
        </w:rPr>
        <w:lastRenderedPageBreak/>
        <w:t>Plautinė arterinė hipertenzija</w:t>
      </w:r>
    </w:p>
    <w:p w14:paraId="49750798" w14:textId="77777777" w:rsidR="00BA7026" w:rsidRPr="0035029B" w:rsidRDefault="008C4948" w:rsidP="00B65F27">
      <w:pPr>
        <w:keepNext/>
        <w:autoSpaceDE w:val="0"/>
        <w:autoSpaceDN w:val="0"/>
        <w:adjustRightInd w:val="0"/>
        <w:spacing w:after="0" w:line="240" w:lineRule="auto"/>
        <w:rPr>
          <w:rFonts w:ascii="Times New Roman" w:eastAsia="Times New Roman" w:hAnsi="Times New Roman" w:cs="Times New Roman"/>
          <w:iCs/>
        </w:rPr>
      </w:pPr>
      <w:r w:rsidRPr="009F10EE">
        <w:rPr>
          <w:rFonts w:ascii="Times New Roman" w:eastAsia="Times New Roman" w:hAnsi="Times New Roman" w:cs="Times New Roman"/>
          <w:iCs/>
        </w:rPr>
        <w:t xml:space="preserve">Klinikinės pacientų, kurie serga </w:t>
      </w:r>
      <w:r w:rsidRPr="0035029B">
        <w:rPr>
          <w:rFonts w:ascii="Times New Roman" w:eastAsia="Times New Roman" w:hAnsi="Times New Roman" w:cs="Times New Roman"/>
          <w:iCs/>
        </w:rPr>
        <w:t xml:space="preserve">lengva ar vidutinio sunkumo kepenų ciroze (A arba B klasės pagal </w:t>
      </w:r>
      <w:r w:rsidRPr="0035029B">
        <w:rPr>
          <w:rFonts w:ascii="Times New Roman" w:hAnsi="Times New Roman" w:cs="Times New Roman"/>
        </w:rPr>
        <w:t>Child-Pugh</w:t>
      </w:r>
      <w:r w:rsidRPr="0035029B">
        <w:rPr>
          <w:rFonts w:ascii="Times New Roman" w:eastAsia="Times New Roman" w:hAnsi="Times New Roman" w:cs="Times New Roman"/>
          <w:iCs/>
        </w:rPr>
        <w:t xml:space="preserve">), gydymo patirties yra nedaug, todėl po vienkartinės 10 mg dozės pavartojimo galima svarstyti pradinės 20 mg dozės vartojimą kartą per parą. </w:t>
      </w:r>
    </w:p>
    <w:p w14:paraId="6364BB0F" w14:textId="77777777" w:rsidR="00BA7026" w:rsidRPr="0035029B" w:rsidRDefault="00BA7026" w:rsidP="00B65F27">
      <w:pPr>
        <w:keepNext/>
        <w:autoSpaceDE w:val="0"/>
        <w:autoSpaceDN w:val="0"/>
        <w:adjustRightInd w:val="0"/>
        <w:spacing w:after="0" w:line="240" w:lineRule="auto"/>
        <w:rPr>
          <w:rFonts w:ascii="Times New Roman" w:eastAsia="Times New Roman" w:hAnsi="Times New Roman" w:cs="Times New Roman"/>
          <w:iCs/>
        </w:rPr>
      </w:pPr>
    </w:p>
    <w:p w14:paraId="0725DEAD" w14:textId="1C0030C6" w:rsidR="008C4948" w:rsidRPr="009F10EE" w:rsidRDefault="008C4948" w:rsidP="00B65F27">
      <w:pPr>
        <w:keepNext/>
        <w:autoSpaceDE w:val="0"/>
        <w:autoSpaceDN w:val="0"/>
        <w:adjustRightInd w:val="0"/>
        <w:spacing w:after="0" w:line="240" w:lineRule="auto"/>
        <w:rPr>
          <w:rFonts w:ascii="Times New Roman" w:eastAsia="Times New Roman" w:hAnsi="Times New Roman" w:cs="Times New Roman"/>
          <w:iCs/>
        </w:rPr>
      </w:pPr>
      <w:r w:rsidRPr="0035029B">
        <w:rPr>
          <w:rFonts w:ascii="Times New Roman" w:eastAsia="Times New Roman" w:hAnsi="Times New Roman" w:cs="Times New Roman"/>
          <w:iCs/>
        </w:rPr>
        <w:t>Jeigu skiriama vartoti tadalafilio, vaistinį preparatą skiriantis gydytojas turi atidžiai įvertinti individualų</w:t>
      </w:r>
      <w:r w:rsidRPr="009F10EE">
        <w:rPr>
          <w:rFonts w:ascii="Times New Roman" w:eastAsia="Times New Roman" w:hAnsi="Times New Roman" w:cs="Times New Roman"/>
          <w:iCs/>
        </w:rPr>
        <w:t xml:space="preserve"> naudos ir rizikos santykį. Tyrimų su pacientais, kurie serga sunkia kepenų ciroze (C klasės pagal Child-Pugh), neatlikta, todėl tokiems pacientams tadalafilio vartoti nerekomenduojama (žr. 4.4 ir 5.2 skyrius).</w:t>
      </w:r>
    </w:p>
    <w:p w14:paraId="52DC36E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5328A7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Cukriniu diabetu sergantiems vyrams</w:t>
      </w:r>
    </w:p>
    <w:p w14:paraId="5EF6D59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Suaugę vyrai, kuriems yra erekcijos funkcijos sutrikimas</w:t>
      </w:r>
    </w:p>
    <w:p w14:paraId="3E6BE97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Cukriniu diabetu sergantiems pacientams dozės koreguoti nereikia.</w:t>
      </w:r>
    </w:p>
    <w:p w14:paraId="4CE7CF72" w14:textId="76DCCD3B"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40E2D1D" w14:textId="35CDFDCA" w:rsidR="008C4948" w:rsidRPr="009F10EE" w:rsidDel="00470509"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sidDel="00470509">
        <w:rPr>
          <w:rFonts w:ascii="Times New Roman" w:eastAsia="TimesNewRomanPSMT" w:hAnsi="Times New Roman" w:cs="Times New Roman"/>
          <w:i/>
          <w:iCs/>
          <w:lang w:eastAsia="lt-LT"/>
        </w:rPr>
        <w:t>Vaikų populiacija</w:t>
      </w:r>
    </w:p>
    <w:p w14:paraId="5EE5B688" w14:textId="0EA37D10" w:rsidR="008C4948" w:rsidRPr="009F10EE" w:rsidDel="00470509"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sidDel="00470509">
        <w:rPr>
          <w:rFonts w:ascii="Times New Roman" w:eastAsia="Times New Roman" w:hAnsi="Times New Roman" w:cs="Times New Roman"/>
          <w:lang w:eastAsia="lt-LT"/>
        </w:rPr>
        <w:t>Tadalafil Accord</w:t>
      </w:r>
      <w:r w:rsidRPr="009F10EE" w:rsidDel="00470509">
        <w:rPr>
          <w:rFonts w:ascii="Times New Roman" w:eastAsia="TimesNewRomanPSMT" w:hAnsi="Times New Roman" w:cs="Times New Roman"/>
          <w:lang w:eastAsia="lt-LT"/>
        </w:rPr>
        <w:t xml:space="preserve"> nėra skirtas vaikų populiacijai erekcijos funkcijos sutrikimui gydyti.</w:t>
      </w:r>
    </w:p>
    <w:p w14:paraId="2D986922" w14:textId="244BC766" w:rsidR="008C4948" w:rsidRPr="009F10EE" w:rsidDel="00470509"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sidDel="00470509">
        <w:rPr>
          <w:rFonts w:ascii="Times New Roman" w:eastAsia="Times New Roman" w:hAnsi="Times New Roman" w:cs="Times New Roman"/>
          <w:lang w:eastAsia="lt-LT"/>
        </w:rPr>
        <w:t>Tadalafilio saugumas ir veiksmingumas vaikų populiacijai dar neištirti. Šiuo metu turimi duomenys aprašyti 5.1 skyriuje.</w:t>
      </w:r>
    </w:p>
    <w:p w14:paraId="4B05FC2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3FA6D329" w14:textId="77777777" w:rsidR="008C4948" w:rsidRPr="009F10EE" w:rsidRDefault="008C4948" w:rsidP="007D3ACB">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Vartojimo metodas</w:t>
      </w:r>
    </w:p>
    <w:p w14:paraId="7DFF9CD0" w14:textId="77777777" w:rsidR="008C4948" w:rsidRPr="009F10EE" w:rsidRDefault="008C4948" w:rsidP="007D3ACB">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522FDE5C" w14:textId="77777777" w:rsidR="008C4948" w:rsidRPr="009F10EE" w:rsidRDefault="008C4948" w:rsidP="007D3ACB">
      <w:pPr>
        <w:keepNext/>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Tabletes reikia vartoti per burną.</w:t>
      </w:r>
    </w:p>
    <w:p w14:paraId="11724093"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p>
    <w:p w14:paraId="6723F003" w14:textId="77777777" w:rsidR="008C4948" w:rsidRPr="009F10EE" w:rsidRDefault="008C4948" w:rsidP="008C4948">
      <w:pPr>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4.3</w:t>
      </w:r>
      <w:r w:rsidRPr="009F10EE">
        <w:rPr>
          <w:rFonts w:ascii="Times New Roman" w:eastAsia="Times New Roman" w:hAnsi="Times New Roman" w:cs="Times New Roman"/>
          <w:b/>
        </w:rPr>
        <w:tab/>
        <w:t>Kontraindikacijos</w:t>
      </w:r>
    </w:p>
    <w:p w14:paraId="68BB8E29"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p>
    <w:p w14:paraId="7E49AA6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Padidėjęs jautrumas veikliajai arba bet kuriai 6.1 skyriuje nurodytai pagalbinei medžiagai.</w:t>
      </w:r>
    </w:p>
    <w:p w14:paraId="6B1A7C9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22AAAF5" w14:textId="007169B5"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Klinikinių tyrimų metu nustatyta, kad tadalafilis stiprina nitratų sukeliamą hipotenzinį poveikį. Manoma, kad tai lemia bendras nitratų ir tadalafilio poveikis azoto oksido ir cGMF reakcijų grandinei. Vadinasi, Tadalafil Accord </w:t>
      </w:r>
      <w:r w:rsidR="00C967AC">
        <w:rPr>
          <w:rFonts w:ascii="Times New Roman" w:eastAsia="Times New Roman" w:hAnsi="Times New Roman" w:cs="Times New Roman"/>
          <w:lang w:eastAsia="lt-LT"/>
        </w:rPr>
        <w:t>draudžiama</w:t>
      </w:r>
      <w:r w:rsidR="00C967AC" w:rsidRPr="009F10EE">
        <w:rPr>
          <w:rFonts w:ascii="Times New Roman" w:eastAsia="Times New Roman" w:hAnsi="Times New Roman" w:cs="Times New Roman"/>
          <w:lang w:eastAsia="lt-LT"/>
        </w:rPr>
        <w:t xml:space="preserve"> </w:t>
      </w:r>
      <w:r w:rsidRPr="009F10EE">
        <w:rPr>
          <w:rFonts w:ascii="Times New Roman" w:eastAsia="Times New Roman" w:hAnsi="Times New Roman" w:cs="Times New Roman"/>
          <w:lang w:eastAsia="lt-LT"/>
        </w:rPr>
        <w:t>skirti pacientams, vartojantiems bet kokių organinių nitratų preparatų (žr. 4.5 skyrių).</w:t>
      </w:r>
    </w:p>
    <w:p w14:paraId="69ED6DD1"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49ACBA8" w14:textId="4B1110E2"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Tadalafil Accord </w:t>
      </w:r>
      <w:r w:rsidR="00C967AC" w:rsidRPr="009F10EE">
        <w:rPr>
          <w:rFonts w:ascii="Times New Roman" w:eastAsia="Times New Roman" w:hAnsi="Times New Roman" w:cs="Times New Roman"/>
          <w:lang w:eastAsia="lt-LT"/>
        </w:rPr>
        <w:t>ne</w:t>
      </w:r>
      <w:r w:rsidR="00C967AC">
        <w:rPr>
          <w:rFonts w:ascii="Times New Roman" w:eastAsia="Times New Roman" w:hAnsi="Times New Roman" w:cs="Times New Roman"/>
          <w:lang w:eastAsia="lt-LT"/>
        </w:rPr>
        <w:t>turi</w:t>
      </w:r>
      <w:r w:rsidR="00C967AC" w:rsidRPr="009F10EE">
        <w:rPr>
          <w:rFonts w:ascii="Times New Roman" w:eastAsia="Times New Roman" w:hAnsi="Times New Roman" w:cs="Times New Roman"/>
          <w:lang w:eastAsia="lt-LT"/>
        </w:rPr>
        <w:t xml:space="preserve"> </w:t>
      </w:r>
      <w:r w:rsidRPr="009F10EE">
        <w:rPr>
          <w:rFonts w:ascii="Times New Roman" w:eastAsia="Times New Roman" w:hAnsi="Times New Roman" w:cs="Times New Roman"/>
          <w:lang w:eastAsia="lt-LT"/>
        </w:rPr>
        <w:t>vartoti vyra</w:t>
      </w:r>
      <w:r w:rsidR="00C967AC">
        <w:rPr>
          <w:rFonts w:ascii="Times New Roman" w:eastAsia="Times New Roman" w:hAnsi="Times New Roman" w:cs="Times New Roman"/>
          <w:lang w:eastAsia="lt-LT"/>
        </w:rPr>
        <w:t>i</w:t>
      </w:r>
      <w:r w:rsidRPr="009F10EE">
        <w:rPr>
          <w:rFonts w:ascii="Times New Roman" w:eastAsia="Times New Roman" w:hAnsi="Times New Roman" w:cs="Times New Roman"/>
          <w:lang w:eastAsia="lt-LT"/>
        </w:rPr>
        <w:t>, kurie serga širdies liga, dėl kurios seksualinis aktyvumas nerekomenduojamas. Jeigu pacientas serga širdies ir kraujagyslių sistemos liga, gydytojas turi įvertinti seksualinio aktyvumo keliamą riziką širdžiai.</w:t>
      </w:r>
    </w:p>
    <w:p w14:paraId="5183D8FA"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4A27CCB5" w14:textId="65CC3033"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Toliau nurodytų grupių pacientai, sergantys širdies ir kraujagyslių sistemos ligomis, klinikiniuose tyrimuose nedalyvavo, todėl jiems tadalafilio vartoti </w:t>
      </w:r>
      <w:r w:rsidR="00C967AC">
        <w:rPr>
          <w:rFonts w:ascii="Times New Roman" w:eastAsia="Times New Roman" w:hAnsi="Times New Roman" w:cs="Times New Roman"/>
          <w:lang w:eastAsia="lt-LT"/>
        </w:rPr>
        <w:t>draudžiama:</w:t>
      </w:r>
    </w:p>
    <w:p w14:paraId="73E50614" w14:textId="77777777" w:rsidR="008C4948" w:rsidRPr="009F10EE" w:rsidRDefault="008C4948" w:rsidP="008C4948">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pacientai, kuriuos per paskutines 90 dienų ištiko miokardo infarktas;</w:t>
      </w:r>
    </w:p>
    <w:p w14:paraId="342734A9" w14:textId="77777777" w:rsidR="008C4948" w:rsidRPr="009F10EE" w:rsidRDefault="008C4948" w:rsidP="008C4948">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pacientai, kurie serga nestabilia krūtinės angina arba kuriems krūtinės angina pasireiškia lytinio akto metu;</w:t>
      </w:r>
    </w:p>
    <w:p w14:paraId="5F1C19EC" w14:textId="77777777" w:rsidR="008C4948" w:rsidRPr="009F10EE" w:rsidRDefault="008C4948" w:rsidP="008C4948">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pacientai, kurie per paskutinius 6 mėn. sirgo 2 klasės pagal NYHA arba sunkesniu širdies nepakankamumu;</w:t>
      </w:r>
    </w:p>
    <w:p w14:paraId="541B6D77" w14:textId="77777777" w:rsidR="008C4948" w:rsidRPr="009F10EE" w:rsidRDefault="008C4948" w:rsidP="008C4948">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pacientai, kurie serga nekontroliuojama aritmija, hipotenzija (&lt; 90/50 mmHg) arba nekontroliuojama hipertenzija;</w:t>
      </w:r>
    </w:p>
    <w:p w14:paraId="3B435C4D" w14:textId="77777777" w:rsidR="008C4948" w:rsidRPr="009F10EE" w:rsidRDefault="008C4948" w:rsidP="008C4948">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pacientai, kuriuos per paskutinius 6 mėn. ištiko insultas.</w:t>
      </w:r>
    </w:p>
    <w:p w14:paraId="2238C94C"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78F1B7C" w14:textId="6561FF00"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Tadalafil Accord </w:t>
      </w:r>
      <w:r w:rsidR="00C967AC">
        <w:rPr>
          <w:rFonts w:ascii="Times New Roman" w:eastAsia="Times New Roman" w:hAnsi="Times New Roman" w:cs="Times New Roman"/>
          <w:lang w:eastAsia="lt-LT"/>
        </w:rPr>
        <w:t>draudžiama</w:t>
      </w:r>
      <w:r w:rsidR="00C967AC" w:rsidRPr="009F10EE">
        <w:rPr>
          <w:rFonts w:ascii="Times New Roman" w:eastAsia="Times New Roman" w:hAnsi="Times New Roman" w:cs="Times New Roman"/>
          <w:lang w:eastAsia="lt-LT"/>
        </w:rPr>
        <w:t xml:space="preserve"> </w:t>
      </w:r>
      <w:r w:rsidRPr="009F10EE">
        <w:rPr>
          <w:rFonts w:ascii="Times New Roman" w:eastAsia="Times New Roman" w:hAnsi="Times New Roman" w:cs="Times New Roman"/>
          <w:lang w:eastAsia="lt-LT"/>
        </w:rPr>
        <w:t>vartoti pacientams, kuriems atsirado vienos akies aklumas dėl ne arterito sukeltos priekinės išeminės regos nervo neuropatijos (</w:t>
      </w:r>
      <w:r w:rsidRPr="009F10EE">
        <w:rPr>
          <w:rFonts w:ascii="Times New Roman" w:eastAsia="Times New Roman" w:hAnsi="Times New Roman" w:cs="Times New Roman"/>
          <w:i/>
          <w:lang w:eastAsia="lt-LT"/>
        </w:rPr>
        <w:t>non-arteritic anterior ischaemic optic neuropathy</w:t>
      </w:r>
      <w:r w:rsidRPr="009F10EE">
        <w:rPr>
          <w:rFonts w:ascii="Times New Roman" w:eastAsia="Times New Roman" w:hAnsi="Times New Roman" w:cs="Times New Roman"/>
          <w:lang w:eastAsia="lt-LT"/>
        </w:rPr>
        <w:t>, NAION), nepriklausomai nuo to, ar toks epizodas buvo susijęs su ankstesniu fosfodiesterazės-5 (FDE5) inhibitorių vartojimu (žr. 4.4 skyrių).</w:t>
      </w:r>
    </w:p>
    <w:p w14:paraId="481E4AB3"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4D24892C" w14:textId="7B80811B"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Skirti FDE5 inhibitorių, tokių kaip tadalafilio kartu su guanilatciklazės stimuliatoriais, tokiais kaip riociguatu </w:t>
      </w:r>
      <w:r w:rsidR="00C967AC">
        <w:rPr>
          <w:rFonts w:ascii="Times New Roman" w:eastAsia="Times New Roman" w:hAnsi="Times New Roman" w:cs="Times New Roman"/>
          <w:lang w:eastAsia="lt-LT"/>
        </w:rPr>
        <w:t>draudžiama</w:t>
      </w:r>
      <w:r w:rsidRPr="009F10EE">
        <w:rPr>
          <w:rFonts w:ascii="Times New Roman" w:eastAsia="Times New Roman" w:hAnsi="Times New Roman" w:cs="Times New Roman"/>
          <w:lang w:eastAsia="lt-LT"/>
        </w:rPr>
        <w:t>, nes tai galėtų sukelti simptominę hipotenziją (žr. 4.5 skyrių).</w:t>
      </w:r>
    </w:p>
    <w:p w14:paraId="0DAF362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15BD2F7E" w14:textId="77777777" w:rsidR="008C4948" w:rsidRPr="009F10EE" w:rsidRDefault="008C4948" w:rsidP="0068582E">
      <w:pPr>
        <w:tabs>
          <w:tab w:val="left" w:pos="567"/>
        </w:tabs>
        <w:spacing w:after="0" w:line="240" w:lineRule="auto"/>
        <w:rPr>
          <w:rFonts w:ascii="Times New Roman" w:eastAsia="Times New Roman" w:hAnsi="Times New Roman" w:cs="Times New Roman"/>
          <w:b/>
          <w:lang w:eastAsia="lt-LT"/>
        </w:rPr>
      </w:pPr>
      <w:r w:rsidRPr="009F10EE">
        <w:rPr>
          <w:rFonts w:ascii="Times New Roman" w:eastAsia="Times New Roman" w:hAnsi="Times New Roman" w:cs="Times New Roman"/>
          <w:b/>
          <w:lang w:eastAsia="lt-LT"/>
        </w:rPr>
        <w:t>4.4</w:t>
      </w:r>
      <w:r w:rsidRPr="009F10EE">
        <w:rPr>
          <w:rFonts w:ascii="Times New Roman" w:eastAsia="Times New Roman" w:hAnsi="Times New Roman" w:cs="Times New Roman"/>
          <w:b/>
          <w:lang w:eastAsia="lt-LT"/>
        </w:rPr>
        <w:tab/>
        <w:t>Specialūs įspėjimai ir atsargumo priemonės</w:t>
      </w:r>
    </w:p>
    <w:p w14:paraId="15D3A687" w14:textId="77777777" w:rsidR="008C4948" w:rsidRPr="009F10EE" w:rsidRDefault="008C4948" w:rsidP="0068582E">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73A853E5" w14:textId="77777777" w:rsidR="008C4948" w:rsidRPr="009F10EE" w:rsidRDefault="008C4948" w:rsidP="0068582E">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Prieš gydymą Tadalafil Accord</w:t>
      </w:r>
    </w:p>
    <w:p w14:paraId="1BA763A4" w14:textId="77777777" w:rsidR="008C4948" w:rsidRPr="009F10EE" w:rsidRDefault="008C4948" w:rsidP="0068582E">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7FA65055"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 xml:space="preserve">Prieš pradedant gydymą vaistiniais preparatais, reikia susipažinti su paciento ligos istorija ir jį ištirti, kad būtų galima nustatyti erekcijos disfunkciją ir galimą jos priežastį. </w:t>
      </w:r>
    </w:p>
    <w:p w14:paraId="2A64D134"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Prieš pradėdamas bet kokį erekcijos sutrikimo gydymą, gydytojas turi įvertinti paciento širdies ir kraujagyslių sistemos būklę, nes galima su seksualiniu aktyvumu susijusi rizika širdžiai. Tadalafilis plečia kraujagysles, todėl laikinai šiek tiek sumažina kraujospūdį (žr. 5.1 skyrių) ir taip sustiprina nitratų sukeliamą hipotenzinį poveikį (žr. 4.3 skyrių).</w:t>
      </w:r>
    </w:p>
    <w:p w14:paraId="78BA895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2733931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Erekcijos funkcijos sutrikimo įvertinimas turi apimti galimų priežasčių ir tinkamo gydymo nustatymą po atitinkamo medicininio ištyrimo. Nežinoma, ar tadalafilis yra veiksmingas pacientams, kuriems atlikta dubens organų chirurginė operacija arba radikali nervų netausojanti prostatos pašalinimo operacija.</w:t>
      </w:r>
    </w:p>
    <w:p w14:paraId="009EB41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36FD548" w14:textId="4E5BE8F5" w:rsidR="008C4948" w:rsidRPr="009F10EE" w:rsidRDefault="008C4948" w:rsidP="007D3ACB">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 xml:space="preserve">Širdies ir kraujagyslių </w:t>
      </w:r>
      <w:r w:rsidR="00BA7026">
        <w:rPr>
          <w:rFonts w:ascii="Times New Roman" w:eastAsia="TimesNewRomanPSMT" w:hAnsi="Times New Roman" w:cs="Times New Roman"/>
          <w:u w:val="single"/>
          <w:lang w:eastAsia="lt-LT"/>
        </w:rPr>
        <w:t>ligos</w:t>
      </w:r>
    </w:p>
    <w:p w14:paraId="54561FD2" w14:textId="77777777" w:rsidR="008C4948" w:rsidRPr="009F10EE" w:rsidRDefault="008C4948" w:rsidP="007D3ACB">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070F997A" w14:textId="77777777" w:rsidR="008C4948" w:rsidRPr="009F10EE" w:rsidRDefault="008C4948" w:rsidP="007D3ACB">
      <w:pPr>
        <w:keepNext/>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Po vaistinio preparato patekimo į rinką ir (arba) klinikinių tyrimų metu buvo pranešta apie sunkius širdies ir kraujagyslių sistemos reiškinius, įskaitant miokardo infarktą, staigią kardialinę mirtį, nestabiliąją krūtinės anginą, skilvelinę aritmiją, insultą, praeinantį išemijos priepuolį, krūtinės skausmą, palpitacijas ir tachikardiją. Daugumai pacientų, kuriems pasireiškė šie reiškiniai, širdies ir kraujagyslių sistemos sutrikimo rizikos veiksnių buvo prieš pradedant gydymą. Vis dėlto neįmanoma tiksliai nustatyti, ar šie reiškiniai yra tiesiogiai susiję su minėtais rizikos veiksniais, tadalafilio poveikiu, seksualiniu aktyvumu ar su šių bei kitų veiksnių deriniu.</w:t>
      </w:r>
    </w:p>
    <w:p w14:paraId="7C7F9D28"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46BCFE71"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PAH klinikiniuose tyrimuose nedalyvavo toliau išvardytų grupių pacientai, sergantys kardiovaskuline liga.</w:t>
      </w:r>
    </w:p>
    <w:p w14:paraId="5B7A1914" w14:textId="77777777" w:rsidR="008C4948" w:rsidRPr="009F10EE" w:rsidRDefault="008C4948" w:rsidP="008C4948">
      <w:pPr>
        <w:spacing w:after="0" w:line="240" w:lineRule="auto"/>
        <w:rPr>
          <w:rFonts w:ascii="Times New Roman" w:eastAsia="Times New Roman" w:hAnsi="Times New Roman" w:cs="Times New Roman"/>
        </w:rPr>
      </w:pPr>
    </w:p>
    <w:p w14:paraId="762100E9" w14:textId="77777777" w:rsidR="008C4948" w:rsidRPr="009F10EE" w:rsidRDefault="008C4948" w:rsidP="008C4948">
      <w:pPr>
        <w:numPr>
          <w:ilvl w:val="0"/>
          <w:numId w:val="2"/>
        </w:num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Pacientai, kurie serga kliniškai reikšminga aortos ir dviburio vožtuvo liga.</w:t>
      </w:r>
    </w:p>
    <w:p w14:paraId="6B2CD304" w14:textId="77777777" w:rsidR="008C4948" w:rsidRPr="009F10EE" w:rsidRDefault="008C4948" w:rsidP="008C4948">
      <w:pPr>
        <w:numPr>
          <w:ilvl w:val="0"/>
          <w:numId w:val="2"/>
        </w:num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Pacientai, kuriems pasireiškė perikardo suspaudimas.</w:t>
      </w:r>
    </w:p>
    <w:p w14:paraId="31A841B5" w14:textId="77777777" w:rsidR="008C4948" w:rsidRPr="009F10EE" w:rsidRDefault="008C4948" w:rsidP="008C4948">
      <w:pPr>
        <w:numPr>
          <w:ilvl w:val="0"/>
          <w:numId w:val="2"/>
        </w:num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Pacientai, kurie serga restrikcine arba stazine kardiomiopatija.</w:t>
      </w:r>
    </w:p>
    <w:p w14:paraId="1EED7CF8" w14:textId="77777777" w:rsidR="008C4948" w:rsidRPr="009F10EE" w:rsidRDefault="008C4948" w:rsidP="008C4948">
      <w:pPr>
        <w:numPr>
          <w:ilvl w:val="0"/>
          <w:numId w:val="2"/>
        </w:num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Pacientai, kuriems pasireiškė reikšmingas kairiojo skilvelio funkcijos sutrikimas.</w:t>
      </w:r>
    </w:p>
    <w:p w14:paraId="17E0031F" w14:textId="77777777" w:rsidR="008C4948" w:rsidRPr="009F10EE" w:rsidRDefault="008C4948" w:rsidP="008C4948">
      <w:pPr>
        <w:numPr>
          <w:ilvl w:val="0"/>
          <w:numId w:val="2"/>
        </w:num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Pacientai, kuriems pasireiškė gyvybei pavojingos aritmijos.</w:t>
      </w:r>
    </w:p>
    <w:p w14:paraId="07E48B9D" w14:textId="77777777" w:rsidR="008C4948" w:rsidRPr="009F10EE" w:rsidRDefault="008C4948" w:rsidP="008C4948">
      <w:pPr>
        <w:numPr>
          <w:ilvl w:val="0"/>
          <w:numId w:val="2"/>
        </w:num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Pacientai, kuriems pasireiškė simptominė išeminė širdies liga.</w:t>
      </w:r>
    </w:p>
    <w:p w14:paraId="65CCC739" w14:textId="77777777" w:rsidR="008C4948" w:rsidRPr="009F10EE" w:rsidRDefault="008C4948" w:rsidP="008C4948">
      <w:pPr>
        <w:numPr>
          <w:ilvl w:val="0"/>
          <w:numId w:val="2"/>
        </w:num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Pacientai, kurie serga nekontroliuojama hipertenzija.</w:t>
      </w:r>
    </w:p>
    <w:p w14:paraId="7C03B097" w14:textId="77777777" w:rsidR="008C4948" w:rsidRPr="009F10EE" w:rsidRDefault="008C4948" w:rsidP="008C4948">
      <w:pPr>
        <w:spacing w:after="0" w:line="240" w:lineRule="auto"/>
        <w:rPr>
          <w:rFonts w:ascii="Times New Roman" w:eastAsia="Times New Roman" w:hAnsi="Times New Roman" w:cs="Times New Roman"/>
        </w:rPr>
      </w:pPr>
    </w:p>
    <w:p w14:paraId="349A9DB9"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Klinikinių saugumo duomenų apie tokius pacientus nėra, todėl jiems tadalafilio vartoti nerekomenduojama.</w:t>
      </w:r>
    </w:p>
    <w:p w14:paraId="2AA18844" w14:textId="77777777" w:rsidR="008C4948" w:rsidRPr="009F10EE" w:rsidRDefault="008C4948" w:rsidP="008C4948">
      <w:pPr>
        <w:spacing w:after="0" w:line="240" w:lineRule="auto"/>
        <w:rPr>
          <w:rFonts w:ascii="Times New Roman" w:eastAsia="Times New Roman" w:hAnsi="Times New Roman" w:cs="Times New Roman"/>
        </w:rPr>
      </w:pPr>
    </w:p>
    <w:p w14:paraId="11F56C2D"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Plaučių kraujagysles plečiantys vaistiniai preparatai gali reikšmingai pasunkinti pacientų, kurie serga plaučių venų okliuzine liga (PVOL), širdies ir kraujagyslių sistemos būklę. Klinikinių tyrimų duomenų apie tadalafilio vartojimą pacientams, kurie serga venų okliuzine liga, nėra, todėl tokiems pacientams tadalafilio vartoti nerekomenduojama. Jeigu vartojant tadalafilio atsiranda plaučių edemos požymių, reikia pagalvoti, kad tai gali būti susiję su PVOL.</w:t>
      </w:r>
    </w:p>
    <w:p w14:paraId="0F43BB2A" w14:textId="77777777" w:rsidR="008C4948" w:rsidRPr="009F10EE" w:rsidRDefault="008C4948" w:rsidP="008C4948">
      <w:pPr>
        <w:spacing w:after="0" w:line="240" w:lineRule="auto"/>
        <w:rPr>
          <w:rFonts w:ascii="Times New Roman" w:eastAsia="Times New Roman" w:hAnsi="Times New Roman" w:cs="Times New Roman"/>
        </w:rPr>
      </w:pPr>
    </w:p>
    <w:p w14:paraId="346FF24E"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 xml:space="preserve">Tadalafilis sukelia sisteminį vazodilatacinį poveikį, dėl kurio gali pasireikšti laikinas kraujospūdžio sumažėjimas. Gydytojas turi atsižvelgti į tai, kad dėl tokios vazodilatacijos gali pasireikšti nepageidaujamas poveikis pacientams, kuriems yra tam tikrų gretutinių būklių, pavyzdžiui, sunki kraujo nutekėjimo iš kairiojo skilvelio obstrukcija, skysčių netekimas, autonominė hipotenzija, arba pacientams, kuriems pasireiškia hipotenzija ramybės metu. </w:t>
      </w:r>
    </w:p>
    <w:p w14:paraId="45AF6F14"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6453CD0"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lastRenderedPageBreak/>
        <w:t>Jeigu tadalafilio vartojama kartu su alfa 1 adrenoreceptorių blokatoriais, kai kuriems pacientams gali atsirasti hipotenzijos simptomų (žr. 4.5 skyrių). Tadalafilio nerekomenduojama vartoti kartu su doksazosinu.</w:t>
      </w:r>
    </w:p>
    <w:p w14:paraId="593ADCA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22F5AC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Rega</w:t>
      </w:r>
    </w:p>
    <w:p w14:paraId="2DB9ED3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50CE32EB" w14:textId="3704CE5B" w:rsidR="008C4948" w:rsidRPr="009F10EE" w:rsidRDefault="008C4948" w:rsidP="00BA702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Gauta pranešimų apie su tadalafilio ir kitų FDE5 inhibitorių vartojimu susijusius regos sutrikimo</w:t>
      </w:r>
      <w:r w:rsidR="00BA7026">
        <w:rPr>
          <w:rFonts w:ascii="Times New Roman" w:eastAsia="TimesNewRomanPSMT" w:hAnsi="Times New Roman" w:cs="Times New Roman"/>
          <w:lang w:eastAsia="lt-LT"/>
        </w:rPr>
        <w:t xml:space="preserve">, </w:t>
      </w:r>
      <w:r w:rsidR="00BA7026" w:rsidRPr="00BA7026">
        <w:rPr>
          <w:rFonts w:ascii="Times New Roman" w:eastAsia="TimesNewRomanPSMT" w:hAnsi="Times New Roman" w:cs="Times New Roman"/>
          <w:lang w:eastAsia="lt-LT"/>
        </w:rPr>
        <w:t>įskaitant centrinę serozinę chorioretinopatiją (CSCR),</w:t>
      </w:r>
      <w:r w:rsidRPr="009F10EE">
        <w:rPr>
          <w:rFonts w:ascii="Times New Roman" w:eastAsia="TimesNewRomanPSMT" w:hAnsi="Times New Roman" w:cs="Times New Roman"/>
          <w:lang w:eastAsia="lt-LT"/>
        </w:rPr>
        <w:t xml:space="preserve"> ir ne arterito sukeltos priekinės išeminės regos nervo neuropatijos (angl. </w:t>
      </w:r>
      <w:r w:rsidRPr="009F10EE">
        <w:rPr>
          <w:rFonts w:ascii="Times New Roman" w:eastAsia="TimesNewRomanPSMT" w:hAnsi="Times New Roman" w:cs="Times New Roman"/>
          <w:i/>
          <w:iCs/>
          <w:lang w:eastAsia="lt-LT"/>
        </w:rPr>
        <w:t>NAION</w:t>
      </w:r>
      <w:r w:rsidRPr="009F10EE">
        <w:rPr>
          <w:rFonts w:ascii="Times New Roman" w:eastAsia="TimesNewRomanPSMT" w:hAnsi="Times New Roman" w:cs="Times New Roman"/>
          <w:lang w:eastAsia="lt-LT"/>
        </w:rPr>
        <w:t xml:space="preserve">) atvejus. </w:t>
      </w:r>
      <w:r w:rsidR="00BA7026" w:rsidRPr="00BA7026">
        <w:rPr>
          <w:rFonts w:ascii="Times New Roman" w:eastAsia="TimesNewRomanPSMT" w:hAnsi="Times New Roman" w:cs="Times New Roman"/>
          <w:lang w:eastAsia="lt-LT"/>
        </w:rPr>
        <w:t>Nutraukus tadalafilio</w:t>
      </w:r>
      <w:r w:rsidR="00BA7026">
        <w:rPr>
          <w:rFonts w:ascii="Times New Roman" w:eastAsia="TimesNewRomanPSMT" w:hAnsi="Times New Roman" w:cs="Times New Roman"/>
          <w:lang w:eastAsia="lt-LT"/>
        </w:rPr>
        <w:t xml:space="preserve"> </w:t>
      </w:r>
      <w:r w:rsidR="00BA7026" w:rsidRPr="00BA7026">
        <w:rPr>
          <w:rFonts w:ascii="Times New Roman" w:eastAsia="TimesNewRomanPSMT" w:hAnsi="Times New Roman" w:cs="Times New Roman"/>
          <w:lang w:eastAsia="lt-LT"/>
        </w:rPr>
        <w:t xml:space="preserve">vartojimą, dauguma atvejų CSCR išnyko savaime. Vertinant NAION, </w:t>
      </w:r>
      <w:r w:rsidR="00BA7026">
        <w:rPr>
          <w:rFonts w:ascii="Times New Roman" w:eastAsia="TimesNewRomanPSMT" w:hAnsi="Times New Roman" w:cs="Times New Roman"/>
          <w:lang w:eastAsia="lt-LT"/>
        </w:rPr>
        <w:t>i</w:t>
      </w:r>
      <w:r w:rsidRPr="009F10EE">
        <w:rPr>
          <w:rFonts w:ascii="Times New Roman" w:eastAsia="TimesNewRomanPSMT" w:hAnsi="Times New Roman" w:cs="Times New Roman"/>
          <w:lang w:eastAsia="lt-LT"/>
        </w:rPr>
        <w:t xml:space="preserve">štyrus stebėjimo duomenis nustatytas padidėjęs ūmios NAION pavojus erekcijos sutrikimų turintiems vyrams, vartojusiems tadalafilio ar kitų FDE5 inhibitorių. Kadangi tai gali būti taikoma visiems tadalafilio vartojusiems pacientams, pacientą būtina įspėti, kad staiga sutrikus regai, </w:t>
      </w:r>
      <w:r w:rsidR="00BA7026" w:rsidRPr="00BA7026">
        <w:rPr>
          <w:rFonts w:ascii="Times New Roman" w:eastAsia="TimesNewRomanPSMT" w:hAnsi="Times New Roman" w:cs="Times New Roman"/>
          <w:lang w:eastAsia="lt-LT"/>
        </w:rPr>
        <w:t>sumažėjus</w:t>
      </w:r>
      <w:r w:rsidR="00BA7026">
        <w:rPr>
          <w:rFonts w:ascii="Times New Roman" w:eastAsia="TimesNewRomanPSMT" w:hAnsi="Times New Roman" w:cs="Times New Roman"/>
          <w:lang w:eastAsia="lt-LT"/>
        </w:rPr>
        <w:t xml:space="preserve"> </w:t>
      </w:r>
      <w:r w:rsidR="00BA7026" w:rsidRPr="00BA7026">
        <w:rPr>
          <w:rFonts w:ascii="Times New Roman" w:eastAsia="TimesNewRomanPSMT" w:hAnsi="Times New Roman" w:cs="Times New Roman"/>
          <w:lang w:eastAsia="lt-LT"/>
        </w:rPr>
        <w:t xml:space="preserve">regos aštrumui ir (arba) atsiradus matomo vaizdo iškraipymų, </w:t>
      </w:r>
      <w:r w:rsidRPr="009F10EE">
        <w:rPr>
          <w:rFonts w:ascii="Times New Roman" w:eastAsia="TimesNewRomanPSMT" w:hAnsi="Times New Roman" w:cs="Times New Roman"/>
          <w:lang w:eastAsia="lt-LT"/>
        </w:rPr>
        <w:t xml:space="preserve">Tadalafil Accord vartojimą būtina nutraukti ir nedelsiant kreiptis į gydytoją (žr. 4.3 skyrių). </w:t>
      </w:r>
    </w:p>
    <w:p w14:paraId="1184365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82580B3" w14:textId="77777777" w:rsidR="008C4948" w:rsidRPr="009F10EE" w:rsidRDefault="008C4948" w:rsidP="007D3ACB">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Suprastėjusi arba staiga pradingusi klausa</w:t>
      </w:r>
    </w:p>
    <w:p w14:paraId="71C70560" w14:textId="77777777" w:rsidR="008C4948" w:rsidRPr="009F10EE" w:rsidRDefault="008C4948" w:rsidP="007D3ACB">
      <w:pPr>
        <w:keepNext/>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B263679" w14:textId="4E6D3A3F" w:rsidR="008C4948" w:rsidRPr="009F10EE" w:rsidRDefault="008C4948" w:rsidP="007D3ACB">
      <w:pPr>
        <w:keepNext/>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Gauta pranešimų apie staigų klausos praradimą pavartojus tadalafilio. Nors kai kuriais atvejais buvo kitų rizikos faktorių (pvz., amžius, diabetas, hipertenzija</w:t>
      </w:r>
      <w:r w:rsidR="008E30EC">
        <w:rPr>
          <w:rFonts w:ascii="Times New Roman" w:eastAsia="TimesNewRomanPSMT" w:hAnsi="Times New Roman" w:cs="Times New Roman"/>
          <w:lang w:eastAsia="lt-LT"/>
        </w:rPr>
        <w:t xml:space="preserve"> ir</w:t>
      </w:r>
      <w:r w:rsidRPr="009F10EE">
        <w:rPr>
          <w:rFonts w:ascii="Times New Roman" w:eastAsia="TimesNewRomanPSMT" w:hAnsi="Times New Roman" w:cs="Times New Roman"/>
          <w:lang w:eastAsia="lt-LT"/>
        </w:rPr>
        <w:t xml:space="preserve"> ankstesni klausos praradimo atvejai), pacientams turi būti patarta staiga suprastėjus arba dingus klausai tadalafilio nebevartoti ir nedelsiant kreiptis į gydytoją.</w:t>
      </w:r>
    </w:p>
    <w:p w14:paraId="0404B0E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3025106" w14:textId="3C2EF2CC" w:rsidR="008C4948" w:rsidRPr="00AA3D05"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AA3D05">
        <w:rPr>
          <w:rFonts w:ascii="Times New Roman" w:eastAsia="TimesNewRomanPSMT" w:hAnsi="Times New Roman" w:cs="Times New Roman"/>
          <w:u w:val="single"/>
          <w:lang w:eastAsia="lt-LT"/>
        </w:rPr>
        <w:t>Inkstų ir kepenų funkcijos sutrikimas</w:t>
      </w:r>
    </w:p>
    <w:p w14:paraId="4AEB303E" w14:textId="77777777" w:rsidR="008C4948" w:rsidRPr="00AA3D05"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3BA684EE" w14:textId="45B07227" w:rsidR="008C4948" w:rsidRPr="00AA3D05"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AA3D05">
        <w:rPr>
          <w:rFonts w:ascii="Times New Roman" w:eastAsia="TimesNewRomanPSMT" w:hAnsi="Times New Roman" w:cs="Times New Roman"/>
          <w:lang w:eastAsia="lt-LT"/>
        </w:rPr>
        <w:t>Pacientams, kuriems yra sunkus inkstų funkcijos sutrikimas, Tadalafil Accord vartoti kartą per parą nerekomenduojama, kadangi didėja tadalafilio ekspozicija organizme (AUC), klinikinės gydymo patirties yra nedaug ir nėra galimybės dialize padidinti klirensą.</w:t>
      </w:r>
    </w:p>
    <w:p w14:paraId="7E466018" w14:textId="13EB1C2B" w:rsidR="008C4948" w:rsidRPr="00AA3D05"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CE17D6A"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r w:rsidRPr="00AA3D05">
        <w:rPr>
          <w:rFonts w:ascii="Times New Roman" w:eastAsia="Times New Roman" w:hAnsi="Times New Roman" w:cs="Times New Roman"/>
          <w:lang w:eastAsia="lt-LT"/>
        </w:rPr>
        <w:t>Klinikinių duomenų apie vienos tadalafilio dozės saugumą pacientams, kuriems yra sunkus kepenų nepakankamumas (</w:t>
      </w:r>
      <w:r w:rsidRPr="00AA3D05">
        <w:rPr>
          <w:rFonts w:ascii="Times New Roman" w:eastAsia="Times New Roman" w:hAnsi="Times New Roman" w:cs="Times New Roman"/>
          <w:i/>
          <w:lang w:eastAsia="lt-LT"/>
        </w:rPr>
        <w:t>Child-Pugh</w:t>
      </w:r>
      <w:r w:rsidRPr="00AA3D05">
        <w:rPr>
          <w:rFonts w:ascii="Times New Roman" w:eastAsia="Times New Roman" w:hAnsi="Times New Roman" w:cs="Times New Roman"/>
          <w:lang w:eastAsia="lt-LT"/>
        </w:rPr>
        <w:t xml:space="preserve"> klasė C), yra nedaug</w:t>
      </w:r>
      <w:r w:rsidRPr="00AA3D05">
        <w:rPr>
          <w:rFonts w:ascii="Times New Roman" w:eastAsia="TimesNewRomanPSMT" w:hAnsi="Times New Roman" w:cs="Times New Roman"/>
          <w:lang w:eastAsia="lt-LT"/>
        </w:rPr>
        <w:t>. Prieš skirdamas vartoti Tadalafil Accord, gydytojas turi atidžiai nustatyti tokio gydymo naudos ir rizikos santykį.</w:t>
      </w:r>
    </w:p>
    <w:p w14:paraId="21953FB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5BA6B8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Priapizmas ir anatominė varpos deformacija</w:t>
      </w:r>
    </w:p>
    <w:p w14:paraId="0BBD0E2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6ED42FC0" w14:textId="6E2F3718"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Pacientus būtina įspėti, kad tuo atveju, jeigu erekcija trunka 4 valandas arba ilgiau, būtina nedelsiant kreiptis medicininės pagalbos. Jeigu priapizmas nepradedamas nedelsiant gydyti, gali atsirasti varpos audinio pažaida ir visam laikui išnykti lytinis pajėgumas.</w:t>
      </w:r>
    </w:p>
    <w:p w14:paraId="5D38CD3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7248EC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Tadalafil Accord reikia atsargiai vartoti pacientams, kuriems yra anatominė varpos deformacija (pvz., anguliacija, kaverninė fibrozė arba Peironi [</w:t>
      </w:r>
      <w:r w:rsidRPr="009F10EE">
        <w:rPr>
          <w:rFonts w:ascii="Times New Roman" w:eastAsia="TimesNewRomanPSMT" w:hAnsi="Times New Roman" w:cs="Times New Roman"/>
          <w:i/>
          <w:iCs/>
          <w:lang w:eastAsia="lt-LT"/>
        </w:rPr>
        <w:t>Peyronie</w:t>
      </w:r>
      <w:r w:rsidRPr="009F10EE">
        <w:rPr>
          <w:rFonts w:ascii="Times New Roman" w:eastAsia="TimesNewRomanPSMT" w:hAnsi="Times New Roman" w:cs="Times New Roman"/>
          <w:lang w:eastAsia="lt-LT"/>
        </w:rPr>
        <w:t xml:space="preserve">] liga) bei pacientams, kuriems yra būklė, galinti skatinti priapizmo pasireiškimą (pvz., pjautuvinė anemija, dauginė mieloma arba leukemija). </w:t>
      </w:r>
    </w:p>
    <w:p w14:paraId="0085D75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29A3BC50" w14:textId="0BE5EE69"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Vartojimas kartu su CYP3A4 inhibitoriais</w:t>
      </w:r>
    </w:p>
    <w:p w14:paraId="097C2561" w14:textId="77777777" w:rsidR="008C4948" w:rsidRPr="009F10EE" w:rsidRDefault="008C4948" w:rsidP="008C4948">
      <w:pPr>
        <w:tabs>
          <w:tab w:val="left" w:pos="567"/>
        </w:tabs>
        <w:spacing w:after="0" w:line="240" w:lineRule="auto"/>
        <w:rPr>
          <w:rFonts w:ascii="Times New Roman" w:eastAsia="Times New Roman" w:hAnsi="Times New Roman" w:cs="Times New Roman"/>
          <w:highlight w:val="yellow"/>
          <w:lang w:eastAsia="lt-LT"/>
        </w:rPr>
      </w:pPr>
    </w:p>
    <w:p w14:paraId="7AB2B0D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Atsargiai</w:t>
      </w:r>
      <w:r w:rsidRPr="009F10EE">
        <w:rPr>
          <w:rFonts w:ascii="Times New Roman" w:hAnsi="Times New Roman" w:cs="Times New Roman"/>
        </w:rPr>
        <w:t xml:space="preserve"> </w:t>
      </w:r>
      <w:r w:rsidRPr="009F10EE">
        <w:rPr>
          <w:rFonts w:ascii="Times New Roman" w:eastAsia="Times New Roman" w:hAnsi="Times New Roman" w:cs="Times New Roman"/>
          <w:lang w:eastAsia="lt-LT"/>
        </w:rPr>
        <w:t>Tadalafil Accord reikia skirti vartoti pacientams, vartojantiems stiprių CYP3A4 inhibitorių (ritonaviro, sakvinaviro, ketokonazolo, itrakonazolo, eritromicino), nes buvo nustatyta, kad kartu su šiais vaistiniais preparatais vartojamo tadalafilio ekspozicija (</w:t>
      </w:r>
      <w:r w:rsidRPr="009F10EE">
        <w:rPr>
          <w:rFonts w:ascii="Times New Roman" w:eastAsia="Times New Roman" w:hAnsi="Times New Roman" w:cs="Times New Roman"/>
          <w:iCs/>
          <w:lang w:eastAsia="lt-LT"/>
        </w:rPr>
        <w:t>AUC</w:t>
      </w:r>
      <w:r w:rsidRPr="009F10EE">
        <w:rPr>
          <w:rFonts w:ascii="Times New Roman" w:eastAsia="Times New Roman" w:hAnsi="Times New Roman" w:cs="Times New Roman"/>
          <w:lang w:eastAsia="lt-LT"/>
        </w:rPr>
        <w:t>) padidėja (žr. 4.5 skyrių).</w:t>
      </w:r>
    </w:p>
    <w:p w14:paraId="343661C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2552370F" w14:textId="77777777" w:rsidR="008C4948" w:rsidRPr="009F10EE" w:rsidRDefault="008C4948" w:rsidP="009D53E3">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lastRenderedPageBreak/>
        <w:t>Tadalafil Accord ir kitas erekcijos funkcijos sutrikimo gydymas</w:t>
      </w:r>
    </w:p>
    <w:p w14:paraId="5E170886" w14:textId="77777777" w:rsidR="008C4948" w:rsidRPr="009F10EE" w:rsidRDefault="008C4948" w:rsidP="009D53E3">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34AEE0DC" w14:textId="77777777" w:rsidR="008C4948" w:rsidRPr="009F10EE" w:rsidRDefault="008C4948" w:rsidP="009D53E3">
      <w:pPr>
        <w:keepNext/>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Ar saugu ir veiksminga tadalafilio vartoti kartu su kitais FDE5 inhibitoriais arba kitokiais vaistiniais preparatais nuo erekcijos funkcijos sutrikimo, netirta. Pacientai turi būti informuoti, kad tadalafilio vartoti kartu su tokiais vaistiniais preparatais negalima.</w:t>
      </w:r>
    </w:p>
    <w:p w14:paraId="33F52C2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FAB4136" w14:textId="77777777" w:rsidR="008C4948" w:rsidRPr="009F10EE" w:rsidRDefault="008C4948" w:rsidP="008C4948">
      <w:pPr>
        <w:spacing w:after="0" w:line="240" w:lineRule="auto"/>
        <w:rPr>
          <w:rFonts w:ascii="Times New Roman" w:eastAsia="Times New Roman" w:hAnsi="Times New Roman" w:cs="Times New Roman"/>
          <w:u w:val="single"/>
        </w:rPr>
      </w:pPr>
      <w:r w:rsidRPr="009F10EE">
        <w:rPr>
          <w:rFonts w:ascii="Times New Roman" w:eastAsia="Times New Roman" w:hAnsi="Times New Roman" w:cs="Times New Roman"/>
          <w:u w:val="single"/>
        </w:rPr>
        <w:t>Prostaciklinas ir jo analogai</w:t>
      </w:r>
    </w:p>
    <w:p w14:paraId="47F1902E" w14:textId="77777777" w:rsidR="008C4948" w:rsidRPr="009F10EE" w:rsidRDefault="008C4948" w:rsidP="008C4948">
      <w:pPr>
        <w:spacing w:after="0" w:line="240" w:lineRule="auto"/>
        <w:rPr>
          <w:rFonts w:ascii="Times New Roman" w:eastAsia="Times New Roman" w:hAnsi="Times New Roman" w:cs="Times New Roman"/>
          <w:u w:val="single"/>
        </w:rPr>
      </w:pPr>
    </w:p>
    <w:p w14:paraId="19350D34"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Kontroliuojamųjų klinikinių tyrimų metu tadalafilio vartojimo kartu su prostaciklinu ar jo analogais veiksmingumas ir saugumas nevertintas. Dėl to šių vaistinių preparatų vartoti kartu reikia atsargiai.</w:t>
      </w:r>
    </w:p>
    <w:p w14:paraId="23484B39" w14:textId="77777777" w:rsidR="008C4948" w:rsidRPr="009F10EE" w:rsidRDefault="008C4948" w:rsidP="008C4948">
      <w:pPr>
        <w:spacing w:after="0" w:line="240" w:lineRule="auto"/>
        <w:rPr>
          <w:rFonts w:ascii="Times New Roman" w:eastAsia="Times New Roman" w:hAnsi="Times New Roman" w:cs="Times New Roman"/>
        </w:rPr>
      </w:pPr>
    </w:p>
    <w:p w14:paraId="277AA08D" w14:textId="77777777" w:rsidR="008C4948" w:rsidRPr="009F10EE" w:rsidRDefault="008C4948" w:rsidP="008C4948">
      <w:pPr>
        <w:spacing w:after="0" w:line="240" w:lineRule="auto"/>
        <w:rPr>
          <w:rFonts w:ascii="Times New Roman" w:eastAsia="Times New Roman" w:hAnsi="Times New Roman" w:cs="Times New Roman"/>
          <w:u w:val="single"/>
        </w:rPr>
      </w:pPr>
      <w:r w:rsidRPr="009F10EE">
        <w:rPr>
          <w:rFonts w:ascii="Times New Roman" w:eastAsia="Times New Roman" w:hAnsi="Times New Roman" w:cs="Times New Roman"/>
          <w:u w:val="single"/>
        </w:rPr>
        <w:t>Bozentanas</w:t>
      </w:r>
    </w:p>
    <w:p w14:paraId="266E08B5" w14:textId="77777777" w:rsidR="008C4948" w:rsidRPr="009F10EE" w:rsidRDefault="008C4948" w:rsidP="008C4948">
      <w:pPr>
        <w:spacing w:after="0" w:line="240" w:lineRule="auto"/>
        <w:rPr>
          <w:rFonts w:ascii="Times New Roman" w:eastAsia="Times New Roman" w:hAnsi="Times New Roman" w:cs="Times New Roman"/>
          <w:u w:val="single"/>
        </w:rPr>
      </w:pPr>
    </w:p>
    <w:p w14:paraId="6650C62B"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Tadalafilio veiksmingumas pacientams, kurie jau gydomi bozentanu, įtikinamai neįrodytas (žr. 4.5 ir 5.1 skyrius).</w:t>
      </w:r>
    </w:p>
    <w:p w14:paraId="43CF453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19F813D"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Laktozė</w:t>
      </w:r>
    </w:p>
    <w:p w14:paraId="5F2DB95B"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82CBABD" w14:textId="6A9E7AF4"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Tadalafil Accord sudėtyje yra laktozės. </w:t>
      </w:r>
      <w:r w:rsidR="009E6195" w:rsidRPr="0015590A">
        <w:rPr>
          <w:rFonts w:ascii="Times New Roman" w:eastAsia="TimesNewRomanPSMT" w:hAnsi="Times New Roman" w:cs="Times New Roman"/>
          <w:lang w:eastAsia="lt-LT"/>
        </w:rPr>
        <w:t>Šio vaistinio preparato negalima vartoti p</w:t>
      </w:r>
      <w:r w:rsidRPr="009F10EE">
        <w:rPr>
          <w:rFonts w:ascii="Times New Roman" w:eastAsia="TimesNewRomanPSMT" w:hAnsi="Times New Roman" w:cs="Times New Roman"/>
          <w:lang w:eastAsia="lt-LT"/>
        </w:rPr>
        <w:t xml:space="preserve">acientams, kuriems nustatytas retas paveldimas sutrikimas – galaktozės netoleravimas, </w:t>
      </w:r>
      <w:r w:rsidR="009E6195" w:rsidRPr="0015590A">
        <w:rPr>
          <w:rFonts w:ascii="Times New Roman" w:eastAsia="TimesNewRomanPSMT" w:hAnsi="Times New Roman" w:cs="Times New Roman"/>
          <w:lang w:eastAsia="lt-LT"/>
        </w:rPr>
        <w:t>visiškas</w:t>
      </w:r>
      <w:r w:rsidRPr="009F10EE">
        <w:rPr>
          <w:rFonts w:ascii="Times New Roman" w:eastAsia="TimesNewRomanPSMT" w:hAnsi="Times New Roman" w:cs="Times New Roman"/>
          <w:i/>
          <w:iCs/>
          <w:lang w:eastAsia="lt-LT"/>
        </w:rPr>
        <w:t xml:space="preserve"> </w:t>
      </w:r>
      <w:r w:rsidRPr="009F10EE">
        <w:rPr>
          <w:rFonts w:ascii="Times New Roman" w:eastAsia="TimesNewRomanPSMT" w:hAnsi="Times New Roman" w:cs="Times New Roman"/>
          <w:lang w:eastAsia="lt-LT"/>
        </w:rPr>
        <w:t>laktazės stygius arba gliukozės ir galaktozės malabsorbcija.</w:t>
      </w:r>
    </w:p>
    <w:p w14:paraId="6704D26E" w14:textId="05693460" w:rsidR="008C4948" w:rsidRDefault="008C4948" w:rsidP="008C4948">
      <w:pPr>
        <w:tabs>
          <w:tab w:val="left" w:pos="567"/>
        </w:tabs>
        <w:spacing w:after="0" w:line="240" w:lineRule="auto"/>
        <w:rPr>
          <w:rFonts w:ascii="Times New Roman" w:eastAsia="TimesNewRomanPSMT" w:hAnsi="Times New Roman" w:cs="Times New Roman"/>
          <w:b/>
          <w:lang w:eastAsia="lt-LT"/>
        </w:rPr>
      </w:pPr>
    </w:p>
    <w:p w14:paraId="2EC8F0AA" w14:textId="5745C528" w:rsidR="009E6195" w:rsidRDefault="009E6195" w:rsidP="009E6195">
      <w:pPr>
        <w:keepNext/>
        <w:keepLines/>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410584">
        <w:rPr>
          <w:rFonts w:ascii="Times New Roman" w:eastAsia="TimesNewRomanPSMT" w:hAnsi="Times New Roman" w:cs="Times New Roman"/>
          <w:u w:val="single"/>
          <w:lang w:eastAsia="lt-LT"/>
        </w:rPr>
        <w:t>Natris</w:t>
      </w:r>
    </w:p>
    <w:p w14:paraId="2AA97DFA" w14:textId="77777777" w:rsidR="009E6195" w:rsidRPr="00410584" w:rsidRDefault="009E6195" w:rsidP="009E6195">
      <w:pPr>
        <w:keepNext/>
        <w:keepLines/>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6DC57150" w14:textId="77777777" w:rsidR="009E6195" w:rsidRPr="0015590A" w:rsidRDefault="009E6195" w:rsidP="009E6195">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15590A">
        <w:rPr>
          <w:rFonts w:ascii="Times New Roman" w:eastAsia="TimesNewRomanPSMT" w:hAnsi="Times New Roman" w:cs="Times New Roman"/>
          <w:lang w:eastAsia="lt-LT"/>
        </w:rPr>
        <w:t>Šio vaistinio preparato tabletėje yra mažiau kaip 1 mmol (23 mg) natrio, t.</w:t>
      </w:r>
      <w:r>
        <w:rPr>
          <w:rFonts w:ascii="Times New Roman" w:eastAsia="TimesNewRomanPSMT" w:hAnsi="Times New Roman" w:cs="Times New Roman"/>
          <w:lang w:eastAsia="lt-LT"/>
        </w:rPr>
        <w:t xml:space="preserve"> </w:t>
      </w:r>
      <w:r w:rsidRPr="0015590A">
        <w:rPr>
          <w:rFonts w:ascii="Times New Roman" w:eastAsia="TimesNewRomanPSMT" w:hAnsi="Times New Roman" w:cs="Times New Roman"/>
          <w:lang w:eastAsia="lt-LT"/>
        </w:rPr>
        <w:t>y. jis beveik neturi reikšmės.</w:t>
      </w:r>
    </w:p>
    <w:p w14:paraId="300AF0E9" w14:textId="77777777" w:rsidR="009E6195" w:rsidRPr="009F10EE" w:rsidRDefault="009E6195" w:rsidP="008C4948">
      <w:pPr>
        <w:tabs>
          <w:tab w:val="left" w:pos="567"/>
        </w:tabs>
        <w:spacing w:after="0" w:line="240" w:lineRule="auto"/>
        <w:rPr>
          <w:rFonts w:ascii="Times New Roman" w:eastAsia="TimesNewRomanPSMT" w:hAnsi="Times New Roman" w:cs="Times New Roman"/>
          <w:b/>
          <w:lang w:eastAsia="lt-LT"/>
        </w:rPr>
      </w:pPr>
    </w:p>
    <w:p w14:paraId="3F09A3D9" w14:textId="77777777" w:rsidR="008C4948" w:rsidRPr="009F10EE" w:rsidRDefault="008C4948" w:rsidP="008C4948">
      <w:pPr>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4.5</w:t>
      </w:r>
      <w:r w:rsidRPr="009F10EE">
        <w:rPr>
          <w:rFonts w:ascii="Times New Roman" w:eastAsia="Times New Roman" w:hAnsi="Times New Roman" w:cs="Times New Roman"/>
          <w:b/>
        </w:rPr>
        <w:tab/>
        <w:t>Sąveika su kitais vaistiniais preparatais ir kitokia sąveika</w:t>
      </w:r>
    </w:p>
    <w:p w14:paraId="6FDF8629"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D2AB3E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Sąveikos tyrimų metu vartota 10 mg ir (arba) 20 mg tadalafilio dozė (kaip nurodyta toliau). Remiantis tų tyrimų, kurių metu vartota tik 10 mg dozė, rezultatais, visiškai paneigti kliniškai reikšmingos sąveikos vartojant didesnę dozę negalima.</w:t>
      </w:r>
    </w:p>
    <w:p w14:paraId="1A456DA2"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48B8DEE" w14:textId="650C6F42"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Kitų medžiagų poveikis tadalafiliui</w:t>
      </w:r>
    </w:p>
    <w:p w14:paraId="28D0D88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6F0E75D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Citochromo P450 inhibitoriai</w:t>
      </w:r>
    </w:p>
    <w:p w14:paraId="18CBED63" w14:textId="12F61161"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Daugiausiai tadalafilio metabolizuojama veikiant CYP3A4 fermentams. Selektyvaus poveikio CYP3A4 inhibitorius ketokonazolas (200 mg paros dozė) tadalafilio (10 mg dozės) ekspoziciją (AUC) padidino 2 kartus, didžiausią koncentraciją kraujo plazmoje (C</w:t>
      </w:r>
      <w:r w:rsidRPr="009F10EE">
        <w:rPr>
          <w:rFonts w:ascii="Times New Roman" w:eastAsia="Times New Roman" w:hAnsi="Times New Roman" w:cs="Times New Roman"/>
          <w:vertAlign w:val="subscript"/>
          <w:lang w:eastAsia="lt-LT"/>
        </w:rPr>
        <w:t>max</w:t>
      </w:r>
      <w:r w:rsidRPr="009F10EE">
        <w:rPr>
          <w:rFonts w:ascii="Times New Roman" w:eastAsia="Times New Roman" w:hAnsi="Times New Roman" w:cs="Times New Roman"/>
          <w:lang w:eastAsia="lt-LT"/>
        </w:rPr>
        <w:t xml:space="preserve">) – 15%, palyginti su </w:t>
      </w:r>
      <w:r w:rsidRPr="009F10EE">
        <w:rPr>
          <w:rFonts w:ascii="Times New Roman" w:eastAsia="Times New Roman" w:hAnsi="Times New Roman" w:cs="Times New Roman"/>
          <w:i/>
          <w:iCs/>
          <w:lang w:eastAsia="lt-LT"/>
        </w:rPr>
        <w:t xml:space="preserve">AUC </w:t>
      </w:r>
      <w:r w:rsidRPr="009F10EE">
        <w:rPr>
          <w:rFonts w:ascii="Times New Roman" w:eastAsia="Times New Roman" w:hAnsi="Times New Roman" w:cs="Times New Roman"/>
          <w:lang w:eastAsia="lt-LT"/>
        </w:rPr>
        <w:t xml:space="preserve">ir </w:t>
      </w:r>
      <w:r w:rsidRPr="009F10EE">
        <w:rPr>
          <w:rFonts w:ascii="Times New Roman" w:eastAsia="TimesNewRomanPSMT" w:hAnsi="Times New Roman" w:cs="Times New Roman"/>
          <w:i/>
          <w:iCs/>
          <w:lang w:eastAsia="lt-LT"/>
        </w:rPr>
        <w:t>C</w:t>
      </w:r>
      <w:r w:rsidRPr="009F10EE">
        <w:rPr>
          <w:rFonts w:ascii="Times New Roman" w:eastAsia="TimesNewRomanPSMT" w:hAnsi="Times New Roman" w:cs="Times New Roman"/>
          <w:i/>
          <w:iCs/>
          <w:vertAlign w:val="subscript"/>
          <w:lang w:eastAsia="lt-LT"/>
        </w:rPr>
        <w:t>max</w:t>
      </w:r>
      <w:r w:rsidRPr="009F10EE">
        <w:rPr>
          <w:rFonts w:ascii="Times New Roman" w:eastAsia="Times New Roman" w:hAnsi="Times New Roman" w:cs="Times New Roman"/>
          <w:i/>
          <w:iCs/>
          <w:lang w:eastAsia="lt-LT"/>
        </w:rPr>
        <w:t xml:space="preserve"> </w:t>
      </w:r>
      <w:r w:rsidRPr="009F10EE">
        <w:rPr>
          <w:rFonts w:ascii="Times New Roman" w:eastAsia="Times New Roman" w:hAnsi="Times New Roman" w:cs="Times New Roman"/>
          <w:lang w:eastAsia="lt-LT"/>
        </w:rPr>
        <w:t xml:space="preserve">rodmenimis, būnančiais vartojant vien tadalafilio. Ketokonazolas (400 mg </w:t>
      </w:r>
      <w:r w:rsidRPr="009F10EE">
        <w:rPr>
          <w:rFonts w:ascii="Times New Roman" w:eastAsia="TimesNewRomanPSMT" w:hAnsi="Times New Roman" w:cs="Times New Roman"/>
          <w:lang w:eastAsia="lt-LT"/>
        </w:rPr>
        <w:t>per parą</w:t>
      </w:r>
      <w:r w:rsidRPr="009F10EE">
        <w:rPr>
          <w:rFonts w:ascii="Times New Roman" w:eastAsia="Times New Roman" w:hAnsi="Times New Roman" w:cs="Times New Roman"/>
          <w:lang w:eastAsia="lt-LT"/>
        </w:rPr>
        <w:t xml:space="preserve">) padidino tadalafilio (20 mg) </w:t>
      </w:r>
      <w:r w:rsidRPr="009F10EE">
        <w:rPr>
          <w:rFonts w:ascii="Times New Roman" w:eastAsia="TimesNewRomanPSMT" w:hAnsi="Times New Roman" w:cs="Times New Roman"/>
          <w:lang w:eastAsia="lt-LT"/>
        </w:rPr>
        <w:t xml:space="preserve">dozės ekspoziciją </w:t>
      </w:r>
      <w:r w:rsidRPr="009F10EE">
        <w:rPr>
          <w:rFonts w:ascii="Times New Roman" w:eastAsia="Times New Roman" w:hAnsi="Times New Roman" w:cs="Times New Roman"/>
          <w:lang w:eastAsia="lt-LT"/>
        </w:rPr>
        <w:t>(</w:t>
      </w:r>
      <w:r w:rsidRPr="009F10EE">
        <w:rPr>
          <w:rFonts w:ascii="Times New Roman" w:eastAsia="Times New Roman" w:hAnsi="Times New Roman" w:cs="Times New Roman"/>
          <w:i/>
          <w:iCs/>
          <w:lang w:eastAsia="lt-LT"/>
        </w:rPr>
        <w:t>AUC</w:t>
      </w:r>
      <w:r w:rsidRPr="009F10EE">
        <w:rPr>
          <w:rFonts w:ascii="Times New Roman" w:eastAsia="Times New Roman" w:hAnsi="Times New Roman" w:cs="Times New Roman"/>
          <w:lang w:eastAsia="lt-LT"/>
        </w:rPr>
        <w:t xml:space="preserve">) 4 kartus ir </w:t>
      </w:r>
      <w:r w:rsidRPr="009F10EE">
        <w:rPr>
          <w:rFonts w:ascii="Times New Roman" w:eastAsia="TimesNewRomanPSMT" w:hAnsi="Times New Roman" w:cs="Times New Roman"/>
          <w:iCs/>
          <w:lang w:eastAsia="lt-LT"/>
        </w:rPr>
        <w:t>C</w:t>
      </w:r>
      <w:r w:rsidRPr="009F10EE">
        <w:rPr>
          <w:rFonts w:ascii="Times New Roman" w:eastAsia="TimesNewRomanPSMT" w:hAnsi="Times New Roman" w:cs="Times New Roman"/>
          <w:iCs/>
          <w:vertAlign w:val="subscript"/>
          <w:lang w:eastAsia="lt-LT"/>
        </w:rPr>
        <w:t>max</w:t>
      </w:r>
      <w:r w:rsidRPr="009F10EE">
        <w:rPr>
          <w:rFonts w:ascii="Times New Roman" w:eastAsia="Times New Roman" w:hAnsi="Times New Roman" w:cs="Times New Roman"/>
          <w:i/>
          <w:iCs/>
          <w:lang w:eastAsia="lt-LT"/>
        </w:rPr>
        <w:t xml:space="preserve"> – </w:t>
      </w:r>
      <w:r w:rsidRPr="009F10EE">
        <w:rPr>
          <w:rFonts w:ascii="Times New Roman" w:eastAsia="Times New Roman" w:hAnsi="Times New Roman" w:cs="Times New Roman"/>
          <w:lang w:eastAsia="lt-LT"/>
        </w:rPr>
        <w:t xml:space="preserve">22%. Proteazės inhibitorius ritonaviras (200 mg </w:t>
      </w:r>
      <w:r w:rsidRPr="009F10EE">
        <w:rPr>
          <w:rFonts w:ascii="Times New Roman" w:eastAsia="TimesNewRomanPSMT" w:hAnsi="Times New Roman" w:cs="Times New Roman"/>
          <w:lang w:eastAsia="lt-LT"/>
        </w:rPr>
        <w:t>du kartus per parą</w:t>
      </w:r>
      <w:r w:rsidRPr="009F10EE">
        <w:rPr>
          <w:rFonts w:ascii="Times New Roman" w:eastAsia="Times New Roman" w:hAnsi="Times New Roman" w:cs="Times New Roman"/>
          <w:lang w:eastAsia="lt-LT"/>
        </w:rPr>
        <w:t>), kuris yra CYP3A4, CYP2C9, CYP2C19 ir CYP2D6 inhibitorius, tadalafilio (20 mg)</w:t>
      </w:r>
      <w:r w:rsidRPr="009F10EE">
        <w:rPr>
          <w:rFonts w:ascii="Times New Roman" w:eastAsia="TimesNewRomanPSMT" w:hAnsi="Times New Roman" w:cs="Times New Roman"/>
          <w:lang w:eastAsia="lt-LT"/>
        </w:rPr>
        <w:t xml:space="preserve"> ekspoziciją </w:t>
      </w:r>
      <w:r w:rsidRPr="009F10EE">
        <w:rPr>
          <w:rFonts w:ascii="Times New Roman" w:eastAsia="Times New Roman" w:hAnsi="Times New Roman" w:cs="Times New Roman"/>
          <w:lang w:eastAsia="lt-LT"/>
        </w:rPr>
        <w:t>(</w:t>
      </w:r>
      <w:r w:rsidRPr="009F10EE">
        <w:rPr>
          <w:rFonts w:ascii="Times New Roman" w:eastAsia="Times New Roman" w:hAnsi="Times New Roman" w:cs="Times New Roman"/>
          <w:i/>
          <w:iCs/>
          <w:lang w:eastAsia="lt-LT"/>
        </w:rPr>
        <w:t>AUC</w:t>
      </w:r>
      <w:r w:rsidRPr="009F10EE">
        <w:rPr>
          <w:rFonts w:ascii="Times New Roman" w:eastAsia="Times New Roman" w:hAnsi="Times New Roman" w:cs="Times New Roman"/>
          <w:lang w:eastAsia="lt-LT"/>
        </w:rPr>
        <w:t xml:space="preserve">) padidino 2 </w:t>
      </w:r>
      <w:r w:rsidRPr="009F10EE">
        <w:rPr>
          <w:rFonts w:ascii="Times New Roman" w:eastAsia="TimesNewRomanPSMT" w:hAnsi="Times New Roman" w:cs="Times New Roman"/>
          <w:lang w:eastAsia="lt-LT"/>
        </w:rPr>
        <w:t xml:space="preserve">kartus, tačiau nedarė įtakos </w:t>
      </w:r>
      <w:r w:rsidRPr="009F10EE">
        <w:rPr>
          <w:rFonts w:ascii="Times New Roman" w:eastAsia="TimesNewRomanPSMT" w:hAnsi="Times New Roman" w:cs="Times New Roman"/>
          <w:i/>
          <w:iCs/>
          <w:lang w:eastAsia="lt-LT"/>
        </w:rPr>
        <w:t>C</w:t>
      </w:r>
      <w:r w:rsidRPr="009F10EE">
        <w:rPr>
          <w:rFonts w:ascii="Times New Roman" w:eastAsia="TimesNewRomanPSMT" w:hAnsi="Times New Roman" w:cs="Times New Roman"/>
          <w:i/>
          <w:iCs/>
          <w:vertAlign w:val="subscript"/>
          <w:lang w:eastAsia="lt-LT"/>
        </w:rPr>
        <w:t>max</w:t>
      </w:r>
      <w:r w:rsidRPr="009F10EE">
        <w:rPr>
          <w:rFonts w:ascii="Times New Roman" w:eastAsia="Times New Roman" w:hAnsi="Times New Roman" w:cs="Times New Roman"/>
          <w:lang w:eastAsia="lt-LT"/>
        </w:rPr>
        <w:t xml:space="preserve">. Ritonaviras (500 mg arba 600 mg </w:t>
      </w:r>
      <w:r w:rsidRPr="009F10EE">
        <w:rPr>
          <w:rFonts w:ascii="Times New Roman" w:eastAsia="TimesNewRomanPSMT" w:hAnsi="Times New Roman" w:cs="Times New Roman"/>
          <w:lang w:eastAsia="lt-LT"/>
        </w:rPr>
        <w:t>du kartus per parą</w:t>
      </w:r>
      <w:r w:rsidRPr="009F10EE">
        <w:rPr>
          <w:rFonts w:ascii="Times New Roman" w:eastAsia="Times New Roman" w:hAnsi="Times New Roman" w:cs="Times New Roman"/>
          <w:lang w:eastAsia="lt-LT"/>
        </w:rPr>
        <w:t>) 32% padidino</w:t>
      </w:r>
      <w:r w:rsidRPr="009F10EE">
        <w:rPr>
          <w:rFonts w:ascii="Times New Roman" w:eastAsia="TimesNewRomanPSMT" w:hAnsi="Times New Roman" w:cs="Times New Roman"/>
          <w:lang w:eastAsia="lt-LT"/>
        </w:rPr>
        <w:t xml:space="preserve"> vienkartinės </w:t>
      </w:r>
      <w:r w:rsidRPr="009F10EE">
        <w:rPr>
          <w:rFonts w:ascii="Times New Roman" w:eastAsia="Times New Roman" w:hAnsi="Times New Roman" w:cs="Times New Roman"/>
          <w:lang w:eastAsia="lt-LT"/>
        </w:rPr>
        <w:t xml:space="preserve">tadalafilio (20 mg) </w:t>
      </w:r>
      <w:r w:rsidRPr="009F10EE">
        <w:rPr>
          <w:rFonts w:ascii="Times New Roman" w:eastAsia="TimesNewRomanPSMT" w:hAnsi="Times New Roman" w:cs="Times New Roman"/>
          <w:lang w:eastAsia="lt-LT"/>
        </w:rPr>
        <w:t xml:space="preserve">dozės ekspoziciją </w:t>
      </w:r>
      <w:r w:rsidRPr="009F10EE">
        <w:rPr>
          <w:rFonts w:ascii="Times New Roman" w:eastAsia="Times New Roman" w:hAnsi="Times New Roman" w:cs="Times New Roman"/>
          <w:lang w:eastAsia="lt-LT"/>
        </w:rPr>
        <w:t>(</w:t>
      </w:r>
      <w:r w:rsidRPr="009F10EE">
        <w:rPr>
          <w:rFonts w:ascii="Times New Roman" w:eastAsia="Times New Roman" w:hAnsi="Times New Roman" w:cs="Times New Roman"/>
          <w:i/>
          <w:iCs/>
          <w:lang w:eastAsia="lt-LT"/>
        </w:rPr>
        <w:t>AUC</w:t>
      </w:r>
      <w:r w:rsidRPr="009F10EE">
        <w:rPr>
          <w:rFonts w:ascii="Times New Roman" w:eastAsia="Times New Roman" w:hAnsi="Times New Roman" w:cs="Times New Roman"/>
          <w:lang w:eastAsia="lt-LT"/>
        </w:rPr>
        <w:t xml:space="preserve">) ir 30% sumažino </w:t>
      </w:r>
      <w:r w:rsidRPr="009F10EE">
        <w:rPr>
          <w:rFonts w:ascii="Times New Roman" w:eastAsia="TimesNewRomanPSMT" w:hAnsi="Times New Roman" w:cs="Times New Roman"/>
          <w:i/>
          <w:iCs/>
          <w:lang w:eastAsia="lt-LT"/>
        </w:rPr>
        <w:t>C</w:t>
      </w:r>
      <w:r w:rsidRPr="009F10EE">
        <w:rPr>
          <w:rFonts w:ascii="Times New Roman" w:eastAsia="TimesNewRomanPSMT" w:hAnsi="Times New Roman" w:cs="Times New Roman"/>
          <w:i/>
          <w:iCs/>
          <w:vertAlign w:val="subscript"/>
          <w:lang w:eastAsia="lt-LT"/>
        </w:rPr>
        <w:t>max</w:t>
      </w:r>
      <w:r w:rsidRPr="009F10EE">
        <w:rPr>
          <w:rFonts w:ascii="Times New Roman" w:eastAsia="Times New Roman" w:hAnsi="Times New Roman" w:cs="Times New Roman"/>
          <w:lang w:eastAsia="lt-LT"/>
        </w:rPr>
        <w:t>.</w:t>
      </w:r>
      <w:r w:rsidRPr="009F10EE">
        <w:rPr>
          <w:rFonts w:ascii="Times New Roman" w:eastAsia="TimesNewRomanPSMT" w:hAnsi="Times New Roman" w:cs="Times New Roman"/>
          <w:lang w:eastAsia="lt-LT"/>
        </w:rPr>
        <w:t xml:space="preserve"> Nors specifinių sąveikos tyrimų neatlikta, kitų proteazės inhibitorių (tokių, kaip sakvinaviras), kitų CYP3A4 inhibitorių (tokių, kaip eritromicinas, klaritromicinas, itrakonazolas) ir greipfrutų sulčių kartu turi būti vartojama atsargiai, kadangi tikėtina, jog minėtos medžiagos padidins tadalafilio koncentracijas kraujo plazmoje (žr. 4.4 skyrių). </w:t>
      </w:r>
    </w:p>
    <w:p w14:paraId="625EA3A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Taigi, gali padidėti 4.8 skyriuje išvardytų nepageidaujamų reakcijų dažnis.</w:t>
      </w:r>
    </w:p>
    <w:p w14:paraId="63B898A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3BC522D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Nešikliai</w:t>
      </w:r>
    </w:p>
    <w:p w14:paraId="14D6B30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Nešiklių (pvz., p-glikoproteino) vaidmuo tadalafilio pasiskirstymui nežinomas. Todėl galima vaistinių preparatų sąveika, priklausanti nuo nešiklių slopinimo.</w:t>
      </w:r>
    </w:p>
    <w:p w14:paraId="0B9FD9DC"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0E758220"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i/>
          <w:iCs/>
        </w:rPr>
      </w:pPr>
      <w:r w:rsidRPr="009F10EE">
        <w:rPr>
          <w:rFonts w:ascii="Times New Roman" w:eastAsia="Times New Roman" w:hAnsi="Times New Roman" w:cs="Times New Roman"/>
          <w:i/>
          <w:iCs/>
        </w:rPr>
        <w:lastRenderedPageBreak/>
        <w:t>P-glikoproteino substratai (pvz., digoksinas)</w:t>
      </w:r>
    </w:p>
    <w:p w14:paraId="4D0DB7C0"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Tadalafilis (40 mg kartą per parą) kliniškai reikšmingo poveikio digoksino farmakokinetikai nesukėlė.</w:t>
      </w:r>
    </w:p>
    <w:p w14:paraId="224F2E72"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5EC15ECA" w14:textId="4AF045BC" w:rsidR="006458EE"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lang w:eastAsia="lt-LT"/>
        </w:rPr>
      </w:pPr>
      <w:r w:rsidRPr="009F10EE">
        <w:rPr>
          <w:rFonts w:ascii="Times New Roman" w:eastAsia="TimesNewRomanPSMT" w:hAnsi="Times New Roman" w:cs="Times New Roman"/>
          <w:i/>
          <w:iCs/>
          <w:lang w:eastAsia="lt-LT"/>
        </w:rPr>
        <w:t>Citochromo P450 induktoriai</w:t>
      </w:r>
    </w:p>
    <w:p w14:paraId="1D1E857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Kartu su CYP 3A4 induktoriumi rifampicinu vartojamo tadalafilio </w:t>
      </w:r>
      <w:r w:rsidRPr="009F10EE">
        <w:rPr>
          <w:rFonts w:ascii="Times New Roman" w:eastAsia="TimesNewRomanPSMT" w:hAnsi="Times New Roman" w:cs="Times New Roman"/>
          <w:i/>
          <w:iCs/>
          <w:lang w:eastAsia="lt-LT"/>
        </w:rPr>
        <w:t xml:space="preserve">AUC </w:t>
      </w:r>
      <w:r w:rsidRPr="009F10EE">
        <w:rPr>
          <w:rFonts w:ascii="Times New Roman" w:eastAsia="TimesNewRomanPSMT" w:hAnsi="Times New Roman" w:cs="Times New Roman"/>
          <w:iCs/>
          <w:lang w:eastAsia="lt-LT"/>
        </w:rPr>
        <w:t>reikšmės</w:t>
      </w:r>
      <w:r w:rsidRPr="009F10EE">
        <w:rPr>
          <w:rFonts w:ascii="Times New Roman" w:eastAsia="TimesNewRomanPSMT" w:hAnsi="Times New Roman" w:cs="Times New Roman"/>
          <w:i/>
          <w:iCs/>
          <w:lang w:eastAsia="lt-LT"/>
        </w:rPr>
        <w:t xml:space="preserve"> </w:t>
      </w:r>
      <w:r w:rsidRPr="009F10EE">
        <w:rPr>
          <w:rFonts w:ascii="Times New Roman" w:eastAsia="TimesNewRomanPSMT" w:hAnsi="Times New Roman" w:cs="Times New Roman"/>
          <w:lang w:eastAsia="lt-LT"/>
        </w:rPr>
        <w:t xml:space="preserve">buvo 88% mažesnės, negu AUC reikšmės vartojamo vieno tadalafilio (10 mg). Tikėtina, kad dėl tokio ekspozicijos sumažėjimo sumažėja ir tadalafilio veiksmingumas. Kiek jis sumažėja, nežinoma. </w:t>
      </w:r>
    </w:p>
    <w:p w14:paraId="36F2BE4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Kiti CYP3A4 induktoriai, pvz., fenobarbitalis, fenitoinas ir karbamazepinas, taip pat gali mažinti kartu vartojamo tadalafilio koncentracijas kraujo plazmoje.</w:t>
      </w:r>
    </w:p>
    <w:p w14:paraId="197AB5C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39BB902" w14:textId="77777777" w:rsidR="008C4948" w:rsidRPr="009F10EE" w:rsidRDefault="008C4948" w:rsidP="008C4948">
      <w:pPr>
        <w:tabs>
          <w:tab w:val="left" w:pos="2610"/>
        </w:tabs>
        <w:spacing w:after="0" w:line="240" w:lineRule="auto"/>
        <w:rPr>
          <w:rFonts w:ascii="Times New Roman" w:eastAsia="Times New Roman" w:hAnsi="Times New Roman" w:cs="Times New Roman"/>
          <w:i/>
        </w:rPr>
      </w:pPr>
      <w:r w:rsidRPr="009F10EE">
        <w:rPr>
          <w:rFonts w:ascii="Times New Roman" w:eastAsia="Times New Roman" w:hAnsi="Times New Roman" w:cs="Times New Roman"/>
          <w:i/>
        </w:rPr>
        <w:t>Endotelino 1 receptorių antagonistai (pvz., bozentanas)</w:t>
      </w:r>
    </w:p>
    <w:p w14:paraId="581539EC" w14:textId="77777777" w:rsidR="008C4948" w:rsidRPr="009F10EE" w:rsidRDefault="008C4948" w:rsidP="008C4948">
      <w:pPr>
        <w:tabs>
          <w:tab w:val="left" w:pos="2610"/>
        </w:tabs>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Bozentanas (125 mg du kartus per parą), kuris yra CYP2C9 ir CYP3A4 substratas bei vidutiniškai sužadina CYP3A4, CYP2C9 ir galbūt CYP2C19, sumažino kartu vartojamo tadalafilio (40 mg kartą per parą) sisteminę ekspoziciją 42%, o C</w:t>
      </w:r>
      <w:r w:rsidRPr="009F10EE">
        <w:rPr>
          <w:rFonts w:ascii="Times New Roman" w:eastAsia="Times New Roman" w:hAnsi="Times New Roman" w:cs="Times New Roman"/>
          <w:vertAlign w:val="subscript"/>
        </w:rPr>
        <w:t>max</w:t>
      </w:r>
      <w:r w:rsidRPr="009F10EE">
        <w:rPr>
          <w:rFonts w:ascii="Times New Roman" w:eastAsia="Times New Roman" w:hAnsi="Times New Roman" w:cs="Times New Roman"/>
        </w:rPr>
        <w:t xml:space="preserve"> 27%. Tadalafilio veiksmingumas pacientams, kurie jau gydomi bozentanu, įtikinamai neįrodytas (žr. 4.4 ir 5.1 skyrius). Tadalafilis neveikia bozentano ar jo metabolitų ekspozicijos (AUC ir C</w:t>
      </w:r>
      <w:r w:rsidRPr="009F10EE">
        <w:rPr>
          <w:rFonts w:ascii="Times New Roman" w:eastAsia="Times New Roman" w:hAnsi="Times New Roman" w:cs="Times New Roman"/>
          <w:vertAlign w:val="subscript"/>
        </w:rPr>
        <w:t>max</w:t>
      </w:r>
      <w:r w:rsidRPr="009F10EE">
        <w:rPr>
          <w:rFonts w:ascii="Times New Roman" w:eastAsia="Times New Roman" w:hAnsi="Times New Roman" w:cs="Times New Roman"/>
        </w:rPr>
        <w:t>).</w:t>
      </w:r>
    </w:p>
    <w:p w14:paraId="415BF56A" w14:textId="77777777" w:rsidR="008C4948" w:rsidRPr="009F10EE" w:rsidRDefault="008C4948" w:rsidP="008C4948">
      <w:pPr>
        <w:tabs>
          <w:tab w:val="left" w:pos="2610"/>
        </w:tabs>
        <w:spacing w:after="0" w:line="240" w:lineRule="auto"/>
        <w:rPr>
          <w:rFonts w:ascii="Times New Roman" w:eastAsia="Times New Roman" w:hAnsi="Times New Roman" w:cs="Times New Roman"/>
        </w:rPr>
      </w:pPr>
    </w:p>
    <w:p w14:paraId="7FE2C5CF" w14:textId="77777777" w:rsidR="008C4948" w:rsidRPr="009F10EE" w:rsidRDefault="008C4948" w:rsidP="008C4948">
      <w:pPr>
        <w:tabs>
          <w:tab w:val="left" w:pos="2610"/>
        </w:tabs>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Tadalafilio vartojimo kartu su endotelino 1 receptorių antagonistais saugumo ir veiksmingumo tyrimų neatlikta.</w:t>
      </w:r>
    </w:p>
    <w:p w14:paraId="39CBA264"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421AA7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u w:val="single"/>
          <w:lang w:eastAsia="lt-LT"/>
        </w:rPr>
        <w:t>Tadalafilio poveikis kitiems vaistiniams preparatams</w:t>
      </w:r>
    </w:p>
    <w:p w14:paraId="2A95BD2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u w:val="single"/>
          <w:lang w:eastAsia="lt-LT"/>
        </w:rPr>
      </w:pPr>
    </w:p>
    <w:p w14:paraId="4D852DF2"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Nitratai</w:t>
      </w:r>
    </w:p>
    <w:p w14:paraId="0940750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Klinikinių tyrimų metu tadalafilis (5 mg, 10 mg ir 20 mg dozė) sustiprino nitratų sukeliamą hipotenzinį poveikį. Dėl to pacientams, vartojantiems bet kokios formos organinio nitrato, Tadalafil Accord vartoti draudžiama (žr. 4.3 skyrių). Remiantis klinikinio tyrimo, kurio metu 150 pacientų 7 paras kasdien vartojo 20 mg tadalafilio dozę ir įvairiu laiku po liežuviu vartojo 0,4 mg nitroglicerino dozę, duomenimis, minėta sąveika trunka ilgiau negu 24 valandas ir tampa nepastebima praėjus 48 valandoms po paskutinės tadalafilio dozės vartojimo. Vadinasi, pacientams, kuriems paskirta bet kokia Tadalafil Accord dozė (2,5-20 mg) ir kuriems gyvybei pavojingos būklės atveju vartoti nitratų yra būtina, jų galima vartoti tik praėjus mažiausiai 48 val. po paskutinės</w:t>
      </w:r>
      <w:r w:rsidRPr="009F10EE">
        <w:rPr>
          <w:rFonts w:ascii="Times New Roman" w:hAnsi="Times New Roman" w:cs="Times New Roman"/>
        </w:rPr>
        <w:t xml:space="preserve"> </w:t>
      </w:r>
      <w:r w:rsidRPr="009F10EE">
        <w:rPr>
          <w:rFonts w:ascii="Times New Roman" w:eastAsia="TimesNewRomanPSMT" w:hAnsi="Times New Roman" w:cs="Times New Roman"/>
          <w:lang w:eastAsia="lt-LT"/>
        </w:rPr>
        <w:t xml:space="preserve">Tadalafil Accord dozės pavartojimo. Tokiu atveju nitratų galima vartoti tik atidžiai gydytojui prižiūrint ir tinkamai sekant hemodinamiką. </w:t>
      </w:r>
    </w:p>
    <w:p w14:paraId="08D67EC3"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p>
    <w:p w14:paraId="27C9C3ED"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Antihipertenziniai vaistiniai preparatai (įskaitant kalcio kanalų blokatorius)</w:t>
      </w:r>
    </w:p>
    <w:p w14:paraId="026E20B6"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Doksazosino (4 mg ir 8 mg per parą) vartojant kartu su tadalafiliu (5 mg paros doze ir 20 mg vienkartine doze), šio alfa adrenoreceptorių blokatoriaus kraujospūdį mažinantis poveikis reikšmingai sustiprėjo. Toks poveikis trunka ne trumpiau kaip dvylika valandų ir gali sukelti simptomus, įskaitant apalpimą. Todėl šio derinio vartoti nerekomenduojama (žr. 4.4 skyrių). </w:t>
      </w:r>
    </w:p>
    <w:p w14:paraId="55E98FC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Sąveikos tyrimų, kuriuose dalyvavo nedidelis skaičius sveikų savanorių, duomenimis, vartojant vaistinį preparatą kartu su alfuzozinu arba tamsulozinu, toks poveikis nepasireiškė. Vis dėlto tadalafilio vartoti pacientams, kurie gydomi bet kuriais alfa adrenoreceptorių blokatoriais, ypač senyvus pacientus, reikia atsargiai. Gydymą reikia pradėti mažiausia vaistinio preparato doze ir ją palaipsniui didinti.</w:t>
      </w:r>
    </w:p>
    <w:p w14:paraId="7C3D9ED5"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303448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Klinikinių farmakologinių tyrimų metu buvo tirta, ar tadalafilis gali stiprinti antihipertenzinių vaistinių preparatų sukeliamą hipotenzinį poveikį. Buvo tirtos pagrindinės antihipertenzinių vaistinių preparatų grupės: kalcio kanalų blokatoriai (amlodipinas), angiotenziną konvertuojančio fermento (AKF) inhibitoriai (enalaprilis), beta adrenoreceptorių blokatoriai (metoprololis), tiazidų grupės diuretikai (bendroflumetiazidas) ir angiotenzino II receptorių blokatoriai (įvairūs jų tipai ir dozės, vartoti vieni ar kartu su tiazidais, kalcio kanalų blokatoriais, beta adrenoreceptorių blokatoriais ir (ar) alfa adrenoreceptorių blokatoriais). Kliniškai reikšmingos tadalafilio (10 mg dozė, išskyrus sąveikos su angiotenzino II receptorių blokatoriais ir amlodipinu tyrimus, kurių metu buvo vartota 20 mg dozė) sąveikos su visų tirtų grupių vaistiniais preparatais nepastebėta. Kito klinikinio farmakologinio tyrimo metu nustatinėta 20 mg tadalafilio dozės sąveika su 4 grupių antihipertenziniais vaistiniais preparatais. </w:t>
      </w:r>
      <w:r w:rsidRPr="009F10EE">
        <w:rPr>
          <w:rFonts w:ascii="Times New Roman" w:eastAsia="TimesNewRomanPSMT" w:hAnsi="Times New Roman" w:cs="Times New Roman"/>
          <w:lang w:eastAsia="lt-LT"/>
        </w:rPr>
        <w:lastRenderedPageBreak/>
        <w:t xml:space="preserve">Tiriamiesiems, vartojantiems kelis antihipertenzinius vaistinius preparatus, ambulatorijoje matuojamo kraujospūdžio pokyčiai priklausė nuo jo kontroliavimo laipsnio. Vadinasi, tų tiriamųjų, kurių kraujospūdis buvo gerai kontroliuojamas, jo mažėjimas buvo minimalus ir panašus į pasireiškiantį sveikiems žmonėms. Pacientams, kurių kraujospūdis nebuvo kontroliuojamas, jis mažėjo daugiau, tačiau daugumai tiriamųjų mažėjimas nebuvo susijęs su hipotenzijos simptomais. Pacientams, gydomiems antihipertenziniais vaistiniais preparatais, 20 mg tadalafilio dozė gali sukelti kraujospūdžio sumažėjimą, kuris (išskyrus alfa adrenoreceptorių blokatorius, žr. anksčiau) paprastai būna nedidelis ir nepanašu, kad būtų kliniškai reikšmingas. </w:t>
      </w:r>
    </w:p>
    <w:p w14:paraId="0F696962"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III fazės klinikinių tyrimų duomenų analizė rodo, kad pacientams, vartojusiems tadalafilio kartu su antihipertenziniais vaistiniais preparatais ar be jų, pasireiškę nepageidaujami reiškiniai nesiskyrė Vis dėlto pacientus, gydomus antihipertenziniais vaistiniais preparatais, reikia tinkamai informuoti apie galimą kraujospūdžio mažėjimą.</w:t>
      </w:r>
    </w:p>
    <w:p w14:paraId="59FC82C2"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p>
    <w:p w14:paraId="4731221F" w14:textId="77777777" w:rsidR="008C4948" w:rsidRPr="009F10EE" w:rsidRDefault="008C4948" w:rsidP="007D3ACB">
      <w:pPr>
        <w:keepNext/>
        <w:tabs>
          <w:tab w:val="left" w:pos="567"/>
        </w:tabs>
        <w:spacing w:after="0" w:line="240" w:lineRule="auto"/>
        <w:rPr>
          <w:rFonts w:ascii="Times New Roman" w:eastAsia="Times New Roman" w:hAnsi="Times New Roman" w:cs="Times New Roman"/>
          <w:i/>
          <w:lang w:eastAsia="lt-LT"/>
        </w:rPr>
      </w:pPr>
      <w:r w:rsidRPr="009F10EE">
        <w:rPr>
          <w:rFonts w:ascii="Times New Roman" w:eastAsia="Times New Roman" w:hAnsi="Times New Roman" w:cs="Times New Roman"/>
          <w:i/>
          <w:lang w:eastAsia="lt-LT"/>
        </w:rPr>
        <w:t>Riociguatas</w:t>
      </w:r>
    </w:p>
    <w:p w14:paraId="42F6CA57" w14:textId="0EF7E087" w:rsidR="008C4948" w:rsidRPr="009F10EE" w:rsidRDefault="008C4948" w:rsidP="007D3ACB">
      <w:pPr>
        <w:keepNext/>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Ikiklinikinių tyrimų metu buvo nustatytas pridėtinis sisteminio kraujospūdžio sumažinimo poveikis kuomet FDE5 inhibitoriai buvo skirti kartu su riociguatu. Klinikinių tyrimų metu nustatyta, kad riociguatas sustiprino FDE5 inhibitorių hipotenzinį poveikį. Populiacijos tyrimų metu šios kombinacijos palankus klinikinis poveikis įrodytas nebuvo. Riociguato kartu su FDE5 inhibitoriais, įskaitant tadalafilą, vartoti </w:t>
      </w:r>
      <w:r w:rsidR="002461DD">
        <w:rPr>
          <w:rFonts w:ascii="Times New Roman" w:eastAsia="Times New Roman" w:hAnsi="Times New Roman" w:cs="Times New Roman"/>
          <w:lang w:eastAsia="lt-LT"/>
        </w:rPr>
        <w:t>draudžiama</w:t>
      </w:r>
      <w:r w:rsidR="002461DD" w:rsidRPr="009F10EE">
        <w:rPr>
          <w:rFonts w:ascii="Times New Roman" w:eastAsia="Times New Roman" w:hAnsi="Times New Roman" w:cs="Times New Roman"/>
          <w:lang w:eastAsia="lt-LT"/>
        </w:rPr>
        <w:t xml:space="preserve"> </w:t>
      </w:r>
      <w:r w:rsidRPr="009F10EE">
        <w:rPr>
          <w:rFonts w:ascii="Times New Roman" w:eastAsia="Times New Roman" w:hAnsi="Times New Roman" w:cs="Times New Roman"/>
          <w:lang w:eastAsia="lt-LT"/>
        </w:rPr>
        <w:t>(žr. 4.3 skyrių).</w:t>
      </w:r>
    </w:p>
    <w:p w14:paraId="10BD4599" w14:textId="77777777" w:rsidR="008C4948" w:rsidRPr="009F10EE" w:rsidRDefault="008C4948" w:rsidP="008C4948">
      <w:pPr>
        <w:tabs>
          <w:tab w:val="left" w:pos="567"/>
        </w:tabs>
        <w:spacing w:after="0" w:line="240" w:lineRule="auto"/>
        <w:rPr>
          <w:rFonts w:ascii="Times New Roman" w:eastAsia="TimesNewRomanPSMT" w:hAnsi="Times New Roman" w:cs="Times New Roman"/>
          <w:lang w:eastAsia="lt-LT"/>
        </w:rPr>
      </w:pPr>
    </w:p>
    <w:p w14:paraId="4823B7D4"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5-alfa reduktazės inhibitoriai</w:t>
      </w:r>
    </w:p>
    <w:p w14:paraId="1D50112A"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Klinikiniu tyrimu, kurio metu buvo lyginamas tadalafilio 5 mg</w:t>
      </w:r>
      <w:r w:rsidRPr="009F10EE">
        <w:rPr>
          <w:rFonts w:ascii="Times New Roman" w:eastAsia="TimesNewRomanPSMT" w:hAnsi="Times New Roman" w:cs="Times New Roman"/>
          <w:lang w:eastAsia="lt-LT"/>
        </w:rPr>
        <w:t xml:space="preserve"> dozės, vartojamos kartu su finasterido</w:t>
      </w:r>
      <w:r w:rsidRPr="009F10EE">
        <w:rPr>
          <w:rFonts w:ascii="Times New Roman" w:eastAsia="Times New Roman" w:hAnsi="Times New Roman" w:cs="Times New Roman"/>
          <w:lang w:eastAsia="lt-LT"/>
        </w:rPr>
        <w:t xml:space="preserve"> 5 mg doze, ir placebo, vartojamo kartu su finasterido 5 mg</w:t>
      </w:r>
      <w:r w:rsidRPr="009F10EE">
        <w:rPr>
          <w:rFonts w:ascii="Times New Roman" w:eastAsia="TimesNewRomanPSMT" w:hAnsi="Times New Roman" w:cs="Times New Roman"/>
          <w:lang w:eastAsia="lt-LT"/>
        </w:rPr>
        <w:t xml:space="preserve"> doze, poveikis gerybinės prostatos hiperplazijos (GPH) simptomams lengvinti, naujų nepageidaujamų reakcijų nenustatyta. Vis dėlto, kadangi specifinių sąveikos tyrimų, kuriais būtų vertintas tadalafilio ir 5</w:t>
      </w:r>
      <w:r w:rsidRPr="009F10EE">
        <w:rPr>
          <w:rFonts w:ascii="Times New Roman" w:eastAsia="Times New Roman" w:hAnsi="Times New Roman" w:cs="Times New Roman"/>
          <w:lang w:eastAsia="lt-LT"/>
        </w:rPr>
        <w:t>-</w:t>
      </w:r>
      <w:r w:rsidRPr="009F10EE">
        <w:rPr>
          <w:rFonts w:ascii="Times New Roman" w:eastAsia="TimesNewRomanPSMT" w:hAnsi="Times New Roman" w:cs="Times New Roman"/>
          <w:lang w:eastAsia="lt-LT"/>
        </w:rPr>
        <w:t>alfa reduktazės inhibitorių (5</w:t>
      </w:r>
      <w:r w:rsidRPr="009F10EE">
        <w:rPr>
          <w:rFonts w:ascii="Times New Roman" w:eastAsia="Times New Roman" w:hAnsi="Times New Roman" w:cs="Times New Roman"/>
          <w:lang w:eastAsia="lt-LT"/>
        </w:rPr>
        <w:t>-ARI) poveikis, neatlikta, tadalafiliu kartu su 5-ARI reikia gydyti atsargiai.</w:t>
      </w:r>
    </w:p>
    <w:p w14:paraId="23AF473C"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164C8D82"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CYP1A2 substratai (pvz., teofilinas)</w:t>
      </w:r>
    </w:p>
    <w:p w14:paraId="11DD7D5C" w14:textId="02F7955F"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Klinikinio farmakologinio tyrimo, kurio metu 10 mg</w:t>
      </w:r>
      <w:r w:rsidRPr="009F10EE">
        <w:rPr>
          <w:rFonts w:ascii="Times New Roman" w:eastAsia="TimesNewRomanPSMT" w:hAnsi="Times New Roman" w:cs="Times New Roman"/>
          <w:lang w:eastAsia="lt-LT"/>
        </w:rPr>
        <w:t xml:space="preserve"> tadalafilio dozė buvo vartota kartu su teofilinu (neselektyviu fosfodiesterazės inhibitoriumi), duomenimis, farmakokinetinė sąveika nepasireiškė.</w:t>
      </w:r>
      <w:r w:rsidRPr="009F10EE">
        <w:rPr>
          <w:rFonts w:ascii="Times New Roman" w:eastAsia="Times New Roman" w:hAnsi="Times New Roman" w:cs="Times New Roman"/>
          <w:lang w:eastAsia="lt-LT"/>
        </w:rPr>
        <w:t xml:space="preserve"> Vienintelis farmakodinaminis poveikis buvo nedidelis (3,5 </w:t>
      </w:r>
      <w:r w:rsidRPr="009F10EE">
        <w:rPr>
          <w:rFonts w:ascii="Times New Roman" w:eastAsia="TimesNewRomanPSMT" w:hAnsi="Times New Roman" w:cs="Times New Roman"/>
          <w:lang w:eastAsia="lt-LT"/>
        </w:rPr>
        <w:t>plakimų per minutę) širdies susitraukimų padažnėjimas. Nors toks poveikis yra nedidelis ir šio tyrimo metu buvo kliniškai nereikšmingas, vis dėlto į jį reikia atsižvelgti šių vaistinių preparatų vartojant kartu.</w:t>
      </w:r>
    </w:p>
    <w:p w14:paraId="5D884D59" w14:textId="77777777" w:rsidR="006458EE" w:rsidRPr="009F10EE" w:rsidRDefault="006458EE" w:rsidP="006458EE">
      <w:pPr>
        <w:keepNext/>
        <w:keepLines/>
        <w:tabs>
          <w:tab w:val="left" w:pos="567"/>
        </w:tabs>
        <w:spacing w:after="0" w:line="240" w:lineRule="auto"/>
        <w:rPr>
          <w:rFonts w:ascii="Times New Roman" w:eastAsia="TimesNewRomanPSMT" w:hAnsi="Times New Roman" w:cs="Times New Roman"/>
          <w:lang w:eastAsia="lt-LT"/>
        </w:rPr>
      </w:pPr>
    </w:p>
    <w:p w14:paraId="3304679B" w14:textId="77777777" w:rsidR="008C4948" w:rsidRPr="009F10EE" w:rsidRDefault="008C4948" w:rsidP="008C4948">
      <w:pPr>
        <w:keepNext/>
        <w:keepLines/>
        <w:spacing w:after="0" w:line="240" w:lineRule="auto"/>
        <w:rPr>
          <w:rFonts w:ascii="Times New Roman" w:eastAsia="Times New Roman" w:hAnsi="Times New Roman" w:cs="Times New Roman"/>
          <w:i/>
          <w:iCs/>
        </w:rPr>
      </w:pPr>
      <w:r w:rsidRPr="009F10EE">
        <w:rPr>
          <w:rFonts w:ascii="Times New Roman" w:eastAsia="Times New Roman" w:hAnsi="Times New Roman" w:cs="Times New Roman"/>
          <w:i/>
          <w:iCs/>
        </w:rPr>
        <w:t>Geriamieji kontraceptikai</w:t>
      </w:r>
    </w:p>
    <w:p w14:paraId="4B076CDD" w14:textId="77777777" w:rsidR="008C4948" w:rsidRPr="009F10EE" w:rsidRDefault="008C4948" w:rsidP="008C4948">
      <w:pPr>
        <w:keepNext/>
        <w:keepLines/>
        <w:spacing w:after="0" w:line="240" w:lineRule="auto"/>
        <w:rPr>
          <w:rFonts w:ascii="Times New Roman" w:eastAsia="Times New Roman" w:hAnsi="Times New Roman" w:cs="Times New Roman"/>
          <w:iCs/>
        </w:rPr>
      </w:pPr>
      <w:r w:rsidRPr="009F10EE">
        <w:rPr>
          <w:rFonts w:ascii="Times New Roman" w:eastAsia="Times New Roman" w:hAnsi="Times New Roman" w:cs="Times New Roman"/>
          <w:iCs/>
        </w:rPr>
        <w:t>Nusistovėjus pusiausvyrinei koncentracijai, tadalafilis (40 mg kartą per parą) padidino etinilestradiolio ekspoziciją (AUC) 26%, o C</w:t>
      </w:r>
      <w:r w:rsidRPr="009F10EE">
        <w:rPr>
          <w:rFonts w:ascii="Times New Roman" w:eastAsia="Times New Roman" w:hAnsi="Times New Roman" w:cs="Times New Roman"/>
          <w:iCs/>
          <w:vertAlign w:val="subscript"/>
        </w:rPr>
        <w:t>max</w:t>
      </w:r>
      <w:r w:rsidRPr="009F10EE">
        <w:rPr>
          <w:rFonts w:ascii="Times New Roman" w:eastAsia="Times New Roman" w:hAnsi="Times New Roman" w:cs="Times New Roman"/>
          <w:iCs/>
        </w:rPr>
        <w:t xml:space="preserve"> 70%, palyginti su rodmenimis, kai su geriamaisiais kontraceptikais vartojama placebo. Statistiškai reikšmingo tadalafilio poveikio levonorgestreliui nebuvo, tai rodo, kad poveikis etinilestradioliui pasireiškia dėl to, kad tadalafilis slopina sulfatų prijungimą žarnyne. Tokio poveikio klinikinė reikšmė neaiški.</w:t>
      </w:r>
    </w:p>
    <w:p w14:paraId="76E84607" w14:textId="77777777" w:rsidR="008C4948" w:rsidRPr="009F10EE" w:rsidRDefault="008C4948" w:rsidP="008C4948">
      <w:pPr>
        <w:spacing w:after="0" w:line="240" w:lineRule="auto"/>
        <w:rPr>
          <w:rFonts w:ascii="Times New Roman" w:eastAsia="Times New Roman" w:hAnsi="Times New Roman" w:cs="Times New Roman"/>
          <w:iCs/>
        </w:rPr>
      </w:pPr>
    </w:p>
    <w:p w14:paraId="47D38263" w14:textId="77777777" w:rsidR="008C4948" w:rsidRPr="009F10EE" w:rsidRDefault="008C4948" w:rsidP="008C4948">
      <w:pPr>
        <w:spacing w:after="0" w:line="240" w:lineRule="auto"/>
        <w:rPr>
          <w:rFonts w:ascii="Times New Roman" w:eastAsia="Times New Roman" w:hAnsi="Times New Roman" w:cs="Times New Roman"/>
          <w:i/>
          <w:iCs/>
        </w:rPr>
      </w:pPr>
      <w:r w:rsidRPr="009F10EE">
        <w:rPr>
          <w:rFonts w:ascii="Times New Roman" w:eastAsia="Times New Roman" w:hAnsi="Times New Roman" w:cs="Times New Roman"/>
          <w:i/>
          <w:iCs/>
        </w:rPr>
        <w:t>Terbutalinas</w:t>
      </w:r>
    </w:p>
    <w:p w14:paraId="183DF5F2" w14:textId="77777777" w:rsidR="008C4948" w:rsidRPr="009F10EE" w:rsidRDefault="008C4948" w:rsidP="008C4948">
      <w:pPr>
        <w:spacing w:after="0" w:line="240" w:lineRule="auto"/>
        <w:rPr>
          <w:rFonts w:ascii="Times New Roman" w:eastAsia="Times New Roman" w:hAnsi="Times New Roman" w:cs="Times New Roman"/>
          <w:iCs/>
        </w:rPr>
      </w:pPr>
      <w:r w:rsidRPr="009F10EE">
        <w:rPr>
          <w:rFonts w:ascii="Times New Roman" w:eastAsia="Times New Roman" w:hAnsi="Times New Roman" w:cs="Times New Roman"/>
          <w:iCs/>
        </w:rPr>
        <w:t>Panašaus AUC ir C</w:t>
      </w:r>
      <w:r w:rsidRPr="009F10EE">
        <w:rPr>
          <w:rFonts w:ascii="Times New Roman" w:eastAsia="Times New Roman" w:hAnsi="Times New Roman" w:cs="Times New Roman"/>
          <w:iCs/>
          <w:vertAlign w:val="subscript"/>
        </w:rPr>
        <w:t>max</w:t>
      </w:r>
      <w:r w:rsidRPr="009F10EE">
        <w:rPr>
          <w:rFonts w:ascii="Times New Roman" w:eastAsia="Times New Roman" w:hAnsi="Times New Roman" w:cs="Times New Roman"/>
          <w:iCs/>
        </w:rPr>
        <w:t xml:space="preserve"> padidėjimo, kaip ir vartojant etinilestradiolį, galima tikėtis per burną vartojant terbutaliną, greičiausiai dėl to, kad tadalafilis slopina sulfatų prijungimą žarnyne. Tokio poveikio klinikinė reikšmė neaiški.</w:t>
      </w:r>
    </w:p>
    <w:p w14:paraId="1C11008F" w14:textId="77777777" w:rsidR="008C4948" w:rsidRPr="009F10EE" w:rsidRDefault="008C4948" w:rsidP="008C4948">
      <w:pPr>
        <w:spacing w:after="0" w:line="240" w:lineRule="auto"/>
        <w:rPr>
          <w:rFonts w:ascii="Times New Roman" w:eastAsia="Times New Roman" w:hAnsi="Times New Roman" w:cs="Times New Roman"/>
          <w:iCs/>
        </w:rPr>
      </w:pPr>
    </w:p>
    <w:p w14:paraId="534F37E7"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lastRenderedPageBreak/>
        <w:t>Alkoholis</w:t>
      </w:r>
    </w:p>
    <w:p w14:paraId="21207D79"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Kartu vartojamas tadalafilis (10 mg arba 20 mg dozė) alkoholio koncentracijų kraujyje (vidutinė didžiausia koncentracija kraujyje </w:t>
      </w:r>
      <w:r w:rsidRPr="009F10EE">
        <w:rPr>
          <w:rFonts w:ascii="Times New Roman" w:eastAsia="Times New Roman" w:hAnsi="Times New Roman" w:cs="Times New Roman"/>
          <w:lang w:eastAsia="lt-LT"/>
        </w:rPr>
        <w:t xml:space="preserve">– 0,08%) </w:t>
      </w:r>
      <w:r w:rsidRPr="009F10EE">
        <w:rPr>
          <w:rFonts w:ascii="Times New Roman" w:eastAsia="TimesNewRomanPSMT" w:hAnsi="Times New Roman" w:cs="Times New Roman"/>
          <w:lang w:eastAsia="lt-LT"/>
        </w:rPr>
        <w:t xml:space="preserve">nepaveikė. Be to, tadalafilio koncentracijos, praėjus 3 </w:t>
      </w:r>
      <w:r w:rsidRPr="009F10EE">
        <w:rPr>
          <w:rFonts w:ascii="Times New Roman" w:eastAsia="Times New Roman" w:hAnsi="Times New Roman" w:cs="Times New Roman"/>
          <w:lang w:eastAsia="lt-LT"/>
        </w:rPr>
        <w:t>valandom po alkoholio pavartojimo,</w:t>
      </w:r>
      <w:r w:rsidRPr="009F10EE">
        <w:rPr>
          <w:rFonts w:ascii="Times New Roman" w:eastAsia="TimesNewRomanPSMT" w:hAnsi="Times New Roman" w:cs="Times New Roman"/>
          <w:lang w:eastAsia="lt-LT"/>
        </w:rPr>
        <w:t xml:space="preserve"> nekito. Alkoholis buvo geriamas tokiu būdu, kad absorbcija būtų greičiausia (nevalgius visą naktį ir</w:t>
      </w:r>
      <w:r w:rsidRPr="009F10EE">
        <w:rPr>
          <w:rFonts w:ascii="Times New Roman" w:eastAsia="Times New Roman" w:hAnsi="Times New Roman" w:cs="Times New Roman"/>
          <w:lang w:eastAsia="lt-LT"/>
        </w:rPr>
        <w:t xml:space="preserve"> 2 valandas po a</w:t>
      </w:r>
      <w:r w:rsidRPr="009F10EE">
        <w:rPr>
          <w:rFonts w:ascii="Times New Roman" w:eastAsia="TimesNewRomanPSMT" w:hAnsi="Times New Roman" w:cs="Times New Roman"/>
          <w:lang w:eastAsia="lt-LT"/>
        </w:rPr>
        <w:t xml:space="preserve">lkoholio išgėrimo). </w:t>
      </w:r>
    </w:p>
    <w:p w14:paraId="767A5BA7"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4F1B078F"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Tadalafilio (20 mg) dozė nestiprino alkoholio (0,7 </w:t>
      </w:r>
      <w:r w:rsidRPr="009F10EE">
        <w:rPr>
          <w:rFonts w:ascii="Times New Roman" w:eastAsia="Times New Roman" w:hAnsi="Times New Roman" w:cs="Times New Roman"/>
          <w:lang w:eastAsia="lt-LT"/>
        </w:rPr>
        <w:t xml:space="preserve">g/kg </w:t>
      </w:r>
      <w:r w:rsidRPr="009F10EE">
        <w:rPr>
          <w:rFonts w:ascii="Times New Roman" w:eastAsia="TimesNewRomanPSMT" w:hAnsi="Times New Roman" w:cs="Times New Roman"/>
          <w:lang w:eastAsia="lt-LT"/>
        </w:rPr>
        <w:t xml:space="preserve">kūno svorio arba apytiksliai 180 ml 40 % alkoholio (degtinės) 80 kg sveriančiam vyrui) sukelto vidutinio kraujospūdžio mažėjimo, tačiau kai kuriems tiriamiesiems pasireiškė su kūno padėties pakeitimu susijęs galvos svaigimas ir ortostatinė hipotenzija. Tadalafilio vartojant kartu su mažesne alkoholio </w:t>
      </w:r>
      <w:r w:rsidRPr="009F10EE">
        <w:rPr>
          <w:rFonts w:ascii="Times New Roman" w:eastAsia="Times New Roman" w:hAnsi="Times New Roman" w:cs="Times New Roman"/>
          <w:lang w:eastAsia="lt-LT"/>
        </w:rPr>
        <w:t>doze (0,6 </w:t>
      </w:r>
      <w:r w:rsidRPr="009F10EE">
        <w:rPr>
          <w:rFonts w:ascii="Times New Roman" w:eastAsia="TimesNewRomanPSMT" w:hAnsi="Times New Roman" w:cs="Times New Roman"/>
          <w:lang w:eastAsia="lt-LT"/>
        </w:rPr>
        <w:t>g/kg kūno svorio) hipotenzija nepasireiškė, o galvos svaigimo dažnis buvo panašus į atsirandantį išgėrus vien alkoholio. Alk</w:t>
      </w:r>
      <w:r w:rsidRPr="009F10EE">
        <w:rPr>
          <w:rFonts w:ascii="Times New Roman" w:eastAsia="Times New Roman" w:hAnsi="Times New Roman" w:cs="Times New Roman"/>
          <w:lang w:eastAsia="lt-LT"/>
        </w:rPr>
        <w:t>oholio poveikio pažinimo funkcijai 10 mg</w:t>
      </w:r>
      <w:r w:rsidRPr="009F10EE">
        <w:rPr>
          <w:rFonts w:ascii="Times New Roman" w:eastAsia="TimesNewRomanPSMT" w:hAnsi="Times New Roman" w:cs="Times New Roman"/>
          <w:lang w:eastAsia="lt-LT"/>
        </w:rPr>
        <w:t xml:space="preserve"> tadalafilio dozė </w:t>
      </w:r>
      <w:r w:rsidRPr="009F10EE">
        <w:rPr>
          <w:rFonts w:ascii="Times New Roman" w:eastAsia="Times New Roman" w:hAnsi="Times New Roman" w:cs="Times New Roman"/>
          <w:lang w:eastAsia="lt-LT"/>
        </w:rPr>
        <w:t>nestiprino.</w:t>
      </w:r>
    </w:p>
    <w:p w14:paraId="5AFDD662"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57165AD9"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Citochromo P450 metabolizuojami vaistiniai preparatai</w:t>
      </w:r>
    </w:p>
    <w:p w14:paraId="0FA80A3B"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Nesitikima, kad tadalafilis galėtų sukelti kliniškai reikšmingą vaistinių preparatų, metabolizuojamų CYP 450 izofermentų,</w:t>
      </w:r>
      <w:r w:rsidRPr="009F10EE">
        <w:rPr>
          <w:rFonts w:ascii="Times New Roman" w:eastAsia="Times New Roman" w:hAnsi="Times New Roman" w:cs="Times New Roman"/>
          <w:lang w:eastAsia="lt-LT"/>
        </w:rPr>
        <w:t xml:space="preserve"> klirenso slopinimą ar indukciją</w:t>
      </w:r>
      <w:r w:rsidRPr="009F10EE">
        <w:rPr>
          <w:rFonts w:ascii="Times New Roman" w:eastAsia="TimesNewRomanPSMT" w:hAnsi="Times New Roman" w:cs="Times New Roman"/>
          <w:lang w:eastAsia="lt-LT"/>
        </w:rPr>
        <w:t xml:space="preserve">. Tyrimais patvirtinta, kad tadalafilis neslopina ir neindukuoja </w:t>
      </w:r>
      <w:r w:rsidRPr="009F10EE">
        <w:rPr>
          <w:rFonts w:ascii="Times New Roman" w:eastAsia="Times New Roman" w:hAnsi="Times New Roman" w:cs="Times New Roman"/>
          <w:lang w:eastAsia="lt-LT"/>
        </w:rPr>
        <w:t xml:space="preserve">CYP </w:t>
      </w:r>
      <w:r w:rsidRPr="009F10EE">
        <w:rPr>
          <w:rFonts w:ascii="Times New Roman" w:eastAsia="TimesNewRomanPSMT" w:hAnsi="Times New Roman" w:cs="Times New Roman"/>
          <w:lang w:eastAsia="lt-LT"/>
        </w:rPr>
        <w:t xml:space="preserve">450 izofermentų, įskaitant CYP </w:t>
      </w:r>
      <w:r w:rsidRPr="009F10EE">
        <w:rPr>
          <w:rFonts w:ascii="Times New Roman" w:eastAsia="Times New Roman" w:hAnsi="Times New Roman" w:cs="Times New Roman"/>
          <w:lang w:eastAsia="lt-LT"/>
        </w:rPr>
        <w:t>3A4, CYP 1A2, CYP 2D6, CYP 2E1, CYP 2C9 ir CYP 2C19 fermentus.</w:t>
      </w:r>
    </w:p>
    <w:p w14:paraId="3C9D3347"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75C50D52"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CYP2C9 substratai (pvz., R-varfarinas)</w:t>
      </w:r>
    </w:p>
    <w:p w14:paraId="239CFD8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Tadalafil</w:t>
      </w:r>
      <w:r w:rsidRPr="009F10EE">
        <w:rPr>
          <w:rFonts w:ascii="Times New Roman" w:eastAsia="TimesNewRomanPSMT" w:hAnsi="Times New Roman" w:cs="Times New Roman"/>
          <w:lang w:eastAsia="lt-LT"/>
        </w:rPr>
        <w:t>io (</w:t>
      </w:r>
      <w:r w:rsidRPr="009F10EE">
        <w:rPr>
          <w:rFonts w:ascii="Times New Roman" w:eastAsia="Times New Roman" w:hAnsi="Times New Roman" w:cs="Times New Roman"/>
          <w:lang w:eastAsia="lt-LT"/>
        </w:rPr>
        <w:t xml:space="preserve">10 mg arba 20 mg) </w:t>
      </w:r>
      <w:r w:rsidRPr="009F10EE">
        <w:rPr>
          <w:rFonts w:ascii="Times New Roman" w:eastAsia="TimesNewRomanPSMT" w:hAnsi="Times New Roman" w:cs="Times New Roman"/>
          <w:lang w:eastAsia="lt-LT"/>
        </w:rPr>
        <w:t>dozė kliniškai reikšmingo poveikio S</w:t>
      </w:r>
      <w:r w:rsidRPr="009F10EE">
        <w:rPr>
          <w:rFonts w:ascii="Times New Roman" w:eastAsia="Times New Roman" w:hAnsi="Times New Roman" w:cs="Times New Roman"/>
          <w:lang w:eastAsia="lt-LT"/>
        </w:rPr>
        <w:t>-varfarino ar R-varfarino (CYP 2C9 substrato) ekspozicijai (</w:t>
      </w:r>
      <w:r w:rsidRPr="009F10EE">
        <w:rPr>
          <w:rFonts w:ascii="Times New Roman" w:eastAsia="Times New Roman" w:hAnsi="Times New Roman" w:cs="Times New Roman"/>
          <w:iCs/>
          <w:lang w:eastAsia="lt-LT"/>
        </w:rPr>
        <w:t>AUC</w:t>
      </w:r>
      <w:r w:rsidRPr="009F10EE">
        <w:rPr>
          <w:rFonts w:ascii="Times New Roman" w:eastAsia="TimesNewRomanPSMT" w:hAnsi="Times New Roman" w:cs="Times New Roman"/>
          <w:lang w:eastAsia="lt-LT"/>
        </w:rPr>
        <w:t>) bei varfarino sukeliamam protrombino laiko pokyčiui nedaro.</w:t>
      </w:r>
    </w:p>
    <w:p w14:paraId="58B6C589"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76C4FA06"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Aspirinas</w:t>
      </w:r>
    </w:p>
    <w:p w14:paraId="7DB8AF8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 xml:space="preserve">Tadalafilio (10 mg arba 20 mg) </w:t>
      </w:r>
      <w:r w:rsidRPr="009F10EE">
        <w:rPr>
          <w:rFonts w:ascii="Times New Roman" w:eastAsia="TimesNewRomanPSMT" w:hAnsi="Times New Roman" w:cs="Times New Roman"/>
          <w:lang w:eastAsia="lt-LT"/>
        </w:rPr>
        <w:t>dozė nestiprina acetilsalicilo rūgšties sukeliamo kraujavimo laiką ilginančio poveikio.</w:t>
      </w:r>
    </w:p>
    <w:p w14:paraId="3133289C"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p w14:paraId="12A9BCAB"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Antidiabetiniai vaistiniai preparatai</w:t>
      </w:r>
    </w:p>
    <w:p w14:paraId="14B7B75A"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Specifinių tadalafilio ir antidiabetinių vaistinių preparatų sąveikos tyrimų neatlikta.</w:t>
      </w:r>
    </w:p>
    <w:p w14:paraId="336F7C8E" w14:textId="77777777" w:rsidR="006458EE" w:rsidRPr="009F10EE" w:rsidRDefault="006458EE" w:rsidP="006458EE">
      <w:pPr>
        <w:tabs>
          <w:tab w:val="left" w:pos="567"/>
        </w:tabs>
        <w:spacing w:after="0" w:line="240" w:lineRule="auto"/>
        <w:rPr>
          <w:rFonts w:ascii="Times New Roman" w:eastAsia="Times New Roman" w:hAnsi="Times New Roman" w:cs="Times New Roman"/>
          <w:lang w:eastAsia="lt-LT"/>
        </w:rPr>
      </w:pPr>
    </w:p>
    <w:p w14:paraId="482CF058" w14:textId="77777777" w:rsidR="008C4948" w:rsidRPr="009F10EE" w:rsidRDefault="008C4948" w:rsidP="008C4948">
      <w:pPr>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4.6</w:t>
      </w:r>
      <w:r w:rsidRPr="009F10EE">
        <w:rPr>
          <w:rFonts w:ascii="Times New Roman" w:eastAsia="Times New Roman" w:hAnsi="Times New Roman" w:cs="Times New Roman"/>
          <w:b/>
        </w:rPr>
        <w:tab/>
        <w:t>Vaisingumas, nėštumo ir žindymo laikotarpis</w:t>
      </w:r>
    </w:p>
    <w:p w14:paraId="7F0D31D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383ED995"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Nėštumas</w:t>
      </w:r>
    </w:p>
    <w:p w14:paraId="5E2DEAFD"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229CDF27"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Duomenų apie tadalafilio vartojimą nėštumo metu nepakanka. </w:t>
      </w:r>
      <w:r w:rsidRPr="009F10EE">
        <w:rPr>
          <w:rFonts w:ascii="Times New Roman" w:eastAsia="TimesNewRomanPSMT" w:hAnsi="Times New Roman" w:cs="Times New Roman"/>
          <w:lang w:eastAsia="lt-LT"/>
        </w:rPr>
        <w:t xml:space="preserve">Tyrimai su gyvūnais tiesioginio ar netiesioginio kenksmingo poveikio nėštumo eigai, embriono ar vaisiaus vystymuisi, gimdymui ar postnataliniam vystymuisi neparodė (žr. 5.3 skyrių). Dėl atsargumo nėštumo metu Tadalafil Accord vartojimo geriau </w:t>
      </w:r>
      <w:r w:rsidRPr="009F10EE">
        <w:rPr>
          <w:rFonts w:ascii="Times New Roman" w:eastAsia="Times New Roman" w:hAnsi="Times New Roman" w:cs="Times New Roman"/>
          <w:lang w:eastAsia="lt-LT"/>
        </w:rPr>
        <w:t>vengti.</w:t>
      </w:r>
    </w:p>
    <w:p w14:paraId="77299C94"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1268C990"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Žindymas</w:t>
      </w:r>
    </w:p>
    <w:p w14:paraId="59094D16"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14:paraId="54DF3289"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 xml:space="preserve">Turimi farmakodinaminio ir toksinio poveikio tyrimų su gyvūnais duomenys rodo, kad tadalafilis išsiskiria į motinos pieną. Rizikos žindomam kūdikiui paneigti negalima. </w:t>
      </w:r>
      <w:r w:rsidRPr="009F10EE">
        <w:rPr>
          <w:rFonts w:ascii="Times New Roman" w:eastAsia="Times New Roman" w:hAnsi="Times New Roman" w:cs="Times New Roman"/>
          <w:lang w:eastAsia="lt-LT"/>
        </w:rPr>
        <w:t>Žindymo laikotarpiu Tadalafil Accord vartoti negalima.</w:t>
      </w:r>
    </w:p>
    <w:p w14:paraId="11A2A10B"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2708CC5C"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Vaisingumas</w:t>
      </w:r>
    </w:p>
    <w:p w14:paraId="1794A317"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14:paraId="3C416FA4"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 xml:space="preserve">Šunims buvo pastebėtas poveikis, kuris gali rodyti vaisingumo sutrikimą. Du vėlesni klinikiniai tyrimai rodo, kad toks poveikis žmogui nėra tikėtinas, nors kai kuriems vyrams buvo nustatytas spermos koncentracijos sumažėjimas (žr. 5.1 ir 5.3 </w:t>
      </w:r>
      <w:r w:rsidRPr="009F10EE">
        <w:rPr>
          <w:rFonts w:ascii="Times New Roman" w:eastAsia="Times New Roman" w:hAnsi="Times New Roman" w:cs="Times New Roman"/>
          <w:lang w:eastAsia="lt-LT"/>
        </w:rPr>
        <w:t>skyrius).</w:t>
      </w:r>
    </w:p>
    <w:p w14:paraId="3564A89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1A483AA" w14:textId="77777777" w:rsidR="008C4948" w:rsidRPr="009F10EE" w:rsidRDefault="008C4948" w:rsidP="009D53E3">
      <w:pPr>
        <w:keepNext/>
        <w:tabs>
          <w:tab w:val="left" w:pos="567"/>
        </w:tabs>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lastRenderedPageBreak/>
        <w:t>4.7</w:t>
      </w:r>
      <w:r w:rsidRPr="009F10EE">
        <w:rPr>
          <w:rFonts w:ascii="Times New Roman" w:eastAsia="Times New Roman" w:hAnsi="Times New Roman" w:cs="Times New Roman"/>
          <w:b/>
        </w:rPr>
        <w:tab/>
        <w:t>Poveikis gebėjimui vairuoti ir valdyti mechanizmus</w:t>
      </w:r>
    </w:p>
    <w:p w14:paraId="4F5C16A7" w14:textId="77777777" w:rsidR="008C4948" w:rsidRPr="009F10EE" w:rsidRDefault="008C4948" w:rsidP="009D53E3">
      <w:pPr>
        <w:keepNext/>
        <w:tabs>
          <w:tab w:val="left" w:pos="567"/>
        </w:tabs>
        <w:spacing w:after="0" w:line="240" w:lineRule="auto"/>
        <w:rPr>
          <w:rFonts w:ascii="Times New Roman" w:eastAsia="Times New Roman" w:hAnsi="Times New Roman" w:cs="Times New Roman"/>
          <w:lang w:eastAsia="lt-LT"/>
        </w:rPr>
      </w:pPr>
    </w:p>
    <w:p w14:paraId="1ADDF54A" w14:textId="77777777" w:rsidR="008C4948" w:rsidRPr="009F10EE" w:rsidRDefault="008C4948" w:rsidP="009D53E3">
      <w:pPr>
        <w:keepNext/>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Tadalafilis gebėjimą vairuoti ir valdyti mechanizmus veikia nereikšmingai. Nors klinikinių tyrimų metu tadalafilio ar placebo vartojusiems vyrams galvos svaigimo dažnis buvo panašus, vis dėlto pacientą reikia įspėti, kad prieš vairavimą ir mechanizmų valdymą jis turi žinoti, kaip reaguoja į Tadalafil Accord.</w:t>
      </w:r>
    </w:p>
    <w:p w14:paraId="5017CB9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3BE9F9B5" w14:textId="77777777" w:rsidR="008C4948" w:rsidRPr="009F10EE" w:rsidRDefault="008C4948" w:rsidP="008C4948">
      <w:pPr>
        <w:keepNext/>
        <w:keepLines/>
        <w:tabs>
          <w:tab w:val="left" w:pos="567"/>
        </w:tabs>
        <w:spacing w:after="0" w:line="240" w:lineRule="auto"/>
        <w:outlineLvl w:val="0"/>
        <w:rPr>
          <w:rFonts w:ascii="Times New Roman" w:eastAsia="Times New Roman" w:hAnsi="Times New Roman" w:cs="Times New Roman"/>
          <w:lang w:eastAsia="lt-LT"/>
        </w:rPr>
      </w:pPr>
      <w:r w:rsidRPr="009F10EE">
        <w:rPr>
          <w:rFonts w:ascii="Times New Roman" w:eastAsia="Times New Roman" w:hAnsi="Times New Roman" w:cs="Times New Roman"/>
          <w:b/>
          <w:lang w:eastAsia="lt-LT"/>
        </w:rPr>
        <w:t>4.8</w:t>
      </w:r>
      <w:r w:rsidRPr="009F10EE">
        <w:rPr>
          <w:rFonts w:ascii="Times New Roman" w:eastAsia="Times New Roman" w:hAnsi="Times New Roman" w:cs="Times New Roman"/>
          <w:b/>
          <w:lang w:eastAsia="lt-LT"/>
        </w:rPr>
        <w:tab/>
        <w:t>Nepageidaujamas poveikis</w:t>
      </w:r>
    </w:p>
    <w:p w14:paraId="1A1D61C8" w14:textId="77777777" w:rsidR="008C4948" w:rsidRPr="009F10EE" w:rsidRDefault="008C4948" w:rsidP="008C4948">
      <w:pPr>
        <w:keepNext/>
        <w:keepLines/>
        <w:tabs>
          <w:tab w:val="left" w:pos="567"/>
        </w:tabs>
        <w:spacing w:after="0" w:line="240" w:lineRule="auto"/>
        <w:rPr>
          <w:rFonts w:ascii="Times New Roman" w:eastAsia="Times New Roman" w:hAnsi="Times New Roman" w:cs="Times New Roman"/>
          <w:u w:val="single"/>
          <w:lang w:eastAsia="lt-LT"/>
        </w:rPr>
      </w:pPr>
    </w:p>
    <w:p w14:paraId="743D0501" w14:textId="77777777" w:rsidR="008C4948" w:rsidRPr="009F10EE" w:rsidRDefault="008C4948" w:rsidP="008C4948">
      <w:pPr>
        <w:keepNext/>
        <w:keepLines/>
        <w:spacing w:after="0" w:line="240" w:lineRule="auto"/>
        <w:rPr>
          <w:rFonts w:ascii="Times New Roman" w:eastAsia="Times New Roman" w:hAnsi="Times New Roman" w:cs="Times New Roman"/>
          <w:iCs/>
          <w:color w:val="000000"/>
          <w:u w:val="single"/>
          <w:lang w:eastAsia="cs-CZ"/>
        </w:rPr>
      </w:pPr>
      <w:r w:rsidRPr="009F10EE">
        <w:rPr>
          <w:rFonts w:ascii="Times New Roman" w:eastAsia="Times New Roman" w:hAnsi="Times New Roman" w:cs="Times New Roman"/>
          <w:iCs/>
          <w:color w:val="000000"/>
          <w:u w:val="single"/>
          <w:lang w:eastAsia="cs-CZ"/>
        </w:rPr>
        <w:t>Saugumo duomenų santrauka (kai tadalafilio vartojama nuo erekcijos funkcijos sutrikimo)</w:t>
      </w:r>
    </w:p>
    <w:p w14:paraId="63F5DEEA" w14:textId="77777777" w:rsidR="008C4948" w:rsidRPr="009F10EE" w:rsidRDefault="008C4948" w:rsidP="008C4948">
      <w:pPr>
        <w:keepNext/>
        <w:keepLines/>
        <w:spacing w:after="0" w:line="240" w:lineRule="auto"/>
        <w:rPr>
          <w:rFonts w:ascii="Times New Roman" w:eastAsia="Times New Roman" w:hAnsi="Times New Roman" w:cs="Times New Roman"/>
          <w:color w:val="000000"/>
          <w:u w:val="single"/>
          <w:lang w:eastAsia="cs-CZ"/>
        </w:rPr>
      </w:pPr>
    </w:p>
    <w:p w14:paraId="6A75920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color w:val="000000"/>
          <w:lang w:eastAsia="cs-CZ"/>
        </w:rPr>
        <w:t xml:space="preserve">Pacientams, tadalafilio vartojantiems erekcijos funkcijos sutrikimui arba gerybinės prostatos hiperplazijos gydyti, dažniausiai pasireiškusios nepageidaujamos reakcijos buvo galvos skausmas, dispepsija, nugaros skausmas ir mialgija, šių reakcijų dažnis didėjo didinant tadalafilio dozę. </w:t>
      </w:r>
      <w:r w:rsidRPr="009F10EE">
        <w:rPr>
          <w:rFonts w:ascii="Times New Roman" w:eastAsia="TimesNewRomanPSMT" w:hAnsi="Times New Roman" w:cs="Times New Roman"/>
          <w:lang w:eastAsia="lt-LT"/>
        </w:rPr>
        <w:t>Nepageidaujamos reakcijos, apie kurias pranešta, buvo trumpalaikės ir paprastai lengvos arba vidutinio sunkumo. Galvos skausmas, pastebėtas kasdien vartojant po vieną tadalafilio dozę, dažniausiai pasireiškė per pirmas 10</w:t>
      </w:r>
      <w:r w:rsidRPr="009F10EE">
        <w:rPr>
          <w:rFonts w:ascii="Times New Roman" w:eastAsia="TimesNewRomanPSMT" w:hAnsi="Times New Roman" w:cs="Times New Roman"/>
          <w:lang w:eastAsia="lt-LT"/>
        </w:rPr>
        <w:noBreakHyphen/>
        <w:t>30 parų nuo gydymo pradžios.</w:t>
      </w:r>
    </w:p>
    <w:p w14:paraId="3B70A46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B611A80" w14:textId="77777777" w:rsidR="008C4948" w:rsidRPr="009F10EE" w:rsidRDefault="008C4948" w:rsidP="00B65F27">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Nepageidaujamų reakcijų santrauka lentelėje</w:t>
      </w:r>
    </w:p>
    <w:p w14:paraId="07429B16" w14:textId="77777777" w:rsidR="008C4948" w:rsidRPr="009F10EE" w:rsidRDefault="008C4948" w:rsidP="00B65F27">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214454C4" w14:textId="77777777" w:rsidR="008C4948" w:rsidRPr="009F10EE" w:rsidRDefault="008C4948" w:rsidP="00B65F27">
      <w:pPr>
        <w:keepNext/>
        <w:spacing w:after="0" w:line="240" w:lineRule="auto"/>
        <w:rPr>
          <w:rFonts w:ascii="Times New Roman" w:eastAsia="Times New Roman" w:hAnsi="Times New Roman" w:cs="Times New Roman"/>
          <w:color w:val="000000"/>
          <w:lang w:eastAsia="cs-CZ"/>
        </w:rPr>
      </w:pPr>
      <w:r w:rsidRPr="009F10EE">
        <w:rPr>
          <w:rFonts w:ascii="Times New Roman" w:eastAsia="Times New Roman" w:hAnsi="Times New Roman" w:cs="Times New Roman"/>
          <w:color w:val="000000"/>
          <w:lang w:eastAsia="cs-CZ"/>
        </w:rPr>
        <w:t>Toliau esančioje lentelėje išvardytos nepageidaujamos reakcijos, nustatytos remiantis spontaniniais pranešimais ir pastebėtos placebu kontroliuojamų klinikinių tyrimų metu (8022 pacientų vartojo tadalafilio, 4422 − placebo), kai erekcijos funkcijos sutrikimui gydyti vaistinio preparato buvo vartojama pagal poreikį arba kartą per parą, gerybinei prostatos hiperplazijai gydyti − kartą per parą.</w:t>
      </w:r>
    </w:p>
    <w:p w14:paraId="5574986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5077FE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3BC2D4FA" w14:textId="77777777" w:rsidR="008C4948" w:rsidRPr="009F10EE" w:rsidRDefault="008C4948" w:rsidP="008C4948">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p w14:paraId="3C7151AA" w14:textId="77777777" w:rsidR="008C4948" w:rsidRPr="009F10EE" w:rsidRDefault="008C4948" w:rsidP="008C4948">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4"/>
        <w:gridCol w:w="1760"/>
        <w:gridCol w:w="1962"/>
        <w:gridCol w:w="2168"/>
        <w:gridCol w:w="1780"/>
      </w:tblGrid>
      <w:tr w:rsidR="00C821FB" w:rsidRPr="009F10EE" w14:paraId="3056FD35" w14:textId="03A6B948" w:rsidTr="007D3ACB">
        <w:tc>
          <w:tcPr>
            <w:tcW w:w="1724" w:type="dxa"/>
            <w:tcBorders>
              <w:top w:val="single" w:sz="4" w:space="0" w:color="auto"/>
              <w:left w:val="single" w:sz="4" w:space="0" w:color="auto"/>
              <w:bottom w:val="single" w:sz="4" w:space="0" w:color="auto"/>
              <w:right w:val="single" w:sz="4" w:space="0" w:color="auto"/>
            </w:tcBorders>
            <w:hideMark/>
          </w:tcPr>
          <w:p w14:paraId="6256AE3D" w14:textId="4F605DC6"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b/>
                <w:bCs/>
                <w:highlight w:val="yellow"/>
                <w:lang w:eastAsia="lt-LT"/>
              </w:rPr>
            </w:pPr>
            <w:r w:rsidRPr="009F10EE">
              <w:rPr>
                <w:rFonts w:ascii="Times New Roman" w:eastAsia="TimesNewRomanPSMT" w:hAnsi="Times New Roman" w:cs="Times New Roman"/>
                <w:b/>
                <w:bCs/>
                <w:lang w:eastAsia="lt-LT"/>
              </w:rPr>
              <w:t xml:space="preserve">Labai dažnas </w:t>
            </w:r>
          </w:p>
        </w:tc>
        <w:tc>
          <w:tcPr>
            <w:tcW w:w="1760" w:type="dxa"/>
            <w:tcBorders>
              <w:top w:val="single" w:sz="4" w:space="0" w:color="auto"/>
              <w:left w:val="single" w:sz="4" w:space="0" w:color="auto"/>
              <w:bottom w:val="single" w:sz="4" w:space="0" w:color="auto"/>
              <w:right w:val="single" w:sz="4" w:space="0" w:color="auto"/>
            </w:tcBorders>
            <w:hideMark/>
          </w:tcPr>
          <w:p w14:paraId="32673EF1" w14:textId="3EFA5B6F" w:rsidR="00C821FB" w:rsidRPr="009F10EE" w:rsidRDefault="00C821FB" w:rsidP="00E92CBB">
            <w:pPr>
              <w:tabs>
                <w:tab w:val="left" w:pos="567"/>
              </w:tabs>
              <w:autoSpaceDE w:val="0"/>
              <w:autoSpaceDN w:val="0"/>
              <w:adjustRightInd w:val="0"/>
              <w:spacing w:after="0" w:line="240" w:lineRule="auto"/>
              <w:jc w:val="center"/>
              <w:rPr>
                <w:rFonts w:ascii="Times New Roman" w:eastAsia="TimesNewRomanPSMT" w:hAnsi="Times New Roman" w:cs="Times New Roman"/>
                <w:b/>
                <w:highlight w:val="yellow"/>
                <w:lang w:eastAsia="lt-LT"/>
              </w:rPr>
            </w:pPr>
            <w:r w:rsidRPr="009F10EE">
              <w:rPr>
                <w:rFonts w:ascii="Times New Roman" w:eastAsia="TimesNewRomanPSMT" w:hAnsi="Times New Roman" w:cs="Times New Roman"/>
                <w:b/>
                <w:bCs/>
                <w:lang w:eastAsia="lt-LT"/>
              </w:rPr>
              <w:t xml:space="preserve">Dažnas </w:t>
            </w:r>
          </w:p>
        </w:tc>
        <w:tc>
          <w:tcPr>
            <w:tcW w:w="1962" w:type="dxa"/>
            <w:tcBorders>
              <w:top w:val="single" w:sz="4" w:space="0" w:color="auto"/>
              <w:left w:val="single" w:sz="4" w:space="0" w:color="auto"/>
              <w:bottom w:val="single" w:sz="4" w:space="0" w:color="auto"/>
              <w:right w:val="single" w:sz="4" w:space="0" w:color="auto"/>
            </w:tcBorders>
            <w:hideMark/>
          </w:tcPr>
          <w:p w14:paraId="3DE662CA" w14:textId="25927762" w:rsidR="00C821FB" w:rsidRPr="009F10EE" w:rsidRDefault="00C821FB" w:rsidP="00771646">
            <w:pPr>
              <w:tabs>
                <w:tab w:val="left" w:pos="567"/>
              </w:tabs>
              <w:autoSpaceDE w:val="0"/>
              <w:autoSpaceDN w:val="0"/>
              <w:adjustRightInd w:val="0"/>
              <w:spacing w:after="0" w:line="240" w:lineRule="auto"/>
              <w:jc w:val="center"/>
              <w:rPr>
                <w:rFonts w:ascii="Times New Roman" w:eastAsia="TimesNewRomanPSMT" w:hAnsi="Times New Roman" w:cs="Times New Roman"/>
                <w:b/>
                <w:highlight w:val="yellow"/>
                <w:lang w:eastAsia="lt-LT"/>
              </w:rPr>
            </w:pPr>
            <w:r w:rsidRPr="009F10EE">
              <w:rPr>
                <w:rFonts w:ascii="Times New Roman" w:eastAsia="TimesNewRomanPSMT" w:hAnsi="Times New Roman" w:cs="Times New Roman"/>
                <w:b/>
                <w:bCs/>
                <w:lang w:eastAsia="lt-LT"/>
              </w:rPr>
              <w:t xml:space="preserve">Nedažnas </w:t>
            </w:r>
          </w:p>
        </w:tc>
        <w:tc>
          <w:tcPr>
            <w:tcW w:w="2168" w:type="dxa"/>
            <w:tcBorders>
              <w:top w:val="single" w:sz="4" w:space="0" w:color="auto"/>
              <w:left w:val="single" w:sz="4" w:space="0" w:color="auto"/>
              <w:bottom w:val="single" w:sz="4" w:space="0" w:color="auto"/>
              <w:right w:val="single" w:sz="4" w:space="0" w:color="auto"/>
            </w:tcBorders>
            <w:hideMark/>
          </w:tcPr>
          <w:p w14:paraId="4A68C4E9" w14:textId="7EFABE11" w:rsidR="00C821FB" w:rsidRPr="009F10EE" w:rsidRDefault="00C821FB" w:rsidP="00771646">
            <w:pPr>
              <w:tabs>
                <w:tab w:val="left" w:pos="567"/>
              </w:tabs>
              <w:autoSpaceDE w:val="0"/>
              <w:autoSpaceDN w:val="0"/>
              <w:adjustRightInd w:val="0"/>
              <w:spacing w:after="0" w:line="240" w:lineRule="auto"/>
              <w:jc w:val="center"/>
              <w:rPr>
                <w:rFonts w:ascii="Times New Roman" w:eastAsia="TimesNewRomanPSMT" w:hAnsi="Times New Roman" w:cs="Times New Roman"/>
                <w:b/>
                <w:highlight w:val="yellow"/>
                <w:lang w:eastAsia="lt-LT"/>
              </w:rPr>
            </w:pPr>
            <w:r w:rsidRPr="009F10EE">
              <w:rPr>
                <w:rFonts w:ascii="Times New Roman" w:eastAsia="TimesNewRomanPSMT" w:hAnsi="Times New Roman" w:cs="Times New Roman"/>
                <w:b/>
                <w:bCs/>
                <w:lang w:eastAsia="lt-LT"/>
              </w:rPr>
              <w:t xml:space="preserve">Retas </w:t>
            </w:r>
          </w:p>
        </w:tc>
        <w:tc>
          <w:tcPr>
            <w:tcW w:w="1780" w:type="dxa"/>
            <w:tcBorders>
              <w:top w:val="single" w:sz="4" w:space="0" w:color="auto"/>
              <w:left w:val="single" w:sz="4" w:space="0" w:color="auto"/>
              <w:bottom w:val="single" w:sz="4" w:space="0" w:color="auto"/>
              <w:right w:val="single" w:sz="4" w:space="0" w:color="auto"/>
            </w:tcBorders>
          </w:tcPr>
          <w:p w14:paraId="2E1E9E7A" w14:textId="6B6F3413" w:rsidR="00C821FB" w:rsidRPr="009F10EE" w:rsidRDefault="00C821FB" w:rsidP="00771646">
            <w:pPr>
              <w:tabs>
                <w:tab w:val="left" w:pos="567"/>
              </w:tabs>
              <w:autoSpaceDE w:val="0"/>
              <w:autoSpaceDN w:val="0"/>
              <w:adjustRightInd w:val="0"/>
              <w:spacing w:after="0" w:line="240" w:lineRule="auto"/>
              <w:jc w:val="center"/>
              <w:rPr>
                <w:rFonts w:ascii="Times New Roman" w:eastAsia="TimesNewRomanPSMT" w:hAnsi="Times New Roman" w:cs="Times New Roman"/>
                <w:b/>
                <w:bCs/>
                <w:lang w:eastAsia="lt-LT"/>
              </w:rPr>
            </w:pPr>
            <w:r>
              <w:rPr>
                <w:rFonts w:ascii="Times New Roman" w:eastAsia="TimesNewRomanPSMT" w:hAnsi="Times New Roman" w:cs="Times New Roman"/>
                <w:b/>
                <w:bCs/>
                <w:lang w:eastAsia="lt-LT"/>
              </w:rPr>
              <w:t>Nežinomas</w:t>
            </w:r>
          </w:p>
        </w:tc>
      </w:tr>
      <w:tr w:rsidR="00C821FB" w:rsidRPr="009F10EE" w14:paraId="73694158" w14:textId="67B2854F" w:rsidTr="007B6ED2">
        <w:trPr>
          <w:trHeight w:val="401"/>
        </w:trPr>
        <w:tc>
          <w:tcPr>
            <w:tcW w:w="9394" w:type="dxa"/>
            <w:gridSpan w:val="5"/>
            <w:tcBorders>
              <w:top w:val="single" w:sz="4" w:space="0" w:color="auto"/>
              <w:left w:val="single" w:sz="4" w:space="0" w:color="auto"/>
              <w:bottom w:val="single" w:sz="4" w:space="0" w:color="auto"/>
              <w:right w:val="single" w:sz="4" w:space="0" w:color="auto"/>
            </w:tcBorders>
            <w:hideMark/>
          </w:tcPr>
          <w:p w14:paraId="46B1237B" w14:textId="190432DE"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Imuninės sistemos sutrikimai</w:t>
            </w:r>
          </w:p>
        </w:tc>
      </w:tr>
      <w:tr w:rsidR="00C821FB" w:rsidRPr="009F10EE" w14:paraId="22FF0F0B" w14:textId="14AB0239" w:rsidTr="007D3ACB">
        <w:trPr>
          <w:trHeight w:val="401"/>
        </w:trPr>
        <w:tc>
          <w:tcPr>
            <w:tcW w:w="1724" w:type="dxa"/>
            <w:tcBorders>
              <w:top w:val="single" w:sz="4" w:space="0" w:color="auto"/>
              <w:left w:val="single" w:sz="4" w:space="0" w:color="auto"/>
              <w:bottom w:val="single" w:sz="4" w:space="0" w:color="auto"/>
              <w:right w:val="single" w:sz="4" w:space="0" w:color="auto"/>
            </w:tcBorders>
          </w:tcPr>
          <w:p w14:paraId="27FCB2CC"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tcPr>
          <w:p w14:paraId="24641041"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hideMark/>
          </w:tcPr>
          <w:p w14:paraId="2DD066C8"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Padidėjusio jautrumo</w:t>
            </w:r>
          </w:p>
          <w:p w14:paraId="2F03BFFA"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reakcijos</w:t>
            </w:r>
          </w:p>
        </w:tc>
        <w:tc>
          <w:tcPr>
            <w:tcW w:w="2168" w:type="dxa"/>
            <w:tcBorders>
              <w:top w:val="single" w:sz="4" w:space="0" w:color="auto"/>
              <w:left w:val="single" w:sz="4" w:space="0" w:color="auto"/>
              <w:bottom w:val="single" w:sz="4" w:space="0" w:color="auto"/>
              <w:right w:val="single" w:sz="4" w:space="0" w:color="auto"/>
            </w:tcBorders>
            <w:hideMark/>
          </w:tcPr>
          <w:p w14:paraId="3DE8B1F0"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r w:rsidRPr="009F10EE">
              <w:rPr>
                <w:rFonts w:ascii="Times New Roman" w:eastAsia="Times New Roman" w:hAnsi="Times New Roman" w:cs="Times New Roman"/>
              </w:rPr>
              <w:t>Angioneurozinė edema</w:t>
            </w:r>
            <w:r w:rsidRPr="009F10EE">
              <w:rPr>
                <w:rFonts w:ascii="Times New Roman" w:eastAsia="Times New Roman" w:hAnsi="Times New Roman" w:cs="Times New Roman"/>
                <w:vertAlign w:val="superscript"/>
              </w:rPr>
              <w:t>2</w:t>
            </w:r>
          </w:p>
        </w:tc>
        <w:tc>
          <w:tcPr>
            <w:tcW w:w="1780" w:type="dxa"/>
            <w:tcBorders>
              <w:top w:val="single" w:sz="4" w:space="0" w:color="auto"/>
              <w:left w:val="single" w:sz="4" w:space="0" w:color="auto"/>
              <w:bottom w:val="single" w:sz="4" w:space="0" w:color="auto"/>
              <w:right w:val="single" w:sz="4" w:space="0" w:color="auto"/>
            </w:tcBorders>
          </w:tcPr>
          <w:p w14:paraId="7F8104B1"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 New Roman" w:hAnsi="Times New Roman" w:cs="Times New Roman"/>
              </w:rPr>
            </w:pPr>
          </w:p>
        </w:tc>
      </w:tr>
      <w:tr w:rsidR="00C821FB" w:rsidRPr="009F10EE" w14:paraId="0C84913E" w14:textId="139DFF27" w:rsidTr="003D2ECA">
        <w:tc>
          <w:tcPr>
            <w:tcW w:w="9394" w:type="dxa"/>
            <w:gridSpan w:val="5"/>
            <w:tcBorders>
              <w:top w:val="single" w:sz="4" w:space="0" w:color="auto"/>
              <w:left w:val="single" w:sz="4" w:space="0" w:color="auto"/>
              <w:bottom w:val="single" w:sz="4" w:space="0" w:color="auto"/>
              <w:right w:val="single" w:sz="4" w:space="0" w:color="auto"/>
            </w:tcBorders>
            <w:hideMark/>
          </w:tcPr>
          <w:p w14:paraId="2F523098" w14:textId="77A4F255"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i/>
                <w:iCs/>
                <w:lang w:eastAsia="lt-LT"/>
              </w:rPr>
            </w:pPr>
            <w:r w:rsidRPr="009F10EE">
              <w:rPr>
                <w:rFonts w:ascii="Times New Roman" w:eastAsia="TimesNewRomanPSMT" w:hAnsi="Times New Roman" w:cs="Times New Roman"/>
                <w:i/>
                <w:iCs/>
                <w:lang w:eastAsia="lt-LT"/>
              </w:rPr>
              <w:t>Nervų sistemos sutrikimai</w:t>
            </w:r>
          </w:p>
        </w:tc>
      </w:tr>
      <w:tr w:rsidR="00C821FB" w:rsidRPr="009F10EE" w14:paraId="7162B45B" w14:textId="7F1EFE3F" w:rsidTr="007D3ACB">
        <w:tc>
          <w:tcPr>
            <w:tcW w:w="1724" w:type="dxa"/>
            <w:tcBorders>
              <w:top w:val="single" w:sz="4" w:space="0" w:color="auto"/>
              <w:left w:val="single" w:sz="4" w:space="0" w:color="auto"/>
              <w:bottom w:val="single" w:sz="4" w:space="0" w:color="auto"/>
              <w:right w:val="single" w:sz="4" w:space="0" w:color="auto"/>
            </w:tcBorders>
          </w:tcPr>
          <w:p w14:paraId="54C4A12F"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hideMark/>
          </w:tcPr>
          <w:p w14:paraId="1668619E"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Galvos skausmas</w:t>
            </w:r>
          </w:p>
        </w:tc>
        <w:tc>
          <w:tcPr>
            <w:tcW w:w="1962" w:type="dxa"/>
            <w:tcBorders>
              <w:top w:val="single" w:sz="4" w:space="0" w:color="auto"/>
              <w:left w:val="single" w:sz="4" w:space="0" w:color="auto"/>
              <w:bottom w:val="single" w:sz="4" w:space="0" w:color="auto"/>
              <w:right w:val="single" w:sz="4" w:space="0" w:color="auto"/>
            </w:tcBorders>
            <w:hideMark/>
          </w:tcPr>
          <w:p w14:paraId="3D75A033"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Svaigulys</w:t>
            </w:r>
          </w:p>
        </w:tc>
        <w:tc>
          <w:tcPr>
            <w:tcW w:w="2168" w:type="dxa"/>
            <w:tcBorders>
              <w:top w:val="single" w:sz="4" w:space="0" w:color="auto"/>
              <w:left w:val="single" w:sz="4" w:space="0" w:color="auto"/>
              <w:bottom w:val="single" w:sz="4" w:space="0" w:color="auto"/>
              <w:right w:val="single" w:sz="4" w:space="0" w:color="auto"/>
            </w:tcBorders>
            <w:hideMark/>
          </w:tcPr>
          <w:p w14:paraId="648F8809"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color w:val="000000"/>
                <w:lang w:eastAsia="cs-CZ"/>
              </w:rPr>
              <w:t>Insultas</w:t>
            </w:r>
            <w:r w:rsidRPr="009F10EE">
              <w:rPr>
                <w:rFonts w:ascii="Times New Roman" w:eastAsia="Times New Roman" w:hAnsi="Times New Roman" w:cs="Times New Roman"/>
                <w:color w:val="000000"/>
                <w:vertAlign w:val="superscript"/>
                <w:lang w:eastAsia="cs-CZ"/>
              </w:rPr>
              <w:t>1</w:t>
            </w:r>
            <w:r w:rsidRPr="009F10EE">
              <w:rPr>
                <w:rFonts w:ascii="Times New Roman" w:eastAsia="Times New Roman" w:hAnsi="Times New Roman" w:cs="Times New Roman"/>
                <w:color w:val="000000"/>
                <w:lang w:eastAsia="cs-CZ"/>
              </w:rPr>
              <w:t xml:space="preserve"> (įskaitant hemoraginius sutrikimus), apalpimas, praeinantieji smegenų išemijos priepuoliai</w:t>
            </w:r>
            <w:r w:rsidRPr="009F10EE">
              <w:rPr>
                <w:rFonts w:ascii="Times New Roman" w:eastAsia="Times New Roman" w:hAnsi="Times New Roman" w:cs="Times New Roman"/>
                <w:color w:val="000000"/>
                <w:vertAlign w:val="superscript"/>
                <w:lang w:eastAsia="cs-CZ"/>
              </w:rPr>
              <w:t>1</w:t>
            </w:r>
            <w:r w:rsidRPr="009F10EE">
              <w:rPr>
                <w:rFonts w:ascii="Times New Roman" w:eastAsia="Times New Roman" w:hAnsi="Times New Roman" w:cs="Times New Roman"/>
                <w:color w:val="000000"/>
                <w:lang w:eastAsia="cs-CZ"/>
              </w:rPr>
              <w:t>, migrena</w:t>
            </w:r>
            <w:r w:rsidRPr="009F10EE">
              <w:rPr>
                <w:rFonts w:ascii="Times New Roman" w:eastAsia="Times New Roman" w:hAnsi="Times New Roman" w:cs="Times New Roman"/>
                <w:color w:val="000000"/>
                <w:vertAlign w:val="superscript"/>
                <w:lang w:eastAsia="cs-CZ"/>
              </w:rPr>
              <w:t>2</w:t>
            </w:r>
            <w:r w:rsidRPr="009F10EE">
              <w:rPr>
                <w:rFonts w:ascii="Times New Roman" w:eastAsia="Times New Roman" w:hAnsi="Times New Roman" w:cs="Times New Roman"/>
                <w:color w:val="000000"/>
                <w:lang w:eastAsia="cs-CZ"/>
              </w:rPr>
              <w:t>, traukuliai</w:t>
            </w:r>
            <w:r w:rsidRPr="009F10EE">
              <w:rPr>
                <w:rFonts w:ascii="Times New Roman" w:eastAsia="Times New Roman" w:hAnsi="Times New Roman" w:cs="Times New Roman"/>
                <w:color w:val="000000"/>
                <w:vertAlign w:val="superscript"/>
                <w:lang w:eastAsia="cs-CZ"/>
              </w:rPr>
              <w:t>2</w:t>
            </w:r>
            <w:r w:rsidRPr="009F10EE">
              <w:rPr>
                <w:rFonts w:ascii="Times New Roman" w:eastAsia="Times New Roman" w:hAnsi="Times New Roman" w:cs="Times New Roman"/>
                <w:color w:val="000000"/>
                <w:lang w:eastAsia="cs-CZ"/>
              </w:rPr>
              <w:t>, laikina amnezija</w:t>
            </w:r>
          </w:p>
        </w:tc>
        <w:tc>
          <w:tcPr>
            <w:tcW w:w="1780" w:type="dxa"/>
            <w:tcBorders>
              <w:top w:val="single" w:sz="4" w:space="0" w:color="auto"/>
              <w:left w:val="single" w:sz="4" w:space="0" w:color="auto"/>
              <w:bottom w:val="single" w:sz="4" w:space="0" w:color="auto"/>
              <w:right w:val="single" w:sz="4" w:space="0" w:color="auto"/>
            </w:tcBorders>
          </w:tcPr>
          <w:p w14:paraId="630CBE94"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color w:val="000000"/>
                <w:lang w:eastAsia="cs-CZ"/>
              </w:rPr>
            </w:pPr>
          </w:p>
        </w:tc>
      </w:tr>
      <w:tr w:rsidR="00C821FB" w:rsidRPr="009F10EE" w14:paraId="19596717" w14:textId="7AF8322B" w:rsidTr="003D25CF">
        <w:tc>
          <w:tcPr>
            <w:tcW w:w="9394" w:type="dxa"/>
            <w:gridSpan w:val="5"/>
            <w:tcBorders>
              <w:top w:val="single" w:sz="4" w:space="0" w:color="auto"/>
              <w:left w:val="single" w:sz="4" w:space="0" w:color="auto"/>
              <w:bottom w:val="single" w:sz="4" w:space="0" w:color="auto"/>
              <w:right w:val="single" w:sz="4" w:space="0" w:color="auto"/>
            </w:tcBorders>
            <w:hideMark/>
          </w:tcPr>
          <w:p w14:paraId="1EA985DF" w14:textId="24FF606D"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Akių sutrikimai</w:t>
            </w:r>
          </w:p>
        </w:tc>
      </w:tr>
      <w:tr w:rsidR="00C821FB" w:rsidRPr="009F10EE" w14:paraId="4D0D4AA3" w14:textId="6881855D" w:rsidTr="007D3ACB">
        <w:tc>
          <w:tcPr>
            <w:tcW w:w="1724" w:type="dxa"/>
            <w:tcBorders>
              <w:top w:val="single" w:sz="4" w:space="0" w:color="auto"/>
              <w:left w:val="single" w:sz="4" w:space="0" w:color="auto"/>
              <w:bottom w:val="single" w:sz="4" w:space="0" w:color="auto"/>
              <w:right w:val="single" w:sz="4" w:space="0" w:color="auto"/>
            </w:tcBorders>
          </w:tcPr>
          <w:p w14:paraId="15D4976E"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tcPr>
          <w:p w14:paraId="17C201AC"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tcPr>
          <w:p w14:paraId="08C6EB7F"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Matomo vaizdo neryškumas,</w:t>
            </w:r>
          </w:p>
          <w:p w14:paraId="5245099A"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pojūtis, apibūdintas kaip akių skausmas </w:t>
            </w:r>
          </w:p>
          <w:p w14:paraId="3D8E4810"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2168" w:type="dxa"/>
            <w:tcBorders>
              <w:top w:val="single" w:sz="4" w:space="0" w:color="auto"/>
              <w:left w:val="single" w:sz="4" w:space="0" w:color="auto"/>
              <w:bottom w:val="single" w:sz="4" w:space="0" w:color="auto"/>
              <w:right w:val="single" w:sz="4" w:space="0" w:color="auto"/>
            </w:tcBorders>
            <w:hideMark/>
          </w:tcPr>
          <w:p w14:paraId="166F75F7"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color w:val="000000"/>
                <w:lang w:eastAsia="cs-CZ"/>
              </w:rPr>
              <w:t>Akipločio defektas, akių vokų patinimas, junginės hiperemija, ne arterito sukelta priekinė išeminė regos nervo neuropatija (NAION)</w:t>
            </w:r>
            <w:r w:rsidRPr="009F10EE">
              <w:rPr>
                <w:rFonts w:ascii="Times New Roman" w:eastAsia="Times New Roman" w:hAnsi="Times New Roman" w:cs="Times New Roman"/>
                <w:color w:val="000000"/>
                <w:vertAlign w:val="superscript"/>
                <w:lang w:eastAsia="cs-CZ"/>
              </w:rPr>
              <w:t>2</w:t>
            </w:r>
            <w:r w:rsidRPr="009F10EE">
              <w:rPr>
                <w:rFonts w:ascii="Times New Roman" w:eastAsia="Times New Roman" w:hAnsi="Times New Roman" w:cs="Times New Roman"/>
                <w:color w:val="000000"/>
                <w:lang w:eastAsia="cs-CZ"/>
              </w:rPr>
              <w:t xml:space="preserve">, tinklainės </w:t>
            </w:r>
            <w:r w:rsidRPr="009F10EE">
              <w:rPr>
                <w:rFonts w:ascii="Times New Roman" w:eastAsia="Times New Roman" w:hAnsi="Times New Roman" w:cs="Times New Roman"/>
                <w:color w:val="000000"/>
                <w:lang w:eastAsia="cs-CZ"/>
              </w:rPr>
              <w:lastRenderedPageBreak/>
              <w:t>kraujagyslių okliuzija</w:t>
            </w:r>
            <w:r w:rsidRPr="009F10EE">
              <w:rPr>
                <w:rFonts w:ascii="Times New Roman" w:eastAsia="Times New Roman" w:hAnsi="Times New Roman" w:cs="Times New Roman"/>
                <w:color w:val="000000"/>
                <w:vertAlign w:val="superscript"/>
                <w:lang w:eastAsia="cs-CZ"/>
              </w:rPr>
              <w:t>2</w:t>
            </w:r>
          </w:p>
        </w:tc>
        <w:tc>
          <w:tcPr>
            <w:tcW w:w="1780" w:type="dxa"/>
            <w:tcBorders>
              <w:top w:val="single" w:sz="4" w:space="0" w:color="auto"/>
              <w:left w:val="single" w:sz="4" w:space="0" w:color="auto"/>
              <w:bottom w:val="single" w:sz="4" w:space="0" w:color="auto"/>
              <w:right w:val="single" w:sz="4" w:space="0" w:color="auto"/>
            </w:tcBorders>
          </w:tcPr>
          <w:p w14:paraId="4BE63A52" w14:textId="794A7250" w:rsidR="00C821FB" w:rsidRPr="009F10EE" w:rsidRDefault="00C821FB" w:rsidP="00C821FB">
            <w:pPr>
              <w:tabs>
                <w:tab w:val="left" w:pos="567"/>
              </w:tabs>
              <w:autoSpaceDE w:val="0"/>
              <w:autoSpaceDN w:val="0"/>
              <w:adjustRightInd w:val="0"/>
              <w:spacing w:after="0" w:line="240" w:lineRule="auto"/>
              <w:rPr>
                <w:rFonts w:ascii="Times New Roman" w:eastAsia="Times New Roman" w:hAnsi="Times New Roman" w:cs="Times New Roman"/>
                <w:color w:val="000000"/>
                <w:lang w:eastAsia="cs-CZ"/>
              </w:rPr>
            </w:pPr>
            <w:r w:rsidRPr="00C821FB">
              <w:rPr>
                <w:rFonts w:ascii="Times New Roman" w:eastAsia="Times New Roman" w:hAnsi="Times New Roman" w:cs="Times New Roman"/>
                <w:color w:val="000000"/>
                <w:lang w:eastAsia="cs-CZ"/>
              </w:rPr>
              <w:lastRenderedPageBreak/>
              <w:t>Centrinė serozinė</w:t>
            </w:r>
            <w:r>
              <w:rPr>
                <w:rFonts w:ascii="Times New Roman" w:eastAsia="Times New Roman" w:hAnsi="Times New Roman" w:cs="Times New Roman"/>
                <w:color w:val="000000"/>
                <w:lang w:eastAsia="cs-CZ"/>
              </w:rPr>
              <w:t xml:space="preserve"> </w:t>
            </w:r>
            <w:r w:rsidRPr="00C821FB">
              <w:rPr>
                <w:rFonts w:ascii="Times New Roman" w:eastAsia="Times New Roman" w:hAnsi="Times New Roman" w:cs="Times New Roman"/>
                <w:color w:val="000000"/>
                <w:lang w:eastAsia="cs-CZ"/>
              </w:rPr>
              <w:t>chorioretinopatija</w:t>
            </w:r>
          </w:p>
        </w:tc>
      </w:tr>
      <w:tr w:rsidR="00C821FB" w:rsidRPr="009F10EE" w14:paraId="07E99098" w14:textId="5A582717" w:rsidTr="006D1552">
        <w:tc>
          <w:tcPr>
            <w:tcW w:w="9394" w:type="dxa"/>
            <w:gridSpan w:val="5"/>
            <w:tcBorders>
              <w:top w:val="single" w:sz="4" w:space="0" w:color="auto"/>
              <w:left w:val="single" w:sz="4" w:space="0" w:color="auto"/>
              <w:bottom w:val="single" w:sz="4" w:space="0" w:color="auto"/>
              <w:right w:val="single" w:sz="4" w:space="0" w:color="auto"/>
            </w:tcBorders>
            <w:hideMark/>
          </w:tcPr>
          <w:p w14:paraId="02E08C41" w14:textId="2B06E79C"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Ausų ir labirintų sutrikimai</w:t>
            </w:r>
          </w:p>
        </w:tc>
      </w:tr>
      <w:tr w:rsidR="00C821FB" w:rsidRPr="009F10EE" w14:paraId="78EE4FD5" w14:textId="7B71467E" w:rsidTr="007D3ACB">
        <w:tc>
          <w:tcPr>
            <w:tcW w:w="1724" w:type="dxa"/>
            <w:tcBorders>
              <w:top w:val="single" w:sz="4" w:space="0" w:color="auto"/>
              <w:left w:val="single" w:sz="4" w:space="0" w:color="auto"/>
              <w:bottom w:val="single" w:sz="4" w:space="0" w:color="auto"/>
              <w:right w:val="single" w:sz="4" w:space="0" w:color="auto"/>
            </w:tcBorders>
          </w:tcPr>
          <w:p w14:paraId="265CCE85"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tcPr>
          <w:p w14:paraId="516B79BD"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hideMark/>
          </w:tcPr>
          <w:p w14:paraId="232A350F"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Ūžesys (</w:t>
            </w:r>
            <w:r w:rsidRPr="009F10EE">
              <w:rPr>
                <w:rFonts w:ascii="Times New Roman" w:eastAsia="Times New Roman" w:hAnsi="Times New Roman" w:cs="Times New Roman"/>
                <w:i/>
                <w:lang w:eastAsia="lt-LT"/>
              </w:rPr>
              <w:t>tinitas</w:t>
            </w:r>
            <w:r w:rsidRPr="009F10EE">
              <w:rPr>
                <w:rFonts w:ascii="Times New Roman" w:eastAsia="Times New Roman" w:hAnsi="Times New Roman" w:cs="Times New Roman"/>
                <w:lang w:eastAsia="lt-LT"/>
              </w:rPr>
              <w:t>)</w:t>
            </w:r>
          </w:p>
        </w:tc>
        <w:tc>
          <w:tcPr>
            <w:tcW w:w="2168" w:type="dxa"/>
            <w:tcBorders>
              <w:top w:val="single" w:sz="4" w:space="0" w:color="auto"/>
              <w:left w:val="single" w:sz="4" w:space="0" w:color="auto"/>
              <w:bottom w:val="single" w:sz="4" w:space="0" w:color="auto"/>
              <w:right w:val="single" w:sz="4" w:space="0" w:color="auto"/>
            </w:tcBorders>
            <w:hideMark/>
          </w:tcPr>
          <w:p w14:paraId="25423B6B"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Staigus klausos netekimas</w:t>
            </w:r>
          </w:p>
        </w:tc>
        <w:tc>
          <w:tcPr>
            <w:tcW w:w="1780" w:type="dxa"/>
            <w:tcBorders>
              <w:top w:val="single" w:sz="4" w:space="0" w:color="auto"/>
              <w:left w:val="single" w:sz="4" w:space="0" w:color="auto"/>
              <w:bottom w:val="single" w:sz="4" w:space="0" w:color="auto"/>
              <w:right w:val="single" w:sz="4" w:space="0" w:color="auto"/>
            </w:tcBorders>
          </w:tcPr>
          <w:p w14:paraId="43AA4869"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p>
        </w:tc>
      </w:tr>
      <w:tr w:rsidR="00C821FB" w:rsidRPr="009F10EE" w14:paraId="7B2FBB94" w14:textId="76A8BFA1" w:rsidTr="003231EE">
        <w:tc>
          <w:tcPr>
            <w:tcW w:w="9394" w:type="dxa"/>
            <w:gridSpan w:val="5"/>
            <w:tcBorders>
              <w:top w:val="single" w:sz="4" w:space="0" w:color="auto"/>
              <w:left w:val="single" w:sz="4" w:space="0" w:color="auto"/>
              <w:bottom w:val="single" w:sz="4" w:space="0" w:color="auto"/>
              <w:right w:val="single" w:sz="4" w:space="0" w:color="auto"/>
            </w:tcBorders>
            <w:hideMark/>
          </w:tcPr>
          <w:p w14:paraId="42CC7B60" w14:textId="2F676F22"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Širdies sutrikimai</w:t>
            </w:r>
            <w:r w:rsidRPr="009F10EE">
              <w:rPr>
                <w:rFonts w:ascii="Times New Roman" w:eastAsia="Times New Roman" w:hAnsi="Times New Roman" w:cs="Times New Roman"/>
                <w:i/>
                <w:iCs/>
                <w:vertAlign w:val="superscript"/>
                <w:lang w:eastAsia="lt-LT"/>
              </w:rPr>
              <w:t>1</w:t>
            </w:r>
          </w:p>
        </w:tc>
      </w:tr>
      <w:tr w:rsidR="00C821FB" w:rsidRPr="009F10EE" w14:paraId="5D8BD6F3" w14:textId="39A5DD54" w:rsidTr="007D3ACB">
        <w:tc>
          <w:tcPr>
            <w:tcW w:w="1724" w:type="dxa"/>
            <w:tcBorders>
              <w:top w:val="single" w:sz="4" w:space="0" w:color="auto"/>
              <w:left w:val="single" w:sz="4" w:space="0" w:color="auto"/>
              <w:bottom w:val="single" w:sz="4" w:space="0" w:color="auto"/>
              <w:right w:val="single" w:sz="4" w:space="0" w:color="auto"/>
            </w:tcBorders>
          </w:tcPr>
          <w:p w14:paraId="713C0EF4"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p w14:paraId="28169FF4"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tcPr>
          <w:p w14:paraId="07030A1E"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tcPr>
          <w:p w14:paraId="1AA7D666"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Tachikardija, palpitacijos</w:t>
            </w:r>
          </w:p>
          <w:p w14:paraId="33D8D50E"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2168" w:type="dxa"/>
            <w:tcBorders>
              <w:top w:val="single" w:sz="4" w:space="0" w:color="auto"/>
              <w:left w:val="single" w:sz="4" w:space="0" w:color="auto"/>
              <w:bottom w:val="single" w:sz="4" w:space="0" w:color="auto"/>
              <w:right w:val="single" w:sz="4" w:space="0" w:color="auto"/>
            </w:tcBorders>
            <w:hideMark/>
          </w:tcPr>
          <w:p w14:paraId="2072574D"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color w:val="000000"/>
                <w:lang w:eastAsia="cs-CZ"/>
              </w:rPr>
              <w:t>Miokardo infarktas, nestabilioji krūtinės angina</w:t>
            </w:r>
            <w:r w:rsidRPr="009F10EE">
              <w:rPr>
                <w:rFonts w:ascii="Times New Roman" w:eastAsia="Times New Roman" w:hAnsi="Times New Roman" w:cs="Times New Roman"/>
                <w:color w:val="000000"/>
                <w:vertAlign w:val="superscript"/>
                <w:lang w:eastAsia="cs-CZ"/>
              </w:rPr>
              <w:t>2</w:t>
            </w:r>
            <w:r w:rsidRPr="009F10EE">
              <w:rPr>
                <w:rFonts w:ascii="Times New Roman" w:eastAsia="Times New Roman" w:hAnsi="Times New Roman" w:cs="Times New Roman"/>
                <w:color w:val="000000"/>
                <w:lang w:eastAsia="cs-CZ"/>
              </w:rPr>
              <w:t xml:space="preserve">, skilvelinė aritmija </w:t>
            </w:r>
            <w:r w:rsidRPr="009F10EE">
              <w:rPr>
                <w:rFonts w:ascii="Times New Roman" w:eastAsia="Times New Roman" w:hAnsi="Times New Roman" w:cs="Times New Roman"/>
                <w:color w:val="000000"/>
                <w:vertAlign w:val="superscript"/>
                <w:lang w:eastAsia="cs-CZ"/>
              </w:rPr>
              <w:t>2</w:t>
            </w:r>
          </w:p>
        </w:tc>
        <w:tc>
          <w:tcPr>
            <w:tcW w:w="1780" w:type="dxa"/>
            <w:tcBorders>
              <w:top w:val="single" w:sz="4" w:space="0" w:color="auto"/>
              <w:left w:val="single" w:sz="4" w:space="0" w:color="auto"/>
              <w:bottom w:val="single" w:sz="4" w:space="0" w:color="auto"/>
              <w:right w:val="single" w:sz="4" w:space="0" w:color="auto"/>
            </w:tcBorders>
          </w:tcPr>
          <w:p w14:paraId="2B28B5FC"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color w:val="000000"/>
                <w:lang w:eastAsia="cs-CZ"/>
              </w:rPr>
            </w:pPr>
          </w:p>
        </w:tc>
      </w:tr>
      <w:tr w:rsidR="00C821FB" w:rsidRPr="009F10EE" w14:paraId="26BB205B" w14:textId="53DA4F8D" w:rsidTr="00EA2078">
        <w:tc>
          <w:tcPr>
            <w:tcW w:w="9394" w:type="dxa"/>
            <w:gridSpan w:val="5"/>
            <w:tcBorders>
              <w:top w:val="single" w:sz="4" w:space="0" w:color="auto"/>
              <w:left w:val="single" w:sz="4" w:space="0" w:color="auto"/>
              <w:bottom w:val="single" w:sz="4" w:space="0" w:color="auto"/>
              <w:right w:val="single" w:sz="4" w:space="0" w:color="auto"/>
            </w:tcBorders>
            <w:hideMark/>
          </w:tcPr>
          <w:p w14:paraId="792AA73D" w14:textId="6E737564"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Kraujagyslių sutrikimai</w:t>
            </w:r>
          </w:p>
        </w:tc>
      </w:tr>
      <w:tr w:rsidR="00C821FB" w:rsidRPr="009F10EE" w14:paraId="63C15344" w14:textId="745ED940" w:rsidTr="007D3ACB">
        <w:tc>
          <w:tcPr>
            <w:tcW w:w="1724" w:type="dxa"/>
            <w:tcBorders>
              <w:top w:val="single" w:sz="4" w:space="0" w:color="auto"/>
              <w:left w:val="single" w:sz="4" w:space="0" w:color="auto"/>
              <w:bottom w:val="single" w:sz="4" w:space="0" w:color="auto"/>
              <w:right w:val="single" w:sz="4" w:space="0" w:color="auto"/>
            </w:tcBorders>
          </w:tcPr>
          <w:p w14:paraId="73D509CA"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hideMark/>
          </w:tcPr>
          <w:p w14:paraId="4EE57634"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Staigus paraudimas</w:t>
            </w:r>
          </w:p>
        </w:tc>
        <w:tc>
          <w:tcPr>
            <w:tcW w:w="1962" w:type="dxa"/>
            <w:tcBorders>
              <w:top w:val="single" w:sz="4" w:space="0" w:color="auto"/>
              <w:left w:val="single" w:sz="4" w:space="0" w:color="auto"/>
              <w:bottom w:val="single" w:sz="4" w:space="0" w:color="auto"/>
              <w:right w:val="single" w:sz="4" w:space="0" w:color="auto"/>
            </w:tcBorders>
            <w:hideMark/>
          </w:tcPr>
          <w:p w14:paraId="53F4916A"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Hipotenzija</w:t>
            </w:r>
            <w:r w:rsidRPr="009F10EE">
              <w:rPr>
                <w:rFonts w:ascii="Times New Roman" w:eastAsia="Times New Roman" w:hAnsi="Times New Roman" w:cs="Times New Roman"/>
                <w:vertAlign w:val="superscript"/>
                <w:lang w:eastAsia="lt-LT"/>
              </w:rPr>
              <w:t>3</w:t>
            </w:r>
            <w:r w:rsidRPr="009F10EE">
              <w:rPr>
                <w:rFonts w:ascii="Times New Roman" w:eastAsia="Times New Roman" w:hAnsi="Times New Roman" w:cs="Times New Roman"/>
                <w:lang w:eastAsia="lt-LT"/>
              </w:rPr>
              <w:t>, hipertenzija</w:t>
            </w:r>
          </w:p>
        </w:tc>
        <w:tc>
          <w:tcPr>
            <w:tcW w:w="2168" w:type="dxa"/>
            <w:tcBorders>
              <w:top w:val="single" w:sz="4" w:space="0" w:color="auto"/>
              <w:left w:val="single" w:sz="4" w:space="0" w:color="auto"/>
              <w:bottom w:val="single" w:sz="4" w:space="0" w:color="auto"/>
              <w:right w:val="single" w:sz="4" w:space="0" w:color="auto"/>
            </w:tcBorders>
          </w:tcPr>
          <w:p w14:paraId="687B7841"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780" w:type="dxa"/>
            <w:tcBorders>
              <w:top w:val="single" w:sz="4" w:space="0" w:color="auto"/>
              <w:left w:val="single" w:sz="4" w:space="0" w:color="auto"/>
              <w:bottom w:val="single" w:sz="4" w:space="0" w:color="auto"/>
              <w:right w:val="single" w:sz="4" w:space="0" w:color="auto"/>
            </w:tcBorders>
          </w:tcPr>
          <w:p w14:paraId="75C16375"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r>
      <w:tr w:rsidR="00C821FB" w:rsidRPr="009F10EE" w14:paraId="5B912AB0" w14:textId="17117F69" w:rsidTr="00986C32">
        <w:tc>
          <w:tcPr>
            <w:tcW w:w="9394" w:type="dxa"/>
            <w:gridSpan w:val="5"/>
            <w:tcBorders>
              <w:top w:val="single" w:sz="4" w:space="0" w:color="auto"/>
              <w:left w:val="single" w:sz="4" w:space="0" w:color="auto"/>
              <w:bottom w:val="single" w:sz="4" w:space="0" w:color="auto"/>
              <w:right w:val="single" w:sz="4" w:space="0" w:color="auto"/>
            </w:tcBorders>
            <w:hideMark/>
          </w:tcPr>
          <w:p w14:paraId="15519505" w14:textId="4BA59CF8"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Kvėpavimo sistemos, krūtinės ląstos ir tarpuplaučio sutrikimai</w:t>
            </w:r>
          </w:p>
        </w:tc>
      </w:tr>
      <w:tr w:rsidR="00C821FB" w:rsidRPr="009F10EE" w14:paraId="09F9290F" w14:textId="75CEAB4B" w:rsidTr="007D3ACB">
        <w:tc>
          <w:tcPr>
            <w:tcW w:w="1724" w:type="dxa"/>
            <w:tcBorders>
              <w:top w:val="single" w:sz="4" w:space="0" w:color="auto"/>
              <w:left w:val="single" w:sz="4" w:space="0" w:color="auto"/>
              <w:bottom w:val="single" w:sz="4" w:space="0" w:color="auto"/>
              <w:right w:val="single" w:sz="4" w:space="0" w:color="auto"/>
            </w:tcBorders>
          </w:tcPr>
          <w:p w14:paraId="6B1F89C9"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1760" w:type="dxa"/>
            <w:tcBorders>
              <w:top w:val="single" w:sz="4" w:space="0" w:color="auto"/>
              <w:left w:val="single" w:sz="4" w:space="0" w:color="auto"/>
              <w:bottom w:val="single" w:sz="4" w:space="0" w:color="auto"/>
              <w:right w:val="single" w:sz="4" w:space="0" w:color="auto"/>
            </w:tcBorders>
            <w:hideMark/>
          </w:tcPr>
          <w:p w14:paraId="33F5DAC8"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Nosies užgulimas</w:t>
            </w:r>
          </w:p>
        </w:tc>
        <w:tc>
          <w:tcPr>
            <w:tcW w:w="1962" w:type="dxa"/>
            <w:tcBorders>
              <w:top w:val="single" w:sz="4" w:space="0" w:color="auto"/>
              <w:left w:val="single" w:sz="4" w:space="0" w:color="auto"/>
              <w:bottom w:val="single" w:sz="4" w:space="0" w:color="auto"/>
              <w:right w:val="single" w:sz="4" w:space="0" w:color="auto"/>
            </w:tcBorders>
            <w:hideMark/>
          </w:tcPr>
          <w:p w14:paraId="79D700BF"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Dusulys</w:t>
            </w:r>
            <w:r w:rsidRPr="009F10EE">
              <w:rPr>
                <w:rFonts w:ascii="Times New Roman" w:eastAsia="Times New Roman" w:hAnsi="Times New Roman" w:cs="Times New Roman"/>
                <w:lang w:eastAsia="lt-LT"/>
              </w:rPr>
              <w:t>, kraujavimas iš nosies</w:t>
            </w:r>
          </w:p>
        </w:tc>
        <w:tc>
          <w:tcPr>
            <w:tcW w:w="2168" w:type="dxa"/>
            <w:tcBorders>
              <w:top w:val="single" w:sz="4" w:space="0" w:color="auto"/>
              <w:left w:val="single" w:sz="4" w:space="0" w:color="auto"/>
              <w:bottom w:val="single" w:sz="4" w:space="0" w:color="auto"/>
              <w:right w:val="single" w:sz="4" w:space="0" w:color="auto"/>
            </w:tcBorders>
          </w:tcPr>
          <w:p w14:paraId="48449446"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780" w:type="dxa"/>
            <w:tcBorders>
              <w:top w:val="single" w:sz="4" w:space="0" w:color="auto"/>
              <w:left w:val="single" w:sz="4" w:space="0" w:color="auto"/>
              <w:bottom w:val="single" w:sz="4" w:space="0" w:color="auto"/>
              <w:right w:val="single" w:sz="4" w:space="0" w:color="auto"/>
            </w:tcBorders>
          </w:tcPr>
          <w:p w14:paraId="148E4B38"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r>
      <w:tr w:rsidR="00C821FB" w:rsidRPr="009F10EE" w14:paraId="07A402EF" w14:textId="31E85745" w:rsidTr="00320FCD">
        <w:tc>
          <w:tcPr>
            <w:tcW w:w="9394" w:type="dxa"/>
            <w:gridSpan w:val="5"/>
            <w:tcBorders>
              <w:top w:val="single" w:sz="4" w:space="0" w:color="auto"/>
              <w:left w:val="single" w:sz="4" w:space="0" w:color="auto"/>
              <w:bottom w:val="single" w:sz="4" w:space="0" w:color="auto"/>
              <w:right w:val="single" w:sz="4" w:space="0" w:color="auto"/>
            </w:tcBorders>
            <w:hideMark/>
          </w:tcPr>
          <w:p w14:paraId="3968C730" w14:textId="3BB62A49"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Virškinimo trakto sutrikimai</w:t>
            </w:r>
          </w:p>
        </w:tc>
      </w:tr>
      <w:tr w:rsidR="00C821FB" w:rsidRPr="009F10EE" w14:paraId="2D8DFEEB" w14:textId="03AE3D1B" w:rsidTr="007D3ACB">
        <w:tc>
          <w:tcPr>
            <w:tcW w:w="1724" w:type="dxa"/>
            <w:tcBorders>
              <w:top w:val="single" w:sz="4" w:space="0" w:color="auto"/>
              <w:left w:val="single" w:sz="4" w:space="0" w:color="auto"/>
              <w:bottom w:val="single" w:sz="4" w:space="0" w:color="auto"/>
              <w:right w:val="single" w:sz="4" w:space="0" w:color="auto"/>
            </w:tcBorders>
          </w:tcPr>
          <w:p w14:paraId="3A115142"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hideMark/>
          </w:tcPr>
          <w:p w14:paraId="456720ED"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Dispepsija</w:t>
            </w:r>
          </w:p>
        </w:tc>
        <w:tc>
          <w:tcPr>
            <w:tcW w:w="1962" w:type="dxa"/>
            <w:tcBorders>
              <w:top w:val="single" w:sz="4" w:space="0" w:color="auto"/>
              <w:left w:val="single" w:sz="4" w:space="0" w:color="auto"/>
              <w:bottom w:val="single" w:sz="4" w:space="0" w:color="auto"/>
              <w:right w:val="single" w:sz="4" w:space="0" w:color="auto"/>
            </w:tcBorders>
            <w:hideMark/>
          </w:tcPr>
          <w:p w14:paraId="2066F6AC"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Pilvo skausmas</w:t>
            </w:r>
            <w:r w:rsidRPr="009F10EE">
              <w:rPr>
                <w:rFonts w:ascii="Times New Roman" w:hAnsi="Times New Roman" w:cs="Times New Roman"/>
              </w:rPr>
              <w:t xml:space="preserve">, </w:t>
            </w:r>
            <w:r w:rsidRPr="009F10EE">
              <w:rPr>
                <w:rFonts w:ascii="Times New Roman" w:eastAsia="Times New Roman" w:hAnsi="Times New Roman" w:cs="Times New Roman"/>
                <w:lang w:eastAsia="lt-LT"/>
              </w:rPr>
              <w:t>vėmimas, pykinimas, gastroezofaginis refliuksas.</w:t>
            </w:r>
            <w:r w:rsidRPr="009F10EE">
              <w:rPr>
                <w:rFonts w:ascii="Times New Roman" w:hAnsi="Times New Roman" w:cs="Times New Roman"/>
              </w:rPr>
              <w:t xml:space="preserve"> </w:t>
            </w:r>
          </w:p>
        </w:tc>
        <w:tc>
          <w:tcPr>
            <w:tcW w:w="2168" w:type="dxa"/>
            <w:tcBorders>
              <w:top w:val="single" w:sz="4" w:space="0" w:color="auto"/>
              <w:left w:val="single" w:sz="4" w:space="0" w:color="auto"/>
              <w:bottom w:val="single" w:sz="4" w:space="0" w:color="auto"/>
              <w:right w:val="single" w:sz="4" w:space="0" w:color="auto"/>
            </w:tcBorders>
          </w:tcPr>
          <w:p w14:paraId="2911DE68"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780" w:type="dxa"/>
            <w:tcBorders>
              <w:top w:val="single" w:sz="4" w:space="0" w:color="auto"/>
              <w:left w:val="single" w:sz="4" w:space="0" w:color="auto"/>
              <w:bottom w:val="single" w:sz="4" w:space="0" w:color="auto"/>
              <w:right w:val="single" w:sz="4" w:space="0" w:color="auto"/>
            </w:tcBorders>
          </w:tcPr>
          <w:p w14:paraId="4E6ADEEB"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r>
      <w:tr w:rsidR="00C821FB" w:rsidRPr="009F10EE" w14:paraId="37A394D8" w14:textId="74F6BA5B" w:rsidTr="00BA72ED">
        <w:tc>
          <w:tcPr>
            <w:tcW w:w="9394" w:type="dxa"/>
            <w:gridSpan w:val="5"/>
            <w:tcBorders>
              <w:top w:val="single" w:sz="4" w:space="0" w:color="auto"/>
              <w:left w:val="single" w:sz="4" w:space="0" w:color="auto"/>
              <w:bottom w:val="single" w:sz="4" w:space="0" w:color="auto"/>
              <w:right w:val="single" w:sz="4" w:space="0" w:color="auto"/>
            </w:tcBorders>
            <w:hideMark/>
          </w:tcPr>
          <w:p w14:paraId="38581EDC" w14:textId="7BB658BE"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Odos ir poodinio audinio sutrikimai</w:t>
            </w:r>
          </w:p>
        </w:tc>
      </w:tr>
      <w:tr w:rsidR="00C821FB" w:rsidRPr="009F10EE" w14:paraId="65F788AD" w14:textId="27A4A3AF" w:rsidTr="007D3ACB">
        <w:tc>
          <w:tcPr>
            <w:tcW w:w="1724" w:type="dxa"/>
            <w:tcBorders>
              <w:top w:val="single" w:sz="4" w:space="0" w:color="auto"/>
              <w:left w:val="single" w:sz="4" w:space="0" w:color="auto"/>
              <w:bottom w:val="single" w:sz="4" w:space="0" w:color="auto"/>
              <w:right w:val="single" w:sz="4" w:space="0" w:color="auto"/>
            </w:tcBorders>
          </w:tcPr>
          <w:p w14:paraId="1991F245"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tcPr>
          <w:p w14:paraId="0F0805B4"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tcPr>
          <w:p w14:paraId="41CF8C8D"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Išbėrimas</w:t>
            </w:r>
          </w:p>
        </w:tc>
        <w:tc>
          <w:tcPr>
            <w:tcW w:w="2168" w:type="dxa"/>
            <w:tcBorders>
              <w:top w:val="single" w:sz="4" w:space="0" w:color="auto"/>
              <w:left w:val="single" w:sz="4" w:space="0" w:color="auto"/>
              <w:bottom w:val="single" w:sz="4" w:space="0" w:color="auto"/>
              <w:right w:val="single" w:sz="4" w:space="0" w:color="auto"/>
            </w:tcBorders>
            <w:hideMark/>
          </w:tcPr>
          <w:p w14:paraId="524FE5F9"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Dilgėlinė,</w:t>
            </w:r>
          </w:p>
          <w:p w14:paraId="5E3658BF"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lang w:eastAsia="sl-SI"/>
              </w:rPr>
            </w:pPr>
            <w:r w:rsidRPr="009F10EE">
              <w:rPr>
                <w:rFonts w:ascii="Times New Roman" w:eastAsia="Times New Roman" w:hAnsi="Times New Roman" w:cs="Times New Roman"/>
                <w:lang w:eastAsia="lt-LT"/>
              </w:rPr>
              <w:t>Stivenso-Džonsono (</w:t>
            </w:r>
            <w:r w:rsidRPr="009F10EE">
              <w:rPr>
                <w:rFonts w:ascii="Times New Roman" w:eastAsia="Times New Roman" w:hAnsi="Times New Roman" w:cs="Times New Roman"/>
                <w:i/>
                <w:color w:val="000000"/>
                <w:lang w:eastAsia="cs-CZ"/>
              </w:rPr>
              <w:t>Stevens-Johnson</w:t>
            </w:r>
            <w:r w:rsidRPr="009F10EE">
              <w:rPr>
                <w:rFonts w:ascii="Times New Roman" w:eastAsia="Times New Roman" w:hAnsi="Times New Roman" w:cs="Times New Roman"/>
                <w:color w:val="000000"/>
                <w:lang w:eastAsia="cs-CZ"/>
              </w:rPr>
              <w:t xml:space="preserve">) </w:t>
            </w:r>
            <w:r w:rsidRPr="009F10EE">
              <w:rPr>
                <w:rFonts w:ascii="Times New Roman" w:eastAsia="Times New Roman" w:hAnsi="Times New Roman" w:cs="Times New Roman"/>
                <w:lang w:eastAsia="lt-LT"/>
              </w:rPr>
              <w:t>sindromas</w:t>
            </w:r>
            <w:r w:rsidRPr="009F10EE">
              <w:rPr>
                <w:rFonts w:ascii="Times New Roman" w:eastAsia="Times New Roman" w:hAnsi="Times New Roman" w:cs="Times New Roman"/>
                <w:vertAlign w:val="superscript"/>
                <w:lang w:eastAsia="lt-LT"/>
              </w:rPr>
              <w:t>2</w:t>
            </w:r>
            <w:r w:rsidRPr="009F10EE">
              <w:rPr>
                <w:rFonts w:ascii="Times New Roman" w:eastAsia="Times New Roman" w:hAnsi="Times New Roman" w:cs="Times New Roman"/>
                <w:lang w:eastAsia="lt-LT"/>
              </w:rPr>
              <w:t>, eksfoliacinis dermatitas</w:t>
            </w:r>
            <w:r w:rsidRPr="009F10EE">
              <w:rPr>
                <w:rFonts w:ascii="Times New Roman" w:eastAsia="Times New Roman" w:hAnsi="Times New Roman" w:cs="Times New Roman"/>
                <w:vertAlign w:val="superscript"/>
                <w:lang w:eastAsia="lt-LT"/>
              </w:rPr>
              <w:t>2</w:t>
            </w:r>
            <w:r w:rsidRPr="009F10EE">
              <w:rPr>
                <w:rFonts w:ascii="Times New Roman" w:eastAsia="Times New Roman" w:hAnsi="Times New Roman" w:cs="Times New Roman"/>
                <w:lang w:eastAsia="lt-LT"/>
              </w:rPr>
              <w:t>, hiperhidrozė (pernelyg stiprus prakaitavimas).</w:t>
            </w:r>
            <w:r w:rsidRPr="009F10EE">
              <w:rPr>
                <w:rFonts w:ascii="Times New Roman" w:hAnsi="Times New Roman" w:cs="Times New Roman"/>
              </w:rPr>
              <w:t xml:space="preserve"> </w:t>
            </w:r>
          </w:p>
        </w:tc>
        <w:tc>
          <w:tcPr>
            <w:tcW w:w="1780" w:type="dxa"/>
            <w:tcBorders>
              <w:top w:val="single" w:sz="4" w:space="0" w:color="auto"/>
              <w:left w:val="single" w:sz="4" w:space="0" w:color="auto"/>
              <w:bottom w:val="single" w:sz="4" w:space="0" w:color="auto"/>
              <w:right w:val="single" w:sz="4" w:space="0" w:color="auto"/>
            </w:tcBorders>
          </w:tcPr>
          <w:p w14:paraId="7228282B"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r>
      <w:tr w:rsidR="00C821FB" w:rsidRPr="009F10EE" w14:paraId="0411BD32" w14:textId="0999F149" w:rsidTr="00EB61F0">
        <w:tc>
          <w:tcPr>
            <w:tcW w:w="9394" w:type="dxa"/>
            <w:gridSpan w:val="5"/>
            <w:tcBorders>
              <w:top w:val="single" w:sz="4" w:space="0" w:color="auto"/>
              <w:left w:val="single" w:sz="4" w:space="0" w:color="auto"/>
              <w:bottom w:val="single" w:sz="4" w:space="0" w:color="auto"/>
              <w:right w:val="single" w:sz="4" w:space="0" w:color="auto"/>
            </w:tcBorders>
            <w:hideMark/>
          </w:tcPr>
          <w:p w14:paraId="71CA3424" w14:textId="2BBB974B"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Skeleto, raumenų ir jungiamojo audinio sutrikimai</w:t>
            </w:r>
          </w:p>
        </w:tc>
      </w:tr>
      <w:tr w:rsidR="00C821FB" w:rsidRPr="009F10EE" w14:paraId="4057CA18" w14:textId="753F32E0" w:rsidTr="007D3ACB">
        <w:tc>
          <w:tcPr>
            <w:tcW w:w="1724" w:type="dxa"/>
            <w:tcBorders>
              <w:top w:val="single" w:sz="4" w:space="0" w:color="auto"/>
              <w:left w:val="single" w:sz="4" w:space="0" w:color="auto"/>
              <w:bottom w:val="single" w:sz="4" w:space="0" w:color="auto"/>
              <w:right w:val="single" w:sz="4" w:space="0" w:color="auto"/>
            </w:tcBorders>
          </w:tcPr>
          <w:p w14:paraId="3793D133"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hideMark/>
          </w:tcPr>
          <w:p w14:paraId="3CCD678C"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Nugaros skausmas, mialgija</w:t>
            </w:r>
            <w:r w:rsidRPr="009F10EE">
              <w:rPr>
                <w:rFonts w:ascii="Times New Roman" w:eastAsia="TimesNewRomanPSMT" w:hAnsi="Times New Roman" w:cs="Times New Roman"/>
                <w:lang w:eastAsia="lt-LT"/>
              </w:rPr>
              <w:t>, galūnių skausmas</w:t>
            </w:r>
          </w:p>
        </w:tc>
        <w:tc>
          <w:tcPr>
            <w:tcW w:w="1962" w:type="dxa"/>
            <w:tcBorders>
              <w:top w:val="single" w:sz="4" w:space="0" w:color="auto"/>
              <w:left w:val="single" w:sz="4" w:space="0" w:color="auto"/>
              <w:bottom w:val="single" w:sz="4" w:space="0" w:color="auto"/>
              <w:right w:val="single" w:sz="4" w:space="0" w:color="auto"/>
            </w:tcBorders>
          </w:tcPr>
          <w:p w14:paraId="2F0A2D6B"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2168" w:type="dxa"/>
            <w:tcBorders>
              <w:top w:val="single" w:sz="4" w:space="0" w:color="auto"/>
              <w:left w:val="single" w:sz="4" w:space="0" w:color="auto"/>
              <w:bottom w:val="single" w:sz="4" w:space="0" w:color="auto"/>
              <w:right w:val="single" w:sz="4" w:space="0" w:color="auto"/>
            </w:tcBorders>
          </w:tcPr>
          <w:p w14:paraId="347D2741"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780" w:type="dxa"/>
            <w:tcBorders>
              <w:top w:val="single" w:sz="4" w:space="0" w:color="auto"/>
              <w:left w:val="single" w:sz="4" w:space="0" w:color="auto"/>
              <w:bottom w:val="single" w:sz="4" w:space="0" w:color="auto"/>
              <w:right w:val="single" w:sz="4" w:space="0" w:color="auto"/>
            </w:tcBorders>
          </w:tcPr>
          <w:p w14:paraId="148FA780"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r>
      <w:tr w:rsidR="00C821FB" w:rsidRPr="009F10EE" w14:paraId="6DE60ECC" w14:textId="6619912B" w:rsidTr="000C10AE">
        <w:tc>
          <w:tcPr>
            <w:tcW w:w="9394" w:type="dxa"/>
            <w:gridSpan w:val="5"/>
            <w:tcBorders>
              <w:top w:val="single" w:sz="4" w:space="0" w:color="auto"/>
              <w:left w:val="single" w:sz="4" w:space="0" w:color="auto"/>
              <w:bottom w:val="single" w:sz="4" w:space="0" w:color="auto"/>
              <w:right w:val="single" w:sz="4" w:space="0" w:color="auto"/>
            </w:tcBorders>
            <w:hideMark/>
          </w:tcPr>
          <w:p w14:paraId="7DE31D3F" w14:textId="275520DC"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Inkstų ir šlapimo takų sutrikimai</w:t>
            </w:r>
          </w:p>
        </w:tc>
      </w:tr>
      <w:tr w:rsidR="00C821FB" w:rsidRPr="009F10EE" w14:paraId="46289C8E" w14:textId="0CE5F90B" w:rsidTr="007D3ACB">
        <w:tc>
          <w:tcPr>
            <w:tcW w:w="1724" w:type="dxa"/>
            <w:tcBorders>
              <w:top w:val="single" w:sz="4" w:space="0" w:color="auto"/>
              <w:left w:val="single" w:sz="4" w:space="0" w:color="auto"/>
              <w:bottom w:val="single" w:sz="4" w:space="0" w:color="auto"/>
              <w:right w:val="single" w:sz="4" w:space="0" w:color="auto"/>
            </w:tcBorders>
          </w:tcPr>
          <w:p w14:paraId="2DD29C8D"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tcPr>
          <w:p w14:paraId="03CCA21F"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tcPr>
          <w:p w14:paraId="5C742B05"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Hematurija</w:t>
            </w:r>
          </w:p>
          <w:p w14:paraId="6FA33BA6"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2168" w:type="dxa"/>
            <w:tcBorders>
              <w:top w:val="single" w:sz="4" w:space="0" w:color="auto"/>
              <w:left w:val="single" w:sz="4" w:space="0" w:color="auto"/>
              <w:bottom w:val="single" w:sz="4" w:space="0" w:color="auto"/>
              <w:right w:val="single" w:sz="4" w:space="0" w:color="auto"/>
            </w:tcBorders>
          </w:tcPr>
          <w:p w14:paraId="64345187"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c>
          <w:tcPr>
            <w:tcW w:w="1780" w:type="dxa"/>
            <w:tcBorders>
              <w:top w:val="single" w:sz="4" w:space="0" w:color="auto"/>
              <w:left w:val="single" w:sz="4" w:space="0" w:color="auto"/>
              <w:bottom w:val="single" w:sz="4" w:space="0" w:color="auto"/>
              <w:right w:val="single" w:sz="4" w:space="0" w:color="auto"/>
            </w:tcBorders>
          </w:tcPr>
          <w:p w14:paraId="6D8FD7E9"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tc>
      </w:tr>
      <w:tr w:rsidR="00C821FB" w:rsidRPr="009F10EE" w14:paraId="7F0FA264" w14:textId="425AF956" w:rsidTr="00E40AF8">
        <w:tc>
          <w:tcPr>
            <w:tcW w:w="9394" w:type="dxa"/>
            <w:gridSpan w:val="5"/>
            <w:tcBorders>
              <w:top w:val="single" w:sz="4" w:space="0" w:color="auto"/>
              <w:left w:val="single" w:sz="4" w:space="0" w:color="auto"/>
              <w:bottom w:val="single" w:sz="4" w:space="0" w:color="auto"/>
              <w:right w:val="single" w:sz="4" w:space="0" w:color="auto"/>
            </w:tcBorders>
            <w:hideMark/>
          </w:tcPr>
          <w:p w14:paraId="371C1D1A" w14:textId="7546D1F8"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Lytinės sistemos ir krūties sutrikimai</w:t>
            </w:r>
          </w:p>
        </w:tc>
      </w:tr>
      <w:tr w:rsidR="00C821FB" w:rsidRPr="009F10EE" w14:paraId="2AE24946" w14:textId="4C954583" w:rsidTr="007D3ACB">
        <w:tc>
          <w:tcPr>
            <w:tcW w:w="1724" w:type="dxa"/>
            <w:tcBorders>
              <w:top w:val="single" w:sz="4" w:space="0" w:color="auto"/>
              <w:left w:val="single" w:sz="4" w:space="0" w:color="auto"/>
              <w:bottom w:val="single" w:sz="4" w:space="0" w:color="auto"/>
              <w:right w:val="single" w:sz="4" w:space="0" w:color="auto"/>
            </w:tcBorders>
          </w:tcPr>
          <w:p w14:paraId="15D5DD34"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tcPr>
          <w:p w14:paraId="4893C591"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hideMark/>
          </w:tcPr>
          <w:p w14:paraId="680F35EC" w14:textId="77777777" w:rsidR="00C821FB" w:rsidRPr="009F10EE" w:rsidRDefault="00C821FB" w:rsidP="00771646">
            <w:pPr>
              <w:pStyle w:val="Default"/>
              <w:rPr>
                <w:sz w:val="22"/>
                <w:szCs w:val="22"/>
                <w:lang w:val="lt-LT"/>
              </w:rPr>
            </w:pPr>
            <w:r w:rsidRPr="009F10EE">
              <w:rPr>
                <w:sz w:val="22"/>
                <w:szCs w:val="22"/>
                <w:lang w:val="lt-LT"/>
              </w:rPr>
              <w:t xml:space="preserve">Užsitęsusi erekcija. </w:t>
            </w:r>
          </w:p>
          <w:p w14:paraId="2A948E4E" w14:textId="77777777" w:rsidR="00C821FB" w:rsidRPr="009F10EE" w:rsidRDefault="00C821FB" w:rsidP="00771646">
            <w:pPr>
              <w:tabs>
                <w:tab w:val="left" w:pos="567"/>
              </w:tabs>
              <w:autoSpaceDE w:val="0"/>
              <w:autoSpaceDN w:val="0"/>
              <w:adjustRightInd w:val="0"/>
              <w:spacing w:after="0" w:line="240" w:lineRule="auto"/>
              <w:rPr>
                <w:rFonts w:ascii="Times New Roman" w:eastAsia="TimesNewRomanPSMT" w:hAnsi="Times New Roman" w:cs="Times New Roman"/>
                <w:lang w:eastAsia="lt-LT"/>
              </w:rPr>
            </w:pPr>
          </w:p>
        </w:tc>
        <w:tc>
          <w:tcPr>
            <w:tcW w:w="2168" w:type="dxa"/>
            <w:tcBorders>
              <w:top w:val="single" w:sz="4" w:space="0" w:color="auto"/>
              <w:left w:val="single" w:sz="4" w:space="0" w:color="auto"/>
              <w:bottom w:val="single" w:sz="4" w:space="0" w:color="auto"/>
              <w:right w:val="single" w:sz="4" w:space="0" w:color="auto"/>
            </w:tcBorders>
          </w:tcPr>
          <w:p w14:paraId="20240B92"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Priapizmas, </w:t>
            </w:r>
          </w:p>
          <w:p w14:paraId="21DCB396" w14:textId="77777777" w:rsidR="00C821FB" w:rsidRPr="009F10EE" w:rsidRDefault="00C821FB" w:rsidP="00771646">
            <w:pPr>
              <w:pStyle w:val="Default"/>
              <w:rPr>
                <w:rFonts w:eastAsia="TimesNewRomanPSMT"/>
                <w:sz w:val="22"/>
                <w:szCs w:val="22"/>
                <w:lang w:val="lt-LT"/>
              </w:rPr>
            </w:pPr>
            <w:r w:rsidRPr="009F10EE">
              <w:rPr>
                <w:sz w:val="22"/>
                <w:szCs w:val="22"/>
                <w:lang w:val="lt-LT"/>
              </w:rPr>
              <w:t xml:space="preserve">kraujavimas iš varpos, hematospermija </w:t>
            </w:r>
          </w:p>
        </w:tc>
        <w:tc>
          <w:tcPr>
            <w:tcW w:w="1780" w:type="dxa"/>
            <w:tcBorders>
              <w:top w:val="single" w:sz="4" w:space="0" w:color="auto"/>
              <w:left w:val="single" w:sz="4" w:space="0" w:color="auto"/>
              <w:bottom w:val="single" w:sz="4" w:space="0" w:color="auto"/>
              <w:right w:val="single" w:sz="4" w:space="0" w:color="auto"/>
            </w:tcBorders>
          </w:tcPr>
          <w:p w14:paraId="15988EFB"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p>
        </w:tc>
      </w:tr>
      <w:tr w:rsidR="00C821FB" w:rsidRPr="009F10EE" w14:paraId="1C1D53F7" w14:textId="18B1E53D" w:rsidTr="005F11E3">
        <w:tc>
          <w:tcPr>
            <w:tcW w:w="9394" w:type="dxa"/>
            <w:gridSpan w:val="5"/>
            <w:tcBorders>
              <w:top w:val="single" w:sz="4" w:space="0" w:color="auto"/>
              <w:left w:val="single" w:sz="4" w:space="0" w:color="auto"/>
              <w:bottom w:val="single" w:sz="4" w:space="0" w:color="auto"/>
              <w:right w:val="single" w:sz="4" w:space="0" w:color="auto"/>
            </w:tcBorders>
            <w:hideMark/>
          </w:tcPr>
          <w:p w14:paraId="7BB41585" w14:textId="72420B24"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Bendrieji sutrikimai ir vartojimo vietos pažeidimai</w:t>
            </w:r>
          </w:p>
        </w:tc>
      </w:tr>
      <w:tr w:rsidR="00C821FB" w:rsidRPr="009F10EE" w14:paraId="7F8E979A" w14:textId="46AA90A4" w:rsidTr="007D3ACB">
        <w:tc>
          <w:tcPr>
            <w:tcW w:w="1724" w:type="dxa"/>
            <w:tcBorders>
              <w:top w:val="single" w:sz="4" w:space="0" w:color="auto"/>
              <w:left w:val="single" w:sz="4" w:space="0" w:color="auto"/>
              <w:bottom w:val="single" w:sz="4" w:space="0" w:color="auto"/>
              <w:right w:val="single" w:sz="4" w:space="0" w:color="auto"/>
            </w:tcBorders>
          </w:tcPr>
          <w:p w14:paraId="2C2AEB65"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iCs/>
                <w:lang w:eastAsia="lt-LT"/>
              </w:rPr>
            </w:pPr>
          </w:p>
        </w:tc>
        <w:tc>
          <w:tcPr>
            <w:tcW w:w="1760" w:type="dxa"/>
            <w:tcBorders>
              <w:top w:val="single" w:sz="4" w:space="0" w:color="auto"/>
              <w:left w:val="single" w:sz="4" w:space="0" w:color="auto"/>
              <w:bottom w:val="single" w:sz="4" w:space="0" w:color="auto"/>
              <w:right w:val="single" w:sz="4" w:space="0" w:color="auto"/>
            </w:tcBorders>
          </w:tcPr>
          <w:p w14:paraId="0595522B" w14:textId="77777777" w:rsidR="00C821FB" w:rsidRPr="009F10EE" w:rsidRDefault="00C821FB" w:rsidP="00771646">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tc>
        <w:tc>
          <w:tcPr>
            <w:tcW w:w="1962" w:type="dxa"/>
            <w:tcBorders>
              <w:top w:val="single" w:sz="4" w:space="0" w:color="auto"/>
              <w:left w:val="single" w:sz="4" w:space="0" w:color="auto"/>
              <w:bottom w:val="single" w:sz="4" w:space="0" w:color="auto"/>
              <w:right w:val="single" w:sz="4" w:space="0" w:color="auto"/>
            </w:tcBorders>
            <w:hideMark/>
          </w:tcPr>
          <w:p w14:paraId="4C7DF23E"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Krūtinės skausmas</w:t>
            </w:r>
            <w:r w:rsidRPr="009F10EE">
              <w:rPr>
                <w:rFonts w:ascii="Times New Roman" w:eastAsia="Times New Roman" w:hAnsi="Times New Roman" w:cs="Times New Roman"/>
                <w:vertAlign w:val="superscript"/>
                <w:lang w:eastAsia="lt-LT"/>
              </w:rPr>
              <w:t>1</w:t>
            </w:r>
            <w:r w:rsidRPr="009F10EE">
              <w:rPr>
                <w:rFonts w:ascii="Times New Roman" w:eastAsia="Times New Roman" w:hAnsi="Times New Roman" w:cs="Times New Roman"/>
                <w:lang w:eastAsia="lt-LT"/>
              </w:rPr>
              <w:t xml:space="preserve">, </w:t>
            </w:r>
          </w:p>
          <w:p w14:paraId="16C31E53" w14:textId="77777777" w:rsidR="00C821FB" w:rsidRPr="009F10EE" w:rsidRDefault="00C821FB" w:rsidP="00771646">
            <w:pPr>
              <w:pStyle w:val="Default"/>
              <w:rPr>
                <w:sz w:val="22"/>
                <w:szCs w:val="22"/>
                <w:lang w:val="lt-LT"/>
              </w:rPr>
            </w:pPr>
            <w:r w:rsidRPr="009F10EE">
              <w:rPr>
                <w:sz w:val="22"/>
                <w:szCs w:val="22"/>
                <w:lang w:val="lt-LT"/>
              </w:rPr>
              <w:t xml:space="preserve">periferinė edema, nuovargis </w:t>
            </w:r>
          </w:p>
        </w:tc>
        <w:tc>
          <w:tcPr>
            <w:tcW w:w="2168" w:type="dxa"/>
            <w:tcBorders>
              <w:top w:val="single" w:sz="4" w:space="0" w:color="auto"/>
              <w:left w:val="single" w:sz="4" w:space="0" w:color="auto"/>
              <w:bottom w:val="single" w:sz="4" w:space="0" w:color="auto"/>
              <w:right w:val="single" w:sz="4" w:space="0" w:color="auto"/>
            </w:tcBorders>
            <w:hideMark/>
          </w:tcPr>
          <w:p w14:paraId="566F1BE9"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Veido edema</w:t>
            </w:r>
            <w:r w:rsidRPr="009F10EE">
              <w:rPr>
                <w:rFonts w:ascii="Times New Roman" w:eastAsia="Times New Roman" w:hAnsi="Times New Roman" w:cs="Times New Roman"/>
                <w:vertAlign w:val="superscript"/>
                <w:lang w:eastAsia="lt-LT"/>
              </w:rPr>
              <w:t>2</w:t>
            </w:r>
            <w:r w:rsidRPr="009F10EE">
              <w:rPr>
                <w:rFonts w:ascii="Times New Roman" w:eastAsia="TimesNewRomanPSMT" w:hAnsi="Times New Roman" w:cs="Times New Roman"/>
                <w:lang w:eastAsia="lt-LT"/>
              </w:rPr>
              <w:t>, staigi kardialinė</w:t>
            </w:r>
            <w:r w:rsidRPr="009F10EE">
              <w:rPr>
                <w:rFonts w:ascii="Times New Roman" w:eastAsia="Times New Roman" w:hAnsi="Times New Roman" w:cs="Times New Roman"/>
                <w:lang w:eastAsia="lt-LT"/>
              </w:rPr>
              <w:t xml:space="preserve"> mirtis </w:t>
            </w:r>
            <w:r w:rsidRPr="009F10EE">
              <w:rPr>
                <w:rFonts w:ascii="Times New Roman" w:eastAsia="Times New Roman" w:hAnsi="Times New Roman" w:cs="Times New Roman"/>
                <w:vertAlign w:val="superscript"/>
                <w:lang w:eastAsia="lt-LT"/>
              </w:rPr>
              <w:t>1,2</w:t>
            </w:r>
          </w:p>
        </w:tc>
        <w:tc>
          <w:tcPr>
            <w:tcW w:w="1780" w:type="dxa"/>
            <w:tcBorders>
              <w:top w:val="single" w:sz="4" w:space="0" w:color="auto"/>
              <w:left w:val="single" w:sz="4" w:space="0" w:color="auto"/>
              <w:bottom w:val="single" w:sz="4" w:space="0" w:color="auto"/>
              <w:right w:val="single" w:sz="4" w:space="0" w:color="auto"/>
            </w:tcBorders>
          </w:tcPr>
          <w:p w14:paraId="187BD133" w14:textId="77777777" w:rsidR="00C821FB" w:rsidRPr="009F10EE" w:rsidRDefault="00C821FB" w:rsidP="00771646">
            <w:pPr>
              <w:tabs>
                <w:tab w:val="left" w:pos="567"/>
              </w:tabs>
              <w:autoSpaceDE w:val="0"/>
              <w:autoSpaceDN w:val="0"/>
              <w:adjustRightInd w:val="0"/>
              <w:spacing w:after="0" w:line="240" w:lineRule="auto"/>
              <w:rPr>
                <w:rFonts w:ascii="Times New Roman" w:eastAsia="Times New Roman" w:hAnsi="Times New Roman" w:cs="Times New Roman"/>
                <w:lang w:eastAsia="lt-LT"/>
              </w:rPr>
            </w:pPr>
          </w:p>
        </w:tc>
      </w:tr>
    </w:tbl>
    <w:p w14:paraId="1C5AE69C" w14:textId="651776E5" w:rsidR="008C4948" w:rsidRPr="009F10EE" w:rsidRDefault="0091366A"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NewRomanPSMT" w:hAnsi="Times New Roman" w:cs="Times New Roman"/>
          <w:lang w:eastAsia="lt-LT"/>
        </w:rPr>
        <w:t>(</w:t>
      </w:r>
      <w:r w:rsidR="008C4948" w:rsidRPr="00B65F27">
        <w:rPr>
          <w:rFonts w:ascii="Times New Roman" w:eastAsia="TimesNewRomanPSMT" w:hAnsi="Times New Roman" w:cs="Times New Roman"/>
          <w:lang w:eastAsia="lt-LT"/>
        </w:rPr>
        <w:t>1</w:t>
      </w:r>
      <w:r>
        <w:rPr>
          <w:rFonts w:ascii="Times New Roman" w:eastAsia="TimesNewRomanPSMT" w:hAnsi="Times New Roman" w:cs="Times New Roman"/>
          <w:lang w:eastAsia="lt-LT"/>
        </w:rPr>
        <w:t>)</w:t>
      </w:r>
      <w:r w:rsidR="008C4948" w:rsidRPr="009F10EE">
        <w:rPr>
          <w:rFonts w:ascii="Times New Roman" w:eastAsia="TimesNewRomanPSMT" w:hAnsi="Times New Roman" w:cs="Times New Roman"/>
          <w:lang w:eastAsia="lt-LT"/>
        </w:rPr>
        <w:t xml:space="preserve"> </w:t>
      </w:r>
      <w:r w:rsidR="008C4948" w:rsidRPr="009F10EE">
        <w:rPr>
          <w:rFonts w:ascii="Times New Roman" w:eastAsia="Times New Roman" w:hAnsi="Times New Roman" w:cs="Times New Roman"/>
          <w:color w:val="000000"/>
          <w:lang w:eastAsia="cs-CZ"/>
        </w:rPr>
        <w:t>Dauguma pacientų jau turėjo kardiovaskulinės rizikos veiksnių (žr. 4.4 skyrių).</w:t>
      </w:r>
    </w:p>
    <w:p w14:paraId="664DA54B" w14:textId="3ACF109A" w:rsidR="008C4948" w:rsidRPr="009F10EE" w:rsidRDefault="0091366A"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 New Roman" w:hAnsi="Times New Roman" w:cs="Times New Roman"/>
          <w:lang w:eastAsia="lt-LT"/>
        </w:rPr>
        <w:lastRenderedPageBreak/>
        <w:t>(</w:t>
      </w:r>
      <w:r w:rsidR="008C4948" w:rsidRPr="00B65F27">
        <w:rPr>
          <w:rFonts w:ascii="Times New Roman" w:eastAsia="Times New Roman" w:hAnsi="Times New Roman" w:cs="Times New Roman"/>
          <w:lang w:eastAsia="lt-LT"/>
        </w:rPr>
        <w:t>2</w:t>
      </w:r>
      <w:r>
        <w:rPr>
          <w:rFonts w:ascii="Times New Roman" w:eastAsia="Times New Roman" w:hAnsi="Times New Roman" w:cs="Times New Roman"/>
          <w:lang w:eastAsia="lt-LT"/>
        </w:rPr>
        <w:t>)</w:t>
      </w:r>
      <w:r w:rsidR="008C4948" w:rsidRPr="009F10EE">
        <w:rPr>
          <w:rFonts w:ascii="Times New Roman" w:eastAsia="Times New Roman" w:hAnsi="Times New Roman" w:cs="Times New Roman"/>
          <w:lang w:eastAsia="lt-LT"/>
        </w:rPr>
        <w:t xml:space="preserve"> </w:t>
      </w:r>
      <w:r w:rsidR="008C4948" w:rsidRPr="009F10EE">
        <w:rPr>
          <w:rFonts w:ascii="Times New Roman" w:eastAsia="TimesNewRomanPSMT" w:hAnsi="Times New Roman" w:cs="Times New Roman"/>
          <w:lang w:eastAsia="lt-LT"/>
        </w:rPr>
        <w:t>Stebėjimo po vaistinio preparato patekimo į rinką metu pranešta apie nepageidaujamas reakcijas, kurių nepastebėta placebu kontroliuojamų klinikinių tyrimų metu.</w:t>
      </w:r>
    </w:p>
    <w:p w14:paraId="4BCB180B" w14:textId="2C81C694" w:rsidR="008C4948" w:rsidRPr="009F10EE" w:rsidRDefault="0091366A"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 New Roman" w:hAnsi="Times New Roman" w:cs="Times New Roman"/>
          <w:lang w:eastAsia="lt-LT"/>
        </w:rPr>
        <w:t>(</w:t>
      </w:r>
      <w:r w:rsidR="008C4948" w:rsidRPr="00B65F27">
        <w:rPr>
          <w:rFonts w:ascii="Times New Roman" w:eastAsia="Times New Roman" w:hAnsi="Times New Roman" w:cs="Times New Roman"/>
          <w:lang w:eastAsia="lt-LT"/>
        </w:rPr>
        <w:t>3</w:t>
      </w:r>
      <w:r>
        <w:rPr>
          <w:rFonts w:ascii="Times New Roman" w:eastAsia="Times New Roman" w:hAnsi="Times New Roman" w:cs="Times New Roman"/>
          <w:lang w:eastAsia="lt-LT"/>
        </w:rPr>
        <w:t>)</w:t>
      </w:r>
      <w:r w:rsidR="008C4948" w:rsidRPr="009F10EE">
        <w:rPr>
          <w:rFonts w:ascii="Times New Roman" w:eastAsia="TimesNewRomanPSMT" w:hAnsi="Times New Roman" w:cs="Times New Roman"/>
          <w:lang w:eastAsia="lt-LT"/>
        </w:rPr>
        <w:t xml:space="preserve"> Pranešimų gauta dažniau, kai tadalafilio skirta pacientams, jau vartojantiems antihipertenzinių vaistinių preparatų.</w:t>
      </w:r>
    </w:p>
    <w:p w14:paraId="49664A1E" w14:textId="77777777" w:rsidR="008C4948" w:rsidRPr="009F10EE" w:rsidRDefault="008C4948" w:rsidP="008C4948">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p w14:paraId="74363EDB"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Atrinktų nepageidaujamų reakcijų apibūdinimas</w:t>
      </w:r>
    </w:p>
    <w:p w14:paraId="60164F38"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52E9F454" w14:textId="77777777" w:rsidR="008C4948" w:rsidRPr="009F10EE" w:rsidRDefault="008C4948" w:rsidP="008C4948">
      <w:pPr>
        <w:keepNext/>
        <w:keepLines/>
        <w:tabs>
          <w:tab w:val="left" w:pos="567"/>
        </w:tabs>
        <w:spacing w:after="0" w:line="240" w:lineRule="auto"/>
        <w:rPr>
          <w:rFonts w:ascii="Times New Roman" w:eastAsia="Times New Roman" w:hAnsi="Times New Roman" w:cs="Times New Roman"/>
          <w:iCs/>
          <w:color w:val="000000"/>
          <w:lang w:eastAsia="cs-CZ"/>
        </w:rPr>
      </w:pPr>
      <w:r w:rsidRPr="009F10EE">
        <w:rPr>
          <w:rFonts w:ascii="Times New Roman" w:eastAsia="Times New Roman" w:hAnsi="Times New Roman" w:cs="Times New Roman"/>
          <w:iCs/>
          <w:color w:val="000000"/>
          <w:lang w:eastAsia="cs-CZ"/>
        </w:rPr>
        <w:t>Pacientams, tadalafilio vartojusiems kartą per parą, palyginti su vartojusiais placebo, šiek tiek dažniau atsirado neįprastų EKG pokyčių, pirmiausiai sinusinė bradikardija. Dauguma tokių neįprastų EKG pokyčių nebuvo susiję su nepageidaujamomis reakcijomis.</w:t>
      </w:r>
    </w:p>
    <w:p w14:paraId="744F2450"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B30FD30" w14:textId="77777777" w:rsidR="008C4948" w:rsidRPr="009F10EE" w:rsidRDefault="008C4948" w:rsidP="007D3ACB">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Kitos ypatingos populiacijos</w:t>
      </w:r>
    </w:p>
    <w:p w14:paraId="416DD21C" w14:textId="77777777" w:rsidR="008C4948" w:rsidRPr="009F10EE" w:rsidRDefault="008C4948" w:rsidP="007D3ACB">
      <w:pPr>
        <w:keepNext/>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2D225470" w14:textId="77777777" w:rsidR="008C4948" w:rsidRPr="009F10EE" w:rsidRDefault="008C4948" w:rsidP="007D3ACB">
      <w:pPr>
        <w:keepNext/>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NewRomanPSMT" w:hAnsi="Times New Roman" w:cs="Times New Roman"/>
          <w:lang w:eastAsia="lt-LT"/>
        </w:rPr>
        <w:t>Duomenų apie vyresnių negu 65 metų pacientų, klinikinių tyrimų metu tadalafilio vartojusių arba erekcijos funkcijos sutrikimui, arba gerybinei prostatos hiperplazijai gydyti, yra nedaug. Klinikinių tyrimų, kurių metu erekcijos disfunkcijai gydyti tadalafilis buvo vartojamas pagal poreikį, viduriavimas dažniau pasireiškė vyresniems negu 65 metų pacientams. Klinikinių tyrimų, kurių metu gerybinė prostatos hiperplazija buvo gydoma kartą per parą vartojama 5 mg tadalafilio doze, dažniau gauta pranešimų apie galvos svaigimą ir viduriavimą vyresniems negu 75 metų pacientams.</w:t>
      </w:r>
    </w:p>
    <w:p w14:paraId="190E257B" w14:textId="77777777" w:rsidR="008C4948" w:rsidRPr="009F10EE" w:rsidRDefault="008C4948" w:rsidP="008C4948">
      <w:pPr>
        <w:tabs>
          <w:tab w:val="left" w:pos="567"/>
        </w:tabs>
        <w:autoSpaceDE w:val="0"/>
        <w:autoSpaceDN w:val="0"/>
        <w:adjustRightInd w:val="0"/>
        <w:spacing w:after="0" w:line="240" w:lineRule="auto"/>
        <w:jc w:val="both"/>
        <w:rPr>
          <w:rFonts w:ascii="Times New Roman" w:eastAsia="TimesNewRomanPSMT" w:hAnsi="Times New Roman" w:cs="Times New Roman"/>
          <w:lang w:eastAsia="lt-LT"/>
        </w:rPr>
      </w:pPr>
    </w:p>
    <w:p w14:paraId="4EC09C86" w14:textId="77777777" w:rsidR="008C4948" w:rsidRPr="009F10EE" w:rsidRDefault="008C4948" w:rsidP="008C4948">
      <w:pPr>
        <w:spacing w:after="0" w:line="240" w:lineRule="auto"/>
        <w:rPr>
          <w:rFonts w:ascii="Times New Roman" w:eastAsia="Times New Roman" w:hAnsi="Times New Roman" w:cs="Times New Roman"/>
          <w:iCs/>
          <w:color w:val="000000"/>
          <w:u w:val="single"/>
        </w:rPr>
      </w:pPr>
      <w:r w:rsidRPr="009F10EE">
        <w:rPr>
          <w:rFonts w:ascii="Times New Roman" w:eastAsia="Times New Roman" w:hAnsi="Times New Roman" w:cs="Times New Roman"/>
          <w:iCs/>
          <w:color w:val="000000"/>
          <w:u w:val="single"/>
        </w:rPr>
        <w:t>Saugumo duomenų santrauka (kai tadalafilio vartojama nuo plautinės arterinės hipertenzijos)</w:t>
      </w:r>
    </w:p>
    <w:p w14:paraId="4E41AD66" w14:textId="77777777" w:rsidR="008C4948" w:rsidRPr="009F10EE" w:rsidRDefault="008C4948" w:rsidP="008C4948">
      <w:pPr>
        <w:shd w:val="clear" w:color="auto" w:fill="FFFFFF"/>
        <w:spacing w:after="0" w:line="240" w:lineRule="auto"/>
        <w:rPr>
          <w:rFonts w:ascii="Times New Roman" w:eastAsia="Times New Roman" w:hAnsi="Times New Roman" w:cs="Times New Roman"/>
          <w:color w:val="000000"/>
        </w:rPr>
      </w:pPr>
    </w:p>
    <w:p w14:paraId="48A61166"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color w:val="000000"/>
        </w:rPr>
        <w:t>Nepageidaujamos reakcijos, apie kurias buvo pranešta dažniausiai, pasireiškusios ≥ 10% pacientų 40 mg tadalafilio doze gydytoje grupėje, buvo galvos skausmas, pykinimas, nugaros skausmas, dispepsija, laikinas veido ir kaklo paraudimas, mialgija, nazofaringitas ir galūnių skausmas. Stebėtos nepageidaujamos reakcijos buvo laikinos ir paprastai lengvos arba vidutinio sunkumo. Duomenys apie nepageidaujamas reakcijas vyresniems kaip 75 metų pacientams yra riboti.</w:t>
      </w:r>
    </w:p>
    <w:p w14:paraId="25F64CC0"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color w:val="000000"/>
        </w:rPr>
      </w:pPr>
    </w:p>
    <w:p w14:paraId="74EB1B4B"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color w:val="000000"/>
        </w:rPr>
        <w:t>Pagrindžiamojo placebu kontroliuojamojo PAH gydymo tadalafiliu tyrimo duomenimis, tadalafiliu iš viso buvo gydyti 323 pacientai, kurie kartą per parą vartojo nuo 2,5</w:t>
      </w:r>
      <w:r w:rsidRPr="009F10EE">
        <w:rPr>
          <w:rFonts w:ascii="Times New Roman" w:eastAsia="Times New Roman" w:hAnsi="Times New Roman" w:cs="Times New Roman"/>
          <w:color w:val="000000"/>
        </w:rPr>
        <w:noBreakHyphen/>
        <w:t>40 mg dozes, 82 pacientai vartojo placebą. Gydymas truko 16 savaičių. Bendras pasitraukimo iš tyrimo dėl nepageidaujamų reiškinių dažnis buvo mažas (tadalafilio grupėje − 11%, placebo − 16%). Trys šimtai penkiasdešimt septyni (357) tiriamieji, kurie baigė pagrindžiamąjį tyrimą, toliau dalyvavo ilgalaikiame tęstiniame tyrime. Buvo tirtos kartą per parą vartojamos 20 mg ir 40 mg dozės.</w:t>
      </w:r>
    </w:p>
    <w:p w14:paraId="7A82F943"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color w:val="000000"/>
        </w:rPr>
      </w:pPr>
    </w:p>
    <w:p w14:paraId="0DA18AA3"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color w:val="000000"/>
          <w:u w:val="single"/>
        </w:rPr>
      </w:pPr>
      <w:r w:rsidRPr="009F10EE">
        <w:rPr>
          <w:rFonts w:ascii="Times New Roman" w:eastAsia="Times New Roman" w:hAnsi="Times New Roman" w:cs="Times New Roman"/>
          <w:color w:val="000000"/>
          <w:u w:val="single"/>
        </w:rPr>
        <w:t>Nepageidaujamų reakcijų santrauka lentelėje</w:t>
      </w:r>
    </w:p>
    <w:p w14:paraId="0950361B"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color w:val="000000"/>
        </w:rPr>
      </w:pPr>
    </w:p>
    <w:p w14:paraId="653867B3"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color w:val="000000"/>
        </w:rPr>
        <w:t>Toliau esančioje lentelėje išvardytos nepageidaujamos reakcijos, kurios placebu kontroliuojamo tyrimo metu pasireiškė pacientams, kurie sirgo PAH ir buvo gydyti tadalafiliu. Be to, į lentelę įtrauktos kai kurios nepageidaujamos reakcijos, kurios pasireiškė vyrų erekcijos funkcijos sutrikimo gydymo tadalafiliu klinikinių tyrimų metu ir (arba) po vaistinio preparato patekimo į rinką. Šie reiškiniai buvo priskirti arba prie dažnio „nežinomas“, kadangi PAH sergantiems pacientams dažnis negali būti įvertintas pagal turimus duomenis, arba prie dažnio, paremto pagrindžiamojo placebu kontroliuojamo tadalafilio tyrimo klinikinio tyrimo duomenimis.</w:t>
      </w:r>
    </w:p>
    <w:p w14:paraId="3FEF1937"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color w:val="000000"/>
        </w:rPr>
      </w:pPr>
    </w:p>
    <w:p w14:paraId="52A72EFE"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color w:val="000000"/>
        </w:rPr>
        <w:t>Dažnio apibūdinimai: labai dažni (≥ 1/10), dažni (nuo ≥ 1/100 iki &lt; 1/10), nedažni (nuo ≥ 1/1 000 iki &lt; 1/100), reti (nuo ≥ 1/10 000 iki &lt; 1/1 000), labai reti (&lt; 1/10 000) ir dažnis nežinomas (negali būti įvertintas pagal turimus duomenis)</w:t>
      </w:r>
    </w:p>
    <w:p w14:paraId="72C2A235" w14:textId="77777777" w:rsidR="008C4948" w:rsidRPr="009F10EE" w:rsidRDefault="008C4948" w:rsidP="008C4948">
      <w:pPr>
        <w:shd w:val="clear" w:color="auto" w:fill="FFFFFF"/>
        <w:spacing w:after="0" w:line="240" w:lineRule="auto"/>
        <w:rPr>
          <w:rFonts w:ascii="Times New Roman" w:eastAsia="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4"/>
        <w:gridCol w:w="1855"/>
        <w:gridCol w:w="1852"/>
        <w:gridCol w:w="1837"/>
        <w:gridCol w:w="1845"/>
      </w:tblGrid>
      <w:tr w:rsidR="008C4948" w:rsidRPr="009F10EE" w14:paraId="7302057F" w14:textId="77777777" w:rsidTr="00E638B1">
        <w:trPr>
          <w:trHeight w:val="314"/>
        </w:trPr>
        <w:tc>
          <w:tcPr>
            <w:tcW w:w="1854" w:type="dxa"/>
            <w:tcBorders>
              <w:top w:val="single" w:sz="4" w:space="0" w:color="000000"/>
              <w:left w:val="single" w:sz="4" w:space="0" w:color="000000"/>
              <w:bottom w:val="single" w:sz="4" w:space="0" w:color="000000"/>
              <w:right w:val="single" w:sz="4" w:space="0" w:color="000000"/>
            </w:tcBorders>
            <w:hideMark/>
          </w:tcPr>
          <w:p w14:paraId="2FD5C696" w14:textId="77777777" w:rsidR="008C4948" w:rsidRPr="009F10EE" w:rsidRDefault="008C4948" w:rsidP="00771646">
            <w:pPr>
              <w:spacing w:after="0" w:line="240" w:lineRule="auto"/>
              <w:rPr>
                <w:rFonts w:ascii="Times New Roman" w:eastAsia="Times New Roman" w:hAnsi="Times New Roman" w:cs="Times New Roman"/>
                <w:b/>
                <w:bCs/>
              </w:rPr>
            </w:pPr>
            <w:r w:rsidRPr="009F10EE">
              <w:rPr>
                <w:rFonts w:ascii="Times New Roman" w:eastAsia="Times New Roman" w:hAnsi="Times New Roman" w:cs="Times New Roman"/>
                <w:b/>
                <w:bCs/>
              </w:rPr>
              <w:t>Labai dažni</w:t>
            </w:r>
          </w:p>
          <w:p w14:paraId="373041BC"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w:t>
            </w:r>
            <w:r w:rsidRPr="009F10EE">
              <w:rPr>
                <w:rFonts w:ascii="Times New Roman" w:eastAsia="TimesNewRomanPSMT" w:hAnsi="Times New Roman" w:cs="Times New Roman"/>
              </w:rPr>
              <w:t>≥</w:t>
            </w:r>
            <w:r w:rsidRPr="009F10EE">
              <w:rPr>
                <w:rFonts w:ascii="Times New Roman" w:eastAsia="Times New Roman" w:hAnsi="Times New Roman" w:cs="Times New Roman"/>
              </w:rPr>
              <w:t>1/10)</w:t>
            </w:r>
          </w:p>
        </w:tc>
        <w:tc>
          <w:tcPr>
            <w:tcW w:w="1855" w:type="dxa"/>
            <w:tcBorders>
              <w:top w:val="single" w:sz="4" w:space="0" w:color="000000"/>
              <w:left w:val="single" w:sz="4" w:space="0" w:color="000000"/>
              <w:bottom w:val="single" w:sz="4" w:space="0" w:color="000000"/>
              <w:right w:val="single" w:sz="4" w:space="0" w:color="000000"/>
            </w:tcBorders>
            <w:hideMark/>
          </w:tcPr>
          <w:p w14:paraId="51568996" w14:textId="77777777" w:rsidR="008C4948" w:rsidRPr="009F10EE" w:rsidRDefault="008C4948" w:rsidP="00771646">
            <w:pPr>
              <w:spacing w:after="0" w:line="240" w:lineRule="auto"/>
              <w:rPr>
                <w:rFonts w:ascii="Times New Roman" w:eastAsia="Times New Roman" w:hAnsi="Times New Roman" w:cs="Times New Roman"/>
                <w:b/>
                <w:bCs/>
              </w:rPr>
            </w:pPr>
            <w:r w:rsidRPr="009F10EE">
              <w:rPr>
                <w:rFonts w:ascii="Times New Roman" w:eastAsia="Times New Roman" w:hAnsi="Times New Roman" w:cs="Times New Roman"/>
                <w:b/>
                <w:bCs/>
              </w:rPr>
              <w:t>Dažni</w:t>
            </w:r>
          </w:p>
          <w:p w14:paraId="7FE9137C"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 xml:space="preserve">(nuo </w:t>
            </w:r>
            <w:r w:rsidRPr="009F10EE">
              <w:rPr>
                <w:rFonts w:ascii="Times New Roman" w:eastAsia="TimesNewRomanPSMT" w:hAnsi="Times New Roman" w:cs="Times New Roman"/>
              </w:rPr>
              <w:t>≥</w:t>
            </w:r>
            <w:r w:rsidRPr="009F10EE">
              <w:rPr>
                <w:rFonts w:ascii="Times New Roman" w:eastAsia="Times New Roman" w:hAnsi="Times New Roman" w:cs="Times New Roman"/>
              </w:rPr>
              <w:t>1/100 iki &lt;1/10)</w:t>
            </w:r>
          </w:p>
        </w:tc>
        <w:tc>
          <w:tcPr>
            <w:tcW w:w="1852" w:type="dxa"/>
            <w:tcBorders>
              <w:top w:val="single" w:sz="4" w:space="0" w:color="000000"/>
              <w:left w:val="single" w:sz="4" w:space="0" w:color="000000"/>
              <w:bottom w:val="single" w:sz="4" w:space="0" w:color="000000"/>
              <w:right w:val="single" w:sz="4" w:space="0" w:color="000000"/>
            </w:tcBorders>
            <w:hideMark/>
          </w:tcPr>
          <w:p w14:paraId="2B9D6DA4" w14:textId="77777777" w:rsidR="008C4948" w:rsidRPr="009F10EE" w:rsidRDefault="008C4948" w:rsidP="00771646">
            <w:pPr>
              <w:spacing w:after="0" w:line="240" w:lineRule="auto"/>
              <w:rPr>
                <w:rFonts w:ascii="Times New Roman" w:eastAsia="Times New Roman" w:hAnsi="Times New Roman" w:cs="Times New Roman"/>
                <w:b/>
                <w:bCs/>
              </w:rPr>
            </w:pPr>
            <w:r w:rsidRPr="009F10EE">
              <w:rPr>
                <w:rFonts w:ascii="Times New Roman" w:eastAsia="Times New Roman" w:hAnsi="Times New Roman" w:cs="Times New Roman"/>
                <w:b/>
                <w:bCs/>
              </w:rPr>
              <w:t>Nedažni</w:t>
            </w:r>
          </w:p>
          <w:p w14:paraId="5183EE24"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 xml:space="preserve">(nuo </w:t>
            </w:r>
            <w:r w:rsidRPr="009F10EE">
              <w:rPr>
                <w:rFonts w:ascii="Times New Roman" w:eastAsia="TimesNewRomanPSMT" w:hAnsi="Times New Roman" w:cs="Times New Roman"/>
              </w:rPr>
              <w:t>≥</w:t>
            </w:r>
            <w:r w:rsidRPr="009F10EE">
              <w:rPr>
                <w:rFonts w:ascii="Times New Roman" w:eastAsia="Times New Roman" w:hAnsi="Times New Roman" w:cs="Times New Roman"/>
              </w:rPr>
              <w:t>1/1 000 iki &lt;1/100)</w:t>
            </w:r>
          </w:p>
        </w:tc>
        <w:tc>
          <w:tcPr>
            <w:tcW w:w="1837" w:type="dxa"/>
            <w:tcBorders>
              <w:top w:val="single" w:sz="4" w:space="0" w:color="000000"/>
              <w:left w:val="single" w:sz="4" w:space="0" w:color="000000"/>
              <w:bottom w:val="single" w:sz="4" w:space="0" w:color="000000"/>
              <w:right w:val="single" w:sz="4" w:space="0" w:color="000000"/>
            </w:tcBorders>
            <w:hideMark/>
          </w:tcPr>
          <w:p w14:paraId="4D53B272" w14:textId="77777777" w:rsidR="008C4948" w:rsidRPr="009F10EE" w:rsidRDefault="008C4948" w:rsidP="00771646">
            <w:pPr>
              <w:spacing w:after="0" w:line="240" w:lineRule="auto"/>
              <w:rPr>
                <w:rFonts w:ascii="Times New Roman" w:eastAsia="Times New Roman" w:hAnsi="Times New Roman" w:cs="Times New Roman"/>
                <w:b/>
                <w:bCs/>
              </w:rPr>
            </w:pPr>
            <w:r w:rsidRPr="009F10EE">
              <w:rPr>
                <w:rFonts w:ascii="Times New Roman" w:eastAsia="Times New Roman" w:hAnsi="Times New Roman" w:cs="Times New Roman"/>
                <w:b/>
                <w:bCs/>
              </w:rPr>
              <w:t>Reti</w:t>
            </w:r>
          </w:p>
          <w:p w14:paraId="1EF19150"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 xml:space="preserve">(nuo </w:t>
            </w:r>
            <w:r w:rsidRPr="009F10EE">
              <w:rPr>
                <w:rFonts w:ascii="Times New Roman" w:eastAsia="TimesNewRomanPSMT" w:hAnsi="Times New Roman" w:cs="Times New Roman"/>
              </w:rPr>
              <w:t>≥</w:t>
            </w:r>
            <w:r w:rsidRPr="009F10EE">
              <w:rPr>
                <w:rFonts w:ascii="Times New Roman" w:eastAsia="Times New Roman" w:hAnsi="Times New Roman" w:cs="Times New Roman"/>
              </w:rPr>
              <w:t>1/10 000 iki &lt;1/1 000)</w:t>
            </w:r>
          </w:p>
        </w:tc>
        <w:tc>
          <w:tcPr>
            <w:tcW w:w="1845" w:type="dxa"/>
            <w:tcBorders>
              <w:top w:val="single" w:sz="4" w:space="0" w:color="000000"/>
              <w:left w:val="single" w:sz="4" w:space="0" w:color="000000"/>
              <w:bottom w:val="single" w:sz="4" w:space="0" w:color="000000"/>
              <w:right w:val="single" w:sz="4" w:space="0" w:color="000000"/>
            </w:tcBorders>
            <w:hideMark/>
          </w:tcPr>
          <w:p w14:paraId="346071FF"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b/>
                <w:bCs/>
              </w:rPr>
              <w:t>Dažnis nežinomas</w:t>
            </w:r>
            <w:r w:rsidRPr="009F10EE">
              <w:rPr>
                <w:rFonts w:ascii="Times New Roman" w:eastAsia="Times New Roman" w:hAnsi="Times New Roman" w:cs="Times New Roman"/>
                <w:b/>
                <w:bCs/>
                <w:vertAlign w:val="superscript"/>
              </w:rPr>
              <w:t>1</w:t>
            </w:r>
          </w:p>
        </w:tc>
      </w:tr>
      <w:tr w:rsidR="008C4948" w:rsidRPr="009F10EE" w14:paraId="3A4266CD" w14:textId="77777777" w:rsidTr="00E638B1">
        <w:tc>
          <w:tcPr>
            <w:tcW w:w="9243" w:type="dxa"/>
            <w:gridSpan w:val="5"/>
            <w:tcBorders>
              <w:top w:val="single" w:sz="4" w:space="0" w:color="000000"/>
              <w:left w:val="single" w:sz="4" w:space="0" w:color="000000"/>
              <w:bottom w:val="single" w:sz="4" w:space="0" w:color="000000"/>
              <w:right w:val="single" w:sz="4" w:space="0" w:color="000000"/>
            </w:tcBorders>
            <w:hideMark/>
          </w:tcPr>
          <w:p w14:paraId="2F99CC61"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i/>
                <w:iCs/>
              </w:rPr>
              <w:t>Imuninės sistemos sutrikimai</w:t>
            </w:r>
          </w:p>
        </w:tc>
      </w:tr>
      <w:tr w:rsidR="008C4948" w:rsidRPr="009F10EE" w14:paraId="12B55F07" w14:textId="77777777" w:rsidTr="00E638B1">
        <w:tc>
          <w:tcPr>
            <w:tcW w:w="1854" w:type="dxa"/>
            <w:tcBorders>
              <w:top w:val="single" w:sz="4" w:space="0" w:color="000000"/>
              <w:left w:val="single" w:sz="4" w:space="0" w:color="000000"/>
              <w:bottom w:val="single" w:sz="4" w:space="0" w:color="000000"/>
              <w:right w:val="single" w:sz="4" w:space="0" w:color="000000"/>
            </w:tcBorders>
          </w:tcPr>
          <w:p w14:paraId="206E9DD7"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55" w:type="dxa"/>
            <w:tcBorders>
              <w:top w:val="single" w:sz="4" w:space="0" w:color="000000"/>
              <w:left w:val="single" w:sz="4" w:space="0" w:color="000000"/>
              <w:bottom w:val="single" w:sz="4" w:space="0" w:color="000000"/>
              <w:right w:val="single" w:sz="4" w:space="0" w:color="000000"/>
            </w:tcBorders>
            <w:hideMark/>
          </w:tcPr>
          <w:p w14:paraId="4EAA1300"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Padidėjusio jautrumo reakcijos</w:t>
            </w:r>
            <w:r w:rsidRPr="009F10EE">
              <w:rPr>
                <w:rFonts w:ascii="Times New Roman" w:eastAsia="Times New Roman" w:hAnsi="Times New Roman" w:cs="Times New Roman"/>
                <w:vertAlign w:val="superscript"/>
              </w:rPr>
              <w:t>5</w:t>
            </w:r>
          </w:p>
        </w:tc>
        <w:tc>
          <w:tcPr>
            <w:tcW w:w="1852" w:type="dxa"/>
            <w:tcBorders>
              <w:top w:val="single" w:sz="4" w:space="0" w:color="000000"/>
              <w:left w:val="single" w:sz="4" w:space="0" w:color="000000"/>
              <w:bottom w:val="single" w:sz="4" w:space="0" w:color="000000"/>
              <w:right w:val="single" w:sz="4" w:space="0" w:color="000000"/>
            </w:tcBorders>
          </w:tcPr>
          <w:p w14:paraId="6DA7D54B"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37" w:type="dxa"/>
            <w:tcBorders>
              <w:top w:val="single" w:sz="4" w:space="0" w:color="000000"/>
              <w:left w:val="single" w:sz="4" w:space="0" w:color="000000"/>
              <w:bottom w:val="single" w:sz="4" w:space="0" w:color="000000"/>
              <w:right w:val="single" w:sz="4" w:space="0" w:color="000000"/>
            </w:tcBorders>
          </w:tcPr>
          <w:p w14:paraId="5AAE8678"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45" w:type="dxa"/>
            <w:tcBorders>
              <w:top w:val="single" w:sz="4" w:space="0" w:color="000000"/>
              <w:left w:val="single" w:sz="4" w:space="0" w:color="000000"/>
              <w:bottom w:val="single" w:sz="4" w:space="0" w:color="000000"/>
              <w:right w:val="single" w:sz="4" w:space="0" w:color="000000"/>
            </w:tcBorders>
            <w:hideMark/>
          </w:tcPr>
          <w:p w14:paraId="74699CE8"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Angioneurozinė edema</w:t>
            </w:r>
          </w:p>
        </w:tc>
      </w:tr>
      <w:tr w:rsidR="008C4948" w:rsidRPr="009F10EE" w14:paraId="74C8C972" w14:textId="77777777" w:rsidTr="00E638B1">
        <w:tc>
          <w:tcPr>
            <w:tcW w:w="9243" w:type="dxa"/>
            <w:gridSpan w:val="5"/>
            <w:tcBorders>
              <w:top w:val="single" w:sz="4" w:space="0" w:color="000000"/>
              <w:left w:val="single" w:sz="4" w:space="0" w:color="000000"/>
              <w:bottom w:val="single" w:sz="4" w:space="0" w:color="000000"/>
              <w:right w:val="single" w:sz="4" w:space="0" w:color="000000"/>
            </w:tcBorders>
            <w:hideMark/>
          </w:tcPr>
          <w:p w14:paraId="530B5500"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i/>
                <w:iCs/>
              </w:rPr>
              <w:t>Nervų sistemos sutrikimai</w:t>
            </w:r>
          </w:p>
        </w:tc>
      </w:tr>
      <w:tr w:rsidR="008C4948" w:rsidRPr="009F10EE" w14:paraId="060AA54A" w14:textId="77777777" w:rsidTr="00E638B1">
        <w:tc>
          <w:tcPr>
            <w:tcW w:w="1854" w:type="dxa"/>
            <w:tcBorders>
              <w:top w:val="single" w:sz="4" w:space="0" w:color="000000"/>
              <w:left w:val="single" w:sz="4" w:space="0" w:color="000000"/>
              <w:bottom w:val="single" w:sz="4" w:space="0" w:color="000000"/>
              <w:right w:val="single" w:sz="4" w:space="0" w:color="000000"/>
            </w:tcBorders>
            <w:hideMark/>
          </w:tcPr>
          <w:p w14:paraId="55E5228F"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Galvos skausmas</w:t>
            </w:r>
            <w:r w:rsidRPr="009F10EE">
              <w:rPr>
                <w:rFonts w:ascii="Times New Roman" w:eastAsia="Times New Roman" w:hAnsi="Times New Roman" w:cs="Times New Roman"/>
                <w:vertAlign w:val="superscript"/>
              </w:rPr>
              <w:t>6</w:t>
            </w:r>
          </w:p>
        </w:tc>
        <w:tc>
          <w:tcPr>
            <w:tcW w:w="1855" w:type="dxa"/>
            <w:tcBorders>
              <w:top w:val="single" w:sz="4" w:space="0" w:color="000000"/>
              <w:left w:val="single" w:sz="4" w:space="0" w:color="000000"/>
              <w:bottom w:val="single" w:sz="4" w:space="0" w:color="000000"/>
              <w:right w:val="single" w:sz="4" w:space="0" w:color="000000"/>
            </w:tcBorders>
            <w:hideMark/>
          </w:tcPr>
          <w:p w14:paraId="526BA370"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Apalpimas,</w:t>
            </w:r>
          </w:p>
          <w:p w14:paraId="0669D137"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migrena</w:t>
            </w:r>
            <w:r w:rsidRPr="009F10EE">
              <w:rPr>
                <w:rFonts w:ascii="Times New Roman" w:eastAsia="Times New Roman" w:hAnsi="Times New Roman" w:cs="Times New Roman"/>
                <w:vertAlign w:val="superscript"/>
              </w:rPr>
              <w:t>5</w:t>
            </w:r>
          </w:p>
        </w:tc>
        <w:tc>
          <w:tcPr>
            <w:tcW w:w="1852" w:type="dxa"/>
            <w:tcBorders>
              <w:top w:val="single" w:sz="4" w:space="0" w:color="000000"/>
              <w:left w:val="single" w:sz="4" w:space="0" w:color="000000"/>
              <w:bottom w:val="single" w:sz="4" w:space="0" w:color="000000"/>
              <w:right w:val="single" w:sz="4" w:space="0" w:color="000000"/>
            </w:tcBorders>
            <w:hideMark/>
          </w:tcPr>
          <w:p w14:paraId="248BD012"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Traukuliai</w:t>
            </w:r>
            <w:r w:rsidRPr="009F10EE">
              <w:rPr>
                <w:rFonts w:ascii="Times New Roman" w:eastAsia="Times New Roman" w:hAnsi="Times New Roman" w:cs="Times New Roman"/>
                <w:vertAlign w:val="superscript"/>
              </w:rPr>
              <w:t>5</w:t>
            </w:r>
            <w:r w:rsidRPr="009F10EE">
              <w:rPr>
                <w:rFonts w:ascii="Times New Roman" w:eastAsia="Times New Roman" w:hAnsi="Times New Roman" w:cs="Times New Roman"/>
              </w:rPr>
              <w:t>,</w:t>
            </w:r>
          </w:p>
          <w:p w14:paraId="22BA1902"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laikina amnezija</w:t>
            </w:r>
            <w:r w:rsidRPr="009F10EE">
              <w:rPr>
                <w:rFonts w:ascii="Times New Roman" w:eastAsia="Times New Roman" w:hAnsi="Times New Roman" w:cs="Times New Roman"/>
                <w:vertAlign w:val="superscript"/>
              </w:rPr>
              <w:t>5</w:t>
            </w:r>
          </w:p>
        </w:tc>
        <w:tc>
          <w:tcPr>
            <w:tcW w:w="1837" w:type="dxa"/>
            <w:tcBorders>
              <w:top w:val="single" w:sz="4" w:space="0" w:color="000000"/>
              <w:left w:val="single" w:sz="4" w:space="0" w:color="000000"/>
              <w:bottom w:val="single" w:sz="4" w:space="0" w:color="000000"/>
              <w:right w:val="single" w:sz="4" w:space="0" w:color="000000"/>
            </w:tcBorders>
          </w:tcPr>
          <w:p w14:paraId="585E2CBB"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45" w:type="dxa"/>
            <w:tcBorders>
              <w:top w:val="single" w:sz="4" w:space="0" w:color="000000"/>
              <w:left w:val="single" w:sz="4" w:space="0" w:color="000000"/>
              <w:bottom w:val="single" w:sz="4" w:space="0" w:color="000000"/>
              <w:right w:val="single" w:sz="4" w:space="0" w:color="000000"/>
            </w:tcBorders>
            <w:hideMark/>
          </w:tcPr>
          <w:p w14:paraId="2FE6D4F5"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Insultas</w:t>
            </w:r>
            <w:r w:rsidRPr="009F10EE">
              <w:rPr>
                <w:rFonts w:ascii="Times New Roman" w:eastAsia="Times New Roman" w:hAnsi="Times New Roman" w:cs="Times New Roman"/>
                <w:vertAlign w:val="superscript"/>
              </w:rPr>
              <w:t>2</w:t>
            </w:r>
          </w:p>
          <w:p w14:paraId="4584785F"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(įskaitant kraujavimo reiškinius)</w:t>
            </w:r>
          </w:p>
        </w:tc>
      </w:tr>
      <w:tr w:rsidR="008C4948" w:rsidRPr="009F10EE" w14:paraId="2ECDD6C5" w14:textId="77777777" w:rsidTr="00E638B1">
        <w:tc>
          <w:tcPr>
            <w:tcW w:w="9243" w:type="dxa"/>
            <w:gridSpan w:val="5"/>
            <w:tcBorders>
              <w:top w:val="single" w:sz="4" w:space="0" w:color="000000"/>
              <w:left w:val="single" w:sz="4" w:space="0" w:color="000000"/>
              <w:bottom w:val="single" w:sz="4" w:space="0" w:color="000000"/>
              <w:right w:val="single" w:sz="4" w:space="0" w:color="000000"/>
            </w:tcBorders>
            <w:hideMark/>
          </w:tcPr>
          <w:p w14:paraId="6173B404"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i/>
                <w:iCs/>
              </w:rPr>
              <w:t>Akių sutrikimai</w:t>
            </w:r>
          </w:p>
        </w:tc>
      </w:tr>
      <w:tr w:rsidR="008C4948" w:rsidRPr="009F10EE" w14:paraId="4EAF2A02" w14:textId="77777777" w:rsidTr="00E638B1">
        <w:tc>
          <w:tcPr>
            <w:tcW w:w="1854" w:type="dxa"/>
            <w:tcBorders>
              <w:top w:val="single" w:sz="4" w:space="0" w:color="000000"/>
              <w:left w:val="single" w:sz="4" w:space="0" w:color="000000"/>
              <w:bottom w:val="single" w:sz="4" w:space="0" w:color="000000"/>
              <w:right w:val="single" w:sz="4" w:space="0" w:color="000000"/>
            </w:tcBorders>
          </w:tcPr>
          <w:p w14:paraId="29B50AD3"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55" w:type="dxa"/>
            <w:tcBorders>
              <w:top w:val="single" w:sz="4" w:space="0" w:color="000000"/>
              <w:left w:val="single" w:sz="4" w:space="0" w:color="000000"/>
              <w:bottom w:val="single" w:sz="4" w:space="0" w:color="000000"/>
              <w:right w:val="single" w:sz="4" w:space="0" w:color="000000"/>
            </w:tcBorders>
            <w:hideMark/>
          </w:tcPr>
          <w:p w14:paraId="216D1087"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Matomo vaizdo neaiškumas</w:t>
            </w:r>
          </w:p>
        </w:tc>
        <w:tc>
          <w:tcPr>
            <w:tcW w:w="1852" w:type="dxa"/>
            <w:tcBorders>
              <w:top w:val="single" w:sz="4" w:space="0" w:color="000000"/>
              <w:left w:val="single" w:sz="4" w:space="0" w:color="000000"/>
              <w:bottom w:val="single" w:sz="4" w:space="0" w:color="000000"/>
              <w:right w:val="single" w:sz="4" w:space="0" w:color="000000"/>
            </w:tcBorders>
          </w:tcPr>
          <w:p w14:paraId="701FD6A5"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37" w:type="dxa"/>
            <w:tcBorders>
              <w:top w:val="single" w:sz="4" w:space="0" w:color="000000"/>
              <w:left w:val="single" w:sz="4" w:space="0" w:color="000000"/>
              <w:bottom w:val="single" w:sz="4" w:space="0" w:color="000000"/>
              <w:right w:val="single" w:sz="4" w:space="0" w:color="000000"/>
            </w:tcBorders>
          </w:tcPr>
          <w:p w14:paraId="107A5C59"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45" w:type="dxa"/>
            <w:tcBorders>
              <w:top w:val="single" w:sz="4" w:space="0" w:color="000000"/>
              <w:left w:val="single" w:sz="4" w:space="0" w:color="000000"/>
              <w:bottom w:val="single" w:sz="4" w:space="0" w:color="000000"/>
              <w:right w:val="single" w:sz="4" w:space="0" w:color="000000"/>
            </w:tcBorders>
            <w:hideMark/>
          </w:tcPr>
          <w:p w14:paraId="51554119" w14:textId="575A9884" w:rsidR="008C4948" w:rsidRPr="009F10EE" w:rsidRDefault="008C4948" w:rsidP="007D3ACB">
            <w:pPr>
              <w:autoSpaceDE w:val="0"/>
              <w:autoSpaceDN w:val="0"/>
              <w:adjustRightInd w:val="0"/>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Ne arteritito sukelta priekinė išeminė regos nervo</w:t>
            </w:r>
            <w:r w:rsidR="00C821FB">
              <w:rPr>
                <w:rFonts w:ascii="Times New Roman" w:eastAsia="Times New Roman" w:hAnsi="Times New Roman" w:cs="Times New Roman"/>
              </w:rPr>
              <w:t xml:space="preserve"> </w:t>
            </w:r>
            <w:r w:rsidRPr="009F10EE">
              <w:rPr>
                <w:rFonts w:ascii="Times New Roman" w:eastAsia="Times New Roman" w:hAnsi="Times New Roman" w:cs="Times New Roman"/>
              </w:rPr>
              <w:t xml:space="preserve">neuropatija (NAION), tinklainės kraujagyslių okliuzija, </w:t>
            </w:r>
            <w:r w:rsidRPr="0035029B">
              <w:rPr>
                <w:rFonts w:ascii="Times New Roman" w:eastAsia="Times New Roman" w:hAnsi="Times New Roman" w:cs="Times New Roman"/>
              </w:rPr>
              <w:t>akipločio</w:t>
            </w:r>
            <w:r w:rsidR="00C821FB" w:rsidRPr="0035029B">
              <w:rPr>
                <w:rFonts w:ascii="Times New Roman" w:eastAsia="Times New Roman" w:hAnsi="Times New Roman" w:cs="Times New Roman"/>
              </w:rPr>
              <w:t xml:space="preserve"> </w:t>
            </w:r>
            <w:r w:rsidRPr="0035029B">
              <w:rPr>
                <w:rFonts w:ascii="Times New Roman" w:eastAsia="Times New Roman" w:hAnsi="Times New Roman" w:cs="Times New Roman"/>
              </w:rPr>
              <w:t>defektas</w:t>
            </w:r>
          </w:p>
        </w:tc>
      </w:tr>
      <w:tr w:rsidR="008C4948" w:rsidRPr="009F10EE" w14:paraId="518D5A8E" w14:textId="77777777" w:rsidTr="00E638B1">
        <w:tc>
          <w:tcPr>
            <w:tcW w:w="9243" w:type="dxa"/>
            <w:gridSpan w:val="5"/>
            <w:tcBorders>
              <w:top w:val="single" w:sz="4" w:space="0" w:color="000000"/>
              <w:left w:val="single" w:sz="4" w:space="0" w:color="000000"/>
              <w:bottom w:val="single" w:sz="4" w:space="0" w:color="000000"/>
              <w:right w:val="single" w:sz="4" w:space="0" w:color="000000"/>
            </w:tcBorders>
            <w:hideMark/>
          </w:tcPr>
          <w:p w14:paraId="30EB64F8"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i/>
                <w:iCs/>
              </w:rPr>
              <w:t>Ausų ir labirintų sutrikimai</w:t>
            </w:r>
          </w:p>
        </w:tc>
      </w:tr>
      <w:tr w:rsidR="008C4948" w:rsidRPr="009F10EE" w14:paraId="7119D3BB" w14:textId="77777777" w:rsidTr="00E638B1">
        <w:tc>
          <w:tcPr>
            <w:tcW w:w="1854" w:type="dxa"/>
            <w:tcBorders>
              <w:top w:val="single" w:sz="4" w:space="0" w:color="000000"/>
              <w:left w:val="single" w:sz="4" w:space="0" w:color="000000"/>
              <w:bottom w:val="single" w:sz="4" w:space="0" w:color="000000"/>
              <w:right w:val="single" w:sz="4" w:space="0" w:color="000000"/>
            </w:tcBorders>
          </w:tcPr>
          <w:p w14:paraId="36D7D8F8"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55" w:type="dxa"/>
            <w:tcBorders>
              <w:top w:val="single" w:sz="4" w:space="0" w:color="000000"/>
              <w:left w:val="single" w:sz="4" w:space="0" w:color="000000"/>
              <w:bottom w:val="single" w:sz="4" w:space="0" w:color="000000"/>
              <w:right w:val="single" w:sz="4" w:space="0" w:color="000000"/>
            </w:tcBorders>
          </w:tcPr>
          <w:p w14:paraId="11AB84B4"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52" w:type="dxa"/>
            <w:tcBorders>
              <w:top w:val="single" w:sz="4" w:space="0" w:color="000000"/>
              <w:left w:val="single" w:sz="4" w:space="0" w:color="000000"/>
              <w:bottom w:val="single" w:sz="4" w:space="0" w:color="000000"/>
              <w:right w:val="single" w:sz="4" w:space="0" w:color="000000"/>
            </w:tcBorders>
            <w:hideMark/>
          </w:tcPr>
          <w:p w14:paraId="7C0EA25D"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Ūžesys (</w:t>
            </w:r>
            <w:r w:rsidRPr="009F10EE">
              <w:rPr>
                <w:rFonts w:ascii="Times New Roman" w:eastAsia="Times New Roman" w:hAnsi="Times New Roman" w:cs="Times New Roman"/>
                <w:i/>
              </w:rPr>
              <w:t>tinitas</w:t>
            </w:r>
            <w:r w:rsidRPr="009F10EE">
              <w:rPr>
                <w:rFonts w:ascii="Times New Roman" w:eastAsia="Times New Roman" w:hAnsi="Times New Roman" w:cs="Times New Roman"/>
              </w:rPr>
              <w:t>)</w:t>
            </w:r>
          </w:p>
        </w:tc>
        <w:tc>
          <w:tcPr>
            <w:tcW w:w="1837" w:type="dxa"/>
            <w:tcBorders>
              <w:top w:val="single" w:sz="4" w:space="0" w:color="000000"/>
              <w:left w:val="single" w:sz="4" w:space="0" w:color="000000"/>
              <w:bottom w:val="single" w:sz="4" w:space="0" w:color="000000"/>
              <w:right w:val="single" w:sz="4" w:space="0" w:color="000000"/>
            </w:tcBorders>
          </w:tcPr>
          <w:p w14:paraId="5877B3BC"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45" w:type="dxa"/>
            <w:tcBorders>
              <w:top w:val="single" w:sz="4" w:space="0" w:color="000000"/>
              <w:left w:val="single" w:sz="4" w:space="0" w:color="000000"/>
              <w:bottom w:val="single" w:sz="4" w:space="0" w:color="000000"/>
              <w:right w:val="single" w:sz="4" w:space="0" w:color="000000"/>
            </w:tcBorders>
            <w:hideMark/>
          </w:tcPr>
          <w:p w14:paraId="03370725"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Staigus apkurtimas</w:t>
            </w:r>
          </w:p>
        </w:tc>
      </w:tr>
      <w:tr w:rsidR="008C4948" w:rsidRPr="009F10EE" w14:paraId="44FE4AB6" w14:textId="77777777" w:rsidTr="00E638B1">
        <w:tc>
          <w:tcPr>
            <w:tcW w:w="1854" w:type="dxa"/>
            <w:tcBorders>
              <w:top w:val="single" w:sz="4" w:space="0" w:color="000000"/>
              <w:left w:val="single" w:sz="4" w:space="0" w:color="000000"/>
              <w:bottom w:val="single" w:sz="4" w:space="0" w:color="000000"/>
              <w:right w:val="single" w:sz="4" w:space="0" w:color="000000"/>
            </w:tcBorders>
            <w:hideMark/>
          </w:tcPr>
          <w:p w14:paraId="06DC9D1B"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i/>
                <w:iCs/>
              </w:rPr>
              <w:t>Širdies sutrikimai</w:t>
            </w:r>
          </w:p>
        </w:tc>
        <w:tc>
          <w:tcPr>
            <w:tcW w:w="1855" w:type="dxa"/>
            <w:tcBorders>
              <w:top w:val="single" w:sz="4" w:space="0" w:color="000000"/>
              <w:left w:val="single" w:sz="4" w:space="0" w:color="000000"/>
              <w:bottom w:val="single" w:sz="4" w:space="0" w:color="000000"/>
              <w:right w:val="single" w:sz="4" w:space="0" w:color="000000"/>
            </w:tcBorders>
          </w:tcPr>
          <w:p w14:paraId="5883DC10"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52" w:type="dxa"/>
            <w:tcBorders>
              <w:top w:val="single" w:sz="4" w:space="0" w:color="000000"/>
              <w:left w:val="single" w:sz="4" w:space="0" w:color="000000"/>
              <w:bottom w:val="single" w:sz="4" w:space="0" w:color="000000"/>
              <w:right w:val="single" w:sz="4" w:space="0" w:color="000000"/>
            </w:tcBorders>
          </w:tcPr>
          <w:p w14:paraId="559E480C" w14:textId="77777777" w:rsidR="008C4948" w:rsidRPr="009F10EE" w:rsidRDefault="008C4948" w:rsidP="00771646">
            <w:pPr>
              <w:spacing w:after="0" w:line="240" w:lineRule="auto"/>
              <w:rPr>
                <w:rFonts w:ascii="Times New Roman" w:eastAsia="Times New Roman" w:hAnsi="Times New Roman" w:cs="Times New Roman"/>
              </w:rPr>
            </w:pPr>
          </w:p>
        </w:tc>
        <w:tc>
          <w:tcPr>
            <w:tcW w:w="1837" w:type="dxa"/>
            <w:tcBorders>
              <w:top w:val="single" w:sz="4" w:space="0" w:color="000000"/>
              <w:left w:val="single" w:sz="4" w:space="0" w:color="000000"/>
              <w:bottom w:val="single" w:sz="4" w:space="0" w:color="000000"/>
              <w:right w:val="single" w:sz="4" w:space="0" w:color="000000"/>
            </w:tcBorders>
          </w:tcPr>
          <w:p w14:paraId="343EE654"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45" w:type="dxa"/>
            <w:tcBorders>
              <w:top w:val="single" w:sz="4" w:space="0" w:color="000000"/>
              <w:left w:val="single" w:sz="4" w:space="0" w:color="000000"/>
              <w:bottom w:val="single" w:sz="4" w:space="0" w:color="000000"/>
              <w:right w:val="single" w:sz="4" w:space="0" w:color="000000"/>
            </w:tcBorders>
          </w:tcPr>
          <w:p w14:paraId="6C16E28E"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p>
        </w:tc>
      </w:tr>
      <w:tr w:rsidR="008C4948" w:rsidRPr="009F10EE" w14:paraId="6E343CD0" w14:textId="77777777" w:rsidTr="00E638B1">
        <w:tc>
          <w:tcPr>
            <w:tcW w:w="1854" w:type="dxa"/>
            <w:tcBorders>
              <w:top w:val="single" w:sz="4" w:space="0" w:color="000000"/>
              <w:left w:val="single" w:sz="4" w:space="0" w:color="000000"/>
              <w:bottom w:val="single" w:sz="4" w:space="0" w:color="000000"/>
              <w:right w:val="single" w:sz="4" w:space="0" w:color="000000"/>
            </w:tcBorders>
          </w:tcPr>
          <w:p w14:paraId="6A84FBF6"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55" w:type="dxa"/>
            <w:tcBorders>
              <w:top w:val="single" w:sz="4" w:space="0" w:color="000000"/>
              <w:left w:val="single" w:sz="4" w:space="0" w:color="000000"/>
              <w:bottom w:val="single" w:sz="4" w:space="0" w:color="000000"/>
              <w:right w:val="single" w:sz="4" w:space="0" w:color="000000"/>
            </w:tcBorders>
            <w:hideMark/>
          </w:tcPr>
          <w:p w14:paraId="0AC2F006"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Palpitacijos</w:t>
            </w:r>
            <w:r w:rsidRPr="009F10EE">
              <w:rPr>
                <w:rFonts w:ascii="Times New Roman" w:eastAsia="Times New Roman" w:hAnsi="Times New Roman" w:cs="Times New Roman"/>
                <w:vertAlign w:val="superscript"/>
              </w:rPr>
              <w:t>2, 5</w:t>
            </w:r>
          </w:p>
        </w:tc>
        <w:tc>
          <w:tcPr>
            <w:tcW w:w="1852" w:type="dxa"/>
            <w:tcBorders>
              <w:top w:val="single" w:sz="4" w:space="0" w:color="000000"/>
              <w:left w:val="single" w:sz="4" w:space="0" w:color="000000"/>
              <w:bottom w:val="single" w:sz="4" w:space="0" w:color="000000"/>
              <w:right w:val="single" w:sz="4" w:space="0" w:color="000000"/>
            </w:tcBorders>
            <w:hideMark/>
          </w:tcPr>
          <w:p w14:paraId="737EDFFB"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Staigi širdinė mirtis</w:t>
            </w:r>
            <w:r w:rsidRPr="009F10EE">
              <w:rPr>
                <w:rFonts w:ascii="Times New Roman" w:eastAsia="Times New Roman" w:hAnsi="Times New Roman" w:cs="Times New Roman"/>
                <w:vertAlign w:val="superscript"/>
              </w:rPr>
              <w:t>2, 5</w:t>
            </w:r>
            <w:r w:rsidRPr="009F10EE">
              <w:rPr>
                <w:rFonts w:ascii="Times New Roman" w:eastAsia="Times New Roman" w:hAnsi="Times New Roman" w:cs="Times New Roman"/>
              </w:rPr>
              <w:t>, tachikardija</w:t>
            </w:r>
            <w:r w:rsidRPr="009F10EE">
              <w:rPr>
                <w:rFonts w:ascii="Times New Roman" w:eastAsia="Times New Roman" w:hAnsi="Times New Roman" w:cs="Times New Roman"/>
                <w:vertAlign w:val="superscript"/>
              </w:rPr>
              <w:t>2, 5</w:t>
            </w:r>
          </w:p>
        </w:tc>
        <w:tc>
          <w:tcPr>
            <w:tcW w:w="1837" w:type="dxa"/>
            <w:tcBorders>
              <w:top w:val="single" w:sz="4" w:space="0" w:color="000000"/>
              <w:left w:val="single" w:sz="4" w:space="0" w:color="000000"/>
              <w:bottom w:val="single" w:sz="4" w:space="0" w:color="000000"/>
              <w:right w:val="single" w:sz="4" w:space="0" w:color="000000"/>
            </w:tcBorders>
          </w:tcPr>
          <w:p w14:paraId="65639D29"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45" w:type="dxa"/>
            <w:tcBorders>
              <w:top w:val="single" w:sz="4" w:space="0" w:color="000000"/>
              <w:left w:val="single" w:sz="4" w:space="0" w:color="000000"/>
              <w:bottom w:val="single" w:sz="4" w:space="0" w:color="000000"/>
              <w:right w:val="single" w:sz="4" w:space="0" w:color="000000"/>
            </w:tcBorders>
            <w:hideMark/>
          </w:tcPr>
          <w:p w14:paraId="39912D33"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Nestabilioji krūtinės angina, skilvelinė aritmija, miokardo</w:t>
            </w:r>
          </w:p>
          <w:p w14:paraId="117FC84F"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infarktas</w:t>
            </w:r>
            <w:r w:rsidRPr="009F10EE">
              <w:rPr>
                <w:rFonts w:ascii="Times New Roman" w:eastAsia="Times New Roman" w:hAnsi="Times New Roman" w:cs="Times New Roman"/>
                <w:vertAlign w:val="superscript"/>
              </w:rPr>
              <w:t>2</w:t>
            </w:r>
          </w:p>
        </w:tc>
      </w:tr>
      <w:tr w:rsidR="008C4948" w:rsidRPr="009F10EE" w14:paraId="617CE7AE" w14:textId="77777777" w:rsidTr="00E638B1">
        <w:tc>
          <w:tcPr>
            <w:tcW w:w="9243" w:type="dxa"/>
            <w:gridSpan w:val="5"/>
            <w:tcBorders>
              <w:top w:val="single" w:sz="4" w:space="0" w:color="000000"/>
              <w:left w:val="single" w:sz="4" w:space="0" w:color="000000"/>
              <w:bottom w:val="single" w:sz="4" w:space="0" w:color="000000"/>
              <w:right w:val="single" w:sz="4" w:space="0" w:color="000000"/>
            </w:tcBorders>
            <w:hideMark/>
          </w:tcPr>
          <w:p w14:paraId="650DE7A7"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i/>
                <w:iCs/>
              </w:rPr>
              <w:t>Kraujagyslių sutrikimai</w:t>
            </w:r>
          </w:p>
        </w:tc>
      </w:tr>
      <w:tr w:rsidR="008C4948" w:rsidRPr="009F10EE" w14:paraId="2F60C205" w14:textId="77777777" w:rsidTr="00E638B1">
        <w:tc>
          <w:tcPr>
            <w:tcW w:w="1854" w:type="dxa"/>
            <w:tcBorders>
              <w:top w:val="single" w:sz="4" w:space="0" w:color="000000"/>
              <w:left w:val="single" w:sz="4" w:space="0" w:color="000000"/>
              <w:bottom w:val="single" w:sz="4" w:space="0" w:color="000000"/>
              <w:right w:val="single" w:sz="4" w:space="0" w:color="000000"/>
            </w:tcBorders>
            <w:hideMark/>
          </w:tcPr>
          <w:p w14:paraId="0FD0DB46" w14:textId="77777777" w:rsidR="008C4948" w:rsidRPr="009F10EE" w:rsidRDefault="008C4948" w:rsidP="00771646">
            <w:pPr>
              <w:spacing w:after="0" w:line="240" w:lineRule="auto"/>
              <w:rPr>
                <w:rFonts w:ascii="Times New Roman" w:eastAsia="Times New Roman" w:hAnsi="Times New Roman" w:cs="Times New Roman"/>
                <w:i/>
                <w:iCs/>
              </w:rPr>
            </w:pPr>
            <w:r w:rsidRPr="009F10EE">
              <w:rPr>
                <w:rFonts w:ascii="Times New Roman" w:eastAsia="Times New Roman" w:hAnsi="Times New Roman" w:cs="Times New Roman"/>
              </w:rPr>
              <w:t>Paraudimas</w:t>
            </w:r>
          </w:p>
        </w:tc>
        <w:tc>
          <w:tcPr>
            <w:tcW w:w="1855" w:type="dxa"/>
            <w:tcBorders>
              <w:top w:val="single" w:sz="4" w:space="0" w:color="000000"/>
              <w:left w:val="single" w:sz="4" w:space="0" w:color="000000"/>
              <w:bottom w:val="single" w:sz="4" w:space="0" w:color="000000"/>
              <w:right w:val="single" w:sz="4" w:space="0" w:color="000000"/>
            </w:tcBorders>
            <w:hideMark/>
          </w:tcPr>
          <w:p w14:paraId="5A78D6D5"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Hipotenzija</w:t>
            </w:r>
          </w:p>
        </w:tc>
        <w:tc>
          <w:tcPr>
            <w:tcW w:w="1852" w:type="dxa"/>
            <w:tcBorders>
              <w:top w:val="single" w:sz="4" w:space="0" w:color="000000"/>
              <w:left w:val="single" w:sz="4" w:space="0" w:color="000000"/>
              <w:bottom w:val="single" w:sz="4" w:space="0" w:color="000000"/>
              <w:right w:val="single" w:sz="4" w:space="0" w:color="000000"/>
            </w:tcBorders>
            <w:hideMark/>
          </w:tcPr>
          <w:p w14:paraId="68D69161"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Hipertenzija</w:t>
            </w:r>
          </w:p>
        </w:tc>
        <w:tc>
          <w:tcPr>
            <w:tcW w:w="1837" w:type="dxa"/>
            <w:tcBorders>
              <w:top w:val="single" w:sz="4" w:space="0" w:color="000000"/>
              <w:left w:val="single" w:sz="4" w:space="0" w:color="000000"/>
              <w:bottom w:val="single" w:sz="4" w:space="0" w:color="000000"/>
              <w:right w:val="single" w:sz="4" w:space="0" w:color="000000"/>
            </w:tcBorders>
          </w:tcPr>
          <w:p w14:paraId="0A941494"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45" w:type="dxa"/>
            <w:tcBorders>
              <w:top w:val="single" w:sz="4" w:space="0" w:color="000000"/>
              <w:left w:val="single" w:sz="4" w:space="0" w:color="000000"/>
              <w:bottom w:val="single" w:sz="4" w:space="0" w:color="000000"/>
              <w:right w:val="single" w:sz="4" w:space="0" w:color="000000"/>
            </w:tcBorders>
          </w:tcPr>
          <w:p w14:paraId="6DE6192D" w14:textId="77777777" w:rsidR="008C4948" w:rsidRPr="009F10EE" w:rsidRDefault="008C4948" w:rsidP="00771646">
            <w:pPr>
              <w:spacing w:after="0" w:line="240" w:lineRule="auto"/>
              <w:rPr>
                <w:rFonts w:ascii="Times New Roman" w:eastAsia="Times New Roman" w:hAnsi="Times New Roman" w:cs="Times New Roman"/>
                <w:color w:val="000000"/>
              </w:rPr>
            </w:pPr>
          </w:p>
        </w:tc>
      </w:tr>
      <w:tr w:rsidR="008C4948" w:rsidRPr="009F10EE" w14:paraId="4FE2D509" w14:textId="77777777" w:rsidTr="00E638B1">
        <w:tc>
          <w:tcPr>
            <w:tcW w:w="9243" w:type="dxa"/>
            <w:gridSpan w:val="5"/>
            <w:tcBorders>
              <w:top w:val="single" w:sz="4" w:space="0" w:color="000000"/>
              <w:left w:val="single" w:sz="4" w:space="0" w:color="000000"/>
              <w:bottom w:val="single" w:sz="4" w:space="0" w:color="000000"/>
              <w:right w:val="single" w:sz="4" w:space="0" w:color="000000"/>
            </w:tcBorders>
            <w:hideMark/>
          </w:tcPr>
          <w:p w14:paraId="2DFFF83C"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i/>
                <w:iCs/>
              </w:rPr>
              <w:t>Kvėpavimo sistemos, krūtinės ląstos ir tarpuplaučio sutrikimai</w:t>
            </w:r>
          </w:p>
        </w:tc>
      </w:tr>
      <w:tr w:rsidR="008C4948" w:rsidRPr="009F10EE" w14:paraId="11996856" w14:textId="77777777" w:rsidTr="00E638B1">
        <w:tc>
          <w:tcPr>
            <w:tcW w:w="1854" w:type="dxa"/>
            <w:tcBorders>
              <w:top w:val="single" w:sz="4" w:space="0" w:color="000000"/>
              <w:left w:val="single" w:sz="4" w:space="0" w:color="000000"/>
              <w:bottom w:val="single" w:sz="4" w:space="0" w:color="000000"/>
              <w:right w:val="single" w:sz="4" w:space="0" w:color="000000"/>
            </w:tcBorders>
            <w:hideMark/>
          </w:tcPr>
          <w:p w14:paraId="4C139FCC" w14:textId="77777777" w:rsidR="008C4948" w:rsidRPr="009F10EE" w:rsidRDefault="008C4948" w:rsidP="00771646">
            <w:pPr>
              <w:spacing w:after="0" w:line="240" w:lineRule="auto"/>
              <w:rPr>
                <w:rFonts w:ascii="Times New Roman" w:eastAsia="Times New Roman" w:hAnsi="Times New Roman" w:cs="Times New Roman"/>
                <w:i/>
                <w:iCs/>
              </w:rPr>
            </w:pPr>
            <w:r w:rsidRPr="009F10EE">
              <w:rPr>
                <w:rFonts w:ascii="Times New Roman" w:eastAsia="Times New Roman" w:hAnsi="Times New Roman" w:cs="Times New Roman"/>
              </w:rPr>
              <w:t>Nazofaringitas (įskaitant nosies užsikimšimą, nosies ančių paburkimą ir rinitą)</w:t>
            </w:r>
          </w:p>
        </w:tc>
        <w:tc>
          <w:tcPr>
            <w:tcW w:w="1855" w:type="dxa"/>
            <w:tcBorders>
              <w:top w:val="single" w:sz="4" w:space="0" w:color="000000"/>
              <w:left w:val="single" w:sz="4" w:space="0" w:color="000000"/>
              <w:bottom w:val="single" w:sz="4" w:space="0" w:color="000000"/>
              <w:right w:val="single" w:sz="4" w:space="0" w:color="000000"/>
            </w:tcBorders>
            <w:hideMark/>
          </w:tcPr>
          <w:p w14:paraId="27E633AC"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Kraujavimas iš nosies</w:t>
            </w:r>
          </w:p>
        </w:tc>
        <w:tc>
          <w:tcPr>
            <w:tcW w:w="1852" w:type="dxa"/>
            <w:tcBorders>
              <w:top w:val="single" w:sz="4" w:space="0" w:color="000000"/>
              <w:left w:val="single" w:sz="4" w:space="0" w:color="000000"/>
              <w:bottom w:val="single" w:sz="4" w:space="0" w:color="000000"/>
              <w:right w:val="single" w:sz="4" w:space="0" w:color="000000"/>
            </w:tcBorders>
          </w:tcPr>
          <w:p w14:paraId="455909CD"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37" w:type="dxa"/>
            <w:tcBorders>
              <w:top w:val="single" w:sz="4" w:space="0" w:color="000000"/>
              <w:left w:val="single" w:sz="4" w:space="0" w:color="000000"/>
              <w:bottom w:val="single" w:sz="4" w:space="0" w:color="000000"/>
              <w:right w:val="single" w:sz="4" w:space="0" w:color="000000"/>
            </w:tcBorders>
          </w:tcPr>
          <w:p w14:paraId="03D9DFC8"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45" w:type="dxa"/>
            <w:tcBorders>
              <w:top w:val="single" w:sz="4" w:space="0" w:color="000000"/>
              <w:left w:val="single" w:sz="4" w:space="0" w:color="000000"/>
              <w:bottom w:val="single" w:sz="4" w:space="0" w:color="000000"/>
              <w:right w:val="single" w:sz="4" w:space="0" w:color="000000"/>
            </w:tcBorders>
          </w:tcPr>
          <w:p w14:paraId="586ABB1F" w14:textId="77777777" w:rsidR="008C4948" w:rsidRPr="009F10EE" w:rsidRDefault="008C4948" w:rsidP="00771646">
            <w:pPr>
              <w:spacing w:after="0" w:line="240" w:lineRule="auto"/>
              <w:rPr>
                <w:rFonts w:ascii="Times New Roman" w:eastAsia="Times New Roman" w:hAnsi="Times New Roman" w:cs="Times New Roman"/>
                <w:color w:val="000000"/>
              </w:rPr>
            </w:pPr>
          </w:p>
        </w:tc>
      </w:tr>
      <w:tr w:rsidR="008C4948" w:rsidRPr="009F10EE" w14:paraId="69CD57B4" w14:textId="77777777" w:rsidTr="00E638B1">
        <w:tc>
          <w:tcPr>
            <w:tcW w:w="9243" w:type="dxa"/>
            <w:gridSpan w:val="5"/>
            <w:tcBorders>
              <w:top w:val="single" w:sz="4" w:space="0" w:color="000000"/>
              <w:left w:val="single" w:sz="4" w:space="0" w:color="000000"/>
              <w:bottom w:val="single" w:sz="4" w:space="0" w:color="000000"/>
              <w:right w:val="single" w:sz="4" w:space="0" w:color="000000"/>
            </w:tcBorders>
            <w:hideMark/>
          </w:tcPr>
          <w:p w14:paraId="45445713"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i/>
                <w:iCs/>
              </w:rPr>
              <w:t>Virškinimo sutrikimai</w:t>
            </w:r>
          </w:p>
        </w:tc>
      </w:tr>
      <w:tr w:rsidR="008C4948" w:rsidRPr="009F10EE" w14:paraId="7BD11E2D" w14:textId="77777777" w:rsidTr="00E638B1">
        <w:tc>
          <w:tcPr>
            <w:tcW w:w="1854" w:type="dxa"/>
            <w:tcBorders>
              <w:top w:val="single" w:sz="4" w:space="0" w:color="000000"/>
              <w:left w:val="single" w:sz="4" w:space="0" w:color="000000"/>
              <w:bottom w:val="single" w:sz="4" w:space="0" w:color="000000"/>
              <w:right w:val="single" w:sz="4" w:space="0" w:color="000000"/>
            </w:tcBorders>
            <w:hideMark/>
          </w:tcPr>
          <w:p w14:paraId="05AA9280"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i/>
                <w:iCs/>
              </w:rPr>
            </w:pPr>
            <w:r w:rsidRPr="009F10EE">
              <w:rPr>
                <w:rFonts w:ascii="Times New Roman" w:eastAsia="Times New Roman" w:hAnsi="Times New Roman" w:cs="Times New Roman"/>
              </w:rPr>
              <w:t>Pykinimas, dispepsija (įskaitant pilvo skausmą/ diskomfortą</w:t>
            </w:r>
            <w:r w:rsidRPr="009F10EE">
              <w:rPr>
                <w:rFonts w:ascii="Times New Roman" w:eastAsia="Times New Roman" w:hAnsi="Times New Roman" w:cs="Times New Roman"/>
                <w:vertAlign w:val="superscript"/>
              </w:rPr>
              <w:t>3</w:t>
            </w:r>
            <w:r w:rsidRPr="009F10EE">
              <w:rPr>
                <w:rFonts w:ascii="Times New Roman" w:eastAsia="Times New Roman" w:hAnsi="Times New Roman" w:cs="Times New Roman"/>
              </w:rPr>
              <w:t>)</w:t>
            </w:r>
          </w:p>
        </w:tc>
        <w:tc>
          <w:tcPr>
            <w:tcW w:w="1855" w:type="dxa"/>
            <w:tcBorders>
              <w:top w:val="single" w:sz="4" w:space="0" w:color="000000"/>
              <w:left w:val="single" w:sz="4" w:space="0" w:color="000000"/>
              <w:bottom w:val="single" w:sz="4" w:space="0" w:color="000000"/>
              <w:right w:val="single" w:sz="4" w:space="0" w:color="000000"/>
            </w:tcBorders>
            <w:hideMark/>
          </w:tcPr>
          <w:p w14:paraId="7BC2E082"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Vėmimas, gastroezofaginis refliuksas</w:t>
            </w:r>
          </w:p>
        </w:tc>
        <w:tc>
          <w:tcPr>
            <w:tcW w:w="1852" w:type="dxa"/>
            <w:tcBorders>
              <w:top w:val="single" w:sz="4" w:space="0" w:color="000000"/>
              <w:left w:val="single" w:sz="4" w:space="0" w:color="000000"/>
              <w:bottom w:val="single" w:sz="4" w:space="0" w:color="000000"/>
              <w:right w:val="single" w:sz="4" w:space="0" w:color="000000"/>
            </w:tcBorders>
          </w:tcPr>
          <w:p w14:paraId="7E2BDB47"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37" w:type="dxa"/>
            <w:tcBorders>
              <w:top w:val="single" w:sz="4" w:space="0" w:color="000000"/>
              <w:left w:val="single" w:sz="4" w:space="0" w:color="000000"/>
              <w:bottom w:val="single" w:sz="4" w:space="0" w:color="000000"/>
              <w:right w:val="single" w:sz="4" w:space="0" w:color="000000"/>
            </w:tcBorders>
          </w:tcPr>
          <w:p w14:paraId="73881CF7"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45" w:type="dxa"/>
            <w:tcBorders>
              <w:top w:val="single" w:sz="4" w:space="0" w:color="000000"/>
              <w:left w:val="single" w:sz="4" w:space="0" w:color="000000"/>
              <w:bottom w:val="single" w:sz="4" w:space="0" w:color="000000"/>
              <w:right w:val="single" w:sz="4" w:space="0" w:color="000000"/>
            </w:tcBorders>
          </w:tcPr>
          <w:p w14:paraId="47CC1868" w14:textId="77777777" w:rsidR="008C4948" w:rsidRPr="009F10EE" w:rsidRDefault="008C4948" w:rsidP="00771646">
            <w:pPr>
              <w:spacing w:after="0" w:line="240" w:lineRule="auto"/>
              <w:rPr>
                <w:rFonts w:ascii="Times New Roman" w:eastAsia="Times New Roman" w:hAnsi="Times New Roman" w:cs="Times New Roman"/>
                <w:color w:val="000000"/>
              </w:rPr>
            </w:pPr>
          </w:p>
        </w:tc>
      </w:tr>
      <w:tr w:rsidR="008C4948" w:rsidRPr="009F10EE" w14:paraId="5B45ED7D" w14:textId="77777777" w:rsidTr="00E638B1">
        <w:tc>
          <w:tcPr>
            <w:tcW w:w="9243" w:type="dxa"/>
            <w:gridSpan w:val="5"/>
            <w:tcBorders>
              <w:top w:val="single" w:sz="4" w:space="0" w:color="000000"/>
              <w:left w:val="single" w:sz="4" w:space="0" w:color="000000"/>
              <w:bottom w:val="single" w:sz="4" w:space="0" w:color="000000"/>
              <w:right w:val="single" w:sz="4" w:space="0" w:color="000000"/>
            </w:tcBorders>
            <w:hideMark/>
          </w:tcPr>
          <w:p w14:paraId="207FA0BB"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i/>
                <w:iCs/>
              </w:rPr>
              <w:t>Odos ir poodinio audinio sutrikimai</w:t>
            </w:r>
          </w:p>
        </w:tc>
      </w:tr>
      <w:tr w:rsidR="008C4948" w:rsidRPr="009F10EE" w14:paraId="4F90BCE5" w14:textId="77777777" w:rsidTr="00E638B1">
        <w:tc>
          <w:tcPr>
            <w:tcW w:w="1854" w:type="dxa"/>
            <w:tcBorders>
              <w:top w:val="single" w:sz="4" w:space="0" w:color="000000"/>
              <w:left w:val="single" w:sz="4" w:space="0" w:color="000000"/>
              <w:bottom w:val="single" w:sz="4" w:space="0" w:color="000000"/>
              <w:right w:val="single" w:sz="4" w:space="0" w:color="000000"/>
            </w:tcBorders>
          </w:tcPr>
          <w:p w14:paraId="24B4C029"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i/>
                <w:iCs/>
              </w:rPr>
            </w:pPr>
          </w:p>
        </w:tc>
        <w:tc>
          <w:tcPr>
            <w:tcW w:w="1855" w:type="dxa"/>
            <w:tcBorders>
              <w:top w:val="single" w:sz="4" w:space="0" w:color="000000"/>
              <w:left w:val="single" w:sz="4" w:space="0" w:color="000000"/>
              <w:bottom w:val="single" w:sz="4" w:space="0" w:color="000000"/>
              <w:right w:val="single" w:sz="4" w:space="0" w:color="000000"/>
            </w:tcBorders>
            <w:hideMark/>
          </w:tcPr>
          <w:p w14:paraId="453CA003"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Išbėrimas</w:t>
            </w:r>
          </w:p>
        </w:tc>
        <w:tc>
          <w:tcPr>
            <w:tcW w:w="1852" w:type="dxa"/>
            <w:tcBorders>
              <w:top w:val="single" w:sz="4" w:space="0" w:color="000000"/>
              <w:left w:val="single" w:sz="4" w:space="0" w:color="000000"/>
              <w:bottom w:val="single" w:sz="4" w:space="0" w:color="000000"/>
              <w:right w:val="single" w:sz="4" w:space="0" w:color="000000"/>
            </w:tcBorders>
            <w:hideMark/>
          </w:tcPr>
          <w:p w14:paraId="41D378FE"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Dilgėlinė</w:t>
            </w:r>
            <w:r w:rsidRPr="009F10EE">
              <w:rPr>
                <w:rFonts w:ascii="Times New Roman" w:eastAsia="Times New Roman" w:hAnsi="Times New Roman" w:cs="Times New Roman"/>
                <w:vertAlign w:val="superscript"/>
              </w:rPr>
              <w:t>5</w:t>
            </w:r>
            <w:r w:rsidRPr="009F10EE">
              <w:rPr>
                <w:rFonts w:ascii="Times New Roman" w:eastAsia="Times New Roman" w:hAnsi="Times New Roman" w:cs="Times New Roman"/>
              </w:rPr>
              <w:t>, hiperhidrozė (prakaitavimas)</w:t>
            </w:r>
            <w:r w:rsidRPr="009F10EE">
              <w:rPr>
                <w:rFonts w:ascii="Times New Roman" w:eastAsia="Times New Roman" w:hAnsi="Times New Roman" w:cs="Times New Roman"/>
                <w:vertAlign w:val="superscript"/>
              </w:rPr>
              <w:t>5</w:t>
            </w:r>
          </w:p>
        </w:tc>
        <w:tc>
          <w:tcPr>
            <w:tcW w:w="1837" w:type="dxa"/>
            <w:tcBorders>
              <w:top w:val="single" w:sz="4" w:space="0" w:color="000000"/>
              <w:left w:val="single" w:sz="4" w:space="0" w:color="000000"/>
              <w:bottom w:val="single" w:sz="4" w:space="0" w:color="000000"/>
              <w:right w:val="single" w:sz="4" w:space="0" w:color="000000"/>
            </w:tcBorders>
          </w:tcPr>
          <w:p w14:paraId="68D5834F"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45" w:type="dxa"/>
            <w:tcBorders>
              <w:top w:val="single" w:sz="4" w:space="0" w:color="000000"/>
              <w:left w:val="single" w:sz="4" w:space="0" w:color="000000"/>
              <w:bottom w:val="single" w:sz="4" w:space="0" w:color="000000"/>
              <w:right w:val="single" w:sz="4" w:space="0" w:color="000000"/>
            </w:tcBorders>
            <w:hideMark/>
          </w:tcPr>
          <w:p w14:paraId="621B6223"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i/>
              </w:rPr>
              <w:t>Stevens-Johnson</w:t>
            </w:r>
            <w:r w:rsidRPr="009F10EE">
              <w:rPr>
                <w:rFonts w:ascii="Times New Roman" w:eastAsia="Times New Roman" w:hAnsi="Times New Roman" w:cs="Times New Roman"/>
              </w:rPr>
              <w:t xml:space="preserve"> sindromas, eksfoliacinis dermatitas</w:t>
            </w:r>
          </w:p>
        </w:tc>
      </w:tr>
      <w:tr w:rsidR="008C4948" w:rsidRPr="009F10EE" w14:paraId="122AA948" w14:textId="77777777" w:rsidTr="00E638B1">
        <w:tc>
          <w:tcPr>
            <w:tcW w:w="9243" w:type="dxa"/>
            <w:gridSpan w:val="5"/>
            <w:tcBorders>
              <w:top w:val="single" w:sz="4" w:space="0" w:color="000000"/>
              <w:left w:val="single" w:sz="4" w:space="0" w:color="000000"/>
              <w:bottom w:val="single" w:sz="4" w:space="0" w:color="000000"/>
              <w:right w:val="single" w:sz="4" w:space="0" w:color="000000"/>
            </w:tcBorders>
            <w:hideMark/>
          </w:tcPr>
          <w:p w14:paraId="7EAB7168"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i/>
                <w:iCs/>
              </w:rPr>
              <w:t>Skeleto, raumenų ir jungiamojo audinio sutrikimai</w:t>
            </w:r>
          </w:p>
        </w:tc>
      </w:tr>
      <w:tr w:rsidR="008C4948" w:rsidRPr="009F10EE" w14:paraId="3E8B02BC" w14:textId="77777777" w:rsidTr="00E638B1">
        <w:tc>
          <w:tcPr>
            <w:tcW w:w="1854" w:type="dxa"/>
            <w:tcBorders>
              <w:top w:val="single" w:sz="4" w:space="0" w:color="000000"/>
              <w:left w:val="single" w:sz="4" w:space="0" w:color="000000"/>
              <w:bottom w:val="single" w:sz="4" w:space="0" w:color="000000"/>
              <w:right w:val="single" w:sz="4" w:space="0" w:color="000000"/>
            </w:tcBorders>
            <w:hideMark/>
          </w:tcPr>
          <w:p w14:paraId="09ACE46F"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i/>
                <w:iCs/>
              </w:rPr>
            </w:pPr>
            <w:r w:rsidRPr="009F10EE">
              <w:rPr>
                <w:rFonts w:ascii="Times New Roman" w:eastAsia="Times New Roman" w:hAnsi="Times New Roman" w:cs="Times New Roman"/>
              </w:rPr>
              <w:t xml:space="preserve">Mialgija, nugaros skausmas, galūnių skausmas </w:t>
            </w:r>
            <w:r w:rsidRPr="009F10EE">
              <w:rPr>
                <w:rFonts w:ascii="Times New Roman" w:eastAsia="Times New Roman" w:hAnsi="Times New Roman" w:cs="Times New Roman"/>
              </w:rPr>
              <w:lastRenderedPageBreak/>
              <w:t>(įskaitant galūnių diskomfortą)</w:t>
            </w:r>
          </w:p>
        </w:tc>
        <w:tc>
          <w:tcPr>
            <w:tcW w:w="1855" w:type="dxa"/>
            <w:tcBorders>
              <w:top w:val="single" w:sz="4" w:space="0" w:color="000000"/>
              <w:left w:val="single" w:sz="4" w:space="0" w:color="000000"/>
              <w:bottom w:val="single" w:sz="4" w:space="0" w:color="000000"/>
              <w:right w:val="single" w:sz="4" w:space="0" w:color="000000"/>
            </w:tcBorders>
          </w:tcPr>
          <w:p w14:paraId="48C42F6B"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tcPr>
          <w:p w14:paraId="295C0572"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37" w:type="dxa"/>
            <w:tcBorders>
              <w:top w:val="single" w:sz="4" w:space="0" w:color="000000"/>
              <w:left w:val="single" w:sz="4" w:space="0" w:color="000000"/>
              <w:bottom w:val="single" w:sz="4" w:space="0" w:color="000000"/>
              <w:right w:val="single" w:sz="4" w:space="0" w:color="000000"/>
            </w:tcBorders>
          </w:tcPr>
          <w:p w14:paraId="4A49BDA1"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45" w:type="dxa"/>
            <w:tcBorders>
              <w:top w:val="single" w:sz="4" w:space="0" w:color="000000"/>
              <w:left w:val="single" w:sz="4" w:space="0" w:color="000000"/>
              <w:bottom w:val="single" w:sz="4" w:space="0" w:color="000000"/>
              <w:right w:val="single" w:sz="4" w:space="0" w:color="000000"/>
            </w:tcBorders>
          </w:tcPr>
          <w:p w14:paraId="09FCB3D1" w14:textId="77777777" w:rsidR="008C4948" w:rsidRPr="009F10EE" w:rsidRDefault="008C4948" w:rsidP="00771646">
            <w:pPr>
              <w:spacing w:after="0" w:line="240" w:lineRule="auto"/>
              <w:rPr>
                <w:rFonts w:ascii="Times New Roman" w:eastAsia="Times New Roman" w:hAnsi="Times New Roman" w:cs="Times New Roman"/>
                <w:color w:val="000000"/>
              </w:rPr>
            </w:pPr>
          </w:p>
        </w:tc>
      </w:tr>
      <w:tr w:rsidR="008C4948" w:rsidRPr="009F10EE" w14:paraId="4B86F8D9" w14:textId="77777777" w:rsidTr="00E638B1">
        <w:tc>
          <w:tcPr>
            <w:tcW w:w="9243" w:type="dxa"/>
            <w:gridSpan w:val="5"/>
            <w:tcBorders>
              <w:top w:val="single" w:sz="4" w:space="0" w:color="000000"/>
              <w:left w:val="single" w:sz="4" w:space="0" w:color="000000"/>
              <w:bottom w:val="single" w:sz="4" w:space="0" w:color="000000"/>
              <w:right w:val="single" w:sz="4" w:space="0" w:color="000000"/>
            </w:tcBorders>
            <w:hideMark/>
          </w:tcPr>
          <w:p w14:paraId="75F4CDC5"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i/>
                <w:iCs/>
              </w:rPr>
              <w:t>Inkstų ir šlapimo takų sutrikimai</w:t>
            </w:r>
          </w:p>
        </w:tc>
      </w:tr>
      <w:tr w:rsidR="008C4948" w:rsidRPr="009F10EE" w14:paraId="17F3AD49" w14:textId="77777777" w:rsidTr="00E638B1">
        <w:tc>
          <w:tcPr>
            <w:tcW w:w="1854" w:type="dxa"/>
            <w:tcBorders>
              <w:top w:val="single" w:sz="4" w:space="0" w:color="000000"/>
              <w:left w:val="single" w:sz="4" w:space="0" w:color="000000"/>
              <w:bottom w:val="single" w:sz="4" w:space="0" w:color="000000"/>
              <w:right w:val="single" w:sz="4" w:space="0" w:color="000000"/>
            </w:tcBorders>
          </w:tcPr>
          <w:p w14:paraId="14058775"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i/>
                <w:iCs/>
              </w:rPr>
            </w:pPr>
          </w:p>
        </w:tc>
        <w:tc>
          <w:tcPr>
            <w:tcW w:w="1855" w:type="dxa"/>
            <w:tcBorders>
              <w:top w:val="single" w:sz="4" w:space="0" w:color="000000"/>
              <w:left w:val="single" w:sz="4" w:space="0" w:color="000000"/>
              <w:bottom w:val="single" w:sz="4" w:space="0" w:color="000000"/>
              <w:right w:val="single" w:sz="4" w:space="0" w:color="000000"/>
            </w:tcBorders>
          </w:tcPr>
          <w:p w14:paraId="332A5930"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p>
        </w:tc>
        <w:tc>
          <w:tcPr>
            <w:tcW w:w="1852" w:type="dxa"/>
            <w:tcBorders>
              <w:top w:val="single" w:sz="4" w:space="0" w:color="000000"/>
              <w:left w:val="single" w:sz="4" w:space="0" w:color="000000"/>
              <w:bottom w:val="single" w:sz="4" w:space="0" w:color="000000"/>
              <w:right w:val="single" w:sz="4" w:space="0" w:color="000000"/>
            </w:tcBorders>
            <w:hideMark/>
          </w:tcPr>
          <w:p w14:paraId="7AAC5D6D"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Hematurija</w:t>
            </w:r>
          </w:p>
        </w:tc>
        <w:tc>
          <w:tcPr>
            <w:tcW w:w="1837" w:type="dxa"/>
            <w:tcBorders>
              <w:top w:val="single" w:sz="4" w:space="0" w:color="000000"/>
              <w:left w:val="single" w:sz="4" w:space="0" w:color="000000"/>
              <w:bottom w:val="single" w:sz="4" w:space="0" w:color="000000"/>
              <w:right w:val="single" w:sz="4" w:space="0" w:color="000000"/>
            </w:tcBorders>
          </w:tcPr>
          <w:p w14:paraId="41891A61"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45" w:type="dxa"/>
            <w:tcBorders>
              <w:top w:val="single" w:sz="4" w:space="0" w:color="000000"/>
              <w:left w:val="single" w:sz="4" w:space="0" w:color="000000"/>
              <w:bottom w:val="single" w:sz="4" w:space="0" w:color="000000"/>
              <w:right w:val="single" w:sz="4" w:space="0" w:color="000000"/>
            </w:tcBorders>
          </w:tcPr>
          <w:p w14:paraId="43C5D7C6" w14:textId="77777777" w:rsidR="008C4948" w:rsidRPr="009F10EE" w:rsidRDefault="008C4948" w:rsidP="00771646">
            <w:pPr>
              <w:spacing w:after="0" w:line="240" w:lineRule="auto"/>
              <w:rPr>
                <w:rFonts w:ascii="Times New Roman" w:eastAsia="Times New Roman" w:hAnsi="Times New Roman" w:cs="Times New Roman"/>
                <w:color w:val="000000"/>
              </w:rPr>
            </w:pPr>
          </w:p>
        </w:tc>
      </w:tr>
      <w:tr w:rsidR="008C4948" w:rsidRPr="009F10EE" w14:paraId="3DB94C4A" w14:textId="77777777" w:rsidTr="00E638B1">
        <w:tc>
          <w:tcPr>
            <w:tcW w:w="9243" w:type="dxa"/>
            <w:gridSpan w:val="5"/>
            <w:tcBorders>
              <w:top w:val="single" w:sz="4" w:space="0" w:color="000000"/>
              <w:left w:val="single" w:sz="4" w:space="0" w:color="000000"/>
              <w:bottom w:val="single" w:sz="4" w:space="0" w:color="000000"/>
              <w:right w:val="single" w:sz="4" w:space="0" w:color="000000"/>
            </w:tcBorders>
            <w:hideMark/>
          </w:tcPr>
          <w:p w14:paraId="7A4B81A3"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i/>
                <w:iCs/>
              </w:rPr>
              <w:t>Lytinės sistemos ir krūties sutrikimai</w:t>
            </w:r>
          </w:p>
        </w:tc>
      </w:tr>
      <w:tr w:rsidR="008C4948" w:rsidRPr="009F10EE" w14:paraId="558F723C" w14:textId="77777777" w:rsidTr="00E638B1">
        <w:tc>
          <w:tcPr>
            <w:tcW w:w="1854" w:type="dxa"/>
            <w:tcBorders>
              <w:top w:val="single" w:sz="4" w:space="0" w:color="000000"/>
              <w:left w:val="single" w:sz="4" w:space="0" w:color="000000"/>
              <w:bottom w:val="single" w:sz="4" w:space="0" w:color="000000"/>
              <w:right w:val="single" w:sz="4" w:space="0" w:color="000000"/>
            </w:tcBorders>
          </w:tcPr>
          <w:p w14:paraId="08B09950"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i/>
                <w:iCs/>
              </w:rPr>
            </w:pPr>
          </w:p>
        </w:tc>
        <w:tc>
          <w:tcPr>
            <w:tcW w:w="1855" w:type="dxa"/>
            <w:tcBorders>
              <w:top w:val="single" w:sz="4" w:space="0" w:color="000000"/>
              <w:left w:val="single" w:sz="4" w:space="0" w:color="000000"/>
              <w:bottom w:val="single" w:sz="4" w:space="0" w:color="000000"/>
              <w:right w:val="single" w:sz="4" w:space="0" w:color="000000"/>
            </w:tcBorders>
            <w:hideMark/>
          </w:tcPr>
          <w:p w14:paraId="79F65126"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Kraujavimo iš</w:t>
            </w:r>
          </w:p>
          <w:p w14:paraId="79941CC2"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gimdos</w:t>
            </w:r>
          </w:p>
          <w:p w14:paraId="4220255A"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sustiprėjimas</w:t>
            </w:r>
            <w:r w:rsidRPr="009F10EE">
              <w:rPr>
                <w:rFonts w:ascii="Times New Roman" w:eastAsia="Times New Roman" w:hAnsi="Times New Roman" w:cs="Times New Roman"/>
                <w:vertAlign w:val="superscript"/>
              </w:rPr>
              <w:t>4</w:t>
            </w:r>
          </w:p>
        </w:tc>
        <w:tc>
          <w:tcPr>
            <w:tcW w:w="1852" w:type="dxa"/>
            <w:tcBorders>
              <w:top w:val="single" w:sz="4" w:space="0" w:color="000000"/>
              <w:left w:val="single" w:sz="4" w:space="0" w:color="000000"/>
              <w:bottom w:val="single" w:sz="4" w:space="0" w:color="000000"/>
              <w:right w:val="single" w:sz="4" w:space="0" w:color="000000"/>
            </w:tcBorders>
            <w:hideMark/>
          </w:tcPr>
          <w:p w14:paraId="6645D6AB"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Priapizmas</w:t>
            </w:r>
            <w:r w:rsidRPr="009F10EE">
              <w:rPr>
                <w:rFonts w:ascii="Times New Roman" w:eastAsia="Times New Roman" w:hAnsi="Times New Roman" w:cs="Times New Roman"/>
                <w:vertAlign w:val="superscript"/>
              </w:rPr>
              <w:t>5</w:t>
            </w:r>
            <w:r w:rsidRPr="009F10EE">
              <w:rPr>
                <w:rFonts w:ascii="Times New Roman" w:eastAsia="Times New Roman" w:hAnsi="Times New Roman" w:cs="Times New Roman"/>
              </w:rPr>
              <w:t>, kraujavimas iš varpos, hematospermija</w:t>
            </w:r>
          </w:p>
        </w:tc>
        <w:tc>
          <w:tcPr>
            <w:tcW w:w="1837" w:type="dxa"/>
            <w:tcBorders>
              <w:top w:val="single" w:sz="4" w:space="0" w:color="000000"/>
              <w:left w:val="single" w:sz="4" w:space="0" w:color="000000"/>
              <w:bottom w:val="single" w:sz="4" w:space="0" w:color="000000"/>
              <w:right w:val="single" w:sz="4" w:space="0" w:color="000000"/>
            </w:tcBorders>
          </w:tcPr>
          <w:p w14:paraId="20494A52"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45" w:type="dxa"/>
            <w:tcBorders>
              <w:top w:val="single" w:sz="4" w:space="0" w:color="000000"/>
              <w:left w:val="single" w:sz="4" w:space="0" w:color="000000"/>
              <w:bottom w:val="single" w:sz="4" w:space="0" w:color="000000"/>
              <w:right w:val="single" w:sz="4" w:space="0" w:color="000000"/>
            </w:tcBorders>
            <w:hideMark/>
          </w:tcPr>
          <w:p w14:paraId="36B4EA5B" w14:textId="77777777" w:rsidR="008C4948" w:rsidRPr="009F10EE" w:rsidRDefault="008C4948" w:rsidP="00771646">
            <w:pPr>
              <w:spacing w:after="0" w:line="240" w:lineRule="auto"/>
              <w:rPr>
                <w:rFonts w:ascii="Times New Roman" w:eastAsia="Times New Roman" w:hAnsi="Times New Roman" w:cs="Times New Roman"/>
                <w:color w:val="000000"/>
              </w:rPr>
            </w:pPr>
            <w:r w:rsidRPr="009F10EE">
              <w:rPr>
                <w:rFonts w:ascii="Times New Roman" w:eastAsia="Times New Roman" w:hAnsi="Times New Roman" w:cs="Times New Roman"/>
              </w:rPr>
              <w:t>Ilgalaikė erekcija</w:t>
            </w:r>
          </w:p>
        </w:tc>
      </w:tr>
      <w:tr w:rsidR="008C4948" w:rsidRPr="009F10EE" w14:paraId="534D15F0" w14:textId="77777777" w:rsidTr="00E638B1">
        <w:tc>
          <w:tcPr>
            <w:tcW w:w="9243" w:type="dxa"/>
            <w:gridSpan w:val="5"/>
            <w:tcBorders>
              <w:top w:val="single" w:sz="4" w:space="0" w:color="000000"/>
              <w:left w:val="single" w:sz="4" w:space="0" w:color="000000"/>
              <w:bottom w:val="single" w:sz="4" w:space="0" w:color="000000"/>
              <w:right w:val="single" w:sz="4" w:space="0" w:color="000000"/>
            </w:tcBorders>
            <w:hideMark/>
          </w:tcPr>
          <w:p w14:paraId="7B1E4514" w14:textId="77777777" w:rsidR="008C4948" w:rsidRPr="009F10EE" w:rsidRDefault="008C4948" w:rsidP="00771646">
            <w:pPr>
              <w:spacing w:after="0" w:line="240" w:lineRule="auto"/>
              <w:rPr>
                <w:rFonts w:ascii="Times New Roman" w:eastAsia="Times New Roman" w:hAnsi="Times New Roman" w:cs="Times New Roman"/>
              </w:rPr>
            </w:pPr>
            <w:r w:rsidRPr="009F10EE">
              <w:rPr>
                <w:rFonts w:ascii="Times New Roman" w:eastAsia="Times New Roman" w:hAnsi="Times New Roman" w:cs="Times New Roman"/>
                <w:i/>
                <w:iCs/>
              </w:rPr>
              <w:t>Bendrieji sutrikimai ir vartojimo vietos pažeidimai</w:t>
            </w:r>
          </w:p>
        </w:tc>
      </w:tr>
      <w:tr w:rsidR="008C4948" w:rsidRPr="009F10EE" w14:paraId="32FDEF3E" w14:textId="77777777" w:rsidTr="00E638B1">
        <w:tc>
          <w:tcPr>
            <w:tcW w:w="1854" w:type="dxa"/>
            <w:tcBorders>
              <w:top w:val="single" w:sz="4" w:space="0" w:color="000000"/>
              <w:left w:val="single" w:sz="4" w:space="0" w:color="000000"/>
              <w:bottom w:val="single" w:sz="4" w:space="0" w:color="000000"/>
              <w:right w:val="single" w:sz="4" w:space="0" w:color="000000"/>
            </w:tcBorders>
          </w:tcPr>
          <w:p w14:paraId="4F4F73D3"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i/>
                <w:iCs/>
              </w:rPr>
            </w:pPr>
          </w:p>
        </w:tc>
        <w:tc>
          <w:tcPr>
            <w:tcW w:w="1855" w:type="dxa"/>
            <w:tcBorders>
              <w:top w:val="single" w:sz="4" w:space="0" w:color="000000"/>
              <w:left w:val="single" w:sz="4" w:space="0" w:color="000000"/>
              <w:bottom w:val="single" w:sz="4" w:space="0" w:color="000000"/>
              <w:right w:val="single" w:sz="4" w:space="0" w:color="000000"/>
            </w:tcBorders>
            <w:hideMark/>
          </w:tcPr>
          <w:p w14:paraId="361B451D"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Veido edema, krūtinės skausmas</w:t>
            </w:r>
            <w:r w:rsidRPr="009F10EE">
              <w:rPr>
                <w:rFonts w:ascii="Times New Roman" w:eastAsia="Times New Roman" w:hAnsi="Times New Roman" w:cs="Times New Roman"/>
                <w:vertAlign w:val="superscript"/>
              </w:rPr>
              <w:t>2</w:t>
            </w:r>
          </w:p>
        </w:tc>
        <w:tc>
          <w:tcPr>
            <w:tcW w:w="1852" w:type="dxa"/>
            <w:tcBorders>
              <w:top w:val="single" w:sz="4" w:space="0" w:color="000000"/>
              <w:left w:val="single" w:sz="4" w:space="0" w:color="000000"/>
              <w:bottom w:val="single" w:sz="4" w:space="0" w:color="000000"/>
              <w:right w:val="single" w:sz="4" w:space="0" w:color="000000"/>
            </w:tcBorders>
          </w:tcPr>
          <w:p w14:paraId="4F372CBF"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p>
        </w:tc>
        <w:tc>
          <w:tcPr>
            <w:tcW w:w="1837" w:type="dxa"/>
            <w:tcBorders>
              <w:top w:val="single" w:sz="4" w:space="0" w:color="000000"/>
              <w:left w:val="single" w:sz="4" w:space="0" w:color="000000"/>
              <w:bottom w:val="single" w:sz="4" w:space="0" w:color="000000"/>
              <w:right w:val="single" w:sz="4" w:space="0" w:color="000000"/>
            </w:tcBorders>
          </w:tcPr>
          <w:p w14:paraId="12BC729B" w14:textId="77777777" w:rsidR="008C4948" w:rsidRPr="009F10EE" w:rsidRDefault="008C4948" w:rsidP="00771646">
            <w:pPr>
              <w:spacing w:after="0" w:line="240" w:lineRule="auto"/>
              <w:rPr>
                <w:rFonts w:ascii="Times New Roman" w:eastAsia="Times New Roman" w:hAnsi="Times New Roman" w:cs="Times New Roman"/>
                <w:color w:val="000000"/>
              </w:rPr>
            </w:pPr>
          </w:p>
        </w:tc>
        <w:tc>
          <w:tcPr>
            <w:tcW w:w="1845" w:type="dxa"/>
            <w:tcBorders>
              <w:top w:val="single" w:sz="4" w:space="0" w:color="000000"/>
              <w:left w:val="single" w:sz="4" w:space="0" w:color="000000"/>
              <w:bottom w:val="single" w:sz="4" w:space="0" w:color="000000"/>
              <w:right w:val="single" w:sz="4" w:space="0" w:color="000000"/>
            </w:tcBorders>
          </w:tcPr>
          <w:p w14:paraId="62856844" w14:textId="77777777" w:rsidR="008C4948" w:rsidRPr="009F10EE" w:rsidRDefault="008C4948" w:rsidP="00771646">
            <w:pPr>
              <w:autoSpaceDE w:val="0"/>
              <w:autoSpaceDN w:val="0"/>
              <w:adjustRightInd w:val="0"/>
              <w:spacing w:after="0" w:line="240" w:lineRule="auto"/>
              <w:rPr>
                <w:rFonts w:ascii="Times New Roman" w:eastAsia="Times New Roman" w:hAnsi="Times New Roman" w:cs="Times New Roman"/>
              </w:rPr>
            </w:pPr>
          </w:p>
        </w:tc>
      </w:tr>
    </w:tbl>
    <w:p w14:paraId="52CFDEA3"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p>
    <w:p w14:paraId="0B9CE723"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(1) Reiškiniai, apie kuriuos nepranešta registracijos tyrimų metu ir jų dažnis negali būti įvertintas pagal turimus duomenis. Nepageidaujamos reakcijos į lentelę buvo įtrauktos remiantis vaistinio preparato stebėsenos rinkoje arba klinikinių tyrimų, kurių metu tadalafilis vartotas erekcijos funkcijos sutrikimui gydyti, duomenimis.</w:t>
      </w:r>
    </w:p>
    <w:p w14:paraId="1D5BEDFA"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(2) Daugumai pacientų, kuriems atsirado tokių reiškinių, prieš pradedant tyrimą buvo kardiovaskulinės rizikos veiksnių.</w:t>
      </w:r>
    </w:p>
    <w:p w14:paraId="6AC55580"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(3) Apima tokius MedDRA terminus: pilvo diskomfortas, pilvo skausmas, apatinės pilvo dalies skausmas, viršutinės pilvo dalies skausmas ir skrandžio diskomfortas.</w:t>
      </w:r>
    </w:p>
    <w:p w14:paraId="2F6E0CDB"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(4) Apima klinikinius ne MedDRA terminus: nenormalus/pernelyg gausus menstruacinis kraujavimas, pavyzdžiui, menoragija, metroragija, menometroragija ar kraujavimas iš makšties.</w:t>
      </w:r>
    </w:p>
    <w:p w14:paraId="2BF0030E"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(5) Nepageidaujamos reakcijos į lentelę buvo įtrauktos, remiantis vaistinio preparato stebėsenos rinkoje arba klinikinių tyrimų, kurių metu tadalafilis vartotas erekcijos funkcijos sutrikimui gydyti, duomenimis; be to, dažnio įvertinimas yra paremtas tik 1 ar 2 pacientais, kuriems nepageidaujama reakcija pasireiškė pagrindžiamojo placebu kontroliuojamo tadalafilio tyrimo metu.</w:t>
      </w:r>
    </w:p>
    <w:p w14:paraId="31B1ED3B"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(6) Nepageidaujama reakcija, apie kurią buvo pranešta dažniausiai, buvo galvos skausmas. Galvos skausmas gali pasireikšti gydymo pradžioje ir su laiku silpnėti net gydymą tęsiant.</w:t>
      </w:r>
    </w:p>
    <w:p w14:paraId="2EAAF7D0" w14:textId="77777777" w:rsidR="00056812" w:rsidRPr="009F10EE" w:rsidRDefault="00056812" w:rsidP="00C821FB">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96CE4D5" w14:textId="77777777" w:rsidR="008C4948" w:rsidRPr="009F10EE" w:rsidRDefault="008C4948" w:rsidP="008C4948">
      <w:pPr>
        <w:keepNext/>
        <w:keepLines/>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r w:rsidRPr="009F10EE">
        <w:rPr>
          <w:rFonts w:ascii="Times New Roman" w:eastAsia="Times New Roman" w:hAnsi="Times New Roman" w:cs="Times New Roman"/>
          <w:snapToGrid w:val="0"/>
          <w:u w:val="single"/>
        </w:rPr>
        <w:t>Pranešimas apie įtariamas nepageidaujamas reakcijas</w:t>
      </w:r>
    </w:p>
    <w:p w14:paraId="41939792" w14:textId="1F5E6F16" w:rsidR="008C4948" w:rsidRPr="009F10EE" w:rsidRDefault="008C4948" w:rsidP="008C4948">
      <w:pPr>
        <w:keepNext/>
        <w:keepLines/>
        <w:tabs>
          <w:tab w:val="left" w:pos="567"/>
        </w:tabs>
        <w:autoSpaceDE w:val="0"/>
        <w:autoSpaceDN w:val="0"/>
        <w:adjustRightInd w:val="0"/>
        <w:spacing w:after="0" w:line="260" w:lineRule="exact"/>
        <w:rPr>
          <w:rFonts w:ascii="Times New Roman" w:eastAsia="Times New Roman" w:hAnsi="Times New Roman" w:cs="Times New Roman"/>
          <w:snapToGrid w:val="0"/>
        </w:rPr>
      </w:pPr>
      <w:r w:rsidRPr="009F10EE">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w:t>
      </w:r>
      <w:r w:rsidR="00C80646" w:rsidRPr="00C80646">
        <w:rPr>
          <w:rFonts w:ascii="Times New Roman" w:eastAsia="Times New Roman" w:hAnsi="Times New Roman" w:cs="Times New Roman"/>
          <w:snapToGrid w:val="0"/>
        </w:rPr>
        <w:t xml:space="preserve">tiesiogiai užpildę pranešimo formą internetu Tarnybos Vaistinių preparatų informacinėje sistemoje </w:t>
      </w:r>
      <w:r w:rsidR="00C80646" w:rsidRPr="00C80646">
        <w:rPr>
          <w:rFonts w:ascii="Times New Roman" w:eastAsia="Times New Roman" w:hAnsi="Times New Roman" w:cs="Times New Roman"/>
          <w:snapToGrid w:val="0"/>
          <w:u w:val="single"/>
        </w:rPr>
        <w:t>https://vapris.vvkt.lt/vvkt-web/public/nrvSpecialist</w:t>
      </w:r>
      <w:r w:rsidR="00C80646" w:rsidRPr="00C80646">
        <w:rPr>
          <w:rFonts w:ascii="Times New Roman" w:eastAsia="Times New Roman" w:hAnsi="Times New Roman" w:cs="Times New Roman"/>
          <w:snapToGrid w:val="0"/>
        </w:rPr>
        <w:t xml:space="preserve"> arba užpildę Sveikatos priežiūros ar farmacijos specialisto pranešimo apie įtariamą nepageidaujamą reakciją (ĮNR) formą, kuri skelbiama </w:t>
      </w:r>
      <w:r w:rsidR="00C80646" w:rsidRPr="00C80646">
        <w:rPr>
          <w:rFonts w:ascii="Times New Roman" w:eastAsia="Times New Roman" w:hAnsi="Times New Roman" w:cs="Times New Roman"/>
          <w:snapToGrid w:val="0"/>
          <w:u w:val="single"/>
        </w:rPr>
        <w:t>https://www.vvkt.lt/index.php?1399030386</w:t>
      </w:r>
      <w:r w:rsidR="00C80646" w:rsidRPr="00C80646">
        <w:rPr>
          <w:rFonts w:ascii="Times New Roman" w:eastAsia="Times New Roman" w:hAnsi="Times New Roman" w:cs="Times New Roman"/>
          <w:snapToGrid w:val="0"/>
        </w:rPr>
        <w:t>, ir atsiųsti elektroniniu paštu (adresu NepageidaujamaR@vvkt.lt).</w:t>
      </w:r>
    </w:p>
    <w:p w14:paraId="562A8DDC"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39911840" w14:textId="77777777" w:rsidR="008C4948" w:rsidRPr="009F10EE" w:rsidRDefault="008C4948" w:rsidP="008C4948">
      <w:pPr>
        <w:tabs>
          <w:tab w:val="left" w:pos="567"/>
        </w:tabs>
        <w:spacing w:after="0" w:line="240" w:lineRule="auto"/>
        <w:rPr>
          <w:rFonts w:ascii="Times New Roman" w:eastAsia="Times New Roman" w:hAnsi="Times New Roman" w:cs="Times New Roman"/>
          <w:b/>
          <w:lang w:eastAsia="lt-LT"/>
        </w:rPr>
      </w:pPr>
      <w:r w:rsidRPr="009F10EE">
        <w:rPr>
          <w:rFonts w:ascii="Times New Roman" w:eastAsia="Times New Roman" w:hAnsi="Times New Roman" w:cs="Times New Roman"/>
          <w:b/>
          <w:lang w:eastAsia="lt-LT"/>
        </w:rPr>
        <w:t>4.9</w:t>
      </w:r>
      <w:r w:rsidRPr="009F10EE">
        <w:rPr>
          <w:rFonts w:ascii="Times New Roman" w:eastAsia="Times New Roman" w:hAnsi="Times New Roman" w:cs="Times New Roman"/>
          <w:b/>
          <w:lang w:eastAsia="lt-LT"/>
        </w:rPr>
        <w:tab/>
        <w:t>Perdozavimas</w:t>
      </w:r>
    </w:p>
    <w:p w14:paraId="0E5C153D"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DA76B4C" w14:textId="77777777" w:rsidR="008C4948" w:rsidRPr="009F10EE" w:rsidRDefault="008C4948" w:rsidP="008C4948">
      <w:pPr>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Sveiki suaugę vyrai vartojo ne didesnę kaip 500 mg vienkartinę dozę, pacientai vartojo ne didesnes kaip 100 mg kartotines paros dozes. Pastebėti nepageidaujami reiškiniai buvo tokie patys, kaip ir vartojant mažesnes dozes.</w:t>
      </w:r>
    </w:p>
    <w:p w14:paraId="1ACC2DE9" w14:textId="77777777" w:rsidR="008C4948" w:rsidRPr="009F10EE" w:rsidRDefault="008C4948" w:rsidP="008C4948">
      <w:pPr>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lang w:eastAsia="lt-LT"/>
        </w:rPr>
        <w:t>Perdozavus pagal poreikį reikia gydyti įprastinėmis palaikomosiomis priemonėmis. Hemodializė tadalafilio eliminaciją veikia nereikšmingai.</w:t>
      </w:r>
    </w:p>
    <w:p w14:paraId="2609FB51"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7FB2AB0"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29A1A118" w14:textId="77777777" w:rsidR="008C4948" w:rsidRPr="009F10EE" w:rsidRDefault="008C4948" w:rsidP="008E30EC">
      <w:pPr>
        <w:keepNext/>
        <w:tabs>
          <w:tab w:val="left" w:pos="567"/>
        </w:tabs>
        <w:spacing w:after="0" w:line="240" w:lineRule="auto"/>
        <w:outlineLvl w:val="2"/>
        <w:rPr>
          <w:rFonts w:ascii="Times New Roman" w:eastAsia="Times New Roman" w:hAnsi="Times New Roman" w:cs="Times New Roman"/>
          <w:b/>
          <w:bCs/>
        </w:rPr>
      </w:pPr>
      <w:r w:rsidRPr="009F10EE">
        <w:rPr>
          <w:rFonts w:ascii="Times New Roman" w:eastAsia="Times New Roman" w:hAnsi="Times New Roman" w:cs="Times New Roman"/>
          <w:b/>
          <w:bCs/>
        </w:rPr>
        <w:lastRenderedPageBreak/>
        <w:t>5.</w:t>
      </w:r>
      <w:r w:rsidRPr="009F10EE">
        <w:rPr>
          <w:rFonts w:ascii="Times New Roman" w:eastAsia="Times New Roman" w:hAnsi="Times New Roman" w:cs="Times New Roman"/>
          <w:b/>
          <w:bCs/>
        </w:rPr>
        <w:tab/>
        <w:t>FARMAKOLOGINĖS SAVYBĖS</w:t>
      </w:r>
    </w:p>
    <w:p w14:paraId="38ADD290" w14:textId="77777777" w:rsidR="008C4948" w:rsidRPr="009F10EE" w:rsidRDefault="008C4948" w:rsidP="007D3ACB">
      <w:pPr>
        <w:keepNext/>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7F73A4AB" w14:textId="77777777" w:rsidR="008C4948" w:rsidRPr="009F10EE" w:rsidRDefault="008C4948" w:rsidP="007D3ACB">
      <w:pPr>
        <w:keepNext/>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5.1</w:t>
      </w:r>
      <w:r w:rsidRPr="009F10EE">
        <w:rPr>
          <w:rFonts w:ascii="Times New Roman" w:eastAsia="Times New Roman" w:hAnsi="Times New Roman" w:cs="Times New Roman"/>
          <w:b/>
          <w:bCs/>
        </w:rPr>
        <w:t xml:space="preserve"> </w:t>
      </w:r>
      <w:r w:rsidRPr="009F10EE">
        <w:rPr>
          <w:rFonts w:ascii="Times New Roman" w:eastAsia="Times New Roman" w:hAnsi="Times New Roman" w:cs="Times New Roman"/>
          <w:b/>
        </w:rPr>
        <w:tab/>
        <w:t>Farmakodinaminės savybės</w:t>
      </w:r>
    </w:p>
    <w:p w14:paraId="12812378" w14:textId="77777777" w:rsidR="008C4948" w:rsidRPr="009F10EE" w:rsidRDefault="008C4948" w:rsidP="007D3ACB">
      <w:pPr>
        <w:keepNext/>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7F3A6312" w14:textId="77777777" w:rsidR="008C4948" w:rsidRPr="009F10EE" w:rsidRDefault="008C4948" w:rsidP="007D3ACB">
      <w:pPr>
        <w:keepNext/>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r w:rsidRPr="009F10EE">
        <w:rPr>
          <w:rFonts w:ascii="Times New Roman" w:eastAsia="TimesNewRomanPSMT" w:hAnsi="Times New Roman" w:cs="Times New Roman"/>
          <w:lang w:eastAsia="ar-SA"/>
        </w:rPr>
        <w:t xml:space="preserve">Farmakoterapinė grupė </w:t>
      </w:r>
      <w:r w:rsidRPr="009F10EE">
        <w:rPr>
          <w:rFonts w:ascii="Times New Roman" w:eastAsia="SymbolMT" w:hAnsi="Times New Roman" w:cs="Times New Roman"/>
          <w:lang w:eastAsia="ar-SA"/>
        </w:rPr>
        <w:t xml:space="preserve">− </w:t>
      </w:r>
      <w:r w:rsidRPr="009F10EE">
        <w:rPr>
          <w:rFonts w:ascii="Times New Roman" w:eastAsia="TimesNewRomanPSMT" w:hAnsi="Times New Roman" w:cs="Times New Roman"/>
          <w:lang w:eastAsia="ar-SA"/>
        </w:rPr>
        <w:t>urogenitalinę sistemą veikiantys vaistiniai preparatai, vaistiniai preparatai, vartojami esant erekcijos funkcijos sutrikimams, ATC kodas – G04BE08.</w:t>
      </w:r>
    </w:p>
    <w:p w14:paraId="7DF79761"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1E776F88" w14:textId="77777777" w:rsidR="008C4948" w:rsidRPr="009F10EE" w:rsidRDefault="008C4948" w:rsidP="007D3ACB">
      <w:pPr>
        <w:keepNext/>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r w:rsidRPr="009F10EE">
        <w:rPr>
          <w:rFonts w:ascii="Times New Roman" w:eastAsia="TimesNewRomanPSMT" w:hAnsi="Times New Roman" w:cs="Times New Roman"/>
          <w:u w:val="single"/>
          <w:lang w:eastAsia="ar-SA"/>
        </w:rPr>
        <w:t>Veikimo mechanizmas</w:t>
      </w:r>
    </w:p>
    <w:p w14:paraId="66FE81A8" w14:textId="77777777" w:rsidR="008C4948" w:rsidRPr="009F10EE" w:rsidRDefault="008C4948" w:rsidP="007D3ACB">
      <w:pPr>
        <w:keepNext/>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p>
    <w:p w14:paraId="4CC0EE49" w14:textId="77777777" w:rsidR="008C4948" w:rsidRPr="009F10EE" w:rsidRDefault="008C4948" w:rsidP="007D3ACB">
      <w:pPr>
        <w:keepNext/>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Tadalafilis selektyviai ir laikinai slopina cikliniam guanozino monofosfatui (cGMF) specifinę 5-ojo tipo fosfodiesterazę (FDE5). </w:t>
      </w:r>
    </w:p>
    <w:p w14:paraId="208241B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401F98C4" w14:textId="77777777" w:rsidR="008C4948" w:rsidRPr="009F10EE" w:rsidRDefault="008C4948" w:rsidP="008C4948">
      <w:pPr>
        <w:tabs>
          <w:tab w:val="left" w:pos="567"/>
        </w:tabs>
        <w:spacing w:after="0" w:line="240" w:lineRule="auto"/>
        <w:rPr>
          <w:rFonts w:ascii="Times New Roman" w:eastAsia="Times New Roman" w:hAnsi="Times New Roman" w:cs="Times New Roman"/>
          <w:i/>
          <w:lang w:eastAsia="lt-LT"/>
        </w:rPr>
      </w:pPr>
      <w:r w:rsidRPr="009F10EE">
        <w:rPr>
          <w:rFonts w:ascii="Times New Roman" w:eastAsia="Times New Roman" w:hAnsi="Times New Roman" w:cs="Times New Roman"/>
          <w:i/>
          <w:lang w:eastAsia="lt-LT"/>
        </w:rPr>
        <w:t>Erekcijos funkcijos sutrikimas</w:t>
      </w:r>
    </w:p>
    <w:p w14:paraId="17347325" w14:textId="77777777" w:rsidR="008C4948" w:rsidRPr="009F10EE" w:rsidRDefault="008C4948" w:rsidP="008C4948">
      <w:pPr>
        <w:tabs>
          <w:tab w:val="left" w:pos="567"/>
        </w:tabs>
        <w:spacing w:after="0" w:line="240" w:lineRule="auto"/>
        <w:rPr>
          <w:rFonts w:ascii="Times New Roman" w:eastAsia="Times New Roman" w:hAnsi="Times New Roman" w:cs="Times New Roman"/>
          <w:i/>
          <w:lang w:eastAsia="lt-LT"/>
        </w:rPr>
      </w:pPr>
    </w:p>
    <w:p w14:paraId="5232010C"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Tuo atveju, kai seksualinės stimuliacijos metu lokaliai išsiskiria azoto oksido, dėl tadalafilio sukelto FDE5 slopinimo akytkūnyje padidėja cGMF kiekis. Dėl to atsipalaiduoja lygieji raumenys, į varpos audinius priteka kraujo ir pasireiškia erekcija. Jeigu seksualinės stimuliacijos nėra, tadalafilis poveikio nesukelia.</w:t>
      </w:r>
    </w:p>
    <w:p w14:paraId="635F0273"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4EEDCE7E"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i/>
        </w:rPr>
      </w:pPr>
      <w:r w:rsidRPr="009F10EE">
        <w:rPr>
          <w:rFonts w:ascii="Times New Roman" w:eastAsia="Times New Roman" w:hAnsi="Times New Roman" w:cs="Times New Roman"/>
          <w:i/>
        </w:rPr>
        <w:t>Plautinė arterinė hipertenzija</w:t>
      </w:r>
    </w:p>
    <w:p w14:paraId="14179403"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i/>
        </w:rPr>
      </w:pPr>
    </w:p>
    <w:p w14:paraId="67960191"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Plautinės arterinės hipertenzijos atveju būna sutrikęs azoto oksido išsiskyrimas iš kraujagyslių endotelio, dėl to plaučių kraujagyslių lygiuosiuose raumenyse būna sumažėjusi cGMF koncentracija. FDE5 yra pagrindinė plaučių kraujagyslių fosfodiesterazė. Dėl tadalafilio sukelto FDE5 slopinimo, padidėja cGMF koncentracija, dėl to atsipalaiduoja plaučių kraujagyslių lygieji raumenys ir plaučių kraujagyslės išsiplečia.</w:t>
      </w:r>
    </w:p>
    <w:p w14:paraId="00C706A6"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6E56C227" w14:textId="77777777" w:rsidR="008C4948" w:rsidRPr="009F10EE" w:rsidRDefault="008C4948" w:rsidP="00B65F27">
      <w:pPr>
        <w:keepNext/>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r w:rsidRPr="009F10EE">
        <w:rPr>
          <w:rFonts w:ascii="Times New Roman" w:eastAsia="TimesNewRomanPSMT" w:hAnsi="Times New Roman" w:cs="Times New Roman"/>
          <w:u w:val="single"/>
          <w:lang w:eastAsia="ar-SA"/>
        </w:rPr>
        <w:t>Farmakodinaminis poveikis</w:t>
      </w:r>
    </w:p>
    <w:p w14:paraId="116346B0" w14:textId="77777777" w:rsidR="008C4948" w:rsidRPr="009F10EE" w:rsidRDefault="008C4948" w:rsidP="00B65F27">
      <w:pPr>
        <w:keepNext/>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p>
    <w:p w14:paraId="289B77F9" w14:textId="61296EFC" w:rsidR="008C4948" w:rsidRPr="009F10EE" w:rsidRDefault="008C4948" w:rsidP="00B65F27">
      <w:pPr>
        <w:keepNext/>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r w:rsidRPr="009F10EE">
        <w:rPr>
          <w:rFonts w:ascii="Times New Roman" w:eastAsia="TimesNewRomanPSMT" w:hAnsi="Times New Roman" w:cs="Times New Roman"/>
          <w:lang w:eastAsia="ar-SA"/>
        </w:rPr>
        <w:t xml:space="preserve">Tyrimais </w:t>
      </w:r>
      <w:r w:rsidRPr="009F10EE">
        <w:rPr>
          <w:rFonts w:ascii="Times New Roman" w:eastAsia="TimesNewRomanPSMT" w:hAnsi="Times New Roman" w:cs="Times New Roman"/>
          <w:i/>
          <w:iCs/>
          <w:lang w:eastAsia="ar-SA"/>
        </w:rPr>
        <w:t xml:space="preserve">in vitro </w:t>
      </w:r>
      <w:r w:rsidRPr="009F10EE">
        <w:rPr>
          <w:rFonts w:ascii="Times New Roman" w:eastAsia="TimesNewRomanPSMT" w:hAnsi="Times New Roman" w:cs="Times New Roman"/>
          <w:lang w:eastAsia="ar-SA"/>
        </w:rPr>
        <w:t>įrodyta, kad tadalafilis selektyviai slopina FDE5. FDE5 yra fermentas, kurio būna lygiuosiuose akytkūnio, kraujagyslių ir vidaus organų raumenyse, griaučių raumenyse, trombocituose, inkstuose, plaučiuose ir smegenėlėse. FDE5 tadalafilis veikia stipriau, negu kitas fosfodiesterazes. FDE5 tadalafilis veikia &gt; 10 000 kartų stipriau negu FDE1, FDE2 ir FDE4, t. y fermentus, kurių yra širdyje, smegenyse, kraujagyslėse, kepenyse ir kituose organuose. FDE5 tadalafilis veikia &gt; 10 000 kartų stipriau, negu FDE3, t.</w:t>
      </w:r>
      <w:r w:rsidR="00C63DF6" w:rsidRPr="009F10EE">
        <w:rPr>
          <w:rFonts w:ascii="Times New Roman" w:eastAsia="TimesNewRomanPSMT" w:hAnsi="Times New Roman" w:cs="Times New Roman"/>
          <w:lang w:eastAsia="ar-SA"/>
        </w:rPr>
        <w:t xml:space="preserve"> </w:t>
      </w:r>
      <w:r w:rsidRPr="009F10EE">
        <w:rPr>
          <w:rFonts w:ascii="Times New Roman" w:eastAsia="TimesNewRomanPSMT" w:hAnsi="Times New Roman" w:cs="Times New Roman"/>
          <w:lang w:eastAsia="ar-SA"/>
        </w:rPr>
        <w:t>y. fermentą, kurio yra širdyje ir kraujagyslėse. Kad FDE5 jis veikia stipriau negu FDE3, yra svarbu, nes FDE3 yra susijusi su širdies susitraukimu. Be to, FDE5 tadalafilis veikia maždaug 700 kartų stipriau, negu FDE6, t. y. fermentą, kurio yra tinklainėje ir kuris yra atsakingas už šviesos perdavimą. Taip pat FDE5 tadalafilis veikia &gt; 10 000 kartų stipriau, negu FDE7</w:t>
      </w:r>
      <w:r w:rsidRPr="009F10EE">
        <w:rPr>
          <w:rFonts w:ascii="Times New Roman" w:eastAsia="TimesNewRomanPSMT" w:hAnsi="Times New Roman" w:cs="Times New Roman"/>
          <w:lang w:eastAsia="ar-SA"/>
        </w:rPr>
        <w:noBreakHyphen/>
        <w:t>FDE10.</w:t>
      </w:r>
    </w:p>
    <w:p w14:paraId="6F566179"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5FE64CE0"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r w:rsidRPr="009F10EE">
        <w:rPr>
          <w:rFonts w:ascii="Times New Roman" w:eastAsia="TimesNewRomanPSMT" w:hAnsi="Times New Roman" w:cs="Times New Roman"/>
          <w:u w:val="single"/>
          <w:lang w:eastAsia="ar-SA"/>
        </w:rPr>
        <w:t>Klinikinis veiksmingumas ir saugumas</w:t>
      </w:r>
    </w:p>
    <w:p w14:paraId="21201933"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67737B9D" w14:textId="491606A1" w:rsidR="008C4948" w:rsidRPr="009F10EE" w:rsidDel="00E92CBB"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i/>
          <w:lang w:eastAsia="ar-SA"/>
        </w:rPr>
      </w:pPr>
      <w:r w:rsidRPr="009F10EE" w:rsidDel="00E92CBB">
        <w:rPr>
          <w:rFonts w:ascii="Times New Roman" w:eastAsia="TimesNewRomanPSMT" w:hAnsi="Times New Roman" w:cs="Times New Roman"/>
          <w:i/>
          <w:lang w:eastAsia="ar-SA"/>
        </w:rPr>
        <w:t>Erekcijos funkcijos sutrikimas</w:t>
      </w:r>
    </w:p>
    <w:p w14:paraId="545A17D1" w14:textId="7B648790"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Reakcijos į tadalafilį trukmė buvo nustatinėta trimis klinikiniais tyrimais, kuriuose dalyvavo 1 054 namuose esantys vyrai. Tadalafilis</w:t>
      </w:r>
      <w:r w:rsidR="0091366A">
        <w:rPr>
          <w:rFonts w:ascii="Times New Roman" w:eastAsia="Times New Roman" w:hAnsi="Times New Roman" w:cs="Times New Roman"/>
          <w:lang w:eastAsia="lt-LT"/>
        </w:rPr>
        <w:t xml:space="preserve">, </w:t>
      </w:r>
      <w:r w:rsidR="0091366A" w:rsidRPr="009F10EE">
        <w:rPr>
          <w:rFonts w:ascii="Times New Roman" w:eastAsia="Times New Roman" w:hAnsi="Times New Roman" w:cs="Times New Roman"/>
          <w:lang w:eastAsia="lt-LT"/>
        </w:rPr>
        <w:t xml:space="preserve">palyginti su placebu, </w:t>
      </w:r>
      <w:r w:rsidRPr="009F10EE">
        <w:rPr>
          <w:rFonts w:ascii="Times New Roman" w:eastAsia="Times New Roman" w:hAnsi="Times New Roman" w:cs="Times New Roman"/>
          <w:lang w:eastAsia="lt-LT"/>
        </w:rPr>
        <w:t>36 valandoms po dozės pavartojimo statistiškai reikšmingai pagerino erekcijos funkciją ir gebėjimą atlikti sėkmingą lytinį aktą</w:t>
      </w:r>
      <w:r w:rsidR="0091366A">
        <w:rPr>
          <w:rFonts w:ascii="Times New Roman" w:eastAsia="Times New Roman" w:hAnsi="Times New Roman" w:cs="Times New Roman"/>
          <w:lang w:eastAsia="lt-LT"/>
        </w:rPr>
        <w:t>, o p</w:t>
      </w:r>
      <w:r w:rsidRPr="009F10EE">
        <w:rPr>
          <w:rFonts w:ascii="Times New Roman" w:eastAsia="Times New Roman" w:hAnsi="Times New Roman" w:cs="Times New Roman"/>
          <w:lang w:eastAsia="lt-LT"/>
        </w:rPr>
        <w:t>raėjus 16 minučių po dozės pavartojimo pagerino gebėjimą sukelti ir palaikyti erekciją sėkmingam lytiniam aktui atlikti.</w:t>
      </w:r>
    </w:p>
    <w:p w14:paraId="1F508857" w14:textId="1AD923A9" w:rsidR="008C4948"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A1160DD" w14:textId="77777777" w:rsidR="00C1222C" w:rsidRPr="0002594F" w:rsidRDefault="00C1222C" w:rsidP="00C1222C">
      <w:pPr>
        <w:autoSpaceDE w:val="0"/>
        <w:autoSpaceDN w:val="0"/>
        <w:adjustRightInd w:val="0"/>
        <w:spacing w:after="0" w:line="240" w:lineRule="auto"/>
        <w:rPr>
          <w:rFonts w:ascii="Times New Roman" w:eastAsia="Times New Roman" w:hAnsi="Times New Roman" w:cs="Times New Roman"/>
          <w:color w:val="000000"/>
        </w:rPr>
      </w:pPr>
      <w:r w:rsidRPr="0002594F">
        <w:rPr>
          <w:rFonts w:ascii="Times New Roman" w:eastAsia="Times New Roman" w:hAnsi="Times New Roman" w:cs="Times New Roman"/>
          <w:color w:val="000000"/>
        </w:rPr>
        <w:t>Sveikiems vyrams tadalafilis, palyginti su placebu, reikšmingo sistolinio ir diastolinio kraujospūdžio pokyčio gulint (vidutinis didžiausias sumažėjimas buvo atitinkamai 1,6 mmHg ir 0,8 mmHg) ar stovint (vidutinis didžiausias sumažėjimas buvo atitinkamai 0,2 mmHg ir 4,6 mmHg) nesukėlė ir širdies susitraukimų dažnio reikšmingai nekeitė.</w:t>
      </w:r>
    </w:p>
    <w:p w14:paraId="67BDDA25" w14:textId="77777777" w:rsidR="00C1222C" w:rsidRPr="0002594F" w:rsidRDefault="00C1222C" w:rsidP="00C1222C">
      <w:pPr>
        <w:autoSpaceDE w:val="0"/>
        <w:autoSpaceDN w:val="0"/>
        <w:adjustRightInd w:val="0"/>
        <w:spacing w:after="0" w:line="240" w:lineRule="auto"/>
        <w:rPr>
          <w:rFonts w:ascii="Times New Roman" w:eastAsia="Times New Roman" w:hAnsi="Times New Roman" w:cs="Times New Roman"/>
          <w:color w:val="000000"/>
        </w:rPr>
      </w:pPr>
    </w:p>
    <w:p w14:paraId="7966B1CD" w14:textId="77777777" w:rsidR="00C1222C" w:rsidRPr="0002594F" w:rsidRDefault="00C1222C" w:rsidP="00C1222C">
      <w:pPr>
        <w:autoSpaceDE w:val="0"/>
        <w:autoSpaceDN w:val="0"/>
        <w:adjustRightInd w:val="0"/>
        <w:spacing w:after="0" w:line="240" w:lineRule="auto"/>
        <w:rPr>
          <w:rFonts w:ascii="Times New Roman" w:eastAsia="Times New Roman" w:hAnsi="Times New Roman" w:cs="Times New Roman"/>
          <w:color w:val="000000"/>
        </w:rPr>
      </w:pPr>
      <w:r w:rsidRPr="0002594F">
        <w:rPr>
          <w:rFonts w:ascii="Times New Roman" w:eastAsia="Times New Roman" w:hAnsi="Times New Roman" w:cs="Times New Roman"/>
          <w:color w:val="000000"/>
        </w:rPr>
        <w:lastRenderedPageBreak/>
        <w:t xml:space="preserve">Tiriant tadalafilio poveikį regai, nenustatyta sutrikusio spalvų (mėlynos ir žalios) skyrimo naudojant </w:t>
      </w:r>
      <w:r w:rsidRPr="0002594F">
        <w:rPr>
          <w:rFonts w:ascii="Times New Roman" w:eastAsia="Times New Roman" w:hAnsi="Times New Roman" w:cs="Times New Roman"/>
          <w:i/>
          <w:color w:val="000000"/>
        </w:rPr>
        <w:t>Farnsworth-Munsell 100-hue</w:t>
      </w:r>
      <w:r w:rsidRPr="0002594F">
        <w:rPr>
          <w:rFonts w:ascii="Times New Roman" w:eastAsia="Times New Roman" w:hAnsi="Times New Roman" w:cs="Times New Roman"/>
          <w:color w:val="000000"/>
        </w:rPr>
        <w:t xml:space="preserve"> testą. Šie duomenys atitinka mažą tadalafilio afinitetą FDE6, palyginti su FDE5. Visų klinikinių tyrimų metu spalvinio regėjimo sutrikimo dažnis buvo retas (&lt; 0,1%).</w:t>
      </w:r>
    </w:p>
    <w:p w14:paraId="73C0090B" w14:textId="77777777" w:rsidR="00C1222C" w:rsidRPr="0002594F" w:rsidRDefault="00C1222C" w:rsidP="00C1222C">
      <w:pPr>
        <w:autoSpaceDE w:val="0"/>
        <w:autoSpaceDN w:val="0"/>
        <w:adjustRightInd w:val="0"/>
        <w:spacing w:after="0" w:line="240" w:lineRule="auto"/>
        <w:rPr>
          <w:rFonts w:ascii="Times New Roman" w:eastAsia="Times New Roman" w:hAnsi="Times New Roman" w:cs="Times New Roman"/>
          <w:color w:val="000000"/>
        </w:rPr>
      </w:pPr>
    </w:p>
    <w:p w14:paraId="1739C0CC" w14:textId="7B6078F9" w:rsidR="00C1222C" w:rsidRPr="00C1222C" w:rsidRDefault="00C1222C" w:rsidP="00C1222C">
      <w:pPr>
        <w:autoSpaceDE w:val="0"/>
        <w:autoSpaceDN w:val="0"/>
        <w:adjustRightInd w:val="0"/>
        <w:spacing w:after="0" w:line="240" w:lineRule="auto"/>
        <w:rPr>
          <w:rFonts w:ascii="Times New Roman" w:eastAsia="Times New Roman" w:hAnsi="Times New Roman" w:cs="Times New Roman"/>
          <w:color w:val="000000"/>
        </w:rPr>
      </w:pPr>
      <w:r w:rsidRPr="0002594F">
        <w:rPr>
          <w:rFonts w:ascii="Times New Roman" w:eastAsia="Times New Roman" w:hAnsi="Times New Roman" w:cs="Times New Roman"/>
          <w:color w:val="000000"/>
        </w:rPr>
        <w:t>Buvo atlikti trys tyrimai, kurių metu nustatinėtas kasdien vartojamos tadalafilio 10 mg (tyrimas truko 6</w:t>
      </w:r>
      <w:r>
        <w:rPr>
          <w:rFonts w:ascii="Times New Roman" w:eastAsia="Times New Roman" w:hAnsi="Times New Roman" w:cs="Times New Roman"/>
          <w:color w:val="000000"/>
        </w:rPr>
        <w:t> </w:t>
      </w:r>
      <w:r w:rsidRPr="0002594F">
        <w:rPr>
          <w:rFonts w:ascii="Times New Roman" w:eastAsia="Times New Roman" w:hAnsi="Times New Roman" w:cs="Times New Roman"/>
          <w:color w:val="000000"/>
        </w:rPr>
        <w:t xml:space="preserve">mėn.) arba 20 mg (vienas tyrimas truko 6 mėn., kitas − 9 mėn.) dozės poveikis vyrų spermatogenezei. Dviejų iš šių tyrimų metu pasireiškė nuo tadalafilio vartojimo priklausomas spermos kiekio ir koncentracijos sumažėjimas, kurio klinikinė svarba nėra tikėtina. Su kitų parametrų, pvz., judrumo, morfologijos ar FSH kiekio, pokyčiais minėtas poveikis nebuvo susijęs. </w:t>
      </w:r>
    </w:p>
    <w:p w14:paraId="047365B4" w14:textId="77777777" w:rsidR="00C1222C" w:rsidRPr="009F10EE" w:rsidRDefault="00C1222C"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F8B3C28" w14:textId="77777777" w:rsidR="008C4948" w:rsidRPr="009F10EE" w:rsidRDefault="008C4948" w:rsidP="008C4948">
      <w:pPr>
        <w:tabs>
          <w:tab w:val="left" w:pos="567"/>
        </w:tabs>
        <w:autoSpaceDE w:val="0"/>
        <w:autoSpaceDN w:val="0"/>
        <w:adjustRightInd w:val="0"/>
        <w:spacing w:after="0" w:line="240" w:lineRule="auto"/>
        <w:rPr>
          <w:rFonts w:ascii="Times New Roman" w:eastAsia="SymbolMT" w:hAnsi="Times New Roman" w:cs="Times New Roman"/>
          <w:lang w:eastAsia="lt-LT"/>
        </w:rPr>
      </w:pPr>
      <w:r w:rsidRPr="009F10EE">
        <w:rPr>
          <w:rFonts w:ascii="Times New Roman" w:eastAsia="TimesNewRomanPSMT" w:hAnsi="Times New Roman" w:cs="Times New Roman"/>
          <w:lang w:eastAsia="lt-LT"/>
        </w:rPr>
        <w:t>Tadalafilio, vartojamo nuo 2 iki 100 mg dozėmis, veiksmingumas buvo vertintas 16 klinikinių tyrimų, kuriuose dalyvavo 3250 pacientų, įskaitant įvairaus amžiaus (21-82 metų) ir etninių grupių pacientus, kuriems buvo įvairaus sunkumo (lengvas, vidutinio sunkumo arba sunkus) ir įvairių priežasčių sukeltas erekcijos funkcijos sutrikimas. Dauguma pacientų erekcijos funkcijos sutrikimu skundėsi mažiausiai metus. Pirminio veiksmingumo tyrimų bendroje populiacijoje metu 81</w:t>
      </w:r>
      <w:r w:rsidRPr="009F10EE">
        <w:rPr>
          <w:rFonts w:ascii="Times New Roman" w:eastAsia="SymbolMT" w:hAnsi="Times New Roman" w:cs="Times New Roman"/>
          <w:lang w:eastAsia="lt-LT"/>
        </w:rPr>
        <w:t xml:space="preserve">% pacientų pranešė, kad tadalafilis pagerino erekcija, palyginti su </w:t>
      </w:r>
      <w:r w:rsidRPr="009F10EE">
        <w:rPr>
          <w:rFonts w:ascii="Times New Roman" w:eastAsia="TimesNewRomanPSMT" w:hAnsi="Times New Roman" w:cs="Times New Roman"/>
          <w:lang w:eastAsia="lt-LT"/>
        </w:rPr>
        <w:t>35</w:t>
      </w:r>
      <w:r w:rsidRPr="009F10EE">
        <w:rPr>
          <w:rFonts w:ascii="Times New Roman" w:eastAsia="SymbolMT" w:hAnsi="Times New Roman" w:cs="Times New Roman"/>
          <w:lang w:eastAsia="lt-LT"/>
        </w:rPr>
        <w:t>% pacientų, kurie vartojo placebo. Be to, pacientai, kuriems buvo visų sunkumo kategorijų erekcijos funkcijos sutrikimų, pranešė apie erekcijos pagerėjimą tadalafilio vartojimo metu (atitinkamai ,</w:t>
      </w:r>
      <w:r w:rsidRPr="009F10EE">
        <w:rPr>
          <w:rFonts w:ascii="Times New Roman" w:eastAsia="TimesNewRomanPSMT" w:hAnsi="Times New Roman" w:cs="Times New Roman"/>
          <w:lang w:eastAsia="lt-LT"/>
        </w:rPr>
        <w:t xml:space="preserve"> 86</w:t>
      </w:r>
      <w:r w:rsidRPr="009F10EE">
        <w:rPr>
          <w:rFonts w:ascii="Times New Roman" w:eastAsia="SymbolMT" w:hAnsi="Times New Roman" w:cs="Times New Roman"/>
          <w:lang w:eastAsia="lt-LT"/>
        </w:rPr>
        <w:t xml:space="preserve">%, </w:t>
      </w:r>
      <w:r w:rsidRPr="009F10EE">
        <w:rPr>
          <w:rFonts w:ascii="Times New Roman" w:eastAsia="TimesNewRomanPSMT" w:hAnsi="Times New Roman" w:cs="Times New Roman"/>
          <w:lang w:eastAsia="lt-LT"/>
        </w:rPr>
        <w:t>83</w:t>
      </w:r>
      <w:r w:rsidRPr="009F10EE">
        <w:rPr>
          <w:rFonts w:ascii="Times New Roman" w:eastAsia="SymbolMT" w:hAnsi="Times New Roman" w:cs="Times New Roman"/>
          <w:lang w:eastAsia="lt-LT"/>
        </w:rPr>
        <w:t xml:space="preserve">% ir 72% lengvo, vidutinio ir sunkaus sutrikimo atveju, palyginti su </w:t>
      </w:r>
      <w:r w:rsidRPr="009F10EE">
        <w:rPr>
          <w:rFonts w:ascii="Times New Roman" w:eastAsia="TimesNewRomanPSMT" w:hAnsi="Times New Roman" w:cs="Times New Roman"/>
          <w:lang w:eastAsia="lt-LT"/>
        </w:rPr>
        <w:t>45</w:t>
      </w:r>
      <w:r w:rsidRPr="009F10EE">
        <w:rPr>
          <w:rFonts w:ascii="Times New Roman" w:eastAsia="SymbolMT" w:hAnsi="Times New Roman" w:cs="Times New Roman"/>
          <w:lang w:eastAsia="lt-LT"/>
        </w:rPr>
        <w:t xml:space="preserve">%, </w:t>
      </w:r>
      <w:r w:rsidRPr="009F10EE">
        <w:rPr>
          <w:rFonts w:ascii="Times New Roman" w:eastAsia="TimesNewRomanPSMT" w:hAnsi="Times New Roman" w:cs="Times New Roman"/>
          <w:lang w:eastAsia="lt-LT"/>
        </w:rPr>
        <w:t>42</w:t>
      </w:r>
      <w:r w:rsidRPr="009F10EE">
        <w:rPr>
          <w:rFonts w:ascii="Times New Roman" w:eastAsia="SymbolMT" w:hAnsi="Times New Roman" w:cs="Times New Roman"/>
          <w:lang w:eastAsia="lt-LT"/>
        </w:rPr>
        <w:t>% ir 19% placebo vartojimo atveju). P</w:t>
      </w:r>
      <w:r w:rsidRPr="009F10EE">
        <w:rPr>
          <w:rFonts w:ascii="Times New Roman" w:eastAsia="TimesNewRomanPSMT" w:hAnsi="Times New Roman" w:cs="Times New Roman"/>
          <w:lang w:eastAsia="lt-LT"/>
        </w:rPr>
        <w:t>irminio veiksmingumo tyrimų duomenimis, tadalafiliu gydomiems pacientams 75</w:t>
      </w:r>
      <w:r w:rsidRPr="009F10EE">
        <w:rPr>
          <w:rFonts w:ascii="Times New Roman" w:eastAsia="SymbolMT" w:hAnsi="Times New Roman" w:cs="Times New Roman"/>
          <w:lang w:eastAsia="lt-LT"/>
        </w:rPr>
        <w:t xml:space="preserve">% mėginimų atlikti lytinį aktą buvo sėkmingi, palyginus su </w:t>
      </w:r>
      <w:r w:rsidRPr="009F10EE">
        <w:rPr>
          <w:rFonts w:ascii="Times New Roman" w:eastAsia="TimesNewRomanPSMT" w:hAnsi="Times New Roman" w:cs="Times New Roman"/>
          <w:lang w:eastAsia="lt-LT"/>
        </w:rPr>
        <w:t>35</w:t>
      </w:r>
      <w:r w:rsidRPr="009F10EE">
        <w:rPr>
          <w:rFonts w:ascii="Times New Roman" w:eastAsia="SymbolMT" w:hAnsi="Times New Roman" w:cs="Times New Roman"/>
          <w:lang w:eastAsia="lt-LT"/>
        </w:rPr>
        <w:t xml:space="preserve">% placebo grupėje. </w:t>
      </w:r>
    </w:p>
    <w:p w14:paraId="4B8FC07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4D791D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12 savaičių trukmės tyrime, kuriame dalyvavo 186 pacientai (142 vartojo tadalafilio, 44 – placebo), sergančių antrine nugaros smegenų pažeidimo sukelta erekcijos disfunkcija, tadalafilis reikšmingai pagerino erekcijos funkciją: sėkmingai lytinį aktą atliko 48% pacientų, gydytų 10 mg arba 20 mg tadalafilio doze (dozuojant pasirinktinai pagal poreikį), palyginti su 17% vartojant placebo.</w:t>
      </w:r>
    </w:p>
    <w:p w14:paraId="3D029B34"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2808F947" w14:textId="4999ED59" w:rsidR="008C4948" w:rsidRPr="009F10EE" w:rsidRDefault="00056812" w:rsidP="00B65F27">
      <w:pPr>
        <w:keepNext/>
        <w:autoSpaceDE w:val="0"/>
        <w:autoSpaceDN w:val="0"/>
        <w:adjustRightInd w:val="0"/>
        <w:spacing w:after="0" w:line="240" w:lineRule="auto"/>
        <w:rPr>
          <w:rFonts w:ascii="Times New Roman" w:eastAsia="Times New Roman" w:hAnsi="Times New Roman" w:cs="Times New Roman"/>
          <w:i/>
          <w:iCs/>
        </w:rPr>
      </w:pPr>
      <w:r w:rsidRPr="00056812">
        <w:rPr>
          <w:rFonts w:ascii="Times New Roman" w:eastAsia="Times New Roman" w:hAnsi="Times New Roman" w:cs="Times New Roman"/>
          <w:i/>
          <w:iCs/>
        </w:rPr>
        <w:t xml:space="preserve">Suaugusiųjų plautinė arterinė </w:t>
      </w:r>
      <w:r w:rsidR="008C4948" w:rsidRPr="009F10EE">
        <w:rPr>
          <w:rFonts w:ascii="Times New Roman" w:eastAsia="Times New Roman" w:hAnsi="Times New Roman" w:cs="Times New Roman"/>
          <w:i/>
          <w:iCs/>
        </w:rPr>
        <w:t>hipertenzija (PAH)</w:t>
      </w:r>
    </w:p>
    <w:p w14:paraId="7B4FD508" w14:textId="77777777" w:rsidR="008C4948" w:rsidRPr="009F10EE" w:rsidRDefault="008C4948" w:rsidP="00B65F27">
      <w:pPr>
        <w:keepNext/>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Buvo atliktas dvigubai koduotas atsitiktinių imčių placebu kontroliuojamasis tyrimas, kuriame dalyvavo 405 pacientai, kuriems diagnozuota plautinė arterinė hipertenzija. Buvo galima taikyti bazinį gydymą, įskaitant gydymą bozentanu (pastovią palaikomąją dozę iki 125 mg du kartus per parą) ir taikyti ilgalaikį gydymą antikoaguliantais, digoksinu, diuretikais ir deguonimi. Daugiau nei pusė (53,3%) pacientų kartu buvo gydyti bozentanu.</w:t>
      </w:r>
    </w:p>
    <w:p w14:paraId="40AC959B"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p>
    <w:p w14:paraId="37F44555"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Pacientai atsitiktiniu būdu buvo priskirti vienai iš penkių gydymo grupių (2,5 mg, 10 mg, 20 mg, 40 mg tadalafilio arba placebo). Pacientai buvo ne jaunesni kaip 12 metų ir jiems buvo diagnozuota PAH, kuri buvo idiopatinė arba susijusi su kolagenoze, apetitą mažinančių vaistinių preparatų vartojimu, žmogaus imunodeficito viruso (ŽIV) infekcija, prieširdžių pertvaros defektu ar ne anksčiau kaip po vienerių metų po chirurginės įgimto sisteminės plautinės kraujotakos šunto koregavimo operacijos (pavyzdžiui, skilvelių pertvaros defekto, atviro arterinio latako). Vidutinis visų pacientų amžius buvo 54 metai (nuo 14 iki 90 metų), daugumą iš jų sudarė europidai (80,5%) ir moterys (78,3%). Pagal etiologiją, plautinė arterinė hipertenzija (PAH) dažniausiai buvo idiopatinė PAH (61,0%) arba susijusi su kolageno (kraujagyslių) liga (23,5%). Daugumai pacientų pagal Pasaulinės sveikatos organizacijos (PSO) klasifikaciją diagnozuota III (65,2%) arba II (32,1%) funkcinės klasės sutrikimas. Prieš pradedant tyrimą, vidutinis 6 minučių ėjimo mėginio (6MĖM) atstumas buvo 343,6 metrai.</w:t>
      </w:r>
    </w:p>
    <w:p w14:paraId="3114A88B"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p>
    <w:p w14:paraId="0092AE19"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 xml:space="preserve">Pagrindinė veiksmingumo vertinamoji baigtis buvo 6 minučių ėjimo mėginio (6MĖM) atstumo pokytis 16-tą savaitę, palyginti su pradiniu atstumu. Tik vartojant 40 mg tadalafilio dozę, buvo pasiektas pagal protokolą numatyto reikšmingumo vidutinis 6MĖM pailgėjimas (koreguotas atsižvelgiant į placebo poveikį) 26 metrais (p = 0,0004; 95% PI: 9,5, 44,0; prieš tyrimą numatytu </w:t>
      </w:r>
      <w:r w:rsidRPr="009F10EE">
        <w:rPr>
          <w:rFonts w:ascii="Times New Roman" w:hAnsi="Times New Roman" w:cs="Times New Roman"/>
        </w:rPr>
        <w:t>Hodges-Lehman</w:t>
      </w:r>
      <w:r w:rsidRPr="009F10EE">
        <w:rPr>
          <w:rFonts w:ascii="Times New Roman" w:eastAsia="Times New Roman" w:hAnsi="Times New Roman" w:cs="Times New Roman"/>
        </w:rPr>
        <w:t xml:space="preserve"> metodu) lygis (vidutiniškai 33 metrai, 95% PI: 15,2, 50,3). Ėjimo atstumas pradėjo ilgėti nuo 8 gydymo savaitės. Reikšmingas 6MĖM pailgėjimas (p &lt; 0,01) nustatytas 12-tą savaitę, kai pacientų buvo paprašyta išgerti tiriamąjį vaistinį preparatą vėliau, kad būtų atspindima veikliosios medžiagos koncentracija. Pogrupiuose pagal amžių, lytį, PAH etiologiją ir pradinę funkcinę klasę pagal PSO klasifikaciją bei 6MĖM tyrimo </w:t>
      </w:r>
      <w:r w:rsidRPr="009F10EE">
        <w:rPr>
          <w:rFonts w:ascii="Times New Roman" w:eastAsia="Times New Roman" w:hAnsi="Times New Roman" w:cs="Times New Roman"/>
        </w:rPr>
        <w:lastRenderedPageBreak/>
        <w:t xml:space="preserve">duomenys dažniausiai atitiko. Placebu koreguotas vidutinis 6 MĖM pailgėjimas buvo 17 metrų (p = 0,09; 95% PI: : -7,1, 43,0; prieš tyrimą numatytu </w:t>
      </w:r>
      <w:r w:rsidRPr="009F10EE">
        <w:rPr>
          <w:rFonts w:ascii="Times New Roman" w:hAnsi="Times New Roman" w:cs="Times New Roman"/>
        </w:rPr>
        <w:t>Hodges-Lehman</w:t>
      </w:r>
      <w:r w:rsidRPr="009F10EE">
        <w:rPr>
          <w:rFonts w:ascii="Times New Roman" w:eastAsia="Times New Roman" w:hAnsi="Times New Roman" w:cs="Times New Roman"/>
        </w:rPr>
        <w:t xml:space="preserve"> metodu) (vidutiniškai 23 metrai, 95% PI; -2,4, 47,8) pacientams, kurie vartojo 40 mg tadalafilio papildomai kartu su bozentanu (n = 39) ir 39 metrai (p &lt; 0,01, 95% PI:13,0, 66,0; prieš tyrimą numatytu </w:t>
      </w:r>
      <w:r w:rsidRPr="009F10EE">
        <w:rPr>
          <w:rFonts w:ascii="Times New Roman" w:hAnsi="Times New Roman" w:cs="Times New Roman"/>
        </w:rPr>
        <w:t>Hodges-Lehman</w:t>
      </w:r>
      <w:r w:rsidRPr="009F10EE">
        <w:rPr>
          <w:rFonts w:ascii="Times New Roman" w:eastAsia="Times New Roman" w:hAnsi="Times New Roman" w:cs="Times New Roman"/>
        </w:rPr>
        <w:t xml:space="preserve"> metodu) (vidutiniškai 44 metrai, 95% PI: 19,7, 69,0) pacientams, kurie vartojo vieno tadalafilio 40 mg dozę (n = 37).</w:t>
      </w:r>
    </w:p>
    <w:p w14:paraId="162DA125"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p>
    <w:p w14:paraId="24072900" w14:textId="51BB35D0" w:rsidR="00056812" w:rsidRPr="007D3ACB" w:rsidRDefault="008C4948">
      <w:pPr>
        <w:autoSpaceDE w:val="0"/>
        <w:autoSpaceDN w:val="0"/>
        <w:adjustRightInd w:val="0"/>
        <w:spacing w:after="0" w:line="240" w:lineRule="auto"/>
        <w:rPr>
          <w:rFonts w:ascii="Times New Roman" w:eastAsia="Times New Roman" w:hAnsi="Times New Roman" w:cs="Times New Roman"/>
          <w:color w:val="000000"/>
          <w:u w:val="single"/>
        </w:rPr>
      </w:pPr>
      <w:r w:rsidRPr="009F10EE">
        <w:rPr>
          <w:rFonts w:ascii="Times New Roman" w:eastAsia="Times New Roman" w:hAnsi="Times New Roman" w:cs="Times New Roman"/>
        </w:rPr>
        <w:t xml:space="preserve">Funkcinė klasė pagal PSO klasifikaciją 16-tą savaitę pagerėjo panašiai daliai 40 mg tadalafilio dozę ir placebo grupės pacientų (23%, palyginti su 21%). Klinikinės būklės pasunkėjimo 16-tą savaitę dažnis pacientų, vartojusių 40 mg tadalafilio, buvo mažesnis (5%; 4 iš 79 pacientų) nei placebo grupėje (16%; 13 iš 82 pacientų). Pokytis pagal </w:t>
      </w:r>
      <w:r w:rsidRPr="009F10EE">
        <w:rPr>
          <w:rFonts w:ascii="Times New Roman" w:hAnsi="Times New Roman" w:cs="Times New Roman"/>
        </w:rPr>
        <w:t>Borg</w:t>
      </w:r>
      <w:r w:rsidRPr="009F10EE">
        <w:rPr>
          <w:rFonts w:ascii="Times New Roman" w:eastAsia="Times New Roman" w:hAnsi="Times New Roman" w:cs="Times New Roman"/>
        </w:rPr>
        <w:t xml:space="preserve"> dusulio skalę buvo mažas ir nereikšmingas ir placebo, ir 40 mg tadalafilio grupėje.</w:t>
      </w:r>
    </w:p>
    <w:p w14:paraId="5D95907A" w14:textId="57DF131D" w:rsidR="008C4948" w:rsidRPr="007D3ACB" w:rsidRDefault="008C4948">
      <w:pPr>
        <w:tabs>
          <w:tab w:val="left" w:pos="567"/>
        </w:tabs>
        <w:spacing w:after="0" w:line="240" w:lineRule="auto"/>
        <w:rPr>
          <w:rFonts w:ascii="Times New Roman" w:eastAsia="Times New Roman" w:hAnsi="Times New Roman" w:cs="Times New Roman"/>
          <w:u w:val="single"/>
          <w:lang w:eastAsia="lt-LT"/>
        </w:rPr>
      </w:pPr>
    </w:p>
    <w:p w14:paraId="6354027A" w14:textId="77777777" w:rsidR="00C4453E" w:rsidRDefault="008C4948" w:rsidP="006D727D">
      <w:pPr>
        <w:tabs>
          <w:tab w:val="left" w:pos="567"/>
        </w:tabs>
        <w:overflowPunct w:val="0"/>
        <w:autoSpaceDE w:val="0"/>
        <w:autoSpaceDN w:val="0"/>
        <w:adjustRightInd w:val="0"/>
        <w:spacing w:after="0" w:line="240" w:lineRule="auto"/>
        <w:rPr>
          <w:rFonts w:ascii="Times New Roman" w:eastAsia="TimesNewRomanPSMT" w:hAnsi="Times New Roman" w:cs="Times New Roman"/>
          <w:u w:val="single"/>
          <w:lang w:eastAsia="ar-SA"/>
        </w:rPr>
      </w:pPr>
      <w:r w:rsidRPr="007D3ACB">
        <w:rPr>
          <w:rFonts w:ascii="Times New Roman" w:eastAsia="TimesNewRomanPSMT" w:hAnsi="Times New Roman" w:cs="Times New Roman"/>
          <w:u w:val="single"/>
          <w:lang w:eastAsia="ar-SA"/>
        </w:rPr>
        <w:t>Vaikų populiacija</w:t>
      </w:r>
    </w:p>
    <w:p w14:paraId="6AD31910" w14:textId="3F52B76F" w:rsidR="008C4948" w:rsidRPr="009F10EE" w:rsidRDefault="008C4948" w:rsidP="006D727D">
      <w:pPr>
        <w:tabs>
          <w:tab w:val="left" w:pos="567"/>
        </w:tabs>
        <w:overflowPunct w:val="0"/>
        <w:autoSpaceDE w:val="0"/>
        <w:autoSpaceDN w:val="0"/>
        <w:adjustRightInd w:val="0"/>
        <w:spacing w:after="0" w:line="240" w:lineRule="auto"/>
        <w:rPr>
          <w:rFonts w:ascii="Times New Roman" w:hAnsi="Times New Roman" w:cs="Times New Roman"/>
        </w:rPr>
      </w:pPr>
      <w:r w:rsidRPr="004712C0">
        <w:rPr>
          <w:rFonts w:ascii="Times New Roman" w:hAnsi="Times New Roman" w:cs="Times New Roman"/>
          <w:iCs/>
        </w:rPr>
        <w:t>Buvo atliktas vienas tyrimas su pacientais vaikais, sergančiais Diušeno raumenų distrofija (DMD), kurio</w:t>
      </w:r>
      <w:r w:rsidRPr="009F10EE">
        <w:rPr>
          <w:rFonts w:ascii="Times New Roman" w:hAnsi="Times New Roman" w:cs="Times New Roman"/>
          <w:iCs/>
        </w:rPr>
        <w:t xml:space="preserve"> metu veiksmingumo įrodymų gauta nebuvo. Atsitiktinės imties</w:t>
      </w:r>
      <w:r w:rsidRPr="009F10EE">
        <w:rPr>
          <w:rFonts w:ascii="Times New Roman" w:hAnsi="Times New Roman" w:cs="Times New Roman"/>
        </w:rPr>
        <w:t xml:space="preserve">, dvigubai aklame, placebu kontroliuojamame, lygiagrečiame, 3 atšakų tadalafilio tyrime dalyvavo 331 berniukas nuo 7 iki 14 metų amžiaus, sergantys DMD, kuriems tuo pat metu buvo taikomas gydymas kortikosteroidais. Tyrimą sudarė 48 savaičių dvigubai aklas laikotarpis, kurio metu atsitiktinės imties principu atrinkti pacientai kasdien vartojo 0,3 mg/kg tadalafilio, 0,6 mg/kg tadalafilio arba placebą. Nenustatytas tadalafilio veiksmingumas lėtinant funkcinės būklės prastėjimą, išmatuotą pagal pirminį 6 minučių ėjimo atstumą (6MWD) ribiniame taškę: mažiausių kvadratų (MK) vidutinis 6MWD pokytis po 48 savaičių buvo – 51,0 metras (m) placebo grupėje, lyginant su </w:t>
      </w:r>
      <w:r w:rsidRPr="009F10EE">
        <w:rPr>
          <w:rFonts w:ascii="Times New Roman" w:hAnsi="Times New Roman" w:cs="Times New Roman"/>
        </w:rPr>
        <w:noBreakHyphen/>
        <w:t xml:space="preserve">64,7 m tadalafilio 0,3 mg/kg grupe (p = 0,307) ir </w:t>
      </w:r>
      <w:r w:rsidRPr="009F10EE">
        <w:rPr>
          <w:rFonts w:ascii="Times New Roman" w:hAnsi="Times New Roman" w:cs="Times New Roman"/>
        </w:rPr>
        <w:noBreakHyphen/>
        <w:t>59,1 m tadalafilio 0,6 mg/kg grupėje (p = 0,538). Be to, nebuvo gauta jokių šio tyrimo metu atliktų antrinių tyrimų veiksmingumo įrodymų. Paprastai bendri šio tyrimo saugos rezultatai atitiko žinomas tadalafilio saugos charakteristikas ir nepageidaujamas reakcijas (NR), kurių tikimasi kortikosteroidus vartojančių vaikų, sergančių DMD, populiacijoje.</w:t>
      </w:r>
    </w:p>
    <w:p w14:paraId="3F7571B9" w14:textId="77777777" w:rsidR="008C4948" w:rsidRPr="009F10EE" w:rsidRDefault="008C4948" w:rsidP="008C4948">
      <w:pPr>
        <w:keepNext/>
        <w:keepLines/>
        <w:tabs>
          <w:tab w:val="left" w:pos="567"/>
        </w:tabs>
        <w:overflowPunct w:val="0"/>
        <w:autoSpaceDE w:val="0"/>
        <w:autoSpaceDN w:val="0"/>
        <w:adjustRightInd w:val="0"/>
        <w:spacing w:after="0" w:line="240" w:lineRule="auto"/>
        <w:rPr>
          <w:rFonts w:ascii="Times New Roman" w:hAnsi="Times New Roman" w:cs="Times New Roman"/>
        </w:rPr>
      </w:pPr>
    </w:p>
    <w:p w14:paraId="1798AA3D" w14:textId="77777777" w:rsidR="008C4948" w:rsidRPr="009F10EE" w:rsidRDefault="008C4948" w:rsidP="008C4948">
      <w:pPr>
        <w:keepNext/>
        <w:keepLines/>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r w:rsidRPr="009F10EE">
        <w:rPr>
          <w:rFonts w:ascii="Times New Roman" w:eastAsia="TimesNewRomanPSMT" w:hAnsi="Times New Roman" w:cs="Times New Roman"/>
          <w:lang w:eastAsia="ar-SA"/>
        </w:rPr>
        <w:t>Europos vaistų agentūra atleido nuo įpareigojimo pateikti erekcijos funkcijos sutrikimo gydymo tyrimų su visais vaikų populiacijos pogrupiais duomenis ir plautinės arterinės hipertenzijos gydymo tyrimų su vienu ar daugiau vaikų populiacijos pogrupių duomenis (vartojimo vaikams informacija pateikiama 4.2 skyriuje).</w:t>
      </w:r>
    </w:p>
    <w:p w14:paraId="56C7AC71"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NewRomanPSMT" w:hAnsi="Times New Roman" w:cs="Times New Roman"/>
          <w:lang w:eastAsia="ar-SA"/>
        </w:rPr>
      </w:pPr>
    </w:p>
    <w:p w14:paraId="452F536D"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5.2</w:t>
      </w:r>
      <w:r w:rsidRPr="009F10EE">
        <w:rPr>
          <w:rFonts w:ascii="Times New Roman" w:eastAsia="Times New Roman" w:hAnsi="Times New Roman" w:cs="Times New Roman"/>
          <w:b/>
        </w:rPr>
        <w:tab/>
        <w:t>Farmakokinetinės savybės</w:t>
      </w:r>
    </w:p>
    <w:p w14:paraId="43A05769"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794636AD"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Absorbcija</w:t>
      </w:r>
    </w:p>
    <w:p w14:paraId="15AC7B65"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14:paraId="15067E94"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F10EE">
        <w:rPr>
          <w:rFonts w:ascii="Times New Roman" w:eastAsia="TimesNewRomanPSMT" w:hAnsi="Times New Roman" w:cs="Times New Roman"/>
          <w:lang w:eastAsia="lt-LT"/>
        </w:rPr>
        <w:t>Išgertas tadalafilis absorbuojamas lengvai, vidutinė didžiausia koncentracija (</w:t>
      </w:r>
      <w:r w:rsidRPr="009F10EE">
        <w:rPr>
          <w:rFonts w:ascii="Times New Roman" w:eastAsia="Times New Roman" w:hAnsi="Times New Roman" w:cs="Times New Roman"/>
          <w:iCs/>
          <w:lang w:eastAsia="lt-LT"/>
        </w:rPr>
        <w:t>C</w:t>
      </w:r>
      <w:r w:rsidRPr="009F10EE">
        <w:rPr>
          <w:rFonts w:ascii="Times New Roman" w:eastAsia="Times New Roman" w:hAnsi="Times New Roman" w:cs="Times New Roman"/>
          <w:iCs/>
          <w:vertAlign w:val="subscript"/>
          <w:lang w:eastAsia="lt-LT"/>
        </w:rPr>
        <w:t>max</w:t>
      </w:r>
      <w:r w:rsidRPr="009F10EE">
        <w:rPr>
          <w:rFonts w:ascii="Times New Roman" w:eastAsia="Times New Roman" w:hAnsi="Times New Roman" w:cs="Times New Roman"/>
          <w:lang w:eastAsia="lt-LT"/>
        </w:rPr>
        <w:t xml:space="preserve">) kraujo plazmoje atsiranda vidutiniškai po 2 val. </w:t>
      </w:r>
      <w:r w:rsidRPr="009F10EE">
        <w:rPr>
          <w:rFonts w:ascii="Times New Roman" w:eastAsia="TimesNewRomanPSMT" w:hAnsi="Times New Roman" w:cs="Times New Roman"/>
          <w:lang w:eastAsia="lt-LT"/>
        </w:rPr>
        <w:t xml:space="preserve">Vartojamo per burną tadalafilio </w:t>
      </w:r>
      <w:r w:rsidRPr="009F10EE">
        <w:rPr>
          <w:rFonts w:ascii="Times New Roman" w:eastAsia="Times New Roman" w:hAnsi="Times New Roman" w:cs="Times New Roman"/>
          <w:lang w:eastAsia="lt-LT"/>
        </w:rPr>
        <w:t>absoliutus biologinis prieinamumas nenustatytas.</w:t>
      </w:r>
    </w:p>
    <w:p w14:paraId="35329FAD"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72247441" w14:textId="5AB19A45"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Maistas tadalafilio ab</w:t>
      </w:r>
      <w:r w:rsidRPr="009F10EE">
        <w:rPr>
          <w:rFonts w:ascii="Times New Roman" w:eastAsia="TimesNewRomanPSMT" w:hAnsi="Times New Roman" w:cs="Times New Roman"/>
          <w:lang w:eastAsia="lt-LT"/>
        </w:rPr>
        <w:t xml:space="preserve">sorbcijos greičiui ir apimčiai įtakos nedaro, todėl </w:t>
      </w:r>
      <w:r w:rsidRPr="009F10EE">
        <w:rPr>
          <w:rFonts w:ascii="Times New Roman" w:eastAsia="Times New Roman" w:hAnsi="Times New Roman" w:cs="Times New Roman"/>
          <w:lang w:eastAsia="lt-LT"/>
        </w:rPr>
        <w:t xml:space="preserve">tadalafilio galima vartoti valgio metu arba nevalgius. Vartojimo laikas (ryte ar vakare) kliniškai reikšmingo poveikio absorbcijos </w:t>
      </w:r>
      <w:r w:rsidRPr="009F10EE">
        <w:rPr>
          <w:rFonts w:ascii="Times New Roman" w:eastAsia="TimesNewRomanPSMT" w:hAnsi="Times New Roman" w:cs="Times New Roman"/>
          <w:lang w:eastAsia="lt-LT"/>
        </w:rPr>
        <w:t>greičiui ir apimčiai nedaro.</w:t>
      </w:r>
    </w:p>
    <w:p w14:paraId="7B8CDB9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65D14B54"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Pasiskirstymas</w:t>
      </w:r>
    </w:p>
    <w:p w14:paraId="2943D220"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14:paraId="29E0CBBA"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Vidutinis pasiskirstymo tūris yra ma</w:t>
      </w:r>
      <w:r w:rsidRPr="009F10EE">
        <w:rPr>
          <w:rFonts w:ascii="Times New Roman" w:eastAsia="Times New Roman" w:hAnsi="Times New Roman" w:cs="Times New Roman"/>
          <w:lang w:eastAsia="lt-LT"/>
        </w:rPr>
        <w:t>ždaug 63 l. Tai rodo, kad tadalafilis pasiskirsto audiniuose. Esant gydomajai koncentracijai</w:t>
      </w:r>
      <w:r w:rsidRPr="009F10EE">
        <w:rPr>
          <w:rFonts w:ascii="Times New Roman" w:eastAsia="TimesNewRomanPSMT" w:hAnsi="Times New Roman" w:cs="Times New Roman"/>
          <w:lang w:eastAsia="lt-LT"/>
        </w:rPr>
        <w:t>, 94% tadalafilio būna junginių su kraujo plazmos baltymais pavidalu. Inkstų funkcijos sutrikimas prisijungimui prie baltymų įtakos nedaro.</w:t>
      </w:r>
    </w:p>
    <w:p w14:paraId="2FF45798"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 New Roman" w:hAnsi="Times New Roman" w:cs="Times New Roman"/>
          <w:lang w:eastAsia="lt-LT"/>
        </w:rPr>
        <w:t>Mažiau kaip 0,0005</w:t>
      </w:r>
      <w:r w:rsidRPr="009F10EE">
        <w:rPr>
          <w:rFonts w:ascii="Times New Roman" w:eastAsia="TimesNewRomanPSMT" w:hAnsi="Times New Roman" w:cs="Times New Roman"/>
          <w:lang w:eastAsia="lt-LT"/>
        </w:rPr>
        <w:t>% pavartotos dozės patenka į sveikų vyrų spermą.</w:t>
      </w:r>
    </w:p>
    <w:p w14:paraId="4BD11E76"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308A7035" w14:textId="77777777" w:rsidR="008C4948" w:rsidRPr="009F10EE" w:rsidRDefault="008C4948" w:rsidP="00C4453E">
      <w:pPr>
        <w:keepNext/>
        <w:widowControl w:val="0"/>
        <w:tabs>
          <w:tab w:val="left" w:pos="567"/>
        </w:tabs>
        <w:overflowPunct w:val="0"/>
        <w:autoSpaceDE w:val="0"/>
        <w:autoSpaceDN w:val="0"/>
        <w:adjustRightInd w:val="0"/>
        <w:spacing w:after="0" w:line="240" w:lineRule="auto"/>
        <w:rPr>
          <w:rFonts w:ascii="Times New Roman" w:eastAsia="Times New Roman" w:hAnsi="Times New Roman" w:cs="Times New Roman"/>
          <w:u w:val="single"/>
          <w:lang w:eastAsia="ar-SA"/>
        </w:rPr>
      </w:pPr>
      <w:r w:rsidRPr="009F10EE">
        <w:rPr>
          <w:rFonts w:ascii="Times New Roman" w:eastAsia="Times New Roman" w:hAnsi="Times New Roman" w:cs="Times New Roman"/>
          <w:u w:val="single"/>
          <w:lang w:eastAsia="ar-SA"/>
        </w:rPr>
        <w:lastRenderedPageBreak/>
        <w:t>Biotransformacija</w:t>
      </w:r>
    </w:p>
    <w:p w14:paraId="49FF64D7" w14:textId="77777777" w:rsidR="008C4948" w:rsidRPr="009F10EE" w:rsidRDefault="008C4948" w:rsidP="00C4453E">
      <w:pPr>
        <w:keepNext/>
        <w:widowControl w:val="0"/>
        <w:tabs>
          <w:tab w:val="left" w:pos="567"/>
        </w:tabs>
        <w:overflowPunct w:val="0"/>
        <w:autoSpaceDE w:val="0"/>
        <w:autoSpaceDN w:val="0"/>
        <w:adjustRightInd w:val="0"/>
        <w:spacing w:after="0" w:line="240" w:lineRule="auto"/>
        <w:rPr>
          <w:rFonts w:ascii="Times New Roman" w:eastAsia="Times New Roman" w:hAnsi="Times New Roman" w:cs="Times New Roman"/>
          <w:u w:val="single"/>
          <w:lang w:eastAsia="ar-SA"/>
        </w:rPr>
      </w:pPr>
    </w:p>
    <w:p w14:paraId="65CC5FCC" w14:textId="77777777" w:rsidR="008C4948" w:rsidRPr="009F10EE" w:rsidRDefault="008C4948" w:rsidP="00C4453E">
      <w:pPr>
        <w:keepNext/>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r w:rsidRPr="009F10EE">
        <w:rPr>
          <w:rFonts w:ascii="Times New Roman" w:eastAsia="Times New Roman" w:hAnsi="Times New Roman" w:cs="Times New Roman"/>
          <w:lang w:eastAsia="ar-SA"/>
        </w:rPr>
        <w:t>Daugiausia tadalafilis yra metabolizuojamas citochromo P 450 (CYP) 3A4 izofermentais.</w:t>
      </w:r>
    </w:p>
    <w:p w14:paraId="6C841130"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NewRomanPSMT" w:hAnsi="Times New Roman" w:cs="Times New Roman"/>
          <w:lang w:eastAsia="ar-SA"/>
        </w:rPr>
        <w:t>Pagrindinis kraujyje aptinkamas metabolitas yra metilkatecholgliukuronidas. Šis meta</w:t>
      </w:r>
      <w:r w:rsidRPr="009F10EE">
        <w:rPr>
          <w:rFonts w:ascii="Times New Roman" w:eastAsia="Times New Roman" w:hAnsi="Times New Roman" w:cs="Times New Roman"/>
          <w:lang w:eastAsia="ar-SA"/>
        </w:rPr>
        <w:t xml:space="preserve">bolitas FDE5 </w:t>
      </w:r>
      <w:r w:rsidRPr="009F10EE">
        <w:rPr>
          <w:rFonts w:ascii="Times New Roman" w:eastAsia="Times New Roman" w:hAnsi="Times New Roman" w:cs="Times New Roman"/>
        </w:rPr>
        <w:t xml:space="preserve">veikia mažiausiai 13 </w:t>
      </w:r>
      <w:r w:rsidRPr="009F10EE">
        <w:rPr>
          <w:rFonts w:ascii="Times New Roman" w:eastAsia="TimesNewRomanPSMT" w:hAnsi="Times New Roman" w:cs="Times New Roman"/>
        </w:rPr>
        <w:t>000 kartų silpniau negu tadalafilis. Todėl manoma, kad atsirandanti metabolito</w:t>
      </w:r>
      <w:r w:rsidRPr="009F10EE">
        <w:rPr>
          <w:rFonts w:ascii="Times New Roman" w:eastAsia="Times New Roman" w:hAnsi="Times New Roman" w:cs="Times New Roman"/>
        </w:rPr>
        <w:t xml:space="preserve"> koncentracija klinikinio poveikio nesukelia.</w:t>
      </w:r>
    </w:p>
    <w:p w14:paraId="219456D9" w14:textId="77777777" w:rsidR="008C4948" w:rsidRPr="009F10EE" w:rsidRDefault="008C4948" w:rsidP="008C4948">
      <w:pPr>
        <w:keepNext/>
        <w:keepLines/>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52D498C6"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Eliminacija</w:t>
      </w:r>
    </w:p>
    <w:p w14:paraId="40F5CAE2"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14:paraId="3075099C"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Sveikiems asmenims vidutinis išgerto tadalafilio klirensas, nusistovėjus pusiausvyrinei apykaitai, yra 2,5 </w:t>
      </w:r>
      <w:r w:rsidRPr="009F10EE">
        <w:rPr>
          <w:rFonts w:ascii="Times New Roman" w:eastAsia="Times New Roman" w:hAnsi="Times New Roman" w:cs="Times New Roman"/>
          <w:lang w:eastAsia="lt-LT"/>
        </w:rPr>
        <w:t>l/val. ir viduti</w:t>
      </w:r>
      <w:r w:rsidRPr="009F10EE">
        <w:rPr>
          <w:rFonts w:ascii="Times New Roman" w:eastAsia="TimesNewRomanPSMT" w:hAnsi="Times New Roman" w:cs="Times New Roman"/>
          <w:lang w:eastAsia="lt-LT"/>
        </w:rPr>
        <w:t xml:space="preserve">nis pusinės </w:t>
      </w:r>
      <w:r w:rsidRPr="009F10EE">
        <w:rPr>
          <w:rFonts w:ascii="Times New Roman" w:eastAsia="Times New Roman" w:hAnsi="Times New Roman" w:cs="Times New Roman"/>
          <w:lang w:eastAsia="lt-LT"/>
        </w:rPr>
        <w:t xml:space="preserve">eliminacijos laikas – 17,5 </w:t>
      </w:r>
      <w:r w:rsidRPr="009F10EE">
        <w:rPr>
          <w:rFonts w:ascii="Times New Roman" w:eastAsia="TimesNewRomanPSMT" w:hAnsi="Times New Roman" w:cs="Times New Roman"/>
          <w:lang w:eastAsia="lt-LT"/>
        </w:rPr>
        <w:t>val. Daugiausiai tadalafilio šalinama neaktyvių metabolitų pavidalu, daugiausiai su išmatomis (apie 61% dozės) ir mažesne apimtimi</w:t>
      </w:r>
      <w:r w:rsidRPr="009F10EE">
        <w:rPr>
          <w:rFonts w:ascii="Times New Roman" w:eastAsia="Times New Roman" w:hAnsi="Times New Roman" w:cs="Times New Roman"/>
          <w:lang w:eastAsia="lt-LT"/>
        </w:rPr>
        <w:t xml:space="preserve"> </w:t>
      </w:r>
      <w:r w:rsidRPr="009F10EE">
        <w:rPr>
          <w:rFonts w:ascii="Times New Roman" w:eastAsia="TimesNewRomanPSMT" w:hAnsi="Times New Roman" w:cs="Times New Roman"/>
          <w:lang w:eastAsia="lt-LT"/>
        </w:rPr>
        <w:t>su šlapimu (apie 36% dozės).</w:t>
      </w:r>
    </w:p>
    <w:p w14:paraId="14FE606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DC5ABEE"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Tiesinis / netiesinis pobūdis</w:t>
      </w:r>
    </w:p>
    <w:p w14:paraId="2361B91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77070D28"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Vartojant 2,5-20 mg dozes, tadalafilio ekspozicija (AUC) sveikų tiriamųjų organizme didėja proporcingai dozei. Didinant dozę nuo 20 mg iki 40 mg, ekspozicija didėja mažiau negu proporcingai dozei. Vartojant 20 mg ir 40 mg tadalafilio dozes kartą per parą, pusiausvyrinė koncentracija plazmoje pasiekiama per 5 paras ir ekspozicija būna maždaug 1,5 karto didesnė nei po vienkartinės dozės.</w:t>
      </w:r>
    </w:p>
    <w:p w14:paraId="6490BB41"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p>
    <w:p w14:paraId="1F6C930B" w14:textId="77777777" w:rsidR="008C4948" w:rsidRPr="009F10EE" w:rsidRDefault="008C4948" w:rsidP="008C4948">
      <w:pPr>
        <w:spacing w:after="0" w:line="240" w:lineRule="auto"/>
        <w:rPr>
          <w:rFonts w:ascii="Times New Roman" w:eastAsia="Times New Roman" w:hAnsi="Times New Roman" w:cs="Times New Roman"/>
          <w:u w:val="single"/>
        </w:rPr>
      </w:pPr>
      <w:r w:rsidRPr="009F10EE">
        <w:rPr>
          <w:rFonts w:ascii="Times New Roman" w:eastAsia="Times New Roman" w:hAnsi="Times New Roman" w:cs="Times New Roman"/>
          <w:u w:val="single"/>
        </w:rPr>
        <w:t>Populiacinė farmakokinetika</w:t>
      </w:r>
    </w:p>
    <w:p w14:paraId="2351CC1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140F3F9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Pacientų, kuriems yra erekcijos funkcijos sutrikimas, organizme vaistinio preparato farmakokinetika yra tokia pat kaip vyrų, kuriems šio sutrikimo nėra, organizme. </w:t>
      </w:r>
    </w:p>
    <w:p w14:paraId="28071DEF"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34141565"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Pacientų, kurie serga plautine hipertenzija ir nevartoja kartu bozentano, organizme vidutinė tadalafilio ekspozicija susidarius pusiausvyrinei koncentracijai po 40 mg dozės pavartojimo buvo 26% didesnė, palyginti su sveikų savanorių rodmenimis. Kliniškai reikšmingų C</w:t>
      </w:r>
      <w:r w:rsidRPr="009F10EE">
        <w:rPr>
          <w:rFonts w:ascii="Times New Roman" w:eastAsia="Times New Roman" w:hAnsi="Times New Roman" w:cs="Times New Roman"/>
          <w:vertAlign w:val="subscript"/>
        </w:rPr>
        <w:t>max</w:t>
      </w:r>
      <w:r w:rsidRPr="009F10EE">
        <w:rPr>
          <w:rFonts w:ascii="Times New Roman" w:eastAsia="Times New Roman" w:hAnsi="Times New Roman" w:cs="Times New Roman"/>
        </w:rPr>
        <w:t xml:space="preserve"> skirtumų, palyginti su sveikais savanoriais, nebuvo. Šie duomenys rodo, kad tadalafilio klirensas iš plautine hipertenzija sergančių pacientų organizmo yra lėtesnis, palyginti su sveikų savanorių rodmeniu.</w:t>
      </w:r>
    </w:p>
    <w:p w14:paraId="018586AE"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7A8C8385"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u w:val="single"/>
          <w:lang w:eastAsia="lt-LT"/>
        </w:rPr>
      </w:pPr>
      <w:r w:rsidRPr="009F10EE">
        <w:rPr>
          <w:rFonts w:ascii="Times New Roman" w:eastAsia="TimesNewRomanPSMT" w:hAnsi="Times New Roman" w:cs="Times New Roman"/>
          <w:u w:val="single"/>
          <w:lang w:eastAsia="lt-LT"/>
        </w:rPr>
        <w:t>Ypatingos populiacijos</w:t>
      </w:r>
    </w:p>
    <w:p w14:paraId="7B9E7C00"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0A080CF5"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Senyvi pacientai</w:t>
      </w:r>
    </w:p>
    <w:p w14:paraId="71E5B75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Sveikiems senyviems (65 metų ar vyresniems) vyrams išgerto tadalafilio klirensas yra mažesnis, todėl </w:t>
      </w:r>
      <w:r w:rsidRPr="009F10EE">
        <w:rPr>
          <w:rFonts w:ascii="Times New Roman" w:eastAsia="Times New Roman" w:hAnsi="Times New Roman" w:cs="Times New Roman"/>
          <w:lang w:eastAsia="lt-LT"/>
        </w:rPr>
        <w:t>ekspozicija (</w:t>
      </w:r>
      <w:r w:rsidRPr="009F10EE">
        <w:rPr>
          <w:rFonts w:ascii="Times New Roman" w:eastAsia="Times New Roman" w:hAnsi="Times New Roman" w:cs="Times New Roman"/>
          <w:i/>
          <w:iCs/>
          <w:lang w:eastAsia="lt-LT"/>
        </w:rPr>
        <w:t>AUC</w:t>
      </w:r>
      <w:r w:rsidRPr="009F10EE">
        <w:rPr>
          <w:rFonts w:ascii="Times New Roman" w:eastAsia="TimesNewRomanPSMT" w:hAnsi="Times New Roman" w:cs="Times New Roman"/>
          <w:lang w:eastAsia="lt-LT"/>
        </w:rPr>
        <w:t>) yra 25 % didesnė, negu sveikiems 19</w:t>
      </w:r>
      <w:r w:rsidRPr="009F10EE">
        <w:rPr>
          <w:rFonts w:ascii="Times New Roman" w:eastAsia="Times New Roman" w:hAnsi="Times New Roman" w:cs="Times New Roman"/>
          <w:lang w:eastAsia="lt-LT"/>
        </w:rPr>
        <w:t xml:space="preserve">-45 </w:t>
      </w:r>
      <w:r w:rsidRPr="009F10EE">
        <w:rPr>
          <w:rFonts w:ascii="Times New Roman" w:eastAsia="TimesNewRomanPSMT" w:hAnsi="Times New Roman" w:cs="Times New Roman"/>
          <w:lang w:eastAsia="lt-LT"/>
        </w:rPr>
        <w:t>metų vyrams. Tokia amžiaus įtaka nėra kliniškai reikšminga, todėl dozės koreguoti nereikia.</w:t>
      </w:r>
    </w:p>
    <w:p w14:paraId="14B7887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FFBA488" w14:textId="77777777" w:rsidR="008C4948" w:rsidRPr="009F10EE" w:rsidRDefault="008C4948" w:rsidP="008C4948">
      <w:pPr>
        <w:keepNext/>
        <w:keepLines/>
        <w:tabs>
          <w:tab w:val="left" w:pos="567"/>
        </w:tabs>
        <w:spacing w:after="0" w:line="240" w:lineRule="auto"/>
        <w:rPr>
          <w:rFonts w:ascii="Times New Roman" w:eastAsia="Times New Roman" w:hAnsi="Times New Roman" w:cs="Times New Roman"/>
          <w:i/>
          <w:lang w:eastAsia="lt-LT"/>
        </w:rPr>
      </w:pPr>
      <w:r w:rsidRPr="009F10EE">
        <w:rPr>
          <w:rFonts w:ascii="Times New Roman" w:eastAsia="Times New Roman" w:hAnsi="Times New Roman" w:cs="Times New Roman"/>
          <w:i/>
          <w:lang w:eastAsia="lt-LT"/>
        </w:rPr>
        <w:t>Sutrikusi inkstų funkcija</w:t>
      </w:r>
    </w:p>
    <w:p w14:paraId="53E3EB0B" w14:textId="77777777" w:rsidR="008C4948" w:rsidRPr="009F10EE" w:rsidRDefault="008C4948" w:rsidP="008C4948">
      <w:pPr>
        <w:keepNext/>
        <w:keepLines/>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Klinikinės farmakologijos tyrimų metu vyrų, kuriems buvo nesunkus (kreatinino klirensas 51</w:t>
      </w:r>
      <w:r w:rsidRPr="009F10EE">
        <w:rPr>
          <w:rFonts w:ascii="Times New Roman" w:eastAsia="Times New Roman" w:hAnsi="Times New Roman" w:cs="Times New Roman"/>
          <w:lang w:eastAsia="lt-LT"/>
        </w:rPr>
        <w:noBreakHyphen/>
        <w:t>80 ml/min.) arba vidutinio sunkumo (kreatinino klirensas 31</w:t>
      </w:r>
      <w:r w:rsidRPr="009F10EE">
        <w:rPr>
          <w:rFonts w:ascii="Times New Roman" w:eastAsia="Times New Roman" w:hAnsi="Times New Roman" w:cs="Times New Roman"/>
          <w:lang w:eastAsia="lt-LT"/>
        </w:rPr>
        <w:noBreakHyphen/>
        <w:t>50 ml/min.) inkstų funkcijos sutrikimas, ir dializėmis gydomų vyrų, kuriems buvo galutinė inkstų ligos stadija, organizme vienkartinės 5-20 mg tadalafilio dozės ekspozicija (AUC) buvo maždaug du kartus didesnė negu sveikų vyrų organizme. Hemodializėmis gydomų pacientų organizme C</w:t>
      </w:r>
      <w:r w:rsidRPr="009F10EE">
        <w:rPr>
          <w:rFonts w:ascii="Times New Roman" w:eastAsia="Times New Roman" w:hAnsi="Times New Roman" w:cs="Times New Roman"/>
          <w:vertAlign w:val="subscript"/>
          <w:lang w:eastAsia="lt-LT"/>
        </w:rPr>
        <w:t>max</w:t>
      </w:r>
      <w:r w:rsidRPr="009F10EE">
        <w:rPr>
          <w:rFonts w:ascii="Times New Roman" w:eastAsia="Times New Roman" w:hAnsi="Times New Roman" w:cs="Times New Roman"/>
          <w:lang w:eastAsia="lt-LT"/>
        </w:rPr>
        <w:t xml:space="preserve"> buvo 41% didesnė negu sveikų vyrų organizme. Hemodializės įtaka tadalafilio eliminacijai yra nereikšminga. </w:t>
      </w:r>
    </w:p>
    <w:p w14:paraId="69BCE594"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0EC03DC7" w14:textId="02BC8215"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Pacientams, kuriems yra sunkus inkstų funkcijos sutrikimas, tadalafilio vartoti nerekomenduojama, kadangi didėja tadalafilio ekspozicija organizme (AUC), gydymo patirties yra nedaug ir nėra galimybės dialize padidinti klirensą.</w:t>
      </w:r>
    </w:p>
    <w:p w14:paraId="000EBB10" w14:textId="6036C4C0"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02AF807" w14:textId="77777777" w:rsidR="008C4948" w:rsidRPr="009F10EE" w:rsidRDefault="008C4948" w:rsidP="00C4453E">
      <w:pPr>
        <w:keepNext/>
        <w:tabs>
          <w:tab w:val="left" w:pos="567"/>
        </w:tabs>
        <w:spacing w:after="0" w:line="240" w:lineRule="auto"/>
        <w:rPr>
          <w:rFonts w:ascii="Times New Roman" w:eastAsia="Times New Roman" w:hAnsi="Times New Roman" w:cs="Times New Roman"/>
          <w:i/>
          <w:lang w:eastAsia="lt-LT"/>
        </w:rPr>
      </w:pPr>
      <w:r w:rsidRPr="009F10EE">
        <w:rPr>
          <w:rFonts w:ascii="Times New Roman" w:eastAsia="Times New Roman" w:hAnsi="Times New Roman" w:cs="Times New Roman"/>
          <w:i/>
          <w:lang w:eastAsia="lt-LT"/>
        </w:rPr>
        <w:lastRenderedPageBreak/>
        <w:t>Sutrikusi kepenų funkcija</w:t>
      </w:r>
    </w:p>
    <w:p w14:paraId="1B7A0C9F" w14:textId="197E94CD" w:rsidR="008C4948" w:rsidRPr="009F10EE" w:rsidRDefault="008C4948" w:rsidP="00C4453E">
      <w:pPr>
        <w:keepNext/>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10 mg tadalafilio dozės ekspozicija (AUC) pacientų, kuriems yra nesunkus ar vidutinio sunkumo kepenų funkcijos sutrikimas (Child-Pugh klasė A arba B), organizme yra panaši į ekspoziciją sveikų vyrų organizme. Klinikinių duomenų apie tadalafilio saugumą pacientams, kuriems yra sunkus kepenų nepakankamumas (Child-Pugh klasė C), yra nedaug. Prieš skirdamas </w:t>
      </w:r>
      <w:r w:rsidR="00C1222C">
        <w:rPr>
          <w:rFonts w:ascii="Times New Roman" w:eastAsia="Times New Roman" w:hAnsi="Times New Roman" w:cs="Times New Roman"/>
          <w:lang w:eastAsia="lt-LT"/>
        </w:rPr>
        <w:t>vartoti Tadalafil Accord</w:t>
      </w:r>
      <w:r w:rsidRPr="009F10EE">
        <w:rPr>
          <w:rFonts w:ascii="Times New Roman" w:eastAsia="Times New Roman" w:hAnsi="Times New Roman" w:cs="Times New Roman"/>
          <w:lang w:eastAsia="lt-LT"/>
        </w:rPr>
        <w:t>, gydytojas turi atidžiai nustatyti tokio gydymo naudos ir rizikos santykį.</w:t>
      </w:r>
      <w:r w:rsidR="00C1222C">
        <w:rPr>
          <w:rFonts w:ascii="Times New Roman" w:eastAsia="Times New Roman" w:hAnsi="Times New Roman" w:cs="Times New Roman"/>
          <w:lang w:eastAsia="lt-LT"/>
        </w:rPr>
        <w:t xml:space="preserve"> </w:t>
      </w:r>
      <w:r w:rsidR="00013A68" w:rsidRPr="00013A68">
        <w:rPr>
          <w:rFonts w:ascii="Times New Roman" w:eastAsia="Times New Roman" w:hAnsi="Times New Roman" w:cs="Times New Roman"/>
          <w:lang w:eastAsia="lt-LT"/>
        </w:rPr>
        <w:t xml:space="preserve">Duomenų apie kasdieninį didesnės nei </w:t>
      </w:r>
      <w:r w:rsidR="00013A68" w:rsidRPr="007D3ACB">
        <w:rPr>
          <w:rFonts w:ascii="Times New Roman" w:eastAsia="Times New Roman" w:hAnsi="Times New Roman" w:cs="Times New Roman"/>
          <w:lang w:eastAsia="lt-LT"/>
        </w:rPr>
        <w:t>10 mg</w:t>
      </w:r>
      <w:r w:rsidR="00013A68" w:rsidRPr="00013A68">
        <w:rPr>
          <w:rFonts w:ascii="Times New Roman" w:eastAsia="Times New Roman" w:hAnsi="Times New Roman" w:cs="Times New Roman"/>
          <w:lang w:eastAsia="lt-LT"/>
        </w:rPr>
        <w:t xml:space="preserve"> tadalafilio dozės vartojimą pacientams, kurių kepenų funkcija sutrikusi, nėra</w:t>
      </w:r>
      <w:r w:rsidR="00C1222C">
        <w:rPr>
          <w:rFonts w:ascii="Times New Roman" w:eastAsia="Times New Roman" w:hAnsi="Times New Roman" w:cs="Times New Roman"/>
          <w:lang w:eastAsia="lt-LT"/>
        </w:rPr>
        <w:t>.</w:t>
      </w:r>
    </w:p>
    <w:p w14:paraId="3442FC57" w14:textId="4D45FD7A"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8D76183"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9F10EE">
        <w:rPr>
          <w:rFonts w:ascii="Times New Roman" w:eastAsia="Times New Roman" w:hAnsi="Times New Roman" w:cs="Times New Roman"/>
          <w:i/>
          <w:iCs/>
          <w:lang w:eastAsia="lt-LT"/>
        </w:rPr>
        <w:t>Cukriniu diabetu sergantys pacientai</w:t>
      </w:r>
    </w:p>
    <w:p w14:paraId="49C49224" w14:textId="77777777" w:rsidR="008C4948" w:rsidRPr="009F10EE" w:rsidRDefault="008C4948" w:rsidP="008C4948">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 xml:space="preserve">Tadalafilio (pavartojus 10 mg dozę) ekspozicija </w:t>
      </w:r>
      <w:r w:rsidRPr="009F10EE">
        <w:rPr>
          <w:rFonts w:ascii="Times New Roman" w:eastAsia="TimesNewRomanPSMT" w:hAnsi="Times New Roman" w:cs="Times New Roman"/>
          <w:i/>
          <w:lang w:eastAsia="lt-LT"/>
        </w:rPr>
        <w:t>(AUC)</w:t>
      </w:r>
      <w:r w:rsidRPr="009F10EE">
        <w:rPr>
          <w:rFonts w:ascii="Times New Roman" w:eastAsia="TimesNewRomanPSMT" w:hAnsi="Times New Roman" w:cs="Times New Roman"/>
          <w:lang w:eastAsia="lt-LT"/>
        </w:rPr>
        <w:t xml:space="preserve"> cukriniu diabetu sergantiems pacientams</w:t>
      </w:r>
      <w:r w:rsidRPr="009F10EE">
        <w:rPr>
          <w:rFonts w:ascii="Times New Roman" w:eastAsia="Times New Roman" w:hAnsi="Times New Roman" w:cs="Times New Roman"/>
          <w:lang w:eastAsia="lt-LT"/>
        </w:rPr>
        <w:t xml:space="preserve"> yra 19</w:t>
      </w:r>
      <w:r w:rsidRPr="009F10EE">
        <w:rPr>
          <w:rFonts w:ascii="Times New Roman" w:eastAsia="TimesNewRomanPSMT" w:hAnsi="Times New Roman" w:cs="Times New Roman"/>
          <w:lang w:eastAsia="lt-LT"/>
        </w:rPr>
        <w:t xml:space="preserve">% mažesnė, negu </w:t>
      </w:r>
      <w:r w:rsidRPr="009F10EE">
        <w:rPr>
          <w:rFonts w:ascii="Times New Roman" w:eastAsia="TimesNewRomanPSMT" w:hAnsi="Times New Roman" w:cs="Times New Roman"/>
          <w:i/>
          <w:lang w:eastAsia="lt-LT"/>
        </w:rPr>
        <w:t>AUC</w:t>
      </w:r>
      <w:r w:rsidRPr="009F10EE">
        <w:rPr>
          <w:rFonts w:ascii="Times New Roman" w:eastAsia="TimesNewRomanPSMT" w:hAnsi="Times New Roman" w:cs="Times New Roman"/>
          <w:lang w:eastAsia="lt-LT"/>
        </w:rPr>
        <w:t xml:space="preserve"> reikšmė sveikiems asmenims. Dėl tokio ekspozicijos skirtumo dozės koreguoti nereikia.</w:t>
      </w:r>
    </w:p>
    <w:p w14:paraId="152747B9"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EF7331D" w14:textId="77777777" w:rsidR="008C4948" w:rsidRPr="009F10EE" w:rsidRDefault="008C4948" w:rsidP="0068582E">
      <w:pPr>
        <w:autoSpaceDE w:val="0"/>
        <w:autoSpaceDN w:val="0"/>
        <w:adjustRightInd w:val="0"/>
        <w:spacing w:after="0" w:line="240" w:lineRule="auto"/>
        <w:rPr>
          <w:rFonts w:ascii="Times New Roman" w:eastAsia="Times New Roman" w:hAnsi="Times New Roman" w:cs="Times New Roman"/>
          <w:i/>
          <w:iCs/>
        </w:rPr>
      </w:pPr>
      <w:r w:rsidRPr="009F10EE">
        <w:rPr>
          <w:rFonts w:ascii="Times New Roman" w:eastAsia="Times New Roman" w:hAnsi="Times New Roman" w:cs="Times New Roman"/>
          <w:i/>
          <w:iCs/>
        </w:rPr>
        <w:t>Rasė</w:t>
      </w:r>
    </w:p>
    <w:p w14:paraId="0C70AE23" w14:textId="77777777" w:rsidR="008C4948" w:rsidRPr="009F10EE" w:rsidRDefault="008C4948" w:rsidP="0068582E">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Farmakokinetikos tyrimuose dalyvavo įvairių etninių grupių tiriamieji ir pacientai, įprastos tadalafilio ekspozicijos skirtumų nenustatyta. Dozės keisti nereikia.</w:t>
      </w:r>
    </w:p>
    <w:p w14:paraId="59D53CF2"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i/>
          <w:iCs/>
        </w:rPr>
      </w:pPr>
    </w:p>
    <w:p w14:paraId="648FEDA6"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i/>
          <w:iCs/>
        </w:rPr>
      </w:pPr>
      <w:r w:rsidRPr="009F10EE">
        <w:rPr>
          <w:rFonts w:ascii="Times New Roman" w:eastAsia="Times New Roman" w:hAnsi="Times New Roman" w:cs="Times New Roman"/>
          <w:i/>
          <w:iCs/>
        </w:rPr>
        <w:t>Lytis</w:t>
      </w:r>
    </w:p>
    <w:p w14:paraId="009CDC10" w14:textId="77777777" w:rsidR="008C4948" w:rsidRPr="009F10EE" w:rsidRDefault="008C4948" w:rsidP="008C4948">
      <w:pPr>
        <w:autoSpaceDE w:val="0"/>
        <w:autoSpaceDN w:val="0"/>
        <w:adjustRightInd w:val="0"/>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Sveikoms moterims ir vyrams pavartojus vienkartinę arba vartojant kartotines tadalafilio dozes, kliniškai reikšmingų ekspozicijos skirtumų nepastebėta. Dozės keisti nereikia.</w:t>
      </w:r>
    </w:p>
    <w:p w14:paraId="1CB314BA"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1D2EDEEB"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BoldMT" w:hAnsi="Times New Roman" w:cs="Times New Roman"/>
          <w:b/>
          <w:bCs/>
          <w:lang w:eastAsia="lt-LT"/>
        </w:rPr>
      </w:pPr>
      <w:r w:rsidRPr="009F10EE">
        <w:rPr>
          <w:rFonts w:ascii="Times New Roman" w:eastAsia="Times New Roman" w:hAnsi="Times New Roman" w:cs="Times New Roman"/>
          <w:b/>
          <w:bCs/>
          <w:lang w:eastAsia="lt-LT"/>
        </w:rPr>
        <w:t>5.3</w:t>
      </w:r>
      <w:r w:rsidRPr="009F10EE">
        <w:rPr>
          <w:rFonts w:ascii="Times New Roman" w:eastAsia="Times New Roman" w:hAnsi="Times New Roman" w:cs="Times New Roman"/>
          <w:b/>
          <w:bCs/>
          <w:lang w:eastAsia="lt-LT"/>
        </w:rPr>
        <w:tab/>
      </w:r>
      <w:r w:rsidRPr="009F10EE">
        <w:rPr>
          <w:rFonts w:ascii="Times New Roman" w:eastAsia="TimesNewRomanPS-BoldMT" w:hAnsi="Times New Roman" w:cs="Times New Roman"/>
          <w:b/>
          <w:bCs/>
          <w:lang w:eastAsia="lt-LT"/>
        </w:rPr>
        <w:t>Ikiklinikinių saugumo tyrimų duomenys</w:t>
      </w:r>
    </w:p>
    <w:p w14:paraId="2A2A96F5"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3EEDEBF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Įprastų farmakologinio saugumo, kartotinių dozių toksiškumo, genotoksiškumo, galimo kancerogeniškumo ir toksinio poveikio reprodukcijai ikiklinikinių tyrimų duomenys specifinio pavojaus žmogui nerodo.</w:t>
      </w:r>
    </w:p>
    <w:p w14:paraId="4882325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Žiurkėms ir pelėms, vartojusioms ne didesnes kaip 1 </w:t>
      </w:r>
      <w:r w:rsidRPr="009F10EE">
        <w:rPr>
          <w:rFonts w:ascii="Times New Roman" w:eastAsia="Times New Roman" w:hAnsi="Times New Roman" w:cs="Times New Roman"/>
          <w:lang w:eastAsia="lt-LT"/>
        </w:rPr>
        <w:t xml:space="preserve">000 mg/kg </w:t>
      </w:r>
      <w:r w:rsidRPr="009F10EE">
        <w:rPr>
          <w:rFonts w:ascii="Times New Roman" w:eastAsia="TimesNewRomanPSMT" w:hAnsi="Times New Roman" w:cs="Times New Roman"/>
          <w:lang w:eastAsia="lt-LT"/>
        </w:rPr>
        <w:t xml:space="preserve">kūno svorio tadalafilio paros dozes, teratogeninis, embriotoksinis ar toksinis poveikis vaisiui nepasireiškė. Žiurkių vystymosi prenataliniu ir postnataliniu laikotarpiu tyrimo metu toksinio poveikio nesukelianti paros dozė buvo 30 mg/kg kūno svorio. Nuo minėtų dozių vaikingoms žiurkėms </w:t>
      </w:r>
      <w:r w:rsidRPr="009F10EE">
        <w:rPr>
          <w:rFonts w:ascii="Times New Roman" w:eastAsia="Times New Roman" w:hAnsi="Times New Roman" w:cs="Times New Roman"/>
          <w:i/>
          <w:iCs/>
          <w:lang w:eastAsia="lt-LT"/>
        </w:rPr>
        <w:t>AUC</w:t>
      </w:r>
      <w:r w:rsidRPr="009F10EE">
        <w:rPr>
          <w:rFonts w:ascii="Times New Roman" w:eastAsia="TimesNewRomanPSMT" w:hAnsi="Times New Roman" w:cs="Times New Roman"/>
          <w:lang w:eastAsia="lt-LT"/>
        </w:rPr>
        <w:t>, apskaičiuotas atsižvelgiant į laisvo</w:t>
      </w:r>
      <w:r w:rsidRPr="009F10EE">
        <w:rPr>
          <w:rFonts w:ascii="Times New Roman" w:eastAsia="Times New Roman" w:hAnsi="Times New Roman" w:cs="Times New Roman"/>
          <w:lang w:eastAsia="lt-LT"/>
        </w:rPr>
        <w:t>s veikliosios medžiagos koncentrac</w:t>
      </w:r>
      <w:r w:rsidRPr="009F10EE">
        <w:rPr>
          <w:rFonts w:ascii="Times New Roman" w:eastAsia="TimesNewRomanPSMT" w:hAnsi="Times New Roman" w:cs="Times New Roman"/>
          <w:lang w:eastAsia="lt-LT"/>
        </w:rPr>
        <w:t>iją</w:t>
      </w:r>
      <w:r w:rsidRPr="009F10EE">
        <w:rPr>
          <w:rFonts w:ascii="Times New Roman" w:eastAsia="Times New Roman" w:hAnsi="Times New Roman" w:cs="Times New Roman"/>
          <w:lang w:eastAsia="lt-LT"/>
        </w:rPr>
        <w:t xml:space="preserve">, buvo maždaug 18 </w:t>
      </w:r>
      <w:r w:rsidRPr="009F10EE">
        <w:rPr>
          <w:rFonts w:ascii="Times New Roman" w:eastAsia="TimesNewRomanPSMT" w:hAnsi="Times New Roman" w:cs="Times New Roman"/>
          <w:lang w:eastAsia="lt-LT"/>
        </w:rPr>
        <w:t xml:space="preserve">kartų didesnis, nei </w:t>
      </w:r>
      <w:r w:rsidRPr="009F10EE">
        <w:rPr>
          <w:rFonts w:ascii="Times New Roman" w:eastAsia="Times New Roman" w:hAnsi="Times New Roman" w:cs="Times New Roman"/>
          <w:lang w:eastAsia="lt-LT"/>
        </w:rPr>
        <w:t>20 mg</w:t>
      </w:r>
      <w:r w:rsidRPr="009F10EE">
        <w:rPr>
          <w:rFonts w:ascii="Times New Roman" w:eastAsia="TimesNewRomanPSMT" w:hAnsi="Times New Roman" w:cs="Times New Roman"/>
          <w:lang w:eastAsia="lt-LT"/>
        </w:rPr>
        <w:t xml:space="preserve"> dozę vartojančiam žmogui.</w:t>
      </w:r>
    </w:p>
    <w:p w14:paraId="45D22067" w14:textId="77777777" w:rsidR="008C4948" w:rsidRPr="009F10EE" w:rsidRDefault="008C4948" w:rsidP="008C4948">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F10EE">
        <w:rPr>
          <w:rFonts w:ascii="Times New Roman" w:eastAsia="TimesNewRomanPSMT" w:hAnsi="Times New Roman" w:cs="Times New Roman"/>
          <w:lang w:eastAsia="lt-LT"/>
        </w:rPr>
        <w:t>Žiurkių patinų ir patelių vaisingumo tadalafilis netrikdė. Šunims, 6</w:t>
      </w:r>
      <w:r w:rsidRPr="009F10EE">
        <w:rPr>
          <w:rFonts w:ascii="Times New Roman" w:eastAsia="Times New Roman" w:hAnsi="Times New Roman" w:cs="Times New Roman"/>
          <w:lang w:eastAsia="lt-LT"/>
        </w:rPr>
        <w:t>-</w:t>
      </w:r>
      <w:r w:rsidRPr="009F10EE">
        <w:rPr>
          <w:rFonts w:ascii="Times New Roman" w:eastAsia="TimesNewRomanPSMT" w:hAnsi="Times New Roman" w:cs="Times New Roman"/>
          <w:lang w:eastAsia="lt-LT"/>
        </w:rPr>
        <w:t xml:space="preserve">12 mėn. vartojusiems </w:t>
      </w:r>
      <w:r w:rsidRPr="009F10EE">
        <w:rPr>
          <w:rFonts w:ascii="Times New Roman" w:eastAsia="Times New Roman" w:hAnsi="Times New Roman" w:cs="Times New Roman"/>
          <w:lang w:eastAsia="lt-LT"/>
        </w:rPr>
        <w:t>25 mg</w:t>
      </w:r>
      <w:r w:rsidRPr="009F10EE">
        <w:rPr>
          <w:rFonts w:ascii="Times New Roman" w:eastAsia="TimesNewRomanPSMT" w:hAnsi="Times New Roman" w:cs="Times New Roman"/>
          <w:lang w:eastAsia="lt-LT"/>
        </w:rPr>
        <w:t xml:space="preserve">/kg kūno svorio (nuo jos gyvūnams ekspozicija buvo mažiausiai 3 kartus </w:t>
      </w:r>
      <w:r w:rsidRPr="009F10EE">
        <w:rPr>
          <w:rFonts w:ascii="Times New Roman" w:eastAsia="Times New Roman" w:hAnsi="Times New Roman" w:cs="Times New Roman"/>
          <w:lang w:eastAsia="lt-LT"/>
        </w:rPr>
        <w:t xml:space="preserve">(nuo 3,7 iki </w:t>
      </w:r>
      <w:r w:rsidRPr="009F10EE">
        <w:rPr>
          <w:rFonts w:ascii="Times New Roman" w:eastAsia="TimesNewRomanPSMT" w:hAnsi="Times New Roman" w:cs="Times New Roman"/>
          <w:lang w:eastAsia="lt-LT"/>
        </w:rPr>
        <w:t>18,6) didesnė negu vienkartinę 20 mg dozę išgėrusiems žmonėms) ar didesnę tadalafilio paros dozę, atsirado sėklinių kanalėlių spermatogeninio epitelio regresija, dėl kurios kai kuriems šunims sumažėjo spermatogenezė. Taip pat žr. 5.1 skyrių.</w:t>
      </w:r>
    </w:p>
    <w:p w14:paraId="2931DF5E" w14:textId="77777777" w:rsidR="008C4948" w:rsidRPr="009F10EE" w:rsidRDefault="008C4948" w:rsidP="008C494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7952EBB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7D29D220" w14:textId="77777777" w:rsidR="008C4948" w:rsidRPr="009F10EE" w:rsidRDefault="008C4948" w:rsidP="00E92CBB">
      <w:pPr>
        <w:keepNext/>
        <w:tabs>
          <w:tab w:val="left" w:pos="567"/>
        </w:tabs>
        <w:spacing w:after="0" w:line="240" w:lineRule="auto"/>
        <w:outlineLvl w:val="2"/>
        <w:rPr>
          <w:rFonts w:ascii="Times New Roman" w:eastAsia="Times New Roman" w:hAnsi="Times New Roman" w:cs="Times New Roman"/>
          <w:b/>
          <w:bCs/>
        </w:rPr>
      </w:pPr>
      <w:r w:rsidRPr="009F10EE">
        <w:rPr>
          <w:rFonts w:ascii="Times New Roman" w:eastAsia="Times New Roman" w:hAnsi="Times New Roman" w:cs="Times New Roman"/>
          <w:b/>
          <w:bCs/>
        </w:rPr>
        <w:t>6.</w:t>
      </w:r>
      <w:r w:rsidRPr="009F10EE">
        <w:rPr>
          <w:rFonts w:ascii="Times New Roman" w:eastAsia="Times New Roman" w:hAnsi="Times New Roman" w:cs="Times New Roman"/>
          <w:b/>
          <w:bCs/>
        </w:rPr>
        <w:tab/>
        <w:t>FARMACINĖ INFORMACIJA</w:t>
      </w:r>
    </w:p>
    <w:p w14:paraId="486EFF33" w14:textId="77777777" w:rsidR="008C4948" w:rsidRPr="009F10EE" w:rsidRDefault="008C4948" w:rsidP="0068582E">
      <w:pPr>
        <w:tabs>
          <w:tab w:val="left" w:pos="567"/>
        </w:tabs>
        <w:spacing w:after="0" w:line="240" w:lineRule="auto"/>
        <w:rPr>
          <w:rFonts w:ascii="Times New Roman" w:eastAsia="Times New Roman" w:hAnsi="Times New Roman" w:cs="Times New Roman"/>
          <w:lang w:eastAsia="lt-LT"/>
        </w:rPr>
      </w:pPr>
    </w:p>
    <w:p w14:paraId="65411ED1" w14:textId="77777777" w:rsidR="008C4948" w:rsidRPr="009F10EE" w:rsidRDefault="008C4948" w:rsidP="00E92CBB">
      <w:pPr>
        <w:keepNext/>
        <w:tabs>
          <w:tab w:val="left" w:pos="567"/>
        </w:tabs>
        <w:spacing w:after="0" w:line="240" w:lineRule="auto"/>
        <w:jc w:val="both"/>
        <w:outlineLvl w:val="3"/>
        <w:rPr>
          <w:rFonts w:ascii="Times New Roman" w:eastAsia="Times New Roman" w:hAnsi="Times New Roman" w:cs="Times New Roman"/>
          <w:b/>
        </w:rPr>
      </w:pPr>
      <w:r w:rsidRPr="009F10EE">
        <w:rPr>
          <w:rFonts w:ascii="Times New Roman" w:eastAsia="Times New Roman" w:hAnsi="Times New Roman" w:cs="Times New Roman"/>
          <w:b/>
        </w:rPr>
        <w:t>6.1</w:t>
      </w:r>
      <w:r w:rsidRPr="009F10EE">
        <w:rPr>
          <w:rFonts w:ascii="Times New Roman" w:eastAsia="Times New Roman" w:hAnsi="Times New Roman" w:cs="Times New Roman"/>
          <w:b/>
        </w:rPr>
        <w:tab/>
        <w:t>Pagalbinių medžiagų sąrašas</w:t>
      </w:r>
    </w:p>
    <w:p w14:paraId="0E482939"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01621566" w14:textId="77777777" w:rsidR="008C4948" w:rsidRPr="009F10EE" w:rsidRDefault="008C4948" w:rsidP="008C4948">
      <w:pPr>
        <w:tabs>
          <w:tab w:val="left" w:pos="567"/>
        </w:tabs>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Tabletės šerdis</w:t>
      </w:r>
    </w:p>
    <w:p w14:paraId="2ADBAB8B"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Laktozė monohidratas</w:t>
      </w:r>
    </w:p>
    <w:p w14:paraId="4850C3E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Kroskarmeliozės natrio druska</w:t>
      </w:r>
    </w:p>
    <w:p w14:paraId="5D7809B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Hipromeliozė </w:t>
      </w:r>
    </w:p>
    <w:p w14:paraId="61196148"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Mikrokristalinė celiuliozė</w:t>
      </w:r>
    </w:p>
    <w:p w14:paraId="25B60304"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Sorbitano stearatas</w:t>
      </w:r>
    </w:p>
    <w:p w14:paraId="529E6D98"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Magnio stearatas</w:t>
      </w:r>
    </w:p>
    <w:p w14:paraId="22DF4274"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A0514A2" w14:textId="77777777" w:rsidR="008C4948" w:rsidRPr="009F10EE" w:rsidRDefault="008C4948" w:rsidP="008C4948">
      <w:pPr>
        <w:tabs>
          <w:tab w:val="left" w:pos="567"/>
        </w:tabs>
        <w:spacing w:after="0" w:line="240" w:lineRule="auto"/>
        <w:rPr>
          <w:rFonts w:ascii="Times New Roman" w:eastAsia="Times New Roman" w:hAnsi="Times New Roman" w:cs="Times New Roman"/>
          <w:u w:val="single"/>
          <w:lang w:eastAsia="lt-LT"/>
        </w:rPr>
      </w:pPr>
      <w:r w:rsidRPr="009F10EE">
        <w:rPr>
          <w:rFonts w:ascii="Times New Roman" w:eastAsia="Times New Roman" w:hAnsi="Times New Roman" w:cs="Times New Roman"/>
          <w:u w:val="single"/>
          <w:lang w:eastAsia="lt-LT"/>
        </w:rPr>
        <w:t>Tabletės plėvelė</w:t>
      </w:r>
    </w:p>
    <w:p w14:paraId="5FF5896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Laktozė monohidratas</w:t>
      </w:r>
    </w:p>
    <w:p w14:paraId="69A52C9A"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Hipromeliozė</w:t>
      </w:r>
    </w:p>
    <w:p w14:paraId="00ACF74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lastRenderedPageBreak/>
        <w:t>Titano dioksidas (E171)</w:t>
      </w:r>
    </w:p>
    <w:p w14:paraId="0696FE6B"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Triacetinas</w:t>
      </w:r>
    </w:p>
    <w:p w14:paraId="69AAF502"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Talkas</w:t>
      </w:r>
    </w:p>
    <w:p w14:paraId="5E86448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Geltonasis geležies oksidas (E172)</w:t>
      </w:r>
    </w:p>
    <w:p w14:paraId="5FFF8765"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68FA08CD"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6.2</w:t>
      </w:r>
      <w:r w:rsidRPr="009F10EE">
        <w:rPr>
          <w:rFonts w:ascii="Times New Roman" w:eastAsia="Times New Roman" w:hAnsi="Times New Roman" w:cs="Times New Roman"/>
          <w:b/>
        </w:rPr>
        <w:tab/>
        <w:t>Nesuderinamumas</w:t>
      </w:r>
    </w:p>
    <w:p w14:paraId="5B309BE1"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72D8E6CB"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r w:rsidRPr="009F10EE">
        <w:rPr>
          <w:rFonts w:ascii="Times New Roman" w:eastAsia="Times New Roman" w:hAnsi="Times New Roman" w:cs="Times New Roman"/>
          <w:lang w:eastAsia="ar-SA"/>
        </w:rPr>
        <w:t xml:space="preserve">Duomenys nebūtini. </w:t>
      </w:r>
    </w:p>
    <w:p w14:paraId="061AF4B5"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532A7A13"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6.3</w:t>
      </w:r>
      <w:r w:rsidRPr="009F10EE">
        <w:rPr>
          <w:rFonts w:ascii="Times New Roman" w:eastAsia="Times New Roman" w:hAnsi="Times New Roman" w:cs="Times New Roman"/>
          <w:b/>
        </w:rPr>
        <w:tab/>
        <w:t>Tinkamumo laikas</w:t>
      </w:r>
    </w:p>
    <w:p w14:paraId="1F9A1F31"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76AB710A"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r w:rsidRPr="009F10EE">
        <w:rPr>
          <w:rFonts w:ascii="Times New Roman" w:eastAsia="Times New Roman" w:hAnsi="Times New Roman" w:cs="Times New Roman"/>
          <w:lang w:eastAsia="ar-SA"/>
        </w:rPr>
        <w:t>3 metai.</w:t>
      </w:r>
    </w:p>
    <w:p w14:paraId="2A1C8F76"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24B85B0A"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6.4</w:t>
      </w:r>
      <w:r w:rsidRPr="009F10EE">
        <w:rPr>
          <w:rFonts w:ascii="Times New Roman" w:eastAsia="Times New Roman" w:hAnsi="Times New Roman" w:cs="Times New Roman"/>
          <w:b/>
        </w:rPr>
        <w:tab/>
        <w:t>Specialios laikymo sąlygos</w:t>
      </w:r>
    </w:p>
    <w:p w14:paraId="4F8958D0"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6320F6A8"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r w:rsidRPr="009F10EE">
        <w:rPr>
          <w:rFonts w:ascii="Times New Roman" w:eastAsia="Times New Roman" w:hAnsi="Times New Roman" w:cs="Times New Roman"/>
          <w:lang w:eastAsia="ar-SA"/>
        </w:rPr>
        <w:t>Šiam vaistiniam preparatui specialių laikymo sąlygų nereikia.</w:t>
      </w:r>
    </w:p>
    <w:p w14:paraId="02A375BC"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53E85396"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6.5</w:t>
      </w:r>
      <w:r w:rsidRPr="009F10EE">
        <w:rPr>
          <w:rFonts w:ascii="Times New Roman" w:eastAsia="Times New Roman" w:hAnsi="Times New Roman" w:cs="Times New Roman"/>
          <w:b/>
        </w:rPr>
        <w:tab/>
        <w:t>Talpyklės pobūdis ir jos turinys</w:t>
      </w:r>
      <w:r w:rsidRPr="009F10EE">
        <w:rPr>
          <w:rFonts w:ascii="Times New Roman" w:eastAsia="Times New Roman" w:hAnsi="Times New Roman" w:cs="Times New Roman"/>
          <w:b/>
          <w:lang w:eastAsia="ar-SA"/>
        </w:rPr>
        <w:t xml:space="preserve"> </w:t>
      </w:r>
    </w:p>
    <w:p w14:paraId="12DB745E"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080C009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PVC/PE/PVdC permatomos aliuminio lizdinės plokštelės.</w:t>
      </w:r>
    </w:p>
    <w:p w14:paraId="4F7F2414" w14:textId="77777777" w:rsidR="008C4948" w:rsidRPr="009F10EE" w:rsidRDefault="008C4948" w:rsidP="008C4948">
      <w:pPr>
        <w:tabs>
          <w:tab w:val="left" w:pos="567"/>
        </w:tabs>
        <w:spacing w:after="0" w:line="240" w:lineRule="auto"/>
        <w:rPr>
          <w:rFonts w:ascii="Times New Roman" w:eastAsia="Times New Roman" w:hAnsi="Times New Roman" w:cs="Times New Roman"/>
          <w:u w:val="single"/>
          <w:lang w:eastAsia="lt-LT"/>
        </w:rPr>
      </w:pPr>
    </w:p>
    <w:p w14:paraId="5B97E5D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u w:val="single"/>
          <w:lang w:eastAsia="lt-LT"/>
        </w:rPr>
        <w:t>Pakuočių dydžiai:</w:t>
      </w:r>
      <w:r w:rsidRPr="009F10EE">
        <w:rPr>
          <w:rFonts w:ascii="Times New Roman" w:eastAsia="Times New Roman" w:hAnsi="Times New Roman" w:cs="Times New Roman"/>
          <w:lang w:eastAsia="lt-LT"/>
        </w:rPr>
        <w:t xml:space="preserve"> 2, 4, 8, 12, 14, 28, 30, 56 arba 60 tablečių.</w:t>
      </w:r>
    </w:p>
    <w:p w14:paraId="6D59230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0FA186AF"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Gali būti tiekiamos ne visų dydžių pakuotės.</w:t>
      </w:r>
    </w:p>
    <w:p w14:paraId="42B8917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3DB123F3"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b/>
        </w:rPr>
      </w:pPr>
      <w:r w:rsidRPr="009F10EE">
        <w:rPr>
          <w:rFonts w:ascii="Times New Roman" w:eastAsia="Times New Roman" w:hAnsi="Times New Roman" w:cs="Times New Roman"/>
          <w:b/>
        </w:rPr>
        <w:t>6.6</w:t>
      </w:r>
      <w:r w:rsidRPr="009F10EE">
        <w:rPr>
          <w:rFonts w:ascii="Times New Roman" w:eastAsia="Times New Roman" w:hAnsi="Times New Roman" w:cs="Times New Roman"/>
          <w:b/>
        </w:rPr>
        <w:tab/>
        <w:t xml:space="preserve">Specialūs reikalavimai atliekoms tvarkyti </w:t>
      </w:r>
    </w:p>
    <w:p w14:paraId="4FBCF113" w14:textId="77777777" w:rsidR="008C4948" w:rsidRPr="009F10EE" w:rsidRDefault="008C4948" w:rsidP="008C49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lang w:eastAsia="ar-SA"/>
        </w:rPr>
      </w:pPr>
    </w:p>
    <w:p w14:paraId="1E7950E7"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ar-SA"/>
        </w:rPr>
      </w:pPr>
      <w:r w:rsidRPr="009F10EE">
        <w:rPr>
          <w:rFonts w:ascii="Times New Roman" w:eastAsia="Times New Roman" w:hAnsi="Times New Roman" w:cs="Times New Roman"/>
          <w:lang w:eastAsia="ar-SA"/>
        </w:rPr>
        <w:t>Nesuvartotą vaistinį preparatą ar atliekas reikia tvarkyti laikantis vietinių reikalavimų.</w:t>
      </w:r>
    </w:p>
    <w:p w14:paraId="2F21701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ar-SA"/>
        </w:rPr>
      </w:pPr>
    </w:p>
    <w:p w14:paraId="30D59804"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ar-SA"/>
        </w:rPr>
      </w:pPr>
    </w:p>
    <w:p w14:paraId="0D35A8BF" w14:textId="77777777" w:rsidR="008C4948" w:rsidRPr="009F10EE" w:rsidRDefault="008C4948" w:rsidP="008C4948">
      <w:pPr>
        <w:keepNext/>
        <w:keepLines/>
        <w:tabs>
          <w:tab w:val="left" w:pos="567"/>
        </w:tabs>
        <w:spacing w:after="0" w:line="240" w:lineRule="auto"/>
        <w:outlineLvl w:val="2"/>
        <w:rPr>
          <w:rFonts w:ascii="Times New Roman" w:eastAsia="Times New Roman" w:hAnsi="Times New Roman" w:cs="Times New Roman"/>
          <w:b/>
          <w:bCs/>
          <w:snapToGrid w:val="0"/>
        </w:rPr>
      </w:pPr>
      <w:r w:rsidRPr="009F10EE">
        <w:rPr>
          <w:rFonts w:ascii="Times New Roman" w:eastAsia="Times New Roman" w:hAnsi="Times New Roman" w:cs="Times New Roman"/>
          <w:b/>
          <w:bCs/>
          <w:snapToGrid w:val="0"/>
        </w:rPr>
        <w:t>7.</w:t>
      </w:r>
      <w:r w:rsidRPr="009F10EE">
        <w:rPr>
          <w:rFonts w:ascii="Times New Roman" w:eastAsia="Times New Roman" w:hAnsi="Times New Roman" w:cs="Times New Roman"/>
          <w:b/>
          <w:bCs/>
          <w:snapToGrid w:val="0"/>
        </w:rPr>
        <w:tab/>
        <w:t>REGISTRUOTOJAS</w:t>
      </w:r>
    </w:p>
    <w:p w14:paraId="5E977250" w14:textId="77777777" w:rsidR="008C4948" w:rsidRPr="009F10EE" w:rsidRDefault="008C4948" w:rsidP="008C4948">
      <w:pPr>
        <w:spacing w:after="0" w:line="240" w:lineRule="auto"/>
        <w:rPr>
          <w:rFonts w:ascii="Times New Roman" w:eastAsia="Times New Roman" w:hAnsi="Times New Roman" w:cs="Times New Roman"/>
          <w:snapToGrid w:val="0"/>
        </w:rPr>
      </w:pPr>
    </w:p>
    <w:p w14:paraId="7309597A" w14:textId="2B421CA2" w:rsidR="008C4948" w:rsidRPr="009F10EE" w:rsidRDefault="008C4948" w:rsidP="00E638B1">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 xml:space="preserve">Accord Healthcare </w:t>
      </w:r>
      <w:r w:rsidR="00C63DF6" w:rsidRPr="009F10EE">
        <w:rPr>
          <w:rFonts w:ascii="Times New Roman" w:hAnsi="Times New Roman" w:cs="Times New Roman"/>
        </w:rPr>
        <w:t xml:space="preserve">B.V. </w:t>
      </w:r>
    </w:p>
    <w:p w14:paraId="72FCDDF3"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 xml:space="preserve">Winthontlaan 200 </w:t>
      </w:r>
    </w:p>
    <w:p w14:paraId="69DBB87F"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 xml:space="preserve">3526 KV Utrecht </w:t>
      </w:r>
    </w:p>
    <w:p w14:paraId="2D41DED8"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Nyderlandai</w:t>
      </w:r>
    </w:p>
    <w:p w14:paraId="7850F033" w14:textId="77777777" w:rsidR="008C4948" w:rsidRPr="009F10EE" w:rsidRDefault="008C4948" w:rsidP="008C4948">
      <w:pPr>
        <w:spacing w:after="0" w:line="240" w:lineRule="auto"/>
        <w:rPr>
          <w:rFonts w:ascii="Times New Roman" w:eastAsia="Times New Roman" w:hAnsi="Times New Roman" w:cs="Times New Roman"/>
          <w:snapToGrid w:val="0"/>
        </w:rPr>
      </w:pPr>
    </w:p>
    <w:p w14:paraId="541BDDF2" w14:textId="77777777" w:rsidR="008C4948" w:rsidRPr="009F10EE" w:rsidRDefault="008C4948" w:rsidP="008C4948">
      <w:pPr>
        <w:spacing w:after="0" w:line="240" w:lineRule="auto"/>
        <w:rPr>
          <w:rFonts w:ascii="Times New Roman" w:eastAsia="Times New Roman" w:hAnsi="Times New Roman" w:cs="Times New Roman"/>
          <w:snapToGrid w:val="0"/>
        </w:rPr>
      </w:pPr>
    </w:p>
    <w:p w14:paraId="4C1E6BD9" w14:textId="77777777" w:rsidR="008C4948" w:rsidRPr="009F10EE" w:rsidRDefault="008C4948" w:rsidP="008C4948">
      <w:pPr>
        <w:keepNext/>
        <w:keepLines/>
        <w:tabs>
          <w:tab w:val="left" w:pos="567"/>
        </w:tabs>
        <w:spacing w:after="0" w:line="240" w:lineRule="auto"/>
        <w:outlineLvl w:val="2"/>
        <w:rPr>
          <w:rFonts w:ascii="Times New Roman" w:eastAsia="Times New Roman" w:hAnsi="Times New Roman" w:cs="Times New Roman"/>
          <w:b/>
          <w:bCs/>
          <w:snapToGrid w:val="0"/>
        </w:rPr>
      </w:pPr>
      <w:r w:rsidRPr="009F10EE">
        <w:rPr>
          <w:rFonts w:ascii="Times New Roman" w:eastAsia="Times New Roman" w:hAnsi="Times New Roman" w:cs="Times New Roman"/>
          <w:b/>
          <w:bCs/>
          <w:snapToGrid w:val="0"/>
        </w:rPr>
        <w:t>8.</w:t>
      </w:r>
      <w:r w:rsidRPr="009F10EE">
        <w:rPr>
          <w:rFonts w:ascii="Times New Roman" w:eastAsia="Times New Roman" w:hAnsi="Times New Roman" w:cs="Times New Roman"/>
          <w:b/>
          <w:bCs/>
          <w:snapToGrid w:val="0"/>
        </w:rPr>
        <w:tab/>
        <w:t xml:space="preserve">REGISTRACIJOS PAŽYMĖJIMO NUMERIS (-IAI) </w:t>
      </w:r>
    </w:p>
    <w:p w14:paraId="461C42FE" w14:textId="77777777" w:rsidR="008C4948" w:rsidRPr="009F10EE" w:rsidRDefault="008C4948" w:rsidP="008C4948">
      <w:pPr>
        <w:spacing w:after="0" w:line="240" w:lineRule="auto"/>
        <w:rPr>
          <w:rFonts w:ascii="Times New Roman" w:eastAsia="Times New Roman" w:hAnsi="Times New Roman" w:cs="Times New Roman"/>
          <w:snapToGrid w:val="0"/>
        </w:rPr>
      </w:pPr>
    </w:p>
    <w:p w14:paraId="217320C6" w14:textId="77777777" w:rsidR="00133AB8" w:rsidRPr="00133AB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LT/1/16/3972/007 – N2</w:t>
      </w:r>
    </w:p>
    <w:p w14:paraId="58BD05EC" w14:textId="77777777" w:rsidR="00133AB8" w:rsidRPr="00133AB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LT/1/16/3972/008 – N4</w:t>
      </w:r>
    </w:p>
    <w:p w14:paraId="66991F33" w14:textId="77777777" w:rsidR="00133AB8" w:rsidRPr="00133AB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LT/1/16/3972/009 – N8</w:t>
      </w:r>
    </w:p>
    <w:p w14:paraId="1B4EDA05" w14:textId="77777777" w:rsidR="00133AB8" w:rsidRPr="00133AB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LT/1/16/3972/010 – N12</w:t>
      </w:r>
    </w:p>
    <w:p w14:paraId="3B0EBA46" w14:textId="77777777" w:rsidR="00133AB8" w:rsidRPr="00133AB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LT/1/16/3972/011 – N56</w:t>
      </w:r>
    </w:p>
    <w:p w14:paraId="3F0CDBB5" w14:textId="77777777" w:rsidR="00133AB8" w:rsidRPr="00133AB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LT/1/16/3972/012 – N60</w:t>
      </w:r>
    </w:p>
    <w:p w14:paraId="6B558525" w14:textId="77777777" w:rsidR="00133AB8" w:rsidRPr="00133AB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LT/1/16/3972/016 – N14</w:t>
      </w:r>
    </w:p>
    <w:p w14:paraId="4AE1C6D7" w14:textId="77777777" w:rsidR="00133AB8" w:rsidRPr="00133AB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LT/1/16/3972/017 – N25</w:t>
      </w:r>
    </w:p>
    <w:p w14:paraId="5E2089D1" w14:textId="5295FD3F" w:rsidR="008C4948" w:rsidRDefault="00133AB8" w:rsidP="00133AB8">
      <w:pPr>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LT/1/16/3972/018 – N30</w:t>
      </w:r>
    </w:p>
    <w:p w14:paraId="5F213D3D" w14:textId="77777777" w:rsidR="00133AB8" w:rsidRPr="009F10EE" w:rsidRDefault="00133AB8" w:rsidP="00133AB8">
      <w:pPr>
        <w:spacing w:after="0" w:line="240" w:lineRule="auto"/>
        <w:rPr>
          <w:rFonts w:ascii="Times New Roman" w:eastAsia="Times New Roman" w:hAnsi="Times New Roman" w:cs="Times New Roman"/>
          <w:snapToGrid w:val="0"/>
        </w:rPr>
      </w:pPr>
    </w:p>
    <w:p w14:paraId="21540EBD" w14:textId="77777777" w:rsidR="008C4948" w:rsidRPr="009F10EE" w:rsidRDefault="008C4948" w:rsidP="008C4948">
      <w:pPr>
        <w:spacing w:after="0" w:line="240" w:lineRule="auto"/>
        <w:rPr>
          <w:rFonts w:ascii="Times New Roman" w:eastAsia="Times New Roman" w:hAnsi="Times New Roman" w:cs="Times New Roman"/>
          <w:snapToGrid w:val="0"/>
        </w:rPr>
      </w:pPr>
    </w:p>
    <w:p w14:paraId="30C62D25" w14:textId="77777777" w:rsidR="008C4948" w:rsidRPr="009F10EE" w:rsidRDefault="008C4948" w:rsidP="00C4453E">
      <w:pPr>
        <w:keepNext/>
        <w:keepLines/>
        <w:tabs>
          <w:tab w:val="left" w:pos="567"/>
        </w:tabs>
        <w:spacing w:after="0" w:line="240" w:lineRule="auto"/>
        <w:outlineLvl w:val="2"/>
        <w:rPr>
          <w:rFonts w:ascii="Times New Roman" w:eastAsia="Times New Roman" w:hAnsi="Times New Roman" w:cs="Times New Roman"/>
          <w:b/>
          <w:bCs/>
          <w:snapToGrid w:val="0"/>
        </w:rPr>
      </w:pPr>
      <w:r w:rsidRPr="009F10EE">
        <w:rPr>
          <w:rFonts w:ascii="Times New Roman" w:eastAsia="Times New Roman" w:hAnsi="Times New Roman" w:cs="Times New Roman"/>
          <w:b/>
          <w:bCs/>
          <w:snapToGrid w:val="0"/>
        </w:rPr>
        <w:lastRenderedPageBreak/>
        <w:t>9.</w:t>
      </w:r>
      <w:r w:rsidRPr="009F10EE">
        <w:rPr>
          <w:rFonts w:ascii="Times New Roman" w:eastAsia="Times New Roman" w:hAnsi="Times New Roman" w:cs="Times New Roman"/>
          <w:b/>
          <w:bCs/>
          <w:snapToGrid w:val="0"/>
        </w:rPr>
        <w:tab/>
        <w:t>REGISTRAVIMO / PERREGISTRAVIMO DATA</w:t>
      </w:r>
    </w:p>
    <w:p w14:paraId="3DBEBF08" w14:textId="77777777" w:rsidR="008C4948" w:rsidRPr="009F10EE" w:rsidRDefault="008C4948" w:rsidP="00C4453E">
      <w:pPr>
        <w:keepNext/>
        <w:spacing w:after="0" w:line="240" w:lineRule="auto"/>
        <w:rPr>
          <w:rFonts w:ascii="Times New Roman" w:eastAsia="Times New Roman" w:hAnsi="Times New Roman" w:cs="Times New Roman"/>
          <w:snapToGrid w:val="0"/>
        </w:rPr>
      </w:pPr>
    </w:p>
    <w:p w14:paraId="59B36089" w14:textId="04959F83" w:rsidR="008C4948" w:rsidRDefault="008C4948" w:rsidP="00C4453E">
      <w:pPr>
        <w:keepNext/>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Registravimo data 2016 m. rugsėjo 26 d.</w:t>
      </w:r>
    </w:p>
    <w:p w14:paraId="7B151BE2" w14:textId="344A377D" w:rsidR="003468F3" w:rsidRPr="009F10EE" w:rsidRDefault="003468F3" w:rsidP="008C4948">
      <w:pPr>
        <w:spacing w:after="0" w:line="240" w:lineRule="auto"/>
        <w:rPr>
          <w:rFonts w:ascii="Times New Roman" w:eastAsia="Times New Roman" w:hAnsi="Times New Roman" w:cs="Times New Roman"/>
          <w:snapToGrid w:val="0"/>
        </w:rPr>
      </w:pPr>
      <w:r w:rsidRPr="003468F3">
        <w:rPr>
          <w:rFonts w:ascii="Times New Roman" w:eastAsia="Times New Roman" w:hAnsi="Times New Roman" w:cs="Times New Roman"/>
          <w:snapToGrid w:val="0"/>
        </w:rPr>
        <w:t>Paskutinio perregistravimo data</w:t>
      </w:r>
      <w:r>
        <w:rPr>
          <w:rFonts w:ascii="Times New Roman" w:eastAsia="Times New Roman" w:hAnsi="Times New Roman" w:cs="Times New Roman"/>
          <w:snapToGrid w:val="0"/>
        </w:rPr>
        <w:t xml:space="preserve"> 2022 m. </w:t>
      </w:r>
      <w:r w:rsidR="00133AB8">
        <w:rPr>
          <w:rFonts w:ascii="Times New Roman" w:eastAsia="Times New Roman" w:hAnsi="Times New Roman" w:cs="Times New Roman"/>
          <w:snapToGrid w:val="0"/>
        </w:rPr>
        <w:t>balandžio 22 d.</w:t>
      </w:r>
    </w:p>
    <w:p w14:paraId="518B3E50" w14:textId="77777777" w:rsidR="008C4948" w:rsidRPr="009F10EE" w:rsidRDefault="008C4948" w:rsidP="008C4948">
      <w:pPr>
        <w:spacing w:after="0" w:line="240" w:lineRule="auto"/>
        <w:rPr>
          <w:rFonts w:ascii="Times New Roman" w:eastAsia="Times New Roman" w:hAnsi="Times New Roman" w:cs="Times New Roman"/>
          <w:snapToGrid w:val="0"/>
        </w:rPr>
      </w:pPr>
    </w:p>
    <w:p w14:paraId="65E25508" w14:textId="77777777" w:rsidR="008C4948" w:rsidRPr="009F10EE" w:rsidRDefault="008C4948" w:rsidP="008C4948">
      <w:pPr>
        <w:spacing w:after="0" w:line="240" w:lineRule="auto"/>
        <w:rPr>
          <w:rFonts w:ascii="Times New Roman" w:eastAsia="Times New Roman" w:hAnsi="Times New Roman" w:cs="Times New Roman"/>
          <w:snapToGrid w:val="0"/>
        </w:rPr>
      </w:pPr>
    </w:p>
    <w:p w14:paraId="36E5092B" w14:textId="77777777" w:rsidR="008C4948" w:rsidRPr="009F10EE" w:rsidRDefault="008C4948" w:rsidP="008C4948">
      <w:pPr>
        <w:keepNext/>
        <w:keepLines/>
        <w:tabs>
          <w:tab w:val="left" w:pos="567"/>
        </w:tabs>
        <w:spacing w:after="0" w:line="240" w:lineRule="auto"/>
        <w:outlineLvl w:val="2"/>
        <w:rPr>
          <w:rFonts w:ascii="Times New Roman" w:eastAsia="Times New Roman" w:hAnsi="Times New Roman" w:cs="Times New Roman"/>
          <w:b/>
          <w:bCs/>
          <w:snapToGrid w:val="0"/>
        </w:rPr>
      </w:pPr>
      <w:r w:rsidRPr="009F10EE">
        <w:rPr>
          <w:rFonts w:ascii="Times New Roman" w:eastAsia="Times New Roman" w:hAnsi="Times New Roman" w:cs="Times New Roman"/>
          <w:b/>
          <w:bCs/>
          <w:snapToGrid w:val="0"/>
        </w:rPr>
        <w:t>10.</w:t>
      </w:r>
      <w:r w:rsidRPr="009F10EE">
        <w:rPr>
          <w:rFonts w:ascii="Times New Roman" w:eastAsia="Times New Roman" w:hAnsi="Times New Roman" w:cs="Times New Roman"/>
          <w:b/>
          <w:bCs/>
          <w:snapToGrid w:val="0"/>
        </w:rPr>
        <w:tab/>
        <w:t>TEKSTO PERŽIŪROS DATA</w:t>
      </w:r>
    </w:p>
    <w:p w14:paraId="0B9D9ABB" w14:textId="45FD76BF" w:rsidR="008C4948" w:rsidRPr="009F10EE" w:rsidRDefault="008C4948" w:rsidP="008C4948">
      <w:pPr>
        <w:spacing w:after="0" w:line="240" w:lineRule="auto"/>
        <w:rPr>
          <w:rFonts w:ascii="Times New Roman" w:eastAsia="Times New Roman" w:hAnsi="Times New Roman" w:cs="Times New Roman"/>
          <w:snapToGrid w:val="0"/>
        </w:rPr>
      </w:pPr>
    </w:p>
    <w:p w14:paraId="0FD689F0" w14:textId="18AA61BA" w:rsidR="008E30EC" w:rsidRPr="009F10EE" w:rsidRDefault="008E30EC" w:rsidP="0091366A">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2024 m. kovo 15 d.</w:t>
      </w:r>
    </w:p>
    <w:p w14:paraId="7FE453D3" w14:textId="77777777" w:rsidR="00133AB8" w:rsidRDefault="00133AB8" w:rsidP="008C4948">
      <w:pPr>
        <w:tabs>
          <w:tab w:val="left" w:pos="5954"/>
          <w:tab w:val="left" w:pos="6237"/>
          <w:tab w:val="left" w:pos="6663"/>
          <w:tab w:val="left" w:pos="6946"/>
        </w:tabs>
        <w:spacing w:after="0" w:line="240" w:lineRule="auto"/>
        <w:rPr>
          <w:rFonts w:ascii="Times New Roman" w:eastAsia="SimSun" w:hAnsi="Times New Roman" w:cs="Times New Roman"/>
        </w:rPr>
      </w:pPr>
    </w:p>
    <w:p w14:paraId="66E9FA96" w14:textId="77777777" w:rsidR="008C4948" w:rsidRPr="009F10EE" w:rsidRDefault="008C4948" w:rsidP="008C4948">
      <w:pPr>
        <w:tabs>
          <w:tab w:val="left" w:pos="5954"/>
          <w:tab w:val="left" w:pos="6237"/>
          <w:tab w:val="left" w:pos="6663"/>
          <w:tab w:val="left" w:pos="6946"/>
        </w:tabs>
        <w:spacing w:after="0" w:line="240" w:lineRule="auto"/>
        <w:rPr>
          <w:rFonts w:ascii="Times New Roman" w:eastAsia="SimSun" w:hAnsi="Times New Roman" w:cs="Times New Roman"/>
        </w:rPr>
      </w:pPr>
      <w:r w:rsidRPr="009F10EE">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9F10EE">
        <w:rPr>
          <w:rFonts w:ascii="Times New Roman" w:eastAsia="SimSun" w:hAnsi="Times New Roman" w:cs="Times New Roman"/>
          <w:i/>
        </w:rPr>
        <w:t xml:space="preserve"> </w:t>
      </w:r>
      <w:hyperlink r:id="rId10" w:history="1">
        <w:r w:rsidRPr="008670E9">
          <w:rPr>
            <w:rStyle w:val="Hipersaitas"/>
            <w:rFonts w:ascii="Times New Roman" w:hAnsi="Times New Roman" w:cs="Times New Roman"/>
          </w:rPr>
          <w:t>http://www.vvkt.lt</w:t>
        </w:r>
      </w:hyperlink>
    </w:p>
    <w:p w14:paraId="393F286E" w14:textId="77777777" w:rsidR="008C4948" w:rsidRPr="009F10EE" w:rsidRDefault="008C4948" w:rsidP="008C4948">
      <w:pPr>
        <w:rPr>
          <w:rFonts w:ascii="Times New Roman" w:eastAsia="SimSun" w:hAnsi="Times New Roman" w:cs="Times New Roman"/>
        </w:rPr>
      </w:pPr>
      <w:r w:rsidRPr="009F10EE">
        <w:rPr>
          <w:rFonts w:ascii="Times New Roman" w:eastAsia="SimSun" w:hAnsi="Times New Roman" w:cs="Times New Roman"/>
        </w:rPr>
        <w:br w:type="page"/>
      </w:r>
    </w:p>
    <w:p w14:paraId="46FED8EE" w14:textId="77777777" w:rsidR="008C4948" w:rsidRPr="009F10EE" w:rsidRDefault="008C4948" w:rsidP="008C4948">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39D4FB8D" w14:textId="77777777" w:rsidR="008C4948" w:rsidRPr="009F10EE" w:rsidRDefault="008C4948" w:rsidP="008C4948">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3AC328F0"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lang w:eastAsia="lt-LT"/>
        </w:rPr>
      </w:pPr>
    </w:p>
    <w:p w14:paraId="6C065B6C" w14:textId="77777777" w:rsidR="008C4948" w:rsidRPr="009F10EE" w:rsidRDefault="008C4948" w:rsidP="008C4948">
      <w:pPr>
        <w:tabs>
          <w:tab w:val="left" w:pos="567"/>
          <w:tab w:val="left" w:pos="5954"/>
          <w:tab w:val="left" w:pos="6237"/>
          <w:tab w:val="left" w:pos="6663"/>
          <w:tab w:val="left" w:pos="6946"/>
        </w:tabs>
        <w:spacing w:after="0" w:line="240" w:lineRule="auto"/>
        <w:jc w:val="center"/>
        <w:rPr>
          <w:rFonts w:ascii="Times New Roman" w:eastAsia="SimSun" w:hAnsi="Times New Roman" w:cs="Times New Roman"/>
        </w:rPr>
      </w:pPr>
    </w:p>
    <w:p w14:paraId="4AEE2F13" w14:textId="77777777" w:rsidR="008C4948" w:rsidRPr="009F10EE" w:rsidRDefault="008C4948" w:rsidP="008C4948">
      <w:pPr>
        <w:tabs>
          <w:tab w:val="left" w:pos="567"/>
          <w:tab w:val="left" w:pos="5954"/>
          <w:tab w:val="left" w:pos="6237"/>
          <w:tab w:val="left" w:pos="6663"/>
          <w:tab w:val="left" w:pos="6946"/>
        </w:tabs>
        <w:spacing w:after="0" w:line="240" w:lineRule="auto"/>
        <w:jc w:val="center"/>
        <w:rPr>
          <w:rFonts w:ascii="Times New Roman" w:eastAsia="SimSun" w:hAnsi="Times New Roman" w:cs="Times New Roman"/>
        </w:rPr>
      </w:pPr>
    </w:p>
    <w:p w14:paraId="2E90DB06" w14:textId="77777777" w:rsidR="008C4948" w:rsidRPr="009F10EE" w:rsidRDefault="008C4948" w:rsidP="008C4948">
      <w:pPr>
        <w:tabs>
          <w:tab w:val="left" w:pos="567"/>
          <w:tab w:val="left" w:pos="5954"/>
          <w:tab w:val="left" w:pos="6237"/>
          <w:tab w:val="left" w:pos="6663"/>
          <w:tab w:val="left" w:pos="6946"/>
        </w:tabs>
        <w:spacing w:after="0" w:line="240" w:lineRule="auto"/>
        <w:jc w:val="center"/>
        <w:rPr>
          <w:rFonts w:ascii="Times New Roman" w:eastAsia="SimSun" w:hAnsi="Times New Roman" w:cs="Times New Roman"/>
        </w:rPr>
      </w:pPr>
    </w:p>
    <w:p w14:paraId="062F36F8" w14:textId="77777777" w:rsidR="008C4948" w:rsidRPr="009F10EE" w:rsidRDefault="008C4948" w:rsidP="008C4948">
      <w:pPr>
        <w:tabs>
          <w:tab w:val="left" w:pos="567"/>
          <w:tab w:val="left" w:pos="4536"/>
          <w:tab w:val="left" w:pos="4678"/>
          <w:tab w:val="left" w:pos="5954"/>
          <w:tab w:val="left" w:pos="6237"/>
          <w:tab w:val="left" w:pos="6663"/>
          <w:tab w:val="left" w:pos="6946"/>
        </w:tabs>
        <w:spacing w:after="0" w:line="240" w:lineRule="auto"/>
        <w:jc w:val="center"/>
        <w:rPr>
          <w:rFonts w:ascii="Times New Roman" w:eastAsia="SimSun" w:hAnsi="Times New Roman" w:cs="Times New Roman"/>
        </w:rPr>
      </w:pPr>
    </w:p>
    <w:p w14:paraId="5C5C8E00" w14:textId="77777777" w:rsidR="008C4948" w:rsidRPr="009F10EE" w:rsidRDefault="008C4948" w:rsidP="008C4948">
      <w:pPr>
        <w:tabs>
          <w:tab w:val="left" w:pos="567"/>
          <w:tab w:val="left" w:pos="4536"/>
          <w:tab w:val="left" w:pos="4678"/>
          <w:tab w:val="left" w:pos="5954"/>
          <w:tab w:val="left" w:pos="6237"/>
          <w:tab w:val="left" w:pos="6663"/>
          <w:tab w:val="left" w:pos="6946"/>
        </w:tabs>
        <w:spacing w:after="0" w:line="240" w:lineRule="auto"/>
        <w:jc w:val="center"/>
        <w:rPr>
          <w:rFonts w:ascii="Times New Roman" w:eastAsia="SimSun" w:hAnsi="Times New Roman" w:cs="Times New Roman"/>
        </w:rPr>
      </w:pPr>
    </w:p>
    <w:p w14:paraId="65C081E5" w14:textId="77777777" w:rsidR="008C4948" w:rsidRPr="009F10EE" w:rsidRDefault="008C4948" w:rsidP="008C4948">
      <w:pPr>
        <w:tabs>
          <w:tab w:val="left" w:pos="567"/>
          <w:tab w:val="left" w:pos="4536"/>
          <w:tab w:val="left" w:pos="4678"/>
          <w:tab w:val="left" w:pos="5954"/>
          <w:tab w:val="left" w:pos="6237"/>
          <w:tab w:val="left" w:pos="6663"/>
          <w:tab w:val="left" w:pos="6946"/>
        </w:tabs>
        <w:spacing w:after="0" w:line="240" w:lineRule="auto"/>
        <w:ind w:right="-144"/>
        <w:jc w:val="center"/>
        <w:rPr>
          <w:rFonts w:ascii="Times New Roman" w:eastAsia="SimSun" w:hAnsi="Times New Roman" w:cs="Times New Roman"/>
          <w:color w:val="000000"/>
        </w:rPr>
      </w:pPr>
    </w:p>
    <w:p w14:paraId="25441D9D" w14:textId="77777777" w:rsidR="008C4948" w:rsidRPr="009F10EE" w:rsidRDefault="008C4948" w:rsidP="008C4948">
      <w:pPr>
        <w:tabs>
          <w:tab w:val="left" w:pos="567"/>
          <w:tab w:val="left" w:pos="4536"/>
          <w:tab w:val="left" w:pos="4678"/>
        </w:tabs>
        <w:spacing w:after="0" w:line="240" w:lineRule="auto"/>
        <w:jc w:val="center"/>
        <w:rPr>
          <w:rFonts w:ascii="Times New Roman" w:eastAsia="Times New Roman" w:hAnsi="Times New Roman" w:cs="Times New Roman"/>
          <w:lang w:eastAsia="lt-LT"/>
        </w:rPr>
      </w:pPr>
    </w:p>
    <w:p w14:paraId="4130C755" w14:textId="77777777" w:rsidR="008C4948" w:rsidRPr="009F10EE" w:rsidRDefault="008C4948" w:rsidP="008C4948">
      <w:pPr>
        <w:tabs>
          <w:tab w:val="left" w:pos="567"/>
          <w:tab w:val="left" w:pos="4536"/>
          <w:tab w:val="left" w:pos="4678"/>
        </w:tabs>
        <w:spacing w:after="0" w:line="240" w:lineRule="auto"/>
        <w:jc w:val="center"/>
        <w:rPr>
          <w:rFonts w:ascii="Times New Roman" w:eastAsia="Times New Roman" w:hAnsi="Times New Roman" w:cs="Times New Roman"/>
          <w:lang w:eastAsia="lt-LT"/>
        </w:rPr>
      </w:pPr>
    </w:p>
    <w:p w14:paraId="075BE3AB"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lang w:eastAsia="lt-LT"/>
        </w:rPr>
      </w:pPr>
    </w:p>
    <w:p w14:paraId="6B39DE27"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lang w:eastAsia="lt-LT"/>
        </w:rPr>
      </w:pPr>
    </w:p>
    <w:p w14:paraId="260C5F80"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lang w:eastAsia="lt-LT"/>
        </w:rPr>
      </w:pPr>
    </w:p>
    <w:p w14:paraId="43B8898A"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lang w:eastAsia="lt-LT"/>
        </w:rPr>
      </w:pPr>
    </w:p>
    <w:p w14:paraId="19815D62"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lang w:eastAsia="lt-LT"/>
        </w:rPr>
      </w:pPr>
    </w:p>
    <w:p w14:paraId="12E841CF"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lang w:eastAsia="lt-LT"/>
        </w:rPr>
      </w:pPr>
    </w:p>
    <w:p w14:paraId="7331676E"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lang w:eastAsia="lt-LT"/>
        </w:rPr>
      </w:pPr>
    </w:p>
    <w:p w14:paraId="4959E0DE"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lang w:eastAsia="lt-LT"/>
        </w:rPr>
      </w:pPr>
    </w:p>
    <w:p w14:paraId="181492DF"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lang w:eastAsia="lt-LT"/>
        </w:rPr>
      </w:pPr>
    </w:p>
    <w:p w14:paraId="68532FE7"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lang w:eastAsia="lt-LT"/>
        </w:rPr>
      </w:pPr>
    </w:p>
    <w:p w14:paraId="5A61A847"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lang w:eastAsia="lt-LT"/>
        </w:rPr>
      </w:pPr>
    </w:p>
    <w:p w14:paraId="6F819331"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58F8B21D"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b/>
          <w:lang w:eastAsia="lt-LT"/>
        </w:rPr>
      </w:pPr>
      <w:r w:rsidRPr="009F10EE">
        <w:rPr>
          <w:rFonts w:ascii="Times New Roman" w:eastAsia="Times New Roman" w:hAnsi="Times New Roman" w:cs="Times New Roman"/>
          <w:b/>
          <w:lang w:eastAsia="lt-LT"/>
        </w:rPr>
        <w:t>II PRIEDAS</w:t>
      </w:r>
    </w:p>
    <w:p w14:paraId="57D5F15A" w14:textId="77777777" w:rsidR="008C4948" w:rsidRPr="009F10EE" w:rsidRDefault="008C4948" w:rsidP="008C4948">
      <w:pPr>
        <w:tabs>
          <w:tab w:val="left" w:pos="567"/>
        </w:tabs>
        <w:spacing w:after="0" w:line="260" w:lineRule="exact"/>
        <w:jc w:val="center"/>
        <w:rPr>
          <w:rFonts w:ascii="Times New Roman" w:eastAsia="Times New Roman" w:hAnsi="Times New Roman" w:cs="Times New Roman"/>
          <w:b/>
          <w:snapToGrid w:val="0"/>
        </w:rPr>
      </w:pPr>
    </w:p>
    <w:p w14:paraId="4598FC56" w14:textId="77777777" w:rsidR="008C4948" w:rsidRPr="009F10EE" w:rsidRDefault="008C4948" w:rsidP="008C4948">
      <w:pPr>
        <w:tabs>
          <w:tab w:val="left" w:pos="567"/>
        </w:tabs>
        <w:spacing w:after="0" w:line="260" w:lineRule="exact"/>
        <w:jc w:val="center"/>
        <w:rPr>
          <w:rFonts w:ascii="Times New Roman" w:eastAsia="Times New Roman" w:hAnsi="Times New Roman" w:cs="Times New Roman"/>
          <w:i/>
          <w:snapToGrid w:val="0"/>
        </w:rPr>
      </w:pPr>
      <w:r w:rsidRPr="009F10EE">
        <w:rPr>
          <w:rFonts w:ascii="Times New Roman" w:eastAsia="Times New Roman" w:hAnsi="Times New Roman" w:cs="Times New Roman"/>
          <w:b/>
          <w:snapToGrid w:val="0"/>
        </w:rPr>
        <w:t>REGISTRACIJOS SĄLYGOS</w:t>
      </w:r>
    </w:p>
    <w:p w14:paraId="191545A3"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01D4240" w14:textId="77777777" w:rsidR="008C4948" w:rsidRPr="009F10EE" w:rsidRDefault="008C4948" w:rsidP="008C4948">
      <w:pPr>
        <w:tabs>
          <w:tab w:val="left" w:pos="567"/>
          <w:tab w:val="left" w:pos="1701"/>
        </w:tabs>
        <w:spacing w:after="0" w:line="240" w:lineRule="auto"/>
        <w:ind w:left="1701" w:right="567" w:hanging="567"/>
        <w:rPr>
          <w:rFonts w:ascii="Times New Roman" w:eastAsia="Times New Roman" w:hAnsi="Times New Roman" w:cs="Times New Roman"/>
          <w:b/>
          <w:lang w:eastAsia="lt-LT"/>
        </w:rPr>
      </w:pPr>
      <w:r w:rsidRPr="009F10EE">
        <w:rPr>
          <w:rFonts w:ascii="Times New Roman" w:eastAsia="Times New Roman" w:hAnsi="Times New Roman" w:cs="Times New Roman"/>
          <w:b/>
          <w:lang w:eastAsia="lt-LT"/>
        </w:rPr>
        <w:t>A.</w:t>
      </w:r>
      <w:r w:rsidRPr="009F10EE">
        <w:rPr>
          <w:rFonts w:ascii="Times New Roman" w:eastAsia="Times New Roman" w:hAnsi="Times New Roman" w:cs="Times New Roman"/>
          <w:b/>
          <w:lang w:eastAsia="lt-LT"/>
        </w:rPr>
        <w:tab/>
        <w:t>GAMINTOJAS, ATSAKINGAS UŽ SERIJŲ IŠLEIDIMĄ</w:t>
      </w:r>
    </w:p>
    <w:p w14:paraId="5D836864" w14:textId="77777777" w:rsidR="008C4948" w:rsidRPr="009F10EE" w:rsidRDefault="008C4948" w:rsidP="008C4948">
      <w:pPr>
        <w:tabs>
          <w:tab w:val="left" w:pos="567"/>
          <w:tab w:val="left" w:pos="1701"/>
        </w:tabs>
        <w:spacing w:after="0" w:line="240" w:lineRule="auto"/>
        <w:ind w:left="567" w:right="567" w:hanging="567"/>
        <w:rPr>
          <w:rFonts w:ascii="Times New Roman" w:eastAsia="Times New Roman" w:hAnsi="Times New Roman" w:cs="Times New Roman"/>
          <w:lang w:eastAsia="lt-LT"/>
        </w:rPr>
      </w:pPr>
    </w:p>
    <w:p w14:paraId="1548A7B0" w14:textId="77777777" w:rsidR="008C4948" w:rsidRPr="009F10EE" w:rsidRDefault="008C4948" w:rsidP="008C4948">
      <w:pPr>
        <w:tabs>
          <w:tab w:val="left" w:pos="567"/>
          <w:tab w:val="left" w:pos="1701"/>
        </w:tabs>
        <w:spacing w:after="0" w:line="240" w:lineRule="auto"/>
        <w:ind w:left="1701" w:right="567" w:hanging="567"/>
        <w:rPr>
          <w:rFonts w:ascii="Times New Roman" w:eastAsia="Times New Roman" w:hAnsi="Times New Roman" w:cs="Times New Roman"/>
          <w:b/>
          <w:lang w:eastAsia="lt-LT"/>
        </w:rPr>
      </w:pPr>
      <w:r w:rsidRPr="009F10EE">
        <w:rPr>
          <w:rFonts w:ascii="Times New Roman" w:eastAsia="Times New Roman" w:hAnsi="Times New Roman" w:cs="Times New Roman"/>
          <w:b/>
          <w:lang w:eastAsia="lt-LT"/>
        </w:rPr>
        <w:t>B.</w:t>
      </w:r>
      <w:r w:rsidRPr="009F10EE">
        <w:rPr>
          <w:rFonts w:ascii="Times New Roman" w:eastAsia="Times New Roman" w:hAnsi="Times New Roman" w:cs="Times New Roman"/>
          <w:b/>
          <w:lang w:eastAsia="lt-LT"/>
        </w:rPr>
        <w:tab/>
        <w:t>TIEKIMO IR VARTOJIMO SĄLYGOS AR APRIBOJIMAI</w:t>
      </w:r>
    </w:p>
    <w:p w14:paraId="1F55B8DF" w14:textId="77777777" w:rsidR="008C4948" w:rsidRPr="009F10EE" w:rsidRDefault="008C4948" w:rsidP="008C4948">
      <w:pPr>
        <w:tabs>
          <w:tab w:val="left" w:pos="567"/>
        </w:tabs>
        <w:spacing w:after="0" w:line="240" w:lineRule="auto"/>
        <w:ind w:left="567" w:hanging="567"/>
        <w:rPr>
          <w:rFonts w:ascii="Times New Roman" w:eastAsia="Times New Roman" w:hAnsi="Times New Roman" w:cs="Times New Roman"/>
          <w:b/>
          <w:lang w:eastAsia="lt-LT"/>
        </w:rPr>
      </w:pPr>
      <w:r w:rsidRPr="009F10EE">
        <w:rPr>
          <w:rFonts w:ascii="Times New Roman" w:eastAsia="Times New Roman" w:hAnsi="Times New Roman" w:cs="Times New Roman"/>
          <w:lang w:eastAsia="lt-LT"/>
        </w:rPr>
        <w:br w:type="page"/>
      </w:r>
      <w:r w:rsidRPr="009F10EE">
        <w:rPr>
          <w:rFonts w:ascii="Times New Roman" w:eastAsia="Times New Roman" w:hAnsi="Times New Roman" w:cs="Times New Roman"/>
          <w:b/>
          <w:lang w:eastAsia="lt-LT"/>
        </w:rPr>
        <w:lastRenderedPageBreak/>
        <w:t>A.</w:t>
      </w:r>
      <w:r w:rsidRPr="009F10EE">
        <w:rPr>
          <w:rFonts w:ascii="Times New Roman" w:eastAsia="Times New Roman" w:hAnsi="Times New Roman" w:cs="Times New Roman"/>
          <w:b/>
          <w:lang w:eastAsia="lt-LT"/>
        </w:rPr>
        <w:tab/>
        <w:t>GAMINTOJAS, ATSAKINGAS UŽ SERIJŲ IŠLEIDIMĄ</w:t>
      </w:r>
    </w:p>
    <w:p w14:paraId="36A203C0"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0076B432" w14:textId="77777777" w:rsidR="008C4948" w:rsidRPr="009F10EE" w:rsidRDefault="008C4948" w:rsidP="008C4948">
      <w:pPr>
        <w:tabs>
          <w:tab w:val="left" w:pos="567"/>
        </w:tabs>
        <w:spacing w:after="0" w:line="240" w:lineRule="auto"/>
        <w:jc w:val="both"/>
        <w:rPr>
          <w:rFonts w:ascii="Times New Roman" w:eastAsia="Times New Roman" w:hAnsi="Times New Roman" w:cs="Times New Roman"/>
          <w:lang w:eastAsia="lt-LT"/>
        </w:rPr>
      </w:pPr>
      <w:r w:rsidRPr="009F10EE">
        <w:rPr>
          <w:rFonts w:ascii="Times New Roman" w:eastAsia="Times New Roman" w:hAnsi="Times New Roman" w:cs="Times New Roman"/>
          <w:u w:val="single"/>
          <w:lang w:eastAsia="lt-LT"/>
        </w:rPr>
        <w:t>Gamintojo, atsakingo už serijų išleidimą, pavadinimas ir adresas</w:t>
      </w:r>
    </w:p>
    <w:p w14:paraId="64EB94AA"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27508FBB" w14:textId="77777777" w:rsidR="00531D34" w:rsidRPr="00531D34" w:rsidRDefault="00531D34" w:rsidP="00531D34">
      <w:pPr>
        <w:widowControl w:val="0"/>
        <w:autoSpaceDE w:val="0"/>
        <w:autoSpaceDN w:val="0"/>
        <w:adjustRightInd w:val="0"/>
        <w:spacing w:after="0" w:line="240" w:lineRule="auto"/>
        <w:ind w:right="-20"/>
        <w:rPr>
          <w:rFonts w:ascii="Times New Roman" w:hAnsi="Times New Roman" w:cs="Times New Roman"/>
        </w:rPr>
      </w:pPr>
      <w:r w:rsidRPr="00531D34">
        <w:rPr>
          <w:rFonts w:ascii="Times New Roman" w:hAnsi="Times New Roman" w:cs="Times New Roman"/>
        </w:rPr>
        <w:t xml:space="preserve">Accord Healthcare B.V. </w:t>
      </w:r>
    </w:p>
    <w:p w14:paraId="58A6C057" w14:textId="77777777" w:rsidR="00531D34" w:rsidRPr="00531D34" w:rsidRDefault="00531D34" w:rsidP="00531D34">
      <w:pPr>
        <w:widowControl w:val="0"/>
        <w:autoSpaceDE w:val="0"/>
        <w:autoSpaceDN w:val="0"/>
        <w:adjustRightInd w:val="0"/>
        <w:spacing w:after="0" w:line="240" w:lineRule="auto"/>
        <w:ind w:right="-20"/>
        <w:rPr>
          <w:rFonts w:ascii="Times New Roman" w:hAnsi="Times New Roman" w:cs="Times New Roman"/>
        </w:rPr>
      </w:pPr>
      <w:r w:rsidRPr="00531D34">
        <w:rPr>
          <w:rFonts w:ascii="Times New Roman" w:hAnsi="Times New Roman" w:cs="Times New Roman"/>
        </w:rPr>
        <w:t>Winthontlaan 200</w:t>
      </w:r>
    </w:p>
    <w:p w14:paraId="102DA76B" w14:textId="77777777" w:rsidR="00531D34" w:rsidRPr="00531D34" w:rsidRDefault="00531D34" w:rsidP="00531D34">
      <w:pPr>
        <w:widowControl w:val="0"/>
        <w:autoSpaceDE w:val="0"/>
        <w:autoSpaceDN w:val="0"/>
        <w:adjustRightInd w:val="0"/>
        <w:spacing w:after="0" w:line="240" w:lineRule="auto"/>
        <w:ind w:right="-20"/>
        <w:rPr>
          <w:rFonts w:ascii="Times New Roman" w:hAnsi="Times New Roman" w:cs="Times New Roman"/>
        </w:rPr>
      </w:pPr>
      <w:r w:rsidRPr="00531D34">
        <w:rPr>
          <w:rFonts w:ascii="Times New Roman" w:hAnsi="Times New Roman" w:cs="Times New Roman"/>
        </w:rPr>
        <w:t>3526 KV Utrecht</w:t>
      </w:r>
    </w:p>
    <w:p w14:paraId="0AE4794C" w14:textId="69A78F72" w:rsidR="00746A3E" w:rsidRPr="009F10EE" w:rsidRDefault="00531D34" w:rsidP="00771646">
      <w:pPr>
        <w:spacing w:after="0" w:line="240" w:lineRule="auto"/>
        <w:rPr>
          <w:rFonts w:ascii="Times New Roman" w:hAnsi="Times New Roman" w:cs="Times New Roman"/>
        </w:rPr>
      </w:pPr>
      <w:r w:rsidRPr="00531D34">
        <w:rPr>
          <w:rFonts w:ascii="Times New Roman" w:hAnsi="Times New Roman" w:cs="Times New Roman"/>
        </w:rPr>
        <w:t>Nyderlandai</w:t>
      </w:r>
    </w:p>
    <w:p w14:paraId="7A0E0B2F" w14:textId="77777777" w:rsidR="008C4948" w:rsidRPr="009F10EE" w:rsidRDefault="008C4948" w:rsidP="008C4948">
      <w:pPr>
        <w:spacing w:after="0" w:line="240" w:lineRule="auto"/>
        <w:rPr>
          <w:rFonts w:ascii="Times New Roman" w:eastAsia="Times New Roman" w:hAnsi="Times New Roman" w:cs="Times New Roman"/>
        </w:rPr>
      </w:pPr>
    </w:p>
    <w:p w14:paraId="07CFFB38"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Pharmadox Healthcare Ltd.</w:t>
      </w:r>
    </w:p>
    <w:p w14:paraId="50E5519C"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KW20A Kordin Industrial Park,</w:t>
      </w:r>
    </w:p>
    <w:p w14:paraId="0878A557"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Paola, PLA 3000</w:t>
      </w:r>
    </w:p>
    <w:p w14:paraId="176BC204"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Malta</w:t>
      </w:r>
    </w:p>
    <w:p w14:paraId="1BFECAE7" w14:textId="77777777" w:rsidR="008C4948" w:rsidRPr="009F10EE" w:rsidRDefault="008C4948" w:rsidP="008670E9">
      <w:pPr>
        <w:tabs>
          <w:tab w:val="left" w:pos="567"/>
        </w:tabs>
        <w:spacing w:after="0" w:line="260" w:lineRule="exact"/>
        <w:rPr>
          <w:rFonts w:ascii="Times New Roman" w:eastAsia="Times New Roman" w:hAnsi="Times New Roman" w:cs="Times New Roman"/>
          <w:snapToGrid w:val="0"/>
        </w:rPr>
      </w:pPr>
    </w:p>
    <w:p w14:paraId="18BAC348" w14:textId="77777777" w:rsidR="00B9535F" w:rsidRPr="009F10EE" w:rsidRDefault="00B9535F" w:rsidP="00B9535F">
      <w:pPr>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Accord Healthcare Polska Sp.z o.o.,</w:t>
      </w:r>
    </w:p>
    <w:p w14:paraId="4FE25FF2" w14:textId="04678DC0" w:rsidR="00B9535F" w:rsidRPr="009F10EE" w:rsidRDefault="00B9535F" w:rsidP="00B9535F">
      <w:pPr>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ul. Lutomierska 50,</w:t>
      </w:r>
      <w:r w:rsidR="00771646" w:rsidRPr="009F10EE">
        <w:rPr>
          <w:rFonts w:ascii="Times New Roman" w:eastAsia="Times New Roman" w:hAnsi="Times New Roman" w:cs="Times New Roman"/>
          <w:lang w:eastAsia="lt-LT"/>
        </w:rPr>
        <w:t xml:space="preserve"> </w:t>
      </w:r>
      <w:r w:rsidRPr="009F10EE">
        <w:rPr>
          <w:rFonts w:ascii="Times New Roman" w:eastAsia="Times New Roman" w:hAnsi="Times New Roman" w:cs="Times New Roman"/>
          <w:lang w:eastAsia="lt-LT"/>
        </w:rPr>
        <w:t>95-200 Pabianice, Lenkija</w:t>
      </w:r>
    </w:p>
    <w:p w14:paraId="3A87A8FF" w14:textId="77777777" w:rsidR="00B9535F" w:rsidRDefault="00B9535F" w:rsidP="008C4948">
      <w:pPr>
        <w:tabs>
          <w:tab w:val="left" w:pos="567"/>
        </w:tabs>
        <w:spacing w:after="0" w:line="260" w:lineRule="exact"/>
        <w:rPr>
          <w:rFonts w:ascii="Times New Roman" w:eastAsia="Times New Roman" w:hAnsi="Times New Roman" w:cs="Times New Roman"/>
          <w:snapToGrid w:val="0"/>
        </w:rPr>
      </w:pPr>
    </w:p>
    <w:p w14:paraId="7694365B" w14:textId="77777777" w:rsidR="008A557B" w:rsidRPr="008A557B" w:rsidRDefault="008A557B" w:rsidP="008A557B">
      <w:pPr>
        <w:tabs>
          <w:tab w:val="left" w:pos="567"/>
        </w:tabs>
        <w:spacing w:after="0" w:line="260" w:lineRule="exact"/>
        <w:rPr>
          <w:rFonts w:ascii="Times New Roman" w:eastAsia="Times New Roman" w:hAnsi="Times New Roman" w:cs="Times New Roman"/>
          <w:snapToGrid w:val="0"/>
        </w:rPr>
      </w:pPr>
      <w:r w:rsidRPr="008A557B">
        <w:rPr>
          <w:rFonts w:ascii="Times New Roman" w:eastAsia="Times New Roman" w:hAnsi="Times New Roman" w:cs="Times New Roman"/>
          <w:snapToGrid w:val="0"/>
        </w:rPr>
        <w:t>Accord Healthcare Single Member S.A.</w:t>
      </w:r>
    </w:p>
    <w:p w14:paraId="2EF62803" w14:textId="77777777" w:rsidR="008A557B" w:rsidRPr="008A557B" w:rsidRDefault="008A557B" w:rsidP="008A557B">
      <w:pPr>
        <w:tabs>
          <w:tab w:val="left" w:pos="567"/>
        </w:tabs>
        <w:spacing w:after="0" w:line="260" w:lineRule="exact"/>
        <w:rPr>
          <w:rFonts w:ascii="Times New Roman" w:eastAsia="Times New Roman" w:hAnsi="Times New Roman" w:cs="Times New Roman"/>
          <w:snapToGrid w:val="0"/>
        </w:rPr>
      </w:pPr>
      <w:r w:rsidRPr="008A557B">
        <w:rPr>
          <w:rFonts w:ascii="Times New Roman" w:eastAsia="Times New Roman" w:hAnsi="Times New Roman" w:cs="Times New Roman"/>
          <w:snapToGrid w:val="0"/>
        </w:rPr>
        <w:t xml:space="preserve">64th Km National Road Athens, </w:t>
      </w:r>
    </w:p>
    <w:p w14:paraId="4F744C93" w14:textId="4D267147" w:rsidR="004D2908" w:rsidRDefault="008A557B" w:rsidP="008A557B">
      <w:pPr>
        <w:tabs>
          <w:tab w:val="left" w:pos="567"/>
        </w:tabs>
        <w:spacing w:after="0" w:line="260" w:lineRule="exact"/>
        <w:rPr>
          <w:rFonts w:ascii="Times New Roman" w:eastAsia="Times New Roman" w:hAnsi="Times New Roman" w:cs="Times New Roman"/>
          <w:snapToGrid w:val="0"/>
        </w:rPr>
      </w:pPr>
      <w:r w:rsidRPr="008A557B">
        <w:rPr>
          <w:rFonts w:ascii="Times New Roman" w:eastAsia="Times New Roman" w:hAnsi="Times New Roman" w:cs="Times New Roman"/>
          <w:snapToGrid w:val="0"/>
        </w:rPr>
        <w:t xml:space="preserve">Lamia, 32009, </w:t>
      </w:r>
      <w:r w:rsidR="004D2908" w:rsidRPr="004D2908">
        <w:rPr>
          <w:rFonts w:ascii="Times New Roman" w:eastAsia="Times New Roman" w:hAnsi="Times New Roman" w:cs="Times New Roman"/>
          <w:snapToGrid w:val="0"/>
        </w:rPr>
        <w:t>Graikija</w:t>
      </w:r>
    </w:p>
    <w:p w14:paraId="23817BC4" w14:textId="77777777" w:rsidR="004D2908" w:rsidRPr="009F10EE" w:rsidRDefault="004D2908" w:rsidP="004D2908">
      <w:pPr>
        <w:tabs>
          <w:tab w:val="left" w:pos="567"/>
        </w:tabs>
        <w:spacing w:after="0" w:line="260" w:lineRule="exact"/>
        <w:rPr>
          <w:rFonts w:ascii="Times New Roman" w:eastAsia="Times New Roman" w:hAnsi="Times New Roman" w:cs="Times New Roman"/>
          <w:snapToGrid w:val="0"/>
        </w:rPr>
      </w:pPr>
    </w:p>
    <w:p w14:paraId="016B0F90" w14:textId="77777777" w:rsidR="008C4948" w:rsidRPr="009F10EE" w:rsidRDefault="008C4948" w:rsidP="00771646">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Su pakuote pateikiamame lapelyje nurodomas gamintojo, atsakingo už konkrečios serijos išleidimą, pavadinimas ir adresas.</w:t>
      </w:r>
    </w:p>
    <w:p w14:paraId="0340C163"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6479DAC"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478C95A" w14:textId="77777777" w:rsidR="008C4948" w:rsidRPr="009F10EE" w:rsidRDefault="008C4948" w:rsidP="008C4948">
      <w:pPr>
        <w:tabs>
          <w:tab w:val="left" w:pos="567"/>
        </w:tabs>
        <w:spacing w:after="0" w:line="240" w:lineRule="auto"/>
        <w:ind w:left="567" w:hanging="567"/>
        <w:rPr>
          <w:rFonts w:ascii="Times New Roman" w:eastAsia="Times New Roman" w:hAnsi="Times New Roman" w:cs="Times New Roman"/>
          <w:lang w:eastAsia="lt-LT"/>
        </w:rPr>
      </w:pPr>
      <w:r w:rsidRPr="009F10EE">
        <w:rPr>
          <w:rFonts w:ascii="Times New Roman" w:eastAsia="Times New Roman" w:hAnsi="Times New Roman" w:cs="Times New Roman"/>
          <w:b/>
          <w:lang w:eastAsia="lt-LT"/>
        </w:rPr>
        <w:t>B.</w:t>
      </w:r>
      <w:r w:rsidRPr="009F10EE">
        <w:rPr>
          <w:rFonts w:ascii="Times New Roman" w:eastAsia="Times New Roman" w:hAnsi="Times New Roman" w:cs="Times New Roman"/>
          <w:b/>
          <w:lang w:eastAsia="lt-LT"/>
        </w:rPr>
        <w:tab/>
        <w:t>TIEKIMO IR VARTOJIMO SĄLYGOS AR APRIBOJIMAI</w:t>
      </w:r>
    </w:p>
    <w:p w14:paraId="08D16893"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p>
    <w:p w14:paraId="64A591F0"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Receptinis vaistinis preparatas.</w:t>
      </w:r>
    </w:p>
    <w:p w14:paraId="3EDC896B" w14:textId="77777777" w:rsidR="008C4948" w:rsidRPr="009F10EE" w:rsidRDefault="008C4948" w:rsidP="008C4948">
      <w:pPr>
        <w:tabs>
          <w:tab w:val="left" w:pos="567"/>
        </w:tabs>
        <w:spacing w:after="0" w:line="240" w:lineRule="auto"/>
        <w:outlineLvl w:val="0"/>
        <w:rPr>
          <w:rFonts w:ascii="Times New Roman" w:eastAsia="Times New Roman" w:hAnsi="Times New Roman" w:cs="Times New Roman"/>
          <w:b/>
          <w:lang w:eastAsia="lt-LT"/>
        </w:rPr>
      </w:pPr>
      <w:r w:rsidRPr="009F10EE">
        <w:rPr>
          <w:rFonts w:ascii="Times New Roman" w:eastAsia="Times New Roman" w:hAnsi="Times New Roman" w:cs="Times New Roman"/>
          <w:lang w:eastAsia="lt-LT"/>
        </w:rPr>
        <w:br w:type="page"/>
      </w:r>
    </w:p>
    <w:p w14:paraId="2D90908F" w14:textId="77777777" w:rsidR="008C4948" w:rsidRPr="009F10EE" w:rsidRDefault="008C4948" w:rsidP="008C4948">
      <w:pPr>
        <w:tabs>
          <w:tab w:val="left" w:pos="567"/>
        </w:tabs>
        <w:spacing w:after="0" w:line="240" w:lineRule="auto"/>
        <w:ind w:right="566"/>
        <w:jc w:val="center"/>
        <w:rPr>
          <w:rFonts w:ascii="Times New Roman" w:eastAsia="Times New Roman" w:hAnsi="Times New Roman" w:cs="Times New Roman"/>
          <w:snapToGrid w:val="0"/>
        </w:rPr>
      </w:pPr>
    </w:p>
    <w:p w14:paraId="1E068AC1"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7C05C88E"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04EBE381"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68837F56"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17B8FE48"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2EFFC32F"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24EFB04D"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1A4B45BA"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54BEBC8C"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345427BE"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1B85788C"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6A6E4223"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22EC2A29"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591A1A85"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59783FEC"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7539383E"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2F2F97DD" w14:textId="77777777" w:rsidR="008C4948" w:rsidRPr="009F10EE" w:rsidRDefault="008C4948" w:rsidP="008C4948">
      <w:pPr>
        <w:tabs>
          <w:tab w:val="left" w:pos="567"/>
        </w:tabs>
        <w:spacing w:after="0" w:line="240" w:lineRule="auto"/>
        <w:jc w:val="center"/>
        <w:outlineLvl w:val="0"/>
        <w:rPr>
          <w:rFonts w:ascii="Times New Roman" w:eastAsia="Times New Roman" w:hAnsi="Times New Roman" w:cs="Times New Roman"/>
          <w:b/>
          <w:snapToGrid w:val="0"/>
        </w:rPr>
      </w:pPr>
    </w:p>
    <w:p w14:paraId="4FE1BE25" w14:textId="77777777" w:rsidR="008C4948" w:rsidRPr="009F10EE" w:rsidRDefault="008C4948" w:rsidP="008C4948">
      <w:pPr>
        <w:tabs>
          <w:tab w:val="left" w:pos="567"/>
        </w:tabs>
        <w:spacing w:after="0" w:line="240" w:lineRule="auto"/>
        <w:jc w:val="center"/>
        <w:outlineLvl w:val="0"/>
        <w:rPr>
          <w:rFonts w:ascii="Times New Roman" w:eastAsia="Times New Roman" w:hAnsi="Times New Roman" w:cs="Times New Roman"/>
          <w:b/>
          <w:snapToGrid w:val="0"/>
        </w:rPr>
      </w:pPr>
    </w:p>
    <w:p w14:paraId="22486883" w14:textId="77777777" w:rsidR="008C4948" w:rsidRPr="009F10EE" w:rsidRDefault="008C4948" w:rsidP="008C4948">
      <w:pPr>
        <w:tabs>
          <w:tab w:val="left" w:pos="567"/>
        </w:tabs>
        <w:spacing w:after="0" w:line="240" w:lineRule="auto"/>
        <w:jc w:val="center"/>
        <w:outlineLvl w:val="0"/>
        <w:rPr>
          <w:rFonts w:ascii="Times New Roman" w:eastAsia="Times New Roman" w:hAnsi="Times New Roman" w:cs="Times New Roman"/>
          <w:b/>
          <w:snapToGrid w:val="0"/>
        </w:rPr>
      </w:pPr>
    </w:p>
    <w:p w14:paraId="4EDE1F9D" w14:textId="77777777" w:rsidR="008C4948" w:rsidRPr="009F10EE" w:rsidRDefault="008C4948" w:rsidP="008C4948">
      <w:pPr>
        <w:tabs>
          <w:tab w:val="left" w:pos="567"/>
        </w:tabs>
        <w:spacing w:after="0" w:line="240" w:lineRule="auto"/>
        <w:jc w:val="center"/>
        <w:outlineLvl w:val="0"/>
        <w:rPr>
          <w:rFonts w:ascii="Times New Roman" w:eastAsia="Times New Roman" w:hAnsi="Times New Roman" w:cs="Times New Roman"/>
          <w:b/>
          <w:snapToGrid w:val="0"/>
        </w:rPr>
      </w:pPr>
    </w:p>
    <w:p w14:paraId="3A6FA274" w14:textId="77777777" w:rsidR="008C4948" w:rsidRPr="009F10EE" w:rsidRDefault="008C4948" w:rsidP="008C4948">
      <w:pPr>
        <w:tabs>
          <w:tab w:val="left" w:pos="567"/>
        </w:tabs>
        <w:spacing w:after="0" w:line="240" w:lineRule="auto"/>
        <w:jc w:val="center"/>
        <w:outlineLvl w:val="0"/>
        <w:rPr>
          <w:rFonts w:ascii="Times New Roman" w:eastAsia="Times New Roman" w:hAnsi="Times New Roman" w:cs="Times New Roman"/>
          <w:b/>
          <w:snapToGrid w:val="0"/>
        </w:rPr>
      </w:pPr>
    </w:p>
    <w:p w14:paraId="67B7FC80" w14:textId="77777777" w:rsidR="008C4948" w:rsidRPr="009F10EE" w:rsidRDefault="008C4948" w:rsidP="008C4948">
      <w:pPr>
        <w:tabs>
          <w:tab w:val="left" w:pos="567"/>
        </w:tabs>
        <w:spacing w:after="0" w:line="240" w:lineRule="auto"/>
        <w:jc w:val="center"/>
        <w:outlineLvl w:val="0"/>
        <w:rPr>
          <w:rFonts w:ascii="Times New Roman" w:eastAsia="Times New Roman" w:hAnsi="Times New Roman" w:cs="Times New Roman"/>
          <w:b/>
          <w:snapToGrid w:val="0"/>
        </w:rPr>
      </w:pPr>
    </w:p>
    <w:p w14:paraId="185EBBD4" w14:textId="77777777" w:rsidR="008C4948" w:rsidRPr="009F10EE" w:rsidRDefault="008C4948" w:rsidP="008C4948">
      <w:pPr>
        <w:keepNext/>
        <w:tabs>
          <w:tab w:val="left" w:pos="567"/>
        </w:tabs>
        <w:spacing w:after="0" w:line="240" w:lineRule="auto"/>
        <w:jc w:val="center"/>
        <w:outlineLvl w:val="1"/>
        <w:rPr>
          <w:rFonts w:ascii="Times New Roman" w:eastAsia="Times New Roman" w:hAnsi="Times New Roman" w:cs="Times New Roman"/>
          <w:b/>
          <w:snapToGrid w:val="0"/>
        </w:rPr>
      </w:pPr>
      <w:r w:rsidRPr="009F10EE">
        <w:rPr>
          <w:rFonts w:ascii="Times New Roman" w:eastAsia="Times New Roman" w:hAnsi="Times New Roman" w:cs="Times New Roman"/>
          <w:b/>
          <w:bCs/>
          <w:iCs/>
          <w:snapToGrid w:val="0"/>
        </w:rPr>
        <w:t>III PRIEDAS</w:t>
      </w:r>
    </w:p>
    <w:p w14:paraId="05587B20"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2E783C90" w14:textId="77777777" w:rsidR="008C4948" w:rsidRPr="009F10EE" w:rsidRDefault="008C4948" w:rsidP="008C4948">
      <w:pPr>
        <w:keepNext/>
        <w:tabs>
          <w:tab w:val="left" w:pos="567"/>
        </w:tabs>
        <w:spacing w:after="0" w:line="240" w:lineRule="auto"/>
        <w:jc w:val="center"/>
        <w:outlineLvl w:val="1"/>
        <w:rPr>
          <w:rFonts w:ascii="Times New Roman" w:eastAsia="Times New Roman" w:hAnsi="Times New Roman" w:cs="Times New Roman"/>
          <w:b/>
          <w:snapToGrid w:val="0"/>
        </w:rPr>
      </w:pPr>
      <w:r w:rsidRPr="009F10EE">
        <w:rPr>
          <w:rFonts w:ascii="Times New Roman" w:eastAsia="Times New Roman" w:hAnsi="Times New Roman" w:cs="Times New Roman"/>
          <w:b/>
          <w:bCs/>
          <w:iCs/>
          <w:snapToGrid w:val="0"/>
        </w:rPr>
        <w:t>ŽENKLINIMAS IR PAKUOTĖS LAPELIS</w:t>
      </w:r>
    </w:p>
    <w:p w14:paraId="55B83428"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br w:type="page"/>
      </w:r>
    </w:p>
    <w:p w14:paraId="16B5C630"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5680E93E"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2A80C624"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293E2C05"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512B8698"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0DD759B3"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1998F1C2"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1B7F6F21"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02D6FBB1"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0C825958"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7FAA469B"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42639DA3"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02A35228"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4E937723"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0A4E52CF"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79CB988D"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12A852C2"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5E7BA7EE"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48E62BEE"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41301477"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6C8DEC40" w14:textId="77777777" w:rsidR="008C4948" w:rsidRPr="009F10EE" w:rsidRDefault="008C4948" w:rsidP="008C4948">
      <w:pPr>
        <w:tabs>
          <w:tab w:val="left" w:pos="567"/>
        </w:tabs>
        <w:spacing w:after="0" w:line="240" w:lineRule="auto"/>
        <w:jc w:val="center"/>
        <w:rPr>
          <w:rFonts w:ascii="Times New Roman" w:eastAsia="Times New Roman" w:hAnsi="Times New Roman" w:cs="Times New Roman"/>
          <w:snapToGrid w:val="0"/>
        </w:rPr>
      </w:pPr>
    </w:p>
    <w:p w14:paraId="1BAD36FB" w14:textId="77777777" w:rsidR="008C4948" w:rsidRPr="009F10EE" w:rsidRDefault="008C4948" w:rsidP="008C4948">
      <w:pPr>
        <w:tabs>
          <w:tab w:val="left" w:pos="567"/>
        </w:tabs>
        <w:spacing w:after="0" w:line="240" w:lineRule="auto"/>
        <w:jc w:val="center"/>
        <w:rPr>
          <w:rFonts w:ascii="Times New Roman" w:hAnsi="Times New Roman" w:cs="Times New Roman"/>
        </w:rPr>
      </w:pPr>
    </w:p>
    <w:p w14:paraId="5F230C08" w14:textId="77777777" w:rsidR="008C4948" w:rsidRPr="009F10EE" w:rsidRDefault="008C4948" w:rsidP="008C4948">
      <w:pPr>
        <w:tabs>
          <w:tab w:val="left" w:pos="567"/>
        </w:tabs>
        <w:spacing w:after="0" w:line="240" w:lineRule="auto"/>
        <w:jc w:val="center"/>
        <w:rPr>
          <w:rFonts w:ascii="Times New Roman" w:hAnsi="Times New Roman" w:cs="Times New Roman"/>
        </w:rPr>
      </w:pPr>
    </w:p>
    <w:p w14:paraId="5E91685E" w14:textId="4EE28BBF" w:rsidR="008C4948" w:rsidRPr="009F10EE" w:rsidRDefault="008C4948" w:rsidP="00A57FA0">
      <w:pPr>
        <w:keepNext/>
        <w:tabs>
          <w:tab w:val="left" w:pos="567"/>
        </w:tabs>
        <w:spacing w:after="0" w:line="240" w:lineRule="auto"/>
        <w:jc w:val="center"/>
        <w:outlineLvl w:val="1"/>
        <w:rPr>
          <w:rFonts w:ascii="Times New Roman" w:hAnsi="Times New Roman" w:cs="Times New Roman"/>
          <w:b/>
          <w:bCs/>
          <w:snapToGrid w:val="0"/>
        </w:rPr>
      </w:pPr>
      <w:r w:rsidRPr="009F10EE">
        <w:rPr>
          <w:rFonts w:ascii="Times New Roman" w:hAnsi="Times New Roman" w:cs="Times New Roman"/>
          <w:b/>
          <w:bCs/>
          <w:snapToGrid w:val="0"/>
        </w:rPr>
        <w:t>A. ŽENKLINIMAS</w:t>
      </w:r>
    </w:p>
    <w:p w14:paraId="0B5DD9B5"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br w:type="page"/>
      </w:r>
    </w:p>
    <w:p w14:paraId="2A75BC63"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lastRenderedPageBreak/>
        <w:t>INFORMACIJA ANT IŠORINĖS PAKUOTĖS</w:t>
      </w:r>
    </w:p>
    <w:p w14:paraId="01C8EE52"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146B76CA"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KARTONO DĖŽUTĖ</w:t>
      </w:r>
    </w:p>
    <w:p w14:paraId="79B8E34C"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4F4C921"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DD4CDD4" w14:textId="46099C90" w:rsidR="008C4948" w:rsidRPr="009F10EE" w:rsidRDefault="008C4948" w:rsidP="00A57FA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b/>
          <w:bCs/>
          <w:snapToGrid w:val="0"/>
        </w:rPr>
      </w:pPr>
      <w:r w:rsidRPr="009F10EE">
        <w:rPr>
          <w:rFonts w:ascii="Times New Roman" w:hAnsi="Times New Roman" w:cs="Times New Roman"/>
          <w:b/>
          <w:bCs/>
          <w:snapToGrid w:val="0"/>
        </w:rPr>
        <w:t>1.</w:t>
      </w:r>
      <w:r w:rsidRPr="009F10EE">
        <w:rPr>
          <w:rFonts w:ascii="Times New Roman" w:hAnsi="Times New Roman" w:cs="Times New Roman"/>
          <w:b/>
          <w:bCs/>
          <w:snapToGrid w:val="0"/>
        </w:rPr>
        <w:tab/>
      </w:r>
      <w:r w:rsidRPr="009F10EE">
        <w:rPr>
          <w:rFonts w:ascii="Times New Roman" w:hAnsi="Times New Roman" w:cs="Times New Roman"/>
          <w:b/>
          <w:bCs/>
          <w:caps/>
          <w:snapToGrid w:val="0"/>
        </w:rPr>
        <w:t>VAISTINIO</w:t>
      </w:r>
      <w:r w:rsidRPr="009F10EE">
        <w:rPr>
          <w:rFonts w:ascii="Times New Roman" w:hAnsi="Times New Roman" w:cs="Times New Roman"/>
          <w:b/>
          <w:bCs/>
          <w:snapToGrid w:val="0"/>
        </w:rPr>
        <w:t xml:space="preserve"> PREPARATO PAVADINIMAS</w:t>
      </w:r>
    </w:p>
    <w:p w14:paraId="67E92BDC"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7447BD9" w14:textId="77777777" w:rsidR="008C4948" w:rsidRPr="009F10EE" w:rsidRDefault="008C4948" w:rsidP="008C4948">
      <w:pPr>
        <w:autoSpaceDE w:val="0"/>
        <w:autoSpaceDN w:val="0"/>
        <w:adjustRightInd w:val="0"/>
        <w:spacing w:after="0" w:line="240" w:lineRule="auto"/>
        <w:jc w:val="both"/>
        <w:rPr>
          <w:rFonts w:ascii="Times New Roman" w:eastAsia="Times New Roman" w:hAnsi="Times New Roman" w:cs="Times New Roman"/>
          <w:iCs/>
          <w:u w:val="single"/>
          <w:lang w:eastAsia="lt-LT"/>
        </w:rPr>
      </w:pPr>
      <w:r w:rsidRPr="009F10EE">
        <w:rPr>
          <w:rFonts w:ascii="Times New Roman" w:eastAsia="Times New Roman" w:hAnsi="Times New Roman" w:cs="Times New Roman"/>
          <w:lang w:eastAsia="lt-LT"/>
        </w:rPr>
        <w:t>Tadalafil Accord 5 mg plėvele dengtos tabletės</w:t>
      </w:r>
    </w:p>
    <w:p w14:paraId="19502760"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Tadalafilis</w:t>
      </w:r>
    </w:p>
    <w:p w14:paraId="330344F3"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F78E529"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BFC2949"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2.</w:t>
      </w:r>
      <w:r w:rsidRPr="009F10EE">
        <w:rPr>
          <w:rFonts w:ascii="Times New Roman" w:eastAsia="Times New Roman" w:hAnsi="Times New Roman" w:cs="Times New Roman"/>
          <w:b/>
          <w:snapToGrid w:val="0"/>
        </w:rPr>
        <w:tab/>
        <w:t>VEIKLIOJI (-IOS) MEDŽIAGA (-OS) IR JOS (-Ų) KIEKIS (-IAI)</w:t>
      </w:r>
    </w:p>
    <w:p w14:paraId="13C8DC18"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BB040E4" w14:textId="77777777" w:rsidR="008C4948" w:rsidRPr="009F10EE" w:rsidRDefault="008C4948" w:rsidP="008C4948">
      <w:pPr>
        <w:autoSpaceDE w:val="0"/>
        <w:autoSpaceDN w:val="0"/>
        <w:adjustRightInd w:val="0"/>
        <w:spacing w:after="0" w:line="240" w:lineRule="auto"/>
        <w:jc w:val="both"/>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Kiekvienoje plėvele dengtoje tabletėje yra 5 mg tadalafilio.</w:t>
      </w:r>
    </w:p>
    <w:p w14:paraId="53B618D5"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BE3917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44FBC19"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3.</w:t>
      </w:r>
      <w:r w:rsidRPr="009F10EE">
        <w:rPr>
          <w:rFonts w:ascii="Times New Roman" w:eastAsia="Times New Roman" w:hAnsi="Times New Roman" w:cs="Times New Roman"/>
          <w:b/>
          <w:snapToGrid w:val="0"/>
        </w:rPr>
        <w:tab/>
        <w:t>PAGALBINIŲ MEDŽIAGŲ SĄRAŠAS</w:t>
      </w:r>
    </w:p>
    <w:p w14:paraId="71EFE452"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B170472"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 xml:space="preserve">Sudėtyje yra laktozės. </w:t>
      </w:r>
    </w:p>
    <w:p w14:paraId="5D123732"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Daugiau informacijos pateikta pakuotės lapelyje.</w:t>
      </w:r>
    </w:p>
    <w:p w14:paraId="1EDC5255"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54F403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C5EBCA5"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4.</w:t>
      </w:r>
      <w:r w:rsidRPr="009F10EE">
        <w:rPr>
          <w:rFonts w:ascii="Times New Roman" w:eastAsia="Times New Roman" w:hAnsi="Times New Roman" w:cs="Times New Roman"/>
          <w:b/>
          <w:snapToGrid w:val="0"/>
        </w:rPr>
        <w:tab/>
        <w:t>FARMACINĖ FORMA IR KIEKIS PAKUOTĖJE</w:t>
      </w:r>
    </w:p>
    <w:p w14:paraId="6977D0CB"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491E732" w14:textId="77777777" w:rsidR="008C4948" w:rsidRPr="009F10EE" w:rsidRDefault="008C4948" w:rsidP="008C4948">
      <w:pPr>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Plėvele dengta tabletė</w:t>
      </w:r>
    </w:p>
    <w:p w14:paraId="5C5F2EC5" w14:textId="77777777" w:rsidR="008C4948" w:rsidRPr="009F10EE" w:rsidRDefault="008C4948" w:rsidP="008C4948">
      <w:pPr>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14 plėvele dengtų tablečių</w:t>
      </w:r>
    </w:p>
    <w:p w14:paraId="4A9231F4" w14:textId="77777777" w:rsidR="008C4948" w:rsidRPr="009F10EE" w:rsidRDefault="008C4948" w:rsidP="008C4948">
      <w:pPr>
        <w:spacing w:after="0" w:line="240" w:lineRule="auto"/>
        <w:rPr>
          <w:rFonts w:ascii="Times New Roman" w:hAnsi="Times New Roman" w:cs="Times New Roman"/>
        </w:rPr>
      </w:pPr>
      <w:r w:rsidRPr="009F10EE">
        <w:rPr>
          <w:rFonts w:ascii="Times New Roman" w:hAnsi="Times New Roman" w:cs="Times New Roman"/>
        </w:rPr>
        <w:t>28 plėvele dengtos tabletės</w:t>
      </w:r>
    </w:p>
    <w:p w14:paraId="6593372E" w14:textId="77777777" w:rsidR="008C4948" w:rsidRPr="009F10EE" w:rsidRDefault="008C4948" w:rsidP="008C4948">
      <w:pPr>
        <w:spacing w:after="0" w:line="240" w:lineRule="auto"/>
        <w:rPr>
          <w:rFonts w:ascii="Times New Roman" w:hAnsi="Times New Roman" w:cs="Times New Roman"/>
        </w:rPr>
      </w:pPr>
      <w:r w:rsidRPr="009F10EE">
        <w:rPr>
          <w:rFonts w:ascii="Times New Roman" w:hAnsi="Times New Roman" w:cs="Times New Roman"/>
        </w:rPr>
        <w:t>30 plėvele dengtų tablečių</w:t>
      </w:r>
    </w:p>
    <w:p w14:paraId="5BB8BBDF" w14:textId="77777777" w:rsidR="008C4948" w:rsidRPr="009F10EE" w:rsidRDefault="008C4948" w:rsidP="008C4948">
      <w:pPr>
        <w:spacing w:after="0" w:line="240" w:lineRule="auto"/>
        <w:rPr>
          <w:rFonts w:ascii="Times New Roman" w:hAnsi="Times New Roman" w:cs="Times New Roman"/>
        </w:rPr>
      </w:pPr>
      <w:r w:rsidRPr="009F10EE">
        <w:rPr>
          <w:rFonts w:ascii="Times New Roman" w:hAnsi="Times New Roman" w:cs="Times New Roman"/>
        </w:rPr>
        <w:t>84 plėvele dengtos tabletės</w:t>
      </w:r>
    </w:p>
    <w:p w14:paraId="590C43E2" w14:textId="77777777" w:rsidR="008C4948" w:rsidRPr="009F10EE" w:rsidRDefault="008C4948" w:rsidP="008C4948">
      <w:pPr>
        <w:spacing w:after="0" w:line="240" w:lineRule="auto"/>
        <w:rPr>
          <w:rFonts w:ascii="Times New Roman" w:eastAsia="Times New Roman" w:hAnsi="Times New Roman" w:cs="Times New Roman"/>
          <w:snapToGrid w:val="0"/>
        </w:rPr>
      </w:pPr>
      <w:r w:rsidRPr="009F10EE">
        <w:rPr>
          <w:rFonts w:ascii="Times New Roman" w:hAnsi="Times New Roman" w:cs="Times New Roman"/>
        </w:rPr>
        <w:t>90 plėvele dengtų tablečių</w:t>
      </w:r>
    </w:p>
    <w:p w14:paraId="46952831"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333B9A3"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2659A40"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5.</w:t>
      </w:r>
      <w:r w:rsidRPr="009F10EE">
        <w:rPr>
          <w:rFonts w:ascii="Times New Roman" w:eastAsia="Times New Roman" w:hAnsi="Times New Roman" w:cs="Times New Roman"/>
          <w:b/>
          <w:snapToGrid w:val="0"/>
        </w:rPr>
        <w:tab/>
        <w:t>VARTOJIMO METODAS IR BŪDAS (-AI)</w:t>
      </w:r>
    </w:p>
    <w:p w14:paraId="1EDB62A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163FBCD"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Vartoti per burną.</w:t>
      </w:r>
    </w:p>
    <w:p w14:paraId="53BFD996"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Prieš vartojimą perskaitykite pakuotės lapelį.</w:t>
      </w:r>
    </w:p>
    <w:p w14:paraId="020B41D6"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4E9694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97803DD"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6.</w:t>
      </w:r>
      <w:r w:rsidRPr="009F10EE">
        <w:rPr>
          <w:rFonts w:ascii="Times New Roman" w:eastAsia="Times New Roman" w:hAnsi="Times New Roman" w:cs="Times New Roman"/>
          <w:b/>
          <w:snapToGrid w:val="0"/>
        </w:rPr>
        <w:tab/>
        <w:t>SPECIALUS ĮSPĖJIMAS, KAD VAISTINĮ PREPARATĄ BŪTINA LAIKYTI VAIKAMS NEPASTEBIMOJE IR  NEPASIEKIAMOJE VIETOJE</w:t>
      </w:r>
    </w:p>
    <w:p w14:paraId="5C38FB8F"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1177612"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Laikyti vaikams nepastebimoje ir nepasiekiamoje vietoje.</w:t>
      </w:r>
    </w:p>
    <w:p w14:paraId="4C194A4F"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144944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EF8A6D5"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7.</w:t>
      </w:r>
      <w:r w:rsidRPr="009F10EE">
        <w:rPr>
          <w:rFonts w:ascii="Times New Roman" w:eastAsia="Times New Roman" w:hAnsi="Times New Roman" w:cs="Times New Roman"/>
          <w:b/>
          <w:snapToGrid w:val="0"/>
        </w:rPr>
        <w:tab/>
        <w:t>KITAS (-I) SPECIALUS (-ŪS) ĮSPĖJIMAS (-AI) (JEI REIKIA)</w:t>
      </w:r>
    </w:p>
    <w:p w14:paraId="642500B6"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A99286B"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0B09D0F"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8.</w:t>
      </w:r>
      <w:r w:rsidRPr="009F10EE">
        <w:rPr>
          <w:rFonts w:ascii="Times New Roman" w:eastAsia="Times New Roman" w:hAnsi="Times New Roman" w:cs="Times New Roman"/>
          <w:b/>
          <w:snapToGrid w:val="0"/>
        </w:rPr>
        <w:tab/>
        <w:t>TINKAMUMO LAIKAS</w:t>
      </w:r>
    </w:p>
    <w:p w14:paraId="728642F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3C38A2C" w14:textId="785D2922" w:rsidR="008C4948" w:rsidRPr="009F10EE" w:rsidRDefault="00176B20" w:rsidP="008C4948">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EXP</w:t>
      </w:r>
      <w:r w:rsidR="008C4948" w:rsidRPr="009F10EE">
        <w:rPr>
          <w:rFonts w:ascii="Times New Roman" w:eastAsia="Times New Roman" w:hAnsi="Times New Roman" w:cs="Times New Roman"/>
          <w:snapToGrid w:val="0"/>
        </w:rPr>
        <w:t>: {mm/MMMM}</w:t>
      </w:r>
    </w:p>
    <w:p w14:paraId="1F987375"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6920F32"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C5DB3C7" w14:textId="77777777" w:rsidR="008C4948" w:rsidRPr="009F10EE" w:rsidRDefault="008C4948" w:rsidP="008C494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9.</w:t>
      </w:r>
      <w:r w:rsidRPr="009F10EE">
        <w:rPr>
          <w:rFonts w:ascii="Times New Roman" w:eastAsia="Times New Roman" w:hAnsi="Times New Roman" w:cs="Times New Roman"/>
          <w:b/>
          <w:snapToGrid w:val="0"/>
        </w:rPr>
        <w:tab/>
        <w:t>SPECIALIOS LAIKYMO SĄLYGOS</w:t>
      </w:r>
    </w:p>
    <w:p w14:paraId="51C69F20"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BD3738E"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A04DBC4"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10.</w:t>
      </w:r>
      <w:r w:rsidRPr="009F10EE">
        <w:rPr>
          <w:rFonts w:ascii="Times New Roman" w:eastAsia="Times New Roman" w:hAnsi="Times New Roman" w:cs="Times New Roman"/>
          <w:b/>
          <w:snapToGrid w:val="0"/>
        </w:rPr>
        <w:tab/>
        <w:t>SPECIALIOS ATSARGUMO PRIEMONĖS DĖL NESUVARTOTO VAISTINIO PREPARATO AR JO ATLIEKŲ TVARKYMO (JEI REIKIA)</w:t>
      </w:r>
    </w:p>
    <w:p w14:paraId="776FA51F"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11E9BF0"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E50FB76"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11.</w:t>
      </w:r>
      <w:r w:rsidRPr="009F10EE">
        <w:rPr>
          <w:rFonts w:ascii="Times New Roman" w:eastAsia="Times New Roman" w:hAnsi="Times New Roman" w:cs="Times New Roman"/>
          <w:b/>
          <w:snapToGrid w:val="0"/>
        </w:rPr>
        <w:tab/>
      </w:r>
      <w:r w:rsidRPr="009F10EE">
        <w:rPr>
          <w:rFonts w:ascii="Times New Roman" w:eastAsia="Times New Roman" w:hAnsi="Times New Roman" w:cs="Times New Roman"/>
          <w:b/>
          <w:caps/>
          <w:snapToGrid w:val="0"/>
        </w:rPr>
        <w:t>REGISTRUOTOJO PAVADINIMAS IR ADRESAS</w:t>
      </w:r>
    </w:p>
    <w:p w14:paraId="63CBBD53"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A2B02BB" w14:textId="58468546" w:rsidR="008C4948" w:rsidRPr="009F10EE" w:rsidRDefault="008C4948" w:rsidP="00E638B1">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 xml:space="preserve">Accord Healthcare </w:t>
      </w:r>
      <w:r w:rsidR="00C63DF6" w:rsidRPr="009F10EE">
        <w:rPr>
          <w:rFonts w:ascii="Times New Roman" w:hAnsi="Times New Roman" w:cs="Times New Roman"/>
        </w:rPr>
        <w:t xml:space="preserve">B.V. </w:t>
      </w:r>
    </w:p>
    <w:p w14:paraId="21DEAAD3"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 xml:space="preserve">Winthontlaan 200 </w:t>
      </w:r>
    </w:p>
    <w:p w14:paraId="764C22F6"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 xml:space="preserve">3526 KV Utrecht </w:t>
      </w:r>
    </w:p>
    <w:p w14:paraId="61E62E0D"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Nyderlandai</w:t>
      </w:r>
    </w:p>
    <w:p w14:paraId="3FBB13B0" w14:textId="77777777" w:rsidR="008C4948" w:rsidRPr="009F10EE" w:rsidRDefault="008C4948" w:rsidP="00DB17E7">
      <w:pPr>
        <w:tabs>
          <w:tab w:val="left" w:pos="567"/>
        </w:tabs>
        <w:spacing w:after="0" w:line="240" w:lineRule="auto"/>
        <w:rPr>
          <w:rFonts w:ascii="Times New Roman" w:eastAsia="Times New Roman" w:hAnsi="Times New Roman" w:cs="Times New Roman"/>
          <w:snapToGrid w:val="0"/>
        </w:rPr>
      </w:pPr>
    </w:p>
    <w:p w14:paraId="06EF2F77"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0FCAA9F"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12.</w:t>
      </w:r>
      <w:r w:rsidRPr="009F10EE">
        <w:rPr>
          <w:rFonts w:ascii="Times New Roman" w:eastAsia="Times New Roman" w:hAnsi="Times New Roman" w:cs="Times New Roman"/>
          <w:b/>
          <w:snapToGrid w:val="0"/>
        </w:rPr>
        <w:tab/>
        <w:t xml:space="preserve">REGISTRACIJOS PAŽYMĖJIMO NUMERIS (-IAI) </w:t>
      </w:r>
    </w:p>
    <w:p w14:paraId="182A46B1"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C404170" w14:textId="77777777" w:rsidR="00133AB8" w:rsidRPr="00133AB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LT/1/16/3972/001 – N14</w:t>
      </w:r>
    </w:p>
    <w:p w14:paraId="681B2081" w14:textId="77777777" w:rsidR="00133AB8" w:rsidRPr="00133AB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LT/1/16/3972/002 – N28</w:t>
      </w:r>
    </w:p>
    <w:p w14:paraId="73BAE541" w14:textId="77777777" w:rsidR="00133AB8" w:rsidRPr="00133AB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LT/1/16/3972/003 – N30</w:t>
      </w:r>
    </w:p>
    <w:p w14:paraId="63F9DA22" w14:textId="77777777" w:rsidR="00133AB8" w:rsidRPr="00133AB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LT/1/16/3972/004 – N84</w:t>
      </w:r>
    </w:p>
    <w:p w14:paraId="336539F4" w14:textId="03323D5F" w:rsidR="008C494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LT/1/16/3972/005 – N90</w:t>
      </w:r>
    </w:p>
    <w:p w14:paraId="39691205" w14:textId="77777777" w:rsidR="00133AB8" w:rsidRPr="009F10EE" w:rsidRDefault="00133AB8" w:rsidP="00133AB8">
      <w:pPr>
        <w:tabs>
          <w:tab w:val="left" w:pos="567"/>
        </w:tabs>
        <w:spacing w:after="0" w:line="240" w:lineRule="auto"/>
        <w:rPr>
          <w:rFonts w:ascii="Times New Roman" w:eastAsia="Times New Roman" w:hAnsi="Times New Roman" w:cs="Times New Roman"/>
          <w:snapToGrid w:val="0"/>
        </w:rPr>
      </w:pPr>
    </w:p>
    <w:p w14:paraId="4D6D0B19"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B4FA688"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13.</w:t>
      </w:r>
      <w:r w:rsidRPr="009F10EE">
        <w:rPr>
          <w:rFonts w:ascii="Times New Roman" w:eastAsia="Times New Roman" w:hAnsi="Times New Roman" w:cs="Times New Roman"/>
          <w:b/>
          <w:snapToGrid w:val="0"/>
        </w:rPr>
        <w:tab/>
        <w:t xml:space="preserve">SERIJOS NUMERIS </w:t>
      </w:r>
    </w:p>
    <w:p w14:paraId="69B4912F"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F32B9ED" w14:textId="28FFF816" w:rsidR="008C4948" w:rsidRPr="009F10EE" w:rsidRDefault="00176B20" w:rsidP="008C4948">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Lot:</w:t>
      </w:r>
    </w:p>
    <w:p w14:paraId="68138A9E"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0B9C137"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1363174"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14.</w:t>
      </w:r>
      <w:r w:rsidRPr="009F10EE">
        <w:rPr>
          <w:rFonts w:ascii="Times New Roman" w:eastAsia="Times New Roman" w:hAnsi="Times New Roman" w:cs="Times New Roman"/>
          <w:b/>
          <w:snapToGrid w:val="0"/>
        </w:rPr>
        <w:tab/>
        <w:t>PARDAVIMO (IŠDAVIMO) TVARKA</w:t>
      </w:r>
    </w:p>
    <w:p w14:paraId="1713D3C9"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EB072AD" w14:textId="27C144DF"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Receptinis vaistas</w:t>
      </w:r>
    </w:p>
    <w:p w14:paraId="022C4615"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7894CCC"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9541EA7" w14:textId="77777777" w:rsidR="008C4948" w:rsidRPr="009F10EE" w:rsidRDefault="008C4948" w:rsidP="008C4948">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15.</w:t>
      </w:r>
      <w:r w:rsidRPr="009F10EE">
        <w:rPr>
          <w:rFonts w:ascii="Times New Roman" w:eastAsia="Times New Roman" w:hAnsi="Times New Roman" w:cs="Times New Roman"/>
          <w:b/>
          <w:snapToGrid w:val="0"/>
        </w:rPr>
        <w:tab/>
        <w:t>VARTOJIMO INSTRUKCIJA</w:t>
      </w:r>
    </w:p>
    <w:p w14:paraId="5B28D6D7"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8C6DEB5"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05A8F1D" w14:textId="77777777" w:rsidR="008C4948" w:rsidRPr="009F10EE" w:rsidRDefault="008C4948" w:rsidP="008C494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sidRPr="009F10EE">
        <w:rPr>
          <w:rFonts w:ascii="Times New Roman" w:eastAsia="Times New Roman" w:hAnsi="Times New Roman" w:cs="Times New Roman"/>
          <w:b/>
          <w:snapToGrid w:val="0"/>
        </w:rPr>
        <w:t>16.</w:t>
      </w:r>
      <w:r w:rsidRPr="009F10EE">
        <w:rPr>
          <w:rFonts w:ascii="Times New Roman" w:eastAsia="Times New Roman" w:hAnsi="Times New Roman" w:cs="Times New Roman"/>
          <w:b/>
          <w:snapToGrid w:val="0"/>
        </w:rPr>
        <w:tab/>
        <w:t>INFORMACIJA BRAILIO RAŠTU</w:t>
      </w:r>
    </w:p>
    <w:p w14:paraId="7D30F857"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AB41345"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Tadalafil Accord 5 mg </w:t>
      </w:r>
    </w:p>
    <w:p w14:paraId="49542D09"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D508C7C" w14:textId="77777777" w:rsidR="008C4948" w:rsidRPr="009F10EE" w:rsidRDefault="008C4948" w:rsidP="008C4948">
      <w:pPr>
        <w:widowControl w:val="0"/>
        <w:tabs>
          <w:tab w:val="left" w:pos="567"/>
        </w:tabs>
        <w:spacing w:after="0" w:line="240" w:lineRule="auto"/>
        <w:rPr>
          <w:rFonts w:ascii="Times New Roman" w:eastAsia="Times New Roman" w:hAnsi="Times New Roman" w:cs="Times New Roman"/>
          <w:shd w:val="clear" w:color="auto" w:fill="CCCCCC"/>
          <w:lang w:eastAsia="lt-LT" w:bidi="lt-LT"/>
        </w:rPr>
      </w:pPr>
    </w:p>
    <w:p w14:paraId="562A3F32" w14:textId="77777777" w:rsidR="008C4948" w:rsidRPr="009F10EE" w:rsidRDefault="008C4948" w:rsidP="008C4948">
      <w:pPr>
        <w:widowControl w:val="0"/>
        <w:numPr>
          <w:ilvl w:val="0"/>
          <w:numId w:val="16"/>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eastAsia="Times New Roman" w:hAnsi="Times New Roman" w:cs="Times New Roman"/>
          <w:i/>
          <w:lang w:eastAsia="lt-LT" w:bidi="lt-LT"/>
        </w:rPr>
      </w:pPr>
      <w:r w:rsidRPr="009F10EE">
        <w:rPr>
          <w:rFonts w:ascii="Times New Roman" w:eastAsia="Times New Roman" w:hAnsi="Times New Roman" w:cs="Times New Roman"/>
          <w:b/>
          <w:lang w:eastAsia="lt-LT" w:bidi="lt-LT"/>
        </w:rPr>
        <w:t>UNIKALUS IDENTIFIKATORIUS – 2D BRŪKŠNINIS KODAS</w:t>
      </w:r>
    </w:p>
    <w:p w14:paraId="2DC74C50" w14:textId="77777777" w:rsidR="008C4948" w:rsidRPr="009F10EE" w:rsidRDefault="008C4948" w:rsidP="008C4948">
      <w:pPr>
        <w:widowControl w:val="0"/>
        <w:spacing w:after="0" w:line="240" w:lineRule="auto"/>
        <w:rPr>
          <w:rFonts w:ascii="Times New Roman" w:eastAsia="Times New Roman" w:hAnsi="Times New Roman" w:cs="Times New Roman"/>
          <w:lang w:eastAsia="lt-LT" w:bidi="lt-LT"/>
        </w:rPr>
      </w:pPr>
    </w:p>
    <w:p w14:paraId="51C76929" w14:textId="77777777" w:rsidR="008C4948" w:rsidRPr="009F10EE" w:rsidRDefault="008C4948" w:rsidP="008C4948">
      <w:pPr>
        <w:widowControl w:val="0"/>
        <w:tabs>
          <w:tab w:val="left" w:pos="567"/>
        </w:tabs>
        <w:spacing w:after="0" w:line="240" w:lineRule="auto"/>
        <w:rPr>
          <w:rFonts w:ascii="Times New Roman" w:eastAsia="Times New Roman" w:hAnsi="Times New Roman" w:cs="Times New Roman"/>
          <w:shd w:val="clear" w:color="auto" w:fill="CCCCCC"/>
          <w:lang w:eastAsia="lt-LT" w:bidi="lt-LT"/>
        </w:rPr>
      </w:pPr>
      <w:r w:rsidRPr="009F10EE">
        <w:rPr>
          <w:rFonts w:ascii="Times New Roman" w:eastAsia="Times New Roman" w:hAnsi="Times New Roman" w:cs="Times New Roman"/>
          <w:highlight w:val="lightGray"/>
          <w:lang w:eastAsia="lt-LT" w:bidi="lt-LT"/>
        </w:rPr>
        <w:t>2D brūkšninis kodas su nurodytu unikaliu identifikatoriumi.</w:t>
      </w:r>
    </w:p>
    <w:p w14:paraId="6A1A2A66" w14:textId="77777777" w:rsidR="008C4948" w:rsidRPr="009F10EE" w:rsidRDefault="008C4948" w:rsidP="008C4948">
      <w:pPr>
        <w:widowControl w:val="0"/>
        <w:tabs>
          <w:tab w:val="left" w:pos="567"/>
        </w:tabs>
        <w:spacing w:after="0" w:line="240" w:lineRule="auto"/>
        <w:rPr>
          <w:rFonts w:ascii="Times New Roman" w:eastAsia="Times New Roman" w:hAnsi="Times New Roman" w:cs="Times New Roman"/>
          <w:shd w:val="clear" w:color="auto" w:fill="CCCCCC"/>
          <w:lang w:eastAsia="lt-LT" w:bidi="lt-LT"/>
        </w:rPr>
      </w:pPr>
    </w:p>
    <w:p w14:paraId="08D98976" w14:textId="77777777" w:rsidR="008C4948" w:rsidRPr="009F10EE" w:rsidRDefault="008C4948" w:rsidP="008C4948">
      <w:pPr>
        <w:widowControl w:val="0"/>
        <w:spacing w:after="0" w:line="240" w:lineRule="auto"/>
        <w:rPr>
          <w:rFonts w:ascii="Times New Roman" w:eastAsia="Times New Roman" w:hAnsi="Times New Roman" w:cs="Times New Roman"/>
          <w:lang w:eastAsia="lt-LT" w:bidi="lt-LT"/>
        </w:rPr>
      </w:pPr>
    </w:p>
    <w:p w14:paraId="1C7B37C1" w14:textId="77777777" w:rsidR="008C4948" w:rsidRPr="009F10EE" w:rsidRDefault="008C4948" w:rsidP="008C4948">
      <w:pPr>
        <w:widowControl w:val="0"/>
        <w:numPr>
          <w:ilvl w:val="0"/>
          <w:numId w:val="16"/>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eastAsia="Times New Roman" w:hAnsi="Times New Roman" w:cs="Times New Roman"/>
          <w:i/>
          <w:lang w:eastAsia="lt-LT" w:bidi="lt-LT"/>
        </w:rPr>
      </w:pPr>
      <w:r w:rsidRPr="009F10EE">
        <w:rPr>
          <w:rFonts w:ascii="Times New Roman" w:eastAsia="Times New Roman" w:hAnsi="Times New Roman" w:cs="Times New Roman"/>
          <w:b/>
          <w:lang w:eastAsia="lt-LT" w:bidi="lt-LT"/>
        </w:rPr>
        <w:t>UNIKALUS IDENTIFIKATORIUS – ŽMONĖMS SUPRANTAMI DUOMENYS</w:t>
      </w:r>
    </w:p>
    <w:p w14:paraId="3E16B052" w14:textId="77777777" w:rsidR="008C4948" w:rsidRPr="009F10EE" w:rsidRDefault="008C4948" w:rsidP="008C4948">
      <w:pPr>
        <w:widowControl w:val="0"/>
        <w:spacing w:after="0" w:line="240" w:lineRule="auto"/>
        <w:rPr>
          <w:rFonts w:ascii="Times New Roman" w:eastAsia="Times New Roman" w:hAnsi="Times New Roman" w:cs="Times New Roman"/>
          <w:lang w:eastAsia="lt-LT" w:bidi="lt-LT"/>
        </w:rPr>
      </w:pPr>
    </w:p>
    <w:p w14:paraId="0776FF07" w14:textId="77777777" w:rsidR="008C4948" w:rsidRPr="009F10EE" w:rsidRDefault="008C4948" w:rsidP="008C4948">
      <w:pPr>
        <w:widowControl w:val="0"/>
        <w:tabs>
          <w:tab w:val="left" w:pos="567"/>
        </w:tabs>
        <w:spacing w:after="0" w:line="260" w:lineRule="exact"/>
        <w:rPr>
          <w:rFonts w:ascii="Times New Roman" w:eastAsia="Times New Roman" w:hAnsi="Times New Roman" w:cs="Times New Roman"/>
          <w:lang w:eastAsia="lt-LT" w:bidi="lt-LT"/>
        </w:rPr>
      </w:pPr>
      <w:r w:rsidRPr="009F10EE">
        <w:rPr>
          <w:rFonts w:ascii="Times New Roman" w:eastAsia="Times New Roman" w:hAnsi="Times New Roman" w:cs="Times New Roman"/>
          <w:lang w:eastAsia="lt-LT" w:bidi="lt-LT"/>
        </w:rPr>
        <w:t>PC:</w:t>
      </w:r>
    </w:p>
    <w:p w14:paraId="7B225CB9" w14:textId="77777777" w:rsidR="008C4948" w:rsidRPr="009F10EE" w:rsidRDefault="008C4948" w:rsidP="008C4948">
      <w:pPr>
        <w:widowControl w:val="0"/>
        <w:tabs>
          <w:tab w:val="left" w:pos="567"/>
        </w:tabs>
        <w:spacing w:after="0" w:line="260" w:lineRule="exact"/>
        <w:rPr>
          <w:rFonts w:ascii="Times New Roman" w:eastAsia="Times New Roman" w:hAnsi="Times New Roman" w:cs="Times New Roman"/>
          <w:lang w:eastAsia="lt-LT" w:bidi="lt-LT"/>
        </w:rPr>
      </w:pPr>
      <w:r w:rsidRPr="009F10EE">
        <w:rPr>
          <w:rFonts w:ascii="Times New Roman" w:eastAsia="Times New Roman" w:hAnsi="Times New Roman" w:cs="Times New Roman"/>
          <w:lang w:eastAsia="lt-LT" w:bidi="lt-LT"/>
        </w:rPr>
        <w:lastRenderedPageBreak/>
        <w:t>SN:</w:t>
      </w:r>
    </w:p>
    <w:p w14:paraId="704C1359" w14:textId="77777777" w:rsidR="008C4948" w:rsidRPr="009F10EE" w:rsidRDefault="008C4948" w:rsidP="008C4948">
      <w:pPr>
        <w:widowControl w:val="0"/>
        <w:tabs>
          <w:tab w:val="left" w:pos="567"/>
        </w:tabs>
        <w:spacing w:after="0" w:line="260" w:lineRule="exact"/>
        <w:rPr>
          <w:rFonts w:ascii="Times New Roman" w:eastAsia="Times New Roman" w:hAnsi="Times New Roman" w:cs="Times New Roman"/>
          <w:lang w:eastAsia="lt-LT" w:bidi="lt-LT"/>
        </w:rPr>
      </w:pPr>
      <w:r w:rsidRPr="009F10EE">
        <w:rPr>
          <w:rFonts w:ascii="Times New Roman" w:eastAsia="Times New Roman" w:hAnsi="Times New Roman" w:cs="Times New Roman"/>
          <w:lang w:eastAsia="lt-LT" w:bidi="lt-LT"/>
        </w:rPr>
        <w:t>NN:</w:t>
      </w:r>
    </w:p>
    <w:p w14:paraId="318F3E23" w14:textId="77777777" w:rsidR="008C4948" w:rsidRPr="009F10EE" w:rsidRDefault="008C4948" w:rsidP="008C4948">
      <w:pPr>
        <w:widowControl w:val="0"/>
        <w:tabs>
          <w:tab w:val="left" w:pos="567"/>
        </w:tabs>
        <w:spacing w:after="0" w:line="240" w:lineRule="auto"/>
        <w:rPr>
          <w:rFonts w:ascii="Times New Roman" w:eastAsia="Times New Roman" w:hAnsi="Times New Roman" w:cs="Times New Roman"/>
          <w:shd w:val="clear" w:color="auto" w:fill="CCCCCC"/>
          <w:lang w:eastAsia="lt-LT" w:bidi="lt-LT"/>
        </w:rPr>
      </w:pPr>
    </w:p>
    <w:p w14:paraId="5F4F817B"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br w:type="page"/>
      </w:r>
    </w:p>
    <w:p w14:paraId="08273171"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lastRenderedPageBreak/>
        <w:t>MINIMALI INFORMACIJA ANT LIZDINIŲ PLOKŠTELIŲ ARBA DVISLUOKSNIŲ JUOSTELIŲ</w:t>
      </w:r>
    </w:p>
    <w:p w14:paraId="62A062C9"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3DFAB5B3"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LIZDINĖ PLOKŠTELĖ</w:t>
      </w:r>
    </w:p>
    <w:p w14:paraId="56197775"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A089EC5"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7BFA82F" w14:textId="3002A7DA" w:rsidR="008C4948" w:rsidRPr="009F10EE" w:rsidRDefault="008C4948" w:rsidP="00A57FA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bCs/>
          <w:snapToGrid w:val="0"/>
        </w:rPr>
      </w:pPr>
      <w:r w:rsidRPr="009F10EE">
        <w:rPr>
          <w:rFonts w:ascii="Times New Roman" w:hAnsi="Times New Roman" w:cs="Times New Roman"/>
          <w:b/>
          <w:bCs/>
          <w:snapToGrid w:val="0"/>
        </w:rPr>
        <w:t>1.</w:t>
      </w:r>
      <w:r w:rsidRPr="009F10EE">
        <w:rPr>
          <w:rFonts w:ascii="Times New Roman" w:hAnsi="Times New Roman" w:cs="Times New Roman"/>
          <w:b/>
          <w:bCs/>
          <w:snapToGrid w:val="0"/>
        </w:rPr>
        <w:tab/>
      </w:r>
      <w:r w:rsidRPr="009F10EE">
        <w:rPr>
          <w:rFonts w:ascii="Times New Roman" w:hAnsi="Times New Roman" w:cs="Times New Roman"/>
          <w:b/>
          <w:bCs/>
          <w:caps/>
          <w:snapToGrid w:val="0"/>
        </w:rPr>
        <w:t>VAISTINIO</w:t>
      </w:r>
      <w:r w:rsidRPr="009F10EE">
        <w:rPr>
          <w:rFonts w:ascii="Times New Roman" w:hAnsi="Times New Roman" w:cs="Times New Roman"/>
          <w:b/>
          <w:bCs/>
          <w:snapToGrid w:val="0"/>
        </w:rPr>
        <w:t xml:space="preserve"> PREPARATO PAVADINIMAS</w:t>
      </w:r>
    </w:p>
    <w:p w14:paraId="7EA3EAE3"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177022B" w14:textId="77777777" w:rsidR="008C4948" w:rsidRPr="009F10EE" w:rsidRDefault="008C4948" w:rsidP="008C4948">
      <w:pPr>
        <w:autoSpaceDE w:val="0"/>
        <w:autoSpaceDN w:val="0"/>
        <w:adjustRightInd w:val="0"/>
        <w:spacing w:after="0" w:line="240" w:lineRule="auto"/>
        <w:jc w:val="both"/>
        <w:rPr>
          <w:rFonts w:ascii="Times New Roman" w:eastAsia="Times New Roman" w:hAnsi="Times New Roman" w:cs="Times New Roman"/>
          <w:iCs/>
          <w:u w:val="single"/>
          <w:lang w:eastAsia="lt-LT"/>
        </w:rPr>
      </w:pPr>
      <w:r w:rsidRPr="009F10EE">
        <w:rPr>
          <w:rFonts w:ascii="Times New Roman" w:eastAsia="Times New Roman" w:hAnsi="Times New Roman" w:cs="Times New Roman"/>
          <w:lang w:eastAsia="lt-LT"/>
        </w:rPr>
        <w:t>Tadalafil Accord 5 mg plėvele dengtos tabletės</w:t>
      </w:r>
    </w:p>
    <w:p w14:paraId="7D9B27A0" w14:textId="77777777" w:rsidR="008C4948" w:rsidRPr="009F10EE" w:rsidRDefault="008C4948" w:rsidP="008C4948">
      <w:pPr>
        <w:autoSpaceDE w:val="0"/>
        <w:autoSpaceDN w:val="0"/>
        <w:adjustRightInd w:val="0"/>
        <w:spacing w:after="0" w:line="240" w:lineRule="auto"/>
        <w:jc w:val="both"/>
        <w:rPr>
          <w:rFonts w:ascii="Times New Roman" w:eastAsia="Times New Roman" w:hAnsi="Times New Roman" w:cs="Times New Roman"/>
          <w:iCs/>
          <w:u w:val="single"/>
          <w:lang w:eastAsia="lt-LT"/>
        </w:rPr>
      </w:pPr>
    </w:p>
    <w:p w14:paraId="444C16A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Tadalafilis</w:t>
      </w:r>
    </w:p>
    <w:p w14:paraId="360D729C"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CF2AD21"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4E89864"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2.</w:t>
      </w:r>
      <w:r w:rsidRPr="009F10EE">
        <w:rPr>
          <w:rFonts w:ascii="Times New Roman" w:eastAsia="Times New Roman" w:hAnsi="Times New Roman" w:cs="Times New Roman"/>
          <w:b/>
          <w:snapToGrid w:val="0"/>
        </w:rPr>
        <w:tab/>
      </w:r>
      <w:r w:rsidRPr="009F10EE">
        <w:rPr>
          <w:rFonts w:ascii="Times New Roman" w:eastAsia="Times New Roman" w:hAnsi="Times New Roman" w:cs="Times New Roman"/>
          <w:b/>
          <w:caps/>
          <w:snapToGrid w:val="0"/>
        </w:rPr>
        <w:t>rEGISTRUOTOJO pavadinimas</w:t>
      </w:r>
    </w:p>
    <w:p w14:paraId="2A2B0028"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EB1D17A"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lang w:eastAsia="lt-LT"/>
        </w:rPr>
        <w:t>Accord</w:t>
      </w:r>
    </w:p>
    <w:p w14:paraId="16BE1216"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4C88487"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B90DACC" w14:textId="77777777" w:rsidR="008C4948" w:rsidRPr="009F10EE" w:rsidRDefault="008C4948" w:rsidP="008C4948">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3.</w:t>
      </w:r>
      <w:r w:rsidRPr="009F10EE">
        <w:rPr>
          <w:rFonts w:ascii="Times New Roman" w:eastAsia="Times New Roman" w:hAnsi="Times New Roman" w:cs="Times New Roman"/>
          <w:b/>
          <w:snapToGrid w:val="0"/>
        </w:rPr>
        <w:tab/>
        <w:t>TINKAMUMO LAIKAS</w:t>
      </w:r>
    </w:p>
    <w:p w14:paraId="2F26C74F"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DB8FDA2"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EXP: {mm/MMMM}</w:t>
      </w:r>
    </w:p>
    <w:p w14:paraId="3CE72B2F"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B708351"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66A7AB6" w14:textId="77777777" w:rsidR="008C4948" w:rsidRPr="009F10EE" w:rsidRDefault="008C4948" w:rsidP="008C494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4.</w:t>
      </w:r>
      <w:r w:rsidRPr="009F10EE">
        <w:rPr>
          <w:rFonts w:ascii="Times New Roman" w:eastAsia="Times New Roman" w:hAnsi="Times New Roman" w:cs="Times New Roman"/>
          <w:b/>
          <w:snapToGrid w:val="0"/>
        </w:rPr>
        <w:tab/>
        <w:t>SERIJOS NUMERIS</w:t>
      </w:r>
    </w:p>
    <w:p w14:paraId="6DF29279"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DEA1DA0"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Lot:</w:t>
      </w:r>
    </w:p>
    <w:p w14:paraId="697F4BBA"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3891F25"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E7CC2F4"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5.</w:t>
      </w:r>
      <w:r w:rsidRPr="009F10EE">
        <w:rPr>
          <w:rFonts w:ascii="Times New Roman" w:eastAsia="Times New Roman" w:hAnsi="Times New Roman" w:cs="Times New Roman"/>
          <w:b/>
          <w:snapToGrid w:val="0"/>
        </w:rPr>
        <w:tab/>
        <w:t>KITA</w:t>
      </w:r>
    </w:p>
    <w:p w14:paraId="234FF5CA"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D95167B"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B8C4D30" w14:textId="77777777" w:rsidR="008C4948" w:rsidRPr="009F10EE" w:rsidRDefault="008C4948" w:rsidP="008C4948">
      <w:pPr>
        <w:rPr>
          <w:rFonts w:ascii="Times New Roman" w:eastAsia="Times New Roman" w:hAnsi="Times New Roman" w:cs="Times New Roman"/>
          <w:snapToGrid w:val="0"/>
        </w:rPr>
      </w:pPr>
      <w:r w:rsidRPr="009F10EE">
        <w:rPr>
          <w:rFonts w:ascii="Times New Roman" w:eastAsia="Times New Roman" w:hAnsi="Times New Roman" w:cs="Times New Roman"/>
          <w:snapToGrid w:val="0"/>
        </w:rPr>
        <w:br w:type="page"/>
      </w:r>
    </w:p>
    <w:p w14:paraId="007A28D9"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lastRenderedPageBreak/>
        <w:t>INFORMACIJA ANT IŠORINĖS PAKUOTĖS</w:t>
      </w:r>
    </w:p>
    <w:p w14:paraId="697DAA6D"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15000E23"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KARTONO DĖŽUTĖ</w:t>
      </w:r>
    </w:p>
    <w:p w14:paraId="3E2B214B"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7A90627"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A5DB9B8" w14:textId="69B991D3" w:rsidR="008C4948" w:rsidRPr="009F10EE" w:rsidRDefault="008C4948" w:rsidP="00A57FA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b/>
          <w:bCs/>
          <w:snapToGrid w:val="0"/>
        </w:rPr>
      </w:pPr>
      <w:r w:rsidRPr="009F10EE">
        <w:rPr>
          <w:rFonts w:ascii="Times New Roman" w:hAnsi="Times New Roman" w:cs="Times New Roman"/>
          <w:b/>
          <w:bCs/>
          <w:snapToGrid w:val="0"/>
        </w:rPr>
        <w:t>1.</w:t>
      </w:r>
      <w:r w:rsidRPr="009F10EE">
        <w:rPr>
          <w:rFonts w:ascii="Times New Roman" w:hAnsi="Times New Roman" w:cs="Times New Roman"/>
          <w:b/>
          <w:bCs/>
          <w:snapToGrid w:val="0"/>
        </w:rPr>
        <w:tab/>
      </w:r>
      <w:r w:rsidRPr="009F10EE">
        <w:rPr>
          <w:rFonts w:ascii="Times New Roman" w:hAnsi="Times New Roman" w:cs="Times New Roman"/>
          <w:b/>
          <w:bCs/>
          <w:caps/>
          <w:snapToGrid w:val="0"/>
        </w:rPr>
        <w:t>VAISTINIO</w:t>
      </w:r>
      <w:r w:rsidRPr="009F10EE">
        <w:rPr>
          <w:rFonts w:ascii="Times New Roman" w:hAnsi="Times New Roman" w:cs="Times New Roman"/>
          <w:b/>
          <w:bCs/>
          <w:snapToGrid w:val="0"/>
        </w:rPr>
        <w:t xml:space="preserve"> PREPARATO PAVADINIMAS</w:t>
      </w:r>
    </w:p>
    <w:p w14:paraId="08AAA07D"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4DB8A51" w14:textId="77777777" w:rsidR="008C4948" w:rsidRPr="009F10EE" w:rsidRDefault="008C4948" w:rsidP="008C4948">
      <w:pPr>
        <w:autoSpaceDE w:val="0"/>
        <w:autoSpaceDN w:val="0"/>
        <w:adjustRightInd w:val="0"/>
        <w:spacing w:after="0" w:line="240" w:lineRule="auto"/>
        <w:jc w:val="both"/>
        <w:rPr>
          <w:rFonts w:ascii="Times New Roman" w:eastAsia="Times New Roman" w:hAnsi="Times New Roman" w:cs="Times New Roman"/>
          <w:iCs/>
          <w:u w:val="single"/>
          <w:lang w:eastAsia="lt-LT"/>
        </w:rPr>
      </w:pPr>
      <w:r w:rsidRPr="009F10EE">
        <w:rPr>
          <w:rFonts w:ascii="Times New Roman" w:eastAsia="Times New Roman" w:hAnsi="Times New Roman" w:cs="Times New Roman"/>
          <w:lang w:eastAsia="lt-LT"/>
        </w:rPr>
        <w:t>Tadalafil Accord 10 mg plėvele dengtos tabletės</w:t>
      </w:r>
    </w:p>
    <w:p w14:paraId="45561407"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Tadalafilis</w:t>
      </w:r>
    </w:p>
    <w:p w14:paraId="124B18C7"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60241AA"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F9DF982"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2.</w:t>
      </w:r>
      <w:r w:rsidRPr="009F10EE">
        <w:rPr>
          <w:rFonts w:ascii="Times New Roman" w:eastAsia="Times New Roman" w:hAnsi="Times New Roman" w:cs="Times New Roman"/>
          <w:b/>
          <w:snapToGrid w:val="0"/>
        </w:rPr>
        <w:tab/>
        <w:t>VEIKLIOJI (-IOS) MEDŽIAGA (-OS) IR JOS (-Ų) KIEKIS (-IAI)</w:t>
      </w:r>
    </w:p>
    <w:p w14:paraId="6A79FFDD"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559A311" w14:textId="77777777" w:rsidR="008C4948" w:rsidRPr="009F10EE" w:rsidRDefault="008C4948" w:rsidP="008C4948">
      <w:pPr>
        <w:autoSpaceDE w:val="0"/>
        <w:autoSpaceDN w:val="0"/>
        <w:adjustRightInd w:val="0"/>
        <w:spacing w:after="0" w:line="240" w:lineRule="auto"/>
        <w:jc w:val="both"/>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Kiekvienoje plėvele dengtoje tabletėje yra 10 mg tadalafilio.</w:t>
      </w:r>
    </w:p>
    <w:p w14:paraId="3AD19E97"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6BDD169"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B1778B9"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3.</w:t>
      </w:r>
      <w:r w:rsidRPr="009F10EE">
        <w:rPr>
          <w:rFonts w:ascii="Times New Roman" w:eastAsia="Times New Roman" w:hAnsi="Times New Roman" w:cs="Times New Roman"/>
          <w:b/>
          <w:snapToGrid w:val="0"/>
        </w:rPr>
        <w:tab/>
        <w:t>PAGALBINIŲ MEDŽIAGŲ SĄRAŠAS</w:t>
      </w:r>
    </w:p>
    <w:p w14:paraId="1E7F00F0"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953C5B7"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 xml:space="preserve">Sudėtyje yra laktozės. </w:t>
      </w:r>
    </w:p>
    <w:p w14:paraId="6DD4BEBE"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Daugiau informacijos pateikta pakuotės lapelyje.</w:t>
      </w:r>
    </w:p>
    <w:p w14:paraId="15A660E2"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ADF7A45"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A627D6F"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4.</w:t>
      </w:r>
      <w:r w:rsidRPr="009F10EE">
        <w:rPr>
          <w:rFonts w:ascii="Times New Roman" w:eastAsia="Times New Roman" w:hAnsi="Times New Roman" w:cs="Times New Roman"/>
          <w:b/>
          <w:snapToGrid w:val="0"/>
        </w:rPr>
        <w:tab/>
        <w:t>FARMACINĖ FORMA IR KIEKIS PAKUOTĖJE</w:t>
      </w:r>
    </w:p>
    <w:p w14:paraId="0F72F966"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8D66B03" w14:textId="77777777" w:rsidR="008C4948" w:rsidRPr="009F10EE" w:rsidRDefault="008C4948" w:rsidP="008C4948">
      <w:pPr>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Plėvele dengta tabletė</w:t>
      </w:r>
    </w:p>
    <w:p w14:paraId="64D42B54"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snapToGrid w:val="0"/>
        </w:rPr>
        <w:t xml:space="preserve">4 </w:t>
      </w:r>
      <w:r w:rsidRPr="009F10EE">
        <w:rPr>
          <w:rFonts w:ascii="Times New Roman" w:eastAsia="Times New Roman" w:hAnsi="Times New Roman" w:cs="Times New Roman"/>
        </w:rPr>
        <w:t>plėvele dengtos tabletės</w:t>
      </w:r>
    </w:p>
    <w:p w14:paraId="3A8F1C2B"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snapToGrid w:val="0"/>
        </w:rPr>
        <w:t xml:space="preserve">14 </w:t>
      </w:r>
      <w:r w:rsidRPr="009F10EE">
        <w:rPr>
          <w:rFonts w:ascii="Times New Roman" w:eastAsia="Times New Roman" w:hAnsi="Times New Roman" w:cs="Times New Roman"/>
        </w:rPr>
        <w:t>plėvele dengtos tabletės</w:t>
      </w:r>
    </w:p>
    <w:p w14:paraId="1F38719E"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snapToGrid w:val="0"/>
        </w:rPr>
        <w:t xml:space="preserve">28 </w:t>
      </w:r>
      <w:r w:rsidRPr="009F10EE">
        <w:rPr>
          <w:rFonts w:ascii="Times New Roman" w:eastAsia="Times New Roman" w:hAnsi="Times New Roman" w:cs="Times New Roman"/>
        </w:rPr>
        <w:t>plėvele dengtos tabletės</w:t>
      </w:r>
    </w:p>
    <w:p w14:paraId="536B85A0"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snapToGrid w:val="0"/>
        </w:rPr>
        <w:t xml:space="preserve">30 </w:t>
      </w:r>
      <w:r w:rsidRPr="009F10EE">
        <w:rPr>
          <w:rFonts w:ascii="Times New Roman" w:eastAsia="Times New Roman" w:hAnsi="Times New Roman" w:cs="Times New Roman"/>
        </w:rPr>
        <w:t>plėvele dengtos tabletės</w:t>
      </w:r>
    </w:p>
    <w:p w14:paraId="5EF2330D"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C9D5118"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A3CB141"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5.</w:t>
      </w:r>
      <w:r w:rsidRPr="009F10EE">
        <w:rPr>
          <w:rFonts w:ascii="Times New Roman" w:eastAsia="Times New Roman" w:hAnsi="Times New Roman" w:cs="Times New Roman"/>
          <w:b/>
          <w:snapToGrid w:val="0"/>
        </w:rPr>
        <w:tab/>
        <w:t>VARTOJIMO METODAS IR BŪDAS (-AI)</w:t>
      </w:r>
    </w:p>
    <w:p w14:paraId="5568D28B"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16206B9"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Vartoti per burną.</w:t>
      </w:r>
    </w:p>
    <w:p w14:paraId="18A8B416"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Prieš vartojimą perskaitykite pakuotės lapelį.</w:t>
      </w:r>
    </w:p>
    <w:p w14:paraId="1B117168"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7386C37"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A9C2DC2"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6.</w:t>
      </w:r>
      <w:r w:rsidRPr="009F10EE">
        <w:rPr>
          <w:rFonts w:ascii="Times New Roman" w:eastAsia="Times New Roman" w:hAnsi="Times New Roman" w:cs="Times New Roman"/>
          <w:b/>
          <w:snapToGrid w:val="0"/>
        </w:rPr>
        <w:tab/>
        <w:t>SPECIALUS ĮSPĖJIMAS, KAD VAISTINĮ PREPARATĄ BŪTINA LAIKYTI VAIKAMS NEPASTEBIMOJE IR  NEPASIEKIAMOJE VIETOJE</w:t>
      </w:r>
    </w:p>
    <w:p w14:paraId="749432A8"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468464C"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Laikyti vaikams nepastebimoje ir nepasiekiamoje vietoje.</w:t>
      </w:r>
    </w:p>
    <w:p w14:paraId="5F5DC7C5"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BC5BBA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BBC4BB5"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7.</w:t>
      </w:r>
      <w:r w:rsidRPr="009F10EE">
        <w:rPr>
          <w:rFonts w:ascii="Times New Roman" w:eastAsia="Times New Roman" w:hAnsi="Times New Roman" w:cs="Times New Roman"/>
          <w:b/>
          <w:snapToGrid w:val="0"/>
        </w:rPr>
        <w:tab/>
        <w:t>KITAS (-I) SPECIALUS (-ŪS) ĮSPĖJIMAS (-AI) (JEI REIKIA)</w:t>
      </w:r>
    </w:p>
    <w:p w14:paraId="61B14362"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872DE4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9C5C47A"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8.</w:t>
      </w:r>
      <w:r w:rsidRPr="009F10EE">
        <w:rPr>
          <w:rFonts w:ascii="Times New Roman" w:eastAsia="Times New Roman" w:hAnsi="Times New Roman" w:cs="Times New Roman"/>
          <w:b/>
          <w:snapToGrid w:val="0"/>
        </w:rPr>
        <w:tab/>
        <w:t>TINKAMUMO LAIKAS</w:t>
      </w:r>
    </w:p>
    <w:p w14:paraId="530F33C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941CFEE" w14:textId="7EDD2BD8" w:rsidR="008C4948" w:rsidRPr="009F10EE" w:rsidRDefault="00176B20" w:rsidP="008C4948">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EXP</w:t>
      </w:r>
      <w:r w:rsidR="008C4948" w:rsidRPr="009F10EE">
        <w:rPr>
          <w:rFonts w:ascii="Times New Roman" w:eastAsia="Times New Roman" w:hAnsi="Times New Roman" w:cs="Times New Roman"/>
          <w:snapToGrid w:val="0"/>
        </w:rPr>
        <w:t>: {mm/MMMM}</w:t>
      </w:r>
    </w:p>
    <w:p w14:paraId="3CD29C40"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6C1255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AC1FECD" w14:textId="77777777" w:rsidR="008C4948" w:rsidRPr="009F10EE" w:rsidRDefault="008C4948" w:rsidP="008C494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lastRenderedPageBreak/>
        <w:t>9.</w:t>
      </w:r>
      <w:r w:rsidRPr="009F10EE">
        <w:rPr>
          <w:rFonts w:ascii="Times New Roman" w:eastAsia="Times New Roman" w:hAnsi="Times New Roman" w:cs="Times New Roman"/>
          <w:b/>
          <w:snapToGrid w:val="0"/>
        </w:rPr>
        <w:tab/>
        <w:t>SPECIALIOS LAIKYMO SĄLYGOS</w:t>
      </w:r>
    </w:p>
    <w:p w14:paraId="2F58DEE8"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F6C3B5A"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62DDA10"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10.</w:t>
      </w:r>
      <w:r w:rsidRPr="009F10EE">
        <w:rPr>
          <w:rFonts w:ascii="Times New Roman" w:eastAsia="Times New Roman" w:hAnsi="Times New Roman" w:cs="Times New Roman"/>
          <w:b/>
          <w:snapToGrid w:val="0"/>
        </w:rPr>
        <w:tab/>
        <w:t>SPECIALIOS ATSARGUMO PRIEMONĖS DĖL NESUVARTOTO VAISTINIO PREPARATO AR JO ATLIEKŲ TVARKYMO (JEI REIKIA)</w:t>
      </w:r>
    </w:p>
    <w:p w14:paraId="5813871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032006F"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9474099"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11.</w:t>
      </w:r>
      <w:r w:rsidRPr="009F10EE">
        <w:rPr>
          <w:rFonts w:ascii="Times New Roman" w:eastAsia="Times New Roman" w:hAnsi="Times New Roman" w:cs="Times New Roman"/>
          <w:b/>
          <w:snapToGrid w:val="0"/>
        </w:rPr>
        <w:tab/>
      </w:r>
      <w:r w:rsidRPr="009F10EE">
        <w:rPr>
          <w:rFonts w:ascii="Times New Roman" w:eastAsia="Times New Roman" w:hAnsi="Times New Roman" w:cs="Times New Roman"/>
          <w:b/>
          <w:caps/>
          <w:snapToGrid w:val="0"/>
        </w:rPr>
        <w:t>REGISTRUOTOJO PAVADINIMAS IR ADRESAS</w:t>
      </w:r>
    </w:p>
    <w:p w14:paraId="5D85EFBE"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64B4323" w14:textId="4FD0443F" w:rsidR="008C4948" w:rsidRPr="009F10EE" w:rsidRDefault="008C4948" w:rsidP="00E638B1">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 xml:space="preserve">Accord Healthcare </w:t>
      </w:r>
      <w:r w:rsidR="00C63DF6" w:rsidRPr="009F10EE">
        <w:rPr>
          <w:rFonts w:ascii="Times New Roman" w:hAnsi="Times New Roman" w:cs="Times New Roman"/>
        </w:rPr>
        <w:t xml:space="preserve">B.V. </w:t>
      </w:r>
    </w:p>
    <w:p w14:paraId="1D9097B4"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 xml:space="preserve">Winthontlaan 200 </w:t>
      </w:r>
    </w:p>
    <w:p w14:paraId="4F189308"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 xml:space="preserve">3526 KV Utrecht </w:t>
      </w:r>
    </w:p>
    <w:p w14:paraId="7CCD6E0C"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Nyderlandai</w:t>
      </w:r>
    </w:p>
    <w:p w14:paraId="4D08B68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24ECCFA"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41A89A9"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12.</w:t>
      </w:r>
      <w:r w:rsidRPr="009F10EE">
        <w:rPr>
          <w:rFonts w:ascii="Times New Roman" w:eastAsia="Times New Roman" w:hAnsi="Times New Roman" w:cs="Times New Roman"/>
          <w:b/>
          <w:snapToGrid w:val="0"/>
        </w:rPr>
        <w:tab/>
        <w:t xml:space="preserve">REGISTRACIJOS PAŽYMĖJIMO NUMERIS (-IAI) </w:t>
      </w:r>
    </w:p>
    <w:p w14:paraId="091FCF05"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40D8A1F" w14:textId="77777777" w:rsidR="00133AB8" w:rsidRPr="00133AB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LT/1/16/3972/006 – N4</w:t>
      </w:r>
    </w:p>
    <w:p w14:paraId="167884C8" w14:textId="77777777" w:rsidR="00133AB8" w:rsidRPr="00133AB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LT/1/16/3972/013 – N14</w:t>
      </w:r>
    </w:p>
    <w:p w14:paraId="288AA501" w14:textId="77777777" w:rsidR="00133AB8" w:rsidRPr="00133AB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LT/1/16/3972/014 – N28</w:t>
      </w:r>
    </w:p>
    <w:p w14:paraId="3ADC7086" w14:textId="69E8E19D" w:rsidR="008C494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LT/1/16/3972/015 – N30</w:t>
      </w:r>
    </w:p>
    <w:p w14:paraId="26244477" w14:textId="77777777" w:rsidR="00133AB8" w:rsidRPr="009F10EE" w:rsidRDefault="00133AB8" w:rsidP="00133AB8">
      <w:pPr>
        <w:tabs>
          <w:tab w:val="left" w:pos="567"/>
        </w:tabs>
        <w:spacing w:after="0" w:line="240" w:lineRule="auto"/>
        <w:rPr>
          <w:rFonts w:ascii="Times New Roman" w:eastAsia="Times New Roman" w:hAnsi="Times New Roman" w:cs="Times New Roman"/>
          <w:snapToGrid w:val="0"/>
        </w:rPr>
      </w:pPr>
    </w:p>
    <w:p w14:paraId="35D5A783"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0881678"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13.</w:t>
      </w:r>
      <w:r w:rsidRPr="009F10EE">
        <w:rPr>
          <w:rFonts w:ascii="Times New Roman" w:eastAsia="Times New Roman" w:hAnsi="Times New Roman" w:cs="Times New Roman"/>
          <w:b/>
          <w:snapToGrid w:val="0"/>
        </w:rPr>
        <w:tab/>
        <w:t xml:space="preserve">SERIJOS NUMERIS </w:t>
      </w:r>
    </w:p>
    <w:p w14:paraId="5FD2D72D"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695D488" w14:textId="05E80518" w:rsidR="008C4948" w:rsidRPr="009F10EE" w:rsidRDefault="00176B20" w:rsidP="008C4948">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Lot:</w:t>
      </w:r>
    </w:p>
    <w:p w14:paraId="2D073090"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7DEBEE9"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74EA5C6"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14.</w:t>
      </w:r>
      <w:r w:rsidRPr="009F10EE">
        <w:rPr>
          <w:rFonts w:ascii="Times New Roman" w:eastAsia="Times New Roman" w:hAnsi="Times New Roman" w:cs="Times New Roman"/>
          <w:b/>
          <w:snapToGrid w:val="0"/>
        </w:rPr>
        <w:tab/>
        <w:t>PARDAVIMO (IŠDAVIMO) TVARKA</w:t>
      </w:r>
    </w:p>
    <w:p w14:paraId="6F3A4816"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9EC65CF" w14:textId="3C7BDD6D"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Receptinis vaistas</w:t>
      </w:r>
    </w:p>
    <w:p w14:paraId="6D0A8CBD"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8C626FF"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4D2D3AF" w14:textId="77777777" w:rsidR="008C4948" w:rsidRPr="009F10EE" w:rsidRDefault="008C4948" w:rsidP="008C4948">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15.</w:t>
      </w:r>
      <w:r w:rsidRPr="009F10EE">
        <w:rPr>
          <w:rFonts w:ascii="Times New Roman" w:eastAsia="Times New Roman" w:hAnsi="Times New Roman" w:cs="Times New Roman"/>
          <w:b/>
          <w:snapToGrid w:val="0"/>
        </w:rPr>
        <w:tab/>
        <w:t>VARTOJIMO INSTRUKCIJA</w:t>
      </w:r>
    </w:p>
    <w:p w14:paraId="570FD29D"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50FBC8F"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7C18687" w14:textId="77777777" w:rsidR="008C4948" w:rsidRPr="009F10EE" w:rsidRDefault="008C4948" w:rsidP="008C494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sidRPr="009F10EE">
        <w:rPr>
          <w:rFonts w:ascii="Times New Roman" w:eastAsia="Times New Roman" w:hAnsi="Times New Roman" w:cs="Times New Roman"/>
          <w:b/>
          <w:snapToGrid w:val="0"/>
        </w:rPr>
        <w:t>16.</w:t>
      </w:r>
      <w:r w:rsidRPr="009F10EE">
        <w:rPr>
          <w:rFonts w:ascii="Times New Roman" w:eastAsia="Times New Roman" w:hAnsi="Times New Roman" w:cs="Times New Roman"/>
          <w:b/>
          <w:snapToGrid w:val="0"/>
        </w:rPr>
        <w:tab/>
        <w:t>INFORMACIJA BRAILIO RAŠTU</w:t>
      </w:r>
    </w:p>
    <w:p w14:paraId="7652B4F1"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DF481D4"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Tadalafil Accord 10 mg </w:t>
      </w:r>
    </w:p>
    <w:p w14:paraId="08257AA9"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0DF544D" w14:textId="77777777" w:rsidR="008C4948" w:rsidRPr="009F10EE" w:rsidRDefault="008C4948" w:rsidP="008C4948">
      <w:pPr>
        <w:widowControl w:val="0"/>
        <w:tabs>
          <w:tab w:val="left" w:pos="567"/>
        </w:tabs>
        <w:spacing w:after="0" w:line="240" w:lineRule="auto"/>
        <w:rPr>
          <w:rFonts w:ascii="Times New Roman" w:eastAsia="Times New Roman" w:hAnsi="Times New Roman" w:cs="Times New Roman"/>
          <w:shd w:val="clear" w:color="auto" w:fill="CCCCCC"/>
          <w:lang w:eastAsia="lt-LT" w:bidi="lt-LT"/>
        </w:rPr>
      </w:pPr>
    </w:p>
    <w:p w14:paraId="32B1DC93" w14:textId="77777777" w:rsidR="008C4948" w:rsidRPr="009F10EE" w:rsidRDefault="008C4948" w:rsidP="008C4948">
      <w:pPr>
        <w:widowControl w:val="0"/>
        <w:numPr>
          <w:ilvl w:val="0"/>
          <w:numId w:val="19"/>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eastAsia="Times New Roman" w:hAnsi="Times New Roman" w:cs="Times New Roman"/>
          <w:i/>
          <w:lang w:eastAsia="lt-LT" w:bidi="lt-LT"/>
        </w:rPr>
      </w:pPr>
      <w:r w:rsidRPr="009F10EE">
        <w:rPr>
          <w:rFonts w:ascii="Times New Roman" w:eastAsia="Times New Roman" w:hAnsi="Times New Roman" w:cs="Times New Roman"/>
          <w:b/>
          <w:lang w:eastAsia="lt-LT" w:bidi="lt-LT"/>
        </w:rPr>
        <w:t>UNIKALUS IDENTIFIKATORIUS – 2D BRŪKŠNINIS KODAS</w:t>
      </w:r>
    </w:p>
    <w:p w14:paraId="6C67BBA1" w14:textId="77777777" w:rsidR="008C4948" w:rsidRPr="009F10EE" w:rsidRDefault="008C4948" w:rsidP="008C4948">
      <w:pPr>
        <w:widowControl w:val="0"/>
        <w:spacing w:after="0" w:line="240" w:lineRule="auto"/>
        <w:rPr>
          <w:rFonts w:ascii="Times New Roman" w:eastAsia="Times New Roman" w:hAnsi="Times New Roman" w:cs="Times New Roman"/>
          <w:lang w:eastAsia="lt-LT" w:bidi="lt-LT"/>
        </w:rPr>
      </w:pPr>
    </w:p>
    <w:p w14:paraId="62961396" w14:textId="77777777" w:rsidR="008C4948" w:rsidRPr="009F10EE" w:rsidRDefault="008C4948" w:rsidP="008C4948">
      <w:pPr>
        <w:widowControl w:val="0"/>
        <w:tabs>
          <w:tab w:val="left" w:pos="567"/>
        </w:tabs>
        <w:spacing w:after="0" w:line="240" w:lineRule="auto"/>
        <w:rPr>
          <w:rFonts w:ascii="Times New Roman" w:eastAsia="Times New Roman" w:hAnsi="Times New Roman" w:cs="Times New Roman"/>
          <w:shd w:val="clear" w:color="auto" w:fill="CCCCCC"/>
          <w:lang w:eastAsia="lt-LT" w:bidi="lt-LT"/>
        </w:rPr>
      </w:pPr>
      <w:r w:rsidRPr="009F10EE">
        <w:rPr>
          <w:rFonts w:ascii="Times New Roman" w:eastAsia="Times New Roman" w:hAnsi="Times New Roman" w:cs="Times New Roman"/>
          <w:highlight w:val="lightGray"/>
          <w:lang w:eastAsia="lt-LT" w:bidi="lt-LT"/>
        </w:rPr>
        <w:t>2D brūkšninis kodas su nurodytu unikaliu identifikatoriumi.</w:t>
      </w:r>
    </w:p>
    <w:p w14:paraId="327A4453" w14:textId="77777777" w:rsidR="008C4948" w:rsidRPr="009F10EE" w:rsidRDefault="008C4948" w:rsidP="008C4948">
      <w:pPr>
        <w:widowControl w:val="0"/>
        <w:tabs>
          <w:tab w:val="left" w:pos="567"/>
        </w:tabs>
        <w:spacing w:after="0" w:line="240" w:lineRule="auto"/>
        <w:rPr>
          <w:rFonts w:ascii="Times New Roman" w:eastAsia="Times New Roman" w:hAnsi="Times New Roman" w:cs="Times New Roman"/>
          <w:shd w:val="clear" w:color="auto" w:fill="CCCCCC"/>
          <w:lang w:eastAsia="lt-LT" w:bidi="lt-LT"/>
        </w:rPr>
      </w:pPr>
    </w:p>
    <w:p w14:paraId="179BEE09" w14:textId="77777777" w:rsidR="008C4948" w:rsidRPr="009F10EE" w:rsidRDefault="008C4948" w:rsidP="008C4948">
      <w:pPr>
        <w:widowControl w:val="0"/>
        <w:spacing w:after="0" w:line="240" w:lineRule="auto"/>
        <w:rPr>
          <w:rFonts w:ascii="Times New Roman" w:eastAsia="Times New Roman" w:hAnsi="Times New Roman" w:cs="Times New Roman"/>
          <w:lang w:eastAsia="lt-LT" w:bidi="lt-LT"/>
        </w:rPr>
      </w:pPr>
    </w:p>
    <w:p w14:paraId="5407867E" w14:textId="77777777" w:rsidR="008C4948" w:rsidRPr="009F10EE" w:rsidRDefault="008C4948" w:rsidP="008C4948">
      <w:pPr>
        <w:widowControl w:val="0"/>
        <w:numPr>
          <w:ilvl w:val="0"/>
          <w:numId w:val="19"/>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eastAsia="Times New Roman" w:hAnsi="Times New Roman" w:cs="Times New Roman"/>
          <w:i/>
          <w:lang w:eastAsia="lt-LT" w:bidi="lt-LT"/>
        </w:rPr>
      </w:pPr>
      <w:r w:rsidRPr="009F10EE">
        <w:rPr>
          <w:rFonts w:ascii="Times New Roman" w:eastAsia="Times New Roman" w:hAnsi="Times New Roman" w:cs="Times New Roman"/>
          <w:b/>
          <w:lang w:eastAsia="lt-LT" w:bidi="lt-LT"/>
        </w:rPr>
        <w:t>UNIKALUS IDENTIFIKATORIUS – ŽMONĖMS SUPRANTAMI DUOMENYS</w:t>
      </w:r>
    </w:p>
    <w:p w14:paraId="3FBF6498" w14:textId="77777777" w:rsidR="008C4948" w:rsidRPr="009F10EE" w:rsidRDefault="008C4948" w:rsidP="008C4948">
      <w:pPr>
        <w:widowControl w:val="0"/>
        <w:spacing w:after="0" w:line="240" w:lineRule="auto"/>
        <w:rPr>
          <w:rFonts w:ascii="Times New Roman" w:eastAsia="Times New Roman" w:hAnsi="Times New Roman" w:cs="Times New Roman"/>
          <w:lang w:eastAsia="lt-LT" w:bidi="lt-LT"/>
        </w:rPr>
      </w:pPr>
    </w:p>
    <w:p w14:paraId="2C82E660" w14:textId="77777777" w:rsidR="008C4948" w:rsidRPr="009F10EE" w:rsidRDefault="008C4948" w:rsidP="008C4948">
      <w:pPr>
        <w:widowControl w:val="0"/>
        <w:tabs>
          <w:tab w:val="left" w:pos="567"/>
        </w:tabs>
        <w:spacing w:after="0" w:line="260" w:lineRule="exact"/>
        <w:rPr>
          <w:rFonts w:ascii="Times New Roman" w:eastAsia="Times New Roman" w:hAnsi="Times New Roman" w:cs="Times New Roman"/>
          <w:lang w:eastAsia="lt-LT" w:bidi="lt-LT"/>
        </w:rPr>
      </w:pPr>
      <w:r w:rsidRPr="009F10EE">
        <w:rPr>
          <w:rFonts w:ascii="Times New Roman" w:eastAsia="Times New Roman" w:hAnsi="Times New Roman" w:cs="Times New Roman"/>
          <w:lang w:eastAsia="lt-LT" w:bidi="lt-LT"/>
        </w:rPr>
        <w:t>PC:</w:t>
      </w:r>
    </w:p>
    <w:p w14:paraId="34CCAB78" w14:textId="77777777" w:rsidR="008C4948" w:rsidRPr="009F10EE" w:rsidRDefault="008C4948" w:rsidP="008C4948">
      <w:pPr>
        <w:widowControl w:val="0"/>
        <w:tabs>
          <w:tab w:val="left" w:pos="567"/>
        </w:tabs>
        <w:spacing w:after="0" w:line="260" w:lineRule="exact"/>
        <w:rPr>
          <w:rFonts w:ascii="Times New Roman" w:eastAsia="Times New Roman" w:hAnsi="Times New Roman" w:cs="Times New Roman"/>
          <w:lang w:eastAsia="lt-LT" w:bidi="lt-LT"/>
        </w:rPr>
      </w:pPr>
      <w:r w:rsidRPr="009F10EE">
        <w:rPr>
          <w:rFonts w:ascii="Times New Roman" w:eastAsia="Times New Roman" w:hAnsi="Times New Roman" w:cs="Times New Roman"/>
          <w:lang w:eastAsia="lt-LT" w:bidi="lt-LT"/>
        </w:rPr>
        <w:t>SN:</w:t>
      </w:r>
    </w:p>
    <w:p w14:paraId="2ADAF615" w14:textId="77777777" w:rsidR="008C4948" w:rsidRPr="009F10EE" w:rsidRDefault="008C4948" w:rsidP="008C4948">
      <w:pPr>
        <w:widowControl w:val="0"/>
        <w:tabs>
          <w:tab w:val="left" w:pos="567"/>
        </w:tabs>
        <w:spacing w:after="0" w:line="260" w:lineRule="exact"/>
        <w:rPr>
          <w:rFonts w:ascii="Times New Roman" w:eastAsia="Times New Roman" w:hAnsi="Times New Roman" w:cs="Times New Roman"/>
          <w:lang w:eastAsia="lt-LT" w:bidi="lt-LT"/>
        </w:rPr>
      </w:pPr>
      <w:r w:rsidRPr="009F10EE">
        <w:rPr>
          <w:rFonts w:ascii="Times New Roman" w:eastAsia="Times New Roman" w:hAnsi="Times New Roman" w:cs="Times New Roman"/>
          <w:lang w:eastAsia="lt-LT" w:bidi="lt-LT"/>
        </w:rPr>
        <w:t>NN:</w:t>
      </w:r>
    </w:p>
    <w:p w14:paraId="2D1F5527" w14:textId="77777777" w:rsidR="008C4948" w:rsidRPr="009F10EE" w:rsidRDefault="008C4948" w:rsidP="008C4948">
      <w:pPr>
        <w:widowControl w:val="0"/>
        <w:tabs>
          <w:tab w:val="left" w:pos="567"/>
        </w:tabs>
        <w:spacing w:after="0" w:line="240" w:lineRule="auto"/>
        <w:rPr>
          <w:rFonts w:ascii="Times New Roman" w:eastAsia="Times New Roman" w:hAnsi="Times New Roman" w:cs="Times New Roman"/>
          <w:shd w:val="clear" w:color="auto" w:fill="CCCCCC"/>
          <w:lang w:eastAsia="lt-LT" w:bidi="lt-LT"/>
        </w:rPr>
      </w:pPr>
    </w:p>
    <w:p w14:paraId="2F769E3B"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MINIMALI INFORMACIJA ANT LIZDINIŲ PLOKŠTELIŲ ARBA DVISLUOKSNIŲ JUOSTELIŲ</w:t>
      </w:r>
    </w:p>
    <w:p w14:paraId="74A1086F"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60CD83B5"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LIZDINĖ PLOKŠTELĖ</w:t>
      </w:r>
    </w:p>
    <w:p w14:paraId="47429A7C"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12D57D1"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38EE5CA" w14:textId="0A0F8A8F" w:rsidR="008C4948" w:rsidRPr="009F10EE" w:rsidRDefault="008C4948" w:rsidP="00A57FA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bCs/>
          <w:snapToGrid w:val="0"/>
        </w:rPr>
      </w:pPr>
      <w:r w:rsidRPr="009F10EE">
        <w:rPr>
          <w:rFonts w:ascii="Times New Roman" w:hAnsi="Times New Roman" w:cs="Times New Roman"/>
          <w:b/>
          <w:bCs/>
          <w:snapToGrid w:val="0"/>
        </w:rPr>
        <w:t>1.</w:t>
      </w:r>
      <w:r w:rsidRPr="009F10EE">
        <w:rPr>
          <w:rFonts w:ascii="Times New Roman" w:hAnsi="Times New Roman" w:cs="Times New Roman"/>
          <w:b/>
          <w:bCs/>
          <w:snapToGrid w:val="0"/>
        </w:rPr>
        <w:tab/>
      </w:r>
      <w:r w:rsidRPr="009F10EE">
        <w:rPr>
          <w:rFonts w:ascii="Times New Roman" w:hAnsi="Times New Roman" w:cs="Times New Roman"/>
          <w:b/>
          <w:bCs/>
          <w:caps/>
          <w:snapToGrid w:val="0"/>
        </w:rPr>
        <w:t>VAISTINIO</w:t>
      </w:r>
      <w:r w:rsidRPr="009F10EE">
        <w:rPr>
          <w:rFonts w:ascii="Times New Roman" w:hAnsi="Times New Roman" w:cs="Times New Roman"/>
          <w:b/>
          <w:bCs/>
          <w:snapToGrid w:val="0"/>
        </w:rPr>
        <w:t xml:space="preserve"> PREPARATO PAVADINIMAS</w:t>
      </w:r>
    </w:p>
    <w:p w14:paraId="3C122956"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FC88F80" w14:textId="77777777" w:rsidR="008C4948" w:rsidRPr="009F10EE" w:rsidRDefault="008C4948" w:rsidP="008C4948">
      <w:pPr>
        <w:autoSpaceDE w:val="0"/>
        <w:autoSpaceDN w:val="0"/>
        <w:adjustRightInd w:val="0"/>
        <w:spacing w:after="0" w:line="240" w:lineRule="auto"/>
        <w:jc w:val="both"/>
        <w:rPr>
          <w:rFonts w:ascii="Times New Roman" w:eastAsia="Times New Roman" w:hAnsi="Times New Roman" w:cs="Times New Roman"/>
          <w:iCs/>
          <w:u w:val="single"/>
          <w:lang w:eastAsia="lt-LT"/>
        </w:rPr>
      </w:pPr>
      <w:r w:rsidRPr="009F10EE">
        <w:rPr>
          <w:rFonts w:ascii="Times New Roman" w:eastAsia="Times New Roman" w:hAnsi="Times New Roman" w:cs="Times New Roman"/>
          <w:lang w:eastAsia="lt-LT"/>
        </w:rPr>
        <w:t>Tadalafil Accord 10 mg plėvele dengtos tabletės</w:t>
      </w:r>
    </w:p>
    <w:p w14:paraId="6C35F15F" w14:textId="77777777" w:rsidR="008C4948" w:rsidRPr="009F10EE" w:rsidRDefault="008C4948" w:rsidP="008C4948">
      <w:pPr>
        <w:autoSpaceDE w:val="0"/>
        <w:autoSpaceDN w:val="0"/>
        <w:adjustRightInd w:val="0"/>
        <w:spacing w:after="0" w:line="240" w:lineRule="auto"/>
        <w:jc w:val="both"/>
        <w:rPr>
          <w:rFonts w:ascii="Times New Roman" w:eastAsia="Times New Roman" w:hAnsi="Times New Roman" w:cs="Times New Roman"/>
          <w:iCs/>
          <w:u w:val="single"/>
          <w:lang w:eastAsia="lt-LT"/>
        </w:rPr>
      </w:pPr>
    </w:p>
    <w:p w14:paraId="6C79BB7A"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Tadalafilis</w:t>
      </w:r>
    </w:p>
    <w:p w14:paraId="151A1BCD"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5A95147"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B9FE768"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2.</w:t>
      </w:r>
      <w:r w:rsidRPr="009F10EE">
        <w:rPr>
          <w:rFonts w:ascii="Times New Roman" w:eastAsia="Times New Roman" w:hAnsi="Times New Roman" w:cs="Times New Roman"/>
          <w:b/>
          <w:snapToGrid w:val="0"/>
        </w:rPr>
        <w:tab/>
      </w:r>
      <w:r w:rsidRPr="009F10EE">
        <w:rPr>
          <w:rFonts w:ascii="Times New Roman" w:eastAsia="Times New Roman" w:hAnsi="Times New Roman" w:cs="Times New Roman"/>
          <w:b/>
          <w:caps/>
          <w:snapToGrid w:val="0"/>
        </w:rPr>
        <w:t>rEGISTRUOTOJO pavadinimas</w:t>
      </w:r>
    </w:p>
    <w:p w14:paraId="707D8015"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9A796D9"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lang w:eastAsia="lt-LT"/>
        </w:rPr>
        <w:t>Accord</w:t>
      </w:r>
    </w:p>
    <w:p w14:paraId="4D52C7FE"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BCF27D9"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538A219" w14:textId="77777777" w:rsidR="008C4948" w:rsidRPr="009F10EE" w:rsidRDefault="008C4948" w:rsidP="008C4948">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3.</w:t>
      </w:r>
      <w:r w:rsidRPr="009F10EE">
        <w:rPr>
          <w:rFonts w:ascii="Times New Roman" w:eastAsia="Times New Roman" w:hAnsi="Times New Roman" w:cs="Times New Roman"/>
          <w:b/>
          <w:snapToGrid w:val="0"/>
        </w:rPr>
        <w:tab/>
        <w:t>TINKAMUMO LAIKAS</w:t>
      </w:r>
    </w:p>
    <w:p w14:paraId="78AF7311"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DDE5925"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EXP: {mm/MMMM}</w:t>
      </w:r>
    </w:p>
    <w:p w14:paraId="560ED7F3"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27F7AB1"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F92A3FB" w14:textId="77777777" w:rsidR="008C4948" w:rsidRPr="009F10EE" w:rsidRDefault="008C4948" w:rsidP="008C494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4.</w:t>
      </w:r>
      <w:r w:rsidRPr="009F10EE">
        <w:rPr>
          <w:rFonts w:ascii="Times New Roman" w:eastAsia="Times New Roman" w:hAnsi="Times New Roman" w:cs="Times New Roman"/>
          <w:b/>
          <w:snapToGrid w:val="0"/>
        </w:rPr>
        <w:tab/>
        <w:t>SERIJOS NUMERIS</w:t>
      </w:r>
    </w:p>
    <w:p w14:paraId="77A99931"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066D1CE"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Lot:</w:t>
      </w:r>
    </w:p>
    <w:p w14:paraId="438B9FFB"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E853959"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7F5EB04"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5.</w:t>
      </w:r>
      <w:r w:rsidRPr="009F10EE">
        <w:rPr>
          <w:rFonts w:ascii="Times New Roman" w:eastAsia="Times New Roman" w:hAnsi="Times New Roman" w:cs="Times New Roman"/>
          <w:b/>
          <w:snapToGrid w:val="0"/>
        </w:rPr>
        <w:tab/>
        <w:t>KITA</w:t>
      </w:r>
    </w:p>
    <w:p w14:paraId="7045D091"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15F3BE5" w14:textId="77777777" w:rsidR="008C4948" w:rsidRPr="009F10EE" w:rsidRDefault="008C4948" w:rsidP="008C4948">
      <w:pPr>
        <w:rPr>
          <w:rFonts w:ascii="Times New Roman" w:eastAsia="Times New Roman" w:hAnsi="Times New Roman" w:cs="Times New Roman"/>
          <w:snapToGrid w:val="0"/>
        </w:rPr>
      </w:pPr>
      <w:r w:rsidRPr="009F10EE">
        <w:rPr>
          <w:rFonts w:ascii="Times New Roman" w:eastAsia="Times New Roman" w:hAnsi="Times New Roman" w:cs="Times New Roman"/>
          <w:snapToGrid w:val="0"/>
        </w:rPr>
        <w:br w:type="page"/>
      </w:r>
    </w:p>
    <w:p w14:paraId="7D898559"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lastRenderedPageBreak/>
        <w:t>INFORMACIJA ANT IŠORINĖS PAKUOTĖS</w:t>
      </w:r>
    </w:p>
    <w:p w14:paraId="1FCD9A46"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2DA43B7C"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KARTONO DĖŽUTĖ</w:t>
      </w:r>
    </w:p>
    <w:p w14:paraId="108AC58A"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6C8E92B"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4A5ECA3" w14:textId="2541DCF3" w:rsidR="008C4948" w:rsidRPr="009F10EE" w:rsidRDefault="008C4948" w:rsidP="00A57FA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b/>
          <w:bCs/>
          <w:snapToGrid w:val="0"/>
        </w:rPr>
      </w:pPr>
      <w:r w:rsidRPr="009F10EE">
        <w:rPr>
          <w:rFonts w:ascii="Times New Roman" w:hAnsi="Times New Roman" w:cs="Times New Roman"/>
          <w:b/>
          <w:bCs/>
          <w:snapToGrid w:val="0"/>
        </w:rPr>
        <w:t>1.</w:t>
      </w:r>
      <w:r w:rsidRPr="009F10EE">
        <w:rPr>
          <w:rFonts w:ascii="Times New Roman" w:hAnsi="Times New Roman" w:cs="Times New Roman"/>
          <w:b/>
          <w:bCs/>
          <w:snapToGrid w:val="0"/>
        </w:rPr>
        <w:tab/>
      </w:r>
      <w:r w:rsidRPr="009F10EE">
        <w:rPr>
          <w:rFonts w:ascii="Times New Roman" w:hAnsi="Times New Roman" w:cs="Times New Roman"/>
          <w:b/>
          <w:bCs/>
          <w:caps/>
          <w:snapToGrid w:val="0"/>
        </w:rPr>
        <w:t>VAISTINIO</w:t>
      </w:r>
      <w:r w:rsidRPr="009F10EE">
        <w:rPr>
          <w:rFonts w:ascii="Times New Roman" w:hAnsi="Times New Roman" w:cs="Times New Roman"/>
          <w:b/>
          <w:bCs/>
          <w:snapToGrid w:val="0"/>
        </w:rPr>
        <w:t xml:space="preserve"> PREPARATO PAVADINIMAS</w:t>
      </w:r>
    </w:p>
    <w:p w14:paraId="7C741722"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CA85F1A" w14:textId="77777777" w:rsidR="008C4948" w:rsidRPr="009F10EE" w:rsidRDefault="008C4948" w:rsidP="008C4948">
      <w:pPr>
        <w:autoSpaceDE w:val="0"/>
        <w:autoSpaceDN w:val="0"/>
        <w:adjustRightInd w:val="0"/>
        <w:spacing w:after="0" w:line="240" w:lineRule="auto"/>
        <w:jc w:val="both"/>
        <w:rPr>
          <w:rFonts w:ascii="Times New Roman" w:eastAsia="Times New Roman" w:hAnsi="Times New Roman" w:cs="Times New Roman"/>
          <w:iCs/>
          <w:u w:val="single"/>
          <w:lang w:eastAsia="lt-LT"/>
        </w:rPr>
      </w:pPr>
      <w:r w:rsidRPr="009F10EE">
        <w:rPr>
          <w:rFonts w:ascii="Times New Roman" w:eastAsia="Times New Roman" w:hAnsi="Times New Roman" w:cs="Times New Roman"/>
          <w:lang w:eastAsia="lt-LT"/>
        </w:rPr>
        <w:t>Tadalafil Accord 20 mg plėvele dengtos tabletės</w:t>
      </w:r>
    </w:p>
    <w:p w14:paraId="325523B7"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Tadalafilis</w:t>
      </w:r>
    </w:p>
    <w:p w14:paraId="0747F0F6"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DF3B9CC"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A2BBC4C"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2.</w:t>
      </w:r>
      <w:r w:rsidRPr="009F10EE">
        <w:rPr>
          <w:rFonts w:ascii="Times New Roman" w:eastAsia="Times New Roman" w:hAnsi="Times New Roman" w:cs="Times New Roman"/>
          <w:b/>
          <w:snapToGrid w:val="0"/>
        </w:rPr>
        <w:tab/>
        <w:t>VEIKLIOJI (-IOS) MEDŽIAGA (-OS) IR JOS (-Ų) KIEKIS (-IAI)</w:t>
      </w:r>
    </w:p>
    <w:p w14:paraId="3AE38CBF"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69B4CC2" w14:textId="77777777" w:rsidR="008C4948" w:rsidRPr="009F10EE" w:rsidRDefault="008C4948" w:rsidP="008C4948">
      <w:pPr>
        <w:autoSpaceDE w:val="0"/>
        <w:autoSpaceDN w:val="0"/>
        <w:adjustRightInd w:val="0"/>
        <w:spacing w:after="0" w:line="240" w:lineRule="auto"/>
        <w:jc w:val="both"/>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Kiekvienoje plėvele dengtoje tabletėje yra 20 mg tadalafilio.</w:t>
      </w:r>
    </w:p>
    <w:p w14:paraId="4EDC925B"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EE78BC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3E9CED3"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3.</w:t>
      </w:r>
      <w:r w:rsidRPr="009F10EE">
        <w:rPr>
          <w:rFonts w:ascii="Times New Roman" w:eastAsia="Times New Roman" w:hAnsi="Times New Roman" w:cs="Times New Roman"/>
          <w:b/>
          <w:snapToGrid w:val="0"/>
        </w:rPr>
        <w:tab/>
        <w:t>PAGALBINIŲ MEDŽIAGŲ SĄRAŠAS</w:t>
      </w:r>
    </w:p>
    <w:p w14:paraId="0BB0286E"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00BCB26"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 xml:space="preserve">Sudėtyje yra laktozės. </w:t>
      </w:r>
    </w:p>
    <w:p w14:paraId="5F7D1358"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Daugiau informacijos pateikta pakuotės lapelyje.</w:t>
      </w:r>
    </w:p>
    <w:p w14:paraId="5C5C0D0E"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26DC3C0"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7FB8BA5"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4.</w:t>
      </w:r>
      <w:r w:rsidRPr="009F10EE">
        <w:rPr>
          <w:rFonts w:ascii="Times New Roman" w:eastAsia="Times New Roman" w:hAnsi="Times New Roman" w:cs="Times New Roman"/>
          <w:b/>
          <w:snapToGrid w:val="0"/>
        </w:rPr>
        <w:tab/>
        <w:t>FARMACINĖ FORMA IR KIEKIS PAKUOTĖJE</w:t>
      </w:r>
    </w:p>
    <w:p w14:paraId="68290C2F"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9C55FB6" w14:textId="77777777" w:rsidR="008C4948" w:rsidRPr="009F10EE" w:rsidRDefault="008C4948" w:rsidP="008C4948">
      <w:pPr>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Plėvele dengta tabletė</w:t>
      </w:r>
    </w:p>
    <w:p w14:paraId="73F58D86"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snapToGrid w:val="0"/>
        </w:rPr>
        <w:t xml:space="preserve">2 </w:t>
      </w:r>
      <w:r w:rsidRPr="009F10EE">
        <w:rPr>
          <w:rFonts w:ascii="Times New Roman" w:eastAsia="Times New Roman" w:hAnsi="Times New Roman" w:cs="Times New Roman"/>
        </w:rPr>
        <w:t>plėvele dengtos tabletės</w:t>
      </w:r>
    </w:p>
    <w:p w14:paraId="2E4347AA" w14:textId="77777777" w:rsidR="008C4948" w:rsidRPr="009F10EE" w:rsidRDefault="008C4948" w:rsidP="008C4948">
      <w:pPr>
        <w:spacing w:after="0" w:line="240" w:lineRule="auto"/>
        <w:rPr>
          <w:rFonts w:ascii="Times New Roman" w:hAnsi="Times New Roman" w:cs="Times New Roman"/>
        </w:rPr>
      </w:pPr>
      <w:r w:rsidRPr="009F10EE">
        <w:rPr>
          <w:rFonts w:ascii="Times New Roman" w:hAnsi="Times New Roman" w:cs="Times New Roman"/>
        </w:rPr>
        <w:t>4 plėvele dengtos tabletės</w:t>
      </w:r>
    </w:p>
    <w:p w14:paraId="66211381" w14:textId="77777777" w:rsidR="008C4948" w:rsidRPr="009F10EE" w:rsidRDefault="008C4948" w:rsidP="008C4948">
      <w:pPr>
        <w:spacing w:after="0" w:line="240" w:lineRule="auto"/>
        <w:rPr>
          <w:rFonts w:ascii="Times New Roman" w:hAnsi="Times New Roman" w:cs="Times New Roman"/>
        </w:rPr>
      </w:pPr>
      <w:r w:rsidRPr="009F10EE">
        <w:rPr>
          <w:rFonts w:ascii="Times New Roman" w:hAnsi="Times New Roman" w:cs="Times New Roman"/>
        </w:rPr>
        <w:t>8 plėvele dengtos tabletės</w:t>
      </w:r>
    </w:p>
    <w:p w14:paraId="1DF63866" w14:textId="77777777" w:rsidR="008C4948" w:rsidRPr="009F10EE" w:rsidRDefault="008C4948" w:rsidP="008C4948">
      <w:pPr>
        <w:spacing w:after="0" w:line="240" w:lineRule="auto"/>
        <w:rPr>
          <w:rFonts w:ascii="Times New Roman" w:hAnsi="Times New Roman" w:cs="Times New Roman"/>
        </w:rPr>
      </w:pPr>
      <w:r w:rsidRPr="009F10EE">
        <w:rPr>
          <w:rFonts w:ascii="Times New Roman" w:hAnsi="Times New Roman" w:cs="Times New Roman"/>
        </w:rPr>
        <w:t>12 plėvele dengtų tablečių</w:t>
      </w:r>
    </w:p>
    <w:p w14:paraId="09DE5030"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snapToGrid w:val="0"/>
        </w:rPr>
        <w:t xml:space="preserve">14 </w:t>
      </w:r>
      <w:r w:rsidRPr="009F10EE">
        <w:rPr>
          <w:rFonts w:ascii="Times New Roman" w:eastAsia="Times New Roman" w:hAnsi="Times New Roman" w:cs="Times New Roman"/>
        </w:rPr>
        <w:t>plėvele dengtos tabletės</w:t>
      </w:r>
    </w:p>
    <w:p w14:paraId="30B6FE95"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snapToGrid w:val="0"/>
        </w:rPr>
        <w:t xml:space="preserve">28 </w:t>
      </w:r>
      <w:r w:rsidRPr="009F10EE">
        <w:rPr>
          <w:rFonts w:ascii="Times New Roman" w:eastAsia="Times New Roman" w:hAnsi="Times New Roman" w:cs="Times New Roman"/>
        </w:rPr>
        <w:t>plėvele dengtos tabletės</w:t>
      </w:r>
    </w:p>
    <w:p w14:paraId="775155FE" w14:textId="77777777" w:rsidR="008C4948" w:rsidRPr="009F10EE" w:rsidRDefault="008C4948" w:rsidP="008C4948">
      <w:pPr>
        <w:spacing w:after="0" w:line="240" w:lineRule="auto"/>
        <w:rPr>
          <w:rFonts w:ascii="Times New Roman" w:eastAsia="Times New Roman" w:hAnsi="Times New Roman" w:cs="Times New Roman"/>
        </w:rPr>
      </w:pPr>
      <w:r w:rsidRPr="009F10EE">
        <w:rPr>
          <w:rFonts w:ascii="Times New Roman" w:eastAsia="Times New Roman" w:hAnsi="Times New Roman" w:cs="Times New Roman"/>
          <w:snapToGrid w:val="0"/>
        </w:rPr>
        <w:t xml:space="preserve">30 </w:t>
      </w:r>
      <w:r w:rsidRPr="009F10EE">
        <w:rPr>
          <w:rFonts w:ascii="Times New Roman" w:eastAsia="Times New Roman" w:hAnsi="Times New Roman" w:cs="Times New Roman"/>
        </w:rPr>
        <w:t>plėvele dengtos tabletės</w:t>
      </w:r>
    </w:p>
    <w:p w14:paraId="065CF680" w14:textId="77777777" w:rsidR="008C4948" w:rsidRPr="009F10EE" w:rsidRDefault="008C4948" w:rsidP="008C4948">
      <w:pPr>
        <w:spacing w:after="0" w:line="240" w:lineRule="auto"/>
        <w:rPr>
          <w:rFonts w:ascii="Times New Roman" w:hAnsi="Times New Roman" w:cs="Times New Roman"/>
        </w:rPr>
      </w:pPr>
      <w:r w:rsidRPr="009F10EE">
        <w:rPr>
          <w:rFonts w:ascii="Times New Roman" w:hAnsi="Times New Roman" w:cs="Times New Roman"/>
        </w:rPr>
        <w:t>56 plėvele dengtos tabletės</w:t>
      </w:r>
    </w:p>
    <w:p w14:paraId="37693E7A" w14:textId="77777777" w:rsidR="008C4948" w:rsidRPr="009F10EE" w:rsidRDefault="008C4948" w:rsidP="008C4948">
      <w:pPr>
        <w:spacing w:after="0" w:line="240" w:lineRule="auto"/>
        <w:rPr>
          <w:rFonts w:ascii="Times New Roman" w:eastAsia="Times New Roman" w:hAnsi="Times New Roman" w:cs="Times New Roman"/>
          <w:snapToGrid w:val="0"/>
        </w:rPr>
      </w:pPr>
      <w:r w:rsidRPr="009F10EE">
        <w:rPr>
          <w:rFonts w:ascii="Times New Roman" w:hAnsi="Times New Roman" w:cs="Times New Roman"/>
        </w:rPr>
        <w:t>60 plėvele dengtų tablečių</w:t>
      </w:r>
    </w:p>
    <w:p w14:paraId="5B8EAE1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BB9145A"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64E876D"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5.</w:t>
      </w:r>
      <w:r w:rsidRPr="009F10EE">
        <w:rPr>
          <w:rFonts w:ascii="Times New Roman" w:eastAsia="Times New Roman" w:hAnsi="Times New Roman" w:cs="Times New Roman"/>
          <w:b/>
          <w:snapToGrid w:val="0"/>
        </w:rPr>
        <w:tab/>
        <w:t>VARTOJIMO METODAS IR BŪDAS (-AI)</w:t>
      </w:r>
    </w:p>
    <w:p w14:paraId="1DAE4C6C"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2B68D52"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Vartoti per burną.</w:t>
      </w:r>
    </w:p>
    <w:p w14:paraId="70586491"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Prieš vartojimą perskaitykite pakuotės lapelį.</w:t>
      </w:r>
    </w:p>
    <w:p w14:paraId="0A171075"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1DEFCB2"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291083D"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6.</w:t>
      </w:r>
      <w:r w:rsidRPr="009F10EE">
        <w:rPr>
          <w:rFonts w:ascii="Times New Roman" w:eastAsia="Times New Roman" w:hAnsi="Times New Roman" w:cs="Times New Roman"/>
          <w:b/>
          <w:snapToGrid w:val="0"/>
        </w:rPr>
        <w:tab/>
        <w:t>SPECIALUS ĮSPĖJIMAS, KAD VAISTINĮ PREPARATĄ BŪTINA LAIKYTI VAIKAMS NEPASTEBIMOJE IR  NEPASIEKIAMOJE VIETOJE</w:t>
      </w:r>
    </w:p>
    <w:p w14:paraId="20F5E241"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3F5A62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Laikyti vaikams nepastebimoje ir nepasiekiamoje vietoje.</w:t>
      </w:r>
    </w:p>
    <w:p w14:paraId="51F37457"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3C30F77"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D35043F"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7.</w:t>
      </w:r>
      <w:r w:rsidRPr="009F10EE">
        <w:rPr>
          <w:rFonts w:ascii="Times New Roman" w:eastAsia="Times New Roman" w:hAnsi="Times New Roman" w:cs="Times New Roman"/>
          <w:b/>
          <w:snapToGrid w:val="0"/>
        </w:rPr>
        <w:tab/>
        <w:t>KITAS (-I) SPECIALUS (-ŪS) ĮSPĖJIMAS (-AI) (JEI REIKIA)</w:t>
      </w:r>
    </w:p>
    <w:p w14:paraId="25F0D1AF"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2A8F686"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7064540"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lastRenderedPageBreak/>
        <w:t>8.</w:t>
      </w:r>
      <w:r w:rsidRPr="009F10EE">
        <w:rPr>
          <w:rFonts w:ascii="Times New Roman" w:eastAsia="Times New Roman" w:hAnsi="Times New Roman" w:cs="Times New Roman"/>
          <w:b/>
          <w:snapToGrid w:val="0"/>
        </w:rPr>
        <w:tab/>
        <w:t>TINKAMUMO LAIKAS</w:t>
      </w:r>
    </w:p>
    <w:p w14:paraId="569B8888"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7D1B2E8" w14:textId="31181481" w:rsidR="008C4948" w:rsidRPr="009F10EE" w:rsidRDefault="00176B20" w:rsidP="008C4948">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EXP</w:t>
      </w:r>
      <w:r w:rsidR="008C4948" w:rsidRPr="009F10EE">
        <w:rPr>
          <w:rFonts w:ascii="Times New Roman" w:eastAsia="Times New Roman" w:hAnsi="Times New Roman" w:cs="Times New Roman"/>
          <w:snapToGrid w:val="0"/>
        </w:rPr>
        <w:t>: {mm/MMMM}</w:t>
      </w:r>
    </w:p>
    <w:p w14:paraId="32C93E88"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D70AF7C"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7091E36" w14:textId="77777777" w:rsidR="008C4948" w:rsidRPr="009F10EE" w:rsidRDefault="008C4948" w:rsidP="008C494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9.</w:t>
      </w:r>
      <w:r w:rsidRPr="009F10EE">
        <w:rPr>
          <w:rFonts w:ascii="Times New Roman" w:eastAsia="Times New Roman" w:hAnsi="Times New Roman" w:cs="Times New Roman"/>
          <w:b/>
          <w:snapToGrid w:val="0"/>
        </w:rPr>
        <w:tab/>
        <w:t>SPECIALIOS LAIKYMO SĄLYGOS</w:t>
      </w:r>
    </w:p>
    <w:p w14:paraId="53D8C253"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DA3D9A5"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1E17392"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10.</w:t>
      </w:r>
      <w:r w:rsidRPr="009F10EE">
        <w:rPr>
          <w:rFonts w:ascii="Times New Roman" w:eastAsia="Times New Roman" w:hAnsi="Times New Roman" w:cs="Times New Roman"/>
          <w:b/>
          <w:snapToGrid w:val="0"/>
        </w:rPr>
        <w:tab/>
        <w:t>SPECIALIOS ATSARGUMO PRIEMONĖS DĖL NESUVARTOTO VAISTINIO PREPARATO AR JO ATLIEKŲ TVARKYMO (JEI REIKIA)</w:t>
      </w:r>
    </w:p>
    <w:p w14:paraId="511B7FB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6FF0A2A"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135A4B5"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11.</w:t>
      </w:r>
      <w:r w:rsidRPr="009F10EE">
        <w:rPr>
          <w:rFonts w:ascii="Times New Roman" w:eastAsia="Times New Roman" w:hAnsi="Times New Roman" w:cs="Times New Roman"/>
          <w:b/>
          <w:snapToGrid w:val="0"/>
        </w:rPr>
        <w:tab/>
      </w:r>
      <w:r w:rsidRPr="009F10EE">
        <w:rPr>
          <w:rFonts w:ascii="Times New Roman" w:eastAsia="Times New Roman" w:hAnsi="Times New Roman" w:cs="Times New Roman"/>
          <w:b/>
          <w:caps/>
          <w:snapToGrid w:val="0"/>
        </w:rPr>
        <w:t>REGISTRUOTOJO PAVADINIMAS IR ADRESAS</w:t>
      </w:r>
    </w:p>
    <w:p w14:paraId="21FC771E"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D7278B0" w14:textId="3CAC1B7A" w:rsidR="008C4948" w:rsidRPr="009F10EE" w:rsidRDefault="008C4948" w:rsidP="00E638B1">
      <w:pPr>
        <w:spacing w:after="0" w:line="240" w:lineRule="auto"/>
        <w:rPr>
          <w:rFonts w:ascii="Times New Roman" w:eastAsia="Times New Roman" w:hAnsi="Times New Roman" w:cs="Times New Roman"/>
        </w:rPr>
      </w:pPr>
      <w:r w:rsidRPr="009F10EE">
        <w:rPr>
          <w:rFonts w:ascii="Times New Roman" w:eastAsia="Times New Roman" w:hAnsi="Times New Roman" w:cs="Times New Roman"/>
        </w:rPr>
        <w:t xml:space="preserve">Accord Healthcare </w:t>
      </w:r>
      <w:r w:rsidR="00C63DF6" w:rsidRPr="009F10EE">
        <w:rPr>
          <w:rFonts w:ascii="Times New Roman" w:hAnsi="Times New Roman" w:cs="Times New Roman"/>
        </w:rPr>
        <w:t xml:space="preserve">B.V. </w:t>
      </w:r>
    </w:p>
    <w:p w14:paraId="5B32014C"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 xml:space="preserve">Winthontlaan 200 </w:t>
      </w:r>
    </w:p>
    <w:p w14:paraId="2868A6BD"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 xml:space="preserve">3526 KV Utrecht </w:t>
      </w:r>
    </w:p>
    <w:p w14:paraId="51D16A3D" w14:textId="77777777" w:rsidR="00C63DF6" w:rsidRPr="009F10EE" w:rsidRDefault="00C63DF6" w:rsidP="00C63DF6">
      <w:pPr>
        <w:spacing w:after="0" w:line="240" w:lineRule="auto"/>
        <w:rPr>
          <w:rFonts w:ascii="Times New Roman" w:hAnsi="Times New Roman" w:cs="Times New Roman"/>
        </w:rPr>
      </w:pPr>
      <w:r w:rsidRPr="009F10EE">
        <w:rPr>
          <w:rFonts w:ascii="Times New Roman" w:hAnsi="Times New Roman" w:cs="Times New Roman"/>
        </w:rPr>
        <w:t>Nyderlandai</w:t>
      </w:r>
    </w:p>
    <w:p w14:paraId="479EC52F"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0FF7278"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2D729A1"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12.</w:t>
      </w:r>
      <w:r w:rsidRPr="009F10EE">
        <w:rPr>
          <w:rFonts w:ascii="Times New Roman" w:eastAsia="Times New Roman" w:hAnsi="Times New Roman" w:cs="Times New Roman"/>
          <w:b/>
          <w:snapToGrid w:val="0"/>
        </w:rPr>
        <w:tab/>
        <w:t xml:space="preserve">REGISTRACIJOS PAŽYMĖJIMO NUMERIS (-IAI) </w:t>
      </w:r>
    </w:p>
    <w:p w14:paraId="2364DCA2"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BBAB00B" w14:textId="77777777" w:rsidR="00133AB8" w:rsidRPr="00133AB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LT/1/16/3972/007 – N2</w:t>
      </w:r>
    </w:p>
    <w:p w14:paraId="34005C94" w14:textId="77777777" w:rsidR="00133AB8" w:rsidRPr="00133AB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LT/1/16/3972/008 – N4</w:t>
      </w:r>
    </w:p>
    <w:p w14:paraId="0CEC77A7" w14:textId="77777777" w:rsidR="00133AB8" w:rsidRPr="00133AB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LT/1/16/3972/009 – N8</w:t>
      </w:r>
    </w:p>
    <w:p w14:paraId="66B70BFF" w14:textId="77777777" w:rsidR="00133AB8" w:rsidRPr="00133AB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LT/1/16/3972/010 – N12</w:t>
      </w:r>
    </w:p>
    <w:p w14:paraId="4EA68575" w14:textId="77777777" w:rsidR="00133AB8" w:rsidRPr="00133AB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LT/1/16/3972/016 – N14</w:t>
      </w:r>
    </w:p>
    <w:p w14:paraId="47702E21" w14:textId="4E5404C2" w:rsidR="00133AB8" w:rsidRPr="00133AB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LT/1/16/3972/017 – N2</w:t>
      </w:r>
      <w:r>
        <w:rPr>
          <w:rFonts w:ascii="Times New Roman" w:eastAsia="Times New Roman" w:hAnsi="Times New Roman" w:cs="Times New Roman"/>
          <w:snapToGrid w:val="0"/>
        </w:rPr>
        <w:t>8</w:t>
      </w:r>
    </w:p>
    <w:p w14:paraId="44AE9596" w14:textId="77777777" w:rsidR="00133AB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LT/1/16/3972/018 – N30</w:t>
      </w:r>
    </w:p>
    <w:p w14:paraId="175416AC" w14:textId="77777777" w:rsidR="00133AB8" w:rsidRPr="00133AB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LT/1/16/3972/011 – N56</w:t>
      </w:r>
    </w:p>
    <w:p w14:paraId="0FF68095" w14:textId="77777777" w:rsidR="00133AB8" w:rsidRPr="00133AB8" w:rsidRDefault="00133AB8" w:rsidP="00133AB8">
      <w:pPr>
        <w:tabs>
          <w:tab w:val="left" w:pos="567"/>
        </w:tabs>
        <w:spacing w:after="0" w:line="240" w:lineRule="auto"/>
        <w:rPr>
          <w:rFonts w:ascii="Times New Roman" w:eastAsia="Times New Roman" w:hAnsi="Times New Roman" w:cs="Times New Roman"/>
          <w:snapToGrid w:val="0"/>
        </w:rPr>
      </w:pPr>
      <w:r w:rsidRPr="00133AB8">
        <w:rPr>
          <w:rFonts w:ascii="Times New Roman" w:eastAsia="Times New Roman" w:hAnsi="Times New Roman" w:cs="Times New Roman"/>
          <w:snapToGrid w:val="0"/>
        </w:rPr>
        <w:t>LT/1/16/3972/012 – N60</w:t>
      </w:r>
    </w:p>
    <w:p w14:paraId="56D0F7F8" w14:textId="77777777" w:rsidR="00133AB8" w:rsidRPr="009F10EE" w:rsidRDefault="00133AB8" w:rsidP="00133AB8">
      <w:pPr>
        <w:tabs>
          <w:tab w:val="left" w:pos="567"/>
        </w:tabs>
        <w:spacing w:after="0" w:line="240" w:lineRule="auto"/>
        <w:rPr>
          <w:rFonts w:ascii="Times New Roman" w:eastAsia="Times New Roman" w:hAnsi="Times New Roman" w:cs="Times New Roman"/>
          <w:snapToGrid w:val="0"/>
        </w:rPr>
      </w:pPr>
    </w:p>
    <w:p w14:paraId="154C6CBE"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FF46727"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13.</w:t>
      </w:r>
      <w:r w:rsidRPr="009F10EE">
        <w:rPr>
          <w:rFonts w:ascii="Times New Roman" w:eastAsia="Times New Roman" w:hAnsi="Times New Roman" w:cs="Times New Roman"/>
          <w:b/>
          <w:snapToGrid w:val="0"/>
        </w:rPr>
        <w:tab/>
        <w:t xml:space="preserve">SERIJOS NUMERIS </w:t>
      </w:r>
    </w:p>
    <w:p w14:paraId="4E260A80"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46DA758" w14:textId="03D767D7" w:rsidR="008C4948" w:rsidRPr="009F10EE" w:rsidRDefault="00176B20" w:rsidP="008C4948">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Lot:</w:t>
      </w:r>
    </w:p>
    <w:p w14:paraId="1DB9A27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599FA8E"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F2DFF31"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14.</w:t>
      </w:r>
      <w:r w:rsidRPr="009F10EE">
        <w:rPr>
          <w:rFonts w:ascii="Times New Roman" w:eastAsia="Times New Roman" w:hAnsi="Times New Roman" w:cs="Times New Roman"/>
          <w:b/>
          <w:snapToGrid w:val="0"/>
        </w:rPr>
        <w:tab/>
        <w:t>PARDAVIMO (IŠDAVIMO) TVARKA</w:t>
      </w:r>
    </w:p>
    <w:p w14:paraId="12A3B9F8"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E22174B" w14:textId="76EA8433"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Receptinis vaistas</w:t>
      </w:r>
    </w:p>
    <w:p w14:paraId="6CE45490"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E8CFA9F"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177653A" w14:textId="77777777" w:rsidR="008C4948" w:rsidRPr="009F10EE" w:rsidRDefault="008C4948" w:rsidP="008C4948">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9F10EE">
        <w:rPr>
          <w:rFonts w:ascii="Times New Roman" w:eastAsia="Times New Roman" w:hAnsi="Times New Roman" w:cs="Times New Roman"/>
          <w:b/>
          <w:snapToGrid w:val="0"/>
        </w:rPr>
        <w:t>15.</w:t>
      </w:r>
      <w:r w:rsidRPr="009F10EE">
        <w:rPr>
          <w:rFonts w:ascii="Times New Roman" w:eastAsia="Times New Roman" w:hAnsi="Times New Roman" w:cs="Times New Roman"/>
          <w:b/>
          <w:snapToGrid w:val="0"/>
        </w:rPr>
        <w:tab/>
        <w:t>VARTOJIMO INSTRUKCIJA</w:t>
      </w:r>
    </w:p>
    <w:p w14:paraId="6C733623"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1AF0D547"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432C250" w14:textId="77777777" w:rsidR="008C4948" w:rsidRPr="009F10EE" w:rsidRDefault="008C4948" w:rsidP="008C494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sidRPr="009F10EE">
        <w:rPr>
          <w:rFonts w:ascii="Times New Roman" w:eastAsia="Times New Roman" w:hAnsi="Times New Roman" w:cs="Times New Roman"/>
          <w:b/>
          <w:snapToGrid w:val="0"/>
        </w:rPr>
        <w:t>16.</w:t>
      </w:r>
      <w:r w:rsidRPr="009F10EE">
        <w:rPr>
          <w:rFonts w:ascii="Times New Roman" w:eastAsia="Times New Roman" w:hAnsi="Times New Roman" w:cs="Times New Roman"/>
          <w:b/>
          <w:snapToGrid w:val="0"/>
        </w:rPr>
        <w:tab/>
        <w:t>INFORMACIJA BRAILIO RAŠTU</w:t>
      </w:r>
    </w:p>
    <w:p w14:paraId="4A552F69"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1089966" w14:textId="77777777" w:rsidR="008C4948" w:rsidRPr="009F10EE" w:rsidRDefault="008C4948" w:rsidP="008C4948">
      <w:pPr>
        <w:tabs>
          <w:tab w:val="left" w:pos="567"/>
        </w:tabs>
        <w:spacing w:after="0" w:line="240" w:lineRule="auto"/>
        <w:rPr>
          <w:rFonts w:ascii="Times New Roman" w:eastAsia="Times New Roman" w:hAnsi="Times New Roman" w:cs="Times New Roman"/>
          <w:lang w:eastAsia="lt-LT"/>
        </w:rPr>
      </w:pPr>
      <w:r w:rsidRPr="009F10EE">
        <w:rPr>
          <w:rFonts w:ascii="Times New Roman" w:eastAsia="Times New Roman" w:hAnsi="Times New Roman" w:cs="Times New Roman"/>
          <w:lang w:eastAsia="lt-LT"/>
        </w:rPr>
        <w:t xml:space="preserve">Tadalafil Accord 20 mg </w:t>
      </w:r>
    </w:p>
    <w:p w14:paraId="01F1B81F"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1313D7A" w14:textId="77777777" w:rsidR="008C4948" w:rsidRPr="009F10EE" w:rsidRDefault="008C4948" w:rsidP="008C4948">
      <w:pPr>
        <w:widowControl w:val="0"/>
        <w:tabs>
          <w:tab w:val="left" w:pos="567"/>
        </w:tabs>
        <w:spacing w:after="0" w:line="240" w:lineRule="auto"/>
        <w:rPr>
          <w:rFonts w:ascii="Times New Roman" w:eastAsia="Times New Roman" w:hAnsi="Times New Roman" w:cs="Times New Roman"/>
          <w:shd w:val="clear" w:color="auto" w:fill="CCCCCC"/>
          <w:lang w:eastAsia="lt-LT" w:bidi="lt-LT"/>
        </w:rPr>
      </w:pPr>
    </w:p>
    <w:p w14:paraId="49103E59" w14:textId="77777777" w:rsidR="008C4948" w:rsidRPr="009F10EE" w:rsidRDefault="008C4948" w:rsidP="008C4948">
      <w:pPr>
        <w:widowControl w:val="0"/>
        <w:numPr>
          <w:ilvl w:val="0"/>
          <w:numId w:val="20"/>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eastAsia="Times New Roman" w:hAnsi="Times New Roman" w:cs="Times New Roman"/>
          <w:i/>
          <w:lang w:eastAsia="lt-LT" w:bidi="lt-LT"/>
        </w:rPr>
      </w:pPr>
      <w:r w:rsidRPr="009F10EE">
        <w:rPr>
          <w:rFonts w:ascii="Times New Roman" w:eastAsia="Times New Roman" w:hAnsi="Times New Roman" w:cs="Times New Roman"/>
          <w:b/>
          <w:lang w:eastAsia="lt-LT" w:bidi="lt-LT"/>
        </w:rPr>
        <w:lastRenderedPageBreak/>
        <w:t>UNIKALUS IDENTIFIKATORIUS – 2D BRŪKŠNINIS KODAS</w:t>
      </w:r>
    </w:p>
    <w:p w14:paraId="0F34C2B0" w14:textId="77777777" w:rsidR="008C4948" w:rsidRPr="009F10EE" w:rsidRDefault="008C4948" w:rsidP="008C4948">
      <w:pPr>
        <w:widowControl w:val="0"/>
        <w:spacing w:after="0" w:line="240" w:lineRule="auto"/>
        <w:rPr>
          <w:rFonts w:ascii="Times New Roman" w:eastAsia="Times New Roman" w:hAnsi="Times New Roman" w:cs="Times New Roman"/>
          <w:lang w:eastAsia="lt-LT" w:bidi="lt-LT"/>
        </w:rPr>
      </w:pPr>
    </w:p>
    <w:p w14:paraId="761D920E" w14:textId="77777777" w:rsidR="008C4948" w:rsidRPr="009F10EE" w:rsidRDefault="008C4948" w:rsidP="008C4948">
      <w:pPr>
        <w:widowControl w:val="0"/>
        <w:tabs>
          <w:tab w:val="left" w:pos="567"/>
        </w:tabs>
        <w:spacing w:after="0" w:line="240" w:lineRule="auto"/>
        <w:rPr>
          <w:rFonts w:ascii="Times New Roman" w:eastAsia="Times New Roman" w:hAnsi="Times New Roman" w:cs="Times New Roman"/>
          <w:shd w:val="clear" w:color="auto" w:fill="CCCCCC"/>
          <w:lang w:eastAsia="lt-LT" w:bidi="lt-LT"/>
        </w:rPr>
      </w:pPr>
      <w:r w:rsidRPr="009F10EE">
        <w:rPr>
          <w:rFonts w:ascii="Times New Roman" w:eastAsia="Times New Roman" w:hAnsi="Times New Roman" w:cs="Times New Roman"/>
          <w:highlight w:val="lightGray"/>
          <w:lang w:eastAsia="lt-LT" w:bidi="lt-LT"/>
        </w:rPr>
        <w:t>2D brūkšninis kodas su nurodytu unikaliu identifikatoriumi.</w:t>
      </w:r>
    </w:p>
    <w:p w14:paraId="67792529" w14:textId="77777777" w:rsidR="008C4948" w:rsidRPr="009F10EE" w:rsidRDefault="008C4948" w:rsidP="008C4948">
      <w:pPr>
        <w:widowControl w:val="0"/>
        <w:tabs>
          <w:tab w:val="left" w:pos="567"/>
        </w:tabs>
        <w:spacing w:after="0" w:line="240" w:lineRule="auto"/>
        <w:rPr>
          <w:rFonts w:ascii="Times New Roman" w:eastAsia="Times New Roman" w:hAnsi="Times New Roman" w:cs="Times New Roman"/>
          <w:shd w:val="clear" w:color="auto" w:fill="CCCCCC"/>
          <w:lang w:eastAsia="lt-LT" w:bidi="lt-LT"/>
        </w:rPr>
      </w:pPr>
    </w:p>
    <w:p w14:paraId="2D937C53" w14:textId="77777777" w:rsidR="008C4948" w:rsidRPr="009F10EE" w:rsidRDefault="008C4948" w:rsidP="008C4948">
      <w:pPr>
        <w:widowControl w:val="0"/>
        <w:spacing w:after="0" w:line="240" w:lineRule="auto"/>
        <w:rPr>
          <w:rFonts w:ascii="Times New Roman" w:eastAsia="Times New Roman" w:hAnsi="Times New Roman" w:cs="Times New Roman"/>
          <w:lang w:eastAsia="lt-LT" w:bidi="lt-LT"/>
        </w:rPr>
      </w:pPr>
    </w:p>
    <w:p w14:paraId="0E153B3F" w14:textId="77777777" w:rsidR="008C4948" w:rsidRPr="009F10EE" w:rsidRDefault="008C4948" w:rsidP="008C4948">
      <w:pPr>
        <w:widowControl w:val="0"/>
        <w:numPr>
          <w:ilvl w:val="0"/>
          <w:numId w:val="20"/>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eastAsia="Times New Roman" w:hAnsi="Times New Roman" w:cs="Times New Roman"/>
          <w:i/>
          <w:lang w:eastAsia="lt-LT" w:bidi="lt-LT"/>
        </w:rPr>
      </w:pPr>
      <w:r w:rsidRPr="009F10EE">
        <w:rPr>
          <w:rFonts w:ascii="Times New Roman" w:eastAsia="Times New Roman" w:hAnsi="Times New Roman" w:cs="Times New Roman"/>
          <w:b/>
          <w:lang w:eastAsia="lt-LT" w:bidi="lt-LT"/>
        </w:rPr>
        <w:t>UNIKALUS IDENTIFIKATORIUS – ŽMONĖMS SUPRANTAMI DUOMENYS</w:t>
      </w:r>
    </w:p>
    <w:p w14:paraId="5F8E911D" w14:textId="77777777" w:rsidR="008C4948" w:rsidRPr="009F10EE" w:rsidRDefault="008C4948" w:rsidP="008C4948">
      <w:pPr>
        <w:widowControl w:val="0"/>
        <w:spacing w:after="0" w:line="240" w:lineRule="auto"/>
        <w:rPr>
          <w:rFonts w:ascii="Times New Roman" w:eastAsia="Times New Roman" w:hAnsi="Times New Roman" w:cs="Times New Roman"/>
          <w:lang w:eastAsia="lt-LT" w:bidi="lt-LT"/>
        </w:rPr>
      </w:pPr>
    </w:p>
    <w:p w14:paraId="7B61EC55" w14:textId="77777777" w:rsidR="008C4948" w:rsidRPr="009F10EE" w:rsidRDefault="008C4948" w:rsidP="008C4948">
      <w:pPr>
        <w:widowControl w:val="0"/>
        <w:tabs>
          <w:tab w:val="left" w:pos="567"/>
        </w:tabs>
        <w:spacing w:after="0" w:line="260" w:lineRule="exact"/>
        <w:rPr>
          <w:rFonts w:ascii="Times New Roman" w:eastAsia="Times New Roman" w:hAnsi="Times New Roman" w:cs="Times New Roman"/>
          <w:lang w:eastAsia="lt-LT" w:bidi="lt-LT"/>
        </w:rPr>
      </w:pPr>
      <w:r w:rsidRPr="009F10EE">
        <w:rPr>
          <w:rFonts w:ascii="Times New Roman" w:eastAsia="Times New Roman" w:hAnsi="Times New Roman" w:cs="Times New Roman"/>
          <w:lang w:eastAsia="lt-LT" w:bidi="lt-LT"/>
        </w:rPr>
        <w:t>PC:</w:t>
      </w:r>
    </w:p>
    <w:p w14:paraId="76B4812C" w14:textId="77777777" w:rsidR="008C4948" w:rsidRPr="009F10EE" w:rsidRDefault="008C4948" w:rsidP="008C4948">
      <w:pPr>
        <w:widowControl w:val="0"/>
        <w:tabs>
          <w:tab w:val="left" w:pos="567"/>
        </w:tabs>
        <w:spacing w:after="0" w:line="260" w:lineRule="exact"/>
        <w:rPr>
          <w:rFonts w:ascii="Times New Roman" w:eastAsia="Times New Roman" w:hAnsi="Times New Roman" w:cs="Times New Roman"/>
          <w:lang w:eastAsia="lt-LT" w:bidi="lt-LT"/>
        </w:rPr>
      </w:pPr>
      <w:r w:rsidRPr="009F10EE">
        <w:rPr>
          <w:rFonts w:ascii="Times New Roman" w:eastAsia="Times New Roman" w:hAnsi="Times New Roman" w:cs="Times New Roman"/>
          <w:lang w:eastAsia="lt-LT" w:bidi="lt-LT"/>
        </w:rPr>
        <w:t>SN:</w:t>
      </w:r>
    </w:p>
    <w:p w14:paraId="05CC5E6A" w14:textId="77777777" w:rsidR="008C4948" w:rsidRPr="009F10EE" w:rsidRDefault="008C4948" w:rsidP="008C4948">
      <w:pPr>
        <w:widowControl w:val="0"/>
        <w:tabs>
          <w:tab w:val="left" w:pos="567"/>
        </w:tabs>
        <w:spacing w:after="0" w:line="260" w:lineRule="exact"/>
        <w:rPr>
          <w:rFonts w:ascii="Times New Roman" w:eastAsia="Times New Roman" w:hAnsi="Times New Roman" w:cs="Times New Roman"/>
          <w:lang w:eastAsia="lt-LT" w:bidi="lt-LT"/>
        </w:rPr>
      </w:pPr>
      <w:r w:rsidRPr="009F10EE">
        <w:rPr>
          <w:rFonts w:ascii="Times New Roman" w:eastAsia="Times New Roman" w:hAnsi="Times New Roman" w:cs="Times New Roman"/>
          <w:lang w:eastAsia="lt-LT" w:bidi="lt-LT"/>
        </w:rPr>
        <w:t>NN:</w:t>
      </w:r>
    </w:p>
    <w:p w14:paraId="0C4EAB81" w14:textId="77777777" w:rsidR="008C4948" w:rsidRPr="009F10EE" w:rsidRDefault="008C4948" w:rsidP="008C4948">
      <w:pPr>
        <w:widowControl w:val="0"/>
        <w:tabs>
          <w:tab w:val="left" w:pos="567"/>
        </w:tabs>
        <w:spacing w:after="0" w:line="240" w:lineRule="auto"/>
        <w:rPr>
          <w:rFonts w:ascii="Times New Roman" w:eastAsia="Times New Roman" w:hAnsi="Times New Roman" w:cs="Times New Roman"/>
          <w:shd w:val="clear" w:color="auto" w:fill="CCCCCC"/>
          <w:lang w:eastAsia="lt-LT" w:bidi="lt-LT"/>
        </w:rPr>
      </w:pPr>
    </w:p>
    <w:p w14:paraId="411620AC"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br w:type="page"/>
      </w:r>
    </w:p>
    <w:p w14:paraId="08F031CA"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lastRenderedPageBreak/>
        <w:t>MINIMALI INFORMACIJA ANT LIZDINIŲ PLOKŠTELIŲ ARBA DVISLUOKSNIŲ JUOSTELIŲ</w:t>
      </w:r>
    </w:p>
    <w:p w14:paraId="01B2DAEB"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45851641"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LIZDINĖ PLOKŠTELĖ</w:t>
      </w:r>
    </w:p>
    <w:p w14:paraId="1DB38DE4"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C5718E1"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4623A4C" w14:textId="34123BBB" w:rsidR="008C4948" w:rsidRPr="009F10EE" w:rsidRDefault="008C4948" w:rsidP="00A57FA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bCs/>
          <w:snapToGrid w:val="0"/>
        </w:rPr>
      </w:pPr>
      <w:r w:rsidRPr="009F10EE">
        <w:rPr>
          <w:rFonts w:ascii="Times New Roman" w:hAnsi="Times New Roman" w:cs="Times New Roman"/>
          <w:b/>
          <w:bCs/>
          <w:snapToGrid w:val="0"/>
        </w:rPr>
        <w:t>1.</w:t>
      </w:r>
      <w:r w:rsidRPr="009F10EE">
        <w:rPr>
          <w:rFonts w:ascii="Times New Roman" w:hAnsi="Times New Roman" w:cs="Times New Roman"/>
          <w:b/>
          <w:bCs/>
          <w:snapToGrid w:val="0"/>
        </w:rPr>
        <w:tab/>
      </w:r>
      <w:r w:rsidRPr="009F10EE">
        <w:rPr>
          <w:rFonts w:ascii="Times New Roman" w:hAnsi="Times New Roman" w:cs="Times New Roman"/>
          <w:b/>
          <w:bCs/>
          <w:caps/>
          <w:snapToGrid w:val="0"/>
        </w:rPr>
        <w:t>VAISTINIO</w:t>
      </w:r>
      <w:r w:rsidRPr="009F10EE">
        <w:rPr>
          <w:rFonts w:ascii="Times New Roman" w:hAnsi="Times New Roman" w:cs="Times New Roman"/>
          <w:b/>
          <w:bCs/>
          <w:snapToGrid w:val="0"/>
        </w:rPr>
        <w:t xml:space="preserve"> PREPARATO PAVADINIMAS</w:t>
      </w:r>
    </w:p>
    <w:p w14:paraId="47631ED2"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0A23462" w14:textId="77777777" w:rsidR="008C4948" w:rsidRPr="009F10EE" w:rsidRDefault="008C4948" w:rsidP="008C4948">
      <w:pPr>
        <w:autoSpaceDE w:val="0"/>
        <w:autoSpaceDN w:val="0"/>
        <w:adjustRightInd w:val="0"/>
        <w:spacing w:after="0" w:line="240" w:lineRule="auto"/>
        <w:jc w:val="both"/>
        <w:rPr>
          <w:rFonts w:ascii="Times New Roman" w:eastAsia="Times New Roman" w:hAnsi="Times New Roman" w:cs="Times New Roman"/>
          <w:iCs/>
          <w:u w:val="single"/>
          <w:lang w:eastAsia="lt-LT"/>
        </w:rPr>
      </w:pPr>
      <w:r w:rsidRPr="009F10EE">
        <w:rPr>
          <w:rFonts w:ascii="Times New Roman" w:eastAsia="Times New Roman" w:hAnsi="Times New Roman" w:cs="Times New Roman"/>
          <w:lang w:eastAsia="lt-LT"/>
        </w:rPr>
        <w:t>Tadalafil Accord 20 mg plėvele dengtos tabletės</w:t>
      </w:r>
    </w:p>
    <w:p w14:paraId="29C06221" w14:textId="77777777" w:rsidR="008C4948" w:rsidRPr="009F10EE" w:rsidRDefault="008C4948" w:rsidP="008C4948">
      <w:pPr>
        <w:autoSpaceDE w:val="0"/>
        <w:autoSpaceDN w:val="0"/>
        <w:adjustRightInd w:val="0"/>
        <w:spacing w:after="0" w:line="240" w:lineRule="auto"/>
        <w:jc w:val="both"/>
        <w:rPr>
          <w:rFonts w:ascii="Times New Roman" w:eastAsia="Times New Roman" w:hAnsi="Times New Roman" w:cs="Times New Roman"/>
          <w:iCs/>
          <w:u w:val="single"/>
          <w:lang w:eastAsia="lt-LT"/>
        </w:rPr>
      </w:pPr>
    </w:p>
    <w:p w14:paraId="54814D40"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Tadalafilis</w:t>
      </w:r>
    </w:p>
    <w:p w14:paraId="7F7D721A"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A8F5831"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837164F"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2.</w:t>
      </w:r>
      <w:r w:rsidRPr="009F10EE">
        <w:rPr>
          <w:rFonts w:ascii="Times New Roman" w:eastAsia="Times New Roman" w:hAnsi="Times New Roman" w:cs="Times New Roman"/>
          <w:b/>
          <w:snapToGrid w:val="0"/>
        </w:rPr>
        <w:tab/>
      </w:r>
      <w:r w:rsidRPr="009F10EE">
        <w:rPr>
          <w:rFonts w:ascii="Times New Roman" w:eastAsia="Times New Roman" w:hAnsi="Times New Roman" w:cs="Times New Roman"/>
          <w:b/>
          <w:caps/>
          <w:snapToGrid w:val="0"/>
        </w:rPr>
        <w:t>rEGISTRUOTOJO pavadinimas</w:t>
      </w:r>
    </w:p>
    <w:p w14:paraId="345FAB9E"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55479AD9"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lang w:eastAsia="lt-LT"/>
        </w:rPr>
        <w:t>Accord</w:t>
      </w:r>
    </w:p>
    <w:p w14:paraId="370C577E"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F853C63"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56A83F8" w14:textId="77777777" w:rsidR="008C4948" w:rsidRPr="009F10EE" w:rsidRDefault="008C4948" w:rsidP="008C4948">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3.</w:t>
      </w:r>
      <w:r w:rsidRPr="009F10EE">
        <w:rPr>
          <w:rFonts w:ascii="Times New Roman" w:eastAsia="Times New Roman" w:hAnsi="Times New Roman" w:cs="Times New Roman"/>
          <w:b/>
          <w:snapToGrid w:val="0"/>
        </w:rPr>
        <w:tab/>
        <w:t>TINKAMUMO LAIKAS</w:t>
      </w:r>
    </w:p>
    <w:p w14:paraId="4255B169"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C83EDB2"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EXP: {mm/MMMM}</w:t>
      </w:r>
    </w:p>
    <w:p w14:paraId="1C42BCBA"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474EF72C"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3B6D3764" w14:textId="77777777" w:rsidR="008C4948" w:rsidRPr="009F10EE" w:rsidRDefault="008C4948" w:rsidP="008C494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4.</w:t>
      </w:r>
      <w:r w:rsidRPr="009F10EE">
        <w:rPr>
          <w:rFonts w:ascii="Times New Roman" w:eastAsia="Times New Roman" w:hAnsi="Times New Roman" w:cs="Times New Roman"/>
          <w:b/>
          <w:snapToGrid w:val="0"/>
        </w:rPr>
        <w:tab/>
        <w:t>SERIJOS NUMERIS</w:t>
      </w:r>
    </w:p>
    <w:p w14:paraId="67F2BA16"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5D9D820"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r w:rsidRPr="009F10EE">
        <w:rPr>
          <w:rFonts w:ascii="Times New Roman" w:eastAsia="Times New Roman" w:hAnsi="Times New Roman" w:cs="Times New Roman"/>
          <w:snapToGrid w:val="0"/>
        </w:rPr>
        <w:t>Lot:</w:t>
      </w:r>
    </w:p>
    <w:p w14:paraId="7145204F"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03F56AFE"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9164226" w14:textId="77777777" w:rsidR="008C4948" w:rsidRPr="009F10EE" w:rsidRDefault="008C4948" w:rsidP="008C494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5.</w:t>
      </w:r>
      <w:r w:rsidRPr="009F10EE">
        <w:rPr>
          <w:rFonts w:ascii="Times New Roman" w:eastAsia="Times New Roman" w:hAnsi="Times New Roman" w:cs="Times New Roman"/>
          <w:b/>
          <w:snapToGrid w:val="0"/>
        </w:rPr>
        <w:tab/>
        <w:t>KITA</w:t>
      </w:r>
    </w:p>
    <w:p w14:paraId="65F4AEA1"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76DC3605" w14:textId="77777777" w:rsidR="008C4948" w:rsidRPr="009F10EE" w:rsidRDefault="008C4948" w:rsidP="008C4948">
      <w:pPr>
        <w:rPr>
          <w:rFonts w:ascii="Times New Roman" w:eastAsia="Times New Roman" w:hAnsi="Times New Roman" w:cs="Times New Roman"/>
          <w:snapToGrid w:val="0"/>
        </w:rPr>
      </w:pPr>
      <w:r w:rsidRPr="009F10EE">
        <w:rPr>
          <w:rFonts w:ascii="Times New Roman" w:eastAsia="Times New Roman" w:hAnsi="Times New Roman" w:cs="Times New Roman"/>
          <w:snapToGrid w:val="0"/>
        </w:rPr>
        <w:br w:type="page"/>
      </w:r>
    </w:p>
    <w:p w14:paraId="79114E5B"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27F7F2AB" w14:textId="77777777" w:rsidR="008C4948" w:rsidRPr="009F10EE" w:rsidRDefault="008C4948" w:rsidP="008C4948">
      <w:pPr>
        <w:tabs>
          <w:tab w:val="left" w:pos="567"/>
        </w:tabs>
        <w:spacing w:after="0" w:line="240" w:lineRule="auto"/>
        <w:rPr>
          <w:rFonts w:ascii="Times New Roman" w:eastAsia="Times New Roman" w:hAnsi="Times New Roman" w:cs="Times New Roman"/>
          <w:snapToGrid w:val="0"/>
        </w:rPr>
      </w:pPr>
    </w:p>
    <w:p w14:paraId="6E255C77"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2A5932F9"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3B054A1B"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54F8CADE"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678B976A"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713CA581"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3EA64A90"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0C87442B"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3C4ECE88"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365617FD"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1FE323EC"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67E5D47F"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7715FC14"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21747358"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0B79B5FD"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5747552B"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669B3D8B"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6C94DF0D"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263DE298"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2F2AB836"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14E9C50A" w14:textId="77777777" w:rsidR="008C4948" w:rsidRPr="009F10EE" w:rsidRDefault="008C4948" w:rsidP="008C4948">
      <w:pPr>
        <w:tabs>
          <w:tab w:val="left" w:pos="567"/>
        </w:tabs>
        <w:spacing w:after="0" w:line="260" w:lineRule="exact"/>
        <w:outlineLvl w:val="0"/>
        <w:rPr>
          <w:rFonts w:ascii="Times New Roman" w:eastAsia="Times New Roman" w:hAnsi="Times New Roman" w:cs="Times New Roman"/>
          <w:snapToGrid w:val="0"/>
        </w:rPr>
      </w:pPr>
    </w:p>
    <w:p w14:paraId="6738C6CE" w14:textId="77777777" w:rsidR="008C4948" w:rsidRPr="009F10EE" w:rsidRDefault="008C4948" w:rsidP="008C4948">
      <w:pPr>
        <w:tabs>
          <w:tab w:val="left" w:pos="567"/>
        </w:tabs>
        <w:spacing w:after="0" w:line="260" w:lineRule="exact"/>
        <w:jc w:val="center"/>
        <w:outlineLvl w:val="0"/>
        <w:rPr>
          <w:rFonts w:ascii="Times New Roman" w:eastAsia="Times New Roman" w:hAnsi="Times New Roman" w:cs="Times New Roman"/>
          <w:b/>
          <w:snapToGrid w:val="0"/>
        </w:rPr>
      </w:pPr>
      <w:r w:rsidRPr="009F10EE">
        <w:rPr>
          <w:rFonts w:ascii="Times New Roman" w:eastAsia="Times New Roman" w:hAnsi="Times New Roman" w:cs="Times New Roman"/>
          <w:b/>
          <w:snapToGrid w:val="0"/>
        </w:rPr>
        <w:t>B. PAKUOTĖS LAPELIS</w:t>
      </w:r>
    </w:p>
    <w:p w14:paraId="082FB331" w14:textId="77777777" w:rsidR="008C4948" w:rsidRPr="00CD6C5C" w:rsidRDefault="008C4948" w:rsidP="008C4948">
      <w:pPr>
        <w:spacing w:after="0" w:line="240" w:lineRule="auto"/>
        <w:jc w:val="center"/>
        <w:outlineLvl w:val="0"/>
        <w:rPr>
          <w:rFonts w:ascii="Times New Roman" w:eastAsia="Times New Roman" w:hAnsi="Times New Roman" w:cs="Times New Roman"/>
          <w:lang w:eastAsia="lt-LT"/>
        </w:rPr>
      </w:pPr>
      <w:r w:rsidRPr="009F10EE">
        <w:rPr>
          <w:rFonts w:ascii="Times New Roman" w:eastAsia="Times New Roman" w:hAnsi="Times New Roman" w:cs="Times New Roman"/>
          <w:i/>
          <w:snapToGrid w:val="0"/>
        </w:rPr>
        <w:br w:type="page"/>
      </w:r>
      <w:r w:rsidRPr="00CD6C5C">
        <w:rPr>
          <w:rFonts w:ascii="Times New Roman" w:eastAsia="Times New Roman" w:hAnsi="Times New Roman" w:cs="Times New Roman"/>
          <w:b/>
          <w:lang w:eastAsia="lt-LT"/>
        </w:rPr>
        <w:lastRenderedPageBreak/>
        <w:t>Pakuotės lapelis: informacija vartotojui</w:t>
      </w:r>
    </w:p>
    <w:p w14:paraId="28FA16EC" w14:textId="77777777" w:rsidR="008C4948" w:rsidRPr="00CD6C5C" w:rsidRDefault="008C4948" w:rsidP="008C4948">
      <w:pPr>
        <w:spacing w:after="0" w:line="240" w:lineRule="auto"/>
        <w:jc w:val="center"/>
        <w:outlineLvl w:val="0"/>
        <w:rPr>
          <w:rFonts w:ascii="Times New Roman" w:eastAsia="Times New Roman" w:hAnsi="Times New Roman" w:cs="Times New Roman"/>
          <w:b/>
          <w:lang w:eastAsia="lt-LT"/>
        </w:rPr>
      </w:pPr>
    </w:p>
    <w:p w14:paraId="1D4E3773" w14:textId="77777777" w:rsidR="008C4948" w:rsidRPr="00CD6C5C" w:rsidRDefault="008C4948" w:rsidP="008C4948">
      <w:pPr>
        <w:numPr>
          <w:ilvl w:val="12"/>
          <w:numId w:val="0"/>
        </w:numPr>
        <w:spacing w:after="0" w:line="240" w:lineRule="auto"/>
        <w:jc w:val="center"/>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Tadalafil Accord 5 mg plėvele dengtos tabletės</w:t>
      </w:r>
    </w:p>
    <w:p w14:paraId="5CB1F6D7" w14:textId="12436E6D" w:rsidR="008C4948" w:rsidRPr="00CD6C5C" w:rsidRDefault="003C5663" w:rsidP="008C4948">
      <w:pPr>
        <w:numPr>
          <w:ilvl w:val="12"/>
          <w:numId w:val="0"/>
        </w:num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t</w:t>
      </w:r>
      <w:r w:rsidR="008C4948" w:rsidRPr="00CD6C5C">
        <w:rPr>
          <w:rFonts w:ascii="Times New Roman" w:eastAsia="Times New Roman" w:hAnsi="Times New Roman" w:cs="Times New Roman"/>
          <w:lang w:eastAsia="lt-LT"/>
        </w:rPr>
        <w:t>adalafilis</w:t>
      </w:r>
    </w:p>
    <w:p w14:paraId="32577B8F" w14:textId="77777777" w:rsidR="008C4948" w:rsidRPr="00CD6C5C" w:rsidRDefault="008C4948" w:rsidP="008C4948">
      <w:pPr>
        <w:numPr>
          <w:ilvl w:val="12"/>
          <w:numId w:val="0"/>
        </w:numPr>
        <w:spacing w:after="0" w:line="240" w:lineRule="auto"/>
        <w:jc w:val="center"/>
        <w:rPr>
          <w:rFonts w:ascii="Times New Roman" w:eastAsia="Times New Roman" w:hAnsi="Times New Roman" w:cs="Times New Roman"/>
          <w:b/>
          <w:bCs/>
          <w:lang w:eastAsia="lt-LT"/>
        </w:rPr>
      </w:pPr>
    </w:p>
    <w:p w14:paraId="612BF48A" w14:textId="77777777" w:rsidR="008C4948" w:rsidRPr="00CD6C5C" w:rsidRDefault="008C4948" w:rsidP="008C4948">
      <w:pPr>
        <w:spacing w:after="0" w:line="240" w:lineRule="auto"/>
        <w:rPr>
          <w:rFonts w:ascii="Times New Roman" w:eastAsia="Times New Roman" w:hAnsi="Times New Roman" w:cs="Times New Roman"/>
          <w:lang w:eastAsia="lt-LT"/>
        </w:rPr>
      </w:pPr>
    </w:p>
    <w:p w14:paraId="6E5138EF" w14:textId="77777777" w:rsidR="008C4948" w:rsidRPr="00CD6C5C" w:rsidRDefault="008C4948" w:rsidP="008C4948">
      <w:pPr>
        <w:suppressAutoHyphen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Atidžiai perskaitykite visą šį lapelį, prieš pradėdami vartoti vaistą, nes jame pateikiama Jums svarbi informacija.</w:t>
      </w:r>
    </w:p>
    <w:p w14:paraId="3D020AC2" w14:textId="77777777" w:rsidR="008C4948" w:rsidRPr="00CD6C5C" w:rsidRDefault="008C4948" w:rsidP="008C4948">
      <w:pPr>
        <w:numPr>
          <w:ilvl w:val="0"/>
          <w:numId w:val="3"/>
        </w:numPr>
        <w:spacing w:after="0" w:line="240" w:lineRule="auto"/>
        <w:ind w:left="567" w:right="-2" w:hanging="567"/>
        <w:contextualSpacing/>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Neišmeskite šio lapelio, nes vėl gali prireikti jį perskaityti. </w:t>
      </w:r>
    </w:p>
    <w:p w14:paraId="1263778A" w14:textId="77777777" w:rsidR="008C4948" w:rsidRPr="00CD6C5C" w:rsidRDefault="008C4948" w:rsidP="008C4948">
      <w:pPr>
        <w:numPr>
          <w:ilvl w:val="0"/>
          <w:numId w:val="3"/>
        </w:numPr>
        <w:spacing w:after="0" w:line="240" w:lineRule="auto"/>
        <w:ind w:left="567" w:right="-2" w:hanging="567"/>
        <w:contextualSpacing/>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kiltų daugiau klausimų, kreipkitės į gydytoją arba vaistininką.</w:t>
      </w:r>
    </w:p>
    <w:p w14:paraId="0CEDB26B" w14:textId="77777777" w:rsidR="008C4948" w:rsidRPr="00CD6C5C" w:rsidRDefault="008C4948" w:rsidP="008C4948">
      <w:pPr>
        <w:numPr>
          <w:ilvl w:val="0"/>
          <w:numId w:val="3"/>
        </w:numPr>
        <w:spacing w:after="0" w:line="240" w:lineRule="auto"/>
        <w:ind w:left="567" w:right="-2" w:hanging="567"/>
        <w:contextualSpacing/>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Šis vaistas skirtas tik Jums, todėl kitiems žmonėms jo duoti negalima. Vaistas gali jiems pakenkti (net tiems, kurių ligos požymiai yra tokie patys kaip Jūsų).</w:t>
      </w:r>
    </w:p>
    <w:p w14:paraId="15E258B6" w14:textId="77777777" w:rsidR="008C4948" w:rsidRPr="00CD6C5C" w:rsidRDefault="008C4948" w:rsidP="008C4948">
      <w:pPr>
        <w:numPr>
          <w:ilvl w:val="0"/>
          <w:numId w:val="3"/>
        </w:numPr>
        <w:spacing w:after="0" w:line="240" w:lineRule="auto"/>
        <w:ind w:left="567" w:right="-2" w:hanging="567"/>
        <w:contextualSpacing/>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pasireiškė šalutinis poveikis (net jeigu jis šiame lapelyje nenurodytas), kreipkitės į gydytoją arba vaistininką. Žr. 4 skyrių.</w:t>
      </w:r>
    </w:p>
    <w:p w14:paraId="27720D8B" w14:textId="77777777" w:rsidR="008C4948" w:rsidRPr="00CD6C5C" w:rsidRDefault="008C4948" w:rsidP="008C4948">
      <w:pPr>
        <w:spacing w:after="0" w:line="240" w:lineRule="auto"/>
        <w:ind w:right="-2"/>
        <w:rPr>
          <w:rFonts w:ascii="Times New Roman" w:eastAsia="Times New Roman" w:hAnsi="Times New Roman" w:cs="Times New Roman"/>
          <w:lang w:eastAsia="lt-LT"/>
        </w:rPr>
      </w:pPr>
    </w:p>
    <w:p w14:paraId="5D7E55A7"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Apie ką rašoma šiame lapelyje?</w:t>
      </w:r>
    </w:p>
    <w:p w14:paraId="52A8BE6F"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2E9E8F34" w14:textId="77777777" w:rsidR="008C4948" w:rsidRPr="00CD6C5C" w:rsidRDefault="008C4948" w:rsidP="008C4948">
      <w:pPr>
        <w:numPr>
          <w:ilvl w:val="12"/>
          <w:numId w:val="0"/>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1.</w:t>
      </w:r>
      <w:r w:rsidRPr="00CD6C5C">
        <w:rPr>
          <w:rFonts w:ascii="Times New Roman" w:eastAsia="Times New Roman" w:hAnsi="Times New Roman" w:cs="Times New Roman"/>
          <w:lang w:eastAsia="lt-LT"/>
        </w:rPr>
        <w:tab/>
        <w:t xml:space="preserve">Kas yra Tadalafil Accord ir kam jis vartojamas </w:t>
      </w:r>
    </w:p>
    <w:p w14:paraId="13E8806E" w14:textId="77777777" w:rsidR="008C4948" w:rsidRPr="00CD6C5C" w:rsidRDefault="008C4948" w:rsidP="008C4948">
      <w:pPr>
        <w:numPr>
          <w:ilvl w:val="12"/>
          <w:numId w:val="0"/>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2.</w:t>
      </w:r>
      <w:r w:rsidRPr="00CD6C5C">
        <w:rPr>
          <w:rFonts w:ascii="Times New Roman" w:eastAsia="Times New Roman" w:hAnsi="Times New Roman" w:cs="Times New Roman"/>
          <w:lang w:eastAsia="lt-LT"/>
        </w:rPr>
        <w:tab/>
        <w:t xml:space="preserve">Kas žinotina prieš vartojant Tadalafil Accord </w:t>
      </w:r>
    </w:p>
    <w:p w14:paraId="5993BAD3" w14:textId="77777777" w:rsidR="008C4948" w:rsidRPr="00CD6C5C" w:rsidRDefault="008C4948" w:rsidP="008C4948">
      <w:pPr>
        <w:numPr>
          <w:ilvl w:val="12"/>
          <w:numId w:val="0"/>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3.</w:t>
      </w:r>
      <w:r w:rsidRPr="00CD6C5C">
        <w:rPr>
          <w:rFonts w:ascii="Times New Roman" w:eastAsia="Times New Roman" w:hAnsi="Times New Roman" w:cs="Times New Roman"/>
          <w:lang w:eastAsia="lt-LT"/>
        </w:rPr>
        <w:tab/>
        <w:t xml:space="preserve">Kaip vartoti Tadalafil Accord </w:t>
      </w:r>
    </w:p>
    <w:p w14:paraId="137319B4" w14:textId="77777777" w:rsidR="008C4948" w:rsidRPr="00CD6C5C" w:rsidRDefault="008C4948" w:rsidP="008C4948">
      <w:pPr>
        <w:numPr>
          <w:ilvl w:val="12"/>
          <w:numId w:val="0"/>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4.</w:t>
      </w:r>
      <w:r w:rsidRPr="00CD6C5C">
        <w:rPr>
          <w:rFonts w:ascii="Times New Roman" w:eastAsia="Times New Roman" w:hAnsi="Times New Roman" w:cs="Times New Roman"/>
          <w:lang w:eastAsia="lt-LT"/>
        </w:rPr>
        <w:tab/>
        <w:t xml:space="preserve">Galimas šalutinis poveikis </w:t>
      </w:r>
    </w:p>
    <w:p w14:paraId="41ADDB31" w14:textId="77777777" w:rsidR="008C4948" w:rsidRPr="00CD6C5C" w:rsidRDefault="008C4948" w:rsidP="008C4948">
      <w:pPr>
        <w:numPr>
          <w:ilvl w:val="0"/>
          <w:numId w:val="4"/>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Kaip laikyti Tadalafil Accord </w:t>
      </w:r>
    </w:p>
    <w:p w14:paraId="45BEC79C" w14:textId="6EEC97D4" w:rsidR="008C4948" w:rsidRPr="00CD6C5C" w:rsidRDefault="008C4948" w:rsidP="00C24C15">
      <w:pPr>
        <w:numPr>
          <w:ilvl w:val="0"/>
          <w:numId w:val="4"/>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Pakuotės turinys ir kita informacija</w:t>
      </w:r>
    </w:p>
    <w:p w14:paraId="42FC7939"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6AC35978"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634C41A9" w14:textId="77777777" w:rsidR="008C4948" w:rsidRPr="00CD6C5C" w:rsidRDefault="008C4948" w:rsidP="008C4948">
      <w:pPr>
        <w:numPr>
          <w:ilvl w:val="0"/>
          <w:numId w:val="5"/>
        </w:numPr>
        <w:spacing w:after="0" w:line="240" w:lineRule="auto"/>
        <w:ind w:right="-2"/>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Kas yra Tadalafil Accord ir kam jis vartojamas</w:t>
      </w:r>
    </w:p>
    <w:p w14:paraId="7F7FCDE7" w14:textId="77777777" w:rsidR="008C4948" w:rsidRPr="00CD6C5C" w:rsidRDefault="008C4948" w:rsidP="008C4948">
      <w:pPr>
        <w:spacing w:after="0" w:line="240" w:lineRule="auto"/>
        <w:rPr>
          <w:rFonts w:ascii="Times New Roman" w:eastAsia="Times New Roman" w:hAnsi="Times New Roman" w:cs="Times New Roman"/>
          <w:lang w:eastAsia="lt-LT"/>
        </w:rPr>
      </w:pPr>
    </w:p>
    <w:p w14:paraId="650B0B21" w14:textId="77777777" w:rsidR="008C4948" w:rsidRPr="00CD6C5C" w:rsidRDefault="008C4948" w:rsidP="008C4948">
      <w:pPr>
        <w:spacing w:after="0" w:line="240" w:lineRule="auto"/>
        <w:rPr>
          <w:rFonts w:ascii="Times New Roman" w:eastAsia="Calibri" w:hAnsi="Times New Roman" w:cs="Times New Roman"/>
        </w:rPr>
      </w:pPr>
      <w:r w:rsidRPr="00CD6C5C">
        <w:rPr>
          <w:rFonts w:ascii="Times New Roman" w:eastAsia="MS Mincho" w:hAnsi="Times New Roman" w:cs="Times New Roman"/>
          <w:lang w:eastAsia="ja-JP"/>
        </w:rPr>
        <w:t xml:space="preserve">Tadalafil Accord </w:t>
      </w:r>
      <w:r w:rsidRPr="00CD6C5C">
        <w:rPr>
          <w:rFonts w:ascii="Times New Roman" w:eastAsia="Calibri" w:hAnsi="Times New Roman" w:cs="Times New Roman"/>
        </w:rPr>
        <w:t xml:space="preserve">sudėtyje yra veikliosios medžiagos tadalafilio, kuris priklauso vaistų, </w:t>
      </w:r>
      <w:r w:rsidRPr="00CD6C5C">
        <w:rPr>
          <w:rFonts w:ascii="Times New Roman" w:eastAsia="Times New Roman" w:hAnsi="Times New Roman" w:cs="Times New Roman"/>
          <w:lang w:eastAsia="lt-LT"/>
        </w:rPr>
        <w:t>vadinamų 5</w:t>
      </w:r>
      <w:r w:rsidRPr="00CD6C5C">
        <w:rPr>
          <w:rFonts w:ascii="Times New Roman" w:eastAsia="Times New Roman" w:hAnsi="Times New Roman" w:cs="Times New Roman"/>
          <w:lang w:eastAsia="lt-LT"/>
        </w:rPr>
        <w:noBreakHyphen/>
        <w:t>ojo tipo fosfodiesterazės inhibitoriais, grupei</w:t>
      </w:r>
      <w:r w:rsidRPr="00CD6C5C">
        <w:rPr>
          <w:rFonts w:ascii="Times New Roman" w:eastAsia="Calibri" w:hAnsi="Times New Roman" w:cs="Times New Roman"/>
        </w:rPr>
        <w:t>.</w:t>
      </w:r>
    </w:p>
    <w:p w14:paraId="73B6E6B3" w14:textId="77777777" w:rsidR="008C4948" w:rsidRPr="00CD6C5C" w:rsidRDefault="008C4948" w:rsidP="008C4948">
      <w:pPr>
        <w:spacing w:after="0" w:line="240" w:lineRule="auto"/>
        <w:rPr>
          <w:rFonts w:ascii="Times New Roman" w:eastAsia="Calibri" w:hAnsi="Times New Roman" w:cs="Times New Roman"/>
        </w:rPr>
      </w:pPr>
    </w:p>
    <w:p w14:paraId="4ABD4894" w14:textId="77777777" w:rsidR="008C4948" w:rsidRPr="00CD6C5C" w:rsidRDefault="008C4948" w:rsidP="008C4948">
      <w:pPr>
        <w:spacing w:after="0" w:line="240" w:lineRule="auto"/>
        <w:rPr>
          <w:rFonts w:ascii="Times New Roman" w:eastAsia="MS Mincho" w:hAnsi="Times New Roman" w:cs="Times New Roman"/>
          <w:lang w:eastAsia="ja-JP"/>
        </w:rPr>
      </w:pPr>
      <w:r w:rsidRPr="00CD6C5C">
        <w:rPr>
          <w:rFonts w:ascii="Times New Roman" w:eastAsia="MS Mincho" w:hAnsi="Times New Roman" w:cs="Times New Roman"/>
          <w:lang w:eastAsia="ja-JP"/>
        </w:rPr>
        <w:t xml:space="preserve">Tadalafil Accord </w:t>
      </w:r>
      <w:r w:rsidRPr="00CD6C5C">
        <w:rPr>
          <w:rFonts w:ascii="Times New Roman" w:eastAsia="Calibri" w:hAnsi="Times New Roman" w:cs="Times New Roman"/>
          <w:bCs/>
        </w:rPr>
        <w:t>vartojamas gydyti suaugusius vyrus, kuriems yra:</w:t>
      </w:r>
    </w:p>
    <w:p w14:paraId="5A9630CD" w14:textId="52A591E3" w:rsidR="008C4948" w:rsidRPr="00CD6C5C" w:rsidRDefault="008C4948" w:rsidP="00771646">
      <w:pPr>
        <w:spacing w:after="0" w:line="240" w:lineRule="auto"/>
        <w:contextualSpacing/>
        <w:rPr>
          <w:rFonts w:ascii="Times New Roman" w:eastAsia="Calibri" w:hAnsi="Times New Roman" w:cs="Times New Roman"/>
        </w:rPr>
      </w:pPr>
      <w:r w:rsidRPr="00CD6C5C">
        <w:rPr>
          <w:rFonts w:ascii="Times New Roman" w:eastAsia="Calibri" w:hAnsi="Times New Roman" w:cs="Times New Roman"/>
          <w:b/>
          <w:color w:val="000000"/>
        </w:rPr>
        <w:t>Erekcijos funkcijos sutrikimas</w:t>
      </w:r>
      <w:r w:rsidRPr="00CD6C5C">
        <w:rPr>
          <w:rFonts w:ascii="Times New Roman" w:eastAsia="Times New Roman" w:hAnsi="Times New Roman" w:cs="Times New Roman"/>
          <w:lang w:eastAsia="lt-LT"/>
        </w:rPr>
        <w:t xml:space="preserve">. Tai būklė kai vyro varpa nestandėja arba neišsilaiko kieta ir standi, tinkama lytiniam aktui atlikti. Buvo įrodyta, kad Tadalafil Accord reikšmingai pagerina gebėjimą sukelti kietą standžią varpą, tinkamą lytiniam aktui atlikti. Po lytinės stimuliacijos Tadalafil Accord padeda varpos kraujagyslėms atsipalaiduoti, todėl į varpą įteka daugiau kraujo. Dėl to pagerėja erekcijos funkcija. Jeigu Jūsų erekcijos funkcija nesutrikusi, Tadalafil Accord nepadės. Svarbu pažymėti, kad </w:t>
      </w:r>
      <w:r w:rsidR="00700C44" w:rsidRPr="00700C44">
        <w:rPr>
          <w:rFonts w:ascii="Times New Roman" w:eastAsia="Times New Roman" w:hAnsi="Times New Roman" w:cs="Times New Roman"/>
          <w:lang w:eastAsia="lt-LT"/>
        </w:rPr>
        <w:t>gydant erekcijos funkcijos sutrikimą</w:t>
      </w:r>
      <w:r w:rsidR="00700C44">
        <w:rPr>
          <w:rFonts w:ascii="Times New Roman" w:eastAsia="Times New Roman" w:hAnsi="Times New Roman" w:cs="Times New Roman"/>
          <w:lang w:eastAsia="lt-LT"/>
        </w:rPr>
        <w:t xml:space="preserve"> </w:t>
      </w:r>
      <w:r w:rsidRPr="00CD6C5C">
        <w:rPr>
          <w:rFonts w:ascii="Times New Roman" w:eastAsia="Times New Roman" w:hAnsi="Times New Roman" w:cs="Times New Roman"/>
          <w:lang w:eastAsia="lt-LT"/>
        </w:rPr>
        <w:t>Tadalafil Accord neveiks, jeigu nebus lytinės stimuliacijos. Prieš lytinį aktą Jūs su savo partnere turėsite užsiimti glamonėmis lygiai taip pat, kaip užsiimtumėte jeigu būtumėte nevartojęs šio vaisto erekcijos funkcijos sutrikimui gydyti.</w:t>
      </w:r>
    </w:p>
    <w:p w14:paraId="4EDB1CE9" w14:textId="77777777" w:rsidR="008C4948" w:rsidRPr="00CD6C5C" w:rsidRDefault="008C4948" w:rsidP="008670E9">
      <w:pPr>
        <w:spacing w:after="0" w:line="240" w:lineRule="auto"/>
        <w:contextualSpacing/>
        <w:rPr>
          <w:rFonts w:ascii="Times New Roman" w:eastAsia="Calibri" w:hAnsi="Times New Roman" w:cs="Times New Roman"/>
        </w:rPr>
      </w:pPr>
    </w:p>
    <w:p w14:paraId="46F0FAD3" w14:textId="77777777" w:rsidR="008C4948" w:rsidRPr="00CD6C5C" w:rsidRDefault="008C4948" w:rsidP="008670E9">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Calibri" w:hAnsi="Times New Roman" w:cs="Times New Roman"/>
        </w:rPr>
        <w:t>Šlapimo organų simptomai, susiję su dažnai pasitaikančia liga, vadinama gerybine prostatos hiperplazija. Toks sutrikimas pasireiškia, kai senstant didėja prostata. Simptomai yra šlapinimosi pradžios pasunkėjimas, pojūtis, kad nevisiškai ištuštinta šlapimo pūslė, ir dažnesnis poreikis šlapintis, net naktį. Tadalafilis pagerina kraujo įtekėjimą į prostatą ir šlapimo pūslę ir atpalaiduoja jų raumenis, todėl gali palengvėti gerybinės prostatos hiperplazijos simptomai. Įrodyta, kad šiuos su šlapimo takais susijusius simptomus tadalafilis palengvina praėjus 1–2 savaitėms nuo gydymo pradžios.</w:t>
      </w:r>
    </w:p>
    <w:p w14:paraId="25D344E0"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3505FF25"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421A0A01" w14:textId="77777777" w:rsidR="008C4948" w:rsidRPr="00CD6C5C" w:rsidRDefault="008C4948" w:rsidP="008C4948">
      <w:pPr>
        <w:numPr>
          <w:ilvl w:val="0"/>
          <w:numId w:val="5"/>
        </w:numPr>
        <w:spacing w:after="0" w:line="240" w:lineRule="auto"/>
        <w:ind w:right="-2"/>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Kas žinotina prieš vartojant Tadalafil Accord</w:t>
      </w:r>
    </w:p>
    <w:p w14:paraId="7BFEA0DA" w14:textId="77777777" w:rsidR="008C4948" w:rsidRPr="00CD6C5C" w:rsidRDefault="008C4948" w:rsidP="008C4948">
      <w:pPr>
        <w:spacing w:after="0" w:line="240" w:lineRule="auto"/>
        <w:ind w:right="-2"/>
        <w:rPr>
          <w:rFonts w:ascii="Times New Roman" w:eastAsia="Times New Roman" w:hAnsi="Times New Roman" w:cs="Times New Roman"/>
          <w:lang w:eastAsia="lt-LT"/>
        </w:rPr>
      </w:pPr>
    </w:p>
    <w:p w14:paraId="726DB8E3" w14:textId="79B767D0" w:rsidR="008C4948" w:rsidRPr="00CD6C5C" w:rsidRDefault="008C4948" w:rsidP="008C4948">
      <w:pPr>
        <w:numPr>
          <w:ilvl w:val="12"/>
          <w:numId w:val="0"/>
        </w:numPr>
        <w:spacing w:after="0" w:line="240" w:lineRule="auto"/>
        <w:outlineLvl w:val="0"/>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 xml:space="preserve">Tadalafil Accord vartoti </w:t>
      </w:r>
      <w:r w:rsidR="00C80646" w:rsidRPr="00CD6C5C">
        <w:rPr>
          <w:rFonts w:ascii="Times New Roman" w:eastAsia="Times New Roman" w:hAnsi="Times New Roman" w:cs="Times New Roman"/>
          <w:b/>
          <w:lang w:eastAsia="lt-LT"/>
        </w:rPr>
        <w:t>draudžiama</w:t>
      </w:r>
      <w:r w:rsidRPr="00CD6C5C">
        <w:rPr>
          <w:rFonts w:ascii="Times New Roman" w:eastAsia="Times New Roman" w:hAnsi="Times New Roman" w:cs="Times New Roman"/>
          <w:b/>
          <w:lang w:eastAsia="lt-LT"/>
        </w:rPr>
        <w:t>:</w:t>
      </w:r>
    </w:p>
    <w:p w14:paraId="765AD9AB" w14:textId="77777777" w:rsidR="008C4948" w:rsidRPr="00CD6C5C" w:rsidRDefault="008C4948" w:rsidP="008C4948">
      <w:pPr>
        <w:numPr>
          <w:ilvl w:val="12"/>
          <w:numId w:val="0"/>
        </w:numPr>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w:t>
      </w:r>
      <w:r w:rsidRPr="00CD6C5C">
        <w:rPr>
          <w:rFonts w:ascii="Times New Roman" w:eastAsia="Times New Roman" w:hAnsi="Times New Roman" w:cs="Times New Roman"/>
          <w:lang w:eastAsia="lt-LT"/>
        </w:rPr>
        <w:tab/>
        <w:t>jeigu yra alergija tadalafiliui arba bet kuriai pagalbinei šio vaisto medžiagai (jos išvardytos 6 skyriuje);</w:t>
      </w:r>
    </w:p>
    <w:p w14:paraId="165D630B" w14:textId="77777777" w:rsidR="008C4948" w:rsidRPr="00CD6C5C" w:rsidRDefault="008C4948" w:rsidP="008C4948">
      <w:pPr>
        <w:keepNext/>
        <w:keepLines/>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lastRenderedPageBreak/>
        <w:t>jeigu vartojate bet kokių organinių nitratų arba azoto oksido donorų, pvz., amilnitrito. Šios grupės vaistais (nitratais) gydoma krūtinės angina (krūtinės skausmas). Nustatyta, kad Tadalafil Accord stiprina šių vaistų sukeliamą poveikį. Jeigu vartojate kokių nors nitratų arba tiksliai nežinote, ar jų vartojate, apie tai pasakykite gydytojui;</w:t>
      </w:r>
    </w:p>
    <w:p w14:paraId="17AD6275"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sergate sunkia širdies liga arba neseniai (paskutiniųjų 90 dienų laikotarpiu) Jus buvo ištikęs širdies priepuolis;</w:t>
      </w:r>
    </w:p>
    <w:p w14:paraId="71A6E497"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jeigu neseniai (paskutiniųjų 6 mėnesių laikotarpiu) Jus buvo ištikęs insultas; </w:t>
      </w:r>
    </w:p>
    <w:p w14:paraId="2A9C56A3"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jeigu yra mažas kraujospūdis arba didelis nekontroliuojamas kraujospūdis; </w:t>
      </w:r>
    </w:p>
    <w:p w14:paraId="4AB486B4"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buvote kada nors apakę dėl ne arterito sukeltos priekinės išeminės regos nervo neuropatijos (angl. NAION), t. y. sutrikimo, kuris dar vadinamas akies insultu;</w:t>
      </w:r>
    </w:p>
    <w:p w14:paraId="0AA078EB"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vartojate riociguato. Šis vaistas vartojamas gydyti plautinę arterinę hipertenziją (t. y. didelį kraujospūdį plaučiuose) ir lėtinę tromboembolinę plautinę hipertenziją (t. y. didelį kraujospūdį plaučiuose, atsiradusį dėl kraujo krešulių susidarymo). Buvo nustatyta, kad FDE5 inhibitoriai, tokie kaip tadalafilis, sustiprina šio vaisto kraujospūdį mažinantį poveikį. Jeigu vartojate riociguato arba dėl to nesate tikri, apie tai pasakykite gydytojui.</w:t>
      </w:r>
    </w:p>
    <w:p w14:paraId="494B7476" w14:textId="77777777" w:rsidR="008C4948" w:rsidRPr="00CD6C5C" w:rsidRDefault="008C4948" w:rsidP="008C4948">
      <w:pPr>
        <w:spacing w:after="0" w:line="240" w:lineRule="auto"/>
        <w:ind w:right="-2"/>
        <w:outlineLvl w:val="0"/>
        <w:rPr>
          <w:rFonts w:ascii="Times New Roman" w:eastAsia="Times New Roman" w:hAnsi="Times New Roman" w:cs="Times New Roman"/>
          <w:b/>
          <w:lang w:eastAsia="lt-LT"/>
        </w:rPr>
      </w:pPr>
    </w:p>
    <w:p w14:paraId="6EBFA955"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Įspėjimai ir atsargumo priemonės</w:t>
      </w:r>
    </w:p>
    <w:p w14:paraId="49D0133F"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Pasitarkite su gydytoju arba vaistininku prieš pradėdami vartoti Tadalafil Accord.</w:t>
      </w:r>
    </w:p>
    <w:p w14:paraId="4E7F2AFB"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7FA0C9E1"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Turėkite omenyje, kad lytinis aktyvumas gali didinti riziką širdies liga sergantiems pacientams, kadangi papildomai apkraunama širdis. Jeigu sergate širdies liga, pasakykite gydytojui.</w:t>
      </w:r>
    </w:p>
    <w:p w14:paraId="566DAFC1"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48FC520F"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Prieš pradėdami vartoti tabletes pasakykite savo gydytojui, jeigu Jums yra:</w:t>
      </w:r>
    </w:p>
    <w:p w14:paraId="12E4E637"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pjautuvinė mažakraujystė (raudonųjų kraujo ląstelių sutrikimas);</w:t>
      </w:r>
    </w:p>
    <w:p w14:paraId="72607A82"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dauginė mieloma (kaulų čiulpų vėžys);</w:t>
      </w:r>
    </w:p>
    <w:p w14:paraId="7A48C5B5"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leukemija (kraujo ląstelių vėžys);</w:t>
      </w:r>
    </w:p>
    <w:p w14:paraId="54D5B3F4"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bet kokia varpos deformacija;</w:t>
      </w:r>
    </w:p>
    <w:p w14:paraId="25657394"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sunkus kepenų funkcijos sutrikimas;</w:t>
      </w:r>
    </w:p>
    <w:p w14:paraId="400FC9BC"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sunkus inkstų funkcijos sutrikimas.</w:t>
      </w:r>
    </w:p>
    <w:p w14:paraId="38BB0A63" w14:textId="77777777" w:rsidR="008C4948" w:rsidRPr="00CD6C5C" w:rsidRDefault="008C4948" w:rsidP="008C4948">
      <w:pPr>
        <w:spacing w:after="0" w:line="240" w:lineRule="auto"/>
        <w:rPr>
          <w:rFonts w:ascii="Times New Roman" w:eastAsia="Times New Roman" w:hAnsi="Times New Roman" w:cs="Times New Roman"/>
          <w:lang w:eastAsia="lt-LT"/>
        </w:rPr>
      </w:pPr>
    </w:p>
    <w:p w14:paraId="7A8A50AD" w14:textId="77777777" w:rsidR="008C4948" w:rsidRPr="00CD6C5C" w:rsidRDefault="008C4948" w:rsidP="008C4948">
      <w:pPr>
        <w:spacing w:after="0" w:line="240" w:lineRule="auto"/>
        <w:contextualSpacing/>
        <w:rPr>
          <w:rFonts w:ascii="Times New Roman" w:eastAsia="Times New Roman" w:hAnsi="Times New Roman" w:cs="Times New Roman"/>
        </w:rPr>
      </w:pPr>
      <w:r w:rsidRPr="00CD6C5C">
        <w:rPr>
          <w:rFonts w:ascii="Times New Roman" w:eastAsia="Times New Roman" w:hAnsi="Times New Roman" w:cs="Times New Roman"/>
        </w:rPr>
        <w:t>Gerybinė prostatos hiperplazija ir prostatos vėžys gali sukelti tokių pačių simptomų, todėl, prieš pradėdamas Jus gydyti nuo gerybinės prostatos hiperplazijos, gydytojas patikrins, ar nesergate prostatos vėžiu. Prostatos vėžio Tadalafil Accord negydo.</w:t>
      </w:r>
    </w:p>
    <w:p w14:paraId="2745FF73" w14:textId="77777777" w:rsidR="008C4948" w:rsidRPr="00CD6C5C" w:rsidRDefault="008C4948" w:rsidP="008C4948">
      <w:pPr>
        <w:spacing w:after="0" w:line="240" w:lineRule="auto"/>
        <w:rPr>
          <w:rFonts w:ascii="Times New Roman" w:eastAsia="Times New Roman" w:hAnsi="Times New Roman" w:cs="Times New Roman"/>
          <w:lang w:eastAsia="lt-LT"/>
        </w:rPr>
      </w:pPr>
    </w:p>
    <w:p w14:paraId="4365A955"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Nežinoma, ar tadalafilis yra veiksmingas pacientams, kuriems buvo atlikta:</w:t>
      </w:r>
    </w:p>
    <w:p w14:paraId="2E1DF174"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dubens srities operacija;</w:t>
      </w:r>
    </w:p>
    <w:p w14:paraId="4DC4C53C"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visos prostatos arba jos dalies pašalinimo operacija, kurios metu buvo nupjauti nervai (radikali nervų neišsauganti prostatektomija). </w:t>
      </w:r>
    </w:p>
    <w:p w14:paraId="10CF5D53" w14:textId="77777777" w:rsidR="008C4948" w:rsidRPr="00CD6C5C" w:rsidRDefault="008C4948" w:rsidP="008C4948">
      <w:pPr>
        <w:spacing w:after="0" w:line="240" w:lineRule="auto"/>
        <w:rPr>
          <w:rFonts w:ascii="Times New Roman" w:eastAsia="Times New Roman" w:hAnsi="Times New Roman" w:cs="Times New Roman"/>
          <w:lang w:eastAsia="lt-LT"/>
        </w:rPr>
      </w:pPr>
    </w:p>
    <w:p w14:paraId="7E3BFA69" w14:textId="5B73D97C" w:rsidR="008C4948" w:rsidRPr="00CD6C5C" w:rsidRDefault="008C4948" w:rsidP="00700C44">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Jeigu </w:t>
      </w:r>
      <w:bookmarkStart w:id="2" w:name="_Hlk152703098"/>
      <w:r w:rsidR="00700C44" w:rsidRPr="00700C44">
        <w:rPr>
          <w:rFonts w:ascii="Times New Roman" w:eastAsia="Times New Roman" w:hAnsi="Times New Roman" w:cs="Times New Roman"/>
          <w:lang w:eastAsia="lt-LT"/>
        </w:rPr>
        <w:t>vartojant Tadalafil Accord</w:t>
      </w:r>
      <w:bookmarkEnd w:id="2"/>
      <w:r w:rsidR="00700C44" w:rsidRPr="00700C44">
        <w:rPr>
          <w:rFonts w:ascii="Times New Roman" w:eastAsia="Times New Roman" w:hAnsi="Times New Roman" w:cs="Times New Roman"/>
          <w:lang w:eastAsia="lt-LT"/>
        </w:rPr>
        <w:t xml:space="preserve"> </w:t>
      </w:r>
      <w:r w:rsidRPr="00CD6C5C">
        <w:rPr>
          <w:rFonts w:ascii="Times New Roman" w:eastAsia="Times New Roman" w:hAnsi="Times New Roman" w:cs="Times New Roman"/>
          <w:lang w:eastAsia="lt-LT"/>
        </w:rPr>
        <w:t>staiga susilpnėtų regėjimas ar apaktumėte</w:t>
      </w:r>
      <w:r w:rsidR="00700C44" w:rsidRPr="00700C44">
        <w:t xml:space="preserve"> </w:t>
      </w:r>
      <w:r w:rsidR="00700C44" w:rsidRPr="00700C44">
        <w:rPr>
          <w:rFonts w:ascii="Times New Roman" w:eastAsia="Times New Roman" w:hAnsi="Times New Roman" w:cs="Times New Roman"/>
          <w:lang w:eastAsia="lt-LT"/>
        </w:rPr>
        <w:t>arba būtų matomas iškreiptas, blankus</w:t>
      </w:r>
      <w:r w:rsidR="00700C44">
        <w:rPr>
          <w:rFonts w:ascii="Times New Roman" w:eastAsia="Times New Roman" w:hAnsi="Times New Roman" w:cs="Times New Roman"/>
          <w:lang w:eastAsia="lt-LT"/>
        </w:rPr>
        <w:t xml:space="preserve"> </w:t>
      </w:r>
      <w:r w:rsidR="00700C44" w:rsidRPr="00700C44">
        <w:rPr>
          <w:rFonts w:ascii="Times New Roman" w:eastAsia="Times New Roman" w:hAnsi="Times New Roman" w:cs="Times New Roman"/>
          <w:lang w:eastAsia="lt-LT"/>
        </w:rPr>
        <w:t>vaizdas</w:t>
      </w:r>
      <w:r w:rsidRPr="00CD6C5C">
        <w:rPr>
          <w:rFonts w:ascii="Times New Roman" w:eastAsia="Times New Roman" w:hAnsi="Times New Roman" w:cs="Times New Roman"/>
          <w:lang w:eastAsia="lt-LT"/>
        </w:rPr>
        <w:t xml:space="preserve">, nutraukite Tadalafil Accord vartojimą ir nedelsdami kreipkitės į gydytoją. </w:t>
      </w:r>
    </w:p>
    <w:p w14:paraId="5E02965D" w14:textId="77777777" w:rsidR="008C4948" w:rsidRPr="00CD6C5C" w:rsidRDefault="008C4948" w:rsidP="008C4948">
      <w:pPr>
        <w:spacing w:after="0" w:line="240" w:lineRule="auto"/>
        <w:rPr>
          <w:rFonts w:ascii="Times New Roman" w:eastAsia="Times New Roman" w:hAnsi="Times New Roman" w:cs="Times New Roman"/>
          <w:lang w:eastAsia="lt-LT"/>
        </w:rPr>
      </w:pPr>
    </w:p>
    <w:p w14:paraId="244F5051"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Kai kuriems tadalafilio vartojusiems pacientams buvo pastebėta susilpnėjusi arba staiga dingusi klausa. Nors nėra žinoma, ar šis reiškinys tiesiogiai susijęs su tadalafiliu, pastebėję, kad nusilpo arba staiga dingo klausa, Tadalafil Accord nebevartokite ir nedelsdami kreipkitės į gydytoją. </w:t>
      </w:r>
    </w:p>
    <w:p w14:paraId="11C907CC"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683CE4D0" w14:textId="77777777" w:rsidR="008C4948" w:rsidRPr="00CD6C5C" w:rsidRDefault="008C4948" w:rsidP="008C4948">
      <w:pPr>
        <w:numPr>
          <w:ilvl w:val="12"/>
          <w:numId w:val="0"/>
        </w:numPr>
        <w:spacing w:after="0" w:line="240" w:lineRule="auto"/>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Tadalafil Accord neturi būti vartojamas moterų erekcijos funkcijos sutrikimui arba gerybinei prostatos hiperplazijai gydyti, kadangi tai yra vyrų sveikatos specifinė problema.</w:t>
      </w:r>
    </w:p>
    <w:p w14:paraId="0322F940"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6FC0BF20" w14:textId="77777777" w:rsidR="008C4948" w:rsidRPr="00CD6C5C" w:rsidRDefault="008C4948" w:rsidP="008C4948">
      <w:pPr>
        <w:numPr>
          <w:ilvl w:val="12"/>
          <w:numId w:val="0"/>
        </w:numPr>
        <w:spacing w:after="0" w:line="240" w:lineRule="auto"/>
        <w:rPr>
          <w:rFonts w:ascii="Times New Roman" w:eastAsia="Times New Roman" w:hAnsi="Times New Roman" w:cs="Times New Roman"/>
          <w:b/>
          <w:bCs/>
          <w:lang w:eastAsia="lt-LT"/>
        </w:rPr>
      </w:pPr>
      <w:r w:rsidRPr="00CD6C5C">
        <w:rPr>
          <w:rFonts w:ascii="Times New Roman" w:eastAsia="Times New Roman" w:hAnsi="Times New Roman" w:cs="Times New Roman"/>
          <w:b/>
          <w:lang w:eastAsia="lt-LT"/>
        </w:rPr>
        <w:t>Vaikams ir paaugliams</w:t>
      </w:r>
    </w:p>
    <w:p w14:paraId="50711547" w14:textId="77777777" w:rsidR="008C4948" w:rsidRPr="00CD6C5C" w:rsidRDefault="008C4948" w:rsidP="008C4948">
      <w:pPr>
        <w:numPr>
          <w:ilvl w:val="12"/>
          <w:numId w:val="0"/>
        </w:numPr>
        <w:spacing w:after="0" w:line="240" w:lineRule="auto"/>
        <w:rPr>
          <w:rFonts w:ascii="Times New Roman" w:eastAsia="Times New Roman" w:hAnsi="Times New Roman" w:cs="Times New Roman"/>
          <w:bCs/>
          <w:lang w:eastAsia="lt-LT"/>
        </w:rPr>
      </w:pPr>
      <w:r w:rsidRPr="00CD6C5C">
        <w:rPr>
          <w:rFonts w:ascii="Times New Roman" w:eastAsia="Times New Roman" w:hAnsi="Times New Roman" w:cs="Times New Roman"/>
          <w:lang w:eastAsia="lt-LT"/>
        </w:rPr>
        <w:t>Tadalafil Accord neskirtas vartoti vaikams ir jaunesniems kaip 18 metų paaugliams.</w:t>
      </w:r>
    </w:p>
    <w:p w14:paraId="1D4A2FDE" w14:textId="77777777" w:rsidR="008C4948" w:rsidRPr="00CD6C5C" w:rsidRDefault="008C4948" w:rsidP="008C4948">
      <w:pPr>
        <w:numPr>
          <w:ilvl w:val="12"/>
          <w:numId w:val="0"/>
        </w:numPr>
        <w:spacing w:after="0" w:line="240" w:lineRule="auto"/>
        <w:rPr>
          <w:rFonts w:ascii="Times New Roman" w:eastAsia="Times New Roman" w:hAnsi="Times New Roman" w:cs="Times New Roman"/>
          <w:b/>
          <w:bCs/>
          <w:lang w:eastAsia="lt-LT"/>
        </w:rPr>
      </w:pPr>
    </w:p>
    <w:p w14:paraId="421B20C7" w14:textId="77777777" w:rsidR="008C4948" w:rsidRPr="00CD6C5C" w:rsidRDefault="008C4948" w:rsidP="00B65F27">
      <w:pPr>
        <w:keepNext/>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lastRenderedPageBreak/>
        <w:t>Kiti vaistai ir Tadalafil Accord</w:t>
      </w:r>
    </w:p>
    <w:p w14:paraId="25C556EC" w14:textId="77777777" w:rsidR="008C4948" w:rsidRPr="00CD6C5C" w:rsidRDefault="008C4948" w:rsidP="00B65F27">
      <w:pPr>
        <w:keepNext/>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vartojate ar neseniai vartojote kitų vaistų arba dėl to nesate tikri, apie tai pasakykite gydytojui arba vaistininkui.</w:t>
      </w:r>
    </w:p>
    <w:p w14:paraId="1EA47367"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25EBFDD4" w14:textId="3FF009B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 Accord vartoti </w:t>
      </w:r>
      <w:r w:rsidR="003C5663">
        <w:rPr>
          <w:rFonts w:ascii="Times New Roman" w:eastAsia="Times New Roman" w:hAnsi="Times New Roman" w:cs="Times New Roman"/>
          <w:lang w:eastAsia="lt-LT"/>
        </w:rPr>
        <w:t>draudžiama</w:t>
      </w:r>
      <w:r w:rsidRPr="00CD6C5C">
        <w:rPr>
          <w:rFonts w:ascii="Times New Roman" w:eastAsia="Times New Roman" w:hAnsi="Times New Roman" w:cs="Times New Roman"/>
          <w:lang w:eastAsia="lt-LT"/>
        </w:rPr>
        <w:t xml:space="preserve">, jeigu jau vartojate nitratų. </w:t>
      </w:r>
    </w:p>
    <w:p w14:paraId="69756576"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57C24997" w14:textId="0EA4533E"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 Accord gali keisti kai kurių vaistų poveikį arba jie − Tadalafil Accord poveikį. Pasakykite gydytojui arba vaistininkui, jeigu jau vartojate: </w:t>
      </w:r>
    </w:p>
    <w:p w14:paraId="538E0B02"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alfa adrenoreceptorių blokatorių (vartojamų dideliam kraujospūdžiui mažinti arba šlapimo organų simptomams, susijusiems su gerybine prostatos hiperplazija, gydyti);</w:t>
      </w:r>
    </w:p>
    <w:p w14:paraId="0B492DD0"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kitų vaistų padidėjusiam kraujospūdžiui mažinti;</w:t>
      </w:r>
    </w:p>
    <w:p w14:paraId="116F2F20" w14:textId="77777777" w:rsidR="008C4948" w:rsidRPr="00CD6C5C" w:rsidRDefault="008C4948" w:rsidP="008C4948">
      <w:pPr>
        <w:numPr>
          <w:ilvl w:val="0"/>
          <w:numId w:val="6"/>
        </w:numPr>
        <w:tabs>
          <w:tab w:val="left" w:pos="567"/>
        </w:tabs>
        <w:snapToGrid w:val="0"/>
        <w:spacing w:after="0" w:line="240" w:lineRule="auto"/>
        <w:ind w:left="567" w:hanging="567"/>
        <w:rPr>
          <w:rFonts w:ascii="Times New Roman" w:eastAsia="Times New Roman" w:hAnsi="Times New Roman" w:cs="Times New Roman"/>
          <w:snapToGrid w:val="0"/>
          <w:lang w:eastAsia="lt-LT"/>
        </w:rPr>
      </w:pPr>
      <w:r w:rsidRPr="00CD6C5C">
        <w:rPr>
          <w:rFonts w:ascii="Times New Roman" w:eastAsia="Times New Roman" w:hAnsi="Times New Roman" w:cs="Times New Roman"/>
          <w:snapToGrid w:val="0"/>
          <w:lang w:eastAsia="lt-LT"/>
        </w:rPr>
        <w:t>riociguato;</w:t>
      </w:r>
    </w:p>
    <w:p w14:paraId="716F98B1"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5-alfa reduktazės inhibitorių (vartojamų gerybinei prostatos hiperplazijai gydyti);</w:t>
      </w:r>
    </w:p>
    <w:p w14:paraId="6141B5BC"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tokių vaistų, kaip ketokonazolo tabletės (vartojamos grybelių sukeltoms infekcinėms ligoms gydyti) ir proteazės inhibitoriai AIDS arba ŽIV infekcijai gydyti;</w:t>
      </w:r>
    </w:p>
    <w:p w14:paraId="30E5DBD1"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fenobarbitalio, fenitoino, karbamazepino (vaistų nuo traukulių);</w:t>
      </w:r>
    </w:p>
    <w:p w14:paraId="7D2EB7B0"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rifampicino, eritromicino, klaritromicino arba itrakonazolo;</w:t>
      </w:r>
    </w:p>
    <w:p w14:paraId="0449E82E"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kitokių vaistų nuo erekcijos funkcijos sutrikimo.</w:t>
      </w:r>
    </w:p>
    <w:p w14:paraId="225CEF53" w14:textId="77777777" w:rsidR="008C4948" w:rsidRPr="00CD6C5C" w:rsidRDefault="008C4948" w:rsidP="008C4948">
      <w:pPr>
        <w:spacing w:after="0" w:line="240" w:lineRule="auto"/>
        <w:ind w:right="-2"/>
        <w:rPr>
          <w:rFonts w:ascii="Times New Roman" w:eastAsia="Times New Roman" w:hAnsi="Times New Roman" w:cs="Times New Roman"/>
          <w:b/>
          <w:lang w:eastAsia="lt-LT"/>
        </w:rPr>
      </w:pPr>
    </w:p>
    <w:p w14:paraId="625608FC"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Tadalafil Accord vartojimas su gėrimais ir alkoholiu</w:t>
      </w:r>
    </w:p>
    <w:p w14:paraId="19A3907A"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Informacija apie alkoholio įtaką pateikta 3 skyriuje. Greipfrutų sultys gali sutrikdyti Tadalafil Accord poveikį, todėl turi būti vartojamos atsargiai. Norėdami sužinoti daugiau, kreipkitės į savo gydytoją.</w:t>
      </w:r>
    </w:p>
    <w:p w14:paraId="32EA657F"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6544966C"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Nėštumas, žindymas ir vaisingumas</w:t>
      </w:r>
    </w:p>
    <w:p w14:paraId="134B8C8C"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Nėštumas</w:t>
      </w:r>
    </w:p>
    <w:p w14:paraId="545B8C22"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esate nėščia, žindote kūdikį, manote, kad galbūt esate nėščia arba planuojate pastoti, tai prieš vartodama šį vaistą pasitarkite su savo gydytoju. Tadalafilio nėštumo metu vartoti negalima, išskyrus atvejus, kai tai neabejotinai būtina ir tai aptarėte su gydytoju.</w:t>
      </w:r>
    </w:p>
    <w:p w14:paraId="571BD3CF"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619995C5"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Žindymas</w:t>
      </w:r>
    </w:p>
    <w:p w14:paraId="5C13A425"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Vartojant šias tabletes, žindyti negalima, nes nežinoma, ar šio vaisto prasiskverbia į motinos pieną. Prieš vartojant bet kokį vaistą nėštumo metu ar žindymo laikotarpiu, būtina pasitarti su gydytoju arba vaistininku.</w:t>
      </w:r>
    </w:p>
    <w:p w14:paraId="788D09C3"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39C96E80"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Vaisingumas</w:t>
      </w:r>
    </w:p>
    <w:p w14:paraId="7FA1065A"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Vaisto vartojant šunims, sumažėjo spermatozoidų vystymasis jų sėklidėse. Kai kuriems vyrams buvo pastebėtas spermos kiekio sumažėjimas. Nesitikima, kad dėl tokio poveikio sumažėtų vaisingumas.</w:t>
      </w:r>
    </w:p>
    <w:p w14:paraId="5F7DB370"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7459BC8E"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Vairavimas ir mechanizmų valdymas</w:t>
      </w:r>
    </w:p>
    <w:p w14:paraId="31A390DE"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Klinikinių tyrimų metu tadalafilis kai kuriems vyrams sukėlė svaigulį. Prieš vairavimą ar mechanizmų valdymą atidžiai pasitikrinkite savo reakciją į šias tabletes.</w:t>
      </w:r>
    </w:p>
    <w:p w14:paraId="6AF96319"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7C5B96BC"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Tadalafil Accord sudėtyje yra laktozės </w:t>
      </w:r>
    </w:p>
    <w:p w14:paraId="60B2B6C9"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gydytojas yra Jums sakęs, kad netoleruojate kokių nors angliavandenių, kreipkitės į jį prieš pradėdami vartoti šį vaistą.</w:t>
      </w:r>
    </w:p>
    <w:p w14:paraId="431B2D0A"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300B6FA4" w14:textId="2B08EBFA" w:rsidR="00391DAD" w:rsidRPr="00CD6C5C" w:rsidRDefault="00391DAD" w:rsidP="00B16E93">
      <w:pPr>
        <w:keepNext/>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Tadalafil Accord sudėtyje yra natrio </w:t>
      </w:r>
    </w:p>
    <w:p w14:paraId="69C91B68" w14:textId="56A55B71" w:rsidR="00391DAD" w:rsidRPr="00CD6C5C" w:rsidRDefault="00391DAD" w:rsidP="00391DAD">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15590A">
        <w:rPr>
          <w:rFonts w:ascii="Times New Roman" w:eastAsia="TimesNewRomanPSMT" w:hAnsi="Times New Roman" w:cs="Times New Roman"/>
          <w:lang w:eastAsia="lt-LT"/>
        </w:rPr>
        <w:t>Šio vais</w:t>
      </w:r>
      <w:r w:rsidRPr="00CD6C5C">
        <w:rPr>
          <w:rFonts w:ascii="Times New Roman" w:eastAsia="TimesNewRomanPSMT" w:hAnsi="Times New Roman" w:cs="Times New Roman"/>
          <w:lang w:eastAsia="lt-LT"/>
        </w:rPr>
        <w:t xml:space="preserve">to tabletėje </w:t>
      </w:r>
      <w:r w:rsidRPr="0015590A">
        <w:rPr>
          <w:rFonts w:ascii="Times New Roman" w:eastAsia="TimesNewRomanPSMT" w:hAnsi="Times New Roman" w:cs="Times New Roman"/>
          <w:lang w:eastAsia="lt-LT"/>
        </w:rPr>
        <w:t>yra</w:t>
      </w:r>
      <w:r w:rsidRPr="00CD6C5C">
        <w:rPr>
          <w:rFonts w:ascii="Times New Roman" w:eastAsia="TimesNewRomanPSMT" w:hAnsi="Times New Roman" w:cs="Times New Roman"/>
          <w:lang w:eastAsia="lt-LT"/>
        </w:rPr>
        <w:t xml:space="preserve"> </w:t>
      </w:r>
      <w:r w:rsidRPr="0015590A">
        <w:rPr>
          <w:rFonts w:ascii="Times New Roman" w:eastAsia="TimesNewRomanPSMT" w:hAnsi="Times New Roman" w:cs="Times New Roman"/>
          <w:lang w:eastAsia="lt-LT"/>
        </w:rPr>
        <w:t>mažiau kaip 1</w:t>
      </w:r>
      <w:r w:rsidRPr="00CD6C5C">
        <w:rPr>
          <w:rFonts w:ascii="Times New Roman" w:eastAsia="TimesNewRomanPSMT" w:hAnsi="Times New Roman" w:cs="Times New Roman"/>
          <w:lang w:eastAsia="lt-LT"/>
        </w:rPr>
        <w:t> </w:t>
      </w:r>
      <w:r w:rsidRPr="0015590A">
        <w:rPr>
          <w:rFonts w:ascii="Times New Roman" w:eastAsia="TimesNewRomanPSMT" w:hAnsi="Times New Roman" w:cs="Times New Roman"/>
          <w:lang w:eastAsia="lt-LT"/>
        </w:rPr>
        <w:t>mmol (23</w:t>
      </w:r>
      <w:r w:rsidRPr="00CD6C5C">
        <w:rPr>
          <w:rFonts w:ascii="Times New Roman" w:eastAsia="TimesNewRomanPSMT" w:hAnsi="Times New Roman" w:cs="Times New Roman"/>
          <w:lang w:eastAsia="lt-LT"/>
        </w:rPr>
        <w:t> </w:t>
      </w:r>
      <w:r w:rsidRPr="0015590A">
        <w:rPr>
          <w:rFonts w:ascii="Times New Roman" w:eastAsia="TimesNewRomanPSMT" w:hAnsi="Times New Roman" w:cs="Times New Roman"/>
          <w:lang w:eastAsia="lt-LT"/>
        </w:rPr>
        <w:t>mg) natrio, t.</w:t>
      </w:r>
      <w:r w:rsidRPr="00CD6C5C">
        <w:rPr>
          <w:rFonts w:ascii="Times New Roman" w:eastAsia="TimesNewRomanPSMT" w:hAnsi="Times New Roman" w:cs="Times New Roman"/>
          <w:lang w:eastAsia="lt-LT"/>
        </w:rPr>
        <w:t xml:space="preserve"> </w:t>
      </w:r>
      <w:r w:rsidRPr="0015590A">
        <w:rPr>
          <w:rFonts w:ascii="Times New Roman" w:eastAsia="TimesNewRomanPSMT" w:hAnsi="Times New Roman" w:cs="Times New Roman"/>
          <w:lang w:eastAsia="lt-LT"/>
        </w:rPr>
        <w:t>y. jis beveik</w:t>
      </w:r>
      <w:r w:rsidRPr="00CD6C5C">
        <w:rPr>
          <w:rFonts w:ascii="Times New Roman" w:eastAsia="TimesNewRomanPSMT" w:hAnsi="Times New Roman" w:cs="Times New Roman"/>
          <w:lang w:eastAsia="lt-LT"/>
        </w:rPr>
        <w:t xml:space="preserve"> neturi reikšmės.</w:t>
      </w:r>
    </w:p>
    <w:p w14:paraId="31E02355" w14:textId="77777777" w:rsidR="00391DAD" w:rsidRPr="00CD6C5C" w:rsidRDefault="00391DAD" w:rsidP="00391DAD">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049BA151"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61885B3E" w14:textId="77777777" w:rsidR="008C4948" w:rsidRPr="00CD6C5C" w:rsidRDefault="008C4948" w:rsidP="00B65F27">
      <w:pPr>
        <w:keepNext/>
        <w:numPr>
          <w:ilvl w:val="0"/>
          <w:numId w:val="5"/>
        </w:numPr>
        <w:spacing w:after="0" w:line="240" w:lineRule="auto"/>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lastRenderedPageBreak/>
        <w:t>Kaip vartoti Tadalafil Accord</w:t>
      </w:r>
    </w:p>
    <w:p w14:paraId="472149EA" w14:textId="77777777" w:rsidR="008C4948" w:rsidRPr="00CD6C5C" w:rsidRDefault="008C4948" w:rsidP="00B65F27">
      <w:pPr>
        <w:keepNext/>
        <w:spacing w:after="0" w:line="240" w:lineRule="auto"/>
        <w:rPr>
          <w:rFonts w:ascii="Times New Roman" w:eastAsia="Times New Roman" w:hAnsi="Times New Roman" w:cs="Times New Roman"/>
          <w:lang w:eastAsia="lt-LT"/>
        </w:rPr>
      </w:pPr>
    </w:p>
    <w:p w14:paraId="631D8187" w14:textId="77777777" w:rsidR="008C4948" w:rsidRPr="00CD6C5C" w:rsidRDefault="008C4948" w:rsidP="00B65F27">
      <w:pPr>
        <w:keepNext/>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Visada vartokite šį vaistą tiksliai, kaip nurodė gydytojas. Jeigu abejojate, kreipkitės į gydytoją arba vaistininką. </w:t>
      </w:r>
    </w:p>
    <w:p w14:paraId="7DFF0AFB"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3C553173" w14:textId="7CA24D01" w:rsidR="008C4948" w:rsidRPr="00CD6C5C" w:rsidRDefault="00700C44" w:rsidP="008C4948">
      <w:pPr>
        <w:numPr>
          <w:ilvl w:val="12"/>
          <w:numId w:val="0"/>
        </w:numPr>
        <w:spacing w:after="0" w:line="240" w:lineRule="auto"/>
        <w:ind w:right="-2"/>
        <w:outlineLvl w:val="0"/>
        <w:rPr>
          <w:rFonts w:ascii="Times New Roman" w:eastAsia="Times New Roman" w:hAnsi="Times New Roman" w:cs="Times New Roman"/>
          <w:lang w:eastAsia="lt-LT"/>
        </w:rPr>
      </w:pPr>
      <w:r w:rsidRPr="00700C44">
        <w:rPr>
          <w:rFonts w:ascii="Times New Roman" w:eastAsia="Times New Roman" w:hAnsi="Times New Roman" w:cs="Times New Roman"/>
          <w:lang w:eastAsia="lt-LT"/>
        </w:rPr>
        <w:t xml:space="preserve">Tadalafil Accord </w:t>
      </w:r>
      <w:r>
        <w:rPr>
          <w:rFonts w:ascii="Times New Roman" w:eastAsia="Times New Roman" w:hAnsi="Times New Roman" w:cs="Times New Roman"/>
          <w:lang w:eastAsia="lt-LT"/>
        </w:rPr>
        <w:t xml:space="preserve">yra </w:t>
      </w:r>
      <w:r w:rsidRPr="00700C44">
        <w:rPr>
          <w:rFonts w:ascii="Times New Roman" w:eastAsia="Times New Roman" w:hAnsi="Times New Roman" w:cs="Times New Roman"/>
          <w:lang w:eastAsia="lt-LT"/>
        </w:rPr>
        <w:t>skirt</w:t>
      </w:r>
      <w:r>
        <w:rPr>
          <w:rFonts w:ascii="Times New Roman" w:eastAsia="Times New Roman" w:hAnsi="Times New Roman" w:cs="Times New Roman"/>
          <w:lang w:eastAsia="lt-LT"/>
        </w:rPr>
        <w:t>a</w:t>
      </w:r>
      <w:r w:rsidRPr="00700C44">
        <w:rPr>
          <w:rFonts w:ascii="Times New Roman" w:eastAsia="Times New Roman" w:hAnsi="Times New Roman" w:cs="Times New Roman"/>
          <w:lang w:eastAsia="lt-LT"/>
        </w:rPr>
        <w:t xml:space="preserve">s tik vyrams vartoti per burną. </w:t>
      </w:r>
      <w:r w:rsidR="008C4948" w:rsidRPr="00CD6C5C">
        <w:rPr>
          <w:rFonts w:ascii="Times New Roman" w:eastAsia="Times New Roman" w:hAnsi="Times New Roman" w:cs="Times New Roman"/>
          <w:lang w:eastAsia="lt-LT"/>
        </w:rPr>
        <w:t>Tabletę nurykite nepažeistą užgerdami vandeniu. Tabletes galima gerti valgio metu arba nevalgius.</w:t>
      </w:r>
    </w:p>
    <w:p w14:paraId="2B56E2C5"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3F4658D0" w14:textId="77777777" w:rsidR="008C4948" w:rsidRPr="00CD6C5C" w:rsidRDefault="008C4948" w:rsidP="008C4948">
      <w:pPr>
        <w:autoSpaceDE w:val="0"/>
        <w:autoSpaceDN w:val="0"/>
        <w:adjustRightInd w:val="0"/>
        <w:spacing w:after="0" w:line="240" w:lineRule="auto"/>
        <w:rPr>
          <w:rFonts w:ascii="Times New Roman" w:hAnsi="Times New Roman" w:cs="Times New Roman"/>
          <w:color w:val="000000"/>
        </w:rPr>
      </w:pPr>
      <w:r w:rsidRPr="00CD6C5C">
        <w:rPr>
          <w:rFonts w:ascii="Times New Roman" w:hAnsi="Times New Roman" w:cs="Times New Roman"/>
          <w:b/>
          <w:bCs/>
          <w:color w:val="000000"/>
        </w:rPr>
        <w:t>Erekcijos funkcijos sutrikimo gydymas</w:t>
      </w:r>
    </w:p>
    <w:p w14:paraId="08C9F4B7" w14:textId="77777777" w:rsidR="008C4948" w:rsidRPr="00CD6C5C" w:rsidRDefault="008C4948" w:rsidP="008C4948">
      <w:pPr>
        <w:autoSpaceDE w:val="0"/>
        <w:autoSpaceDN w:val="0"/>
        <w:adjustRightInd w:val="0"/>
        <w:spacing w:after="0" w:line="240" w:lineRule="auto"/>
        <w:rPr>
          <w:rFonts w:ascii="Times New Roman" w:hAnsi="Times New Roman" w:cs="Times New Roman"/>
          <w:color w:val="000000"/>
        </w:rPr>
      </w:pPr>
      <w:r w:rsidRPr="00CD6C5C">
        <w:rPr>
          <w:rFonts w:ascii="Times New Roman" w:hAnsi="Times New Roman" w:cs="Times New Roman"/>
          <w:b/>
          <w:bCs/>
          <w:color w:val="000000"/>
        </w:rPr>
        <w:t xml:space="preserve">Rekomenduojama dozė </w:t>
      </w:r>
      <w:r w:rsidRPr="00CD6C5C">
        <w:rPr>
          <w:rFonts w:ascii="Times New Roman" w:hAnsi="Times New Roman" w:cs="Times New Roman"/>
          <w:color w:val="000000"/>
        </w:rPr>
        <w:t xml:space="preserve">yra viena 5 mg tabletė. Ji geriama vieną kartą per parą, maždaug tokiu pačių paros laiku. Atsižvelgdamas į Jūsų reakciją į </w:t>
      </w:r>
      <w:r w:rsidRPr="00CD6C5C">
        <w:rPr>
          <w:rFonts w:ascii="Times New Roman" w:eastAsia="Times New Roman" w:hAnsi="Times New Roman" w:cs="Times New Roman"/>
          <w:lang w:eastAsia="lt-LT"/>
        </w:rPr>
        <w:t>Tadalafil Accord</w:t>
      </w:r>
      <w:r w:rsidRPr="00CD6C5C">
        <w:rPr>
          <w:rFonts w:ascii="Times New Roman" w:hAnsi="Times New Roman" w:cs="Times New Roman"/>
          <w:color w:val="000000"/>
        </w:rPr>
        <w:t xml:space="preserve">, gydytojas dozę gali sumažinti iki 2,5 mg. Tai bus 2,5 mg tabletės. </w:t>
      </w:r>
    </w:p>
    <w:p w14:paraId="46BDB917" w14:textId="77777777" w:rsidR="008C4948" w:rsidRPr="00CD6C5C" w:rsidRDefault="008C4948" w:rsidP="008C4948">
      <w:pPr>
        <w:tabs>
          <w:tab w:val="left" w:pos="180"/>
        </w:tabs>
        <w:autoSpaceDE w:val="0"/>
        <w:autoSpaceDN w:val="0"/>
        <w:adjustRightInd w:val="0"/>
        <w:spacing w:after="0" w:line="240" w:lineRule="auto"/>
        <w:rPr>
          <w:rFonts w:ascii="Times New Roman" w:hAnsi="Times New Roman" w:cs="Times New Roman"/>
          <w:color w:val="000000"/>
        </w:rPr>
      </w:pPr>
      <w:r w:rsidRPr="00CD6C5C">
        <w:rPr>
          <w:rFonts w:ascii="Times New Roman" w:hAnsi="Times New Roman" w:cs="Times New Roman"/>
          <w:color w:val="000000"/>
        </w:rPr>
        <w:t xml:space="preserve">Daugiau negu vieną kartą per parą </w:t>
      </w:r>
      <w:r w:rsidRPr="00CD6C5C">
        <w:rPr>
          <w:rFonts w:ascii="Times New Roman" w:eastAsia="Times New Roman" w:hAnsi="Times New Roman" w:cs="Times New Roman"/>
          <w:lang w:eastAsia="lt-LT"/>
        </w:rPr>
        <w:t xml:space="preserve">Tadalafil Accord </w:t>
      </w:r>
      <w:r w:rsidRPr="00CD6C5C">
        <w:rPr>
          <w:rFonts w:ascii="Times New Roman" w:hAnsi="Times New Roman" w:cs="Times New Roman"/>
          <w:color w:val="000000"/>
        </w:rPr>
        <w:t xml:space="preserve">nevartokite. </w:t>
      </w:r>
    </w:p>
    <w:p w14:paraId="7772926D" w14:textId="77777777" w:rsidR="008C4948" w:rsidRPr="00CD6C5C" w:rsidRDefault="008C4948" w:rsidP="008C4948">
      <w:pPr>
        <w:tabs>
          <w:tab w:val="left" w:pos="180"/>
        </w:tabs>
        <w:autoSpaceDE w:val="0"/>
        <w:autoSpaceDN w:val="0"/>
        <w:adjustRightInd w:val="0"/>
        <w:spacing w:after="0" w:line="240" w:lineRule="auto"/>
        <w:rPr>
          <w:rFonts w:ascii="Times New Roman" w:hAnsi="Times New Roman" w:cs="Times New Roman"/>
          <w:color w:val="000000"/>
        </w:rPr>
      </w:pPr>
      <w:r w:rsidRPr="00CD6C5C">
        <w:rPr>
          <w:rFonts w:ascii="Times New Roman" w:hAnsi="Times New Roman" w:cs="Times New Roman"/>
          <w:color w:val="000000"/>
        </w:rPr>
        <w:t xml:space="preserve">Vieną kartą per parą geriamas </w:t>
      </w:r>
      <w:r w:rsidRPr="00CD6C5C">
        <w:rPr>
          <w:rFonts w:ascii="Times New Roman" w:eastAsia="Times New Roman" w:hAnsi="Times New Roman" w:cs="Times New Roman"/>
          <w:lang w:eastAsia="lt-LT"/>
        </w:rPr>
        <w:t xml:space="preserve">Tadalafil Accord </w:t>
      </w:r>
      <w:r w:rsidRPr="00CD6C5C">
        <w:rPr>
          <w:rFonts w:ascii="Times New Roman" w:hAnsi="Times New Roman" w:cs="Times New Roman"/>
          <w:color w:val="000000"/>
        </w:rPr>
        <w:t xml:space="preserve">seksualinės stimuliacijos metu padės sukelti erekciją bet kuriuo 24 val. laikotarpiu. </w:t>
      </w:r>
      <w:r w:rsidRPr="00CD6C5C">
        <w:rPr>
          <w:rFonts w:ascii="Times New Roman" w:eastAsia="Times New Roman" w:hAnsi="Times New Roman" w:cs="Times New Roman"/>
          <w:lang w:eastAsia="lt-LT"/>
        </w:rPr>
        <w:t xml:space="preserve">Tadalafil Accord </w:t>
      </w:r>
      <w:r w:rsidRPr="00CD6C5C">
        <w:rPr>
          <w:rFonts w:ascii="Times New Roman" w:hAnsi="Times New Roman" w:cs="Times New Roman"/>
          <w:color w:val="000000"/>
        </w:rPr>
        <w:t xml:space="preserve">dozavimas vieną kartą per parą gali būti naudingas vyrams, kurie seksualinių santykių numato turėti du arba daugiau kartų per savaitę. </w:t>
      </w:r>
    </w:p>
    <w:p w14:paraId="01684F18"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hAnsi="Times New Roman" w:cs="Times New Roman"/>
          <w:color w:val="000000"/>
        </w:rPr>
        <w:t xml:space="preserve">Svarbu suprasti, kad be seksualinės stimuliacijos </w:t>
      </w:r>
      <w:r w:rsidRPr="00CD6C5C">
        <w:rPr>
          <w:rFonts w:ascii="Times New Roman" w:eastAsia="Times New Roman" w:hAnsi="Times New Roman" w:cs="Times New Roman"/>
          <w:lang w:eastAsia="lt-LT"/>
        </w:rPr>
        <w:t xml:space="preserve">Tadalafil Accord </w:t>
      </w:r>
      <w:r w:rsidRPr="00CD6C5C">
        <w:rPr>
          <w:rFonts w:ascii="Times New Roman" w:hAnsi="Times New Roman" w:cs="Times New Roman"/>
          <w:color w:val="000000"/>
        </w:rPr>
        <w:t xml:space="preserve">neveikia, todėl Jums su partnere reikės užsiimti išankstiniu žaidimu taip pat, kaip užsiimtumėte ir negerdami vaistinio preparato nuo erekcijos sutrikimo. </w:t>
      </w:r>
    </w:p>
    <w:p w14:paraId="19AF09FD"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Alkoholis gali veikti gebėjimą sukelti erekciją ir laikinai sumažinti kraujospūdį. Jeigu pavartojote arba planuojate pavartoti Tadalafil Accord, daug alkoholio (kai alkoholio koncentracija kraujyje būna 0,08% arba didesnė) negerkite, nes tai gali padidinti svaigulio riziką stojantis.</w:t>
      </w:r>
    </w:p>
    <w:p w14:paraId="6B1EE036"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1A8C70E4" w14:textId="77777777" w:rsidR="008C4948" w:rsidRPr="00CD6C5C" w:rsidRDefault="008C4948" w:rsidP="008C4948">
      <w:pPr>
        <w:spacing w:after="0" w:line="240" w:lineRule="auto"/>
        <w:contextualSpacing/>
        <w:rPr>
          <w:rFonts w:ascii="Times New Roman" w:eastAsia="Times New Roman" w:hAnsi="Times New Roman" w:cs="Times New Roman"/>
          <w:b/>
          <w:bCs/>
        </w:rPr>
      </w:pPr>
      <w:r w:rsidRPr="00CD6C5C">
        <w:rPr>
          <w:rFonts w:ascii="Times New Roman" w:eastAsia="Times New Roman" w:hAnsi="Times New Roman" w:cs="Times New Roman"/>
          <w:b/>
          <w:bCs/>
        </w:rPr>
        <w:t>Gerybinės prostatos hiperplazijos gydymas</w:t>
      </w:r>
    </w:p>
    <w:p w14:paraId="18D3A10A" w14:textId="77777777" w:rsidR="008C4948" w:rsidRPr="00CD6C5C" w:rsidRDefault="008C4948" w:rsidP="008C4948">
      <w:pPr>
        <w:spacing w:after="0" w:line="240" w:lineRule="auto"/>
        <w:contextualSpacing/>
        <w:rPr>
          <w:rFonts w:ascii="Times New Roman" w:eastAsia="Times New Roman" w:hAnsi="Times New Roman" w:cs="Times New Roman"/>
          <w:bCs/>
        </w:rPr>
      </w:pPr>
      <w:r w:rsidRPr="00CD6C5C">
        <w:rPr>
          <w:rFonts w:ascii="Times New Roman" w:eastAsia="Times New Roman" w:hAnsi="Times New Roman" w:cs="Times New Roman"/>
          <w:bCs/>
        </w:rPr>
        <w:t>Kartą per parą maždaug tuo pačiu metu reikia vartoti vieną 5 mg tabletę.</w:t>
      </w:r>
    </w:p>
    <w:p w14:paraId="09D5B7AE" w14:textId="77777777" w:rsidR="008C4948" w:rsidRPr="00CD6C5C" w:rsidRDefault="008C4948" w:rsidP="008C4948">
      <w:pPr>
        <w:spacing w:after="0" w:line="240" w:lineRule="auto"/>
        <w:contextualSpacing/>
        <w:rPr>
          <w:rFonts w:ascii="Times New Roman" w:eastAsia="Times New Roman" w:hAnsi="Times New Roman" w:cs="Times New Roman"/>
          <w:bCs/>
        </w:rPr>
      </w:pPr>
      <w:r w:rsidRPr="00CD6C5C">
        <w:rPr>
          <w:rFonts w:ascii="Times New Roman" w:eastAsia="Times New Roman" w:hAnsi="Times New Roman" w:cs="Times New Roman"/>
          <w:bCs/>
        </w:rPr>
        <w:t xml:space="preserve">Jeigu Jums yra gerybinė prostatos hiperplazija ir erekcijos funkcijos sutrikimas, dozė taip pat yra viena 5 mg tabletė kartą per parą. </w:t>
      </w:r>
    </w:p>
    <w:p w14:paraId="66F446C8" w14:textId="4EBC684C" w:rsidR="008C4948" w:rsidRPr="00700C44" w:rsidRDefault="00700C44" w:rsidP="008C4948">
      <w:pPr>
        <w:numPr>
          <w:ilvl w:val="12"/>
          <w:numId w:val="0"/>
        </w:numPr>
        <w:spacing w:after="0" w:line="240" w:lineRule="auto"/>
        <w:ind w:right="-2"/>
        <w:outlineLvl w:val="0"/>
        <w:rPr>
          <w:rFonts w:ascii="Times New Roman" w:eastAsia="Times New Roman" w:hAnsi="Times New Roman" w:cs="Times New Roman"/>
          <w:lang w:eastAsia="lt-LT"/>
        </w:rPr>
      </w:pPr>
      <w:r w:rsidRPr="00700C44">
        <w:rPr>
          <w:rFonts w:ascii="Times New Roman" w:eastAsia="Times New Roman" w:hAnsi="Times New Roman" w:cs="Times New Roman"/>
          <w:lang w:eastAsia="lt-LT"/>
        </w:rPr>
        <w:t>Nevartokite Tadalafil Accord daugiau negu vieną kartą per parą.</w:t>
      </w:r>
    </w:p>
    <w:p w14:paraId="36EE4C4F" w14:textId="77777777" w:rsidR="00700C44" w:rsidRPr="00CD6C5C" w:rsidRDefault="00700C44" w:rsidP="008C4948">
      <w:pPr>
        <w:numPr>
          <w:ilvl w:val="12"/>
          <w:numId w:val="0"/>
        </w:numPr>
        <w:spacing w:after="0" w:line="240" w:lineRule="auto"/>
        <w:ind w:right="-2"/>
        <w:outlineLvl w:val="0"/>
        <w:rPr>
          <w:rFonts w:ascii="Times New Roman" w:eastAsia="Times New Roman" w:hAnsi="Times New Roman" w:cs="Times New Roman"/>
          <w:u w:val="single"/>
          <w:lang w:eastAsia="lt-LT"/>
        </w:rPr>
      </w:pPr>
    </w:p>
    <w:p w14:paraId="444C45D1" w14:textId="0C16860F"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Ką daryti pavartojus per didelę Tadalafil Accord dozę</w:t>
      </w:r>
    </w:p>
    <w:p w14:paraId="3D1F30A0" w14:textId="77777777" w:rsidR="008C4948" w:rsidRPr="00CD6C5C" w:rsidRDefault="008C4948" w:rsidP="008C4948">
      <w:pPr>
        <w:tabs>
          <w:tab w:val="left" w:pos="567"/>
        </w:tabs>
        <w:autoSpaceDE w:val="0"/>
        <w:autoSpaceDN w:val="0"/>
        <w:adjustRightInd w:val="0"/>
        <w:spacing w:after="0" w:line="240" w:lineRule="auto"/>
        <w:rPr>
          <w:rFonts w:ascii="Times New Roman" w:eastAsia="Times New Roman" w:hAnsi="Times New Roman" w:cs="Times New Roman"/>
          <w:bCs/>
          <w:lang w:eastAsia="lt-LT"/>
        </w:rPr>
      </w:pPr>
      <w:r w:rsidRPr="00CD6C5C">
        <w:rPr>
          <w:rFonts w:ascii="Times New Roman" w:eastAsia="Times New Roman" w:hAnsi="Times New Roman" w:cs="Times New Roman"/>
          <w:lang w:eastAsia="lt-LT"/>
        </w:rPr>
        <w:t>Jeigu Jūs arba kas nors kitas išgėrė daugiau tablečių nei paskirta, pasakykite gydytojui arba nedelsdami vykite į ligoninę, kartu pasiimkite vaistą arba pakuotę. Gali pasireikšti bet kuris šalutinis poveikis, aprašytas 4 skyriuje.</w:t>
      </w:r>
    </w:p>
    <w:p w14:paraId="709951D3" w14:textId="77777777" w:rsidR="008C4948" w:rsidRPr="00CD6C5C" w:rsidRDefault="008C4948" w:rsidP="008C4948">
      <w:pPr>
        <w:tabs>
          <w:tab w:val="left" w:pos="567"/>
        </w:tabs>
        <w:autoSpaceDE w:val="0"/>
        <w:autoSpaceDN w:val="0"/>
        <w:adjustRightInd w:val="0"/>
        <w:spacing w:after="0" w:line="240" w:lineRule="auto"/>
        <w:rPr>
          <w:rFonts w:ascii="Times New Roman" w:eastAsia="Times New Roman" w:hAnsi="Times New Roman" w:cs="Times New Roman"/>
          <w:bCs/>
          <w:lang w:eastAsia="lt-LT"/>
        </w:rPr>
      </w:pPr>
    </w:p>
    <w:p w14:paraId="44E4F47A"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Pamiršus pavartoti Tadalafil Accord</w:t>
      </w:r>
    </w:p>
    <w:p w14:paraId="1E83CAA8" w14:textId="77777777" w:rsidR="008C4948" w:rsidRPr="00CD6C5C" w:rsidRDefault="008C4948" w:rsidP="008C4948">
      <w:pPr>
        <w:tabs>
          <w:tab w:val="left" w:pos="567"/>
        </w:tabs>
        <w:autoSpaceDE w:val="0"/>
        <w:autoSpaceDN w:val="0"/>
        <w:adjustRightInd w:val="0"/>
        <w:spacing w:after="0" w:line="240" w:lineRule="auto"/>
        <w:rPr>
          <w:rFonts w:ascii="Times New Roman" w:eastAsia="Times New Roman" w:hAnsi="Times New Roman" w:cs="Times New Roman"/>
          <w:bCs/>
          <w:lang w:eastAsia="lt-LT"/>
        </w:rPr>
      </w:pPr>
      <w:r w:rsidRPr="00CD6C5C">
        <w:rPr>
          <w:rFonts w:ascii="Times New Roman" w:eastAsia="Times New Roman" w:hAnsi="Times New Roman" w:cs="Times New Roman"/>
          <w:bCs/>
          <w:lang w:eastAsia="lt-LT"/>
        </w:rPr>
        <w:t>Išgerkite dozę, kai tik prisiminsite, tačiau negalima vartoti dvigubos dozės norint kompensuoti praleistą tabletę.</w:t>
      </w:r>
      <w:r w:rsidRPr="00CD6C5C">
        <w:rPr>
          <w:rFonts w:ascii="Times New Roman" w:eastAsia="Times New Roman" w:hAnsi="Times New Roman" w:cs="Times New Roman"/>
          <w:lang w:eastAsia="lt-LT"/>
        </w:rPr>
        <w:t xml:space="preserve"> Tadalafil Accord negalima vartoti dažniau kaip kartą per parą.</w:t>
      </w:r>
    </w:p>
    <w:p w14:paraId="41025CCF" w14:textId="77777777" w:rsidR="008C4948" w:rsidRPr="00CD6C5C" w:rsidRDefault="008C4948" w:rsidP="008C4948">
      <w:pPr>
        <w:tabs>
          <w:tab w:val="left" w:pos="567"/>
        </w:tabs>
        <w:autoSpaceDE w:val="0"/>
        <w:autoSpaceDN w:val="0"/>
        <w:adjustRightInd w:val="0"/>
        <w:spacing w:after="0" w:line="240" w:lineRule="auto"/>
        <w:rPr>
          <w:rFonts w:ascii="Times New Roman" w:eastAsia="Times New Roman" w:hAnsi="Times New Roman" w:cs="Times New Roman"/>
          <w:bCs/>
          <w:lang w:eastAsia="lt-LT"/>
        </w:rPr>
      </w:pPr>
    </w:p>
    <w:p w14:paraId="12AF3982"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kiltų daugiau klausimų dėl šio vaisto vartojimo, kreipkitės į gydytoją arba vaistininką.</w:t>
      </w:r>
    </w:p>
    <w:p w14:paraId="673DEE91"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4DF60F4F"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73B63358" w14:textId="71A71C3D" w:rsidR="008C4948" w:rsidRPr="00CD6C5C" w:rsidRDefault="008C4948" w:rsidP="00C24C15">
      <w:pPr>
        <w:numPr>
          <w:ilvl w:val="12"/>
          <w:numId w:val="0"/>
        </w:numPr>
        <w:spacing w:after="0" w:line="240" w:lineRule="auto"/>
        <w:ind w:left="567" w:right="-2" w:hanging="567"/>
        <w:rPr>
          <w:rFonts w:ascii="Times New Roman" w:hAnsi="Times New Roman" w:cs="Times New Roman"/>
          <w:lang w:eastAsia="lt-LT"/>
        </w:rPr>
      </w:pPr>
      <w:r w:rsidRPr="00CD6C5C">
        <w:rPr>
          <w:rFonts w:ascii="Times New Roman" w:eastAsia="Times New Roman" w:hAnsi="Times New Roman" w:cs="Times New Roman"/>
          <w:b/>
          <w:lang w:eastAsia="lt-LT"/>
        </w:rPr>
        <w:t>4.</w:t>
      </w:r>
      <w:r w:rsidRPr="00CD6C5C">
        <w:rPr>
          <w:rFonts w:ascii="Times New Roman" w:eastAsia="Times New Roman" w:hAnsi="Times New Roman" w:cs="Times New Roman"/>
          <w:b/>
          <w:lang w:eastAsia="lt-LT"/>
        </w:rPr>
        <w:tab/>
        <w:t>Galimas šalutinis poveikis</w:t>
      </w:r>
    </w:p>
    <w:p w14:paraId="2FDCBB85"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42129D3B"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Šis vaistas, kaip ir visi kiti, gali sukelti šalutinį poveikį, nors jis pasireiškia ne visiems žmonėms.</w:t>
      </w:r>
      <w:r w:rsidRPr="00CD6C5C">
        <w:rPr>
          <w:rFonts w:ascii="Times New Roman" w:eastAsia="Times New Roman" w:hAnsi="Times New Roman" w:cs="Times New Roman"/>
          <w:snapToGrid w:val="0"/>
        </w:rPr>
        <w:t xml:space="preserve"> </w:t>
      </w:r>
      <w:r w:rsidRPr="00CD6C5C">
        <w:rPr>
          <w:rFonts w:ascii="Times New Roman" w:eastAsia="Times New Roman" w:hAnsi="Times New Roman" w:cs="Times New Roman"/>
          <w:lang w:eastAsia="lt-LT"/>
        </w:rPr>
        <w:t xml:space="preserve">Paprastai toks poveikis būna lengvas arba vidutinio sunkumo. </w:t>
      </w:r>
    </w:p>
    <w:p w14:paraId="5F26B7F3"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p>
    <w:p w14:paraId="6B6BC51C"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Jeigu pasireiškia kuris nors toliau išvardytas šalutinis poveikis, nutraukite vaisto vartojimą ir nedelsdami kreipkitės į gydytoją. </w:t>
      </w:r>
    </w:p>
    <w:p w14:paraId="2075A93A"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alerginės reakcijos, įskaitant išbėrimą (pasireiškia nedažnai);</w:t>
      </w:r>
    </w:p>
    <w:p w14:paraId="5CE9D8D4" w14:textId="76B17B35"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krūtinės skausmas: </w:t>
      </w:r>
      <w:r w:rsidR="002461DD">
        <w:rPr>
          <w:rFonts w:ascii="Times New Roman" w:eastAsia="Times New Roman" w:hAnsi="Times New Roman" w:cs="Times New Roman"/>
          <w:lang w:eastAsia="lt-LT"/>
        </w:rPr>
        <w:t>draudžiama</w:t>
      </w:r>
      <w:r w:rsidR="002461DD" w:rsidRPr="00CD6C5C">
        <w:rPr>
          <w:rFonts w:ascii="Times New Roman" w:eastAsia="Times New Roman" w:hAnsi="Times New Roman" w:cs="Times New Roman"/>
          <w:lang w:eastAsia="lt-LT"/>
        </w:rPr>
        <w:t xml:space="preserve"> </w:t>
      </w:r>
      <w:r w:rsidRPr="00CD6C5C">
        <w:rPr>
          <w:rFonts w:ascii="Times New Roman" w:eastAsia="Times New Roman" w:hAnsi="Times New Roman" w:cs="Times New Roman"/>
          <w:lang w:eastAsia="lt-LT"/>
        </w:rPr>
        <w:t>vartoti nitratų, reikia nedelsiant kreiptis medicininės pagalbos (pasireiškia nedažnai);</w:t>
      </w:r>
    </w:p>
    <w:p w14:paraId="12303727"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lastRenderedPageBreak/>
        <w:t>priapizmas, ilgalaikė erekcija, kuri gali būti skausminga, po Tadalafil Accord pavartojimo (pasireiškia retai). Jeigu pasireiškia tokia erekcija, kuri nepaliaujamai išsilaiko ilgiau kaip 4 valandas, turite nedelsdami kreiptis į gydytoją;</w:t>
      </w:r>
    </w:p>
    <w:p w14:paraId="5EC0897D" w14:textId="066B5DBD" w:rsidR="008C4948" w:rsidRPr="00700C44" w:rsidRDefault="008C4948" w:rsidP="007D3ACB">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700C44">
        <w:rPr>
          <w:rFonts w:ascii="Times New Roman" w:eastAsia="Times New Roman" w:hAnsi="Times New Roman" w:cs="Times New Roman"/>
          <w:lang w:eastAsia="lt-LT"/>
        </w:rPr>
        <w:t>staigus apakimas (pasireiškia retai)</w:t>
      </w:r>
      <w:r w:rsidR="00700C44" w:rsidRPr="00700C44">
        <w:rPr>
          <w:rFonts w:ascii="Times New Roman" w:eastAsia="Times New Roman" w:hAnsi="Times New Roman" w:cs="Times New Roman"/>
          <w:lang w:eastAsia="lt-LT"/>
        </w:rPr>
        <w:t>,</w:t>
      </w:r>
      <w:r w:rsidR="00700C44" w:rsidRPr="007D3ACB">
        <w:rPr>
          <w:rFonts w:ascii="Times New Roman" w:eastAsia="Times New Roman" w:hAnsi="Times New Roman" w:cs="Times New Roman"/>
          <w:lang w:eastAsia="lt-LT"/>
        </w:rPr>
        <w:t xml:space="preserve"> </w:t>
      </w:r>
      <w:r w:rsidR="00700C44" w:rsidRPr="00700C44">
        <w:rPr>
          <w:rFonts w:ascii="Times New Roman" w:eastAsia="Times New Roman" w:hAnsi="Times New Roman" w:cs="Times New Roman"/>
          <w:lang w:eastAsia="lt-LT"/>
        </w:rPr>
        <w:t>iškreiptas, blankus, neryškus centrinis matymas arba staigus regos susilpnėjimas (dažnis nežinomas)</w:t>
      </w:r>
      <w:r w:rsidRPr="00700C44">
        <w:rPr>
          <w:rFonts w:ascii="Times New Roman" w:eastAsia="Times New Roman" w:hAnsi="Times New Roman" w:cs="Times New Roman"/>
          <w:lang w:eastAsia="lt-LT"/>
        </w:rPr>
        <w:t>.</w:t>
      </w:r>
    </w:p>
    <w:p w14:paraId="1B6774B4" w14:textId="77777777" w:rsidR="008C4948" w:rsidRPr="00CD6C5C" w:rsidRDefault="008C4948" w:rsidP="008C4948">
      <w:pPr>
        <w:spacing w:after="0" w:line="240" w:lineRule="auto"/>
        <w:ind w:right="-29"/>
        <w:rPr>
          <w:rFonts w:ascii="Times New Roman" w:eastAsia="Times New Roman" w:hAnsi="Times New Roman" w:cs="Times New Roman"/>
          <w:lang w:eastAsia="lt-LT"/>
        </w:rPr>
      </w:pPr>
    </w:p>
    <w:p w14:paraId="6AF4CD44"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Buvo pranešta apie kitus šalutinio poveikio atvejus.</w:t>
      </w:r>
    </w:p>
    <w:p w14:paraId="4C73AC87"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p>
    <w:p w14:paraId="0CAE9694" w14:textId="69D2A56D" w:rsidR="008C4948" w:rsidRPr="00CD6C5C" w:rsidRDefault="003D1F4F" w:rsidP="008C4948">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Dažn</w:t>
      </w:r>
      <w:r>
        <w:rPr>
          <w:rFonts w:ascii="Times New Roman" w:eastAsia="Times New Roman" w:hAnsi="Times New Roman" w:cs="Times New Roman"/>
          <w:b/>
          <w:lang w:eastAsia="lt-LT"/>
        </w:rPr>
        <w:t>i</w:t>
      </w:r>
      <w:r w:rsidRPr="003D1F4F">
        <w:rPr>
          <w:rFonts w:ascii="Times New Roman" w:eastAsia="Times New Roman" w:hAnsi="Times New Roman" w:cs="Times New Roman"/>
          <w:b/>
          <w:lang w:eastAsia="lt-LT"/>
        </w:rPr>
        <w:t xml:space="preserve"> šalutinio poveikio reiškiniai</w:t>
      </w:r>
      <w:r w:rsidR="008C4948" w:rsidRPr="00CD6C5C">
        <w:rPr>
          <w:rFonts w:ascii="Times New Roman" w:eastAsia="Times New Roman" w:hAnsi="Times New Roman" w:cs="Times New Roman"/>
          <w:b/>
          <w:lang w:eastAsia="lt-LT"/>
        </w:rPr>
        <w:t xml:space="preserve"> </w:t>
      </w:r>
      <w:r w:rsidR="008C4948" w:rsidRPr="00CD6C5C">
        <w:rPr>
          <w:rFonts w:ascii="Times New Roman" w:eastAsia="Times New Roman" w:hAnsi="Times New Roman" w:cs="Times New Roman"/>
          <w:lang w:eastAsia="lt-LT"/>
        </w:rPr>
        <w:t xml:space="preserve">(gali pasireikšti </w:t>
      </w:r>
      <w:r w:rsidR="0070061D" w:rsidRPr="0070061D">
        <w:rPr>
          <w:rFonts w:ascii="Times New Roman" w:eastAsia="Times New Roman" w:hAnsi="Times New Roman" w:cs="Times New Roman"/>
          <w:lang w:eastAsia="lt-LT"/>
        </w:rPr>
        <w:t xml:space="preserve">rečiau </w:t>
      </w:r>
      <w:r w:rsidR="008C4948" w:rsidRPr="00CD6C5C">
        <w:rPr>
          <w:rFonts w:ascii="Times New Roman" w:eastAsia="Times New Roman" w:hAnsi="Times New Roman" w:cs="Times New Roman"/>
          <w:lang w:eastAsia="lt-LT"/>
        </w:rPr>
        <w:t xml:space="preserve">kaip 1 iš 10 </w:t>
      </w:r>
      <w:r w:rsidR="0070061D">
        <w:rPr>
          <w:rFonts w:ascii="Times New Roman" w:eastAsia="Times New Roman" w:hAnsi="Times New Roman" w:cs="Times New Roman"/>
          <w:lang w:eastAsia="lt-LT"/>
        </w:rPr>
        <w:t>asmenų</w:t>
      </w:r>
      <w:r w:rsidR="008C4948" w:rsidRPr="00CD6C5C">
        <w:rPr>
          <w:rFonts w:ascii="Times New Roman" w:eastAsia="Times New Roman" w:hAnsi="Times New Roman" w:cs="Times New Roman"/>
          <w:lang w:eastAsia="lt-LT"/>
        </w:rPr>
        <w:t>):</w:t>
      </w:r>
    </w:p>
    <w:p w14:paraId="20D375F2" w14:textId="184B7CD4"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galvos skausmas, nugaros skausmas, raumenų skausmas, rankų ir kojų skausmas, veido paraudimas, nosies užgulimas ir nevirškinimas</w:t>
      </w:r>
      <w:r w:rsidR="00C63DF6" w:rsidRPr="00CD6C5C">
        <w:rPr>
          <w:rFonts w:ascii="Times New Roman" w:eastAsia="Times New Roman" w:hAnsi="Times New Roman" w:cs="Times New Roman"/>
          <w:lang w:eastAsia="lt-LT"/>
        </w:rPr>
        <w:t>.</w:t>
      </w:r>
    </w:p>
    <w:p w14:paraId="6B609802" w14:textId="77777777" w:rsidR="008C4948" w:rsidRPr="00CD6C5C" w:rsidRDefault="008C4948" w:rsidP="008C4948">
      <w:pPr>
        <w:spacing w:after="0" w:line="240" w:lineRule="auto"/>
        <w:ind w:right="-29"/>
        <w:rPr>
          <w:rFonts w:ascii="Times New Roman" w:eastAsia="Times New Roman" w:hAnsi="Times New Roman" w:cs="Times New Roman"/>
          <w:lang w:eastAsia="lt-LT"/>
        </w:rPr>
      </w:pPr>
    </w:p>
    <w:p w14:paraId="73B46F6C" w14:textId="33A965A2" w:rsidR="008C4948" w:rsidRPr="00CD6C5C" w:rsidRDefault="003D1F4F" w:rsidP="008C4948">
      <w:pPr>
        <w:keepNext/>
        <w:keepLines/>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Nedažn</w:t>
      </w:r>
      <w:r>
        <w:rPr>
          <w:rFonts w:ascii="Times New Roman" w:eastAsia="Times New Roman" w:hAnsi="Times New Roman" w:cs="Times New Roman"/>
          <w:b/>
          <w:lang w:eastAsia="lt-LT"/>
        </w:rPr>
        <w:t>i</w:t>
      </w:r>
      <w:r w:rsidRPr="00CD6C5C">
        <w:rPr>
          <w:rFonts w:ascii="Times New Roman" w:eastAsia="Times New Roman" w:hAnsi="Times New Roman" w:cs="Times New Roman"/>
          <w:b/>
          <w:lang w:eastAsia="lt-LT"/>
        </w:rPr>
        <w:t xml:space="preserve"> </w:t>
      </w:r>
      <w:r w:rsidRPr="003D1F4F">
        <w:rPr>
          <w:rFonts w:ascii="Times New Roman" w:eastAsia="Times New Roman" w:hAnsi="Times New Roman" w:cs="Times New Roman"/>
          <w:b/>
          <w:bCs/>
          <w:noProof/>
          <w:snapToGrid w:val="0"/>
        </w:rPr>
        <w:t xml:space="preserve">šalutinio poveikio reiškiniai </w:t>
      </w:r>
      <w:r w:rsidR="008C4948" w:rsidRPr="00CD6C5C">
        <w:rPr>
          <w:rFonts w:ascii="Times New Roman" w:eastAsia="Times New Roman" w:hAnsi="Times New Roman" w:cs="Times New Roman"/>
          <w:lang w:eastAsia="lt-LT"/>
        </w:rPr>
        <w:t xml:space="preserve">(gali pasireikšti </w:t>
      </w:r>
      <w:r w:rsidR="0070061D" w:rsidRPr="0070061D">
        <w:rPr>
          <w:rFonts w:ascii="Times New Roman" w:eastAsia="Times New Roman" w:hAnsi="Times New Roman" w:cs="Times New Roman"/>
          <w:lang w:eastAsia="lt-LT"/>
        </w:rPr>
        <w:t xml:space="preserve">rečiau </w:t>
      </w:r>
      <w:r w:rsidR="008C4948" w:rsidRPr="00CD6C5C">
        <w:rPr>
          <w:rFonts w:ascii="Times New Roman" w:eastAsia="Times New Roman" w:hAnsi="Times New Roman" w:cs="Times New Roman"/>
          <w:lang w:eastAsia="lt-LT"/>
        </w:rPr>
        <w:t xml:space="preserve">kaip 1 iš 100 </w:t>
      </w:r>
      <w:r w:rsidR="0070061D">
        <w:rPr>
          <w:rFonts w:ascii="Times New Roman" w:eastAsia="Times New Roman" w:hAnsi="Times New Roman" w:cs="Times New Roman"/>
          <w:lang w:eastAsia="lt-LT"/>
        </w:rPr>
        <w:t>asmenų</w:t>
      </w:r>
      <w:r w:rsidR="008C4948" w:rsidRPr="00CD6C5C">
        <w:rPr>
          <w:rFonts w:ascii="Times New Roman" w:eastAsia="Times New Roman" w:hAnsi="Times New Roman" w:cs="Times New Roman"/>
          <w:lang w:eastAsia="lt-LT"/>
        </w:rPr>
        <w:t>):</w:t>
      </w:r>
    </w:p>
    <w:p w14:paraId="6C23753F" w14:textId="5FF7E085" w:rsidR="008C4948" w:rsidRPr="00CD6C5C" w:rsidRDefault="008C4948" w:rsidP="008C4948">
      <w:pPr>
        <w:keepNext/>
        <w:keepLines/>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svaigulys, pilvo skausmas, šleikštulys, pykinimas (vėmimas), refliuksas, daiktų matymas lyg per miglą, akių skausmas, kvėpavimo pasunkėjimas, kraujas šlapime, ilgalaikė erekcija, dažno širdies plakimo jutimas, dažnas širdies plakimas, kraujospūdžio padidėjimas, kraujospūdžio sumažėjimas, kraujavimas iš nosies, skambėjimas ausyse, rankų, pėdų ar kulkšnių patinimas, nuovargis.</w:t>
      </w:r>
    </w:p>
    <w:p w14:paraId="2755EB33" w14:textId="77777777" w:rsidR="008C4948" w:rsidRPr="00CD6C5C" w:rsidRDefault="008C4948" w:rsidP="008C4948">
      <w:pPr>
        <w:spacing w:after="0" w:line="240" w:lineRule="auto"/>
        <w:ind w:right="-29"/>
        <w:rPr>
          <w:rFonts w:ascii="Times New Roman" w:eastAsia="Times New Roman" w:hAnsi="Times New Roman" w:cs="Times New Roman"/>
          <w:lang w:eastAsia="lt-LT"/>
        </w:rPr>
      </w:pPr>
    </w:p>
    <w:p w14:paraId="262CBA01" w14:textId="3F61E102" w:rsidR="008C4948" w:rsidRPr="00CD6C5C" w:rsidRDefault="003D1F4F" w:rsidP="008C4948">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Ret</w:t>
      </w:r>
      <w:r>
        <w:rPr>
          <w:rFonts w:ascii="Times New Roman" w:eastAsia="Times New Roman" w:hAnsi="Times New Roman" w:cs="Times New Roman"/>
          <w:b/>
          <w:lang w:eastAsia="lt-LT"/>
        </w:rPr>
        <w:t>i</w:t>
      </w:r>
      <w:r w:rsidRPr="00CD6C5C">
        <w:rPr>
          <w:rFonts w:ascii="Times New Roman" w:eastAsia="Times New Roman" w:hAnsi="Times New Roman" w:cs="Times New Roman"/>
          <w:b/>
          <w:lang w:eastAsia="lt-LT"/>
        </w:rPr>
        <w:t xml:space="preserve"> </w:t>
      </w:r>
      <w:r w:rsidRPr="003D1F4F">
        <w:rPr>
          <w:rFonts w:ascii="Times New Roman" w:eastAsia="Times New Roman" w:hAnsi="Times New Roman" w:cs="Times New Roman"/>
          <w:b/>
          <w:bCs/>
          <w:noProof/>
          <w:snapToGrid w:val="0"/>
        </w:rPr>
        <w:t xml:space="preserve">šalutinio poveikio reiškiniai </w:t>
      </w:r>
      <w:r w:rsidR="008C4948" w:rsidRPr="00CD6C5C">
        <w:rPr>
          <w:rFonts w:ascii="Times New Roman" w:eastAsia="Times New Roman" w:hAnsi="Times New Roman" w:cs="Times New Roman"/>
          <w:lang w:eastAsia="lt-LT"/>
        </w:rPr>
        <w:t xml:space="preserve">(gali pasireikšti </w:t>
      </w:r>
      <w:r w:rsidR="0070061D" w:rsidRPr="0070061D">
        <w:rPr>
          <w:rFonts w:ascii="Times New Roman" w:eastAsia="Times New Roman" w:hAnsi="Times New Roman" w:cs="Times New Roman"/>
          <w:lang w:eastAsia="lt-LT"/>
        </w:rPr>
        <w:t xml:space="preserve">rečiau </w:t>
      </w:r>
      <w:r w:rsidR="008C4948" w:rsidRPr="00CD6C5C">
        <w:rPr>
          <w:rFonts w:ascii="Times New Roman" w:eastAsia="Times New Roman" w:hAnsi="Times New Roman" w:cs="Times New Roman"/>
          <w:lang w:eastAsia="lt-LT"/>
        </w:rPr>
        <w:t xml:space="preserve">kaip 1 iš 1 000 </w:t>
      </w:r>
      <w:r w:rsidR="0070061D">
        <w:rPr>
          <w:rFonts w:ascii="Times New Roman" w:eastAsia="Times New Roman" w:hAnsi="Times New Roman" w:cs="Times New Roman"/>
          <w:lang w:eastAsia="lt-LT"/>
        </w:rPr>
        <w:t>asmenų</w:t>
      </w:r>
      <w:r w:rsidR="008C4948" w:rsidRPr="00CD6C5C">
        <w:rPr>
          <w:rFonts w:ascii="Times New Roman" w:eastAsia="Times New Roman" w:hAnsi="Times New Roman" w:cs="Times New Roman"/>
          <w:lang w:eastAsia="lt-LT"/>
        </w:rPr>
        <w:t>):</w:t>
      </w:r>
    </w:p>
    <w:p w14:paraId="1CE86DDD" w14:textId="436D2562"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alpimas, priepuoliai ir artimosios atminties netekimas, akių vokų patinimas, akių paraudimas, staigus klausos susilpnėjimas ar netekimas, dilgėlinė (niežtintys raudoni rumbai ant odos paviršiaus) kraujavimas iš varpos, kraujas spermoje ir prakaitavimo sustiprėjimas. </w:t>
      </w:r>
    </w:p>
    <w:p w14:paraId="1BCB854A" w14:textId="77777777" w:rsidR="008C4948" w:rsidRPr="00CD6C5C" w:rsidRDefault="008C4948" w:rsidP="008C4948">
      <w:pPr>
        <w:spacing w:after="0" w:line="240" w:lineRule="auto"/>
        <w:ind w:right="-29"/>
        <w:rPr>
          <w:rFonts w:ascii="Times New Roman" w:eastAsia="Times New Roman" w:hAnsi="Times New Roman" w:cs="Times New Roman"/>
          <w:lang w:eastAsia="lt-LT"/>
        </w:rPr>
      </w:pPr>
    </w:p>
    <w:p w14:paraId="69C51EBA"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Gauta pranešimų, kad tadalafilio vartojančius vyrus retais atvejais ištiko širdies priepuolis ar insultas. Daugumai šių vyrų jau buvo širdies veiklos sutrikimų prieš pradedant vartoti šį vaistą. </w:t>
      </w:r>
    </w:p>
    <w:p w14:paraId="4A38C446"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p>
    <w:p w14:paraId="7ECE912F"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Pranešta apie retais atvejais atsiradusį dalinį, laikiną ar nuolatinį regėjimo viena ar abiem akimis susilpnėjimą ar praradimą. </w:t>
      </w:r>
    </w:p>
    <w:p w14:paraId="55A4BD85"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p>
    <w:p w14:paraId="2C07847D"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Tadalafilio vartojantiems vyrams buvo pastebėtas </w:t>
      </w:r>
      <w:r w:rsidRPr="00CD6C5C">
        <w:rPr>
          <w:rFonts w:ascii="Times New Roman" w:eastAsia="Times New Roman" w:hAnsi="Times New Roman" w:cs="Times New Roman"/>
          <w:b/>
          <w:lang w:eastAsia="lt-LT"/>
        </w:rPr>
        <w:t>kitoks papildomas retas šalutinis poveikis</w:t>
      </w:r>
      <w:r w:rsidRPr="00CD6C5C">
        <w:rPr>
          <w:rFonts w:ascii="Times New Roman" w:eastAsia="Times New Roman" w:hAnsi="Times New Roman" w:cs="Times New Roman"/>
          <w:lang w:eastAsia="lt-LT"/>
        </w:rPr>
        <w:t xml:space="preserve">, kuris klinikinių tyrimų metu nepasireiškė. Toks poveikis yra: </w:t>
      </w:r>
    </w:p>
    <w:p w14:paraId="37727BD6" w14:textId="4D3FFCFD" w:rsidR="008C4948"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migrena, veido patinimas, sunki alerginė reakcija, sukelianti veido arba gerklės patinimą, sunkus odos išbėrimas, kai kurie sutrikimai, darantys poveikį akių aprūpinimui krauju, nereguliarus širdies plakimas, angina ir staigi mirtis dėl širdies sutrikimo</w:t>
      </w:r>
      <w:r w:rsidR="00700C44">
        <w:rPr>
          <w:rFonts w:ascii="Times New Roman" w:eastAsia="Times New Roman" w:hAnsi="Times New Roman" w:cs="Times New Roman"/>
          <w:lang w:eastAsia="lt-LT"/>
        </w:rPr>
        <w:t>;</w:t>
      </w:r>
      <w:r w:rsidRPr="00CD6C5C">
        <w:rPr>
          <w:rFonts w:ascii="Times New Roman" w:eastAsia="Times New Roman" w:hAnsi="Times New Roman" w:cs="Times New Roman"/>
          <w:lang w:eastAsia="lt-LT"/>
        </w:rPr>
        <w:t xml:space="preserve"> </w:t>
      </w:r>
    </w:p>
    <w:p w14:paraId="3B037466" w14:textId="79F032BB" w:rsidR="00700C44" w:rsidRPr="00CD6C5C" w:rsidRDefault="00700C44"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700C44">
        <w:rPr>
          <w:rFonts w:ascii="Times New Roman" w:eastAsia="Times New Roman" w:hAnsi="Times New Roman" w:cs="Times New Roman"/>
          <w:lang w:eastAsia="lt-LT"/>
        </w:rPr>
        <w:t>iškreiptas, blankus, neryškus centrinis matymas arba staigus regos susilpnėjimas (dažnis nežinomas).</w:t>
      </w:r>
    </w:p>
    <w:p w14:paraId="42E21FE0" w14:textId="77777777" w:rsidR="00700C44" w:rsidRDefault="00700C44" w:rsidP="008C4948">
      <w:pPr>
        <w:spacing w:after="0" w:line="240" w:lineRule="auto"/>
        <w:rPr>
          <w:rFonts w:ascii="Times New Roman" w:eastAsia="Times New Roman" w:hAnsi="Times New Roman" w:cs="Times New Roman"/>
          <w:lang w:eastAsia="lt-LT"/>
        </w:rPr>
      </w:pPr>
    </w:p>
    <w:p w14:paraId="3E05A512" w14:textId="1A8A3363"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Tadalafilio vartojantiems vyresniems negu 75 metų vyrams šalutinis poveikis − svaigulys pasireiškė dažniau. Tadalafilio vartojantiems vyresniems negu 65 metų vyrams viduriavimas pasireiškė dažniau. </w:t>
      </w:r>
    </w:p>
    <w:p w14:paraId="42DDB7D7" w14:textId="77777777" w:rsidR="00771646" w:rsidRPr="00CD6C5C" w:rsidRDefault="00771646" w:rsidP="008C4948">
      <w:pPr>
        <w:numPr>
          <w:ilvl w:val="12"/>
          <w:numId w:val="0"/>
        </w:numPr>
        <w:tabs>
          <w:tab w:val="left" w:pos="567"/>
        </w:tabs>
        <w:spacing w:after="0" w:line="240" w:lineRule="auto"/>
        <w:outlineLvl w:val="0"/>
        <w:rPr>
          <w:rFonts w:ascii="Times New Roman" w:eastAsia="Times New Roman" w:hAnsi="Times New Roman" w:cs="Times New Roman"/>
          <w:b/>
          <w:lang w:eastAsia="lt-LT"/>
        </w:rPr>
      </w:pPr>
    </w:p>
    <w:p w14:paraId="799A85B1" w14:textId="4EC6FCD1" w:rsidR="008C4948" w:rsidRPr="00CD6C5C" w:rsidRDefault="008C4948" w:rsidP="008C4948">
      <w:pPr>
        <w:numPr>
          <w:ilvl w:val="12"/>
          <w:numId w:val="0"/>
        </w:numPr>
        <w:tabs>
          <w:tab w:val="left" w:pos="567"/>
        </w:tabs>
        <w:spacing w:after="0" w:line="240" w:lineRule="auto"/>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Pranešimas apie šalutinį poveikį</w:t>
      </w:r>
    </w:p>
    <w:p w14:paraId="3807D58E" w14:textId="70514D00"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snapToGrid w:val="0"/>
        </w:rPr>
        <w:t xml:space="preserve">Jeigu pasireiškė šalutinis poveikis, įskaitant šiame lapelyje nenurodytą, pasakykite gydytojui arba vaistininkui. </w:t>
      </w:r>
      <w:r w:rsidR="00C80646" w:rsidRPr="00CD6C5C">
        <w:rPr>
          <w:rFonts w:ascii="Times New Roman" w:eastAsia="Times New Roman" w:hAnsi="Times New Roman" w:cs="Times New Roman"/>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C80646" w:rsidRPr="00CD6C5C">
        <w:rPr>
          <w:rFonts w:ascii="Times New Roman" w:eastAsia="Times New Roman" w:hAnsi="Times New Roman" w:cs="Times New Roman"/>
          <w:color w:val="0000FF"/>
          <w:szCs w:val="20"/>
          <w:u w:val="single"/>
        </w:rPr>
        <w:t>https://vapris.vvkt.lt/vvkt-web/public/nrv</w:t>
      </w:r>
      <w:r w:rsidR="00C80646" w:rsidRPr="00CD6C5C">
        <w:rPr>
          <w:rFonts w:ascii="Times New Roman" w:eastAsia="Times New Roman" w:hAnsi="Times New Roman" w:cs="Times New Roman"/>
          <w:szCs w:val="20"/>
        </w:rPr>
        <w:t xml:space="preserve"> arba užpildant Paciento pranešimo apie įtariamą nepageidaujamą reakciją (ĮNR) formą, kuri skelbiama </w:t>
      </w:r>
      <w:r w:rsidR="00C80646" w:rsidRPr="00CD6C5C">
        <w:rPr>
          <w:rFonts w:ascii="Times New Roman" w:eastAsia="Times New Roman" w:hAnsi="Times New Roman" w:cs="Times New Roman"/>
          <w:color w:val="0000FF"/>
          <w:szCs w:val="20"/>
          <w:u w:val="single"/>
        </w:rPr>
        <w:t>https://www.vvkt.lt/index.php?4004286486</w:t>
      </w:r>
      <w:r w:rsidR="00C80646" w:rsidRPr="00CD6C5C">
        <w:rPr>
          <w:rFonts w:ascii="Times New Roman" w:eastAsia="Times New Roman" w:hAnsi="Times New Roman" w:cs="Times New Roman"/>
          <w:szCs w:val="20"/>
        </w:rPr>
        <w:t xml:space="preserve">, ir atsiunčiant elektroniniu paštu (adresu </w:t>
      </w:r>
      <w:r w:rsidR="00C80646" w:rsidRPr="00CD6C5C">
        <w:rPr>
          <w:rFonts w:ascii="Times New Roman" w:eastAsia="Times New Roman" w:hAnsi="Times New Roman" w:cs="Times New Roman"/>
          <w:color w:val="0000FF"/>
          <w:szCs w:val="20"/>
          <w:u w:val="single"/>
        </w:rPr>
        <w:t>NepageidaujamaR@vvkt.lt</w:t>
      </w:r>
      <w:r w:rsidR="00C80646" w:rsidRPr="00CD6C5C">
        <w:rPr>
          <w:rFonts w:ascii="Times New Roman" w:eastAsia="Times New Roman" w:hAnsi="Times New Roman" w:cs="Times New Roman"/>
          <w:szCs w:val="20"/>
        </w:rPr>
        <w:t xml:space="preserve">) arba nemokamu telefonu 8 800 73 568. </w:t>
      </w:r>
      <w:r w:rsidRPr="00CD6C5C">
        <w:rPr>
          <w:rFonts w:ascii="Times New Roman" w:eastAsia="Times New Roman" w:hAnsi="Times New Roman" w:cs="Times New Roman"/>
          <w:snapToGrid w:val="0"/>
        </w:rPr>
        <w:t>Pranešdami apie šalutinį poveikį galite mums padėti gauti daugiau informacijos apie šio vaisto saugumą.</w:t>
      </w:r>
    </w:p>
    <w:p w14:paraId="1F9884FA"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39321CE0"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528A7DBD" w14:textId="77777777" w:rsidR="008C4948" w:rsidRPr="00CD6C5C" w:rsidRDefault="008C4948" w:rsidP="00B16E93">
      <w:pPr>
        <w:keepNext/>
        <w:numPr>
          <w:ilvl w:val="12"/>
          <w:numId w:val="0"/>
        </w:numPr>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lastRenderedPageBreak/>
        <w:t>5.</w:t>
      </w:r>
      <w:r w:rsidRPr="00CD6C5C">
        <w:rPr>
          <w:rFonts w:ascii="Times New Roman" w:eastAsia="Times New Roman" w:hAnsi="Times New Roman" w:cs="Times New Roman"/>
          <w:b/>
          <w:lang w:eastAsia="lt-LT"/>
        </w:rPr>
        <w:tab/>
        <w:t>Kaip laikyti Tadalafil Accord</w:t>
      </w:r>
    </w:p>
    <w:p w14:paraId="260696A0" w14:textId="77777777" w:rsidR="008C4948" w:rsidRPr="00CD6C5C" w:rsidRDefault="008C4948" w:rsidP="00B16E93">
      <w:pPr>
        <w:keepNext/>
        <w:numPr>
          <w:ilvl w:val="12"/>
          <w:numId w:val="0"/>
        </w:numPr>
        <w:spacing w:after="0" w:line="240" w:lineRule="auto"/>
        <w:rPr>
          <w:rFonts w:ascii="Times New Roman" w:eastAsia="Times New Roman" w:hAnsi="Times New Roman" w:cs="Times New Roman"/>
          <w:lang w:eastAsia="lt-LT"/>
        </w:rPr>
      </w:pPr>
    </w:p>
    <w:p w14:paraId="65CD3F3B" w14:textId="77777777" w:rsidR="008C4948" w:rsidRPr="00CD6C5C" w:rsidRDefault="008C4948" w:rsidP="00B16E93">
      <w:pPr>
        <w:keepNext/>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Šį vaistą laikykite vaikams nepastebimoje ir nepasiekiamoje vietoje.</w:t>
      </w:r>
    </w:p>
    <w:p w14:paraId="0DFFA2BD"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p>
    <w:p w14:paraId="2312DA25" w14:textId="7A03EDA9"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Ant dėžutės arba lizdinės plokštelės po „EXP“ nurodytam tinkamumo laikui pasibaigus, šio vaisto vartoti negalima. Vaistas tinkamas vartoti iki paskutinės nurodyto mėnesio dienos.</w:t>
      </w:r>
    </w:p>
    <w:p w14:paraId="25477ABC"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p>
    <w:p w14:paraId="423C481A"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Šio vaistinio preparato laikymui specialių temperatūros sąlygų nereikalaujama.</w:t>
      </w:r>
    </w:p>
    <w:p w14:paraId="1DA6E411" w14:textId="77777777" w:rsidR="008C4948" w:rsidRPr="00CD6C5C" w:rsidRDefault="008C4948" w:rsidP="008C4948">
      <w:pPr>
        <w:tabs>
          <w:tab w:val="left" w:pos="567"/>
        </w:tabs>
        <w:spacing w:after="0" w:line="240" w:lineRule="auto"/>
        <w:rPr>
          <w:rFonts w:ascii="Times New Roman" w:eastAsia="Times New Roman" w:hAnsi="Times New Roman" w:cs="Times New Roman"/>
          <w:i/>
          <w:iCs/>
          <w:lang w:eastAsia="lt-LT"/>
        </w:rPr>
      </w:pPr>
    </w:p>
    <w:p w14:paraId="268812C1"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4D4440E4"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4E7A4F4E"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4541536E" w14:textId="77777777" w:rsidR="008C4948" w:rsidRPr="00CD6C5C" w:rsidRDefault="008C4948" w:rsidP="008C4948">
      <w:pPr>
        <w:numPr>
          <w:ilvl w:val="12"/>
          <w:numId w:val="0"/>
        </w:numPr>
        <w:spacing w:after="0" w:line="240" w:lineRule="auto"/>
        <w:ind w:left="567" w:right="-2" w:hanging="567"/>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6.</w:t>
      </w:r>
      <w:r w:rsidRPr="00CD6C5C">
        <w:rPr>
          <w:rFonts w:ascii="Times New Roman" w:eastAsia="Times New Roman" w:hAnsi="Times New Roman" w:cs="Times New Roman"/>
          <w:b/>
          <w:lang w:eastAsia="lt-LT"/>
        </w:rPr>
        <w:tab/>
        <w:t>Pakuotės turinys ir kita informacija</w:t>
      </w:r>
    </w:p>
    <w:p w14:paraId="762A729B"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557BA7BB" w14:textId="77777777" w:rsidR="008C4948" w:rsidRPr="00CD6C5C" w:rsidRDefault="008C4948" w:rsidP="008C4948">
      <w:pPr>
        <w:widowControl w:val="0"/>
        <w:tabs>
          <w:tab w:val="left" w:pos="567"/>
        </w:tabs>
        <w:spacing w:after="0" w:line="240" w:lineRule="auto"/>
        <w:jc w:val="both"/>
        <w:rPr>
          <w:rFonts w:ascii="Times New Roman" w:eastAsia="Times New Roman" w:hAnsi="Times New Roman" w:cs="Times New Roman"/>
          <w:b/>
          <w:bCs/>
          <w:lang w:eastAsia="lt-LT"/>
        </w:rPr>
      </w:pPr>
      <w:r w:rsidRPr="00CD6C5C">
        <w:rPr>
          <w:rFonts w:ascii="Times New Roman" w:eastAsia="Times New Roman" w:hAnsi="Times New Roman" w:cs="Times New Roman"/>
          <w:b/>
          <w:lang w:eastAsia="lt-LT"/>
        </w:rPr>
        <w:t>Tadalafil Accord sudėtis</w:t>
      </w:r>
    </w:p>
    <w:p w14:paraId="03DEA1DB" w14:textId="77777777" w:rsidR="008C4948" w:rsidRPr="00CD6C5C" w:rsidRDefault="008C4948" w:rsidP="008C4948">
      <w:pPr>
        <w:numPr>
          <w:ilvl w:val="0"/>
          <w:numId w:val="9"/>
        </w:numPr>
        <w:spacing w:after="0" w:line="240" w:lineRule="auto"/>
        <w:ind w:right="-2"/>
        <w:rPr>
          <w:rFonts w:ascii="Times New Roman" w:eastAsia="Times New Roman" w:hAnsi="Times New Roman" w:cs="Times New Roman"/>
          <w:i/>
          <w:iCs/>
          <w:lang w:eastAsia="lt-LT"/>
        </w:rPr>
      </w:pPr>
      <w:r w:rsidRPr="00CD6C5C">
        <w:rPr>
          <w:rFonts w:ascii="Times New Roman" w:eastAsia="Times New Roman" w:hAnsi="Times New Roman" w:cs="Times New Roman"/>
          <w:b/>
          <w:lang w:eastAsia="lt-LT"/>
        </w:rPr>
        <w:t>Veiklioji medžiaga</w:t>
      </w:r>
      <w:r w:rsidRPr="00CD6C5C">
        <w:rPr>
          <w:rFonts w:ascii="Times New Roman" w:eastAsia="Times New Roman" w:hAnsi="Times New Roman" w:cs="Times New Roman"/>
          <w:lang w:eastAsia="lt-LT"/>
        </w:rPr>
        <w:t xml:space="preserve"> yra tadalafilis. </w:t>
      </w:r>
    </w:p>
    <w:p w14:paraId="0EF3F7C6" w14:textId="77777777" w:rsidR="008C4948" w:rsidRPr="00CD6C5C" w:rsidRDefault="008C4948" w:rsidP="008C4948">
      <w:pPr>
        <w:spacing w:after="0" w:line="240" w:lineRule="auto"/>
        <w:ind w:left="567"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Kiekvienoje plėvele dengtoje tabletėje yra 5 mg tadalafilio.</w:t>
      </w:r>
    </w:p>
    <w:p w14:paraId="407516A9" w14:textId="77777777" w:rsidR="008C4948" w:rsidRPr="00CD6C5C" w:rsidRDefault="008C4948" w:rsidP="008C4948">
      <w:pPr>
        <w:keepNext/>
        <w:keepLines/>
        <w:numPr>
          <w:ilvl w:val="0"/>
          <w:numId w:val="1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Pagalbinės medžiagos</w:t>
      </w:r>
    </w:p>
    <w:p w14:paraId="66F31FEB" w14:textId="77777777" w:rsidR="008C4948" w:rsidRPr="00CD6C5C" w:rsidRDefault="008C4948" w:rsidP="008C4948">
      <w:pPr>
        <w:keepNext/>
        <w:keepLines/>
        <w:spacing w:after="0" w:line="240" w:lineRule="auto"/>
        <w:ind w:left="567"/>
        <w:rPr>
          <w:rFonts w:ascii="Times New Roman" w:eastAsia="Times New Roman" w:hAnsi="Times New Roman" w:cs="Times New Roman"/>
          <w:lang w:eastAsia="lt-LT"/>
        </w:rPr>
      </w:pPr>
      <w:r w:rsidRPr="00CD6C5C">
        <w:rPr>
          <w:rFonts w:ascii="Times New Roman" w:eastAsia="Times New Roman" w:hAnsi="Times New Roman" w:cs="Times New Roman"/>
          <w:u w:val="single"/>
          <w:lang w:eastAsia="lt-LT"/>
        </w:rPr>
        <w:t>Tabletės šerdis</w:t>
      </w:r>
      <w:r w:rsidRPr="00CD6C5C">
        <w:rPr>
          <w:rFonts w:ascii="Times New Roman" w:eastAsia="Times New Roman" w:hAnsi="Times New Roman" w:cs="Times New Roman"/>
          <w:lang w:eastAsia="lt-LT"/>
        </w:rPr>
        <w:t>: laktozė monohidratas, kroskarmeliozės natrio druska, hipromeliozė, mikrokristalinė celiuliozė, sorbitano stearatas ir magnio stearatas.</w:t>
      </w:r>
    </w:p>
    <w:p w14:paraId="181C6200" w14:textId="77777777" w:rsidR="008C4948" w:rsidRPr="00CD6C5C" w:rsidRDefault="008C4948" w:rsidP="008C4948">
      <w:pPr>
        <w:spacing w:after="0" w:line="240" w:lineRule="auto"/>
        <w:ind w:left="567" w:right="-2"/>
        <w:rPr>
          <w:rFonts w:ascii="Times New Roman" w:eastAsia="Times New Roman" w:hAnsi="Times New Roman" w:cs="Times New Roman"/>
          <w:lang w:eastAsia="lt-LT"/>
        </w:rPr>
      </w:pPr>
      <w:r w:rsidRPr="00CD6C5C">
        <w:rPr>
          <w:rFonts w:ascii="Times New Roman" w:eastAsia="Times New Roman" w:hAnsi="Times New Roman" w:cs="Times New Roman"/>
          <w:u w:val="single"/>
          <w:lang w:eastAsia="lt-LT"/>
        </w:rPr>
        <w:t>Tabletės plėvelė</w:t>
      </w:r>
      <w:r w:rsidRPr="00CD6C5C">
        <w:rPr>
          <w:rFonts w:ascii="Times New Roman" w:eastAsia="Times New Roman" w:hAnsi="Times New Roman" w:cs="Times New Roman"/>
          <w:lang w:eastAsia="lt-LT"/>
        </w:rPr>
        <w:t>: laktozė monohidratas, hipromeliozė, titano dioksidas (E171), triacetinas, talkas ir geltonasis geležies oksidas (E172).</w:t>
      </w:r>
    </w:p>
    <w:p w14:paraId="13E8557F" w14:textId="77777777" w:rsidR="008C4948" w:rsidRPr="00CD6C5C" w:rsidRDefault="008C4948" w:rsidP="008C4948">
      <w:pPr>
        <w:spacing w:after="0" w:line="240" w:lineRule="auto"/>
        <w:ind w:right="-2"/>
        <w:rPr>
          <w:rFonts w:ascii="Times New Roman" w:eastAsia="Times New Roman" w:hAnsi="Times New Roman" w:cs="Times New Roman"/>
          <w:lang w:eastAsia="lt-LT"/>
        </w:rPr>
      </w:pPr>
    </w:p>
    <w:p w14:paraId="5324A527"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b/>
          <w:bCs/>
          <w:lang w:eastAsia="lt-LT"/>
        </w:rPr>
      </w:pPr>
      <w:r w:rsidRPr="00CD6C5C">
        <w:rPr>
          <w:rFonts w:ascii="Times New Roman" w:eastAsia="Times New Roman" w:hAnsi="Times New Roman" w:cs="Times New Roman"/>
          <w:b/>
          <w:lang w:eastAsia="lt-LT"/>
        </w:rPr>
        <w:t>Tadalafil Accord išvaizda ir kiekis pakuotėje</w:t>
      </w:r>
    </w:p>
    <w:p w14:paraId="3FE0B5F7"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Šviesiai geltona, kapsulės formos, maždaug 8,6 mm ilgio ir 4,8 mm pločio, abipus išgaubta plėvele dengta tabletė nuožulniais kraštais, vienoje pusėje įspausta „T 5“, kita pusė lygi.</w:t>
      </w:r>
    </w:p>
    <w:p w14:paraId="2AB194AE"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p>
    <w:p w14:paraId="79A1A9C7"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 Accord tiekiamas PVC/PE/PVdC permatomose aliuminio lizdinėse plokštelėse. </w:t>
      </w:r>
    </w:p>
    <w:p w14:paraId="49FB3DF0"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p>
    <w:p w14:paraId="468409C3"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r w:rsidRPr="00CD6C5C">
        <w:rPr>
          <w:rFonts w:ascii="Times New Roman" w:hAnsi="Times New Roman" w:cs="Times New Roman"/>
        </w:rPr>
        <w:t>Pakuotės dydžiai</w:t>
      </w:r>
      <w:r w:rsidRPr="00CD6C5C">
        <w:rPr>
          <w:rFonts w:ascii="Times New Roman" w:eastAsia="Times New Roman" w:hAnsi="Times New Roman" w:cs="Times New Roman"/>
          <w:lang w:eastAsia="lt-LT"/>
        </w:rPr>
        <w:t>: 14, 28, 30, 84 arba 90 tablečių.</w:t>
      </w:r>
    </w:p>
    <w:p w14:paraId="5277550E"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p>
    <w:p w14:paraId="4706E469"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Gali būti tiekiamos ne visų dydžių pakuotės.</w:t>
      </w:r>
    </w:p>
    <w:p w14:paraId="6E756051"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27FCEAE7"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b/>
          <w:bCs/>
          <w:lang w:eastAsia="lt-LT"/>
        </w:rPr>
      </w:pPr>
      <w:r w:rsidRPr="00CD6C5C">
        <w:rPr>
          <w:rFonts w:ascii="Times New Roman" w:eastAsia="Times New Roman" w:hAnsi="Times New Roman" w:cs="Times New Roman"/>
          <w:b/>
          <w:lang w:eastAsia="lt-LT"/>
        </w:rPr>
        <w:t>Registruotojas ir gamintojas</w:t>
      </w:r>
    </w:p>
    <w:p w14:paraId="2CCC73EA"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3A87A33D"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bCs/>
          <w:i/>
          <w:lang w:eastAsia="lt-LT"/>
        </w:rPr>
      </w:pPr>
      <w:r w:rsidRPr="00CD6C5C">
        <w:rPr>
          <w:rFonts w:ascii="Times New Roman" w:eastAsia="Times New Roman" w:hAnsi="Times New Roman" w:cs="Times New Roman"/>
          <w:i/>
          <w:lang w:eastAsia="lt-LT"/>
        </w:rPr>
        <w:t>Registruotojas</w:t>
      </w:r>
    </w:p>
    <w:p w14:paraId="008E1CBA" w14:textId="2B371ADB" w:rsidR="008C4948" w:rsidRPr="00CD6C5C" w:rsidRDefault="008C4948" w:rsidP="00E638B1">
      <w:pPr>
        <w:spacing w:after="0" w:line="240" w:lineRule="auto"/>
        <w:rPr>
          <w:rFonts w:ascii="Times New Roman" w:eastAsia="Times New Roman" w:hAnsi="Times New Roman" w:cs="Times New Roman"/>
        </w:rPr>
      </w:pPr>
      <w:r w:rsidRPr="00CD6C5C">
        <w:rPr>
          <w:rFonts w:ascii="Times New Roman" w:eastAsia="Times New Roman" w:hAnsi="Times New Roman" w:cs="Times New Roman"/>
        </w:rPr>
        <w:t xml:space="preserve">Accord Healthcare </w:t>
      </w:r>
      <w:r w:rsidR="00C63DF6" w:rsidRPr="00CD6C5C">
        <w:rPr>
          <w:rFonts w:ascii="Times New Roman" w:hAnsi="Times New Roman" w:cs="Times New Roman"/>
        </w:rPr>
        <w:t xml:space="preserve">B.V. </w:t>
      </w:r>
    </w:p>
    <w:p w14:paraId="42C8A41A" w14:textId="77777777" w:rsidR="00C63DF6" w:rsidRPr="00CD6C5C" w:rsidRDefault="00C63DF6" w:rsidP="00C63DF6">
      <w:pPr>
        <w:spacing w:after="0" w:line="240" w:lineRule="auto"/>
        <w:rPr>
          <w:rFonts w:ascii="Times New Roman" w:hAnsi="Times New Roman" w:cs="Times New Roman"/>
        </w:rPr>
      </w:pPr>
      <w:r w:rsidRPr="00CD6C5C">
        <w:rPr>
          <w:rFonts w:ascii="Times New Roman" w:hAnsi="Times New Roman" w:cs="Times New Roman"/>
        </w:rPr>
        <w:t xml:space="preserve">Winthontlaan 200 </w:t>
      </w:r>
    </w:p>
    <w:p w14:paraId="264C4221" w14:textId="77777777" w:rsidR="00C63DF6" w:rsidRPr="00CD6C5C" w:rsidRDefault="00C63DF6" w:rsidP="00C63DF6">
      <w:pPr>
        <w:spacing w:after="0" w:line="240" w:lineRule="auto"/>
        <w:rPr>
          <w:rFonts w:ascii="Times New Roman" w:hAnsi="Times New Roman" w:cs="Times New Roman"/>
        </w:rPr>
      </w:pPr>
      <w:r w:rsidRPr="00CD6C5C">
        <w:rPr>
          <w:rFonts w:ascii="Times New Roman" w:hAnsi="Times New Roman" w:cs="Times New Roman"/>
        </w:rPr>
        <w:t xml:space="preserve">3526 KV Utrecht </w:t>
      </w:r>
    </w:p>
    <w:p w14:paraId="5691A6CE" w14:textId="77777777" w:rsidR="00C63DF6" w:rsidRPr="00CD6C5C" w:rsidRDefault="00C63DF6" w:rsidP="00C63DF6">
      <w:pPr>
        <w:spacing w:after="0" w:line="240" w:lineRule="auto"/>
        <w:rPr>
          <w:rFonts w:ascii="Times New Roman" w:hAnsi="Times New Roman" w:cs="Times New Roman"/>
        </w:rPr>
      </w:pPr>
      <w:r w:rsidRPr="00CD6C5C">
        <w:rPr>
          <w:rFonts w:ascii="Times New Roman" w:hAnsi="Times New Roman" w:cs="Times New Roman"/>
        </w:rPr>
        <w:t>Nyderlandai</w:t>
      </w:r>
    </w:p>
    <w:p w14:paraId="001EF23B"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b/>
          <w:bCs/>
          <w:lang w:eastAsia="lt-LT"/>
        </w:rPr>
      </w:pPr>
    </w:p>
    <w:p w14:paraId="3E3F62C7" w14:textId="03C1658F" w:rsidR="008C4948" w:rsidRPr="00CD6C5C" w:rsidRDefault="008C4948" w:rsidP="008C4948">
      <w:pPr>
        <w:numPr>
          <w:ilvl w:val="12"/>
          <w:numId w:val="0"/>
        </w:numPr>
        <w:spacing w:after="0" w:line="240" w:lineRule="auto"/>
        <w:ind w:right="-2"/>
        <w:rPr>
          <w:rFonts w:ascii="Times New Roman" w:eastAsia="Times New Roman" w:hAnsi="Times New Roman" w:cs="Times New Roman"/>
          <w:bCs/>
          <w:i/>
          <w:lang w:eastAsia="lt-LT"/>
        </w:rPr>
      </w:pPr>
      <w:r w:rsidRPr="00CD6C5C">
        <w:rPr>
          <w:rFonts w:ascii="Times New Roman" w:eastAsia="Times New Roman" w:hAnsi="Times New Roman" w:cs="Times New Roman"/>
          <w:i/>
          <w:lang w:eastAsia="lt-LT"/>
        </w:rPr>
        <w:t>Gamintoja</w:t>
      </w:r>
      <w:r w:rsidR="00C80646" w:rsidRPr="00CD6C5C">
        <w:rPr>
          <w:rFonts w:ascii="Times New Roman" w:eastAsia="Times New Roman" w:hAnsi="Times New Roman" w:cs="Times New Roman"/>
          <w:i/>
          <w:lang w:eastAsia="lt-LT"/>
        </w:rPr>
        <w:t>s</w:t>
      </w:r>
    </w:p>
    <w:p w14:paraId="4E49D87D" w14:textId="77777777" w:rsidR="00531D34" w:rsidRPr="00CD6C5C" w:rsidRDefault="00531D34" w:rsidP="00531D34">
      <w:pPr>
        <w:spacing w:after="0" w:line="240" w:lineRule="auto"/>
        <w:rPr>
          <w:rFonts w:ascii="Times New Roman" w:eastAsia="Times New Roman" w:hAnsi="Times New Roman" w:cs="Times New Roman"/>
        </w:rPr>
      </w:pPr>
      <w:r w:rsidRPr="00CD6C5C">
        <w:rPr>
          <w:rFonts w:ascii="Times New Roman" w:eastAsia="Times New Roman" w:hAnsi="Times New Roman" w:cs="Times New Roman"/>
        </w:rPr>
        <w:t xml:space="preserve">Accord Healthcare B.V. </w:t>
      </w:r>
    </w:p>
    <w:p w14:paraId="0203187E" w14:textId="77777777" w:rsidR="00531D34" w:rsidRPr="00CD6C5C" w:rsidRDefault="00531D34" w:rsidP="00531D34">
      <w:pPr>
        <w:spacing w:after="0" w:line="240" w:lineRule="auto"/>
        <w:rPr>
          <w:rFonts w:ascii="Times New Roman" w:eastAsia="Times New Roman" w:hAnsi="Times New Roman" w:cs="Times New Roman"/>
        </w:rPr>
      </w:pPr>
      <w:r w:rsidRPr="00CD6C5C">
        <w:rPr>
          <w:rFonts w:ascii="Times New Roman" w:eastAsia="Times New Roman" w:hAnsi="Times New Roman" w:cs="Times New Roman"/>
        </w:rPr>
        <w:t>Winthontlaan 200</w:t>
      </w:r>
    </w:p>
    <w:p w14:paraId="4BCF4E86" w14:textId="77777777" w:rsidR="00531D34" w:rsidRPr="00CD6C5C" w:rsidRDefault="00531D34" w:rsidP="00531D34">
      <w:pPr>
        <w:spacing w:after="0" w:line="240" w:lineRule="auto"/>
        <w:rPr>
          <w:rFonts w:ascii="Times New Roman" w:eastAsia="Times New Roman" w:hAnsi="Times New Roman" w:cs="Times New Roman"/>
        </w:rPr>
      </w:pPr>
      <w:r w:rsidRPr="00CD6C5C">
        <w:rPr>
          <w:rFonts w:ascii="Times New Roman" w:eastAsia="Times New Roman" w:hAnsi="Times New Roman" w:cs="Times New Roman"/>
        </w:rPr>
        <w:t>3526 KV Utrecht</w:t>
      </w:r>
    </w:p>
    <w:p w14:paraId="4257C58A" w14:textId="4EC799DD" w:rsidR="008C4948" w:rsidRPr="00CD6C5C" w:rsidRDefault="00531D34" w:rsidP="008C4948">
      <w:pPr>
        <w:spacing w:after="0" w:line="240" w:lineRule="auto"/>
        <w:rPr>
          <w:rFonts w:ascii="Times New Roman" w:hAnsi="Times New Roman" w:cs="Times New Roman"/>
          <w:b/>
        </w:rPr>
      </w:pPr>
      <w:r w:rsidRPr="00CD6C5C">
        <w:rPr>
          <w:rFonts w:ascii="Times New Roman" w:eastAsia="Times New Roman" w:hAnsi="Times New Roman" w:cs="Times New Roman"/>
        </w:rPr>
        <w:t>Nyderlandai</w:t>
      </w:r>
    </w:p>
    <w:p w14:paraId="69B5AFA1" w14:textId="77777777" w:rsidR="00771646" w:rsidRPr="00CD6C5C" w:rsidRDefault="00771646" w:rsidP="008C4948">
      <w:pPr>
        <w:spacing w:after="0" w:line="240" w:lineRule="auto"/>
        <w:rPr>
          <w:rFonts w:ascii="Times New Roman" w:hAnsi="Times New Roman" w:cs="Times New Roman"/>
        </w:rPr>
      </w:pPr>
    </w:p>
    <w:p w14:paraId="3C4228A2" w14:textId="44CF8F35" w:rsidR="008C4948" w:rsidRPr="00CD6C5C" w:rsidRDefault="008C4948" w:rsidP="008C4948">
      <w:pPr>
        <w:spacing w:after="0" w:line="240" w:lineRule="auto"/>
        <w:rPr>
          <w:rFonts w:ascii="Times New Roman" w:hAnsi="Times New Roman" w:cs="Times New Roman"/>
        </w:rPr>
      </w:pPr>
      <w:r w:rsidRPr="00CD6C5C">
        <w:rPr>
          <w:rFonts w:ascii="Times New Roman" w:hAnsi="Times New Roman" w:cs="Times New Roman"/>
        </w:rPr>
        <w:t>Pharmadox Healthcare Ltd.</w:t>
      </w:r>
    </w:p>
    <w:p w14:paraId="511D9F19" w14:textId="77777777" w:rsidR="008C4948" w:rsidRPr="00CD6C5C" w:rsidRDefault="008C4948" w:rsidP="008C4948">
      <w:pPr>
        <w:spacing w:after="0" w:line="240" w:lineRule="auto"/>
        <w:rPr>
          <w:rFonts w:ascii="Times New Roman" w:hAnsi="Times New Roman" w:cs="Times New Roman"/>
        </w:rPr>
      </w:pPr>
      <w:r w:rsidRPr="00CD6C5C">
        <w:rPr>
          <w:rFonts w:ascii="Times New Roman" w:hAnsi="Times New Roman" w:cs="Times New Roman"/>
        </w:rPr>
        <w:t>KW20A Kordin Industrial Park,</w:t>
      </w:r>
    </w:p>
    <w:p w14:paraId="786D7086" w14:textId="77777777" w:rsidR="008C4948" w:rsidRPr="00CD6C5C" w:rsidRDefault="008C4948" w:rsidP="008C4948">
      <w:pPr>
        <w:spacing w:after="0" w:line="240" w:lineRule="auto"/>
        <w:rPr>
          <w:rFonts w:ascii="Times New Roman" w:hAnsi="Times New Roman" w:cs="Times New Roman"/>
        </w:rPr>
      </w:pPr>
      <w:r w:rsidRPr="00CD6C5C">
        <w:rPr>
          <w:rFonts w:ascii="Times New Roman" w:hAnsi="Times New Roman" w:cs="Times New Roman"/>
        </w:rPr>
        <w:t>Paola, PLA 3000</w:t>
      </w:r>
    </w:p>
    <w:p w14:paraId="1982BAD8" w14:textId="77777777" w:rsidR="008C4948" w:rsidRPr="00CD6C5C" w:rsidRDefault="008C4948" w:rsidP="008C4948">
      <w:pPr>
        <w:spacing w:after="0" w:line="240" w:lineRule="auto"/>
        <w:rPr>
          <w:rFonts w:ascii="Times New Roman" w:hAnsi="Times New Roman" w:cs="Times New Roman"/>
        </w:rPr>
      </w:pPr>
      <w:r w:rsidRPr="00CD6C5C">
        <w:rPr>
          <w:rFonts w:ascii="Times New Roman" w:hAnsi="Times New Roman" w:cs="Times New Roman"/>
        </w:rPr>
        <w:t>Malta</w:t>
      </w:r>
    </w:p>
    <w:p w14:paraId="4746B52E" w14:textId="77777777" w:rsidR="008C4948" w:rsidRPr="00CD6C5C" w:rsidRDefault="008C4948" w:rsidP="008C4948">
      <w:pPr>
        <w:spacing w:after="0" w:line="240" w:lineRule="auto"/>
        <w:rPr>
          <w:rFonts w:ascii="Times New Roman" w:eastAsia="Times New Roman" w:hAnsi="Times New Roman" w:cs="Times New Roman"/>
          <w:b/>
          <w:lang w:eastAsia="lt-LT"/>
        </w:rPr>
      </w:pPr>
    </w:p>
    <w:p w14:paraId="7EA16ED6" w14:textId="77777777" w:rsidR="00B9535F" w:rsidRPr="00CD6C5C" w:rsidRDefault="00B9535F" w:rsidP="00B9535F">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lastRenderedPageBreak/>
        <w:t>Accord Healthcare Polska Sp.z o.o.,</w:t>
      </w:r>
    </w:p>
    <w:p w14:paraId="122612BD" w14:textId="23C398B9" w:rsidR="00B9535F" w:rsidRPr="00CD6C5C" w:rsidRDefault="00B9535F" w:rsidP="00B9535F">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ul. Lutomierska 50,</w:t>
      </w:r>
      <w:r w:rsidR="00C24C15" w:rsidRPr="00CD6C5C">
        <w:rPr>
          <w:rFonts w:ascii="Times New Roman" w:eastAsia="Times New Roman" w:hAnsi="Times New Roman" w:cs="Times New Roman"/>
          <w:lang w:eastAsia="lt-LT"/>
        </w:rPr>
        <w:t xml:space="preserve"> </w:t>
      </w:r>
      <w:r w:rsidRPr="00CD6C5C">
        <w:rPr>
          <w:rFonts w:ascii="Times New Roman" w:eastAsia="Times New Roman" w:hAnsi="Times New Roman" w:cs="Times New Roman"/>
          <w:lang w:eastAsia="lt-LT"/>
        </w:rPr>
        <w:t>95-200 Pabianice, Lenkija</w:t>
      </w:r>
    </w:p>
    <w:p w14:paraId="59A98E09" w14:textId="77777777" w:rsidR="00B9535F" w:rsidRDefault="00B9535F" w:rsidP="008C4948">
      <w:pPr>
        <w:spacing w:after="0" w:line="240" w:lineRule="auto"/>
        <w:rPr>
          <w:rFonts w:ascii="Times New Roman" w:hAnsi="Times New Roman" w:cs="Times New Roman"/>
          <w:b/>
        </w:rPr>
      </w:pPr>
    </w:p>
    <w:p w14:paraId="3F36510B" w14:textId="77777777" w:rsidR="008A557B" w:rsidRPr="008A557B" w:rsidRDefault="008A557B" w:rsidP="008A557B">
      <w:pPr>
        <w:spacing w:after="0" w:line="240" w:lineRule="auto"/>
        <w:rPr>
          <w:rFonts w:ascii="Times New Roman" w:hAnsi="Times New Roman" w:cs="Times New Roman"/>
          <w:bCs/>
        </w:rPr>
      </w:pPr>
      <w:r w:rsidRPr="008A557B">
        <w:rPr>
          <w:rFonts w:ascii="Times New Roman" w:hAnsi="Times New Roman" w:cs="Times New Roman"/>
          <w:bCs/>
        </w:rPr>
        <w:t>Accord Healthcare Single Member S.A.</w:t>
      </w:r>
    </w:p>
    <w:p w14:paraId="21CFDB74" w14:textId="77777777" w:rsidR="008A557B" w:rsidRPr="008A557B" w:rsidRDefault="008A557B" w:rsidP="008A557B">
      <w:pPr>
        <w:spacing w:after="0" w:line="240" w:lineRule="auto"/>
        <w:rPr>
          <w:rFonts w:ascii="Times New Roman" w:hAnsi="Times New Roman" w:cs="Times New Roman"/>
          <w:bCs/>
        </w:rPr>
      </w:pPr>
      <w:r w:rsidRPr="008A557B">
        <w:rPr>
          <w:rFonts w:ascii="Times New Roman" w:hAnsi="Times New Roman" w:cs="Times New Roman"/>
          <w:bCs/>
        </w:rPr>
        <w:t xml:space="preserve">64th Km National Road Athens, </w:t>
      </w:r>
    </w:p>
    <w:p w14:paraId="286C87B4" w14:textId="3E22BD6B" w:rsidR="004D2908" w:rsidRPr="004D2908" w:rsidRDefault="008A557B" w:rsidP="008A557B">
      <w:pPr>
        <w:spacing w:after="0" w:line="240" w:lineRule="auto"/>
        <w:rPr>
          <w:rFonts w:ascii="Times New Roman" w:hAnsi="Times New Roman" w:cs="Times New Roman"/>
          <w:bCs/>
        </w:rPr>
      </w:pPr>
      <w:r w:rsidRPr="008A557B">
        <w:rPr>
          <w:rFonts w:ascii="Times New Roman" w:hAnsi="Times New Roman" w:cs="Times New Roman"/>
          <w:bCs/>
        </w:rPr>
        <w:t>Lamia, 32009, Graikija</w:t>
      </w:r>
    </w:p>
    <w:p w14:paraId="58BAE402" w14:textId="77777777" w:rsidR="008C4948" w:rsidRPr="00CD6C5C" w:rsidRDefault="008C4948" w:rsidP="008C4948">
      <w:pPr>
        <w:spacing w:after="0" w:line="240" w:lineRule="auto"/>
        <w:rPr>
          <w:rFonts w:ascii="Times New Roman" w:eastAsia="Times New Roman" w:hAnsi="Times New Roman" w:cs="Times New Roman"/>
          <w:b/>
          <w:lang w:eastAsia="lt-LT"/>
        </w:rPr>
      </w:pPr>
    </w:p>
    <w:p w14:paraId="14C9FA6B" w14:textId="2D61C77D" w:rsidR="008C4948" w:rsidRPr="00CD6C5C" w:rsidRDefault="008C4948" w:rsidP="00B65F27">
      <w:pPr>
        <w:keepNext/>
        <w:spacing w:after="0" w:line="240" w:lineRule="auto"/>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Šis vaistas </w:t>
      </w:r>
      <w:r w:rsidR="0099070E" w:rsidRPr="0099070E">
        <w:rPr>
          <w:rFonts w:ascii="Times New Roman" w:eastAsia="Times New Roman" w:hAnsi="Times New Roman" w:cs="Times New Roman"/>
          <w:b/>
          <w:lang w:eastAsia="lt-LT"/>
        </w:rPr>
        <w:t>Europos ekonominės erdvės</w:t>
      </w:r>
      <w:r w:rsidRPr="00CD6C5C">
        <w:rPr>
          <w:rFonts w:ascii="Times New Roman" w:eastAsia="Times New Roman" w:hAnsi="Times New Roman" w:cs="Times New Roman"/>
          <w:b/>
          <w:lang w:eastAsia="lt-LT"/>
        </w:rPr>
        <w:t xml:space="preserve"> valstybėse narėse </w:t>
      </w:r>
      <w:r w:rsidR="0099070E" w:rsidRPr="0099070E">
        <w:rPr>
          <w:rFonts w:ascii="Times New Roman" w:eastAsia="Times New Roman" w:hAnsi="Times New Roman" w:cs="Times New Roman"/>
          <w:b/>
          <w:lang w:eastAsia="lt-LT"/>
        </w:rPr>
        <w:t>ir Jungtinėje Karalystėje (Šiaurės Airijoje)</w:t>
      </w:r>
      <w:r w:rsidR="0099070E">
        <w:rPr>
          <w:rFonts w:ascii="Times New Roman" w:eastAsia="Times New Roman" w:hAnsi="Times New Roman" w:cs="Times New Roman"/>
          <w:b/>
          <w:lang w:eastAsia="lt-LT"/>
        </w:rPr>
        <w:t xml:space="preserve"> </w:t>
      </w:r>
      <w:r w:rsidRPr="00CD6C5C">
        <w:rPr>
          <w:rFonts w:ascii="Times New Roman" w:eastAsia="Times New Roman" w:hAnsi="Times New Roman" w:cs="Times New Roman"/>
          <w:b/>
          <w:lang w:eastAsia="lt-LT"/>
        </w:rPr>
        <w:t>registruotas tokiais pavadinimais:</w:t>
      </w:r>
    </w:p>
    <w:p w14:paraId="23989E9C" w14:textId="77777777" w:rsidR="008C4948" w:rsidRPr="00CD6C5C" w:rsidRDefault="008C4948" w:rsidP="00B65F27">
      <w:pPr>
        <w:keepNext/>
        <w:spacing w:after="0" w:line="240" w:lineRule="auto"/>
        <w:rPr>
          <w:rFonts w:ascii="Times New Roman" w:eastAsia="Times New Roman" w:hAnsi="Times New Roman" w:cs="Times New Roman"/>
          <w:lang w:eastAsia="lt-LT"/>
        </w:rPr>
      </w:pPr>
    </w:p>
    <w:p w14:paraId="310981F1" w14:textId="77777777" w:rsidR="008C4948" w:rsidRPr="00CD6C5C" w:rsidRDefault="008C4948" w:rsidP="00B65F27">
      <w:pPr>
        <w:keepNext/>
        <w:spacing w:after="0" w:line="240" w:lineRule="auto"/>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Valstybės narės pavadinimas </w:t>
      </w:r>
      <w:r w:rsidRPr="00CD6C5C">
        <w:rPr>
          <w:rFonts w:ascii="Times New Roman" w:eastAsia="Times New Roman" w:hAnsi="Times New Roman" w:cs="Times New Roman"/>
          <w:b/>
          <w:lang w:eastAsia="lt-LT"/>
        </w:rPr>
        <w:tab/>
        <w:t>Vaisto pavadinimas</w:t>
      </w:r>
    </w:p>
    <w:p w14:paraId="3C225DBA" w14:textId="77777777" w:rsidR="0099070E" w:rsidRDefault="008C4948" w:rsidP="00B65F27">
      <w:pPr>
        <w:keepNext/>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Jungtinė Karalystė</w:t>
      </w:r>
      <w:r w:rsidR="0099070E">
        <w:rPr>
          <w:rFonts w:ascii="Times New Roman" w:eastAsia="Times New Roman" w:hAnsi="Times New Roman" w:cs="Times New Roman"/>
          <w:lang w:eastAsia="lt-LT"/>
        </w:rPr>
        <w:t xml:space="preserve"> </w:t>
      </w:r>
    </w:p>
    <w:p w14:paraId="54CAC807" w14:textId="0F1C4B42" w:rsidR="008C4948" w:rsidRPr="00CD6C5C" w:rsidRDefault="0099070E" w:rsidP="00B65F27">
      <w:pPr>
        <w:keepNext/>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(Šiaurės Airija)</w:t>
      </w:r>
      <w:r w:rsidR="008C4948" w:rsidRPr="00CD6C5C">
        <w:rPr>
          <w:rFonts w:ascii="Times New Roman" w:eastAsia="Times New Roman" w:hAnsi="Times New Roman" w:cs="Times New Roman"/>
          <w:lang w:eastAsia="lt-LT"/>
        </w:rPr>
        <w:tab/>
      </w:r>
      <w:r w:rsidR="008C4948" w:rsidRPr="00CD6C5C">
        <w:rPr>
          <w:rFonts w:ascii="Times New Roman" w:eastAsia="Times New Roman" w:hAnsi="Times New Roman" w:cs="Times New Roman"/>
          <w:lang w:eastAsia="lt-LT"/>
        </w:rPr>
        <w:tab/>
      </w:r>
      <w:r>
        <w:rPr>
          <w:rFonts w:ascii="Times New Roman" w:eastAsia="Times New Roman" w:hAnsi="Times New Roman" w:cs="Times New Roman"/>
          <w:lang w:eastAsia="lt-LT"/>
        </w:rPr>
        <w:tab/>
      </w:r>
      <w:r w:rsidR="008C4948" w:rsidRPr="00CD6C5C">
        <w:rPr>
          <w:rFonts w:ascii="Times New Roman" w:eastAsia="Times New Roman" w:hAnsi="Times New Roman" w:cs="Times New Roman"/>
          <w:lang w:eastAsia="lt-LT"/>
        </w:rPr>
        <w:t>Tadalafil 2.5/5/10/20 mg Film-coated Tablets</w:t>
      </w:r>
    </w:p>
    <w:p w14:paraId="02688758"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Austrija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5/10/20 mg Filmtabletten</w:t>
      </w:r>
    </w:p>
    <w:p w14:paraId="7F1CE36D"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Bulgarija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Акорд 2.5/5/10/20 мг филмирани таблетки</w:t>
      </w:r>
    </w:p>
    <w:p w14:paraId="124DD01A"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Kipras</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5/20 mg Film-coated Tablets</w:t>
      </w:r>
    </w:p>
    <w:p w14:paraId="4E353775"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Čekija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5/20 mg potahované tablety</w:t>
      </w:r>
    </w:p>
    <w:p w14:paraId="6A9D5E51"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Vokietija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5/20 mg Filmtabletten</w:t>
      </w:r>
    </w:p>
    <w:p w14:paraId="323828F6"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Danija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w:t>
      </w:r>
    </w:p>
    <w:p w14:paraId="2F882F8C"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Estija </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w:t>
      </w:r>
    </w:p>
    <w:p w14:paraId="1694E0F5" w14:textId="77777777" w:rsidR="008C4948" w:rsidRPr="00CD6C5C" w:rsidRDefault="008C4948" w:rsidP="008C4948">
      <w:pPr>
        <w:tabs>
          <w:tab w:val="left" w:pos="0"/>
          <w:tab w:val="left" w:pos="2790"/>
          <w:tab w:val="left" w:pos="2880"/>
          <w:tab w:val="left" w:pos="3060"/>
        </w:tabs>
        <w:spacing w:after="0" w:line="240" w:lineRule="auto"/>
        <w:ind w:left="2880" w:hanging="288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Suomija </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2.5/5/10/20 mg tabletti kalvopäällysteinen/filmdragerad tablet</w:t>
      </w:r>
    </w:p>
    <w:p w14:paraId="6886DB56"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Italija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w:t>
      </w:r>
    </w:p>
    <w:p w14:paraId="18996543"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Airija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5/10/20 mg Film-coated Tablets</w:t>
      </w:r>
    </w:p>
    <w:p w14:paraId="4FCE67D9"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Lietuva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5/10/20 mg plėvele dengtos tabletės</w:t>
      </w:r>
    </w:p>
    <w:p w14:paraId="3C72C5A0"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Latvija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20 mg apvalkotās tabletes</w:t>
      </w:r>
    </w:p>
    <w:p w14:paraId="1A146424"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Nyderlandai</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5/10/20 mg, filmomhulde tabletten</w:t>
      </w:r>
    </w:p>
    <w:p w14:paraId="1B528AD4"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Norvegija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w:t>
      </w:r>
    </w:p>
    <w:p w14:paraId="48A4A103"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Lenkija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w:t>
      </w:r>
    </w:p>
    <w:p w14:paraId="6EC1BA31"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Švedija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2.5/5/10/20 mg filmdragerad tablet</w:t>
      </w:r>
    </w:p>
    <w:p w14:paraId="1910DC4B"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Slovakija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2,5 mg/ 5 mg/ 10 mg/ 20 mg filmom</w:t>
      </w:r>
    </w:p>
    <w:p w14:paraId="36DFF1B4" w14:textId="77777777" w:rsidR="008C4948" w:rsidRPr="00CD6C5C" w:rsidRDefault="008C4948" w:rsidP="008C4948">
      <w:pPr>
        <w:spacing w:after="0" w:line="240" w:lineRule="auto"/>
        <w:ind w:left="2970" w:firstLine="18"/>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obalené tablety</w:t>
      </w:r>
    </w:p>
    <w:p w14:paraId="484852AB"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Prancūzija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2,5 mg, comprimé pelliculé</w:t>
      </w:r>
    </w:p>
    <w:p w14:paraId="19984084" w14:textId="77777777" w:rsidR="008C4948" w:rsidRPr="00CD6C5C" w:rsidRDefault="008C4948" w:rsidP="008C4948">
      <w:pPr>
        <w:spacing w:after="0" w:line="240" w:lineRule="auto"/>
        <w:ind w:left="2880" w:firstLine="18"/>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TADALAFIL ACCORD 5 mg, comprimé pelliculé</w:t>
      </w:r>
    </w:p>
    <w:p w14:paraId="00EFCBFE" w14:textId="77777777" w:rsidR="008C4948" w:rsidRPr="00CD6C5C" w:rsidRDefault="008C4948" w:rsidP="008C4948">
      <w:pPr>
        <w:spacing w:after="0" w:line="240" w:lineRule="auto"/>
        <w:ind w:left="2880" w:firstLine="18"/>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TADALAFIL ACCORD 10 mg, comprimé pelliculé</w:t>
      </w:r>
    </w:p>
    <w:p w14:paraId="0A71800E" w14:textId="77777777" w:rsidR="008C4948" w:rsidRPr="00CD6C5C" w:rsidRDefault="008C4948" w:rsidP="008C4948">
      <w:pPr>
        <w:spacing w:after="0" w:line="240" w:lineRule="auto"/>
        <w:ind w:left="2880" w:firstLine="18"/>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TADALAFIL ACCORD 20 mg, comprimé pelliculé</w:t>
      </w:r>
    </w:p>
    <w:p w14:paraId="3F4A5614"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Rumunija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hAnsi="Times New Roman" w:cs="Times New Roman"/>
        </w:rPr>
        <w:t>Tadalafil Accord 2.5/5/10/20 mg comprimate filmate</w:t>
      </w:r>
    </w:p>
    <w:p w14:paraId="21D51D10"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Slovėnija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hAnsi="Times New Roman" w:cs="Times New Roman"/>
        </w:rPr>
        <w:t>Tadalafil Accord 2.5/5/10/20 mg filmsko obložene tablete</w:t>
      </w:r>
    </w:p>
    <w:p w14:paraId="07C8BE3E"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Vengrija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hAnsi="Times New Roman" w:cs="Times New Roman"/>
        </w:rPr>
        <w:t>Tadalafil Accord 20 mg filmtabletta</w:t>
      </w:r>
    </w:p>
    <w:p w14:paraId="3B36F251" w14:textId="77777777" w:rsidR="008C4948" w:rsidRPr="00CD6C5C" w:rsidRDefault="008C4948" w:rsidP="008C4948">
      <w:pPr>
        <w:spacing w:after="0" w:line="240" w:lineRule="auto"/>
        <w:rPr>
          <w:rFonts w:ascii="Times New Roman" w:hAnsi="Times New Roman" w:cs="Times New Roman"/>
        </w:rPr>
      </w:pPr>
      <w:r w:rsidRPr="00CD6C5C">
        <w:rPr>
          <w:rFonts w:ascii="Times New Roman" w:eastAsia="Times New Roman" w:hAnsi="Times New Roman" w:cs="Times New Roman"/>
          <w:lang w:eastAsia="lt-LT"/>
        </w:rPr>
        <w:t>Ispanija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hAnsi="Times New Roman" w:cs="Times New Roman"/>
        </w:rPr>
        <w:t>Tadalafil Accord 2.5/5/10/20 mg comprimidos recubiertos</w:t>
      </w:r>
    </w:p>
    <w:p w14:paraId="45FAE431" w14:textId="77777777" w:rsidR="008C4948" w:rsidRPr="00CD6C5C" w:rsidRDefault="008C4948" w:rsidP="008C4948">
      <w:pPr>
        <w:spacing w:after="0" w:line="240" w:lineRule="auto"/>
        <w:ind w:left="2160" w:firstLine="720"/>
        <w:rPr>
          <w:rFonts w:ascii="Times New Roman" w:hAnsi="Times New Roman" w:cs="Times New Roman"/>
        </w:rPr>
      </w:pPr>
      <w:r w:rsidRPr="00CD6C5C">
        <w:rPr>
          <w:rFonts w:ascii="Times New Roman" w:hAnsi="Times New Roman" w:cs="Times New Roman"/>
        </w:rPr>
        <w:t>con película EFG</w:t>
      </w:r>
    </w:p>
    <w:p w14:paraId="451112AD" w14:textId="77777777" w:rsidR="008C4948" w:rsidRPr="00CD6C5C" w:rsidRDefault="008C4948" w:rsidP="008C4948">
      <w:pPr>
        <w:spacing w:after="0" w:line="240" w:lineRule="auto"/>
        <w:rPr>
          <w:rFonts w:ascii="Times New Roman" w:hAnsi="Times New Roman" w:cs="Times New Roman"/>
        </w:rPr>
      </w:pPr>
    </w:p>
    <w:p w14:paraId="3B065FBF" w14:textId="76C7AEEF"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hAnsi="Times New Roman" w:cs="Times New Roman"/>
          <w:b/>
        </w:rPr>
        <w:t>Šis pakuotės lapelis paskutinį kartą peržiūrėtas</w:t>
      </w:r>
      <w:r w:rsidR="00E21B7D">
        <w:rPr>
          <w:rFonts w:ascii="Times New Roman" w:hAnsi="Times New Roman" w:cs="Times New Roman"/>
          <w:b/>
        </w:rPr>
        <w:t xml:space="preserve"> 2024-12-05</w:t>
      </w:r>
      <w:r w:rsidR="008670E9" w:rsidRPr="00CD6C5C">
        <w:rPr>
          <w:rFonts w:ascii="Times New Roman" w:eastAsia="Times New Roman" w:hAnsi="Times New Roman" w:cs="Times New Roman"/>
          <w:b/>
          <w:lang w:eastAsia="lt-LT"/>
        </w:rPr>
        <w:t>.</w:t>
      </w:r>
    </w:p>
    <w:p w14:paraId="7E94079D"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0FF4FB17"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445147F2" w14:textId="77777777" w:rsidR="008C4948" w:rsidRPr="00CD6C5C" w:rsidRDefault="008C4948" w:rsidP="008C4948">
      <w:pPr>
        <w:numPr>
          <w:ilvl w:val="12"/>
          <w:numId w:val="0"/>
        </w:numPr>
        <w:tabs>
          <w:tab w:val="left" w:pos="567"/>
        </w:tabs>
        <w:spacing w:after="0" w:line="240" w:lineRule="auto"/>
        <w:ind w:right="-2"/>
        <w:rPr>
          <w:rFonts w:ascii="Times New Roman" w:eastAsia="Times New Roman" w:hAnsi="Times New Roman" w:cs="Times New Roman"/>
          <w:snapToGrid w:val="0"/>
        </w:rPr>
      </w:pPr>
      <w:r w:rsidRPr="00CD6C5C">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CD6C5C">
        <w:rPr>
          <w:rFonts w:ascii="Times New Roman" w:eastAsia="Times New Roman" w:hAnsi="Times New Roman" w:cs="Times New Roman"/>
          <w:i/>
          <w:snapToGrid w:val="0"/>
        </w:rPr>
        <w:t xml:space="preserve"> </w:t>
      </w:r>
      <w:hyperlink r:id="rId11" w:history="1">
        <w:r w:rsidRPr="00CD6C5C">
          <w:rPr>
            <w:rStyle w:val="Hipersaitas"/>
            <w:rFonts w:ascii="Times New Roman" w:eastAsia="SimSun" w:hAnsi="Times New Roman" w:cs="Times New Roman"/>
            <w:snapToGrid w:val="0"/>
          </w:rPr>
          <w:t>http://www.vvkt.lt/</w:t>
        </w:r>
      </w:hyperlink>
      <w:r w:rsidRPr="00CD6C5C">
        <w:rPr>
          <w:rFonts w:ascii="Times New Roman" w:eastAsia="Times New Roman" w:hAnsi="Times New Roman" w:cs="Times New Roman"/>
          <w:snapToGrid w:val="0"/>
        </w:rPr>
        <w:t>.</w:t>
      </w:r>
    </w:p>
    <w:p w14:paraId="7D41D74B" w14:textId="77777777" w:rsidR="008C4948" w:rsidRPr="00CD6C5C" w:rsidRDefault="008C4948" w:rsidP="008C4948">
      <w:pPr>
        <w:rPr>
          <w:rFonts w:ascii="Times New Roman" w:eastAsia="Calibri" w:hAnsi="Times New Roman" w:cs="Times New Roman"/>
        </w:rPr>
      </w:pPr>
      <w:r w:rsidRPr="00CD6C5C">
        <w:rPr>
          <w:rFonts w:ascii="Times New Roman" w:eastAsia="Calibri" w:hAnsi="Times New Roman" w:cs="Times New Roman"/>
        </w:rPr>
        <w:br w:type="page"/>
      </w:r>
    </w:p>
    <w:p w14:paraId="61ED43EB" w14:textId="77777777" w:rsidR="008C4948" w:rsidRPr="00CD6C5C" w:rsidRDefault="008C4948" w:rsidP="008C4948">
      <w:pPr>
        <w:spacing w:after="0" w:line="240" w:lineRule="auto"/>
        <w:jc w:val="center"/>
        <w:outlineLvl w:val="0"/>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lastRenderedPageBreak/>
        <w:t>Pakuotės lapelis: informacija vartotojui</w:t>
      </w:r>
    </w:p>
    <w:p w14:paraId="665368F5" w14:textId="77777777" w:rsidR="008C4948" w:rsidRPr="00CD6C5C" w:rsidRDefault="008C4948" w:rsidP="008C4948">
      <w:pPr>
        <w:spacing w:after="0" w:line="240" w:lineRule="auto"/>
        <w:jc w:val="center"/>
        <w:outlineLvl w:val="0"/>
        <w:rPr>
          <w:rFonts w:ascii="Times New Roman" w:eastAsia="Times New Roman" w:hAnsi="Times New Roman" w:cs="Times New Roman"/>
          <w:b/>
          <w:lang w:eastAsia="lt-LT"/>
        </w:rPr>
      </w:pPr>
    </w:p>
    <w:p w14:paraId="28EE6FFF" w14:textId="77777777" w:rsidR="008C4948" w:rsidRPr="00CD6C5C" w:rsidRDefault="008C4948" w:rsidP="008C4948">
      <w:pPr>
        <w:numPr>
          <w:ilvl w:val="12"/>
          <w:numId w:val="0"/>
        </w:numPr>
        <w:spacing w:after="0" w:line="240" w:lineRule="auto"/>
        <w:jc w:val="center"/>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Tadalafil Accord 10 mg plėvele dengtos tabletės</w:t>
      </w:r>
    </w:p>
    <w:p w14:paraId="5E4B602D" w14:textId="6629B969" w:rsidR="008C4948" w:rsidRPr="00CD6C5C" w:rsidRDefault="003C5663" w:rsidP="008C4948">
      <w:pPr>
        <w:numPr>
          <w:ilvl w:val="12"/>
          <w:numId w:val="0"/>
        </w:num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t</w:t>
      </w:r>
      <w:r w:rsidR="008C4948" w:rsidRPr="00CD6C5C">
        <w:rPr>
          <w:rFonts w:ascii="Times New Roman" w:eastAsia="Times New Roman" w:hAnsi="Times New Roman" w:cs="Times New Roman"/>
          <w:lang w:eastAsia="lt-LT"/>
        </w:rPr>
        <w:t>adalafilis</w:t>
      </w:r>
    </w:p>
    <w:p w14:paraId="0CB596B0" w14:textId="77777777" w:rsidR="008C4948" w:rsidRPr="00CD6C5C" w:rsidRDefault="008C4948" w:rsidP="008C4948">
      <w:pPr>
        <w:numPr>
          <w:ilvl w:val="12"/>
          <w:numId w:val="0"/>
        </w:numPr>
        <w:spacing w:after="0" w:line="240" w:lineRule="auto"/>
        <w:jc w:val="center"/>
        <w:rPr>
          <w:rFonts w:ascii="Times New Roman" w:eastAsia="Times New Roman" w:hAnsi="Times New Roman" w:cs="Times New Roman"/>
          <w:b/>
          <w:bCs/>
          <w:lang w:eastAsia="lt-LT"/>
        </w:rPr>
      </w:pPr>
    </w:p>
    <w:p w14:paraId="2D62867A" w14:textId="77777777" w:rsidR="008C4948" w:rsidRPr="00CD6C5C" w:rsidRDefault="008C4948" w:rsidP="008C4948">
      <w:pPr>
        <w:spacing w:after="0" w:line="240" w:lineRule="auto"/>
        <w:rPr>
          <w:rFonts w:ascii="Times New Roman" w:eastAsia="Times New Roman" w:hAnsi="Times New Roman" w:cs="Times New Roman"/>
          <w:lang w:eastAsia="lt-LT"/>
        </w:rPr>
      </w:pPr>
    </w:p>
    <w:p w14:paraId="37CDB410" w14:textId="77777777" w:rsidR="008C4948" w:rsidRPr="00CD6C5C" w:rsidRDefault="008C4948" w:rsidP="008C4948">
      <w:pPr>
        <w:suppressAutoHyphen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Atidžiai perskaitykite visą šį lapelį, prieš pradėdami vartoti vaistą, nes jame pateikiama Jums svarbi informacija.</w:t>
      </w:r>
    </w:p>
    <w:p w14:paraId="69819710" w14:textId="77777777" w:rsidR="008C4948" w:rsidRPr="00CD6C5C" w:rsidRDefault="008C4948" w:rsidP="008C4948">
      <w:pPr>
        <w:numPr>
          <w:ilvl w:val="0"/>
          <w:numId w:val="3"/>
        </w:numPr>
        <w:spacing w:after="0" w:line="240" w:lineRule="auto"/>
        <w:ind w:left="567" w:right="-2" w:hanging="567"/>
        <w:contextualSpacing/>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Neišmeskite šio lapelio, nes vėl gali prireikti jį perskaityti. </w:t>
      </w:r>
    </w:p>
    <w:p w14:paraId="2B8D2511" w14:textId="77777777" w:rsidR="008C4948" w:rsidRPr="00CD6C5C" w:rsidRDefault="008C4948" w:rsidP="008C4948">
      <w:pPr>
        <w:numPr>
          <w:ilvl w:val="0"/>
          <w:numId w:val="3"/>
        </w:numPr>
        <w:spacing w:after="0" w:line="240" w:lineRule="auto"/>
        <w:ind w:left="567" w:right="-2" w:hanging="567"/>
        <w:contextualSpacing/>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kiltų daugiau klausimų, kreipkitės į gydytoją arba vaistininką.</w:t>
      </w:r>
    </w:p>
    <w:p w14:paraId="60D3D85D" w14:textId="77777777" w:rsidR="008C4948" w:rsidRPr="00CD6C5C" w:rsidRDefault="008C4948" w:rsidP="008C4948">
      <w:pPr>
        <w:numPr>
          <w:ilvl w:val="0"/>
          <w:numId w:val="3"/>
        </w:numPr>
        <w:spacing w:after="0" w:line="240" w:lineRule="auto"/>
        <w:ind w:left="567" w:right="-2" w:hanging="567"/>
        <w:contextualSpacing/>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Šis vaistas skirtas tik Jums, todėl kitiems žmonėms jo duoti negalima. Vaistas gali jiems pakenkti (net tiems, kurių ligos požymiai yra tokie patys kaip Jūsų).</w:t>
      </w:r>
    </w:p>
    <w:p w14:paraId="3A2043CC" w14:textId="77777777" w:rsidR="008C4948" w:rsidRPr="00CD6C5C" w:rsidRDefault="008C4948" w:rsidP="008C4948">
      <w:pPr>
        <w:numPr>
          <w:ilvl w:val="0"/>
          <w:numId w:val="3"/>
        </w:numPr>
        <w:spacing w:after="0" w:line="240" w:lineRule="auto"/>
        <w:ind w:left="567" w:right="-2" w:hanging="567"/>
        <w:contextualSpacing/>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pasireiškė šalutinis poveikis (net jeigu jis šiame lapelyje nenurodytas), kreipkitės į gydytoją arba vaistininką. Žr. 4 skyrių.</w:t>
      </w:r>
    </w:p>
    <w:p w14:paraId="02D5C50D" w14:textId="77777777" w:rsidR="008C4948" w:rsidRPr="00CD6C5C" w:rsidRDefault="008C4948" w:rsidP="008C4948">
      <w:pPr>
        <w:spacing w:after="0" w:line="240" w:lineRule="auto"/>
        <w:ind w:right="-2"/>
        <w:rPr>
          <w:rFonts w:ascii="Times New Roman" w:eastAsia="Times New Roman" w:hAnsi="Times New Roman" w:cs="Times New Roman"/>
          <w:lang w:eastAsia="lt-LT"/>
        </w:rPr>
      </w:pPr>
    </w:p>
    <w:p w14:paraId="5DF53254"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Apie ką rašoma šiame lapelyje?</w:t>
      </w:r>
    </w:p>
    <w:p w14:paraId="2298999C"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5349BF07" w14:textId="77777777" w:rsidR="008C4948" w:rsidRPr="00CD6C5C" w:rsidRDefault="008C4948" w:rsidP="008C4948">
      <w:pPr>
        <w:pStyle w:val="Sraopastraipa"/>
        <w:numPr>
          <w:ilvl w:val="0"/>
          <w:numId w:val="11"/>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Kas yra Tadalafil Accord ir kam jis vartojamas </w:t>
      </w:r>
    </w:p>
    <w:p w14:paraId="4F3242B6" w14:textId="77777777" w:rsidR="008C4948" w:rsidRPr="00CD6C5C" w:rsidRDefault="008C4948" w:rsidP="008C4948">
      <w:pPr>
        <w:pStyle w:val="Sraopastraipa"/>
        <w:numPr>
          <w:ilvl w:val="0"/>
          <w:numId w:val="11"/>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Kas žinotina prieš vartojant Tadalafil Accord </w:t>
      </w:r>
    </w:p>
    <w:p w14:paraId="563631C8" w14:textId="77777777" w:rsidR="008C4948" w:rsidRPr="00CD6C5C" w:rsidRDefault="008C4948" w:rsidP="008C4948">
      <w:pPr>
        <w:pStyle w:val="Sraopastraipa"/>
        <w:numPr>
          <w:ilvl w:val="0"/>
          <w:numId w:val="11"/>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Kaip vartoti Tadalafil Accord </w:t>
      </w:r>
    </w:p>
    <w:p w14:paraId="7820B48C" w14:textId="77777777" w:rsidR="008C4948" w:rsidRPr="00CD6C5C" w:rsidRDefault="008C4948" w:rsidP="008C4948">
      <w:pPr>
        <w:pStyle w:val="Sraopastraipa"/>
        <w:numPr>
          <w:ilvl w:val="0"/>
          <w:numId w:val="11"/>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Galimas šalutinis poveikis </w:t>
      </w:r>
    </w:p>
    <w:p w14:paraId="19BB5878" w14:textId="77777777" w:rsidR="008C4948" w:rsidRPr="00CD6C5C" w:rsidRDefault="008C4948" w:rsidP="008C4948">
      <w:pPr>
        <w:numPr>
          <w:ilvl w:val="0"/>
          <w:numId w:val="11"/>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Kaip laikyti Tadalafil Accord </w:t>
      </w:r>
    </w:p>
    <w:p w14:paraId="433DC5F1" w14:textId="77777777" w:rsidR="008C4948" w:rsidRPr="00CD6C5C" w:rsidRDefault="008C4948" w:rsidP="008C4948">
      <w:pPr>
        <w:pStyle w:val="Sraopastraipa"/>
        <w:numPr>
          <w:ilvl w:val="0"/>
          <w:numId w:val="11"/>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Pakuotės turinys ir kita informacija</w:t>
      </w:r>
    </w:p>
    <w:p w14:paraId="33DF79EE" w14:textId="77777777" w:rsidR="008C4948" w:rsidRPr="00CD6C5C" w:rsidRDefault="008C4948" w:rsidP="008C4948">
      <w:pPr>
        <w:spacing w:after="0" w:line="240" w:lineRule="auto"/>
        <w:rPr>
          <w:rFonts w:ascii="Times New Roman" w:eastAsia="Times New Roman" w:hAnsi="Times New Roman" w:cs="Times New Roman"/>
          <w:lang w:eastAsia="lt-LT"/>
        </w:rPr>
      </w:pPr>
    </w:p>
    <w:p w14:paraId="1F556EF6"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2B8EA27E" w14:textId="77777777" w:rsidR="008C4948" w:rsidRPr="00CD6C5C" w:rsidRDefault="008C4948" w:rsidP="008C4948">
      <w:pPr>
        <w:numPr>
          <w:ilvl w:val="0"/>
          <w:numId w:val="12"/>
        </w:numPr>
        <w:spacing w:after="0" w:line="240" w:lineRule="auto"/>
        <w:ind w:right="-2"/>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Kas yra Tadalafil Accord ir kam jis vartojamas</w:t>
      </w:r>
    </w:p>
    <w:p w14:paraId="19FC8E6C" w14:textId="77777777" w:rsidR="008C4948" w:rsidRPr="00CD6C5C" w:rsidRDefault="008C4948" w:rsidP="008C4948">
      <w:pPr>
        <w:spacing w:after="0" w:line="240" w:lineRule="auto"/>
        <w:rPr>
          <w:rFonts w:ascii="Times New Roman" w:eastAsia="Times New Roman" w:hAnsi="Times New Roman" w:cs="Times New Roman"/>
          <w:lang w:eastAsia="lt-LT"/>
        </w:rPr>
      </w:pPr>
    </w:p>
    <w:p w14:paraId="08F08620" w14:textId="77777777" w:rsidR="008C4948" w:rsidRPr="00CD6C5C" w:rsidRDefault="008C4948" w:rsidP="008C4948">
      <w:pPr>
        <w:spacing w:after="0" w:line="240" w:lineRule="auto"/>
        <w:rPr>
          <w:rFonts w:ascii="Times New Roman" w:eastAsia="Calibri" w:hAnsi="Times New Roman" w:cs="Times New Roman"/>
        </w:rPr>
      </w:pPr>
      <w:r w:rsidRPr="00CD6C5C">
        <w:rPr>
          <w:rFonts w:ascii="Times New Roman" w:eastAsia="MS Mincho" w:hAnsi="Times New Roman" w:cs="Times New Roman"/>
          <w:lang w:eastAsia="ja-JP"/>
        </w:rPr>
        <w:t xml:space="preserve">Tadalafil Accord </w:t>
      </w:r>
      <w:r w:rsidRPr="00CD6C5C">
        <w:rPr>
          <w:rFonts w:ascii="Times New Roman" w:eastAsia="Calibri" w:hAnsi="Times New Roman" w:cs="Times New Roman"/>
        </w:rPr>
        <w:t xml:space="preserve">sudėtyje yra veikliosios medžiagos tadalafilio, kuris priklauso vaistų, </w:t>
      </w:r>
      <w:r w:rsidRPr="00CD6C5C">
        <w:rPr>
          <w:rFonts w:ascii="Times New Roman" w:eastAsia="Times New Roman" w:hAnsi="Times New Roman" w:cs="Times New Roman"/>
          <w:lang w:eastAsia="lt-LT"/>
        </w:rPr>
        <w:t>vadinamų 5</w:t>
      </w:r>
      <w:r w:rsidRPr="00CD6C5C">
        <w:rPr>
          <w:rFonts w:ascii="Times New Roman" w:eastAsia="Times New Roman" w:hAnsi="Times New Roman" w:cs="Times New Roman"/>
          <w:lang w:eastAsia="lt-LT"/>
        </w:rPr>
        <w:noBreakHyphen/>
        <w:t>ojo tipo fosfodiesterazės inhibitoriais, grupei</w:t>
      </w:r>
      <w:r w:rsidRPr="00CD6C5C">
        <w:rPr>
          <w:rFonts w:ascii="Times New Roman" w:eastAsia="Calibri" w:hAnsi="Times New Roman" w:cs="Times New Roman"/>
        </w:rPr>
        <w:t>.</w:t>
      </w:r>
    </w:p>
    <w:p w14:paraId="0E5638A5" w14:textId="77777777" w:rsidR="008C4948" w:rsidRPr="00CD6C5C" w:rsidRDefault="008C4948" w:rsidP="008C4948">
      <w:pPr>
        <w:spacing w:after="0" w:line="240" w:lineRule="auto"/>
        <w:rPr>
          <w:rFonts w:ascii="Times New Roman" w:eastAsia="Calibri" w:hAnsi="Times New Roman" w:cs="Times New Roman"/>
        </w:rPr>
      </w:pPr>
    </w:p>
    <w:p w14:paraId="1CC7BC34" w14:textId="77777777" w:rsidR="008C4948" w:rsidRPr="00CD6C5C" w:rsidRDefault="008C4948" w:rsidP="008C4948">
      <w:pPr>
        <w:spacing w:after="0" w:line="240" w:lineRule="auto"/>
        <w:rPr>
          <w:rFonts w:ascii="Times New Roman" w:eastAsia="MS Mincho" w:hAnsi="Times New Roman" w:cs="Times New Roman"/>
          <w:lang w:eastAsia="ja-JP"/>
        </w:rPr>
      </w:pPr>
      <w:r w:rsidRPr="00CD6C5C">
        <w:rPr>
          <w:rFonts w:ascii="Times New Roman" w:eastAsia="MS Mincho" w:hAnsi="Times New Roman" w:cs="Times New Roman"/>
          <w:lang w:eastAsia="ja-JP"/>
        </w:rPr>
        <w:t xml:space="preserve">Tadalafil Accord </w:t>
      </w:r>
      <w:r w:rsidRPr="00CD6C5C">
        <w:rPr>
          <w:rFonts w:ascii="Times New Roman" w:eastAsia="Calibri" w:hAnsi="Times New Roman" w:cs="Times New Roman"/>
          <w:bCs/>
        </w:rPr>
        <w:t>vartojamas gydyti suaugusius vyrus, kuriems yra:</w:t>
      </w:r>
    </w:p>
    <w:p w14:paraId="358BDB73" w14:textId="77777777" w:rsidR="008C4948" w:rsidRPr="00CD6C5C" w:rsidRDefault="008C4948" w:rsidP="008C4948">
      <w:pPr>
        <w:spacing w:after="0" w:line="240" w:lineRule="auto"/>
        <w:contextualSpacing/>
        <w:rPr>
          <w:rFonts w:ascii="Times New Roman" w:eastAsia="Calibri" w:hAnsi="Times New Roman" w:cs="Times New Roman"/>
        </w:rPr>
      </w:pPr>
      <w:r w:rsidRPr="00CD6C5C">
        <w:rPr>
          <w:rFonts w:ascii="Times New Roman" w:eastAsia="Calibri" w:hAnsi="Times New Roman" w:cs="Times New Roman"/>
          <w:b/>
          <w:color w:val="000000"/>
        </w:rPr>
        <w:t>Erekcijos funkcijos sutrikimas</w:t>
      </w:r>
      <w:r w:rsidRPr="00CD6C5C">
        <w:rPr>
          <w:rFonts w:ascii="Times New Roman" w:eastAsia="Times New Roman" w:hAnsi="Times New Roman" w:cs="Times New Roman"/>
          <w:lang w:eastAsia="lt-LT"/>
        </w:rPr>
        <w:t>. Tai būklė kai vyro varpa nestandėja arba neišsilaiko kieta ir standi, tinkama lytiniam aktui atlikti. Buvo įrodyta, kad Tadalafil Accord reikšmingai pagerina gebėjimą sukelti kietą standžią varpą, tinkamą lytiniam aktui atlikti. Po lytinės stimuliacijos Tadalafil Accord padeda varpos kraujagyslėms atsipalaiduoti, todėl į varpą įteka daugiau kraujo. Dėl to pagerėja erekcijos funkcija. Jeigu Jūsų erekcijos funkcija nesutrikusi, Tadalafil Accord nepadės. Svarbu pažymėti, kad Tadalafil Accord neveiks, jeigu nebus lytinės stimuliacijos. Prieš lytinį aktą Jūs su savo partnere turėsite užsiimti glamonėmis lygiai taip pat, kaip užsiimtumėte jeigu būtumėte nevartojęs šio vaisto erekcijos funkcijos sutrikimui gydyti.</w:t>
      </w:r>
    </w:p>
    <w:p w14:paraId="516EAC55" w14:textId="77777777" w:rsidR="008C4948" w:rsidRPr="00CD6C5C" w:rsidRDefault="008C4948" w:rsidP="008C4948">
      <w:pPr>
        <w:spacing w:after="0" w:line="240" w:lineRule="auto"/>
        <w:contextualSpacing/>
        <w:rPr>
          <w:rFonts w:ascii="Times New Roman" w:eastAsia="Calibri" w:hAnsi="Times New Roman" w:cs="Times New Roman"/>
        </w:rPr>
      </w:pPr>
    </w:p>
    <w:p w14:paraId="1DD625C1"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3B730DAB" w14:textId="77777777" w:rsidR="008C4948" w:rsidRPr="00CD6C5C" w:rsidRDefault="008C4948" w:rsidP="008C4948">
      <w:pPr>
        <w:numPr>
          <w:ilvl w:val="0"/>
          <w:numId w:val="12"/>
        </w:numPr>
        <w:spacing w:after="0" w:line="240" w:lineRule="auto"/>
        <w:ind w:right="-2"/>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Kas žinotina prieš vartojant Tadalafil Accord</w:t>
      </w:r>
    </w:p>
    <w:p w14:paraId="47E02792" w14:textId="77777777" w:rsidR="008C4948" w:rsidRPr="00CD6C5C" w:rsidRDefault="008C4948" w:rsidP="008C4948">
      <w:pPr>
        <w:spacing w:after="0" w:line="240" w:lineRule="auto"/>
        <w:ind w:right="-2"/>
        <w:rPr>
          <w:rFonts w:ascii="Times New Roman" w:eastAsia="Times New Roman" w:hAnsi="Times New Roman" w:cs="Times New Roman"/>
          <w:lang w:eastAsia="lt-LT"/>
        </w:rPr>
      </w:pPr>
    </w:p>
    <w:p w14:paraId="7D5AECB1" w14:textId="6C27D96B" w:rsidR="008C4948" w:rsidRPr="00CD6C5C" w:rsidRDefault="008C4948" w:rsidP="008C4948">
      <w:pPr>
        <w:numPr>
          <w:ilvl w:val="12"/>
          <w:numId w:val="0"/>
        </w:numPr>
        <w:spacing w:after="0" w:line="240" w:lineRule="auto"/>
        <w:outlineLvl w:val="0"/>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 xml:space="preserve">Tadalafil Accord vartoti </w:t>
      </w:r>
      <w:r w:rsidR="00C80646" w:rsidRPr="00CD6C5C">
        <w:rPr>
          <w:rFonts w:ascii="Times New Roman" w:eastAsia="Times New Roman" w:hAnsi="Times New Roman" w:cs="Times New Roman"/>
          <w:b/>
          <w:lang w:eastAsia="lt-LT"/>
        </w:rPr>
        <w:t>draudžia</w:t>
      </w:r>
      <w:r w:rsidRPr="00CD6C5C">
        <w:rPr>
          <w:rFonts w:ascii="Times New Roman" w:eastAsia="Times New Roman" w:hAnsi="Times New Roman" w:cs="Times New Roman"/>
          <w:b/>
          <w:lang w:eastAsia="lt-LT"/>
        </w:rPr>
        <w:t>ma:</w:t>
      </w:r>
    </w:p>
    <w:p w14:paraId="24374EA5" w14:textId="77777777" w:rsidR="008C4948" w:rsidRPr="00CD6C5C" w:rsidRDefault="008C4948" w:rsidP="008C4948">
      <w:pPr>
        <w:numPr>
          <w:ilvl w:val="12"/>
          <w:numId w:val="0"/>
        </w:numPr>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w:t>
      </w:r>
      <w:r w:rsidRPr="00CD6C5C">
        <w:rPr>
          <w:rFonts w:ascii="Times New Roman" w:eastAsia="Times New Roman" w:hAnsi="Times New Roman" w:cs="Times New Roman"/>
          <w:lang w:eastAsia="lt-LT"/>
        </w:rPr>
        <w:tab/>
        <w:t>jeigu yra alergija tadalafiliui arba bet kuriai pagalbinei šio vaisto medžiagai (jos išvardytos 6 skyriuje);</w:t>
      </w:r>
    </w:p>
    <w:p w14:paraId="78D0CBA8"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vartojate bet kokių organinių nitratų arba azoto oksido donorų, pvz., amilnitrito. Šios grupės vaistais (nitratais) gydoma krūtinės angina (krūtinės skausmas). Nustatyta, kad Tadalafil Accord stiprina šių vaistų sukeliamą poveikį. Jeigu vartojate kokių nors nitratų arba tiksliai nežinote, ar jų vartojate, apie tai pasakykite gydytojui;</w:t>
      </w:r>
    </w:p>
    <w:p w14:paraId="7D21E350"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sergate sunkia širdies liga arba neseniai (paskutiniųjų 90 dienų laikotarpiu) Jus buvo ištikęs širdies priepuolis;</w:t>
      </w:r>
    </w:p>
    <w:p w14:paraId="181A7ADC"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jeigu neseniai (paskutiniųjų 6 mėnesių laikotarpiu) Jus buvo ištikęs insultas; </w:t>
      </w:r>
    </w:p>
    <w:p w14:paraId="4AE81B12"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lastRenderedPageBreak/>
        <w:t xml:space="preserve">jeigu yra mažas kraujospūdis arba didelis nekontroliuojamas kraujospūdis; </w:t>
      </w:r>
    </w:p>
    <w:p w14:paraId="45635083"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buvote kada nors apakę dėl ne arterito sukeltos priekinės išeminės regos nervo neuropatijos (angl. NAION), t. y. sutrikimo, kuris dar vadinamas akies insultu;</w:t>
      </w:r>
    </w:p>
    <w:p w14:paraId="0E149CAA"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vartojate riociguato. Šis vaistas vartojamas gydyti plautinę arterinę hipertenziją (t. y. didelį kraujospūdį plaučiuose) ir lėtinę tromboembolinę plautinę hipertenziją (t. y. didelį kraujospūdį plaučiuose, atsiradusį dėl kraujo krešulių susidarymo). Buvo nustatyta, kad FDE5 inhibitoriai, tokie kaip tadalafilis, sustiprina šio vaisto kraujospūdį mažinantį poveikį. Jeigu vartojate riociguato arba dėl to nesate tikri, apie tai pasakykite gydytojui.</w:t>
      </w:r>
    </w:p>
    <w:p w14:paraId="47CAEEE3" w14:textId="77777777" w:rsidR="008C4948" w:rsidRPr="00CD6C5C" w:rsidRDefault="008C4948" w:rsidP="008C4948">
      <w:pPr>
        <w:spacing w:after="0" w:line="240" w:lineRule="auto"/>
        <w:ind w:right="-2"/>
        <w:outlineLvl w:val="0"/>
        <w:rPr>
          <w:rFonts w:ascii="Times New Roman" w:eastAsia="Times New Roman" w:hAnsi="Times New Roman" w:cs="Times New Roman"/>
          <w:b/>
          <w:lang w:eastAsia="lt-LT"/>
        </w:rPr>
      </w:pPr>
    </w:p>
    <w:p w14:paraId="4F3B5F18"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Įspėjimai ir atsargumo priemonės</w:t>
      </w:r>
    </w:p>
    <w:p w14:paraId="33BBF363"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Pasitarkite su gydytoju arba vaistininku prieš pradėdami vartoti Tadalafil Accord.</w:t>
      </w:r>
    </w:p>
    <w:p w14:paraId="4C74E45F"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3B69EE53"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Turėkite omenyje, kad lytinis aktyvumas gali didinti riziką širdies liga sergantiems pacientams, kadangi papildomai apkraunama širdis. Jeigu sergate širdies liga, pasakykite gydytojui.</w:t>
      </w:r>
    </w:p>
    <w:p w14:paraId="69E8A983"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1DBBEBBF"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Prieš pradėdami vartoti tabletes pasakykite savo gydytojui, jeigu Jums yra:</w:t>
      </w:r>
    </w:p>
    <w:p w14:paraId="4D4FBA1B"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pjautuvinė mažakraujystė (raudonųjų kraujo ląstelių sutrikimas);</w:t>
      </w:r>
    </w:p>
    <w:p w14:paraId="06A36EBC"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dauginė mieloma (kaulų čiulpų vėžys);</w:t>
      </w:r>
    </w:p>
    <w:p w14:paraId="46DBDC5E"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leukemija (kraujo ląstelių vėžys);</w:t>
      </w:r>
    </w:p>
    <w:p w14:paraId="7BA1D338" w14:textId="77777777" w:rsidR="008C4948" w:rsidRPr="00CD6C5C" w:rsidRDefault="008C4948" w:rsidP="008C4948">
      <w:pPr>
        <w:pStyle w:val="Sraopastraipa"/>
        <w:numPr>
          <w:ilvl w:val="0"/>
          <w:numId w:val="6"/>
        </w:numPr>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bet kokia varpos deformacija arba nepageidaujamai atsiradusios ar nuolatinės erekcijos, trunkančios ilgiau negu 4 valandas;</w:t>
      </w:r>
    </w:p>
    <w:p w14:paraId="0A30F9B7"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sunkus kepenų funkcijos sutrikimas;</w:t>
      </w:r>
    </w:p>
    <w:p w14:paraId="13E8AA64"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sunkus inkstų funkcijos sutrikimas.</w:t>
      </w:r>
    </w:p>
    <w:p w14:paraId="5FDD67B0" w14:textId="77777777" w:rsidR="008C4948" w:rsidRPr="00CD6C5C" w:rsidRDefault="008C4948" w:rsidP="008C4948">
      <w:pPr>
        <w:spacing w:after="0" w:line="240" w:lineRule="auto"/>
        <w:rPr>
          <w:rFonts w:ascii="Times New Roman" w:eastAsia="Times New Roman" w:hAnsi="Times New Roman" w:cs="Times New Roman"/>
          <w:lang w:eastAsia="lt-LT"/>
        </w:rPr>
      </w:pPr>
    </w:p>
    <w:p w14:paraId="4BDFAEF7"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Nežinoma, ar tadalafilis yra veiksmingas pacientams, kuriems buvo atlikta:</w:t>
      </w:r>
    </w:p>
    <w:p w14:paraId="5F482660"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dubens srities operacija;</w:t>
      </w:r>
    </w:p>
    <w:p w14:paraId="6DF5193F"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visos prostatos arba jos dalies pašalinimo operacija, kurios metu buvo nupjauti nervai (radikali nervų neišsauganti prostatektomija). </w:t>
      </w:r>
    </w:p>
    <w:p w14:paraId="6ED68710" w14:textId="77777777" w:rsidR="008C4948" w:rsidRPr="00CD6C5C" w:rsidRDefault="008C4948" w:rsidP="008C4948">
      <w:pPr>
        <w:spacing w:after="0" w:line="240" w:lineRule="auto"/>
        <w:rPr>
          <w:rFonts w:ascii="Times New Roman" w:eastAsia="Times New Roman" w:hAnsi="Times New Roman" w:cs="Times New Roman"/>
          <w:lang w:eastAsia="lt-LT"/>
        </w:rPr>
      </w:pPr>
    </w:p>
    <w:p w14:paraId="37085059" w14:textId="10948643"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Jeigu </w:t>
      </w:r>
      <w:r w:rsidR="00700C44" w:rsidRPr="00700C44">
        <w:rPr>
          <w:rFonts w:ascii="Times New Roman" w:eastAsia="Times New Roman" w:hAnsi="Times New Roman" w:cs="Times New Roman"/>
          <w:lang w:eastAsia="lt-LT"/>
        </w:rPr>
        <w:t xml:space="preserve">vartojant Tadalafil Accord </w:t>
      </w:r>
      <w:r w:rsidRPr="00CD6C5C">
        <w:rPr>
          <w:rFonts w:ascii="Times New Roman" w:eastAsia="Times New Roman" w:hAnsi="Times New Roman" w:cs="Times New Roman"/>
          <w:lang w:eastAsia="lt-LT"/>
        </w:rPr>
        <w:t>staiga susilpnėtų regėjimas ar apaktumėte</w:t>
      </w:r>
      <w:r w:rsidR="00700C44" w:rsidRPr="00700C44">
        <w:rPr>
          <w:rFonts w:ascii="Times New Roman" w:eastAsia="Times New Roman" w:hAnsi="Times New Roman" w:cs="Times New Roman"/>
          <w:lang w:eastAsia="lt-LT"/>
        </w:rPr>
        <w:t xml:space="preserve"> arba būtų matomas iškreiptas, blankus</w:t>
      </w:r>
      <w:r w:rsidR="00700C44">
        <w:rPr>
          <w:rFonts w:ascii="Times New Roman" w:eastAsia="Times New Roman" w:hAnsi="Times New Roman" w:cs="Times New Roman"/>
          <w:lang w:eastAsia="lt-LT"/>
        </w:rPr>
        <w:t xml:space="preserve"> </w:t>
      </w:r>
      <w:r w:rsidR="00700C44" w:rsidRPr="00700C44">
        <w:rPr>
          <w:rFonts w:ascii="Times New Roman" w:eastAsia="Times New Roman" w:hAnsi="Times New Roman" w:cs="Times New Roman"/>
          <w:lang w:eastAsia="lt-LT"/>
        </w:rPr>
        <w:t>vaizdas</w:t>
      </w:r>
      <w:r w:rsidRPr="00CD6C5C">
        <w:rPr>
          <w:rFonts w:ascii="Times New Roman" w:eastAsia="Times New Roman" w:hAnsi="Times New Roman" w:cs="Times New Roman"/>
          <w:lang w:eastAsia="lt-LT"/>
        </w:rPr>
        <w:t xml:space="preserve">, nutraukite Tadalafil Accord vartojimą ir nedelsdami kreipkitės į gydytoją. </w:t>
      </w:r>
    </w:p>
    <w:p w14:paraId="54FF3096" w14:textId="77777777" w:rsidR="008C4948" w:rsidRPr="00CD6C5C" w:rsidRDefault="008C4948" w:rsidP="008C4948">
      <w:pPr>
        <w:spacing w:after="0" w:line="240" w:lineRule="auto"/>
        <w:rPr>
          <w:rFonts w:ascii="Times New Roman" w:eastAsia="Times New Roman" w:hAnsi="Times New Roman" w:cs="Times New Roman"/>
          <w:lang w:eastAsia="lt-LT"/>
        </w:rPr>
      </w:pPr>
    </w:p>
    <w:p w14:paraId="5CF7C48E"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Kai kuriems tadalafilio vartojusiems pacientams buvo pastebėta susilpnėjusi arba staiga dingusi klausa. Nors nėra žinoma, ar šis reiškinys tiesiogiai susijęs su tadalafiliu, pastebėję, kad nusilpo arba staiga dingo klausa, Tadalafil Accord nebevartokite ir nedelsdami kreipkitės į gydytoją.</w:t>
      </w:r>
    </w:p>
    <w:p w14:paraId="283C622A"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2F8EB249" w14:textId="77777777" w:rsidR="008C4948" w:rsidRPr="00CD6C5C" w:rsidRDefault="008C4948" w:rsidP="008C4948">
      <w:pPr>
        <w:numPr>
          <w:ilvl w:val="12"/>
          <w:numId w:val="0"/>
        </w:numPr>
        <w:spacing w:after="0" w:line="240" w:lineRule="auto"/>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Tadalafil Accord neturi būti vartojamas moterų erekcijos funkcijos sutrikimui gydyti, kadangi tai yra vyrų sveikatos specifinė problema.</w:t>
      </w:r>
    </w:p>
    <w:p w14:paraId="105A69DF"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779C5132" w14:textId="77777777" w:rsidR="008C4948" w:rsidRPr="00CD6C5C" w:rsidRDefault="008C4948" w:rsidP="008C4948">
      <w:pPr>
        <w:numPr>
          <w:ilvl w:val="12"/>
          <w:numId w:val="0"/>
        </w:numPr>
        <w:spacing w:after="0" w:line="240" w:lineRule="auto"/>
        <w:rPr>
          <w:rFonts w:ascii="Times New Roman" w:eastAsia="Times New Roman" w:hAnsi="Times New Roman" w:cs="Times New Roman"/>
          <w:b/>
          <w:bCs/>
          <w:lang w:eastAsia="lt-LT"/>
        </w:rPr>
      </w:pPr>
      <w:r w:rsidRPr="00CD6C5C">
        <w:rPr>
          <w:rFonts w:ascii="Times New Roman" w:eastAsia="Times New Roman" w:hAnsi="Times New Roman" w:cs="Times New Roman"/>
          <w:b/>
          <w:lang w:eastAsia="lt-LT"/>
        </w:rPr>
        <w:t>Vaikams ir paaugliams</w:t>
      </w:r>
    </w:p>
    <w:p w14:paraId="42E3EC6A" w14:textId="77777777" w:rsidR="008C4948" w:rsidRPr="00CD6C5C" w:rsidRDefault="008C4948" w:rsidP="008C4948">
      <w:pPr>
        <w:numPr>
          <w:ilvl w:val="12"/>
          <w:numId w:val="0"/>
        </w:numPr>
        <w:spacing w:after="0" w:line="240" w:lineRule="auto"/>
        <w:rPr>
          <w:rFonts w:ascii="Times New Roman" w:eastAsia="Times New Roman" w:hAnsi="Times New Roman" w:cs="Times New Roman"/>
          <w:bCs/>
          <w:lang w:eastAsia="lt-LT"/>
        </w:rPr>
      </w:pPr>
      <w:r w:rsidRPr="00CD6C5C">
        <w:rPr>
          <w:rFonts w:ascii="Times New Roman" w:eastAsia="Times New Roman" w:hAnsi="Times New Roman" w:cs="Times New Roman"/>
          <w:lang w:eastAsia="lt-LT"/>
        </w:rPr>
        <w:t>Tadalafil Accord neskirtas vartoti vaikams ir jaunesniems kaip 18 metų paaugliams.</w:t>
      </w:r>
    </w:p>
    <w:p w14:paraId="3CF18516" w14:textId="77777777" w:rsidR="008C4948" w:rsidRPr="00CD6C5C" w:rsidRDefault="008C4948" w:rsidP="008C4948">
      <w:pPr>
        <w:numPr>
          <w:ilvl w:val="12"/>
          <w:numId w:val="0"/>
        </w:numPr>
        <w:spacing w:after="0" w:line="240" w:lineRule="auto"/>
        <w:rPr>
          <w:rFonts w:ascii="Times New Roman" w:eastAsia="Times New Roman" w:hAnsi="Times New Roman" w:cs="Times New Roman"/>
          <w:b/>
          <w:bCs/>
          <w:lang w:eastAsia="lt-LT"/>
        </w:rPr>
      </w:pPr>
    </w:p>
    <w:p w14:paraId="188B6A05"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Kiti vaistai ir Tadalafil Accord</w:t>
      </w:r>
    </w:p>
    <w:p w14:paraId="376F112B"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vartojate ar neseniai vartojote kitų vaistų arba dėl to nesate tikri, apie tai pasakykite gydytojui arba vaistininkui.</w:t>
      </w:r>
    </w:p>
    <w:p w14:paraId="3AF25FCF"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7F526315" w14:textId="69BAF192"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 Accord vartoti </w:t>
      </w:r>
      <w:r w:rsidR="003C5663">
        <w:rPr>
          <w:rFonts w:ascii="Times New Roman" w:eastAsia="Times New Roman" w:hAnsi="Times New Roman" w:cs="Times New Roman"/>
          <w:lang w:eastAsia="lt-LT"/>
        </w:rPr>
        <w:t>draudžiama</w:t>
      </w:r>
      <w:r w:rsidRPr="00CD6C5C">
        <w:rPr>
          <w:rFonts w:ascii="Times New Roman" w:eastAsia="Times New Roman" w:hAnsi="Times New Roman" w:cs="Times New Roman"/>
          <w:lang w:eastAsia="lt-LT"/>
        </w:rPr>
        <w:t xml:space="preserve">, jeigu jau vartojate nitratų. </w:t>
      </w:r>
    </w:p>
    <w:p w14:paraId="16B0297F"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7F34B331"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 Accord gali keisti kai kurių vaistų poveikį arba jie − Tadalafil Accord poveikį. Pasakykite gydytojui arba vaistininkui, jeigu jau vartojate: </w:t>
      </w:r>
    </w:p>
    <w:p w14:paraId="23CB58A3"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alfa adrenoreceptorių blokatorių (vartojamų dideliam kraujospūdžiui mažinti arba šlapimo organų simptomams, susijusiems su gerybine prostatos hiperplazija, gydyti);</w:t>
      </w:r>
    </w:p>
    <w:p w14:paraId="4B14262D"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kitų vaistų padidėjusiam kraujospūdžiui mažinti;</w:t>
      </w:r>
    </w:p>
    <w:p w14:paraId="5F0978B1" w14:textId="77777777" w:rsidR="008C4948" w:rsidRPr="00CD6C5C" w:rsidRDefault="008C4948" w:rsidP="008C4948">
      <w:pPr>
        <w:numPr>
          <w:ilvl w:val="0"/>
          <w:numId w:val="6"/>
        </w:numPr>
        <w:tabs>
          <w:tab w:val="left" w:pos="567"/>
        </w:tabs>
        <w:snapToGrid w:val="0"/>
        <w:spacing w:after="0" w:line="240" w:lineRule="auto"/>
        <w:ind w:left="567" w:hanging="567"/>
        <w:rPr>
          <w:rFonts w:ascii="Times New Roman" w:eastAsia="Times New Roman" w:hAnsi="Times New Roman" w:cs="Times New Roman"/>
          <w:snapToGrid w:val="0"/>
          <w:lang w:eastAsia="lt-LT"/>
        </w:rPr>
      </w:pPr>
      <w:r w:rsidRPr="00CD6C5C">
        <w:rPr>
          <w:rFonts w:ascii="Times New Roman" w:eastAsia="Times New Roman" w:hAnsi="Times New Roman" w:cs="Times New Roman"/>
          <w:snapToGrid w:val="0"/>
          <w:lang w:eastAsia="lt-LT"/>
        </w:rPr>
        <w:lastRenderedPageBreak/>
        <w:t>riociguato;</w:t>
      </w:r>
    </w:p>
    <w:p w14:paraId="0968112B"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5-alfa reduktazės inhibitorių (vartojamų gerybinei prostatos hiperplazijai gydyti);</w:t>
      </w:r>
    </w:p>
    <w:p w14:paraId="7867638D"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tokių vaistų, kaip ketokonazolo tabletės (vartojamos grybelių sukeltoms infekcinėms ligoms gydyti) ir proteazės inhibitoriai AIDS arba ŽIV infekcijai gydyti;</w:t>
      </w:r>
    </w:p>
    <w:p w14:paraId="31631C9F"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fenobarbitalio, fenitoino, karbamazepino (vaistų nuo traukulių);</w:t>
      </w:r>
    </w:p>
    <w:p w14:paraId="424DD81A"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rifampicino, eritromicino, klaritromicino arba itrakonazolo;</w:t>
      </w:r>
    </w:p>
    <w:p w14:paraId="3F683D34"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kitokių vaistų nuo erekcijos funkcijos sutrikimo.</w:t>
      </w:r>
    </w:p>
    <w:p w14:paraId="1D00D2FA" w14:textId="77777777" w:rsidR="008C4948" w:rsidRPr="00CD6C5C" w:rsidRDefault="008C4948" w:rsidP="008C4948">
      <w:pPr>
        <w:spacing w:after="0" w:line="240" w:lineRule="auto"/>
        <w:ind w:right="-2"/>
        <w:rPr>
          <w:rFonts w:ascii="Times New Roman" w:eastAsia="Times New Roman" w:hAnsi="Times New Roman" w:cs="Times New Roman"/>
          <w:b/>
          <w:lang w:eastAsia="lt-LT"/>
        </w:rPr>
      </w:pPr>
    </w:p>
    <w:p w14:paraId="43AA878D"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Tadalafil Accord vartojimas su gėrimais ir alkoholiu</w:t>
      </w:r>
    </w:p>
    <w:p w14:paraId="001F180C"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Informacija apie alkoholio įtaką pateikta 3 skyriuje. Greipfrutų sultys gali sutrikdyti Tadalafil Accord poveikį, todėl turi būti vartojamos atsargiai. Norėdami sužinoti daugiau, kreipkitės į savo gydytoją.</w:t>
      </w:r>
    </w:p>
    <w:p w14:paraId="43EA4672"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0D9D6533"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Nėštumas, žindymas ir vaisingumas</w:t>
      </w:r>
    </w:p>
    <w:p w14:paraId="6A4018F6"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Nėštumas</w:t>
      </w:r>
    </w:p>
    <w:p w14:paraId="380A817D"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esate nėščia, žindote kūdikį, manote, kad galbūt esate nėščia arba planuojate pastoti, tai prieš vartodama šį vaistą pasitarkite su savo gydytoju. Tadalafilio nėštumo metu vartoti negalima, išskyrus atvejus, kai tai neabejotinai būtina ir tai aptarėte su gydytoju.</w:t>
      </w:r>
    </w:p>
    <w:p w14:paraId="06167660"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26C7EBD0"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Žindymas</w:t>
      </w:r>
    </w:p>
    <w:p w14:paraId="5EAE411C"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Vartojant šias tabletes, žindyti negalima, nes nežinoma, ar šio vaisto prasiskverbia į motinos pieną. Prieš vartojant bet kokį vaistą nėštumo metu ar žindymo laikotarpiu, būtina pasitarti su gydytoju arba vaistininku.</w:t>
      </w:r>
    </w:p>
    <w:p w14:paraId="5E04B200"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752D9A3D"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Vaisingumas</w:t>
      </w:r>
    </w:p>
    <w:p w14:paraId="71831A1B"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Vaisto vartojant šunims, sumažėjo spermatozoidų vystymasis jų sėklidėse. Kai kuriems vyrams buvo pastebėtas spermos kiekio sumažėjimas. Nesitikima, kad dėl tokio poveikio sumažėtų vaisingumas.</w:t>
      </w:r>
    </w:p>
    <w:p w14:paraId="4D8D7911"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476A535F"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Vairavimas ir mechanizmų valdymas</w:t>
      </w:r>
    </w:p>
    <w:p w14:paraId="550D4751"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Klinikinių tyrimų metu tadalafilis kai kuriems vyrams sukėlė svaigulį. Prieš vairavimą ar mechanizmų valdymą atidžiai pasitikrinkite savo reakciją į šias tabletes.</w:t>
      </w:r>
    </w:p>
    <w:p w14:paraId="7975C62A"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36402DFF"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Tadalafil Accord sudėtyje yra laktozės </w:t>
      </w:r>
    </w:p>
    <w:p w14:paraId="5731697A"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gydytojas yra Jums sakęs, kad netoleruojate kokių nors angliavandenių, kreipkitės į jį prieš pradėdami vartoti šį vaistą.</w:t>
      </w:r>
    </w:p>
    <w:p w14:paraId="1DA83EFF"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55C744E2" w14:textId="77777777" w:rsidR="0067086B" w:rsidRPr="00CD6C5C" w:rsidRDefault="0067086B" w:rsidP="0067086B">
      <w:pPr>
        <w:keepNext/>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Tadalafil Accord sudėtyje yra natrio </w:t>
      </w:r>
    </w:p>
    <w:p w14:paraId="58AA6FD6" w14:textId="24F8E9DA" w:rsidR="0067086B" w:rsidRPr="00CD6C5C" w:rsidRDefault="0067086B" w:rsidP="0067086B">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15590A">
        <w:rPr>
          <w:rFonts w:ascii="Times New Roman" w:eastAsia="TimesNewRomanPSMT" w:hAnsi="Times New Roman" w:cs="Times New Roman"/>
          <w:lang w:eastAsia="lt-LT"/>
        </w:rPr>
        <w:t>Šio vais</w:t>
      </w:r>
      <w:r w:rsidRPr="00CD6C5C">
        <w:rPr>
          <w:rFonts w:ascii="Times New Roman" w:eastAsia="TimesNewRomanPSMT" w:hAnsi="Times New Roman" w:cs="Times New Roman"/>
          <w:lang w:eastAsia="lt-LT"/>
        </w:rPr>
        <w:t xml:space="preserve">to tabletėje </w:t>
      </w:r>
      <w:r w:rsidRPr="0015590A">
        <w:rPr>
          <w:rFonts w:ascii="Times New Roman" w:eastAsia="TimesNewRomanPSMT" w:hAnsi="Times New Roman" w:cs="Times New Roman"/>
          <w:lang w:eastAsia="lt-LT"/>
        </w:rPr>
        <w:t>yra</w:t>
      </w:r>
      <w:r w:rsidRPr="00CD6C5C">
        <w:rPr>
          <w:rFonts w:ascii="Times New Roman" w:eastAsia="TimesNewRomanPSMT" w:hAnsi="Times New Roman" w:cs="Times New Roman"/>
          <w:lang w:eastAsia="lt-LT"/>
        </w:rPr>
        <w:t xml:space="preserve"> </w:t>
      </w:r>
      <w:r w:rsidRPr="0015590A">
        <w:rPr>
          <w:rFonts w:ascii="Times New Roman" w:eastAsia="TimesNewRomanPSMT" w:hAnsi="Times New Roman" w:cs="Times New Roman"/>
          <w:lang w:eastAsia="lt-LT"/>
        </w:rPr>
        <w:t>mažiau kaip 1</w:t>
      </w:r>
      <w:r w:rsidRPr="00CD6C5C">
        <w:rPr>
          <w:rFonts w:ascii="Times New Roman" w:eastAsia="TimesNewRomanPSMT" w:hAnsi="Times New Roman" w:cs="Times New Roman"/>
          <w:lang w:eastAsia="lt-LT"/>
        </w:rPr>
        <w:t> </w:t>
      </w:r>
      <w:r w:rsidRPr="0015590A">
        <w:rPr>
          <w:rFonts w:ascii="Times New Roman" w:eastAsia="TimesNewRomanPSMT" w:hAnsi="Times New Roman" w:cs="Times New Roman"/>
          <w:lang w:eastAsia="lt-LT"/>
        </w:rPr>
        <w:t>mmol (23</w:t>
      </w:r>
      <w:r w:rsidRPr="00CD6C5C">
        <w:rPr>
          <w:rFonts w:ascii="Times New Roman" w:eastAsia="TimesNewRomanPSMT" w:hAnsi="Times New Roman" w:cs="Times New Roman"/>
          <w:lang w:eastAsia="lt-LT"/>
        </w:rPr>
        <w:t> </w:t>
      </w:r>
      <w:r w:rsidRPr="0015590A">
        <w:rPr>
          <w:rFonts w:ascii="Times New Roman" w:eastAsia="TimesNewRomanPSMT" w:hAnsi="Times New Roman" w:cs="Times New Roman"/>
          <w:lang w:eastAsia="lt-LT"/>
        </w:rPr>
        <w:t>mg) natrio, t.</w:t>
      </w:r>
      <w:r w:rsidRPr="00CD6C5C">
        <w:rPr>
          <w:rFonts w:ascii="Times New Roman" w:eastAsia="TimesNewRomanPSMT" w:hAnsi="Times New Roman" w:cs="Times New Roman"/>
          <w:lang w:eastAsia="lt-LT"/>
        </w:rPr>
        <w:t xml:space="preserve"> </w:t>
      </w:r>
      <w:r w:rsidRPr="0015590A">
        <w:rPr>
          <w:rFonts w:ascii="Times New Roman" w:eastAsia="TimesNewRomanPSMT" w:hAnsi="Times New Roman" w:cs="Times New Roman"/>
          <w:lang w:eastAsia="lt-LT"/>
        </w:rPr>
        <w:t>y. jis beveik</w:t>
      </w:r>
      <w:r w:rsidRPr="00CD6C5C">
        <w:rPr>
          <w:rFonts w:ascii="Times New Roman" w:eastAsia="TimesNewRomanPSMT" w:hAnsi="Times New Roman" w:cs="Times New Roman"/>
          <w:lang w:eastAsia="lt-LT"/>
        </w:rPr>
        <w:t xml:space="preserve"> neturi reikšmės.</w:t>
      </w:r>
    </w:p>
    <w:p w14:paraId="7C3024A3" w14:textId="77777777" w:rsidR="0067086B" w:rsidRPr="00CD6C5C" w:rsidRDefault="0067086B" w:rsidP="0067086B">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p>
    <w:p w14:paraId="5A856FA9"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4C199AFC" w14:textId="77777777" w:rsidR="008C4948" w:rsidRPr="00CD6C5C" w:rsidRDefault="008C4948" w:rsidP="008C4948">
      <w:pPr>
        <w:numPr>
          <w:ilvl w:val="0"/>
          <w:numId w:val="12"/>
        </w:numPr>
        <w:spacing w:after="0" w:line="240" w:lineRule="auto"/>
        <w:ind w:right="-2"/>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Kaip vartoti Tadalafil Accord</w:t>
      </w:r>
    </w:p>
    <w:p w14:paraId="0D5B814E" w14:textId="77777777" w:rsidR="008C4948" w:rsidRPr="00CD6C5C" w:rsidRDefault="008C4948" w:rsidP="008C4948">
      <w:pPr>
        <w:spacing w:after="0" w:line="240" w:lineRule="auto"/>
        <w:ind w:right="-2"/>
        <w:rPr>
          <w:rFonts w:ascii="Times New Roman" w:eastAsia="Times New Roman" w:hAnsi="Times New Roman" w:cs="Times New Roman"/>
          <w:lang w:eastAsia="lt-LT"/>
        </w:rPr>
      </w:pPr>
    </w:p>
    <w:p w14:paraId="0A7C32F4"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Visada vartokite šį vaistą tiksliai, kaip nurodė gydytojas. Jeigu abejojate, kreipkitės į gydytoją arba vaistininką. </w:t>
      </w:r>
    </w:p>
    <w:p w14:paraId="59BB7529"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078A7A6B" w14:textId="1C6E39D9" w:rsidR="008C4948" w:rsidRPr="00CD6C5C" w:rsidRDefault="00700C44" w:rsidP="008C4948">
      <w:pPr>
        <w:numPr>
          <w:ilvl w:val="12"/>
          <w:numId w:val="0"/>
        </w:numPr>
        <w:spacing w:after="0" w:line="240" w:lineRule="auto"/>
        <w:ind w:right="-2"/>
        <w:outlineLvl w:val="0"/>
        <w:rPr>
          <w:rFonts w:ascii="Times New Roman" w:eastAsia="Times New Roman" w:hAnsi="Times New Roman" w:cs="Times New Roman"/>
          <w:lang w:eastAsia="lt-LT"/>
        </w:rPr>
      </w:pPr>
      <w:r w:rsidRPr="00700C44">
        <w:rPr>
          <w:rFonts w:ascii="Times New Roman" w:eastAsia="Times New Roman" w:hAnsi="Times New Roman" w:cs="Times New Roman"/>
          <w:lang w:eastAsia="lt-LT"/>
        </w:rPr>
        <w:t>Tadalafil Accord yra skirtas tik vyrams vartoti per burną.</w:t>
      </w:r>
      <w:r>
        <w:rPr>
          <w:rFonts w:ascii="Times New Roman" w:eastAsia="Times New Roman" w:hAnsi="Times New Roman" w:cs="Times New Roman"/>
          <w:lang w:eastAsia="lt-LT"/>
        </w:rPr>
        <w:t xml:space="preserve"> </w:t>
      </w:r>
      <w:r w:rsidR="008C4948" w:rsidRPr="00CD6C5C">
        <w:rPr>
          <w:rFonts w:ascii="Times New Roman" w:eastAsia="Times New Roman" w:hAnsi="Times New Roman" w:cs="Times New Roman"/>
          <w:lang w:eastAsia="lt-LT"/>
        </w:rPr>
        <w:t>Tabletę nurykite nepažeistą užgerdami vandeniu. Tabletes galima gerti valgio metu arba nevalgius.</w:t>
      </w:r>
    </w:p>
    <w:p w14:paraId="66870A26"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659D453F" w14:textId="77777777" w:rsidR="008C4948" w:rsidRPr="00CD6C5C" w:rsidRDefault="008C4948" w:rsidP="008C4948">
      <w:pPr>
        <w:numPr>
          <w:ilvl w:val="12"/>
          <w:numId w:val="0"/>
        </w:numPr>
        <w:spacing w:after="0" w:line="240" w:lineRule="auto"/>
        <w:ind w:right="-2"/>
        <w:outlineLvl w:val="0"/>
        <w:rPr>
          <w:rFonts w:ascii="Times New Roman" w:hAnsi="Times New Roman" w:cs="Times New Roman"/>
          <w:b/>
          <w:bCs/>
          <w:color w:val="000000"/>
        </w:rPr>
      </w:pPr>
      <w:r w:rsidRPr="00CD6C5C">
        <w:rPr>
          <w:rFonts w:ascii="Times New Roman" w:hAnsi="Times New Roman" w:cs="Times New Roman"/>
          <w:b/>
          <w:bCs/>
          <w:color w:val="000000"/>
        </w:rPr>
        <w:t>Erekcijos funkcijos sutrikimo gydymas</w:t>
      </w:r>
    </w:p>
    <w:p w14:paraId="5D765BE0" w14:textId="77777777" w:rsidR="008C4948" w:rsidRPr="00CD6C5C" w:rsidRDefault="008C4948" w:rsidP="008C4948">
      <w:pPr>
        <w:numPr>
          <w:ilvl w:val="12"/>
          <w:numId w:val="0"/>
        </w:numPr>
        <w:spacing w:after="0" w:line="240" w:lineRule="auto"/>
        <w:ind w:right="-2"/>
        <w:outlineLvl w:val="0"/>
        <w:rPr>
          <w:rFonts w:ascii="Times New Roman" w:hAnsi="Times New Roman" w:cs="Times New Roman"/>
        </w:rPr>
      </w:pPr>
      <w:r w:rsidRPr="00CD6C5C">
        <w:rPr>
          <w:rFonts w:ascii="Times New Roman" w:eastAsia="Times New Roman" w:hAnsi="Times New Roman" w:cs="Times New Roman"/>
          <w:b/>
          <w:bCs/>
          <w:lang w:eastAsia="lt-LT"/>
        </w:rPr>
        <w:t xml:space="preserve">Rekomenduojama pradinė dozė </w:t>
      </w:r>
      <w:r w:rsidRPr="00CD6C5C">
        <w:rPr>
          <w:rFonts w:ascii="Times New Roman" w:eastAsia="Times New Roman" w:hAnsi="Times New Roman" w:cs="Times New Roman"/>
          <w:lang w:eastAsia="lt-LT"/>
        </w:rPr>
        <w:t xml:space="preserve">yra viena 10 mg tabletė, geriama prieš seksualinius santykius. Jei ši dozė veikia per silpnai, gydytojas gali ją padidinti iki 20 mg. Tadalafil Accord </w:t>
      </w:r>
      <w:r w:rsidRPr="00CD6C5C">
        <w:rPr>
          <w:rFonts w:ascii="Times New Roman" w:hAnsi="Times New Roman" w:cs="Times New Roman"/>
        </w:rPr>
        <w:t xml:space="preserve">tabletės skirtos vartoti per burną. </w:t>
      </w:r>
    </w:p>
    <w:p w14:paraId="20AF7FFC" w14:textId="77777777" w:rsidR="008C4948" w:rsidRPr="00CD6C5C" w:rsidRDefault="008C4948" w:rsidP="008C4948">
      <w:pPr>
        <w:numPr>
          <w:ilvl w:val="12"/>
          <w:numId w:val="0"/>
        </w:numPr>
        <w:spacing w:after="0" w:line="240" w:lineRule="auto"/>
        <w:ind w:right="-2"/>
        <w:outlineLvl w:val="0"/>
        <w:rPr>
          <w:rFonts w:ascii="Times New Roman" w:hAnsi="Times New Roman" w:cs="Times New Roman"/>
        </w:rPr>
      </w:pPr>
    </w:p>
    <w:p w14:paraId="07CDB7B3" w14:textId="77777777" w:rsidR="008C4948" w:rsidRPr="00CD6C5C" w:rsidRDefault="008C4948" w:rsidP="008C4948">
      <w:pPr>
        <w:numPr>
          <w:ilvl w:val="12"/>
          <w:numId w:val="0"/>
        </w:numPr>
        <w:spacing w:after="0" w:line="240" w:lineRule="auto"/>
        <w:ind w:right="-2"/>
        <w:outlineLvl w:val="0"/>
        <w:rPr>
          <w:rFonts w:ascii="Times New Roman" w:hAnsi="Times New Roman" w:cs="Times New Roman"/>
        </w:rPr>
      </w:pPr>
      <w:r w:rsidRPr="00CD6C5C">
        <w:rPr>
          <w:rFonts w:ascii="Times New Roman" w:eastAsia="Times New Roman" w:hAnsi="Times New Roman" w:cs="Times New Roman"/>
          <w:lang w:eastAsia="lt-LT"/>
        </w:rPr>
        <w:t xml:space="preserve">Tadalafil Accord </w:t>
      </w:r>
      <w:r w:rsidRPr="00CD6C5C">
        <w:rPr>
          <w:rFonts w:ascii="Times New Roman" w:hAnsi="Times New Roman" w:cs="Times New Roman"/>
        </w:rPr>
        <w:t xml:space="preserve">galite gerti, likus 30 min. iki seksualinių santykių. </w:t>
      </w:r>
    </w:p>
    <w:p w14:paraId="7A0CF6A3" w14:textId="77777777" w:rsidR="008C4948" w:rsidRPr="00CD6C5C" w:rsidRDefault="008C4948" w:rsidP="008C4948">
      <w:pPr>
        <w:numPr>
          <w:ilvl w:val="12"/>
          <w:numId w:val="0"/>
        </w:numPr>
        <w:spacing w:after="0" w:line="240" w:lineRule="auto"/>
        <w:ind w:right="-2"/>
        <w:outlineLvl w:val="0"/>
        <w:rPr>
          <w:rFonts w:ascii="Times New Roman" w:hAnsi="Times New Roman" w:cs="Times New Roman"/>
        </w:rPr>
      </w:pPr>
      <w:r w:rsidRPr="00CD6C5C">
        <w:rPr>
          <w:rFonts w:ascii="Times New Roman" w:hAnsi="Times New Roman" w:cs="Times New Roman"/>
        </w:rPr>
        <w:lastRenderedPageBreak/>
        <w:t xml:space="preserve">Išgerto vaisto poveikis gali trukti iki 36 valandų. </w:t>
      </w:r>
    </w:p>
    <w:p w14:paraId="5E5EB649" w14:textId="77777777" w:rsidR="008C4948" w:rsidRPr="00CD6C5C" w:rsidRDefault="008C4948" w:rsidP="008C4948">
      <w:pPr>
        <w:numPr>
          <w:ilvl w:val="12"/>
          <w:numId w:val="0"/>
        </w:numPr>
        <w:spacing w:after="0" w:line="240" w:lineRule="auto"/>
        <w:ind w:right="-2"/>
        <w:outlineLvl w:val="0"/>
        <w:rPr>
          <w:rFonts w:ascii="Times New Roman" w:hAnsi="Times New Roman" w:cs="Times New Roman"/>
        </w:rPr>
      </w:pPr>
    </w:p>
    <w:p w14:paraId="7283FE16" w14:textId="77777777" w:rsidR="008C4948" w:rsidRPr="00CD6C5C" w:rsidRDefault="008C4948" w:rsidP="008C4948">
      <w:pPr>
        <w:numPr>
          <w:ilvl w:val="12"/>
          <w:numId w:val="0"/>
        </w:numPr>
        <w:spacing w:after="0" w:line="240" w:lineRule="auto"/>
        <w:ind w:right="-2"/>
        <w:outlineLvl w:val="0"/>
        <w:rPr>
          <w:rFonts w:ascii="Times New Roman" w:hAnsi="Times New Roman" w:cs="Times New Roman"/>
        </w:rPr>
      </w:pPr>
      <w:r w:rsidRPr="00CD6C5C">
        <w:rPr>
          <w:rFonts w:ascii="Times New Roman" w:hAnsi="Times New Roman" w:cs="Times New Roman"/>
        </w:rPr>
        <w:t xml:space="preserve">Daugiau negu vieną kartą per parą </w:t>
      </w:r>
      <w:r w:rsidRPr="00CD6C5C">
        <w:rPr>
          <w:rFonts w:ascii="Times New Roman" w:eastAsia="Times New Roman" w:hAnsi="Times New Roman" w:cs="Times New Roman"/>
          <w:lang w:eastAsia="lt-LT"/>
        </w:rPr>
        <w:t xml:space="preserve">Tadalafil Accord </w:t>
      </w:r>
      <w:r w:rsidRPr="00CD6C5C">
        <w:rPr>
          <w:rFonts w:ascii="Times New Roman" w:hAnsi="Times New Roman" w:cs="Times New Roman"/>
        </w:rPr>
        <w:t xml:space="preserve">nevartokite. </w:t>
      </w:r>
      <w:r w:rsidRPr="00CD6C5C">
        <w:rPr>
          <w:rFonts w:ascii="Times New Roman" w:eastAsia="Times New Roman" w:hAnsi="Times New Roman" w:cs="Times New Roman"/>
          <w:lang w:eastAsia="lt-LT"/>
        </w:rPr>
        <w:t xml:space="preserve">Tadalafil Accord </w:t>
      </w:r>
      <w:r w:rsidRPr="00CD6C5C">
        <w:rPr>
          <w:rFonts w:ascii="Times New Roman" w:hAnsi="Times New Roman" w:cs="Times New Roman"/>
        </w:rPr>
        <w:t xml:space="preserve">10 mg ir 20 mg tabletės skirtos vartoti prieš numatomus lytinius santykius, nuolat kiekvieną parą jų vartoti nerekomenduojama. </w:t>
      </w:r>
    </w:p>
    <w:p w14:paraId="4CB77D97" w14:textId="77777777" w:rsidR="008C4948" w:rsidRPr="00CD6C5C" w:rsidRDefault="008C4948" w:rsidP="008C4948">
      <w:pPr>
        <w:numPr>
          <w:ilvl w:val="12"/>
          <w:numId w:val="0"/>
        </w:numPr>
        <w:spacing w:after="0" w:line="240" w:lineRule="auto"/>
        <w:ind w:right="-2"/>
        <w:outlineLvl w:val="0"/>
        <w:rPr>
          <w:rFonts w:ascii="Times New Roman" w:hAnsi="Times New Roman" w:cs="Times New Roman"/>
        </w:rPr>
      </w:pPr>
    </w:p>
    <w:p w14:paraId="3659DD67"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hAnsi="Times New Roman" w:cs="Times New Roman"/>
        </w:rPr>
        <w:t xml:space="preserve">Svarbu įsidėmėti, kad </w:t>
      </w:r>
      <w:r w:rsidRPr="00CD6C5C">
        <w:rPr>
          <w:rFonts w:ascii="Times New Roman" w:eastAsia="Times New Roman" w:hAnsi="Times New Roman" w:cs="Times New Roman"/>
          <w:lang w:eastAsia="lt-LT"/>
        </w:rPr>
        <w:t xml:space="preserve">Tadalafil Accord </w:t>
      </w:r>
      <w:r w:rsidRPr="00CD6C5C">
        <w:rPr>
          <w:rFonts w:ascii="Times New Roman" w:hAnsi="Times New Roman" w:cs="Times New Roman"/>
        </w:rPr>
        <w:t xml:space="preserve">neveikia be seksualinės stimuliacijos. Jūs su savo partnere turite pradėti lytinį žaidimą lygiai taip pat kaip ir nevartodamas vaistų nuo erekcijos disfunkcijos. </w:t>
      </w:r>
    </w:p>
    <w:p w14:paraId="308F8033"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Alkoholis gali veikti gebėjimą sukelti erekciją ir laikinai sumažinti kraujospūdį. Jeigu pavartojote arba planuojate pavartoti Tadalafil Accord, daug alkoholio (kai alkoholio koncentracija kraujyje būna 0,08% arba didesnė) negerkite, nes tai gali padidinti svaigulio riziką stojantis.</w:t>
      </w:r>
    </w:p>
    <w:p w14:paraId="0C35FED2"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u w:val="single"/>
          <w:lang w:eastAsia="lt-LT"/>
        </w:rPr>
      </w:pPr>
    </w:p>
    <w:p w14:paraId="0E7D6D0C" w14:textId="7E56C2E4"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Ką daryti pavartojus per didelę Tadalafil Accord dozę</w:t>
      </w:r>
    </w:p>
    <w:p w14:paraId="7CCD2605" w14:textId="77777777" w:rsidR="008C4948" w:rsidRPr="00CD6C5C" w:rsidRDefault="008C4948" w:rsidP="008C4948">
      <w:pPr>
        <w:tabs>
          <w:tab w:val="left" w:pos="567"/>
        </w:tabs>
        <w:autoSpaceDE w:val="0"/>
        <w:autoSpaceDN w:val="0"/>
        <w:adjustRightInd w:val="0"/>
        <w:spacing w:after="0" w:line="240" w:lineRule="auto"/>
        <w:rPr>
          <w:rFonts w:ascii="Times New Roman" w:eastAsia="Times New Roman" w:hAnsi="Times New Roman" w:cs="Times New Roman"/>
          <w:bCs/>
          <w:lang w:eastAsia="lt-LT"/>
        </w:rPr>
      </w:pPr>
      <w:r w:rsidRPr="00CD6C5C">
        <w:rPr>
          <w:rFonts w:ascii="Times New Roman" w:eastAsia="Times New Roman" w:hAnsi="Times New Roman" w:cs="Times New Roman"/>
          <w:lang w:eastAsia="lt-LT"/>
        </w:rPr>
        <w:t>Jeigu Jūs arba kas nors kitas išgėrė daugiau tablečių nei paskirta, pasakykite gydytojui arba nedelsdami vykite į ligoninę, kartu pasiimkite vaistą arba pakuotę. Gali pasireikšti bet kuris šalutinis poveikis, aprašytas 4 skyriuje.</w:t>
      </w:r>
    </w:p>
    <w:p w14:paraId="653884A7" w14:textId="77777777" w:rsidR="008C4948" w:rsidRPr="00CD6C5C" w:rsidRDefault="008C4948" w:rsidP="008C4948">
      <w:pPr>
        <w:tabs>
          <w:tab w:val="left" w:pos="567"/>
        </w:tabs>
        <w:autoSpaceDE w:val="0"/>
        <w:autoSpaceDN w:val="0"/>
        <w:adjustRightInd w:val="0"/>
        <w:spacing w:after="0" w:line="240" w:lineRule="auto"/>
        <w:rPr>
          <w:rFonts w:ascii="Times New Roman" w:eastAsia="Times New Roman" w:hAnsi="Times New Roman" w:cs="Times New Roman"/>
          <w:bCs/>
          <w:lang w:eastAsia="lt-LT"/>
        </w:rPr>
      </w:pPr>
    </w:p>
    <w:p w14:paraId="4445D7CE"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Pamiršus pavartoti Tadalafil Accord</w:t>
      </w:r>
    </w:p>
    <w:p w14:paraId="4674CB35" w14:textId="77777777" w:rsidR="008C4948" w:rsidRPr="00CD6C5C" w:rsidRDefault="008C4948" w:rsidP="008C4948">
      <w:pPr>
        <w:tabs>
          <w:tab w:val="left" w:pos="567"/>
        </w:tabs>
        <w:autoSpaceDE w:val="0"/>
        <w:autoSpaceDN w:val="0"/>
        <w:adjustRightInd w:val="0"/>
        <w:spacing w:after="0" w:line="240" w:lineRule="auto"/>
        <w:rPr>
          <w:rFonts w:ascii="Times New Roman" w:eastAsia="Times New Roman" w:hAnsi="Times New Roman" w:cs="Times New Roman"/>
          <w:bCs/>
          <w:lang w:eastAsia="lt-LT"/>
        </w:rPr>
      </w:pPr>
      <w:r w:rsidRPr="00CD6C5C">
        <w:rPr>
          <w:rFonts w:ascii="Times New Roman" w:eastAsia="Times New Roman" w:hAnsi="Times New Roman" w:cs="Times New Roman"/>
          <w:bCs/>
          <w:lang w:eastAsia="lt-LT"/>
        </w:rPr>
        <w:t>Išgerkite dozę, kai tik prisiminsite, tačiau negalima vartoti dvigubos dozės norint kompensuoti praleistą tabletę.</w:t>
      </w:r>
      <w:r w:rsidRPr="00CD6C5C">
        <w:rPr>
          <w:rFonts w:ascii="Times New Roman" w:eastAsia="Times New Roman" w:hAnsi="Times New Roman" w:cs="Times New Roman"/>
          <w:lang w:eastAsia="lt-LT"/>
        </w:rPr>
        <w:t xml:space="preserve"> Tadalafil Accord negalima vartoti dažniau kaip kartą per parą.</w:t>
      </w:r>
    </w:p>
    <w:p w14:paraId="09A49423" w14:textId="77777777" w:rsidR="008C4948" w:rsidRPr="00CD6C5C" w:rsidRDefault="008C4948" w:rsidP="008C4948">
      <w:pPr>
        <w:tabs>
          <w:tab w:val="left" w:pos="567"/>
        </w:tabs>
        <w:autoSpaceDE w:val="0"/>
        <w:autoSpaceDN w:val="0"/>
        <w:adjustRightInd w:val="0"/>
        <w:spacing w:after="0" w:line="240" w:lineRule="auto"/>
        <w:rPr>
          <w:rFonts w:ascii="Times New Roman" w:eastAsia="Times New Roman" w:hAnsi="Times New Roman" w:cs="Times New Roman"/>
          <w:bCs/>
          <w:lang w:eastAsia="lt-LT"/>
        </w:rPr>
      </w:pPr>
    </w:p>
    <w:p w14:paraId="09D3BB11"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kiltų daugiau klausimų dėl šio vaisto vartojimo, kreipkitės į gydytoją arba vaistininką.</w:t>
      </w:r>
    </w:p>
    <w:p w14:paraId="1ABC1F12"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3E00A93D"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3A696FBD" w14:textId="77777777" w:rsidR="008C4948" w:rsidRPr="00CD6C5C" w:rsidRDefault="008C4948" w:rsidP="008C4948">
      <w:pPr>
        <w:numPr>
          <w:ilvl w:val="12"/>
          <w:numId w:val="0"/>
        </w:numPr>
        <w:spacing w:after="0" w:line="240" w:lineRule="auto"/>
        <w:ind w:left="567" w:right="-2" w:hanging="567"/>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4.</w:t>
      </w:r>
      <w:r w:rsidRPr="00CD6C5C">
        <w:rPr>
          <w:rFonts w:ascii="Times New Roman" w:eastAsia="Times New Roman" w:hAnsi="Times New Roman" w:cs="Times New Roman"/>
          <w:b/>
          <w:lang w:eastAsia="lt-LT"/>
        </w:rPr>
        <w:tab/>
        <w:t>Galimas šalutinis poveikis</w:t>
      </w:r>
    </w:p>
    <w:p w14:paraId="79F072AF"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186C994A"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Šis vaistas, kaip ir visi kiti, gali sukelti šalutinį poveikį, nors jis pasireiškia ne visiems žmonėms.</w:t>
      </w:r>
      <w:r w:rsidRPr="00CD6C5C">
        <w:rPr>
          <w:rFonts w:ascii="Times New Roman" w:eastAsia="Times New Roman" w:hAnsi="Times New Roman" w:cs="Times New Roman"/>
          <w:snapToGrid w:val="0"/>
        </w:rPr>
        <w:t xml:space="preserve"> </w:t>
      </w:r>
      <w:r w:rsidRPr="00CD6C5C">
        <w:rPr>
          <w:rFonts w:ascii="Times New Roman" w:eastAsia="Times New Roman" w:hAnsi="Times New Roman" w:cs="Times New Roman"/>
          <w:lang w:eastAsia="lt-LT"/>
        </w:rPr>
        <w:t xml:space="preserve">Paprastai toks poveikis būna lengvas arba vidutinio sunkumo. </w:t>
      </w:r>
    </w:p>
    <w:p w14:paraId="19416D26"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p>
    <w:p w14:paraId="7E05064B"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Jeigu pasireiškia kuris nors toliau išvardytas šalutinis poveikis, nutraukite vaisto vartojimą ir nedelsdami kreipkitės į gydytoją. </w:t>
      </w:r>
    </w:p>
    <w:p w14:paraId="21CF73FE"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alerginės reakcijos, įskaitant išbėrimą (pasireiškia nedažnai);</w:t>
      </w:r>
    </w:p>
    <w:p w14:paraId="2EA19DC8" w14:textId="43D2549E"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krūtinės skausmas: </w:t>
      </w:r>
      <w:r w:rsidR="002461DD">
        <w:rPr>
          <w:rFonts w:ascii="Times New Roman" w:eastAsia="Times New Roman" w:hAnsi="Times New Roman" w:cs="Times New Roman"/>
          <w:lang w:eastAsia="lt-LT"/>
        </w:rPr>
        <w:t>draudžiama</w:t>
      </w:r>
      <w:r w:rsidR="002461DD" w:rsidRPr="00CD6C5C">
        <w:rPr>
          <w:rFonts w:ascii="Times New Roman" w:eastAsia="Times New Roman" w:hAnsi="Times New Roman" w:cs="Times New Roman"/>
          <w:lang w:eastAsia="lt-LT"/>
        </w:rPr>
        <w:t xml:space="preserve"> </w:t>
      </w:r>
      <w:r w:rsidRPr="00CD6C5C">
        <w:rPr>
          <w:rFonts w:ascii="Times New Roman" w:eastAsia="Times New Roman" w:hAnsi="Times New Roman" w:cs="Times New Roman"/>
          <w:lang w:eastAsia="lt-LT"/>
        </w:rPr>
        <w:t>vartoti nitratų, reikia nedelsiant kreiptis medicininės pagalbos (pasireiškia nedažnai);</w:t>
      </w:r>
    </w:p>
    <w:p w14:paraId="092ED894"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priapizmas, ilgalaikė erekcija, kuri gali būti skausminga, po Tadalafil Accord pavartojimo (pasireiškia retai). Jeigu pasireiškia tokia erekcija, kuri nepaliaujamai išsilaiko ilgiau kaip 4 valandas, turite nedelsdami kreiptis į gydytoją;</w:t>
      </w:r>
    </w:p>
    <w:p w14:paraId="65374DDA" w14:textId="58FA18FC"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staigus apakimas (pasireiškia retai)</w:t>
      </w:r>
      <w:r w:rsidR="006B14A9" w:rsidRPr="00700C44">
        <w:rPr>
          <w:rFonts w:ascii="Times New Roman" w:eastAsia="Times New Roman" w:hAnsi="Times New Roman" w:cs="Times New Roman"/>
          <w:lang w:eastAsia="lt-LT"/>
        </w:rPr>
        <w:t>,</w:t>
      </w:r>
      <w:r w:rsidR="006B14A9" w:rsidRPr="009B135B">
        <w:rPr>
          <w:rFonts w:ascii="Times New Roman" w:eastAsia="Times New Roman" w:hAnsi="Times New Roman" w:cs="Times New Roman"/>
          <w:lang w:eastAsia="lt-LT"/>
        </w:rPr>
        <w:t xml:space="preserve"> </w:t>
      </w:r>
      <w:r w:rsidR="006B14A9" w:rsidRPr="00700C44">
        <w:rPr>
          <w:rFonts w:ascii="Times New Roman" w:eastAsia="Times New Roman" w:hAnsi="Times New Roman" w:cs="Times New Roman"/>
          <w:lang w:eastAsia="lt-LT"/>
        </w:rPr>
        <w:t>iškreiptas, blankus, neryškus centrinis matymas arba staigus regos susilpnėjimas (dažnis nežinomas)</w:t>
      </w:r>
      <w:r w:rsidRPr="00CD6C5C">
        <w:rPr>
          <w:rFonts w:ascii="Times New Roman" w:eastAsia="Times New Roman" w:hAnsi="Times New Roman" w:cs="Times New Roman"/>
          <w:lang w:eastAsia="lt-LT"/>
        </w:rPr>
        <w:t xml:space="preserve">. </w:t>
      </w:r>
    </w:p>
    <w:p w14:paraId="15B284DB" w14:textId="77777777" w:rsidR="008C4948" w:rsidRPr="00CD6C5C" w:rsidRDefault="008C4948" w:rsidP="008C4948">
      <w:pPr>
        <w:spacing w:after="0" w:line="240" w:lineRule="auto"/>
        <w:ind w:right="-29"/>
        <w:rPr>
          <w:rFonts w:ascii="Times New Roman" w:eastAsia="Times New Roman" w:hAnsi="Times New Roman" w:cs="Times New Roman"/>
          <w:lang w:eastAsia="lt-LT"/>
        </w:rPr>
      </w:pPr>
    </w:p>
    <w:p w14:paraId="7C9F852B"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Buvo pranešta apie kitus šalutinio poveikio atvejus.</w:t>
      </w:r>
    </w:p>
    <w:p w14:paraId="0EC4CAFE"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p>
    <w:p w14:paraId="2EAC3C3B" w14:textId="2613D4B9" w:rsidR="008C4948" w:rsidRPr="00CD6C5C" w:rsidRDefault="00BB40D9" w:rsidP="008C4948">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Dažn</w:t>
      </w:r>
      <w:r>
        <w:rPr>
          <w:rFonts w:ascii="Times New Roman" w:eastAsia="Times New Roman" w:hAnsi="Times New Roman" w:cs="Times New Roman"/>
          <w:b/>
          <w:lang w:eastAsia="lt-LT"/>
        </w:rPr>
        <w:t xml:space="preserve">i </w:t>
      </w:r>
      <w:r w:rsidRPr="00BB40D9">
        <w:rPr>
          <w:rFonts w:ascii="Times New Roman" w:eastAsia="Times New Roman" w:hAnsi="Times New Roman" w:cs="Times New Roman"/>
          <w:b/>
          <w:lang w:eastAsia="lt-LT"/>
        </w:rPr>
        <w:t>šalutinio poveikio reiškiniai</w:t>
      </w:r>
      <w:r w:rsidRPr="00CD6C5C">
        <w:rPr>
          <w:rFonts w:ascii="Times New Roman" w:eastAsia="Times New Roman" w:hAnsi="Times New Roman" w:cs="Times New Roman"/>
          <w:b/>
          <w:lang w:eastAsia="lt-LT"/>
        </w:rPr>
        <w:t xml:space="preserve"> </w:t>
      </w:r>
      <w:r w:rsidR="008C4948" w:rsidRPr="00CD6C5C">
        <w:rPr>
          <w:rFonts w:ascii="Times New Roman" w:eastAsia="Times New Roman" w:hAnsi="Times New Roman" w:cs="Times New Roman"/>
          <w:lang w:eastAsia="lt-LT"/>
        </w:rPr>
        <w:t xml:space="preserve">(gali pasireikšti </w:t>
      </w:r>
      <w:r w:rsidR="0070061D" w:rsidRPr="0070061D">
        <w:rPr>
          <w:rFonts w:ascii="Times New Roman" w:eastAsia="Times New Roman" w:hAnsi="Times New Roman" w:cs="Times New Roman"/>
          <w:lang w:eastAsia="lt-LT"/>
        </w:rPr>
        <w:t xml:space="preserve">rečiau </w:t>
      </w:r>
      <w:r w:rsidR="008C4948" w:rsidRPr="00CD6C5C">
        <w:rPr>
          <w:rFonts w:ascii="Times New Roman" w:eastAsia="Times New Roman" w:hAnsi="Times New Roman" w:cs="Times New Roman"/>
          <w:lang w:eastAsia="lt-LT"/>
        </w:rPr>
        <w:t xml:space="preserve">kaip 1 iš 10 </w:t>
      </w:r>
      <w:r w:rsidR="0070061D">
        <w:rPr>
          <w:rFonts w:ascii="Times New Roman" w:eastAsia="Times New Roman" w:hAnsi="Times New Roman" w:cs="Times New Roman"/>
          <w:lang w:eastAsia="lt-LT"/>
        </w:rPr>
        <w:t>asmen</w:t>
      </w:r>
      <w:r w:rsidR="008C4948" w:rsidRPr="00CD6C5C">
        <w:rPr>
          <w:rFonts w:ascii="Times New Roman" w:eastAsia="Times New Roman" w:hAnsi="Times New Roman" w:cs="Times New Roman"/>
          <w:lang w:eastAsia="lt-LT"/>
        </w:rPr>
        <w:t>ų):</w:t>
      </w:r>
    </w:p>
    <w:p w14:paraId="208F61A0" w14:textId="7704FE6C"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galvos skausmas, nugaros skausmas, raumenų skausmas, rankų ir kojų skausmas, veido paraudimas, nosies užgulimas ir nevirškinimas.</w:t>
      </w:r>
    </w:p>
    <w:p w14:paraId="37A107D3" w14:textId="77777777" w:rsidR="008C4948" w:rsidRPr="00CD6C5C" w:rsidRDefault="008C4948" w:rsidP="008C4948">
      <w:pPr>
        <w:spacing w:after="0" w:line="240" w:lineRule="auto"/>
        <w:ind w:right="-29"/>
        <w:rPr>
          <w:rFonts w:ascii="Times New Roman" w:eastAsia="Times New Roman" w:hAnsi="Times New Roman" w:cs="Times New Roman"/>
          <w:lang w:eastAsia="lt-LT"/>
        </w:rPr>
      </w:pPr>
    </w:p>
    <w:p w14:paraId="37B5F52E" w14:textId="34E7507A" w:rsidR="008C4948" w:rsidRPr="00CD6C5C" w:rsidRDefault="00BB40D9" w:rsidP="008C4948">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Nedažn</w:t>
      </w:r>
      <w:r>
        <w:rPr>
          <w:rFonts w:ascii="Times New Roman" w:eastAsia="Times New Roman" w:hAnsi="Times New Roman" w:cs="Times New Roman"/>
          <w:b/>
          <w:lang w:eastAsia="lt-LT"/>
        </w:rPr>
        <w:t xml:space="preserve">i </w:t>
      </w:r>
      <w:r w:rsidRPr="00BB40D9">
        <w:rPr>
          <w:rFonts w:ascii="Times New Roman" w:eastAsia="Times New Roman" w:hAnsi="Times New Roman" w:cs="Times New Roman"/>
          <w:b/>
          <w:lang w:eastAsia="lt-LT"/>
        </w:rPr>
        <w:t>šalutinio poveikio reiškiniai</w:t>
      </w:r>
      <w:r w:rsidRPr="00CD6C5C">
        <w:rPr>
          <w:rFonts w:ascii="Times New Roman" w:eastAsia="Times New Roman" w:hAnsi="Times New Roman" w:cs="Times New Roman"/>
          <w:b/>
          <w:lang w:eastAsia="lt-LT"/>
        </w:rPr>
        <w:t xml:space="preserve"> </w:t>
      </w:r>
      <w:r w:rsidR="008C4948" w:rsidRPr="00CD6C5C">
        <w:rPr>
          <w:rFonts w:ascii="Times New Roman" w:eastAsia="Times New Roman" w:hAnsi="Times New Roman" w:cs="Times New Roman"/>
          <w:lang w:eastAsia="lt-LT"/>
        </w:rPr>
        <w:t xml:space="preserve">(gali pasireikšti </w:t>
      </w:r>
      <w:r w:rsidR="0070061D" w:rsidRPr="0070061D">
        <w:rPr>
          <w:rFonts w:ascii="Times New Roman" w:eastAsia="Times New Roman" w:hAnsi="Times New Roman" w:cs="Times New Roman"/>
          <w:lang w:eastAsia="lt-LT"/>
        </w:rPr>
        <w:t xml:space="preserve">rečiau </w:t>
      </w:r>
      <w:r w:rsidR="008C4948" w:rsidRPr="00CD6C5C">
        <w:rPr>
          <w:rFonts w:ascii="Times New Roman" w:eastAsia="Times New Roman" w:hAnsi="Times New Roman" w:cs="Times New Roman"/>
          <w:lang w:eastAsia="lt-LT"/>
        </w:rPr>
        <w:t xml:space="preserve">kaip 1 iš 100 </w:t>
      </w:r>
      <w:r w:rsidR="0070061D">
        <w:rPr>
          <w:rFonts w:ascii="Times New Roman" w:eastAsia="Times New Roman" w:hAnsi="Times New Roman" w:cs="Times New Roman"/>
          <w:lang w:eastAsia="lt-LT"/>
        </w:rPr>
        <w:t>asmen</w:t>
      </w:r>
      <w:r w:rsidR="0070061D" w:rsidRPr="00CD6C5C">
        <w:rPr>
          <w:rFonts w:ascii="Times New Roman" w:eastAsia="Times New Roman" w:hAnsi="Times New Roman" w:cs="Times New Roman"/>
          <w:lang w:eastAsia="lt-LT"/>
        </w:rPr>
        <w:t>ų</w:t>
      </w:r>
      <w:r w:rsidR="008C4948" w:rsidRPr="00CD6C5C">
        <w:rPr>
          <w:rFonts w:ascii="Times New Roman" w:eastAsia="Times New Roman" w:hAnsi="Times New Roman" w:cs="Times New Roman"/>
          <w:lang w:eastAsia="lt-LT"/>
        </w:rPr>
        <w:t>):</w:t>
      </w:r>
    </w:p>
    <w:p w14:paraId="5A8BC325"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svaigulys, pilvo skausmas, šleikštulys, pykinimas (vėmimas), refliuksas, daiktų matymas lyg per miglą, akių skausmas, kvėpavimo pasunkėjimas, kraujas šlapime, ilgalaikė erekcija, dažno širdies plakimo jutimas, dažnas širdies plakimas, kraujospūdžio padidėjimas, kraujospūdžio sumažėjimas, kraujavimas iš nosies, skambėjimas ausyse, rankų, pėdų ar kulkšnių patinimas, nuovargis. </w:t>
      </w:r>
    </w:p>
    <w:p w14:paraId="3ECA4FB0" w14:textId="77777777" w:rsidR="008C4948" w:rsidRPr="00CD6C5C" w:rsidRDefault="008C4948" w:rsidP="008C4948">
      <w:pPr>
        <w:spacing w:after="0" w:line="240" w:lineRule="auto"/>
        <w:ind w:right="-29"/>
        <w:rPr>
          <w:rFonts w:ascii="Times New Roman" w:eastAsia="Times New Roman" w:hAnsi="Times New Roman" w:cs="Times New Roman"/>
          <w:lang w:eastAsia="lt-LT"/>
        </w:rPr>
      </w:pPr>
    </w:p>
    <w:p w14:paraId="725FE654" w14:textId="4F9132F3" w:rsidR="008C4948" w:rsidRPr="00CD6C5C" w:rsidRDefault="00BB40D9" w:rsidP="007D3ACB">
      <w:pPr>
        <w:keepNext/>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lastRenderedPageBreak/>
        <w:t>Ret</w:t>
      </w:r>
      <w:r>
        <w:rPr>
          <w:rFonts w:ascii="Times New Roman" w:eastAsia="Times New Roman" w:hAnsi="Times New Roman" w:cs="Times New Roman"/>
          <w:b/>
          <w:lang w:eastAsia="lt-LT"/>
        </w:rPr>
        <w:t xml:space="preserve">i </w:t>
      </w:r>
      <w:r w:rsidRPr="00BB40D9">
        <w:rPr>
          <w:rFonts w:ascii="Times New Roman" w:eastAsia="Times New Roman" w:hAnsi="Times New Roman" w:cs="Times New Roman"/>
          <w:b/>
          <w:lang w:eastAsia="lt-LT"/>
        </w:rPr>
        <w:t>šalutinio poveikio reiškiniai</w:t>
      </w:r>
      <w:r w:rsidRPr="00CD6C5C">
        <w:rPr>
          <w:rFonts w:ascii="Times New Roman" w:eastAsia="Times New Roman" w:hAnsi="Times New Roman" w:cs="Times New Roman"/>
          <w:b/>
          <w:lang w:eastAsia="lt-LT"/>
        </w:rPr>
        <w:t xml:space="preserve"> </w:t>
      </w:r>
      <w:r w:rsidR="008C4948" w:rsidRPr="00CD6C5C">
        <w:rPr>
          <w:rFonts w:ascii="Times New Roman" w:eastAsia="Times New Roman" w:hAnsi="Times New Roman" w:cs="Times New Roman"/>
          <w:lang w:eastAsia="lt-LT"/>
        </w:rPr>
        <w:t xml:space="preserve">(gali pasireikšti </w:t>
      </w:r>
      <w:r w:rsidR="0070061D" w:rsidRPr="0070061D">
        <w:rPr>
          <w:rFonts w:ascii="Times New Roman" w:eastAsia="Times New Roman" w:hAnsi="Times New Roman" w:cs="Times New Roman"/>
          <w:lang w:eastAsia="lt-LT"/>
        </w:rPr>
        <w:t xml:space="preserve">rečiau </w:t>
      </w:r>
      <w:r w:rsidR="008C4948" w:rsidRPr="00CD6C5C">
        <w:rPr>
          <w:rFonts w:ascii="Times New Roman" w:eastAsia="Times New Roman" w:hAnsi="Times New Roman" w:cs="Times New Roman"/>
          <w:lang w:eastAsia="lt-LT"/>
        </w:rPr>
        <w:t xml:space="preserve">kaip 1 iš 1 000 </w:t>
      </w:r>
      <w:r w:rsidR="0070061D">
        <w:rPr>
          <w:rFonts w:ascii="Times New Roman" w:eastAsia="Times New Roman" w:hAnsi="Times New Roman" w:cs="Times New Roman"/>
          <w:lang w:eastAsia="lt-LT"/>
        </w:rPr>
        <w:t>asmen</w:t>
      </w:r>
      <w:r w:rsidR="0070061D" w:rsidRPr="00CD6C5C">
        <w:rPr>
          <w:rFonts w:ascii="Times New Roman" w:eastAsia="Times New Roman" w:hAnsi="Times New Roman" w:cs="Times New Roman"/>
          <w:lang w:eastAsia="lt-LT"/>
        </w:rPr>
        <w:t>ų</w:t>
      </w:r>
      <w:r w:rsidR="008C4948" w:rsidRPr="00CD6C5C">
        <w:rPr>
          <w:rFonts w:ascii="Times New Roman" w:eastAsia="Times New Roman" w:hAnsi="Times New Roman" w:cs="Times New Roman"/>
          <w:lang w:eastAsia="lt-LT"/>
        </w:rPr>
        <w:t>):</w:t>
      </w:r>
    </w:p>
    <w:p w14:paraId="64142B16" w14:textId="77777777" w:rsidR="008C4948" w:rsidRPr="00CD6C5C" w:rsidRDefault="008C4948" w:rsidP="007D3ACB">
      <w:pPr>
        <w:keepNext/>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alpimas, priepuoliai ir artimosios atminties netekimas, akių vokų patinimas, akių paraudimas, staigus klausos susilpnėjimas ar netekimas, dilgėlinė (niežtintys raudoni rumbai ant odos paviršiaus) kraujavimas iš varpos, kraujas spermoje ir prakaitavimo sustiprėjimas. </w:t>
      </w:r>
    </w:p>
    <w:p w14:paraId="74C5CD85" w14:textId="77777777" w:rsidR="008C4948" w:rsidRPr="00CD6C5C" w:rsidRDefault="008C4948" w:rsidP="008C4948">
      <w:pPr>
        <w:spacing w:after="0" w:line="240" w:lineRule="auto"/>
        <w:ind w:right="-29"/>
        <w:rPr>
          <w:rFonts w:ascii="Times New Roman" w:eastAsia="Times New Roman" w:hAnsi="Times New Roman" w:cs="Times New Roman"/>
          <w:lang w:eastAsia="lt-LT"/>
        </w:rPr>
      </w:pPr>
    </w:p>
    <w:p w14:paraId="636A620C"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Gauta pranešimų, kad tadalafilio vartojančius vyrus retais atvejais ištiko širdies priepuolis ar insultas. Daugumai šių vyrų jau buvo širdies veiklos sutrikimų prieš pradedant vartoti šį vaistą. </w:t>
      </w:r>
    </w:p>
    <w:p w14:paraId="03405495"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p>
    <w:p w14:paraId="55F99306"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Pranešta apie retais atvejais atsiradusį dalinį, laikiną ar nuolatinį regėjimo viena ar abiem akimis susilpnėjimą ar praradimą. </w:t>
      </w:r>
    </w:p>
    <w:p w14:paraId="628A1E2D"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p>
    <w:p w14:paraId="67B4A2C0"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Tadalafilio vartojantiems vyrams buvo pastebėtas </w:t>
      </w:r>
      <w:r w:rsidRPr="00CD6C5C">
        <w:rPr>
          <w:rFonts w:ascii="Times New Roman" w:eastAsia="Times New Roman" w:hAnsi="Times New Roman" w:cs="Times New Roman"/>
          <w:b/>
          <w:lang w:eastAsia="lt-LT"/>
        </w:rPr>
        <w:t>kitoks papildomas retas šalutinis poveikis</w:t>
      </w:r>
      <w:r w:rsidRPr="00CD6C5C">
        <w:rPr>
          <w:rFonts w:ascii="Times New Roman" w:eastAsia="Times New Roman" w:hAnsi="Times New Roman" w:cs="Times New Roman"/>
          <w:lang w:eastAsia="lt-LT"/>
        </w:rPr>
        <w:t xml:space="preserve">, kuris klinikinių tyrimų metu nepasireiškė. Toks poveikis yra: </w:t>
      </w:r>
    </w:p>
    <w:p w14:paraId="17D48A00" w14:textId="2CEF793B" w:rsidR="008C4948"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migrena, veido patinimas, sunki alerginė reakcija, sukelianti veido arba gerklės patinimą, sunkus odos išbėrimas, kai kurie sutrikimai, darantys poveikį akių aprūpinimui krauju, nereguliarus širdies plakimas, angina ir staigi mirtis dėl širdies sutrikimo</w:t>
      </w:r>
      <w:r w:rsidR="006B14A9">
        <w:rPr>
          <w:rFonts w:ascii="Times New Roman" w:eastAsia="Times New Roman" w:hAnsi="Times New Roman" w:cs="Times New Roman"/>
          <w:lang w:eastAsia="lt-LT"/>
        </w:rPr>
        <w:t>;</w:t>
      </w:r>
    </w:p>
    <w:p w14:paraId="15D90B7B" w14:textId="7D54752A" w:rsidR="006B14A9" w:rsidRPr="00CD6C5C" w:rsidRDefault="006B14A9"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700C44">
        <w:rPr>
          <w:rFonts w:ascii="Times New Roman" w:eastAsia="Times New Roman" w:hAnsi="Times New Roman" w:cs="Times New Roman"/>
          <w:lang w:eastAsia="lt-LT"/>
        </w:rPr>
        <w:t>iškreiptas, blankus, neryškus centrinis matymas arba staigus regos susilpnėjimas (dažnis nežinomas).</w:t>
      </w:r>
    </w:p>
    <w:p w14:paraId="4FBEEB34" w14:textId="77777777" w:rsidR="008C4948" w:rsidRPr="00CD6C5C" w:rsidRDefault="008C4948" w:rsidP="008C4948">
      <w:pPr>
        <w:spacing w:after="0" w:line="240" w:lineRule="auto"/>
        <w:ind w:right="-29"/>
        <w:rPr>
          <w:rFonts w:ascii="Times New Roman" w:eastAsia="Times New Roman" w:hAnsi="Times New Roman" w:cs="Times New Roman"/>
          <w:lang w:eastAsia="lt-LT"/>
        </w:rPr>
      </w:pPr>
    </w:p>
    <w:p w14:paraId="6A52157C"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Tadalafilio vartojantiems vyresniems negu 75 metų vyrams šalutinis poveikis − svaigulys pasireiškė dažniau. Tadalafilio vartojantiems vyresniems negu 65 metų vyrams viduriavimas pasireiškė dažniau </w:t>
      </w:r>
    </w:p>
    <w:p w14:paraId="2349BFBE" w14:textId="77777777" w:rsidR="00C24C15" w:rsidRPr="00CD6C5C" w:rsidRDefault="00C24C15" w:rsidP="008C4948">
      <w:pPr>
        <w:keepNext/>
        <w:keepLines/>
        <w:numPr>
          <w:ilvl w:val="12"/>
          <w:numId w:val="0"/>
        </w:numPr>
        <w:tabs>
          <w:tab w:val="left" w:pos="567"/>
        </w:tabs>
        <w:spacing w:after="0" w:line="240" w:lineRule="auto"/>
        <w:outlineLvl w:val="0"/>
        <w:rPr>
          <w:rFonts w:ascii="Times New Roman" w:eastAsia="Times New Roman" w:hAnsi="Times New Roman" w:cs="Times New Roman"/>
          <w:b/>
          <w:lang w:eastAsia="lt-LT"/>
        </w:rPr>
      </w:pPr>
    </w:p>
    <w:p w14:paraId="6A0F2FF4" w14:textId="483E90E7" w:rsidR="008C4948" w:rsidRPr="00CD6C5C" w:rsidRDefault="008C4948" w:rsidP="008C4948">
      <w:pPr>
        <w:keepNext/>
        <w:keepLines/>
        <w:numPr>
          <w:ilvl w:val="12"/>
          <w:numId w:val="0"/>
        </w:numPr>
        <w:tabs>
          <w:tab w:val="left" w:pos="567"/>
        </w:tabs>
        <w:spacing w:after="0" w:line="240" w:lineRule="auto"/>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Pranešimas apie šalutinį poveikį</w:t>
      </w:r>
    </w:p>
    <w:p w14:paraId="63AF91C9" w14:textId="78ADC64E" w:rsidR="008C4948" w:rsidRPr="00CD6C5C" w:rsidRDefault="008C4948" w:rsidP="008C4948">
      <w:pPr>
        <w:keepNext/>
        <w:keepLines/>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snapToGrid w:val="0"/>
        </w:rPr>
        <w:t xml:space="preserve">Jeigu pasireiškė šalutinis poveikis, įskaitant šiame lapelyje nenurodytą, pasakykite gydytojui arba vaistininkui. </w:t>
      </w:r>
      <w:r w:rsidR="00C80646" w:rsidRPr="00CD6C5C">
        <w:rPr>
          <w:rFonts w:ascii="Times New Roman" w:eastAsia="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C80646" w:rsidRPr="00CD6C5C">
        <w:rPr>
          <w:rFonts w:ascii="Times New Roman" w:eastAsia="Times New Roman" w:hAnsi="Times New Roman" w:cs="Times New Roman"/>
          <w:snapToGrid w:val="0"/>
          <w:u w:val="single"/>
        </w:rPr>
        <w:t>https://vapris.vvkt.lt/vvkt-web/public/nrv</w:t>
      </w:r>
      <w:r w:rsidR="00C80646" w:rsidRPr="00CD6C5C">
        <w:rPr>
          <w:rFonts w:ascii="Times New Roman" w:eastAsia="Times New Roman" w:hAnsi="Times New Roman" w:cs="Times New Roman"/>
          <w:snapToGrid w:val="0"/>
        </w:rPr>
        <w:t xml:space="preserve"> arba užpildant Paciento pranešimo apie įtariamą nepageidaujamą reakciją (ĮNR) formą, kuri skelbiama </w:t>
      </w:r>
      <w:r w:rsidR="00C80646" w:rsidRPr="00CD6C5C">
        <w:rPr>
          <w:rFonts w:ascii="Times New Roman" w:eastAsia="Times New Roman" w:hAnsi="Times New Roman" w:cs="Times New Roman"/>
          <w:snapToGrid w:val="0"/>
          <w:u w:val="single"/>
        </w:rPr>
        <w:t>https://www.vvkt.lt/index.php?4004286486</w:t>
      </w:r>
      <w:r w:rsidR="00C80646" w:rsidRPr="00CD6C5C">
        <w:rPr>
          <w:rFonts w:ascii="Times New Roman" w:eastAsia="Times New Roman" w:hAnsi="Times New Roman" w:cs="Times New Roman"/>
          <w:snapToGrid w:val="0"/>
        </w:rPr>
        <w:t xml:space="preserve">, ir atsiunčiant elektroniniu paštu (adresu </w:t>
      </w:r>
      <w:r w:rsidR="00C80646" w:rsidRPr="00CD6C5C">
        <w:rPr>
          <w:rFonts w:ascii="Times New Roman" w:eastAsia="Times New Roman" w:hAnsi="Times New Roman" w:cs="Times New Roman"/>
          <w:snapToGrid w:val="0"/>
          <w:u w:val="single"/>
        </w:rPr>
        <w:t>NepageidaujamaR@vvkt.lt</w:t>
      </w:r>
      <w:r w:rsidR="00C80646" w:rsidRPr="00CD6C5C">
        <w:rPr>
          <w:rFonts w:ascii="Times New Roman" w:eastAsia="Times New Roman" w:hAnsi="Times New Roman" w:cs="Times New Roman"/>
          <w:snapToGrid w:val="0"/>
        </w:rPr>
        <w:t xml:space="preserve">) arba nemokamu telefonu 8 800 73 568. </w:t>
      </w:r>
      <w:r w:rsidRPr="00CD6C5C">
        <w:rPr>
          <w:rFonts w:ascii="Times New Roman" w:eastAsia="Times New Roman" w:hAnsi="Times New Roman" w:cs="Times New Roman"/>
          <w:snapToGrid w:val="0"/>
        </w:rPr>
        <w:t>Pranešdami apie šalutinį poveikį galite mums padėti gauti daugiau informacijos apie šio vaisto saugumą.</w:t>
      </w:r>
    </w:p>
    <w:p w14:paraId="6178A64E"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6C90F9D1"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10CCADF5" w14:textId="77777777" w:rsidR="008C4948" w:rsidRPr="00CD6C5C" w:rsidRDefault="008C4948" w:rsidP="008C4948">
      <w:pPr>
        <w:numPr>
          <w:ilvl w:val="12"/>
          <w:numId w:val="0"/>
        </w:numPr>
        <w:spacing w:after="0" w:line="240" w:lineRule="auto"/>
        <w:ind w:left="567" w:right="-2" w:hanging="567"/>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5.</w:t>
      </w:r>
      <w:r w:rsidRPr="00CD6C5C">
        <w:rPr>
          <w:rFonts w:ascii="Times New Roman" w:eastAsia="Times New Roman" w:hAnsi="Times New Roman" w:cs="Times New Roman"/>
          <w:b/>
          <w:lang w:eastAsia="lt-LT"/>
        </w:rPr>
        <w:tab/>
        <w:t>Kaip laikyti Tadalafil Accord</w:t>
      </w:r>
    </w:p>
    <w:p w14:paraId="173A3A31"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2FD72765"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Šį vaistą laikykite vaikams nepastebimoje ir nepasiekiamoje vietoje.</w:t>
      </w:r>
    </w:p>
    <w:p w14:paraId="6C0F0D01"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p>
    <w:p w14:paraId="1872CBDD" w14:textId="3D9D9DF0"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Ant dėžutės arba lizdinės plokštelės po „EXP“ nurodytam tinkamumo laikui pasibaigus, šio vaisto vartoti negalima. Vaistas tinkamas vartoti iki paskutinės nurodyto mėnesio dienos.</w:t>
      </w:r>
    </w:p>
    <w:p w14:paraId="0703915D"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p>
    <w:p w14:paraId="2EEC597A"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Šio vaistinio preparato laikymui specialių temperatūros sąlygų nereikalaujama.</w:t>
      </w:r>
    </w:p>
    <w:p w14:paraId="3C317C1B" w14:textId="77777777" w:rsidR="008C4948" w:rsidRPr="00CD6C5C" w:rsidRDefault="008C4948" w:rsidP="008C4948">
      <w:pPr>
        <w:tabs>
          <w:tab w:val="left" w:pos="567"/>
        </w:tabs>
        <w:spacing w:after="0" w:line="240" w:lineRule="auto"/>
        <w:rPr>
          <w:rFonts w:ascii="Times New Roman" w:eastAsia="Times New Roman" w:hAnsi="Times New Roman" w:cs="Times New Roman"/>
          <w:i/>
          <w:iCs/>
          <w:lang w:eastAsia="lt-LT"/>
        </w:rPr>
      </w:pPr>
    </w:p>
    <w:p w14:paraId="5172E908"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4062ADD9"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24B444C9"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32BF9C86" w14:textId="77777777" w:rsidR="008C4948" w:rsidRPr="00CD6C5C" w:rsidRDefault="008C4948" w:rsidP="00B16E93">
      <w:pPr>
        <w:keepNext/>
        <w:numPr>
          <w:ilvl w:val="12"/>
          <w:numId w:val="0"/>
        </w:numPr>
        <w:spacing w:after="0" w:line="240" w:lineRule="auto"/>
        <w:ind w:left="567" w:right="-2" w:hanging="567"/>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6.</w:t>
      </w:r>
      <w:r w:rsidRPr="00CD6C5C">
        <w:rPr>
          <w:rFonts w:ascii="Times New Roman" w:eastAsia="Times New Roman" w:hAnsi="Times New Roman" w:cs="Times New Roman"/>
          <w:b/>
          <w:lang w:eastAsia="lt-LT"/>
        </w:rPr>
        <w:tab/>
        <w:t>Pakuotės turinys ir kita informacija</w:t>
      </w:r>
    </w:p>
    <w:p w14:paraId="7BE4A1C9" w14:textId="77777777" w:rsidR="008C4948" w:rsidRPr="00CD6C5C" w:rsidRDefault="008C4948" w:rsidP="00B16E93">
      <w:pPr>
        <w:keepNext/>
        <w:numPr>
          <w:ilvl w:val="12"/>
          <w:numId w:val="0"/>
        </w:numPr>
        <w:spacing w:after="0" w:line="240" w:lineRule="auto"/>
        <w:ind w:right="-2"/>
        <w:rPr>
          <w:rFonts w:ascii="Times New Roman" w:eastAsia="Times New Roman" w:hAnsi="Times New Roman" w:cs="Times New Roman"/>
          <w:lang w:eastAsia="lt-LT"/>
        </w:rPr>
      </w:pPr>
    </w:p>
    <w:p w14:paraId="0D1F8572" w14:textId="77777777" w:rsidR="008C4948" w:rsidRPr="00CD6C5C" w:rsidRDefault="008C4948" w:rsidP="00B16E93">
      <w:pPr>
        <w:keepNext/>
        <w:widowControl w:val="0"/>
        <w:tabs>
          <w:tab w:val="left" w:pos="567"/>
        </w:tabs>
        <w:spacing w:after="0" w:line="240" w:lineRule="auto"/>
        <w:jc w:val="both"/>
        <w:rPr>
          <w:rFonts w:ascii="Times New Roman" w:eastAsia="Times New Roman" w:hAnsi="Times New Roman" w:cs="Times New Roman"/>
          <w:b/>
          <w:bCs/>
          <w:lang w:eastAsia="lt-LT"/>
        </w:rPr>
      </w:pPr>
      <w:r w:rsidRPr="00CD6C5C">
        <w:rPr>
          <w:rFonts w:ascii="Times New Roman" w:eastAsia="Times New Roman" w:hAnsi="Times New Roman" w:cs="Times New Roman"/>
          <w:b/>
          <w:lang w:eastAsia="lt-LT"/>
        </w:rPr>
        <w:t>Tadalafil Accord sudėtis</w:t>
      </w:r>
    </w:p>
    <w:p w14:paraId="0D4F2FC6" w14:textId="77777777" w:rsidR="008C4948" w:rsidRPr="00CD6C5C" w:rsidRDefault="008C4948" w:rsidP="00B16E93">
      <w:pPr>
        <w:keepNext/>
        <w:numPr>
          <w:ilvl w:val="0"/>
          <w:numId w:val="9"/>
        </w:numPr>
        <w:spacing w:after="0" w:line="240" w:lineRule="auto"/>
        <w:ind w:right="-2"/>
        <w:rPr>
          <w:rFonts w:ascii="Times New Roman" w:eastAsia="Times New Roman" w:hAnsi="Times New Roman" w:cs="Times New Roman"/>
          <w:i/>
          <w:iCs/>
          <w:lang w:eastAsia="lt-LT"/>
        </w:rPr>
      </w:pPr>
      <w:r w:rsidRPr="00CD6C5C">
        <w:rPr>
          <w:rFonts w:ascii="Times New Roman" w:eastAsia="Times New Roman" w:hAnsi="Times New Roman" w:cs="Times New Roman"/>
          <w:b/>
          <w:lang w:eastAsia="lt-LT"/>
        </w:rPr>
        <w:t>Veiklioji medžiaga</w:t>
      </w:r>
      <w:r w:rsidRPr="00CD6C5C">
        <w:rPr>
          <w:rFonts w:ascii="Times New Roman" w:eastAsia="Times New Roman" w:hAnsi="Times New Roman" w:cs="Times New Roman"/>
          <w:lang w:eastAsia="lt-LT"/>
        </w:rPr>
        <w:t xml:space="preserve"> yra tadalafilis. </w:t>
      </w:r>
    </w:p>
    <w:p w14:paraId="31E86BBD" w14:textId="77777777" w:rsidR="008C4948" w:rsidRPr="00CD6C5C" w:rsidRDefault="008C4948" w:rsidP="008C4948">
      <w:pPr>
        <w:spacing w:after="0" w:line="240" w:lineRule="auto"/>
        <w:ind w:left="567"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Kiekvienoje plėvele dengtoje tabletėje yra 10 mg tadalafilio.</w:t>
      </w:r>
    </w:p>
    <w:p w14:paraId="3C79FCF7" w14:textId="77777777" w:rsidR="008C4948" w:rsidRPr="00CD6C5C" w:rsidRDefault="008C4948" w:rsidP="008C4948">
      <w:pPr>
        <w:numPr>
          <w:ilvl w:val="0"/>
          <w:numId w:val="1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Pagalbinės medžiagos</w:t>
      </w:r>
    </w:p>
    <w:p w14:paraId="2EEA5843" w14:textId="77777777" w:rsidR="008C4948" w:rsidRPr="00CD6C5C" w:rsidRDefault="008C4948" w:rsidP="008C4948">
      <w:pPr>
        <w:spacing w:after="0" w:line="240" w:lineRule="auto"/>
        <w:ind w:left="567" w:right="-2"/>
        <w:rPr>
          <w:rFonts w:ascii="Times New Roman" w:eastAsia="Times New Roman" w:hAnsi="Times New Roman" w:cs="Times New Roman"/>
          <w:lang w:eastAsia="lt-LT"/>
        </w:rPr>
      </w:pPr>
      <w:r w:rsidRPr="00CD6C5C">
        <w:rPr>
          <w:rFonts w:ascii="Times New Roman" w:eastAsia="Times New Roman" w:hAnsi="Times New Roman" w:cs="Times New Roman"/>
          <w:u w:val="single"/>
          <w:lang w:eastAsia="lt-LT"/>
        </w:rPr>
        <w:lastRenderedPageBreak/>
        <w:t>Tabletės šerdis</w:t>
      </w:r>
      <w:r w:rsidRPr="00CD6C5C">
        <w:rPr>
          <w:rFonts w:ascii="Times New Roman" w:eastAsia="Times New Roman" w:hAnsi="Times New Roman" w:cs="Times New Roman"/>
          <w:lang w:eastAsia="lt-LT"/>
        </w:rPr>
        <w:t>: laktozė monohidratas, kroskarmeliozės natrio druska, hipromeliozė, mikrokristalinė celiuliozė, sorbitano stearatas ir magnio stearatas.</w:t>
      </w:r>
    </w:p>
    <w:p w14:paraId="6F48D595" w14:textId="77777777" w:rsidR="008C4948" w:rsidRPr="00CD6C5C" w:rsidRDefault="008C4948" w:rsidP="008C4948">
      <w:pPr>
        <w:spacing w:after="0" w:line="240" w:lineRule="auto"/>
        <w:ind w:left="567" w:right="-2"/>
        <w:rPr>
          <w:rFonts w:ascii="Times New Roman" w:eastAsia="Times New Roman" w:hAnsi="Times New Roman" w:cs="Times New Roman"/>
          <w:lang w:eastAsia="lt-LT"/>
        </w:rPr>
      </w:pPr>
      <w:r w:rsidRPr="00CD6C5C">
        <w:rPr>
          <w:rFonts w:ascii="Times New Roman" w:eastAsia="Times New Roman" w:hAnsi="Times New Roman" w:cs="Times New Roman"/>
          <w:u w:val="single"/>
          <w:lang w:eastAsia="lt-LT"/>
        </w:rPr>
        <w:t>Tabletės plėvelė</w:t>
      </w:r>
      <w:r w:rsidRPr="00CD6C5C">
        <w:rPr>
          <w:rFonts w:ascii="Times New Roman" w:eastAsia="Times New Roman" w:hAnsi="Times New Roman" w:cs="Times New Roman"/>
          <w:lang w:eastAsia="lt-LT"/>
        </w:rPr>
        <w:t>: laktozė monohidratas, hipromeliozė, titano dioksidas (E171), triacetinas, talkas ir geltonasis geležies oksidas (E172).</w:t>
      </w:r>
    </w:p>
    <w:p w14:paraId="5836ADC3" w14:textId="77777777" w:rsidR="008C4948" w:rsidRPr="00CD6C5C" w:rsidRDefault="008C4948" w:rsidP="008C4948">
      <w:pPr>
        <w:spacing w:after="0" w:line="240" w:lineRule="auto"/>
        <w:ind w:right="-2"/>
        <w:rPr>
          <w:rFonts w:ascii="Times New Roman" w:eastAsia="Times New Roman" w:hAnsi="Times New Roman" w:cs="Times New Roman"/>
          <w:lang w:eastAsia="lt-LT"/>
        </w:rPr>
      </w:pPr>
    </w:p>
    <w:p w14:paraId="44B4FCC3" w14:textId="77777777" w:rsidR="008C4948" w:rsidRPr="00CD6C5C" w:rsidRDefault="008C4948" w:rsidP="00B65F27">
      <w:pPr>
        <w:keepNext/>
        <w:numPr>
          <w:ilvl w:val="12"/>
          <w:numId w:val="0"/>
        </w:numPr>
        <w:spacing w:after="0" w:line="240" w:lineRule="auto"/>
        <w:ind w:right="-2"/>
        <w:rPr>
          <w:rFonts w:ascii="Times New Roman" w:eastAsia="Times New Roman" w:hAnsi="Times New Roman" w:cs="Times New Roman"/>
          <w:b/>
          <w:bCs/>
          <w:lang w:eastAsia="lt-LT"/>
        </w:rPr>
      </w:pPr>
      <w:r w:rsidRPr="00CD6C5C">
        <w:rPr>
          <w:rFonts w:ascii="Times New Roman" w:eastAsia="Times New Roman" w:hAnsi="Times New Roman" w:cs="Times New Roman"/>
          <w:b/>
          <w:lang w:eastAsia="lt-LT"/>
        </w:rPr>
        <w:t>Tadalafil Accord išvaizda ir kiekis pakuotėje</w:t>
      </w:r>
    </w:p>
    <w:p w14:paraId="6E51A665" w14:textId="77777777" w:rsidR="008C4948" w:rsidRPr="00CD6C5C" w:rsidRDefault="008C4948" w:rsidP="00B65F27">
      <w:pPr>
        <w:keepNext/>
        <w:tabs>
          <w:tab w:val="left" w:pos="567"/>
        </w:tab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Šviesiai geltona, kapsulės formos, maždaug 11 mm ilgio ir 5,5 mm pločio, abipus išgaubta plėvele dengta tabletė nuožulniais kraštais, vienoje pusėje įspausta „T 10“, kita pusė lygi.</w:t>
      </w:r>
    </w:p>
    <w:p w14:paraId="4D695D90"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p>
    <w:p w14:paraId="5E37344D"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 Accord tiekiamas PVC/PE/PVdC permatomose aliuminio lizdinėse plokštelėse. </w:t>
      </w:r>
    </w:p>
    <w:p w14:paraId="06DE69C2"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p>
    <w:p w14:paraId="1D8BEDA7" w14:textId="63E750B6"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r w:rsidRPr="00CD6C5C">
        <w:rPr>
          <w:rFonts w:ascii="Times New Roman" w:hAnsi="Times New Roman" w:cs="Times New Roman"/>
        </w:rPr>
        <w:t>Pakuotės dydis</w:t>
      </w:r>
      <w:r w:rsidRPr="00CD6C5C">
        <w:rPr>
          <w:rFonts w:ascii="Times New Roman" w:eastAsia="Times New Roman" w:hAnsi="Times New Roman" w:cs="Times New Roman"/>
          <w:lang w:eastAsia="lt-LT"/>
        </w:rPr>
        <w:t xml:space="preserve">: 4, 14, 28, 30 </w:t>
      </w:r>
      <w:r w:rsidR="00C63DF6" w:rsidRPr="00CD6C5C">
        <w:rPr>
          <w:rFonts w:ascii="Times New Roman" w:eastAsia="Times New Roman" w:hAnsi="Times New Roman" w:cs="Times New Roman"/>
          <w:lang w:eastAsia="lt-LT"/>
        </w:rPr>
        <w:t>tablečių</w:t>
      </w:r>
      <w:r w:rsidRPr="00CD6C5C">
        <w:rPr>
          <w:rFonts w:ascii="Times New Roman" w:eastAsia="Times New Roman" w:hAnsi="Times New Roman" w:cs="Times New Roman"/>
          <w:lang w:eastAsia="lt-LT"/>
        </w:rPr>
        <w:t>.</w:t>
      </w:r>
    </w:p>
    <w:p w14:paraId="1C28DFA9"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67190E84"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b/>
          <w:bCs/>
          <w:lang w:eastAsia="lt-LT"/>
        </w:rPr>
      </w:pPr>
      <w:r w:rsidRPr="00CD6C5C">
        <w:rPr>
          <w:rFonts w:ascii="Times New Roman" w:eastAsia="Times New Roman" w:hAnsi="Times New Roman" w:cs="Times New Roman"/>
          <w:b/>
          <w:lang w:eastAsia="lt-LT"/>
        </w:rPr>
        <w:t>Registruotojas ir gamintojas</w:t>
      </w:r>
    </w:p>
    <w:p w14:paraId="474EB9AA"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32359530"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bCs/>
          <w:i/>
          <w:lang w:eastAsia="lt-LT"/>
        </w:rPr>
      </w:pPr>
      <w:r w:rsidRPr="00CD6C5C">
        <w:rPr>
          <w:rFonts w:ascii="Times New Roman" w:eastAsia="Times New Roman" w:hAnsi="Times New Roman" w:cs="Times New Roman"/>
          <w:i/>
          <w:lang w:eastAsia="lt-LT"/>
        </w:rPr>
        <w:t>Registruotojas</w:t>
      </w:r>
    </w:p>
    <w:p w14:paraId="4CA91187" w14:textId="3C104D8E" w:rsidR="008C4948" w:rsidRPr="00CD6C5C" w:rsidRDefault="008C4948" w:rsidP="00E638B1">
      <w:pPr>
        <w:spacing w:after="0" w:line="240" w:lineRule="auto"/>
        <w:rPr>
          <w:rFonts w:ascii="Times New Roman" w:eastAsia="Times New Roman" w:hAnsi="Times New Roman" w:cs="Times New Roman"/>
        </w:rPr>
      </w:pPr>
      <w:r w:rsidRPr="00CD6C5C">
        <w:rPr>
          <w:rFonts w:ascii="Times New Roman" w:eastAsia="Times New Roman" w:hAnsi="Times New Roman" w:cs="Times New Roman"/>
        </w:rPr>
        <w:t xml:space="preserve">Accord Healthcare </w:t>
      </w:r>
      <w:r w:rsidR="00C63DF6" w:rsidRPr="00CD6C5C">
        <w:rPr>
          <w:rFonts w:ascii="Times New Roman" w:hAnsi="Times New Roman" w:cs="Times New Roman"/>
        </w:rPr>
        <w:t xml:space="preserve">B.V. </w:t>
      </w:r>
    </w:p>
    <w:p w14:paraId="3C60DA01" w14:textId="77777777" w:rsidR="00C63DF6" w:rsidRPr="00CD6C5C" w:rsidRDefault="00C63DF6" w:rsidP="00C63DF6">
      <w:pPr>
        <w:spacing w:after="0" w:line="240" w:lineRule="auto"/>
        <w:rPr>
          <w:rFonts w:ascii="Times New Roman" w:hAnsi="Times New Roman" w:cs="Times New Roman"/>
        </w:rPr>
      </w:pPr>
      <w:r w:rsidRPr="00CD6C5C">
        <w:rPr>
          <w:rFonts w:ascii="Times New Roman" w:hAnsi="Times New Roman" w:cs="Times New Roman"/>
        </w:rPr>
        <w:t xml:space="preserve">Winthontlaan 200 </w:t>
      </w:r>
    </w:p>
    <w:p w14:paraId="6A982DA1" w14:textId="77777777" w:rsidR="00C63DF6" w:rsidRPr="00CD6C5C" w:rsidRDefault="00C63DF6" w:rsidP="00C63DF6">
      <w:pPr>
        <w:spacing w:after="0" w:line="240" w:lineRule="auto"/>
        <w:rPr>
          <w:rFonts w:ascii="Times New Roman" w:hAnsi="Times New Roman" w:cs="Times New Roman"/>
        </w:rPr>
      </w:pPr>
      <w:r w:rsidRPr="00CD6C5C">
        <w:rPr>
          <w:rFonts w:ascii="Times New Roman" w:hAnsi="Times New Roman" w:cs="Times New Roman"/>
        </w:rPr>
        <w:t xml:space="preserve">3526 KV Utrecht </w:t>
      </w:r>
    </w:p>
    <w:p w14:paraId="6B1B6E73" w14:textId="77777777" w:rsidR="00C63DF6" w:rsidRPr="00CD6C5C" w:rsidRDefault="00C63DF6" w:rsidP="00C63DF6">
      <w:pPr>
        <w:spacing w:after="0" w:line="240" w:lineRule="auto"/>
        <w:rPr>
          <w:rFonts w:ascii="Times New Roman" w:hAnsi="Times New Roman" w:cs="Times New Roman"/>
        </w:rPr>
      </w:pPr>
      <w:r w:rsidRPr="00CD6C5C">
        <w:rPr>
          <w:rFonts w:ascii="Times New Roman" w:hAnsi="Times New Roman" w:cs="Times New Roman"/>
        </w:rPr>
        <w:t>Nyderlandai</w:t>
      </w:r>
    </w:p>
    <w:p w14:paraId="0D45140B"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b/>
          <w:bCs/>
          <w:lang w:eastAsia="lt-LT"/>
        </w:rPr>
      </w:pPr>
    </w:p>
    <w:p w14:paraId="2E1E92AF" w14:textId="62C0E6EA" w:rsidR="008C4948" w:rsidRPr="00CD6C5C" w:rsidRDefault="008C4948" w:rsidP="008C4948">
      <w:pPr>
        <w:keepNext/>
        <w:keepLines/>
        <w:numPr>
          <w:ilvl w:val="12"/>
          <w:numId w:val="0"/>
        </w:numPr>
        <w:spacing w:after="0" w:line="240" w:lineRule="auto"/>
        <w:ind w:right="-2"/>
        <w:rPr>
          <w:rFonts w:ascii="Times New Roman" w:eastAsia="Times New Roman" w:hAnsi="Times New Roman" w:cs="Times New Roman"/>
          <w:bCs/>
          <w:i/>
          <w:lang w:eastAsia="lt-LT"/>
        </w:rPr>
      </w:pPr>
      <w:r w:rsidRPr="00CD6C5C">
        <w:rPr>
          <w:rFonts w:ascii="Times New Roman" w:eastAsia="Times New Roman" w:hAnsi="Times New Roman" w:cs="Times New Roman"/>
          <w:i/>
          <w:lang w:eastAsia="lt-LT"/>
        </w:rPr>
        <w:t>Gamintoja</w:t>
      </w:r>
      <w:r w:rsidR="00C80646" w:rsidRPr="00CD6C5C">
        <w:rPr>
          <w:rFonts w:ascii="Times New Roman" w:eastAsia="Times New Roman" w:hAnsi="Times New Roman" w:cs="Times New Roman"/>
          <w:i/>
          <w:lang w:eastAsia="lt-LT"/>
        </w:rPr>
        <w:t>s</w:t>
      </w:r>
    </w:p>
    <w:p w14:paraId="3621F169" w14:textId="77777777" w:rsidR="00531D34" w:rsidRPr="00CD6C5C" w:rsidRDefault="00531D34" w:rsidP="00531D34">
      <w:pPr>
        <w:keepNext/>
        <w:keepLines/>
        <w:spacing w:after="0" w:line="240" w:lineRule="auto"/>
        <w:rPr>
          <w:rFonts w:ascii="Times New Roman" w:eastAsia="Times New Roman" w:hAnsi="Times New Roman" w:cs="Times New Roman"/>
        </w:rPr>
      </w:pPr>
      <w:r w:rsidRPr="00CD6C5C">
        <w:rPr>
          <w:rFonts w:ascii="Times New Roman" w:eastAsia="Times New Roman" w:hAnsi="Times New Roman" w:cs="Times New Roman"/>
        </w:rPr>
        <w:t xml:space="preserve">Accord Healthcare B.V. </w:t>
      </w:r>
    </w:p>
    <w:p w14:paraId="4F371040" w14:textId="77777777" w:rsidR="00531D34" w:rsidRPr="00CD6C5C" w:rsidRDefault="00531D34" w:rsidP="00531D34">
      <w:pPr>
        <w:keepNext/>
        <w:keepLines/>
        <w:spacing w:after="0" w:line="240" w:lineRule="auto"/>
        <w:rPr>
          <w:rFonts w:ascii="Times New Roman" w:eastAsia="Times New Roman" w:hAnsi="Times New Roman" w:cs="Times New Roman"/>
        </w:rPr>
      </w:pPr>
      <w:r w:rsidRPr="00CD6C5C">
        <w:rPr>
          <w:rFonts w:ascii="Times New Roman" w:eastAsia="Times New Roman" w:hAnsi="Times New Roman" w:cs="Times New Roman"/>
        </w:rPr>
        <w:t>Winthontlaan 200</w:t>
      </w:r>
    </w:p>
    <w:p w14:paraId="0E774F8E" w14:textId="77777777" w:rsidR="00531D34" w:rsidRPr="00CD6C5C" w:rsidRDefault="00531D34" w:rsidP="00531D34">
      <w:pPr>
        <w:keepNext/>
        <w:keepLines/>
        <w:spacing w:after="0" w:line="240" w:lineRule="auto"/>
        <w:rPr>
          <w:rFonts w:ascii="Times New Roman" w:eastAsia="Times New Roman" w:hAnsi="Times New Roman" w:cs="Times New Roman"/>
        </w:rPr>
      </w:pPr>
      <w:r w:rsidRPr="00CD6C5C">
        <w:rPr>
          <w:rFonts w:ascii="Times New Roman" w:eastAsia="Times New Roman" w:hAnsi="Times New Roman" w:cs="Times New Roman"/>
        </w:rPr>
        <w:t>3526 KV Utrecht</w:t>
      </w:r>
    </w:p>
    <w:p w14:paraId="718A835C" w14:textId="30FD180F" w:rsidR="00771646" w:rsidRPr="00CD6C5C" w:rsidRDefault="00531D34" w:rsidP="00696FEE">
      <w:pPr>
        <w:keepNext/>
        <w:keepLines/>
        <w:spacing w:after="0" w:line="240" w:lineRule="auto"/>
        <w:rPr>
          <w:rFonts w:ascii="Times New Roman" w:eastAsia="Times New Roman" w:hAnsi="Times New Roman" w:cs="Times New Roman"/>
        </w:rPr>
      </w:pPr>
      <w:r w:rsidRPr="00CD6C5C">
        <w:rPr>
          <w:rFonts w:ascii="Times New Roman" w:eastAsia="Times New Roman" w:hAnsi="Times New Roman" w:cs="Times New Roman"/>
        </w:rPr>
        <w:t>Nyderlandai</w:t>
      </w:r>
    </w:p>
    <w:p w14:paraId="75F9A2A2" w14:textId="77777777" w:rsidR="008C4948" w:rsidRPr="00CD6C5C" w:rsidRDefault="008C4948" w:rsidP="008C4948">
      <w:pPr>
        <w:spacing w:after="0" w:line="240" w:lineRule="auto"/>
        <w:rPr>
          <w:rFonts w:ascii="Times New Roman" w:hAnsi="Times New Roman" w:cs="Times New Roman"/>
        </w:rPr>
      </w:pPr>
    </w:p>
    <w:p w14:paraId="04E10C61" w14:textId="77777777" w:rsidR="008C4948" w:rsidRPr="00CD6C5C" w:rsidRDefault="008C4948" w:rsidP="008C4948">
      <w:pPr>
        <w:spacing w:after="0" w:line="240" w:lineRule="auto"/>
        <w:rPr>
          <w:rFonts w:ascii="Times New Roman" w:hAnsi="Times New Roman" w:cs="Times New Roman"/>
        </w:rPr>
      </w:pPr>
      <w:r w:rsidRPr="00CD6C5C">
        <w:rPr>
          <w:rFonts w:ascii="Times New Roman" w:hAnsi="Times New Roman" w:cs="Times New Roman"/>
        </w:rPr>
        <w:t>Pharmadox Healthcare Ltd.</w:t>
      </w:r>
    </w:p>
    <w:p w14:paraId="48A48B87" w14:textId="77777777" w:rsidR="008C4948" w:rsidRPr="00CD6C5C" w:rsidRDefault="008C4948" w:rsidP="008C4948">
      <w:pPr>
        <w:spacing w:after="0" w:line="240" w:lineRule="auto"/>
        <w:rPr>
          <w:rFonts w:ascii="Times New Roman" w:hAnsi="Times New Roman" w:cs="Times New Roman"/>
        </w:rPr>
      </w:pPr>
      <w:r w:rsidRPr="00CD6C5C">
        <w:rPr>
          <w:rFonts w:ascii="Times New Roman" w:hAnsi="Times New Roman" w:cs="Times New Roman"/>
        </w:rPr>
        <w:t>KW20A Kordin Industrial Park,</w:t>
      </w:r>
    </w:p>
    <w:p w14:paraId="6B898CE9" w14:textId="77777777" w:rsidR="008C4948" w:rsidRPr="00CD6C5C" w:rsidRDefault="008C4948" w:rsidP="008C4948">
      <w:pPr>
        <w:spacing w:after="0" w:line="240" w:lineRule="auto"/>
        <w:rPr>
          <w:rFonts w:ascii="Times New Roman" w:hAnsi="Times New Roman" w:cs="Times New Roman"/>
        </w:rPr>
      </w:pPr>
      <w:r w:rsidRPr="00CD6C5C">
        <w:rPr>
          <w:rFonts w:ascii="Times New Roman" w:hAnsi="Times New Roman" w:cs="Times New Roman"/>
        </w:rPr>
        <w:t>Paola, PLA 3000</w:t>
      </w:r>
    </w:p>
    <w:p w14:paraId="16EFC2CE" w14:textId="77777777" w:rsidR="008C4948" w:rsidRPr="00CD6C5C" w:rsidRDefault="008C4948" w:rsidP="008C4948">
      <w:pPr>
        <w:spacing w:after="0" w:line="240" w:lineRule="auto"/>
        <w:rPr>
          <w:rFonts w:ascii="Times New Roman" w:eastAsia="Times New Roman" w:hAnsi="Times New Roman" w:cs="Times New Roman"/>
        </w:rPr>
      </w:pPr>
      <w:r w:rsidRPr="00CD6C5C">
        <w:rPr>
          <w:rFonts w:ascii="Times New Roman" w:hAnsi="Times New Roman" w:cs="Times New Roman"/>
        </w:rPr>
        <w:t>Malta</w:t>
      </w:r>
    </w:p>
    <w:p w14:paraId="07110B91" w14:textId="77777777" w:rsidR="008C4948" w:rsidRPr="00CD6C5C" w:rsidRDefault="008C4948" w:rsidP="008C4948">
      <w:pPr>
        <w:spacing w:after="0" w:line="240" w:lineRule="auto"/>
        <w:rPr>
          <w:rFonts w:ascii="Times New Roman" w:hAnsi="Times New Roman" w:cs="Times New Roman"/>
          <w:b/>
        </w:rPr>
      </w:pPr>
    </w:p>
    <w:p w14:paraId="33F56C07" w14:textId="77777777" w:rsidR="00B9535F" w:rsidRPr="00CD6C5C" w:rsidRDefault="00B9535F" w:rsidP="00B9535F">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Accord Healthcare Polska Sp.z o.o.,</w:t>
      </w:r>
    </w:p>
    <w:p w14:paraId="693E24C7" w14:textId="4F49CBD7" w:rsidR="00B9535F" w:rsidRPr="00CD6C5C" w:rsidRDefault="00B9535F" w:rsidP="00B9535F">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ul. Lutomierska 50,</w:t>
      </w:r>
      <w:r w:rsidR="00C24C15" w:rsidRPr="00CD6C5C">
        <w:rPr>
          <w:rFonts w:ascii="Times New Roman" w:eastAsia="Times New Roman" w:hAnsi="Times New Roman" w:cs="Times New Roman"/>
          <w:lang w:eastAsia="lt-LT"/>
        </w:rPr>
        <w:t xml:space="preserve"> </w:t>
      </w:r>
      <w:r w:rsidRPr="00CD6C5C">
        <w:rPr>
          <w:rFonts w:ascii="Times New Roman" w:eastAsia="Times New Roman" w:hAnsi="Times New Roman" w:cs="Times New Roman"/>
          <w:lang w:eastAsia="lt-LT"/>
        </w:rPr>
        <w:t>95-200 Pabianice, Lenkija</w:t>
      </w:r>
    </w:p>
    <w:p w14:paraId="1015D723" w14:textId="77777777" w:rsidR="00B9535F" w:rsidRDefault="00B9535F" w:rsidP="008C4948">
      <w:pPr>
        <w:spacing w:after="0" w:line="240" w:lineRule="auto"/>
        <w:rPr>
          <w:rFonts w:ascii="Times New Roman" w:eastAsia="Times New Roman" w:hAnsi="Times New Roman" w:cs="Times New Roman"/>
          <w:b/>
          <w:lang w:eastAsia="lt-LT"/>
        </w:rPr>
      </w:pPr>
    </w:p>
    <w:p w14:paraId="699AE200" w14:textId="77777777" w:rsidR="008A557B" w:rsidRPr="008A557B" w:rsidRDefault="008A557B" w:rsidP="008A557B">
      <w:pPr>
        <w:spacing w:after="0" w:line="240" w:lineRule="auto"/>
        <w:rPr>
          <w:rFonts w:ascii="Times New Roman" w:hAnsi="Times New Roman" w:cs="Times New Roman"/>
          <w:bCs/>
        </w:rPr>
      </w:pPr>
      <w:r w:rsidRPr="008A557B">
        <w:rPr>
          <w:rFonts w:ascii="Times New Roman" w:hAnsi="Times New Roman" w:cs="Times New Roman"/>
          <w:bCs/>
        </w:rPr>
        <w:t>Accord Healthcare Single Member S.A.</w:t>
      </w:r>
    </w:p>
    <w:p w14:paraId="75DD042C" w14:textId="77777777" w:rsidR="008A557B" w:rsidRPr="008A557B" w:rsidRDefault="008A557B" w:rsidP="008A557B">
      <w:pPr>
        <w:spacing w:after="0" w:line="240" w:lineRule="auto"/>
        <w:rPr>
          <w:rFonts w:ascii="Times New Roman" w:hAnsi="Times New Roman" w:cs="Times New Roman"/>
          <w:bCs/>
        </w:rPr>
      </w:pPr>
      <w:r w:rsidRPr="008A557B">
        <w:rPr>
          <w:rFonts w:ascii="Times New Roman" w:hAnsi="Times New Roman" w:cs="Times New Roman"/>
          <w:bCs/>
        </w:rPr>
        <w:t xml:space="preserve">64th Km National Road Athens, </w:t>
      </w:r>
    </w:p>
    <w:p w14:paraId="18378CF2" w14:textId="3AF5F496" w:rsidR="004D2908" w:rsidRPr="004D2908" w:rsidRDefault="008A557B" w:rsidP="008A557B">
      <w:pPr>
        <w:spacing w:after="0" w:line="240" w:lineRule="auto"/>
        <w:rPr>
          <w:rFonts w:ascii="Times New Roman" w:hAnsi="Times New Roman" w:cs="Times New Roman"/>
          <w:bCs/>
        </w:rPr>
      </w:pPr>
      <w:r w:rsidRPr="008A557B">
        <w:rPr>
          <w:rFonts w:ascii="Times New Roman" w:hAnsi="Times New Roman" w:cs="Times New Roman"/>
          <w:bCs/>
        </w:rPr>
        <w:t>Lamia, 32009, Graikija</w:t>
      </w:r>
    </w:p>
    <w:p w14:paraId="62317C6A" w14:textId="77777777" w:rsidR="004D2908" w:rsidRPr="00CD6C5C" w:rsidRDefault="004D2908" w:rsidP="008C4948">
      <w:pPr>
        <w:spacing w:after="0" w:line="240" w:lineRule="auto"/>
        <w:rPr>
          <w:rFonts w:ascii="Times New Roman" w:eastAsia="Times New Roman" w:hAnsi="Times New Roman" w:cs="Times New Roman"/>
          <w:b/>
          <w:lang w:eastAsia="lt-LT"/>
        </w:rPr>
      </w:pPr>
    </w:p>
    <w:p w14:paraId="30EB2252" w14:textId="1D6779F9" w:rsidR="008C4948" w:rsidRPr="00CD6C5C" w:rsidRDefault="008C4948" w:rsidP="008C4948">
      <w:pPr>
        <w:spacing w:after="0" w:line="240" w:lineRule="auto"/>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Šis vaistas </w:t>
      </w:r>
      <w:r w:rsidR="0099070E" w:rsidRPr="0099070E">
        <w:rPr>
          <w:rFonts w:ascii="Times New Roman" w:eastAsia="Times New Roman" w:hAnsi="Times New Roman" w:cs="Times New Roman"/>
          <w:b/>
          <w:lang w:eastAsia="lt-LT"/>
        </w:rPr>
        <w:t>Europos ekonominės erdvės</w:t>
      </w:r>
      <w:r w:rsidRPr="00CD6C5C">
        <w:rPr>
          <w:rFonts w:ascii="Times New Roman" w:eastAsia="Times New Roman" w:hAnsi="Times New Roman" w:cs="Times New Roman"/>
          <w:b/>
          <w:lang w:eastAsia="lt-LT"/>
        </w:rPr>
        <w:t xml:space="preserve"> valstybėse narėse </w:t>
      </w:r>
      <w:r w:rsidR="0099070E" w:rsidRPr="0099070E">
        <w:rPr>
          <w:rFonts w:ascii="Times New Roman" w:eastAsia="Times New Roman" w:hAnsi="Times New Roman" w:cs="Times New Roman"/>
          <w:b/>
          <w:lang w:eastAsia="lt-LT"/>
        </w:rPr>
        <w:t>ir Jungtinėje Karalystėje (Šiaurės Airijoje)</w:t>
      </w:r>
      <w:r w:rsidR="0099070E">
        <w:rPr>
          <w:rFonts w:ascii="Times New Roman" w:eastAsia="Times New Roman" w:hAnsi="Times New Roman" w:cs="Times New Roman"/>
          <w:b/>
          <w:lang w:eastAsia="lt-LT"/>
        </w:rPr>
        <w:t xml:space="preserve"> </w:t>
      </w:r>
      <w:r w:rsidRPr="00CD6C5C">
        <w:rPr>
          <w:rFonts w:ascii="Times New Roman" w:eastAsia="Times New Roman" w:hAnsi="Times New Roman" w:cs="Times New Roman"/>
          <w:b/>
          <w:lang w:eastAsia="lt-LT"/>
        </w:rPr>
        <w:t>registruotas tokiais pavadinimais:</w:t>
      </w:r>
    </w:p>
    <w:p w14:paraId="47907E01" w14:textId="77777777" w:rsidR="008C4948" w:rsidRPr="00CD6C5C" w:rsidRDefault="008C4948" w:rsidP="008C4948">
      <w:pPr>
        <w:spacing w:after="0" w:line="240" w:lineRule="auto"/>
        <w:rPr>
          <w:rFonts w:ascii="Times New Roman" w:eastAsia="Times New Roman" w:hAnsi="Times New Roman" w:cs="Times New Roman"/>
          <w:i/>
          <w:lang w:eastAsia="lt-LT"/>
        </w:rPr>
      </w:pPr>
    </w:p>
    <w:p w14:paraId="0D3EBA84" w14:textId="77777777" w:rsidR="008C4948" w:rsidRPr="00CD6C5C" w:rsidRDefault="008C4948" w:rsidP="008C4948">
      <w:pPr>
        <w:spacing w:after="0" w:line="240" w:lineRule="auto"/>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Valstybės narės pavadinimas </w:t>
      </w:r>
      <w:r w:rsidRPr="00CD6C5C">
        <w:rPr>
          <w:rFonts w:ascii="Times New Roman" w:eastAsia="Times New Roman" w:hAnsi="Times New Roman" w:cs="Times New Roman"/>
          <w:b/>
          <w:lang w:eastAsia="lt-LT"/>
        </w:rPr>
        <w:tab/>
        <w:t>Vaisto pavadinimas</w:t>
      </w:r>
    </w:p>
    <w:p w14:paraId="0A03E0D5" w14:textId="77777777" w:rsidR="0099070E"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Jungtinė Karalystė</w:t>
      </w:r>
    </w:p>
    <w:p w14:paraId="3A861EBD" w14:textId="7FA57891" w:rsidR="008C4948" w:rsidRPr="00CD6C5C" w:rsidRDefault="0099070E" w:rsidP="008C494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(Šiaurės Airija)</w:t>
      </w:r>
      <w:r>
        <w:rPr>
          <w:rFonts w:ascii="Times New Roman" w:eastAsia="Times New Roman" w:hAnsi="Times New Roman" w:cs="Times New Roman"/>
          <w:lang w:eastAsia="lt-LT"/>
        </w:rPr>
        <w:tab/>
      </w:r>
      <w:r w:rsidR="008C4948" w:rsidRPr="00CD6C5C">
        <w:rPr>
          <w:rFonts w:ascii="Times New Roman" w:eastAsia="Times New Roman" w:hAnsi="Times New Roman" w:cs="Times New Roman"/>
          <w:lang w:eastAsia="lt-LT"/>
        </w:rPr>
        <w:tab/>
      </w:r>
      <w:r w:rsidR="008C4948" w:rsidRPr="00CD6C5C">
        <w:rPr>
          <w:rFonts w:ascii="Times New Roman" w:eastAsia="Times New Roman" w:hAnsi="Times New Roman" w:cs="Times New Roman"/>
          <w:lang w:eastAsia="lt-LT"/>
        </w:rPr>
        <w:tab/>
        <w:t>Tadalafil 2.5/5/10/20 mg Film-coated Tablets</w:t>
      </w:r>
    </w:p>
    <w:p w14:paraId="465608C2"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Austrija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5/10/20 mg Filmtabletten</w:t>
      </w:r>
    </w:p>
    <w:p w14:paraId="6D9ADAFB"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Bulgarija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Акорд 2.5/5/10/20 мг филмирани таблетки</w:t>
      </w:r>
    </w:p>
    <w:p w14:paraId="68CFCD96"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Kipras</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5/20 mg Film-coated Tablets</w:t>
      </w:r>
    </w:p>
    <w:p w14:paraId="070EDDD2"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Čekija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5/20 mg potahované tablety</w:t>
      </w:r>
    </w:p>
    <w:p w14:paraId="60606B19"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Vokietija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5/20 mg Filmtabletten</w:t>
      </w:r>
    </w:p>
    <w:p w14:paraId="6DF9858E"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Danija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w:t>
      </w:r>
    </w:p>
    <w:p w14:paraId="188592DF"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Estija </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w:t>
      </w:r>
    </w:p>
    <w:p w14:paraId="57603945" w14:textId="77777777" w:rsidR="008C4948" w:rsidRPr="00CD6C5C" w:rsidRDefault="008C4948" w:rsidP="008C4948">
      <w:pPr>
        <w:tabs>
          <w:tab w:val="left" w:pos="2520"/>
        </w:tabs>
        <w:spacing w:after="0" w:line="240" w:lineRule="auto"/>
        <w:ind w:left="2880" w:hanging="288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lastRenderedPageBreak/>
        <w:t xml:space="preserve">Suomija </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2.5/5/10/20 mg tabletti kalvopäällysteinen/filmdragerad tablet</w:t>
      </w:r>
    </w:p>
    <w:p w14:paraId="2181F81D"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Italija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w:t>
      </w:r>
    </w:p>
    <w:p w14:paraId="12184788"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Airija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5/10/20 mg Film-coated Tablets</w:t>
      </w:r>
    </w:p>
    <w:p w14:paraId="487CDB76"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Lietuva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5/10/20 mg plėvele dengtos tabletės</w:t>
      </w:r>
    </w:p>
    <w:p w14:paraId="78FC1A67"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Latvija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20 mg apvalkotās tabletes</w:t>
      </w:r>
    </w:p>
    <w:p w14:paraId="7A8DC7C4"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Nyderlandai</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5/10/20 mg, filmomhulde tabletten</w:t>
      </w:r>
    </w:p>
    <w:p w14:paraId="2C35AF34"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Norvegija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w:t>
      </w:r>
    </w:p>
    <w:p w14:paraId="228F2141"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Lenkija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w:t>
      </w:r>
    </w:p>
    <w:p w14:paraId="67FB7967"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Švedija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2.5/5/10/20 mg filmdragerad tablet</w:t>
      </w:r>
    </w:p>
    <w:p w14:paraId="356D4680"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Slovakija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2,5 mg/ 5 mg/ 10 mg/ 20 mg filmom</w:t>
      </w:r>
    </w:p>
    <w:p w14:paraId="3C366D6C" w14:textId="77777777" w:rsidR="008C4948" w:rsidRPr="00CD6C5C" w:rsidRDefault="008C4948" w:rsidP="008C4948">
      <w:pPr>
        <w:spacing w:after="0" w:line="240" w:lineRule="auto"/>
        <w:ind w:left="2880" w:firstLine="18"/>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obalené tablety</w:t>
      </w:r>
    </w:p>
    <w:p w14:paraId="0F10A8AC"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Prancūzija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2,5 mg, comprimé pelliculé</w:t>
      </w:r>
    </w:p>
    <w:p w14:paraId="0D237932" w14:textId="77777777" w:rsidR="008C4948" w:rsidRPr="00CD6C5C" w:rsidRDefault="008C4948" w:rsidP="008C4948">
      <w:pPr>
        <w:spacing w:after="0" w:line="240" w:lineRule="auto"/>
        <w:ind w:left="2880" w:firstLine="18"/>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TADALAFIL ACCORD 5 mg, comprimé pelliculé</w:t>
      </w:r>
    </w:p>
    <w:p w14:paraId="24ED3B2C" w14:textId="77777777" w:rsidR="008C4948" w:rsidRPr="00CD6C5C" w:rsidRDefault="008C4948" w:rsidP="008C4948">
      <w:pPr>
        <w:spacing w:after="0" w:line="240" w:lineRule="auto"/>
        <w:ind w:left="2880" w:firstLine="18"/>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TADALAFIL ACCORD 10 mg, comprimé pelliculé</w:t>
      </w:r>
    </w:p>
    <w:p w14:paraId="3C03CFD1" w14:textId="77777777" w:rsidR="008C4948" w:rsidRPr="00CD6C5C" w:rsidRDefault="008C4948" w:rsidP="008C4948">
      <w:pPr>
        <w:spacing w:after="0" w:line="240" w:lineRule="auto"/>
        <w:ind w:left="2880" w:firstLine="18"/>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TADALAFIL ACCORD 20 mg, comprimé pelliculé</w:t>
      </w:r>
    </w:p>
    <w:p w14:paraId="79484DAE"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Rumunija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hAnsi="Times New Roman" w:cs="Times New Roman"/>
        </w:rPr>
        <w:t>Tadalafil Accord 2.5/5/10/20 mg comprimate filmate</w:t>
      </w:r>
    </w:p>
    <w:p w14:paraId="65D8F45C"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Slovėnija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hAnsi="Times New Roman" w:cs="Times New Roman"/>
        </w:rPr>
        <w:t>Tadalafil Accord 2.5/5/10/20 mg filmsko obložene tablete</w:t>
      </w:r>
    </w:p>
    <w:p w14:paraId="4F2359D8"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Vengrija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hAnsi="Times New Roman" w:cs="Times New Roman"/>
        </w:rPr>
        <w:t>Tadalafil Accord 20 mg filmtabletta</w:t>
      </w:r>
    </w:p>
    <w:p w14:paraId="1A3A86F1" w14:textId="77777777" w:rsidR="008C4948" w:rsidRPr="00CD6C5C" w:rsidRDefault="008C4948" w:rsidP="008C4948">
      <w:pPr>
        <w:spacing w:after="0" w:line="240" w:lineRule="auto"/>
        <w:rPr>
          <w:rFonts w:ascii="Times New Roman" w:hAnsi="Times New Roman" w:cs="Times New Roman"/>
        </w:rPr>
      </w:pPr>
      <w:r w:rsidRPr="00CD6C5C">
        <w:rPr>
          <w:rFonts w:ascii="Times New Roman" w:eastAsia="Times New Roman" w:hAnsi="Times New Roman" w:cs="Times New Roman"/>
          <w:lang w:eastAsia="lt-LT"/>
        </w:rPr>
        <w:t>Ispanija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hAnsi="Times New Roman" w:cs="Times New Roman"/>
        </w:rPr>
        <w:t>Tadalafil Accord 2.5/5/10/20 mg comprimidos recubiertos</w:t>
      </w:r>
    </w:p>
    <w:p w14:paraId="52578C5D" w14:textId="77777777" w:rsidR="008C4948" w:rsidRPr="00CD6C5C" w:rsidRDefault="008C4948" w:rsidP="008C4948">
      <w:pPr>
        <w:spacing w:after="0" w:line="240" w:lineRule="auto"/>
        <w:ind w:left="2160" w:firstLine="720"/>
        <w:rPr>
          <w:rFonts w:ascii="Times New Roman" w:eastAsia="Times New Roman" w:hAnsi="Times New Roman" w:cs="Times New Roman"/>
          <w:lang w:eastAsia="lt-LT"/>
        </w:rPr>
      </w:pPr>
      <w:r w:rsidRPr="00CD6C5C">
        <w:rPr>
          <w:rFonts w:ascii="Times New Roman" w:hAnsi="Times New Roman" w:cs="Times New Roman"/>
        </w:rPr>
        <w:t>con película EFG</w:t>
      </w:r>
    </w:p>
    <w:p w14:paraId="03B0AA33"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2B7E14E9"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1EF4F2D5" w14:textId="658F0FA4"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hAnsi="Times New Roman" w:cs="Times New Roman"/>
          <w:b/>
        </w:rPr>
        <w:t>Šis pakuotės lapelis paskutinį kartą peržiūrėtas</w:t>
      </w:r>
      <w:r w:rsidR="00C95D2B">
        <w:rPr>
          <w:rFonts w:ascii="Times New Roman" w:hAnsi="Times New Roman" w:cs="Times New Roman"/>
          <w:b/>
        </w:rPr>
        <w:t xml:space="preserve"> 2024-12-05</w:t>
      </w:r>
      <w:r w:rsidR="008670E9" w:rsidRPr="00CD6C5C">
        <w:rPr>
          <w:rFonts w:ascii="Times New Roman" w:eastAsia="Times New Roman" w:hAnsi="Times New Roman" w:cs="Times New Roman"/>
          <w:b/>
          <w:lang w:eastAsia="lt-LT"/>
        </w:rPr>
        <w:t>.</w:t>
      </w:r>
    </w:p>
    <w:p w14:paraId="36149418"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4E8237D5"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74A4BB6B" w14:textId="77777777" w:rsidR="008C4948" w:rsidRPr="00CD6C5C" w:rsidRDefault="008C4948" w:rsidP="008C4948">
      <w:pPr>
        <w:numPr>
          <w:ilvl w:val="12"/>
          <w:numId w:val="0"/>
        </w:numPr>
        <w:tabs>
          <w:tab w:val="left" w:pos="567"/>
        </w:tabs>
        <w:spacing w:after="0" w:line="240" w:lineRule="auto"/>
        <w:ind w:right="-2"/>
        <w:rPr>
          <w:rFonts w:ascii="Times New Roman" w:eastAsia="Times New Roman" w:hAnsi="Times New Roman" w:cs="Times New Roman"/>
          <w:snapToGrid w:val="0"/>
        </w:rPr>
      </w:pPr>
      <w:r w:rsidRPr="00CD6C5C">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CD6C5C">
        <w:rPr>
          <w:rFonts w:ascii="Times New Roman" w:eastAsia="Times New Roman" w:hAnsi="Times New Roman" w:cs="Times New Roman"/>
          <w:i/>
          <w:snapToGrid w:val="0"/>
        </w:rPr>
        <w:t xml:space="preserve"> </w:t>
      </w:r>
      <w:hyperlink r:id="rId12" w:history="1">
        <w:r w:rsidRPr="00CD6C5C">
          <w:rPr>
            <w:rStyle w:val="Hipersaitas"/>
            <w:rFonts w:ascii="Times New Roman" w:eastAsia="SimSun" w:hAnsi="Times New Roman" w:cs="Times New Roman"/>
            <w:snapToGrid w:val="0"/>
          </w:rPr>
          <w:t>http://www.vvkt.lt/</w:t>
        </w:r>
      </w:hyperlink>
      <w:r w:rsidRPr="00CD6C5C">
        <w:rPr>
          <w:rFonts w:ascii="Times New Roman" w:eastAsia="Times New Roman" w:hAnsi="Times New Roman" w:cs="Times New Roman"/>
          <w:snapToGrid w:val="0"/>
        </w:rPr>
        <w:t>.</w:t>
      </w:r>
    </w:p>
    <w:p w14:paraId="6EB6FE4A" w14:textId="77777777" w:rsidR="008C4948" w:rsidRPr="00CD6C5C" w:rsidRDefault="008C4948" w:rsidP="008C4948">
      <w:pPr>
        <w:rPr>
          <w:rFonts w:ascii="Times New Roman" w:eastAsia="Calibri" w:hAnsi="Times New Roman" w:cs="Times New Roman"/>
        </w:rPr>
      </w:pPr>
      <w:r w:rsidRPr="00CD6C5C">
        <w:rPr>
          <w:rFonts w:ascii="Times New Roman" w:eastAsia="Calibri" w:hAnsi="Times New Roman" w:cs="Times New Roman"/>
        </w:rPr>
        <w:br w:type="page"/>
      </w:r>
    </w:p>
    <w:p w14:paraId="7D4657FD" w14:textId="77777777" w:rsidR="008C4948" w:rsidRPr="00CD6C5C" w:rsidRDefault="008C4948" w:rsidP="008C4948">
      <w:pPr>
        <w:spacing w:after="0" w:line="240" w:lineRule="auto"/>
        <w:jc w:val="center"/>
        <w:outlineLvl w:val="0"/>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lastRenderedPageBreak/>
        <w:t>Pakuotės lapelis: informacija vartotojui</w:t>
      </w:r>
    </w:p>
    <w:p w14:paraId="0EAA6F89" w14:textId="77777777" w:rsidR="008C4948" w:rsidRPr="00CD6C5C" w:rsidRDefault="008C4948" w:rsidP="008C4948">
      <w:pPr>
        <w:spacing w:after="0" w:line="240" w:lineRule="auto"/>
        <w:jc w:val="center"/>
        <w:outlineLvl w:val="0"/>
        <w:rPr>
          <w:rFonts w:ascii="Times New Roman" w:eastAsia="Times New Roman" w:hAnsi="Times New Roman" w:cs="Times New Roman"/>
          <w:b/>
          <w:lang w:eastAsia="lt-LT"/>
        </w:rPr>
      </w:pPr>
    </w:p>
    <w:p w14:paraId="3B85A087" w14:textId="77777777" w:rsidR="008C4948" w:rsidRPr="00CD6C5C" w:rsidRDefault="008C4948" w:rsidP="008C4948">
      <w:pPr>
        <w:numPr>
          <w:ilvl w:val="12"/>
          <w:numId w:val="0"/>
        </w:numPr>
        <w:spacing w:after="0" w:line="240" w:lineRule="auto"/>
        <w:jc w:val="center"/>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Tadalafil Accord 20 mg plėvele dengtos tabletės</w:t>
      </w:r>
    </w:p>
    <w:p w14:paraId="106C3902" w14:textId="037501F2" w:rsidR="008C4948" w:rsidRPr="00CD6C5C" w:rsidRDefault="003C5663" w:rsidP="008C4948">
      <w:pPr>
        <w:numPr>
          <w:ilvl w:val="12"/>
          <w:numId w:val="0"/>
        </w:num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t</w:t>
      </w:r>
      <w:r w:rsidR="008C4948" w:rsidRPr="00CD6C5C">
        <w:rPr>
          <w:rFonts w:ascii="Times New Roman" w:eastAsia="Times New Roman" w:hAnsi="Times New Roman" w:cs="Times New Roman"/>
          <w:lang w:eastAsia="lt-LT"/>
        </w:rPr>
        <w:t>adalafilis</w:t>
      </w:r>
    </w:p>
    <w:p w14:paraId="22D3ACAA" w14:textId="77777777" w:rsidR="008C4948" w:rsidRPr="00CD6C5C" w:rsidRDefault="008C4948" w:rsidP="008C4948">
      <w:pPr>
        <w:numPr>
          <w:ilvl w:val="12"/>
          <w:numId w:val="0"/>
        </w:numPr>
        <w:spacing w:after="0" w:line="240" w:lineRule="auto"/>
        <w:jc w:val="center"/>
        <w:rPr>
          <w:rFonts w:ascii="Times New Roman" w:eastAsia="Times New Roman" w:hAnsi="Times New Roman" w:cs="Times New Roman"/>
          <w:b/>
          <w:bCs/>
          <w:lang w:eastAsia="lt-LT"/>
        </w:rPr>
      </w:pPr>
    </w:p>
    <w:p w14:paraId="2D93AC4F" w14:textId="77777777" w:rsidR="008C4948" w:rsidRPr="00CD6C5C" w:rsidRDefault="008C4948" w:rsidP="008C4948">
      <w:pPr>
        <w:spacing w:after="0" w:line="240" w:lineRule="auto"/>
        <w:rPr>
          <w:rFonts w:ascii="Times New Roman" w:eastAsia="Times New Roman" w:hAnsi="Times New Roman" w:cs="Times New Roman"/>
          <w:lang w:eastAsia="lt-LT"/>
        </w:rPr>
      </w:pPr>
    </w:p>
    <w:p w14:paraId="15460F2B" w14:textId="77777777" w:rsidR="008C4948" w:rsidRPr="00CD6C5C" w:rsidRDefault="008C4948" w:rsidP="008C4948">
      <w:pPr>
        <w:suppressAutoHyphen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Atidžiai perskaitykite visą šį lapelį, prieš pradėdami vartoti vaistą, nes jame pateikiama Jums svarbi informacija.</w:t>
      </w:r>
    </w:p>
    <w:p w14:paraId="3BC0AE80" w14:textId="77777777" w:rsidR="008C4948" w:rsidRPr="00CD6C5C" w:rsidRDefault="008C4948" w:rsidP="008C4948">
      <w:pPr>
        <w:numPr>
          <w:ilvl w:val="0"/>
          <w:numId w:val="3"/>
        </w:numPr>
        <w:spacing w:after="0" w:line="240" w:lineRule="auto"/>
        <w:ind w:left="567" w:right="-2" w:hanging="567"/>
        <w:contextualSpacing/>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Neišmeskite šio lapelio, nes vėl gali prireikti jį perskaityti. </w:t>
      </w:r>
    </w:p>
    <w:p w14:paraId="69F34215" w14:textId="77777777" w:rsidR="008C4948" w:rsidRPr="00CD6C5C" w:rsidRDefault="008C4948" w:rsidP="008C4948">
      <w:pPr>
        <w:numPr>
          <w:ilvl w:val="0"/>
          <w:numId w:val="3"/>
        </w:numPr>
        <w:spacing w:after="0" w:line="240" w:lineRule="auto"/>
        <w:ind w:left="567" w:right="-2" w:hanging="567"/>
        <w:contextualSpacing/>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kiltų daugiau klausimų, kreipkitės į gydytoją arba vaistininką.</w:t>
      </w:r>
    </w:p>
    <w:p w14:paraId="343B1AD0" w14:textId="77777777" w:rsidR="008C4948" w:rsidRPr="00CD6C5C" w:rsidRDefault="008C4948" w:rsidP="008C4948">
      <w:pPr>
        <w:numPr>
          <w:ilvl w:val="0"/>
          <w:numId w:val="3"/>
        </w:numPr>
        <w:spacing w:after="0" w:line="240" w:lineRule="auto"/>
        <w:ind w:left="567" w:right="-2" w:hanging="567"/>
        <w:contextualSpacing/>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Šis vaistas skirtas tik Jums, todėl kitiems žmonėms jo duoti negalima. Vaistas gali jiems pakenkti (net tiems, kurių ligos požymiai yra tokie patys kaip Jūsų).</w:t>
      </w:r>
    </w:p>
    <w:p w14:paraId="5A8068B7" w14:textId="77777777" w:rsidR="008C4948" w:rsidRPr="00CD6C5C" w:rsidRDefault="008C4948" w:rsidP="008C4948">
      <w:pPr>
        <w:numPr>
          <w:ilvl w:val="0"/>
          <w:numId w:val="3"/>
        </w:numPr>
        <w:spacing w:after="0" w:line="240" w:lineRule="auto"/>
        <w:ind w:left="567" w:right="-2" w:hanging="567"/>
        <w:contextualSpacing/>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pasireiškė šalutinis poveikis (net jeigu jis šiame lapelyje nenurodytas), kreipkitės į gydytoją arba vaistininką. Žr. 4 skyrių.</w:t>
      </w:r>
    </w:p>
    <w:p w14:paraId="0B3E1571" w14:textId="77777777" w:rsidR="008C4948" w:rsidRPr="00CD6C5C" w:rsidRDefault="008C4948" w:rsidP="008C4948">
      <w:pPr>
        <w:spacing w:after="0" w:line="240" w:lineRule="auto"/>
        <w:ind w:right="-2"/>
        <w:rPr>
          <w:rFonts w:ascii="Times New Roman" w:eastAsia="Times New Roman" w:hAnsi="Times New Roman" w:cs="Times New Roman"/>
          <w:lang w:eastAsia="lt-LT"/>
        </w:rPr>
      </w:pPr>
    </w:p>
    <w:p w14:paraId="67C9452C"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Apie ką rašoma šiame lapelyje?</w:t>
      </w:r>
    </w:p>
    <w:p w14:paraId="2F6FA0DF"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687B5676" w14:textId="77777777" w:rsidR="008C4948" w:rsidRPr="00CD6C5C" w:rsidRDefault="008C4948" w:rsidP="008C4948">
      <w:pPr>
        <w:pStyle w:val="Sraopastraipa"/>
        <w:numPr>
          <w:ilvl w:val="0"/>
          <w:numId w:val="13"/>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Kas yra Tadalafil Accord ir kam jis vartojamas </w:t>
      </w:r>
    </w:p>
    <w:p w14:paraId="5EB0E9B2" w14:textId="77777777" w:rsidR="008C4948" w:rsidRPr="00CD6C5C" w:rsidRDefault="008C4948" w:rsidP="008C4948">
      <w:pPr>
        <w:pStyle w:val="Sraopastraipa"/>
        <w:numPr>
          <w:ilvl w:val="0"/>
          <w:numId w:val="13"/>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Kas žinotina prieš vartojant Tadalafil Accord </w:t>
      </w:r>
    </w:p>
    <w:p w14:paraId="44024308" w14:textId="77777777" w:rsidR="008C4948" w:rsidRPr="00CD6C5C" w:rsidRDefault="008C4948" w:rsidP="008C4948">
      <w:pPr>
        <w:pStyle w:val="Sraopastraipa"/>
        <w:numPr>
          <w:ilvl w:val="0"/>
          <w:numId w:val="13"/>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Kaip vartoti Tadalafil Accord </w:t>
      </w:r>
    </w:p>
    <w:p w14:paraId="25D25CEE" w14:textId="77777777" w:rsidR="008C4948" w:rsidRPr="00CD6C5C" w:rsidRDefault="008C4948" w:rsidP="008C4948">
      <w:pPr>
        <w:pStyle w:val="Sraopastraipa"/>
        <w:numPr>
          <w:ilvl w:val="0"/>
          <w:numId w:val="13"/>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Galimas šalutinis poveikis </w:t>
      </w:r>
    </w:p>
    <w:p w14:paraId="1243D3D5" w14:textId="77777777" w:rsidR="008C4948" w:rsidRPr="00CD6C5C" w:rsidRDefault="008C4948" w:rsidP="008C4948">
      <w:pPr>
        <w:numPr>
          <w:ilvl w:val="0"/>
          <w:numId w:val="13"/>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Kaip laikyti Tadalafil Accord </w:t>
      </w:r>
    </w:p>
    <w:p w14:paraId="4F223CCA" w14:textId="77777777" w:rsidR="008C4948" w:rsidRPr="00CD6C5C" w:rsidRDefault="008C4948" w:rsidP="008C4948">
      <w:pPr>
        <w:pStyle w:val="Sraopastraipa"/>
        <w:numPr>
          <w:ilvl w:val="0"/>
          <w:numId w:val="13"/>
        </w:numPr>
        <w:spacing w:after="0" w:line="240" w:lineRule="auto"/>
        <w:ind w:left="567" w:right="-29"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Pakuotės turinys ir kita informacija</w:t>
      </w:r>
    </w:p>
    <w:p w14:paraId="6F82E3E0" w14:textId="77777777" w:rsidR="008C4948" w:rsidRPr="00CD6C5C" w:rsidRDefault="008C4948" w:rsidP="008C4948">
      <w:pPr>
        <w:spacing w:after="0" w:line="240" w:lineRule="auto"/>
        <w:ind w:left="567"/>
        <w:rPr>
          <w:rFonts w:ascii="Times New Roman" w:eastAsia="Times New Roman" w:hAnsi="Times New Roman" w:cs="Times New Roman"/>
          <w:lang w:eastAsia="lt-LT"/>
        </w:rPr>
      </w:pPr>
    </w:p>
    <w:p w14:paraId="0B6D080E" w14:textId="77777777" w:rsidR="008C4948" w:rsidRPr="00CD6C5C" w:rsidRDefault="008C4948" w:rsidP="008C4948">
      <w:pPr>
        <w:numPr>
          <w:ilvl w:val="12"/>
          <w:numId w:val="0"/>
        </w:numPr>
        <w:spacing w:after="0" w:line="240" w:lineRule="auto"/>
        <w:ind w:left="567" w:hanging="567"/>
        <w:rPr>
          <w:rFonts w:ascii="Times New Roman" w:eastAsia="Times New Roman" w:hAnsi="Times New Roman" w:cs="Times New Roman"/>
          <w:lang w:eastAsia="lt-LT"/>
        </w:rPr>
      </w:pPr>
    </w:p>
    <w:p w14:paraId="70DAC857" w14:textId="77777777" w:rsidR="008C4948" w:rsidRPr="00CD6C5C" w:rsidRDefault="008C4948" w:rsidP="008C4948">
      <w:pPr>
        <w:numPr>
          <w:ilvl w:val="0"/>
          <w:numId w:val="14"/>
        </w:numPr>
        <w:spacing w:after="0" w:line="240" w:lineRule="auto"/>
        <w:ind w:right="-2"/>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Kas yra Tadalafil Accord ir kam jis vartojamas</w:t>
      </w:r>
    </w:p>
    <w:p w14:paraId="1444A7D8" w14:textId="77777777" w:rsidR="008C4948" w:rsidRPr="00CD6C5C" w:rsidRDefault="008C4948" w:rsidP="008C4948">
      <w:pPr>
        <w:spacing w:after="0" w:line="240" w:lineRule="auto"/>
        <w:rPr>
          <w:rFonts w:ascii="Times New Roman" w:eastAsia="Times New Roman" w:hAnsi="Times New Roman" w:cs="Times New Roman"/>
          <w:lang w:eastAsia="lt-LT"/>
        </w:rPr>
      </w:pPr>
    </w:p>
    <w:p w14:paraId="28E7D539" w14:textId="77777777" w:rsidR="008C4948" w:rsidRPr="00CD6C5C" w:rsidRDefault="008C4948" w:rsidP="008C4948">
      <w:pPr>
        <w:spacing w:after="0" w:line="240" w:lineRule="auto"/>
        <w:rPr>
          <w:rFonts w:ascii="Times New Roman" w:eastAsia="Calibri" w:hAnsi="Times New Roman" w:cs="Times New Roman"/>
        </w:rPr>
      </w:pPr>
      <w:r w:rsidRPr="00CD6C5C">
        <w:rPr>
          <w:rFonts w:ascii="Times New Roman" w:eastAsia="MS Mincho" w:hAnsi="Times New Roman" w:cs="Times New Roman"/>
          <w:lang w:eastAsia="ja-JP"/>
        </w:rPr>
        <w:t xml:space="preserve">Tadalafil Accord </w:t>
      </w:r>
      <w:r w:rsidRPr="00CD6C5C">
        <w:rPr>
          <w:rFonts w:ascii="Times New Roman" w:eastAsia="Calibri" w:hAnsi="Times New Roman" w:cs="Times New Roman"/>
        </w:rPr>
        <w:t xml:space="preserve">sudėtyje yra veikliosios medžiagos tadalafilio, kuris priklauso vaistų, </w:t>
      </w:r>
      <w:r w:rsidRPr="00CD6C5C">
        <w:rPr>
          <w:rFonts w:ascii="Times New Roman" w:eastAsia="Times New Roman" w:hAnsi="Times New Roman" w:cs="Times New Roman"/>
          <w:lang w:eastAsia="lt-LT"/>
        </w:rPr>
        <w:t>vadinamų 5</w:t>
      </w:r>
      <w:r w:rsidRPr="00CD6C5C">
        <w:rPr>
          <w:rFonts w:ascii="Times New Roman" w:eastAsia="Times New Roman" w:hAnsi="Times New Roman" w:cs="Times New Roman"/>
          <w:lang w:eastAsia="lt-LT"/>
        </w:rPr>
        <w:noBreakHyphen/>
        <w:t>ojo tipo fosfodiesterazės inhibitoriais, grupei</w:t>
      </w:r>
      <w:r w:rsidRPr="00CD6C5C">
        <w:rPr>
          <w:rFonts w:ascii="Times New Roman" w:eastAsia="Calibri" w:hAnsi="Times New Roman" w:cs="Times New Roman"/>
        </w:rPr>
        <w:t>.</w:t>
      </w:r>
    </w:p>
    <w:p w14:paraId="60EBB7AF" w14:textId="77777777" w:rsidR="008C4948" w:rsidRPr="00CD6C5C" w:rsidRDefault="008C4948" w:rsidP="008C4948">
      <w:pPr>
        <w:spacing w:after="0" w:line="240" w:lineRule="auto"/>
        <w:rPr>
          <w:rFonts w:ascii="Times New Roman" w:eastAsia="Calibri" w:hAnsi="Times New Roman" w:cs="Times New Roman"/>
        </w:rPr>
      </w:pPr>
    </w:p>
    <w:p w14:paraId="4DF29575" w14:textId="77777777" w:rsidR="008C4948" w:rsidRPr="00CD6C5C" w:rsidRDefault="008C4948" w:rsidP="008C4948">
      <w:pPr>
        <w:spacing w:after="0" w:line="240" w:lineRule="auto"/>
        <w:rPr>
          <w:rFonts w:ascii="Times New Roman" w:eastAsia="MS Mincho" w:hAnsi="Times New Roman" w:cs="Times New Roman"/>
          <w:lang w:eastAsia="ja-JP"/>
        </w:rPr>
      </w:pPr>
      <w:r w:rsidRPr="00CD6C5C">
        <w:rPr>
          <w:rFonts w:ascii="Times New Roman" w:eastAsia="MS Mincho" w:hAnsi="Times New Roman" w:cs="Times New Roman"/>
          <w:lang w:eastAsia="ja-JP"/>
        </w:rPr>
        <w:t xml:space="preserve">Tadalafil Accord </w:t>
      </w:r>
      <w:r w:rsidRPr="00CD6C5C">
        <w:rPr>
          <w:rFonts w:ascii="Times New Roman" w:eastAsia="Calibri" w:hAnsi="Times New Roman" w:cs="Times New Roman"/>
          <w:bCs/>
        </w:rPr>
        <w:t>vartojamas toliau nurodytiems sutrikimams gydyti.</w:t>
      </w:r>
    </w:p>
    <w:p w14:paraId="6E5C7E05" w14:textId="77777777" w:rsidR="008C4948" w:rsidRPr="00CD6C5C" w:rsidRDefault="008C4948" w:rsidP="008C4948">
      <w:pPr>
        <w:numPr>
          <w:ilvl w:val="0"/>
          <w:numId w:val="15"/>
        </w:numPr>
        <w:spacing w:after="0" w:line="240" w:lineRule="auto"/>
        <w:contextualSpacing/>
        <w:rPr>
          <w:rFonts w:ascii="Times New Roman" w:eastAsia="Calibri" w:hAnsi="Times New Roman" w:cs="Times New Roman"/>
        </w:rPr>
      </w:pPr>
      <w:r w:rsidRPr="00CD6C5C">
        <w:rPr>
          <w:rFonts w:ascii="Times New Roman" w:eastAsia="Calibri" w:hAnsi="Times New Roman" w:cs="Times New Roman"/>
          <w:b/>
          <w:color w:val="000000"/>
        </w:rPr>
        <w:t>Erekcijos funkcijos sutrikimas suaugusiems vyrams.</w:t>
      </w:r>
      <w:r w:rsidRPr="00CD6C5C">
        <w:rPr>
          <w:rFonts w:ascii="Times New Roman" w:eastAsia="Calibri" w:hAnsi="Times New Roman" w:cs="Times New Roman"/>
        </w:rPr>
        <w:t xml:space="preserve"> </w:t>
      </w:r>
    </w:p>
    <w:p w14:paraId="6D5B81D2" w14:textId="77777777" w:rsidR="008C4948" w:rsidRPr="00CD6C5C" w:rsidRDefault="008C4948" w:rsidP="008C4948">
      <w:pPr>
        <w:spacing w:after="0" w:line="240" w:lineRule="auto"/>
        <w:ind w:left="360"/>
        <w:contextualSpacing/>
        <w:rPr>
          <w:rFonts w:ascii="Times New Roman" w:eastAsia="Calibri" w:hAnsi="Times New Roman" w:cs="Times New Roman"/>
        </w:rPr>
      </w:pPr>
      <w:r w:rsidRPr="00CD6C5C">
        <w:rPr>
          <w:rFonts w:ascii="Times New Roman" w:eastAsia="Times New Roman" w:hAnsi="Times New Roman" w:cs="Times New Roman"/>
          <w:lang w:eastAsia="lt-LT"/>
        </w:rPr>
        <w:t>Tai būklė kai vyro varpa nestandėja arba neišsilaiko kieta ir standi, tinkama lytiniam aktui atlikti. Buvo įrodyta, kad Tadalafil Accord reikšmingai pagerina gebėjimą sukelti kietą standžią varpą, tinkamą lytiniam aktui atlikti. Po lytinės stimuliacijos Tadalafil Accord padeda varpos kraujagyslėms atsipalaiduoti, todėl į varpą įteka daugiau kraujo. Dėl to pagerėja erekcijos funkcija. Jeigu Jūsų erekcijos funkcija nesutrikusi, Tadalafil Accord nepadės. Svarbu pažymėti, kad Tadalafil Accord neveiks, jeigu nebus lytinės stimuliacijos. Prieš lytinį aktą Jūs su savo partnere turėsite užsiimti glamonėmis lygiai taip pat, kaip užsiimtumėte jeigu būtumėte nevartojęs šio vaisto erekcijos funkcijos sutrikimui gydyti.</w:t>
      </w:r>
    </w:p>
    <w:p w14:paraId="6A9046CE" w14:textId="77777777" w:rsidR="008C4948" w:rsidRPr="00CD6C5C" w:rsidRDefault="008C4948" w:rsidP="008C4948">
      <w:pPr>
        <w:spacing w:after="0" w:line="240" w:lineRule="auto"/>
        <w:contextualSpacing/>
        <w:rPr>
          <w:rFonts w:ascii="Times New Roman" w:eastAsia="Calibri" w:hAnsi="Times New Roman" w:cs="Times New Roman"/>
        </w:rPr>
      </w:pPr>
    </w:p>
    <w:p w14:paraId="3BF92DDE" w14:textId="54FF0C7E" w:rsidR="008C4948" w:rsidRPr="00CD6C5C" w:rsidRDefault="008C4948" w:rsidP="008C4948">
      <w:pPr>
        <w:numPr>
          <w:ilvl w:val="0"/>
          <w:numId w:val="15"/>
        </w:numPr>
        <w:spacing w:after="0" w:line="240" w:lineRule="auto"/>
        <w:contextualSpacing/>
        <w:rPr>
          <w:rFonts w:ascii="Times New Roman" w:eastAsia="Calibri" w:hAnsi="Times New Roman" w:cs="Times New Roman"/>
        </w:rPr>
      </w:pPr>
      <w:r w:rsidRPr="00CD6C5C">
        <w:rPr>
          <w:rFonts w:ascii="Times New Roman" w:eastAsia="Calibri" w:hAnsi="Times New Roman" w:cs="Times New Roman"/>
          <w:b/>
        </w:rPr>
        <w:t>Plautinė arterinė hipertenzija suaugusiesiems.</w:t>
      </w:r>
    </w:p>
    <w:p w14:paraId="6161801A" w14:textId="77777777" w:rsidR="008C4948" w:rsidRPr="00CD6C5C" w:rsidRDefault="008C4948" w:rsidP="008C4948">
      <w:pPr>
        <w:spacing w:after="0" w:line="240" w:lineRule="auto"/>
        <w:ind w:left="360"/>
        <w:contextualSpacing/>
        <w:rPr>
          <w:rFonts w:ascii="Times New Roman" w:eastAsia="Calibri" w:hAnsi="Times New Roman" w:cs="Times New Roman"/>
        </w:rPr>
      </w:pPr>
      <w:r w:rsidRPr="00CD6C5C">
        <w:rPr>
          <w:rFonts w:ascii="Times New Roman" w:eastAsia="MS Mincho" w:hAnsi="Times New Roman" w:cs="Times New Roman"/>
          <w:lang w:eastAsia="ja-JP"/>
        </w:rPr>
        <w:t xml:space="preserve">Vaistas </w:t>
      </w:r>
      <w:r w:rsidRPr="00CD6C5C">
        <w:rPr>
          <w:rFonts w:ascii="Times New Roman" w:eastAsia="Calibri" w:hAnsi="Times New Roman" w:cs="Times New Roman"/>
        </w:rPr>
        <w:t>padeda atsipalaiduoti aplink plaučius esančioms kraujagyslėms ir pagerina plaučių kraujotaką. Tai padidina fizinio krūvio toleravimą.</w:t>
      </w:r>
    </w:p>
    <w:p w14:paraId="747C5935"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61773871"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35BD405C" w14:textId="77777777" w:rsidR="008C4948" w:rsidRPr="00CD6C5C" w:rsidRDefault="008C4948" w:rsidP="008C4948">
      <w:pPr>
        <w:numPr>
          <w:ilvl w:val="0"/>
          <w:numId w:val="14"/>
        </w:numPr>
        <w:spacing w:after="0" w:line="240" w:lineRule="auto"/>
        <w:ind w:right="-2"/>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Kas žinotina prieš vartojant Tadalafil Accord</w:t>
      </w:r>
    </w:p>
    <w:p w14:paraId="385AE62F" w14:textId="77777777" w:rsidR="008C4948" w:rsidRPr="00CD6C5C" w:rsidRDefault="008C4948" w:rsidP="008C4948">
      <w:pPr>
        <w:spacing w:after="0" w:line="240" w:lineRule="auto"/>
        <w:ind w:right="-2"/>
        <w:rPr>
          <w:rFonts w:ascii="Times New Roman" w:eastAsia="Times New Roman" w:hAnsi="Times New Roman" w:cs="Times New Roman"/>
          <w:lang w:eastAsia="lt-LT"/>
        </w:rPr>
      </w:pPr>
    </w:p>
    <w:p w14:paraId="123D6DF9" w14:textId="2D51D89D" w:rsidR="008C4948" w:rsidRPr="00CD6C5C" w:rsidRDefault="008C4948" w:rsidP="008C4948">
      <w:pPr>
        <w:numPr>
          <w:ilvl w:val="12"/>
          <w:numId w:val="0"/>
        </w:numPr>
        <w:spacing w:after="0" w:line="240" w:lineRule="auto"/>
        <w:outlineLvl w:val="0"/>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 xml:space="preserve">Tadalafil Accord vartoti </w:t>
      </w:r>
      <w:r w:rsidR="00C80646" w:rsidRPr="00CD6C5C">
        <w:rPr>
          <w:rFonts w:ascii="Times New Roman" w:eastAsia="Times New Roman" w:hAnsi="Times New Roman" w:cs="Times New Roman"/>
          <w:b/>
          <w:lang w:eastAsia="lt-LT"/>
        </w:rPr>
        <w:t>draudžia</w:t>
      </w:r>
      <w:r w:rsidRPr="00CD6C5C">
        <w:rPr>
          <w:rFonts w:ascii="Times New Roman" w:eastAsia="Times New Roman" w:hAnsi="Times New Roman" w:cs="Times New Roman"/>
          <w:b/>
          <w:lang w:eastAsia="lt-LT"/>
        </w:rPr>
        <w:t>ma:</w:t>
      </w:r>
    </w:p>
    <w:p w14:paraId="59B09537" w14:textId="77777777" w:rsidR="008C4948" w:rsidRPr="00CD6C5C" w:rsidRDefault="008C4948" w:rsidP="008C4948">
      <w:pPr>
        <w:numPr>
          <w:ilvl w:val="12"/>
          <w:numId w:val="0"/>
        </w:numPr>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w:t>
      </w:r>
      <w:r w:rsidRPr="00CD6C5C">
        <w:rPr>
          <w:rFonts w:ascii="Times New Roman" w:eastAsia="Times New Roman" w:hAnsi="Times New Roman" w:cs="Times New Roman"/>
          <w:lang w:eastAsia="lt-LT"/>
        </w:rPr>
        <w:tab/>
        <w:t>jeigu yra alergija tadalafiliui arba bet kuriai pagalbinei šio vaisto medžiagai (jos išvardytos 6 skyriuje);</w:t>
      </w:r>
    </w:p>
    <w:p w14:paraId="66593BD1"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jeigu vartojate bet kokių organinių nitratų arba azoto oksido donorų, pvz., amilnitrito. Šios grupės vaistais (nitratais) gydoma krūtinės angina (krūtinės skausmas). Nustatyta, kad Tadalafil Accord </w:t>
      </w:r>
      <w:r w:rsidRPr="00CD6C5C">
        <w:rPr>
          <w:rFonts w:ascii="Times New Roman" w:eastAsia="Times New Roman" w:hAnsi="Times New Roman" w:cs="Times New Roman"/>
          <w:lang w:eastAsia="lt-LT"/>
        </w:rPr>
        <w:lastRenderedPageBreak/>
        <w:t>stiprina šių vaistų sukeliamą poveikį. Jeigu vartojate kokių nors nitratų arba tiksliai nežinote, ar jų vartojate, apie tai pasakykite gydytojui;</w:t>
      </w:r>
    </w:p>
    <w:p w14:paraId="08589CCB"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sergate sunkia širdies liga arba neseniai (paskutiniųjų 90 dienų laikotarpiu) Jus buvo ištikęs širdies priepuolis;</w:t>
      </w:r>
    </w:p>
    <w:p w14:paraId="4A83BF62"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jeigu neseniai (paskutiniųjų 6 mėnesių laikotarpiu) Jus buvo ištikęs insultas; </w:t>
      </w:r>
    </w:p>
    <w:p w14:paraId="3B51EFD0"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jeigu yra mažas kraujospūdis arba didelis nekontroliuojamas kraujospūdis; </w:t>
      </w:r>
    </w:p>
    <w:p w14:paraId="5169D6E7"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buvote kada nors apakę dėl ne arterito sukeltos priekinės išeminės regos nervo neuropatijos (angl. NAION), t. y. sutrikimo, kuris dar vadinamas akies insultu;</w:t>
      </w:r>
    </w:p>
    <w:p w14:paraId="64663BAD"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vartojate riociguato. Šis vaistas vartojamas gydyti plautinę arterinę hipertenziją (t. y. didelį kraujospūdį plaučiuose) ir lėtinę tromboembolinę plautinę hipertenziją (t. y. didelį kraujospūdį plaučiuose, atsiradusį dėl kraujo krešulių susidarymo). Buvo nustatyta, kad FDE5 inhibitoriai, tokie kaip tadalafilis, sustiprina šio vaisto kraujospūdį mažinantį poveikį. Jeigu vartojate riociguato arba dėl to nesate tikri, apie tai pasakykite gydytojui.</w:t>
      </w:r>
    </w:p>
    <w:p w14:paraId="410C3AEF" w14:textId="77777777" w:rsidR="008C4948" w:rsidRPr="00CD6C5C" w:rsidRDefault="008C4948" w:rsidP="008C4948">
      <w:pPr>
        <w:spacing w:after="0" w:line="240" w:lineRule="auto"/>
        <w:ind w:right="-2"/>
        <w:outlineLvl w:val="0"/>
        <w:rPr>
          <w:rFonts w:ascii="Times New Roman" w:eastAsia="Times New Roman" w:hAnsi="Times New Roman" w:cs="Times New Roman"/>
          <w:b/>
          <w:lang w:eastAsia="lt-LT"/>
        </w:rPr>
      </w:pPr>
    </w:p>
    <w:p w14:paraId="0D3DA98F"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Įspėjimai ir atsargumo priemonės</w:t>
      </w:r>
    </w:p>
    <w:p w14:paraId="119E9869"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Pasitarkite su gydytoju arba vaistininku prieš pradėdami vartoti Tadalafil Accord.</w:t>
      </w:r>
    </w:p>
    <w:p w14:paraId="0C49B63C"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02E0D738"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Turėkite omenyje, kad lytinis aktyvumas gali didinti riziką širdies liga sergantiems pacientams, kadangi papildomai apkraunama širdis. Jeigu sergate širdies liga, pasakykite gydytojui.</w:t>
      </w:r>
    </w:p>
    <w:p w14:paraId="06AD3466"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3DBFD13F"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Prieš pradėdami vartoti tabletes pasakykite savo gydytojui, jeigu Jums yra:</w:t>
      </w:r>
    </w:p>
    <w:p w14:paraId="02CB4475"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kokių nors širdies sutrikimų, kitokių nei plautinė hipertenzija;</w:t>
      </w:r>
    </w:p>
    <w:p w14:paraId="4B0DFA3F"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problemų su kraujospūdžiu;</w:t>
      </w:r>
    </w:p>
    <w:p w14:paraId="72461023"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bet kokia paveldima akies liga;</w:t>
      </w:r>
    </w:p>
    <w:p w14:paraId="04E609FA"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pjautuvinė mažakraujystė (raudonųjų kraujo ląstelių sutrikimas);</w:t>
      </w:r>
    </w:p>
    <w:p w14:paraId="081967A8"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dauginė mieloma (kaulų čiulpų vėžys);</w:t>
      </w:r>
    </w:p>
    <w:p w14:paraId="51AA5579"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leukemija (kraujo ląstelių vėžys);</w:t>
      </w:r>
    </w:p>
    <w:p w14:paraId="0E9DDAB4" w14:textId="0B1B2349" w:rsidR="008C4948" w:rsidRPr="006B14A9" w:rsidRDefault="008C4948" w:rsidP="00C4453E">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6B14A9">
        <w:rPr>
          <w:rFonts w:ascii="Times New Roman" w:eastAsia="Times New Roman" w:hAnsi="Times New Roman" w:cs="Times New Roman"/>
          <w:lang w:eastAsia="lt-LT"/>
        </w:rPr>
        <w:t>bet kokia varpos deformacija;</w:t>
      </w:r>
    </w:p>
    <w:p w14:paraId="58DBD367"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sunkus kepenų funkcijos sutrikimas;</w:t>
      </w:r>
    </w:p>
    <w:p w14:paraId="0449F01C"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sunkus inkstų funkcijos sutrikimas.</w:t>
      </w:r>
    </w:p>
    <w:p w14:paraId="238D25E9" w14:textId="77777777" w:rsidR="008C4948" w:rsidRPr="00CD6C5C" w:rsidRDefault="008C4948" w:rsidP="008C4948">
      <w:pPr>
        <w:spacing w:after="0" w:line="240" w:lineRule="auto"/>
        <w:rPr>
          <w:rFonts w:ascii="Times New Roman" w:eastAsia="Times New Roman" w:hAnsi="Times New Roman" w:cs="Times New Roman"/>
          <w:lang w:eastAsia="lt-LT"/>
        </w:rPr>
      </w:pPr>
    </w:p>
    <w:p w14:paraId="78F416E9"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Nežinoma, ar tadalafilis yra veiksmingas pacientams, kuriems buvo atlikta:</w:t>
      </w:r>
    </w:p>
    <w:p w14:paraId="471FDC7C"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dubens srities operacija;</w:t>
      </w:r>
    </w:p>
    <w:p w14:paraId="2C5A53FE"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visos prostatos arba jos dalies pašalinimo operacija, kurios metu buvo nupjauti nervai (radikali nervų neišsauganti prostatektomija). </w:t>
      </w:r>
    </w:p>
    <w:p w14:paraId="20551409" w14:textId="77777777" w:rsidR="008C4948" w:rsidRPr="00CD6C5C" w:rsidRDefault="008C4948" w:rsidP="008C4948">
      <w:pPr>
        <w:spacing w:after="0" w:line="240" w:lineRule="auto"/>
        <w:rPr>
          <w:rFonts w:ascii="Times New Roman" w:eastAsia="Times New Roman" w:hAnsi="Times New Roman" w:cs="Times New Roman"/>
          <w:lang w:eastAsia="lt-LT"/>
        </w:rPr>
      </w:pPr>
    </w:p>
    <w:p w14:paraId="7AEE7229" w14:textId="379D8784"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Jeigu </w:t>
      </w:r>
      <w:r w:rsidR="006B14A9" w:rsidRPr="00700C44">
        <w:rPr>
          <w:rFonts w:ascii="Times New Roman" w:eastAsia="Times New Roman" w:hAnsi="Times New Roman" w:cs="Times New Roman"/>
          <w:lang w:eastAsia="lt-LT"/>
        </w:rPr>
        <w:t xml:space="preserve">vartojant Tadalafil Accord </w:t>
      </w:r>
      <w:r w:rsidRPr="00CD6C5C">
        <w:rPr>
          <w:rFonts w:ascii="Times New Roman" w:eastAsia="Times New Roman" w:hAnsi="Times New Roman" w:cs="Times New Roman"/>
          <w:lang w:eastAsia="lt-LT"/>
        </w:rPr>
        <w:t>staiga susilpnėtų regėjimas ar apaktumėte</w:t>
      </w:r>
      <w:r w:rsidR="006B14A9" w:rsidRPr="006B14A9">
        <w:rPr>
          <w:rFonts w:ascii="Times New Roman" w:eastAsia="Times New Roman" w:hAnsi="Times New Roman" w:cs="Times New Roman"/>
          <w:lang w:eastAsia="lt-LT"/>
        </w:rPr>
        <w:t xml:space="preserve"> </w:t>
      </w:r>
      <w:r w:rsidR="006B14A9" w:rsidRPr="00700C44">
        <w:rPr>
          <w:rFonts w:ascii="Times New Roman" w:eastAsia="Times New Roman" w:hAnsi="Times New Roman" w:cs="Times New Roman"/>
          <w:lang w:eastAsia="lt-LT"/>
        </w:rPr>
        <w:t>arba būtų matomas iškreiptas, blankus</w:t>
      </w:r>
      <w:r w:rsidR="006B14A9">
        <w:rPr>
          <w:rFonts w:ascii="Times New Roman" w:eastAsia="Times New Roman" w:hAnsi="Times New Roman" w:cs="Times New Roman"/>
          <w:lang w:eastAsia="lt-LT"/>
        </w:rPr>
        <w:t xml:space="preserve"> </w:t>
      </w:r>
      <w:r w:rsidR="006B14A9" w:rsidRPr="00700C44">
        <w:rPr>
          <w:rFonts w:ascii="Times New Roman" w:eastAsia="Times New Roman" w:hAnsi="Times New Roman" w:cs="Times New Roman"/>
          <w:lang w:eastAsia="lt-LT"/>
        </w:rPr>
        <w:t>vaizdas</w:t>
      </w:r>
      <w:r w:rsidRPr="00CD6C5C">
        <w:rPr>
          <w:rFonts w:ascii="Times New Roman" w:eastAsia="Times New Roman" w:hAnsi="Times New Roman" w:cs="Times New Roman"/>
          <w:lang w:eastAsia="lt-LT"/>
        </w:rPr>
        <w:t xml:space="preserve">, nutraukite Tadalafil Accord vartojimą ir nedelsdami kreipkitės į gydytoją. </w:t>
      </w:r>
    </w:p>
    <w:p w14:paraId="289E8762"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64BC7113"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Kai kuriems tadalafilio vartojusiems pacientams buvo pastebėta susilpnėjusi arba staiga dingusi klausa. Nors nėra žinoma, ar šis reiškinys tiesiogiai susijęs su tadalafiliu, pastebėję, kad nusilpo arba staiga dingo klausa, Tadalafil Accord nebevartokite ir nedelsdami kreipkitės į gydytoją.</w:t>
      </w:r>
    </w:p>
    <w:p w14:paraId="2C4AC1C4"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4AF84A34" w14:textId="77777777" w:rsidR="008C4948" w:rsidRPr="00CD6C5C" w:rsidRDefault="008C4948" w:rsidP="008C4948">
      <w:pPr>
        <w:numPr>
          <w:ilvl w:val="12"/>
          <w:numId w:val="0"/>
        </w:numPr>
        <w:spacing w:after="0" w:line="240" w:lineRule="auto"/>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Tadalafil Accord neturi būti vartojamas moterų erekcijos funkcijos sutrikimui gydyti, kadangi tai yra vyrų sveikatos specifinė problema.</w:t>
      </w:r>
    </w:p>
    <w:p w14:paraId="32438A1A"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6415DFC9" w14:textId="77777777" w:rsidR="008C4948" w:rsidRPr="00CD6C5C" w:rsidRDefault="008C4948" w:rsidP="008C4948">
      <w:pPr>
        <w:numPr>
          <w:ilvl w:val="12"/>
          <w:numId w:val="0"/>
        </w:numPr>
        <w:spacing w:after="0" w:line="240" w:lineRule="auto"/>
        <w:rPr>
          <w:rFonts w:ascii="Times New Roman" w:eastAsia="Times New Roman" w:hAnsi="Times New Roman" w:cs="Times New Roman"/>
          <w:b/>
          <w:bCs/>
          <w:lang w:eastAsia="lt-LT"/>
        </w:rPr>
      </w:pPr>
      <w:r w:rsidRPr="00CD6C5C">
        <w:rPr>
          <w:rFonts w:ascii="Times New Roman" w:eastAsia="Times New Roman" w:hAnsi="Times New Roman" w:cs="Times New Roman"/>
          <w:b/>
          <w:lang w:eastAsia="lt-LT"/>
        </w:rPr>
        <w:t>Vaikams ir paaugliams</w:t>
      </w:r>
    </w:p>
    <w:p w14:paraId="363701C7" w14:textId="02114A26" w:rsidR="008C4948" w:rsidRPr="00CD6C5C" w:rsidRDefault="008C4948" w:rsidP="006B14A9">
      <w:pPr>
        <w:numPr>
          <w:ilvl w:val="12"/>
          <w:numId w:val="0"/>
        </w:numPr>
        <w:spacing w:after="0" w:line="240" w:lineRule="auto"/>
        <w:rPr>
          <w:rFonts w:ascii="Times New Roman" w:eastAsia="Times New Roman" w:hAnsi="Times New Roman" w:cs="Times New Roman"/>
          <w:bCs/>
          <w:lang w:eastAsia="lt-LT"/>
        </w:rPr>
      </w:pPr>
      <w:r w:rsidRPr="00CD6C5C">
        <w:rPr>
          <w:rFonts w:ascii="Times New Roman" w:eastAsia="Times New Roman" w:hAnsi="Times New Roman" w:cs="Times New Roman"/>
          <w:lang w:eastAsia="lt-LT"/>
        </w:rPr>
        <w:t>Tadalafil Accord neskirtas vartoti vaikams ir jaunesniems kaip 18 metų paaugliams.</w:t>
      </w:r>
    </w:p>
    <w:p w14:paraId="774C0E60" w14:textId="77777777" w:rsidR="008C4948" w:rsidRPr="00CD6C5C" w:rsidRDefault="008C4948" w:rsidP="008C4948">
      <w:pPr>
        <w:numPr>
          <w:ilvl w:val="12"/>
          <w:numId w:val="0"/>
        </w:numPr>
        <w:spacing w:after="0" w:line="240" w:lineRule="auto"/>
        <w:rPr>
          <w:rFonts w:ascii="Times New Roman" w:eastAsia="Times New Roman" w:hAnsi="Times New Roman" w:cs="Times New Roman"/>
          <w:b/>
          <w:bCs/>
          <w:lang w:eastAsia="lt-LT"/>
        </w:rPr>
      </w:pPr>
    </w:p>
    <w:p w14:paraId="3BD065F9"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Kiti vaistai ir Tadalafil Accord</w:t>
      </w:r>
    </w:p>
    <w:p w14:paraId="44E4C6EA"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vartojate ar neseniai vartojote kitų vaistų arba dėl to nesate tikri, apie tai pasakykite gydytojui arba vaistininkui.</w:t>
      </w:r>
    </w:p>
    <w:p w14:paraId="17AFE776"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524F5549" w14:textId="3AD84DDF"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lastRenderedPageBreak/>
        <w:t xml:space="preserve">Tadalafil Accord vartoti </w:t>
      </w:r>
      <w:r w:rsidR="003C5663">
        <w:rPr>
          <w:rFonts w:ascii="Times New Roman" w:eastAsia="Times New Roman" w:hAnsi="Times New Roman" w:cs="Times New Roman"/>
          <w:lang w:eastAsia="lt-LT"/>
        </w:rPr>
        <w:t>draudžiama</w:t>
      </w:r>
      <w:r w:rsidRPr="00CD6C5C">
        <w:rPr>
          <w:rFonts w:ascii="Times New Roman" w:eastAsia="Times New Roman" w:hAnsi="Times New Roman" w:cs="Times New Roman"/>
          <w:lang w:eastAsia="lt-LT"/>
        </w:rPr>
        <w:t xml:space="preserve">, jeigu jau vartojate nitratų. </w:t>
      </w:r>
    </w:p>
    <w:p w14:paraId="4887ACEF"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18021761"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 Accord gali keisti kai kurių vaistų poveikį arba jie − Tadalafil Accord poveikį. Pasakykite gydytojui arba vaistininkui, jeigu jau vartojate: </w:t>
      </w:r>
    </w:p>
    <w:p w14:paraId="2347B3D0" w14:textId="3164B70F"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bozentano (kito vaisto plautinei arterin</w:t>
      </w:r>
      <w:r w:rsidR="00C4453E">
        <w:rPr>
          <w:rFonts w:ascii="Times New Roman" w:eastAsia="Times New Roman" w:hAnsi="Times New Roman" w:cs="Times New Roman"/>
          <w:lang w:eastAsia="lt-LT"/>
        </w:rPr>
        <w:t>ei</w:t>
      </w:r>
      <w:r w:rsidRPr="00CD6C5C">
        <w:rPr>
          <w:rFonts w:ascii="Times New Roman" w:eastAsia="Times New Roman" w:hAnsi="Times New Roman" w:cs="Times New Roman"/>
          <w:lang w:eastAsia="lt-LT"/>
        </w:rPr>
        <w:t xml:space="preserve"> hipertenzijai gydyti);</w:t>
      </w:r>
    </w:p>
    <w:p w14:paraId="10CA08A9"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nitratų (krūtinės skausmui malšinti);</w:t>
      </w:r>
    </w:p>
    <w:p w14:paraId="31BAE38F"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alfa adrenoreceptorių blokatorių (vartojamų dideliam kraujospūdžiui mažinti arba šlapimo organų simptomams, susijusiems su gerybine prostatos hiperplazija, gydyti);</w:t>
      </w:r>
    </w:p>
    <w:p w14:paraId="69B8A636"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kitų vaistų padidėjusiam kraujospūdžiui mažinti;</w:t>
      </w:r>
    </w:p>
    <w:p w14:paraId="6BCD4779" w14:textId="77777777" w:rsidR="008C4948" w:rsidRPr="00CD6C5C" w:rsidRDefault="008C4948" w:rsidP="008C4948">
      <w:pPr>
        <w:numPr>
          <w:ilvl w:val="0"/>
          <w:numId w:val="6"/>
        </w:numPr>
        <w:tabs>
          <w:tab w:val="left" w:pos="567"/>
        </w:tabs>
        <w:snapToGrid w:val="0"/>
        <w:spacing w:after="0" w:line="240" w:lineRule="auto"/>
        <w:ind w:left="567" w:hanging="567"/>
        <w:rPr>
          <w:rFonts w:ascii="Times New Roman" w:eastAsia="Times New Roman" w:hAnsi="Times New Roman" w:cs="Times New Roman"/>
          <w:snapToGrid w:val="0"/>
          <w:lang w:eastAsia="lt-LT"/>
        </w:rPr>
      </w:pPr>
      <w:r w:rsidRPr="00CD6C5C">
        <w:rPr>
          <w:rFonts w:ascii="Times New Roman" w:eastAsia="Times New Roman" w:hAnsi="Times New Roman" w:cs="Times New Roman"/>
          <w:snapToGrid w:val="0"/>
          <w:lang w:eastAsia="lt-LT"/>
        </w:rPr>
        <w:t>riociguato;</w:t>
      </w:r>
    </w:p>
    <w:p w14:paraId="3D3BCF57"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5-alfa reduktazės inhibitorių (vartojamų gerybinei prostatos hiperplazijai gydyti);</w:t>
      </w:r>
    </w:p>
    <w:p w14:paraId="3A8E031D"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tokių vaistų, kaip ketokonazolo tabletės (vartojamos grybelių sukeltoms infekcinėms ligoms gydyti) ir proteazės inhibitoriai AIDS arba ŽIV infekcijai gydyti;</w:t>
      </w:r>
    </w:p>
    <w:p w14:paraId="751A4673"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fenobarbitalio, fenitoino, karbamazepino (vaistų nuo traukulių);</w:t>
      </w:r>
    </w:p>
    <w:p w14:paraId="0C0D9E98"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rifampicino, eritromicino, klaritromicino arba itrakonazolo;</w:t>
      </w:r>
    </w:p>
    <w:p w14:paraId="0189E798"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kitokių vaistų nuo erekcijos funkcijos sutrikimo.</w:t>
      </w:r>
    </w:p>
    <w:p w14:paraId="22865271" w14:textId="77777777" w:rsidR="008C4948" w:rsidRPr="00CD6C5C" w:rsidRDefault="008C4948" w:rsidP="008C4948">
      <w:pPr>
        <w:spacing w:after="0" w:line="240" w:lineRule="auto"/>
        <w:ind w:right="-2"/>
        <w:rPr>
          <w:rFonts w:ascii="Times New Roman" w:eastAsia="Times New Roman" w:hAnsi="Times New Roman" w:cs="Times New Roman"/>
          <w:b/>
          <w:lang w:eastAsia="lt-LT"/>
        </w:rPr>
      </w:pPr>
    </w:p>
    <w:p w14:paraId="16157094"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Tadalafil Accord vartojimas su gėrimais ir alkoholiu</w:t>
      </w:r>
    </w:p>
    <w:p w14:paraId="4F8C8D3B"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Informacija apie alkoholio įtaką pateikta 3 skyriuje. Greipfrutų sultys gali sutrikdyti Tadalafil Accord poveikį, todėl turi būti vartojamos atsargiai. Norėdami sužinoti daugiau, kreipkitės į savo gydytoją.</w:t>
      </w:r>
    </w:p>
    <w:p w14:paraId="5E13001D"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19F83B71"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Nėštumas, žindymas ir vaisingumas</w:t>
      </w:r>
    </w:p>
    <w:p w14:paraId="630D2EE6"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Nėštumas</w:t>
      </w:r>
    </w:p>
    <w:p w14:paraId="0BCD0706"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esate nėščia, žindote kūdikį, manote, kad galbūt esate nėščia arba planuojate pastoti, tai prieš vartodama šį vaistą pasitarkite su savo gydytoju. Tadalafilio nėštumo metu vartoti negalima, išskyrus atvejus, kai tai neabejotinai būtina ir tai aptarėte su gydytoju.</w:t>
      </w:r>
    </w:p>
    <w:p w14:paraId="53932002"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4E3FDAB9"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Žindymas</w:t>
      </w:r>
    </w:p>
    <w:p w14:paraId="02B6B790"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Vartojant šias tabletes, žindyti negalima, nes nežinoma, ar šio vaisto prasiskverbia į motinos pieną. Prieš vartojant bet kokį vaistą nėštumo metu ar žindymo laikotarpiu, būtina pasitarti su gydytoju arba vaistininku.</w:t>
      </w:r>
    </w:p>
    <w:p w14:paraId="36ACC650"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02AE0B60"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Vaisingumas</w:t>
      </w:r>
    </w:p>
    <w:p w14:paraId="69F72263"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Vaisto vartojant šunims, sumažėjo spermatozoidų vystymasis jų sėklidėse. Kai kuriems vyrams buvo pastebėtas spermos kiekio sumažėjimas. Nesitikima, kad dėl tokio poveikio sumažėtų vaisingumas.</w:t>
      </w:r>
    </w:p>
    <w:p w14:paraId="48EF18DE"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1799D285"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Vairavimas ir mechanizmų valdymas</w:t>
      </w:r>
    </w:p>
    <w:p w14:paraId="032DF1F1"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Klinikinių tyrimų metu tadalafilis kai kuriems vyrams sukėlė svaigulį. Prieš vairavimą ar mechanizmų valdymą atidžiai pasitikrinkite savo reakciją į šias tabletes.</w:t>
      </w:r>
    </w:p>
    <w:p w14:paraId="14A751D1" w14:textId="77777777" w:rsidR="008C4948" w:rsidRPr="00CD6C5C" w:rsidRDefault="008C4948" w:rsidP="008C4948">
      <w:pPr>
        <w:numPr>
          <w:ilvl w:val="12"/>
          <w:numId w:val="0"/>
        </w:numPr>
        <w:spacing w:after="0" w:line="240" w:lineRule="auto"/>
        <w:rPr>
          <w:rFonts w:ascii="Times New Roman" w:eastAsia="Times New Roman" w:hAnsi="Times New Roman" w:cs="Times New Roman"/>
          <w:lang w:eastAsia="lt-LT"/>
        </w:rPr>
      </w:pPr>
    </w:p>
    <w:p w14:paraId="71FA794B"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Tadalafil Accord sudėtyje yra laktozės </w:t>
      </w:r>
    </w:p>
    <w:p w14:paraId="310C3632"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gydytojas yra Jums sakęs, kad netoleruojate kokių nors angliavandenių, kreipkitės į jį prieš pradėdami vartoti šį vaistą.</w:t>
      </w:r>
    </w:p>
    <w:p w14:paraId="3C87F10F"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01B14605" w14:textId="77777777" w:rsidR="00F039EA" w:rsidRPr="00CD6C5C" w:rsidRDefault="00F039EA" w:rsidP="00F039EA">
      <w:pPr>
        <w:keepNext/>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Tadalafil Accord sudėtyje yra natrio </w:t>
      </w:r>
    </w:p>
    <w:p w14:paraId="59E2AED6" w14:textId="682DBF9A" w:rsidR="00F039EA" w:rsidRPr="00CD6C5C" w:rsidRDefault="00F039EA" w:rsidP="00F039EA">
      <w:pPr>
        <w:keepNext/>
        <w:keepLines/>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15590A">
        <w:rPr>
          <w:rFonts w:ascii="Times New Roman" w:eastAsia="TimesNewRomanPSMT" w:hAnsi="Times New Roman" w:cs="Times New Roman"/>
          <w:lang w:eastAsia="lt-LT"/>
        </w:rPr>
        <w:t>Šio vais</w:t>
      </w:r>
      <w:r w:rsidRPr="00CD6C5C">
        <w:rPr>
          <w:rFonts w:ascii="Times New Roman" w:eastAsia="TimesNewRomanPSMT" w:hAnsi="Times New Roman" w:cs="Times New Roman"/>
          <w:lang w:eastAsia="lt-LT"/>
        </w:rPr>
        <w:t xml:space="preserve">to tabletėje </w:t>
      </w:r>
      <w:r w:rsidRPr="0015590A">
        <w:rPr>
          <w:rFonts w:ascii="Times New Roman" w:eastAsia="TimesNewRomanPSMT" w:hAnsi="Times New Roman" w:cs="Times New Roman"/>
          <w:lang w:eastAsia="lt-LT"/>
        </w:rPr>
        <w:t>yra</w:t>
      </w:r>
      <w:r w:rsidRPr="00CD6C5C">
        <w:rPr>
          <w:rFonts w:ascii="Times New Roman" w:eastAsia="TimesNewRomanPSMT" w:hAnsi="Times New Roman" w:cs="Times New Roman"/>
          <w:lang w:eastAsia="lt-LT"/>
        </w:rPr>
        <w:t xml:space="preserve"> </w:t>
      </w:r>
      <w:r w:rsidRPr="0015590A">
        <w:rPr>
          <w:rFonts w:ascii="Times New Roman" w:eastAsia="TimesNewRomanPSMT" w:hAnsi="Times New Roman" w:cs="Times New Roman"/>
          <w:lang w:eastAsia="lt-LT"/>
        </w:rPr>
        <w:t>mažiau kaip 1</w:t>
      </w:r>
      <w:r w:rsidRPr="00CD6C5C">
        <w:rPr>
          <w:rFonts w:ascii="Times New Roman" w:eastAsia="TimesNewRomanPSMT" w:hAnsi="Times New Roman" w:cs="Times New Roman"/>
          <w:lang w:eastAsia="lt-LT"/>
        </w:rPr>
        <w:t> </w:t>
      </w:r>
      <w:r w:rsidRPr="0015590A">
        <w:rPr>
          <w:rFonts w:ascii="Times New Roman" w:eastAsia="TimesNewRomanPSMT" w:hAnsi="Times New Roman" w:cs="Times New Roman"/>
          <w:lang w:eastAsia="lt-LT"/>
        </w:rPr>
        <w:t>mmol (23</w:t>
      </w:r>
      <w:r w:rsidRPr="00CD6C5C">
        <w:rPr>
          <w:rFonts w:ascii="Times New Roman" w:eastAsia="TimesNewRomanPSMT" w:hAnsi="Times New Roman" w:cs="Times New Roman"/>
          <w:lang w:eastAsia="lt-LT"/>
        </w:rPr>
        <w:t> </w:t>
      </w:r>
      <w:r w:rsidRPr="0015590A">
        <w:rPr>
          <w:rFonts w:ascii="Times New Roman" w:eastAsia="TimesNewRomanPSMT" w:hAnsi="Times New Roman" w:cs="Times New Roman"/>
          <w:lang w:eastAsia="lt-LT"/>
        </w:rPr>
        <w:t>mg) natrio, t.</w:t>
      </w:r>
      <w:r w:rsidRPr="00CD6C5C">
        <w:rPr>
          <w:rFonts w:ascii="Times New Roman" w:eastAsia="TimesNewRomanPSMT" w:hAnsi="Times New Roman" w:cs="Times New Roman"/>
          <w:lang w:eastAsia="lt-LT"/>
        </w:rPr>
        <w:t xml:space="preserve"> </w:t>
      </w:r>
      <w:r w:rsidRPr="0015590A">
        <w:rPr>
          <w:rFonts w:ascii="Times New Roman" w:eastAsia="TimesNewRomanPSMT" w:hAnsi="Times New Roman" w:cs="Times New Roman"/>
          <w:lang w:eastAsia="lt-LT"/>
        </w:rPr>
        <w:t>y. jis beveik</w:t>
      </w:r>
      <w:r w:rsidRPr="00CD6C5C">
        <w:rPr>
          <w:rFonts w:ascii="Times New Roman" w:eastAsia="TimesNewRomanPSMT" w:hAnsi="Times New Roman" w:cs="Times New Roman"/>
          <w:lang w:eastAsia="lt-LT"/>
        </w:rPr>
        <w:t xml:space="preserve"> neturi reikšmės.</w:t>
      </w:r>
    </w:p>
    <w:p w14:paraId="685A3846" w14:textId="77777777" w:rsidR="00F039EA" w:rsidRPr="00CD6C5C" w:rsidRDefault="00F039EA" w:rsidP="00F039EA">
      <w:pPr>
        <w:numPr>
          <w:ilvl w:val="12"/>
          <w:numId w:val="0"/>
        </w:numPr>
        <w:spacing w:after="0" w:line="240" w:lineRule="auto"/>
        <w:ind w:right="-2"/>
        <w:rPr>
          <w:rFonts w:ascii="Times New Roman" w:eastAsia="Times New Roman" w:hAnsi="Times New Roman" w:cs="Times New Roman"/>
          <w:lang w:eastAsia="lt-LT"/>
        </w:rPr>
      </w:pPr>
    </w:p>
    <w:p w14:paraId="46379E92"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5ECB23E0" w14:textId="77777777" w:rsidR="008C4948" w:rsidRPr="00CD6C5C" w:rsidRDefault="008C4948" w:rsidP="007D3ACB">
      <w:pPr>
        <w:keepNext/>
        <w:numPr>
          <w:ilvl w:val="0"/>
          <w:numId w:val="14"/>
        </w:numPr>
        <w:spacing w:after="0" w:line="240" w:lineRule="auto"/>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Kaip vartoti Tadalafil Accord</w:t>
      </w:r>
    </w:p>
    <w:p w14:paraId="322C243D" w14:textId="77777777" w:rsidR="008C4948" w:rsidRPr="00CD6C5C" w:rsidRDefault="008C4948" w:rsidP="007D3ACB">
      <w:pPr>
        <w:keepNext/>
        <w:spacing w:after="0" w:line="240" w:lineRule="auto"/>
        <w:rPr>
          <w:rFonts w:ascii="Times New Roman" w:eastAsia="Times New Roman" w:hAnsi="Times New Roman" w:cs="Times New Roman"/>
          <w:lang w:eastAsia="lt-LT"/>
        </w:rPr>
      </w:pPr>
    </w:p>
    <w:p w14:paraId="62770629" w14:textId="77777777" w:rsidR="008C4948" w:rsidRPr="00CD6C5C" w:rsidRDefault="008C4948" w:rsidP="007D3ACB">
      <w:pPr>
        <w:keepNext/>
        <w:numPr>
          <w:ilvl w:val="12"/>
          <w:numId w:val="0"/>
        </w:num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Visada vartokite šį vaistą tiksliai, kaip nurodė gydytojas. Jeigu abejojate, kreipkitės į gydytoją arba vaistininką. </w:t>
      </w:r>
    </w:p>
    <w:p w14:paraId="0B34301C"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6C265426"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lastRenderedPageBreak/>
        <w:t>Tabletę nurykite nepažeistą užgerdami vandeniu. Tabletes galima gerti valgio metu arba nevalgius.</w:t>
      </w:r>
    </w:p>
    <w:p w14:paraId="15771591"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1483148D" w14:textId="77777777" w:rsidR="008C4948" w:rsidRPr="007D3ACB" w:rsidRDefault="008C4948" w:rsidP="008C4948">
      <w:pPr>
        <w:autoSpaceDE w:val="0"/>
        <w:autoSpaceDN w:val="0"/>
        <w:adjustRightInd w:val="0"/>
        <w:spacing w:after="0" w:line="240" w:lineRule="auto"/>
        <w:rPr>
          <w:rFonts w:ascii="Times New Roman" w:hAnsi="Times New Roman" w:cs="Times New Roman"/>
          <w:color w:val="000000"/>
          <w:u w:val="single"/>
        </w:rPr>
      </w:pPr>
      <w:r w:rsidRPr="007D3ACB">
        <w:rPr>
          <w:rFonts w:ascii="Times New Roman" w:hAnsi="Times New Roman" w:cs="Times New Roman"/>
          <w:color w:val="000000"/>
          <w:u w:val="single"/>
        </w:rPr>
        <w:t>Erekcijos funkcijos sutrikimo gydymas</w:t>
      </w:r>
    </w:p>
    <w:p w14:paraId="03B81388" w14:textId="77777777" w:rsidR="008C4948" w:rsidRPr="00CD6C5C" w:rsidRDefault="008C4948" w:rsidP="008C4948">
      <w:pPr>
        <w:autoSpaceDE w:val="0"/>
        <w:autoSpaceDN w:val="0"/>
        <w:adjustRightInd w:val="0"/>
        <w:spacing w:after="0" w:line="240" w:lineRule="auto"/>
        <w:rPr>
          <w:rFonts w:ascii="Times New Roman" w:hAnsi="Times New Roman" w:cs="Times New Roman"/>
          <w:color w:val="000000"/>
        </w:rPr>
      </w:pPr>
      <w:r w:rsidRPr="00CD6C5C">
        <w:rPr>
          <w:rFonts w:ascii="Times New Roman" w:hAnsi="Times New Roman" w:cs="Times New Roman"/>
          <w:b/>
          <w:bCs/>
          <w:color w:val="000000"/>
        </w:rPr>
        <w:t xml:space="preserve">Rekomenduojama pradinė dozė </w:t>
      </w:r>
      <w:r w:rsidRPr="00CD6C5C">
        <w:rPr>
          <w:rFonts w:ascii="Times New Roman" w:hAnsi="Times New Roman" w:cs="Times New Roman"/>
          <w:color w:val="000000"/>
        </w:rPr>
        <w:t xml:space="preserve">yra viena 10 mg tabletė, geriama prieš seksualinius santykius. Vis dėlto Jūsų gydytojas Jums skyrė vartoti po vieną 20 mg tabletę, kadangi jis nusprendė, kad rekomenduojama 10 mg dozė veiks per silpnai. </w:t>
      </w:r>
    </w:p>
    <w:p w14:paraId="47D2059F" w14:textId="77777777" w:rsidR="008C4948" w:rsidRPr="00CD6C5C" w:rsidRDefault="008C4948" w:rsidP="008C4948">
      <w:pPr>
        <w:autoSpaceDE w:val="0"/>
        <w:autoSpaceDN w:val="0"/>
        <w:adjustRightInd w:val="0"/>
        <w:spacing w:after="0" w:line="240" w:lineRule="auto"/>
        <w:rPr>
          <w:rFonts w:ascii="Times New Roman" w:hAnsi="Times New Roman" w:cs="Times New Roman"/>
          <w:color w:val="000000"/>
        </w:rPr>
      </w:pPr>
    </w:p>
    <w:p w14:paraId="5F2E8DF6" w14:textId="77777777" w:rsidR="008C4948" w:rsidRPr="00CD6C5C" w:rsidRDefault="008C4948" w:rsidP="008C4948">
      <w:pPr>
        <w:autoSpaceDE w:val="0"/>
        <w:autoSpaceDN w:val="0"/>
        <w:adjustRightInd w:val="0"/>
        <w:spacing w:after="0" w:line="240" w:lineRule="auto"/>
        <w:rPr>
          <w:rFonts w:ascii="Times New Roman" w:hAnsi="Times New Roman" w:cs="Times New Roman"/>
          <w:color w:val="000000"/>
        </w:rPr>
      </w:pPr>
      <w:r w:rsidRPr="00CD6C5C">
        <w:rPr>
          <w:rFonts w:ascii="Times New Roman" w:eastAsia="Times New Roman" w:hAnsi="Times New Roman" w:cs="Times New Roman"/>
          <w:lang w:eastAsia="lt-LT"/>
        </w:rPr>
        <w:t xml:space="preserve">Tadalafil Accord </w:t>
      </w:r>
      <w:r w:rsidRPr="00CD6C5C">
        <w:rPr>
          <w:rFonts w:ascii="Times New Roman" w:hAnsi="Times New Roman" w:cs="Times New Roman"/>
          <w:color w:val="000000"/>
        </w:rPr>
        <w:t xml:space="preserve">galite gerti, likus 30 min. iki seksualinių santykių. </w:t>
      </w:r>
    </w:p>
    <w:p w14:paraId="1808F11C" w14:textId="77777777" w:rsidR="008C4948" w:rsidRPr="00CD6C5C" w:rsidRDefault="008C4948" w:rsidP="008C4948">
      <w:pPr>
        <w:autoSpaceDE w:val="0"/>
        <w:autoSpaceDN w:val="0"/>
        <w:adjustRightInd w:val="0"/>
        <w:spacing w:after="0" w:line="240" w:lineRule="auto"/>
        <w:rPr>
          <w:rFonts w:ascii="Times New Roman" w:hAnsi="Times New Roman" w:cs="Times New Roman"/>
          <w:color w:val="000000"/>
        </w:rPr>
      </w:pPr>
      <w:r w:rsidRPr="00CD6C5C">
        <w:rPr>
          <w:rFonts w:ascii="Times New Roman" w:hAnsi="Times New Roman" w:cs="Times New Roman"/>
          <w:color w:val="000000"/>
        </w:rPr>
        <w:t xml:space="preserve">Išgerto vaisto poveikis gali trukti iki 36 valandų. </w:t>
      </w:r>
    </w:p>
    <w:p w14:paraId="2A167160" w14:textId="77777777" w:rsidR="008C4948" w:rsidRPr="00CD6C5C" w:rsidRDefault="008C4948" w:rsidP="008C4948">
      <w:pPr>
        <w:autoSpaceDE w:val="0"/>
        <w:autoSpaceDN w:val="0"/>
        <w:adjustRightInd w:val="0"/>
        <w:spacing w:after="0" w:line="240" w:lineRule="auto"/>
        <w:rPr>
          <w:rFonts w:ascii="Times New Roman" w:hAnsi="Times New Roman" w:cs="Times New Roman"/>
          <w:color w:val="000000"/>
        </w:rPr>
      </w:pPr>
    </w:p>
    <w:p w14:paraId="3A083E2D" w14:textId="77777777" w:rsidR="008C4948" w:rsidRPr="00CD6C5C" w:rsidRDefault="008C4948" w:rsidP="008C4948">
      <w:pPr>
        <w:autoSpaceDE w:val="0"/>
        <w:autoSpaceDN w:val="0"/>
        <w:adjustRightInd w:val="0"/>
        <w:spacing w:after="0" w:line="240" w:lineRule="auto"/>
        <w:rPr>
          <w:rFonts w:ascii="Times New Roman" w:hAnsi="Times New Roman" w:cs="Times New Roman"/>
          <w:color w:val="000000"/>
        </w:rPr>
      </w:pPr>
      <w:r w:rsidRPr="00CD6C5C">
        <w:rPr>
          <w:rFonts w:ascii="Times New Roman" w:hAnsi="Times New Roman" w:cs="Times New Roman"/>
          <w:color w:val="000000"/>
        </w:rPr>
        <w:t xml:space="preserve">Daugiau negu vieną kartą per parą </w:t>
      </w:r>
      <w:r w:rsidRPr="00CD6C5C">
        <w:rPr>
          <w:rFonts w:ascii="Times New Roman" w:eastAsia="Times New Roman" w:hAnsi="Times New Roman" w:cs="Times New Roman"/>
          <w:lang w:eastAsia="lt-LT"/>
        </w:rPr>
        <w:t xml:space="preserve">Tadalafil Accord </w:t>
      </w:r>
      <w:r w:rsidRPr="00CD6C5C">
        <w:rPr>
          <w:rFonts w:ascii="Times New Roman" w:hAnsi="Times New Roman" w:cs="Times New Roman"/>
          <w:color w:val="000000"/>
        </w:rPr>
        <w:t xml:space="preserve">nevartokite. </w:t>
      </w:r>
      <w:r w:rsidRPr="00CD6C5C">
        <w:rPr>
          <w:rFonts w:ascii="Times New Roman" w:eastAsia="Times New Roman" w:hAnsi="Times New Roman" w:cs="Times New Roman"/>
          <w:lang w:eastAsia="lt-LT"/>
        </w:rPr>
        <w:t xml:space="preserve">Tadalafil Accord </w:t>
      </w:r>
      <w:r w:rsidRPr="00CD6C5C">
        <w:rPr>
          <w:rFonts w:ascii="Times New Roman" w:hAnsi="Times New Roman" w:cs="Times New Roman"/>
          <w:color w:val="000000"/>
        </w:rPr>
        <w:t xml:space="preserve">10 mg ir 20 mg tabletės skirtos vartoti prieš numatomus lytinius santykius, nuolat kiekvieną parą jų vartoti nerekomenduojama. </w:t>
      </w:r>
    </w:p>
    <w:p w14:paraId="69461711"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hAnsi="Times New Roman" w:cs="Times New Roman"/>
          <w:color w:val="000000"/>
        </w:rPr>
        <w:t xml:space="preserve">Svarbu įsidėmėti, kad </w:t>
      </w:r>
      <w:r w:rsidRPr="00CD6C5C">
        <w:rPr>
          <w:rFonts w:ascii="Times New Roman" w:eastAsia="Times New Roman" w:hAnsi="Times New Roman" w:cs="Times New Roman"/>
          <w:lang w:eastAsia="lt-LT"/>
        </w:rPr>
        <w:t xml:space="preserve">Tadalafil Accord </w:t>
      </w:r>
      <w:r w:rsidRPr="00CD6C5C">
        <w:rPr>
          <w:rFonts w:ascii="Times New Roman" w:hAnsi="Times New Roman" w:cs="Times New Roman"/>
          <w:color w:val="000000"/>
        </w:rPr>
        <w:t xml:space="preserve">neveikia be seksualinės stimuliacijos. Jūs su savo partnere turite pradėti lytinį žaidimą lygiai taip pat kaip ir nevartodamas vaistų nuo erekcijos disfunkcijos. </w:t>
      </w:r>
    </w:p>
    <w:p w14:paraId="40EFD565"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Alkoholis gali veikti gebėjimą sukelti erekciją ir laikinai sumažinti kraujospūdį. Jeigu pavartojote arba planuojate pavartoti Tadalafil Accord, daug alkoholio (kai alkoholio koncentracija kraujyje būna 0,08% arba didesnė) negerkite, nes tai gali padidinti svaigulio riziką stojantis.</w:t>
      </w:r>
    </w:p>
    <w:p w14:paraId="4BDA64F3"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p>
    <w:p w14:paraId="47305BCE" w14:textId="21D6B11C" w:rsidR="00DE67D5" w:rsidRPr="007D3ACB" w:rsidRDefault="008C4948" w:rsidP="008C4948">
      <w:pPr>
        <w:numPr>
          <w:ilvl w:val="12"/>
          <w:numId w:val="0"/>
        </w:numPr>
        <w:spacing w:after="0" w:line="240" w:lineRule="auto"/>
        <w:ind w:right="-2"/>
        <w:outlineLvl w:val="0"/>
        <w:rPr>
          <w:rFonts w:ascii="Times New Roman" w:eastAsia="Times New Roman" w:hAnsi="Times New Roman" w:cs="Times New Roman"/>
          <w:bCs/>
          <w:u w:val="single"/>
          <w:lang w:eastAsia="lt-LT"/>
        </w:rPr>
      </w:pPr>
      <w:r w:rsidRPr="0035029B">
        <w:rPr>
          <w:rFonts w:ascii="Times New Roman" w:eastAsia="Times New Roman" w:hAnsi="Times New Roman" w:cs="Times New Roman"/>
          <w:b/>
          <w:lang w:eastAsia="lt-LT"/>
        </w:rPr>
        <w:t>Plautinės arterinės hipertenzijos gydymas</w:t>
      </w:r>
    </w:p>
    <w:p w14:paraId="310857D5"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Tadalafilis tiekiamas 20 mg tabletėmis. Įprastinė dozė yra kartą per parą vartojamos dvi 20 mg tabletės. Abi tabletes reikia išgerti iš karto vieną po kitos. Jeigu Jums yra lengvas arba vidutinio sunkumo kepenų ar inkstų funkcijos sutrikimas, gydytojas gali rekomenduoti gerti tik vieną 20 mg tabletę per parą.</w:t>
      </w:r>
    </w:p>
    <w:p w14:paraId="1CF39617" w14:textId="7FCF87B2" w:rsidR="006B14A9" w:rsidRPr="00CD6C5C" w:rsidRDefault="006B14A9" w:rsidP="006B14A9">
      <w:pPr>
        <w:numPr>
          <w:ilvl w:val="12"/>
          <w:numId w:val="0"/>
        </w:numPr>
        <w:spacing w:after="0" w:line="240" w:lineRule="auto"/>
        <w:ind w:right="-2"/>
        <w:outlineLvl w:val="0"/>
        <w:rPr>
          <w:rFonts w:ascii="Times New Roman" w:eastAsia="Times New Roman" w:hAnsi="Times New Roman" w:cs="Times New Roman"/>
          <w:u w:val="single"/>
          <w:lang w:eastAsia="lt-LT"/>
        </w:rPr>
      </w:pPr>
    </w:p>
    <w:p w14:paraId="2E6FAC43" w14:textId="6376DB55"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Ką daryti pavartojus per didelę Tadalafil Accord dozę</w:t>
      </w:r>
    </w:p>
    <w:p w14:paraId="0D304BA7" w14:textId="77777777" w:rsidR="008C4948" w:rsidRPr="00CD6C5C" w:rsidRDefault="008C4948" w:rsidP="008C4948">
      <w:pPr>
        <w:tabs>
          <w:tab w:val="left" w:pos="567"/>
        </w:tabs>
        <w:autoSpaceDE w:val="0"/>
        <w:autoSpaceDN w:val="0"/>
        <w:adjustRightInd w:val="0"/>
        <w:spacing w:after="0" w:line="240" w:lineRule="auto"/>
        <w:rPr>
          <w:rFonts w:ascii="Times New Roman" w:eastAsia="Times New Roman" w:hAnsi="Times New Roman" w:cs="Times New Roman"/>
          <w:bCs/>
          <w:lang w:eastAsia="lt-LT"/>
        </w:rPr>
      </w:pPr>
      <w:r w:rsidRPr="00CD6C5C">
        <w:rPr>
          <w:rFonts w:ascii="Times New Roman" w:eastAsia="Times New Roman" w:hAnsi="Times New Roman" w:cs="Times New Roman"/>
          <w:lang w:eastAsia="lt-LT"/>
        </w:rPr>
        <w:t>Jeigu Jūs arba kas nors kitas išgėrė daugiau tablečių nei paskirta, pasakykite gydytojui arba nedelsdami vykite į ligoninę, kartu pasiimkite vaistą arba pakuotę. Gali pasireikšti bet kuris šalutinis poveikis, aprašytas 4 skyriuje.</w:t>
      </w:r>
    </w:p>
    <w:p w14:paraId="10D2F9D2" w14:textId="77777777" w:rsidR="008C4948" w:rsidRPr="00CD6C5C" w:rsidRDefault="008C4948" w:rsidP="008C4948">
      <w:pPr>
        <w:tabs>
          <w:tab w:val="left" w:pos="567"/>
        </w:tabs>
        <w:autoSpaceDE w:val="0"/>
        <w:autoSpaceDN w:val="0"/>
        <w:adjustRightInd w:val="0"/>
        <w:spacing w:after="0" w:line="240" w:lineRule="auto"/>
        <w:rPr>
          <w:rFonts w:ascii="Times New Roman" w:eastAsia="Times New Roman" w:hAnsi="Times New Roman" w:cs="Times New Roman"/>
          <w:bCs/>
          <w:lang w:eastAsia="lt-LT"/>
        </w:rPr>
      </w:pPr>
    </w:p>
    <w:p w14:paraId="08C6B0F4"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Pamiršus pavartoti Tadalafil Accord</w:t>
      </w:r>
    </w:p>
    <w:p w14:paraId="0FA3E7CE" w14:textId="5889D61E" w:rsidR="00C12345" w:rsidRPr="00CD6C5C" w:rsidRDefault="008C4948" w:rsidP="00C12345">
      <w:pPr>
        <w:tabs>
          <w:tab w:val="left" w:pos="567"/>
        </w:tabs>
        <w:autoSpaceDE w:val="0"/>
        <w:autoSpaceDN w:val="0"/>
        <w:adjustRightInd w:val="0"/>
        <w:spacing w:after="0" w:line="240" w:lineRule="auto"/>
        <w:rPr>
          <w:rFonts w:ascii="Times New Roman" w:eastAsia="Times New Roman" w:hAnsi="Times New Roman" w:cs="Times New Roman"/>
          <w:bCs/>
          <w:lang w:eastAsia="lt-LT"/>
        </w:rPr>
      </w:pPr>
      <w:r w:rsidRPr="00CD6C5C">
        <w:rPr>
          <w:rFonts w:ascii="Times New Roman" w:eastAsia="Times New Roman" w:hAnsi="Times New Roman" w:cs="Times New Roman"/>
          <w:bCs/>
          <w:lang w:eastAsia="lt-LT"/>
        </w:rPr>
        <w:t>Išgerkite dozę, kai tik prisiminsite, tačiau negalima vartoti dvigubos dozės norint kompensuoti praleistą tabletę.</w:t>
      </w:r>
      <w:r w:rsidRPr="00CD6C5C">
        <w:rPr>
          <w:rFonts w:ascii="Times New Roman" w:eastAsia="Times New Roman" w:hAnsi="Times New Roman" w:cs="Times New Roman"/>
          <w:lang w:eastAsia="lt-LT"/>
        </w:rPr>
        <w:t xml:space="preserve"> Tadalafil Accord negalima vartoti dažniau kaip kartą per parą.</w:t>
      </w:r>
    </w:p>
    <w:p w14:paraId="301ED326" w14:textId="77777777" w:rsidR="008C4948" w:rsidRPr="00CD6C5C" w:rsidRDefault="008C4948" w:rsidP="008C4948">
      <w:pPr>
        <w:tabs>
          <w:tab w:val="left" w:pos="567"/>
        </w:tabs>
        <w:autoSpaceDE w:val="0"/>
        <w:autoSpaceDN w:val="0"/>
        <w:adjustRightInd w:val="0"/>
        <w:spacing w:after="0" w:line="240" w:lineRule="auto"/>
        <w:rPr>
          <w:rFonts w:ascii="Times New Roman" w:eastAsia="Times New Roman" w:hAnsi="Times New Roman" w:cs="Times New Roman"/>
          <w:bCs/>
          <w:lang w:eastAsia="lt-LT"/>
        </w:rPr>
      </w:pPr>
    </w:p>
    <w:p w14:paraId="29972B3A" w14:textId="77777777" w:rsidR="008C4948" w:rsidRPr="00CD6C5C" w:rsidRDefault="008C4948" w:rsidP="007D3ACB">
      <w:pPr>
        <w:keepNext/>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CD6C5C">
        <w:rPr>
          <w:rFonts w:ascii="Times New Roman" w:eastAsia="Times New Roman" w:hAnsi="Times New Roman" w:cs="Times New Roman"/>
          <w:b/>
          <w:bCs/>
          <w:lang w:eastAsia="lt-LT"/>
        </w:rPr>
        <w:t>Nustojus vartoti Tadalafil Accord</w:t>
      </w:r>
    </w:p>
    <w:p w14:paraId="2762226B" w14:textId="77777777" w:rsidR="008C4948" w:rsidRPr="00CD6C5C" w:rsidRDefault="008C4948" w:rsidP="007D3ACB">
      <w:pPr>
        <w:keepNext/>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D6C5C">
        <w:rPr>
          <w:rFonts w:ascii="Times New Roman" w:eastAsia="TimesNewRomanPSMT" w:hAnsi="Times New Roman" w:cs="Times New Roman"/>
          <w:b/>
          <w:lang w:eastAsia="lt-LT"/>
        </w:rPr>
        <w:t xml:space="preserve">Gydant plautinę arterinę hipertenziją </w:t>
      </w:r>
      <w:r w:rsidRPr="00CD6C5C">
        <w:rPr>
          <w:rFonts w:ascii="Times New Roman" w:eastAsia="Times New Roman" w:hAnsi="Times New Roman" w:cs="Times New Roman"/>
          <w:lang w:eastAsia="lt-LT"/>
        </w:rPr>
        <w:t>nenutraukite</w:t>
      </w:r>
      <w:r w:rsidRPr="00CD6C5C">
        <w:rPr>
          <w:rFonts w:ascii="Times New Roman" w:eastAsia="TimesNewRomanPSMT" w:hAnsi="Times New Roman" w:cs="Times New Roman"/>
          <w:lang w:eastAsia="lt-LT"/>
        </w:rPr>
        <w:t xml:space="preserve"> t</w:t>
      </w:r>
      <w:r w:rsidRPr="00CD6C5C">
        <w:rPr>
          <w:rFonts w:ascii="Times New Roman" w:eastAsia="Times New Roman" w:hAnsi="Times New Roman" w:cs="Times New Roman"/>
          <w:lang w:eastAsia="lt-LT"/>
        </w:rPr>
        <w:t>ablečių vartojimo, nebent Jūsų gydytojas patarė priešingai.</w:t>
      </w:r>
    </w:p>
    <w:p w14:paraId="7ACF2E3F" w14:textId="77777777" w:rsidR="008C4948" w:rsidRPr="00CD6C5C" w:rsidRDefault="008C4948" w:rsidP="008C4948">
      <w:pPr>
        <w:tabs>
          <w:tab w:val="left" w:pos="567"/>
        </w:tabs>
        <w:autoSpaceDE w:val="0"/>
        <w:autoSpaceDN w:val="0"/>
        <w:adjustRightInd w:val="0"/>
        <w:spacing w:after="0" w:line="240" w:lineRule="auto"/>
        <w:rPr>
          <w:rFonts w:ascii="Times New Roman" w:eastAsia="Times New Roman" w:hAnsi="Times New Roman" w:cs="Times New Roman"/>
          <w:bCs/>
          <w:lang w:eastAsia="lt-LT"/>
        </w:rPr>
      </w:pPr>
    </w:p>
    <w:p w14:paraId="792E1CBF"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Jeigu kiltų daugiau klausimų dėl šio vaisto vartojimo, kreipkitės į gydytoją arba vaistininką.</w:t>
      </w:r>
    </w:p>
    <w:p w14:paraId="7911C0F2"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392403F8"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35B904E8" w14:textId="77777777" w:rsidR="008C4948" w:rsidRPr="00CD6C5C" w:rsidRDefault="008C4948" w:rsidP="008C4948">
      <w:pPr>
        <w:numPr>
          <w:ilvl w:val="12"/>
          <w:numId w:val="0"/>
        </w:numPr>
        <w:spacing w:after="0" w:line="240" w:lineRule="auto"/>
        <w:ind w:left="567" w:right="-2" w:hanging="567"/>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4.</w:t>
      </w:r>
      <w:r w:rsidRPr="00CD6C5C">
        <w:rPr>
          <w:rFonts w:ascii="Times New Roman" w:eastAsia="Times New Roman" w:hAnsi="Times New Roman" w:cs="Times New Roman"/>
          <w:b/>
          <w:lang w:eastAsia="lt-LT"/>
        </w:rPr>
        <w:tab/>
        <w:t>Galimas šalutinis poveikis</w:t>
      </w:r>
    </w:p>
    <w:p w14:paraId="15FDFA85"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4B8089AC"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Šis vaistas, kaip ir visi kiti, gali sukelti šalutinį poveikį, nors jis pasireiškia ne visiems žmonėms.</w:t>
      </w:r>
      <w:r w:rsidRPr="00CD6C5C">
        <w:rPr>
          <w:rFonts w:ascii="Times New Roman" w:eastAsia="Times New Roman" w:hAnsi="Times New Roman" w:cs="Times New Roman"/>
          <w:snapToGrid w:val="0"/>
        </w:rPr>
        <w:t xml:space="preserve"> </w:t>
      </w:r>
      <w:r w:rsidRPr="00CD6C5C">
        <w:rPr>
          <w:rFonts w:ascii="Times New Roman" w:eastAsia="Times New Roman" w:hAnsi="Times New Roman" w:cs="Times New Roman"/>
          <w:lang w:eastAsia="lt-LT"/>
        </w:rPr>
        <w:t xml:space="preserve">Paprastai toks poveikis būna lengvas arba vidutinio sunkumo. </w:t>
      </w:r>
    </w:p>
    <w:p w14:paraId="1D2E5EA8"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p>
    <w:p w14:paraId="16F21E56"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Jeigu pasireiškia kuris nors toliau išvardytas šalutinis poveikis, nutraukite vaisto vartojimą ir nedelsdami kreipkitės į gydytoją. </w:t>
      </w:r>
    </w:p>
    <w:p w14:paraId="618291C5"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alerginės reakcijos, įskaitant išbėrimą (pasireiškia nedažnai);</w:t>
      </w:r>
    </w:p>
    <w:p w14:paraId="691F2C2C" w14:textId="17303D41"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krūtinės skausmas: </w:t>
      </w:r>
      <w:r w:rsidR="002461DD">
        <w:rPr>
          <w:rFonts w:ascii="Times New Roman" w:eastAsia="Times New Roman" w:hAnsi="Times New Roman" w:cs="Times New Roman"/>
          <w:lang w:eastAsia="lt-LT"/>
        </w:rPr>
        <w:t>draudžiama</w:t>
      </w:r>
      <w:r w:rsidR="002461DD" w:rsidRPr="00CD6C5C">
        <w:rPr>
          <w:rFonts w:ascii="Times New Roman" w:eastAsia="Times New Roman" w:hAnsi="Times New Roman" w:cs="Times New Roman"/>
          <w:lang w:eastAsia="lt-LT"/>
        </w:rPr>
        <w:t xml:space="preserve"> </w:t>
      </w:r>
      <w:r w:rsidRPr="00CD6C5C">
        <w:rPr>
          <w:rFonts w:ascii="Times New Roman" w:eastAsia="Times New Roman" w:hAnsi="Times New Roman" w:cs="Times New Roman"/>
          <w:lang w:eastAsia="lt-LT"/>
        </w:rPr>
        <w:t>vartoti nitratų, reikia nedelsiant kreiptis medicininės pagalbos (pasireiškia nedažnai);</w:t>
      </w:r>
    </w:p>
    <w:p w14:paraId="6BEE8C9E"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priapizmas, ilgalaikė erekcija, kuri gali būti skausminga, po Tadalafil Accord pavartojimo (pasireiškia retai). Jeigu pasireiškia tokia erekcija, kuri nepaliaujamai išsilaiko ilgiau kaip 4 valandas, turite nedelsdami kreiptis į gydytoją;</w:t>
      </w:r>
    </w:p>
    <w:p w14:paraId="3995742C" w14:textId="7F06F690"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lastRenderedPageBreak/>
        <w:t>staigus apakimas (pasireiškia retai)</w:t>
      </w:r>
      <w:r w:rsidR="00C12345">
        <w:rPr>
          <w:rFonts w:ascii="Times New Roman" w:eastAsia="Times New Roman" w:hAnsi="Times New Roman" w:cs="Times New Roman"/>
          <w:lang w:eastAsia="lt-LT"/>
        </w:rPr>
        <w:t>,</w:t>
      </w:r>
      <w:r w:rsidR="00C12345" w:rsidRPr="00C12345">
        <w:rPr>
          <w:rFonts w:ascii="Times New Roman" w:eastAsia="Times New Roman" w:hAnsi="Times New Roman" w:cs="Times New Roman"/>
          <w:lang w:eastAsia="lt-LT"/>
        </w:rPr>
        <w:t xml:space="preserve"> </w:t>
      </w:r>
      <w:r w:rsidR="00C12345" w:rsidRPr="00700C44">
        <w:rPr>
          <w:rFonts w:ascii="Times New Roman" w:eastAsia="Times New Roman" w:hAnsi="Times New Roman" w:cs="Times New Roman"/>
          <w:lang w:eastAsia="lt-LT"/>
        </w:rPr>
        <w:t>iškreiptas, blankus, neryškus centrinis matymas arba staigus regos susilpnėjimas (dažnis nežinomas)</w:t>
      </w:r>
      <w:r w:rsidRPr="00CD6C5C">
        <w:rPr>
          <w:rFonts w:ascii="Times New Roman" w:eastAsia="Times New Roman" w:hAnsi="Times New Roman" w:cs="Times New Roman"/>
          <w:lang w:eastAsia="lt-LT"/>
        </w:rPr>
        <w:t xml:space="preserve">. </w:t>
      </w:r>
    </w:p>
    <w:p w14:paraId="35968FAE" w14:textId="77777777" w:rsidR="008C4948" w:rsidRPr="00CD6C5C" w:rsidRDefault="008C4948" w:rsidP="008C4948">
      <w:pPr>
        <w:spacing w:after="0" w:line="240" w:lineRule="auto"/>
        <w:ind w:right="-29"/>
        <w:rPr>
          <w:rFonts w:ascii="Times New Roman" w:eastAsia="Times New Roman" w:hAnsi="Times New Roman" w:cs="Times New Roman"/>
          <w:lang w:eastAsia="lt-LT"/>
        </w:rPr>
      </w:pPr>
    </w:p>
    <w:p w14:paraId="6C12DBED"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Buvo pranešta apie kitus šalutinio poveikio atvejus, kurie yra išvardyti žemiau atskirai pagal indikacijas.</w:t>
      </w:r>
    </w:p>
    <w:p w14:paraId="2A8C0B82"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p>
    <w:p w14:paraId="59A2502B"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Šalutinis poveikis, pasireiškiantis gydant erekcijos funkcijos sutrikimą</w:t>
      </w:r>
    </w:p>
    <w:p w14:paraId="42EA6893"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p>
    <w:p w14:paraId="35BA98E8" w14:textId="081267C2" w:rsidR="008C4948" w:rsidRPr="00CD6C5C" w:rsidRDefault="00BB40D9" w:rsidP="008C4948">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Dažn</w:t>
      </w:r>
      <w:r>
        <w:rPr>
          <w:rFonts w:ascii="Times New Roman" w:eastAsia="Times New Roman" w:hAnsi="Times New Roman" w:cs="Times New Roman"/>
          <w:b/>
          <w:lang w:eastAsia="lt-LT"/>
        </w:rPr>
        <w:t xml:space="preserve">i </w:t>
      </w:r>
      <w:r w:rsidRPr="00BB40D9">
        <w:rPr>
          <w:rFonts w:ascii="Times New Roman" w:eastAsia="Times New Roman" w:hAnsi="Times New Roman" w:cs="Times New Roman"/>
          <w:b/>
          <w:lang w:eastAsia="lt-LT"/>
        </w:rPr>
        <w:t xml:space="preserve">šalutinio poveikio reiškiniai </w:t>
      </w:r>
      <w:r w:rsidR="008C4948" w:rsidRPr="00CD6C5C">
        <w:rPr>
          <w:rFonts w:ascii="Times New Roman" w:eastAsia="Times New Roman" w:hAnsi="Times New Roman" w:cs="Times New Roman"/>
          <w:lang w:eastAsia="lt-LT"/>
        </w:rPr>
        <w:t xml:space="preserve">(gali pasireikšti </w:t>
      </w:r>
      <w:r w:rsidR="0070061D" w:rsidRPr="0070061D">
        <w:rPr>
          <w:rFonts w:ascii="Times New Roman" w:eastAsia="Times New Roman" w:hAnsi="Times New Roman" w:cs="Times New Roman"/>
          <w:lang w:eastAsia="lt-LT"/>
        </w:rPr>
        <w:t xml:space="preserve">rečiau </w:t>
      </w:r>
      <w:r w:rsidR="008C4948" w:rsidRPr="00CD6C5C">
        <w:rPr>
          <w:rFonts w:ascii="Times New Roman" w:eastAsia="Times New Roman" w:hAnsi="Times New Roman" w:cs="Times New Roman"/>
          <w:lang w:eastAsia="lt-LT"/>
        </w:rPr>
        <w:t xml:space="preserve">kaip 1 iš 10 </w:t>
      </w:r>
      <w:r w:rsidR="0070061D">
        <w:rPr>
          <w:rFonts w:ascii="Times New Roman" w:eastAsia="Times New Roman" w:hAnsi="Times New Roman" w:cs="Times New Roman"/>
          <w:lang w:eastAsia="lt-LT"/>
        </w:rPr>
        <w:t>asmen</w:t>
      </w:r>
      <w:r w:rsidR="0070061D" w:rsidRPr="00CD6C5C">
        <w:rPr>
          <w:rFonts w:ascii="Times New Roman" w:eastAsia="Times New Roman" w:hAnsi="Times New Roman" w:cs="Times New Roman"/>
          <w:lang w:eastAsia="lt-LT"/>
        </w:rPr>
        <w:t>ų</w:t>
      </w:r>
      <w:r w:rsidR="008C4948" w:rsidRPr="00CD6C5C">
        <w:rPr>
          <w:rFonts w:ascii="Times New Roman" w:eastAsia="Times New Roman" w:hAnsi="Times New Roman" w:cs="Times New Roman"/>
          <w:lang w:eastAsia="lt-LT"/>
        </w:rPr>
        <w:t>):</w:t>
      </w:r>
    </w:p>
    <w:p w14:paraId="5288DD63" w14:textId="7CBF1FAF"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galvos skausmas, nugaros skausmas, raumenų skausmas, rankų ir kojų skausmas, veido paraudimas, nosies užgulimas ir nevirškinimas.</w:t>
      </w:r>
    </w:p>
    <w:p w14:paraId="67A20863" w14:textId="77777777" w:rsidR="008C4948" w:rsidRPr="00CD6C5C" w:rsidRDefault="008C4948" w:rsidP="008C4948">
      <w:pPr>
        <w:spacing w:after="0" w:line="240" w:lineRule="auto"/>
        <w:ind w:right="-29"/>
        <w:rPr>
          <w:rFonts w:ascii="Times New Roman" w:eastAsia="Times New Roman" w:hAnsi="Times New Roman" w:cs="Times New Roman"/>
          <w:lang w:eastAsia="lt-LT"/>
        </w:rPr>
      </w:pPr>
    </w:p>
    <w:p w14:paraId="4E28AD9C" w14:textId="385929C4" w:rsidR="008C4948" w:rsidRPr="00CD6C5C" w:rsidRDefault="00BB40D9" w:rsidP="008C4948">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Nedažn</w:t>
      </w:r>
      <w:r>
        <w:rPr>
          <w:rFonts w:ascii="Times New Roman" w:eastAsia="Times New Roman" w:hAnsi="Times New Roman" w:cs="Times New Roman"/>
          <w:b/>
          <w:lang w:eastAsia="lt-LT"/>
        </w:rPr>
        <w:t xml:space="preserve">i </w:t>
      </w:r>
      <w:r w:rsidRPr="00BB40D9">
        <w:rPr>
          <w:rFonts w:ascii="Times New Roman" w:eastAsia="Times New Roman" w:hAnsi="Times New Roman" w:cs="Times New Roman"/>
          <w:b/>
          <w:lang w:eastAsia="lt-LT"/>
        </w:rPr>
        <w:t xml:space="preserve">šalutinio poveikio reiškiniai </w:t>
      </w:r>
      <w:r w:rsidR="008C4948" w:rsidRPr="00CD6C5C">
        <w:rPr>
          <w:rFonts w:ascii="Times New Roman" w:eastAsia="Times New Roman" w:hAnsi="Times New Roman" w:cs="Times New Roman"/>
          <w:lang w:eastAsia="lt-LT"/>
        </w:rPr>
        <w:t xml:space="preserve">(gali pasireikšti </w:t>
      </w:r>
      <w:r w:rsidR="0070061D" w:rsidRPr="0070061D">
        <w:rPr>
          <w:rFonts w:ascii="Times New Roman" w:eastAsia="Times New Roman" w:hAnsi="Times New Roman" w:cs="Times New Roman"/>
          <w:lang w:eastAsia="lt-LT"/>
        </w:rPr>
        <w:t xml:space="preserve">rečiau </w:t>
      </w:r>
      <w:r w:rsidR="008C4948" w:rsidRPr="00CD6C5C">
        <w:rPr>
          <w:rFonts w:ascii="Times New Roman" w:eastAsia="Times New Roman" w:hAnsi="Times New Roman" w:cs="Times New Roman"/>
          <w:lang w:eastAsia="lt-LT"/>
        </w:rPr>
        <w:t xml:space="preserve">kaip 1 iš 100 </w:t>
      </w:r>
      <w:r w:rsidR="0070061D">
        <w:rPr>
          <w:rFonts w:ascii="Times New Roman" w:eastAsia="Times New Roman" w:hAnsi="Times New Roman" w:cs="Times New Roman"/>
          <w:lang w:eastAsia="lt-LT"/>
        </w:rPr>
        <w:t>asmen</w:t>
      </w:r>
      <w:r w:rsidR="0070061D" w:rsidRPr="00CD6C5C">
        <w:rPr>
          <w:rFonts w:ascii="Times New Roman" w:eastAsia="Times New Roman" w:hAnsi="Times New Roman" w:cs="Times New Roman"/>
          <w:lang w:eastAsia="lt-LT"/>
        </w:rPr>
        <w:t>ų</w:t>
      </w:r>
      <w:r w:rsidR="008C4948" w:rsidRPr="00CD6C5C">
        <w:rPr>
          <w:rFonts w:ascii="Times New Roman" w:eastAsia="Times New Roman" w:hAnsi="Times New Roman" w:cs="Times New Roman"/>
          <w:lang w:eastAsia="lt-LT"/>
        </w:rPr>
        <w:t>):</w:t>
      </w:r>
    </w:p>
    <w:p w14:paraId="099905E1"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svaigulys, pilvo skausmas, šleikštulys, pykinimas (vėmimas), refliuksas, daiktų matymas lyg per miglą, akių skausmas, kvėpavimo pasunkėjimas, kraujas šlapime, ilgalaikė erekcija, dažno širdies plakimo jutimas, dažnas širdies plakimas, kraujospūdžio padidėjimas, kraujospūdžio sumažėjimas, kraujavimas iš nosies, skambėjimas ausyse, rankų, pėdų ar kulkšnių patinimas, nuovargis. </w:t>
      </w:r>
    </w:p>
    <w:p w14:paraId="4E8331CC" w14:textId="77777777" w:rsidR="008C4948" w:rsidRPr="00CD6C5C" w:rsidRDefault="008C4948" w:rsidP="008C4948">
      <w:pPr>
        <w:spacing w:after="0" w:line="240" w:lineRule="auto"/>
        <w:ind w:right="-29"/>
        <w:rPr>
          <w:rFonts w:ascii="Times New Roman" w:eastAsia="Times New Roman" w:hAnsi="Times New Roman" w:cs="Times New Roman"/>
          <w:lang w:eastAsia="lt-LT"/>
        </w:rPr>
      </w:pPr>
    </w:p>
    <w:p w14:paraId="1A1A4DA2" w14:textId="7A36BDE8" w:rsidR="008C4948" w:rsidRPr="00CD6C5C" w:rsidRDefault="00BB40D9" w:rsidP="008C4948">
      <w:pPr>
        <w:keepNext/>
        <w:keepLines/>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Ret</w:t>
      </w:r>
      <w:r>
        <w:rPr>
          <w:rFonts w:ascii="Times New Roman" w:eastAsia="Times New Roman" w:hAnsi="Times New Roman" w:cs="Times New Roman"/>
          <w:b/>
          <w:lang w:eastAsia="lt-LT"/>
        </w:rPr>
        <w:t xml:space="preserve">i </w:t>
      </w:r>
      <w:r w:rsidRPr="00BB40D9">
        <w:rPr>
          <w:rFonts w:ascii="Times New Roman" w:eastAsia="Times New Roman" w:hAnsi="Times New Roman" w:cs="Times New Roman"/>
          <w:b/>
          <w:lang w:eastAsia="lt-LT"/>
        </w:rPr>
        <w:t>šalutinio poveikio reiškiniai</w:t>
      </w:r>
      <w:r w:rsidRPr="00CD6C5C">
        <w:rPr>
          <w:rFonts w:ascii="Times New Roman" w:eastAsia="Times New Roman" w:hAnsi="Times New Roman" w:cs="Times New Roman"/>
          <w:b/>
          <w:lang w:eastAsia="lt-LT"/>
        </w:rPr>
        <w:t xml:space="preserve"> </w:t>
      </w:r>
      <w:r w:rsidR="008C4948" w:rsidRPr="00CD6C5C">
        <w:rPr>
          <w:rFonts w:ascii="Times New Roman" w:eastAsia="Times New Roman" w:hAnsi="Times New Roman" w:cs="Times New Roman"/>
          <w:lang w:eastAsia="lt-LT"/>
        </w:rPr>
        <w:t xml:space="preserve">(gali pasireikšti </w:t>
      </w:r>
      <w:r w:rsidR="0070061D" w:rsidRPr="0070061D">
        <w:rPr>
          <w:rFonts w:ascii="Times New Roman" w:eastAsia="Times New Roman" w:hAnsi="Times New Roman" w:cs="Times New Roman"/>
          <w:lang w:eastAsia="lt-LT"/>
        </w:rPr>
        <w:t xml:space="preserve">rečiau </w:t>
      </w:r>
      <w:r w:rsidR="008C4948" w:rsidRPr="00CD6C5C">
        <w:rPr>
          <w:rFonts w:ascii="Times New Roman" w:eastAsia="Times New Roman" w:hAnsi="Times New Roman" w:cs="Times New Roman"/>
          <w:lang w:eastAsia="lt-LT"/>
        </w:rPr>
        <w:t xml:space="preserve">kaip 1 iš 1 000 </w:t>
      </w:r>
      <w:r w:rsidR="0070061D">
        <w:rPr>
          <w:rFonts w:ascii="Times New Roman" w:eastAsia="Times New Roman" w:hAnsi="Times New Roman" w:cs="Times New Roman"/>
          <w:lang w:eastAsia="lt-LT"/>
        </w:rPr>
        <w:t>asmen</w:t>
      </w:r>
      <w:r w:rsidR="0070061D" w:rsidRPr="00CD6C5C">
        <w:rPr>
          <w:rFonts w:ascii="Times New Roman" w:eastAsia="Times New Roman" w:hAnsi="Times New Roman" w:cs="Times New Roman"/>
          <w:lang w:eastAsia="lt-LT"/>
        </w:rPr>
        <w:t>ų</w:t>
      </w:r>
      <w:r w:rsidR="008C4948" w:rsidRPr="00CD6C5C">
        <w:rPr>
          <w:rFonts w:ascii="Times New Roman" w:eastAsia="Times New Roman" w:hAnsi="Times New Roman" w:cs="Times New Roman"/>
          <w:lang w:eastAsia="lt-LT"/>
        </w:rPr>
        <w:t>):</w:t>
      </w:r>
    </w:p>
    <w:p w14:paraId="7E20F040" w14:textId="77777777" w:rsidR="008C4948" w:rsidRPr="00CD6C5C" w:rsidRDefault="008C4948" w:rsidP="008C4948">
      <w:pPr>
        <w:keepNext/>
        <w:keepLines/>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alpimas, priepuoliai ir artimosios atminties netekimas, akių vokų patinimas, akių paraudimas, staigus klausos susilpnėjimas ar netekimas, dilgėlinė (niežtintys raudoni rumbai ant odos paviršiaus) kraujavimas iš varpos, kraujas spermoje ir prakaitavimo sustiprėjimas. </w:t>
      </w:r>
    </w:p>
    <w:p w14:paraId="50ADD47D" w14:textId="77777777" w:rsidR="008C4948" w:rsidRPr="005F03A9" w:rsidRDefault="008C4948" w:rsidP="008C4948">
      <w:pPr>
        <w:spacing w:after="0" w:line="240" w:lineRule="auto"/>
        <w:ind w:right="-29"/>
        <w:rPr>
          <w:rFonts w:ascii="Times New Roman" w:eastAsia="Times New Roman" w:hAnsi="Times New Roman" w:cs="Times New Roman"/>
          <w:lang w:eastAsia="lt-LT"/>
        </w:rPr>
      </w:pPr>
    </w:p>
    <w:p w14:paraId="37BDA863"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Gauta pranešimų, kad tadalafilio vartojančius vyrus retais atvejais ištiko širdies priepuolis ar insultas. Daugumai šių vyrų jau buvo širdies veiklos sutrikimų prieš pradedant vartoti šį vaistą. </w:t>
      </w:r>
    </w:p>
    <w:p w14:paraId="01F1A3CD"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p>
    <w:p w14:paraId="2E25AE0A"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Pranešta apie retais atvejais atsiradusį dalinį, laikiną ar nuolatinį regėjimo viena ar abiem akimis susilpnėjimą ar praradimą. </w:t>
      </w:r>
    </w:p>
    <w:p w14:paraId="769282CF"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p>
    <w:p w14:paraId="6DB1337C" w14:textId="77777777" w:rsidR="008C4948" w:rsidRPr="00CD6C5C" w:rsidRDefault="008C4948" w:rsidP="008C4948">
      <w:pPr>
        <w:numPr>
          <w:ilvl w:val="12"/>
          <w:numId w:val="0"/>
        </w:numPr>
        <w:spacing w:after="0" w:line="240" w:lineRule="auto"/>
        <w:ind w:right="-29"/>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Tadalafilio vartojantiems vyrams buvo pastebėtas </w:t>
      </w:r>
      <w:r w:rsidRPr="00CD6C5C">
        <w:rPr>
          <w:rFonts w:ascii="Times New Roman" w:eastAsia="Times New Roman" w:hAnsi="Times New Roman" w:cs="Times New Roman"/>
          <w:b/>
          <w:lang w:eastAsia="lt-LT"/>
        </w:rPr>
        <w:t>kitoks papildomas retas šalutinis poveikis</w:t>
      </w:r>
      <w:r w:rsidRPr="00CD6C5C">
        <w:rPr>
          <w:rFonts w:ascii="Times New Roman" w:eastAsia="Times New Roman" w:hAnsi="Times New Roman" w:cs="Times New Roman"/>
          <w:lang w:eastAsia="lt-LT"/>
        </w:rPr>
        <w:t xml:space="preserve">, kuris klinikinių tyrimų metu nepasireiškė. Toks poveikis yra: </w:t>
      </w:r>
    </w:p>
    <w:p w14:paraId="6C537665" w14:textId="77777777" w:rsidR="00C12345"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migrena, veido patinimas, sunki alerginė reakcija, sukelianti veido arba gerklės patinimą, sunkus odos išbėrimas, kai kurie sutrikimai, darantys poveikį akių aprūpinimui krauju, nereguliarus širdies plakimas, angina ir staigi mirtis dėl širdies sutrikimo</w:t>
      </w:r>
      <w:r w:rsidR="00C12345">
        <w:rPr>
          <w:rFonts w:ascii="Times New Roman" w:eastAsia="Times New Roman" w:hAnsi="Times New Roman" w:cs="Times New Roman"/>
          <w:lang w:eastAsia="lt-LT"/>
        </w:rPr>
        <w:t>;</w:t>
      </w:r>
    </w:p>
    <w:p w14:paraId="421118A7" w14:textId="407579A4" w:rsidR="008C4948" w:rsidRPr="00C12345" w:rsidRDefault="00C12345" w:rsidP="00C12345">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12345">
        <w:rPr>
          <w:rFonts w:ascii="Times New Roman" w:eastAsia="Times New Roman" w:hAnsi="Times New Roman" w:cs="Times New Roman"/>
          <w:lang w:eastAsia="lt-LT"/>
        </w:rPr>
        <w:t>iškreiptas, blankus, neryškus centrinis matymas arba staigus regos susilpnėjimas (dažnis nežinomas)</w:t>
      </w:r>
      <w:r w:rsidR="008C4948" w:rsidRPr="00C12345">
        <w:rPr>
          <w:rFonts w:ascii="Times New Roman" w:eastAsia="Times New Roman" w:hAnsi="Times New Roman" w:cs="Times New Roman"/>
          <w:lang w:eastAsia="lt-LT"/>
        </w:rPr>
        <w:t xml:space="preserve">. </w:t>
      </w:r>
    </w:p>
    <w:p w14:paraId="24EB9B35" w14:textId="77777777" w:rsidR="008C4948" w:rsidRPr="00CD6C5C" w:rsidRDefault="008C4948" w:rsidP="008C4948">
      <w:pPr>
        <w:spacing w:after="0" w:line="240" w:lineRule="auto"/>
        <w:ind w:right="-29"/>
        <w:rPr>
          <w:rFonts w:ascii="Times New Roman" w:eastAsia="Times New Roman" w:hAnsi="Times New Roman" w:cs="Times New Roman"/>
          <w:lang w:eastAsia="lt-LT"/>
        </w:rPr>
      </w:pPr>
    </w:p>
    <w:p w14:paraId="7DAE003D"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Tadalafilio vartojantiems vyresniems negu 75 metų vyrams šalutinis poveikis − svaigulys pasireiškė dažniau. Tadalafilio vartojantiems vyresniems negu 65 metų vyrams viduriavimas pasireiškė dažniau. </w:t>
      </w:r>
    </w:p>
    <w:p w14:paraId="52885768" w14:textId="77777777" w:rsidR="00C12345" w:rsidRDefault="00C12345" w:rsidP="008C4948">
      <w:pPr>
        <w:numPr>
          <w:ilvl w:val="12"/>
          <w:numId w:val="0"/>
        </w:numPr>
        <w:spacing w:after="0" w:line="240" w:lineRule="auto"/>
        <w:ind w:right="-29"/>
        <w:rPr>
          <w:rFonts w:ascii="Times New Roman" w:eastAsia="Times New Roman" w:hAnsi="Times New Roman" w:cs="Times New Roman"/>
          <w:b/>
          <w:lang w:eastAsia="lt-LT"/>
        </w:rPr>
      </w:pPr>
    </w:p>
    <w:p w14:paraId="174C2903" w14:textId="78FE657D" w:rsidR="008C4948" w:rsidRPr="00CD6C5C" w:rsidRDefault="008C4948" w:rsidP="008C4948">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Šalutinis poveikis, pasireiškiantis gydant plautinę arterinę hipertenziją</w:t>
      </w:r>
    </w:p>
    <w:p w14:paraId="5FCE0D83" w14:textId="77777777" w:rsidR="008C4948" w:rsidRPr="00CD6C5C" w:rsidRDefault="008C4948" w:rsidP="008C4948">
      <w:pPr>
        <w:spacing w:after="0" w:line="240" w:lineRule="auto"/>
        <w:rPr>
          <w:rFonts w:ascii="Times New Roman" w:eastAsia="Times New Roman" w:hAnsi="Times New Roman" w:cs="Times New Roman"/>
          <w:lang w:eastAsia="lt-LT"/>
        </w:rPr>
      </w:pPr>
    </w:p>
    <w:p w14:paraId="7EE947FB" w14:textId="61C93082" w:rsidR="008C4948" w:rsidRPr="00CD6C5C" w:rsidRDefault="008C4948" w:rsidP="008C4948">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Labai </w:t>
      </w:r>
      <w:r w:rsidR="00BB40D9" w:rsidRPr="00CD6C5C">
        <w:rPr>
          <w:rFonts w:ascii="Times New Roman" w:eastAsia="Times New Roman" w:hAnsi="Times New Roman" w:cs="Times New Roman"/>
          <w:b/>
          <w:lang w:eastAsia="lt-LT"/>
        </w:rPr>
        <w:t>dažn</w:t>
      </w:r>
      <w:r w:rsidR="00BB40D9">
        <w:rPr>
          <w:rFonts w:ascii="Times New Roman" w:eastAsia="Times New Roman" w:hAnsi="Times New Roman" w:cs="Times New Roman"/>
          <w:b/>
          <w:lang w:eastAsia="lt-LT"/>
        </w:rPr>
        <w:t xml:space="preserve">i </w:t>
      </w:r>
      <w:r w:rsidR="00BB40D9" w:rsidRPr="00BB40D9">
        <w:rPr>
          <w:rFonts w:ascii="Times New Roman" w:eastAsia="Times New Roman" w:hAnsi="Times New Roman" w:cs="Times New Roman"/>
          <w:b/>
          <w:lang w:eastAsia="lt-LT"/>
        </w:rPr>
        <w:t>šalutinio poveikio reiškiniai</w:t>
      </w:r>
      <w:r w:rsidR="00BB40D9" w:rsidRPr="00CD6C5C">
        <w:rPr>
          <w:rFonts w:ascii="Times New Roman" w:eastAsia="Times New Roman" w:hAnsi="Times New Roman" w:cs="Times New Roman"/>
          <w:b/>
          <w:lang w:eastAsia="lt-LT"/>
        </w:rPr>
        <w:t xml:space="preserve"> </w:t>
      </w:r>
      <w:r w:rsidRPr="00CD6C5C">
        <w:rPr>
          <w:rFonts w:ascii="Times New Roman" w:eastAsia="Times New Roman" w:hAnsi="Times New Roman" w:cs="Times New Roman"/>
          <w:lang w:eastAsia="lt-LT"/>
        </w:rPr>
        <w:t xml:space="preserve">(gali pasireikšti </w:t>
      </w:r>
      <w:r w:rsidR="00BB40D9">
        <w:rPr>
          <w:rFonts w:ascii="Times New Roman" w:eastAsia="Times New Roman" w:hAnsi="Times New Roman" w:cs="Times New Roman"/>
          <w:lang w:eastAsia="lt-LT"/>
        </w:rPr>
        <w:t>ne rečiau</w:t>
      </w:r>
      <w:r w:rsidR="00BB40D9" w:rsidRPr="00CD6C5C">
        <w:rPr>
          <w:rFonts w:ascii="Times New Roman" w:eastAsia="Times New Roman" w:hAnsi="Times New Roman" w:cs="Times New Roman"/>
          <w:lang w:eastAsia="lt-LT"/>
        </w:rPr>
        <w:t xml:space="preserve"> </w:t>
      </w:r>
      <w:r w:rsidRPr="00CD6C5C">
        <w:rPr>
          <w:rFonts w:ascii="Times New Roman" w:eastAsia="Times New Roman" w:hAnsi="Times New Roman" w:cs="Times New Roman"/>
          <w:lang w:eastAsia="lt-LT"/>
        </w:rPr>
        <w:t xml:space="preserve">kaip 1 iš 10 </w:t>
      </w:r>
      <w:r w:rsidR="00BB40D9">
        <w:rPr>
          <w:rFonts w:ascii="Times New Roman" w:eastAsia="Times New Roman" w:hAnsi="Times New Roman" w:cs="Times New Roman"/>
          <w:lang w:eastAsia="lt-LT"/>
        </w:rPr>
        <w:t>asmenų</w:t>
      </w:r>
      <w:r w:rsidRPr="00CD6C5C">
        <w:rPr>
          <w:rFonts w:ascii="Times New Roman" w:eastAsia="Times New Roman" w:hAnsi="Times New Roman" w:cs="Times New Roman"/>
          <w:lang w:eastAsia="lt-LT"/>
        </w:rPr>
        <w:t>):</w:t>
      </w:r>
    </w:p>
    <w:p w14:paraId="567B6FE1"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galvos skausmas, veido ir kaklo paraudimas, nosies ir sinusų užgulimas (nosies užsikimšimas), pykinimas, nevirškinimas (įskaitant pilvo skausmą ar diskomfortą), raumenų skausmas, nugaros skausmas ir galūnių skausmas (įskaitant galūnių diskomfortą).</w:t>
      </w:r>
    </w:p>
    <w:p w14:paraId="587FE2C7" w14:textId="77777777" w:rsidR="008C4948" w:rsidRPr="00CD6C5C" w:rsidRDefault="008C4948" w:rsidP="008C4948">
      <w:pPr>
        <w:spacing w:after="0" w:line="240" w:lineRule="auto"/>
        <w:rPr>
          <w:rFonts w:ascii="Times New Roman" w:eastAsia="Times New Roman" w:hAnsi="Times New Roman" w:cs="Times New Roman"/>
          <w:lang w:eastAsia="lt-LT"/>
        </w:rPr>
      </w:pPr>
    </w:p>
    <w:p w14:paraId="3D2BD68B" w14:textId="6678C087" w:rsidR="008C4948" w:rsidRPr="00CD6C5C" w:rsidRDefault="00BB40D9" w:rsidP="008C4948">
      <w:pPr>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Dažn</w:t>
      </w:r>
      <w:r>
        <w:rPr>
          <w:rFonts w:ascii="Times New Roman" w:eastAsia="Times New Roman" w:hAnsi="Times New Roman" w:cs="Times New Roman"/>
          <w:b/>
          <w:lang w:eastAsia="lt-LT"/>
        </w:rPr>
        <w:t xml:space="preserve">i </w:t>
      </w:r>
      <w:r w:rsidRPr="00BB40D9">
        <w:rPr>
          <w:rFonts w:ascii="Times New Roman" w:eastAsia="Times New Roman" w:hAnsi="Times New Roman" w:cs="Times New Roman"/>
          <w:b/>
          <w:lang w:eastAsia="lt-LT"/>
        </w:rPr>
        <w:t>šalutinio poveikio reiškiniai</w:t>
      </w:r>
      <w:r w:rsidRPr="00CD6C5C">
        <w:rPr>
          <w:rFonts w:ascii="Times New Roman" w:eastAsia="Times New Roman" w:hAnsi="Times New Roman" w:cs="Times New Roman"/>
          <w:b/>
          <w:lang w:eastAsia="lt-LT"/>
        </w:rPr>
        <w:t xml:space="preserve"> </w:t>
      </w:r>
      <w:r w:rsidR="008C4948" w:rsidRPr="00CD6C5C">
        <w:rPr>
          <w:rFonts w:ascii="Times New Roman" w:eastAsia="Times New Roman" w:hAnsi="Times New Roman" w:cs="Times New Roman"/>
          <w:lang w:eastAsia="lt-LT"/>
        </w:rPr>
        <w:t xml:space="preserve">(gali pasireikšti </w:t>
      </w:r>
      <w:r>
        <w:rPr>
          <w:rFonts w:ascii="Times New Roman" w:eastAsia="Times New Roman" w:hAnsi="Times New Roman" w:cs="Times New Roman"/>
          <w:lang w:eastAsia="lt-LT"/>
        </w:rPr>
        <w:t>rečiau</w:t>
      </w:r>
      <w:r w:rsidR="008C4948" w:rsidRPr="00CD6C5C">
        <w:rPr>
          <w:rFonts w:ascii="Times New Roman" w:eastAsia="Times New Roman" w:hAnsi="Times New Roman" w:cs="Times New Roman"/>
          <w:lang w:eastAsia="lt-LT"/>
        </w:rPr>
        <w:t xml:space="preserve"> kaip 1 iš 10 </w:t>
      </w:r>
      <w:r>
        <w:rPr>
          <w:rFonts w:ascii="Times New Roman" w:eastAsia="Times New Roman" w:hAnsi="Times New Roman" w:cs="Times New Roman"/>
          <w:lang w:eastAsia="lt-LT"/>
        </w:rPr>
        <w:t>asmenų</w:t>
      </w:r>
      <w:r w:rsidR="008C4948" w:rsidRPr="00CD6C5C">
        <w:rPr>
          <w:rFonts w:ascii="Times New Roman" w:eastAsia="Times New Roman" w:hAnsi="Times New Roman" w:cs="Times New Roman"/>
          <w:lang w:eastAsia="lt-LT"/>
        </w:rPr>
        <w:t>):</w:t>
      </w:r>
    </w:p>
    <w:p w14:paraId="55D25BB3" w14:textId="77777777" w:rsidR="008C4948" w:rsidRPr="00CD6C5C" w:rsidRDefault="008C4948" w:rsidP="008C4948">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matomo vaizdo neryškumas, mažas kraujospūdis, kraujavimas iš nosies, vėmimas, kraujavimo iš gimdos sustiprėjimas arba nenormalus kraujavimas iš gimdos, veido patinimas, rūgšties refliuksas, migrena, krūtinės skausmas, nereguliarus širdies plakimas ir apalpimas.</w:t>
      </w:r>
    </w:p>
    <w:p w14:paraId="0214CDA1" w14:textId="77777777" w:rsidR="008C4948" w:rsidRPr="00CD6C5C" w:rsidRDefault="008C4948" w:rsidP="008C4948">
      <w:pPr>
        <w:spacing w:after="0" w:line="240" w:lineRule="auto"/>
        <w:rPr>
          <w:rFonts w:ascii="Times New Roman" w:eastAsia="Times New Roman" w:hAnsi="Times New Roman" w:cs="Times New Roman"/>
          <w:lang w:eastAsia="lt-LT"/>
        </w:rPr>
      </w:pPr>
    </w:p>
    <w:p w14:paraId="732146AB" w14:textId="08992A93" w:rsidR="008C4948" w:rsidRPr="00CD6C5C" w:rsidRDefault="00BB40D9" w:rsidP="007D3ACB">
      <w:pPr>
        <w:keepNext/>
        <w:numPr>
          <w:ilvl w:val="12"/>
          <w:numId w:val="0"/>
        </w:numPr>
        <w:spacing w:after="0" w:line="240" w:lineRule="auto"/>
        <w:ind w:right="-29"/>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lastRenderedPageBreak/>
        <w:t>Nedažn</w:t>
      </w:r>
      <w:r>
        <w:rPr>
          <w:rFonts w:ascii="Times New Roman" w:eastAsia="Times New Roman" w:hAnsi="Times New Roman" w:cs="Times New Roman"/>
          <w:b/>
          <w:lang w:eastAsia="lt-LT"/>
        </w:rPr>
        <w:t xml:space="preserve">i </w:t>
      </w:r>
      <w:r w:rsidRPr="00BB40D9">
        <w:rPr>
          <w:rFonts w:ascii="Times New Roman" w:eastAsia="Times New Roman" w:hAnsi="Times New Roman" w:cs="Times New Roman"/>
          <w:b/>
          <w:lang w:eastAsia="lt-LT"/>
        </w:rPr>
        <w:t>šalutinio poveikio reiškiniai</w:t>
      </w:r>
      <w:r w:rsidRPr="00CD6C5C">
        <w:rPr>
          <w:rFonts w:ascii="Times New Roman" w:eastAsia="Times New Roman" w:hAnsi="Times New Roman" w:cs="Times New Roman"/>
          <w:b/>
          <w:lang w:eastAsia="lt-LT"/>
        </w:rPr>
        <w:t xml:space="preserve"> </w:t>
      </w:r>
      <w:r w:rsidR="008C4948" w:rsidRPr="00CD6C5C">
        <w:rPr>
          <w:rFonts w:ascii="Times New Roman" w:eastAsia="Times New Roman" w:hAnsi="Times New Roman" w:cs="Times New Roman"/>
          <w:lang w:eastAsia="lt-LT"/>
        </w:rPr>
        <w:t xml:space="preserve">(gali pasireikšti </w:t>
      </w:r>
      <w:r>
        <w:rPr>
          <w:rFonts w:ascii="Times New Roman" w:eastAsia="Times New Roman" w:hAnsi="Times New Roman" w:cs="Times New Roman"/>
          <w:lang w:eastAsia="lt-LT"/>
        </w:rPr>
        <w:t>rečiau</w:t>
      </w:r>
      <w:r w:rsidR="008C4948" w:rsidRPr="00CD6C5C">
        <w:rPr>
          <w:rFonts w:ascii="Times New Roman" w:eastAsia="Times New Roman" w:hAnsi="Times New Roman" w:cs="Times New Roman"/>
          <w:lang w:eastAsia="lt-LT"/>
        </w:rPr>
        <w:t xml:space="preserve"> kaip 1 iš 100 </w:t>
      </w:r>
      <w:r>
        <w:rPr>
          <w:rFonts w:ascii="Times New Roman" w:eastAsia="Times New Roman" w:hAnsi="Times New Roman" w:cs="Times New Roman"/>
          <w:lang w:eastAsia="lt-LT"/>
        </w:rPr>
        <w:t>asmenų</w:t>
      </w:r>
      <w:r w:rsidR="008C4948" w:rsidRPr="00CD6C5C">
        <w:rPr>
          <w:rFonts w:ascii="Times New Roman" w:eastAsia="Times New Roman" w:hAnsi="Times New Roman" w:cs="Times New Roman"/>
          <w:lang w:eastAsia="lt-LT"/>
        </w:rPr>
        <w:t>):</w:t>
      </w:r>
    </w:p>
    <w:p w14:paraId="5EA0FC44" w14:textId="77777777" w:rsidR="008C4948" w:rsidRPr="00CD6C5C" w:rsidRDefault="008C4948" w:rsidP="007D3ACB">
      <w:pPr>
        <w:keepNext/>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traukuliai, laikinas atminties netekimas, dilgėlinė, gausus prakaitavimas, kraujavimas iš varpos, kraujas spermoje ir (arba) šlapime, didelis kraujospūdis, dažnas širdies plakimas, staigi širdinė mirtis ir spengimas ausyse.</w:t>
      </w:r>
    </w:p>
    <w:p w14:paraId="3C8D1218" w14:textId="77777777" w:rsidR="00C12345" w:rsidRPr="00CD6C5C" w:rsidRDefault="00C12345" w:rsidP="008C4948">
      <w:pPr>
        <w:spacing w:after="0" w:line="240" w:lineRule="auto"/>
        <w:rPr>
          <w:rFonts w:ascii="Times New Roman" w:eastAsia="Times New Roman" w:hAnsi="Times New Roman" w:cs="Times New Roman"/>
          <w:lang w:eastAsia="lt-LT"/>
        </w:rPr>
      </w:pPr>
    </w:p>
    <w:p w14:paraId="0BF4BB90"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Buvo pranešta, kad dauguma (bet ne visi) iš šių vyrų, kuriems pasireiškė dažnas širdies ritmas, nereguliarus širdies ritmas, širdies priepuolis, smegenų insultas ar staigi širdinė mirtis, turėjo širdies sutrikimų prieš pradėdami vartoti tadalafilio. Ar šie reiškiniai yra tiesiogiai susiję su tadalafiliu, nustatyti neįmanoma.</w:t>
      </w:r>
    </w:p>
    <w:p w14:paraId="46CC40AE" w14:textId="77777777" w:rsidR="008C4948" w:rsidRPr="00CD6C5C" w:rsidRDefault="008C4948" w:rsidP="008C4948">
      <w:pPr>
        <w:spacing w:after="0" w:line="240" w:lineRule="auto"/>
        <w:rPr>
          <w:rFonts w:ascii="Times New Roman" w:eastAsia="Times New Roman" w:hAnsi="Times New Roman" w:cs="Times New Roman"/>
          <w:lang w:eastAsia="lt-LT"/>
        </w:rPr>
      </w:pPr>
    </w:p>
    <w:p w14:paraId="24DA23FC" w14:textId="77777777" w:rsidR="008C4948" w:rsidRPr="00CD6C5C" w:rsidRDefault="008C4948" w:rsidP="008C4948">
      <w:pPr>
        <w:numPr>
          <w:ilvl w:val="12"/>
          <w:numId w:val="0"/>
        </w:numPr>
        <w:tabs>
          <w:tab w:val="left" w:pos="567"/>
        </w:tabs>
        <w:spacing w:after="0" w:line="240" w:lineRule="auto"/>
        <w:outlineLvl w:val="0"/>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Pranešimas apie šalutinį poveikį</w:t>
      </w:r>
    </w:p>
    <w:p w14:paraId="5FA34D0B" w14:textId="091AA5D9"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snapToGrid w:val="0"/>
        </w:rPr>
        <w:t xml:space="preserve">Jeigu pasireiškė šalutinis poveikis, įskaitant šiame lapelyje nenurodytą, pasakykite gydytojui arba vaistininkui. </w:t>
      </w:r>
      <w:r w:rsidR="00C80646" w:rsidRPr="00CD6C5C">
        <w:rPr>
          <w:rFonts w:ascii="Times New Roman" w:eastAsia="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C80646" w:rsidRPr="00CD6C5C">
        <w:rPr>
          <w:rFonts w:ascii="Times New Roman" w:eastAsia="Times New Roman" w:hAnsi="Times New Roman" w:cs="Times New Roman"/>
          <w:snapToGrid w:val="0"/>
          <w:u w:val="single"/>
        </w:rPr>
        <w:t>https://vapris.vvkt.lt/vvkt-web/public/nrv</w:t>
      </w:r>
      <w:r w:rsidR="00C80646" w:rsidRPr="00CD6C5C">
        <w:rPr>
          <w:rFonts w:ascii="Times New Roman" w:eastAsia="Times New Roman" w:hAnsi="Times New Roman" w:cs="Times New Roman"/>
          <w:snapToGrid w:val="0"/>
        </w:rPr>
        <w:t xml:space="preserve"> arba užpildant Paciento pranešimo apie įtariamą nepageidaujamą reakciją (ĮNR) formą, kuri skelbiama </w:t>
      </w:r>
      <w:r w:rsidR="00C80646" w:rsidRPr="00CD6C5C">
        <w:rPr>
          <w:rFonts w:ascii="Times New Roman" w:eastAsia="Times New Roman" w:hAnsi="Times New Roman" w:cs="Times New Roman"/>
          <w:snapToGrid w:val="0"/>
          <w:u w:val="single"/>
        </w:rPr>
        <w:t>https://www.vvkt.lt/index.php?4004286486</w:t>
      </w:r>
      <w:r w:rsidR="00C80646" w:rsidRPr="00CD6C5C">
        <w:rPr>
          <w:rFonts w:ascii="Times New Roman" w:eastAsia="Times New Roman" w:hAnsi="Times New Roman" w:cs="Times New Roman"/>
          <w:snapToGrid w:val="0"/>
        </w:rPr>
        <w:t xml:space="preserve">, ir atsiunčiant elektroniniu paštu (adresu </w:t>
      </w:r>
      <w:r w:rsidR="00C80646" w:rsidRPr="00CD6C5C">
        <w:rPr>
          <w:rFonts w:ascii="Times New Roman" w:eastAsia="Times New Roman" w:hAnsi="Times New Roman" w:cs="Times New Roman"/>
          <w:snapToGrid w:val="0"/>
          <w:u w:val="single"/>
        </w:rPr>
        <w:t>NepageidaujamaR@vvkt.lt</w:t>
      </w:r>
      <w:r w:rsidR="00C80646" w:rsidRPr="00CD6C5C">
        <w:rPr>
          <w:rFonts w:ascii="Times New Roman" w:eastAsia="Times New Roman" w:hAnsi="Times New Roman" w:cs="Times New Roman"/>
          <w:snapToGrid w:val="0"/>
        </w:rPr>
        <w:t xml:space="preserve">) arba nemokamu telefonu 8 800 73 568. </w:t>
      </w:r>
      <w:r w:rsidRPr="00CD6C5C">
        <w:rPr>
          <w:rFonts w:ascii="Times New Roman" w:eastAsia="Times New Roman" w:hAnsi="Times New Roman" w:cs="Times New Roman"/>
          <w:snapToGrid w:val="0"/>
        </w:rPr>
        <w:t>Pranešdami apie šalutinį poveikį galite mums padėti gauti daugiau informacijos apie šio vaisto saugumą.</w:t>
      </w:r>
    </w:p>
    <w:p w14:paraId="16CF7850"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30475C52"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3CAD85AA" w14:textId="77777777" w:rsidR="008C4948" w:rsidRPr="00CD6C5C" w:rsidRDefault="008C4948" w:rsidP="008C4948">
      <w:pPr>
        <w:numPr>
          <w:ilvl w:val="12"/>
          <w:numId w:val="0"/>
        </w:numPr>
        <w:spacing w:after="0" w:line="240" w:lineRule="auto"/>
        <w:ind w:left="567" w:right="-2" w:hanging="567"/>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5.</w:t>
      </w:r>
      <w:r w:rsidRPr="00CD6C5C">
        <w:rPr>
          <w:rFonts w:ascii="Times New Roman" w:eastAsia="Times New Roman" w:hAnsi="Times New Roman" w:cs="Times New Roman"/>
          <w:b/>
          <w:lang w:eastAsia="lt-LT"/>
        </w:rPr>
        <w:tab/>
        <w:t>Kaip laikyti Tadalafil Accord</w:t>
      </w:r>
    </w:p>
    <w:p w14:paraId="67ED965C"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20AE2BD4"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Šį vaistą laikykite vaikams nepastebimoje ir nepasiekiamoje vietoje.</w:t>
      </w:r>
    </w:p>
    <w:p w14:paraId="54D426C7"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p>
    <w:p w14:paraId="69E07410" w14:textId="5E5931FF"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Ant dėžutės arba lizdinės plokštelės po „EXP“ nurodytam tinkamumo laikui pasibaigus, šio vaisto vartoti negalima. Vaistas tinkamas vartoti iki paskutinės nurodyto mėnesio dienos.</w:t>
      </w:r>
    </w:p>
    <w:p w14:paraId="62D1667F"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p>
    <w:p w14:paraId="16560A6E" w14:textId="5FA16994"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Šio vaisto laikymui specialių temperatūros sąlygų nereikalaujama.</w:t>
      </w:r>
    </w:p>
    <w:p w14:paraId="7DDACDD6" w14:textId="77777777" w:rsidR="008C4948" w:rsidRPr="00CD6C5C" w:rsidRDefault="008C4948" w:rsidP="008C4948">
      <w:pPr>
        <w:tabs>
          <w:tab w:val="left" w:pos="567"/>
        </w:tabs>
        <w:spacing w:after="0" w:line="240" w:lineRule="auto"/>
        <w:rPr>
          <w:rFonts w:ascii="Times New Roman" w:eastAsia="Times New Roman" w:hAnsi="Times New Roman" w:cs="Times New Roman"/>
          <w:i/>
          <w:iCs/>
          <w:lang w:eastAsia="lt-LT"/>
        </w:rPr>
      </w:pPr>
    </w:p>
    <w:p w14:paraId="4E178D91"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789ED335"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001988CD"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6EA1CD5A" w14:textId="77777777" w:rsidR="008C4948" w:rsidRPr="00CD6C5C" w:rsidRDefault="008C4948" w:rsidP="008C4948">
      <w:pPr>
        <w:numPr>
          <w:ilvl w:val="12"/>
          <w:numId w:val="0"/>
        </w:numPr>
        <w:spacing w:after="0" w:line="240" w:lineRule="auto"/>
        <w:ind w:left="567" w:right="-2" w:hanging="567"/>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6.</w:t>
      </w:r>
      <w:r w:rsidRPr="00CD6C5C">
        <w:rPr>
          <w:rFonts w:ascii="Times New Roman" w:eastAsia="Times New Roman" w:hAnsi="Times New Roman" w:cs="Times New Roman"/>
          <w:b/>
          <w:lang w:eastAsia="lt-LT"/>
        </w:rPr>
        <w:tab/>
        <w:t>Pakuotės turinys ir kita informacija</w:t>
      </w:r>
    </w:p>
    <w:p w14:paraId="504FEE55"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25770514" w14:textId="77777777" w:rsidR="008C4948" w:rsidRPr="00CD6C5C" w:rsidRDefault="008C4948" w:rsidP="008C4948">
      <w:pPr>
        <w:widowControl w:val="0"/>
        <w:tabs>
          <w:tab w:val="left" w:pos="567"/>
        </w:tabs>
        <w:spacing w:after="0" w:line="240" w:lineRule="auto"/>
        <w:jc w:val="both"/>
        <w:rPr>
          <w:rFonts w:ascii="Times New Roman" w:eastAsia="Times New Roman" w:hAnsi="Times New Roman" w:cs="Times New Roman"/>
          <w:b/>
          <w:bCs/>
          <w:lang w:eastAsia="lt-LT"/>
        </w:rPr>
      </w:pPr>
      <w:r w:rsidRPr="00CD6C5C">
        <w:rPr>
          <w:rFonts w:ascii="Times New Roman" w:eastAsia="Times New Roman" w:hAnsi="Times New Roman" w:cs="Times New Roman"/>
          <w:b/>
          <w:lang w:eastAsia="lt-LT"/>
        </w:rPr>
        <w:t>Tadalafil Accord sudėtis</w:t>
      </w:r>
    </w:p>
    <w:p w14:paraId="620A8DB4" w14:textId="77777777" w:rsidR="008C4948" w:rsidRPr="00CD6C5C" w:rsidRDefault="008C4948" w:rsidP="008C4948">
      <w:pPr>
        <w:numPr>
          <w:ilvl w:val="0"/>
          <w:numId w:val="9"/>
        </w:numPr>
        <w:spacing w:after="0" w:line="240" w:lineRule="auto"/>
        <w:ind w:right="-2"/>
        <w:rPr>
          <w:rFonts w:ascii="Times New Roman" w:eastAsia="Times New Roman" w:hAnsi="Times New Roman" w:cs="Times New Roman"/>
          <w:i/>
          <w:iCs/>
          <w:lang w:eastAsia="lt-LT"/>
        </w:rPr>
      </w:pPr>
      <w:r w:rsidRPr="00CD6C5C">
        <w:rPr>
          <w:rFonts w:ascii="Times New Roman" w:eastAsia="Times New Roman" w:hAnsi="Times New Roman" w:cs="Times New Roman"/>
          <w:b/>
          <w:lang w:eastAsia="lt-LT"/>
        </w:rPr>
        <w:t>Veiklioji medžiaga</w:t>
      </w:r>
      <w:r w:rsidRPr="00CD6C5C">
        <w:rPr>
          <w:rFonts w:ascii="Times New Roman" w:eastAsia="Times New Roman" w:hAnsi="Times New Roman" w:cs="Times New Roman"/>
          <w:lang w:eastAsia="lt-LT"/>
        </w:rPr>
        <w:t xml:space="preserve"> yra tadalafilis. </w:t>
      </w:r>
    </w:p>
    <w:p w14:paraId="49EB307F" w14:textId="77777777" w:rsidR="008C4948" w:rsidRPr="00CD6C5C" w:rsidRDefault="008C4948" w:rsidP="008C4948">
      <w:pPr>
        <w:spacing w:after="0" w:line="240" w:lineRule="auto"/>
        <w:ind w:left="567" w:right="-2"/>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Kiekvienoje plėvele dengtoje tabletėje yra 20 mg tadalafilio.</w:t>
      </w:r>
    </w:p>
    <w:p w14:paraId="5EB04683" w14:textId="77777777" w:rsidR="008C4948" w:rsidRPr="00CD6C5C" w:rsidRDefault="008C4948" w:rsidP="008C4948">
      <w:pPr>
        <w:numPr>
          <w:ilvl w:val="0"/>
          <w:numId w:val="10"/>
        </w:numPr>
        <w:spacing w:after="0" w:line="240" w:lineRule="auto"/>
        <w:ind w:right="-2"/>
        <w:rPr>
          <w:rFonts w:ascii="Times New Roman" w:eastAsia="Times New Roman" w:hAnsi="Times New Roman" w:cs="Times New Roman"/>
          <w:lang w:eastAsia="lt-LT"/>
        </w:rPr>
      </w:pPr>
      <w:r w:rsidRPr="00CD6C5C">
        <w:rPr>
          <w:rFonts w:ascii="Times New Roman" w:eastAsia="Times New Roman" w:hAnsi="Times New Roman" w:cs="Times New Roman"/>
          <w:b/>
          <w:lang w:eastAsia="lt-LT"/>
        </w:rPr>
        <w:t>Pagalbinės medžiagos</w:t>
      </w:r>
    </w:p>
    <w:p w14:paraId="2B8DE948" w14:textId="77777777" w:rsidR="008C4948" w:rsidRPr="00CD6C5C" w:rsidRDefault="008C4948" w:rsidP="008C4948">
      <w:pPr>
        <w:spacing w:after="0" w:line="240" w:lineRule="auto"/>
        <w:ind w:left="567" w:right="-2"/>
        <w:rPr>
          <w:rFonts w:ascii="Times New Roman" w:eastAsia="Times New Roman" w:hAnsi="Times New Roman" w:cs="Times New Roman"/>
          <w:lang w:eastAsia="lt-LT"/>
        </w:rPr>
      </w:pPr>
      <w:r w:rsidRPr="00CD6C5C">
        <w:rPr>
          <w:rFonts w:ascii="Times New Roman" w:eastAsia="Times New Roman" w:hAnsi="Times New Roman" w:cs="Times New Roman"/>
          <w:u w:val="single"/>
          <w:lang w:eastAsia="lt-LT"/>
        </w:rPr>
        <w:t>Tabletės šerdis</w:t>
      </w:r>
      <w:r w:rsidRPr="00CD6C5C">
        <w:rPr>
          <w:rFonts w:ascii="Times New Roman" w:eastAsia="Times New Roman" w:hAnsi="Times New Roman" w:cs="Times New Roman"/>
          <w:lang w:eastAsia="lt-LT"/>
        </w:rPr>
        <w:t>: laktozė monohidratas, kroskarmeliozės natrio druska, hipromeliozė, mikrokristalinė celiuliozė, sorbitano stearatas ir magnio stearatas.</w:t>
      </w:r>
    </w:p>
    <w:p w14:paraId="7E3B32E3" w14:textId="77777777" w:rsidR="008C4948" w:rsidRPr="00CD6C5C" w:rsidRDefault="008C4948" w:rsidP="008C4948">
      <w:pPr>
        <w:spacing w:after="0" w:line="240" w:lineRule="auto"/>
        <w:ind w:left="567" w:right="-2"/>
        <w:rPr>
          <w:rFonts w:ascii="Times New Roman" w:eastAsia="Times New Roman" w:hAnsi="Times New Roman" w:cs="Times New Roman"/>
          <w:lang w:eastAsia="lt-LT"/>
        </w:rPr>
      </w:pPr>
      <w:r w:rsidRPr="00CD6C5C">
        <w:rPr>
          <w:rFonts w:ascii="Times New Roman" w:eastAsia="Times New Roman" w:hAnsi="Times New Roman" w:cs="Times New Roman"/>
          <w:u w:val="single"/>
          <w:lang w:eastAsia="lt-LT"/>
        </w:rPr>
        <w:t>Tabletės plėvelė</w:t>
      </w:r>
      <w:r w:rsidRPr="00CD6C5C">
        <w:rPr>
          <w:rFonts w:ascii="Times New Roman" w:eastAsia="Times New Roman" w:hAnsi="Times New Roman" w:cs="Times New Roman"/>
          <w:lang w:eastAsia="lt-LT"/>
        </w:rPr>
        <w:t>: laktozė monohidratas, hipromeliozė, titano dioksidas (E171), triacetinas, talkas ir geltonasis geležies oksidas (E172).</w:t>
      </w:r>
    </w:p>
    <w:p w14:paraId="401C3676" w14:textId="77777777" w:rsidR="008C4948" w:rsidRPr="00CD6C5C" w:rsidRDefault="008C4948" w:rsidP="008C4948">
      <w:pPr>
        <w:spacing w:after="0" w:line="240" w:lineRule="auto"/>
        <w:ind w:right="-2"/>
        <w:rPr>
          <w:rFonts w:ascii="Times New Roman" w:eastAsia="Times New Roman" w:hAnsi="Times New Roman" w:cs="Times New Roman"/>
          <w:lang w:eastAsia="lt-LT"/>
        </w:rPr>
      </w:pPr>
    </w:p>
    <w:p w14:paraId="15621A6C" w14:textId="77777777" w:rsidR="008C4948" w:rsidRPr="00CD6C5C" w:rsidRDefault="008C4948" w:rsidP="00B16E93">
      <w:pPr>
        <w:keepNext/>
        <w:numPr>
          <w:ilvl w:val="12"/>
          <w:numId w:val="0"/>
        </w:numPr>
        <w:spacing w:after="0" w:line="240" w:lineRule="auto"/>
        <w:ind w:right="-2"/>
        <w:rPr>
          <w:rFonts w:ascii="Times New Roman" w:eastAsia="Times New Roman" w:hAnsi="Times New Roman" w:cs="Times New Roman"/>
          <w:b/>
          <w:bCs/>
          <w:lang w:eastAsia="lt-LT"/>
        </w:rPr>
      </w:pPr>
      <w:r w:rsidRPr="00CD6C5C">
        <w:rPr>
          <w:rFonts w:ascii="Times New Roman" w:eastAsia="Times New Roman" w:hAnsi="Times New Roman" w:cs="Times New Roman"/>
          <w:b/>
          <w:lang w:eastAsia="lt-LT"/>
        </w:rPr>
        <w:t>Tadalafil Accord išvaizda ir kiekis pakuotėje</w:t>
      </w:r>
    </w:p>
    <w:p w14:paraId="6F9C54A2" w14:textId="77777777" w:rsidR="008C4948" w:rsidRPr="00CD6C5C" w:rsidRDefault="008C4948" w:rsidP="00B16E93">
      <w:pPr>
        <w:keepNext/>
        <w:tabs>
          <w:tab w:val="left" w:pos="567"/>
        </w:tab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Geltona, kapsulės formos, maždaug 14,3 mm ilgio ir 7 mm pločio, abipus išgaubta plėvele dengta tabletė nuožulniais kraštais, vienoje pusėje įspausta „T 20“, kita pusė lygi.</w:t>
      </w:r>
    </w:p>
    <w:p w14:paraId="5B67BBEB"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p>
    <w:p w14:paraId="35A103F5"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Tadalafil Accord tiekiamas PVC/PE/PVdC permatomose aliuminio lizdinėse plokštelėse. </w:t>
      </w:r>
    </w:p>
    <w:p w14:paraId="7D21A2D2"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p>
    <w:p w14:paraId="0E7043CF"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r w:rsidRPr="00CD6C5C">
        <w:rPr>
          <w:rFonts w:ascii="Times New Roman" w:hAnsi="Times New Roman" w:cs="Times New Roman"/>
        </w:rPr>
        <w:t>Pakuotės dydžiai</w:t>
      </w:r>
      <w:r w:rsidRPr="00CD6C5C">
        <w:rPr>
          <w:rFonts w:ascii="Times New Roman" w:eastAsia="Times New Roman" w:hAnsi="Times New Roman" w:cs="Times New Roman"/>
          <w:lang w:eastAsia="lt-LT"/>
        </w:rPr>
        <w:t>: 2, 4, 8, 12, 14, 28, 30, 56 arba 60 tablečių.</w:t>
      </w:r>
    </w:p>
    <w:p w14:paraId="03E616DF"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p>
    <w:p w14:paraId="2D08251B" w14:textId="77777777" w:rsidR="008C4948" w:rsidRPr="00CD6C5C" w:rsidRDefault="008C4948" w:rsidP="008C4948">
      <w:pPr>
        <w:tabs>
          <w:tab w:val="left" w:pos="567"/>
        </w:tabs>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lastRenderedPageBreak/>
        <w:t>Gali būti tiekiamos ne visų dydžių pakuotės.</w:t>
      </w:r>
    </w:p>
    <w:p w14:paraId="2C844A36"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6A1FC571"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b/>
          <w:bCs/>
          <w:lang w:eastAsia="lt-LT"/>
        </w:rPr>
      </w:pPr>
      <w:r w:rsidRPr="00CD6C5C">
        <w:rPr>
          <w:rFonts w:ascii="Times New Roman" w:eastAsia="Times New Roman" w:hAnsi="Times New Roman" w:cs="Times New Roman"/>
          <w:b/>
          <w:lang w:eastAsia="lt-LT"/>
        </w:rPr>
        <w:t>Registruotojas ir gamintojas</w:t>
      </w:r>
    </w:p>
    <w:p w14:paraId="5FE6795C"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27CA9B2F"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bCs/>
          <w:i/>
          <w:lang w:eastAsia="lt-LT"/>
        </w:rPr>
      </w:pPr>
      <w:r w:rsidRPr="00CD6C5C">
        <w:rPr>
          <w:rFonts w:ascii="Times New Roman" w:eastAsia="Times New Roman" w:hAnsi="Times New Roman" w:cs="Times New Roman"/>
          <w:i/>
          <w:lang w:eastAsia="lt-LT"/>
        </w:rPr>
        <w:t>Registruotojas</w:t>
      </w:r>
    </w:p>
    <w:p w14:paraId="22B02EF8" w14:textId="46151851" w:rsidR="008C4948" w:rsidRPr="00CD6C5C" w:rsidRDefault="008C4948" w:rsidP="00E638B1">
      <w:pPr>
        <w:spacing w:after="0" w:line="240" w:lineRule="auto"/>
        <w:rPr>
          <w:rFonts w:ascii="Times New Roman" w:eastAsia="Times New Roman" w:hAnsi="Times New Roman" w:cs="Times New Roman"/>
        </w:rPr>
      </w:pPr>
      <w:r w:rsidRPr="00CD6C5C">
        <w:rPr>
          <w:rFonts w:ascii="Times New Roman" w:eastAsia="Times New Roman" w:hAnsi="Times New Roman" w:cs="Times New Roman"/>
        </w:rPr>
        <w:t xml:space="preserve">Accord Healthcare </w:t>
      </w:r>
      <w:r w:rsidR="00C63DF6" w:rsidRPr="00CD6C5C">
        <w:rPr>
          <w:rFonts w:ascii="Times New Roman" w:hAnsi="Times New Roman" w:cs="Times New Roman"/>
        </w:rPr>
        <w:t xml:space="preserve">B.V. </w:t>
      </w:r>
    </w:p>
    <w:p w14:paraId="6E8C65E6" w14:textId="77777777" w:rsidR="00C63DF6" w:rsidRPr="00CD6C5C" w:rsidRDefault="00C63DF6" w:rsidP="00C63DF6">
      <w:pPr>
        <w:spacing w:after="0" w:line="240" w:lineRule="auto"/>
        <w:rPr>
          <w:rFonts w:ascii="Times New Roman" w:hAnsi="Times New Roman" w:cs="Times New Roman"/>
        </w:rPr>
      </w:pPr>
      <w:r w:rsidRPr="00CD6C5C">
        <w:rPr>
          <w:rFonts w:ascii="Times New Roman" w:hAnsi="Times New Roman" w:cs="Times New Roman"/>
        </w:rPr>
        <w:t xml:space="preserve">Winthontlaan 200 </w:t>
      </w:r>
    </w:p>
    <w:p w14:paraId="1B2E235D" w14:textId="77777777" w:rsidR="00C63DF6" w:rsidRPr="00CD6C5C" w:rsidRDefault="00C63DF6" w:rsidP="00C63DF6">
      <w:pPr>
        <w:spacing w:after="0" w:line="240" w:lineRule="auto"/>
        <w:rPr>
          <w:rFonts w:ascii="Times New Roman" w:hAnsi="Times New Roman" w:cs="Times New Roman"/>
        </w:rPr>
      </w:pPr>
      <w:r w:rsidRPr="00CD6C5C">
        <w:rPr>
          <w:rFonts w:ascii="Times New Roman" w:hAnsi="Times New Roman" w:cs="Times New Roman"/>
        </w:rPr>
        <w:t xml:space="preserve">3526 KV Utrecht </w:t>
      </w:r>
    </w:p>
    <w:p w14:paraId="540F7589" w14:textId="77777777" w:rsidR="00C63DF6" w:rsidRPr="00CD6C5C" w:rsidRDefault="00C63DF6" w:rsidP="00C63DF6">
      <w:pPr>
        <w:spacing w:after="0" w:line="240" w:lineRule="auto"/>
        <w:rPr>
          <w:rFonts w:ascii="Times New Roman" w:hAnsi="Times New Roman" w:cs="Times New Roman"/>
        </w:rPr>
      </w:pPr>
      <w:r w:rsidRPr="00CD6C5C">
        <w:rPr>
          <w:rFonts w:ascii="Times New Roman" w:hAnsi="Times New Roman" w:cs="Times New Roman"/>
        </w:rPr>
        <w:t>Nyderlandai</w:t>
      </w:r>
    </w:p>
    <w:p w14:paraId="6E6EAFE7"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b/>
          <w:bCs/>
          <w:lang w:eastAsia="lt-LT"/>
        </w:rPr>
      </w:pPr>
    </w:p>
    <w:p w14:paraId="275F10AE" w14:textId="1EDFFE5F" w:rsidR="008C4948" w:rsidRPr="00CD6C5C" w:rsidRDefault="008C4948" w:rsidP="008C4948">
      <w:pPr>
        <w:numPr>
          <w:ilvl w:val="12"/>
          <w:numId w:val="0"/>
        </w:numPr>
        <w:spacing w:after="0" w:line="240" w:lineRule="auto"/>
        <w:ind w:right="-2"/>
        <w:rPr>
          <w:rFonts w:ascii="Times New Roman" w:eastAsia="Times New Roman" w:hAnsi="Times New Roman" w:cs="Times New Roman"/>
          <w:bCs/>
          <w:i/>
          <w:lang w:eastAsia="lt-LT"/>
        </w:rPr>
      </w:pPr>
      <w:r w:rsidRPr="00CD6C5C">
        <w:rPr>
          <w:rFonts w:ascii="Times New Roman" w:eastAsia="Times New Roman" w:hAnsi="Times New Roman" w:cs="Times New Roman"/>
          <w:i/>
          <w:lang w:eastAsia="lt-LT"/>
        </w:rPr>
        <w:t>Gamintoja</w:t>
      </w:r>
      <w:r w:rsidR="00C80646" w:rsidRPr="00CD6C5C">
        <w:rPr>
          <w:rFonts w:ascii="Times New Roman" w:eastAsia="Times New Roman" w:hAnsi="Times New Roman" w:cs="Times New Roman"/>
          <w:i/>
          <w:lang w:eastAsia="lt-LT"/>
        </w:rPr>
        <w:t>s</w:t>
      </w:r>
    </w:p>
    <w:p w14:paraId="533425EB" w14:textId="77777777" w:rsidR="00531D34" w:rsidRPr="00CD6C5C" w:rsidRDefault="00531D34" w:rsidP="00531D34">
      <w:pPr>
        <w:widowControl w:val="0"/>
        <w:autoSpaceDE w:val="0"/>
        <w:autoSpaceDN w:val="0"/>
        <w:adjustRightInd w:val="0"/>
        <w:spacing w:after="0" w:line="240" w:lineRule="auto"/>
        <w:ind w:right="-20"/>
        <w:rPr>
          <w:rFonts w:ascii="Times New Roman" w:hAnsi="Times New Roman" w:cs="Times New Roman"/>
        </w:rPr>
      </w:pPr>
      <w:r w:rsidRPr="00CD6C5C">
        <w:rPr>
          <w:rFonts w:ascii="Times New Roman" w:hAnsi="Times New Roman" w:cs="Times New Roman"/>
        </w:rPr>
        <w:t xml:space="preserve">Accord Healthcare B.V. </w:t>
      </w:r>
    </w:p>
    <w:p w14:paraId="129F9193" w14:textId="77777777" w:rsidR="00531D34" w:rsidRPr="00CD6C5C" w:rsidRDefault="00531D34" w:rsidP="00531D34">
      <w:pPr>
        <w:widowControl w:val="0"/>
        <w:autoSpaceDE w:val="0"/>
        <w:autoSpaceDN w:val="0"/>
        <w:adjustRightInd w:val="0"/>
        <w:spacing w:after="0" w:line="240" w:lineRule="auto"/>
        <w:ind w:right="-20"/>
        <w:rPr>
          <w:rFonts w:ascii="Times New Roman" w:hAnsi="Times New Roman" w:cs="Times New Roman"/>
        </w:rPr>
      </w:pPr>
      <w:r w:rsidRPr="00CD6C5C">
        <w:rPr>
          <w:rFonts w:ascii="Times New Roman" w:hAnsi="Times New Roman" w:cs="Times New Roman"/>
        </w:rPr>
        <w:t>Winthontlaan 200</w:t>
      </w:r>
    </w:p>
    <w:p w14:paraId="0EA068C8" w14:textId="77777777" w:rsidR="00531D34" w:rsidRPr="00CD6C5C" w:rsidRDefault="00531D34" w:rsidP="00531D34">
      <w:pPr>
        <w:widowControl w:val="0"/>
        <w:autoSpaceDE w:val="0"/>
        <w:autoSpaceDN w:val="0"/>
        <w:adjustRightInd w:val="0"/>
        <w:spacing w:after="0" w:line="240" w:lineRule="auto"/>
        <w:ind w:right="-20"/>
        <w:rPr>
          <w:rFonts w:ascii="Times New Roman" w:hAnsi="Times New Roman" w:cs="Times New Roman"/>
        </w:rPr>
      </w:pPr>
      <w:r w:rsidRPr="00CD6C5C">
        <w:rPr>
          <w:rFonts w:ascii="Times New Roman" w:hAnsi="Times New Roman" w:cs="Times New Roman"/>
        </w:rPr>
        <w:t>3526 KV Utrecht</w:t>
      </w:r>
    </w:p>
    <w:p w14:paraId="0EC575DE" w14:textId="198965B1" w:rsidR="00BB5AEA" w:rsidRPr="00CD6C5C" w:rsidRDefault="00531D34" w:rsidP="00BB5AEA">
      <w:pPr>
        <w:spacing w:after="0" w:line="240" w:lineRule="auto"/>
        <w:rPr>
          <w:rFonts w:ascii="Times New Roman" w:eastAsia="Times New Roman" w:hAnsi="Times New Roman" w:cs="Times New Roman"/>
        </w:rPr>
      </w:pPr>
      <w:r w:rsidRPr="00CD6C5C">
        <w:rPr>
          <w:rFonts w:ascii="Times New Roman" w:hAnsi="Times New Roman" w:cs="Times New Roman"/>
        </w:rPr>
        <w:t>Nyderlandai</w:t>
      </w:r>
    </w:p>
    <w:p w14:paraId="79D348B9" w14:textId="77777777" w:rsidR="00BB5AEA" w:rsidRPr="00CD6C5C" w:rsidRDefault="00BB5AEA" w:rsidP="008C4948">
      <w:pPr>
        <w:spacing w:after="0" w:line="240" w:lineRule="auto"/>
        <w:rPr>
          <w:rFonts w:ascii="Times New Roman" w:hAnsi="Times New Roman" w:cs="Times New Roman"/>
          <w:b/>
        </w:rPr>
      </w:pPr>
    </w:p>
    <w:p w14:paraId="3999E2E9" w14:textId="77777777" w:rsidR="008C4948" w:rsidRPr="00CD6C5C" w:rsidRDefault="008C4948" w:rsidP="008C4948">
      <w:pPr>
        <w:spacing w:after="0" w:line="240" w:lineRule="auto"/>
        <w:rPr>
          <w:rFonts w:ascii="Times New Roman" w:hAnsi="Times New Roman" w:cs="Times New Roman"/>
        </w:rPr>
      </w:pPr>
      <w:r w:rsidRPr="00CD6C5C">
        <w:rPr>
          <w:rFonts w:ascii="Times New Roman" w:hAnsi="Times New Roman" w:cs="Times New Roman"/>
        </w:rPr>
        <w:t>Pharmadox Healthcare Ltd.</w:t>
      </w:r>
    </w:p>
    <w:p w14:paraId="5FA2C84E" w14:textId="77777777" w:rsidR="008C4948" w:rsidRPr="00CD6C5C" w:rsidRDefault="008C4948" w:rsidP="008C4948">
      <w:pPr>
        <w:spacing w:after="0" w:line="240" w:lineRule="auto"/>
        <w:rPr>
          <w:rFonts w:ascii="Times New Roman" w:hAnsi="Times New Roman" w:cs="Times New Roman"/>
        </w:rPr>
      </w:pPr>
      <w:r w:rsidRPr="00CD6C5C">
        <w:rPr>
          <w:rFonts w:ascii="Times New Roman" w:hAnsi="Times New Roman" w:cs="Times New Roman"/>
        </w:rPr>
        <w:t>KW20A Kordin Industrial Park,</w:t>
      </w:r>
    </w:p>
    <w:p w14:paraId="02EB3301" w14:textId="77777777" w:rsidR="008C4948" w:rsidRPr="00CD6C5C" w:rsidRDefault="008C4948" w:rsidP="008C4948">
      <w:pPr>
        <w:spacing w:after="0" w:line="240" w:lineRule="auto"/>
        <w:rPr>
          <w:rFonts w:ascii="Times New Roman" w:hAnsi="Times New Roman" w:cs="Times New Roman"/>
        </w:rPr>
      </w:pPr>
      <w:r w:rsidRPr="00CD6C5C">
        <w:rPr>
          <w:rFonts w:ascii="Times New Roman" w:hAnsi="Times New Roman" w:cs="Times New Roman"/>
        </w:rPr>
        <w:t>Paola, PLA 3000</w:t>
      </w:r>
    </w:p>
    <w:p w14:paraId="1410589A" w14:textId="77777777" w:rsidR="008C4948" w:rsidRPr="00CD6C5C" w:rsidRDefault="008C4948" w:rsidP="008C4948">
      <w:pPr>
        <w:spacing w:after="0" w:line="240" w:lineRule="auto"/>
        <w:rPr>
          <w:rFonts w:ascii="Times New Roman" w:eastAsia="Times New Roman" w:hAnsi="Times New Roman" w:cs="Times New Roman"/>
        </w:rPr>
      </w:pPr>
      <w:r w:rsidRPr="00CD6C5C">
        <w:rPr>
          <w:rFonts w:ascii="Times New Roman" w:hAnsi="Times New Roman" w:cs="Times New Roman"/>
        </w:rPr>
        <w:t>Malta</w:t>
      </w:r>
    </w:p>
    <w:p w14:paraId="5223B801" w14:textId="77777777" w:rsidR="008C4948" w:rsidRPr="00CD6C5C" w:rsidRDefault="008C4948" w:rsidP="008C4948">
      <w:pPr>
        <w:spacing w:after="0" w:line="240" w:lineRule="auto"/>
        <w:rPr>
          <w:rFonts w:ascii="Times New Roman" w:hAnsi="Times New Roman" w:cs="Times New Roman"/>
          <w:b/>
        </w:rPr>
      </w:pPr>
    </w:p>
    <w:p w14:paraId="3F56E7B6" w14:textId="77777777" w:rsidR="003C0D8A" w:rsidRPr="00CD6C5C" w:rsidRDefault="003C0D8A" w:rsidP="003C0D8A">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Accord Healthcare Polska Sp.z o.o.,</w:t>
      </w:r>
    </w:p>
    <w:p w14:paraId="040419CC" w14:textId="3149F576" w:rsidR="003C0D8A" w:rsidRPr="00CD6C5C" w:rsidRDefault="003C0D8A" w:rsidP="003C0D8A">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ul. Lutomierska 50,</w:t>
      </w:r>
      <w:r w:rsidR="00C24C15" w:rsidRPr="00CD6C5C">
        <w:rPr>
          <w:rFonts w:ascii="Times New Roman" w:eastAsia="Times New Roman" w:hAnsi="Times New Roman" w:cs="Times New Roman"/>
          <w:lang w:eastAsia="lt-LT"/>
        </w:rPr>
        <w:t xml:space="preserve"> </w:t>
      </w:r>
      <w:r w:rsidRPr="00CD6C5C">
        <w:rPr>
          <w:rFonts w:ascii="Times New Roman" w:eastAsia="Times New Roman" w:hAnsi="Times New Roman" w:cs="Times New Roman"/>
          <w:lang w:eastAsia="lt-LT"/>
        </w:rPr>
        <w:t>95-200 Pabianice, Lenkija</w:t>
      </w:r>
    </w:p>
    <w:p w14:paraId="2C5E5112" w14:textId="77777777" w:rsidR="003C0D8A" w:rsidRDefault="003C0D8A" w:rsidP="003C0D8A">
      <w:pPr>
        <w:spacing w:after="0" w:line="240" w:lineRule="auto"/>
        <w:rPr>
          <w:rFonts w:ascii="Times New Roman" w:eastAsia="Times New Roman" w:hAnsi="Times New Roman" w:cs="Times New Roman"/>
          <w:b/>
          <w:lang w:eastAsia="lt-LT"/>
        </w:rPr>
      </w:pPr>
    </w:p>
    <w:p w14:paraId="3273C34C" w14:textId="77777777" w:rsidR="008A557B" w:rsidRPr="008A557B" w:rsidRDefault="008A557B" w:rsidP="008A557B">
      <w:pPr>
        <w:spacing w:after="0" w:line="240" w:lineRule="auto"/>
        <w:rPr>
          <w:rFonts w:ascii="Times New Roman" w:hAnsi="Times New Roman" w:cs="Times New Roman"/>
          <w:bCs/>
        </w:rPr>
      </w:pPr>
      <w:r w:rsidRPr="008A557B">
        <w:rPr>
          <w:rFonts w:ascii="Times New Roman" w:hAnsi="Times New Roman" w:cs="Times New Roman"/>
          <w:bCs/>
        </w:rPr>
        <w:t>Accord Healthcare Single Member S.A.</w:t>
      </w:r>
    </w:p>
    <w:p w14:paraId="1E181679" w14:textId="77777777" w:rsidR="008A557B" w:rsidRPr="008A557B" w:rsidRDefault="008A557B" w:rsidP="008A557B">
      <w:pPr>
        <w:spacing w:after="0" w:line="240" w:lineRule="auto"/>
        <w:rPr>
          <w:rFonts w:ascii="Times New Roman" w:hAnsi="Times New Roman" w:cs="Times New Roman"/>
          <w:bCs/>
        </w:rPr>
      </w:pPr>
      <w:r w:rsidRPr="008A557B">
        <w:rPr>
          <w:rFonts w:ascii="Times New Roman" w:hAnsi="Times New Roman" w:cs="Times New Roman"/>
          <w:bCs/>
        </w:rPr>
        <w:t xml:space="preserve">64th Km National Road Athens, </w:t>
      </w:r>
    </w:p>
    <w:p w14:paraId="5FC36AA0" w14:textId="1D22EDF6" w:rsidR="004D2908" w:rsidRDefault="008A557B" w:rsidP="008A557B">
      <w:pPr>
        <w:spacing w:after="0" w:line="240" w:lineRule="auto"/>
        <w:rPr>
          <w:rFonts w:ascii="Times New Roman" w:hAnsi="Times New Roman" w:cs="Times New Roman"/>
          <w:bCs/>
        </w:rPr>
      </w:pPr>
      <w:r w:rsidRPr="008A557B">
        <w:rPr>
          <w:rFonts w:ascii="Times New Roman" w:hAnsi="Times New Roman" w:cs="Times New Roman"/>
          <w:bCs/>
        </w:rPr>
        <w:t>Lamia, 32009, Graikija</w:t>
      </w:r>
    </w:p>
    <w:p w14:paraId="4C2F7913" w14:textId="77777777" w:rsidR="008A557B" w:rsidRPr="00CD6C5C" w:rsidRDefault="008A557B" w:rsidP="008A557B">
      <w:pPr>
        <w:spacing w:after="0" w:line="240" w:lineRule="auto"/>
        <w:rPr>
          <w:rFonts w:ascii="Times New Roman" w:eastAsia="Times New Roman" w:hAnsi="Times New Roman" w:cs="Times New Roman"/>
          <w:b/>
          <w:lang w:eastAsia="lt-LT"/>
        </w:rPr>
      </w:pPr>
    </w:p>
    <w:p w14:paraId="3958EE97" w14:textId="122E4A39" w:rsidR="008C4948" w:rsidRPr="00CD6C5C" w:rsidRDefault="008C4948" w:rsidP="008C4948">
      <w:pPr>
        <w:spacing w:after="0" w:line="240" w:lineRule="auto"/>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Šis vaistas </w:t>
      </w:r>
      <w:r w:rsidR="0099070E" w:rsidRPr="0099070E">
        <w:rPr>
          <w:rFonts w:ascii="Times New Roman" w:eastAsia="Times New Roman" w:hAnsi="Times New Roman" w:cs="Times New Roman"/>
          <w:b/>
          <w:lang w:eastAsia="lt-LT"/>
        </w:rPr>
        <w:t>Europos ekonominės erdvės</w:t>
      </w:r>
      <w:r w:rsidRPr="00CD6C5C">
        <w:rPr>
          <w:rFonts w:ascii="Times New Roman" w:eastAsia="Times New Roman" w:hAnsi="Times New Roman" w:cs="Times New Roman"/>
          <w:b/>
          <w:lang w:eastAsia="lt-LT"/>
        </w:rPr>
        <w:t xml:space="preserve"> valstybėse narėse </w:t>
      </w:r>
      <w:r w:rsidR="00AD355A" w:rsidRPr="00AD355A">
        <w:rPr>
          <w:rFonts w:ascii="Times New Roman" w:eastAsia="Times New Roman" w:hAnsi="Times New Roman" w:cs="Times New Roman"/>
          <w:b/>
          <w:lang w:eastAsia="lt-LT"/>
        </w:rPr>
        <w:t>ir Jungtinėje Karalystėje (Šiaurės Airijoje)</w:t>
      </w:r>
      <w:r w:rsidR="00AD355A">
        <w:rPr>
          <w:rFonts w:ascii="Times New Roman" w:eastAsia="Times New Roman" w:hAnsi="Times New Roman" w:cs="Times New Roman"/>
          <w:b/>
          <w:lang w:eastAsia="lt-LT"/>
        </w:rPr>
        <w:t xml:space="preserve"> </w:t>
      </w:r>
      <w:r w:rsidRPr="00CD6C5C">
        <w:rPr>
          <w:rFonts w:ascii="Times New Roman" w:eastAsia="Times New Roman" w:hAnsi="Times New Roman" w:cs="Times New Roman"/>
          <w:b/>
          <w:lang w:eastAsia="lt-LT"/>
        </w:rPr>
        <w:t>registruotas tokiais pavadinimais:</w:t>
      </w:r>
    </w:p>
    <w:p w14:paraId="23C5E289" w14:textId="77777777" w:rsidR="008C4948" w:rsidRPr="00CD6C5C" w:rsidRDefault="008C4948" w:rsidP="008C4948">
      <w:pPr>
        <w:spacing w:after="0" w:line="240" w:lineRule="auto"/>
        <w:rPr>
          <w:rFonts w:ascii="Times New Roman" w:eastAsia="Times New Roman" w:hAnsi="Times New Roman" w:cs="Times New Roman"/>
          <w:i/>
          <w:lang w:eastAsia="lt-LT"/>
        </w:rPr>
      </w:pPr>
    </w:p>
    <w:p w14:paraId="799066C6" w14:textId="77777777" w:rsidR="008C4948" w:rsidRPr="00CD6C5C" w:rsidRDefault="008C4948" w:rsidP="008C4948">
      <w:pPr>
        <w:spacing w:after="0" w:line="240" w:lineRule="auto"/>
        <w:rPr>
          <w:rFonts w:ascii="Times New Roman" w:eastAsia="Times New Roman" w:hAnsi="Times New Roman" w:cs="Times New Roman"/>
          <w:b/>
          <w:lang w:eastAsia="lt-LT"/>
        </w:rPr>
      </w:pPr>
      <w:r w:rsidRPr="00CD6C5C">
        <w:rPr>
          <w:rFonts w:ascii="Times New Roman" w:eastAsia="Times New Roman" w:hAnsi="Times New Roman" w:cs="Times New Roman"/>
          <w:b/>
          <w:lang w:eastAsia="lt-LT"/>
        </w:rPr>
        <w:t xml:space="preserve">Valstybės narės pavadinimas </w:t>
      </w:r>
      <w:r w:rsidRPr="00CD6C5C">
        <w:rPr>
          <w:rFonts w:ascii="Times New Roman" w:eastAsia="Times New Roman" w:hAnsi="Times New Roman" w:cs="Times New Roman"/>
          <w:b/>
          <w:lang w:eastAsia="lt-LT"/>
        </w:rPr>
        <w:tab/>
        <w:t>Vaisto pavadinimas</w:t>
      </w:r>
    </w:p>
    <w:p w14:paraId="20677798" w14:textId="77777777" w:rsidR="00AD355A"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Jungtinė Karalystė</w:t>
      </w:r>
    </w:p>
    <w:p w14:paraId="33C3C54C" w14:textId="4DB2926A" w:rsidR="008C4948" w:rsidRPr="00CD6C5C" w:rsidRDefault="00AD355A" w:rsidP="008C494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(Šiaurės Airija)</w:t>
      </w:r>
      <w:r>
        <w:rPr>
          <w:rFonts w:ascii="Times New Roman" w:eastAsia="Times New Roman" w:hAnsi="Times New Roman" w:cs="Times New Roman"/>
          <w:lang w:eastAsia="lt-LT"/>
        </w:rPr>
        <w:tab/>
      </w:r>
      <w:r w:rsidR="008C4948" w:rsidRPr="00CD6C5C">
        <w:rPr>
          <w:rFonts w:ascii="Times New Roman" w:eastAsia="Times New Roman" w:hAnsi="Times New Roman" w:cs="Times New Roman"/>
          <w:lang w:eastAsia="lt-LT"/>
        </w:rPr>
        <w:tab/>
      </w:r>
      <w:r w:rsidR="008C4948" w:rsidRPr="00CD6C5C">
        <w:rPr>
          <w:rFonts w:ascii="Times New Roman" w:eastAsia="Times New Roman" w:hAnsi="Times New Roman" w:cs="Times New Roman"/>
          <w:lang w:eastAsia="lt-LT"/>
        </w:rPr>
        <w:tab/>
        <w:t>Tadalafil 2.5/5/10/20 mg Film-coated Tablets</w:t>
      </w:r>
    </w:p>
    <w:p w14:paraId="7874C8C0"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Austrija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5/10/20 mg Filmtabletten</w:t>
      </w:r>
    </w:p>
    <w:p w14:paraId="33466D47"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Bulgarija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Акорд 2.5/5/10/20 мг филмирани таблетки</w:t>
      </w:r>
    </w:p>
    <w:p w14:paraId="2FDB1CA1"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Kipras</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5/20 mg Film-coated Tablets</w:t>
      </w:r>
    </w:p>
    <w:p w14:paraId="03E60C2E"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Čekija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5/20 mg potahované tablety</w:t>
      </w:r>
    </w:p>
    <w:p w14:paraId="2B6E0353"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Vokietija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5/20 mg Filmtabletten</w:t>
      </w:r>
    </w:p>
    <w:p w14:paraId="36824CFD"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Danija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w:t>
      </w:r>
    </w:p>
    <w:p w14:paraId="3FD0447A"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Estija </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w:t>
      </w:r>
    </w:p>
    <w:p w14:paraId="33DFC97F" w14:textId="3C57FA7E" w:rsidR="008C4948" w:rsidRPr="00CD6C5C" w:rsidRDefault="008C4948" w:rsidP="008C4948">
      <w:pPr>
        <w:tabs>
          <w:tab w:val="left" w:pos="1620"/>
        </w:tabs>
        <w:spacing w:after="0" w:line="240" w:lineRule="auto"/>
        <w:ind w:left="2880" w:hanging="288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 xml:space="preserve">Suomija </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2.5/5/10/20 mg tabletti kalvopäällysteinen/filmdragerad tablet</w:t>
      </w:r>
    </w:p>
    <w:p w14:paraId="2B41EA6D"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Italija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w:t>
      </w:r>
    </w:p>
    <w:p w14:paraId="1ACB108C"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Airija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5/10/20 mg Film-coated Tablets</w:t>
      </w:r>
    </w:p>
    <w:p w14:paraId="7B468021"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Lietuva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5/10/20 mg plėvele dengtos tabletės</w:t>
      </w:r>
    </w:p>
    <w:p w14:paraId="5AAE77CF"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Latvija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20 mg apvalkotās tabletes</w:t>
      </w:r>
    </w:p>
    <w:p w14:paraId="723729EC"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Nyderlandai</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5/10/20 mg, filmomhulde tabletten</w:t>
      </w:r>
    </w:p>
    <w:p w14:paraId="495027E3"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Norvegija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w:t>
      </w:r>
    </w:p>
    <w:p w14:paraId="231711B3"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Lenkija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w:t>
      </w:r>
    </w:p>
    <w:p w14:paraId="470EB886"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Švedija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2.5/5/10/20 mg filmdragerad tablet</w:t>
      </w:r>
    </w:p>
    <w:p w14:paraId="1AC9C4DF"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Slovakija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2,5 mg/ 5 mg/ 10 mg/ 20 mg filmom</w:t>
      </w:r>
    </w:p>
    <w:p w14:paraId="499270D5" w14:textId="77777777" w:rsidR="008C4948" w:rsidRPr="00CD6C5C" w:rsidRDefault="008C4948" w:rsidP="008C4948">
      <w:pPr>
        <w:spacing w:after="0" w:line="240" w:lineRule="auto"/>
        <w:ind w:left="2160" w:firstLine="72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obalené tablety</w:t>
      </w:r>
    </w:p>
    <w:p w14:paraId="11FF82B5"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lastRenderedPageBreak/>
        <w:t>Prancūzija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t>TADALAFIL ACCORD 2,5 mg, comprimé pelliculé</w:t>
      </w:r>
    </w:p>
    <w:p w14:paraId="12461FBD" w14:textId="77777777" w:rsidR="008C4948" w:rsidRPr="00CD6C5C" w:rsidRDefault="008C4948" w:rsidP="008C4948">
      <w:pPr>
        <w:spacing w:after="0" w:line="240" w:lineRule="auto"/>
        <w:ind w:left="288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TADALAFIL ACCORD 5 mg, comprimé pelliculé</w:t>
      </w:r>
    </w:p>
    <w:p w14:paraId="273C622A" w14:textId="77777777" w:rsidR="008C4948" w:rsidRPr="00CD6C5C" w:rsidRDefault="008C4948" w:rsidP="008C4948">
      <w:pPr>
        <w:spacing w:after="0" w:line="240" w:lineRule="auto"/>
        <w:ind w:left="288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TADALAFIL ACCORD 10 mg, comprimé pelliculé</w:t>
      </w:r>
    </w:p>
    <w:p w14:paraId="528EAA31" w14:textId="77777777" w:rsidR="008C4948" w:rsidRPr="00CD6C5C" w:rsidRDefault="008C4948" w:rsidP="008C4948">
      <w:pPr>
        <w:spacing w:after="0" w:line="240" w:lineRule="auto"/>
        <w:ind w:left="2880"/>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TADALAFIL ACCORD 20 mg, comprimé pelliculé</w:t>
      </w:r>
    </w:p>
    <w:p w14:paraId="4623F7D6"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Rumunija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hAnsi="Times New Roman" w:cs="Times New Roman"/>
        </w:rPr>
        <w:t>Tadalafil Accord 2.5/5/10/20 mg comprimate filmate</w:t>
      </w:r>
    </w:p>
    <w:p w14:paraId="6CE7A501"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Slovėnija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hAnsi="Times New Roman" w:cs="Times New Roman"/>
        </w:rPr>
        <w:t>Tadalafil Accord 2.5/5/10/20 mg filmsko obložene tablete</w:t>
      </w:r>
    </w:p>
    <w:p w14:paraId="0DB21685" w14:textId="77777777" w:rsidR="008C4948" w:rsidRPr="00CD6C5C" w:rsidRDefault="008C4948" w:rsidP="008C4948">
      <w:pPr>
        <w:spacing w:after="0" w:line="240" w:lineRule="auto"/>
        <w:rPr>
          <w:rFonts w:ascii="Times New Roman" w:eastAsia="Times New Roman" w:hAnsi="Times New Roman" w:cs="Times New Roman"/>
          <w:lang w:eastAsia="lt-LT"/>
        </w:rPr>
      </w:pPr>
      <w:r w:rsidRPr="00CD6C5C">
        <w:rPr>
          <w:rFonts w:ascii="Times New Roman" w:eastAsia="Times New Roman" w:hAnsi="Times New Roman" w:cs="Times New Roman"/>
          <w:lang w:eastAsia="lt-LT"/>
        </w:rPr>
        <w:t>Vengrija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hAnsi="Times New Roman" w:cs="Times New Roman"/>
        </w:rPr>
        <w:t>Tadalafil Accord 20 mg filmtabletta</w:t>
      </w:r>
    </w:p>
    <w:p w14:paraId="0416A93D" w14:textId="77777777" w:rsidR="008C4948" w:rsidRPr="00CD6C5C" w:rsidRDefault="008C4948" w:rsidP="008C4948">
      <w:pPr>
        <w:spacing w:after="0" w:line="240" w:lineRule="auto"/>
        <w:rPr>
          <w:rFonts w:ascii="Times New Roman" w:hAnsi="Times New Roman" w:cs="Times New Roman"/>
        </w:rPr>
      </w:pPr>
      <w:r w:rsidRPr="00CD6C5C">
        <w:rPr>
          <w:rFonts w:ascii="Times New Roman" w:eastAsia="Times New Roman" w:hAnsi="Times New Roman" w:cs="Times New Roman"/>
          <w:lang w:eastAsia="lt-LT"/>
        </w:rPr>
        <w:t>Ispanija</w:t>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eastAsia="Times New Roman" w:hAnsi="Times New Roman" w:cs="Times New Roman"/>
          <w:lang w:eastAsia="lt-LT"/>
        </w:rPr>
        <w:tab/>
      </w:r>
      <w:r w:rsidRPr="00CD6C5C">
        <w:rPr>
          <w:rFonts w:ascii="Times New Roman" w:hAnsi="Times New Roman" w:cs="Times New Roman"/>
        </w:rPr>
        <w:t>Tadalafil Accord 2.5/5/10/20 mg comprimidos recubiertos</w:t>
      </w:r>
    </w:p>
    <w:p w14:paraId="7467301F" w14:textId="77777777" w:rsidR="008C4948" w:rsidRPr="00CD6C5C" w:rsidRDefault="008C4948" w:rsidP="008C4948">
      <w:pPr>
        <w:spacing w:after="0" w:line="240" w:lineRule="auto"/>
        <w:ind w:left="2160" w:firstLine="720"/>
        <w:rPr>
          <w:rFonts w:ascii="Times New Roman" w:eastAsia="Times New Roman" w:hAnsi="Times New Roman" w:cs="Times New Roman"/>
          <w:lang w:eastAsia="lt-LT"/>
        </w:rPr>
      </w:pPr>
      <w:r w:rsidRPr="00CD6C5C">
        <w:rPr>
          <w:rFonts w:ascii="Times New Roman" w:hAnsi="Times New Roman" w:cs="Times New Roman"/>
        </w:rPr>
        <w:t>con película EFG</w:t>
      </w:r>
    </w:p>
    <w:p w14:paraId="35AE007C"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p>
    <w:p w14:paraId="6F556C30" w14:textId="77777777"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b/>
          <w:lang w:eastAsia="lt-LT"/>
        </w:rPr>
      </w:pPr>
    </w:p>
    <w:p w14:paraId="3B2450CB" w14:textId="16318D8A" w:rsidR="008C4948" w:rsidRPr="00CD6C5C" w:rsidRDefault="008C4948" w:rsidP="008C4948">
      <w:pPr>
        <w:numPr>
          <w:ilvl w:val="12"/>
          <w:numId w:val="0"/>
        </w:numPr>
        <w:spacing w:after="0" w:line="240" w:lineRule="auto"/>
        <w:ind w:right="-2"/>
        <w:outlineLvl w:val="0"/>
        <w:rPr>
          <w:rFonts w:ascii="Times New Roman" w:eastAsia="Times New Roman" w:hAnsi="Times New Roman" w:cs="Times New Roman"/>
          <w:lang w:eastAsia="lt-LT"/>
        </w:rPr>
      </w:pPr>
      <w:r w:rsidRPr="00CD6C5C">
        <w:rPr>
          <w:rFonts w:ascii="Times New Roman" w:hAnsi="Times New Roman" w:cs="Times New Roman"/>
          <w:b/>
        </w:rPr>
        <w:t>Šis pakuotės lapelis paskutinį kartą peržiūrėtas</w:t>
      </w:r>
      <w:r w:rsidR="00C95D2B">
        <w:rPr>
          <w:rFonts w:ascii="Times New Roman" w:hAnsi="Times New Roman" w:cs="Times New Roman"/>
          <w:b/>
        </w:rPr>
        <w:t xml:space="preserve"> 2024</w:t>
      </w:r>
      <w:r w:rsidR="00C30127">
        <w:rPr>
          <w:rFonts w:ascii="Times New Roman" w:hAnsi="Times New Roman" w:cs="Times New Roman"/>
          <w:b/>
        </w:rPr>
        <w:t>-12-05</w:t>
      </w:r>
      <w:r w:rsidR="008670E9" w:rsidRPr="00CD6C5C">
        <w:rPr>
          <w:rFonts w:ascii="Times New Roman" w:hAnsi="Times New Roman" w:cs="Times New Roman"/>
          <w:b/>
        </w:rPr>
        <w:t>.</w:t>
      </w:r>
    </w:p>
    <w:p w14:paraId="7B3C5030"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53DD367A" w14:textId="77777777" w:rsidR="008C4948" w:rsidRPr="00CD6C5C" w:rsidRDefault="008C4948" w:rsidP="008C4948">
      <w:pPr>
        <w:numPr>
          <w:ilvl w:val="12"/>
          <w:numId w:val="0"/>
        </w:numPr>
        <w:spacing w:after="0" w:line="240" w:lineRule="auto"/>
        <w:ind w:right="-2"/>
        <w:rPr>
          <w:rFonts w:ascii="Times New Roman" w:eastAsia="Times New Roman" w:hAnsi="Times New Roman" w:cs="Times New Roman"/>
          <w:lang w:eastAsia="lt-LT"/>
        </w:rPr>
      </w:pPr>
    </w:p>
    <w:p w14:paraId="687FB5AB" w14:textId="77777777" w:rsidR="008C4948" w:rsidRPr="00CD6C5C" w:rsidRDefault="008C4948" w:rsidP="008C4948">
      <w:pPr>
        <w:numPr>
          <w:ilvl w:val="12"/>
          <w:numId w:val="0"/>
        </w:numPr>
        <w:tabs>
          <w:tab w:val="left" w:pos="567"/>
        </w:tabs>
        <w:spacing w:after="0" w:line="240" w:lineRule="auto"/>
        <w:ind w:right="-2"/>
        <w:rPr>
          <w:rFonts w:ascii="Times New Roman" w:eastAsia="Times New Roman" w:hAnsi="Times New Roman" w:cs="Times New Roman"/>
          <w:snapToGrid w:val="0"/>
        </w:rPr>
      </w:pPr>
      <w:r w:rsidRPr="00CD6C5C">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CD6C5C">
        <w:rPr>
          <w:rFonts w:ascii="Times New Roman" w:eastAsia="Times New Roman" w:hAnsi="Times New Roman" w:cs="Times New Roman"/>
          <w:i/>
          <w:snapToGrid w:val="0"/>
        </w:rPr>
        <w:t xml:space="preserve"> </w:t>
      </w:r>
      <w:hyperlink r:id="rId13" w:history="1">
        <w:r w:rsidRPr="00CD6C5C">
          <w:rPr>
            <w:rStyle w:val="Hipersaitas"/>
            <w:rFonts w:ascii="Times New Roman" w:eastAsia="SimSun" w:hAnsi="Times New Roman" w:cs="Times New Roman"/>
            <w:snapToGrid w:val="0"/>
          </w:rPr>
          <w:t>http://www.vvkt.lt/</w:t>
        </w:r>
      </w:hyperlink>
      <w:r w:rsidRPr="00CD6C5C">
        <w:rPr>
          <w:rFonts w:ascii="Times New Roman" w:eastAsia="Times New Roman" w:hAnsi="Times New Roman" w:cs="Times New Roman"/>
          <w:snapToGrid w:val="0"/>
        </w:rPr>
        <w:t>.</w:t>
      </w:r>
    </w:p>
    <w:p w14:paraId="066948AD" w14:textId="77777777" w:rsidR="008C4948" w:rsidRPr="00CD6C5C" w:rsidRDefault="008C4948" w:rsidP="008C4948">
      <w:pPr>
        <w:rPr>
          <w:rFonts w:ascii="Times New Roman" w:hAnsi="Times New Roman" w:cs="Times New Roman"/>
        </w:rPr>
      </w:pPr>
    </w:p>
    <w:p w14:paraId="1015C960" w14:textId="77777777" w:rsidR="008C4948" w:rsidRPr="00CD6C5C" w:rsidRDefault="008C4948" w:rsidP="008C4948">
      <w:pPr>
        <w:rPr>
          <w:rFonts w:ascii="Times New Roman" w:hAnsi="Times New Roman" w:cs="Times New Roman"/>
        </w:rPr>
      </w:pPr>
    </w:p>
    <w:p w14:paraId="2EDB2804" w14:textId="77777777" w:rsidR="008C4948" w:rsidRPr="00CD6C5C" w:rsidRDefault="008C4948" w:rsidP="008C4948">
      <w:pPr>
        <w:rPr>
          <w:rFonts w:ascii="Times New Roman" w:hAnsi="Times New Roman" w:cs="Times New Roman"/>
        </w:rPr>
      </w:pPr>
    </w:p>
    <w:p w14:paraId="289AE783" w14:textId="77777777" w:rsidR="008A123D" w:rsidRPr="00CD6C5C" w:rsidRDefault="008A123D">
      <w:pPr>
        <w:rPr>
          <w:rFonts w:ascii="Times New Roman" w:hAnsi="Times New Roman"/>
        </w:rPr>
      </w:pPr>
    </w:p>
    <w:sectPr w:rsidR="008A123D" w:rsidRPr="00CD6C5C" w:rsidSect="009579A5">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00"/>
    <w:family w:val="auto"/>
    <w:notTrueType/>
    <w:pitch w:val="default"/>
    <w:sig w:usb0="00000083" w:usb1="08070000" w:usb2="00000010" w:usb3="00000000" w:csb0="00020009"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charset w:val="00"/>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ymbolMT">
    <w:altName w:val="MS Gothic"/>
    <w:panose1 w:val="00000000000000000000"/>
    <w:charset w:val="00"/>
    <w:family w:val="auto"/>
    <w:notTrueType/>
    <w:pitch w:val="default"/>
    <w:sig w:usb0="00000003" w:usb1="00000000" w:usb2="00000000" w:usb3="00000000" w:csb0="00000001" w:csb1="00000000"/>
  </w:font>
  <w:font w:name="TimesNewRomanPS-BoldMT">
    <w:altName w:val="Times New Roman"/>
    <w:charset w:val="00"/>
    <w:family w:val="auto"/>
    <w:pitch w:val="default"/>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77E2"/>
    <w:multiLevelType w:val="hybridMultilevel"/>
    <w:tmpl w:val="DB284F4A"/>
    <w:lvl w:ilvl="0" w:tplc="FFFFFFFF">
      <w:start w:val="1"/>
      <w:numFmt w:val="bullet"/>
      <w:lvlText w:val="-"/>
      <w:lvlJc w:val="left"/>
      <w:pPr>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D3C6570"/>
    <w:multiLevelType w:val="hybridMultilevel"/>
    <w:tmpl w:val="8F16B53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 w15:restartNumberingAfterBreak="0">
    <w:nsid w:val="17C878F4"/>
    <w:multiLevelType w:val="hybridMultilevel"/>
    <w:tmpl w:val="69C29360"/>
    <w:lvl w:ilvl="0" w:tplc="16A6409A">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EC52B0D"/>
    <w:multiLevelType w:val="hybridMultilevel"/>
    <w:tmpl w:val="B99E5028"/>
    <w:lvl w:ilvl="0" w:tplc="FC5CD7A8">
      <w:start w:val="1"/>
      <w:numFmt w:val="decimal"/>
      <w:lvlText w:val="%1."/>
      <w:lvlJc w:val="left"/>
      <w:pPr>
        <w:tabs>
          <w:tab w:val="num" w:pos="570"/>
        </w:tabs>
        <w:ind w:left="57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F984DF4"/>
    <w:multiLevelType w:val="hybridMultilevel"/>
    <w:tmpl w:val="96CA3F4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51C6489"/>
    <w:multiLevelType w:val="hybridMultilevel"/>
    <w:tmpl w:val="C83C31BC"/>
    <w:lvl w:ilvl="0" w:tplc="3EA6E8A6">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C122D0"/>
    <w:multiLevelType w:val="hybridMultilevel"/>
    <w:tmpl w:val="8200B48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2E541609"/>
    <w:multiLevelType w:val="hybridMultilevel"/>
    <w:tmpl w:val="AC86276A"/>
    <w:lvl w:ilvl="0" w:tplc="FFFFFFFF">
      <w:start w:val="1"/>
      <w:numFmt w:val="bullet"/>
      <w:lvlText w:val="-"/>
      <w:lvlJc w:val="left"/>
      <w:pPr>
        <w:tabs>
          <w:tab w:val="num" w:pos="570"/>
        </w:tabs>
        <w:ind w:left="570" w:hanging="57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35943DA2"/>
    <w:multiLevelType w:val="hybridMultilevel"/>
    <w:tmpl w:val="4CBA0BC6"/>
    <w:lvl w:ilvl="0" w:tplc="FFFFFFFF">
      <w:start w:val="1"/>
      <w:numFmt w:val="bullet"/>
      <w:lvlText w:val="-"/>
      <w:lvlJc w:val="left"/>
      <w:pPr>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5C3413E"/>
    <w:multiLevelType w:val="hybridMultilevel"/>
    <w:tmpl w:val="6CD6A6B6"/>
    <w:lvl w:ilvl="0" w:tplc="16A6409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6F52656"/>
    <w:multiLevelType w:val="hybridMultilevel"/>
    <w:tmpl w:val="C83C31BC"/>
    <w:lvl w:ilvl="0" w:tplc="3EA6E8A6">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EF86BC5"/>
    <w:multiLevelType w:val="hybridMultilevel"/>
    <w:tmpl w:val="C83C31BC"/>
    <w:lvl w:ilvl="0" w:tplc="3EA6E8A6">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D587D2E"/>
    <w:multiLevelType w:val="hybridMultilevel"/>
    <w:tmpl w:val="33FCCFEC"/>
    <w:lvl w:ilvl="0" w:tplc="FFFFFFFF">
      <w:start w:val="1"/>
      <w:numFmt w:val="bullet"/>
      <w:lvlText w:val="-"/>
      <w:lvlJc w:val="left"/>
      <w:pPr>
        <w:tabs>
          <w:tab w:val="num" w:pos="570"/>
        </w:tabs>
        <w:ind w:left="57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6D43A72"/>
    <w:multiLevelType w:val="hybridMultilevel"/>
    <w:tmpl w:val="B790AE58"/>
    <w:lvl w:ilvl="0" w:tplc="FFFFFFFF">
      <w:start w:val="1"/>
      <w:numFmt w:val="bullet"/>
      <w:lvlText w:val="-"/>
      <w:lvlJc w:val="left"/>
      <w:pPr>
        <w:tabs>
          <w:tab w:val="num" w:pos="570"/>
        </w:tabs>
        <w:ind w:left="57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68247730"/>
    <w:multiLevelType w:val="singleLevel"/>
    <w:tmpl w:val="6096C72A"/>
    <w:lvl w:ilvl="0">
      <w:start w:val="5"/>
      <w:numFmt w:val="decimal"/>
      <w:lvlText w:val="%1."/>
      <w:lvlJc w:val="left"/>
      <w:pPr>
        <w:tabs>
          <w:tab w:val="num" w:pos="570"/>
        </w:tabs>
        <w:ind w:left="570" w:hanging="570"/>
      </w:pPr>
    </w:lvl>
  </w:abstractNum>
  <w:abstractNum w:abstractNumId="15" w15:restartNumberingAfterBreak="0">
    <w:nsid w:val="6A0227D2"/>
    <w:multiLevelType w:val="hybridMultilevel"/>
    <w:tmpl w:val="B99E5028"/>
    <w:lvl w:ilvl="0" w:tplc="FC5CD7A8">
      <w:start w:val="1"/>
      <w:numFmt w:val="decimal"/>
      <w:lvlText w:val="%1."/>
      <w:lvlJc w:val="left"/>
      <w:pPr>
        <w:tabs>
          <w:tab w:val="num" w:pos="570"/>
        </w:tabs>
        <w:ind w:left="57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1935214"/>
    <w:multiLevelType w:val="hybridMultilevel"/>
    <w:tmpl w:val="3336174A"/>
    <w:lvl w:ilvl="0" w:tplc="FFFFFFFF">
      <w:start w:val="1"/>
      <w:numFmt w:val="bullet"/>
      <w:lvlText w:val="-"/>
      <w:lvlJc w:val="left"/>
      <w:pPr>
        <w:ind w:left="720" w:hanging="360"/>
      </w:p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7" w15:restartNumberingAfterBreak="0">
    <w:nsid w:val="72B43B76"/>
    <w:multiLevelType w:val="hybridMultilevel"/>
    <w:tmpl w:val="B99E5028"/>
    <w:lvl w:ilvl="0" w:tplc="FC5CD7A8">
      <w:start w:val="1"/>
      <w:numFmt w:val="decimal"/>
      <w:lvlText w:val="%1."/>
      <w:lvlJc w:val="left"/>
      <w:pPr>
        <w:tabs>
          <w:tab w:val="num" w:pos="570"/>
        </w:tabs>
        <w:ind w:left="57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5"/>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3"/>
  </w:num>
  <w:num w:numId="19">
    <w:abstractNumId w:val="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351"/>
    <w:rsid w:val="00012F37"/>
    <w:rsid w:val="00013A68"/>
    <w:rsid w:val="0002594F"/>
    <w:rsid w:val="00056812"/>
    <w:rsid w:val="00057297"/>
    <w:rsid w:val="00061E05"/>
    <w:rsid w:val="0009125F"/>
    <w:rsid w:val="00133AB8"/>
    <w:rsid w:val="00136244"/>
    <w:rsid w:val="0015590A"/>
    <w:rsid w:val="00160484"/>
    <w:rsid w:val="00170ECE"/>
    <w:rsid w:val="00176B20"/>
    <w:rsid w:val="00177BCE"/>
    <w:rsid w:val="00183CA9"/>
    <w:rsid w:val="00183F75"/>
    <w:rsid w:val="001B0D55"/>
    <w:rsid w:val="001B1151"/>
    <w:rsid w:val="001B4529"/>
    <w:rsid w:val="001C4301"/>
    <w:rsid w:val="001F4098"/>
    <w:rsid w:val="00244272"/>
    <w:rsid w:val="002461DD"/>
    <w:rsid w:val="00264B15"/>
    <w:rsid w:val="0028007C"/>
    <w:rsid w:val="002E43C7"/>
    <w:rsid w:val="00320183"/>
    <w:rsid w:val="003468F3"/>
    <w:rsid w:val="0035029B"/>
    <w:rsid w:val="00391DAD"/>
    <w:rsid w:val="003A4363"/>
    <w:rsid w:val="003C0D8A"/>
    <w:rsid w:val="003C2958"/>
    <w:rsid w:val="003C5663"/>
    <w:rsid w:val="003C5D08"/>
    <w:rsid w:val="003D1F4F"/>
    <w:rsid w:val="003F35B3"/>
    <w:rsid w:val="004048A7"/>
    <w:rsid w:val="00433549"/>
    <w:rsid w:val="00443EC5"/>
    <w:rsid w:val="0044637A"/>
    <w:rsid w:val="00457581"/>
    <w:rsid w:val="00470509"/>
    <w:rsid w:val="004712C0"/>
    <w:rsid w:val="00474005"/>
    <w:rsid w:val="00475063"/>
    <w:rsid w:val="004A03EC"/>
    <w:rsid w:val="004B15D0"/>
    <w:rsid w:val="004D2908"/>
    <w:rsid w:val="004F3F68"/>
    <w:rsid w:val="0050602E"/>
    <w:rsid w:val="00531B1B"/>
    <w:rsid w:val="00531D34"/>
    <w:rsid w:val="005339ED"/>
    <w:rsid w:val="005373F1"/>
    <w:rsid w:val="00541B3F"/>
    <w:rsid w:val="005C0F1C"/>
    <w:rsid w:val="005E2B72"/>
    <w:rsid w:val="005E3595"/>
    <w:rsid w:val="005F03A9"/>
    <w:rsid w:val="00614882"/>
    <w:rsid w:val="00616D2B"/>
    <w:rsid w:val="00626627"/>
    <w:rsid w:val="00627886"/>
    <w:rsid w:val="00634F4E"/>
    <w:rsid w:val="006458EE"/>
    <w:rsid w:val="0067086B"/>
    <w:rsid w:val="0068582E"/>
    <w:rsid w:val="00696FEE"/>
    <w:rsid w:val="006B0A88"/>
    <w:rsid w:val="006B0FA3"/>
    <w:rsid w:val="006B14A9"/>
    <w:rsid w:val="006D586E"/>
    <w:rsid w:val="006D59C4"/>
    <w:rsid w:val="006D727D"/>
    <w:rsid w:val="0070061D"/>
    <w:rsid w:val="00700C44"/>
    <w:rsid w:val="00704578"/>
    <w:rsid w:val="00711737"/>
    <w:rsid w:val="00712A8A"/>
    <w:rsid w:val="00731C65"/>
    <w:rsid w:val="007323AB"/>
    <w:rsid w:val="0073657D"/>
    <w:rsid w:val="00746A3E"/>
    <w:rsid w:val="00771646"/>
    <w:rsid w:val="00771890"/>
    <w:rsid w:val="00771EAC"/>
    <w:rsid w:val="007A6BB2"/>
    <w:rsid w:val="007D3ACB"/>
    <w:rsid w:val="007F2495"/>
    <w:rsid w:val="00835133"/>
    <w:rsid w:val="0084728D"/>
    <w:rsid w:val="00860446"/>
    <w:rsid w:val="008670E9"/>
    <w:rsid w:val="00883685"/>
    <w:rsid w:val="008A123D"/>
    <w:rsid w:val="008A557B"/>
    <w:rsid w:val="008A6596"/>
    <w:rsid w:val="008B6F4C"/>
    <w:rsid w:val="008C4948"/>
    <w:rsid w:val="008E30EC"/>
    <w:rsid w:val="008F2C4B"/>
    <w:rsid w:val="008F7E9E"/>
    <w:rsid w:val="0091366A"/>
    <w:rsid w:val="009458C9"/>
    <w:rsid w:val="009579A5"/>
    <w:rsid w:val="00986D32"/>
    <w:rsid w:val="0099070E"/>
    <w:rsid w:val="009977EE"/>
    <w:rsid w:val="009C4D3A"/>
    <w:rsid w:val="009D4C1E"/>
    <w:rsid w:val="009D53E3"/>
    <w:rsid w:val="009E6195"/>
    <w:rsid w:val="009F10EE"/>
    <w:rsid w:val="009F23A3"/>
    <w:rsid w:val="009F47FA"/>
    <w:rsid w:val="00A22F83"/>
    <w:rsid w:val="00A26CE8"/>
    <w:rsid w:val="00A57FA0"/>
    <w:rsid w:val="00A721E5"/>
    <w:rsid w:val="00AA21D2"/>
    <w:rsid w:val="00AA3D05"/>
    <w:rsid w:val="00AB4521"/>
    <w:rsid w:val="00AC22CB"/>
    <w:rsid w:val="00AD355A"/>
    <w:rsid w:val="00B16E93"/>
    <w:rsid w:val="00B1791E"/>
    <w:rsid w:val="00B322CA"/>
    <w:rsid w:val="00B41153"/>
    <w:rsid w:val="00B52C65"/>
    <w:rsid w:val="00B65F27"/>
    <w:rsid w:val="00B9535F"/>
    <w:rsid w:val="00B9730A"/>
    <w:rsid w:val="00BA7026"/>
    <w:rsid w:val="00BB40D9"/>
    <w:rsid w:val="00BB47F8"/>
    <w:rsid w:val="00BB5AEA"/>
    <w:rsid w:val="00BC1ED0"/>
    <w:rsid w:val="00BD371D"/>
    <w:rsid w:val="00C1222C"/>
    <w:rsid w:val="00C12345"/>
    <w:rsid w:val="00C24C15"/>
    <w:rsid w:val="00C30127"/>
    <w:rsid w:val="00C4453E"/>
    <w:rsid w:val="00C63DF6"/>
    <w:rsid w:val="00C7358D"/>
    <w:rsid w:val="00C80646"/>
    <w:rsid w:val="00C821FB"/>
    <w:rsid w:val="00C95D2B"/>
    <w:rsid w:val="00C967AC"/>
    <w:rsid w:val="00CA5657"/>
    <w:rsid w:val="00CA6A83"/>
    <w:rsid w:val="00CC3B30"/>
    <w:rsid w:val="00CD6C5C"/>
    <w:rsid w:val="00CE69B7"/>
    <w:rsid w:val="00CF59FB"/>
    <w:rsid w:val="00D00678"/>
    <w:rsid w:val="00D2375C"/>
    <w:rsid w:val="00D37D87"/>
    <w:rsid w:val="00D94CF3"/>
    <w:rsid w:val="00D94E6C"/>
    <w:rsid w:val="00DB17E7"/>
    <w:rsid w:val="00DC7FDF"/>
    <w:rsid w:val="00DE06CC"/>
    <w:rsid w:val="00DE67D5"/>
    <w:rsid w:val="00DE6891"/>
    <w:rsid w:val="00DF3E63"/>
    <w:rsid w:val="00DF7351"/>
    <w:rsid w:val="00E14BCA"/>
    <w:rsid w:val="00E21B7D"/>
    <w:rsid w:val="00E50BD5"/>
    <w:rsid w:val="00E638B1"/>
    <w:rsid w:val="00E74685"/>
    <w:rsid w:val="00E822E1"/>
    <w:rsid w:val="00E92CBB"/>
    <w:rsid w:val="00EB3654"/>
    <w:rsid w:val="00ED46BF"/>
    <w:rsid w:val="00F022C9"/>
    <w:rsid w:val="00F039EA"/>
    <w:rsid w:val="00F25665"/>
    <w:rsid w:val="00F718BB"/>
    <w:rsid w:val="00F90C12"/>
    <w:rsid w:val="00F933FB"/>
    <w:rsid w:val="00FB0B9D"/>
    <w:rsid w:val="00FD3C9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BEB62"/>
  <w15:docId w15:val="{55D6537F-BE73-4664-B019-C15736A4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2908"/>
    <w:pPr>
      <w:spacing w:after="160" w:line="256" w:lineRule="auto"/>
    </w:pPr>
    <w:rPr>
      <w:lang w:val="lt-LT"/>
    </w:rPr>
  </w:style>
  <w:style w:type="paragraph" w:styleId="Antrat1">
    <w:name w:val="heading 1"/>
    <w:basedOn w:val="prastasis"/>
    <w:next w:val="prastasis"/>
    <w:link w:val="Antrat1Diagrama"/>
    <w:qFormat/>
    <w:rsid w:val="008C4948"/>
    <w:pPr>
      <w:keepNext/>
      <w:spacing w:before="240" w:after="60" w:line="240" w:lineRule="auto"/>
      <w:outlineLvl w:val="0"/>
    </w:pPr>
    <w:rPr>
      <w:rFonts w:ascii="Cambria" w:eastAsia="Times New Roman" w:hAnsi="Cambria" w:cs="Times New Roman"/>
      <w:b/>
      <w:bCs/>
      <w:kern w:val="32"/>
      <w:sz w:val="32"/>
      <w:szCs w:val="32"/>
      <w:lang w:eastAsia="lt-LT"/>
    </w:rPr>
  </w:style>
  <w:style w:type="paragraph" w:styleId="Antrat2">
    <w:name w:val="heading 2"/>
    <w:basedOn w:val="prastasis"/>
    <w:next w:val="prastasis"/>
    <w:link w:val="Antrat2Diagrama"/>
    <w:autoRedefine/>
    <w:semiHidden/>
    <w:unhideWhenUsed/>
    <w:qFormat/>
    <w:rsid w:val="008C4948"/>
    <w:pPr>
      <w:keepNext/>
      <w:tabs>
        <w:tab w:val="left" w:pos="540"/>
      </w:tabs>
      <w:spacing w:after="0" w:line="240" w:lineRule="auto"/>
      <w:jc w:val="center"/>
      <w:outlineLvl w:val="1"/>
    </w:pPr>
    <w:rPr>
      <w:rFonts w:ascii="Times New Roman" w:eastAsia="Times New Roman" w:hAnsi="Times New Roman" w:cs="Times New Roman"/>
      <w:b/>
    </w:rPr>
  </w:style>
  <w:style w:type="paragraph" w:styleId="Antrat3">
    <w:name w:val="heading 3"/>
    <w:basedOn w:val="prastasis"/>
    <w:next w:val="prastasis"/>
    <w:link w:val="Antrat3Diagrama"/>
    <w:semiHidden/>
    <w:unhideWhenUsed/>
    <w:qFormat/>
    <w:rsid w:val="008C4948"/>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uiPriority w:val="99"/>
    <w:semiHidden/>
    <w:unhideWhenUsed/>
    <w:qFormat/>
    <w:rsid w:val="008C4948"/>
    <w:pPr>
      <w:keepNext/>
      <w:spacing w:after="0" w:line="240" w:lineRule="auto"/>
      <w:jc w:val="both"/>
      <w:outlineLvl w:val="3"/>
    </w:pPr>
    <w:rPr>
      <w:rFonts w:ascii="Times New Roman" w:eastAsia="Times New Roman" w:hAnsi="Times New Roman" w:cs="Times New Roman"/>
      <w:szCs w:val="20"/>
      <w:u w:val="single"/>
      <w:lang w:eastAsia="lt-LT"/>
    </w:rPr>
  </w:style>
  <w:style w:type="paragraph" w:styleId="Antrat5">
    <w:name w:val="heading 5"/>
    <w:basedOn w:val="prastasis"/>
    <w:next w:val="prastasis"/>
    <w:link w:val="Antrat5Diagrama"/>
    <w:uiPriority w:val="99"/>
    <w:semiHidden/>
    <w:unhideWhenUsed/>
    <w:qFormat/>
    <w:rsid w:val="008C4948"/>
    <w:pPr>
      <w:spacing w:before="240" w:after="60" w:line="240" w:lineRule="auto"/>
      <w:outlineLvl w:val="4"/>
    </w:pPr>
    <w:rPr>
      <w:rFonts w:ascii="Times New Roman" w:eastAsia="Times New Roman" w:hAnsi="Times New Roman" w:cs="Times New Roman"/>
      <w:b/>
      <w:bCs/>
      <w:i/>
      <w:iCs/>
      <w:sz w:val="26"/>
      <w:szCs w:val="26"/>
      <w:lang w:eastAsia="lt-LT"/>
    </w:rPr>
  </w:style>
  <w:style w:type="paragraph" w:styleId="Antrat6">
    <w:name w:val="heading 6"/>
    <w:basedOn w:val="prastasis"/>
    <w:next w:val="prastasis"/>
    <w:link w:val="Antrat6Diagrama"/>
    <w:uiPriority w:val="99"/>
    <w:semiHidden/>
    <w:unhideWhenUsed/>
    <w:qFormat/>
    <w:rsid w:val="008C4948"/>
    <w:pPr>
      <w:spacing w:before="240" w:after="60" w:line="240" w:lineRule="auto"/>
      <w:outlineLvl w:val="5"/>
    </w:pPr>
    <w:rPr>
      <w:rFonts w:ascii="Times New Roman" w:eastAsia="Times New Roman" w:hAnsi="Times New Roman" w:cs="Times New Roman"/>
      <w:b/>
      <w:bCs/>
      <w:lang w:eastAsia="lt-LT"/>
    </w:rPr>
  </w:style>
  <w:style w:type="paragraph" w:styleId="Antrat7">
    <w:name w:val="heading 7"/>
    <w:basedOn w:val="prastasis"/>
    <w:next w:val="prastasis"/>
    <w:link w:val="Antrat7Diagrama"/>
    <w:uiPriority w:val="99"/>
    <w:semiHidden/>
    <w:unhideWhenUsed/>
    <w:qFormat/>
    <w:rsid w:val="008C4948"/>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Cs w:val="20"/>
      <w:lang w:val="cs-CZ"/>
    </w:rPr>
  </w:style>
  <w:style w:type="paragraph" w:styleId="Antrat8">
    <w:name w:val="heading 8"/>
    <w:basedOn w:val="prastasis"/>
    <w:next w:val="prastasis"/>
    <w:link w:val="Antrat8Diagrama"/>
    <w:uiPriority w:val="99"/>
    <w:semiHidden/>
    <w:unhideWhenUsed/>
    <w:qFormat/>
    <w:rsid w:val="008C4948"/>
    <w:pPr>
      <w:spacing w:before="240" w:after="60" w:line="240" w:lineRule="auto"/>
      <w:outlineLvl w:val="7"/>
    </w:pPr>
    <w:rPr>
      <w:rFonts w:ascii="Times New Roman" w:eastAsia="Times New Roman" w:hAnsi="Times New Roman" w:cs="Times New Roman"/>
      <w:i/>
      <w:iCs/>
      <w:sz w:val="24"/>
      <w:szCs w:val="24"/>
    </w:rPr>
  </w:style>
  <w:style w:type="paragraph" w:styleId="Antrat9">
    <w:name w:val="heading 9"/>
    <w:basedOn w:val="prastasis"/>
    <w:next w:val="prastasis"/>
    <w:link w:val="Antrat9Diagrama"/>
    <w:uiPriority w:val="99"/>
    <w:semiHidden/>
    <w:unhideWhenUsed/>
    <w:qFormat/>
    <w:rsid w:val="008C4948"/>
    <w:pPr>
      <w:keepNext/>
      <w:tabs>
        <w:tab w:val="left" w:pos="567"/>
      </w:tabs>
      <w:spacing w:after="0" w:line="260" w:lineRule="exact"/>
      <w:jc w:val="both"/>
      <w:outlineLvl w:val="8"/>
    </w:pPr>
    <w:rPr>
      <w:rFonts w:ascii="Times New Roman" w:eastAsia="Times New Roman" w:hAnsi="Times New Roman" w:cs="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sid w:val="009C4D3A"/>
    <w:rPr>
      <w:rFonts w:asciiTheme="majorHAnsi" w:eastAsiaTheme="majorEastAsia" w:hAnsiTheme="majorHAnsi" w:cstheme="majorBidi"/>
      <w:b/>
      <w:bCs/>
      <w:color w:val="365F91" w:themeColor="accent1" w:themeShade="BF"/>
      <w:sz w:val="28"/>
      <w:szCs w:val="28"/>
      <w:lang w:val="lt-LT"/>
    </w:rPr>
  </w:style>
  <w:style w:type="character" w:customStyle="1" w:styleId="Antrat2Diagrama">
    <w:name w:val="Antraštė 2 Diagrama"/>
    <w:basedOn w:val="Numatytasispastraiposriftas"/>
    <w:link w:val="Antrat2"/>
    <w:semiHidden/>
    <w:rsid w:val="008C4948"/>
    <w:rPr>
      <w:rFonts w:ascii="Times New Roman" w:eastAsia="Times New Roman" w:hAnsi="Times New Roman" w:cs="Times New Roman"/>
      <w:b/>
      <w:lang w:val="lt-LT"/>
    </w:rPr>
  </w:style>
  <w:style w:type="character" w:customStyle="1" w:styleId="Heading3Char">
    <w:name w:val="Heading 3 Char"/>
    <w:basedOn w:val="Numatytasispastraiposriftas"/>
    <w:semiHidden/>
    <w:rsid w:val="009C4D3A"/>
    <w:rPr>
      <w:rFonts w:asciiTheme="majorHAnsi" w:eastAsiaTheme="majorEastAsia" w:hAnsiTheme="majorHAnsi" w:cstheme="majorBidi"/>
      <w:b/>
      <w:bCs/>
      <w:color w:val="4F81BD" w:themeColor="accent1"/>
      <w:lang w:val="lt-LT"/>
    </w:rPr>
  </w:style>
  <w:style w:type="character" w:customStyle="1" w:styleId="Heading4Char">
    <w:name w:val="Heading 4 Char"/>
    <w:basedOn w:val="Numatytasispastraiposriftas"/>
    <w:uiPriority w:val="99"/>
    <w:semiHidden/>
    <w:rsid w:val="009C4D3A"/>
    <w:rPr>
      <w:rFonts w:asciiTheme="majorHAnsi" w:eastAsiaTheme="majorEastAsia" w:hAnsiTheme="majorHAnsi" w:cstheme="majorBidi"/>
      <w:b/>
      <w:bCs/>
      <w:i/>
      <w:iCs/>
      <w:color w:val="4F81BD" w:themeColor="accent1"/>
      <w:lang w:val="lt-LT"/>
    </w:rPr>
  </w:style>
  <w:style w:type="character" w:customStyle="1" w:styleId="Heading5Char">
    <w:name w:val="Heading 5 Char"/>
    <w:basedOn w:val="Numatytasispastraiposriftas"/>
    <w:uiPriority w:val="99"/>
    <w:semiHidden/>
    <w:rsid w:val="009C4D3A"/>
    <w:rPr>
      <w:rFonts w:asciiTheme="majorHAnsi" w:eastAsiaTheme="majorEastAsia" w:hAnsiTheme="majorHAnsi" w:cstheme="majorBidi"/>
      <w:color w:val="243F60" w:themeColor="accent1" w:themeShade="7F"/>
      <w:lang w:val="lt-LT"/>
    </w:rPr>
  </w:style>
  <w:style w:type="character" w:customStyle="1" w:styleId="Heading6Char">
    <w:name w:val="Heading 6 Char"/>
    <w:basedOn w:val="Numatytasispastraiposriftas"/>
    <w:uiPriority w:val="99"/>
    <w:semiHidden/>
    <w:rsid w:val="009C4D3A"/>
    <w:rPr>
      <w:rFonts w:asciiTheme="majorHAnsi" w:eastAsiaTheme="majorEastAsia" w:hAnsiTheme="majorHAnsi" w:cstheme="majorBidi"/>
      <w:i/>
      <w:iCs/>
      <w:color w:val="243F60" w:themeColor="accent1" w:themeShade="7F"/>
      <w:lang w:val="lt-LT"/>
    </w:rPr>
  </w:style>
  <w:style w:type="character" w:customStyle="1" w:styleId="Heading7Char">
    <w:name w:val="Heading 7 Char"/>
    <w:basedOn w:val="Numatytasispastraiposriftas"/>
    <w:uiPriority w:val="99"/>
    <w:semiHidden/>
    <w:rsid w:val="009C4D3A"/>
    <w:rPr>
      <w:rFonts w:asciiTheme="majorHAnsi" w:eastAsiaTheme="majorEastAsia" w:hAnsiTheme="majorHAnsi" w:cstheme="majorBidi"/>
      <w:i/>
      <w:iCs/>
      <w:color w:val="404040" w:themeColor="text1" w:themeTint="BF"/>
      <w:lang w:val="lt-LT"/>
    </w:rPr>
  </w:style>
  <w:style w:type="character" w:customStyle="1" w:styleId="Heading8Char">
    <w:name w:val="Heading 8 Char"/>
    <w:basedOn w:val="Numatytasispastraiposriftas"/>
    <w:uiPriority w:val="99"/>
    <w:semiHidden/>
    <w:rsid w:val="009C4D3A"/>
    <w:rPr>
      <w:rFonts w:asciiTheme="majorHAnsi" w:eastAsiaTheme="majorEastAsia" w:hAnsiTheme="majorHAnsi" w:cstheme="majorBidi"/>
      <w:color w:val="404040" w:themeColor="text1" w:themeTint="BF"/>
      <w:sz w:val="20"/>
      <w:szCs w:val="20"/>
      <w:lang w:val="lt-LT"/>
    </w:rPr>
  </w:style>
  <w:style w:type="character" w:customStyle="1" w:styleId="Heading9Char">
    <w:name w:val="Heading 9 Char"/>
    <w:basedOn w:val="Numatytasispastraiposriftas"/>
    <w:uiPriority w:val="99"/>
    <w:semiHidden/>
    <w:rsid w:val="009C4D3A"/>
    <w:rPr>
      <w:rFonts w:asciiTheme="majorHAnsi" w:eastAsiaTheme="majorEastAsia" w:hAnsiTheme="majorHAnsi" w:cstheme="majorBidi"/>
      <w:i/>
      <w:iCs/>
      <w:color w:val="404040" w:themeColor="text1" w:themeTint="BF"/>
      <w:sz w:val="20"/>
      <w:szCs w:val="20"/>
      <w:lang w:val="lt-LT"/>
    </w:rPr>
  </w:style>
  <w:style w:type="character" w:styleId="Hipersaitas">
    <w:name w:val="Hyperlink"/>
    <w:semiHidden/>
    <w:unhideWhenUsed/>
    <w:rsid w:val="008C4948"/>
    <w:rPr>
      <w:color w:val="0000FF"/>
      <w:u w:val="single"/>
    </w:rPr>
  </w:style>
  <w:style w:type="character" w:styleId="Perirtashipersaitas">
    <w:name w:val="FollowedHyperlink"/>
    <w:uiPriority w:val="99"/>
    <w:semiHidden/>
    <w:unhideWhenUsed/>
    <w:rsid w:val="008C4948"/>
    <w:rPr>
      <w:color w:val="800080"/>
      <w:u w:val="single"/>
    </w:rPr>
  </w:style>
  <w:style w:type="paragraph" w:styleId="prastasiniatinklio">
    <w:name w:val="Normal (Web)"/>
    <w:basedOn w:val="prastasis"/>
    <w:semiHidden/>
    <w:unhideWhenUsed/>
    <w:rsid w:val="008C4948"/>
    <w:pPr>
      <w:spacing w:before="100" w:after="100" w:line="240" w:lineRule="auto"/>
    </w:pPr>
    <w:rPr>
      <w:rFonts w:ascii="Times New Roman" w:eastAsia="Times New Roman" w:hAnsi="Times New Roman" w:cs="Times New Roman"/>
      <w:szCs w:val="20"/>
      <w:lang w:val="en-US" w:eastAsia="lt-LT"/>
    </w:rPr>
  </w:style>
  <w:style w:type="paragraph" w:styleId="Komentarotekstas">
    <w:name w:val="annotation text"/>
    <w:basedOn w:val="prastasis"/>
    <w:link w:val="KomentarotekstasDiagrama"/>
    <w:semiHidden/>
    <w:unhideWhenUsed/>
    <w:rsid w:val="008C4948"/>
    <w:pPr>
      <w:spacing w:after="0" w:line="240" w:lineRule="auto"/>
    </w:pPr>
    <w:rPr>
      <w:rFonts w:ascii="Times New Roman" w:eastAsia="Times New Roman" w:hAnsi="Times New Roman" w:cs="Times New Roman"/>
      <w:b/>
      <w:bCs/>
      <w:sz w:val="20"/>
      <w:szCs w:val="20"/>
    </w:rPr>
  </w:style>
  <w:style w:type="character" w:customStyle="1" w:styleId="CommentTextChar">
    <w:name w:val="Comment Text Char"/>
    <w:basedOn w:val="Numatytasispastraiposriftas"/>
    <w:semiHidden/>
    <w:rsid w:val="008C4948"/>
    <w:rPr>
      <w:sz w:val="20"/>
      <w:szCs w:val="20"/>
      <w:lang w:val="lt-LT"/>
    </w:rPr>
  </w:style>
  <w:style w:type="paragraph" w:styleId="Antrats">
    <w:name w:val="header"/>
    <w:basedOn w:val="prastasis"/>
    <w:link w:val="AntratsDiagrama"/>
    <w:unhideWhenUsed/>
    <w:rsid w:val="008C494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Numatytasispastraiposriftas"/>
    <w:semiHidden/>
    <w:rsid w:val="008C4948"/>
    <w:rPr>
      <w:lang w:val="lt-LT"/>
    </w:rPr>
  </w:style>
  <w:style w:type="paragraph" w:styleId="Porat">
    <w:name w:val="footer"/>
    <w:basedOn w:val="prastasis"/>
    <w:link w:val="PoratDiagrama"/>
    <w:unhideWhenUsed/>
    <w:rsid w:val="008C4948"/>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FooterChar">
    <w:name w:val="Footer Char"/>
    <w:basedOn w:val="Numatytasispastraiposriftas"/>
    <w:semiHidden/>
    <w:rsid w:val="008C4948"/>
    <w:rPr>
      <w:lang w:val="lt-LT"/>
    </w:rPr>
  </w:style>
  <w:style w:type="paragraph" w:styleId="Dokumentoinaostekstas">
    <w:name w:val="endnote text"/>
    <w:basedOn w:val="prastasis"/>
    <w:link w:val="DokumentoinaostekstasDiagrama"/>
    <w:semiHidden/>
    <w:unhideWhenUsed/>
    <w:rsid w:val="008C4948"/>
    <w:pPr>
      <w:tabs>
        <w:tab w:val="left" w:pos="567"/>
      </w:tabs>
      <w:spacing w:after="0" w:line="240" w:lineRule="auto"/>
    </w:pPr>
    <w:rPr>
      <w:rFonts w:ascii="Times New Roman" w:eastAsia="SimSun" w:hAnsi="Times New Roman" w:cs="Times New Roman"/>
      <w:sz w:val="20"/>
      <w:szCs w:val="20"/>
      <w:lang w:val="en-GB" w:eastAsia="lt-LT"/>
    </w:rPr>
  </w:style>
  <w:style w:type="character" w:customStyle="1" w:styleId="DokumentoinaostekstasDiagrama">
    <w:name w:val="Dokumento išnašos tekstas Diagrama"/>
    <w:basedOn w:val="Numatytasispastraiposriftas"/>
    <w:link w:val="Dokumentoinaostekstas"/>
    <w:semiHidden/>
    <w:rsid w:val="008C4948"/>
    <w:rPr>
      <w:rFonts w:ascii="Times New Roman" w:eastAsia="SimSun" w:hAnsi="Times New Roman" w:cs="Times New Roman"/>
      <w:sz w:val="20"/>
      <w:szCs w:val="20"/>
      <w:lang w:val="en-GB" w:eastAsia="lt-LT"/>
    </w:rPr>
  </w:style>
  <w:style w:type="paragraph" w:styleId="Pavadinimas">
    <w:name w:val="Title"/>
    <w:basedOn w:val="prastasis"/>
    <w:link w:val="PavadinimasDiagrama"/>
    <w:autoRedefine/>
    <w:qFormat/>
    <w:rsid w:val="008C4948"/>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TitleChar">
    <w:name w:val="Title Char"/>
    <w:basedOn w:val="Numatytasispastraiposriftas"/>
    <w:rsid w:val="009C4D3A"/>
    <w:rPr>
      <w:rFonts w:asciiTheme="majorHAnsi" w:eastAsiaTheme="majorEastAsia" w:hAnsiTheme="majorHAnsi" w:cstheme="majorBidi"/>
      <w:color w:val="17365D" w:themeColor="text2" w:themeShade="BF"/>
      <w:spacing w:val="5"/>
      <w:kern w:val="28"/>
      <w:sz w:val="52"/>
      <w:szCs w:val="52"/>
      <w:lang w:val="lt-LT"/>
    </w:rPr>
  </w:style>
  <w:style w:type="paragraph" w:styleId="Pagrindinistekstas">
    <w:name w:val="Body Text"/>
    <w:basedOn w:val="prastasis"/>
    <w:link w:val="PagrindinistekstasDiagrama"/>
    <w:semiHidden/>
    <w:unhideWhenUsed/>
    <w:rsid w:val="008C4948"/>
    <w:pPr>
      <w:spacing w:after="120" w:line="240" w:lineRule="auto"/>
    </w:pPr>
    <w:rPr>
      <w:rFonts w:ascii="Times New Roman" w:eastAsia="Times New Roman" w:hAnsi="Times New Roman" w:cs="Times New Roman"/>
      <w:szCs w:val="20"/>
      <w:lang w:eastAsia="lt-LT"/>
    </w:rPr>
  </w:style>
  <w:style w:type="character" w:customStyle="1" w:styleId="BodyTextChar">
    <w:name w:val="Body Text Char"/>
    <w:basedOn w:val="Numatytasispastraiposriftas"/>
    <w:semiHidden/>
    <w:rsid w:val="008C4948"/>
    <w:rPr>
      <w:lang w:val="lt-LT"/>
    </w:rPr>
  </w:style>
  <w:style w:type="paragraph" w:styleId="Pagrindiniotekstotrauka">
    <w:name w:val="Body Text Indent"/>
    <w:basedOn w:val="prastasis"/>
    <w:link w:val="PagrindiniotekstotraukaDiagrama"/>
    <w:semiHidden/>
    <w:unhideWhenUsed/>
    <w:rsid w:val="008C4948"/>
    <w:pPr>
      <w:autoSpaceDE w:val="0"/>
      <w:autoSpaceDN w:val="0"/>
      <w:adjustRightInd w:val="0"/>
      <w:spacing w:after="0" w:line="240" w:lineRule="auto"/>
      <w:ind w:left="720"/>
      <w:jc w:val="both"/>
    </w:pPr>
    <w:rPr>
      <w:rFonts w:ascii="Times New Roman" w:eastAsia="SimSun" w:hAnsi="Times New Roman"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semiHidden/>
    <w:rsid w:val="008C4948"/>
    <w:rPr>
      <w:rFonts w:ascii="Times New Roman" w:eastAsia="SimSun" w:hAnsi="Times New Roman" w:cs="Times New Roman"/>
      <w:sz w:val="20"/>
      <w:szCs w:val="20"/>
      <w:lang w:val="en-GB" w:eastAsia="en-GB"/>
    </w:rPr>
  </w:style>
  <w:style w:type="paragraph" w:styleId="Paantrat">
    <w:name w:val="Subtitle"/>
    <w:basedOn w:val="prastasis"/>
    <w:link w:val="PaantratDiagrama"/>
    <w:uiPriority w:val="99"/>
    <w:qFormat/>
    <w:rsid w:val="008C4948"/>
    <w:pPr>
      <w:autoSpaceDE w:val="0"/>
      <w:autoSpaceDN w:val="0"/>
      <w:adjustRightInd w:val="0"/>
      <w:spacing w:after="0" w:line="240" w:lineRule="auto"/>
      <w:jc w:val="center"/>
    </w:pPr>
    <w:rPr>
      <w:rFonts w:ascii="TimesNewRoman,Bold" w:eastAsia="Times New Roman" w:hAnsi="TimesNewRoman,Bold" w:cs="Times New Roman"/>
      <w:b/>
      <w:color w:val="000000"/>
      <w:szCs w:val="20"/>
      <w:lang w:val="en-US" w:eastAsia="lt-LT"/>
    </w:rPr>
  </w:style>
  <w:style w:type="character" w:customStyle="1" w:styleId="PaantratDiagrama">
    <w:name w:val="Paantraštė Diagrama"/>
    <w:basedOn w:val="Numatytasispastraiposriftas"/>
    <w:link w:val="Paantrat"/>
    <w:uiPriority w:val="99"/>
    <w:rsid w:val="008C4948"/>
    <w:rPr>
      <w:rFonts w:ascii="TimesNewRoman,Bold" w:eastAsia="Times New Roman" w:hAnsi="TimesNewRoman,Bold" w:cs="Times New Roman"/>
      <w:b/>
      <w:color w:val="000000"/>
      <w:szCs w:val="20"/>
      <w:lang w:eastAsia="lt-LT"/>
    </w:rPr>
  </w:style>
  <w:style w:type="paragraph" w:styleId="Pagrindinistekstas2">
    <w:name w:val="Body Text 2"/>
    <w:basedOn w:val="prastasis"/>
    <w:link w:val="Pagrindinistekstas2Diagrama"/>
    <w:semiHidden/>
    <w:unhideWhenUsed/>
    <w:rsid w:val="008C4948"/>
    <w:pPr>
      <w:spacing w:after="120" w:line="480" w:lineRule="auto"/>
    </w:pPr>
    <w:rPr>
      <w:rFonts w:ascii="Times New Roman" w:eastAsia="Times New Roman" w:hAnsi="Times New Roman" w:cs="Times New Roman"/>
      <w:szCs w:val="20"/>
      <w:lang w:eastAsia="lt-LT"/>
    </w:rPr>
  </w:style>
  <w:style w:type="character" w:customStyle="1" w:styleId="BodyText2Char">
    <w:name w:val="Body Text 2 Char"/>
    <w:basedOn w:val="Numatytasispastraiposriftas"/>
    <w:semiHidden/>
    <w:rsid w:val="008C4948"/>
    <w:rPr>
      <w:lang w:val="lt-LT"/>
    </w:rPr>
  </w:style>
  <w:style w:type="paragraph" w:styleId="Pagrindinistekstas3">
    <w:name w:val="Body Text 3"/>
    <w:basedOn w:val="prastasis"/>
    <w:link w:val="Pagrindinistekstas3Diagrama"/>
    <w:uiPriority w:val="99"/>
    <w:semiHidden/>
    <w:unhideWhenUsed/>
    <w:rsid w:val="008C4948"/>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Numatytasispastraiposriftas"/>
    <w:uiPriority w:val="99"/>
    <w:semiHidden/>
    <w:rsid w:val="008C4948"/>
    <w:rPr>
      <w:sz w:val="16"/>
      <w:szCs w:val="16"/>
      <w:lang w:val="lt-LT"/>
    </w:rPr>
  </w:style>
  <w:style w:type="paragraph" w:styleId="Pagrindiniotekstotrauka2">
    <w:name w:val="Body Text Indent 2"/>
    <w:basedOn w:val="prastasis"/>
    <w:link w:val="Pagrindiniotekstotrauka2Diagrama"/>
    <w:uiPriority w:val="99"/>
    <w:semiHidden/>
    <w:unhideWhenUsed/>
    <w:rsid w:val="008C4948"/>
    <w:pPr>
      <w:spacing w:after="120" w:line="480" w:lineRule="auto"/>
      <w:ind w:left="283"/>
    </w:pPr>
    <w:rPr>
      <w:rFonts w:ascii="Times New Roman" w:eastAsia="Times New Roman" w:hAnsi="Times New Roman" w:cs="Times New Roman"/>
      <w:szCs w:val="20"/>
      <w:lang w:eastAsia="lt-LT"/>
    </w:rPr>
  </w:style>
  <w:style w:type="character" w:customStyle="1" w:styleId="BodyTextIndent2Char">
    <w:name w:val="Body Text Indent 2 Char"/>
    <w:basedOn w:val="Numatytasispastraiposriftas"/>
    <w:uiPriority w:val="99"/>
    <w:semiHidden/>
    <w:rsid w:val="008C4948"/>
    <w:rPr>
      <w:lang w:val="lt-LT"/>
    </w:rPr>
  </w:style>
  <w:style w:type="paragraph" w:styleId="Pagrindiniotekstotrauka3">
    <w:name w:val="Body Text Indent 3"/>
    <w:basedOn w:val="prastasis"/>
    <w:link w:val="Pagrindiniotekstotrauka3Diagrama"/>
    <w:semiHidden/>
    <w:unhideWhenUsed/>
    <w:rsid w:val="008C4948"/>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 w:val="20"/>
      <w:szCs w:val="21"/>
      <w:lang w:val="en-GB" w:eastAsia="lt-LT"/>
    </w:rPr>
  </w:style>
  <w:style w:type="character" w:customStyle="1" w:styleId="Pagrindiniotekstotrauka3Diagrama">
    <w:name w:val="Pagrindinio teksto įtrauka 3 Diagrama"/>
    <w:basedOn w:val="Numatytasispastraiposriftas"/>
    <w:link w:val="Pagrindiniotekstotrauka3"/>
    <w:semiHidden/>
    <w:rsid w:val="008C4948"/>
    <w:rPr>
      <w:rFonts w:ascii="Times New Roman" w:eastAsia="SimSun" w:hAnsi="Times New Roman" w:cs="Times New Roman"/>
      <w:sz w:val="20"/>
      <w:szCs w:val="21"/>
      <w:lang w:val="en-GB" w:eastAsia="lt-LT"/>
    </w:rPr>
  </w:style>
  <w:style w:type="paragraph" w:styleId="Dokumentostruktra">
    <w:name w:val="Document Map"/>
    <w:basedOn w:val="prastasis"/>
    <w:link w:val="DokumentostruktraDiagrama"/>
    <w:semiHidden/>
    <w:unhideWhenUsed/>
    <w:rsid w:val="008C4948"/>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semiHidden/>
    <w:rsid w:val="008C4948"/>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semiHidden/>
    <w:unhideWhenUsed/>
    <w:rsid w:val="008C4948"/>
    <w:pPr>
      <w:spacing w:after="0" w:line="240" w:lineRule="auto"/>
    </w:pPr>
    <w:rPr>
      <w:rFonts w:ascii="Courier New" w:eastAsia="SimSun" w:hAnsi="Courier New" w:cs="Times New Roman"/>
      <w:sz w:val="20"/>
      <w:szCs w:val="20"/>
      <w:lang w:val="en-US" w:eastAsia="lt-LT"/>
    </w:rPr>
  </w:style>
  <w:style w:type="character" w:customStyle="1" w:styleId="PaprastasistekstasDiagrama">
    <w:name w:val="Paprastasis tekstas Diagrama"/>
    <w:basedOn w:val="Numatytasispastraiposriftas"/>
    <w:link w:val="Paprastasistekstas"/>
    <w:semiHidden/>
    <w:rsid w:val="008C4948"/>
    <w:rPr>
      <w:rFonts w:ascii="Courier New" w:eastAsia="SimSun" w:hAnsi="Courier New" w:cs="Times New Roman"/>
      <w:sz w:val="20"/>
      <w:szCs w:val="20"/>
      <w:lang w:eastAsia="lt-LT"/>
    </w:rPr>
  </w:style>
  <w:style w:type="paragraph" w:styleId="Komentarotema">
    <w:name w:val="annotation subject"/>
    <w:basedOn w:val="Komentarotekstas"/>
    <w:next w:val="Komentarotekstas"/>
    <w:link w:val="KomentarotemaDiagrama"/>
    <w:semiHidden/>
    <w:unhideWhenUsed/>
    <w:rsid w:val="008C4948"/>
  </w:style>
  <w:style w:type="character" w:customStyle="1" w:styleId="CommentSubjectChar">
    <w:name w:val="Comment Subject Char"/>
    <w:basedOn w:val="CommentTextChar"/>
    <w:semiHidden/>
    <w:rsid w:val="008C4948"/>
    <w:rPr>
      <w:b/>
      <w:bCs/>
      <w:sz w:val="20"/>
      <w:szCs w:val="20"/>
      <w:lang w:val="lt-LT"/>
    </w:rPr>
  </w:style>
  <w:style w:type="paragraph" w:styleId="Debesliotekstas">
    <w:name w:val="Balloon Text"/>
    <w:basedOn w:val="prastasis"/>
    <w:link w:val="DebesliotekstasDiagrama"/>
    <w:semiHidden/>
    <w:unhideWhenUsed/>
    <w:rsid w:val="008C4948"/>
    <w:pPr>
      <w:spacing w:after="0" w:line="240" w:lineRule="auto"/>
    </w:pPr>
    <w:rPr>
      <w:rFonts w:ascii="Tahoma" w:eastAsia="Times New Roman" w:hAnsi="Tahoma" w:cs="Tahoma"/>
      <w:sz w:val="16"/>
      <w:szCs w:val="16"/>
      <w:lang w:eastAsia="lt-LT"/>
    </w:rPr>
  </w:style>
  <w:style w:type="character" w:customStyle="1" w:styleId="BalloonTextChar">
    <w:name w:val="Balloon Text Char"/>
    <w:basedOn w:val="Numatytasispastraiposriftas"/>
    <w:semiHidden/>
    <w:rsid w:val="009C4D3A"/>
    <w:rPr>
      <w:rFonts w:ascii="Tahoma" w:hAnsi="Tahoma" w:cs="Tahoma"/>
      <w:sz w:val="16"/>
      <w:szCs w:val="16"/>
      <w:lang w:val="lt-LT"/>
    </w:rPr>
  </w:style>
  <w:style w:type="paragraph" w:styleId="Pataisymai">
    <w:name w:val="Revision"/>
    <w:semiHidden/>
    <w:rsid w:val="008C4948"/>
    <w:pPr>
      <w:spacing w:after="0" w:line="240" w:lineRule="auto"/>
    </w:pPr>
    <w:rPr>
      <w:rFonts w:ascii="Times New Roman" w:eastAsia="Calibri" w:hAnsi="Times New Roman" w:cs="Times New Roman"/>
      <w:szCs w:val="20"/>
      <w:lang w:val="en-GB"/>
    </w:rPr>
  </w:style>
  <w:style w:type="paragraph" w:styleId="Sraopastraipa">
    <w:name w:val="List Paragraph"/>
    <w:basedOn w:val="prastasis"/>
    <w:uiPriority w:val="34"/>
    <w:qFormat/>
    <w:rsid w:val="008C4948"/>
    <w:pPr>
      <w:ind w:left="720"/>
      <w:contextualSpacing/>
    </w:pPr>
  </w:style>
  <w:style w:type="paragraph" w:customStyle="1" w:styleId="BT-EMEASMCA">
    <w:name w:val="BT- EMEA_SMCA"/>
    <w:basedOn w:val="prastasis"/>
    <w:rsid w:val="008C4948"/>
    <w:pPr>
      <w:tabs>
        <w:tab w:val="num" w:pos="567"/>
      </w:tabs>
      <w:spacing w:after="0" w:line="240" w:lineRule="auto"/>
      <w:ind w:left="567" w:hanging="567"/>
    </w:pPr>
    <w:rPr>
      <w:rFonts w:ascii="Times New Roman" w:eastAsia="Times New Roman" w:hAnsi="Times New Roman" w:cs="Times New Roman"/>
      <w:szCs w:val="20"/>
      <w:lang w:eastAsia="lt-LT"/>
    </w:rPr>
  </w:style>
  <w:style w:type="paragraph" w:customStyle="1" w:styleId="PI-3EMEASMCA">
    <w:name w:val="PI-3 EMEA_SMCA"/>
    <w:basedOn w:val="prastasis"/>
    <w:autoRedefine/>
    <w:uiPriority w:val="99"/>
    <w:rsid w:val="008C4948"/>
    <w:pPr>
      <w:spacing w:after="0" w:line="220" w:lineRule="exact"/>
    </w:pPr>
    <w:rPr>
      <w:rFonts w:ascii="Times New Roman" w:eastAsia="Times New Roman" w:hAnsi="Times New Roman" w:cs="Times New Roman"/>
      <w:b/>
      <w:bCs/>
    </w:rPr>
  </w:style>
  <w:style w:type="paragraph" w:customStyle="1" w:styleId="PI-1EMEASMCA">
    <w:name w:val="PI-1 EMEA_SMCA"/>
    <w:basedOn w:val="Antrat2"/>
    <w:autoRedefine/>
    <w:rsid w:val="008C4948"/>
    <w:pPr>
      <w:tabs>
        <w:tab w:val="left" w:pos="567"/>
      </w:tabs>
    </w:pPr>
  </w:style>
  <w:style w:type="paragraph" w:customStyle="1" w:styleId="PI-2EMEASMCA">
    <w:name w:val="PI-2 EMEA_SMCA"/>
    <w:basedOn w:val="prastasis"/>
    <w:autoRedefine/>
    <w:rsid w:val="008C4948"/>
    <w:pPr>
      <w:keepLines/>
      <w:tabs>
        <w:tab w:val="left" w:pos="567"/>
      </w:tabs>
      <w:spacing w:after="0" w:line="240" w:lineRule="auto"/>
    </w:pPr>
    <w:rPr>
      <w:rFonts w:ascii="Times New Roman" w:eastAsia="Times New Roman" w:hAnsi="Times New Roman" w:cs="Times New Roman"/>
      <w:kern w:val="28"/>
    </w:rPr>
  </w:style>
  <w:style w:type="character" w:customStyle="1" w:styleId="TTEMEASMCAChar">
    <w:name w:val="TT EMEA_SMCA Char"/>
    <w:link w:val="TTEMEASMCA"/>
    <w:locked/>
    <w:rsid w:val="008C4948"/>
    <w:rPr>
      <w:rFonts w:ascii="Times New Roman" w:eastAsia="Times New Roman" w:hAnsi="Times New Roman" w:cs="Times New Roman"/>
      <w:szCs w:val="20"/>
    </w:rPr>
  </w:style>
  <w:style w:type="paragraph" w:customStyle="1" w:styleId="TTEMEASMCA">
    <w:name w:val="TT EMEA_SMCA"/>
    <w:basedOn w:val="prastasis"/>
    <w:link w:val="TTEMEASMCAChar"/>
    <w:autoRedefine/>
    <w:rsid w:val="008C4948"/>
    <w:pPr>
      <w:tabs>
        <w:tab w:val="left" w:pos="567"/>
      </w:tabs>
      <w:spacing w:after="0" w:line="240" w:lineRule="auto"/>
      <w:ind w:left="567" w:hanging="567"/>
    </w:pPr>
    <w:rPr>
      <w:rFonts w:ascii="Times New Roman" w:eastAsia="Times New Roman" w:hAnsi="Times New Roman" w:cs="Times New Roman"/>
      <w:szCs w:val="20"/>
      <w:lang w:val="en-US"/>
    </w:rPr>
  </w:style>
  <w:style w:type="paragraph" w:customStyle="1" w:styleId="BTAnIIEMEASMCA">
    <w:name w:val="BT(AnII) EMEA_SMCA"/>
    <w:basedOn w:val="Debesliotekstas"/>
    <w:autoRedefine/>
    <w:rsid w:val="008C4948"/>
    <w:pPr>
      <w:tabs>
        <w:tab w:val="left" w:pos="1701"/>
      </w:tabs>
      <w:ind w:left="1701" w:hanging="567"/>
    </w:pPr>
    <w:rPr>
      <w:rFonts w:ascii="Times New Roman" w:hAnsi="Times New Roman"/>
      <w:b/>
      <w:sz w:val="22"/>
      <w:szCs w:val="22"/>
      <w:lang w:val="en-GB" w:eastAsia="en-US"/>
    </w:rPr>
  </w:style>
  <w:style w:type="character" w:customStyle="1" w:styleId="BTgEMEASMCAChar">
    <w:name w:val="BT(g) EMEA_SMCA Char"/>
    <w:link w:val="BTgEMEASMCA"/>
    <w:uiPriority w:val="99"/>
    <w:locked/>
    <w:rsid w:val="008C4948"/>
    <w:rPr>
      <w:rFonts w:ascii="Times New Roman" w:eastAsia="Times New Roman" w:hAnsi="Times New Roman" w:cs="Times New Roman"/>
      <w:i/>
      <w:color w:val="008000"/>
      <w:szCs w:val="20"/>
      <w:lang w:eastAsia="lt-LT"/>
    </w:rPr>
  </w:style>
  <w:style w:type="paragraph" w:customStyle="1" w:styleId="BTgEMEASMCA">
    <w:name w:val="BT(g) EMEA_SMCA"/>
    <w:basedOn w:val="prastasis"/>
    <w:link w:val="BTgEMEASMCAChar"/>
    <w:autoRedefine/>
    <w:uiPriority w:val="99"/>
    <w:rsid w:val="008C4948"/>
    <w:pPr>
      <w:spacing w:after="0" w:line="240" w:lineRule="auto"/>
    </w:pPr>
    <w:rPr>
      <w:rFonts w:ascii="Times New Roman" w:eastAsia="Times New Roman" w:hAnsi="Times New Roman" w:cs="Times New Roman"/>
      <w:i/>
      <w:color w:val="008000"/>
      <w:szCs w:val="20"/>
      <w:lang w:val="en-US" w:eastAsia="lt-LT"/>
    </w:rPr>
  </w:style>
  <w:style w:type="paragraph" w:customStyle="1" w:styleId="BTuEMEASMCA">
    <w:name w:val="BT(u) EMEA_SMCA"/>
    <w:basedOn w:val="prastasis"/>
    <w:autoRedefine/>
    <w:rsid w:val="008C4948"/>
    <w:pPr>
      <w:spacing w:after="0" w:line="240" w:lineRule="auto"/>
    </w:pPr>
    <w:rPr>
      <w:rFonts w:ascii="Times New Roman" w:eastAsia="Times New Roman" w:hAnsi="Times New Roman" w:cs="Times New Roman"/>
      <w:szCs w:val="20"/>
      <w:u w:val="single"/>
      <w:lang w:eastAsia="lt-LT"/>
    </w:rPr>
  </w:style>
  <w:style w:type="character" w:customStyle="1" w:styleId="PI-1labEMEASMCAChar">
    <w:name w:val="PI-1_lab EMEA_SMCA Char"/>
    <w:link w:val="PI-1labEMEASMCA"/>
    <w:locked/>
    <w:rsid w:val="008C4948"/>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8C4948"/>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en-US"/>
    </w:rPr>
  </w:style>
  <w:style w:type="paragraph" w:customStyle="1" w:styleId="BTbEMEASMCA">
    <w:name w:val="BT(b) EMEA_SMCA"/>
    <w:basedOn w:val="prastasis"/>
    <w:autoRedefine/>
    <w:rsid w:val="008C4948"/>
    <w:pPr>
      <w:spacing w:after="0" w:line="240" w:lineRule="auto"/>
    </w:pPr>
    <w:rPr>
      <w:rFonts w:ascii="Times New Roman" w:eastAsia="Times New Roman" w:hAnsi="Times New Roman" w:cs="Times New Roman"/>
      <w:b/>
      <w:noProof/>
    </w:rPr>
  </w:style>
  <w:style w:type="paragraph" w:customStyle="1" w:styleId="TableText">
    <w:name w:val="Table Text"/>
    <w:basedOn w:val="prastasis"/>
    <w:uiPriority w:val="99"/>
    <w:rsid w:val="008C4948"/>
    <w:pPr>
      <w:spacing w:after="0" w:line="240" w:lineRule="auto"/>
    </w:pPr>
    <w:rPr>
      <w:rFonts w:ascii="CG Times (W1)" w:eastAsia="Times New Roman" w:hAnsi="CG Times (W1)" w:cs="Times New Roman"/>
      <w:sz w:val="20"/>
      <w:szCs w:val="20"/>
      <w:lang w:val="en-GB"/>
    </w:rPr>
  </w:style>
  <w:style w:type="character" w:customStyle="1" w:styleId="Normal11ptCar">
    <w:name w:val="Normal + 11pt Car"/>
    <w:link w:val="Normal11pt"/>
    <w:uiPriority w:val="99"/>
    <w:locked/>
    <w:rsid w:val="008C4948"/>
    <w:rPr>
      <w:rFonts w:ascii="Times New Roman" w:eastAsia="Times New Roman" w:hAnsi="Times New Roman" w:cs="Times New Roman"/>
    </w:rPr>
  </w:style>
  <w:style w:type="paragraph" w:customStyle="1" w:styleId="Normal11pt">
    <w:name w:val="Normal + 11pt"/>
    <w:basedOn w:val="prastasis"/>
    <w:link w:val="Normal11ptCar"/>
    <w:uiPriority w:val="99"/>
    <w:rsid w:val="008C4948"/>
    <w:pPr>
      <w:spacing w:after="0" w:line="240" w:lineRule="auto"/>
    </w:pPr>
    <w:rPr>
      <w:rFonts w:ascii="Times New Roman" w:eastAsia="Times New Roman" w:hAnsi="Times New Roman" w:cs="Times New Roman"/>
      <w:lang w:val="en-US"/>
    </w:rPr>
  </w:style>
  <w:style w:type="paragraph" w:customStyle="1" w:styleId="NormaLT">
    <w:name w:val="NormaLT"/>
    <w:basedOn w:val="prastasis"/>
    <w:uiPriority w:val="99"/>
    <w:rsid w:val="008C4948"/>
    <w:pPr>
      <w:tabs>
        <w:tab w:val="left" w:pos="425"/>
      </w:tabs>
      <w:spacing w:after="0" w:line="240" w:lineRule="auto"/>
      <w:jc w:val="both"/>
    </w:pPr>
    <w:rPr>
      <w:rFonts w:ascii="Arial" w:eastAsia="Times New Roman" w:hAnsi="Arial" w:cs="Times New Roman"/>
      <w:sz w:val="24"/>
      <w:szCs w:val="20"/>
    </w:rPr>
  </w:style>
  <w:style w:type="paragraph" w:customStyle="1" w:styleId="EMEAEnBodyText">
    <w:name w:val="EMEA En Body Text"/>
    <w:basedOn w:val="prastasis"/>
    <w:uiPriority w:val="99"/>
    <w:rsid w:val="008C4948"/>
    <w:pPr>
      <w:spacing w:before="120" w:after="120" w:line="240" w:lineRule="auto"/>
      <w:jc w:val="both"/>
    </w:pPr>
    <w:rPr>
      <w:rFonts w:ascii="Times New Roman" w:eastAsia="Times New Roman" w:hAnsi="Times New Roman" w:cs="Times New Roman"/>
      <w:szCs w:val="20"/>
      <w:lang w:val="en-US"/>
    </w:rPr>
  </w:style>
  <w:style w:type="paragraph" w:customStyle="1" w:styleId="AHeader1">
    <w:name w:val="AHeader 1"/>
    <w:basedOn w:val="prastasis"/>
    <w:uiPriority w:val="99"/>
    <w:rsid w:val="008C4948"/>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uiPriority w:val="99"/>
    <w:rsid w:val="008C4948"/>
    <w:pPr>
      <w:tabs>
        <w:tab w:val="num" w:pos="360"/>
      </w:tabs>
      <w:ind w:left="360" w:hanging="360"/>
    </w:pPr>
    <w:rPr>
      <w:sz w:val="22"/>
    </w:rPr>
  </w:style>
  <w:style w:type="paragraph" w:customStyle="1" w:styleId="AHeader3">
    <w:name w:val="AHeader 3"/>
    <w:basedOn w:val="AHeader2"/>
    <w:uiPriority w:val="99"/>
    <w:rsid w:val="008C4948"/>
  </w:style>
  <w:style w:type="paragraph" w:customStyle="1" w:styleId="AHeader2abc">
    <w:name w:val="AHeader 2 abc"/>
    <w:basedOn w:val="AHeader3"/>
    <w:uiPriority w:val="99"/>
    <w:rsid w:val="008C4948"/>
    <w:pPr>
      <w:jc w:val="both"/>
    </w:pPr>
    <w:rPr>
      <w:b w:val="0"/>
      <w:bCs w:val="0"/>
    </w:rPr>
  </w:style>
  <w:style w:type="paragraph" w:customStyle="1" w:styleId="AHeader3abc">
    <w:name w:val="AHeader 3 abc"/>
    <w:basedOn w:val="AHeader2abc"/>
    <w:uiPriority w:val="99"/>
    <w:rsid w:val="008C4948"/>
  </w:style>
  <w:style w:type="paragraph" w:customStyle="1" w:styleId="Default">
    <w:name w:val="Default"/>
    <w:rsid w:val="008C4948"/>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BTEMEASMCAChar">
    <w:name w:val="BT EMEA_SMCA Char"/>
    <w:link w:val="BTEMEASMCA"/>
    <w:locked/>
    <w:rsid w:val="008C4948"/>
    <w:rPr>
      <w:noProof/>
    </w:rPr>
  </w:style>
  <w:style w:type="paragraph" w:customStyle="1" w:styleId="BTEMEASMCA">
    <w:name w:val="BT EMEA_SMCA"/>
    <w:basedOn w:val="prastasis"/>
    <w:link w:val="BTEMEASMCAChar"/>
    <w:autoRedefine/>
    <w:rsid w:val="008C4948"/>
    <w:pPr>
      <w:spacing w:after="0" w:line="240" w:lineRule="auto"/>
    </w:pPr>
    <w:rPr>
      <w:noProof/>
      <w:lang w:val="en-US"/>
    </w:rPr>
  </w:style>
  <w:style w:type="paragraph" w:customStyle="1" w:styleId="Normal11pt0">
    <w:name w:val="Normal + 11 pt"/>
    <w:basedOn w:val="Pagrindinistekstas"/>
    <w:rsid w:val="008C4948"/>
    <w:pPr>
      <w:widowControl w:val="0"/>
      <w:overflowPunct w:val="0"/>
      <w:autoSpaceDE w:val="0"/>
      <w:autoSpaceDN w:val="0"/>
      <w:adjustRightInd w:val="0"/>
      <w:spacing w:after="0" w:line="312" w:lineRule="auto"/>
    </w:pPr>
    <w:rPr>
      <w:rFonts w:ascii="TimesLT" w:hAnsi="TimesLT"/>
      <w:noProof/>
      <w:szCs w:val="22"/>
      <w:lang w:val="en-US" w:eastAsia="ar-SA"/>
    </w:rPr>
  </w:style>
  <w:style w:type="paragraph" w:customStyle="1" w:styleId="A-TableText">
    <w:name w:val="A-TableText"/>
    <w:basedOn w:val="prastasis"/>
    <w:rsid w:val="008C4948"/>
    <w:pPr>
      <w:spacing w:before="60" w:after="60" w:line="240" w:lineRule="auto"/>
    </w:pPr>
    <w:rPr>
      <w:rFonts w:ascii="Times New Roman" w:eastAsia="Calibri" w:hAnsi="Times New Roman" w:cs="Times New Roman"/>
      <w:sz w:val="20"/>
      <w:szCs w:val="20"/>
      <w:lang w:val="en-GB"/>
    </w:rPr>
  </w:style>
  <w:style w:type="character" w:customStyle="1" w:styleId="BodytextAgencyChar">
    <w:name w:val="Body text (Agency) Char"/>
    <w:link w:val="BodytextAgency"/>
    <w:locked/>
    <w:rsid w:val="008C4948"/>
    <w:rPr>
      <w:rFonts w:ascii="Verdana" w:eastAsia="Calibri" w:hAnsi="Verdana" w:cs="Times New Roman"/>
      <w:sz w:val="18"/>
      <w:szCs w:val="20"/>
      <w:lang w:eastAsia="lt-LT"/>
    </w:rPr>
  </w:style>
  <w:style w:type="paragraph" w:customStyle="1" w:styleId="BodytextAgency">
    <w:name w:val="Body text (Agency)"/>
    <w:basedOn w:val="prastasis"/>
    <w:link w:val="BodytextAgencyChar"/>
    <w:rsid w:val="008C4948"/>
    <w:pPr>
      <w:spacing w:after="140" w:line="280" w:lineRule="atLeast"/>
    </w:pPr>
    <w:rPr>
      <w:rFonts w:ascii="Verdana" w:eastAsia="Calibri" w:hAnsi="Verdana" w:cs="Times New Roman"/>
      <w:sz w:val="18"/>
      <w:szCs w:val="20"/>
      <w:lang w:val="en-US" w:eastAsia="lt-LT"/>
    </w:rPr>
  </w:style>
  <w:style w:type="character" w:customStyle="1" w:styleId="NormalAgencyChar">
    <w:name w:val="Normal (Agency) Char"/>
    <w:link w:val="NormalAgency"/>
    <w:locked/>
    <w:rsid w:val="008C4948"/>
    <w:rPr>
      <w:rFonts w:ascii="Verdana" w:eastAsia="Calibri" w:hAnsi="Verdana" w:cs="Times New Roman"/>
      <w:sz w:val="18"/>
      <w:lang w:eastAsia="lt-LT"/>
    </w:rPr>
  </w:style>
  <w:style w:type="paragraph" w:customStyle="1" w:styleId="NormalAgency">
    <w:name w:val="Normal (Agency)"/>
    <w:link w:val="NormalAgencyChar"/>
    <w:rsid w:val="008C4948"/>
    <w:pPr>
      <w:spacing w:after="0" w:line="240" w:lineRule="auto"/>
    </w:pPr>
    <w:rPr>
      <w:rFonts w:ascii="Verdana" w:eastAsia="Calibri" w:hAnsi="Verdana" w:cs="Times New Roman"/>
      <w:sz w:val="18"/>
      <w:lang w:eastAsia="lt-LT"/>
    </w:rPr>
  </w:style>
  <w:style w:type="paragraph" w:customStyle="1" w:styleId="TabletextrowsAgency">
    <w:name w:val="Table text rows (Agency)"/>
    <w:basedOn w:val="prastasis"/>
    <w:rsid w:val="008C4948"/>
    <w:pPr>
      <w:spacing w:after="0" w:line="280" w:lineRule="exact"/>
    </w:pPr>
    <w:rPr>
      <w:rFonts w:ascii="Verdana" w:eastAsia="Calibri" w:hAnsi="Verdana" w:cs="Times New Roman"/>
      <w:sz w:val="18"/>
      <w:szCs w:val="20"/>
      <w:lang w:val="en-GB"/>
    </w:rPr>
  </w:style>
  <w:style w:type="paragraph" w:customStyle="1" w:styleId="TableheadingrowsAgency">
    <w:name w:val="Table heading rows (Agency)"/>
    <w:basedOn w:val="BodytextAgency"/>
    <w:rsid w:val="008C4948"/>
    <w:pPr>
      <w:keepNext/>
    </w:pPr>
    <w:rPr>
      <w:rFonts w:eastAsia="SimSun" w:cs="Verdana"/>
      <w:b/>
      <w:szCs w:val="18"/>
      <w:lang w:eastAsia="en-GB"/>
    </w:rPr>
  </w:style>
  <w:style w:type="character" w:styleId="Komentaronuoroda">
    <w:name w:val="annotation reference"/>
    <w:semiHidden/>
    <w:unhideWhenUsed/>
    <w:rsid w:val="008C4948"/>
    <w:rPr>
      <w:rFonts w:ascii="Times New Roman" w:hAnsi="Times New Roman" w:cs="Times New Roman" w:hint="default"/>
      <w:sz w:val="16"/>
    </w:rPr>
  </w:style>
  <w:style w:type="character" w:customStyle="1" w:styleId="PagrindinistekstasDiagrama">
    <w:name w:val="Pagrindinis tekstas Diagrama"/>
    <w:link w:val="Pagrindinistekstas"/>
    <w:semiHidden/>
    <w:locked/>
    <w:rsid w:val="008C4948"/>
    <w:rPr>
      <w:rFonts w:ascii="Times New Roman" w:eastAsia="Times New Roman" w:hAnsi="Times New Roman" w:cs="Times New Roman"/>
      <w:szCs w:val="20"/>
      <w:lang w:val="lt-LT" w:eastAsia="lt-LT"/>
    </w:rPr>
  </w:style>
  <w:style w:type="character" w:customStyle="1" w:styleId="CharChar22">
    <w:name w:val="Char Char22"/>
    <w:locked/>
    <w:rsid w:val="008C4948"/>
    <w:rPr>
      <w:b/>
      <w:bCs w:val="0"/>
      <w:sz w:val="22"/>
      <w:lang w:val="lt-LT" w:eastAsia="lt-LT"/>
    </w:rPr>
  </w:style>
  <w:style w:type="character" w:customStyle="1" w:styleId="Normal1">
    <w:name w:val="Normal1"/>
    <w:rsid w:val="008C4948"/>
    <w:rPr>
      <w:rFonts w:ascii="Arial" w:hAnsi="Arial" w:cs="Arial" w:hint="default"/>
      <w:sz w:val="24"/>
    </w:rPr>
  </w:style>
  <w:style w:type="character" w:customStyle="1" w:styleId="CharChar7">
    <w:name w:val="Char Char7"/>
    <w:uiPriority w:val="99"/>
    <w:locked/>
    <w:rsid w:val="008C4948"/>
    <w:rPr>
      <w:rFonts w:ascii="Times New Roman" w:hAnsi="Times New Roman" w:cs="Times New Roman" w:hint="default"/>
      <w:sz w:val="22"/>
      <w:lang w:val="lt-LT" w:eastAsia="en-US"/>
    </w:rPr>
  </w:style>
  <w:style w:type="character" w:customStyle="1" w:styleId="Antrat4Diagrama">
    <w:name w:val="Antraštė 4 Diagrama"/>
    <w:link w:val="Antrat4"/>
    <w:uiPriority w:val="99"/>
    <w:semiHidden/>
    <w:locked/>
    <w:rsid w:val="008C4948"/>
    <w:rPr>
      <w:rFonts w:ascii="Times New Roman" w:eastAsia="Times New Roman" w:hAnsi="Times New Roman" w:cs="Times New Roman"/>
      <w:szCs w:val="20"/>
      <w:u w:val="single"/>
      <w:lang w:val="lt-LT" w:eastAsia="lt-LT"/>
    </w:rPr>
  </w:style>
  <w:style w:type="character" w:customStyle="1" w:styleId="Antrat5Diagrama">
    <w:name w:val="Antraštė 5 Diagrama"/>
    <w:link w:val="Antrat5"/>
    <w:uiPriority w:val="99"/>
    <w:semiHidden/>
    <w:locked/>
    <w:rsid w:val="008C4948"/>
    <w:rPr>
      <w:rFonts w:ascii="Times New Roman" w:eastAsia="Times New Roman" w:hAnsi="Times New Roman" w:cs="Times New Roman"/>
      <w:b/>
      <w:bCs/>
      <w:i/>
      <w:iCs/>
      <w:sz w:val="26"/>
      <w:szCs w:val="26"/>
      <w:lang w:val="lt-LT" w:eastAsia="lt-LT"/>
    </w:rPr>
  </w:style>
  <w:style w:type="character" w:customStyle="1" w:styleId="Antrat6Diagrama">
    <w:name w:val="Antraštė 6 Diagrama"/>
    <w:link w:val="Antrat6"/>
    <w:uiPriority w:val="99"/>
    <w:semiHidden/>
    <w:locked/>
    <w:rsid w:val="008C4948"/>
    <w:rPr>
      <w:rFonts w:ascii="Times New Roman" w:eastAsia="Times New Roman" w:hAnsi="Times New Roman" w:cs="Times New Roman"/>
      <w:b/>
      <w:bCs/>
      <w:lang w:val="lt-LT" w:eastAsia="lt-LT"/>
    </w:rPr>
  </w:style>
  <w:style w:type="character" w:customStyle="1" w:styleId="Antrat7Diagrama">
    <w:name w:val="Antraštė 7 Diagrama"/>
    <w:link w:val="Antrat7"/>
    <w:uiPriority w:val="99"/>
    <w:semiHidden/>
    <w:locked/>
    <w:rsid w:val="008C4948"/>
    <w:rPr>
      <w:rFonts w:ascii="Times New Roman" w:eastAsia="Times New Roman" w:hAnsi="Times New Roman" w:cs="Times New Roman"/>
      <w:i/>
      <w:szCs w:val="20"/>
      <w:lang w:val="cs-CZ"/>
    </w:rPr>
  </w:style>
  <w:style w:type="character" w:customStyle="1" w:styleId="Antrat8Diagrama">
    <w:name w:val="Antraštė 8 Diagrama"/>
    <w:link w:val="Antrat8"/>
    <w:uiPriority w:val="99"/>
    <w:semiHidden/>
    <w:locked/>
    <w:rsid w:val="008C4948"/>
    <w:rPr>
      <w:rFonts w:ascii="Times New Roman" w:eastAsia="Times New Roman" w:hAnsi="Times New Roman" w:cs="Times New Roman"/>
      <w:i/>
      <w:iCs/>
      <w:sz w:val="24"/>
      <w:szCs w:val="24"/>
      <w:lang w:val="lt-LT"/>
    </w:rPr>
  </w:style>
  <w:style w:type="character" w:customStyle="1" w:styleId="Antrat9Diagrama">
    <w:name w:val="Antraštė 9 Diagrama"/>
    <w:link w:val="Antrat9"/>
    <w:uiPriority w:val="99"/>
    <w:semiHidden/>
    <w:locked/>
    <w:rsid w:val="008C4948"/>
    <w:rPr>
      <w:rFonts w:ascii="Times New Roman" w:eastAsia="Times New Roman" w:hAnsi="Times New Roman" w:cs="Times New Roman"/>
      <w:b/>
      <w:i/>
      <w:szCs w:val="20"/>
      <w:lang w:val="cs-CZ"/>
    </w:rPr>
  </w:style>
  <w:style w:type="character" w:customStyle="1" w:styleId="PoratDiagrama">
    <w:name w:val="Poraštė Diagrama"/>
    <w:link w:val="Porat"/>
    <w:locked/>
    <w:rsid w:val="008C4948"/>
    <w:rPr>
      <w:rFonts w:ascii="Times New Roman" w:eastAsia="Times New Roman" w:hAnsi="Times New Roman" w:cs="Times New Roman"/>
      <w:szCs w:val="20"/>
      <w:lang w:val="lt-LT" w:eastAsia="lt-LT"/>
    </w:rPr>
  </w:style>
  <w:style w:type="character" w:customStyle="1" w:styleId="AntratsDiagrama">
    <w:name w:val="Antraštės Diagrama"/>
    <w:link w:val="Antrats"/>
    <w:locked/>
    <w:rsid w:val="008C4948"/>
    <w:rPr>
      <w:rFonts w:ascii="Times New Roman" w:eastAsia="Times New Roman" w:hAnsi="Times New Roman" w:cs="Times New Roman"/>
      <w:sz w:val="24"/>
      <w:szCs w:val="24"/>
      <w:lang w:val="lt-LT"/>
    </w:rPr>
  </w:style>
  <w:style w:type="character" w:customStyle="1" w:styleId="DebesliotekstasDiagrama">
    <w:name w:val="Debesėlio tekstas Diagrama"/>
    <w:link w:val="Debesliotekstas"/>
    <w:semiHidden/>
    <w:locked/>
    <w:rsid w:val="008C4948"/>
    <w:rPr>
      <w:rFonts w:ascii="Tahoma" w:eastAsia="Times New Roman" w:hAnsi="Tahoma" w:cs="Tahoma"/>
      <w:sz w:val="16"/>
      <w:szCs w:val="16"/>
      <w:lang w:val="lt-LT" w:eastAsia="lt-LT"/>
    </w:rPr>
  </w:style>
  <w:style w:type="character" w:customStyle="1" w:styleId="Pagrindinistekstas2Diagrama">
    <w:name w:val="Pagrindinis tekstas 2 Diagrama"/>
    <w:link w:val="Pagrindinistekstas2"/>
    <w:semiHidden/>
    <w:locked/>
    <w:rsid w:val="008C4948"/>
    <w:rPr>
      <w:rFonts w:ascii="Times New Roman" w:eastAsia="Times New Roman" w:hAnsi="Times New Roman" w:cs="Times New Roman"/>
      <w:szCs w:val="20"/>
      <w:lang w:val="lt-LT" w:eastAsia="lt-LT"/>
    </w:rPr>
  </w:style>
  <w:style w:type="character" w:customStyle="1" w:styleId="Pagrindiniotekstotrauka2Diagrama">
    <w:name w:val="Pagrindinio teksto įtrauka 2 Diagrama"/>
    <w:link w:val="Pagrindiniotekstotrauka2"/>
    <w:uiPriority w:val="99"/>
    <w:semiHidden/>
    <w:locked/>
    <w:rsid w:val="008C4948"/>
    <w:rPr>
      <w:rFonts w:ascii="Times New Roman" w:eastAsia="Times New Roman" w:hAnsi="Times New Roman" w:cs="Times New Roman"/>
      <w:szCs w:val="20"/>
      <w:lang w:val="lt-LT" w:eastAsia="lt-LT"/>
    </w:rPr>
  </w:style>
  <w:style w:type="character" w:customStyle="1" w:styleId="Pagrindinistekstas3Diagrama">
    <w:name w:val="Pagrindinis tekstas 3 Diagrama"/>
    <w:link w:val="Pagrindinistekstas3"/>
    <w:uiPriority w:val="99"/>
    <w:semiHidden/>
    <w:locked/>
    <w:rsid w:val="008C4948"/>
    <w:rPr>
      <w:rFonts w:ascii="Times New Roman" w:eastAsia="Times New Roman" w:hAnsi="Times New Roman" w:cs="Times New Roman"/>
      <w:sz w:val="16"/>
      <w:szCs w:val="16"/>
      <w:lang w:val="lt-LT"/>
    </w:rPr>
  </w:style>
  <w:style w:type="character" w:customStyle="1" w:styleId="KomentarotekstasDiagrama">
    <w:name w:val="Komentaro tekstas Diagrama"/>
    <w:link w:val="Komentarotekstas"/>
    <w:semiHidden/>
    <w:locked/>
    <w:rsid w:val="008C4948"/>
    <w:rPr>
      <w:rFonts w:ascii="Times New Roman" w:eastAsia="Times New Roman" w:hAnsi="Times New Roman" w:cs="Times New Roman"/>
      <w:b/>
      <w:bCs/>
      <w:sz w:val="20"/>
      <w:szCs w:val="20"/>
      <w:lang w:val="lt-LT"/>
    </w:rPr>
  </w:style>
  <w:style w:type="character" w:customStyle="1" w:styleId="KomentarotemaDiagrama">
    <w:name w:val="Komentaro tema Diagrama"/>
    <w:link w:val="Komentarotema"/>
    <w:semiHidden/>
    <w:locked/>
    <w:rsid w:val="008C4948"/>
    <w:rPr>
      <w:rFonts w:ascii="Times New Roman" w:eastAsia="Times New Roman" w:hAnsi="Times New Roman" w:cs="Times New Roman"/>
      <w:b/>
      <w:bCs/>
      <w:sz w:val="20"/>
      <w:szCs w:val="20"/>
      <w:lang w:val="lt-LT"/>
    </w:rPr>
  </w:style>
  <w:style w:type="character" w:customStyle="1" w:styleId="Antrat1Diagrama">
    <w:name w:val="Antraštė 1 Diagrama"/>
    <w:link w:val="Antrat1"/>
    <w:locked/>
    <w:rsid w:val="008C4948"/>
    <w:rPr>
      <w:rFonts w:ascii="Cambria" w:eastAsia="Times New Roman" w:hAnsi="Cambria" w:cs="Times New Roman"/>
      <w:b/>
      <w:bCs/>
      <w:kern w:val="32"/>
      <w:sz w:val="32"/>
      <w:szCs w:val="32"/>
      <w:lang w:val="lt-LT" w:eastAsia="lt-LT"/>
    </w:rPr>
  </w:style>
  <w:style w:type="character" w:customStyle="1" w:styleId="Antrat3Diagrama">
    <w:name w:val="Antraštė 3 Diagrama"/>
    <w:link w:val="Antrat3"/>
    <w:semiHidden/>
    <w:locked/>
    <w:rsid w:val="008C4948"/>
    <w:rPr>
      <w:rFonts w:ascii="Arial" w:eastAsia="Times New Roman" w:hAnsi="Arial" w:cs="Arial"/>
      <w:b/>
      <w:bCs/>
      <w:sz w:val="26"/>
      <w:szCs w:val="26"/>
      <w:lang w:val="lt-LT"/>
    </w:rPr>
  </w:style>
  <w:style w:type="character" w:customStyle="1" w:styleId="PavadinimasDiagrama">
    <w:name w:val="Pavadinimas Diagrama"/>
    <w:link w:val="Pavadinimas"/>
    <w:locked/>
    <w:rsid w:val="008C4948"/>
    <w:rPr>
      <w:rFonts w:ascii="Times New Roman" w:eastAsia="Times New Roman" w:hAnsi="Times New Roman" w:cs="Times New Roman"/>
      <w:b/>
      <w:kern w:val="28"/>
      <w:szCs w:val="20"/>
      <w:lang w:val="lt-LT" w:eastAsia="lt-LT"/>
    </w:rPr>
  </w:style>
  <w:style w:type="character" w:customStyle="1" w:styleId="CharChar">
    <w:name w:val="Char Char"/>
    <w:rsid w:val="008C4948"/>
    <w:rPr>
      <w:sz w:val="22"/>
      <w:lang w:val="lt-LT" w:eastAsia="lt-LT" w:bidi="ar-SA"/>
    </w:rPr>
  </w:style>
  <w:style w:type="character" w:customStyle="1" w:styleId="CharChar11">
    <w:name w:val="Char Char11"/>
    <w:locked/>
    <w:rsid w:val="008C4948"/>
    <w:rPr>
      <w:rFonts w:ascii="Arial" w:hAnsi="Arial" w:cs="Arial" w:hint="default"/>
      <w:b/>
      <w:bCs w:val="0"/>
      <w:kern w:val="28"/>
      <w:sz w:val="28"/>
      <w:lang w:val="lt-LT" w:eastAsia="en-US" w:bidi="ar-SA"/>
    </w:rPr>
  </w:style>
  <w:style w:type="character" w:customStyle="1" w:styleId="CharChar10">
    <w:name w:val="Char Char10"/>
    <w:semiHidden/>
    <w:locked/>
    <w:rsid w:val="008C4948"/>
    <w:rPr>
      <w:rFonts w:ascii="Arial" w:hAnsi="Arial" w:cs="Arial" w:hint="default"/>
      <w:b/>
      <w:bCs w:val="0"/>
      <w:i/>
      <w:iCs w:val="0"/>
      <w:sz w:val="22"/>
      <w:lang w:val="lt-LT" w:eastAsia="en-US" w:bidi="ar-SA"/>
    </w:rPr>
  </w:style>
  <w:style w:type="character" w:customStyle="1" w:styleId="tw4winError">
    <w:name w:val="tw4winError"/>
    <w:rsid w:val="008C4948"/>
    <w:rPr>
      <w:rFonts w:ascii="Courier New" w:hAnsi="Courier New" w:cs="Courier New" w:hint="default"/>
      <w:color w:val="00FF00"/>
      <w:sz w:val="40"/>
    </w:rPr>
  </w:style>
  <w:style w:type="character" w:customStyle="1" w:styleId="tw4winTerm">
    <w:name w:val="tw4winTerm"/>
    <w:rsid w:val="008C4948"/>
    <w:rPr>
      <w:color w:val="0000FF"/>
    </w:rPr>
  </w:style>
  <w:style w:type="character" w:customStyle="1" w:styleId="tw4winPopup">
    <w:name w:val="tw4winPopup"/>
    <w:rsid w:val="008C4948"/>
    <w:rPr>
      <w:rFonts w:ascii="Courier New" w:hAnsi="Courier New" w:cs="Courier New" w:hint="default"/>
      <w:noProof/>
      <w:color w:val="008000"/>
    </w:rPr>
  </w:style>
  <w:style w:type="character" w:customStyle="1" w:styleId="tw4winJump">
    <w:name w:val="tw4winJump"/>
    <w:rsid w:val="008C4948"/>
    <w:rPr>
      <w:rFonts w:ascii="Courier New" w:hAnsi="Courier New" w:cs="Courier New" w:hint="default"/>
      <w:noProof/>
      <w:color w:val="008080"/>
    </w:rPr>
  </w:style>
  <w:style w:type="character" w:customStyle="1" w:styleId="tw4winExternal">
    <w:name w:val="tw4winExternal"/>
    <w:rsid w:val="008C4948"/>
    <w:rPr>
      <w:rFonts w:ascii="Courier New" w:hAnsi="Courier New" w:cs="Courier New" w:hint="default"/>
      <w:noProof/>
      <w:color w:val="808080"/>
    </w:rPr>
  </w:style>
  <w:style w:type="character" w:customStyle="1" w:styleId="tw4winInternal">
    <w:name w:val="tw4winInternal"/>
    <w:rsid w:val="008C4948"/>
    <w:rPr>
      <w:rFonts w:ascii="Courier New" w:hAnsi="Courier New" w:cs="Courier New" w:hint="default"/>
      <w:noProof/>
      <w:color w:val="FF0000"/>
    </w:rPr>
  </w:style>
  <w:style w:type="character" w:customStyle="1" w:styleId="DONOTTRANSLATE">
    <w:name w:val="DO_NOT_TRANSLATE"/>
    <w:rsid w:val="008C4948"/>
    <w:rPr>
      <w:rFonts w:ascii="Courier New" w:hAnsi="Courier New" w:cs="Courier New" w:hint="default"/>
      <w:noProof/>
      <w:color w:val="800000"/>
    </w:rPr>
  </w:style>
  <w:style w:type="character" w:customStyle="1" w:styleId="tw4winMark">
    <w:name w:val="tw4winMark"/>
    <w:rsid w:val="008C4948"/>
    <w:rPr>
      <w:rFonts w:ascii="Courier New" w:hAnsi="Courier New" w:cs="Courier New" w:hint="default"/>
      <w:vanish/>
      <w:webHidden w:val="0"/>
      <w:color w:val="800080"/>
      <w:sz w:val="24"/>
      <w:vertAlign w:val="subscript"/>
      <w:specVanish w:val="0"/>
    </w:rPr>
  </w:style>
  <w:style w:type="character" w:customStyle="1" w:styleId="HeaderChar1">
    <w:name w:val="Header Char1"/>
    <w:locked/>
    <w:rsid w:val="008C4948"/>
    <w:rPr>
      <w:rFonts w:ascii="Times New Roman" w:eastAsia="SimSun" w:hAnsi="Times New Roman" w:cs="Times New Roman" w:hint="default"/>
      <w:sz w:val="20"/>
      <w:lang w:val="en-GB" w:eastAsia="zh-CN"/>
    </w:rPr>
  </w:style>
  <w:style w:type="character" w:customStyle="1" w:styleId="CharChar12">
    <w:name w:val="Char Char12"/>
    <w:locked/>
    <w:rsid w:val="008C4948"/>
    <w:rPr>
      <w:snapToGrid w:val="0"/>
      <w:lang w:val="en-GB" w:eastAsia="en-US"/>
    </w:rPr>
  </w:style>
  <w:style w:type="table" w:styleId="Lentelstinklelis">
    <w:name w:val="Table Grid"/>
    <w:basedOn w:val="prastojilentel"/>
    <w:uiPriority w:val="99"/>
    <w:rsid w:val="008C494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semiHidden/>
    <w:rsid w:val="008C4948"/>
    <w:pPr>
      <w:spacing w:after="0" w:line="240" w:lineRule="auto"/>
    </w:pPr>
    <w:rPr>
      <w:rFonts w:ascii="Verdana" w:eastAsia="SimSun" w:hAnsi="Verdana" w:cs="Times New Roman"/>
      <w:sz w:val="18"/>
      <w:szCs w:val="20"/>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numbering" w:customStyle="1" w:styleId="NoList1">
    <w:name w:val="No List1"/>
    <w:next w:val="Sraonra"/>
    <w:uiPriority w:val="99"/>
    <w:semiHidden/>
    <w:unhideWhenUsed/>
    <w:rsid w:val="00E63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0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Props1.xml><?xml version="1.0" encoding="utf-8"?>
<ds:datastoreItem xmlns:ds="http://schemas.openxmlformats.org/officeDocument/2006/customXml" ds:itemID="{4EB4B988-A9C0-4582-8B9F-1389D6CA2208}">
  <ds:schemaRefs>
    <ds:schemaRef ds:uri="http://schemas.microsoft.com/sharepoint/v3/contenttype/forms"/>
  </ds:schemaRefs>
</ds:datastoreItem>
</file>

<file path=customXml/itemProps2.xml><?xml version="1.0" encoding="utf-8"?>
<ds:datastoreItem xmlns:ds="http://schemas.openxmlformats.org/officeDocument/2006/customXml" ds:itemID="{C4539372-DA6B-4E14-A3DA-949299B45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4ABF56-CE5C-4BCB-B6EA-D383CE5F57AF}">
  <ds:schemaRefs>
    <ds:schemaRef ds:uri="http://purl.org/dc/terms/"/>
    <ds:schemaRef ds:uri="http://purl.org/dc/dcmitype/"/>
    <ds:schemaRef ds:uri="525029b5-868e-4932-a2f1-2267ab1d00cd"/>
    <ds:schemaRef ds:uri="http://schemas.microsoft.com/office/2006/documentManagement/types"/>
    <ds:schemaRef ds:uri="dbf2eccc-375d-4251-95f3-c31d8c476153"/>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91</Pages>
  <Words>127286</Words>
  <Characters>72554</Characters>
  <Application>Microsoft Office Word</Application>
  <DocSecurity>4</DocSecurity>
  <Lines>604</Lines>
  <Paragraphs>398</Paragraphs>
  <ScaleCrop>false</ScaleCrop>
  <HeadingPairs>
    <vt:vector size="8" baseType="variant">
      <vt:variant>
        <vt:lpstr>Pavadinimas</vt:lpstr>
      </vt:variant>
      <vt:variant>
        <vt:i4>1</vt:i4>
      </vt:variant>
      <vt:variant>
        <vt:lpstr>Antraštės</vt:lpstr>
      </vt:variant>
      <vt:variant>
        <vt:i4>29</vt:i4>
      </vt:variant>
      <vt:variant>
        <vt:lpstr>Title</vt:lpstr>
      </vt:variant>
      <vt:variant>
        <vt:i4>1</vt:i4>
      </vt:variant>
      <vt:variant>
        <vt:lpstr>Headings</vt:lpstr>
      </vt:variant>
      <vt:variant>
        <vt:i4>29</vt:i4>
      </vt:variant>
    </vt:vector>
  </HeadingPairs>
  <TitlesOfParts>
    <vt:vector size="60" baseType="lpstr">
      <vt:lpstr/>
      <vt:lpstr/>
      <vt:lpstr/>
      <vt:lpstr/>
      <vt:lpstr>        2.	KOKYBINĖ IR KIEKYBINĖ SUDĖTIS</vt:lpstr>
      <vt:lpstr>        3.	FARMACINĖ FORMA</vt:lpstr>
      <vt:lpstr>Kadangi šio vaistinio preparato 2,5 mg dozė nėra tiekiama, reikia vartoti kitus </vt:lpstr>
      <vt:lpstr/>
      <vt:lpstr>Reikia reguliariai iš naujo įvertinti tolesnio kasdieninio vartojimo tinkamumą.</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2.	KOKYBINĖ IR KIEKYBINĖ SUDĖTIS</vt:lpstr>
      <vt:lpstr>        3.	FARMACINĖ FORMA</vt:lpstr>
      <vt:lpstr>Kadangi šio vaistinio preparato 2,5 mg dozė nėra tiekiama, reikia vartoti kitus </vt:lpstr>
      <vt:lpstr/>
      <vt:lpstr>Reikia reguliariai iš naujo įvertinti tolesnio kasdieninio vartojimo tinkamumą.</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2.	KOKYBINĖ IR KIEKYBINĖ SUDĖTIS</vt:lpstr>
      <vt:lpstr>        3.	FARMACINĖ FORMA</vt:lpstr>
      <vt:lpstr/>
      <vt:lpstr/>
      <vt:lpstr/>
      <vt:lpstr/>
      <vt:lpstr>        2.	KOKYBINĖ IR KIEKYBINĖ SUDĖTIS</vt:lpstr>
      <vt:lpstr>        3.	FARMACINĖ FORMA</vt:lpstr>
      <vt:lpstr>Kadangi šio vaistinio preparato 2,5 mg dozė nėra tiekiama, reikia vartoti kitus </vt:lpstr>
      <vt:lpstr/>
      <vt:lpstr>Reikia reguliariai iš naujo įvertinti tolesnio kasdieninio vartojimo tinkamumą.</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2.	KOKYBINĖ IR KIEKYBINĖ SUDĖTIS</vt:lpstr>
      <vt:lpstr>        3.	FARMACINĖ FORMA</vt:lpstr>
      <vt:lpstr>Kadangi šio vaistinio preparato 2,5 mg dozė nėra tiekiama, reikia vartoti kitus </vt:lpstr>
      <vt:lpstr/>
      <vt:lpstr>Reikia reguliariai iš naujo įvertinti tolesnio kasdieninio vartojimo tinkamumą.</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2.	KOKYBINĖ IR KIEKYBINĖ SUDĖTIS</vt:lpstr>
      <vt:lpstr>        3.	FARMACINĖ FORMA</vt:lpstr>
    </vt:vector>
  </TitlesOfParts>
  <Company/>
  <LinksUpToDate>false</LinksUpToDate>
  <CharactersWithSpaces>199442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Lithuanian</dc:creator>
  <cp:lastModifiedBy>Albina Burkauskaitė</cp:lastModifiedBy>
  <cp:revision>2</cp:revision>
  <dcterms:created xsi:type="dcterms:W3CDTF">2024-12-12T07:44:00Z</dcterms:created>
  <dcterms:modified xsi:type="dcterms:W3CDTF">2024-12-12T07:44:00Z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