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141BE9" w14:textId="2594498B"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bookmarkStart w:id="0" w:name="_Toc129243221"/>
      <w:bookmarkStart w:id="1" w:name="_Toc129243096"/>
      <w:bookmarkStart w:id="2" w:name="_GoBack"/>
      <w:bookmarkEnd w:id="2"/>
    </w:p>
    <w:p w14:paraId="047F69D4"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270B95A0"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0277EA07"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4D59CC49"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08FED9C7"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33F555D3"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65EA51C6"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694FF5C3"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3B943C11"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40D1262D"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32B2698F"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01886B4B"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6988D5A4"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4178D3AA"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535CF2F4"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2FE15E72"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73F11327"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0278B3E9"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6B9AA51E"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26BD67F0"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4B492C4B"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5135055F"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p>
    <w:p w14:paraId="7A1BFC54"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r w:rsidRPr="00E14983">
        <w:rPr>
          <w:rFonts w:ascii="Times New Roman" w:eastAsia="Times New Roman" w:hAnsi="Times New Roman" w:cs="Times New Roman"/>
          <w:b/>
          <w:caps/>
          <w:lang w:val="lt-LT" w:eastAsia="en-GB"/>
        </w:rPr>
        <w:t>I PRIEDAS</w:t>
      </w:r>
      <w:bookmarkEnd w:id="0"/>
      <w:bookmarkEnd w:id="1"/>
    </w:p>
    <w:p w14:paraId="1EAC1529" w14:textId="77777777" w:rsidR="009500C0" w:rsidRPr="00E14983" w:rsidRDefault="009500C0" w:rsidP="009500C0">
      <w:pPr>
        <w:tabs>
          <w:tab w:val="left" w:pos="567"/>
        </w:tabs>
        <w:snapToGrid w:val="0"/>
        <w:spacing w:after="0" w:line="240" w:lineRule="auto"/>
        <w:jc w:val="both"/>
        <w:rPr>
          <w:rFonts w:ascii="Times New Roman" w:eastAsia="Times New Roman" w:hAnsi="Times New Roman" w:cs="Times New Roman"/>
          <w:lang w:val="lt-LT" w:eastAsia="en-GB"/>
        </w:rPr>
      </w:pPr>
    </w:p>
    <w:p w14:paraId="4AB47613"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bookmarkStart w:id="3" w:name="_Toc129243222"/>
      <w:bookmarkStart w:id="4" w:name="_Toc129243097"/>
      <w:r w:rsidRPr="00E14983">
        <w:rPr>
          <w:rFonts w:ascii="Times New Roman" w:eastAsia="Times New Roman" w:hAnsi="Times New Roman" w:cs="Times New Roman"/>
          <w:b/>
          <w:caps/>
          <w:lang w:val="lt-LT" w:eastAsia="en-GB"/>
        </w:rPr>
        <w:t>PREPARATO CHARAKTERISTIKŲ SANTRAUKA</w:t>
      </w:r>
      <w:bookmarkEnd w:id="3"/>
      <w:bookmarkEnd w:id="4"/>
    </w:p>
    <w:p w14:paraId="082288E1" w14:textId="77777777" w:rsidR="009500C0" w:rsidRPr="00E14983" w:rsidRDefault="009500C0" w:rsidP="009500C0">
      <w:pPr>
        <w:spacing w:after="0" w:line="240" w:lineRule="auto"/>
        <w:rPr>
          <w:rFonts w:ascii="Times New Roman" w:eastAsia="Times New Roman" w:hAnsi="Times New Roman" w:cs="Times New Roman"/>
          <w:b/>
          <w:snapToGrid w:val="0"/>
          <w:color w:val="000000"/>
          <w:lang w:val="lt-LT"/>
        </w:rPr>
      </w:pPr>
    </w:p>
    <w:p w14:paraId="2FE9C847" w14:textId="77777777" w:rsidR="009500C0" w:rsidRPr="00E14983" w:rsidRDefault="009500C0" w:rsidP="009500C0">
      <w:pPr>
        <w:spacing w:after="0" w:line="240" w:lineRule="auto"/>
        <w:rPr>
          <w:rFonts w:ascii="Times New Roman" w:eastAsia="Times New Roman" w:hAnsi="Times New Roman" w:cs="Times New Roman"/>
          <w:b/>
          <w:snapToGrid w:val="0"/>
          <w:color w:val="000000"/>
          <w:lang w:val="lt-LT"/>
        </w:rPr>
      </w:pPr>
      <w:r w:rsidRPr="00E14983">
        <w:rPr>
          <w:rFonts w:ascii="Times New Roman" w:eastAsia="Times New Roman" w:hAnsi="Times New Roman" w:cs="Times New Roman"/>
          <w:b/>
          <w:snapToGrid w:val="0"/>
          <w:color w:val="000000"/>
          <w:lang w:val="lt-LT"/>
        </w:rPr>
        <w:br w:type="page"/>
      </w:r>
    </w:p>
    <w:p w14:paraId="36B50989"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b/>
          <w:bCs/>
          <w:color w:val="000000"/>
          <w:lang w:val="lt-LT"/>
        </w:rPr>
        <w:lastRenderedPageBreak/>
        <w:t>1.</w:t>
      </w:r>
      <w:r w:rsidRPr="00E14983">
        <w:rPr>
          <w:rFonts w:ascii="Times New Roman" w:eastAsia="Times New Roman" w:hAnsi="Times New Roman" w:cs="Times New Roman"/>
          <w:b/>
          <w:bCs/>
          <w:color w:val="000000"/>
          <w:lang w:val="lt-LT"/>
        </w:rPr>
        <w:tab/>
        <w:t>VAISTINIO PREPARATO PAVADINIMAS</w:t>
      </w:r>
    </w:p>
    <w:p w14:paraId="5A3B9A0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iCs/>
          <w:color w:val="000000"/>
          <w:lang w:val="lt-LT"/>
        </w:rPr>
      </w:pPr>
    </w:p>
    <w:p w14:paraId="3B90961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r w:rsidRPr="00E14983">
        <w:rPr>
          <w:rFonts w:ascii="Times New Roman" w:eastAsia="Times New Roman" w:hAnsi="Times New Roman" w:cs="Times New Roman"/>
          <w:bCs/>
          <w:color w:val="000000"/>
          <w:lang w:val="lt-LT"/>
        </w:rPr>
        <w:t>Irinotecan Accord 20 mg/ml koncentratas infuziniam tirpalui</w:t>
      </w:r>
    </w:p>
    <w:p w14:paraId="34DA0BB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2C00BA9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3302C21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2.</w:t>
      </w:r>
      <w:r w:rsidRPr="00E14983">
        <w:rPr>
          <w:rFonts w:ascii="Times New Roman" w:eastAsia="Times New Roman" w:hAnsi="Times New Roman" w:cs="Times New Roman"/>
          <w:b/>
          <w:bCs/>
          <w:color w:val="000000"/>
          <w:lang w:val="lt-LT"/>
        </w:rPr>
        <w:tab/>
        <w:t>KOKYBINĖ IR KIEKYBINĖ SUDĖTIS</w:t>
      </w:r>
    </w:p>
    <w:p w14:paraId="0BDBDB2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C72F38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Viename koncentrato mililitre yra 20 mg irinotekano hidrochlorido trihidrato, atitinkančio 17,33 mg irinotekano.</w:t>
      </w:r>
    </w:p>
    <w:p w14:paraId="30F5811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55675E7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2 ml flakone yra 40 mg irinotekano hidrochlorido trihidrato (40 mg/2 ml).</w:t>
      </w:r>
    </w:p>
    <w:p w14:paraId="79A11EF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52E4BC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5 ml flakone yra 100 mg irinotekano hidrochlorido trihidrato (100 mg/5 ml).</w:t>
      </w:r>
    </w:p>
    <w:p w14:paraId="4C1E5EA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422C19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15 ml flakone yra 300 mg irinotekano hidrochlorido trihidrato (300 mg/15 ml).</w:t>
      </w:r>
    </w:p>
    <w:p w14:paraId="046A17F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5267BED" w14:textId="3CAE0EDB"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25 ml flakone yra 500 mg irinotekano hidrochlorido trihidrato (500 mg/25 ml).</w:t>
      </w:r>
    </w:p>
    <w:p w14:paraId="7C7CC6A4" w14:textId="77777777" w:rsidR="00207E98" w:rsidRPr="00E14983" w:rsidRDefault="00207E98"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C7243F7" w14:textId="3A7CC194" w:rsidR="00207E98" w:rsidRPr="00E14983" w:rsidRDefault="00207E98" w:rsidP="00207E98">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50 ml flakone yra 1000 mg irinotekano hidrochlorido trihidrato (1000 mg/50 ml).</w:t>
      </w:r>
    </w:p>
    <w:p w14:paraId="606D367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8CE9D49" w14:textId="77777777" w:rsidR="009500C0" w:rsidRPr="00E14983" w:rsidRDefault="009500C0" w:rsidP="009500C0">
      <w:pPr>
        <w:tabs>
          <w:tab w:val="left" w:pos="567"/>
        </w:tab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u w:val="single"/>
          <w:lang w:val="lt-LT"/>
        </w:rPr>
        <w:t>Pagalbinė medžiaga, kurios poveikis žinomas:</w:t>
      </w:r>
    </w:p>
    <w:p w14:paraId="0974EC9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mililitre yra 45 mg sorbitolio.</w:t>
      </w:r>
    </w:p>
    <w:p w14:paraId="65A5F68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AEED14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Visos pagalbinės medžiagos išvardytos 6.1 skyriuje.</w:t>
      </w:r>
    </w:p>
    <w:p w14:paraId="26DED0B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4CFA642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3CE144A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 xml:space="preserve">3. </w:t>
      </w:r>
      <w:r w:rsidRPr="00E14983">
        <w:rPr>
          <w:rFonts w:ascii="Times New Roman" w:eastAsia="Times New Roman" w:hAnsi="Times New Roman" w:cs="Times New Roman"/>
          <w:b/>
          <w:bCs/>
          <w:color w:val="000000"/>
          <w:lang w:val="lt-LT"/>
        </w:rPr>
        <w:tab/>
        <w:t>FARMACINĖ FORMA</w:t>
      </w:r>
    </w:p>
    <w:p w14:paraId="2913604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7618B0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Koncentratas infuziniam tirpalui (sterilus koncentratas).</w:t>
      </w:r>
    </w:p>
    <w:p w14:paraId="241FD32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3F454C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u w:val="single"/>
          <w:lang w:val="lt-LT"/>
        </w:rPr>
      </w:pPr>
      <w:r w:rsidRPr="00E14983">
        <w:rPr>
          <w:rFonts w:ascii="Times New Roman" w:eastAsia="Times New Roman" w:hAnsi="Times New Roman" w:cs="Times New Roman"/>
          <w:color w:val="000000"/>
          <w:lang w:val="lt-LT"/>
        </w:rPr>
        <w:t xml:space="preserve">Šviesiai geltonas skaidrus tirpalas, kuriame nėra dalelių. Tirpalo pH yra maždaug 3,0 </w:t>
      </w:r>
      <w:r w:rsidRPr="00E14983">
        <w:rPr>
          <w:rFonts w:ascii="Times New Roman" w:eastAsia="Times New Roman" w:hAnsi="Times New Roman" w:cs="Times New Roman"/>
          <w:color w:val="000000"/>
          <w:lang w:val="lt-LT"/>
        </w:rPr>
        <w:noBreakHyphen/>
        <w:t xml:space="preserve"> 3,8, osmoliariškumas − maždaug 270 </w:t>
      </w:r>
      <w:r w:rsidRPr="00E14983">
        <w:rPr>
          <w:rFonts w:ascii="Times New Roman" w:eastAsia="Times New Roman" w:hAnsi="Times New Roman" w:cs="Times New Roman"/>
          <w:color w:val="000000"/>
          <w:lang w:val="lt-LT"/>
        </w:rPr>
        <w:noBreakHyphen/>
        <w:t xml:space="preserve"> 330 mosmol/kg.</w:t>
      </w:r>
    </w:p>
    <w:p w14:paraId="7F667AA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197BBFB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3B76BD1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w:t>
      </w:r>
      <w:r w:rsidRPr="00E14983">
        <w:rPr>
          <w:rFonts w:ascii="Times New Roman" w:eastAsia="Times New Roman" w:hAnsi="Times New Roman" w:cs="Times New Roman"/>
          <w:b/>
          <w:bCs/>
          <w:color w:val="000000"/>
          <w:lang w:val="lt-LT"/>
        </w:rPr>
        <w:tab/>
        <w:t>KLINIKINĖ INFORMACIJA</w:t>
      </w:r>
    </w:p>
    <w:p w14:paraId="55415E5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47CC3B6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4.1</w:t>
      </w:r>
      <w:r w:rsidRPr="00E14983">
        <w:rPr>
          <w:rFonts w:ascii="Times New Roman" w:eastAsia="Times New Roman" w:hAnsi="Times New Roman" w:cs="Times New Roman"/>
          <w:b/>
          <w:bCs/>
          <w:color w:val="000000"/>
          <w:lang w:val="lt-LT"/>
        </w:rPr>
        <w:tab/>
        <w:t>Terapinės indikacijos</w:t>
      </w:r>
    </w:p>
    <w:p w14:paraId="010F4FB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iCs/>
          <w:color w:val="000000"/>
          <w:lang w:val="lt-LT"/>
        </w:rPr>
      </w:pPr>
    </w:p>
    <w:p w14:paraId="4372A20F" w14:textId="1C7899BF"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koncentratas infuziniam tirpalui skirtas progresavusiam gaubtinės ir tiesiosios žarnos vėžiui gydyti</w:t>
      </w:r>
      <w:r w:rsidRPr="00E14983">
        <w:rPr>
          <w:rFonts w:ascii="Times New Roman" w:eastAsia="Times New Roman" w:hAnsi="Times New Roman" w:cs="Times New Roman"/>
          <w:color w:val="000000"/>
          <w:lang w:val="lt-LT"/>
        </w:rPr>
        <w:t>:</w:t>
      </w:r>
    </w:p>
    <w:p w14:paraId="1FBFED3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derinyje su 5-fluorouracilu ir folino rūgštimi pacientams, kuriems prieš tai nebuvo taikyta chemoterapija progresavusiam vėžiui gydyti;</w:t>
      </w:r>
    </w:p>
    <w:p w14:paraId="20FC657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monoterapija pacientams, kuriems g</w:t>
      </w:r>
      <w:r w:rsidRPr="00E14983">
        <w:rPr>
          <w:rFonts w:ascii="Times New Roman" w:hAnsi="Times New Roman"/>
          <w:lang w:val="lt-LT"/>
        </w:rPr>
        <w:t xml:space="preserve">ydymas pripažintais preparatais, tarp kurių buvo 5-fluorouracilas, buvo neveiksmingas. </w:t>
      </w:r>
    </w:p>
    <w:p w14:paraId="0DCE7F0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p>
    <w:p w14:paraId="45ECB4E5" w14:textId="045F8B4D"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Irinotecan Accord 20 mg/ml koncentrat</w:t>
      </w:r>
      <w:r w:rsidR="005257FA"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infuziniam tirpalui </w:t>
      </w:r>
      <w:r w:rsidRPr="00E14983">
        <w:rPr>
          <w:rFonts w:ascii="Times New Roman" w:eastAsia="Times New Roman" w:hAnsi="Times New Roman" w:cs="Times New Roman"/>
          <w:color w:val="000000"/>
          <w:lang w:val="lt-LT"/>
        </w:rPr>
        <w:t>deriny</w:t>
      </w:r>
      <w:r w:rsidR="005257FA" w:rsidRPr="00E14983">
        <w:rPr>
          <w:rFonts w:ascii="Times New Roman" w:eastAsia="Times New Roman" w:hAnsi="Times New Roman" w:cs="Times New Roman"/>
          <w:color w:val="000000"/>
          <w:lang w:val="lt-LT"/>
        </w:rPr>
        <w:t>s</w:t>
      </w:r>
      <w:r w:rsidRPr="00E14983">
        <w:rPr>
          <w:rFonts w:ascii="Times New Roman" w:eastAsia="Times New Roman" w:hAnsi="Times New Roman" w:cs="Times New Roman"/>
          <w:color w:val="000000"/>
          <w:lang w:val="lt-LT"/>
        </w:rPr>
        <w:t xml:space="preserve"> su cetuksimabu skirtas gydyti pacientus, kuriems yra epidermio augimo faktoriaus receptorių (EAFR) raiška, RAS laukinio tipo metastazavęs gaubtinės ir tiesiosios žarnos vėžys ir, kuriems anksčiau nebuvo gydyta metastazinė liga, arba citotoksinis gydymas irinotekanu nebuvo veiksmingas (žr</w:t>
      </w:r>
      <w:r w:rsidRPr="00E14983">
        <w:rPr>
          <w:rFonts w:ascii="Times New Roman" w:eastAsia="Times New Roman" w:hAnsi="Times New Roman" w:cs="Times New Roman"/>
          <w:lang w:val="lt-LT"/>
        </w:rPr>
        <w:t>. 5.1 skyrių)</w:t>
      </w:r>
      <w:r w:rsidRPr="00E14983">
        <w:rPr>
          <w:rFonts w:ascii="Times New Roman" w:eastAsia="Times New Roman" w:hAnsi="Times New Roman" w:cs="Times New Roman"/>
          <w:color w:val="000000"/>
          <w:lang w:val="lt-LT"/>
        </w:rPr>
        <w:t>.</w:t>
      </w:r>
    </w:p>
    <w:p w14:paraId="24E47E4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p>
    <w:p w14:paraId="6CCC148B" w14:textId="5C57D512"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Irinotecan Accord 20 mg/ml koncentrat</w:t>
      </w:r>
      <w:r w:rsidR="005257FA"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infuziniam tirpalui deriny</w:t>
      </w:r>
      <w:r w:rsidR="005257FA" w:rsidRPr="00E14983">
        <w:rPr>
          <w:rFonts w:ascii="Times New Roman" w:eastAsia="Times New Roman" w:hAnsi="Times New Roman" w:cs="Times New Roman"/>
          <w:lang w:val="lt-LT"/>
        </w:rPr>
        <w:t>s</w:t>
      </w:r>
      <w:r w:rsidRPr="00E14983">
        <w:rPr>
          <w:rFonts w:ascii="Times New Roman" w:eastAsia="Times New Roman" w:hAnsi="Times New Roman" w:cs="Times New Roman"/>
          <w:lang w:val="lt-LT"/>
        </w:rPr>
        <w:t xml:space="preserve"> su 5-fluorouracilu, folino rūgštimi ir bevacizumabu skirtas pirmaeiliam </w:t>
      </w:r>
      <w:r w:rsidRPr="00E14983">
        <w:rPr>
          <w:rFonts w:ascii="Times New Roman" w:eastAsia="Times New Roman" w:hAnsi="Times New Roman" w:cs="Times New Roman"/>
          <w:color w:val="000000"/>
          <w:lang w:val="lt-LT"/>
        </w:rPr>
        <w:t>pacientų, sergančių gaubtinės arba tiesiosios žarnos metastazavusiu vėžiu, gydymui.</w:t>
      </w:r>
    </w:p>
    <w:p w14:paraId="6C3D1AA5" w14:textId="77777777"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7F341968" w14:textId="074C9F89"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Irinotecan Accord 20 mg/ml koncentrat</w:t>
      </w:r>
      <w:r w:rsidR="005257FA"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infuziniam tirpalui deriny</w:t>
      </w:r>
      <w:r w:rsidR="005257FA" w:rsidRPr="00E14983">
        <w:rPr>
          <w:rFonts w:ascii="Times New Roman" w:eastAsia="Times New Roman" w:hAnsi="Times New Roman" w:cs="Times New Roman"/>
          <w:lang w:val="lt-LT"/>
        </w:rPr>
        <w:t>s</w:t>
      </w:r>
      <w:r w:rsidRPr="00E14983">
        <w:rPr>
          <w:rFonts w:ascii="Times New Roman" w:eastAsia="Times New Roman" w:hAnsi="Times New Roman" w:cs="Times New Roman"/>
          <w:lang w:val="lt-LT"/>
        </w:rPr>
        <w:t xml:space="preserve"> su kapecitabinu ir bevacizumabu arba be jo skirtas pirmaeiliam </w:t>
      </w:r>
      <w:r w:rsidRPr="00E14983">
        <w:rPr>
          <w:rFonts w:ascii="Times New Roman" w:eastAsia="Times New Roman" w:hAnsi="Times New Roman" w:cs="Times New Roman"/>
          <w:color w:val="000000"/>
          <w:lang w:val="lt-LT"/>
        </w:rPr>
        <w:t>pacientų, sergančių gaubtinės ar tiesiosios žarnos metastazavusiu vėžiu, gydymui.</w:t>
      </w:r>
    </w:p>
    <w:p w14:paraId="0CBFB98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23CFE35"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4.2</w:t>
      </w:r>
      <w:r w:rsidRPr="00E14983">
        <w:rPr>
          <w:rFonts w:ascii="Times New Roman" w:eastAsia="Times New Roman" w:hAnsi="Times New Roman" w:cs="Times New Roman"/>
          <w:b/>
          <w:bCs/>
          <w:color w:val="000000"/>
          <w:lang w:val="lt-LT"/>
        </w:rPr>
        <w:tab/>
        <w:t>Dozavimas ir vartojimo metodas</w:t>
      </w:r>
    </w:p>
    <w:p w14:paraId="68F0F764"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A30870F" w14:textId="4E851230" w:rsidR="00FE2398" w:rsidRPr="00E14983" w:rsidRDefault="00FE2398"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Dozavimas</w:t>
      </w:r>
    </w:p>
    <w:p w14:paraId="7F4FA3BF" w14:textId="6217A1F0" w:rsidR="009500C0" w:rsidRPr="00E14983" w:rsidRDefault="00FE2398"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color w:val="000000"/>
          <w:lang w:val="lt-LT"/>
        </w:rPr>
        <w:t>Tik</w:t>
      </w:r>
      <w:r w:rsidRPr="00E14983" w:rsidDel="00FE2398">
        <w:rPr>
          <w:rFonts w:ascii="Times New Roman" w:eastAsia="Times New Roman" w:hAnsi="Times New Roman" w:cs="Times New Roman"/>
          <w:color w:val="000000"/>
          <w:lang w:val="lt-LT"/>
        </w:rPr>
        <w:t xml:space="preserve"> </w:t>
      </w:r>
      <w:r w:rsidR="009500C0" w:rsidRPr="00E14983">
        <w:rPr>
          <w:rFonts w:ascii="Times New Roman" w:eastAsia="Times New Roman" w:hAnsi="Times New Roman" w:cs="Times New Roman"/>
          <w:color w:val="000000"/>
          <w:lang w:val="lt-LT"/>
        </w:rPr>
        <w:t xml:space="preserve">suaugusiesiems. </w:t>
      </w:r>
      <w:r w:rsidRPr="00E14983">
        <w:rPr>
          <w:rFonts w:ascii="Times New Roman" w:eastAsia="Times New Roman" w:hAnsi="Times New Roman" w:cs="Times New Roman"/>
          <w:iCs/>
          <w:color w:val="000000"/>
          <w:lang w:val="lt-LT"/>
        </w:rPr>
        <w:t>I</w:t>
      </w:r>
      <w:r w:rsidR="009500C0" w:rsidRPr="00E14983">
        <w:rPr>
          <w:rFonts w:ascii="Times New Roman" w:eastAsia="Times New Roman" w:hAnsi="Times New Roman" w:cs="Times New Roman"/>
          <w:iCs/>
          <w:color w:val="000000"/>
          <w:lang w:val="lt-LT"/>
        </w:rPr>
        <w:t>rinotekano koncentratą infuziniam tirpalui reikia infuzuoti į periferinę arba centrinę veną.</w:t>
      </w:r>
    </w:p>
    <w:p w14:paraId="2D49D03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03C5DBAD"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Rekomenduojama dozė</w:t>
      </w:r>
    </w:p>
    <w:p w14:paraId="58891B77"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1EEF9719"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iCs/>
          <w:color w:val="000000"/>
          <w:u w:val="single"/>
          <w:lang w:val="lt-LT"/>
        </w:rPr>
      </w:pPr>
      <w:r w:rsidRPr="00E14983">
        <w:rPr>
          <w:rFonts w:ascii="Times New Roman" w:eastAsia="Times New Roman" w:hAnsi="Times New Roman" w:cs="Times New Roman"/>
          <w:i/>
          <w:iCs/>
          <w:color w:val="000000"/>
          <w:u w:val="single"/>
          <w:lang w:val="lt-LT"/>
        </w:rPr>
        <w:t>Monoterapija (anksčiau gydytiems pacientams)</w:t>
      </w:r>
    </w:p>
    <w:p w14:paraId="68845F04"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p>
    <w:p w14:paraId="393DFA7D" w14:textId="3FAC609C"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Rekomenduojama </w:t>
      </w:r>
      <w:r w:rsidRPr="00E14983">
        <w:rPr>
          <w:rFonts w:ascii="Times New Roman" w:eastAsia="Times New Roman" w:hAnsi="Times New Roman" w:cs="Times New Roman"/>
          <w:iCs/>
          <w:color w:val="000000"/>
          <w:lang w:val="lt-LT"/>
        </w:rPr>
        <w:t xml:space="preserve">Irinotecan Accord 20 mg/ml koncentrato infuziniam tirpalui </w:t>
      </w:r>
      <w:r w:rsidRPr="00E14983">
        <w:rPr>
          <w:rFonts w:ascii="Times New Roman" w:eastAsia="Times New Roman" w:hAnsi="Times New Roman" w:cs="Times New Roman"/>
          <w:color w:val="000000"/>
          <w:lang w:val="lt-LT"/>
        </w:rPr>
        <w:t>dozė yra 350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infuzuojama į veną per 30</w:t>
      </w:r>
      <w:r w:rsidRPr="00E14983">
        <w:rPr>
          <w:rFonts w:ascii="Times New Roman" w:eastAsia="Times New Roman" w:hAnsi="Times New Roman" w:cs="Times New Roman"/>
          <w:color w:val="000000"/>
          <w:lang w:val="lt-LT"/>
        </w:rPr>
        <w:noBreakHyphen/>
        <w:t>90 minučių kas tris savaites (žr. 4.4 ir 6.6 skyrius).</w:t>
      </w:r>
    </w:p>
    <w:p w14:paraId="19BF65A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iCs/>
          <w:color w:val="000000"/>
          <w:u w:val="single"/>
          <w:lang w:val="lt-LT"/>
        </w:rPr>
      </w:pPr>
    </w:p>
    <w:p w14:paraId="5EAC76A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iCs/>
          <w:color w:val="000000"/>
          <w:u w:val="single"/>
          <w:lang w:val="lt-LT"/>
        </w:rPr>
      </w:pPr>
      <w:r w:rsidRPr="00E14983">
        <w:rPr>
          <w:rFonts w:ascii="Times New Roman" w:eastAsia="Times New Roman" w:hAnsi="Times New Roman" w:cs="Times New Roman"/>
          <w:i/>
          <w:iCs/>
          <w:color w:val="000000"/>
          <w:u w:val="single"/>
          <w:lang w:val="lt-LT"/>
        </w:rPr>
        <w:t>Kombinuota terapija (anksčiau negydytiems pacientams)</w:t>
      </w:r>
    </w:p>
    <w:p w14:paraId="19502E6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411AB98" w14:textId="3A27533E"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 xml:space="preserve">saugumas ir veiksmingumas derinant su 5-fluorouracilu (5FU) ir folino rūgštimi (FR) buvo įvertintas pagal </w:t>
      </w:r>
      <w:r w:rsidR="00E15D7F">
        <w:rPr>
          <w:rFonts w:ascii="Times New Roman" w:eastAsia="Times New Roman" w:hAnsi="Times New Roman" w:cs="Times New Roman"/>
          <w:color w:val="000000"/>
          <w:lang w:val="lt-LT"/>
        </w:rPr>
        <w:t>toliau pateiktą</w:t>
      </w:r>
      <w:r w:rsidR="00E15D7F"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gydymo schemą (žr. 5.1 skyrių)</w:t>
      </w:r>
      <w:r w:rsidR="00E15D7F">
        <w:rPr>
          <w:rFonts w:ascii="Times New Roman" w:eastAsia="Times New Roman" w:hAnsi="Times New Roman" w:cs="Times New Roman"/>
          <w:color w:val="000000"/>
          <w:lang w:val="lt-LT"/>
        </w:rPr>
        <w:t>.</w:t>
      </w:r>
    </w:p>
    <w:p w14:paraId="24F0AF3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07E0E38" w14:textId="77777777" w:rsidR="009500C0" w:rsidRPr="00E14983" w:rsidRDefault="009500C0" w:rsidP="009500C0">
      <w:pPr>
        <w:widowControl w:val="0"/>
        <w:shd w:val="clear" w:color="auto" w:fill="FFFFFF"/>
        <w:tabs>
          <w:tab w:val="left" w:pos="408"/>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w:t>
      </w:r>
      <w:r w:rsidRPr="00E14983">
        <w:rPr>
          <w:rFonts w:ascii="Times New Roman" w:eastAsia="Times New Roman" w:hAnsi="Times New Roman" w:cs="Times New Roman"/>
          <w:color w:val="000000"/>
          <w:lang w:val="lt-LT"/>
        </w:rPr>
        <w:tab/>
      </w: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ir 5FU/FR kas dvi savaites</w:t>
      </w:r>
    </w:p>
    <w:p w14:paraId="3EF45A4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3F37364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Rekomenduojama </w:t>
      </w:r>
      <w:r w:rsidRPr="00E14983">
        <w:rPr>
          <w:rFonts w:ascii="Times New Roman" w:eastAsia="Times New Roman" w:hAnsi="Times New Roman" w:cs="Times New Roman"/>
          <w:iCs/>
          <w:color w:val="000000"/>
          <w:lang w:val="lt-LT"/>
        </w:rPr>
        <w:t xml:space="preserve">Irinotecan Accord 20 mg/ml koncentrato infuziniam tirpalui </w:t>
      </w:r>
      <w:r w:rsidRPr="00E14983">
        <w:rPr>
          <w:rFonts w:ascii="Times New Roman" w:eastAsia="Times New Roman" w:hAnsi="Times New Roman" w:cs="Times New Roman"/>
          <w:color w:val="000000"/>
          <w:lang w:val="lt-LT"/>
        </w:rPr>
        <w:t>dozė yra 180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infuzuojama kartą per dvi savaites į veną per 30</w:t>
      </w:r>
      <w:r w:rsidRPr="00E14983">
        <w:rPr>
          <w:rFonts w:ascii="Times New Roman" w:eastAsia="Times New Roman" w:hAnsi="Times New Roman" w:cs="Times New Roman"/>
          <w:color w:val="000000"/>
          <w:lang w:val="lt-LT"/>
        </w:rPr>
        <w:noBreakHyphen/>
        <w:t>90 minučių, po to atliekama folino rūgšties ir 5-fluorouracilo infuzija.</w:t>
      </w:r>
    </w:p>
    <w:p w14:paraId="4429D9E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1499F8F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Apie cetuksimabo dozavimą ir vartojimo metodą nurodyta cetuksimabo </w:t>
      </w:r>
      <w:r w:rsidRPr="00E14983">
        <w:rPr>
          <w:rFonts w:ascii="Times New Roman" w:eastAsia="Times New Roman" w:hAnsi="Times New Roman" w:cs="Times New Roman"/>
          <w:lang w:val="lt-LT"/>
        </w:rPr>
        <w:t>preparato charakteristikų santraukoje.</w:t>
      </w:r>
    </w:p>
    <w:p w14:paraId="71F016F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22AD93F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Paprastai vartojama tokia pati irinotekano dozė, kaip ir buvo infuzuojama ankstesniojo irinotekano gydymo režimo paskutinio ciklo metu. Irinotekano draudžiama infuzuoti, nepraėjus vienai valandai po cetuksimabo infuzijos pabaigos.</w:t>
      </w:r>
    </w:p>
    <w:p w14:paraId="78113D6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86E2CE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Apie bevacizumabo dozavimą ir vartojimo metodą nurodyta bevacizumabo preparato charakteristikų santraukoje.</w:t>
      </w:r>
    </w:p>
    <w:p w14:paraId="45BD7DA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118A1A1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Apie kapecitabino vartojamo kartu su kitais vaistiniais preparatais, dozavimą ir vartojimo metodą, nurodyta preparato charakteristikų santraukos 5.1 skyriuje ir atitinkamuose kapecitabino preparato charakteristikų santraukos skyriuose.</w:t>
      </w:r>
    </w:p>
    <w:p w14:paraId="7A1743C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p>
    <w:p w14:paraId="698F692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Dozės koregavimas</w:t>
      </w:r>
    </w:p>
    <w:p w14:paraId="3DC1EAC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5359174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iCs/>
          <w:color w:val="000000"/>
          <w:lang w:val="lt-LT"/>
        </w:rPr>
        <w:t>Irinotecan Accord 20 mg/ml koncentratą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 xml:space="preserve">reikia vartoti, kai visi nepageidaujami reiškiniai sumažėja iki 0 arba 1 laipsnio pagal Nacionalinio vėžio instituto bendruosius toksiškumo kriterijus (NVI-BTK) ir kai </w:t>
      </w:r>
      <w:r w:rsidRPr="00E14983">
        <w:rPr>
          <w:rFonts w:ascii="Times New Roman" w:eastAsia="Times New Roman" w:hAnsi="Times New Roman" w:cs="Times New Roman"/>
          <w:lang w:val="lt-LT"/>
        </w:rPr>
        <w:t>visiškai praeina gydymo sukeltas viduriavimas</w:t>
      </w:r>
      <w:r w:rsidRPr="00E14983">
        <w:rPr>
          <w:rFonts w:ascii="Times New Roman" w:eastAsia="Times New Roman" w:hAnsi="Times New Roman" w:cs="Times New Roman"/>
          <w:color w:val="000000"/>
          <w:lang w:val="lt-LT"/>
        </w:rPr>
        <w:t>.</w:t>
      </w:r>
    </w:p>
    <w:p w14:paraId="1BDE0A9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048B42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Prieš pradedant kitą infuziją</w:t>
      </w:r>
      <w:r w:rsidRPr="00E14983">
        <w:rPr>
          <w:rFonts w:ascii="Times New Roman" w:eastAsia="Times New Roman" w:hAnsi="Times New Roman" w:cs="Times New Roman"/>
          <w:color w:val="000000"/>
          <w:lang w:val="lt-LT"/>
        </w:rPr>
        <w:t xml:space="preserve">, Irinotecan Accord 20 mg/ml koncentrato infuziniam tirpalui ir 5FU dozę, jeigu </w:t>
      </w:r>
      <w:bookmarkStart w:id="5" w:name="OLE_LINK2"/>
      <w:bookmarkStart w:id="6" w:name="OLE_LINK1"/>
      <w:r w:rsidRPr="00E14983">
        <w:rPr>
          <w:rFonts w:ascii="Times New Roman" w:eastAsia="Times New Roman" w:hAnsi="Times New Roman" w:cs="Times New Roman"/>
          <w:color w:val="000000"/>
          <w:lang w:val="lt-LT"/>
        </w:rPr>
        <w:t>vartojama</w:t>
      </w:r>
      <w:bookmarkEnd w:id="5"/>
      <w:bookmarkEnd w:id="6"/>
      <w:r w:rsidRPr="00E14983">
        <w:rPr>
          <w:rFonts w:ascii="Times New Roman" w:eastAsia="Times New Roman" w:hAnsi="Times New Roman" w:cs="Times New Roman"/>
          <w:color w:val="000000"/>
          <w:lang w:val="lt-LT"/>
        </w:rPr>
        <w:t>, reikia sumažinti pagal ankstesnės infuzijos metu pastebėtų nepageidaujamų reiškinių blogiausią laipsnį. Gydymą reikia pradėti 1</w:t>
      </w:r>
      <w:r w:rsidRPr="00E14983">
        <w:rPr>
          <w:rFonts w:ascii="Times New Roman" w:eastAsia="Times New Roman" w:hAnsi="Times New Roman" w:cs="Times New Roman"/>
          <w:color w:val="000000"/>
          <w:lang w:val="lt-LT"/>
        </w:rPr>
        <w:noBreakHyphen/>
        <w:t>2 savaitėmis vėliau, kad pacientui praeitų su gydymu susiję nepageidaujami reiškiniai.</w:t>
      </w:r>
    </w:p>
    <w:p w14:paraId="7034BEB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286792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Pasireiškus toliau minimiems nepageidaujamiems reiškiniams, </w:t>
      </w: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ir (arba) 5FU dozę, jeigu vartojama, reikia sumažinti 15</w:t>
      </w:r>
      <w:r w:rsidRPr="00E14983">
        <w:rPr>
          <w:rFonts w:ascii="Times New Roman" w:eastAsia="Times New Roman" w:hAnsi="Times New Roman" w:cs="Times New Roman"/>
          <w:color w:val="000000"/>
          <w:lang w:val="lt-LT"/>
        </w:rPr>
        <w:noBreakHyphen/>
        <w:t>20 %:</w:t>
      </w:r>
    </w:p>
    <w:p w14:paraId="6BE2D05D" w14:textId="099FEFB5"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w:t>
      </w:r>
      <w:r w:rsidRPr="00E14983">
        <w:rPr>
          <w:rFonts w:ascii="Times New Roman" w:eastAsia="Times New Roman" w:hAnsi="Times New Roman" w:cs="Times New Roman"/>
          <w:color w:val="000000"/>
          <w:lang w:val="lt-LT"/>
        </w:rPr>
        <w:tab/>
      </w:r>
      <w:r w:rsidR="00EC1D86" w:rsidRPr="00E14983">
        <w:rPr>
          <w:rFonts w:ascii="Times New Roman" w:eastAsia="Times New Roman" w:hAnsi="Times New Roman" w:cs="Times New Roman"/>
          <w:color w:val="000000"/>
          <w:lang w:val="lt-LT"/>
        </w:rPr>
        <w:t>hematologinis</w:t>
      </w:r>
      <w:r w:rsidR="00EC1D86">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toksinis poveikis (4 laipsnio neutropenija, febrilinė neutropenija (3</w:t>
      </w:r>
      <w:r w:rsidRPr="00E14983">
        <w:rPr>
          <w:rFonts w:ascii="Times New Roman" w:eastAsia="Times New Roman" w:hAnsi="Times New Roman" w:cs="Times New Roman"/>
          <w:color w:val="000000"/>
          <w:lang w:val="lt-LT"/>
        </w:rPr>
        <w:noBreakHyphen/>
        <w:t>4 laipsnio neutropenija ir 2</w:t>
      </w:r>
      <w:r w:rsidRPr="00E14983">
        <w:rPr>
          <w:rFonts w:ascii="Times New Roman" w:eastAsia="Times New Roman" w:hAnsi="Times New Roman" w:cs="Times New Roman"/>
          <w:color w:val="000000"/>
          <w:lang w:val="lt-LT"/>
        </w:rPr>
        <w:noBreakHyphen/>
        <w:t>4 laipsnio karščiavimas), trombocitopenija ir leukopenija (4 laipsnio));</w:t>
      </w:r>
    </w:p>
    <w:p w14:paraId="7760820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w:t>
      </w:r>
      <w:r w:rsidRPr="00E14983">
        <w:rPr>
          <w:rFonts w:ascii="Times New Roman" w:eastAsia="Times New Roman" w:hAnsi="Times New Roman" w:cs="Times New Roman"/>
          <w:color w:val="000000"/>
          <w:lang w:val="lt-LT"/>
        </w:rPr>
        <w:tab/>
        <w:t>nehematologinis toksinis poveikis (3</w:t>
      </w:r>
      <w:r w:rsidRPr="00E14983">
        <w:rPr>
          <w:rFonts w:ascii="Times New Roman" w:eastAsia="Times New Roman" w:hAnsi="Times New Roman" w:cs="Times New Roman"/>
          <w:color w:val="000000"/>
          <w:lang w:val="lt-LT"/>
        </w:rPr>
        <w:noBreakHyphen/>
        <w:t>4 laipsnio).</w:t>
      </w:r>
    </w:p>
    <w:p w14:paraId="4C687B3D" w14:textId="77777777" w:rsidR="009500C0" w:rsidRPr="00E14983" w:rsidRDefault="009500C0" w:rsidP="009500C0">
      <w:pPr>
        <w:widowControl w:val="0"/>
        <w:shd w:val="clear" w:color="auto" w:fill="FFFFFF"/>
        <w:tabs>
          <w:tab w:val="left" w:pos="408"/>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5F4CBE62" w14:textId="77777777" w:rsidR="009500C0" w:rsidRPr="00E14983" w:rsidRDefault="009500C0" w:rsidP="009500C0">
      <w:pPr>
        <w:widowControl w:val="0"/>
        <w:shd w:val="clear" w:color="auto" w:fill="FFFFFF"/>
        <w:tabs>
          <w:tab w:val="left" w:pos="408"/>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lastRenderedPageBreak/>
        <w:t xml:space="preserve">Rekomendacijos, kaip koreguoti cetuksimabo dozę, jeigu jo vartojama kartu su irinotekanu, pateiktos šio vaistinio preparato </w:t>
      </w:r>
      <w:r w:rsidRPr="00E14983">
        <w:rPr>
          <w:rFonts w:ascii="Times New Roman" w:eastAsia="Times New Roman" w:hAnsi="Times New Roman" w:cs="Times New Roman"/>
          <w:lang w:val="lt-LT"/>
        </w:rPr>
        <w:t>charakteristikų santraukoje, todėl būtina jų laikytis.</w:t>
      </w:r>
    </w:p>
    <w:p w14:paraId="1E308CAC" w14:textId="77777777" w:rsidR="009500C0" w:rsidRPr="00E14983" w:rsidRDefault="009500C0" w:rsidP="009500C0">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eastAsia="Times New Roman" w:hAnsi="Times New Roman" w:cs="Times New Roman"/>
          <w:lang w:val="lt-LT"/>
        </w:rPr>
      </w:pPr>
    </w:p>
    <w:p w14:paraId="0A9F1B96" w14:textId="2C689E22" w:rsidR="00995EC6" w:rsidRPr="00E14983" w:rsidRDefault="00D631BC" w:rsidP="00995EC6">
      <w:pPr>
        <w:spacing w:after="0" w:line="240" w:lineRule="auto"/>
        <w:rPr>
          <w:rFonts w:ascii="Times New Roman" w:eastAsia="Times New Roman" w:hAnsi="Times New Roman" w:cs="Times New Roman"/>
          <w:lang w:val="lt-LT" w:eastAsia="en-GB"/>
        </w:rPr>
      </w:pPr>
      <w:r>
        <w:rPr>
          <w:rFonts w:ascii="Times New Roman" w:eastAsia="Times New Roman" w:hAnsi="Times New Roman" w:cs="Times New Roman"/>
          <w:lang w:val="lt-LT" w:eastAsia="en-GB"/>
        </w:rPr>
        <w:t>Informacija apie p</w:t>
      </w:r>
      <w:r w:rsidRPr="00995EC6">
        <w:rPr>
          <w:rFonts w:ascii="Times New Roman" w:eastAsia="Times New Roman" w:hAnsi="Times New Roman" w:cs="Times New Roman"/>
          <w:lang w:val="lt-LT" w:eastAsia="en-GB"/>
        </w:rPr>
        <w:t>riemon</w:t>
      </w:r>
      <w:r>
        <w:rPr>
          <w:rFonts w:ascii="Times New Roman" w:eastAsia="Times New Roman" w:hAnsi="Times New Roman" w:cs="Times New Roman"/>
          <w:lang w:val="lt-LT" w:eastAsia="en-GB"/>
        </w:rPr>
        <w:t>e</w:t>
      </w:r>
      <w:r w:rsidRPr="00995EC6">
        <w:rPr>
          <w:rFonts w:ascii="Times New Roman" w:eastAsia="Times New Roman" w:hAnsi="Times New Roman" w:cs="Times New Roman"/>
          <w:lang w:val="lt-LT" w:eastAsia="en-GB"/>
        </w:rPr>
        <w:t xml:space="preserve">s, kurių reikia imtis </w:t>
      </w:r>
      <w:r>
        <w:rPr>
          <w:rFonts w:ascii="Times New Roman" w:eastAsia="Times New Roman" w:hAnsi="Times New Roman" w:cs="Times New Roman"/>
          <w:lang w:val="lt-LT" w:eastAsia="en-GB"/>
        </w:rPr>
        <w:t>pasireiškus</w:t>
      </w:r>
      <w:r w:rsidRPr="00995EC6">
        <w:rPr>
          <w:rFonts w:ascii="Times New Roman" w:eastAsia="Times New Roman" w:hAnsi="Times New Roman" w:cs="Times New Roman"/>
          <w:lang w:val="lt-LT" w:eastAsia="en-GB"/>
        </w:rPr>
        <w:t xml:space="preserve"> nepageidaujamoms reakcijoms į bevacizumabą, </w:t>
      </w:r>
      <w:r>
        <w:rPr>
          <w:rFonts w:ascii="Times New Roman" w:eastAsia="Times New Roman" w:hAnsi="Times New Roman" w:cs="Times New Roman"/>
          <w:lang w:val="lt-LT" w:eastAsia="en-GB"/>
        </w:rPr>
        <w:t>pateiktos</w:t>
      </w:r>
      <w:r w:rsidRPr="00995EC6">
        <w:rPr>
          <w:rFonts w:ascii="Times New Roman" w:eastAsia="Times New Roman" w:hAnsi="Times New Roman" w:cs="Times New Roman"/>
          <w:lang w:val="lt-LT" w:eastAsia="en-GB"/>
        </w:rPr>
        <w:t xml:space="preserve"> bevacizumabo </w:t>
      </w:r>
      <w:r w:rsidRPr="00E14983">
        <w:rPr>
          <w:rFonts w:ascii="Times New Roman" w:eastAsia="Times New Roman" w:hAnsi="Times New Roman" w:cs="Times New Roman"/>
          <w:lang w:val="lt-LT" w:eastAsia="en-GB"/>
        </w:rPr>
        <w:t>preparato charakteristikų santraukoje</w:t>
      </w:r>
      <w:r w:rsidR="00995EC6" w:rsidRPr="00E14983">
        <w:rPr>
          <w:rFonts w:ascii="Times New Roman" w:eastAsia="Times New Roman" w:hAnsi="Times New Roman" w:cs="Times New Roman"/>
          <w:lang w:val="lt-LT" w:eastAsia="en-GB"/>
        </w:rPr>
        <w:t>.</w:t>
      </w:r>
    </w:p>
    <w:p w14:paraId="694BB94D" w14:textId="77777777" w:rsidR="009500C0" w:rsidRPr="00E14983" w:rsidRDefault="009500C0" w:rsidP="009500C0">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Atsižvelgiant į kapecitabino preparato charakteristikų santrauką, 65 metų ir vyresniems pacientams kartu vartojantiems kapecitabino, rekomenduojama pradinę kapecitabino dozę sumažinti iki 800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kūno paviršiaus ploto ir ją vartoti du kartus per parą. Be to, kapecitabino preparato charakteristikų santraukoje nurodomos rekomendacijos dėl dozės koregavimo taikant kombinuotą gydymą.</w:t>
      </w:r>
    </w:p>
    <w:p w14:paraId="1910C04D" w14:textId="77777777" w:rsidR="009500C0" w:rsidRPr="00E14983" w:rsidRDefault="009500C0" w:rsidP="009500C0">
      <w:pPr>
        <w:widowControl w:val="0"/>
        <w:shd w:val="clear" w:color="auto" w:fill="FFFFFF"/>
        <w:tabs>
          <w:tab w:val="left" w:pos="408"/>
          <w:tab w:val="left" w:pos="567"/>
          <w:tab w:val="left" w:pos="9000"/>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32AE1115" w14:textId="77777777" w:rsidR="009500C0" w:rsidRPr="00E14983" w:rsidRDefault="009500C0" w:rsidP="009500C0">
      <w:pPr>
        <w:widowControl w:val="0"/>
        <w:shd w:val="clear" w:color="auto" w:fill="FFFFFF"/>
        <w:tabs>
          <w:tab w:val="left" w:pos="408"/>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Gydymo trukmė</w:t>
      </w:r>
    </w:p>
    <w:p w14:paraId="5AD21491" w14:textId="77777777" w:rsidR="009500C0" w:rsidRPr="00E14983" w:rsidRDefault="009500C0" w:rsidP="009500C0">
      <w:pPr>
        <w:widowControl w:val="0"/>
        <w:shd w:val="clear" w:color="auto" w:fill="FFFFFF"/>
        <w:tabs>
          <w:tab w:val="left" w:pos="408"/>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486BD28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Gydymą</w:t>
      </w:r>
      <w:r w:rsidRPr="00E14983">
        <w:rPr>
          <w:rFonts w:ascii="Times New Roman" w:hAnsi="Times New Roman" w:cs="Times New Roman"/>
          <w:lang w:val="lt-LT"/>
        </w:rPr>
        <w:t xml:space="preserve"> </w:t>
      </w:r>
      <w:r w:rsidRPr="00E14983">
        <w:rPr>
          <w:rFonts w:ascii="Times New Roman" w:eastAsia="Times New Roman" w:hAnsi="Times New Roman" w:cs="Times New Roman"/>
          <w:color w:val="000000"/>
          <w:lang w:val="lt-LT"/>
        </w:rPr>
        <w:t>Irinotecan Accord 20 mg/ml koncentratu infuziniam tirpalui reikia tęsti, kol</w:t>
      </w:r>
      <w:r w:rsidRPr="00E14983">
        <w:rPr>
          <w:rFonts w:ascii="Times New Roman" w:eastAsia="Times New Roman" w:hAnsi="Times New Roman" w:cs="Times New Roman"/>
          <w:lang w:val="lt-LT"/>
        </w:rPr>
        <w:t xml:space="preserve"> nustatomas objektyvus ligos progresavimas</w:t>
      </w:r>
      <w:r w:rsidRPr="00E14983">
        <w:rPr>
          <w:rFonts w:ascii="Times New Roman" w:eastAsia="Times New Roman" w:hAnsi="Times New Roman" w:cs="Times New Roman"/>
          <w:color w:val="000000"/>
          <w:lang w:val="lt-LT"/>
        </w:rPr>
        <w:t xml:space="preserve"> arba iki pasireiškia nepageidaujamas toksinis poveikis.</w:t>
      </w:r>
    </w:p>
    <w:p w14:paraId="6B781BF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79D5E94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Ypatingos populiacijos</w:t>
      </w:r>
    </w:p>
    <w:p w14:paraId="1E62860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44BCC0E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color w:val="000000"/>
          <w:u w:val="single"/>
          <w:lang w:val="lt-LT"/>
        </w:rPr>
      </w:pPr>
      <w:r w:rsidRPr="00E14983">
        <w:rPr>
          <w:rFonts w:ascii="Times New Roman" w:eastAsia="Times New Roman" w:hAnsi="Times New Roman" w:cs="Times New Roman"/>
          <w:i/>
          <w:color w:val="000000"/>
          <w:u w:val="single"/>
          <w:lang w:val="lt-LT"/>
        </w:rPr>
        <w:t>Pacientams, kurių kepenų funkcija sutrikusi</w:t>
      </w:r>
    </w:p>
    <w:p w14:paraId="1840B875" w14:textId="57BBA1BC"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Monoterapija. Pacientams, kurių </w:t>
      </w:r>
      <w:r w:rsidRPr="00E14983">
        <w:rPr>
          <w:rFonts w:ascii="Times New Roman" w:eastAsia="Times New Roman" w:hAnsi="Times New Roman" w:cs="Times New Roman"/>
          <w:lang w:val="lt-LT"/>
        </w:rPr>
        <w:t xml:space="preserve">funkcinė </w:t>
      </w:r>
      <w:r w:rsidRPr="00E14983">
        <w:rPr>
          <w:rFonts w:ascii="Times New Roman" w:eastAsia="Times New Roman" w:hAnsi="Times New Roman" w:cs="Times New Roman"/>
          <w:color w:val="000000"/>
          <w:lang w:val="lt-LT"/>
        </w:rPr>
        <w:t xml:space="preserve">būklė ≤ 2, pradinė </w:t>
      </w: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 xml:space="preserve">dozė nustatoma pagal bilirubino kiekį kraujyje (iki 3 kartų didesnė, nei viršutinė normos riba (VNR)). Pacientams, kuriems yra hiperbilirubinemija ir didesnis nei 50 % protrombino laikas, irinotekano klirensas sumažėja (žr. 5.2 skyrių), todėl padidėja </w:t>
      </w:r>
      <w:r w:rsidR="00FE2398" w:rsidRPr="00E14983">
        <w:rPr>
          <w:rFonts w:ascii="Times New Roman" w:eastAsia="Times New Roman" w:hAnsi="Times New Roman" w:cs="Times New Roman"/>
          <w:color w:val="000000"/>
          <w:lang w:val="lt-LT"/>
        </w:rPr>
        <w:t>he</w:t>
      </w:r>
      <w:r w:rsidR="00EC1D86">
        <w:rPr>
          <w:rFonts w:ascii="Times New Roman" w:eastAsia="Times New Roman" w:hAnsi="Times New Roman" w:cs="Times New Roman"/>
          <w:color w:val="000000"/>
          <w:lang w:val="lt-LT"/>
        </w:rPr>
        <w:t>p</w:t>
      </w:r>
      <w:r w:rsidR="00FE2398" w:rsidRPr="00E14983">
        <w:rPr>
          <w:rFonts w:ascii="Times New Roman" w:eastAsia="Times New Roman" w:hAnsi="Times New Roman" w:cs="Times New Roman"/>
          <w:color w:val="000000"/>
          <w:lang w:val="lt-LT"/>
        </w:rPr>
        <w:t xml:space="preserve">atotoksinio </w:t>
      </w:r>
      <w:r w:rsidRPr="00E14983">
        <w:rPr>
          <w:rFonts w:ascii="Times New Roman" w:eastAsia="Times New Roman" w:hAnsi="Times New Roman" w:cs="Times New Roman"/>
          <w:color w:val="000000"/>
          <w:lang w:val="lt-LT"/>
        </w:rPr>
        <w:t>poveikio rizika. Todėl šiai pacientų grupei kas savaitę reikia atlikti bendrą kraujo tyrimą.</w:t>
      </w:r>
    </w:p>
    <w:p w14:paraId="05F11AE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DA0C9F6" w14:textId="5DB7670B"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bCs/>
          <w:color w:val="000000"/>
          <w:lang w:val="lt-LT"/>
        </w:rPr>
        <w:sym w:font="Symbol" w:char="F0B7"/>
      </w:r>
      <w:r w:rsidRPr="00E14983">
        <w:rPr>
          <w:rFonts w:ascii="Times New Roman" w:eastAsia="Times New Roman" w:hAnsi="Times New Roman" w:cs="Times New Roman"/>
          <w:bCs/>
          <w:color w:val="000000"/>
          <w:lang w:val="lt-LT"/>
        </w:rPr>
        <w:tab/>
      </w:r>
      <w:r w:rsidRPr="00E14983">
        <w:rPr>
          <w:rFonts w:ascii="Times New Roman" w:eastAsia="Times New Roman" w:hAnsi="Times New Roman" w:cs="Times New Roman"/>
          <w:color w:val="000000"/>
          <w:lang w:val="lt-LT"/>
        </w:rPr>
        <w:t xml:space="preserve">Pacientams, kurių bilirubino kiekis iki 1,5 karto viršija VNR, rekomenduojama </w:t>
      </w:r>
      <w:r w:rsidRPr="00E14983">
        <w:rPr>
          <w:rFonts w:ascii="Times New Roman" w:eastAsia="Times New Roman" w:hAnsi="Times New Roman" w:cs="Times New Roman"/>
          <w:iCs/>
          <w:color w:val="000000"/>
          <w:lang w:val="lt-LT"/>
        </w:rPr>
        <w:t xml:space="preserve">Irinotecan Accord 20 mg/ml koncentrato infuziniam tirpalui </w:t>
      </w:r>
      <w:r w:rsidRPr="00E14983">
        <w:rPr>
          <w:rFonts w:ascii="Times New Roman" w:eastAsia="Times New Roman" w:hAnsi="Times New Roman" w:cs="Times New Roman"/>
          <w:color w:val="000000"/>
          <w:lang w:val="lt-LT"/>
        </w:rPr>
        <w:t>dozė yra 350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w:t>
      </w:r>
    </w:p>
    <w:p w14:paraId="6C7099E3" w14:textId="77777777"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bCs/>
          <w:color w:val="000000"/>
          <w:lang w:val="lt-LT"/>
        </w:rPr>
        <w:sym w:font="Symbol" w:char="F0B7"/>
      </w:r>
      <w:r w:rsidRPr="00E14983">
        <w:rPr>
          <w:rFonts w:ascii="Times New Roman" w:eastAsia="Times New Roman" w:hAnsi="Times New Roman" w:cs="Times New Roman"/>
          <w:bCs/>
          <w:color w:val="000000"/>
          <w:lang w:val="lt-LT"/>
        </w:rPr>
        <w:tab/>
      </w:r>
      <w:r w:rsidRPr="00E14983">
        <w:rPr>
          <w:rFonts w:ascii="Times New Roman" w:eastAsia="Times New Roman" w:hAnsi="Times New Roman" w:cs="Times New Roman"/>
          <w:color w:val="000000"/>
          <w:lang w:val="lt-LT"/>
        </w:rPr>
        <w:t>Pacientams, kurių bilirubino kiekis 1,5</w:t>
      </w:r>
      <w:r w:rsidRPr="00E14983">
        <w:rPr>
          <w:rFonts w:ascii="Times New Roman" w:eastAsia="Times New Roman" w:hAnsi="Times New Roman" w:cs="Times New Roman"/>
          <w:color w:val="000000"/>
          <w:lang w:val="lt-LT"/>
        </w:rPr>
        <w:noBreakHyphen/>
        <w:t xml:space="preserve">3 kartus viršija VNR, rekomenduojama </w:t>
      </w:r>
      <w:r w:rsidRPr="00E14983">
        <w:rPr>
          <w:rFonts w:ascii="Times New Roman" w:eastAsia="Times New Roman" w:hAnsi="Times New Roman" w:cs="Times New Roman"/>
          <w:iCs/>
          <w:color w:val="000000"/>
          <w:lang w:val="lt-LT"/>
        </w:rPr>
        <w:t>Irinotecan Accord 20 mg/ml koncentrato infuziniam tirpalui</w:t>
      </w:r>
      <w:r w:rsidRPr="00E14983" w:rsidDel="00BC1A6B">
        <w:rPr>
          <w:rFonts w:ascii="Times New Roman" w:eastAsia="Times New Roman" w:hAnsi="Times New Roman" w:cs="Times New Roman"/>
          <w:iCs/>
          <w:color w:val="000000"/>
          <w:lang w:val="lt-LT"/>
        </w:rPr>
        <w:t xml:space="preserve"> </w:t>
      </w:r>
      <w:r w:rsidRPr="00E14983">
        <w:rPr>
          <w:rFonts w:ascii="Times New Roman" w:eastAsia="Times New Roman" w:hAnsi="Times New Roman" w:cs="Times New Roman"/>
          <w:color w:val="000000"/>
          <w:lang w:val="lt-LT"/>
        </w:rPr>
        <w:t>dozė yra 200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w:t>
      </w:r>
    </w:p>
    <w:p w14:paraId="36CC8A28" w14:textId="77777777"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bCs/>
          <w:color w:val="000000"/>
          <w:lang w:val="lt-LT"/>
        </w:rPr>
        <w:sym w:font="Symbol" w:char="F0B7"/>
      </w:r>
      <w:r w:rsidRPr="00E14983">
        <w:rPr>
          <w:rFonts w:ascii="Times New Roman" w:eastAsia="Times New Roman" w:hAnsi="Times New Roman" w:cs="Times New Roman"/>
          <w:bCs/>
          <w:color w:val="000000"/>
          <w:lang w:val="lt-LT"/>
        </w:rPr>
        <w:tab/>
      </w:r>
      <w:r w:rsidRPr="00E14983">
        <w:rPr>
          <w:rFonts w:ascii="Times New Roman" w:eastAsia="Times New Roman" w:hAnsi="Times New Roman" w:cs="Times New Roman"/>
          <w:color w:val="000000"/>
          <w:lang w:val="lt-LT"/>
        </w:rPr>
        <w:t xml:space="preserve">Pacientai, kurių bilirubino kiekis daugiau kaip 3 kartus viršija VNR, neturi būti gydomi </w:t>
      </w:r>
      <w:r w:rsidRPr="00E14983">
        <w:rPr>
          <w:rFonts w:ascii="Times New Roman" w:eastAsia="Times New Roman" w:hAnsi="Times New Roman" w:cs="Times New Roman"/>
          <w:iCs/>
          <w:color w:val="000000"/>
          <w:lang w:val="lt-LT"/>
        </w:rPr>
        <w:t>Irinotecan Accord 20 mg/ml koncentratu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(žr. 4.3 ir 4.4 skyrius).</w:t>
      </w:r>
    </w:p>
    <w:p w14:paraId="5FDD019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3C91D3C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Nėra duomenų apie pacientų, kurių kepenų funkcija sutrikusi, gydymą Irinotecan Accord 20 mg/ml koncentratu infuziniam tirpalui kartu su kitais vaistiniais preparatais.</w:t>
      </w:r>
    </w:p>
    <w:p w14:paraId="4175F9F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66036AE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color w:val="000000"/>
          <w:u w:val="single"/>
          <w:lang w:val="lt-LT"/>
        </w:rPr>
      </w:pPr>
      <w:r w:rsidRPr="00E14983">
        <w:rPr>
          <w:rFonts w:ascii="Times New Roman" w:eastAsia="Times New Roman" w:hAnsi="Times New Roman" w:cs="Times New Roman"/>
          <w:i/>
          <w:color w:val="000000"/>
          <w:u w:val="single"/>
          <w:lang w:val="lt-LT"/>
        </w:rPr>
        <w:t>Pacientams, kurių inkstų funkcija sutrikusi</w:t>
      </w:r>
    </w:p>
    <w:p w14:paraId="2C29B2A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nerekomenduojama vartoti pacientams, kurių inkstų funkcija sutrikusi, kadangi dar nebuvo atlikti tyrimai su šia pacientų grupe. (žr. 4.4 ir 5.2 skyrius).</w:t>
      </w:r>
    </w:p>
    <w:p w14:paraId="56B899F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2F7BA5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
          <w:color w:val="000000"/>
          <w:u w:val="single"/>
          <w:lang w:val="lt-LT"/>
        </w:rPr>
      </w:pPr>
      <w:r w:rsidRPr="00E14983">
        <w:rPr>
          <w:rFonts w:ascii="Times New Roman" w:eastAsia="Times New Roman" w:hAnsi="Times New Roman" w:cs="Times New Roman"/>
          <w:bCs/>
          <w:i/>
          <w:color w:val="000000"/>
          <w:u w:val="single"/>
          <w:lang w:val="lt-LT"/>
        </w:rPr>
        <w:t>Senyviems pacientams</w:t>
      </w:r>
    </w:p>
    <w:p w14:paraId="74B4E0D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Cs/>
          <w:color w:val="000000"/>
          <w:lang w:val="lt-LT"/>
        </w:rPr>
        <w:t>S</w:t>
      </w:r>
      <w:r w:rsidRPr="00E14983">
        <w:rPr>
          <w:rFonts w:ascii="Times New Roman" w:eastAsia="Times New Roman" w:hAnsi="Times New Roman" w:cs="Times New Roman"/>
          <w:color w:val="000000"/>
          <w:lang w:val="lt-LT"/>
        </w:rPr>
        <w:t>u senyvais pacientais nebuvo atlikta jokių specifinių farmakokinetinių tyrimų. Tačiau šiai pacientų grupei reikia atidžiau parinkti dozę, kadangi jų biologinės funkcijos dažnai būna susilpnėję. Šią pacientų grupę reikia intensyviau stebėti (žr. 4.4 skyrių).</w:t>
      </w:r>
    </w:p>
    <w:p w14:paraId="5A218EC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546EC1B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i/>
          <w:color w:val="000000"/>
          <w:u w:val="single"/>
          <w:lang w:val="lt-LT"/>
        </w:rPr>
      </w:pPr>
      <w:r w:rsidRPr="00E14983">
        <w:rPr>
          <w:rFonts w:ascii="Times New Roman" w:eastAsia="Times New Roman" w:hAnsi="Times New Roman" w:cs="Times New Roman"/>
          <w:bCs/>
          <w:i/>
          <w:color w:val="000000"/>
          <w:u w:val="single"/>
          <w:lang w:val="lt-LT"/>
        </w:rPr>
        <w:t>Vaikų populiacija</w:t>
      </w:r>
    </w:p>
    <w:p w14:paraId="380A01B0" w14:textId="0732EC07" w:rsidR="009500C0" w:rsidRPr="00E14983" w:rsidRDefault="00FE2398"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I</w:t>
      </w:r>
      <w:r w:rsidR="009500C0" w:rsidRPr="00E14983">
        <w:rPr>
          <w:rFonts w:ascii="Times New Roman" w:eastAsia="Calibri" w:hAnsi="Times New Roman" w:cs="Times New Roman"/>
          <w:lang w:val="lt-LT"/>
        </w:rPr>
        <w:t>rinotekan</w:t>
      </w:r>
      <w:r w:rsidRPr="00E14983">
        <w:rPr>
          <w:rFonts w:ascii="Times New Roman" w:eastAsia="Calibri" w:hAnsi="Times New Roman" w:cs="Times New Roman"/>
          <w:lang w:val="lt-LT"/>
        </w:rPr>
        <w:t>o saugumas ir veiksmingumas vaikams dar nebuvo nustatytas. Duomenų nėra.</w:t>
      </w:r>
    </w:p>
    <w:p w14:paraId="72EF9AF8" w14:textId="77777777" w:rsidR="009500C0" w:rsidRPr="00E14983" w:rsidRDefault="009500C0" w:rsidP="009500C0">
      <w:pPr>
        <w:spacing w:after="0" w:line="240" w:lineRule="auto"/>
        <w:rPr>
          <w:rFonts w:ascii="Times New Roman" w:eastAsia="Calibri" w:hAnsi="Times New Roman" w:cs="Times New Roman"/>
          <w:lang w:val="lt-LT"/>
        </w:rPr>
      </w:pPr>
    </w:p>
    <w:p w14:paraId="6D191AB8" w14:textId="77777777" w:rsidR="009500C0" w:rsidRPr="00E14983" w:rsidRDefault="009500C0" w:rsidP="009500C0">
      <w:pPr>
        <w:spacing w:after="0" w:line="240" w:lineRule="auto"/>
        <w:rPr>
          <w:rFonts w:ascii="Times New Roman" w:eastAsia="Calibri" w:hAnsi="Times New Roman" w:cs="Times New Roman"/>
          <w:u w:val="single"/>
          <w:lang w:val="lt-LT"/>
        </w:rPr>
      </w:pPr>
      <w:r w:rsidRPr="00E14983">
        <w:rPr>
          <w:rFonts w:ascii="Times New Roman" w:eastAsia="Calibri" w:hAnsi="Times New Roman" w:cs="Times New Roman"/>
          <w:u w:val="single"/>
          <w:lang w:val="lt-LT"/>
        </w:rPr>
        <w:t>Vartojimo metodas</w:t>
      </w:r>
    </w:p>
    <w:p w14:paraId="77230425" w14:textId="77777777" w:rsidR="009500C0" w:rsidRPr="00E14983" w:rsidRDefault="009500C0" w:rsidP="009500C0">
      <w:pPr>
        <w:spacing w:after="0" w:line="240" w:lineRule="auto"/>
        <w:rPr>
          <w:rFonts w:ascii="Times New Roman" w:eastAsia="Calibri" w:hAnsi="Times New Roman" w:cs="Times New Roman"/>
          <w:b/>
          <w:lang w:val="lt-LT"/>
        </w:rPr>
      </w:pPr>
    </w:p>
    <w:p w14:paraId="1562F0A9" w14:textId="77777777" w:rsidR="009500C0" w:rsidRPr="00E14983" w:rsidRDefault="009500C0" w:rsidP="009500C0">
      <w:pPr>
        <w:spacing w:after="0" w:line="240" w:lineRule="auto"/>
        <w:rPr>
          <w:rFonts w:ascii="Times New Roman" w:eastAsia="Times New Roman" w:hAnsi="Times New Roman" w:cs="Times New Roman"/>
          <w:i/>
          <w:snapToGrid w:val="0"/>
          <w:u w:val="single"/>
          <w:lang w:val="lt-LT"/>
        </w:rPr>
      </w:pPr>
      <w:r w:rsidRPr="00E14983">
        <w:rPr>
          <w:rFonts w:ascii="Times New Roman" w:eastAsia="Times New Roman" w:hAnsi="Times New Roman" w:cs="Times New Roman"/>
          <w:i/>
          <w:snapToGrid w:val="0"/>
          <w:u w:val="single"/>
          <w:lang w:val="lt-LT"/>
        </w:rPr>
        <w:t>Atsargumo priemonės prieš ruošiant ar vartojant šį vaistinį preparatą</w:t>
      </w:r>
    </w:p>
    <w:p w14:paraId="0FB7488E" w14:textId="77777777" w:rsidR="009500C0" w:rsidRPr="00E14983" w:rsidRDefault="009500C0" w:rsidP="009500C0">
      <w:pPr>
        <w:spacing w:after="0" w:line="240" w:lineRule="auto"/>
        <w:rPr>
          <w:rFonts w:ascii="Times New Roman" w:eastAsia="Calibri" w:hAnsi="Times New Roman" w:cs="Times New Roman"/>
          <w:lang w:val="lt-LT"/>
        </w:rPr>
      </w:pPr>
    </w:p>
    <w:p w14:paraId="05673C2B" w14:textId="77777777"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Irinotekano koncentratas infuziniam tirpalui yra citotoksiškas. Vaistinio preparato skiedimo ir specialūs reikalavimai atliekoms tvarkyti ir vaistiniam preparatui ruošti pateikiami 6.6 skyriuje.</w:t>
      </w:r>
    </w:p>
    <w:p w14:paraId="7FC675C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7BA25ED6"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lang w:val="lt-LT"/>
        </w:rPr>
      </w:pPr>
      <w:r w:rsidRPr="00E14983">
        <w:rPr>
          <w:rFonts w:ascii="Times New Roman" w:eastAsia="Times New Roman" w:hAnsi="Times New Roman" w:cs="Times New Roman"/>
          <w:b/>
          <w:bCs/>
          <w:color w:val="000000"/>
          <w:lang w:val="lt-LT"/>
        </w:rPr>
        <w:lastRenderedPageBreak/>
        <w:t>4.3</w:t>
      </w:r>
      <w:r w:rsidRPr="00E14983">
        <w:rPr>
          <w:rFonts w:ascii="Times New Roman" w:eastAsia="Times New Roman" w:hAnsi="Times New Roman" w:cs="Times New Roman"/>
          <w:b/>
          <w:bCs/>
          <w:color w:val="000000"/>
          <w:lang w:val="lt-LT"/>
        </w:rPr>
        <w:tab/>
        <w:t>Kontraindikacijos</w:t>
      </w:r>
    </w:p>
    <w:p w14:paraId="1F1D3373"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E4B986C"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Lėtinės uždegiminės žarnų ligos ir (arba) žarnų nepraeinamumas (žr. 4.4 skyrių).</w:t>
      </w:r>
    </w:p>
    <w:p w14:paraId="7523324F" w14:textId="58EC2B32"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r>
      <w:r w:rsidR="00294BD1" w:rsidRPr="00E14983">
        <w:rPr>
          <w:rFonts w:ascii="Times New Roman" w:eastAsia="Times New Roman" w:hAnsi="Times New Roman" w:cs="Times New Roman"/>
          <w:color w:val="000000"/>
          <w:lang w:val="lt-LT"/>
        </w:rPr>
        <w:t>P</w:t>
      </w:r>
      <w:r w:rsidRPr="00E14983">
        <w:rPr>
          <w:rFonts w:ascii="Times New Roman" w:eastAsia="Times New Roman" w:hAnsi="Times New Roman" w:cs="Times New Roman"/>
          <w:color w:val="000000"/>
          <w:lang w:val="lt-LT"/>
        </w:rPr>
        <w:t>adidėj</w:t>
      </w:r>
      <w:r w:rsidR="00E3682E" w:rsidRPr="00E14983">
        <w:rPr>
          <w:rFonts w:ascii="Times New Roman" w:eastAsia="Times New Roman" w:hAnsi="Times New Roman" w:cs="Times New Roman"/>
          <w:color w:val="000000"/>
          <w:lang w:val="lt-LT"/>
        </w:rPr>
        <w:t>ęs</w:t>
      </w:r>
      <w:r w:rsidRPr="00E14983">
        <w:rPr>
          <w:rFonts w:ascii="Times New Roman" w:eastAsia="Times New Roman" w:hAnsi="Times New Roman" w:cs="Times New Roman"/>
          <w:color w:val="000000"/>
          <w:lang w:val="lt-LT"/>
        </w:rPr>
        <w:t xml:space="preserve"> jautrum</w:t>
      </w:r>
      <w:r w:rsidR="00E3682E" w:rsidRPr="00E14983">
        <w:rPr>
          <w:rFonts w:ascii="Times New Roman" w:eastAsia="Times New Roman" w:hAnsi="Times New Roman" w:cs="Times New Roman"/>
          <w:color w:val="000000"/>
          <w:lang w:val="lt-LT"/>
        </w:rPr>
        <w:t>as</w:t>
      </w:r>
      <w:r w:rsidRPr="00E14983">
        <w:rPr>
          <w:rFonts w:ascii="Times New Roman" w:eastAsia="Times New Roman" w:hAnsi="Times New Roman" w:cs="Times New Roman"/>
          <w:color w:val="000000"/>
          <w:lang w:val="lt-LT"/>
        </w:rPr>
        <w:t xml:space="preserve"> </w:t>
      </w:r>
      <w:r w:rsidR="00294BD1" w:rsidRPr="00E14983">
        <w:rPr>
          <w:rFonts w:ascii="Times New Roman" w:eastAsia="Times New Roman" w:hAnsi="Times New Roman" w:cs="Times New Roman"/>
          <w:color w:val="000000"/>
          <w:lang w:val="lt-LT"/>
        </w:rPr>
        <w:t>veikliajai (-osioms) medžiagai (-oms)</w:t>
      </w:r>
      <w:r w:rsidRPr="00E14983">
        <w:rPr>
          <w:rFonts w:ascii="Times New Roman" w:eastAsia="Times New Roman" w:hAnsi="Times New Roman" w:cs="Times New Roman"/>
          <w:color w:val="000000"/>
          <w:lang w:val="lt-LT"/>
        </w:rPr>
        <w:t xml:space="preserve"> arba </w:t>
      </w:r>
      <w:r w:rsidR="00D87BD1" w:rsidRPr="00E14983">
        <w:rPr>
          <w:rFonts w:ascii="Times New Roman" w:eastAsia="Times New Roman" w:hAnsi="Times New Roman" w:cs="Times New Roman"/>
          <w:color w:val="000000"/>
          <w:lang w:val="lt-LT"/>
        </w:rPr>
        <w:t xml:space="preserve">bet </w:t>
      </w:r>
      <w:r w:rsidRPr="00E14983">
        <w:rPr>
          <w:rFonts w:ascii="Times New Roman" w:eastAsia="Times New Roman" w:hAnsi="Times New Roman" w:cs="Times New Roman"/>
          <w:color w:val="000000"/>
          <w:lang w:val="lt-LT"/>
        </w:rPr>
        <w:t xml:space="preserve">kuriai 6.1 skyriuje nurodytai pagalbinei medžiagai. </w:t>
      </w:r>
    </w:p>
    <w:p w14:paraId="624E010D" w14:textId="54387EDD"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 xml:space="preserve">Žindymas (žr. </w:t>
      </w:r>
      <w:r w:rsidR="00EC1D86">
        <w:rPr>
          <w:rFonts w:ascii="Times New Roman" w:eastAsia="Times New Roman" w:hAnsi="Times New Roman" w:cs="Times New Roman"/>
          <w:color w:val="000000"/>
          <w:lang w:val="lt-LT"/>
        </w:rPr>
        <w:t xml:space="preserve">4.4 ir </w:t>
      </w:r>
      <w:r w:rsidRPr="00E14983">
        <w:rPr>
          <w:rFonts w:ascii="Times New Roman" w:eastAsia="Times New Roman" w:hAnsi="Times New Roman" w:cs="Times New Roman"/>
          <w:color w:val="000000"/>
          <w:lang w:val="lt-LT"/>
        </w:rPr>
        <w:t>4.</w:t>
      </w:r>
      <w:r w:rsidR="00D87BD1" w:rsidRPr="00E14983">
        <w:rPr>
          <w:rFonts w:ascii="Times New Roman" w:eastAsia="Times New Roman" w:hAnsi="Times New Roman" w:cs="Times New Roman"/>
          <w:color w:val="000000"/>
          <w:lang w:val="lt-LT"/>
        </w:rPr>
        <w:t>6 </w:t>
      </w:r>
      <w:r w:rsidR="00294BD1" w:rsidRPr="00E14983">
        <w:rPr>
          <w:rFonts w:ascii="Times New Roman" w:eastAsia="Times New Roman" w:hAnsi="Times New Roman" w:cs="Times New Roman"/>
          <w:color w:val="000000"/>
          <w:lang w:val="lt-LT"/>
        </w:rPr>
        <w:t>skyri</w:t>
      </w:r>
      <w:r w:rsidR="00EC1D86">
        <w:rPr>
          <w:rFonts w:ascii="Times New Roman" w:eastAsia="Times New Roman" w:hAnsi="Times New Roman" w:cs="Times New Roman"/>
          <w:color w:val="000000"/>
          <w:lang w:val="lt-LT"/>
        </w:rPr>
        <w:t>us</w:t>
      </w:r>
      <w:r w:rsidRPr="00E14983">
        <w:rPr>
          <w:rFonts w:ascii="Times New Roman" w:eastAsia="Times New Roman" w:hAnsi="Times New Roman" w:cs="Times New Roman"/>
          <w:color w:val="000000"/>
          <w:lang w:val="lt-LT"/>
        </w:rPr>
        <w:t>).</w:t>
      </w:r>
    </w:p>
    <w:p w14:paraId="658B2F6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Bilirubino kiekis kraujyje daugiau kaip tris kartus didesnis už viršutinę normos ribą (žr. 4.4 skyrių).</w:t>
      </w:r>
    </w:p>
    <w:p w14:paraId="27A680E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Sunkus kaulų čiulpų funkcijos nepakankamumas.</w:t>
      </w:r>
    </w:p>
    <w:p w14:paraId="39ABC26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Funkcinė būklė pagal PSO &gt;2.</w:t>
      </w:r>
    </w:p>
    <w:p w14:paraId="0D4DFB3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Vartojimas kartu su paprastosios jonažolės preparatais (žr. 4.5 skyrių).</w:t>
      </w:r>
    </w:p>
    <w:p w14:paraId="0B573972" w14:textId="691FC0CE" w:rsidR="00294BD1" w:rsidRPr="00E14983" w:rsidRDefault="00294BD1"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sym w:font="Symbol" w:char="F0B7"/>
      </w:r>
      <w:r w:rsidRPr="00E14983">
        <w:rPr>
          <w:rFonts w:ascii="Times New Roman" w:eastAsia="Times New Roman" w:hAnsi="Times New Roman" w:cs="Times New Roman"/>
          <w:color w:val="000000"/>
          <w:lang w:val="lt-LT"/>
        </w:rPr>
        <w:tab/>
        <w:t>Gyvosios susilpnintos vakcinos (žr. 4.5</w:t>
      </w:r>
      <w:r w:rsidR="00D87BD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skyrių).</w:t>
      </w:r>
    </w:p>
    <w:p w14:paraId="03ABCC0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ind w:left="567" w:hanging="567"/>
        <w:rPr>
          <w:rFonts w:ascii="Times New Roman" w:eastAsia="Times New Roman" w:hAnsi="Times New Roman" w:cs="Times New Roman"/>
          <w:lang w:val="lt-LT"/>
        </w:rPr>
      </w:pPr>
    </w:p>
    <w:p w14:paraId="70BF920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Papildomos kontraindikacijos cetuksimabo, bevacizumabo arba kapecitabino vartojimui nurodytos šių vaistinių preparatų charakteristikų santraukose.</w:t>
      </w:r>
    </w:p>
    <w:p w14:paraId="0051A35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6F4B64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4.4</w:t>
      </w:r>
      <w:r w:rsidRPr="00E14983">
        <w:rPr>
          <w:rFonts w:ascii="Times New Roman" w:eastAsia="Times New Roman" w:hAnsi="Times New Roman" w:cs="Times New Roman"/>
          <w:b/>
          <w:bCs/>
          <w:color w:val="000000"/>
          <w:lang w:val="lt-LT"/>
        </w:rPr>
        <w:tab/>
        <w:t>Specialūs įspėjimai ir specialios atsargumo priemonės</w:t>
      </w:r>
    </w:p>
    <w:p w14:paraId="05024C1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42DE55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Cs/>
          <w:color w:val="000000"/>
          <w:lang w:val="lt-LT" w:eastAsia="lt-LT"/>
        </w:rPr>
        <w:t xml:space="preserve"> </w:t>
      </w:r>
      <w:r w:rsidRPr="00E14983">
        <w:rPr>
          <w:rFonts w:ascii="Times New Roman" w:eastAsia="Times New Roman" w:hAnsi="Times New Roman" w:cs="Times New Roman"/>
          <w:color w:val="000000"/>
          <w:lang w:val="lt-LT" w:eastAsia="lt-LT"/>
        </w:rPr>
        <w:t>turi būti vartojamas tik skyriuose, kurie specializuojasi citotoksinės chemoterapijos srityje, ir tik prižiūrint kvalifikuotam gydytojui, turinčiam priešvėžinės chemoterapijos taikymo patirties.</w:t>
      </w:r>
    </w:p>
    <w:p w14:paraId="2FC45CC0" w14:textId="77777777" w:rsidR="009500C0" w:rsidRPr="00E14983" w:rsidDel="004301F7"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B270E4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Atsižvelgiant į nepageidaujamų reiškinių pobūdį ir dažnumą, </w:t>
      </w: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bus skiriamas šiais atvejais tik palyginus planuojamą naudą su galima gydymo rizika:</w:t>
      </w:r>
    </w:p>
    <w:p w14:paraId="445BECDF" w14:textId="77777777" w:rsidR="009500C0" w:rsidRPr="00E14983" w:rsidRDefault="009500C0" w:rsidP="009500C0">
      <w:pPr>
        <w:widowControl w:val="0"/>
        <w:numPr>
          <w:ilvl w:val="0"/>
          <w:numId w:val="2"/>
        </w:numPr>
        <w:shd w:val="clear" w:color="auto" w:fill="FFFFFF"/>
        <w:tabs>
          <w:tab w:val="left" w:pos="0"/>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rizikos grupei priklausantiems pacientams, ypač tiems, kurių funkcinė būklė pagal PSO = 2;</w:t>
      </w:r>
    </w:p>
    <w:p w14:paraId="159B0580" w14:textId="47884353" w:rsidR="009500C0" w:rsidRPr="00E14983" w:rsidRDefault="00E3682E" w:rsidP="009500C0">
      <w:pPr>
        <w:widowControl w:val="0"/>
        <w:numPr>
          <w:ilvl w:val="0"/>
          <w:numId w:val="2"/>
        </w:numPr>
        <w:shd w:val="clear" w:color="auto" w:fill="FFFFFF"/>
        <w:tabs>
          <w:tab w:val="left" w:pos="0"/>
        </w:tabs>
        <w:autoSpaceDE w:val="0"/>
        <w:autoSpaceDN w:val="0"/>
        <w:adjustRightInd w:val="0"/>
        <w:snapToGrid w:val="0"/>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keliais </w:t>
      </w:r>
      <w:r w:rsidR="009500C0" w:rsidRPr="00E14983">
        <w:rPr>
          <w:rFonts w:ascii="Times New Roman" w:eastAsia="Times New Roman" w:hAnsi="Times New Roman" w:cs="Times New Roman"/>
          <w:color w:val="000000"/>
          <w:lang w:val="lt-LT"/>
        </w:rPr>
        <w:t>retais atvejais, kai pacientai tikriausiai nesilaikys nepageidaujamų reiškinių kontroliavimo rekomendacijų (reikalingas skubus ir ilgai trunkantis gydymas nuo viduriavimo, vartojant daug skysčių vėlyvojo viduriavimo pradžioje). Šiems pacientams rekomenduojama griežta priežiūra ligoninėje.</w:t>
      </w:r>
    </w:p>
    <w:p w14:paraId="772EB4D9" w14:textId="77777777"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rPr>
          <w:rFonts w:ascii="Times New Roman" w:eastAsia="Times New Roman" w:hAnsi="Times New Roman" w:cs="Times New Roman"/>
          <w:lang w:val="lt-LT"/>
        </w:rPr>
      </w:pPr>
    </w:p>
    <w:p w14:paraId="55DCCF4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Kai </w:t>
      </w: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vartojamas kaip monoterapija, paprastai jis skiriamas kas tris savaites. Tačiau šis vaistinis preparatas gali būti skiriamas kas savaitę (žr. 5.1 skyrių) pacientams, kuriems reikia atidesnio gydytojo stebėjimo arba turintiems sunkios neutropenijos riziką.</w:t>
      </w:r>
    </w:p>
    <w:p w14:paraId="1307FC8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
          <w:color w:val="000000"/>
          <w:lang w:val="lt-LT"/>
        </w:rPr>
      </w:pPr>
    </w:p>
    <w:p w14:paraId="346EBF6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Vėlyvas viduriavimas</w:t>
      </w:r>
    </w:p>
    <w:p w14:paraId="17B274E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343C175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Pacientai turi būti informuoti apie vėlyvo viduriavimo riziką, kuris gali pasireikšti praėjus daugiau kaip 24 valandoms po </w:t>
      </w: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vartojimo ir bet kuriuo metu iki kito ciklo. Taikant monoterapiją pirmųjų skystų išmatų pasirodymo vidutinis laikas yra penkta para po</w:t>
      </w:r>
      <w:r w:rsidRPr="00E14983">
        <w:rPr>
          <w:rFonts w:ascii="Times New Roman" w:hAnsi="Times New Roman" w:cs="Times New Roman"/>
          <w:lang w:val="lt-LT"/>
        </w:rPr>
        <w:t xml:space="preserve"> </w:t>
      </w:r>
      <w:r w:rsidRPr="00E14983">
        <w:rPr>
          <w:rFonts w:ascii="Times New Roman" w:eastAsia="Times New Roman" w:hAnsi="Times New Roman" w:cs="Times New Roman"/>
          <w:color w:val="000000"/>
          <w:lang w:val="lt-LT"/>
        </w:rPr>
        <w:t>Irinotecan Accord 20 mg/ml koncentrato infuziniam tirpalui infuzijos. Pacientai turi nedelsiant apie tai pranešti savo gydytojui ir iš karto pradėti tinkamą gydymą.</w:t>
      </w:r>
    </w:p>
    <w:p w14:paraId="00573DE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2DEE27E6" w14:textId="18126FF8"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Viduriavimo rizika yra didesnė pacientams, kuriems anksčiau buvo taikyta pilvo ir (arba) dubens spindulinis gydymas, kuriems yra pradinė hiperleukocitozė, kurių funkcinė būklė yra ≥</w:t>
      </w:r>
      <w:r w:rsidR="002D41D8" w:rsidRPr="00E14983">
        <w:rPr>
          <w:lang w:val="lt-LT"/>
        </w:rPr>
        <w:t> </w:t>
      </w:r>
      <w:r w:rsidRPr="00E14983">
        <w:rPr>
          <w:rFonts w:ascii="Times New Roman" w:eastAsia="Times New Roman" w:hAnsi="Times New Roman" w:cs="Times New Roman"/>
          <w:color w:val="000000"/>
          <w:lang w:val="lt-LT"/>
        </w:rPr>
        <w:t>2 ir moterys. Tinkamai negydomas viduriavimas gali būti pavojingas gyvybei, ypač tiems pacientams, kuriems yra ir neutropenija.</w:t>
      </w:r>
    </w:p>
    <w:p w14:paraId="247D74C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7BF4DBF0" w14:textId="620B6610"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Kai tik pacientas pradeda skystai tuštintis, jis turi pradėti gerti daug skysčių su elektrolitais ir nedelsiant turi būti pradėtas gydymas nuo viduriavimo. Vaistinių preparatų nuo viduriavimo bus išrašyta tame skyriuje, kuriame buvo vartojamas </w:t>
      </w: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w:t>
      </w:r>
      <w:r w:rsidRPr="00E14983">
        <w:rPr>
          <w:rFonts w:ascii="Times New Roman" w:eastAsia="Times New Roman" w:hAnsi="Times New Roman" w:cs="Times New Roman"/>
          <w:color w:val="000000"/>
          <w:lang w:val="lt-LT"/>
        </w:rPr>
        <w:t xml:space="preserve"> Išrašyti iš ligoninės, pacientai turi įsigyti išrašytų vaistinių preparatų, kad galėtų pradėti gydyti viduriavimą, kai tik jis pasireiškia. Be to, jie turi pranešti savo gydytojui arba skyriui, kur buvo infuzuojamas </w:t>
      </w: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ar prasidėjo viduriavimas ir kada jis prasidėjo.</w:t>
      </w:r>
    </w:p>
    <w:p w14:paraId="7BA67F7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iCs/>
          <w:color w:val="000000"/>
          <w:lang w:val="lt-LT"/>
        </w:rPr>
      </w:pPr>
    </w:p>
    <w:p w14:paraId="3D7607F9" w14:textId="553C889D"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lastRenderedPageBreak/>
        <w:t>Šiuo metu viduriavimą gydyti rekomenduojama didelėmis dozėmis loperamido (pirmą kartą 4 mg ir po to po 2 mg kas dvi valandos). Šį gydymą reikia tęsti 12 valandų po paskutinio skysto tuštinimosi ir jo negalima keisti. Taip loperamido galima dozuoti ne ilgiau kaip 48</w:t>
      </w:r>
      <w:r w:rsidR="002D41D8"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val. iš eilės, kadangi kyla paralyžinio žarnyno nepraeinamumo rizika, bet ne trumpiau kaip 12</w:t>
      </w:r>
      <w:r w:rsidR="002D41D8"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valandų.</w:t>
      </w:r>
    </w:p>
    <w:p w14:paraId="741CB76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CB472AA" w14:textId="77777777"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Jeigu viduriavimas susijęs su sunkia neutropenija (neutrofilų yra &lt; 500 ląstelių/mm³), infekcijos profilaktikai reikia kartu su vaistiniais preparatais nuo viduriavimo vartoti plataus antimikrobinio poveikio antibiotikų.</w:t>
      </w:r>
    </w:p>
    <w:p w14:paraId="019F96A3" w14:textId="77777777" w:rsidR="009500C0" w:rsidRPr="00E14983" w:rsidRDefault="009500C0" w:rsidP="009500C0">
      <w:pPr>
        <w:spacing w:after="0" w:line="240" w:lineRule="auto"/>
        <w:rPr>
          <w:rFonts w:ascii="Times New Roman" w:eastAsia="Calibri" w:hAnsi="Times New Roman" w:cs="Times New Roman"/>
          <w:lang w:val="lt-LT"/>
        </w:rPr>
      </w:pPr>
    </w:p>
    <w:p w14:paraId="6262AB80" w14:textId="77777777"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Stabdant viduriavimą, be gydymo antibiotikais, pacientą rekomenduojama hospitalizuoti, jeigu:</w:t>
      </w:r>
    </w:p>
    <w:p w14:paraId="7E5A47DB" w14:textId="77777777" w:rsidR="009500C0" w:rsidRPr="00E14983" w:rsidRDefault="009500C0" w:rsidP="009500C0">
      <w:pPr>
        <w:numPr>
          <w:ilvl w:val="0"/>
          <w:numId w:val="36"/>
        </w:numPr>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viduriavimas susijęs su karščiavimu;</w:t>
      </w:r>
    </w:p>
    <w:p w14:paraId="6883999D" w14:textId="77777777" w:rsidR="009500C0" w:rsidRPr="00E14983" w:rsidRDefault="009500C0" w:rsidP="009500C0">
      <w:pPr>
        <w:numPr>
          <w:ilvl w:val="0"/>
          <w:numId w:val="36"/>
        </w:numPr>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viduriavimas sunkus (būtina į veną leisti skysčių);</w:t>
      </w:r>
    </w:p>
    <w:p w14:paraId="1BA8FC05" w14:textId="77777777" w:rsidR="009500C0" w:rsidRPr="00E14983" w:rsidRDefault="009500C0" w:rsidP="009500C0">
      <w:pPr>
        <w:numPr>
          <w:ilvl w:val="0"/>
          <w:numId w:val="36"/>
        </w:numPr>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pradėjus gydyti didele loperamido doze, viduriavimas trunka ilgiau nei 48 val.</w:t>
      </w:r>
    </w:p>
    <w:p w14:paraId="3CD91971" w14:textId="77777777" w:rsidR="009500C0" w:rsidRPr="00E14983" w:rsidRDefault="009500C0" w:rsidP="009500C0">
      <w:pPr>
        <w:spacing w:after="0" w:line="240" w:lineRule="auto"/>
        <w:rPr>
          <w:rFonts w:ascii="Times New Roman" w:eastAsia="Calibri" w:hAnsi="Times New Roman" w:cs="Times New Roman"/>
          <w:lang w:val="lt-LT"/>
        </w:rPr>
      </w:pPr>
    </w:p>
    <w:p w14:paraId="6FB1E4C8" w14:textId="77777777"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 xml:space="preserve">Viduriavimo profilaktikai loperamido vartoti negalima net tiems pacientams, kuriems ankstesnio gydymo ciklo metu buvo pasireiškęs vėlyvasis viduriavimas. </w:t>
      </w:r>
    </w:p>
    <w:p w14:paraId="16A2B99B" w14:textId="77777777" w:rsidR="009500C0" w:rsidRPr="00E14983" w:rsidRDefault="009500C0" w:rsidP="009500C0">
      <w:pPr>
        <w:spacing w:after="0" w:line="240" w:lineRule="auto"/>
        <w:rPr>
          <w:rFonts w:ascii="Times New Roman" w:eastAsia="Calibri" w:hAnsi="Times New Roman" w:cs="Times New Roman"/>
          <w:lang w:val="lt-LT"/>
        </w:rPr>
      </w:pPr>
    </w:p>
    <w:p w14:paraId="7BB726FA" w14:textId="0E51DA56"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Pacientams, kuriems buvo pasireiškęs sunkus viduriavimas, kitų gydymo ciklų metu rekomenduojama mažinti dozę (žr. 4.2</w:t>
      </w:r>
      <w:r w:rsidR="002D41D8" w:rsidRPr="00E14983">
        <w:rPr>
          <w:rFonts w:ascii="Times New Roman" w:eastAsia="Calibri" w:hAnsi="Times New Roman" w:cs="Times New Roman"/>
          <w:lang w:val="lt-LT"/>
        </w:rPr>
        <w:t> </w:t>
      </w:r>
      <w:r w:rsidRPr="00E14983">
        <w:rPr>
          <w:rFonts w:ascii="Times New Roman" w:eastAsia="Calibri" w:hAnsi="Times New Roman" w:cs="Times New Roman"/>
          <w:lang w:val="lt-LT"/>
        </w:rPr>
        <w:t>skyrių).</w:t>
      </w:r>
    </w:p>
    <w:p w14:paraId="3C5F437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2DAB6BB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Hematologija</w:t>
      </w:r>
    </w:p>
    <w:p w14:paraId="24503CA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3532843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Klinikinių tyrimų metu 3 arba 4 laipsnio pagal NVI-BTK klasifikaciją neutropenija pasireiškė reikšmingai dažniau pacientams, kuriems anksčiau buvo taikomas spindulinis dubens ir (arba) pilvo srities gydymas, palyginti su pacientais, kuriems toks spindulinis gydymas nebuvo taikomas. Pacientams, kurių serume pradinis bendras bilirubino kiekis buvo 1,0 mg/dl arba didesnis, 3 arba 4 laipsnio neutropenijos pasireiškimo rizika pirmojo ciklo metu buvo reikšmingai didesnė, palyginti su pacientais, kurių serume bilirubino kiekis buvo mažesnis nei 1,0 mg/dl.</w:t>
      </w:r>
    </w:p>
    <w:p w14:paraId="6E08084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45317543" w14:textId="13CA275F"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Gydant </w:t>
      </w:r>
      <w:r w:rsidRPr="00E14983">
        <w:rPr>
          <w:rFonts w:ascii="Times New Roman" w:eastAsia="Times New Roman" w:hAnsi="Times New Roman" w:cs="Times New Roman"/>
          <w:iCs/>
          <w:color w:val="000000"/>
          <w:lang w:val="lt-LT"/>
        </w:rPr>
        <w:t>Irinotecan Accord 20 mg/ml koncentratu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rekomenduojama kas savaitę atlikti bendrą kraujo tyrimą. Pacientai turi informuoti apie neutropenijos riziką ir karščiavimo reikšmę. Febrilinę neutropeniją (temperatūra &gt;38°C ir neutrofilų skaičius ≤</w:t>
      </w:r>
      <w:r w:rsidR="002D41D8"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1,0</w:t>
      </w:r>
      <w:r w:rsidR="002D41D8"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x</w:t>
      </w:r>
      <w:r w:rsidR="002D41D8"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10</w:t>
      </w:r>
      <w:r w:rsidRPr="00E14983">
        <w:rPr>
          <w:rFonts w:ascii="Times New Roman" w:eastAsia="Times New Roman" w:hAnsi="Times New Roman" w:cs="Times New Roman"/>
          <w:color w:val="000000"/>
          <w:vertAlign w:val="superscript"/>
          <w:lang w:val="lt-LT"/>
        </w:rPr>
        <w:t>9</w:t>
      </w:r>
      <w:r w:rsidRPr="00E14983">
        <w:rPr>
          <w:rFonts w:ascii="Times New Roman" w:eastAsia="Times New Roman" w:hAnsi="Times New Roman" w:cs="Times New Roman"/>
          <w:color w:val="000000"/>
          <w:lang w:val="lt-LT"/>
        </w:rPr>
        <w:t>/l, t.y. ≤1000/mm</w:t>
      </w:r>
      <w:r w:rsidRPr="00E14983">
        <w:rPr>
          <w:rFonts w:ascii="Times New Roman" w:eastAsia="Times New Roman" w:hAnsi="Times New Roman" w:cs="Times New Roman"/>
          <w:color w:val="000000"/>
          <w:vertAlign w:val="superscript"/>
          <w:lang w:val="lt-LT"/>
        </w:rPr>
        <w:t>3</w:t>
      </w:r>
      <w:r w:rsidRPr="00E14983">
        <w:rPr>
          <w:rFonts w:ascii="Times New Roman" w:eastAsia="Times New Roman" w:hAnsi="Times New Roman" w:cs="Times New Roman"/>
          <w:color w:val="000000"/>
          <w:lang w:val="lt-LT"/>
        </w:rPr>
        <w:t>) reikia skubiai gydyti ligoninėje plataus poveikio intraveniniais antibiotikais.</w:t>
      </w:r>
    </w:p>
    <w:p w14:paraId="156C687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7AF0E1B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Pacientams, kuriems pasireiškė sunkūs hematologiniai reiškiniai, rekomenduojama vėlesniais gydymo etapais sumažinti dozę (žr. 4.2 skyrių).</w:t>
      </w:r>
    </w:p>
    <w:p w14:paraId="060F272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E5EEE8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Stipriai viduriuojantiems pacientams padidėja infekcijų ir hematologinio toksinio poveikio rizika. Stipriai viduriuojantiems pacientams turi būti atliekamas bendras kraujo tyrimas.</w:t>
      </w:r>
    </w:p>
    <w:p w14:paraId="6AF04F5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2021525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Kepenų funkcijos sutrikimas</w:t>
      </w:r>
    </w:p>
    <w:p w14:paraId="3961A0D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71631C0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Kepenų funkcijos tyrimai turi būti atlikti gydymo pradžioje ir prieš kiekvieną ciklą.</w:t>
      </w:r>
    </w:p>
    <w:p w14:paraId="0237624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21C1417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Pacientams, kurių bilirubino kiekis kraujyje 1,5</w:t>
      </w:r>
      <w:r w:rsidRPr="00E14983">
        <w:rPr>
          <w:rFonts w:ascii="Times New Roman" w:eastAsia="Times New Roman" w:hAnsi="Times New Roman" w:cs="Times New Roman"/>
          <w:color w:val="000000"/>
          <w:lang w:val="lt-LT"/>
        </w:rPr>
        <w:noBreakHyphen/>
        <w:t>3 kartus viršija viršutinę normos ribą, kas savaitę turi būti atliekamas bendras kraujo tyrimas, nes sumažėja irinotekano klirensas (žr. 5.2 skyrių) ir padidėja šios pacientų grupės hematologinio toksinio poveikio rizika. Apie pacientus, kurių bilirubino kiekis kraujyje daugiau kaip tris kartus viršija viršutinę normos ribą žr. 4.3 skyrių.</w:t>
      </w:r>
    </w:p>
    <w:p w14:paraId="0DFA252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506FA08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Pykinimas ir vėmimas</w:t>
      </w:r>
    </w:p>
    <w:p w14:paraId="656F568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7B585FC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Prieš kiekvieną </w:t>
      </w:r>
      <w:r w:rsidRPr="00E14983">
        <w:rPr>
          <w:rFonts w:ascii="Times New Roman" w:eastAsia="Times New Roman" w:hAnsi="Times New Roman" w:cs="Times New Roman"/>
          <w:iCs/>
          <w:color w:val="000000"/>
          <w:lang w:val="lt-LT"/>
        </w:rPr>
        <w:t>Irinotecan Accord 20 mg/ml koncentrato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 xml:space="preserve">vartojimą rekomenduojamas profilaktinis gydymas </w:t>
      </w:r>
      <w:r w:rsidRPr="00E14983">
        <w:rPr>
          <w:rFonts w:ascii="Times New Roman" w:hAnsi="Times New Roman" w:cs="Times New Roman"/>
          <w:lang w:val="lt-LT"/>
        </w:rPr>
        <w:t>vėmimą slopinančiais vaistiniais preparatais</w:t>
      </w:r>
      <w:r w:rsidRPr="00E14983">
        <w:rPr>
          <w:rFonts w:ascii="Times New Roman" w:eastAsia="Times New Roman" w:hAnsi="Times New Roman" w:cs="Times New Roman"/>
          <w:color w:val="000000"/>
          <w:lang w:val="lt-LT"/>
        </w:rPr>
        <w:t>. Dažnai buvo pranešimų apie pykinimą ir vėmimą. Jeigu vėmimas prasideda kartu su vėlyvuoju viduriavimu, pacientą reikia nedelsiant hospitalizuoti ir gydyti.</w:t>
      </w:r>
    </w:p>
    <w:p w14:paraId="086009A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75E03FB"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lastRenderedPageBreak/>
        <w:t>Ūminis cholinerginis sindromas</w:t>
      </w:r>
    </w:p>
    <w:p w14:paraId="1CCBB19E"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4D69B06C"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pasireiškia ūminis cholinerginis sindromas (apibūdinamas kaip ankstyvasis viduriavimas ir įvairūs kiti požymiai ir simptomai, tokie kaip prakaitavimas, pilvo spazmai, miozė ir seilėtekis), reikia po oda suleisti 0,25 mg atropino sulfato, išskyrus tuos atvejus, kai yra klinikinių kontraindikacijų (žr. 4.8 skyrių).</w:t>
      </w:r>
    </w:p>
    <w:p w14:paraId="6AA1F7A6"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2A6820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Šių simptomų gali pasireikšti irinotekano infuzijos metu arba iš karto po jos; manoma, kad jie yra susiję su irinotekano pirminės medžiagos anticholinesteraziniu poveikiu ir, tikėtina, gali pasireikšti dažniau, jeigu vartojamos didesnės irinotekano dozės.</w:t>
      </w:r>
    </w:p>
    <w:p w14:paraId="28D747D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5ECFD1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Pacientus, sergančius astma, reikia gydyti atsargiai. Pacientams, kuriems pasireiškė ūminis ir stiprus cholinerginis sindromas, infuzuojant kitas Irinotecan Accord 20 mg/ml koncentrato infuziniam tirpalui dozes, rekomenduojama profilaktiškai vartoti atropino sulfato.</w:t>
      </w:r>
    </w:p>
    <w:p w14:paraId="4FB7503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468C885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Kvėpavimo sutrikimai</w:t>
      </w:r>
    </w:p>
    <w:p w14:paraId="1858882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176CA36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Intersticinė plaučių liga, pasireiškianti plaučių infiltratais, gydymo irinotekanu metu pasireiškia nedažnai. Intersticinė plaučių liga gali būti mirtina. Rizikos veiksniai, su kuriais gali būti susijęs intersticinės plaučių ligos pasireiškimas, yra toksinį poveikį plaučiams sukeliančių vaistinių preparatų vartojimas, radioterapija ir kolonijas stimuliuojantys faktoriai. Prieš irinotekano infuziją ir po jos reikia atidžiai sekti, ar pacientams, kuriems yra rizikos veiksnių, neatsiranda kvėpavimo sutrikimo simptomų.</w:t>
      </w:r>
    </w:p>
    <w:p w14:paraId="3DC6633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7ED90DEB"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Ekstravazacija</w:t>
      </w:r>
    </w:p>
    <w:p w14:paraId="67F7E183" w14:textId="77777777" w:rsidR="009500C0" w:rsidRPr="00E14983" w:rsidRDefault="009500C0" w:rsidP="009500C0">
      <w:pPr>
        <w:spacing w:after="0" w:line="240" w:lineRule="auto"/>
        <w:rPr>
          <w:rFonts w:ascii="Times New Roman" w:eastAsia="Times New Roman" w:hAnsi="Times New Roman" w:cs="Times New Roman"/>
          <w:b/>
          <w:lang w:val="lt-LT"/>
        </w:rPr>
      </w:pPr>
    </w:p>
    <w:p w14:paraId="2B934338" w14:textId="77777777" w:rsidR="009500C0" w:rsidRPr="00E14983" w:rsidRDefault="009500C0" w:rsidP="009500C0">
      <w:pPr>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lang w:val="lt-LT"/>
        </w:rPr>
        <w:t>Nors irinotekanas nėra vezikantas, turi būti imamasi atitinkamų saugumo priemonių, siekiant išvengti preparato ekstravazacijos (išsiliejimo į audinius). Infuzijos sritis turi būti stebima, ar neatsiranda uždegimo požymių. Atsiradus ekstravazacijos požymiams, rekomenduojama tą sritį plauti steriliu vandeniu ir šaldyti ledo kompresais.</w:t>
      </w:r>
    </w:p>
    <w:p w14:paraId="4B86930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04C2A18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Senyvi pacientai</w:t>
      </w:r>
    </w:p>
    <w:p w14:paraId="39BA62F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3E72C7A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Kadangi </w:t>
      </w:r>
      <w:r w:rsidRPr="00E14983">
        <w:rPr>
          <w:rFonts w:ascii="Times New Roman" w:eastAsia="Times New Roman" w:hAnsi="Times New Roman" w:cs="Times New Roman"/>
          <w:lang w:val="lt-LT"/>
        </w:rPr>
        <w:t xml:space="preserve">senyvų pacientų biologinės funkcijos, ypač kepenų veiklą, </w:t>
      </w:r>
      <w:r w:rsidRPr="00E14983">
        <w:rPr>
          <w:rFonts w:ascii="Times New Roman" w:eastAsia="Times New Roman" w:hAnsi="Times New Roman" w:cs="Times New Roman"/>
          <w:color w:val="000000"/>
          <w:lang w:val="lt-LT"/>
        </w:rPr>
        <w:t>dažnai būna susilpnėjusios, šiai pacientų grupei reikia atsargiai parinkti</w:t>
      </w:r>
      <w:r w:rsidRPr="00E14983">
        <w:rPr>
          <w:rFonts w:ascii="Times New Roman" w:hAnsi="Times New Roman" w:cs="Times New Roman"/>
          <w:lang w:val="lt-LT"/>
        </w:rPr>
        <w:t xml:space="preserve"> </w:t>
      </w:r>
      <w:r w:rsidRPr="00E14983">
        <w:rPr>
          <w:rFonts w:ascii="Times New Roman" w:eastAsia="Times New Roman" w:hAnsi="Times New Roman" w:cs="Times New Roman"/>
          <w:color w:val="000000"/>
          <w:lang w:val="lt-LT"/>
        </w:rPr>
        <w:t>Irinotecan Accord 20 mg/ml koncentrato infuziniam tirpalui dozę (žr. 4.2 skyrių).</w:t>
      </w:r>
    </w:p>
    <w:p w14:paraId="54619D5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3FDF013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Cs/>
          <w:color w:val="000000"/>
          <w:u w:val="single"/>
          <w:lang w:val="lt-LT"/>
        </w:rPr>
      </w:pPr>
      <w:r w:rsidRPr="00E14983">
        <w:rPr>
          <w:rFonts w:ascii="Times New Roman" w:eastAsia="Times New Roman" w:hAnsi="Times New Roman" w:cs="Times New Roman"/>
          <w:bCs/>
          <w:color w:val="000000"/>
          <w:u w:val="single"/>
          <w:lang w:val="lt-LT"/>
        </w:rPr>
        <w:t>Lėtinė uždegiminė žarnų liga ir (arba) ž</w:t>
      </w:r>
      <w:r w:rsidRPr="00E14983">
        <w:rPr>
          <w:rFonts w:ascii="Times New Roman" w:eastAsia="Times New Roman" w:hAnsi="Times New Roman" w:cs="Times New Roman"/>
          <w:bCs/>
          <w:iCs/>
          <w:color w:val="000000"/>
          <w:u w:val="single"/>
          <w:lang w:val="lt-LT"/>
        </w:rPr>
        <w:t>arnų obstrukcija</w:t>
      </w:r>
    </w:p>
    <w:p w14:paraId="693F055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iCs/>
          <w:color w:val="000000"/>
          <w:lang w:val="lt-LT"/>
        </w:rPr>
      </w:pPr>
    </w:p>
    <w:p w14:paraId="31BD547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Pacientų negalima gydyti </w:t>
      </w:r>
      <w:r w:rsidRPr="00E14983">
        <w:rPr>
          <w:rFonts w:ascii="Times New Roman" w:eastAsia="Times New Roman" w:hAnsi="Times New Roman" w:cs="Times New Roman"/>
          <w:iCs/>
          <w:color w:val="000000"/>
          <w:lang w:val="lt-LT"/>
        </w:rPr>
        <w:t xml:space="preserve">Irinotecan Accord 20 mg/ml koncentratu infuziniam tirpalui </w:t>
      </w:r>
      <w:r w:rsidRPr="00E14983">
        <w:rPr>
          <w:rFonts w:ascii="Times New Roman" w:eastAsia="Times New Roman" w:hAnsi="Times New Roman" w:cs="Times New Roman"/>
          <w:color w:val="000000"/>
          <w:lang w:val="lt-LT"/>
        </w:rPr>
        <w:t>kol nebus pašalintas žarnų nepraeinamumas (žr. 4.3 skyrių).</w:t>
      </w:r>
    </w:p>
    <w:p w14:paraId="475F36D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2AC7EAD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Inkstų funkcijos sutrikimas</w:t>
      </w:r>
    </w:p>
    <w:p w14:paraId="528902E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6D4279F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Buvo kreatinino kiekio serume ar šlapalo kiekio kraujyje padidėjimo atvejų. Buvo ūminio inkstų nepakankamumo atvejų. Šie atvejai paprastai buvo susiję su infekcinių ligų komplikacijomis arba su pykinimo, vėmimo arba viduriavimo sukelta dehidracija. Pranešta apie retus naviko irimo sindromo sukelto inkstų funkcijos sutrikimo atvejus.</w:t>
      </w:r>
    </w:p>
    <w:p w14:paraId="2A4CFAB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663A917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Spindulinis gydymas</w:t>
      </w:r>
    </w:p>
    <w:p w14:paraId="6FEABC3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1B44A41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Pacientams, kuriems anksčiau buvo taikomas spindulinis dubens ir (arba) pilvo srities gydymas, yra didesnė kaulų čiulpų slopinimo po irinotekano pavartojimo rizika. Gydytojai turi atsargiai irinotekanu gydyti pacientus, kuriems buvo taikomas ekstensyvus spindulinis gydymas (pvz., apšvitinta &gt;25 % kaulų čiulpų ir gydymas taikytas 6 savaičių laikotarpiu iki irinotekano vartojimo pradžios). Tokiems pacientams gali reikėti koreguoti dozę (žr. 4.2 skyrių).</w:t>
      </w:r>
    </w:p>
    <w:p w14:paraId="3356D84C"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25B4B753" w14:textId="77777777" w:rsidR="009500C0" w:rsidRPr="00E14983" w:rsidRDefault="009500C0" w:rsidP="009500C0">
      <w:pPr>
        <w:tabs>
          <w:tab w:val="left" w:pos="567"/>
        </w:tabs>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lastRenderedPageBreak/>
        <w:t>Širdies sutrikimai</w:t>
      </w:r>
    </w:p>
    <w:p w14:paraId="20E9AB38"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p>
    <w:p w14:paraId="3F5A426F"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Po gydymo irinotekanu buvo miokardo išemijos reiškinių atvejų, daugiausia pacientams, sergantiems širdies liga, turintiems kitokių žinomų širdies ligos rizikos veiksnių arba anksčiau gydytiems citotoksine chemoterapija (žr. 4.8 skyrių).</w:t>
      </w:r>
    </w:p>
    <w:p w14:paraId="04B373EB"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7372BECE"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Taigi pacientus, turinčius žinomų rizikos veiksnių, reikia atidžiai stebėti ir imtis priemonių iki minimumo sumažinti pakeičiamuosius rizikos veiksnius (pvz., rūkymą, hipertenziją ir hiperlipidemiją).</w:t>
      </w:r>
    </w:p>
    <w:p w14:paraId="140EED22" w14:textId="77777777" w:rsidR="009500C0" w:rsidRPr="00E14983" w:rsidRDefault="009500C0" w:rsidP="009500C0">
      <w:pPr>
        <w:spacing w:after="0" w:line="240" w:lineRule="auto"/>
        <w:rPr>
          <w:rFonts w:ascii="Times New Roman" w:eastAsia="Times New Roman" w:hAnsi="Times New Roman" w:cs="Times New Roman"/>
          <w:b/>
          <w:lang w:val="lt-LT"/>
        </w:rPr>
      </w:pPr>
    </w:p>
    <w:p w14:paraId="1BABF46A"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Kraujagyslių sutrikimai</w:t>
      </w:r>
    </w:p>
    <w:p w14:paraId="2ECC4FCA" w14:textId="77777777" w:rsidR="009500C0" w:rsidRPr="00E14983" w:rsidRDefault="009500C0" w:rsidP="009500C0">
      <w:pPr>
        <w:spacing w:after="0" w:line="240" w:lineRule="auto"/>
        <w:rPr>
          <w:rFonts w:ascii="Times New Roman" w:eastAsia="Times New Roman" w:hAnsi="Times New Roman" w:cs="Times New Roman"/>
          <w:b/>
          <w:lang w:val="lt-LT"/>
        </w:rPr>
      </w:pPr>
    </w:p>
    <w:p w14:paraId="636743B3" w14:textId="278FFFFA" w:rsidR="009500C0" w:rsidRPr="00E14983" w:rsidRDefault="009500C0" w:rsidP="007A40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Irinotekano vartojimas retai buvo susijęs su tromboembolijos reiškinių (plaučių embolijos, venų trombozės arba arterijų tromboembolijos) atvejais pacientams, kuriems kartu su naviku buvo ir kitų dauginių rizikos veiksnių.</w:t>
      </w:r>
    </w:p>
    <w:p w14:paraId="525576B4" w14:textId="77777777" w:rsidR="0043706C" w:rsidRPr="00E14983" w:rsidRDefault="0043706C" w:rsidP="007A40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2995706B" w14:textId="77777777" w:rsidR="0043706C" w:rsidRPr="00E14983" w:rsidRDefault="0043706C" w:rsidP="0043706C">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iCs/>
          <w:color w:val="000000"/>
          <w:u w:val="single"/>
          <w:lang w:val="lt-LT"/>
        </w:rPr>
      </w:pPr>
      <w:r w:rsidRPr="00E14983">
        <w:rPr>
          <w:rFonts w:ascii="Times New Roman" w:eastAsia="Times New Roman" w:hAnsi="Times New Roman" w:cs="Times New Roman"/>
          <w:bCs/>
          <w:iCs/>
          <w:color w:val="000000"/>
          <w:u w:val="single"/>
          <w:lang w:val="lt-LT"/>
        </w:rPr>
        <w:t>Pacientai, kurių uridino difosfato gliukuronozilo transferazės (UGT1A1) aktyvumas sumažėjęs</w:t>
      </w:r>
    </w:p>
    <w:p w14:paraId="65067663" w14:textId="77777777" w:rsidR="0043706C" w:rsidRPr="00E14983" w:rsidRDefault="0043706C" w:rsidP="0043706C">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33B7B487" w14:textId="43F892AD" w:rsidR="0043706C" w:rsidRPr="00E14983" w:rsidRDefault="0043706C" w:rsidP="0043706C">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u w:val="single"/>
          <w:lang w:val="lt-LT"/>
        </w:rPr>
      </w:pPr>
      <w:r w:rsidRPr="00E14983">
        <w:rPr>
          <w:rFonts w:ascii="Times New Roman" w:eastAsia="Times New Roman" w:hAnsi="Times New Roman" w:cs="Times New Roman"/>
          <w:bCs/>
          <w:color w:val="000000"/>
          <w:lang w:val="lt-LT"/>
        </w:rPr>
        <w:t>Pacientams, kurių UGT1A1 metabolizmas yra silpnas, pavyzdžiui, Gilberto (</w:t>
      </w:r>
      <w:r w:rsidRPr="00E14983">
        <w:rPr>
          <w:rFonts w:ascii="Times New Roman" w:eastAsia="Times New Roman" w:hAnsi="Times New Roman" w:cs="Times New Roman"/>
          <w:bCs/>
          <w:i/>
          <w:iCs/>
          <w:color w:val="000000"/>
          <w:lang w:val="lt-LT"/>
        </w:rPr>
        <w:t>Gilbert</w:t>
      </w:r>
      <w:r w:rsidRPr="00E14983">
        <w:rPr>
          <w:rFonts w:ascii="Times New Roman" w:eastAsia="Times New Roman" w:hAnsi="Times New Roman" w:cs="Times New Roman"/>
          <w:bCs/>
          <w:color w:val="000000"/>
          <w:lang w:val="lt-LT"/>
        </w:rPr>
        <w:t>)</w:t>
      </w:r>
      <w:r w:rsidRPr="00E14983">
        <w:rPr>
          <w:rFonts w:ascii="Times New Roman" w:eastAsia="Times New Roman" w:hAnsi="Times New Roman" w:cs="Times New Roman"/>
          <w:bCs/>
          <w:i/>
          <w:iCs/>
          <w:color w:val="000000"/>
          <w:lang w:val="lt-LT"/>
        </w:rPr>
        <w:t xml:space="preserve"> </w:t>
      </w:r>
      <w:r w:rsidRPr="00E14983">
        <w:rPr>
          <w:rFonts w:ascii="Times New Roman" w:eastAsia="Times New Roman" w:hAnsi="Times New Roman" w:cs="Times New Roman"/>
          <w:bCs/>
          <w:color w:val="000000"/>
          <w:lang w:val="lt-LT"/>
        </w:rPr>
        <w:t>sindromu sergantys pacientai (pvz., homozigotiniai pagal UGT1A1*28 arba *6 variantus), po gydymo irinotekanu yra didesnė sunkios neutropenijos ir viduriavimo rizika. Ši rizika didėja didinant irinotekano dozę. Nors tikslios pradinės dozės sumažinimo rekomendacijos nėra nustatytos, pacientams, kurių UGT1A1 metabolizmas yra silpnas, ypač pacientams, kuriems skiriamos &gt; 180 mg/m² dozės arba silpniems pacientams, reikia apsvarstyti galimybę sumažinti pradinę irinotekano dozę. Reikėtų atsižvelgti į taikomas klinikines dozavimo rekomendacijas šiai pacientų grupei. Tolesnes dozes galima didinti, atsižvelgiant į paciento individualų gydymo toleravimą. Norint nustatyti pacientus, kuriems yra padidėjusi sunkios neutropenijos ir viduriavimo rizika, galima naudoti UGT1A1 genotipavimą, tačiau prieš gydymą atlikto genotipavimo klinikinė nauda neaiški, nes UGT1A1 polimorfizmas neatspindi viso toksinio poveikio, pastebėto gydant irinotekanu (žr. 5.2 skyrių).</w:t>
      </w:r>
    </w:p>
    <w:p w14:paraId="489E8881" w14:textId="77777777" w:rsidR="009500C0" w:rsidRPr="00E14983" w:rsidRDefault="009500C0" w:rsidP="009500C0">
      <w:pPr>
        <w:tabs>
          <w:tab w:val="left" w:pos="567"/>
        </w:tabs>
        <w:spacing w:after="0" w:line="240" w:lineRule="auto"/>
        <w:rPr>
          <w:rFonts w:ascii="Times New Roman" w:eastAsia="Times New Roman" w:hAnsi="Times New Roman" w:cs="Times New Roman"/>
          <w:u w:val="single"/>
          <w:lang w:val="lt-LT"/>
        </w:rPr>
      </w:pPr>
    </w:p>
    <w:p w14:paraId="04E7998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Kita informacija</w:t>
      </w:r>
    </w:p>
    <w:p w14:paraId="0B9D131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p>
    <w:p w14:paraId="0A6F73FD" w14:textId="2B1479AE" w:rsidR="009500C0" w:rsidRPr="00E14983" w:rsidRDefault="009500C0" w:rsidP="009500C0">
      <w:pPr>
        <w:spacing w:after="0" w:line="240" w:lineRule="auto"/>
        <w:rPr>
          <w:rFonts w:ascii="Times New Roman" w:eastAsia="Calibri" w:hAnsi="Times New Roman" w:cs="Times New Roman"/>
          <w:lang w:val="lt-LT"/>
        </w:rPr>
      </w:pPr>
      <w:r w:rsidRPr="00E14983">
        <w:rPr>
          <w:rFonts w:ascii="Times New Roman" w:eastAsia="Calibri" w:hAnsi="Times New Roman" w:cs="Times New Roman"/>
          <w:lang w:val="lt-LT"/>
        </w:rPr>
        <w:t xml:space="preserve">Pacientams, kurie dėl viduriavimo ir (arba) vėmimo neteko skysčių arba kuriems yra sepsis, buvo </w:t>
      </w:r>
      <w:r w:rsidR="00D87BD1" w:rsidRPr="00E14983">
        <w:rPr>
          <w:rFonts w:ascii="Times New Roman" w:eastAsia="Calibri" w:hAnsi="Times New Roman" w:cs="Times New Roman"/>
          <w:lang w:val="lt-LT"/>
        </w:rPr>
        <w:t xml:space="preserve">nedažnų </w:t>
      </w:r>
      <w:r w:rsidRPr="00E14983">
        <w:rPr>
          <w:rFonts w:ascii="Times New Roman" w:eastAsia="Calibri" w:hAnsi="Times New Roman" w:cs="Times New Roman"/>
          <w:lang w:val="lt-LT"/>
        </w:rPr>
        <w:t xml:space="preserve">inkstų funkcijos nepakankamumo, hipotenzijos ir kraujo apytakos sutrikimų atvejų. </w:t>
      </w:r>
    </w:p>
    <w:p w14:paraId="70C1581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51CE805" w14:textId="76BAB65E"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Irinotekano vartojant kartu su stipriu </w:t>
      </w:r>
      <w:r w:rsidR="00EC1D86" w:rsidRPr="00EC1D86">
        <w:rPr>
          <w:rFonts w:ascii="Times New Roman" w:eastAsia="Times New Roman" w:hAnsi="Times New Roman" w:cs="Times New Roman"/>
          <w:color w:val="000000"/>
          <w:lang w:val="lt-LT"/>
        </w:rPr>
        <w:t>CYP3A4</w:t>
      </w:r>
      <w:r w:rsidR="00EC1D86">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 xml:space="preserve">inhibitoriumi (pvz., ketokonazolu) arba </w:t>
      </w:r>
      <w:r w:rsidR="00EC1D86" w:rsidRPr="00E14983">
        <w:rPr>
          <w:rFonts w:ascii="Times New Roman" w:eastAsia="Times New Roman" w:hAnsi="Times New Roman" w:cs="Times New Roman"/>
          <w:color w:val="000000"/>
          <w:lang w:val="lt-LT"/>
        </w:rPr>
        <w:t>induktori</w:t>
      </w:r>
      <w:r w:rsidR="00EC1D86">
        <w:rPr>
          <w:rFonts w:ascii="Times New Roman" w:eastAsia="Times New Roman" w:hAnsi="Times New Roman" w:cs="Times New Roman"/>
          <w:color w:val="000000"/>
          <w:lang w:val="lt-LT"/>
        </w:rPr>
        <w:t xml:space="preserve">umi </w:t>
      </w:r>
      <w:r w:rsidRPr="00E14983">
        <w:rPr>
          <w:rFonts w:ascii="Times New Roman" w:eastAsia="Times New Roman" w:hAnsi="Times New Roman" w:cs="Times New Roman"/>
          <w:color w:val="000000"/>
          <w:lang w:val="lt-LT"/>
        </w:rPr>
        <w:t>(pvz., rifampicinu, karbamazepinu, fenobarbitaliu, fenitoinu</w:t>
      </w:r>
      <w:r w:rsidR="00215D26" w:rsidRPr="00E14983">
        <w:rPr>
          <w:rFonts w:ascii="Times New Roman" w:eastAsia="Times New Roman" w:hAnsi="Times New Roman" w:cs="Times New Roman"/>
          <w:color w:val="000000"/>
          <w:lang w:val="lt-LT"/>
        </w:rPr>
        <w:t>, apalutamidu</w:t>
      </w:r>
      <w:r w:rsidRPr="00E14983">
        <w:rPr>
          <w:rFonts w:ascii="Times New Roman" w:eastAsia="Times New Roman" w:hAnsi="Times New Roman" w:cs="Times New Roman"/>
          <w:color w:val="000000"/>
          <w:lang w:val="lt-LT"/>
        </w:rPr>
        <w:t>) gali pasikeisti irinotekano metabolizmas, todėl taip gydyti reikia vengti</w:t>
      </w:r>
      <w:r w:rsidR="00EC1D86">
        <w:rPr>
          <w:rFonts w:ascii="Times New Roman" w:eastAsia="Times New Roman" w:hAnsi="Times New Roman" w:cs="Times New Roman"/>
          <w:color w:val="000000"/>
          <w:lang w:val="lt-LT"/>
        </w:rPr>
        <w:t xml:space="preserve"> </w:t>
      </w:r>
      <w:r w:rsidR="00EC1D86" w:rsidRPr="00EC1D86">
        <w:rPr>
          <w:rFonts w:ascii="Times New Roman" w:eastAsia="Times New Roman" w:hAnsi="Times New Roman" w:cs="Times New Roman"/>
          <w:color w:val="000000"/>
          <w:lang w:val="lt-LT"/>
        </w:rPr>
        <w:t>(žr. 4.5 skyrių)</w:t>
      </w:r>
      <w:r w:rsidRPr="00E14983">
        <w:rPr>
          <w:rFonts w:ascii="Times New Roman" w:eastAsia="Times New Roman" w:hAnsi="Times New Roman" w:cs="Times New Roman"/>
          <w:color w:val="000000"/>
          <w:lang w:val="lt-LT"/>
        </w:rPr>
        <w:t>.</w:t>
      </w:r>
    </w:p>
    <w:p w14:paraId="20FDF3CA" w14:textId="7E900AFA" w:rsidR="009500C0" w:rsidRDefault="009500C0"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3472A9B0"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Vaisingų moterų ir vyrų kontracepcija</w:t>
      </w:r>
    </w:p>
    <w:p w14:paraId="2DE4824F"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Dėl galimo genotoksinio poveikio vaisingoms pacientėms moterims reikia patarti gydymo metu ir 6 mėnesius po paskutinės irinotekano dozės vartojimo naudoti labai veiksmingą kontracepciją.</w:t>
      </w:r>
    </w:p>
    <w:p w14:paraId="3267D21D"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Dėl galimo genotoksinio poveikio pacientams vyrams, kurių partnerės yra vaisingos, reikia patarti gydymo metu ir 3 mėnesius po paskutinės irinotekano dozės vartojimo naudoti veiksmingą kontracepciją (žr. 4.6 skyrių).</w:t>
      </w:r>
    </w:p>
    <w:p w14:paraId="53F46BF7"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62DEBCDE"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Žindymas</w:t>
      </w:r>
    </w:p>
    <w:p w14:paraId="16007E32"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Dėl galimų nepageidaujamų reakcijų žindomiems kūdikiams, gydymo Irinotecan Accord 20 mg/ml koncentratu infuziniam tirpalui laikotarpiu žindymą reikia nutraukti (žr. 4.3 ir 4.6 skyrius).</w:t>
      </w:r>
    </w:p>
    <w:p w14:paraId="2BF60D12"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7624DF5D" w14:textId="69F09A62" w:rsidR="00E15D7F" w:rsidRDefault="00E15D7F"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i/>
          <w:iCs/>
          <w:color w:val="000000"/>
          <w:lang w:val="lt-LT"/>
        </w:rPr>
      </w:pPr>
      <w:r w:rsidRPr="00E15D7F">
        <w:rPr>
          <w:rFonts w:ascii="Times New Roman" w:eastAsia="Times New Roman" w:hAnsi="Times New Roman" w:cs="Times New Roman"/>
          <w:bCs/>
          <w:i/>
          <w:iCs/>
          <w:color w:val="000000"/>
          <w:lang w:val="lt-LT"/>
        </w:rPr>
        <w:t>Įspėjimai dėl pagalbinių medžiagų</w:t>
      </w:r>
    </w:p>
    <w:p w14:paraId="3F269209" w14:textId="77777777" w:rsidR="00E15D7F" w:rsidRPr="00E15D7F" w:rsidRDefault="00E15D7F"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i/>
          <w:iCs/>
          <w:color w:val="000000"/>
          <w:lang w:val="lt-LT"/>
        </w:rPr>
      </w:pPr>
    </w:p>
    <w:p w14:paraId="19603B44" w14:textId="68112E2A"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964468">
        <w:rPr>
          <w:rFonts w:ascii="Times New Roman" w:eastAsia="Times New Roman" w:hAnsi="Times New Roman" w:cs="Times New Roman"/>
          <w:bCs/>
          <w:color w:val="000000"/>
          <w:lang w:val="lt-LT"/>
        </w:rPr>
        <w:t xml:space="preserve">Šio vaistinio preparato sudėtyje yra sorbitolio (žr. 2 skyrių). Sorbitolis yra fruktozės šaltinis. </w:t>
      </w:r>
      <w:r w:rsidRPr="00A8455B">
        <w:rPr>
          <w:rFonts w:ascii="Times New Roman" w:eastAsia="Times New Roman" w:hAnsi="Times New Roman" w:cs="Times New Roman"/>
          <w:bCs/>
          <w:color w:val="000000"/>
          <w:lang w:val="lt-LT"/>
        </w:rPr>
        <w:t>Pacientams, kuriems yra įgimtas fruktozės netoleravimas</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(ĮFN), šio vaist</w:t>
      </w:r>
      <w:r w:rsidRPr="00964468">
        <w:rPr>
          <w:rFonts w:ascii="Times New Roman" w:eastAsia="Times New Roman" w:hAnsi="Times New Roman" w:cs="Times New Roman"/>
          <w:bCs/>
          <w:color w:val="000000"/>
          <w:lang w:val="lt-LT"/>
        </w:rPr>
        <w:t>ini</w:t>
      </w:r>
      <w:r w:rsidRPr="00A8455B">
        <w:rPr>
          <w:rFonts w:ascii="Times New Roman" w:eastAsia="Times New Roman" w:hAnsi="Times New Roman" w:cs="Times New Roman"/>
          <w:bCs/>
          <w:color w:val="000000"/>
          <w:lang w:val="lt-LT"/>
        </w:rPr>
        <w:t xml:space="preserve">o </w:t>
      </w:r>
      <w:r w:rsidRPr="00964468">
        <w:rPr>
          <w:rFonts w:ascii="Times New Roman" w:eastAsia="Times New Roman" w:hAnsi="Times New Roman" w:cs="Times New Roman"/>
          <w:bCs/>
          <w:color w:val="000000"/>
          <w:lang w:val="lt-LT"/>
        </w:rPr>
        <w:t xml:space="preserve">preparato </w:t>
      </w:r>
      <w:r w:rsidRPr="00A8455B">
        <w:rPr>
          <w:rFonts w:ascii="Times New Roman" w:eastAsia="Times New Roman" w:hAnsi="Times New Roman" w:cs="Times New Roman"/>
          <w:bCs/>
          <w:color w:val="000000"/>
          <w:lang w:val="lt-LT"/>
        </w:rPr>
        <w:t>vartoti negalima, nebent tai būtų</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neabejotinai būtina.</w:t>
      </w:r>
      <w:r w:rsidRPr="00964468">
        <w:rPr>
          <w:rFonts w:ascii="Times New Roman" w:eastAsia="Times New Roman" w:hAnsi="Times New Roman" w:cs="Times New Roman"/>
          <w:bCs/>
          <w:color w:val="000000"/>
          <w:lang w:val="lt-LT"/>
        </w:rPr>
        <w:t xml:space="preserve"> </w:t>
      </w:r>
    </w:p>
    <w:p w14:paraId="1BCE5D5F"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56E0CBCB"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A8455B">
        <w:rPr>
          <w:rFonts w:ascii="Times New Roman" w:eastAsia="Times New Roman" w:hAnsi="Times New Roman" w:cs="Times New Roman"/>
          <w:bCs/>
          <w:color w:val="000000"/>
          <w:lang w:val="lt-LT"/>
        </w:rPr>
        <w:lastRenderedPageBreak/>
        <w:t>Kūdikiams ir mažiems vaikams (jaunesniems kaip 2</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metų) įgimtas fruktozės netoleravimas (ĮFN) dar gali būti</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nediagnozuotas. Vaistinių preparatų, kurių sudėtyje yra</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sorbitolio ar fruktozės, vartojimas į veną gali būti</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grėsmingas gyvybei ir yra draudžiamas šio amžiaus</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populiacijai, nebent yra viską nusverianti klinikinė</w:t>
      </w:r>
      <w:r w:rsidRPr="00964468">
        <w:rPr>
          <w:rFonts w:ascii="Times New Roman" w:eastAsia="Times New Roman" w:hAnsi="Times New Roman" w:cs="Times New Roman"/>
          <w:bCs/>
          <w:color w:val="000000"/>
          <w:lang w:val="lt-LT"/>
        </w:rPr>
        <w:t xml:space="preserve"> </w:t>
      </w:r>
      <w:r w:rsidRPr="00A8455B">
        <w:rPr>
          <w:rFonts w:ascii="Times New Roman" w:eastAsia="Times New Roman" w:hAnsi="Times New Roman" w:cs="Times New Roman"/>
          <w:bCs/>
          <w:color w:val="000000"/>
          <w:lang w:val="lt-LT"/>
        </w:rPr>
        <w:t>būtinybė ir nėra kito pasirinkimo.</w:t>
      </w:r>
      <w:r w:rsidRPr="00964468">
        <w:rPr>
          <w:rFonts w:ascii="Times New Roman" w:eastAsia="Times New Roman" w:hAnsi="Times New Roman" w:cs="Times New Roman"/>
          <w:bCs/>
          <w:color w:val="000000"/>
          <w:lang w:val="lt-LT"/>
        </w:rPr>
        <w:t xml:space="preserve"> </w:t>
      </w:r>
    </w:p>
    <w:p w14:paraId="08F71320" w14:textId="77777777" w:rsidR="00EC1D86" w:rsidRPr="00964468" w:rsidRDefault="00EC1D86" w:rsidP="00EC1D8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A8455B">
        <w:rPr>
          <w:rFonts w:ascii="Times New Roman" w:eastAsia="Times New Roman" w:hAnsi="Times New Roman" w:cs="Times New Roman"/>
          <w:bCs/>
          <w:color w:val="000000"/>
          <w:lang w:val="lt-LT"/>
        </w:rPr>
        <w:t>Prieš skiriant šio vaistinio preparato, būtina sužinoti</w:t>
      </w:r>
      <w:r w:rsidRPr="00964468">
        <w:rPr>
          <w:rFonts w:ascii="Times New Roman" w:eastAsia="Times New Roman" w:hAnsi="Times New Roman" w:cs="Times New Roman"/>
          <w:bCs/>
          <w:color w:val="000000"/>
          <w:lang w:val="lt-LT"/>
        </w:rPr>
        <w:t xml:space="preserve"> išsamią kiekvieno paciento anamnezę dėl ĮFN.</w:t>
      </w:r>
    </w:p>
    <w:p w14:paraId="770205EA" w14:textId="77777777" w:rsidR="00EC1D86" w:rsidRPr="00E14983" w:rsidRDefault="00EC1D86"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497E5C68" w14:textId="73F33971" w:rsidR="009500C0" w:rsidRPr="00E14983" w:rsidRDefault="009500C0"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Šio vaistinio preparato </w:t>
      </w:r>
      <w:r w:rsidR="00EC1D86" w:rsidRPr="00EC1D86">
        <w:rPr>
          <w:rFonts w:ascii="Times New Roman" w:eastAsia="Times New Roman" w:hAnsi="Times New Roman" w:cs="Times New Roman"/>
          <w:bCs/>
          <w:color w:val="000000"/>
          <w:lang w:val="lt-LT"/>
        </w:rPr>
        <w:t xml:space="preserve">viename flakone </w:t>
      </w:r>
      <w:r w:rsidRPr="00E14983">
        <w:rPr>
          <w:rFonts w:ascii="Times New Roman" w:eastAsia="Times New Roman" w:hAnsi="Times New Roman" w:cs="Times New Roman"/>
          <w:bCs/>
          <w:color w:val="000000"/>
          <w:lang w:val="lt-LT"/>
        </w:rPr>
        <w:t>yra mažiau kaip 1</w:t>
      </w:r>
      <w:r w:rsidR="00A97F0E" w:rsidRPr="00E14983">
        <w:rPr>
          <w:rFonts w:ascii="Times New Roman" w:eastAsia="Times New Roman" w:hAnsi="Times New Roman" w:cs="Times New Roman"/>
          <w:bCs/>
          <w:color w:val="000000"/>
          <w:lang w:val="lt-LT"/>
        </w:rPr>
        <w:t> </w:t>
      </w:r>
      <w:r w:rsidRPr="00E14983">
        <w:rPr>
          <w:rFonts w:ascii="Times New Roman" w:eastAsia="Times New Roman" w:hAnsi="Times New Roman" w:cs="Times New Roman"/>
          <w:bCs/>
          <w:color w:val="000000"/>
          <w:lang w:val="lt-LT"/>
        </w:rPr>
        <w:t>mmol (23</w:t>
      </w:r>
      <w:r w:rsidR="00A97F0E" w:rsidRPr="00E14983">
        <w:rPr>
          <w:rFonts w:ascii="Times New Roman" w:eastAsia="Times New Roman" w:hAnsi="Times New Roman" w:cs="Times New Roman"/>
          <w:bCs/>
          <w:color w:val="000000"/>
          <w:lang w:val="lt-LT"/>
        </w:rPr>
        <w:t> </w:t>
      </w:r>
      <w:r w:rsidRPr="00E14983">
        <w:rPr>
          <w:rFonts w:ascii="Times New Roman" w:eastAsia="Times New Roman" w:hAnsi="Times New Roman" w:cs="Times New Roman"/>
          <w:bCs/>
          <w:color w:val="000000"/>
          <w:lang w:val="lt-LT"/>
        </w:rPr>
        <w:t>mg) natrio, t. y. jis beveik neturi reikšmės.</w:t>
      </w:r>
    </w:p>
    <w:p w14:paraId="4F9D3983" w14:textId="77777777" w:rsidR="00294BD1" w:rsidRPr="00E14983" w:rsidRDefault="00294BD1"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4F09B4F3" w14:textId="77777777" w:rsidR="009500C0" w:rsidRPr="00E14983" w:rsidRDefault="009500C0" w:rsidP="009500C0">
      <w:pPr>
        <w:widowControl w:val="0"/>
        <w:shd w:val="clear" w:color="auto" w:fill="FFFFFF"/>
        <w:tabs>
          <w:tab w:val="left" w:pos="567"/>
          <w:tab w:val="left" w:pos="7125"/>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4.5</w:t>
      </w:r>
      <w:r w:rsidRPr="00E14983">
        <w:rPr>
          <w:rFonts w:ascii="Times New Roman" w:eastAsia="Times New Roman" w:hAnsi="Times New Roman" w:cs="Times New Roman"/>
          <w:b/>
          <w:bCs/>
          <w:color w:val="000000"/>
          <w:lang w:val="lt-LT"/>
        </w:rPr>
        <w:tab/>
        <w:t>Sąveika su kitais vaistiniais preparatais ir kitokia sąveika</w:t>
      </w:r>
    </w:p>
    <w:p w14:paraId="708FA2F8" w14:textId="77777777" w:rsidR="009500C0" w:rsidRPr="00E14983" w:rsidRDefault="009500C0" w:rsidP="007A40D6">
      <w:pPr>
        <w:spacing w:after="0" w:line="240" w:lineRule="auto"/>
        <w:rPr>
          <w:rFonts w:ascii="Times New Roman" w:hAnsi="Times New Roman"/>
          <w:lang w:val="lt-LT"/>
        </w:rPr>
      </w:pPr>
    </w:p>
    <w:p w14:paraId="516BEABF" w14:textId="2430C615" w:rsidR="009500C0" w:rsidRPr="00E14983" w:rsidRDefault="009500C0" w:rsidP="009500C0">
      <w:pPr>
        <w:tabs>
          <w:tab w:val="left" w:pos="567"/>
        </w:tabs>
        <w:spacing w:after="0" w:line="240" w:lineRule="auto"/>
        <w:rPr>
          <w:rFonts w:ascii="Times New Roman" w:eastAsia="Times New Roman" w:hAnsi="Times New Roman" w:cs="Times New Roman"/>
          <w:i/>
          <w:u w:val="single"/>
          <w:lang w:val="lt-LT"/>
        </w:rPr>
      </w:pPr>
      <w:r w:rsidRPr="00E14983">
        <w:rPr>
          <w:rFonts w:ascii="Times New Roman" w:eastAsia="Times New Roman" w:hAnsi="Times New Roman" w:cs="Times New Roman"/>
          <w:i/>
          <w:u w:val="single"/>
          <w:lang w:val="lt-LT"/>
        </w:rPr>
        <w:t>Kartu vartoti draudžiama</w:t>
      </w:r>
      <w:r w:rsidR="00294BD1" w:rsidRPr="00E14983">
        <w:rPr>
          <w:rFonts w:ascii="Times New Roman" w:eastAsia="Times New Roman" w:hAnsi="Times New Roman" w:cs="Times New Roman"/>
          <w:i/>
          <w:u w:val="single"/>
          <w:lang w:val="lt-LT"/>
        </w:rPr>
        <w:t xml:space="preserve"> (žr. 4.3</w:t>
      </w:r>
      <w:r w:rsidR="003B6728" w:rsidRPr="00E14983">
        <w:rPr>
          <w:rFonts w:ascii="Times New Roman" w:eastAsia="Times New Roman" w:hAnsi="Times New Roman" w:cs="Times New Roman"/>
          <w:i/>
          <w:u w:val="single"/>
          <w:lang w:val="lt-LT"/>
        </w:rPr>
        <w:t> </w:t>
      </w:r>
      <w:r w:rsidR="00294BD1" w:rsidRPr="00E14983">
        <w:rPr>
          <w:rFonts w:ascii="Times New Roman" w:eastAsia="Times New Roman" w:hAnsi="Times New Roman" w:cs="Times New Roman"/>
          <w:i/>
          <w:u w:val="single"/>
          <w:lang w:val="lt-LT"/>
        </w:rPr>
        <w:t>skyrių)</w:t>
      </w:r>
    </w:p>
    <w:p w14:paraId="2B7FE0DD" w14:textId="77777777" w:rsidR="00294BD1" w:rsidRPr="00E14983" w:rsidRDefault="00294BD1" w:rsidP="00DD3E4C">
      <w:pPr>
        <w:tabs>
          <w:tab w:val="left" w:pos="357"/>
          <w:tab w:val="left" w:pos="567"/>
        </w:tabs>
        <w:spacing w:after="0" w:line="240" w:lineRule="auto"/>
        <w:rPr>
          <w:rFonts w:ascii="Times New Roman" w:hAnsi="Times New Roman"/>
          <w:lang w:val="lt-LT"/>
        </w:rPr>
      </w:pPr>
    </w:p>
    <w:p w14:paraId="7CF6F9D2" w14:textId="7BA89CCD" w:rsidR="00294BD1" w:rsidRPr="00E14983" w:rsidRDefault="00294BD1" w:rsidP="00DD3E4C">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Paprastoji jonažolė:</w:t>
      </w:r>
      <w:r w:rsidRPr="00E14983">
        <w:rPr>
          <w:rFonts w:ascii="Times New Roman" w:eastAsia="Times New Roman" w:hAnsi="Times New Roman" w:cs="Times New Roman"/>
          <w:lang w:val="lt-LT"/>
        </w:rPr>
        <w:t xml:space="preserve"> sumažina aktyvaus irinotekano metabolito SN-38 </w:t>
      </w:r>
      <w:r w:rsidR="00472BF0" w:rsidRPr="00E14983">
        <w:rPr>
          <w:rFonts w:ascii="Times New Roman" w:eastAsia="Times New Roman" w:hAnsi="Times New Roman" w:cs="Times New Roman"/>
          <w:lang w:val="lt-LT"/>
        </w:rPr>
        <w:t>koncentraciją</w:t>
      </w:r>
      <w:r w:rsidRPr="00E14983">
        <w:rPr>
          <w:rFonts w:ascii="Times New Roman" w:eastAsia="Times New Roman" w:hAnsi="Times New Roman" w:cs="Times New Roman"/>
          <w:lang w:val="lt-LT"/>
        </w:rPr>
        <w:t xml:space="preserve"> kraujo plazmoje. </w:t>
      </w:r>
      <w:r w:rsidR="000E1C0C" w:rsidRPr="00E14983">
        <w:rPr>
          <w:rFonts w:ascii="Times New Roman" w:eastAsia="Times New Roman" w:hAnsi="Times New Roman" w:cs="Times New Roman"/>
          <w:lang w:val="lt-LT"/>
        </w:rPr>
        <w:t>Nedi</w:t>
      </w:r>
      <w:r w:rsidR="00116E4F">
        <w:rPr>
          <w:rFonts w:ascii="Times New Roman" w:eastAsia="Times New Roman" w:hAnsi="Times New Roman" w:cs="Times New Roman"/>
          <w:lang w:val="lt-LT"/>
        </w:rPr>
        <w:t>d</w:t>
      </w:r>
      <w:r w:rsidR="000E1C0C" w:rsidRPr="00E14983">
        <w:rPr>
          <w:rFonts w:ascii="Times New Roman" w:eastAsia="Times New Roman" w:hAnsi="Times New Roman" w:cs="Times New Roman"/>
          <w:lang w:val="lt-LT"/>
        </w:rPr>
        <w:t xml:space="preserve">elės apimties </w:t>
      </w:r>
      <w:r w:rsidRPr="00E14983">
        <w:rPr>
          <w:rFonts w:ascii="Times New Roman" w:eastAsia="Times New Roman" w:hAnsi="Times New Roman" w:cs="Times New Roman"/>
          <w:lang w:val="lt-LT"/>
        </w:rPr>
        <w:t>farmakokineti</w:t>
      </w:r>
      <w:r w:rsidR="000E1C0C" w:rsidRPr="00E14983">
        <w:rPr>
          <w:rFonts w:ascii="Times New Roman" w:eastAsia="Times New Roman" w:hAnsi="Times New Roman" w:cs="Times New Roman"/>
          <w:lang w:val="lt-LT"/>
        </w:rPr>
        <w:t>kos</w:t>
      </w:r>
      <w:r w:rsidRPr="00E14983">
        <w:rPr>
          <w:rFonts w:ascii="Times New Roman" w:eastAsia="Times New Roman" w:hAnsi="Times New Roman" w:cs="Times New Roman"/>
          <w:lang w:val="lt-LT"/>
        </w:rPr>
        <w:t xml:space="preserve"> tyrimo (n</w:t>
      </w:r>
      <w:r w:rsidR="000E1C0C"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w:t>
      </w:r>
      <w:r w:rsidR="000E1C0C"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5), kuriame 350 mg/m</w:t>
      </w:r>
      <w:r w:rsidRPr="00E14983">
        <w:rPr>
          <w:rFonts w:ascii="Times New Roman" w:hAnsi="Times New Roman"/>
          <w:vertAlign w:val="superscript"/>
          <w:lang w:val="lt-LT"/>
        </w:rPr>
        <w:t>2</w:t>
      </w:r>
      <w:r w:rsidRPr="00E14983">
        <w:rPr>
          <w:rFonts w:ascii="Times New Roman" w:eastAsia="Times New Roman" w:hAnsi="Times New Roman" w:cs="Times New Roman"/>
          <w:lang w:val="lt-LT"/>
        </w:rPr>
        <w:t xml:space="preserve"> irinotekano buvo vartojama kartu su 900</w:t>
      </w:r>
      <w:r w:rsidR="000E1C0C"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mg paprastųjų jonažolių (</w:t>
      </w:r>
      <w:r w:rsidRPr="00E14983">
        <w:rPr>
          <w:rFonts w:ascii="Times New Roman" w:eastAsia="Times New Roman" w:hAnsi="Times New Roman" w:cs="Times New Roman"/>
          <w:i/>
          <w:lang w:val="lt-LT"/>
        </w:rPr>
        <w:t>Hypericum perforatum</w:t>
      </w:r>
      <w:r w:rsidRPr="00E14983">
        <w:rPr>
          <w:rFonts w:ascii="Times New Roman" w:hAnsi="Times New Roman"/>
          <w:lang w:val="lt-LT"/>
        </w:rPr>
        <w:t>)</w:t>
      </w:r>
      <w:r w:rsidRPr="00E14983">
        <w:rPr>
          <w:rFonts w:ascii="Times New Roman" w:eastAsia="Times New Roman" w:hAnsi="Times New Roman" w:cs="Times New Roman"/>
          <w:lang w:val="lt-LT"/>
        </w:rPr>
        <w:t xml:space="preserve"> doze, </w:t>
      </w:r>
      <w:r w:rsidR="000E1C0C" w:rsidRPr="00E14983">
        <w:rPr>
          <w:rFonts w:ascii="Times New Roman" w:eastAsia="Times New Roman" w:hAnsi="Times New Roman" w:cs="Times New Roman"/>
          <w:lang w:val="lt-LT"/>
        </w:rPr>
        <w:t xml:space="preserve">metu </w:t>
      </w:r>
      <w:r w:rsidRPr="00E14983">
        <w:rPr>
          <w:rFonts w:ascii="Times New Roman" w:eastAsia="Times New Roman" w:hAnsi="Times New Roman" w:cs="Times New Roman"/>
          <w:lang w:val="lt-LT"/>
        </w:rPr>
        <w:t>kraujo plazmoje aktyvaus irinotekano metabolito SN-38 koncentracija sumažėjo 42</w:t>
      </w:r>
      <w:r w:rsidR="000E1C0C"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Todėl paprastųjų jonažolių kartu su irinotekanu vartoti negalima.</w:t>
      </w:r>
    </w:p>
    <w:p w14:paraId="29DAE3D4" w14:textId="77777777" w:rsidR="00294BD1" w:rsidRPr="00E14983" w:rsidRDefault="00294BD1" w:rsidP="00DD3E4C">
      <w:pPr>
        <w:tabs>
          <w:tab w:val="left" w:pos="357"/>
          <w:tab w:val="left" w:pos="567"/>
        </w:tabs>
        <w:spacing w:after="0" w:line="240" w:lineRule="auto"/>
        <w:rPr>
          <w:rFonts w:ascii="Times New Roman" w:eastAsia="Times New Roman" w:hAnsi="Times New Roman" w:cs="Times New Roman"/>
          <w:lang w:val="lt-LT"/>
        </w:rPr>
      </w:pPr>
    </w:p>
    <w:p w14:paraId="11182453" w14:textId="4C91F0C1" w:rsidR="009500C0" w:rsidRPr="00E14983" w:rsidRDefault="00294BD1" w:rsidP="007A40D6">
      <w:pPr>
        <w:tabs>
          <w:tab w:val="left" w:pos="567"/>
        </w:tabs>
        <w:spacing w:after="0" w:line="240" w:lineRule="auto"/>
        <w:rPr>
          <w:rFonts w:ascii="Times New Roman" w:hAnsi="Times New Roman"/>
          <w:i/>
          <w:u w:val="single"/>
          <w:lang w:val="lt-LT"/>
        </w:rPr>
      </w:pPr>
      <w:r w:rsidRPr="00E14983">
        <w:rPr>
          <w:rFonts w:ascii="Times New Roman" w:eastAsia="Times New Roman" w:hAnsi="Times New Roman" w:cs="Times New Roman"/>
          <w:b/>
          <w:lang w:val="lt-LT"/>
        </w:rPr>
        <w:t>Gyvosios susilpnintos vakcinos</w:t>
      </w:r>
      <w:r w:rsidR="00215D26" w:rsidRPr="00E14983">
        <w:rPr>
          <w:rFonts w:ascii="Times New Roman" w:eastAsia="Times New Roman" w:hAnsi="Times New Roman" w:cs="Times New Roman"/>
          <w:b/>
          <w:lang w:val="lt-LT"/>
        </w:rPr>
        <w:t xml:space="preserve"> (pvz., geltonosios karštligės vakcina)</w:t>
      </w:r>
      <w:r w:rsidRPr="00E14983">
        <w:rPr>
          <w:rFonts w:ascii="Times New Roman" w:eastAsia="Times New Roman" w:hAnsi="Times New Roman" w:cs="Times New Roman"/>
          <w:b/>
          <w:lang w:val="lt-LT"/>
        </w:rPr>
        <w:t>:</w:t>
      </w:r>
      <w:r w:rsidRPr="00E14983">
        <w:rPr>
          <w:rFonts w:ascii="Times New Roman" w:eastAsia="Times New Roman" w:hAnsi="Times New Roman" w:cs="Times New Roman"/>
          <w:lang w:val="lt-LT"/>
        </w:rPr>
        <w:t xml:space="preserve"> </w:t>
      </w:r>
      <w:r w:rsidR="000E1C0C" w:rsidRPr="00E14983">
        <w:rPr>
          <w:rFonts w:ascii="Times New Roman" w:eastAsia="Times New Roman" w:hAnsi="Times New Roman" w:cs="Times New Roman"/>
          <w:lang w:val="lt-LT"/>
        </w:rPr>
        <w:t>generalizuotos</w:t>
      </w:r>
      <w:r w:rsidRPr="00E14983">
        <w:rPr>
          <w:rFonts w:ascii="Times New Roman" w:eastAsia="Times New Roman" w:hAnsi="Times New Roman" w:cs="Times New Roman"/>
          <w:lang w:val="lt-LT"/>
        </w:rPr>
        <w:t>, galimai mirtinos</w:t>
      </w:r>
      <w:r w:rsidR="00472BF0"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reakcijos į vakcin</w:t>
      </w:r>
      <w:r w:rsidR="00472BF0" w:rsidRPr="00E14983">
        <w:rPr>
          <w:rFonts w:ascii="Times New Roman" w:eastAsia="Times New Roman" w:hAnsi="Times New Roman" w:cs="Times New Roman"/>
          <w:lang w:val="lt-LT"/>
        </w:rPr>
        <w:t>as</w:t>
      </w:r>
      <w:r w:rsidRPr="00E14983">
        <w:rPr>
          <w:rFonts w:ascii="Times New Roman" w:eastAsia="Times New Roman" w:hAnsi="Times New Roman" w:cs="Times New Roman"/>
          <w:lang w:val="lt-LT"/>
        </w:rPr>
        <w:t xml:space="preserve"> rizika. Gydant irinotekanu ir 6 mėnesius po chemoterapijos pabaigos kartu vartoti draudžiama. Galima vakcinuoti negyvosiomis arba inaktyvintomis vakcinomis, tačiau reakcija į jas gali būti silpnesnė.</w:t>
      </w:r>
    </w:p>
    <w:p w14:paraId="7CAC7C0B" w14:textId="77777777" w:rsidR="009500C0" w:rsidRPr="00E14983" w:rsidRDefault="009500C0" w:rsidP="009500C0">
      <w:pPr>
        <w:spacing w:after="0" w:line="240" w:lineRule="auto"/>
        <w:rPr>
          <w:rFonts w:ascii="Times New Roman" w:eastAsia="Times New Roman" w:hAnsi="Times New Roman" w:cs="Times New Roman"/>
          <w:i/>
          <w:u w:val="single"/>
          <w:lang w:val="lt-LT"/>
        </w:rPr>
      </w:pPr>
    </w:p>
    <w:p w14:paraId="001FB4D3" w14:textId="74FFF4BF" w:rsidR="009500C0" w:rsidRPr="00E14983" w:rsidRDefault="009500C0" w:rsidP="009500C0">
      <w:pPr>
        <w:tabs>
          <w:tab w:val="left" w:pos="567"/>
        </w:tabs>
        <w:spacing w:after="0" w:line="240" w:lineRule="auto"/>
        <w:rPr>
          <w:rFonts w:ascii="Times New Roman" w:eastAsia="Times New Roman" w:hAnsi="Times New Roman" w:cs="Times New Roman"/>
          <w:i/>
          <w:u w:val="single"/>
          <w:lang w:val="lt-LT"/>
        </w:rPr>
      </w:pPr>
      <w:r w:rsidRPr="00E14983">
        <w:rPr>
          <w:rFonts w:ascii="Times New Roman" w:eastAsia="Times New Roman" w:hAnsi="Times New Roman" w:cs="Times New Roman"/>
          <w:i/>
          <w:u w:val="single"/>
          <w:lang w:val="lt-LT"/>
        </w:rPr>
        <w:t>Kartu vartoti nerekomenduojama</w:t>
      </w:r>
      <w:r w:rsidR="00215D26" w:rsidRPr="00E14983">
        <w:rPr>
          <w:rFonts w:ascii="Times New Roman" w:eastAsia="Times New Roman" w:hAnsi="Times New Roman" w:cs="Times New Roman"/>
          <w:i/>
          <w:u w:val="single"/>
          <w:lang w:val="lt-LT"/>
        </w:rPr>
        <w:t xml:space="preserve"> (žr. 4.4</w:t>
      </w:r>
      <w:r w:rsidR="003B6728" w:rsidRPr="00E14983">
        <w:rPr>
          <w:rFonts w:ascii="Times New Roman" w:eastAsia="Times New Roman" w:hAnsi="Times New Roman" w:cs="Times New Roman"/>
          <w:i/>
          <w:u w:val="single"/>
          <w:lang w:val="lt-LT"/>
        </w:rPr>
        <w:t> </w:t>
      </w:r>
      <w:r w:rsidR="00215D26" w:rsidRPr="00E14983">
        <w:rPr>
          <w:rFonts w:ascii="Times New Roman" w:eastAsia="Times New Roman" w:hAnsi="Times New Roman" w:cs="Times New Roman"/>
          <w:i/>
          <w:u w:val="single"/>
          <w:lang w:val="lt-LT"/>
        </w:rPr>
        <w:t>skyrių)</w:t>
      </w:r>
    </w:p>
    <w:p w14:paraId="66364F01" w14:textId="77777777" w:rsidR="009500C0" w:rsidRPr="00E14983" w:rsidRDefault="009500C0" w:rsidP="009500C0">
      <w:pPr>
        <w:tabs>
          <w:tab w:val="left" w:pos="567"/>
        </w:tabs>
        <w:spacing w:after="0" w:line="240" w:lineRule="auto"/>
        <w:rPr>
          <w:rFonts w:ascii="Times New Roman" w:eastAsia="Times New Roman" w:hAnsi="Times New Roman" w:cs="Times New Roman"/>
          <w:i/>
          <w:u w:val="single"/>
          <w:lang w:val="lt-LT"/>
        </w:rPr>
      </w:pPr>
    </w:p>
    <w:p w14:paraId="2281DDA6" w14:textId="037E66E0"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Irinotekano vartojant kartu su stipriais citochromo P450 3A4 (CYP3A4) inhibitoriais arba induktoriais gali pasikeisti irinotekano metabolizmas, todėl taip gydyti reikia vengti (žr. 4.4</w:t>
      </w:r>
      <w:r w:rsidR="00472BF0"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skyrių):</w:t>
      </w:r>
    </w:p>
    <w:p w14:paraId="6B20DF67"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672751CD" w14:textId="1A5D447E"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Stiprūs CYP3A4 ir (arba) UGT1A1 indukuojantys vaistiniai preparatai</w:t>
      </w:r>
      <w:r w:rsidR="002679C7"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(pvz., rifampicinas, karbamazepinas, fenobarbitalis</w:t>
      </w:r>
      <w:r w:rsidR="00215D26"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 xml:space="preserve"> fenitoinas</w:t>
      </w:r>
      <w:r w:rsidR="00215D26" w:rsidRPr="00E14983">
        <w:rPr>
          <w:rFonts w:ascii="Times New Roman" w:eastAsia="Times New Roman" w:hAnsi="Times New Roman" w:cs="Times New Roman"/>
          <w:lang w:val="lt-LT"/>
        </w:rPr>
        <w:t xml:space="preserve"> </w:t>
      </w:r>
      <w:bookmarkStart w:id="7" w:name="OLE_LINK232"/>
      <w:bookmarkStart w:id="8" w:name="OLE_LINK233"/>
      <w:r w:rsidR="00215D26" w:rsidRPr="00E14983">
        <w:rPr>
          <w:rFonts w:ascii="Times New Roman" w:eastAsia="Times New Roman" w:hAnsi="Times New Roman" w:cs="Times New Roman"/>
          <w:lang w:val="lt-LT"/>
        </w:rPr>
        <w:t>arba apalutamidas</w:t>
      </w:r>
      <w:bookmarkEnd w:id="7"/>
      <w:bookmarkEnd w:id="8"/>
      <w:r w:rsidRPr="00E14983">
        <w:rPr>
          <w:rFonts w:ascii="Times New Roman" w:eastAsia="Times New Roman" w:hAnsi="Times New Roman" w:cs="Times New Roman"/>
          <w:lang w:val="lt-LT"/>
        </w:rPr>
        <w:t>)</w:t>
      </w:r>
    </w:p>
    <w:p w14:paraId="6A7A0827"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6697A279" w14:textId="7BCEEF8F" w:rsidR="00294BD1" w:rsidRPr="00E14983" w:rsidRDefault="00294BD1" w:rsidP="00DD3E4C">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Kyla irinotekano, SN-38 ir SN-38 gliukuronido </w:t>
      </w:r>
      <w:r w:rsidR="002679C7" w:rsidRPr="00E14983">
        <w:rPr>
          <w:rFonts w:ascii="Times New Roman" w:eastAsia="Times New Roman" w:hAnsi="Times New Roman" w:cs="Times New Roman"/>
          <w:lang w:val="lt-LT"/>
        </w:rPr>
        <w:t xml:space="preserve">ekspozicijos </w:t>
      </w:r>
      <w:r w:rsidRPr="00E14983">
        <w:rPr>
          <w:rFonts w:ascii="Times New Roman" w:eastAsia="Times New Roman" w:hAnsi="Times New Roman" w:cs="Times New Roman"/>
          <w:lang w:val="lt-LT"/>
        </w:rPr>
        <w:t xml:space="preserve">ir farmakodinaminio poveikio sumažėjimo rizika. Keli tyrimai parodė, kad vartojant tuo pačiu metu CYP3A4 indukuojančius vaistinius preparatus </w:t>
      </w:r>
      <w:r w:rsidR="002679C7" w:rsidRPr="00E14983">
        <w:rPr>
          <w:rFonts w:ascii="Times New Roman" w:eastAsia="Times New Roman" w:hAnsi="Times New Roman" w:cs="Times New Roman"/>
          <w:lang w:val="lt-LT"/>
        </w:rPr>
        <w:t xml:space="preserve">nuo traukulių </w:t>
      </w:r>
      <w:r w:rsidRPr="00E14983">
        <w:rPr>
          <w:rFonts w:ascii="Times New Roman" w:eastAsia="Times New Roman" w:hAnsi="Times New Roman" w:cs="Times New Roman"/>
          <w:lang w:val="lt-LT"/>
        </w:rPr>
        <w:t xml:space="preserve">sumažėja irinotekano, SN-38 ir SN-38 gliukuronido farmakodinaminis poveikis. Minėtų vaistinių preparatų </w:t>
      </w:r>
      <w:r w:rsidR="002679C7" w:rsidRPr="00E14983">
        <w:rPr>
          <w:rFonts w:ascii="Times New Roman" w:eastAsia="Times New Roman" w:hAnsi="Times New Roman" w:cs="Times New Roman"/>
          <w:lang w:val="lt-LT"/>
        </w:rPr>
        <w:t xml:space="preserve">nuo traukulių </w:t>
      </w:r>
      <w:r w:rsidRPr="00E14983">
        <w:rPr>
          <w:rFonts w:ascii="Times New Roman" w:eastAsia="Times New Roman" w:hAnsi="Times New Roman" w:cs="Times New Roman"/>
          <w:lang w:val="lt-LT"/>
        </w:rPr>
        <w:t>poveikį rodė SN-38 ir SN-38G AUC sumažėjimas 50</w:t>
      </w:r>
      <w:r w:rsidR="002679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arba daugiau. Be CYP3A4 fermentų stimuliavimo, padidėjusi gliukuronizacija ir padidėjęs tulžies išsiskyrimas gali sumažinti irinotekano ir jo metabolitų poveikį. Papildomai vartojant fenitoino: gali kilti konvulsijų pasunkėjimo rizika, kadangi citotoksiniai vaistiniai preparatai mažina fenitoino absorbciją žarnyne.</w:t>
      </w:r>
    </w:p>
    <w:p w14:paraId="6240E1C8"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6E22B016" w14:textId="5EF7F0F2"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Stiprūs CYP3A4 inhibitoriai</w:t>
      </w:r>
      <w:r w:rsidRPr="00E14983">
        <w:rPr>
          <w:rFonts w:ascii="Times New Roman" w:eastAsia="Times New Roman" w:hAnsi="Times New Roman" w:cs="Times New Roman"/>
          <w:lang w:val="lt-LT"/>
        </w:rPr>
        <w:t xml:space="preserve"> (pvz., ketokonazolas, itrakonazolas, vorikonazolas, pozakonazolas, proteazės inhibitoriai, claritromicinas, eritromicinas, telitromicinas)</w:t>
      </w:r>
    </w:p>
    <w:p w14:paraId="43CA348D"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3F4EE91A" w14:textId="293BCEFA"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Tyrim</w:t>
      </w:r>
      <w:r w:rsidR="002679C7" w:rsidRPr="00E14983">
        <w:rPr>
          <w:rFonts w:ascii="Times New Roman" w:eastAsia="Times New Roman" w:hAnsi="Times New Roman" w:cs="Times New Roman"/>
          <w:lang w:val="lt-LT"/>
        </w:rPr>
        <w:t>as</w:t>
      </w:r>
      <w:r w:rsidRPr="00E14983">
        <w:rPr>
          <w:rFonts w:ascii="Times New Roman" w:eastAsia="Times New Roman" w:hAnsi="Times New Roman" w:cs="Times New Roman"/>
          <w:lang w:val="lt-LT"/>
        </w:rPr>
        <w:t xml:space="preserve"> parodė, kad gydant irinotekanu kartu su ketokonazolu 87</w:t>
      </w:r>
      <w:r w:rsidR="002679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xml:space="preserve">% sumažėja aminopentano rūgšties </w:t>
      </w:r>
      <w:r w:rsidR="00282A1A" w:rsidRPr="00E14983">
        <w:rPr>
          <w:rFonts w:ascii="Times New Roman" w:eastAsia="Times New Roman" w:hAnsi="Times New Roman" w:cs="Times New Roman"/>
          <w:lang w:val="lt-LT"/>
        </w:rPr>
        <w:t>derivato</w:t>
      </w:r>
      <w:r w:rsidRPr="00E14983">
        <w:rPr>
          <w:rFonts w:ascii="Times New Roman" w:eastAsia="Times New Roman" w:hAnsi="Times New Roman" w:cs="Times New Roman"/>
          <w:lang w:val="lt-LT"/>
        </w:rPr>
        <w:t xml:space="preserve"> (ang</w:t>
      </w:r>
      <w:r w:rsidR="002679C7" w:rsidRPr="00E14983">
        <w:rPr>
          <w:rFonts w:ascii="Times New Roman" w:eastAsia="Times New Roman" w:hAnsi="Times New Roman" w:cs="Times New Roman"/>
          <w:lang w:val="lt-LT"/>
        </w:rPr>
        <w:t>l</w:t>
      </w:r>
      <w:r w:rsidRPr="00E14983">
        <w:rPr>
          <w:rFonts w:ascii="Times New Roman" w:eastAsia="Times New Roman" w:hAnsi="Times New Roman" w:cs="Times New Roman"/>
          <w:lang w:val="lt-LT"/>
        </w:rPr>
        <w:t>.</w:t>
      </w:r>
      <w:r w:rsidR="00282A1A" w:rsidRPr="00E14983">
        <w:rPr>
          <w:rFonts w:ascii="Times New Roman" w:eastAsia="Times New Roman" w:hAnsi="Times New Roman" w:cs="Times New Roman"/>
          <w:lang w:val="lt-LT"/>
        </w:rPr>
        <w:t xml:space="preserve"> </w:t>
      </w:r>
      <w:r w:rsidR="00282A1A" w:rsidRPr="00E14983">
        <w:rPr>
          <w:rFonts w:ascii="Times New Roman" w:eastAsia="Times New Roman" w:hAnsi="Times New Roman" w:cs="Times New Roman"/>
          <w:i/>
          <w:lang w:val="lt-LT"/>
        </w:rPr>
        <w:t>aminopentanoic acid derivate</w:t>
      </w:r>
      <w:r w:rsidR="00282A1A"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 xml:space="preserve"> APC) plotas po koncentracijos ir laiko kreive (AUC) ir 109</w:t>
      </w:r>
      <w:r w:rsidR="002679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padidėja SN-38 AUC, palyginti su gydymu vien irinotekanu.</w:t>
      </w:r>
    </w:p>
    <w:p w14:paraId="51516927"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3B3BEDC9" w14:textId="76800BD5"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UGT1A1 inhibitoriai</w:t>
      </w:r>
      <w:r w:rsidRPr="00E14983">
        <w:rPr>
          <w:rFonts w:ascii="Times New Roman" w:eastAsia="Times New Roman" w:hAnsi="Times New Roman" w:cs="Times New Roman"/>
          <w:lang w:val="lt-LT"/>
        </w:rPr>
        <w:t xml:space="preserve"> (pvz., atazanaviras, ketokonazolas, regorafenibas)</w:t>
      </w:r>
    </w:p>
    <w:p w14:paraId="051E1216"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Gali padidėti aktyvaus irinotekano metabolito SN-38 sisteminė ekspozicija. Gydytojai turi į tai atsižvelgti, jei šio derinio išvengti neįmanoma.</w:t>
      </w:r>
    </w:p>
    <w:p w14:paraId="6DA89634"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77973C47" w14:textId="2952E15E"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Kiti CYP3A4 inhibitoriai</w:t>
      </w:r>
      <w:r w:rsidRPr="00E14983">
        <w:rPr>
          <w:rFonts w:ascii="Times New Roman" w:eastAsia="Times New Roman" w:hAnsi="Times New Roman" w:cs="Times New Roman"/>
          <w:lang w:val="lt-LT"/>
        </w:rPr>
        <w:t xml:space="preserve"> (pvz., krizotinibas, idelalisibas)</w:t>
      </w:r>
    </w:p>
    <w:p w14:paraId="7FF06580" w14:textId="7174DC4F"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Dėl krizotinimo ar idelalizibo sukelto irinotekano metabolizmo sumažėjimo kyla irinotekano toksi</w:t>
      </w:r>
      <w:r w:rsidR="002679C7" w:rsidRPr="00E14983">
        <w:rPr>
          <w:rFonts w:ascii="Times New Roman" w:eastAsia="Times New Roman" w:hAnsi="Times New Roman" w:cs="Times New Roman"/>
          <w:lang w:val="lt-LT"/>
        </w:rPr>
        <w:t>nio poveikio</w:t>
      </w:r>
      <w:r w:rsidRPr="00E14983">
        <w:rPr>
          <w:rFonts w:ascii="Times New Roman" w:eastAsia="Times New Roman" w:hAnsi="Times New Roman" w:cs="Times New Roman"/>
          <w:lang w:val="lt-LT"/>
        </w:rPr>
        <w:t xml:space="preserve"> padidėjimo </w:t>
      </w:r>
      <w:r w:rsidR="002679C7" w:rsidRPr="00E14983">
        <w:rPr>
          <w:rFonts w:ascii="Times New Roman" w:eastAsia="Times New Roman" w:hAnsi="Times New Roman" w:cs="Times New Roman"/>
          <w:lang w:val="lt-LT"/>
        </w:rPr>
        <w:t>rizika</w:t>
      </w:r>
      <w:r w:rsidRPr="00E14983">
        <w:rPr>
          <w:rFonts w:ascii="Times New Roman" w:eastAsia="Times New Roman" w:hAnsi="Times New Roman" w:cs="Times New Roman"/>
          <w:lang w:val="lt-LT"/>
        </w:rPr>
        <w:t>.</w:t>
      </w:r>
    </w:p>
    <w:p w14:paraId="4472ED7D"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080DB658" w14:textId="77777777" w:rsidR="00294BD1" w:rsidRPr="00E14983" w:rsidRDefault="00294BD1" w:rsidP="00C96B3D">
      <w:pPr>
        <w:keepNext/>
        <w:tabs>
          <w:tab w:val="left" w:pos="357"/>
          <w:tab w:val="left" w:pos="567"/>
        </w:tabs>
        <w:spacing w:after="0" w:line="240" w:lineRule="auto"/>
        <w:rPr>
          <w:rFonts w:ascii="Times New Roman" w:eastAsia="Times New Roman" w:hAnsi="Times New Roman" w:cs="Times New Roman"/>
          <w:b/>
          <w:i/>
          <w:lang w:val="lt-LT"/>
        </w:rPr>
      </w:pPr>
      <w:r w:rsidRPr="00E14983">
        <w:rPr>
          <w:rFonts w:ascii="Times New Roman" w:eastAsia="Times New Roman" w:hAnsi="Times New Roman" w:cs="Times New Roman"/>
          <w:b/>
          <w:i/>
          <w:lang w:val="lt-LT"/>
        </w:rPr>
        <w:lastRenderedPageBreak/>
        <w:t>Atsargumo priemonės vartojant</w:t>
      </w:r>
    </w:p>
    <w:p w14:paraId="111910F5" w14:textId="77777777" w:rsidR="00294BD1" w:rsidRPr="00E14983" w:rsidRDefault="00294BD1" w:rsidP="00C96B3D">
      <w:pPr>
        <w:keepNext/>
        <w:tabs>
          <w:tab w:val="left" w:pos="357"/>
          <w:tab w:val="left" w:pos="567"/>
        </w:tabs>
        <w:spacing w:after="0" w:line="240" w:lineRule="auto"/>
        <w:rPr>
          <w:rFonts w:ascii="Times New Roman" w:eastAsia="Times New Roman" w:hAnsi="Times New Roman" w:cs="Times New Roman"/>
          <w:lang w:val="lt-LT"/>
        </w:rPr>
      </w:pPr>
    </w:p>
    <w:p w14:paraId="09AC4952" w14:textId="1F460AC6" w:rsidR="00294BD1" w:rsidRPr="00E14983" w:rsidRDefault="00294BD1" w:rsidP="00C96B3D">
      <w:pPr>
        <w:keepNext/>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Vitamino K antagonistai:</w:t>
      </w:r>
      <w:r w:rsidRPr="00E14983">
        <w:rPr>
          <w:rFonts w:ascii="Times New Roman" w:eastAsia="Times New Roman" w:hAnsi="Times New Roman" w:cs="Times New Roman"/>
          <w:lang w:val="lt-LT"/>
        </w:rPr>
        <w:t xml:space="preserve"> padidėjusi kraujavimo ir trombozės reiškinių rizika vėžiu sergantiems pacientams. Jeigu reikia gydyti vitamino K antagonistais, būtina dažniau matuoti TN</w:t>
      </w:r>
      <w:r w:rsidR="00282A1A" w:rsidRPr="00E14983">
        <w:rPr>
          <w:rFonts w:ascii="Times New Roman" w:eastAsia="Times New Roman" w:hAnsi="Times New Roman" w:cs="Times New Roman"/>
          <w:lang w:val="lt-LT"/>
        </w:rPr>
        <w:t>S</w:t>
      </w:r>
      <w:r w:rsidRPr="00E14983">
        <w:rPr>
          <w:rFonts w:ascii="Times New Roman" w:eastAsia="Times New Roman" w:hAnsi="Times New Roman" w:cs="Times New Roman"/>
          <w:lang w:val="lt-LT"/>
        </w:rPr>
        <w:t xml:space="preserve"> (</w:t>
      </w:r>
      <w:r w:rsidR="00282A1A" w:rsidRPr="00E14983">
        <w:rPr>
          <w:rFonts w:ascii="Times New Roman" w:eastAsia="Times New Roman" w:hAnsi="Times New Roman" w:cs="Times New Roman"/>
          <w:lang w:val="lt-LT"/>
        </w:rPr>
        <w:t>t</w:t>
      </w:r>
      <w:r w:rsidRPr="00E14983">
        <w:rPr>
          <w:rFonts w:ascii="Times New Roman" w:eastAsia="Times New Roman" w:hAnsi="Times New Roman" w:cs="Times New Roman"/>
          <w:lang w:val="lt-LT"/>
        </w:rPr>
        <w:t>arptautinį normalizuotą santykį).</w:t>
      </w:r>
    </w:p>
    <w:p w14:paraId="318578C0" w14:textId="77777777" w:rsidR="00294BD1" w:rsidRPr="00E14983" w:rsidRDefault="00294BD1" w:rsidP="00DD3E4C">
      <w:pPr>
        <w:tabs>
          <w:tab w:val="left" w:pos="357"/>
          <w:tab w:val="left" w:pos="567"/>
        </w:tabs>
        <w:spacing w:after="0" w:line="240" w:lineRule="auto"/>
        <w:rPr>
          <w:rFonts w:ascii="Times New Roman" w:hAnsi="Times New Roman"/>
          <w:lang w:val="lt-LT"/>
        </w:rPr>
      </w:pPr>
    </w:p>
    <w:p w14:paraId="68762CCC" w14:textId="77777777" w:rsidR="00294BD1" w:rsidRPr="00E14983" w:rsidRDefault="00294BD1" w:rsidP="00DD3E4C">
      <w:pPr>
        <w:tabs>
          <w:tab w:val="left" w:pos="357"/>
          <w:tab w:val="left" w:pos="567"/>
        </w:tabs>
        <w:spacing w:after="0" w:line="240" w:lineRule="auto"/>
        <w:rPr>
          <w:rFonts w:ascii="Times New Roman" w:hAnsi="Times New Roman"/>
          <w:b/>
          <w:i/>
          <w:u w:val="single"/>
          <w:lang w:val="lt-LT"/>
        </w:rPr>
      </w:pPr>
      <w:r w:rsidRPr="00E14983">
        <w:rPr>
          <w:rFonts w:ascii="Times New Roman" w:hAnsi="Times New Roman"/>
          <w:b/>
          <w:i/>
          <w:u w:val="single"/>
          <w:lang w:val="lt-LT"/>
        </w:rPr>
        <w:t>Kartu vartojant reikia atsižvelgti</w:t>
      </w:r>
    </w:p>
    <w:p w14:paraId="18A18027" w14:textId="5CB5F82E" w:rsidR="00294BD1" w:rsidRPr="00E14983" w:rsidRDefault="00294BD1" w:rsidP="00DD3E4C">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Imuni</w:t>
      </w:r>
      <w:r w:rsidR="00282A1A" w:rsidRPr="00E14983">
        <w:rPr>
          <w:rFonts w:ascii="Times New Roman" w:eastAsia="Times New Roman" w:hAnsi="Times New Roman" w:cs="Times New Roman"/>
          <w:b/>
          <w:lang w:val="lt-LT"/>
        </w:rPr>
        <w:t>nę sistemą</w:t>
      </w:r>
      <w:r w:rsidRPr="00E14983">
        <w:rPr>
          <w:rFonts w:ascii="Times New Roman" w:eastAsia="Times New Roman" w:hAnsi="Times New Roman" w:cs="Times New Roman"/>
          <w:b/>
          <w:lang w:val="lt-LT"/>
        </w:rPr>
        <w:t xml:space="preserve"> slopinančios medžiagos</w:t>
      </w:r>
      <w:r w:rsidRPr="00E14983">
        <w:rPr>
          <w:rFonts w:ascii="Times New Roman" w:eastAsia="Times New Roman" w:hAnsi="Times New Roman" w:cs="Times New Roman"/>
          <w:lang w:val="lt-LT"/>
        </w:rPr>
        <w:t xml:space="preserve"> (pvz., ciklosporinas, takrolimusas): galimas pernelyg didelis imuninės sistemos funkcijos slopinimas, keliantis limfoproliferacijos riziką.</w:t>
      </w:r>
    </w:p>
    <w:p w14:paraId="06BE1D2E" w14:textId="77777777" w:rsidR="00294BD1" w:rsidRPr="00E14983" w:rsidRDefault="00294BD1" w:rsidP="00DD3E4C">
      <w:pPr>
        <w:tabs>
          <w:tab w:val="left" w:pos="357"/>
          <w:tab w:val="left" w:pos="567"/>
        </w:tabs>
        <w:spacing w:after="0" w:line="240" w:lineRule="auto"/>
        <w:rPr>
          <w:rFonts w:ascii="Times New Roman" w:hAnsi="Times New Roman"/>
          <w:lang w:val="lt-LT"/>
        </w:rPr>
      </w:pPr>
    </w:p>
    <w:p w14:paraId="46722C5A" w14:textId="388AC752"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Nervo ir raumens jungties blokatoriai:</w:t>
      </w:r>
      <w:r w:rsidRPr="00E14983">
        <w:rPr>
          <w:rFonts w:ascii="Times New Roman" w:eastAsia="Times New Roman" w:hAnsi="Times New Roman" w:cs="Times New Roman"/>
          <w:lang w:val="lt-LT"/>
        </w:rPr>
        <w:t xml:space="preserve"> negalima atmesti irinotekano bei nervo ir raumens jungties </w:t>
      </w:r>
      <w:bookmarkStart w:id="9" w:name="_Hlk77624201"/>
      <w:r w:rsidRPr="00E14983">
        <w:rPr>
          <w:rFonts w:ascii="Times New Roman" w:eastAsia="Times New Roman" w:hAnsi="Times New Roman" w:cs="Times New Roman"/>
          <w:lang w:val="lt-LT"/>
        </w:rPr>
        <w:t>blokatorių</w:t>
      </w:r>
      <w:bookmarkEnd w:id="9"/>
      <w:r w:rsidRPr="00E14983">
        <w:rPr>
          <w:rFonts w:ascii="Times New Roman" w:eastAsia="Times New Roman" w:hAnsi="Times New Roman" w:cs="Times New Roman"/>
          <w:lang w:val="lt-LT"/>
        </w:rPr>
        <w:t xml:space="preserve"> tarpusavio sąveikos. Kadangi Irinotecan Accord 20</w:t>
      </w:r>
      <w:r w:rsidR="002679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mg/ml koncentratas infuziniam tirpalui pasižymi anticholinesteraziniu aktyvumu, anticholinesterazinio poveikio vaistiniai preparatai gali pailginti suksametonio nervo ir raumens jungtis blokuojantį poveikį, o nedepoliarizuojančių nervo ir raumens jungties blokatorių poveikis gali būti slopinamas.</w:t>
      </w:r>
    </w:p>
    <w:p w14:paraId="251C4CD7"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49BCAD45"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b/>
          <w:i/>
          <w:u w:val="single"/>
          <w:lang w:val="lt-LT"/>
        </w:rPr>
      </w:pPr>
      <w:r w:rsidRPr="00E14983">
        <w:rPr>
          <w:rFonts w:ascii="Times New Roman" w:eastAsia="Times New Roman" w:hAnsi="Times New Roman" w:cs="Times New Roman"/>
          <w:b/>
          <w:i/>
          <w:u w:val="single"/>
          <w:lang w:val="lt-LT"/>
        </w:rPr>
        <w:t>Kiti deriniai</w:t>
      </w:r>
    </w:p>
    <w:p w14:paraId="66500FBF"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5-fluorouracilo ir folino rūgštis:</w:t>
      </w:r>
      <w:r w:rsidRPr="00E14983">
        <w:rPr>
          <w:rFonts w:ascii="Times New Roman" w:eastAsia="Times New Roman" w:hAnsi="Times New Roman" w:cs="Times New Roman"/>
          <w:lang w:val="lt-LT"/>
        </w:rPr>
        <w:t xml:space="preserve"> 5-fluorouracilo ir folino rūgšties derinys kartu vartojamo irinotekano farmakokinetikos nekeitė.</w:t>
      </w:r>
    </w:p>
    <w:p w14:paraId="287910DE"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p>
    <w:p w14:paraId="4788DF80" w14:textId="77777777" w:rsidR="00294BD1" w:rsidRPr="00E14983" w:rsidRDefault="00294BD1" w:rsidP="00DD3E4C">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Bevacizumabas:</w:t>
      </w:r>
      <w:r w:rsidRPr="00E14983">
        <w:rPr>
          <w:rFonts w:ascii="Times New Roman" w:eastAsia="Times New Roman" w:hAnsi="Times New Roman" w:cs="Times New Roman"/>
          <w:lang w:val="lt-LT"/>
        </w:rPr>
        <w:t xml:space="preserve"> vaistinių preparatų tarpusavio sąveikai įvertinti skirto tyrimo rezultatai parodė, kad bevacizumabas nedaro reikšmingos įtakos irinotekano ir jo aktyvaus metabolito SN-38 farmakokinetikai. Vis dėlto, tai neleidžia paneigti bet kokio toksiškumo padidėjimo dėl jų farmakologinių savybių.</w:t>
      </w:r>
    </w:p>
    <w:p w14:paraId="68F31CF2" w14:textId="77777777" w:rsidR="00294BD1" w:rsidRPr="00E14983" w:rsidRDefault="00294BD1" w:rsidP="00DD3E4C">
      <w:pPr>
        <w:tabs>
          <w:tab w:val="left" w:pos="357"/>
          <w:tab w:val="left" w:pos="567"/>
        </w:tabs>
        <w:spacing w:after="0" w:line="240" w:lineRule="auto"/>
        <w:rPr>
          <w:lang w:val="lt-LT"/>
        </w:rPr>
      </w:pPr>
    </w:p>
    <w:p w14:paraId="51AA5BE3" w14:textId="77777777" w:rsidR="00294BD1" w:rsidRPr="00E14983" w:rsidRDefault="00294BD1" w:rsidP="00294BD1">
      <w:pPr>
        <w:tabs>
          <w:tab w:val="left" w:pos="357"/>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Cetuksimabas:</w:t>
      </w:r>
      <w:r w:rsidRPr="00E14983">
        <w:rPr>
          <w:rFonts w:ascii="Times New Roman" w:eastAsia="Times New Roman" w:hAnsi="Times New Roman" w:cs="Times New Roman"/>
          <w:lang w:val="lt-LT"/>
        </w:rPr>
        <w:t xml:space="preserve"> ar cetuksimabas daro įtaką irinotekano poveikio saugumui, ar yra priešingai, nenustatyta.</w:t>
      </w:r>
    </w:p>
    <w:p w14:paraId="7DE4B739" w14:textId="4765EE41" w:rsidR="009500C0" w:rsidRPr="00E14983" w:rsidRDefault="009500C0"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6BF119C6" w14:textId="77777777" w:rsidR="00215D26" w:rsidRPr="00E14983" w:rsidRDefault="00215D26" w:rsidP="00215D26">
      <w:pPr>
        <w:autoSpaceDE w:val="0"/>
        <w:autoSpaceDN w:val="0"/>
        <w:adjustRightInd w:val="0"/>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Antineoplazinės medžiagos (įskaitant 5-fluoruracilo provaistą flucitoziną)</w:t>
      </w:r>
    </w:p>
    <w:p w14:paraId="2C720463" w14:textId="22E10594" w:rsidR="00215D26" w:rsidRPr="00E14983" w:rsidRDefault="00215D26" w:rsidP="00ED157C">
      <w:pPr>
        <w:autoSpaceDE w:val="0"/>
        <w:autoSpaceDN w:val="0"/>
        <w:adjustRightIn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Irinotekano nepageidaujamas poveikis (pvz., mielosupresija), gali sustiprėti, jį vartojant su</w:t>
      </w:r>
      <w:r w:rsidR="003B6728"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kitomis antineoplazinėmis medžiagomis, kurių nepageidaujam</w:t>
      </w:r>
      <w:r w:rsidR="00006038" w:rsidRPr="00E14983">
        <w:rPr>
          <w:rFonts w:ascii="Times New Roman" w:eastAsia="Times New Roman" w:hAnsi="Times New Roman" w:cs="Times New Roman"/>
          <w:lang w:val="lt-LT"/>
        </w:rPr>
        <w:t>as</w:t>
      </w:r>
      <w:r w:rsidRPr="00E14983">
        <w:rPr>
          <w:rFonts w:ascii="Times New Roman" w:eastAsia="Times New Roman" w:hAnsi="Times New Roman" w:cs="Times New Roman"/>
          <w:lang w:val="lt-LT"/>
        </w:rPr>
        <w:t xml:space="preserve"> poveiki</w:t>
      </w:r>
      <w:r w:rsidR="002D41D8" w:rsidRPr="00E14983">
        <w:rPr>
          <w:rFonts w:ascii="Times New Roman" w:eastAsia="Times New Roman" w:hAnsi="Times New Roman" w:cs="Times New Roman"/>
          <w:lang w:val="lt-LT"/>
        </w:rPr>
        <w:t>s</w:t>
      </w:r>
      <w:r w:rsidRPr="00E14983">
        <w:rPr>
          <w:rFonts w:ascii="Times New Roman" w:eastAsia="Times New Roman" w:hAnsi="Times New Roman" w:cs="Times New Roman"/>
          <w:lang w:val="lt-LT"/>
        </w:rPr>
        <w:t xml:space="preserve"> panaš</w:t>
      </w:r>
      <w:r w:rsidR="002D41D8" w:rsidRPr="00E14983">
        <w:rPr>
          <w:rFonts w:ascii="Times New Roman" w:eastAsia="Times New Roman" w:hAnsi="Times New Roman" w:cs="Times New Roman"/>
          <w:lang w:val="lt-LT"/>
        </w:rPr>
        <w:t>u</w:t>
      </w:r>
      <w:r w:rsidRPr="00E14983">
        <w:rPr>
          <w:rFonts w:ascii="Times New Roman" w:eastAsia="Times New Roman" w:hAnsi="Times New Roman" w:cs="Times New Roman"/>
          <w:lang w:val="lt-LT"/>
        </w:rPr>
        <w:t>s.</w:t>
      </w:r>
    </w:p>
    <w:p w14:paraId="250B1C88" w14:textId="77777777" w:rsidR="006F0590" w:rsidRPr="00E14983" w:rsidRDefault="006F0590" w:rsidP="00215D26">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lang w:val="lt-LT"/>
        </w:rPr>
      </w:pPr>
    </w:p>
    <w:p w14:paraId="4A5605B9" w14:textId="77777777" w:rsidR="009500C0" w:rsidRPr="00E14983" w:rsidRDefault="009500C0" w:rsidP="009500C0">
      <w:pPr>
        <w:keepNext/>
        <w:keepLines/>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4.6</w:t>
      </w:r>
      <w:r w:rsidRPr="00E14983">
        <w:rPr>
          <w:rFonts w:ascii="Times New Roman" w:eastAsia="Times New Roman" w:hAnsi="Times New Roman" w:cs="Times New Roman"/>
          <w:b/>
          <w:bCs/>
          <w:lang w:val="lt-LT"/>
        </w:rPr>
        <w:tab/>
        <w:t>Vaisingumas, nėštumo ir žindymo laikotarpis</w:t>
      </w:r>
    </w:p>
    <w:p w14:paraId="61265DC0"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7E77CE6" w14:textId="094C1A0D" w:rsidR="009500C0" w:rsidRPr="00E14983" w:rsidRDefault="00EC1D86" w:rsidP="009500C0">
      <w:pPr>
        <w:keepNext/>
        <w:keepLines/>
        <w:tabs>
          <w:tab w:val="left" w:pos="567"/>
        </w:tabs>
        <w:spacing w:after="0" w:line="240" w:lineRule="auto"/>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K</w:t>
      </w:r>
      <w:r w:rsidR="009500C0" w:rsidRPr="00E14983">
        <w:rPr>
          <w:rFonts w:ascii="Times New Roman" w:eastAsia="Times New Roman" w:hAnsi="Times New Roman" w:cs="Times New Roman"/>
          <w:u w:val="single"/>
          <w:lang w:val="lt-LT"/>
        </w:rPr>
        <w:t>ontracepcija</w:t>
      </w:r>
    </w:p>
    <w:p w14:paraId="26AF377B" w14:textId="77777777" w:rsidR="009500C0" w:rsidRPr="00E14983" w:rsidRDefault="009500C0" w:rsidP="009500C0">
      <w:pPr>
        <w:keepNext/>
        <w:keepLines/>
        <w:tabs>
          <w:tab w:val="left" w:pos="567"/>
        </w:tabs>
        <w:spacing w:after="0" w:line="240" w:lineRule="auto"/>
        <w:rPr>
          <w:rFonts w:ascii="Times New Roman" w:eastAsia="Times New Roman" w:hAnsi="Times New Roman" w:cs="Times New Roman"/>
          <w:u w:val="single"/>
          <w:lang w:val="lt-LT"/>
        </w:rPr>
      </w:pPr>
    </w:p>
    <w:p w14:paraId="2FF6948F" w14:textId="77777777" w:rsidR="00EC1D86" w:rsidRPr="00964468" w:rsidRDefault="00EC1D86" w:rsidP="00EC1D86">
      <w:pPr>
        <w:keepNext/>
        <w:keepLines/>
        <w:tabs>
          <w:tab w:val="left" w:pos="567"/>
        </w:tabs>
        <w:spacing w:after="0" w:line="240" w:lineRule="auto"/>
        <w:rPr>
          <w:rFonts w:ascii="Times New Roman" w:eastAsia="Arial Unicode MS" w:hAnsi="Times New Roman" w:cs="Times New Roman"/>
          <w:bCs/>
          <w:lang w:val="lt-LT"/>
        </w:rPr>
      </w:pPr>
      <w:r w:rsidRPr="00741471">
        <w:rPr>
          <w:rFonts w:ascii="Times New Roman" w:eastAsia="Arial Unicode MS" w:hAnsi="Times New Roman" w:cs="Times New Roman"/>
          <w:bCs/>
          <w:lang w:val="lt-LT"/>
        </w:rPr>
        <w:t xml:space="preserve">Dėl galimo genotoksinio poveikio </w:t>
      </w:r>
      <w:r w:rsidRPr="00964468">
        <w:rPr>
          <w:rFonts w:ascii="Times New Roman" w:eastAsia="Arial Unicode MS" w:hAnsi="Times New Roman" w:cs="Times New Roman"/>
          <w:bCs/>
          <w:lang w:val="lt-LT"/>
        </w:rPr>
        <w:t>vaisingoms</w:t>
      </w:r>
      <w:r w:rsidRPr="00741471">
        <w:rPr>
          <w:rFonts w:ascii="Times New Roman" w:eastAsia="Arial Unicode MS" w:hAnsi="Times New Roman" w:cs="Times New Roman"/>
          <w:bCs/>
          <w:lang w:val="lt-LT"/>
        </w:rPr>
        <w:t xml:space="preserve"> moterims reikia patarti gydymo metu ir 6 mėnesius po paskutinės irinotekano dozės vartojimo naudoti labai veiksmingą kontracepciją</w:t>
      </w:r>
      <w:r w:rsidRPr="00964468">
        <w:rPr>
          <w:rFonts w:ascii="Times New Roman" w:eastAsia="Arial Unicode MS" w:hAnsi="Times New Roman" w:cs="Times New Roman"/>
          <w:bCs/>
          <w:lang w:val="lt-LT"/>
        </w:rPr>
        <w:t xml:space="preserve"> </w:t>
      </w:r>
      <w:r w:rsidRPr="00741471">
        <w:rPr>
          <w:rFonts w:ascii="Times New Roman" w:eastAsia="Arial Unicode MS" w:hAnsi="Times New Roman" w:cs="Times New Roman"/>
          <w:bCs/>
          <w:lang w:val="lt-LT"/>
        </w:rPr>
        <w:t>(žr. 4.</w:t>
      </w:r>
      <w:r w:rsidRPr="00964468">
        <w:rPr>
          <w:rFonts w:ascii="Times New Roman" w:eastAsia="Arial Unicode MS" w:hAnsi="Times New Roman" w:cs="Times New Roman"/>
          <w:bCs/>
          <w:lang w:val="lt-LT"/>
        </w:rPr>
        <w:t>4 </w:t>
      </w:r>
      <w:r w:rsidRPr="00741471">
        <w:rPr>
          <w:rFonts w:ascii="Times New Roman" w:eastAsia="Arial Unicode MS" w:hAnsi="Times New Roman" w:cs="Times New Roman"/>
          <w:bCs/>
          <w:lang w:val="lt-LT"/>
        </w:rPr>
        <w:t>skyrių).</w:t>
      </w:r>
    </w:p>
    <w:p w14:paraId="21AE0473" w14:textId="77777777" w:rsidR="00EC1D86" w:rsidRPr="00741471" w:rsidRDefault="00EC1D86" w:rsidP="00EC1D86">
      <w:pPr>
        <w:keepNext/>
        <w:keepLines/>
        <w:tabs>
          <w:tab w:val="left" w:pos="567"/>
        </w:tabs>
        <w:spacing w:after="0" w:line="240" w:lineRule="auto"/>
        <w:rPr>
          <w:rFonts w:ascii="Times New Roman" w:eastAsia="Arial Unicode MS" w:hAnsi="Times New Roman" w:cs="Times New Roman"/>
          <w:bCs/>
          <w:lang w:val="lt-LT"/>
        </w:rPr>
      </w:pPr>
    </w:p>
    <w:p w14:paraId="2BED62BB" w14:textId="77777777" w:rsidR="00EC1D86" w:rsidRPr="00741471" w:rsidRDefault="00EC1D86" w:rsidP="00EC1D86">
      <w:pPr>
        <w:keepNext/>
        <w:keepLines/>
        <w:tabs>
          <w:tab w:val="left" w:pos="567"/>
        </w:tabs>
        <w:spacing w:after="0" w:line="240" w:lineRule="auto"/>
        <w:rPr>
          <w:rFonts w:ascii="Times New Roman" w:eastAsia="Arial Unicode MS" w:hAnsi="Times New Roman" w:cs="Times New Roman"/>
          <w:bCs/>
          <w:lang w:val="lt-LT"/>
        </w:rPr>
      </w:pPr>
      <w:r w:rsidRPr="00741471">
        <w:rPr>
          <w:rFonts w:ascii="Times New Roman" w:eastAsia="Arial Unicode MS" w:hAnsi="Times New Roman" w:cs="Times New Roman"/>
          <w:bCs/>
          <w:lang w:val="lt-LT"/>
        </w:rPr>
        <w:t>Dėl galimo genotoksinio poveikio pacientams vyrams, kurių partnerės yra vaisingos, reikia patarti gydymo metu ir 3 mėnesius po paskutinės irinotekano dozės vartojimo naudoti veiksmingą kontracepciją (žr. 4.</w:t>
      </w:r>
      <w:r w:rsidRPr="00964468">
        <w:rPr>
          <w:rFonts w:ascii="Times New Roman" w:eastAsia="Arial Unicode MS" w:hAnsi="Times New Roman" w:cs="Times New Roman"/>
          <w:bCs/>
          <w:lang w:val="lt-LT"/>
        </w:rPr>
        <w:t>4 </w:t>
      </w:r>
      <w:r w:rsidRPr="00741471">
        <w:rPr>
          <w:rFonts w:ascii="Times New Roman" w:eastAsia="Arial Unicode MS" w:hAnsi="Times New Roman" w:cs="Times New Roman"/>
          <w:bCs/>
          <w:lang w:val="lt-LT"/>
        </w:rPr>
        <w:t>skyrių).</w:t>
      </w:r>
    </w:p>
    <w:p w14:paraId="5DA6257F" w14:textId="77777777" w:rsidR="009500C0" w:rsidRPr="00E14983" w:rsidRDefault="009500C0" w:rsidP="009500C0">
      <w:pPr>
        <w:keepNext/>
        <w:keepLines/>
        <w:tabs>
          <w:tab w:val="left" w:pos="567"/>
        </w:tabs>
        <w:spacing w:after="0" w:line="240" w:lineRule="auto"/>
        <w:rPr>
          <w:rFonts w:ascii="Times New Roman" w:eastAsia="Times New Roman" w:hAnsi="Times New Roman" w:cs="Times New Roman"/>
          <w:u w:val="single"/>
          <w:lang w:val="lt-LT"/>
        </w:rPr>
      </w:pPr>
    </w:p>
    <w:p w14:paraId="49F96FF9" w14:textId="77777777" w:rsidR="009500C0" w:rsidRPr="00E14983" w:rsidRDefault="009500C0" w:rsidP="009500C0">
      <w:pPr>
        <w:keepNext/>
        <w:keepLines/>
        <w:tabs>
          <w:tab w:val="left" w:pos="567"/>
        </w:tabs>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Nėštumas</w:t>
      </w:r>
    </w:p>
    <w:p w14:paraId="01498072" w14:textId="77777777" w:rsidR="009500C0" w:rsidRPr="00E14983" w:rsidRDefault="009500C0" w:rsidP="009500C0">
      <w:pPr>
        <w:keepNext/>
        <w:keepLines/>
        <w:tabs>
          <w:tab w:val="left" w:pos="567"/>
        </w:tabs>
        <w:spacing w:after="0" w:line="240" w:lineRule="auto"/>
        <w:rPr>
          <w:rFonts w:ascii="Times New Roman" w:eastAsia="Times New Roman" w:hAnsi="Times New Roman" w:cs="Times New Roman"/>
          <w:u w:val="single"/>
          <w:lang w:val="lt-LT"/>
        </w:rPr>
      </w:pPr>
    </w:p>
    <w:p w14:paraId="7BD158D9" w14:textId="4C622249" w:rsidR="009500C0" w:rsidRDefault="00EC1D86" w:rsidP="009500C0">
      <w:pPr>
        <w:keepNext/>
        <w:keepLine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Duomenų</w:t>
      </w:r>
      <w:r w:rsidR="009500C0" w:rsidRPr="00E14983">
        <w:rPr>
          <w:rFonts w:ascii="Times New Roman" w:eastAsia="Times New Roman" w:hAnsi="Times New Roman" w:cs="Times New Roman"/>
          <w:lang w:val="lt-LT"/>
        </w:rPr>
        <w:t xml:space="preserve"> apie irinotekano vartojimą nėštumo metu </w:t>
      </w:r>
      <w:r>
        <w:rPr>
          <w:rFonts w:ascii="Times New Roman" w:eastAsia="Times New Roman" w:hAnsi="Times New Roman" w:cs="Times New Roman"/>
          <w:lang w:val="lt-LT"/>
        </w:rPr>
        <w:t>yra nedaug</w:t>
      </w:r>
      <w:r w:rsidR="009500C0" w:rsidRPr="00E14983">
        <w:rPr>
          <w:rFonts w:ascii="Times New Roman" w:eastAsia="Times New Roman" w:hAnsi="Times New Roman" w:cs="Times New Roman"/>
          <w:lang w:val="lt-LT"/>
        </w:rPr>
        <w:t>. Gyvūnams irinotekanas sukėlė embriotoksinį ir teratogeninį poveikį</w:t>
      </w:r>
      <w:r>
        <w:rPr>
          <w:rFonts w:ascii="Times New Roman" w:eastAsia="Times New Roman" w:hAnsi="Times New Roman" w:cs="Times New Roman"/>
          <w:lang w:val="lt-LT"/>
        </w:rPr>
        <w:t xml:space="preserve"> </w:t>
      </w:r>
      <w:r w:rsidRPr="00964468">
        <w:rPr>
          <w:rFonts w:ascii="Times New Roman" w:eastAsia="Times New Roman" w:hAnsi="Times New Roman" w:cs="Times New Roman"/>
          <w:lang w:val="lt-LT"/>
        </w:rPr>
        <w:t>(žr. 5.3 skyrių)</w:t>
      </w:r>
      <w:r w:rsidR="009500C0" w:rsidRPr="00E14983">
        <w:rPr>
          <w:rFonts w:ascii="Times New Roman" w:eastAsia="Times New Roman" w:hAnsi="Times New Roman" w:cs="Times New Roman"/>
          <w:lang w:val="lt-LT"/>
        </w:rPr>
        <w:t xml:space="preserve">. Remiantis tyrimų su gyvūnais rezultatais ir irinotekano veikimo mechanizmu, </w:t>
      </w:r>
      <w:r w:rsidR="009500C0" w:rsidRPr="00E14983">
        <w:rPr>
          <w:rFonts w:ascii="Times New Roman" w:eastAsia="Times New Roman" w:hAnsi="Times New Roman" w:cs="Times New Roman"/>
          <w:bCs/>
          <w:lang w:val="lt-LT"/>
        </w:rPr>
        <w:t xml:space="preserve">irinotekano </w:t>
      </w:r>
      <w:r w:rsidR="009500C0" w:rsidRPr="00E14983">
        <w:rPr>
          <w:rFonts w:ascii="Times New Roman" w:eastAsia="Times New Roman" w:hAnsi="Times New Roman" w:cs="Times New Roman"/>
          <w:lang w:val="lt-LT"/>
        </w:rPr>
        <w:t>neturi būti vartojama nėštumo metu, nebent tai neabejotinai būtina.</w:t>
      </w:r>
    </w:p>
    <w:p w14:paraId="32421856" w14:textId="128B47CC" w:rsidR="00EC1D86" w:rsidRPr="00E14983" w:rsidRDefault="00EC1D86" w:rsidP="00C96B3D">
      <w:pPr>
        <w:widowControl w:val="0"/>
        <w:shd w:val="clear" w:color="auto" w:fill="FFFFFF"/>
        <w:tabs>
          <w:tab w:val="left" w:pos="567"/>
        </w:tabs>
        <w:autoSpaceDE w:val="0"/>
        <w:autoSpaceDN w:val="0"/>
        <w:adjustRightInd w:val="0"/>
        <w:snapToGrid w:val="0"/>
        <w:spacing w:after="0" w:line="240" w:lineRule="auto"/>
        <w:rPr>
          <w:rFonts w:ascii="Times New Roman" w:eastAsia="Arial Unicode MS" w:hAnsi="Times New Roman" w:cs="Times New Roman"/>
          <w:b/>
          <w:bCs/>
          <w:lang w:val="lt-LT"/>
        </w:rPr>
      </w:pPr>
      <w:r w:rsidRPr="00964468">
        <w:rPr>
          <w:rFonts w:ascii="Times New Roman" w:eastAsia="Times New Roman" w:hAnsi="Times New Roman" w:cs="Times New Roman"/>
          <w:color w:val="000000"/>
          <w:lang w:val="lt-LT"/>
        </w:rPr>
        <w:t>Vaisingos moterys neturėtų pradėti vartoti irinotekano, kol neatmestas nėštumas. Jei kuris nors iš partnerių vartoja irinotekano, nėštumo reikia vengti.</w:t>
      </w:r>
    </w:p>
    <w:p w14:paraId="294A68F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26A9423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Žindymas</w:t>
      </w:r>
    </w:p>
    <w:p w14:paraId="465E0F3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p>
    <w:p w14:paraId="2179DB7D" w14:textId="70CFA3D6" w:rsidR="009500C0" w:rsidRPr="00E14983" w:rsidRDefault="00EC1D86"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C1D86">
        <w:rPr>
          <w:rFonts w:ascii="Times New Roman" w:eastAsia="Times New Roman" w:hAnsi="Times New Roman" w:cs="Times New Roman"/>
          <w:color w:val="000000"/>
          <w:lang w:val="lt-LT"/>
        </w:rPr>
        <w:t xml:space="preserve">Duomenų yra nedaug, tačiau manoma, kad </w:t>
      </w:r>
      <w:r w:rsidR="009500C0" w:rsidRPr="00E14983">
        <w:rPr>
          <w:rFonts w:ascii="Times New Roman" w:eastAsia="Times New Roman" w:hAnsi="Times New Roman" w:cs="Times New Roman"/>
          <w:color w:val="000000"/>
          <w:lang w:val="lt-LT"/>
        </w:rPr>
        <w:t xml:space="preserve">irinotekanas </w:t>
      </w:r>
      <w:r w:rsidR="003E4818">
        <w:rPr>
          <w:rFonts w:ascii="Times New Roman" w:eastAsia="Times New Roman" w:hAnsi="Times New Roman" w:cs="Times New Roman"/>
          <w:color w:val="000000"/>
          <w:lang w:val="lt-LT"/>
        </w:rPr>
        <w:t xml:space="preserve">ir jo metabolitai </w:t>
      </w:r>
      <w:r w:rsidR="009500C0" w:rsidRPr="00E14983">
        <w:rPr>
          <w:rFonts w:ascii="Times New Roman" w:eastAsia="Times New Roman" w:hAnsi="Times New Roman" w:cs="Times New Roman"/>
          <w:color w:val="000000"/>
          <w:lang w:val="lt-LT"/>
        </w:rPr>
        <w:t>išsiskiria į motinos pieną. Todėl irinotekano vartojimo metu dėl galimų nepageidaujamų reakcijų maitinamiems kūdikiams, žindymą reikia nutraukti (žr. 4.3</w:t>
      </w:r>
      <w:r>
        <w:rPr>
          <w:rFonts w:ascii="Times New Roman" w:eastAsia="Times New Roman" w:hAnsi="Times New Roman" w:cs="Times New Roman"/>
          <w:color w:val="000000"/>
          <w:lang w:val="lt-LT"/>
        </w:rPr>
        <w:t xml:space="preserve"> ir 4.4 </w:t>
      </w:r>
      <w:r w:rsidR="009500C0" w:rsidRPr="00E14983">
        <w:rPr>
          <w:rFonts w:ascii="Times New Roman" w:eastAsia="Times New Roman" w:hAnsi="Times New Roman" w:cs="Times New Roman"/>
          <w:color w:val="000000"/>
          <w:lang w:val="lt-LT"/>
        </w:rPr>
        <w:t>skyri</w:t>
      </w:r>
      <w:r>
        <w:rPr>
          <w:rFonts w:ascii="Times New Roman" w:eastAsia="Times New Roman" w:hAnsi="Times New Roman" w:cs="Times New Roman"/>
          <w:color w:val="000000"/>
          <w:lang w:val="lt-LT"/>
        </w:rPr>
        <w:t>us</w:t>
      </w:r>
      <w:r w:rsidR="009500C0" w:rsidRPr="00E14983">
        <w:rPr>
          <w:rFonts w:ascii="Times New Roman" w:eastAsia="Times New Roman" w:hAnsi="Times New Roman" w:cs="Times New Roman"/>
          <w:color w:val="000000"/>
          <w:lang w:val="lt-LT"/>
        </w:rPr>
        <w:t>).</w:t>
      </w:r>
    </w:p>
    <w:p w14:paraId="5AE61A95"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4896AD9B"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Vaisingumas</w:t>
      </w:r>
    </w:p>
    <w:p w14:paraId="578EE73A" w14:textId="77777777" w:rsidR="009500C0" w:rsidRPr="00E14983" w:rsidRDefault="009500C0" w:rsidP="009500C0">
      <w:pPr>
        <w:spacing w:after="0" w:line="240" w:lineRule="auto"/>
        <w:rPr>
          <w:rFonts w:ascii="Times New Roman" w:eastAsia="Times New Roman" w:hAnsi="Times New Roman" w:cs="Times New Roman"/>
          <w:u w:val="single"/>
          <w:lang w:val="lt-LT"/>
        </w:rPr>
      </w:pPr>
    </w:p>
    <w:p w14:paraId="204986B2" w14:textId="491CC5F8"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Nėra duomenų apie irinotekano poveikį žmonių vaisingumui. Buvo aprašyti irinotekano nepageidaujami poveikiai gyvūnų palikuonių vaisingumui </w:t>
      </w:r>
      <w:r w:rsidRPr="00E14983">
        <w:rPr>
          <w:rFonts w:ascii="Times New Roman" w:eastAsia="Times New Roman" w:hAnsi="Times New Roman" w:cs="Times New Roman"/>
          <w:color w:val="333333"/>
          <w:lang w:val="lt-LT"/>
        </w:rPr>
        <w:t>(žr. 5.3 skyrių).</w:t>
      </w:r>
      <w:r w:rsidR="00EC1D86">
        <w:rPr>
          <w:rFonts w:ascii="Times New Roman" w:eastAsia="Times New Roman" w:hAnsi="Times New Roman" w:cs="Times New Roman"/>
          <w:color w:val="333333"/>
          <w:lang w:val="lt-LT"/>
        </w:rPr>
        <w:t xml:space="preserve"> </w:t>
      </w:r>
      <w:r w:rsidR="00EC1D86" w:rsidRPr="00964468">
        <w:rPr>
          <w:rFonts w:ascii="Times New Roman" w:eastAsia="Times New Roman" w:hAnsi="Times New Roman" w:cs="Times New Roman"/>
          <w:color w:val="333333"/>
          <w:lang w:val="lt-LT"/>
        </w:rPr>
        <w:t>Prieš pradedant pacientams vartoti Irinotecan Accord 20</w:t>
      </w:r>
      <w:r w:rsidR="00EC1D86">
        <w:rPr>
          <w:rFonts w:ascii="Times New Roman" w:eastAsia="Times New Roman" w:hAnsi="Times New Roman" w:cs="Times New Roman"/>
          <w:color w:val="333333"/>
          <w:lang w:val="lt-LT"/>
        </w:rPr>
        <w:t> </w:t>
      </w:r>
      <w:r w:rsidR="00EC1D86" w:rsidRPr="00964468">
        <w:rPr>
          <w:rFonts w:ascii="Times New Roman" w:eastAsia="Times New Roman" w:hAnsi="Times New Roman" w:cs="Times New Roman"/>
          <w:color w:val="333333"/>
          <w:lang w:val="lt-LT"/>
        </w:rPr>
        <w:t>mg/ml koncentrato infuziniam tirpalui, reikia apsvarstyti galimybę patarti jiems dėl lytinių ląstelių išsaugojimo.</w:t>
      </w:r>
    </w:p>
    <w:p w14:paraId="3FC1205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F02CD5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4.7</w:t>
      </w:r>
      <w:r w:rsidRPr="00E14983">
        <w:rPr>
          <w:rFonts w:ascii="Times New Roman" w:eastAsia="Times New Roman" w:hAnsi="Times New Roman" w:cs="Times New Roman"/>
          <w:b/>
          <w:bCs/>
          <w:color w:val="000000"/>
          <w:lang w:val="lt-LT"/>
        </w:rPr>
        <w:tab/>
        <w:t>Poveikis gebėjimui vairuoti ir valdyti mechanizmus</w:t>
      </w:r>
    </w:p>
    <w:p w14:paraId="598BBE9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11AC393" w14:textId="05A2A64A" w:rsidR="009500C0" w:rsidRPr="00E14983" w:rsidRDefault="00294BD1"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iCs/>
          <w:color w:val="000000"/>
          <w:lang w:val="lt-LT"/>
        </w:rPr>
        <w:t>Irinotecan Accord 20 mg/ml koncentratas infuziniam tirpalui</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iCs/>
          <w:color w:val="000000"/>
          <w:lang w:val="lt-LT"/>
        </w:rPr>
        <w:t>gebėjim</w:t>
      </w:r>
      <w:r w:rsidR="00745FA4" w:rsidRPr="00E14983">
        <w:rPr>
          <w:rFonts w:ascii="Times New Roman" w:eastAsia="Times New Roman" w:hAnsi="Times New Roman" w:cs="Times New Roman"/>
          <w:iCs/>
          <w:color w:val="000000"/>
          <w:lang w:val="lt-LT"/>
        </w:rPr>
        <w:t>ą</w:t>
      </w:r>
      <w:r w:rsidRPr="00E14983">
        <w:rPr>
          <w:rFonts w:ascii="Times New Roman" w:eastAsia="Times New Roman" w:hAnsi="Times New Roman" w:cs="Times New Roman"/>
          <w:iCs/>
          <w:color w:val="000000"/>
          <w:lang w:val="lt-LT"/>
        </w:rPr>
        <w:t xml:space="preserve"> vairuoti ir valdyti mechanizmus</w:t>
      </w:r>
      <w:r w:rsidR="00745FA4" w:rsidRPr="00E14983">
        <w:rPr>
          <w:rFonts w:ascii="Times New Roman" w:eastAsia="Times New Roman" w:hAnsi="Times New Roman" w:cs="Times New Roman"/>
          <w:iCs/>
          <w:color w:val="000000"/>
          <w:lang w:val="lt-LT"/>
        </w:rPr>
        <w:t xml:space="preserve"> veikia vidutiniškai</w:t>
      </w:r>
      <w:r w:rsidRPr="00E14983">
        <w:rPr>
          <w:rFonts w:ascii="Times New Roman" w:eastAsia="Times New Roman" w:hAnsi="Times New Roman" w:cs="Times New Roman"/>
          <w:iCs/>
          <w:color w:val="000000"/>
          <w:lang w:val="lt-LT"/>
        </w:rPr>
        <w:t>.</w:t>
      </w:r>
      <w:r w:rsidRPr="00E14983">
        <w:rPr>
          <w:rFonts w:ascii="Times New Roman" w:eastAsia="Times New Roman" w:hAnsi="Times New Roman" w:cs="Times New Roman"/>
          <w:i/>
          <w:iCs/>
          <w:color w:val="000000"/>
          <w:lang w:val="lt-LT"/>
        </w:rPr>
        <w:t xml:space="preserve"> </w:t>
      </w:r>
      <w:r w:rsidR="009500C0" w:rsidRPr="00E14983">
        <w:rPr>
          <w:rFonts w:ascii="Times New Roman" w:eastAsia="Times New Roman" w:hAnsi="Times New Roman" w:cs="Times New Roman"/>
          <w:color w:val="000000"/>
          <w:lang w:val="lt-LT"/>
        </w:rPr>
        <w:t xml:space="preserve">Pacientus reikia įspėti apie galimą galvos svaigimą arba regėjimo sutrikimus, kurie gali pasireikšti per 24 valandas po </w:t>
      </w:r>
      <w:r w:rsidR="009500C0" w:rsidRPr="00E14983">
        <w:rPr>
          <w:rFonts w:ascii="Times New Roman" w:eastAsia="Times New Roman" w:hAnsi="Times New Roman" w:cs="Times New Roman"/>
          <w:iCs/>
          <w:color w:val="000000"/>
          <w:lang w:val="lt-LT"/>
        </w:rPr>
        <w:t>Irinotecan Accord 20 mg/ml koncentrato infuziniam tirpalui</w:t>
      </w:r>
      <w:r w:rsidR="009500C0" w:rsidRPr="00E14983">
        <w:rPr>
          <w:rFonts w:ascii="Times New Roman" w:eastAsia="Times New Roman" w:hAnsi="Times New Roman" w:cs="Times New Roman"/>
          <w:i/>
          <w:iCs/>
          <w:color w:val="000000"/>
          <w:lang w:val="lt-LT"/>
        </w:rPr>
        <w:t xml:space="preserve"> </w:t>
      </w:r>
      <w:r w:rsidR="009500C0" w:rsidRPr="00E14983">
        <w:rPr>
          <w:rFonts w:ascii="Times New Roman" w:eastAsia="Times New Roman" w:hAnsi="Times New Roman" w:cs="Times New Roman"/>
          <w:iCs/>
          <w:color w:val="000000"/>
          <w:lang w:val="lt-LT"/>
        </w:rPr>
        <w:t>pa</w:t>
      </w:r>
      <w:r w:rsidR="009500C0" w:rsidRPr="00E14983">
        <w:rPr>
          <w:rFonts w:ascii="Times New Roman" w:eastAsia="Times New Roman" w:hAnsi="Times New Roman" w:cs="Times New Roman"/>
          <w:color w:val="000000"/>
          <w:lang w:val="lt-LT"/>
        </w:rPr>
        <w:t>vartojimo ir, jeigu šie simptomai pasireiškia, patariama nevairuoti ir nevaldyti mechanizmų.</w:t>
      </w:r>
    </w:p>
    <w:p w14:paraId="5ACDC4C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301FE9A" w14:textId="77777777" w:rsidR="009500C0" w:rsidRPr="00E14983" w:rsidRDefault="009500C0" w:rsidP="009500C0">
      <w:pPr>
        <w:widowControl w:val="0"/>
        <w:shd w:val="clear" w:color="auto" w:fill="FFFFFF"/>
        <w:tabs>
          <w:tab w:val="left" w:pos="567"/>
          <w:tab w:val="left" w:leader="underscore" w:pos="9086"/>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4.8</w:t>
      </w:r>
      <w:r w:rsidRPr="00E14983">
        <w:rPr>
          <w:rFonts w:ascii="Times New Roman" w:eastAsia="Times New Roman" w:hAnsi="Times New Roman" w:cs="Times New Roman"/>
          <w:b/>
          <w:bCs/>
          <w:color w:val="000000"/>
          <w:lang w:val="lt-LT"/>
        </w:rPr>
        <w:tab/>
        <w:t>Nepageidaujamas poveikis</w:t>
      </w:r>
    </w:p>
    <w:p w14:paraId="1E910F4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E0496AC" w14:textId="77777777" w:rsidR="009500C0" w:rsidRPr="00E14983" w:rsidRDefault="009500C0" w:rsidP="009500C0">
      <w:pPr>
        <w:spacing w:after="0" w:line="240" w:lineRule="auto"/>
        <w:rPr>
          <w:rFonts w:ascii="Times New Roman" w:eastAsia="Times New Roman" w:hAnsi="Times New Roman" w:cs="Times New Roman"/>
          <w:bCs/>
          <w:u w:val="single"/>
          <w:lang w:val="lt-LT"/>
        </w:rPr>
      </w:pPr>
      <w:r w:rsidRPr="00E14983">
        <w:rPr>
          <w:rFonts w:ascii="Times New Roman" w:eastAsia="Times New Roman" w:hAnsi="Times New Roman" w:cs="Times New Roman"/>
          <w:bCs/>
          <w:u w:val="single"/>
          <w:lang w:val="lt-LT"/>
        </w:rPr>
        <w:t>Klinikiniai tyrimai</w:t>
      </w:r>
    </w:p>
    <w:p w14:paraId="511529F0" w14:textId="77777777" w:rsidR="009500C0" w:rsidRPr="00E14983" w:rsidRDefault="009500C0" w:rsidP="009500C0">
      <w:pPr>
        <w:spacing w:after="0" w:line="240" w:lineRule="auto"/>
        <w:rPr>
          <w:rFonts w:ascii="Times New Roman" w:eastAsia="Times New Roman" w:hAnsi="Times New Roman" w:cs="Times New Roman"/>
          <w:lang w:val="lt-LT"/>
        </w:rPr>
      </w:pPr>
    </w:p>
    <w:p w14:paraId="33F6B3C8" w14:textId="718E0048"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Išsamūs duomenys apie nepageidaujamas reakcijas buvo surinkti metastazavusio gaubtinės ir tiesiosios žarnos vėžio tyrimų metu; dažnis yra pateikiamas žemiau.</w:t>
      </w:r>
      <w:r w:rsidR="00294BD1" w:rsidRPr="00E14983">
        <w:rPr>
          <w:rFonts w:ascii="Times New Roman" w:eastAsia="Times New Roman" w:hAnsi="Times New Roman" w:cs="Times New Roman"/>
          <w:lang w:val="lt-LT"/>
        </w:rPr>
        <w:t xml:space="preserve"> Tikėtina, kad nepageidaujamos reakcijos</w:t>
      </w:r>
      <w:r w:rsidR="002D41D8" w:rsidRPr="00E14983">
        <w:rPr>
          <w:rFonts w:ascii="Times New Roman" w:eastAsia="Times New Roman" w:hAnsi="Times New Roman" w:cs="Times New Roman"/>
          <w:lang w:val="lt-LT"/>
        </w:rPr>
        <w:t>,</w:t>
      </w:r>
      <w:r w:rsidR="00294BD1" w:rsidRPr="00E14983">
        <w:rPr>
          <w:rFonts w:ascii="Times New Roman" w:eastAsia="Times New Roman" w:hAnsi="Times New Roman" w:cs="Times New Roman"/>
          <w:lang w:val="lt-LT"/>
        </w:rPr>
        <w:t xml:space="preserve"> esant kitoms indikacijoms bus panašios, kaip ir sergant gaubtinės ir tiesiosios žarnos vėžiu.</w:t>
      </w:r>
    </w:p>
    <w:p w14:paraId="1A5BC019" w14:textId="77777777" w:rsidR="009500C0" w:rsidRPr="00E14983" w:rsidRDefault="009500C0" w:rsidP="009500C0">
      <w:pPr>
        <w:spacing w:after="0" w:line="240" w:lineRule="auto"/>
        <w:rPr>
          <w:rFonts w:ascii="Times New Roman" w:eastAsia="Times New Roman" w:hAnsi="Times New Roman" w:cs="Times New Roman"/>
          <w:lang w:val="lt-LT"/>
        </w:rPr>
      </w:pPr>
    </w:p>
    <w:p w14:paraId="4CE53AA6" w14:textId="5BFC9416"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Dažniausios (≥</w:t>
      </w:r>
      <w:r w:rsidR="002D41D8"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xml:space="preserve">1/10) dozę ribojančios nepageidaujamos irinotekano reakcijos yra vėlyvasis viduriavimas (pasireiškiantis po pavartojimo praėjus daugiau kaip 24 valandoms) ir kraujo </w:t>
      </w:r>
      <w:r w:rsidR="006F3F18" w:rsidRPr="00E14983">
        <w:rPr>
          <w:rFonts w:ascii="Times New Roman" w:eastAsia="Times New Roman" w:hAnsi="Times New Roman" w:cs="Times New Roman"/>
          <w:lang w:val="lt-LT"/>
        </w:rPr>
        <w:t xml:space="preserve">sistemos </w:t>
      </w:r>
      <w:r w:rsidRPr="00E14983">
        <w:rPr>
          <w:rFonts w:ascii="Times New Roman" w:eastAsia="Times New Roman" w:hAnsi="Times New Roman" w:cs="Times New Roman"/>
          <w:lang w:val="lt-LT"/>
        </w:rPr>
        <w:t>sutrikimai, įskaitant neutropeniją, anemiją ir trombocitopeniją.</w:t>
      </w:r>
    </w:p>
    <w:p w14:paraId="1107DBA8" w14:textId="77777777" w:rsidR="009500C0" w:rsidRPr="00E14983" w:rsidRDefault="009500C0" w:rsidP="009500C0">
      <w:pPr>
        <w:spacing w:after="0" w:line="240" w:lineRule="auto"/>
        <w:rPr>
          <w:rFonts w:ascii="Times New Roman" w:eastAsia="Times New Roman" w:hAnsi="Times New Roman" w:cs="Times New Roman"/>
          <w:lang w:val="lt-LT"/>
        </w:rPr>
      </w:pPr>
    </w:p>
    <w:p w14:paraId="75827E57" w14:textId="6C5B4215"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Neutropenija yra dozę ribojantis toksinis poveikis. Neutropenija buvo laikina ir ne kumuliacinio pobūdžio; </w:t>
      </w:r>
      <w:r w:rsidR="00294BD1" w:rsidRPr="00E14983">
        <w:rPr>
          <w:rFonts w:ascii="Times New Roman" w:eastAsia="Times New Roman" w:hAnsi="Times New Roman" w:cs="Times New Roman"/>
          <w:lang w:val="lt-LT"/>
        </w:rPr>
        <w:t xml:space="preserve">vartojant </w:t>
      </w:r>
      <w:r w:rsidRPr="00E14983">
        <w:rPr>
          <w:rFonts w:ascii="Times New Roman" w:eastAsia="Times New Roman" w:hAnsi="Times New Roman" w:cs="Times New Roman"/>
          <w:lang w:val="lt-LT"/>
        </w:rPr>
        <w:t>ir monoterapijos, ir kombinuotojo gydymo atveju dienų iki mažiausio rodmens pasiekimo mediana buvo 8 paros.</w:t>
      </w:r>
    </w:p>
    <w:p w14:paraId="2A35C64B" w14:textId="77777777" w:rsidR="009500C0" w:rsidRPr="00E14983" w:rsidRDefault="009500C0" w:rsidP="009500C0">
      <w:pPr>
        <w:spacing w:after="0" w:line="240" w:lineRule="auto"/>
        <w:rPr>
          <w:rFonts w:ascii="Times New Roman" w:eastAsia="Times New Roman" w:hAnsi="Times New Roman" w:cs="Times New Roman"/>
          <w:lang w:val="lt-LT"/>
        </w:rPr>
      </w:pPr>
    </w:p>
    <w:p w14:paraId="6C04FA4B"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dažnai stebėtas sunkus laikinas ūminis cholinerginis sindromas. Pagrindiniai simptomai, apibūdinami kaip ankstyvasis viduriavimas ir įvairūs kiti simptomai, pvz., pilvo skausmas, prakaitavimas, miozė ir seilių išsiskyrimo sustiprėjimas, pasireiškė irinotekano infuzijos metu arba per pirmąsias 24 valandas po jos. Po atropino pavartojimo šie simptomai išnyko (žr. 4.4 skyrių).</w:t>
      </w:r>
    </w:p>
    <w:p w14:paraId="1603014A" w14:textId="77777777" w:rsidR="009500C0" w:rsidRPr="00E14983" w:rsidRDefault="009500C0" w:rsidP="009500C0">
      <w:pPr>
        <w:spacing w:after="0" w:line="240" w:lineRule="auto"/>
        <w:rPr>
          <w:rFonts w:ascii="Times New Roman" w:eastAsia="Times New Roman" w:hAnsi="Times New Roman" w:cs="Times New Roman"/>
          <w:lang w:val="lt-LT"/>
        </w:rPr>
      </w:pPr>
    </w:p>
    <w:p w14:paraId="0C55390C" w14:textId="76A48BBF"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Monoterapija</w:t>
      </w:r>
    </w:p>
    <w:p w14:paraId="3C7A2793" w14:textId="77777777" w:rsidR="009500C0" w:rsidRPr="00E14983" w:rsidRDefault="009500C0" w:rsidP="009500C0">
      <w:pPr>
        <w:spacing w:after="0" w:line="240" w:lineRule="auto"/>
        <w:rPr>
          <w:rFonts w:ascii="Times New Roman" w:eastAsia="Times New Roman" w:hAnsi="Times New Roman" w:cs="Times New Roman"/>
          <w:u w:val="single"/>
          <w:lang w:val="lt-LT"/>
        </w:rPr>
      </w:pPr>
    </w:p>
    <w:p w14:paraId="65C4D03F" w14:textId="61CC3E5F"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Toliau išvardytos nepageidaujamos reakcijos, laikomos tikėtinai ar galimai susijusiomis su irinotekano vartojimu, buvo praneštos 765 pacientams, kuriems buvo taikoma monoterapija rekomenduojama 350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doze. Kiekvienoje dažnio grupėje nepageidaujamos reakcijos pateikiamos mažėjančio sunkumo tvarka. Dažnis apibūdinamas taip: labai dažnas (≥ 1/10), dažnas (nuo ≥ 1/100 iki &lt; 1/10), nedažnas (nuo ≥ 1/1</w:t>
      </w:r>
      <w:r w:rsidR="00216A36">
        <w:rPr>
          <w:rFonts w:ascii="Times New Roman" w:eastAsia="Times New Roman" w:hAnsi="Times New Roman" w:cs="Times New Roman"/>
          <w:lang w:val="lt-LT"/>
        </w:rPr>
        <w:t> </w:t>
      </w:r>
      <w:r w:rsidRPr="00E14983">
        <w:rPr>
          <w:rFonts w:ascii="Times New Roman" w:eastAsia="Times New Roman" w:hAnsi="Times New Roman" w:cs="Times New Roman"/>
          <w:lang w:val="lt-LT"/>
        </w:rPr>
        <w:t>000 iki &lt; 1/100), retas (nuo ≥ 1/10</w:t>
      </w:r>
      <w:r w:rsidR="00216A36">
        <w:rPr>
          <w:rFonts w:ascii="Times New Roman" w:eastAsia="Times New Roman" w:hAnsi="Times New Roman" w:cs="Times New Roman"/>
          <w:lang w:val="lt-LT"/>
        </w:rPr>
        <w:t> </w:t>
      </w:r>
      <w:r w:rsidRPr="00E14983">
        <w:rPr>
          <w:rFonts w:ascii="Times New Roman" w:eastAsia="Times New Roman" w:hAnsi="Times New Roman" w:cs="Times New Roman"/>
          <w:lang w:val="lt-LT"/>
        </w:rPr>
        <w:t>000 iki &lt; 1/1</w:t>
      </w:r>
      <w:r w:rsidR="00216A36">
        <w:rPr>
          <w:rFonts w:ascii="Times New Roman" w:eastAsia="Times New Roman" w:hAnsi="Times New Roman" w:cs="Times New Roman"/>
          <w:lang w:val="lt-LT"/>
        </w:rPr>
        <w:t> </w:t>
      </w:r>
      <w:r w:rsidRPr="00E14983">
        <w:rPr>
          <w:rFonts w:ascii="Times New Roman" w:eastAsia="Times New Roman" w:hAnsi="Times New Roman" w:cs="Times New Roman"/>
          <w:lang w:val="lt-LT"/>
        </w:rPr>
        <w:t>000), labai retas (&lt; 1/10</w:t>
      </w:r>
      <w:r w:rsidR="00216A36">
        <w:rPr>
          <w:rFonts w:ascii="Times New Roman" w:eastAsia="Times New Roman" w:hAnsi="Times New Roman" w:cs="Times New Roman"/>
          <w:lang w:val="lt-LT"/>
        </w:rPr>
        <w:t> </w:t>
      </w:r>
      <w:r w:rsidRPr="00E14983">
        <w:rPr>
          <w:rFonts w:ascii="Times New Roman" w:eastAsia="Times New Roman" w:hAnsi="Times New Roman" w:cs="Times New Roman"/>
          <w:lang w:val="lt-LT"/>
        </w:rPr>
        <w:t>000) ir nežinomas (negali būti apskaičiuotas pagal turimus duomenis</w:t>
      </w:r>
      <w:r w:rsidR="006E62E2">
        <w:rPr>
          <w:rFonts w:ascii="Times New Roman" w:eastAsia="Times New Roman" w:hAnsi="Times New Roman" w:cs="Times New Roman"/>
          <w:lang w:val="lt-LT"/>
        </w:rPr>
        <w:t>)</w:t>
      </w:r>
      <w:r w:rsidRPr="00E14983">
        <w:rPr>
          <w:rFonts w:ascii="Times New Roman" w:eastAsia="Times New Roman" w:hAnsi="Times New Roman" w:cs="Times New Roman"/>
          <w:lang w:val="lt-LT"/>
        </w:rPr>
        <w:t>.</w:t>
      </w:r>
    </w:p>
    <w:p w14:paraId="4A75FFE4" w14:textId="7381B5F9" w:rsidR="009500C0" w:rsidRPr="00E14983" w:rsidRDefault="009500C0" w:rsidP="009500C0">
      <w:pPr>
        <w:spacing w:after="0" w:line="240" w:lineRule="auto"/>
        <w:rPr>
          <w:rFonts w:ascii="Times New Roman" w:eastAsia="Times New Roman" w:hAnsi="Times New Roman" w:cs="Times New Roman"/>
          <w:lang w:val="lt-LT"/>
        </w:rPr>
      </w:pPr>
    </w:p>
    <w:tbl>
      <w:tblPr>
        <w:tblW w:w="4979"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504"/>
        <w:gridCol w:w="1791"/>
        <w:gridCol w:w="2721"/>
      </w:tblGrid>
      <w:tr w:rsidR="00147922" w:rsidRPr="00E14983" w14:paraId="4A0BC4AE" w14:textId="77777777" w:rsidTr="00721790">
        <w:tc>
          <w:tcPr>
            <w:tcW w:w="5000" w:type="pct"/>
            <w:gridSpan w:val="3"/>
            <w:tcBorders>
              <w:top w:val="outset" w:sz="6" w:space="0" w:color="auto"/>
              <w:bottom w:val="outset" w:sz="6" w:space="0" w:color="auto"/>
            </w:tcBorders>
            <w:shd w:val="clear" w:color="auto" w:fill="FFFFFF"/>
            <w:hideMark/>
          </w:tcPr>
          <w:p w14:paraId="2BE6A319"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Nepageidaujamos reakcijos, apie kurias pranešta taikant monoterapiją irinotekanu (vartojant po 350 mg/m</w:t>
            </w:r>
            <w:r w:rsidRPr="00E14983">
              <w:rPr>
                <w:rFonts w:ascii="Times New Roman" w:eastAsia="Times New Roman" w:hAnsi="Times New Roman" w:cs="Times New Roman"/>
                <w:b/>
                <w:bCs/>
                <w:vertAlign w:val="superscript"/>
                <w:lang w:val="lt-LT"/>
              </w:rPr>
              <w:t>2</w:t>
            </w:r>
            <w:r w:rsidRPr="00E14983">
              <w:rPr>
                <w:rFonts w:ascii="Times New Roman" w:eastAsia="Times New Roman" w:hAnsi="Times New Roman" w:cs="Times New Roman"/>
                <w:b/>
                <w:bCs/>
                <w:lang w:val="lt-LT"/>
              </w:rPr>
              <w:t> kas 3 savaites)</w:t>
            </w:r>
          </w:p>
        </w:tc>
      </w:tr>
      <w:tr w:rsidR="00147922" w:rsidRPr="00E14983" w14:paraId="05E2D106" w14:textId="77777777" w:rsidTr="00721790">
        <w:tc>
          <w:tcPr>
            <w:tcW w:w="2498" w:type="pct"/>
            <w:tcBorders>
              <w:top w:val="outset" w:sz="6" w:space="0" w:color="auto"/>
              <w:bottom w:val="single" w:sz="4" w:space="0" w:color="auto"/>
              <w:right w:val="outset" w:sz="6" w:space="0" w:color="auto"/>
            </w:tcBorders>
            <w:shd w:val="clear" w:color="auto" w:fill="FFFFFF"/>
            <w:hideMark/>
          </w:tcPr>
          <w:p w14:paraId="408535CE" w14:textId="77777777" w:rsidR="009500C0" w:rsidRPr="00E14983" w:rsidRDefault="009500C0" w:rsidP="00134F05">
            <w:pPr>
              <w:spacing w:after="0" w:line="240" w:lineRule="auto"/>
              <w:ind w:left="109" w:hanging="109"/>
              <w:rPr>
                <w:rFonts w:ascii="Times New Roman" w:eastAsia="Times New Roman" w:hAnsi="Times New Roman" w:cs="Times New Roman"/>
                <w:lang w:val="lt-LT"/>
              </w:rPr>
            </w:pPr>
            <w:r w:rsidRPr="00E14983">
              <w:rPr>
                <w:rFonts w:ascii="Times New Roman" w:eastAsia="Times New Roman" w:hAnsi="Times New Roman" w:cs="Times New Roman"/>
                <w:b/>
                <w:bCs/>
                <w:lang w:val="lt-LT"/>
              </w:rPr>
              <w:t>MedDRA organų sistemų klasė</w:t>
            </w:r>
          </w:p>
        </w:tc>
        <w:tc>
          <w:tcPr>
            <w:tcW w:w="993" w:type="pct"/>
            <w:tcBorders>
              <w:top w:val="outset" w:sz="6" w:space="0" w:color="auto"/>
              <w:left w:val="outset" w:sz="6" w:space="0" w:color="auto"/>
              <w:bottom w:val="single" w:sz="4" w:space="0" w:color="auto"/>
              <w:right w:val="outset" w:sz="6" w:space="0" w:color="auto"/>
            </w:tcBorders>
            <w:shd w:val="clear" w:color="auto" w:fill="FFFFFF"/>
            <w:hideMark/>
          </w:tcPr>
          <w:p w14:paraId="516DFD92"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Dažnio kategorija</w:t>
            </w:r>
          </w:p>
        </w:tc>
        <w:tc>
          <w:tcPr>
            <w:tcW w:w="1508" w:type="pct"/>
            <w:tcBorders>
              <w:top w:val="outset" w:sz="6" w:space="0" w:color="auto"/>
              <w:left w:val="outset" w:sz="6" w:space="0" w:color="auto"/>
              <w:bottom w:val="single" w:sz="4" w:space="0" w:color="auto"/>
            </w:tcBorders>
            <w:shd w:val="clear" w:color="auto" w:fill="FFFFFF"/>
            <w:hideMark/>
          </w:tcPr>
          <w:p w14:paraId="03A5ACCC"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Rekomenduojamas terminas</w:t>
            </w:r>
          </w:p>
        </w:tc>
      </w:tr>
      <w:tr w:rsidR="00147922" w:rsidRPr="00E14983" w14:paraId="0D850253" w14:textId="77777777" w:rsidTr="00721790">
        <w:tblPrEx>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Ex>
        <w:trPr>
          <w:trHeight w:val="516"/>
        </w:trPr>
        <w:tc>
          <w:tcPr>
            <w:tcW w:w="2498" w:type="pct"/>
            <w:tcBorders>
              <w:top w:val="single" w:sz="4" w:space="0" w:color="auto"/>
              <w:left w:val="single" w:sz="4" w:space="0" w:color="auto"/>
              <w:right w:val="single" w:sz="4" w:space="0" w:color="auto"/>
            </w:tcBorders>
            <w:hideMark/>
          </w:tcPr>
          <w:p w14:paraId="69798E85" w14:textId="77777777" w:rsidR="00E15D7F" w:rsidRPr="00E14983" w:rsidRDefault="00E15D7F"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Infekcijos ir infestacijos</w:t>
            </w:r>
          </w:p>
        </w:tc>
        <w:tc>
          <w:tcPr>
            <w:tcW w:w="993" w:type="pct"/>
            <w:tcBorders>
              <w:top w:val="single" w:sz="4" w:space="0" w:color="auto"/>
              <w:left w:val="single" w:sz="4" w:space="0" w:color="auto"/>
              <w:right w:val="single" w:sz="4" w:space="0" w:color="auto"/>
            </w:tcBorders>
            <w:hideMark/>
          </w:tcPr>
          <w:p w14:paraId="775D7F1F" w14:textId="57FCBEB4" w:rsidR="00E15D7F" w:rsidRPr="00E14983" w:rsidRDefault="00E15D7F" w:rsidP="00E15D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sidR="00721790">
              <w:rPr>
                <w:rFonts w:ascii="Times New Roman" w:eastAsia="Times New Roman" w:hAnsi="Times New Roman" w:cs="Times New Roman"/>
                <w:lang w:val="lt-LT"/>
              </w:rPr>
              <w:t>as</w:t>
            </w:r>
          </w:p>
        </w:tc>
        <w:tc>
          <w:tcPr>
            <w:tcW w:w="1508" w:type="pct"/>
            <w:tcBorders>
              <w:top w:val="single" w:sz="4" w:space="0" w:color="auto"/>
              <w:left w:val="single" w:sz="4" w:space="0" w:color="auto"/>
              <w:right w:val="single" w:sz="4" w:space="0" w:color="auto"/>
            </w:tcBorders>
            <w:hideMark/>
          </w:tcPr>
          <w:p w14:paraId="58E2BD4C" w14:textId="6EBEF6B5" w:rsidR="00E15D7F" w:rsidRPr="00E14983" w:rsidRDefault="00E15D7F" w:rsidP="00E15D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Infekcija</w:t>
            </w:r>
          </w:p>
        </w:tc>
      </w:tr>
      <w:tr w:rsidR="00147922" w:rsidRPr="00E14983" w14:paraId="0309A78B" w14:textId="77777777" w:rsidTr="00721790">
        <w:tc>
          <w:tcPr>
            <w:tcW w:w="2498" w:type="pct"/>
            <w:vMerge w:val="restart"/>
            <w:tcBorders>
              <w:top w:val="single" w:sz="4" w:space="0" w:color="auto"/>
              <w:right w:val="outset" w:sz="6" w:space="0" w:color="auto"/>
            </w:tcBorders>
            <w:shd w:val="clear" w:color="auto" w:fill="FFFFFF"/>
            <w:hideMark/>
          </w:tcPr>
          <w:p w14:paraId="0464FAAB" w14:textId="663F7982"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Kraujo ir limfinės sistemos sutrikimai</w:t>
            </w:r>
          </w:p>
        </w:tc>
        <w:tc>
          <w:tcPr>
            <w:tcW w:w="993" w:type="pct"/>
            <w:tcBorders>
              <w:top w:val="single" w:sz="4" w:space="0" w:color="auto"/>
              <w:left w:val="outset" w:sz="6" w:space="0" w:color="auto"/>
              <w:bottom w:val="outset" w:sz="6" w:space="0" w:color="auto"/>
              <w:right w:val="outset" w:sz="6" w:space="0" w:color="auto"/>
            </w:tcBorders>
            <w:shd w:val="clear" w:color="auto" w:fill="FFFFFF"/>
            <w:hideMark/>
          </w:tcPr>
          <w:p w14:paraId="30F132EF" w14:textId="2C2561AB" w:rsidR="00721790" w:rsidRPr="00E14983" w:rsidRDefault="0072179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Pr>
                <w:rFonts w:ascii="Times New Roman" w:eastAsia="Times New Roman" w:hAnsi="Times New Roman" w:cs="Times New Roman"/>
                <w:lang w:val="lt-LT"/>
              </w:rPr>
              <w:t>as</w:t>
            </w:r>
          </w:p>
        </w:tc>
        <w:tc>
          <w:tcPr>
            <w:tcW w:w="1508" w:type="pct"/>
            <w:tcBorders>
              <w:top w:val="single" w:sz="4" w:space="0" w:color="auto"/>
              <w:left w:val="outset" w:sz="6" w:space="0" w:color="auto"/>
              <w:bottom w:val="outset" w:sz="6" w:space="0" w:color="auto"/>
            </w:tcBorders>
            <w:shd w:val="clear" w:color="auto" w:fill="FFFFFF"/>
            <w:hideMark/>
          </w:tcPr>
          <w:p w14:paraId="303BD93C" w14:textId="77777777" w:rsidR="00721790" w:rsidRPr="00E14983" w:rsidRDefault="0072179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Neutropenija, anemija</w:t>
            </w:r>
          </w:p>
        </w:tc>
      </w:tr>
      <w:tr w:rsidR="00147922" w:rsidRPr="00E14983" w14:paraId="6E4917FA" w14:textId="77777777" w:rsidTr="00721790">
        <w:trPr>
          <w:trHeight w:val="521"/>
        </w:trPr>
        <w:tc>
          <w:tcPr>
            <w:tcW w:w="2498" w:type="pct"/>
            <w:vMerge/>
            <w:tcBorders>
              <w:right w:val="outset" w:sz="6" w:space="0" w:color="auto"/>
            </w:tcBorders>
            <w:shd w:val="clear" w:color="auto" w:fill="FFFFFF"/>
            <w:vAlign w:val="center"/>
            <w:hideMark/>
          </w:tcPr>
          <w:p w14:paraId="246D43AF" w14:textId="0C723D00" w:rsidR="00721790" w:rsidRPr="00E14983" w:rsidRDefault="00721790" w:rsidP="00B077D6">
            <w:pPr>
              <w:spacing w:after="0" w:line="240" w:lineRule="auto"/>
              <w:rPr>
                <w:rFonts w:ascii="Times New Roman" w:eastAsia="Times New Roman" w:hAnsi="Times New Roman" w:cs="Times New Roman"/>
                <w:lang w:val="lt-LT"/>
              </w:rPr>
            </w:pPr>
          </w:p>
        </w:tc>
        <w:tc>
          <w:tcPr>
            <w:tcW w:w="993" w:type="pct"/>
            <w:tcBorders>
              <w:top w:val="outset" w:sz="6" w:space="0" w:color="auto"/>
              <w:left w:val="outset" w:sz="6" w:space="0" w:color="auto"/>
              <w:right w:val="outset" w:sz="6" w:space="0" w:color="auto"/>
            </w:tcBorders>
            <w:shd w:val="clear" w:color="auto" w:fill="FFFFFF"/>
            <w:hideMark/>
          </w:tcPr>
          <w:p w14:paraId="0ECA4F4B" w14:textId="5CA85645"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Pr>
                <w:rFonts w:ascii="Times New Roman" w:eastAsia="Times New Roman" w:hAnsi="Times New Roman" w:cs="Times New Roman"/>
                <w:lang w:val="lt-LT"/>
              </w:rPr>
              <w:t>as</w:t>
            </w:r>
          </w:p>
        </w:tc>
        <w:tc>
          <w:tcPr>
            <w:tcW w:w="1508" w:type="pct"/>
            <w:tcBorders>
              <w:top w:val="outset" w:sz="6" w:space="0" w:color="auto"/>
              <w:left w:val="outset" w:sz="6" w:space="0" w:color="auto"/>
            </w:tcBorders>
            <w:shd w:val="clear" w:color="auto" w:fill="FFFFFF"/>
            <w:hideMark/>
          </w:tcPr>
          <w:p w14:paraId="0250BC01" w14:textId="043D30BC"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Trombocitopenija, febrilinė neutropenija</w:t>
            </w:r>
          </w:p>
        </w:tc>
      </w:tr>
      <w:tr w:rsidR="00147922" w:rsidRPr="00E14983" w14:paraId="08F7965C" w14:textId="77777777" w:rsidTr="00721790">
        <w:tc>
          <w:tcPr>
            <w:tcW w:w="2498" w:type="pct"/>
            <w:tcBorders>
              <w:top w:val="outset" w:sz="6" w:space="0" w:color="auto"/>
              <w:bottom w:val="outset" w:sz="6" w:space="0" w:color="auto"/>
              <w:right w:val="outset" w:sz="6" w:space="0" w:color="auto"/>
            </w:tcBorders>
            <w:shd w:val="clear" w:color="auto" w:fill="FFFFFF"/>
            <w:hideMark/>
          </w:tcPr>
          <w:p w14:paraId="70C01218" w14:textId="77777777" w:rsidR="009500C0" w:rsidRPr="00E15D7F" w:rsidRDefault="009500C0" w:rsidP="00B077D6">
            <w:pPr>
              <w:spacing w:after="0" w:line="240" w:lineRule="auto"/>
              <w:rPr>
                <w:rFonts w:ascii="Times New Roman" w:eastAsia="Times New Roman" w:hAnsi="Times New Roman" w:cs="Times New Roman"/>
                <w:lang w:val="lt-LT"/>
              </w:rPr>
            </w:pPr>
            <w:r w:rsidRPr="00E15D7F">
              <w:rPr>
                <w:rFonts w:ascii="Times New Roman" w:eastAsia="Times New Roman" w:hAnsi="Times New Roman" w:cs="Times New Roman"/>
                <w:lang w:val="lt-LT"/>
              </w:rPr>
              <w:lastRenderedPageBreak/>
              <w:t>Metabolizmo ir mitybos sutrikimai</w:t>
            </w:r>
          </w:p>
        </w:tc>
        <w:tc>
          <w:tcPr>
            <w:tcW w:w="993" w:type="pct"/>
            <w:tcBorders>
              <w:top w:val="outset" w:sz="6" w:space="0" w:color="auto"/>
              <w:left w:val="outset" w:sz="6" w:space="0" w:color="auto"/>
              <w:bottom w:val="outset" w:sz="6" w:space="0" w:color="auto"/>
              <w:right w:val="outset" w:sz="6" w:space="0" w:color="auto"/>
            </w:tcBorders>
            <w:shd w:val="clear" w:color="auto" w:fill="FFFFFF"/>
            <w:hideMark/>
          </w:tcPr>
          <w:p w14:paraId="138326D2" w14:textId="3A8353D2" w:rsidR="009500C0" w:rsidRPr="00E15D7F" w:rsidRDefault="009500C0" w:rsidP="00B077D6">
            <w:pPr>
              <w:spacing w:after="0" w:line="240" w:lineRule="auto"/>
              <w:rPr>
                <w:rFonts w:ascii="Times New Roman" w:eastAsia="Times New Roman" w:hAnsi="Times New Roman" w:cs="Times New Roman"/>
                <w:lang w:val="lt-LT"/>
              </w:rPr>
            </w:pPr>
            <w:r w:rsidRPr="00E15D7F">
              <w:rPr>
                <w:rFonts w:ascii="Times New Roman" w:eastAsia="Times New Roman" w:hAnsi="Times New Roman" w:cs="Times New Roman"/>
                <w:lang w:val="lt-LT"/>
              </w:rPr>
              <w:t>Labai dažn</w:t>
            </w:r>
            <w:r w:rsidR="00721790">
              <w:rPr>
                <w:rFonts w:ascii="Times New Roman" w:eastAsia="Times New Roman" w:hAnsi="Times New Roman" w:cs="Times New Roman"/>
                <w:lang w:val="lt-LT"/>
              </w:rPr>
              <w:t>as</w:t>
            </w:r>
          </w:p>
        </w:tc>
        <w:tc>
          <w:tcPr>
            <w:tcW w:w="1508" w:type="pct"/>
            <w:tcBorders>
              <w:top w:val="outset" w:sz="6" w:space="0" w:color="auto"/>
              <w:left w:val="outset" w:sz="6" w:space="0" w:color="auto"/>
              <w:bottom w:val="outset" w:sz="6" w:space="0" w:color="auto"/>
            </w:tcBorders>
            <w:shd w:val="clear" w:color="auto" w:fill="FFFFFF"/>
            <w:hideMark/>
          </w:tcPr>
          <w:p w14:paraId="297502C2" w14:textId="77777777" w:rsidR="009500C0" w:rsidRPr="00E15D7F" w:rsidRDefault="009500C0" w:rsidP="00B077D6">
            <w:pPr>
              <w:spacing w:after="0" w:line="240" w:lineRule="auto"/>
              <w:rPr>
                <w:rFonts w:ascii="Times New Roman" w:eastAsia="Times New Roman" w:hAnsi="Times New Roman" w:cs="Times New Roman"/>
                <w:lang w:val="lt-LT"/>
              </w:rPr>
            </w:pPr>
            <w:r w:rsidRPr="00E15D7F">
              <w:rPr>
                <w:rFonts w:ascii="Times New Roman" w:eastAsia="Times New Roman" w:hAnsi="Times New Roman" w:cs="Times New Roman"/>
                <w:lang w:val="lt-LT"/>
              </w:rPr>
              <w:t>Sumažėjęs apetitas</w:t>
            </w:r>
          </w:p>
        </w:tc>
      </w:tr>
      <w:tr w:rsidR="00147922" w:rsidRPr="00E14983" w14:paraId="672D2A74" w14:textId="77777777" w:rsidTr="00721790">
        <w:trPr>
          <w:trHeight w:val="327"/>
        </w:trPr>
        <w:tc>
          <w:tcPr>
            <w:tcW w:w="2498" w:type="pct"/>
            <w:tcBorders>
              <w:top w:val="outset" w:sz="6" w:space="0" w:color="auto"/>
              <w:right w:val="outset" w:sz="6" w:space="0" w:color="auto"/>
            </w:tcBorders>
            <w:shd w:val="clear" w:color="auto" w:fill="FFFFFF"/>
            <w:hideMark/>
          </w:tcPr>
          <w:p w14:paraId="2F2480F7" w14:textId="77777777" w:rsidR="00721790" w:rsidRPr="00E14983" w:rsidRDefault="00721790" w:rsidP="00E15D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Nervų sistemos sutrikimai </w:t>
            </w:r>
          </w:p>
        </w:tc>
        <w:tc>
          <w:tcPr>
            <w:tcW w:w="993" w:type="pct"/>
            <w:tcBorders>
              <w:top w:val="outset" w:sz="6" w:space="0" w:color="auto"/>
              <w:left w:val="outset" w:sz="6" w:space="0" w:color="auto"/>
              <w:right w:val="outset" w:sz="6" w:space="0" w:color="auto"/>
            </w:tcBorders>
            <w:shd w:val="clear" w:color="auto" w:fill="FFFFFF"/>
            <w:hideMark/>
          </w:tcPr>
          <w:p w14:paraId="267456C1" w14:textId="4B5B656B"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Pr>
                <w:rFonts w:ascii="Times New Roman" w:eastAsia="Times New Roman" w:hAnsi="Times New Roman" w:cs="Times New Roman"/>
                <w:lang w:val="lt-LT"/>
              </w:rPr>
              <w:t>as</w:t>
            </w:r>
          </w:p>
        </w:tc>
        <w:tc>
          <w:tcPr>
            <w:tcW w:w="1508" w:type="pct"/>
            <w:tcBorders>
              <w:top w:val="outset" w:sz="6" w:space="0" w:color="auto"/>
              <w:left w:val="outset" w:sz="6" w:space="0" w:color="auto"/>
            </w:tcBorders>
            <w:shd w:val="clear" w:color="auto" w:fill="FFFFFF"/>
            <w:hideMark/>
          </w:tcPr>
          <w:p w14:paraId="5830E77A" w14:textId="3BA85442"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Cholinerginis sindromas</w:t>
            </w:r>
          </w:p>
        </w:tc>
      </w:tr>
      <w:tr w:rsidR="00147922" w:rsidRPr="00E14983" w14:paraId="0A141383" w14:textId="77777777" w:rsidTr="00721790">
        <w:tc>
          <w:tcPr>
            <w:tcW w:w="2498" w:type="pct"/>
            <w:tcBorders>
              <w:top w:val="outset" w:sz="6" w:space="0" w:color="auto"/>
              <w:right w:val="outset" w:sz="6" w:space="0" w:color="auto"/>
            </w:tcBorders>
            <w:shd w:val="clear" w:color="auto" w:fill="FFFFFF"/>
            <w:hideMark/>
          </w:tcPr>
          <w:p w14:paraId="5DF292EE"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Virškinimo trakto sutrikimai </w:t>
            </w:r>
          </w:p>
        </w:tc>
        <w:tc>
          <w:tcPr>
            <w:tcW w:w="993" w:type="pct"/>
            <w:tcBorders>
              <w:top w:val="outset" w:sz="6" w:space="0" w:color="auto"/>
              <w:left w:val="outset" w:sz="6" w:space="0" w:color="auto"/>
              <w:bottom w:val="outset" w:sz="6" w:space="0" w:color="auto"/>
              <w:right w:val="outset" w:sz="6" w:space="0" w:color="auto"/>
            </w:tcBorders>
            <w:shd w:val="clear" w:color="auto" w:fill="FFFFFF"/>
            <w:hideMark/>
          </w:tcPr>
          <w:p w14:paraId="3DFB95B8" w14:textId="43B53AEC"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721790">
              <w:rPr>
                <w:rFonts w:ascii="Times New Roman" w:eastAsia="Times New Roman" w:hAnsi="Times New Roman" w:cs="Times New Roman"/>
                <w:lang w:val="lt-LT"/>
              </w:rPr>
              <w:t>as</w:t>
            </w:r>
          </w:p>
        </w:tc>
        <w:tc>
          <w:tcPr>
            <w:tcW w:w="1508" w:type="pct"/>
            <w:tcBorders>
              <w:top w:val="outset" w:sz="6" w:space="0" w:color="auto"/>
              <w:left w:val="outset" w:sz="6" w:space="0" w:color="auto"/>
              <w:bottom w:val="outset" w:sz="6" w:space="0" w:color="auto"/>
            </w:tcBorders>
            <w:shd w:val="clear" w:color="auto" w:fill="FFFFFF"/>
            <w:hideMark/>
          </w:tcPr>
          <w:p w14:paraId="77AB84D7"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Viduriavimas, vėmimas, pykinimas, pilvo skausmas</w:t>
            </w:r>
          </w:p>
        </w:tc>
      </w:tr>
      <w:tr w:rsidR="00147922" w:rsidRPr="00E14983" w14:paraId="0009CD10" w14:textId="77777777" w:rsidTr="00721790">
        <w:trPr>
          <w:trHeight w:val="199"/>
        </w:trPr>
        <w:tc>
          <w:tcPr>
            <w:tcW w:w="2498" w:type="pct"/>
            <w:tcBorders>
              <w:right w:val="outset" w:sz="6" w:space="0" w:color="auto"/>
            </w:tcBorders>
            <w:shd w:val="clear" w:color="auto" w:fill="FFFFFF"/>
            <w:vAlign w:val="center"/>
            <w:hideMark/>
          </w:tcPr>
          <w:p w14:paraId="3F3D2F2E" w14:textId="77777777" w:rsidR="00721790" w:rsidRPr="00E14983" w:rsidRDefault="00721790" w:rsidP="00B077D6">
            <w:pPr>
              <w:spacing w:after="0" w:line="240" w:lineRule="auto"/>
              <w:rPr>
                <w:rFonts w:ascii="Times New Roman" w:eastAsia="Times New Roman" w:hAnsi="Times New Roman" w:cs="Times New Roman"/>
                <w:lang w:val="lt-LT"/>
              </w:rPr>
            </w:pPr>
          </w:p>
        </w:tc>
        <w:tc>
          <w:tcPr>
            <w:tcW w:w="993" w:type="pct"/>
            <w:tcBorders>
              <w:top w:val="outset" w:sz="6" w:space="0" w:color="auto"/>
              <w:left w:val="outset" w:sz="6" w:space="0" w:color="auto"/>
              <w:right w:val="outset" w:sz="6" w:space="0" w:color="auto"/>
            </w:tcBorders>
            <w:shd w:val="clear" w:color="auto" w:fill="FFFFFF"/>
            <w:hideMark/>
          </w:tcPr>
          <w:p w14:paraId="2947C018" w14:textId="1FF8FA08"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Pr>
                <w:rFonts w:ascii="Times New Roman" w:eastAsia="Times New Roman" w:hAnsi="Times New Roman" w:cs="Times New Roman"/>
                <w:lang w:val="lt-LT"/>
              </w:rPr>
              <w:t>as</w:t>
            </w:r>
          </w:p>
        </w:tc>
        <w:tc>
          <w:tcPr>
            <w:tcW w:w="1508" w:type="pct"/>
            <w:tcBorders>
              <w:top w:val="outset" w:sz="6" w:space="0" w:color="auto"/>
              <w:left w:val="outset" w:sz="6" w:space="0" w:color="auto"/>
            </w:tcBorders>
            <w:shd w:val="clear" w:color="auto" w:fill="FFFFFF"/>
            <w:hideMark/>
          </w:tcPr>
          <w:p w14:paraId="40A11E07" w14:textId="61DACB56" w:rsidR="00721790" w:rsidRPr="00E14983" w:rsidRDefault="00721790" w:rsidP="0072179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Vidurių užkietėjimas</w:t>
            </w:r>
          </w:p>
        </w:tc>
      </w:tr>
      <w:tr w:rsidR="00147922" w:rsidRPr="00E14983" w14:paraId="10B057D9" w14:textId="77777777" w:rsidTr="00721790">
        <w:tc>
          <w:tcPr>
            <w:tcW w:w="2498" w:type="pct"/>
            <w:tcBorders>
              <w:top w:val="outset" w:sz="6" w:space="0" w:color="auto"/>
              <w:right w:val="outset" w:sz="6" w:space="0" w:color="auto"/>
            </w:tcBorders>
            <w:shd w:val="clear" w:color="auto" w:fill="FFFFFF"/>
            <w:hideMark/>
          </w:tcPr>
          <w:p w14:paraId="27177DAE"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Odos ir poodinio audinio sutrikimai</w:t>
            </w:r>
          </w:p>
        </w:tc>
        <w:tc>
          <w:tcPr>
            <w:tcW w:w="993" w:type="pct"/>
            <w:tcBorders>
              <w:top w:val="outset" w:sz="6" w:space="0" w:color="auto"/>
              <w:left w:val="outset" w:sz="6" w:space="0" w:color="auto"/>
              <w:bottom w:val="outset" w:sz="6" w:space="0" w:color="auto"/>
              <w:right w:val="outset" w:sz="6" w:space="0" w:color="auto"/>
            </w:tcBorders>
            <w:shd w:val="clear" w:color="auto" w:fill="FFFFFF"/>
            <w:hideMark/>
          </w:tcPr>
          <w:p w14:paraId="4B3D50BB" w14:textId="21B77DE2"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508" w:type="pct"/>
            <w:tcBorders>
              <w:top w:val="outset" w:sz="6" w:space="0" w:color="auto"/>
              <w:left w:val="outset" w:sz="6" w:space="0" w:color="auto"/>
              <w:bottom w:val="outset" w:sz="6" w:space="0" w:color="auto"/>
            </w:tcBorders>
            <w:shd w:val="clear" w:color="auto" w:fill="FFFFFF"/>
            <w:hideMark/>
          </w:tcPr>
          <w:p w14:paraId="0A4EEB95"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Alopecija (laikina)</w:t>
            </w:r>
          </w:p>
        </w:tc>
      </w:tr>
      <w:tr w:rsidR="00147922" w:rsidRPr="00E14983" w14:paraId="5083C15E" w14:textId="77777777" w:rsidTr="00721790">
        <w:trPr>
          <w:trHeight w:val="448"/>
        </w:trPr>
        <w:tc>
          <w:tcPr>
            <w:tcW w:w="2498" w:type="pct"/>
            <w:tcBorders>
              <w:top w:val="outset" w:sz="6" w:space="0" w:color="auto"/>
              <w:right w:val="outset" w:sz="6" w:space="0" w:color="auto"/>
            </w:tcBorders>
            <w:shd w:val="clear" w:color="auto" w:fill="FFFFFF"/>
            <w:hideMark/>
          </w:tcPr>
          <w:p w14:paraId="5F74CC17" w14:textId="77777777" w:rsidR="00721790" w:rsidRPr="00E14983" w:rsidRDefault="0072179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Bendrieji sutrikimai ir vartojimo vietos pažeidimai</w:t>
            </w:r>
          </w:p>
        </w:tc>
        <w:tc>
          <w:tcPr>
            <w:tcW w:w="993" w:type="pct"/>
            <w:tcBorders>
              <w:top w:val="outset" w:sz="6" w:space="0" w:color="auto"/>
              <w:left w:val="outset" w:sz="6" w:space="0" w:color="auto"/>
              <w:bottom w:val="outset" w:sz="6" w:space="0" w:color="auto"/>
              <w:right w:val="outset" w:sz="6" w:space="0" w:color="auto"/>
            </w:tcBorders>
            <w:shd w:val="clear" w:color="auto" w:fill="FFFFFF"/>
            <w:hideMark/>
          </w:tcPr>
          <w:p w14:paraId="1EC6899D" w14:textId="17650033" w:rsidR="00721790" w:rsidRPr="00E14983" w:rsidRDefault="0072179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508" w:type="pct"/>
            <w:tcBorders>
              <w:top w:val="outset" w:sz="6" w:space="0" w:color="auto"/>
              <w:left w:val="outset" w:sz="6" w:space="0" w:color="auto"/>
              <w:bottom w:val="outset" w:sz="6" w:space="0" w:color="auto"/>
            </w:tcBorders>
            <w:shd w:val="clear" w:color="auto" w:fill="FFFFFF"/>
          </w:tcPr>
          <w:p w14:paraId="419A1E28" w14:textId="4AAE807B" w:rsidR="00721790" w:rsidRPr="00E14983" w:rsidRDefault="0072179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Gleivinės uždegimas, karščiavimas, astenija</w:t>
            </w:r>
          </w:p>
        </w:tc>
      </w:tr>
      <w:tr w:rsidR="00147922" w:rsidRPr="00E14983" w14:paraId="0D26B381" w14:textId="77777777" w:rsidTr="00721790">
        <w:trPr>
          <w:trHeight w:val="1710"/>
        </w:trPr>
        <w:tc>
          <w:tcPr>
            <w:tcW w:w="2498" w:type="pct"/>
            <w:tcBorders>
              <w:top w:val="outset" w:sz="6" w:space="0" w:color="auto"/>
              <w:right w:val="outset" w:sz="6" w:space="0" w:color="auto"/>
            </w:tcBorders>
            <w:shd w:val="clear" w:color="auto" w:fill="FFFFFF"/>
            <w:vAlign w:val="center"/>
          </w:tcPr>
          <w:p w14:paraId="4B287BD9" w14:textId="4A4E523A" w:rsidR="00E15D7F" w:rsidRPr="00E14983" w:rsidRDefault="00E15D7F" w:rsidP="00E15D7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Tyrimai</w:t>
            </w:r>
          </w:p>
        </w:tc>
        <w:tc>
          <w:tcPr>
            <w:tcW w:w="993" w:type="pct"/>
            <w:tcBorders>
              <w:top w:val="outset" w:sz="6" w:space="0" w:color="auto"/>
              <w:left w:val="outset" w:sz="6" w:space="0" w:color="auto"/>
              <w:right w:val="outset" w:sz="6" w:space="0" w:color="auto"/>
            </w:tcBorders>
            <w:shd w:val="clear" w:color="auto" w:fill="FFFFFF"/>
          </w:tcPr>
          <w:p w14:paraId="6B241995" w14:textId="66F50680" w:rsidR="00E15D7F" w:rsidRPr="00E14983" w:rsidDel="00E15D7F" w:rsidRDefault="00E15D7F" w:rsidP="00E15D7F">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Dažnas</w:t>
            </w:r>
          </w:p>
        </w:tc>
        <w:tc>
          <w:tcPr>
            <w:tcW w:w="1508" w:type="pct"/>
            <w:tcBorders>
              <w:top w:val="outset" w:sz="6" w:space="0" w:color="auto"/>
              <w:left w:val="outset" w:sz="6" w:space="0" w:color="auto"/>
            </w:tcBorders>
            <w:shd w:val="clear" w:color="auto" w:fill="FFFFFF"/>
          </w:tcPr>
          <w:p w14:paraId="62F65C97" w14:textId="0C45920B" w:rsidR="00E15D7F" w:rsidRPr="00E14983" w:rsidDel="00E15D7F" w:rsidRDefault="00E15D7F" w:rsidP="00E15D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Padidėjęs kreatinino kiekis kraujyje, padidėjęs transaminazių (AST ir</w:t>
            </w:r>
            <w:r>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ALT) aktyvumas, padidėjęs bilirubino kiekis, padidėjęs šarminės fosfatazės aktyvumas kraujyje</w:t>
            </w:r>
          </w:p>
        </w:tc>
      </w:tr>
    </w:tbl>
    <w:p w14:paraId="69F6D5B3" w14:textId="77777777" w:rsidR="009500C0" w:rsidRPr="00E14983" w:rsidRDefault="009500C0" w:rsidP="009500C0">
      <w:pPr>
        <w:spacing w:after="0" w:line="240" w:lineRule="auto"/>
        <w:rPr>
          <w:rFonts w:ascii="Times New Roman" w:eastAsia="Times New Roman" w:hAnsi="Times New Roman" w:cs="Times New Roman"/>
          <w:b/>
          <w:lang w:val="lt-LT"/>
        </w:rPr>
      </w:pPr>
    </w:p>
    <w:p w14:paraId="3D712133"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Atrinktų nepageidaujamų reakcijų apibūdinimas (monoterapija)</w:t>
      </w:r>
    </w:p>
    <w:p w14:paraId="38136DF4"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Sunkus viduriavimas</w:t>
      </w:r>
      <w:r w:rsidRPr="00E14983">
        <w:rPr>
          <w:rFonts w:ascii="Times New Roman" w:eastAsia="Times New Roman" w:hAnsi="Times New Roman" w:cs="Times New Roman"/>
          <w:lang w:val="lt-LT"/>
        </w:rPr>
        <w:t xml:space="preserve"> pasireiškė 20 % pacientų, kurie vykdė viduriavimo kontrolės rekomendacijas. Įvertinamų ciklų metu sunkus viduriavimas pasireiškė 14 % atvejų. Laiko iki pirmųjų skystų išmatų atsiradimo mediana buvo 5 dienos po irinotekano infuzijos.</w:t>
      </w:r>
    </w:p>
    <w:p w14:paraId="5C6E0DF8"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Cs/>
          <w:lang w:val="lt-LT"/>
        </w:rPr>
        <w:t>Sunkus</w:t>
      </w:r>
      <w:r w:rsidRPr="00E14983">
        <w:rPr>
          <w:rFonts w:ascii="Times New Roman" w:eastAsia="Times New Roman" w:hAnsi="Times New Roman" w:cs="Times New Roman"/>
          <w:b/>
          <w:bCs/>
          <w:lang w:val="lt-LT"/>
        </w:rPr>
        <w:t xml:space="preserve"> pykinimas ir vėmimas </w:t>
      </w:r>
      <w:r w:rsidRPr="00E14983">
        <w:rPr>
          <w:rFonts w:ascii="Times New Roman" w:eastAsia="Times New Roman" w:hAnsi="Times New Roman" w:cs="Times New Roman"/>
          <w:bCs/>
          <w:lang w:val="lt-LT"/>
        </w:rPr>
        <w:t>pasireiškė maždaug 1</w:t>
      </w:r>
      <w:r w:rsidRPr="00E14983">
        <w:rPr>
          <w:rFonts w:ascii="Times New Roman" w:eastAsia="Times New Roman" w:hAnsi="Times New Roman" w:cs="Times New Roman"/>
          <w:lang w:val="lt-LT"/>
        </w:rPr>
        <w:t>0 % pacientų, kurie buvo gydomi antiemetikais.</w:t>
      </w:r>
    </w:p>
    <w:p w14:paraId="051AC541"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Vidurių užkietėjimas</w:t>
      </w:r>
      <w:r w:rsidRPr="00E14983">
        <w:rPr>
          <w:rFonts w:ascii="Times New Roman" w:eastAsia="Times New Roman" w:hAnsi="Times New Roman" w:cs="Times New Roman"/>
          <w:lang w:val="lt-LT"/>
        </w:rPr>
        <w:t xml:space="preserve"> pasireiškė mažiau kaip 10 % pacientų.</w:t>
      </w:r>
    </w:p>
    <w:p w14:paraId="6F0E0023" w14:textId="6018E0B3"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Neutropenija</w:t>
      </w:r>
      <w:r w:rsidRPr="00E14983">
        <w:rPr>
          <w:rFonts w:ascii="Times New Roman" w:eastAsia="Times New Roman" w:hAnsi="Times New Roman" w:cs="Times New Roman"/>
          <w:lang w:val="lt-LT"/>
        </w:rPr>
        <w:t xml:space="preserve"> pasireiškė 78,7 % pacientų ir buvo sunki (neutrofilų kiekis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500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22,6 % pacientų. Įvertinamų ciklų metu 18 % atvejų neutrofilų kiekis buvo mažesnis kaip 1 000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įskaitant 7,6 % atvejų, kai neutrofilų kiekis buvo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500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Visiškas neutrofilų kiekio atsistatymas paprastai buvo pasiekiamas iki 22 dienos.</w:t>
      </w:r>
    </w:p>
    <w:p w14:paraId="07284165" w14:textId="6CDA9A5A" w:rsidR="009500C0" w:rsidRPr="00E14983" w:rsidRDefault="00531E04"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Febrili</w:t>
      </w:r>
      <w:r w:rsidR="004D583B" w:rsidRPr="00E14983">
        <w:rPr>
          <w:rFonts w:ascii="Times New Roman" w:eastAsia="Times New Roman" w:hAnsi="Times New Roman" w:cs="Times New Roman"/>
          <w:b/>
          <w:bCs/>
          <w:lang w:val="lt-LT"/>
        </w:rPr>
        <w:t>nė</w:t>
      </w:r>
      <w:r w:rsidR="00FF11F9" w:rsidRPr="00E14983" w:rsidDel="00FF11F9">
        <w:rPr>
          <w:rFonts w:ascii="Times New Roman" w:eastAsia="Times New Roman" w:hAnsi="Times New Roman" w:cs="Times New Roman"/>
          <w:b/>
          <w:bCs/>
          <w:lang w:val="lt-LT"/>
        </w:rPr>
        <w:t xml:space="preserve"> </w:t>
      </w:r>
      <w:r w:rsidR="009500C0" w:rsidRPr="00E14983">
        <w:rPr>
          <w:rFonts w:ascii="Times New Roman" w:eastAsia="Times New Roman" w:hAnsi="Times New Roman" w:cs="Times New Roman"/>
          <w:b/>
          <w:bCs/>
          <w:lang w:val="lt-LT"/>
        </w:rPr>
        <w:t xml:space="preserve">neutropenija </w:t>
      </w:r>
      <w:r w:rsidR="009500C0" w:rsidRPr="00E14983">
        <w:rPr>
          <w:rFonts w:ascii="Times New Roman" w:eastAsia="Times New Roman" w:hAnsi="Times New Roman" w:cs="Times New Roman"/>
          <w:lang w:val="lt-LT"/>
        </w:rPr>
        <w:t>pasireiškė 6,2 % pacientų ir 1,7 % ciklų metu.</w:t>
      </w:r>
    </w:p>
    <w:p w14:paraId="2E616AC7" w14:textId="2360212B"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w:t>
      </w:r>
      <w:r w:rsidR="00531E04" w:rsidRPr="00E14983">
        <w:rPr>
          <w:rFonts w:ascii="Times New Roman" w:eastAsia="Times New Roman" w:hAnsi="Times New Roman" w:cs="Times New Roman"/>
          <w:lang w:val="lt-LT"/>
        </w:rPr>
        <w:t>os</w:t>
      </w:r>
      <w:r w:rsidRPr="00E14983">
        <w:rPr>
          <w:rFonts w:ascii="Times New Roman" w:eastAsia="Times New Roman" w:hAnsi="Times New Roman" w:cs="Times New Roman"/>
          <w:lang w:val="lt-LT"/>
        </w:rPr>
        <w:t xml:space="preserve"> pasireiškė maždaug 10,3 % pacientų (2,5 % ciklų metų), su sunkia neutropenija susijęs sutrikimas pasireiškė maždaug 5,3 % pacientų (1,1 % ciklų), 2 pacientai mirė.</w:t>
      </w:r>
    </w:p>
    <w:p w14:paraId="6A4A18C6" w14:textId="2D9FCBB8"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Anemija</w:t>
      </w:r>
      <w:r w:rsidRPr="00E14983">
        <w:rPr>
          <w:rFonts w:ascii="Times New Roman" w:eastAsia="Times New Roman" w:hAnsi="Times New Roman" w:cs="Times New Roman"/>
          <w:lang w:val="lt-LT"/>
        </w:rPr>
        <w:t xml:space="preserve"> pasireiškė maždaug 58,7 % pacientų (8 % atvejų hemoglobino kiekis buvo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8</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g/dl, 0,9 % −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6,5 g/dl).</w:t>
      </w:r>
    </w:p>
    <w:p w14:paraId="37A564E2" w14:textId="25EC5AED"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Trombocitopenija</w:t>
      </w:r>
      <w:r w:rsidRPr="00E14983">
        <w:rPr>
          <w:rFonts w:ascii="Times New Roman" w:eastAsia="Times New Roman" w:hAnsi="Times New Roman" w:cs="Times New Roman"/>
          <w:lang w:val="lt-LT"/>
        </w:rPr>
        <w:t>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100 000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pasireiškė 7,4 % pacientų ir 1,8 % ciklų metu, 0,9 % atvejų (0,2 % ciklų metu) trombocitų kiekis buvo ≤50 000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Beveik visų pacientų trombocitų kiekis atsistatė iki 22 dienos.</w:t>
      </w:r>
    </w:p>
    <w:p w14:paraId="5F1BFCBB"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Ūminis cholinerginis sindromas</w:t>
      </w:r>
    </w:p>
    <w:p w14:paraId="4FBB687A"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Sunkus laikinas ūminis cholinerginis sindromas pasireiškė 9 % pacientų, kuriems taikyta monoterapija.</w:t>
      </w:r>
    </w:p>
    <w:p w14:paraId="63A3E24A" w14:textId="39E5391A"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Cs/>
          <w:lang w:val="lt-LT"/>
        </w:rPr>
        <w:t>Sunki</w:t>
      </w:r>
      <w:r w:rsidRPr="00E14983">
        <w:rPr>
          <w:rFonts w:ascii="Times New Roman" w:eastAsia="Times New Roman" w:hAnsi="Times New Roman" w:cs="Times New Roman"/>
          <w:b/>
          <w:bCs/>
          <w:lang w:val="lt-LT"/>
        </w:rPr>
        <w:t xml:space="preserve"> astenija</w:t>
      </w:r>
      <w:r w:rsidRPr="00E14983">
        <w:rPr>
          <w:rFonts w:ascii="Times New Roman" w:eastAsia="Times New Roman" w:hAnsi="Times New Roman" w:cs="Times New Roman"/>
          <w:lang w:val="lt-LT"/>
        </w:rPr>
        <w:t xml:space="preserve"> pasireiškė mažiau kaip 10 % pacientų, kuriems taikyta monoterapija. Priežastinis ryšys su irinotekano vartojimu aiškiai nustatytas nebuvo. </w:t>
      </w:r>
      <w:r w:rsidR="00FF11F9" w:rsidRPr="00E14983">
        <w:rPr>
          <w:rFonts w:ascii="Times New Roman" w:eastAsia="Times New Roman" w:hAnsi="Times New Roman" w:cs="Times New Roman"/>
          <w:lang w:val="lt-LT"/>
        </w:rPr>
        <w:t>Pireksija</w:t>
      </w:r>
      <w:r w:rsidRPr="00E14983">
        <w:rPr>
          <w:rFonts w:ascii="Times New Roman" w:eastAsia="Times New Roman" w:hAnsi="Times New Roman" w:cs="Times New Roman"/>
          <w:lang w:val="lt-LT"/>
        </w:rPr>
        <w:t xml:space="preserve"> nesant infekcijos ir be sunkios neutropenijos pasireiškė 12 % pacientų, kuriems taikyta monoterapija.</w:t>
      </w:r>
    </w:p>
    <w:p w14:paraId="212D2626"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Laboratoriniai tyrimai</w:t>
      </w:r>
    </w:p>
    <w:p w14:paraId="5C1D3D8B"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Laikinas ir nedidelis arba vidutiniškas transaminazių ar šarminės fosfatazės aktyvumo arba bilirubino kiekio padidėjimas serume pasireiškė atitinkamai 9,2 %, 8,1 % ir 1,8 % pacientų, kuriems nebuvo progresuojančių metastazių kepenyse.</w:t>
      </w:r>
    </w:p>
    <w:p w14:paraId="68CEF11C"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Laikinas ir nedidelis arba vidutiniškas kreatinino kiekio serume padidėjimas pasireiškė 7,3 % pacientų.</w:t>
      </w:r>
    </w:p>
    <w:p w14:paraId="6604A36D" w14:textId="77777777" w:rsidR="009500C0" w:rsidRPr="00E14983" w:rsidRDefault="009500C0" w:rsidP="009500C0">
      <w:pPr>
        <w:spacing w:after="0" w:line="240" w:lineRule="auto"/>
        <w:rPr>
          <w:rFonts w:ascii="Times New Roman" w:eastAsia="Times New Roman" w:hAnsi="Times New Roman" w:cs="Times New Roman"/>
          <w:lang w:val="lt-LT"/>
        </w:rPr>
      </w:pPr>
    </w:p>
    <w:p w14:paraId="5AFE67C9"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Kombinuotasis gydymas</w:t>
      </w:r>
    </w:p>
    <w:p w14:paraId="6CE06607" w14:textId="77777777" w:rsidR="009500C0" w:rsidRPr="00E14983" w:rsidRDefault="009500C0" w:rsidP="009500C0">
      <w:pPr>
        <w:spacing w:after="0" w:line="240" w:lineRule="auto"/>
        <w:rPr>
          <w:rFonts w:ascii="Times New Roman" w:eastAsia="Times New Roman" w:hAnsi="Times New Roman" w:cs="Times New Roman"/>
          <w:lang w:val="lt-LT"/>
        </w:rPr>
      </w:pPr>
    </w:p>
    <w:p w14:paraId="77B71CD7" w14:textId="29CC630D"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Nepageidaujamos reakcijos, apie kurias duomenų pateikiama šiame skyriuje, yra susijusios su irinotekanu. Duomenų, kad cetuksimabas keistų irinotekano saugumo savybes arba atvirkščiai, negauta. Kartu su irinotekanu vartojant cetuksimabo, papildomos nepageidaujamos reakcijos, apie kurias pranešta, buvo tikėtinos vartojant cetuksimabo (pvz., aknės pavidalo </w:t>
      </w:r>
      <w:r w:rsidR="00055E3B" w:rsidRPr="00E14983">
        <w:rPr>
          <w:rFonts w:ascii="Times New Roman" w:eastAsia="Times New Roman" w:hAnsi="Times New Roman" w:cs="Times New Roman"/>
          <w:lang w:val="lt-LT"/>
        </w:rPr>
        <w:t xml:space="preserve">dermatitas </w:t>
      </w:r>
      <w:r w:rsidRPr="00E14983">
        <w:rPr>
          <w:rFonts w:ascii="Times New Roman" w:eastAsia="Times New Roman" w:hAnsi="Times New Roman" w:cs="Times New Roman"/>
          <w:lang w:val="lt-LT"/>
        </w:rPr>
        <w:t>88 %). Norėdami gauti informacijos apie irinotekano deriniui su cetuksimabu būdingas nepageidaujamas reakcijas, taip pat žr. atitinkamą preparato charakteristikų santrauką.</w:t>
      </w:r>
    </w:p>
    <w:p w14:paraId="46DA5F83" w14:textId="77777777" w:rsidR="009500C0" w:rsidRPr="00E14983" w:rsidRDefault="009500C0" w:rsidP="009500C0">
      <w:pPr>
        <w:spacing w:after="0" w:line="240" w:lineRule="auto"/>
        <w:rPr>
          <w:rFonts w:ascii="Times New Roman" w:eastAsia="Times New Roman" w:hAnsi="Times New Roman" w:cs="Times New Roman"/>
          <w:lang w:val="lt-LT"/>
        </w:rPr>
      </w:pPr>
    </w:p>
    <w:p w14:paraId="428F04B9" w14:textId="2100C3F0"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lastRenderedPageBreak/>
        <w:t xml:space="preserve">Papildomos ar didesnei dažnio grupei priskiriamos (lyginant su nustatytomis taikant kapecitabino monoterapiją) nepageidaujamos reakcijos, apie kurias pranešta irinotekanu kartu su kapecitabinu gydytiems pacientams, buvo: </w:t>
      </w:r>
      <w:r w:rsidRPr="00E14983">
        <w:rPr>
          <w:rFonts w:ascii="Times New Roman" w:eastAsia="Times New Roman" w:hAnsi="Times New Roman" w:cs="Times New Roman"/>
          <w:i/>
          <w:iCs/>
          <w:lang w:val="lt-LT"/>
        </w:rPr>
        <w:t>labai dažnos (visų sunkumo laipsnių nepageidaujamos reakcijos</w:t>
      </w:r>
      <w:r w:rsidRPr="00E14983">
        <w:rPr>
          <w:rFonts w:ascii="Times New Roman" w:eastAsia="Times New Roman" w:hAnsi="Times New Roman" w:cs="Times New Roman"/>
          <w:lang w:val="lt-LT"/>
        </w:rPr>
        <w:t xml:space="preserve">) – trombozė/embolija; </w:t>
      </w:r>
      <w:r w:rsidRPr="00E14983">
        <w:rPr>
          <w:rFonts w:ascii="Times New Roman" w:eastAsia="Times New Roman" w:hAnsi="Times New Roman" w:cs="Times New Roman"/>
          <w:i/>
          <w:iCs/>
          <w:lang w:val="lt-LT"/>
        </w:rPr>
        <w:t xml:space="preserve">dažnos (visų sunkumo laipsnių nepageidaujamos reakcijos) – </w:t>
      </w:r>
      <w:r w:rsidRPr="00E14983">
        <w:rPr>
          <w:rFonts w:ascii="Times New Roman" w:eastAsia="Times New Roman" w:hAnsi="Times New Roman" w:cs="Times New Roman"/>
          <w:lang w:val="lt-LT"/>
        </w:rPr>
        <w:t>padidėj</w:t>
      </w:r>
      <w:r w:rsidR="00FF11F9" w:rsidRPr="00E14983">
        <w:rPr>
          <w:rFonts w:ascii="Times New Roman" w:eastAsia="Times New Roman" w:hAnsi="Times New Roman" w:cs="Times New Roman"/>
          <w:lang w:val="lt-LT"/>
        </w:rPr>
        <w:t>ęs</w:t>
      </w:r>
      <w:r w:rsidRPr="00E14983">
        <w:rPr>
          <w:rFonts w:ascii="Times New Roman" w:eastAsia="Times New Roman" w:hAnsi="Times New Roman" w:cs="Times New Roman"/>
          <w:lang w:val="lt-LT"/>
        </w:rPr>
        <w:t xml:space="preserve"> jautrum</w:t>
      </w:r>
      <w:r w:rsidR="00FF11F9" w:rsidRPr="00E14983">
        <w:rPr>
          <w:rFonts w:ascii="Times New Roman" w:eastAsia="Times New Roman" w:hAnsi="Times New Roman" w:cs="Times New Roman"/>
          <w:lang w:val="lt-LT"/>
        </w:rPr>
        <w:t>as</w:t>
      </w:r>
      <w:r w:rsidRPr="00E14983">
        <w:rPr>
          <w:rFonts w:ascii="Times New Roman" w:eastAsia="Times New Roman" w:hAnsi="Times New Roman" w:cs="Times New Roman"/>
          <w:lang w:val="lt-LT"/>
        </w:rPr>
        <w:t xml:space="preserve">, </w:t>
      </w:r>
      <w:r w:rsidR="00FF11F9" w:rsidRPr="00E14983">
        <w:rPr>
          <w:rFonts w:ascii="Times New Roman" w:eastAsia="Times New Roman" w:hAnsi="Times New Roman" w:cs="Times New Roman"/>
          <w:lang w:val="lt-LT"/>
        </w:rPr>
        <w:t>miokardo</w:t>
      </w:r>
      <w:r w:rsidRPr="00E14983">
        <w:rPr>
          <w:rFonts w:ascii="Times New Roman" w:eastAsia="Times New Roman" w:hAnsi="Times New Roman" w:cs="Times New Roman"/>
          <w:lang w:val="lt-LT"/>
        </w:rPr>
        <w:t xml:space="preserve"> išemija/infarktas; </w:t>
      </w:r>
      <w:r w:rsidRPr="00E14983">
        <w:rPr>
          <w:rFonts w:ascii="Times New Roman" w:eastAsia="Times New Roman" w:hAnsi="Times New Roman" w:cs="Times New Roman"/>
          <w:i/>
          <w:lang w:val="lt-LT"/>
        </w:rPr>
        <w:t>d</w:t>
      </w:r>
      <w:r w:rsidRPr="00E14983">
        <w:rPr>
          <w:rFonts w:ascii="Times New Roman" w:eastAsia="Times New Roman" w:hAnsi="Times New Roman" w:cs="Times New Roman"/>
          <w:i/>
          <w:iCs/>
          <w:lang w:val="lt-LT"/>
        </w:rPr>
        <w:t>ažnos (3 laipsnio ir 4 laipsnio nepageidaujamos reakcijos</w:t>
      </w:r>
      <w:r w:rsidRPr="00E14983">
        <w:rPr>
          <w:rFonts w:ascii="Times New Roman" w:eastAsia="Times New Roman" w:hAnsi="Times New Roman" w:cs="Times New Roman"/>
          <w:lang w:val="lt-LT"/>
        </w:rPr>
        <w:t>) – febrilinė neutropenija. Išsami informacija apie kapecitabinui būdingas nepageidaujamas reakcijas pateikiama kapecitabino preparato charakteristikų santraukoje.</w:t>
      </w:r>
    </w:p>
    <w:p w14:paraId="03B508C6" w14:textId="77777777" w:rsidR="009500C0" w:rsidRPr="00E14983" w:rsidRDefault="009500C0" w:rsidP="009500C0">
      <w:pPr>
        <w:spacing w:after="0" w:line="240" w:lineRule="auto"/>
        <w:rPr>
          <w:rFonts w:ascii="Times New Roman" w:eastAsia="Times New Roman" w:hAnsi="Times New Roman" w:cs="Times New Roman"/>
          <w:lang w:val="lt-LT"/>
        </w:rPr>
      </w:pPr>
    </w:p>
    <w:p w14:paraId="531E460E"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Papildomos ar didesnei dažnio grupei priskiriamos (lyginant su nustatytomis taikant kapecitabino monoterapiją) </w:t>
      </w:r>
      <w:r w:rsidRPr="00E14983">
        <w:rPr>
          <w:rFonts w:ascii="Times New Roman" w:eastAsia="Times New Roman" w:hAnsi="Times New Roman" w:cs="Times New Roman"/>
          <w:iCs/>
          <w:lang w:val="lt-LT"/>
        </w:rPr>
        <w:t xml:space="preserve">3 laipsnio ir 4 laipsnio nepageidaujamos reakcijos, apie kurias pranešta </w:t>
      </w:r>
      <w:r w:rsidRPr="00E14983">
        <w:rPr>
          <w:rFonts w:ascii="Times New Roman" w:eastAsia="Times New Roman" w:hAnsi="Times New Roman" w:cs="Times New Roman"/>
          <w:lang w:val="lt-LT"/>
        </w:rPr>
        <w:t>kapecitabinu kartu su irinotekanu ir bevacizumabu gydytiems pacientams: (d</w:t>
      </w:r>
      <w:r w:rsidRPr="00E14983">
        <w:rPr>
          <w:rFonts w:ascii="Times New Roman" w:eastAsia="Times New Roman" w:hAnsi="Times New Roman" w:cs="Times New Roman"/>
          <w:i/>
          <w:iCs/>
          <w:lang w:val="lt-LT"/>
        </w:rPr>
        <w:t xml:space="preserve">ažnos, 3 laipsnio ir 4 laipsnio nepageidaujamos reakcijos) – </w:t>
      </w:r>
      <w:r w:rsidRPr="00E14983">
        <w:rPr>
          <w:rFonts w:ascii="Times New Roman" w:eastAsia="Times New Roman" w:hAnsi="Times New Roman" w:cs="Times New Roman"/>
          <w:lang w:val="lt-LT"/>
        </w:rPr>
        <w:t>neutropenija, trombozė/embolija, hipertenzija ir širdies išemija/infarktas. Išsami informacija apie kapecitabinui ir bevacizumabui būdingas nepageidaujamas reakcijas pateikiama atitinkamai kapecitabino ir bevacizumabo preparato charakteristikų santraukoje.</w:t>
      </w:r>
    </w:p>
    <w:p w14:paraId="4B7274C8" w14:textId="77777777" w:rsidR="009500C0" w:rsidRPr="00E14983" w:rsidRDefault="009500C0" w:rsidP="009500C0">
      <w:pPr>
        <w:spacing w:after="0" w:line="240" w:lineRule="auto"/>
        <w:rPr>
          <w:rFonts w:ascii="Times New Roman" w:eastAsia="Times New Roman" w:hAnsi="Times New Roman" w:cs="Times New Roman"/>
          <w:lang w:val="lt-LT"/>
        </w:rPr>
      </w:pPr>
    </w:p>
    <w:p w14:paraId="00F6F381"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3 laipsnio hipertenzija buvo pagrindinė reikšminga rizika, susijusi su bevacizumabo gydymo papildymu smūgine irinotekano/5-FU/FR doze. Be to, palyginti su pacientais, kuriems buvo taikomas gydymas vien smūgine irinotekano/5-FU/FR doze, šiek tiek padidėjo 3/4 laipsnio su chemoterapija susijusių nepageidaujamų reiškinių viduriavimo ir leukopenijos dažnis. Norėdami gauti daugiau informacijos apie deriniui su bevacizumabu būdingas nepageidaujamas reakcijas, žr. bevacizumabo preparato charakteristikų santrauką.</w:t>
      </w:r>
    </w:p>
    <w:p w14:paraId="1CE83CFC" w14:textId="77777777" w:rsidR="009500C0" w:rsidRPr="00E14983" w:rsidRDefault="009500C0" w:rsidP="009500C0">
      <w:pPr>
        <w:spacing w:after="0" w:line="240" w:lineRule="auto"/>
        <w:rPr>
          <w:rFonts w:ascii="Times New Roman" w:eastAsia="Times New Roman" w:hAnsi="Times New Roman" w:cs="Times New Roman"/>
          <w:lang w:val="lt-LT"/>
        </w:rPr>
      </w:pPr>
    </w:p>
    <w:p w14:paraId="14784DF7"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Tirtas kartu su 5-FU ir FR vartojamo irinotekano poveikis gydant metastazavusį gaubtinės ir tiesiosios žarnos vėžį.</w:t>
      </w:r>
    </w:p>
    <w:p w14:paraId="6653C778"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Klinikinių tyrimų metu gauti saugumo duomenys apie nepageidaujamas reakcijas parodė, kad labai dažnai pasireiškė MedDRA organų sistemų klasių kraujo ir limfinės sistemos sutrikimų, virškinimo trakto sutrikimų bei odos ir poodinio audinio sutrikimų tikėtinai arba galimai susijusių 3 arba 4 laipsnio pagal NCI klasifikaciją nepageidaujamų reiškinių.</w:t>
      </w:r>
    </w:p>
    <w:p w14:paraId="37183AC5" w14:textId="77777777" w:rsidR="009500C0" w:rsidRPr="00E14983" w:rsidRDefault="009500C0" w:rsidP="009500C0">
      <w:pPr>
        <w:spacing w:after="0" w:line="240" w:lineRule="auto"/>
        <w:rPr>
          <w:rFonts w:ascii="Times New Roman" w:eastAsia="Times New Roman" w:hAnsi="Times New Roman" w:cs="Times New Roman"/>
          <w:lang w:val="lt-LT"/>
        </w:rPr>
      </w:pPr>
    </w:p>
    <w:p w14:paraId="37937694"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Toliau išvardytos nepageidaujamos reakcijos, laikomos tikėtinai arba galimai susijusiomis su irinotekano vartojimu, buvo praneštos 145 pacientams, kuriems buvo taikomas gydymas irinotekanu kartu su 5FU/FR kas 2 savaites vartojant rekomenduojamą 180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dozę.</w:t>
      </w:r>
    </w:p>
    <w:p w14:paraId="2F38CB88" w14:textId="77777777" w:rsidR="009500C0" w:rsidRPr="00E14983" w:rsidRDefault="009500C0" w:rsidP="009500C0">
      <w:pPr>
        <w:spacing w:after="0" w:line="240" w:lineRule="auto"/>
        <w:rPr>
          <w:rFonts w:ascii="Times New Roman" w:eastAsia="Times New Roman" w:hAnsi="Times New Roman" w:cs="Times New Roman"/>
          <w:lang w:val="lt-LT"/>
        </w:rPr>
      </w:pPr>
    </w:p>
    <w:tbl>
      <w:tblPr>
        <w:tblW w:w="9064"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24"/>
        <w:gridCol w:w="3131"/>
        <w:gridCol w:w="2409"/>
      </w:tblGrid>
      <w:tr w:rsidR="009500C0" w:rsidRPr="00E14983" w14:paraId="58F1509F" w14:textId="77777777" w:rsidTr="00134F05">
        <w:tc>
          <w:tcPr>
            <w:tcW w:w="5000" w:type="pct"/>
            <w:gridSpan w:val="3"/>
            <w:tcBorders>
              <w:top w:val="outset" w:sz="6" w:space="0" w:color="auto"/>
              <w:bottom w:val="outset" w:sz="6" w:space="0" w:color="auto"/>
            </w:tcBorders>
            <w:shd w:val="clear" w:color="auto" w:fill="FFFFFF"/>
            <w:hideMark/>
          </w:tcPr>
          <w:p w14:paraId="30E4E9FD"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Nepageidaujamos reakcijos, apie kurias pranešta irinotekano vartojant kombinuotojo gydymo atveju (vartojant po 180 mg/m</w:t>
            </w:r>
            <w:r w:rsidRPr="00E14983">
              <w:rPr>
                <w:rFonts w:ascii="Times New Roman" w:eastAsia="Times New Roman" w:hAnsi="Times New Roman" w:cs="Times New Roman"/>
                <w:b/>
                <w:bCs/>
                <w:vertAlign w:val="superscript"/>
                <w:lang w:val="lt-LT"/>
              </w:rPr>
              <w:t>2</w:t>
            </w:r>
            <w:r w:rsidRPr="00E14983">
              <w:rPr>
                <w:rFonts w:ascii="Times New Roman" w:eastAsia="Times New Roman" w:hAnsi="Times New Roman" w:cs="Times New Roman"/>
                <w:b/>
                <w:bCs/>
                <w:lang w:val="lt-LT"/>
              </w:rPr>
              <w:t> kas 2 savaites)</w:t>
            </w:r>
          </w:p>
        </w:tc>
      </w:tr>
      <w:tr w:rsidR="000D6608" w:rsidRPr="00E14983" w14:paraId="00412EA3" w14:textId="77777777" w:rsidTr="00134F05">
        <w:tc>
          <w:tcPr>
            <w:tcW w:w="1944" w:type="pct"/>
            <w:tcBorders>
              <w:top w:val="outset" w:sz="6" w:space="0" w:color="auto"/>
              <w:bottom w:val="outset" w:sz="6" w:space="0" w:color="auto"/>
              <w:right w:val="outset" w:sz="6" w:space="0" w:color="auto"/>
            </w:tcBorders>
            <w:shd w:val="clear" w:color="auto" w:fill="FFFFFF"/>
            <w:hideMark/>
          </w:tcPr>
          <w:p w14:paraId="3CAEC911"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MedDRA organų sistemų klasė</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18645AD5"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Dažnio kategorija</w:t>
            </w:r>
          </w:p>
        </w:tc>
        <w:tc>
          <w:tcPr>
            <w:tcW w:w="1329" w:type="pct"/>
            <w:tcBorders>
              <w:top w:val="outset" w:sz="6" w:space="0" w:color="auto"/>
              <w:left w:val="outset" w:sz="6" w:space="0" w:color="auto"/>
              <w:bottom w:val="outset" w:sz="6" w:space="0" w:color="auto"/>
            </w:tcBorders>
            <w:shd w:val="clear" w:color="auto" w:fill="FFFFFF"/>
            <w:hideMark/>
          </w:tcPr>
          <w:p w14:paraId="5CFD660F"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Rekomenduojamas terminas</w:t>
            </w:r>
          </w:p>
        </w:tc>
      </w:tr>
      <w:tr w:rsidR="000D6608" w:rsidRPr="00E14983" w14:paraId="164E8172" w14:textId="77777777" w:rsidTr="00134F05">
        <w:tc>
          <w:tcPr>
            <w:tcW w:w="1944" w:type="pct"/>
            <w:tcBorders>
              <w:top w:val="outset" w:sz="6" w:space="0" w:color="auto"/>
              <w:bottom w:val="outset" w:sz="6" w:space="0" w:color="auto"/>
              <w:right w:val="outset" w:sz="6" w:space="0" w:color="auto"/>
            </w:tcBorders>
            <w:shd w:val="clear" w:color="auto" w:fill="FFFFFF"/>
            <w:hideMark/>
          </w:tcPr>
          <w:p w14:paraId="5FA6C6E1"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Infekcijos ir infestacijos</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1C289144" w14:textId="0ED2471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5B59924D"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Infekcija</w:t>
            </w:r>
          </w:p>
        </w:tc>
      </w:tr>
      <w:tr w:rsidR="000D6608" w:rsidRPr="00E14983" w14:paraId="4F271030" w14:textId="77777777" w:rsidTr="00134F05">
        <w:tc>
          <w:tcPr>
            <w:tcW w:w="1944" w:type="pct"/>
            <w:vMerge w:val="restart"/>
            <w:tcBorders>
              <w:top w:val="outset" w:sz="6" w:space="0" w:color="auto"/>
              <w:bottom w:val="outset" w:sz="6" w:space="0" w:color="auto"/>
              <w:right w:val="outset" w:sz="6" w:space="0" w:color="auto"/>
            </w:tcBorders>
            <w:shd w:val="clear" w:color="auto" w:fill="FFFFFF"/>
            <w:hideMark/>
          </w:tcPr>
          <w:p w14:paraId="5CC8B459"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Kraujo ir limfinės sistemos sutrikimai</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1ABBB48B" w14:textId="33FDE78B"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2E09F5CA"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Trombocitopenija, neutropenija, anemija</w:t>
            </w:r>
          </w:p>
        </w:tc>
      </w:tr>
      <w:tr w:rsidR="000D6608" w:rsidRPr="00E14983" w14:paraId="6E688344" w14:textId="77777777" w:rsidTr="00134F05">
        <w:tc>
          <w:tcPr>
            <w:tcW w:w="0" w:type="auto"/>
            <w:vMerge/>
            <w:tcBorders>
              <w:top w:val="outset" w:sz="6" w:space="0" w:color="auto"/>
              <w:bottom w:val="outset" w:sz="6" w:space="0" w:color="auto"/>
              <w:right w:val="outset" w:sz="6" w:space="0" w:color="auto"/>
            </w:tcBorders>
            <w:shd w:val="clear" w:color="auto" w:fill="FFFFFF"/>
            <w:vAlign w:val="center"/>
            <w:hideMark/>
          </w:tcPr>
          <w:p w14:paraId="28A4D80E" w14:textId="77777777" w:rsidR="009500C0" w:rsidRPr="00E14983" w:rsidRDefault="009500C0" w:rsidP="00B077D6">
            <w:pPr>
              <w:spacing w:after="0" w:line="240" w:lineRule="auto"/>
              <w:rPr>
                <w:rFonts w:ascii="Times New Roman" w:eastAsia="Times New Roman" w:hAnsi="Times New Roman" w:cs="Times New Roman"/>
                <w:lang w:val="lt-LT"/>
              </w:rPr>
            </w:pP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57016A06" w14:textId="2EA87D1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6C4D5952"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Febrilinė neutropenija</w:t>
            </w:r>
          </w:p>
        </w:tc>
      </w:tr>
      <w:tr w:rsidR="000D6608" w:rsidRPr="00E14983" w14:paraId="6791C1A1" w14:textId="77777777" w:rsidTr="00134F05">
        <w:tc>
          <w:tcPr>
            <w:tcW w:w="1944" w:type="pct"/>
            <w:tcBorders>
              <w:top w:val="outset" w:sz="6" w:space="0" w:color="auto"/>
              <w:bottom w:val="outset" w:sz="6" w:space="0" w:color="auto"/>
              <w:right w:val="outset" w:sz="6" w:space="0" w:color="auto"/>
            </w:tcBorders>
            <w:shd w:val="clear" w:color="auto" w:fill="FFFFFF"/>
            <w:hideMark/>
          </w:tcPr>
          <w:p w14:paraId="3A80B7DF"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Metabolizmo ir mitybos sutrikimai</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771ABCB3" w14:textId="10D39AAC"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57C6254C"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Sumažėjęs apetitas</w:t>
            </w:r>
          </w:p>
        </w:tc>
      </w:tr>
      <w:tr w:rsidR="000D6608" w:rsidRPr="00E14983" w14:paraId="3C2B5E0C" w14:textId="77777777" w:rsidTr="00134F05">
        <w:tc>
          <w:tcPr>
            <w:tcW w:w="1944" w:type="pct"/>
            <w:tcBorders>
              <w:top w:val="outset" w:sz="6" w:space="0" w:color="auto"/>
              <w:bottom w:val="outset" w:sz="6" w:space="0" w:color="auto"/>
              <w:right w:val="outset" w:sz="6" w:space="0" w:color="auto"/>
            </w:tcBorders>
            <w:shd w:val="clear" w:color="auto" w:fill="FFFFFF"/>
            <w:hideMark/>
          </w:tcPr>
          <w:p w14:paraId="5DBE2257"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Nervų sistemos sutrikimai </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6238502D" w14:textId="20E17E9F"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2568AFC2"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Cholinerginis sindromas</w:t>
            </w:r>
          </w:p>
        </w:tc>
      </w:tr>
      <w:tr w:rsidR="000D6608" w:rsidRPr="00E14983" w14:paraId="6BBB4EFE" w14:textId="77777777" w:rsidTr="00134F05">
        <w:tc>
          <w:tcPr>
            <w:tcW w:w="1944" w:type="pct"/>
            <w:vMerge w:val="restart"/>
            <w:tcBorders>
              <w:top w:val="outset" w:sz="6" w:space="0" w:color="auto"/>
              <w:bottom w:val="outset" w:sz="6" w:space="0" w:color="auto"/>
              <w:right w:val="outset" w:sz="6" w:space="0" w:color="auto"/>
            </w:tcBorders>
            <w:shd w:val="clear" w:color="auto" w:fill="FFFFFF"/>
            <w:hideMark/>
          </w:tcPr>
          <w:p w14:paraId="66C3D184"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Virškinimo trakto sutrikimai </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0149A905" w14:textId="05C34DD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01E5E628"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Viduriavimas, vėmimas, pykinimas</w:t>
            </w:r>
          </w:p>
        </w:tc>
      </w:tr>
      <w:tr w:rsidR="000D6608" w:rsidRPr="00E14983" w14:paraId="6B1759A8" w14:textId="77777777" w:rsidTr="00134F05">
        <w:tc>
          <w:tcPr>
            <w:tcW w:w="0" w:type="auto"/>
            <w:vMerge/>
            <w:tcBorders>
              <w:top w:val="outset" w:sz="6" w:space="0" w:color="auto"/>
              <w:bottom w:val="outset" w:sz="6" w:space="0" w:color="auto"/>
              <w:right w:val="outset" w:sz="6" w:space="0" w:color="auto"/>
            </w:tcBorders>
            <w:shd w:val="clear" w:color="auto" w:fill="FFFFFF"/>
            <w:vAlign w:val="center"/>
            <w:hideMark/>
          </w:tcPr>
          <w:p w14:paraId="0BD25009" w14:textId="77777777" w:rsidR="009500C0" w:rsidRPr="00E14983" w:rsidRDefault="009500C0" w:rsidP="00B077D6">
            <w:pPr>
              <w:spacing w:after="0" w:line="240" w:lineRule="auto"/>
              <w:rPr>
                <w:rFonts w:ascii="Times New Roman" w:eastAsia="Times New Roman" w:hAnsi="Times New Roman" w:cs="Times New Roman"/>
                <w:lang w:val="lt-LT"/>
              </w:rPr>
            </w:pP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1E5527D6" w14:textId="308DEDCC"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43E609EB"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Pilvo skausmas, vidurių užkietėjimas</w:t>
            </w:r>
          </w:p>
        </w:tc>
      </w:tr>
      <w:tr w:rsidR="000D6608" w:rsidRPr="00E14983" w14:paraId="14BAFDA2" w14:textId="77777777" w:rsidTr="00134F05">
        <w:tc>
          <w:tcPr>
            <w:tcW w:w="0" w:type="auto"/>
            <w:tcBorders>
              <w:top w:val="outset" w:sz="6" w:space="0" w:color="auto"/>
              <w:bottom w:val="outset" w:sz="6" w:space="0" w:color="auto"/>
              <w:right w:val="outset" w:sz="6" w:space="0" w:color="auto"/>
            </w:tcBorders>
            <w:shd w:val="clear" w:color="auto" w:fill="FFFFFF"/>
            <w:vAlign w:val="center"/>
          </w:tcPr>
          <w:p w14:paraId="79D76156" w14:textId="4FE889E5" w:rsidR="009500C0" w:rsidRPr="00E14983" w:rsidRDefault="00216A36" w:rsidP="00B077D6">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Tyrimai</w:t>
            </w:r>
          </w:p>
        </w:tc>
        <w:tc>
          <w:tcPr>
            <w:tcW w:w="1727" w:type="pct"/>
            <w:tcBorders>
              <w:top w:val="outset" w:sz="6" w:space="0" w:color="auto"/>
              <w:left w:val="outset" w:sz="6" w:space="0" w:color="auto"/>
              <w:bottom w:val="outset" w:sz="6" w:space="0" w:color="auto"/>
              <w:right w:val="outset" w:sz="6" w:space="0" w:color="auto"/>
            </w:tcBorders>
            <w:shd w:val="clear" w:color="auto" w:fill="FFFFFF"/>
          </w:tcPr>
          <w:p w14:paraId="56BE223E" w14:textId="26FEE76A"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tcPr>
          <w:p w14:paraId="5734840E" w14:textId="1F9CB423"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Transaminazių (AST ir</w:t>
            </w:r>
            <w:r w:rsidR="006E62E2">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 xml:space="preserve">ALT) aktyvumo padidėjimas, bilirubino kiekio </w:t>
            </w:r>
            <w:r w:rsidR="00036C06">
              <w:rPr>
                <w:rFonts w:ascii="Times New Roman" w:eastAsia="Times New Roman" w:hAnsi="Times New Roman" w:cs="Times New Roman"/>
                <w:lang w:val="lt-LT"/>
              </w:rPr>
              <w:t xml:space="preserve">kraujyje </w:t>
            </w:r>
            <w:r w:rsidRPr="00E14983">
              <w:rPr>
                <w:rFonts w:ascii="Times New Roman" w:eastAsia="Times New Roman" w:hAnsi="Times New Roman" w:cs="Times New Roman"/>
                <w:lang w:val="lt-LT"/>
              </w:rPr>
              <w:t>padidėjimas, padidėjęs šarminės fosfatazės aktyvumas kraujyje</w:t>
            </w:r>
          </w:p>
        </w:tc>
      </w:tr>
      <w:tr w:rsidR="000D6608" w:rsidRPr="00E14983" w14:paraId="245319FE" w14:textId="77777777" w:rsidTr="00134F05">
        <w:tc>
          <w:tcPr>
            <w:tcW w:w="1944" w:type="pct"/>
            <w:tcBorders>
              <w:top w:val="outset" w:sz="6" w:space="0" w:color="auto"/>
              <w:bottom w:val="outset" w:sz="6" w:space="0" w:color="auto"/>
              <w:right w:val="outset" w:sz="6" w:space="0" w:color="auto"/>
            </w:tcBorders>
            <w:shd w:val="clear" w:color="auto" w:fill="FFFFFF"/>
            <w:hideMark/>
          </w:tcPr>
          <w:p w14:paraId="64A0DC95"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lastRenderedPageBreak/>
              <w:t>Odos ir poodinio audinio sutrikimai</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0A3B2AD5" w14:textId="1C00A374"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1AE6D3AB"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Alopecija (laikina)</w:t>
            </w:r>
          </w:p>
        </w:tc>
      </w:tr>
      <w:tr w:rsidR="000D6608" w:rsidRPr="00E14983" w14:paraId="7BC6F437" w14:textId="77777777" w:rsidTr="00134F05">
        <w:tc>
          <w:tcPr>
            <w:tcW w:w="1944" w:type="pct"/>
            <w:vMerge w:val="restart"/>
            <w:tcBorders>
              <w:top w:val="outset" w:sz="6" w:space="0" w:color="auto"/>
              <w:bottom w:val="outset" w:sz="6" w:space="0" w:color="auto"/>
              <w:right w:val="outset" w:sz="6" w:space="0" w:color="auto"/>
            </w:tcBorders>
            <w:shd w:val="clear" w:color="auto" w:fill="FFFFFF"/>
            <w:hideMark/>
          </w:tcPr>
          <w:p w14:paraId="2318FB12"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Bendrieji sutrikimai ir vartojimo vietos pažeidimai</w:t>
            </w: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10649432" w14:textId="5F8B59BA"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Labai 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7D95ED8B"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Gleivinės uždegimas, astenija</w:t>
            </w:r>
          </w:p>
        </w:tc>
      </w:tr>
      <w:tr w:rsidR="000D6608" w:rsidRPr="00E14983" w14:paraId="44C79E3C" w14:textId="77777777" w:rsidTr="00134F05">
        <w:tc>
          <w:tcPr>
            <w:tcW w:w="0" w:type="auto"/>
            <w:vMerge/>
            <w:tcBorders>
              <w:top w:val="outset" w:sz="6" w:space="0" w:color="auto"/>
              <w:bottom w:val="outset" w:sz="6" w:space="0" w:color="auto"/>
              <w:right w:val="outset" w:sz="6" w:space="0" w:color="auto"/>
            </w:tcBorders>
            <w:shd w:val="clear" w:color="auto" w:fill="FFFFFF"/>
            <w:vAlign w:val="center"/>
            <w:hideMark/>
          </w:tcPr>
          <w:p w14:paraId="1A93D29A" w14:textId="77777777" w:rsidR="009500C0" w:rsidRPr="00E14983" w:rsidRDefault="009500C0" w:rsidP="00B077D6">
            <w:pPr>
              <w:spacing w:after="0" w:line="240" w:lineRule="auto"/>
              <w:rPr>
                <w:rFonts w:ascii="Times New Roman" w:eastAsia="Times New Roman" w:hAnsi="Times New Roman" w:cs="Times New Roman"/>
                <w:lang w:val="lt-LT"/>
              </w:rPr>
            </w:pPr>
          </w:p>
        </w:tc>
        <w:tc>
          <w:tcPr>
            <w:tcW w:w="1727" w:type="pct"/>
            <w:tcBorders>
              <w:top w:val="outset" w:sz="6" w:space="0" w:color="auto"/>
              <w:left w:val="outset" w:sz="6" w:space="0" w:color="auto"/>
              <w:bottom w:val="outset" w:sz="6" w:space="0" w:color="auto"/>
              <w:right w:val="outset" w:sz="6" w:space="0" w:color="auto"/>
            </w:tcBorders>
            <w:shd w:val="clear" w:color="auto" w:fill="FFFFFF"/>
            <w:hideMark/>
          </w:tcPr>
          <w:p w14:paraId="340311B9" w14:textId="7FFE246F"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Dažn</w:t>
            </w:r>
            <w:r w:rsidR="00216A36">
              <w:rPr>
                <w:rFonts w:ascii="Times New Roman" w:eastAsia="Times New Roman" w:hAnsi="Times New Roman" w:cs="Times New Roman"/>
                <w:lang w:val="lt-LT"/>
              </w:rPr>
              <w:t>as</w:t>
            </w:r>
          </w:p>
        </w:tc>
        <w:tc>
          <w:tcPr>
            <w:tcW w:w="1329" w:type="pct"/>
            <w:tcBorders>
              <w:top w:val="outset" w:sz="6" w:space="0" w:color="auto"/>
              <w:left w:val="outset" w:sz="6" w:space="0" w:color="auto"/>
              <w:bottom w:val="outset" w:sz="6" w:space="0" w:color="auto"/>
            </w:tcBorders>
            <w:shd w:val="clear" w:color="auto" w:fill="FFFFFF"/>
            <w:hideMark/>
          </w:tcPr>
          <w:p w14:paraId="74CBAD63"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Karščiavimas</w:t>
            </w:r>
          </w:p>
        </w:tc>
      </w:tr>
    </w:tbl>
    <w:p w14:paraId="390E3399" w14:textId="77777777" w:rsidR="009500C0" w:rsidRPr="00E14983" w:rsidRDefault="009500C0" w:rsidP="009500C0">
      <w:pPr>
        <w:spacing w:after="0" w:line="240" w:lineRule="auto"/>
        <w:rPr>
          <w:rFonts w:ascii="Times New Roman" w:eastAsia="Times New Roman" w:hAnsi="Times New Roman" w:cs="Times New Roman"/>
          <w:b/>
          <w:bCs/>
          <w:lang w:val="lt-LT"/>
        </w:rPr>
      </w:pPr>
    </w:p>
    <w:p w14:paraId="70DE3937" w14:textId="77777777" w:rsidR="009500C0" w:rsidRPr="00134F05" w:rsidRDefault="009500C0" w:rsidP="00134F05">
      <w:pPr>
        <w:keepNext/>
        <w:spacing w:after="0" w:line="240" w:lineRule="auto"/>
        <w:rPr>
          <w:rFonts w:ascii="Times New Roman" w:eastAsia="Times New Roman" w:hAnsi="Times New Roman" w:cs="Times New Roman"/>
          <w:u w:val="single"/>
          <w:lang w:val="lt-LT"/>
        </w:rPr>
      </w:pPr>
      <w:r w:rsidRPr="00134F05">
        <w:rPr>
          <w:rFonts w:ascii="Times New Roman" w:eastAsia="Times New Roman" w:hAnsi="Times New Roman" w:cs="Times New Roman"/>
          <w:u w:val="single"/>
          <w:lang w:val="lt-LT"/>
        </w:rPr>
        <w:t>Atrinktų nepageidaujamų reakcijų apibūdinimas (kombinuotasis gydymas)</w:t>
      </w:r>
    </w:p>
    <w:p w14:paraId="1845DB82" w14:textId="77777777" w:rsidR="009500C0" w:rsidRPr="00E14983" w:rsidRDefault="009500C0" w:rsidP="00134F05">
      <w:pPr>
        <w:keepNext/>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Sunkus viduriavimas</w:t>
      </w:r>
      <w:r w:rsidRPr="00E14983">
        <w:rPr>
          <w:rFonts w:ascii="Times New Roman" w:eastAsia="Times New Roman" w:hAnsi="Times New Roman" w:cs="Times New Roman"/>
          <w:lang w:val="lt-LT"/>
        </w:rPr>
        <w:t xml:space="preserve"> pasireiškė 13,1 % pacientų, kurie vykdė viduriavimo kontrolės rekomendacijas. Įvertinamų ciklų metu sunkus viduriavimas pasireiškė 3,9 % atvejų.</w:t>
      </w:r>
    </w:p>
    <w:p w14:paraId="4B02CCB0"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Cs/>
          <w:lang w:val="lt-LT"/>
        </w:rPr>
        <w:t>Sunkus</w:t>
      </w:r>
      <w:r w:rsidRPr="00E14983">
        <w:rPr>
          <w:rFonts w:ascii="Times New Roman" w:eastAsia="Times New Roman" w:hAnsi="Times New Roman" w:cs="Times New Roman"/>
          <w:b/>
          <w:bCs/>
          <w:lang w:val="lt-LT"/>
        </w:rPr>
        <w:t xml:space="preserve"> pykinimas ir vėmimas </w:t>
      </w:r>
      <w:r w:rsidRPr="00E14983">
        <w:rPr>
          <w:rFonts w:ascii="Times New Roman" w:eastAsia="Times New Roman" w:hAnsi="Times New Roman" w:cs="Times New Roman"/>
          <w:bCs/>
          <w:lang w:val="lt-LT"/>
        </w:rPr>
        <w:t xml:space="preserve">pasireiškė rečiau (atitinkamai </w:t>
      </w:r>
      <w:r w:rsidRPr="00E14983">
        <w:rPr>
          <w:rFonts w:ascii="Times New Roman" w:eastAsia="Times New Roman" w:hAnsi="Times New Roman" w:cs="Times New Roman"/>
          <w:lang w:val="lt-LT"/>
        </w:rPr>
        <w:t>2,1 % ir 2,8 % pacientų).</w:t>
      </w:r>
    </w:p>
    <w:p w14:paraId="45735A33"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 xml:space="preserve">Vidurių užkietėjimas, </w:t>
      </w:r>
      <w:r w:rsidRPr="00E14983">
        <w:rPr>
          <w:rFonts w:ascii="Times New Roman" w:eastAsia="Times New Roman" w:hAnsi="Times New Roman" w:cs="Times New Roman"/>
          <w:lang w:val="lt-LT"/>
        </w:rPr>
        <w:t>susijęs su irinotekano ir loperamido vartojimu, pasireiškė 3,4 % pacientų.</w:t>
      </w:r>
    </w:p>
    <w:p w14:paraId="75581D55" w14:textId="6E3FE93A"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Neutropenija</w:t>
      </w:r>
      <w:r w:rsidRPr="00E14983">
        <w:rPr>
          <w:rFonts w:ascii="Times New Roman" w:eastAsia="Times New Roman" w:hAnsi="Times New Roman" w:cs="Times New Roman"/>
          <w:lang w:val="lt-LT"/>
        </w:rPr>
        <w:t xml:space="preserve"> pasireiškė 82,5 % pacientų ir buvo sunki (neutrofilų kiekis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500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9,8 % pacientų. Įvertinamų ciklų metu 67,3 % atvejų neutrofilų kiekis buvo mažesnis kaip 1 000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įskaitant 2,7 % atvejų, kai neutrofilų kiekis buvo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500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Visiškas atsistatymas paprastai buvo pasiekiamas per 7</w:t>
      </w:r>
      <w:r w:rsidRPr="00E14983">
        <w:rPr>
          <w:rFonts w:ascii="Times New Roman" w:eastAsia="Times New Roman" w:hAnsi="Times New Roman" w:cs="Times New Roman"/>
          <w:lang w:val="lt-LT"/>
        </w:rPr>
        <w:noBreakHyphen/>
        <w:t>8 dienos.</w:t>
      </w:r>
    </w:p>
    <w:p w14:paraId="506A38AB" w14:textId="35699C57" w:rsidR="009500C0" w:rsidRPr="00E14983" w:rsidRDefault="00FF11F9"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Febrilinė</w:t>
      </w:r>
      <w:r w:rsidRPr="00E14983" w:rsidDel="00FF11F9">
        <w:rPr>
          <w:rFonts w:ascii="Times New Roman" w:eastAsia="Times New Roman" w:hAnsi="Times New Roman" w:cs="Times New Roman"/>
          <w:b/>
          <w:bCs/>
          <w:lang w:val="lt-LT"/>
        </w:rPr>
        <w:t xml:space="preserve"> </w:t>
      </w:r>
      <w:r w:rsidR="009500C0" w:rsidRPr="00E14983">
        <w:rPr>
          <w:rFonts w:ascii="Times New Roman" w:eastAsia="Times New Roman" w:hAnsi="Times New Roman" w:cs="Times New Roman"/>
          <w:b/>
          <w:bCs/>
          <w:lang w:val="lt-LT"/>
        </w:rPr>
        <w:t xml:space="preserve">neutropenija </w:t>
      </w:r>
      <w:r w:rsidR="009500C0" w:rsidRPr="00E14983">
        <w:rPr>
          <w:rFonts w:ascii="Times New Roman" w:eastAsia="Times New Roman" w:hAnsi="Times New Roman" w:cs="Times New Roman"/>
          <w:lang w:val="lt-LT"/>
        </w:rPr>
        <w:t>pasireiškė 3,4 % pacientų ir 0,9 % ciklų metu.</w:t>
      </w:r>
    </w:p>
    <w:p w14:paraId="160CDC74" w14:textId="2F9F7A64"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Infekcijos pasireiškė maždaug 2 % pacientų (0,5 % ciklų metų), su sunkia neutropenija susijęs sutrikimas pasireiškė maždaug 2,1 % pacientų (0,5 % ciklų), 1 pacientas mirė.</w:t>
      </w:r>
    </w:p>
    <w:p w14:paraId="067209F0" w14:textId="24E33CE0"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Anemija</w:t>
      </w:r>
      <w:r w:rsidRPr="00E14983">
        <w:rPr>
          <w:rFonts w:ascii="Times New Roman" w:eastAsia="Times New Roman" w:hAnsi="Times New Roman" w:cs="Times New Roman"/>
          <w:lang w:val="lt-LT"/>
        </w:rPr>
        <w:t xml:space="preserve"> pasireiškė 97,2 % pacientų (2,1 % atvejų hemoglobino kiekis buvo &lt;</w:t>
      </w:r>
      <w:r w:rsidR="008F4321"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8 g/dl).</w:t>
      </w:r>
    </w:p>
    <w:p w14:paraId="5FF3EDB7"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Trombocitopenija</w:t>
      </w:r>
      <w:r w:rsidRPr="00E14983">
        <w:rPr>
          <w:rFonts w:ascii="Times New Roman" w:eastAsia="Times New Roman" w:hAnsi="Times New Roman" w:cs="Times New Roman"/>
          <w:lang w:val="lt-LT"/>
        </w:rPr>
        <w:t xml:space="preserve"> (&lt; 100 000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pasireiškė 32,6 % pacientų ir 21,8 % ciklų metu. Sunkios trombocitopenijos (&lt; 50 000 ląstelių/mm</w:t>
      </w:r>
      <w:r w:rsidRPr="00E14983">
        <w:rPr>
          <w:rFonts w:ascii="Times New Roman" w:eastAsia="Times New Roman" w:hAnsi="Times New Roman" w:cs="Times New Roman"/>
          <w:vertAlign w:val="superscript"/>
          <w:lang w:val="lt-LT"/>
        </w:rPr>
        <w:t>3</w:t>
      </w:r>
      <w:r w:rsidRPr="00E14983">
        <w:rPr>
          <w:rFonts w:ascii="Times New Roman" w:eastAsia="Times New Roman" w:hAnsi="Times New Roman" w:cs="Times New Roman"/>
          <w:lang w:val="lt-LT"/>
        </w:rPr>
        <w:t>) atvejų nebuvo.</w:t>
      </w:r>
    </w:p>
    <w:p w14:paraId="2BF361CB"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Ūminis cholinerginis sindromas</w:t>
      </w:r>
    </w:p>
    <w:p w14:paraId="32FB7A32"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Sunkus laikinas ūminis cholinerginis sindromas pasireiškė 1,4 % pacientų, kuriems taikytas kombinuotasis gydymas.</w:t>
      </w:r>
    </w:p>
    <w:p w14:paraId="748B94A5"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Cs/>
          <w:lang w:val="lt-LT"/>
        </w:rPr>
        <w:t>Sunki</w:t>
      </w:r>
      <w:r w:rsidRPr="00E14983">
        <w:rPr>
          <w:rFonts w:ascii="Times New Roman" w:eastAsia="Times New Roman" w:hAnsi="Times New Roman" w:cs="Times New Roman"/>
          <w:b/>
          <w:bCs/>
          <w:lang w:val="lt-LT"/>
        </w:rPr>
        <w:t xml:space="preserve"> astenija</w:t>
      </w:r>
      <w:r w:rsidRPr="00E14983">
        <w:rPr>
          <w:rFonts w:ascii="Times New Roman" w:eastAsia="Times New Roman" w:hAnsi="Times New Roman" w:cs="Times New Roman"/>
          <w:lang w:val="lt-LT"/>
        </w:rPr>
        <w:t xml:space="preserve"> pasireiškė mažiau kaip 6,2 % pacientų, kuriems taikytas kombinuotasis gydymas. Priežastinis ryšys su irinotekano vartojimu aiškiai nustatytas nebuvo. </w:t>
      </w:r>
    </w:p>
    <w:p w14:paraId="29D27EE5" w14:textId="14271E6E" w:rsidR="009500C0" w:rsidRPr="00E14983" w:rsidRDefault="00FF11F9"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lang w:val="lt-LT"/>
        </w:rPr>
        <w:t>Pireksija</w:t>
      </w:r>
      <w:r w:rsidR="009500C0" w:rsidRPr="00E14983">
        <w:rPr>
          <w:rFonts w:ascii="Times New Roman" w:eastAsia="Times New Roman" w:hAnsi="Times New Roman" w:cs="Times New Roman"/>
          <w:b/>
          <w:lang w:val="lt-LT"/>
        </w:rPr>
        <w:t xml:space="preserve"> nesant infekcijos</w:t>
      </w:r>
      <w:r w:rsidR="009500C0" w:rsidRPr="00E14983">
        <w:rPr>
          <w:rFonts w:ascii="Times New Roman" w:eastAsia="Times New Roman" w:hAnsi="Times New Roman" w:cs="Times New Roman"/>
          <w:lang w:val="lt-LT"/>
        </w:rPr>
        <w:t xml:space="preserve"> ir be sunkios neutropenijos pasireiškė 6,2 % pacientų, kuriems taikytas kombinuotasis gydymas.</w:t>
      </w:r>
    </w:p>
    <w:p w14:paraId="0B5AE1E6" w14:textId="77777777" w:rsidR="009500C0" w:rsidRPr="00E14983" w:rsidRDefault="009500C0" w:rsidP="009500C0">
      <w:pPr>
        <w:keepNext/>
        <w:keepLine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lang w:val="lt-LT"/>
        </w:rPr>
        <w:t>Laboratoriniai tyrimai</w:t>
      </w:r>
    </w:p>
    <w:p w14:paraId="3898EBB4" w14:textId="2E3DFF71" w:rsidR="009500C0" w:rsidRPr="00E14983" w:rsidRDefault="009500C0" w:rsidP="009500C0">
      <w:pPr>
        <w:keepNext/>
        <w:keepLine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Laikinas </w:t>
      </w:r>
      <w:r w:rsidR="0004246E" w:rsidRPr="00E14983">
        <w:rPr>
          <w:rFonts w:ascii="Times New Roman" w:eastAsia="Times New Roman" w:hAnsi="Times New Roman" w:cs="Times New Roman"/>
          <w:lang w:val="lt-LT"/>
        </w:rPr>
        <w:t>SGOT</w:t>
      </w:r>
      <w:r w:rsidRPr="00E14983">
        <w:rPr>
          <w:rFonts w:ascii="Times New Roman" w:eastAsia="Times New Roman" w:hAnsi="Times New Roman" w:cs="Times New Roman"/>
          <w:lang w:val="lt-LT"/>
        </w:rPr>
        <w:t xml:space="preserve">, </w:t>
      </w:r>
      <w:r w:rsidR="0004246E" w:rsidRPr="00E14983">
        <w:rPr>
          <w:rFonts w:ascii="Times New Roman" w:eastAsia="Times New Roman" w:hAnsi="Times New Roman" w:cs="Times New Roman"/>
          <w:lang w:val="lt-LT"/>
        </w:rPr>
        <w:t>SGPT</w:t>
      </w:r>
      <w:r w:rsidRPr="00E14983">
        <w:rPr>
          <w:rFonts w:ascii="Times New Roman" w:eastAsia="Times New Roman" w:hAnsi="Times New Roman" w:cs="Times New Roman"/>
          <w:lang w:val="lt-LT"/>
        </w:rPr>
        <w:t xml:space="preserve"> arba šarminės fosfatazės aktyvumo ar bilirubino </w:t>
      </w:r>
      <w:r w:rsidR="006670F7" w:rsidRPr="00E14983">
        <w:rPr>
          <w:rFonts w:ascii="Times New Roman" w:eastAsia="Times New Roman" w:hAnsi="Times New Roman" w:cs="Times New Roman"/>
          <w:lang w:val="lt-LT"/>
        </w:rPr>
        <w:t>koncentracijos</w:t>
      </w:r>
      <w:r w:rsidR="00175756" w:rsidRPr="00E14983">
        <w:rPr>
          <w:rFonts w:ascii="Times New Roman" w:eastAsia="Times New Roman" w:hAnsi="Times New Roman" w:cs="Times New Roman"/>
          <w:lang w:val="lt-LT"/>
        </w:rPr>
        <w:t xml:space="preserve"> </w:t>
      </w:r>
      <w:r w:rsidR="0004246E" w:rsidRPr="00E14983">
        <w:rPr>
          <w:rFonts w:ascii="Times New Roman" w:eastAsia="Times New Roman" w:hAnsi="Times New Roman" w:cs="Times New Roman"/>
          <w:lang w:val="lt-LT"/>
        </w:rPr>
        <w:t>pasikeitimas</w:t>
      </w:r>
      <w:r w:rsidRPr="00E14983">
        <w:rPr>
          <w:rFonts w:ascii="Times New Roman" w:eastAsia="Times New Roman" w:hAnsi="Times New Roman" w:cs="Times New Roman"/>
          <w:lang w:val="lt-LT"/>
        </w:rPr>
        <w:t xml:space="preserve"> serume (1 ir 2 laipsnio) pasireiškė atitinkamai 15 %, 11 %, 11 % ir 10 % pacientų, kuriems nebuvo progresuojančių metastazių kepenyse. Laikinas 3 laipsnio sutrikimas pasireiškė atitinkamai 0 %, 0 %, 0 % ir 1 % pacientų. 4 laipsnio sutrikimų nebuvo. </w:t>
      </w:r>
    </w:p>
    <w:p w14:paraId="5D97263D"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Pranešta apie labai retus amilazės ir (arba) lipazės aktyvumo padidėjimo atvejus.</w:t>
      </w:r>
    </w:p>
    <w:p w14:paraId="0AA2E7CD"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Pranešta apie retus hipokalemijos ir hiponatremijos atvejus, dažniausiai susijusius su viduriavimu ir vėmimu.</w:t>
      </w:r>
    </w:p>
    <w:p w14:paraId="26A35DB2" w14:textId="77777777" w:rsidR="009500C0" w:rsidRDefault="009500C0" w:rsidP="009500C0">
      <w:pPr>
        <w:spacing w:after="0" w:line="240" w:lineRule="auto"/>
        <w:rPr>
          <w:rFonts w:ascii="Times New Roman" w:eastAsia="Times New Roman" w:hAnsi="Times New Roman" w:cs="Times New Roman"/>
          <w:lang w:val="lt-LT"/>
        </w:rPr>
      </w:pPr>
    </w:p>
    <w:p w14:paraId="5D36E79C" w14:textId="570EA1A5" w:rsidR="00216A36" w:rsidRPr="006E62E2" w:rsidRDefault="00216A36" w:rsidP="009500C0">
      <w:pPr>
        <w:spacing w:after="0" w:line="240" w:lineRule="auto"/>
        <w:rPr>
          <w:rFonts w:ascii="Times New Roman" w:eastAsia="Times New Roman" w:hAnsi="Times New Roman" w:cs="Times New Roman"/>
          <w:u w:val="single"/>
          <w:lang w:val="lt-LT"/>
        </w:rPr>
      </w:pPr>
      <w:r w:rsidRPr="006E62E2">
        <w:rPr>
          <w:rFonts w:ascii="Times New Roman" w:eastAsia="Times New Roman" w:hAnsi="Times New Roman" w:cs="Times New Roman"/>
          <w:u w:val="single"/>
          <w:lang w:val="lt-LT"/>
        </w:rPr>
        <w:t>Kit</w:t>
      </w:r>
      <w:r w:rsidR="006E62E2">
        <w:rPr>
          <w:rFonts w:ascii="Times New Roman" w:eastAsia="Times New Roman" w:hAnsi="Times New Roman" w:cs="Times New Roman"/>
          <w:u w:val="single"/>
          <w:lang w:val="lt-LT"/>
        </w:rPr>
        <w:t>i</w:t>
      </w:r>
      <w:r w:rsidRPr="006E62E2">
        <w:rPr>
          <w:rFonts w:ascii="Times New Roman" w:eastAsia="Times New Roman" w:hAnsi="Times New Roman" w:cs="Times New Roman"/>
          <w:u w:val="single"/>
          <w:lang w:val="lt-LT"/>
        </w:rPr>
        <w:t xml:space="preserve"> nepageidaujam</w:t>
      </w:r>
      <w:r w:rsidR="006E62E2">
        <w:rPr>
          <w:rFonts w:ascii="Times New Roman" w:eastAsia="Times New Roman" w:hAnsi="Times New Roman" w:cs="Times New Roman"/>
          <w:u w:val="single"/>
          <w:lang w:val="lt-LT"/>
        </w:rPr>
        <w:t>i reiškiniai</w:t>
      </w:r>
      <w:r w:rsidRPr="006E62E2">
        <w:rPr>
          <w:rFonts w:ascii="Times New Roman" w:eastAsia="Times New Roman" w:hAnsi="Times New Roman" w:cs="Times New Roman"/>
          <w:u w:val="single"/>
          <w:lang w:val="lt-LT"/>
        </w:rPr>
        <w:t>, nustatyt</w:t>
      </w:r>
      <w:r w:rsidR="006E62E2">
        <w:rPr>
          <w:rFonts w:ascii="Times New Roman" w:eastAsia="Times New Roman" w:hAnsi="Times New Roman" w:cs="Times New Roman"/>
          <w:u w:val="single"/>
          <w:lang w:val="lt-LT"/>
        </w:rPr>
        <w:t>i</w:t>
      </w:r>
      <w:r w:rsidRPr="006E62E2">
        <w:rPr>
          <w:rFonts w:ascii="Times New Roman" w:eastAsia="Times New Roman" w:hAnsi="Times New Roman" w:cs="Times New Roman"/>
          <w:u w:val="single"/>
          <w:lang w:val="lt-LT"/>
        </w:rPr>
        <w:t xml:space="preserve"> klinikinių tyrimų metu</w:t>
      </w:r>
      <w:r w:rsidR="006E62E2" w:rsidRPr="006E62E2">
        <w:rPr>
          <w:rFonts w:ascii="Times New Roman" w:eastAsia="Times New Roman" w:hAnsi="Times New Roman" w:cs="Times New Roman"/>
          <w:u w:val="single"/>
          <w:lang w:val="lt-LT"/>
        </w:rPr>
        <w:t>, irinotekano skiriant kas savaitę</w:t>
      </w:r>
    </w:p>
    <w:p w14:paraId="2CDFB11D" w14:textId="0A96AFA3" w:rsidR="006E62E2" w:rsidRDefault="006E62E2" w:rsidP="009500C0">
      <w:pPr>
        <w:spacing w:after="0" w:line="240" w:lineRule="auto"/>
        <w:rPr>
          <w:rFonts w:ascii="Times New Roman" w:eastAsia="Times New Roman" w:hAnsi="Times New Roman" w:cs="Times New Roman"/>
          <w:lang w:val="lt-LT"/>
        </w:rPr>
      </w:pPr>
      <w:r w:rsidRPr="006E62E2">
        <w:rPr>
          <w:rFonts w:ascii="Times New Roman" w:eastAsia="Times New Roman" w:hAnsi="Times New Roman" w:cs="Times New Roman"/>
          <w:lang w:val="lt-LT"/>
        </w:rPr>
        <w:t>Klinikinių irinotekano tyrimų metu buvo pranešta apie šiuos papildomus su vaist</w:t>
      </w:r>
      <w:r>
        <w:rPr>
          <w:rFonts w:ascii="Times New Roman" w:eastAsia="Times New Roman" w:hAnsi="Times New Roman" w:cs="Times New Roman"/>
          <w:lang w:val="lt-LT"/>
        </w:rPr>
        <w:t>ini</w:t>
      </w:r>
      <w:r w:rsidRPr="006E62E2">
        <w:rPr>
          <w:rFonts w:ascii="Times New Roman" w:eastAsia="Times New Roman" w:hAnsi="Times New Roman" w:cs="Times New Roman"/>
          <w:lang w:val="lt-LT"/>
        </w:rPr>
        <w:t xml:space="preserve">u </w:t>
      </w:r>
      <w:r>
        <w:rPr>
          <w:rFonts w:ascii="Times New Roman" w:eastAsia="Times New Roman" w:hAnsi="Times New Roman" w:cs="Times New Roman"/>
          <w:lang w:val="lt-LT"/>
        </w:rPr>
        <w:t xml:space="preserve">preparatu </w:t>
      </w:r>
      <w:r w:rsidRPr="006E62E2">
        <w:rPr>
          <w:rFonts w:ascii="Times New Roman" w:eastAsia="Times New Roman" w:hAnsi="Times New Roman" w:cs="Times New Roman"/>
          <w:lang w:val="lt-LT"/>
        </w:rPr>
        <w:t xml:space="preserve">susijusius reiškinius: skausmas, sepsis, anorektalinis sutrikimas, virškinimo trakto kandidozė, hipomagnezemija, išbėrimas, odos </w:t>
      </w:r>
      <w:r w:rsidR="00147922">
        <w:rPr>
          <w:rFonts w:ascii="Times New Roman" w:eastAsia="Times New Roman" w:hAnsi="Times New Roman" w:cs="Times New Roman"/>
          <w:lang w:val="lt-LT"/>
        </w:rPr>
        <w:t>reakcijos</w:t>
      </w:r>
      <w:r w:rsidRPr="006E62E2">
        <w:rPr>
          <w:rFonts w:ascii="Times New Roman" w:eastAsia="Times New Roman" w:hAnsi="Times New Roman" w:cs="Times New Roman"/>
          <w:lang w:val="lt-LT"/>
        </w:rPr>
        <w:t>, eisenos sutrikimas, sumišimas, galvos skausmas, sinkopė, paraudimas, bradikardija, šlapimo takų infekcij</w:t>
      </w:r>
      <w:r>
        <w:rPr>
          <w:rFonts w:ascii="Times New Roman" w:eastAsia="Times New Roman" w:hAnsi="Times New Roman" w:cs="Times New Roman"/>
          <w:lang w:val="lt-LT"/>
        </w:rPr>
        <w:t>a</w:t>
      </w:r>
      <w:r w:rsidRPr="006E62E2">
        <w:rPr>
          <w:rFonts w:ascii="Times New Roman" w:eastAsia="Times New Roman" w:hAnsi="Times New Roman" w:cs="Times New Roman"/>
          <w:lang w:val="lt-LT"/>
        </w:rPr>
        <w:t xml:space="preserve">, krūtų skausmas, gama-glutamiltransferazės </w:t>
      </w:r>
      <w:r>
        <w:rPr>
          <w:rFonts w:ascii="Times New Roman" w:eastAsia="Times New Roman" w:hAnsi="Times New Roman" w:cs="Times New Roman"/>
          <w:lang w:val="lt-LT"/>
        </w:rPr>
        <w:t xml:space="preserve">aktyvumo </w:t>
      </w:r>
      <w:r w:rsidRPr="006E62E2">
        <w:rPr>
          <w:rFonts w:ascii="Times New Roman" w:eastAsia="Times New Roman" w:hAnsi="Times New Roman" w:cs="Times New Roman"/>
          <w:lang w:val="lt-LT"/>
        </w:rPr>
        <w:t>padidėjimas, ekstravazacij</w:t>
      </w:r>
      <w:r>
        <w:rPr>
          <w:rFonts w:ascii="Times New Roman" w:eastAsia="Times New Roman" w:hAnsi="Times New Roman" w:cs="Times New Roman"/>
          <w:lang w:val="lt-LT"/>
        </w:rPr>
        <w:t>a</w:t>
      </w:r>
      <w:r w:rsidRPr="006E62E2">
        <w:rPr>
          <w:rFonts w:ascii="Times New Roman" w:eastAsia="Times New Roman" w:hAnsi="Times New Roman" w:cs="Times New Roman"/>
          <w:lang w:val="lt-LT"/>
        </w:rPr>
        <w:t xml:space="preserve"> ir naviko lizės sindromas, širdies ir kraujagyslių sutrikimai (krūtinės angina, širdies sustojimas, miokardo infarktas, miokardo išemija, periferinių kraujagyslių sutrikimas, kraujagyslių sutrikimas) ir tromboemboliniai reiškiniai (arterijų trombozė, </w:t>
      </w:r>
      <w:r>
        <w:rPr>
          <w:rFonts w:ascii="Times New Roman" w:eastAsia="Times New Roman" w:hAnsi="Times New Roman" w:cs="Times New Roman"/>
          <w:lang w:val="lt-LT"/>
        </w:rPr>
        <w:t xml:space="preserve">galvos </w:t>
      </w:r>
      <w:r w:rsidRPr="006E62E2">
        <w:rPr>
          <w:rFonts w:ascii="Times New Roman" w:eastAsia="Times New Roman" w:hAnsi="Times New Roman" w:cs="Times New Roman"/>
          <w:lang w:val="lt-LT"/>
        </w:rPr>
        <w:t xml:space="preserve">smegenų infarktas, </w:t>
      </w:r>
      <w:r>
        <w:rPr>
          <w:rFonts w:ascii="Times New Roman" w:eastAsia="Times New Roman" w:hAnsi="Times New Roman" w:cs="Times New Roman"/>
          <w:lang w:val="lt-LT"/>
        </w:rPr>
        <w:t>g</w:t>
      </w:r>
      <w:r w:rsidRPr="006E62E2">
        <w:rPr>
          <w:rFonts w:ascii="Times New Roman" w:eastAsia="Times New Roman" w:hAnsi="Times New Roman" w:cs="Times New Roman"/>
          <w:lang w:val="lt-LT"/>
        </w:rPr>
        <w:t>alvos smegenų kraujotakos sutrikimas, giliųjų venų trombozė, periferinė embolija, plaučių embolija, tromboflebitas, trombozė ir staigi mirtis) (žr. 4.4</w:t>
      </w:r>
      <w:r>
        <w:rPr>
          <w:rFonts w:ascii="Times New Roman" w:eastAsia="Times New Roman" w:hAnsi="Times New Roman" w:cs="Times New Roman"/>
          <w:lang w:val="lt-LT"/>
        </w:rPr>
        <w:t> </w:t>
      </w:r>
      <w:r w:rsidRPr="006E62E2">
        <w:rPr>
          <w:rFonts w:ascii="Times New Roman" w:eastAsia="Times New Roman" w:hAnsi="Times New Roman" w:cs="Times New Roman"/>
          <w:lang w:val="lt-LT"/>
        </w:rPr>
        <w:t>skyrių).</w:t>
      </w:r>
    </w:p>
    <w:p w14:paraId="75F0E001" w14:textId="77777777" w:rsidR="006E62E2" w:rsidRDefault="006E62E2" w:rsidP="009500C0">
      <w:pPr>
        <w:spacing w:after="0" w:line="240" w:lineRule="auto"/>
        <w:rPr>
          <w:rFonts w:ascii="Times New Roman" w:eastAsia="Times New Roman" w:hAnsi="Times New Roman" w:cs="Times New Roman"/>
          <w:lang w:val="lt-LT"/>
        </w:rPr>
      </w:pPr>
    </w:p>
    <w:p w14:paraId="0210250E" w14:textId="53C8BDCB" w:rsidR="006E62E2" w:rsidRPr="00134F05" w:rsidRDefault="006E62E2" w:rsidP="009500C0">
      <w:pPr>
        <w:spacing w:after="0" w:line="240" w:lineRule="auto"/>
        <w:rPr>
          <w:rFonts w:ascii="Times New Roman" w:eastAsia="Times New Roman" w:hAnsi="Times New Roman" w:cs="Times New Roman"/>
          <w:u w:val="single"/>
          <w:lang w:val="lt-LT"/>
        </w:rPr>
      </w:pPr>
      <w:r w:rsidRPr="00134F05">
        <w:rPr>
          <w:rFonts w:ascii="Times New Roman" w:eastAsia="Times New Roman" w:hAnsi="Times New Roman" w:cs="Times New Roman"/>
          <w:u w:val="single"/>
          <w:lang w:val="lt-LT"/>
        </w:rPr>
        <w:t>Stebėjimas va</w:t>
      </w:r>
      <w:r w:rsidR="00D46637">
        <w:rPr>
          <w:rFonts w:ascii="Times New Roman" w:eastAsia="Times New Roman" w:hAnsi="Times New Roman" w:cs="Times New Roman"/>
          <w:u w:val="single"/>
          <w:lang w:val="lt-LT"/>
        </w:rPr>
        <w:t>i</w:t>
      </w:r>
      <w:r w:rsidRPr="00134F05">
        <w:rPr>
          <w:rFonts w:ascii="Times New Roman" w:eastAsia="Times New Roman" w:hAnsi="Times New Roman" w:cs="Times New Roman"/>
          <w:u w:val="single"/>
          <w:lang w:val="lt-LT"/>
        </w:rPr>
        <w:t>stinį preparatą pateikus rinkai</w:t>
      </w:r>
    </w:p>
    <w:p w14:paraId="0357789E" w14:textId="04A75C69" w:rsidR="006E62E2" w:rsidRDefault="006E62E2" w:rsidP="009500C0">
      <w:pPr>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S</w:t>
      </w:r>
      <w:r w:rsidRPr="006E62E2">
        <w:rPr>
          <w:rFonts w:ascii="Times New Roman" w:eastAsia="Times New Roman" w:hAnsi="Times New Roman" w:cs="Times New Roman"/>
          <w:lang w:val="lt-LT"/>
        </w:rPr>
        <w:t>tebėjimo pateikus į rinką laikotarpi</w:t>
      </w:r>
      <w:r>
        <w:rPr>
          <w:rFonts w:ascii="Times New Roman" w:eastAsia="Times New Roman" w:hAnsi="Times New Roman" w:cs="Times New Roman"/>
          <w:lang w:val="lt-LT"/>
        </w:rPr>
        <w:t>u nustatytų nepageidaujamų reakcijų dažnis nežinomas (</w:t>
      </w:r>
      <w:r w:rsidRPr="006E62E2">
        <w:rPr>
          <w:rFonts w:ascii="Times New Roman" w:eastAsia="Times New Roman" w:hAnsi="Times New Roman" w:cs="Times New Roman"/>
          <w:lang w:val="lt-LT"/>
        </w:rPr>
        <w:t>negali būti apskaičiuotas pagal turimus duomenis)</w:t>
      </w:r>
      <w:r w:rsidR="000B4D16">
        <w:rPr>
          <w:rFonts w:ascii="Times New Roman" w:eastAsia="Times New Roman" w:hAnsi="Times New Roman" w:cs="Times New Roman"/>
          <w:lang w:val="lt-LT"/>
        </w:rPr>
        <w:t>.</w:t>
      </w:r>
    </w:p>
    <w:tbl>
      <w:tblPr>
        <w:tblStyle w:val="Lentelstinklelis"/>
        <w:tblW w:w="9209" w:type="dxa"/>
        <w:tblLook w:val="04A0" w:firstRow="1" w:lastRow="0" w:firstColumn="1" w:lastColumn="0" w:noHBand="0" w:noVBand="1"/>
      </w:tblPr>
      <w:tblGrid>
        <w:gridCol w:w="4530"/>
        <w:gridCol w:w="4679"/>
      </w:tblGrid>
      <w:tr w:rsidR="000B4D16" w:rsidRPr="00147922" w14:paraId="6F14BE76" w14:textId="77777777" w:rsidTr="00134F05">
        <w:tc>
          <w:tcPr>
            <w:tcW w:w="4530" w:type="dxa"/>
          </w:tcPr>
          <w:p w14:paraId="637BC810" w14:textId="5A654FC1"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b/>
                <w:bCs/>
                <w:lang w:val="lt-LT"/>
              </w:rPr>
              <w:t>MedDRA organų sistemų klasė</w:t>
            </w:r>
          </w:p>
        </w:tc>
        <w:tc>
          <w:tcPr>
            <w:tcW w:w="4679" w:type="dxa"/>
          </w:tcPr>
          <w:p w14:paraId="1EB70A59" w14:textId="75BD8340"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b/>
                <w:bCs/>
                <w:lang w:val="lt-LT"/>
              </w:rPr>
              <w:t>Rekomenduojamas terminas</w:t>
            </w:r>
          </w:p>
        </w:tc>
      </w:tr>
      <w:tr w:rsidR="000B4D16" w:rsidRPr="00147922" w14:paraId="2CA83101" w14:textId="77777777" w:rsidTr="00134F05">
        <w:tc>
          <w:tcPr>
            <w:tcW w:w="4530" w:type="dxa"/>
          </w:tcPr>
          <w:p w14:paraId="09DBB5AC" w14:textId="5A31AB67"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Infekcijos ir infestacijos</w:t>
            </w:r>
          </w:p>
        </w:tc>
        <w:tc>
          <w:tcPr>
            <w:tcW w:w="4679" w:type="dxa"/>
          </w:tcPr>
          <w:p w14:paraId="5E454E11" w14:textId="77777777"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Pseudomembraninis kolitas, kuris vienu iš dokumentuotų atvejų buvo bakterinis (</w:t>
            </w:r>
            <w:r w:rsidRPr="00134F05">
              <w:rPr>
                <w:rFonts w:asciiTheme="majorBidi" w:hAnsiTheme="majorBidi" w:cstheme="majorBidi"/>
                <w:i/>
                <w:lang w:val="lt-LT"/>
              </w:rPr>
              <w:t>Clostridium difficile</w:t>
            </w:r>
            <w:r w:rsidRPr="00134F05">
              <w:rPr>
                <w:rFonts w:asciiTheme="majorBidi" w:hAnsiTheme="majorBidi" w:cstheme="majorBidi"/>
                <w:lang w:val="lt-LT"/>
              </w:rPr>
              <w:t>)</w:t>
            </w:r>
          </w:p>
          <w:p w14:paraId="0B44182E" w14:textId="77777777"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Sepsis</w:t>
            </w:r>
          </w:p>
          <w:p w14:paraId="74730B9B" w14:textId="72593461" w:rsidR="000B4D16" w:rsidRPr="00134F05" w:rsidRDefault="000B4D16" w:rsidP="009500C0">
            <w:pPr>
              <w:spacing w:after="0" w:line="240" w:lineRule="auto"/>
              <w:rPr>
                <w:rFonts w:asciiTheme="majorBidi" w:hAnsiTheme="majorBidi" w:cstheme="majorBidi"/>
                <w:sz w:val="22"/>
                <w:szCs w:val="22"/>
                <w:vertAlign w:val="superscript"/>
                <w:lang w:val="lt-LT"/>
              </w:rPr>
            </w:pPr>
            <w:r w:rsidRPr="00134F05">
              <w:rPr>
                <w:rFonts w:asciiTheme="majorBidi" w:hAnsiTheme="majorBidi" w:cstheme="majorBidi"/>
                <w:lang w:val="lt-LT"/>
              </w:rPr>
              <w:t>Grybelinės infekcijos</w:t>
            </w:r>
            <w:r w:rsidR="00147922" w:rsidRPr="00147922">
              <w:rPr>
                <w:rFonts w:asciiTheme="majorBidi" w:hAnsiTheme="majorBidi" w:cstheme="majorBidi"/>
                <w:sz w:val="22"/>
                <w:szCs w:val="22"/>
                <w:vertAlign w:val="superscript"/>
              </w:rPr>
              <w:t>*</w:t>
            </w:r>
          </w:p>
          <w:p w14:paraId="4CD54440" w14:textId="2F718653"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lastRenderedPageBreak/>
              <w:t>Virusinės infekcijos</w:t>
            </w:r>
            <w:r w:rsidR="00147922" w:rsidRPr="00147922">
              <w:rPr>
                <w:sz w:val="22"/>
                <w:szCs w:val="22"/>
                <w:vertAlign w:val="superscript"/>
                <w:lang w:eastAsia="en-GB"/>
              </w:rPr>
              <w:t>†</w:t>
            </w:r>
          </w:p>
        </w:tc>
      </w:tr>
      <w:tr w:rsidR="000B4D16" w:rsidRPr="00147922" w14:paraId="44CABD4A" w14:textId="77777777" w:rsidTr="00134F05">
        <w:tc>
          <w:tcPr>
            <w:tcW w:w="4530" w:type="dxa"/>
          </w:tcPr>
          <w:p w14:paraId="4B6CC077" w14:textId="5F62CCE1"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lastRenderedPageBreak/>
              <w:t>Kraujo ir limfinės sistemos sutrikimai</w:t>
            </w:r>
          </w:p>
        </w:tc>
        <w:tc>
          <w:tcPr>
            <w:tcW w:w="4679" w:type="dxa"/>
          </w:tcPr>
          <w:p w14:paraId="26206B8D" w14:textId="63706936"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Periferinė trombocitopenija su trombocitų antikūnais</w:t>
            </w:r>
          </w:p>
        </w:tc>
      </w:tr>
      <w:tr w:rsidR="000B4D16" w:rsidRPr="00147922" w14:paraId="3137B00D" w14:textId="77777777" w:rsidTr="00134F05">
        <w:tc>
          <w:tcPr>
            <w:tcW w:w="4530" w:type="dxa"/>
          </w:tcPr>
          <w:p w14:paraId="30CC9B26" w14:textId="788F5A65"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Imuninės sistemos sutrikimai</w:t>
            </w:r>
          </w:p>
        </w:tc>
        <w:tc>
          <w:tcPr>
            <w:tcW w:w="4679" w:type="dxa"/>
          </w:tcPr>
          <w:p w14:paraId="01515F16" w14:textId="77777777"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Padidėjusio jautrumo reakcija</w:t>
            </w:r>
          </w:p>
          <w:p w14:paraId="3468BD6C" w14:textId="291E954A"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Anafilaksinė reakcija</w:t>
            </w:r>
          </w:p>
        </w:tc>
      </w:tr>
      <w:tr w:rsidR="000B4D16" w:rsidRPr="00147922" w14:paraId="1FFF1880" w14:textId="77777777" w:rsidTr="00134F05">
        <w:tc>
          <w:tcPr>
            <w:tcW w:w="4530" w:type="dxa"/>
          </w:tcPr>
          <w:p w14:paraId="4069B811" w14:textId="123AF649"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Metabolizmo ir mitybos sutrikimai</w:t>
            </w:r>
          </w:p>
        </w:tc>
        <w:tc>
          <w:tcPr>
            <w:tcW w:w="4679" w:type="dxa"/>
          </w:tcPr>
          <w:p w14:paraId="29F931BF" w14:textId="77777777"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Dehidratacija (sukelta viduriavimo arba vėmimo)</w:t>
            </w:r>
          </w:p>
          <w:p w14:paraId="32C739BF" w14:textId="6A9178DC" w:rsidR="000B4D16" w:rsidRPr="00134F05" w:rsidRDefault="00C60A1E"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H</w:t>
            </w:r>
            <w:r w:rsidR="000B4D16" w:rsidRPr="00134F05">
              <w:rPr>
                <w:rFonts w:asciiTheme="majorBidi" w:hAnsiTheme="majorBidi" w:cstheme="majorBidi"/>
                <w:lang w:val="lt-LT"/>
              </w:rPr>
              <w:t>ipovolemija</w:t>
            </w:r>
          </w:p>
        </w:tc>
      </w:tr>
      <w:tr w:rsidR="000B4D16" w:rsidRPr="00147922" w14:paraId="67A197EE" w14:textId="77777777" w:rsidTr="00134F05">
        <w:tc>
          <w:tcPr>
            <w:tcW w:w="4530" w:type="dxa"/>
          </w:tcPr>
          <w:p w14:paraId="185B9E40" w14:textId="0CB8DE0E" w:rsidR="000B4D16"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Nervų sistemos sutrikimai</w:t>
            </w:r>
          </w:p>
        </w:tc>
        <w:tc>
          <w:tcPr>
            <w:tcW w:w="4679" w:type="dxa"/>
          </w:tcPr>
          <w:p w14:paraId="78EE5EFA" w14:textId="77777777" w:rsidR="00C60A1E" w:rsidRPr="00134F05" w:rsidRDefault="000B4D16"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Laikini kalbos sutrikimai, kai kuriais atvejais pasireiškimas buvo siejamas su cholinerginiu sindromu, nustatytu irinotekano infuzijos metu arba netrukus po jos</w:t>
            </w:r>
          </w:p>
          <w:p w14:paraId="1148A45C" w14:textId="77777777" w:rsidR="00C60A1E" w:rsidRPr="00134F05" w:rsidRDefault="00C60A1E"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P</w:t>
            </w:r>
            <w:r w:rsidR="000B4D16" w:rsidRPr="00134F05">
              <w:rPr>
                <w:rFonts w:asciiTheme="majorBidi" w:hAnsiTheme="majorBidi" w:cstheme="majorBidi"/>
                <w:lang w:val="lt-LT"/>
              </w:rPr>
              <w:t>arestezija</w:t>
            </w:r>
          </w:p>
          <w:p w14:paraId="0DD2B620" w14:textId="33390E9F" w:rsidR="000B4D16" w:rsidRPr="00134F05" w:rsidRDefault="00C60A1E" w:rsidP="009500C0">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N</w:t>
            </w:r>
            <w:r w:rsidR="000B4D16" w:rsidRPr="00134F05">
              <w:rPr>
                <w:rFonts w:asciiTheme="majorBidi" w:hAnsiTheme="majorBidi" w:cstheme="majorBidi"/>
                <w:lang w:val="lt-LT"/>
              </w:rPr>
              <w:t>evalingi raumenų susitraukimai</w:t>
            </w:r>
          </w:p>
        </w:tc>
      </w:tr>
      <w:tr w:rsidR="000B4D16" w:rsidRPr="00147922" w14:paraId="6FEDFF1D" w14:textId="77777777" w:rsidTr="00134F05">
        <w:tc>
          <w:tcPr>
            <w:tcW w:w="4530" w:type="dxa"/>
          </w:tcPr>
          <w:p w14:paraId="3D4E690B" w14:textId="07DFEA84"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Širdies sutrikimai</w:t>
            </w:r>
          </w:p>
        </w:tc>
        <w:tc>
          <w:tcPr>
            <w:tcW w:w="4679" w:type="dxa"/>
          </w:tcPr>
          <w:p w14:paraId="4243400D" w14:textId="77777777" w:rsidR="00C60A1E"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Hipertenzija (infuzijos metu arba po jos)</w:t>
            </w:r>
          </w:p>
          <w:p w14:paraId="04208DD6" w14:textId="571C0A5A" w:rsidR="000B4D16"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Š</w:t>
            </w:r>
            <w:r w:rsidR="000B4D16" w:rsidRPr="00134F05">
              <w:rPr>
                <w:rFonts w:asciiTheme="majorBidi" w:hAnsiTheme="majorBidi" w:cstheme="majorBidi"/>
                <w:lang w:val="lt-LT"/>
              </w:rPr>
              <w:t>irdies kraujotakos nepakankamumas*</w:t>
            </w:r>
          </w:p>
        </w:tc>
      </w:tr>
      <w:tr w:rsidR="000B4D16" w:rsidRPr="00147922" w14:paraId="443074DE" w14:textId="77777777" w:rsidTr="00134F05">
        <w:tc>
          <w:tcPr>
            <w:tcW w:w="4530" w:type="dxa"/>
          </w:tcPr>
          <w:p w14:paraId="1860FA77" w14:textId="34347783"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Kraujagyslių sutrikimai</w:t>
            </w:r>
          </w:p>
        </w:tc>
        <w:tc>
          <w:tcPr>
            <w:tcW w:w="4679" w:type="dxa"/>
          </w:tcPr>
          <w:p w14:paraId="5B7575AE" w14:textId="423EBBEC"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Hipotenzija</w:t>
            </w:r>
          </w:p>
        </w:tc>
      </w:tr>
      <w:tr w:rsidR="000B4D16" w:rsidRPr="00147922" w14:paraId="0E2DA092" w14:textId="77777777" w:rsidTr="00134F05">
        <w:tc>
          <w:tcPr>
            <w:tcW w:w="4530" w:type="dxa"/>
          </w:tcPr>
          <w:p w14:paraId="41D6CDC8" w14:textId="3BEF78E0"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Kvėpavimo sistemos, krūtinės ląstos ir tarpuplaučio sutrikimai</w:t>
            </w:r>
          </w:p>
        </w:tc>
        <w:tc>
          <w:tcPr>
            <w:tcW w:w="4679" w:type="dxa"/>
          </w:tcPr>
          <w:p w14:paraId="1EE36600" w14:textId="77777777" w:rsidR="00C60A1E"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Intersticinė plaučių liga, pasireiškianti plaučių infiltratais, gydant irinotekanu buvo nedažna; buvo pranešta apie ankstyvą poveikį, pvz., dusulį (žr. 4.4 skyrių)</w:t>
            </w:r>
          </w:p>
          <w:p w14:paraId="7D91FAEF"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D</w:t>
            </w:r>
            <w:r w:rsidR="000B4D16" w:rsidRPr="00134F05">
              <w:rPr>
                <w:rFonts w:asciiTheme="majorBidi" w:hAnsiTheme="majorBidi" w:cstheme="majorBidi"/>
                <w:lang w:val="lt-LT"/>
              </w:rPr>
              <w:t>usulys (žr. 4.4 skyrių)</w:t>
            </w:r>
          </w:p>
          <w:p w14:paraId="68A146FF" w14:textId="2AC1DF80" w:rsidR="000B4D16" w:rsidRPr="00134F05" w:rsidRDefault="00C60A1E" w:rsidP="00C60A1E">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Ž</w:t>
            </w:r>
            <w:r w:rsidR="000B4D16" w:rsidRPr="00134F05">
              <w:rPr>
                <w:rFonts w:asciiTheme="majorBidi" w:hAnsiTheme="majorBidi" w:cstheme="majorBidi"/>
                <w:lang w:val="lt-LT"/>
              </w:rPr>
              <w:t>agsulys</w:t>
            </w:r>
          </w:p>
        </w:tc>
      </w:tr>
      <w:tr w:rsidR="000B4D16" w:rsidRPr="00147922" w14:paraId="60481E41" w14:textId="77777777" w:rsidTr="00134F05">
        <w:tc>
          <w:tcPr>
            <w:tcW w:w="4530" w:type="dxa"/>
          </w:tcPr>
          <w:p w14:paraId="6DF1658B" w14:textId="53A83DE1"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Virškinimo trakto sutrikimai</w:t>
            </w:r>
          </w:p>
        </w:tc>
        <w:tc>
          <w:tcPr>
            <w:tcW w:w="4679" w:type="dxa"/>
          </w:tcPr>
          <w:p w14:paraId="7BEAE9F3" w14:textId="77777777" w:rsidR="00C60A1E"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Žarnyno obstrukcija</w:t>
            </w:r>
          </w:p>
          <w:p w14:paraId="62F3EDB7"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Ž</w:t>
            </w:r>
            <w:r w:rsidR="000B4D16" w:rsidRPr="00134F05">
              <w:rPr>
                <w:rFonts w:asciiTheme="majorBidi" w:hAnsiTheme="majorBidi" w:cstheme="majorBidi"/>
                <w:lang w:val="lt-LT"/>
              </w:rPr>
              <w:t>arnyno nepraeinamumas</w:t>
            </w:r>
            <w:r w:rsidRPr="00134F05">
              <w:rPr>
                <w:rFonts w:asciiTheme="majorBidi" w:hAnsiTheme="majorBidi" w:cstheme="majorBidi"/>
                <w:lang w:val="lt-LT"/>
              </w:rPr>
              <w:t xml:space="preserve"> (taip pat pranešta apie atvejus be kolito)</w:t>
            </w:r>
          </w:p>
          <w:p w14:paraId="04ABEA18"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D</w:t>
            </w:r>
            <w:r w:rsidR="000B4D16" w:rsidRPr="00134F05">
              <w:rPr>
                <w:rFonts w:asciiTheme="majorBidi" w:hAnsiTheme="majorBidi" w:cstheme="majorBidi"/>
                <w:lang w:val="lt-LT"/>
              </w:rPr>
              <w:t>idelė gaubtinė žarna (</w:t>
            </w:r>
            <w:r w:rsidR="000B4D16" w:rsidRPr="00134F05">
              <w:rPr>
                <w:rFonts w:asciiTheme="majorBidi" w:hAnsiTheme="majorBidi" w:cstheme="majorBidi"/>
                <w:i/>
                <w:lang w:val="lt-LT"/>
              </w:rPr>
              <w:t>megacolon</w:t>
            </w:r>
            <w:r w:rsidR="000B4D16" w:rsidRPr="00134F05">
              <w:rPr>
                <w:rFonts w:asciiTheme="majorBidi" w:hAnsiTheme="majorBidi" w:cstheme="majorBidi"/>
                <w:lang w:val="lt-LT"/>
              </w:rPr>
              <w:t>)</w:t>
            </w:r>
          </w:p>
          <w:p w14:paraId="1C257724"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Vi</w:t>
            </w:r>
            <w:r w:rsidR="000B4D16" w:rsidRPr="00134F05">
              <w:rPr>
                <w:rFonts w:asciiTheme="majorBidi" w:hAnsiTheme="majorBidi" w:cstheme="majorBidi"/>
                <w:lang w:val="lt-LT"/>
              </w:rPr>
              <w:t>rškinimo trakto hemoragija</w:t>
            </w:r>
          </w:p>
          <w:p w14:paraId="5655D4FC"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K</w:t>
            </w:r>
            <w:r w:rsidR="000B4D16" w:rsidRPr="00134F05">
              <w:rPr>
                <w:rFonts w:asciiTheme="majorBidi" w:hAnsiTheme="majorBidi" w:cstheme="majorBidi"/>
                <w:lang w:val="lt-LT"/>
              </w:rPr>
              <w:t>olitas</w:t>
            </w:r>
            <w:r w:rsidRPr="00134F05">
              <w:rPr>
                <w:rFonts w:asciiTheme="majorBidi" w:hAnsiTheme="majorBidi" w:cstheme="majorBidi"/>
                <w:lang w:val="lt-LT"/>
              </w:rPr>
              <w:t xml:space="preserve"> (kai kuriais atvejais kolitas komplikavosi išopėjimu, kraujavimu, žarnų nepraeinamumu ar infekcija)</w:t>
            </w:r>
          </w:p>
          <w:p w14:paraId="591289F2"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T</w:t>
            </w:r>
            <w:r w:rsidR="000B4D16" w:rsidRPr="00134F05">
              <w:rPr>
                <w:rFonts w:asciiTheme="majorBidi" w:hAnsiTheme="majorBidi" w:cstheme="majorBidi"/>
                <w:lang w:val="lt-LT"/>
              </w:rPr>
              <w:t>iflit</w:t>
            </w:r>
            <w:r w:rsidRPr="00134F05">
              <w:rPr>
                <w:rFonts w:asciiTheme="majorBidi" w:hAnsiTheme="majorBidi" w:cstheme="majorBidi"/>
                <w:lang w:val="lt-LT"/>
              </w:rPr>
              <w:t>as</w:t>
            </w:r>
          </w:p>
          <w:p w14:paraId="4D64231B"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w:t>
            </w:r>
            <w:r w:rsidR="000B4D16" w:rsidRPr="00134F05">
              <w:rPr>
                <w:rFonts w:asciiTheme="majorBidi" w:hAnsiTheme="majorBidi" w:cstheme="majorBidi"/>
                <w:lang w:val="lt-LT"/>
              </w:rPr>
              <w:t>šemin</w:t>
            </w:r>
            <w:r w:rsidRPr="00134F05">
              <w:rPr>
                <w:rFonts w:asciiTheme="majorBidi" w:hAnsiTheme="majorBidi" w:cstheme="majorBidi"/>
                <w:lang w:val="lt-LT"/>
              </w:rPr>
              <w:t>is</w:t>
            </w:r>
            <w:r w:rsidR="000B4D16" w:rsidRPr="00134F05">
              <w:rPr>
                <w:rFonts w:asciiTheme="majorBidi" w:hAnsiTheme="majorBidi" w:cstheme="majorBidi"/>
                <w:lang w:val="lt-LT"/>
              </w:rPr>
              <w:t xml:space="preserve"> kolit</w:t>
            </w:r>
            <w:r w:rsidRPr="00134F05">
              <w:rPr>
                <w:rFonts w:asciiTheme="majorBidi" w:hAnsiTheme="majorBidi" w:cstheme="majorBidi"/>
                <w:lang w:val="lt-LT"/>
              </w:rPr>
              <w:t>as</w:t>
            </w:r>
          </w:p>
          <w:p w14:paraId="07C0647D"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Opinis kolitas</w:t>
            </w:r>
          </w:p>
          <w:p w14:paraId="278052F4" w14:textId="7777777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S</w:t>
            </w:r>
            <w:r w:rsidR="000B4D16" w:rsidRPr="00134F05">
              <w:rPr>
                <w:rFonts w:asciiTheme="majorBidi" w:hAnsiTheme="majorBidi" w:cstheme="majorBidi"/>
                <w:lang w:val="lt-LT"/>
              </w:rPr>
              <w:t>imptominis ar besimptomis k</w:t>
            </w:r>
            <w:r w:rsidRPr="00134F05">
              <w:rPr>
                <w:rFonts w:asciiTheme="majorBidi" w:hAnsiTheme="majorBidi" w:cstheme="majorBidi"/>
                <w:lang w:val="lt-LT"/>
              </w:rPr>
              <w:t>asos</w:t>
            </w:r>
            <w:r w:rsidR="000B4D16" w:rsidRPr="00134F05">
              <w:rPr>
                <w:rFonts w:asciiTheme="majorBidi" w:hAnsiTheme="majorBidi" w:cstheme="majorBidi"/>
                <w:lang w:val="lt-LT"/>
              </w:rPr>
              <w:t xml:space="preserve"> fermentų aktyvumo padidėjimas</w:t>
            </w:r>
          </w:p>
          <w:p w14:paraId="60D180D4" w14:textId="02258DF5" w:rsidR="000B4D16"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Ž</w:t>
            </w:r>
            <w:r w:rsidR="000B4D16" w:rsidRPr="00134F05">
              <w:rPr>
                <w:rFonts w:asciiTheme="majorBidi" w:hAnsiTheme="majorBidi" w:cstheme="majorBidi"/>
                <w:lang w:val="lt-LT"/>
              </w:rPr>
              <w:t>arnyno prakiurimas</w:t>
            </w:r>
          </w:p>
        </w:tc>
      </w:tr>
      <w:tr w:rsidR="000B4D16" w:rsidRPr="00147922" w14:paraId="30D7DA99" w14:textId="77777777" w:rsidTr="00134F05">
        <w:tc>
          <w:tcPr>
            <w:tcW w:w="4530" w:type="dxa"/>
          </w:tcPr>
          <w:p w14:paraId="32556278" w14:textId="772D6CEF"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Kepenų, tulžies pūslės ir latakų sutrikimai</w:t>
            </w:r>
          </w:p>
        </w:tc>
        <w:tc>
          <w:tcPr>
            <w:tcW w:w="4679" w:type="dxa"/>
          </w:tcPr>
          <w:p w14:paraId="6CD3D586" w14:textId="77777777" w:rsidR="00C60A1E" w:rsidRPr="00134F05" w:rsidRDefault="00C60A1E" w:rsidP="000B4D16">
            <w:pPr>
              <w:spacing w:after="0" w:line="240" w:lineRule="auto"/>
              <w:rPr>
                <w:rFonts w:asciiTheme="majorBidi" w:eastAsia="Calibri" w:hAnsiTheme="majorBidi" w:cstheme="majorBidi"/>
                <w:sz w:val="22"/>
                <w:szCs w:val="22"/>
                <w:lang w:val="lt-LT"/>
              </w:rPr>
            </w:pPr>
            <w:r w:rsidRPr="00134F05">
              <w:rPr>
                <w:rFonts w:asciiTheme="majorBidi" w:eastAsia="Calibri" w:hAnsiTheme="majorBidi" w:cstheme="majorBidi"/>
                <w:lang w:val="lt-LT"/>
              </w:rPr>
              <w:t xml:space="preserve">Steatohepatitas </w:t>
            </w:r>
          </w:p>
          <w:p w14:paraId="10AF518A" w14:textId="20A20F8A" w:rsidR="000B4D16" w:rsidRPr="00134F05" w:rsidRDefault="00C60A1E" w:rsidP="000B4D16">
            <w:pPr>
              <w:spacing w:after="0" w:line="240" w:lineRule="auto"/>
              <w:rPr>
                <w:rFonts w:asciiTheme="majorBidi" w:hAnsiTheme="majorBidi" w:cstheme="majorBidi"/>
                <w:sz w:val="22"/>
                <w:szCs w:val="22"/>
                <w:lang w:val="lt-LT"/>
              </w:rPr>
            </w:pPr>
            <w:r w:rsidRPr="00134F05">
              <w:rPr>
                <w:rFonts w:asciiTheme="majorBidi" w:eastAsia="Calibri" w:hAnsiTheme="majorBidi" w:cstheme="majorBidi"/>
                <w:lang w:val="lt-LT"/>
              </w:rPr>
              <w:t>K</w:t>
            </w:r>
            <w:r w:rsidR="000B4D16" w:rsidRPr="00134F05">
              <w:rPr>
                <w:rFonts w:asciiTheme="majorBidi" w:eastAsia="Calibri" w:hAnsiTheme="majorBidi" w:cstheme="majorBidi"/>
                <w:lang w:val="lt-LT"/>
              </w:rPr>
              <w:t>epenų steatozė</w:t>
            </w:r>
          </w:p>
        </w:tc>
      </w:tr>
      <w:tr w:rsidR="00C60A1E" w:rsidRPr="00147922" w14:paraId="2EF4EE04" w14:textId="77777777" w:rsidTr="00134F05">
        <w:tc>
          <w:tcPr>
            <w:tcW w:w="4530" w:type="dxa"/>
          </w:tcPr>
          <w:p w14:paraId="609F3397" w14:textId="7D37C897" w:rsidR="00C60A1E" w:rsidRPr="00134F05" w:rsidRDefault="00C60A1E"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Odos ir poodinio audinio sutrikimai</w:t>
            </w:r>
          </w:p>
        </w:tc>
        <w:tc>
          <w:tcPr>
            <w:tcW w:w="4679" w:type="dxa"/>
          </w:tcPr>
          <w:p w14:paraId="568B0969" w14:textId="776EF63B" w:rsidR="00C60A1E" w:rsidRPr="00134F05" w:rsidRDefault="00C60A1E" w:rsidP="000B4D16">
            <w:pPr>
              <w:spacing w:after="0" w:line="240" w:lineRule="auto"/>
              <w:rPr>
                <w:rFonts w:asciiTheme="majorBidi" w:eastAsia="Calibri" w:hAnsiTheme="majorBidi" w:cstheme="majorBidi"/>
                <w:sz w:val="22"/>
                <w:szCs w:val="22"/>
                <w:lang w:val="lt-LT"/>
              </w:rPr>
            </w:pPr>
            <w:r w:rsidRPr="00134F05">
              <w:rPr>
                <w:rFonts w:asciiTheme="majorBidi" w:eastAsia="Calibri" w:hAnsiTheme="majorBidi" w:cstheme="majorBidi"/>
                <w:lang w:val="lt-LT"/>
              </w:rPr>
              <w:t>Odos reakcija</w:t>
            </w:r>
          </w:p>
        </w:tc>
      </w:tr>
      <w:tr w:rsidR="000B4D16" w:rsidRPr="00147922" w14:paraId="372A59D6" w14:textId="77777777" w:rsidTr="00134F05">
        <w:tc>
          <w:tcPr>
            <w:tcW w:w="4530" w:type="dxa"/>
          </w:tcPr>
          <w:p w14:paraId="4B26EA02" w14:textId="69CE1A5F"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Skeleto, raumenų ir jungiamojo audinio sutrikimai</w:t>
            </w:r>
          </w:p>
        </w:tc>
        <w:tc>
          <w:tcPr>
            <w:tcW w:w="4679" w:type="dxa"/>
          </w:tcPr>
          <w:p w14:paraId="2EEC37ED" w14:textId="7C86E72B" w:rsidR="000B4D16" w:rsidRPr="00134F05" w:rsidRDefault="00C60A1E" w:rsidP="000B4D16">
            <w:pPr>
              <w:spacing w:after="0" w:line="240" w:lineRule="auto"/>
              <w:rPr>
                <w:rFonts w:asciiTheme="majorBidi" w:eastAsia="Calibri" w:hAnsiTheme="majorBidi" w:cstheme="majorBidi"/>
                <w:sz w:val="22"/>
                <w:szCs w:val="22"/>
                <w:lang w:val="lt-LT"/>
              </w:rPr>
            </w:pPr>
            <w:r w:rsidRPr="00134F05">
              <w:rPr>
                <w:rFonts w:asciiTheme="majorBidi" w:hAnsiTheme="majorBidi" w:cstheme="majorBidi"/>
                <w:lang w:val="lt-LT"/>
              </w:rPr>
              <w:t>M</w:t>
            </w:r>
            <w:r w:rsidR="000B4D16" w:rsidRPr="00134F05">
              <w:rPr>
                <w:rFonts w:asciiTheme="majorBidi" w:hAnsiTheme="majorBidi" w:cstheme="majorBidi"/>
                <w:lang w:val="lt-LT"/>
              </w:rPr>
              <w:t>ėšlungis</w:t>
            </w:r>
          </w:p>
        </w:tc>
      </w:tr>
      <w:tr w:rsidR="000B4D16" w:rsidRPr="00147922" w14:paraId="088A2B75" w14:textId="77777777" w:rsidTr="00134F05">
        <w:tc>
          <w:tcPr>
            <w:tcW w:w="4530" w:type="dxa"/>
          </w:tcPr>
          <w:p w14:paraId="79570261" w14:textId="22D6A55A"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Inkstų ir šlapimo takų sutrikimai</w:t>
            </w:r>
          </w:p>
        </w:tc>
        <w:tc>
          <w:tcPr>
            <w:tcW w:w="4679" w:type="dxa"/>
          </w:tcPr>
          <w:p w14:paraId="71F5555B" w14:textId="77777777" w:rsidR="00147922"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Inkstų funkcijos sutrikimas ir ūminis inkstų nepakankamumas</w:t>
            </w:r>
            <w:r w:rsidR="00C60A1E" w:rsidRPr="00134F05">
              <w:rPr>
                <w:rFonts w:asciiTheme="majorBidi" w:hAnsiTheme="majorBidi" w:cstheme="majorBidi"/>
              </w:rPr>
              <w:t xml:space="preserve"> (</w:t>
            </w:r>
            <w:r w:rsidR="00C60A1E" w:rsidRPr="00134F05">
              <w:rPr>
                <w:rFonts w:asciiTheme="majorBidi" w:hAnsiTheme="majorBidi" w:cstheme="majorBidi"/>
                <w:lang w:val="lt-LT"/>
              </w:rPr>
              <w:t>paprastai pacientams, kuriems pasireiškia infekcija ir (arba) kurie netenka skysčių dėl sunkaus toksinio poveikio virškinimo traktui</w:t>
            </w:r>
            <w:r w:rsidR="00C60A1E" w:rsidRPr="00134F05">
              <w:rPr>
                <w:rFonts w:asciiTheme="majorBidi" w:hAnsiTheme="majorBidi" w:cstheme="majorBidi"/>
                <w:vertAlign w:val="superscript"/>
                <w:lang w:val="lt-LT"/>
              </w:rPr>
              <w:t>‡</w:t>
            </w:r>
            <w:r w:rsidRPr="00134F05">
              <w:rPr>
                <w:rFonts w:asciiTheme="majorBidi" w:hAnsiTheme="majorBidi" w:cstheme="majorBidi"/>
                <w:lang w:val="lt-LT"/>
              </w:rPr>
              <w:t xml:space="preserve"> </w:t>
            </w:r>
          </w:p>
          <w:p w14:paraId="1A03380E" w14:textId="21FFEB5F" w:rsidR="000B4D16" w:rsidRPr="00134F05" w:rsidRDefault="00147922" w:rsidP="000B4D16">
            <w:pPr>
              <w:spacing w:after="0" w:line="240" w:lineRule="auto"/>
              <w:rPr>
                <w:rFonts w:asciiTheme="majorBidi" w:eastAsia="Calibri" w:hAnsiTheme="majorBidi" w:cstheme="majorBidi"/>
                <w:sz w:val="22"/>
                <w:szCs w:val="22"/>
                <w:lang w:val="lt-LT"/>
              </w:rPr>
            </w:pPr>
            <w:r w:rsidRPr="00134F05">
              <w:rPr>
                <w:rFonts w:asciiTheme="majorBidi" w:hAnsiTheme="majorBidi" w:cstheme="majorBidi"/>
                <w:lang w:val="lt-LT"/>
              </w:rPr>
              <w:t>I</w:t>
            </w:r>
            <w:r w:rsidR="000B4D16" w:rsidRPr="00134F05">
              <w:rPr>
                <w:rFonts w:asciiTheme="majorBidi" w:hAnsiTheme="majorBidi" w:cstheme="majorBidi"/>
                <w:lang w:val="lt-LT"/>
              </w:rPr>
              <w:t>nkstų nepakankamumas</w:t>
            </w:r>
            <w:r w:rsidRPr="00134F05">
              <w:rPr>
                <w:rFonts w:asciiTheme="majorBidi" w:hAnsiTheme="majorBidi" w:cstheme="majorBidi"/>
                <w:vertAlign w:val="superscript"/>
                <w:lang w:val="lt-LT"/>
              </w:rPr>
              <w:t>‡</w:t>
            </w:r>
          </w:p>
        </w:tc>
      </w:tr>
      <w:tr w:rsidR="000B4D16" w:rsidRPr="00147922" w14:paraId="7706BB15" w14:textId="77777777" w:rsidTr="00134F05">
        <w:tc>
          <w:tcPr>
            <w:tcW w:w="4530" w:type="dxa"/>
          </w:tcPr>
          <w:p w14:paraId="5AB193A2" w14:textId="28ED1196"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Bendrieji sutrikimai ir vartojimo vietos pažeidimai</w:t>
            </w:r>
          </w:p>
        </w:tc>
        <w:tc>
          <w:tcPr>
            <w:tcW w:w="4679" w:type="dxa"/>
          </w:tcPr>
          <w:p w14:paraId="69798C42" w14:textId="6FA80718" w:rsidR="000B4D16" w:rsidRPr="00134F05" w:rsidRDefault="000B4D16" w:rsidP="000B4D16">
            <w:pPr>
              <w:spacing w:after="0" w:line="240" w:lineRule="auto"/>
              <w:rPr>
                <w:rFonts w:asciiTheme="majorBidi" w:hAnsiTheme="majorBidi" w:cstheme="majorBidi"/>
                <w:sz w:val="22"/>
                <w:szCs w:val="22"/>
                <w:lang w:val="lt-LT"/>
              </w:rPr>
            </w:pPr>
            <w:r w:rsidRPr="00134F05">
              <w:rPr>
                <w:rFonts w:asciiTheme="majorBidi" w:hAnsiTheme="majorBidi" w:cstheme="majorBidi"/>
                <w:lang w:val="lt-LT"/>
              </w:rPr>
              <w:t>Infuzijos vietos reakcij</w:t>
            </w:r>
            <w:r w:rsidR="00147922">
              <w:rPr>
                <w:rFonts w:asciiTheme="majorBidi" w:hAnsiTheme="majorBidi" w:cstheme="majorBidi"/>
                <w:sz w:val="22"/>
                <w:szCs w:val="22"/>
                <w:lang w:val="lt-LT"/>
              </w:rPr>
              <w:t>a</w:t>
            </w:r>
          </w:p>
        </w:tc>
      </w:tr>
      <w:tr w:rsidR="00147922" w:rsidRPr="00147922" w14:paraId="7C6A821A" w14:textId="77777777" w:rsidTr="00134F05">
        <w:tc>
          <w:tcPr>
            <w:tcW w:w="4530" w:type="dxa"/>
          </w:tcPr>
          <w:p w14:paraId="158DA40E" w14:textId="77777777" w:rsidR="00147922" w:rsidRPr="00147922" w:rsidRDefault="00147922" w:rsidP="000B4D16">
            <w:pPr>
              <w:spacing w:after="0" w:line="240" w:lineRule="auto"/>
              <w:rPr>
                <w:rFonts w:asciiTheme="majorBidi" w:hAnsiTheme="majorBidi" w:cstheme="majorBidi"/>
                <w:lang w:val="lt-LT"/>
              </w:rPr>
            </w:pPr>
          </w:p>
        </w:tc>
        <w:tc>
          <w:tcPr>
            <w:tcW w:w="4679" w:type="dxa"/>
          </w:tcPr>
          <w:p w14:paraId="195E7A48" w14:textId="77777777" w:rsidR="00147922" w:rsidRDefault="00147922" w:rsidP="000B4D16">
            <w:pPr>
              <w:spacing w:after="0" w:line="240" w:lineRule="auto"/>
              <w:rPr>
                <w:rFonts w:asciiTheme="majorBidi" w:hAnsiTheme="majorBidi" w:cstheme="majorBidi"/>
                <w:lang w:val="lt-LT"/>
              </w:rPr>
            </w:pPr>
            <w:r>
              <w:rPr>
                <w:rFonts w:asciiTheme="majorBidi" w:hAnsiTheme="majorBidi" w:cstheme="majorBidi"/>
                <w:lang w:val="lt-LT"/>
              </w:rPr>
              <w:t>P</w:t>
            </w:r>
            <w:r w:rsidRPr="00147922">
              <w:rPr>
                <w:rFonts w:asciiTheme="majorBidi" w:hAnsiTheme="majorBidi" w:cstheme="majorBidi"/>
                <w:lang w:val="lt-LT"/>
              </w:rPr>
              <w:t>adidėjęs amilazės aktyvumas</w:t>
            </w:r>
          </w:p>
          <w:p w14:paraId="542DBCAE" w14:textId="77777777" w:rsidR="00147922" w:rsidRDefault="00147922" w:rsidP="000B4D16">
            <w:pPr>
              <w:spacing w:after="0" w:line="240" w:lineRule="auto"/>
              <w:rPr>
                <w:rFonts w:asciiTheme="majorBidi" w:hAnsiTheme="majorBidi" w:cstheme="majorBidi"/>
                <w:lang w:val="lt-LT"/>
              </w:rPr>
            </w:pPr>
            <w:r>
              <w:rPr>
                <w:rFonts w:asciiTheme="majorBidi" w:hAnsiTheme="majorBidi" w:cstheme="majorBidi"/>
                <w:lang w:val="lt-LT"/>
              </w:rPr>
              <w:t>P</w:t>
            </w:r>
            <w:r w:rsidRPr="00147922">
              <w:rPr>
                <w:rFonts w:asciiTheme="majorBidi" w:hAnsiTheme="majorBidi" w:cstheme="majorBidi"/>
                <w:lang w:val="lt-LT"/>
              </w:rPr>
              <w:t>adidėjęs lipazės aktyvumas</w:t>
            </w:r>
          </w:p>
          <w:p w14:paraId="522B1480" w14:textId="589F4D75" w:rsidR="00147922" w:rsidRDefault="00147922" w:rsidP="000B4D16">
            <w:pPr>
              <w:spacing w:after="0" w:line="240" w:lineRule="auto"/>
              <w:rPr>
                <w:rFonts w:asciiTheme="majorBidi" w:hAnsiTheme="majorBidi" w:cstheme="majorBidi"/>
                <w:lang w:val="lt-LT"/>
              </w:rPr>
            </w:pPr>
            <w:r>
              <w:rPr>
                <w:rFonts w:asciiTheme="majorBidi" w:hAnsiTheme="majorBidi" w:cstheme="majorBidi"/>
                <w:lang w:val="lt-LT"/>
              </w:rPr>
              <w:t>Hipokalemija</w:t>
            </w:r>
          </w:p>
          <w:p w14:paraId="697FB2E2" w14:textId="393F4579" w:rsidR="00147922" w:rsidRPr="00147922" w:rsidRDefault="00147922" w:rsidP="00147922">
            <w:pPr>
              <w:spacing w:after="0" w:line="240" w:lineRule="auto"/>
              <w:rPr>
                <w:rFonts w:asciiTheme="majorBidi" w:hAnsiTheme="majorBidi" w:cstheme="majorBidi"/>
                <w:lang w:val="lt-LT"/>
              </w:rPr>
            </w:pPr>
            <w:r w:rsidRPr="00147922">
              <w:rPr>
                <w:rFonts w:asciiTheme="majorBidi" w:hAnsiTheme="majorBidi" w:cstheme="majorBidi"/>
                <w:lang w:val="lt-LT"/>
              </w:rPr>
              <w:t xml:space="preserve">Hiponatremija </w:t>
            </w:r>
            <w:r>
              <w:rPr>
                <w:rFonts w:asciiTheme="majorBidi" w:hAnsiTheme="majorBidi" w:cstheme="majorBidi"/>
                <w:lang w:val="lt-LT"/>
              </w:rPr>
              <w:t>(</w:t>
            </w:r>
            <w:r w:rsidRPr="00147922">
              <w:rPr>
                <w:rFonts w:asciiTheme="majorBidi" w:hAnsiTheme="majorBidi" w:cstheme="majorBidi"/>
                <w:lang w:val="lt-LT"/>
              </w:rPr>
              <w:t>dažniausiai susijusi su viduriavimu ir vėmimu</w:t>
            </w:r>
            <w:r>
              <w:rPr>
                <w:rFonts w:asciiTheme="majorBidi" w:hAnsiTheme="majorBidi" w:cstheme="majorBidi"/>
                <w:lang w:val="lt-LT"/>
              </w:rPr>
              <w:t>)</w:t>
            </w:r>
          </w:p>
          <w:p w14:paraId="75DB62CE" w14:textId="1B278C00" w:rsidR="00147922" w:rsidRPr="00147922" w:rsidRDefault="00147922" w:rsidP="00147922">
            <w:pPr>
              <w:spacing w:after="0" w:line="240" w:lineRule="auto"/>
              <w:rPr>
                <w:rFonts w:asciiTheme="majorBidi" w:hAnsiTheme="majorBidi" w:cstheme="majorBidi"/>
                <w:lang w:val="lt-LT"/>
              </w:rPr>
            </w:pPr>
            <w:r w:rsidRPr="00147922">
              <w:rPr>
                <w:rFonts w:asciiTheme="majorBidi" w:hAnsiTheme="majorBidi" w:cstheme="majorBidi"/>
                <w:lang w:val="lt-LT"/>
              </w:rPr>
              <w:t>Transaminazių (t</w:t>
            </w:r>
            <w:r>
              <w:rPr>
                <w:rFonts w:asciiTheme="majorBidi" w:hAnsiTheme="majorBidi" w:cstheme="majorBidi"/>
                <w:lang w:val="lt-LT"/>
              </w:rPr>
              <w:t xml:space="preserve">. </w:t>
            </w:r>
            <w:r w:rsidRPr="00147922">
              <w:rPr>
                <w:rFonts w:asciiTheme="majorBidi" w:hAnsiTheme="majorBidi" w:cstheme="majorBidi"/>
                <w:lang w:val="lt-LT"/>
              </w:rPr>
              <w:t>y</w:t>
            </w:r>
            <w:r>
              <w:rPr>
                <w:rFonts w:asciiTheme="majorBidi" w:hAnsiTheme="majorBidi" w:cstheme="majorBidi"/>
                <w:lang w:val="lt-LT"/>
              </w:rPr>
              <w:t>.</w:t>
            </w:r>
            <w:r w:rsidRPr="00147922">
              <w:rPr>
                <w:rFonts w:asciiTheme="majorBidi" w:hAnsiTheme="majorBidi" w:cstheme="majorBidi"/>
                <w:lang w:val="lt-LT"/>
              </w:rPr>
              <w:t xml:space="preserve"> AST ir ALT) </w:t>
            </w:r>
            <w:r>
              <w:rPr>
                <w:rFonts w:asciiTheme="majorBidi" w:hAnsiTheme="majorBidi" w:cstheme="majorBidi"/>
                <w:lang w:val="lt-LT"/>
              </w:rPr>
              <w:t xml:space="preserve">aktyvumo </w:t>
            </w:r>
            <w:r w:rsidRPr="00147922">
              <w:rPr>
                <w:rFonts w:asciiTheme="majorBidi" w:hAnsiTheme="majorBidi" w:cstheme="majorBidi"/>
                <w:lang w:val="lt-LT"/>
              </w:rPr>
              <w:t>padidėjimas</w:t>
            </w:r>
            <w:r>
              <w:rPr>
                <w:rFonts w:asciiTheme="majorBidi" w:hAnsiTheme="majorBidi" w:cstheme="majorBidi"/>
                <w:lang w:val="lt-LT"/>
              </w:rPr>
              <w:t xml:space="preserve"> (</w:t>
            </w:r>
            <w:r w:rsidRPr="00147922">
              <w:rPr>
                <w:rFonts w:asciiTheme="majorBidi" w:hAnsiTheme="majorBidi" w:cstheme="majorBidi"/>
                <w:lang w:val="lt-LT"/>
              </w:rPr>
              <w:t>nesant progresuojančių metastazių kepenyse</w:t>
            </w:r>
            <w:r>
              <w:rPr>
                <w:rFonts w:asciiTheme="majorBidi" w:hAnsiTheme="majorBidi" w:cstheme="majorBidi"/>
                <w:lang w:val="lt-LT"/>
              </w:rPr>
              <w:t xml:space="preserve"> </w:t>
            </w:r>
            <w:r w:rsidRPr="00147922">
              <w:rPr>
                <w:rFonts w:asciiTheme="majorBidi" w:hAnsiTheme="majorBidi" w:cstheme="majorBidi"/>
                <w:lang w:val="lt-LT"/>
              </w:rPr>
              <w:t>buvo pranešta labai retai</w:t>
            </w:r>
            <w:r>
              <w:rPr>
                <w:rFonts w:asciiTheme="majorBidi" w:hAnsiTheme="majorBidi" w:cstheme="majorBidi"/>
                <w:lang w:val="lt-LT"/>
              </w:rPr>
              <w:t>)</w:t>
            </w:r>
          </w:p>
        </w:tc>
      </w:tr>
    </w:tbl>
    <w:p w14:paraId="3471DD01" w14:textId="77777777" w:rsidR="000B4D16" w:rsidRDefault="000B4D16" w:rsidP="009500C0">
      <w:pPr>
        <w:spacing w:after="0" w:line="240" w:lineRule="auto"/>
        <w:rPr>
          <w:rFonts w:ascii="Times New Roman" w:eastAsia="Times New Roman" w:hAnsi="Times New Roman" w:cs="Times New Roman"/>
          <w:lang w:val="lt-LT"/>
        </w:rPr>
      </w:pPr>
    </w:p>
    <w:p w14:paraId="0EB0BB7B" w14:textId="1C396828" w:rsidR="000B4D16" w:rsidRPr="00E14983" w:rsidRDefault="00147922" w:rsidP="000B4D16">
      <w:pPr>
        <w:autoSpaceDE w:val="0"/>
        <w:autoSpaceDN w:val="0"/>
        <w:adjustRightInd w:val="0"/>
        <w:spacing w:after="0" w:line="240" w:lineRule="auto"/>
        <w:rPr>
          <w:rFonts w:ascii="Times New Roman" w:hAnsi="Times New Roman" w:cs="Times New Roman"/>
          <w:lang w:val="lt-LT"/>
        </w:rPr>
      </w:pPr>
      <w:r w:rsidRPr="005726F5">
        <w:t>*</w:t>
      </w:r>
      <w:r w:rsidR="000B4D16" w:rsidRPr="00E14983">
        <w:rPr>
          <w:rFonts w:ascii="Times New Roman" w:hAnsi="Times New Roman" w:cs="Times New Roman"/>
          <w:lang w:val="lt-LT"/>
        </w:rPr>
        <w:t xml:space="preserve"> Pvz., </w:t>
      </w:r>
      <w:r w:rsidR="000B4D16" w:rsidRPr="00E14983">
        <w:rPr>
          <w:rFonts w:ascii="Times New Roman" w:hAnsi="Times New Roman" w:cs="Times New Roman"/>
          <w:i/>
          <w:iCs/>
          <w:lang w:val="lt-LT"/>
        </w:rPr>
        <w:t>Pneumocystis jirovecii</w:t>
      </w:r>
      <w:r w:rsidR="000B4D16" w:rsidRPr="00E14983">
        <w:rPr>
          <w:rFonts w:ascii="Times New Roman" w:hAnsi="Times New Roman" w:cs="Times New Roman"/>
          <w:lang w:val="lt-LT"/>
        </w:rPr>
        <w:t xml:space="preserve"> sukelta pneumonija, bronchopulmoninė aspergiliozė, sisteminė kandidozė.</w:t>
      </w:r>
    </w:p>
    <w:p w14:paraId="2D151150" w14:textId="126C6617" w:rsidR="000B4D16" w:rsidRPr="00E14983" w:rsidRDefault="00147922" w:rsidP="000B4D16">
      <w:pPr>
        <w:autoSpaceDE w:val="0"/>
        <w:autoSpaceDN w:val="0"/>
        <w:adjustRightInd w:val="0"/>
        <w:spacing w:after="0" w:line="240" w:lineRule="auto"/>
        <w:rPr>
          <w:rFonts w:ascii="Times New Roman" w:hAnsi="Times New Roman" w:cs="Times New Roman"/>
          <w:lang w:val="lt-LT"/>
        </w:rPr>
      </w:pPr>
      <w:r w:rsidRPr="00147922">
        <w:rPr>
          <w:rFonts w:ascii="Times New Roman" w:eastAsia="Times New Roman" w:hAnsi="Times New Roman" w:cs="Times New Roman"/>
          <w:lang w:eastAsia="en-GB"/>
        </w:rPr>
        <w:t>†</w:t>
      </w:r>
      <w:r w:rsidR="000B4D16" w:rsidRPr="00E14983">
        <w:rPr>
          <w:rFonts w:ascii="Times New Roman" w:hAnsi="Times New Roman" w:cs="Times New Roman"/>
          <w:lang w:val="lt-LT"/>
        </w:rPr>
        <w:t xml:space="preserve"> Pvz., juostinė pūslelinė (</w:t>
      </w:r>
      <w:r w:rsidR="000B4D16" w:rsidRPr="00E14983">
        <w:rPr>
          <w:rFonts w:ascii="Times New Roman" w:hAnsi="Times New Roman" w:cs="Times New Roman"/>
          <w:i/>
          <w:iCs/>
          <w:lang w:val="lt-LT"/>
        </w:rPr>
        <w:t>Herpes zoster</w:t>
      </w:r>
      <w:r w:rsidR="000B4D16" w:rsidRPr="00E14983">
        <w:rPr>
          <w:rFonts w:ascii="Times New Roman" w:hAnsi="Times New Roman" w:cs="Times New Roman"/>
          <w:lang w:val="lt-LT"/>
        </w:rPr>
        <w:t>), gripas, hepatito B atsinaujinimas, citomegalo virusų sukeltas kolitas.</w:t>
      </w:r>
    </w:p>
    <w:p w14:paraId="1C45E34F" w14:textId="7F9B5108" w:rsidR="000B4D16" w:rsidRPr="00E14983" w:rsidRDefault="00147922" w:rsidP="000B4D16">
      <w:pPr>
        <w:spacing w:after="0" w:line="240" w:lineRule="auto"/>
        <w:rPr>
          <w:rFonts w:ascii="Times New Roman" w:hAnsi="Times New Roman" w:cs="Times New Roman"/>
          <w:lang w:val="lt-LT"/>
        </w:rPr>
      </w:pPr>
      <w:r w:rsidRPr="00147922">
        <w:rPr>
          <w:rFonts w:ascii="Times New Roman" w:eastAsia="Times New Roman" w:hAnsi="Times New Roman" w:cs="Times New Roman"/>
          <w:lang w:eastAsia="en-GB"/>
        </w:rPr>
        <w:t>‡</w:t>
      </w:r>
      <w:r w:rsidR="000B4D16" w:rsidRPr="00E14983">
        <w:rPr>
          <w:rFonts w:ascii="Times New Roman" w:hAnsi="Times New Roman" w:cs="Times New Roman"/>
          <w:lang w:val="lt-LT"/>
        </w:rPr>
        <w:t xml:space="preserve"> Gauta pranešimų apie nedažnus inkstų nepakankamumo, hipotenzijos arba širdies kraujotakos nepakankamumo atvejus pacientams, kuriems pasireiškė dehidra</w:t>
      </w:r>
      <w:r>
        <w:rPr>
          <w:rFonts w:ascii="Times New Roman" w:hAnsi="Times New Roman" w:cs="Times New Roman"/>
          <w:lang w:val="lt-LT"/>
        </w:rPr>
        <w:t>ta</w:t>
      </w:r>
      <w:r w:rsidR="000B4D16" w:rsidRPr="00E14983">
        <w:rPr>
          <w:rFonts w:ascii="Times New Roman" w:hAnsi="Times New Roman" w:cs="Times New Roman"/>
          <w:lang w:val="lt-LT"/>
        </w:rPr>
        <w:t>cijos epizodų, susijusių su viduriavimu ir (arba) vėmimu arba sepsiu.</w:t>
      </w:r>
    </w:p>
    <w:p w14:paraId="68666481" w14:textId="77777777" w:rsidR="006E62E2" w:rsidRPr="00E14983" w:rsidRDefault="006E62E2" w:rsidP="009500C0">
      <w:pPr>
        <w:spacing w:after="0" w:line="240" w:lineRule="auto"/>
        <w:rPr>
          <w:rFonts w:ascii="Times New Roman" w:eastAsia="Times New Roman" w:hAnsi="Times New Roman" w:cs="Times New Roman"/>
          <w:lang w:val="lt-LT"/>
        </w:rPr>
      </w:pPr>
    </w:p>
    <w:p w14:paraId="644E2E4F" w14:textId="77777777" w:rsidR="009500C0" w:rsidRPr="00E14983" w:rsidRDefault="009500C0" w:rsidP="009500C0">
      <w:pPr>
        <w:keepNext/>
        <w:keepLines/>
        <w:tabs>
          <w:tab w:val="left" w:pos="567"/>
        </w:tabs>
        <w:autoSpaceDE w:val="0"/>
        <w:autoSpaceDN w:val="0"/>
        <w:adjustRightInd w:val="0"/>
        <w:spacing w:after="0" w:line="240" w:lineRule="auto"/>
        <w:rPr>
          <w:rFonts w:ascii="Times New Roman" w:eastAsia="Times New Roman" w:hAnsi="Times New Roman" w:cs="Times New Roman"/>
          <w:snapToGrid w:val="0"/>
          <w:u w:val="single"/>
          <w:lang w:val="lt-LT"/>
        </w:rPr>
      </w:pPr>
      <w:r w:rsidRPr="00E14983">
        <w:rPr>
          <w:rFonts w:ascii="Times New Roman" w:eastAsia="Times New Roman" w:hAnsi="Times New Roman" w:cs="Times New Roman"/>
          <w:snapToGrid w:val="0"/>
          <w:u w:val="single"/>
          <w:lang w:val="lt-LT"/>
        </w:rPr>
        <w:t>Pranešimas apie įtariamas nepageidaujamas reakcijas</w:t>
      </w:r>
    </w:p>
    <w:p w14:paraId="265372D4" w14:textId="5C58B9BA" w:rsidR="009500C0" w:rsidRPr="00E14983" w:rsidRDefault="009500C0" w:rsidP="004B4AAA">
      <w:pPr>
        <w:tabs>
          <w:tab w:val="left" w:pos="567"/>
        </w:tab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 xml:space="preserve">Svarbu pranešti apie įtariamas nepageidaujamas reakcijas, pastebėtas po vaistinio preparato registracijos, nes tai leidžia nuolat stebėti vaistinio preparato naudos ir rizikos santykį. </w:t>
      </w:r>
      <w:r w:rsidR="00755C25" w:rsidRPr="00E14983">
        <w:rPr>
          <w:rFonts w:ascii="Times New Roman" w:eastAsia="Times New Roman" w:hAnsi="Times New Roman" w:cs="Times New Roman"/>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r w:rsidR="00755C25" w:rsidRPr="00E14983">
        <w:rPr>
          <w:rFonts w:ascii="Times New Roman" w:eastAsia="Times New Roman" w:hAnsi="Times New Roman" w:cs="Times New Roman"/>
          <w:color w:val="0000FF"/>
          <w:szCs w:val="24"/>
          <w:u w:val="single"/>
          <w:lang w:val="lt-LT"/>
        </w:rPr>
        <w:t>https://vapris.vvkt.lt/vvkt-web/public/nrvSpecialist</w:t>
      </w:r>
      <w:r w:rsidR="00755C25" w:rsidRPr="00E14983">
        <w:rPr>
          <w:rFonts w:ascii="Times New Roman" w:eastAsia="Times New Roman" w:hAnsi="Times New Roman" w:cs="Times New Roman"/>
          <w:szCs w:val="24"/>
          <w:lang w:val="lt-LT"/>
        </w:rPr>
        <w:t xml:space="preserve"> arba užpildę Sveikatos priežiūros ar farmacijos specialisto pranešimo apie įtariamą nepageidaujamą reakciją (ĮNR) formą, kuri skelbiama </w:t>
      </w:r>
      <w:r w:rsidR="00755C25" w:rsidRPr="00E14983">
        <w:rPr>
          <w:rFonts w:ascii="Times New Roman" w:eastAsia="Times New Roman" w:hAnsi="Times New Roman" w:cs="Times New Roman"/>
          <w:color w:val="0000FF"/>
          <w:szCs w:val="24"/>
          <w:u w:val="single"/>
          <w:lang w:val="lt-LT"/>
        </w:rPr>
        <w:t>https://www.vvkt.lt/index.php?1399030386</w:t>
      </w:r>
      <w:r w:rsidR="00755C25" w:rsidRPr="00E14983">
        <w:rPr>
          <w:rFonts w:ascii="Times New Roman" w:eastAsia="Times New Roman" w:hAnsi="Times New Roman" w:cs="Times New Roman"/>
          <w:szCs w:val="24"/>
          <w:lang w:val="lt-LT"/>
        </w:rPr>
        <w:t>, ir atsiųsti elektroniniu paštu (adresu NepageidaujamaR@vvkt.lt).</w:t>
      </w:r>
    </w:p>
    <w:p w14:paraId="6A68F898" w14:textId="77777777" w:rsidR="009500C0" w:rsidRPr="00E14983" w:rsidRDefault="009500C0" w:rsidP="009500C0">
      <w:pPr>
        <w:widowControl w:val="0"/>
        <w:shd w:val="clear" w:color="auto" w:fill="FFFFFF"/>
        <w:tabs>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5815C74B" w14:textId="77777777" w:rsidR="009500C0" w:rsidRPr="00E14983" w:rsidRDefault="009500C0" w:rsidP="009500C0">
      <w:pPr>
        <w:widowControl w:val="0"/>
        <w:shd w:val="clear" w:color="auto" w:fill="FFFFFF"/>
        <w:tabs>
          <w:tab w:val="left" w:pos="567"/>
          <w:tab w:val="left" w:leader="underscore" w:pos="9082"/>
        </w:tabs>
        <w:autoSpaceDE w:val="0"/>
        <w:autoSpaceDN w:val="0"/>
        <w:adjustRightInd w:val="0"/>
        <w:snapToGrid w:val="0"/>
        <w:spacing w:after="0" w:line="240" w:lineRule="auto"/>
        <w:jc w:val="both"/>
        <w:rPr>
          <w:rFonts w:ascii="Times New Roman" w:eastAsia="Times New Roman" w:hAnsi="Times New Roman" w:cs="Times New Roman"/>
          <w:b/>
          <w:bCs/>
          <w:lang w:val="lt-LT"/>
        </w:rPr>
      </w:pPr>
      <w:r w:rsidRPr="00E14983">
        <w:rPr>
          <w:rFonts w:ascii="Times New Roman" w:eastAsia="Times New Roman" w:hAnsi="Times New Roman" w:cs="Times New Roman"/>
          <w:b/>
          <w:bCs/>
          <w:color w:val="000000"/>
          <w:lang w:val="lt-LT"/>
        </w:rPr>
        <w:t>4.9</w:t>
      </w:r>
      <w:r w:rsidRPr="00E14983">
        <w:rPr>
          <w:rFonts w:ascii="Times New Roman" w:eastAsia="Times New Roman" w:hAnsi="Times New Roman" w:cs="Times New Roman"/>
          <w:b/>
          <w:bCs/>
          <w:color w:val="000000"/>
          <w:lang w:val="lt-LT"/>
        </w:rPr>
        <w:tab/>
        <w:t>Perdozavimas</w:t>
      </w:r>
    </w:p>
    <w:p w14:paraId="568B6D8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8E90C22" w14:textId="77777777" w:rsidR="0004246E" w:rsidRPr="00E14983" w:rsidRDefault="0004246E" w:rsidP="0004246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Simptomai</w:t>
      </w:r>
    </w:p>
    <w:p w14:paraId="0944508D" w14:textId="3B67BEFA" w:rsidR="0004246E"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Yra pranešimų apie perdozavimą, kai buvo vartojamos maždaug du kartus didesnės nei rekomenduojamos gydomosios dozės, nuo kurių gali ištikti mirtis. Svarbiausios nepageidaujamos perdozavimo reakcijos buvo sunki neutropenija ir stiprus viduriavimas. </w:t>
      </w:r>
    </w:p>
    <w:p w14:paraId="634E852B" w14:textId="77777777" w:rsidR="0004246E" w:rsidRPr="00E14983" w:rsidRDefault="0004246E"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5657B9E8" w14:textId="1616505E" w:rsidR="0004246E" w:rsidRPr="00E14983" w:rsidRDefault="00531E04" w:rsidP="0004246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Gyd</w:t>
      </w:r>
      <w:r w:rsidR="0004246E" w:rsidRPr="00E14983">
        <w:rPr>
          <w:rFonts w:ascii="Times New Roman" w:eastAsia="Times New Roman" w:hAnsi="Times New Roman" w:cs="Times New Roman"/>
          <w:color w:val="000000"/>
          <w:lang w:val="lt-LT"/>
        </w:rPr>
        <w:t>ymas</w:t>
      </w:r>
    </w:p>
    <w:p w14:paraId="3DF683E1" w14:textId="7115EDED"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Irinotecan Accord 20 mg/ml koncentrato infuziniam tirpalui priešnuodis nežinomas. Reikia taikyti palaikomąjį gydymą, kad dėl viduriavimo neatsirastų dehidra</w:t>
      </w:r>
      <w:r w:rsidR="00531E04" w:rsidRPr="00E14983">
        <w:rPr>
          <w:rFonts w:ascii="Times New Roman" w:eastAsia="Times New Roman" w:hAnsi="Times New Roman" w:cs="Times New Roman"/>
          <w:color w:val="000000"/>
          <w:lang w:val="lt-LT"/>
        </w:rPr>
        <w:t>ta</w:t>
      </w:r>
      <w:r w:rsidRPr="00E14983">
        <w:rPr>
          <w:rFonts w:ascii="Times New Roman" w:eastAsia="Times New Roman" w:hAnsi="Times New Roman" w:cs="Times New Roman"/>
          <w:color w:val="000000"/>
          <w:lang w:val="lt-LT"/>
        </w:rPr>
        <w:t>cij</w:t>
      </w:r>
      <w:r w:rsidR="00531E04" w:rsidRPr="00E14983">
        <w:rPr>
          <w:rFonts w:ascii="Times New Roman" w:eastAsia="Times New Roman" w:hAnsi="Times New Roman" w:cs="Times New Roman"/>
          <w:color w:val="000000"/>
          <w:lang w:val="lt-LT"/>
        </w:rPr>
        <w:t>a</w:t>
      </w:r>
      <w:r w:rsidRPr="00E14983">
        <w:rPr>
          <w:rFonts w:ascii="Times New Roman" w:eastAsia="Times New Roman" w:hAnsi="Times New Roman" w:cs="Times New Roman"/>
          <w:color w:val="000000"/>
          <w:lang w:val="lt-LT"/>
        </w:rPr>
        <w:t>, ir gydyti infekcijos sukeltas komplikacijas.</w:t>
      </w:r>
    </w:p>
    <w:p w14:paraId="352E176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4445450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3076F41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5.</w:t>
      </w:r>
      <w:r w:rsidRPr="00E14983">
        <w:rPr>
          <w:rFonts w:ascii="Times New Roman" w:eastAsia="Times New Roman" w:hAnsi="Times New Roman" w:cs="Times New Roman"/>
          <w:b/>
          <w:bCs/>
          <w:color w:val="000000"/>
          <w:lang w:val="lt-LT"/>
        </w:rPr>
        <w:tab/>
        <w:t>FARMAKOLOGINĖS SAVYBĖS</w:t>
      </w:r>
    </w:p>
    <w:p w14:paraId="5E7FE80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6BF6540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5.1</w:t>
      </w:r>
      <w:r w:rsidRPr="00E14983">
        <w:rPr>
          <w:rFonts w:ascii="Times New Roman" w:eastAsia="Times New Roman" w:hAnsi="Times New Roman" w:cs="Times New Roman"/>
          <w:b/>
          <w:bCs/>
          <w:color w:val="000000"/>
          <w:lang w:val="lt-LT"/>
        </w:rPr>
        <w:tab/>
        <w:t>Farmakodinaminės savybės</w:t>
      </w:r>
    </w:p>
    <w:p w14:paraId="64025C7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9A15B67" w14:textId="0655F09C"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Farmakoterapinė grupė – priešnavikiniai preparatai, </w:t>
      </w:r>
      <w:r w:rsidR="00147922" w:rsidRPr="00147922">
        <w:rPr>
          <w:rFonts w:ascii="Times New Roman" w:eastAsia="Times New Roman" w:hAnsi="Times New Roman" w:cs="Times New Roman"/>
          <w:color w:val="000000"/>
          <w:lang w:val="lt-LT"/>
        </w:rPr>
        <w:t>topoizomerazės I inhibitorius</w:t>
      </w:r>
      <w:r w:rsidR="00147922">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 xml:space="preserve">ATC kodas – </w:t>
      </w:r>
      <w:r w:rsidR="008B7A83" w:rsidRPr="004B4AAA">
        <w:rPr>
          <w:rFonts w:ascii="Times New Roman" w:eastAsia="Times New Roman" w:hAnsi="Times New Roman" w:cs="Times New Roman"/>
          <w:color w:val="000000"/>
          <w:lang w:val="lt-LT"/>
        </w:rPr>
        <w:t>L01CE02</w:t>
      </w:r>
      <w:r w:rsidRPr="00E14983">
        <w:rPr>
          <w:rFonts w:ascii="Times New Roman" w:eastAsia="Times New Roman" w:hAnsi="Times New Roman" w:cs="Times New Roman"/>
          <w:color w:val="000000"/>
          <w:lang w:val="lt-LT"/>
        </w:rPr>
        <w:t>.</w:t>
      </w:r>
    </w:p>
    <w:p w14:paraId="4E3C5E0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058899BF" w14:textId="71559DBF" w:rsidR="0004246E" w:rsidRPr="00E14983" w:rsidRDefault="00531E04" w:rsidP="0004246E">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u w:val="single"/>
          <w:lang w:val="lt-LT"/>
        </w:rPr>
      </w:pPr>
      <w:r w:rsidRPr="00E14983">
        <w:rPr>
          <w:rFonts w:ascii="Times New Roman" w:eastAsia="Times New Roman" w:hAnsi="Times New Roman" w:cs="Times New Roman"/>
          <w:color w:val="000000"/>
          <w:u w:val="single"/>
          <w:lang w:val="lt-LT"/>
        </w:rPr>
        <w:t>Veikimo</w:t>
      </w:r>
      <w:r w:rsidR="0004246E" w:rsidRPr="00E14983">
        <w:rPr>
          <w:rFonts w:ascii="Times New Roman" w:eastAsia="Times New Roman" w:hAnsi="Times New Roman" w:cs="Times New Roman"/>
          <w:color w:val="000000"/>
          <w:u w:val="single"/>
          <w:lang w:val="lt-LT"/>
        </w:rPr>
        <w:t xml:space="preserve"> mechanizmas</w:t>
      </w:r>
    </w:p>
    <w:p w14:paraId="2344128E" w14:textId="77777777" w:rsidR="0004246E" w:rsidRPr="00E14983" w:rsidRDefault="0004246E"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7CF003B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r w:rsidRPr="00E14983">
        <w:rPr>
          <w:rFonts w:ascii="Times New Roman" w:eastAsia="Times New Roman" w:hAnsi="Times New Roman" w:cs="Times New Roman"/>
          <w:bCs/>
          <w:color w:val="000000"/>
          <w:u w:val="single"/>
          <w:lang w:val="lt-LT"/>
        </w:rPr>
        <w:t>Eksperimentiniai duomenys</w:t>
      </w:r>
    </w:p>
    <w:p w14:paraId="1ECA6C4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Irinotekanas yra pusiau sintetinis kamptotecino darinys. Tai priešnavikinis preparatas veikiantis kaip DNR topoizomerazės I specifinis inhibitorius. Daugelyje audinių karboksilesterazė metabolizuoja irinotekaną į SN-38, kuris </w:t>
      </w:r>
      <w:r w:rsidRPr="00E14983">
        <w:rPr>
          <w:rFonts w:ascii="Times New Roman" w:eastAsia="Times New Roman" w:hAnsi="Times New Roman" w:cs="Times New Roman"/>
          <w:lang w:val="lt-LT"/>
        </w:rPr>
        <w:t>daug aktyviau negu irinotekanas veikia išgrynintą topoizomerazę I</w:t>
      </w:r>
      <w:r w:rsidRPr="00E14983">
        <w:rPr>
          <w:rFonts w:ascii="Times New Roman" w:eastAsia="Times New Roman" w:hAnsi="Times New Roman" w:cs="Times New Roman"/>
          <w:color w:val="000000"/>
          <w:lang w:val="lt-LT"/>
        </w:rPr>
        <w:t xml:space="preserve"> ir labiau citotoksiškas nei irinotekanas kelioms pelių ir žmogaus navikinių ląstelių linijoms. DNR topoizomerazės I slopinimas irinotekanu arba SN-38 sukelia vienos grandies DNR pažeidimus, kurie blokuoja DNR replikacijos šakutę ir sukelia citotoksinį poveikį. Ši citotoksinis poveikis priklausė nuo laiko ir buvo būdingas S fazei.</w:t>
      </w:r>
    </w:p>
    <w:p w14:paraId="56A8A4A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EC171B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i/>
          <w:iCs/>
          <w:color w:val="000000"/>
          <w:lang w:val="lt-LT"/>
        </w:rPr>
        <w:t xml:space="preserve">In vitro, </w:t>
      </w:r>
      <w:r w:rsidRPr="00E14983">
        <w:rPr>
          <w:rFonts w:ascii="Times New Roman" w:eastAsia="Times New Roman" w:hAnsi="Times New Roman" w:cs="Times New Roman"/>
          <w:color w:val="000000"/>
          <w:lang w:val="lt-LT"/>
        </w:rPr>
        <w:t>irinotekano ir SN-38 reikšmingai neveikia P-glikoproteino suformuotas daugybinis atsparumas vaistiniams preparatams, todėl pasireiškia citotoksinis poveikis doksorubicinui ir vinblastinui atsparioms ląstelių linijoms.</w:t>
      </w:r>
    </w:p>
    <w:p w14:paraId="7E3515A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558DB2F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Be to, </w:t>
      </w:r>
      <w:r w:rsidRPr="00E14983">
        <w:rPr>
          <w:rFonts w:ascii="Times New Roman" w:eastAsia="Times New Roman" w:hAnsi="Times New Roman" w:cs="Times New Roman"/>
          <w:i/>
          <w:lang w:val="lt-LT"/>
        </w:rPr>
        <w:t>in vivo</w:t>
      </w:r>
      <w:r w:rsidRPr="00E14983">
        <w:rPr>
          <w:rFonts w:ascii="Times New Roman" w:eastAsia="Times New Roman" w:hAnsi="Times New Roman" w:cs="Times New Roman"/>
          <w:lang w:val="lt-LT"/>
        </w:rPr>
        <w:t xml:space="preserve"> irinotekanui būdingas platus priešnavikinis aktyvumas prieš pelių navikų modelius </w:t>
      </w:r>
      <w:r w:rsidRPr="00E14983">
        <w:rPr>
          <w:rFonts w:ascii="Times New Roman" w:eastAsia="Times New Roman" w:hAnsi="Times New Roman" w:cs="Times New Roman"/>
          <w:color w:val="000000"/>
          <w:lang w:val="lt-LT"/>
        </w:rPr>
        <w:t>(P03 kasos latakų adenokarcinoma, MA 16/C krūtų adenokarcinoma, C38 ir C51 gaubtinės žarnos adenokarcinomos) ir žmogaus ksenotransplantatus (Co-4 gaubtinės žarnos adenokarcinoma, Mx-1 krūties adenokarcinoma, ST-15 ir SC-16 skrandžio adenokarcinomos). Irinotekanas taip pat aktyviai veikia navikus, pasižyminčius P-glikoproteino daugybiniu atsparumu vaistiniams preparatams (vinkristinui ir doksorubicinui atspariai P388 leukemijai).</w:t>
      </w:r>
    </w:p>
    <w:p w14:paraId="38187AA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iCs/>
          <w:color w:val="000000"/>
          <w:lang w:val="lt-LT"/>
        </w:rPr>
        <w:t xml:space="preserve">Irinotekanas </w:t>
      </w:r>
      <w:r w:rsidRPr="00E14983">
        <w:rPr>
          <w:rFonts w:ascii="Times New Roman" w:eastAsia="Times New Roman" w:hAnsi="Times New Roman" w:cs="Times New Roman"/>
          <w:color w:val="000000"/>
          <w:lang w:val="lt-LT"/>
        </w:rPr>
        <w:t>be</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iCs/>
          <w:color w:val="000000"/>
          <w:lang w:val="lt-LT"/>
        </w:rPr>
        <w:t>prieš</w:t>
      </w:r>
      <w:r w:rsidRPr="00E14983">
        <w:rPr>
          <w:rFonts w:ascii="Times New Roman" w:eastAsia="Times New Roman" w:hAnsi="Times New Roman" w:cs="Times New Roman"/>
          <w:color w:val="000000"/>
          <w:lang w:val="lt-LT"/>
        </w:rPr>
        <w:t>navikinio poveikio, taip pat pasižymi acetilcholinesterazės slopinimu.</w:t>
      </w:r>
    </w:p>
    <w:p w14:paraId="1E259A2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23989DD2"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bCs/>
          <w:color w:val="000000"/>
          <w:u w:val="single"/>
          <w:lang w:val="lt-LT"/>
        </w:rPr>
        <w:lastRenderedPageBreak/>
        <w:t>Klinikiniai duomenys</w:t>
      </w:r>
    </w:p>
    <w:p w14:paraId="30EB433A"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u w:val="single"/>
          <w:lang w:val="lt-LT"/>
        </w:rPr>
      </w:pPr>
      <w:r w:rsidRPr="00E14983">
        <w:rPr>
          <w:rFonts w:ascii="Times New Roman" w:eastAsia="Times New Roman" w:hAnsi="Times New Roman" w:cs="Times New Roman"/>
          <w:i/>
          <w:color w:val="000000"/>
          <w:u w:val="single"/>
          <w:lang w:val="lt-LT"/>
        </w:rPr>
        <w:t xml:space="preserve">Taikant pirmaeilį kombinuotą metastazavusio gaubtinės ir tiesiosios žarnos vėžio gydymą </w:t>
      </w:r>
    </w:p>
    <w:p w14:paraId="4C7EDBEA"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Kombinuotas gydymas su folino rūgštimi ir 5-fluorouracilu</w:t>
      </w:r>
    </w:p>
    <w:p w14:paraId="39C783AA"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III fazės tyrimas </w:t>
      </w:r>
      <w:r w:rsidRPr="00E14983">
        <w:rPr>
          <w:rFonts w:ascii="Times New Roman" w:eastAsia="Times New Roman" w:hAnsi="Times New Roman" w:cs="Times New Roman"/>
          <w:color w:val="000000"/>
          <w:lang w:val="lt-LT"/>
        </w:rPr>
        <w:t xml:space="preserve">buvo vykdomas su 385 anksčiau negydytais pacientais, sergančiais metastazavusiu </w:t>
      </w:r>
      <w:r w:rsidRPr="00E14983">
        <w:rPr>
          <w:rFonts w:ascii="Times New Roman" w:eastAsia="Times New Roman" w:hAnsi="Times New Roman" w:cs="Times New Roman"/>
          <w:lang w:val="lt-LT"/>
        </w:rPr>
        <w:t>gaubtinės ir tiesiosios</w:t>
      </w:r>
      <w:r w:rsidRPr="00E14983">
        <w:rPr>
          <w:rFonts w:ascii="Times New Roman" w:eastAsia="Times New Roman" w:hAnsi="Times New Roman" w:cs="Times New Roman"/>
          <w:color w:val="000000"/>
          <w:lang w:val="lt-LT"/>
        </w:rPr>
        <w:t xml:space="preserve"> žarnos vėžiu, kurie vaistinį preparatą vartojo kas dvi savaites (žr. 4.2 skyrių) arba kas savaitę. Pagal kiekvieną dviejų savaičių schemą pirmą parą sulašinus 180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iCs/>
          <w:color w:val="000000"/>
          <w:lang w:val="lt-LT"/>
        </w:rPr>
        <w:t>irinotekano</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kartą per dvi savaites, atliekama folino rūgšties (200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per 2 valandas į veną) ir 5-fluorouracilo (400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boliusu į veną ir 600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infuzuojama per 22 valandas) infuzija. Antrą parą folino rūgštis ir 5-fluorouracilas vartojamas tokiomis pačiomis dozėmis ir schemomis. Pagal savaitinę gydymo schemą, sulašinus 80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iCs/>
          <w:color w:val="000000"/>
          <w:lang w:val="lt-LT"/>
        </w:rPr>
        <w:t>irinotekano</w:t>
      </w:r>
      <w:r w:rsidRPr="00E14983">
        <w:rPr>
          <w:rFonts w:ascii="Times New Roman" w:eastAsia="Times New Roman" w:hAnsi="Times New Roman" w:cs="Times New Roman"/>
          <w:color w:val="000000"/>
          <w:lang w:val="lt-LT"/>
        </w:rPr>
        <w:t>, atliekama</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folino rūgšties (500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per 2 valandas į veną) ir 5-fluorouracilo (2300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infuzuojama per 24 valandas) infuzija šešias savaites.</w:t>
      </w:r>
    </w:p>
    <w:p w14:paraId="3612DA9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C579CE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Kombinuotos terapijos tyrime su 2 anksčiau aprašytomis dozavimo schemomis i</w:t>
      </w:r>
      <w:r w:rsidRPr="00E14983">
        <w:rPr>
          <w:rFonts w:ascii="Times New Roman" w:eastAsia="Times New Roman" w:hAnsi="Times New Roman" w:cs="Times New Roman"/>
          <w:iCs/>
          <w:color w:val="000000"/>
          <w:lang w:val="lt-LT"/>
        </w:rPr>
        <w:t>rinotekano</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veiksmingumas buvo įvertintas 198 pacientams:</w:t>
      </w:r>
    </w:p>
    <w:p w14:paraId="182C2F6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tbl>
      <w:tblPr>
        <w:tblW w:w="9345" w:type="dxa"/>
        <w:tblInd w:w="40" w:type="dxa"/>
        <w:tblLayout w:type="fixed"/>
        <w:tblCellMar>
          <w:left w:w="40" w:type="dxa"/>
          <w:right w:w="40" w:type="dxa"/>
        </w:tblCellMar>
        <w:tblLook w:val="04A0" w:firstRow="1" w:lastRow="0" w:firstColumn="1" w:lastColumn="0" w:noHBand="0" w:noVBand="1"/>
      </w:tblPr>
      <w:tblGrid>
        <w:gridCol w:w="1562"/>
        <w:gridCol w:w="1276"/>
        <w:gridCol w:w="1273"/>
        <w:gridCol w:w="1279"/>
        <w:gridCol w:w="1276"/>
        <w:gridCol w:w="1375"/>
        <w:gridCol w:w="1304"/>
      </w:tblGrid>
      <w:tr w:rsidR="000D6608" w:rsidRPr="00E14983" w14:paraId="75DCA303" w14:textId="77777777" w:rsidTr="00B077D6">
        <w:tc>
          <w:tcPr>
            <w:tcW w:w="1560" w:type="dxa"/>
            <w:tcBorders>
              <w:top w:val="single" w:sz="6" w:space="0" w:color="auto"/>
              <w:left w:val="single" w:sz="6" w:space="0" w:color="auto"/>
              <w:bottom w:val="nil"/>
              <w:right w:val="single" w:sz="6" w:space="0" w:color="auto"/>
            </w:tcBorders>
            <w:shd w:val="clear" w:color="auto" w:fill="FFFFFF"/>
          </w:tcPr>
          <w:p w14:paraId="72234D32"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4F555BA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Kombinuoto gydymo schemos (n = 198)</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18A992C0"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Preparatų vartota kas savaitę</w:t>
            </w:r>
          </w:p>
          <w:p w14:paraId="3C6F8001"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(n = 50)</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1C8E7F4E"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Preparatų vartota kas 2 savaites</w:t>
            </w:r>
          </w:p>
          <w:p w14:paraId="21B69E1E"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(n = 148)</w:t>
            </w:r>
          </w:p>
        </w:tc>
      </w:tr>
      <w:tr w:rsidR="000D6608" w:rsidRPr="00E14983" w14:paraId="69EBEE1F" w14:textId="77777777" w:rsidTr="00B077D6">
        <w:tc>
          <w:tcPr>
            <w:tcW w:w="1560" w:type="dxa"/>
            <w:tcBorders>
              <w:top w:val="nil"/>
              <w:left w:val="single" w:sz="6" w:space="0" w:color="auto"/>
              <w:bottom w:val="single" w:sz="6" w:space="0" w:color="auto"/>
              <w:right w:val="single" w:sz="6" w:space="0" w:color="auto"/>
            </w:tcBorders>
            <w:shd w:val="clear" w:color="auto" w:fill="FFFFFF"/>
          </w:tcPr>
          <w:p w14:paraId="2C669A2F"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7735CCB8"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i/>
                <w:iCs/>
                <w:lang w:val="lt-LT"/>
              </w:rPr>
            </w:pPr>
            <w:r w:rsidRPr="00E14983">
              <w:rPr>
                <w:rFonts w:ascii="Times New Roman" w:eastAsia="Times New Roman" w:hAnsi="Times New Roman" w:cs="Times New Roman"/>
                <w:i/>
                <w:iCs/>
                <w:color w:val="000000"/>
                <w:lang w:val="lt-LT"/>
              </w:rPr>
              <w:t>Irinotekanas</w:t>
            </w:r>
          </w:p>
          <w:p w14:paraId="65FBB24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03F2CBA0"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147A6257"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i/>
                <w:iCs/>
                <w:lang w:val="lt-LT"/>
              </w:rPr>
            </w:pPr>
            <w:r w:rsidRPr="00E14983">
              <w:rPr>
                <w:rFonts w:ascii="Times New Roman" w:eastAsia="Times New Roman" w:hAnsi="Times New Roman" w:cs="Times New Roman"/>
                <w:i/>
                <w:iCs/>
                <w:color w:val="000000"/>
                <w:lang w:val="lt-LT"/>
              </w:rPr>
              <w:t>Irinotekanas</w:t>
            </w:r>
          </w:p>
          <w:p w14:paraId="361B5356"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158D8C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5880BED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i/>
                <w:iCs/>
                <w:lang w:val="lt-LT"/>
              </w:rPr>
            </w:pPr>
            <w:r w:rsidRPr="00E14983">
              <w:rPr>
                <w:rFonts w:ascii="Times New Roman" w:eastAsia="Times New Roman" w:hAnsi="Times New Roman" w:cs="Times New Roman"/>
                <w:i/>
                <w:iCs/>
                <w:color w:val="000000"/>
                <w:lang w:val="lt-LT"/>
              </w:rPr>
              <w:t>Irinotekanas</w:t>
            </w:r>
          </w:p>
          <w:p w14:paraId="5E25ACDF"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6665C96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5FU/FR</w:t>
            </w:r>
          </w:p>
        </w:tc>
      </w:tr>
      <w:tr w:rsidR="000D6608" w:rsidRPr="00E14983" w14:paraId="0DAED4B1"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B1B119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Atsako dažnis ( %)</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787E06F8"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40,8*</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15DE5EBE"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23,1*</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0EE5623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51,2*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0F66F0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28,6*</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590DB06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37,5*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7D35A2A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21,6*</w:t>
            </w:r>
          </w:p>
        </w:tc>
      </w:tr>
      <w:tr w:rsidR="009500C0" w:rsidRPr="00E14983" w14:paraId="79823061"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072237F0"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46C8970D" w14:textId="5AC86346"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&lt;</w:t>
            </w:r>
            <w:r w:rsidR="00C457B2"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1857B5A7"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0,045</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77E078AB"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0,005</w:t>
            </w:r>
          </w:p>
        </w:tc>
      </w:tr>
      <w:tr w:rsidR="000D6608" w:rsidRPr="00E14983" w14:paraId="09FE7F23"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tcPr>
          <w:p w14:paraId="1286E79C"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Laiko iki ligos progresavimo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C70149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6,7</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52D2417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4,4</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67273C70"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7,2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7468155"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6,5</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16DC8242"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247DD26E"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3,7</w:t>
            </w:r>
          </w:p>
        </w:tc>
      </w:tr>
      <w:tr w:rsidR="009500C0" w:rsidRPr="00E14983" w14:paraId="779C7E94"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0360058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15C10581" w14:textId="7DDEDBEE"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&lt;</w:t>
            </w:r>
            <w:r w:rsidR="00C457B2"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28FCEA3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09B1732F"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0,001</w:t>
            </w:r>
          </w:p>
        </w:tc>
      </w:tr>
      <w:tr w:rsidR="000D6608" w:rsidRPr="00E14983" w14:paraId="4C16B926"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tcPr>
          <w:p w14:paraId="49B0EFEC"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Atsako trukmės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23F109D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9,3</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7112BC5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8,8</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76D13E62"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8,9</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54532685"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6,7</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14F98BF8"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9,3</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447B5FCB"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9,5</w:t>
            </w:r>
          </w:p>
        </w:tc>
      </w:tr>
      <w:tr w:rsidR="009500C0" w:rsidRPr="00E14983" w14:paraId="336BF925"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1EC9CECF"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3F0F932C"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538DCCC2"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0,043</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01F51D26"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r>
      <w:tr w:rsidR="000D6608" w:rsidRPr="00E14983" w14:paraId="4B83D7AE"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tcPr>
          <w:p w14:paraId="5041DF1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Atsako ir stabilizavimo trukmės mediana (mėnesiais)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0A17DC8F"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8,6</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507508B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6,2</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34DBC86B"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8,3</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6EA48157"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6,7</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3802E9F5"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8,5</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62D61F8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5,6</w:t>
            </w:r>
          </w:p>
        </w:tc>
      </w:tr>
      <w:tr w:rsidR="009500C0" w:rsidRPr="00E14983" w14:paraId="318E1C50"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1BF6080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489FAC65" w14:textId="0F52A77F"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&lt;</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0,001</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30A57815"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56FC8BDA"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0,003</w:t>
            </w:r>
          </w:p>
        </w:tc>
      </w:tr>
      <w:tr w:rsidR="000D6608" w:rsidRPr="00E14983" w14:paraId="1C039084"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tcPr>
          <w:p w14:paraId="33E0F50A" w14:textId="77777777" w:rsidR="009500C0" w:rsidRPr="00E14983" w:rsidRDefault="009500C0" w:rsidP="00B077D6">
            <w:pPr>
              <w:widowControl w:val="0"/>
              <w:shd w:val="clear" w:color="auto" w:fill="FFFFFF"/>
              <w:tabs>
                <w:tab w:val="left" w:pos="567"/>
                <w:tab w:val="left" w:pos="1310"/>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Trukmės </w:t>
            </w:r>
            <w:r w:rsidRPr="00E14983">
              <w:rPr>
                <w:rFonts w:ascii="Times New Roman" w:eastAsia="Times New Roman" w:hAnsi="Times New Roman" w:cs="Times New Roman"/>
                <w:lang w:val="lt-LT"/>
              </w:rPr>
              <w:t xml:space="preserve">per kurią gydymas tapo neveiksmingas mediana </w:t>
            </w:r>
            <w:r w:rsidRPr="00E14983">
              <w:rPr>
                <w:rFonts w:ascii="Times New Roman" w:eastAsia="Times New Roman" w:hAnsi="Times New Roman" w:cs="Times New Roman"/>
                <w:color w:val="000000"/>
                <w:lang w:val="lt-LT"/>
              </w:rPr>
              <w:t>(mėnesiais)</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58256184"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5,3</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2D1AD97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3,8</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7A15CC9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5,4</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3156FB06"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5,0</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70E8EF51"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5,1</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3331E3F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3,0</w:t>
            </w:r>
          </w:p>
        </w:tc>
      </w:tr>
      <w:tr w:rsidR="009500C0" w:rsidRPr="00E14983" w14:paraId="0B598D53"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4FCBCF40"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58DAA60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0,0014</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572094AA"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17F41F18" w14:textId="66571A39" w:rsidR="009500C0" w:rsidRPr="00E14983" w:rsidRDefault="008F4321"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w:t>
            </w:r>
            <w:r w:rsidR="009500C0" w:rsidRPr="00E14983">
              <w:rPr>
                <w:rFonts w:ascii="Times New Roman" w:eastAsia="Times New Roman" w:hAnsi="Times New Roman" w:cs="Times New Roman"/>
                <w:color w:val="000000"/>
                <w:lang w:val="lt-LT"/>
              </w:rPr>
              <w:t>&lt;</w:t>
            </w:r>
            <w:r w:rsidRPr="00E14983">
              <w:rPr>
                <w:rFonts w:ascii="Times New Roman" w:eastAsia="Times New Roman" w:hAnsi="Times New Roman" w:cs="Times New Roman"/>
                <w:color w:val="000000"/>
                <w:lang w:val="lt-LT"/>
              </w:rPr>
              <w:t> </w:t>
            </w:r>
            <w:r w:rsidR="009500C0" w:rsidRPr="00E14983">
              <w:rPr>
                <w:rFonts w:ascii="Times New Roman" w:eastAsia="Times New Roman" w:hAnsi="Times New Roman" w:cs="Times New Roman"/>
                <w:color w:val="000000"/>
                <w:lang w:val="lt-LT"/>
              </w:rPr>
              <w:t>0,001</w:t>
            </w:r>
          </w:p>
        </w:tc>
      </w:tr>
      <w:tr w:rsidR="000D6608" w:rsidRPr="00E14983" w14:paraId="05C5FBD2" w14:textId="77777777" w:rsidTr="00B077D6">
        <w:tc>
          <w:tcPr>
            <w:tcW w:w="1560" w:type="dxa"/>
            <w:tcBorders>
              <w:top w:val="single" w:sz="6" w:space="0" w:color="auto"/>
              <w:left w:val="single" w:sz="6" w:space="0" w:color="auto"/>
              <w:bottom w:val="single" w:sz="6" w:space="0" w:color="auto"/>
              <w:right w:val="single" w:sz="6" w:space="0" w:color="auto"/>
            </w:tcBorders>
            <w:shd w:val="clear" w:color="auto" w:fill="FFFFFF"/>
          </w:tcPr>
          <w:p w14:paraId="058F661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Išgyvenamumo (mėnesiais) mediana</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14:paraId="694B8DD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16,8</w:t>
            </w:r>
          </w:p>
        </w:tc>
        <w:tc>
          <w:tcPr>
            <w:tcW w:w="1273" w:type="dxa"/>
            <w:tcBorders>
              <w:top w:val="single" w:sz="6" w:space="0" w:color="auto"/>
              <w:left w:val="single" w:sz="6" w:space="0" w:color="auto"/>
              <w:bottom w:val="single" w:sz="6" w:space="0" w:color="auto"/>
              <w:right w:val="single" w:sz="6" w:space="0" w:color="auto"/>
            </w:tcBorders>
            <w:shd w:val="clear" w:color="auto" w:fill="FFFFFF"/>
          </w:tcPr>
          <w:p w14:paraId="128E428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14,0</w:t>
            </w:r>
          </w:p>
        </w:tc>
        <w:tc>
          <w:tcPr>
            <w:tcW w:w="1279" w:type="dxa"/>
            <w:tcBorders>
              <w:top w:val="single" w:sz="6" w:space="0" w:color="auto"/>
              <w:left w:val="single" w:sz="6" w:space="0" w:color="auto"/>
              <w:bottom w:val="single" w:sz="6" w:space="0" w:color="auto"/>
              <w:right w:val="single" w:sz="6" w:space="0" w:color="auto"/>
            </w:tcBorders>
            <w:shd w:val="clear" w:color="auto" w:fill="FFFFFF"/>
          </w:tcPr>
          <w:p w14:paraId="769A4C4A"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19,2</w:t>
            </w:r>
          </w:p>
        </w:tc>
        <w:tc>
          <w:tcPr>
            <w:tcW w:w="1276" w:type="dxa"/>
            <w:tcBorders>
              <w:top w:val="single" w:sz="6" w:space="0" w:color="auto"/>
              <w:left w:val="single" w:sz="6" w:space="0" w:color="auto"/>
              <w:bottom w:val="single" w:sz="6" w:space="0" w:color="auto"/>
              <w:right w:val="single" w:sz="6" w:space="0" w:color="auto"/>
            </w:tcBorders>
            <w:shd w:val="clear" w:color="auto" w:fill="FFFFFF"/>
          </w:tcPr>
          <w:p w14:paraId="186DB5A3"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14,1</w:t>
            </w:r>
          </w:p>
        </w:tc>
        <w:tc>
          <w:tcPr>
            <w:tcW w:w="1375" w:type="dxa"/>
            <w:tcBorders>
              <w:top w:val="single" w:sz="6" w:space="0" w:color="auto"/>
              <w:left w:val="single" w:sz="6" w:space="0" w:color="auto"/>
              <w:bottom w:val="single" w:sz="6" w:space="0" w:color="auto"/>
              <w:right w:val="single" w:sz="6" w:space="0" w:color="auto"/>
            </w:tcBorders>
            <w:shd w:val="clear" w:color="auto" w:fill="FFFFFF"/>
          </w:tcPr>
          <w:p w14:paraId="43DDE058"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15,6</w:t>
            </w:r>
          </w:p>
        </w:tc>
        <w:tc>
          <w:tcPr>
            <w:tcW w:w="1304" w:type="dxa"/>
            <w:tcBorders>
              <w:top w:val="single" w:sz="6" w:space="0" w:color="auto"/>
              <w:left w:val="single" w:sz="6" w:space="0" w:color="auto"/>
              <w:bottom w:val="single" w:sz="6" w:space="0" w:color="auto"/>
              <w:right w:val="single" w:sz="6" w:space="0" w:color="auto"/>
            </w:tcBorders>
            <w:shd w:val="clear" w:color="auto" w:fill="FFFFFF"/>
          </w:tcPr>
          <w:p w14:paraId="31F4574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13,0</w:t>
            </w:r>
          </w:p>
        </w:tc>
      </w:tr>
      <w:tr w:rsidR="009500C0" w:rsidRPr="00E14983" w14:paraId="4E2F274F" w14:textId="77777777" w:rsidTr="00DD3E4C">
        <w:tc>
          <w:tcPr>
            <w:tcW w:w="1560" w:type="dxa"/>
            <w:tcBorders>
              <w:top w:val="single" w:sz="6" w:space="0" w:color="auto"/>
              <w:left w:val="single" w:sz="6" w:space="0" w:color="auto"/>
              <w:bottom w:val="single" w:sz="6" w:space="0" w:color="auto"/>
              <w:right w:val="single" w:sz="6" w:space="0" w:color="auto"/>
            </w:tcBorders>
            <w:shd w:val="clear" w:color="auto" w:fill="FFFFFF"/>
          </w:tcPr>
          <w:p w14:paraId="175A4869"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reikšmė</w:t>
            </w:r>
          </w:p>
        </w:tc>
        <w:tc>
          <w:tcPr>
            <w:tcW w:w="2548" w:type="dxa"/>
            <w:gridSpan w:val="2"/>
            <w:tcBorders>
              <w:top w:val="single" w:sz="6" w:space="0" w:color="auto"/>
              <w:left w:val="single" w:sz="6" w:space="0" w:color="auto"/>
              <w:bottom w:val="single" w:sz="6" w:space="0" w:color="auto"/>
              <w:right w:val="single" w:sz="6" w:space="0" w:color="auto"/>
            </w:tcBorders>
            <w:shd w:val="clear" w:color="auto" w:fill="FFFFFF"/>
          </w:tcPr>
          <w:p w14:paraId="7D98A28E"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0,028</w:t>
            </w:r>
          </w:p>
        </w:tc>
        <w:tc>
          <w:tcPr>
            <w:tcW w:w="2555" w:type="dxa"/>
            <w:gridSpan w:val="2"/>
            <w:tcBorders>
              <w:top w:val="single" w:sz="6" w:space="0" w:color="auto"/>
              <w:left w:val="single" w:sz="6" w:space="0" w:color="auto"/>
              <w:bottom w:val="single" w:sz="6" w:space="0" w:color="auto"/>
              <w:right w:val="single" w:sz="6" w:space="0" w:color="auto"/>
            </w:tcBorders>
            <w:shd w:val="clear" w:color="auto" w:fill="FFFFFF"/>
          </w:tcPr>
          <w:p w14:paraId="63A12D8D"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w:t>
            </w:r>
          </w:p>
        </w:tc>
        <w:tc>
          <w:tcPr>
            <w:tcW w:w="2679" w:type="dxa"/>
            <w:gridSpan w:val="2"/>
            <w:tcBorders>
              <w:top w:val="single" w:sz="6" w:space="0" w:color="auto"/>
              <w:left w:val="single" w:sz="6" w:space="0" w:color="auto"/>
              <w:bottom w:val="single" w:sz="6" w:space="0" w:color="auto"/>
              <w:right w:val="single" w:sz="6" w:space="0" w:color="auto"/>
            </w:tcBorders>
            <w:shd w:val="clear" w:color="auto" w:fill="FFFFFF"/>
          </w:tcPr>
          <w:p w14:paraId="395D5FC0" w14:textId="77777777" w:rsidR="009500C0" w:rsidRPr="00E14983" w:rsidRDefault="009500C0" w:rsidP="00B077D6">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p = 0,041</w:t>
            </w:r>
          </w:p>
        </w:tc>
      </w:tr>
    </w:tbl>
    <w:p w14:paraId="0203E46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5FU: 5-fluorouracilas</w:t>
      </w:r>
    </w:p>
    <w:p w14:paraId="6A5D3F8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FR: folino rūgštis</w:t>
      </w:r>
    </w:p>
    <w:p w14:paraId="165B9D5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SN: statistiškai nereikšminga</w:t>
      </w:r>
    </w:p>
    <w:p w14:paraId="53AF643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Pagal pacientų grupių protokolų analizę</w:t>
      </w:r>
    </w:p>
    <w:p w14:paraId="0AA4CE3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F875F27" w14:textId="48ACDADC"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Pagal savaitinę gydymo schemą pacientų gydytų </w:t>
      </w:r>
      <w:r w:rsidRPr="00E14983">
        <w:rPr>
          <w:rFonts w:ascii="Times New Roman" w:eastAsia="Times New Roman" w:hAnsi="Times New Roman" w:cs="Times New Roman"/>
          <w:iCs/>
          <w:color w:val="000000"/>
          <w:lang w:val="lt-LT"/>
        </w:rPr>
        <w:t>irinotekanu</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kartu su 5FU/FR sergamumas stipriu viduriavimu siekė 44,4 %, o pacientų gydytų tik 5FU/FR – 25,6 %. Pacientų gydytų i</w:t>
      </w:r>
      <w:r w:rsidRPr="00E14983">
        <w:rPr>
          <w:rFonts w:ascii="Times New Roman" w:eastAsia="Times New Roman" w:hAnsi="Times New Roman" w:cs="Times New Roman"/>
          <w:iCs/>
          <w:color w:val="000000"/>
          <w:lang w:val="lt-LT"/>
        </w:rPr>
        <w:t xml:space="preserve">rinotekanu </w:t>
      </w:r>
      <w:r w:rsidRPr="00E14983">
        <w:rPr>
          <w:rFonts w:ascii="Times New Roman" w:eastAsia="Times New Roman" w:hAnsi="Times New Roman" w:cs="Times New Roman"/>
          <w:color w:val="000000"/>
          <w:lang w:val="lt-LT"/>
        </w:rPr>
        <w:t xml:space="preserve">kartu </w:t>
      </w:r>
      <w:r w:rsidRPr="00E14983">
        <w:rPr>
          <w:rFonts w:ascii="Times New Roman" w:eastAsia="Times New Roman" w:hAnsi="Times New Roman" w:cs="Times New Roman"/>
          <w:color w:val="000000"/>
          <w:lang w:val="lt-LT"/>
        </w:rPr>
        <w:lastRenderedPageBreak/>
        <w:t>su 5FU/FR sergamumas sunkia neutropenija (neutrofilų skaičius &lt;</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500 ląstelių/mm</w:t>
      </w:r>
      <w:r w:rsidRPr="00E14983">
        <w:rPr>
          <w:rFonts w:ascii="Times New Roman" w:eastAsia="Times New Roman" w:hAnsi="Times New Roman" w:cs="Times New Roman"/>
          <w:color w:val="000000"/>
          <w:vertAlign w:val="superscript"/>
          <w:lang w:val="lt-LT"/>
        </w:rPr>
        <w:t>3</w:t>
      </w:r>
      <w:r w:rsidRPr="00E14983">
        <w:rPr>
          <w:rFonts w:ascii="Times New Roman" w:eastAsia="Times New Roman" w:hAnsi="Times New Roman" w:cs="Times New Roman"/>
          <w:color w:val="000000"/>
          <w:lang w:val="lt-LT"/>
        </w:rPr>
        <w:t>) buvo 5,8 %, o pacientų gydytų tik 5FU/FR – 2,4 %.</w:t>
      </w:r>
    </w:p>
    <w:p w14:paraId="375A593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201CC11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Be to, vidutinis laikas iki visiško funkcinės būklės pablogėjimo buvo daug ilgesnis gydant </w:t>
      </w:r>
      <w:r w:rsidRPr="00E14983">
        <w:rPr>
          <w:rFonts w:ascii="Times New Roman" w:eastAsia="Times New Roman" w:hAnsi="Times New Roman" w:cs="Times New Roman"/>
          <w:iCs/>
          <w:color w:val="000000"/>
          <w:lang w:val="lt-LT"/>
        </w:rPr>
        <w:t>irinotekanu</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kartu su</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5FU/FR nei tik 5FU/FR gydytoje grupėje (p = 0,046).</w:t>
      </w:r>
    </w:p>
    <w:p w14:paraId="0A282E6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287FA5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Šio </w:t>
      </w:r>
      <w:r w:rsidRPr="00E14983">
        <w:rPr>
          <w:rFonts w:ascii="Times New Roman" w:eastAsia="Times New Roman" w:hAnsi="Times New Roman" w:cs="Times New Roman"/>
          <w:lang w:val="lt-LT"/>
        </w:rPr>
        <w:t xml:space="preserve">III fazės tyrimo metu </w:t>
      </w:r>
      <w:r w:rsidRPr="00E14983">
        <w:rPr>
          <w:rFonts w:ascii="Times New Roman" w:eastAsia="Times New Roman" w:hAnsi="Times New Roman" w:cs="Times New Roman"/>
          <w:color w:val="000000"/>
          <w:lang w:val="lt-LT"/>
        </w:rPr>
        <w:t xml:space="preserve">gyvenimo kokybė buvo vertinama naudojant EORTC QLQ-C30 klausimyną. Irinotekanu gydytose grupėse, laikas iki visiško funkcinės būklės pablogėjimo visada buvo stebimas vėliau. Pacientų, gydytų </w:t>
      </w:r>
      <w:r w:rsidRPr="00E14983">
        <w:rPr>
          <w:rFonts w:ascii="Times New Roman" w:eastAsia="Times New Roman" w:hAnsi="Times New Roman" w:cs="Times New Roman"/>
          <w:iCs/>
          <w:color w:val="000000"/>
          <w:lang w:val="lt-LT"/>
        </w:rPr>
        <w:t>irinotekanu</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 xml:space="preserve">kartu su </w:t>
      </w:r>
      <w:r w:rsidRPr="00E14983">
        <w:rPr>
          <w:rFonts w:ascii="Times New Roman" w:eastAsia="Times New Roman" w:hAnsi="Times New Roman" w:cs="Times New Roman"/>
          <w:lang w:val="lt-LT"/>
        </w:rPr>
        <w:t>kitais vaistiniais preparatais</w:t>
      </w:r>
      <w:r w:rsidRPr="00E14983">
        <w:rPr>
          <w:rFonts w:ascii="Times New Roman" w:eastAsia="Times New Roman" w:hAnsi="Times New Roman" w:cs="Times New Roman"/>
          <w:color w:val="000000"/>
          <w:lang w:val="lt-LT"/>
        </w:rPr>
        <w:t xml:space="preserve">, bendros sveikatos būklės ir gyvenimo kokybės raida buvo šiek tiek geresnė, nors ir nereikšmingai, tai rodo, kad </w:t>
      </w:r>
      <w:r w:rsidRPr="00E14983">
        <w:rPr>
          <w:rFonts w:ascii="Times New Roman" w:eastAsia="Times New Roman" w:hAnsi="Times New Roman" w:cs="Times New Roman"/>
          <w:iCs/>
          <w:color w:val="000000"/>
          <w:lang w:val="lt-LT"/>
        </w:rPr>
        <w:t>irinotekanas</w:t>
      </w:r>
      <w:r w:rsidRPr="00E14983">
        <w:rPr>
          <w:rFonts w:ascii="Times New Roman" w:eastAsia="Times New Roman" w:hAnsi="Times New Roman" w:cs="Times New Roman"/>
          <w:i/>
          <w:iCs/>
          <w:color w:val="000000"/>
          <w:lang w:val="lt-LT"/>
        </w:rPr>
        <w:t xml:space="preserve"> </w:t>
      </w:r>
      <w:r w:rsidRPr="00E14983">
        <w:rPr>
          <w:rFonts w:ascii="Times New Roman" w:eastAsia="Times New Roman" w:hAnsi="Times New Roman" w:cs="Times New Roman"/>
          <w:color w:val="000000"/>
          <w:lang w:val="lt-LT"/>
        </w:rPr>
        <w:t>gali būti veiksmingas kartu su kitais vaistiniais preparatais ir neturėti poveikio gyvenimo kokybei.</w:t>
      </w:r>
    </w:p>
    <w:p w14:paraId="759C5AF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0A5A6A6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color w:val="000000"/>
          <w:lang w:val="lt-LT"/>
        </w:rPr>
      </w:pPr>
      <w:r w:rsidRPr="00E14983">
        <w:rPr>
          <w:rFonts w:ascii="Times New Roman" w:eastAsia="Times New Roman" w:hAnsi="Times New Roman" w:cs="Times New Roman"/>
          <w:i/>
          <w:color w:val="000000"/>
          <w:lang w:val="lt-LT"/>
        </w:rPr>
        <w:t>Kombinuotas gydymas su bevacizumabu</w:t>
      </w:r>
    </w:p>
    <w:p w14:paraId="49B0E5E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III fazės atsitiktinės imties, dvigubai koduotu ir aktyviai kontroliuojamu klinikiniu tyrimu </w:t>
      </w:r>
      <w:r w:rsidRPr="00E14983">
        <w:rPr>
          <w:rFonts w:ascii="Times New Roman" w:eastAsia="Times New Roman" w:hAnsi="Times New Roman" w:cs="Times New Roman"/>
          <w:color w:val="000000"/>
          <w:lang w:val="lt-LT"/>
        </w:rPr>
        <w:t xml:space="preserve">buvo vertinamas kombinuotas metastazavusio gaubtinės žarnos arba tiesiosios žarnos vėžio pirmojo pasirinkimo gydymas su bevacizumabu ir irinotekanu/5FU/FR (tyrimas AVF2107g). </w:t>
      </w:r>
    </w:p>
    <w:p w14:paraId="2271C69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Gydymo irinotekanu/5FU/FR papildymas bevacizumabu statistiškai reikšmingai padidino bendrą išgyvenamumą. Palankus klinikinis poveikis, kaip rodo bendro išgyvenamumo padidėjimas, nustatytas visuose nespecializuotuose pogrupiuose, įskaitant suskirstytus pagal amžių, lytį, darbinę veiklą, pirminio auglio lokalizaciją, įtrauktų organų skaičių ir metastazinės ligos trukmę. Taip pat reikia perskaityti informaciją, esančią bevacizumabo preparato charakteristikų santraukoje. Tyrimo AVF2107g metu gauti veiksmingumo rezultatai yra apibendrinti toliau pateiktoje lentelėje.</w:t>
      </w:r>
    </w:p>
    <w:p w14:paraId="01DD1EC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1"/>
        <w:gridCol w:w="3034"/>
        <w:gridCol w:w="3035"/>
      </w:tblGrid>
      <w:tr w:rsidR="009500C0" w:rsidRPr="00E14983" w14:paraId="025DBACE" w14:textId="77777777" w:rsidTr="00DD3E4C">
        <w:tc>
          <w:tcPr>
            <w:tcW w:w="3096" w:type="dxa"/>
            <w:tcBorders>
              <w:top w:val="single" w:sz="4" w:space="0" w:color="auto"/>
              <w:left w:val="single" w:sz="4" w:space="0" w:color="auto"/>
              <w:bottom w:val="single" w:sz="4" w:space="0" w:color="auto"/>
              <w:right w:val="single" w:sz="4" w:space="0" w:color="auto"/>
            </w:tcBorders>
          </w:tcPr>
          <w:p w14:paraId="1AF24C14"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tc>
        <w:tc>
          <w:tcPr>
            <w:tcW w:w="6193" w:type="dxa"/>
            <w:gridSpan w:val="2"/>
            <w:tcBorders>
              <w:top w:val="single" w:sz="4" w:space="0" w:color="auto"/>
              <w:left w:val="single" w:sz="4" w:space="0" w:color="auto"/>
              <w:bottom w:val="single" w:sz="4" w:space="0" w:color="auto"/>
              <w:right w:val="single" w:sz="4" w:space="0" w:color="auto"/>
            </w:tcBorders>
          </w:tcPr>
          <w:p w14:paraId="5C5D4CF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AVF2107g</w:t>
            </w:r>
          </w:p>
        </w:tc>
      </w:tr>
      <w:tr w:rsidR="009500C0" w:rsidRPr="00E14983" w14:paraId="1A873C41" w14:textId="77777777" w:rsidTr="00DD3E4C">
        <w:tc>
          <w:tcPr>
            <w:tcW w:w="3096" w:type="dxa"/>
            <w:tcBorders>
              <w:top w:val="single" w:sz="4" w:space="0" w:color="auto"/>
              <w:left w:val="single" w:sz="4" w:space="0" w:color="auto"/>
              <w:bottom w:val="single" w:sz="4" w:space="0" w:color="auto"/>
              <w:right w:val="single" w:sz="4" w:space="0" w:color="auto"/>
            </w:tcBorders>
          </w:tcPr>
          <w:p w14:paraId="60D430F9"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tc>
        <w:tc>
          <w:tcPr>
            <w:tcW w:w="3096" w:type="dxa"/>
            <w:tcBorders>
              <w:top w:val="single" w:sz="4" w:space="0" w:color="auto"/>
              <w:left w:val="single" w:sz="4" w:space="0" w:color="auto"/>
              <w:bottom w:val="single" w:sz="4" w:space="0" w:color="auto"/>
              <w:right w:val="single" w:sz="4" w:space="0" w:color="auto"/>
            </w:tcBorders>
          </w:tcPr>
          <w:p w14:paraId="4767ACE1"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I grupės tyrimas</w:t>
            </w:r>
          </w:p>
          <w:p w14:paraId="6F601E3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Irinotekanas/5FU/FR</w:t>
            </w:r>
          </w:p>
          <w:p w14:paraId="5573DBBA"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Placebas</w:t>
            </w:r>
          </w:p>
        </w:tc>
        <w:tc>
          <w:tcPr>
            <w:tcW w:w="3097" w:type="dxa"/>
            <w:tcBorders>
              <w:top w:val="single" w:sz="4" w:space="0" w:color="auto"/>
              <w:left w:val="single" w:sz="4" w:space="0" w:color="auto"/>
              <w:bottom w:val="single" w:sz="4" w:space="0" w:color="auto"/>
              <w:right w:val="single" w:sz="4" w:space="0" w:color="auto"/>
            </w:tcBorders>
          </w:tcPr>
          <w:p w14:paraId="58C14DC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II grupės tyrimas</w:t>
            </w:r>
          </w:p>
          <w:p w14:paraId="0AD2AC82"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Irinotekanas/5FU/FR</w:t>
            </w:r>
          </w:p>
          <w:p w14:paraId="4F30B471"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Bevacizumabas</w:t>
            </w:r>
            <w:r w:rsidRPr="00E14983">
              <w:rPr>
                <w:rFonts w:ascii="Times New Roman" w:eastAsia="Times New Roman" w:hAnsi="Times New Roman" w:cs="Times New Roman"/>
                <w:b/>
                <w:color w:val="000000"/>
                <w:vertAlign w:val="superscript"/>
                <w:lang w:val="lt-LT"/>
              </w:rPr>
              <w:t>a</w:t>
            </w:r>
          </w:p>
        </w:tc>
      </w:tr>
      <w:tr w:rsidR="009500C0" w:rsidRPr="00E14983" w14:paraId="690C277B" w14:textId="77777777" w:rsidTr="00DD3E4C">
        <w:tc>
          <w:tcPr>
            <w:tcW w:w="3096" w:type="dxa"/>
            <w:tcBorders>
              <w:top w:val="single" w:sz="4" w:space="0" w:color="auto"/>
              <w:left w:val="single" w:sz="4" w:space="0" w:color="auto"/>
              <w:bottom w:val="single" w:sz="4" w:space="0" w:color="auto"/>
              <w:right w:val="single" w:sz="4" w:space="0" w:color="auto"/>
            </w:tcBorders>
          </w:tcPr>
          <w:p w14:paraId="511F3DFD"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Pacientų skaičius</w:t>
            </w:r>
          </w:p>
        </w:tc>
        <w:tc>
          <w:tcPr>
            <w:tcW w:w="3096" w:type="dxa"/>
            <w:tcBorders>
              <w:top w:val="single" w:sz="4" w:space="0" w:color="auto"/>
              <w:left w:val="single" w:sz="4" w:space="0" w:color="auto"/>
              <w:bottom w:val="single" w:sz="4" w:space="0" w:color="auto"/>
              <w:right w:val="single" w:sz="4" w:space="0" w:color="auto"/>
            </w:tcBorders>
          </w:tcPr>
          <w:p w14:paraId="3699EB7A"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411</w:t>
            </w:r>
          </w:p>
        </w:tc>
        <w:tc>
          <w:tcPr>
            <w:tcW w:w="3097" w:type="dxa"/>
            <w:tcBorders>
              <w:top w:val="single" w:sz="4" w:space="0" w:color="auto"/>
              <w:left w:val="single" w:sz="4" w:space="0" w:color="auto"/>
              <w:bottom w:val="single" w:sz="4" w:space="0" w:color="auto"/>
              <w:right w:val="single" w:sz="4" w:space="0" w:color="auto"/>
            </w:tcBorders>
          </w:tcPr>
          <w:p w14:paraId="49EB759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402</w:t>
            </w:r>
          </w:p>
        </w:tc>
      </w:tr>
      <w:tr w:rsidR="009500C0" w:rsidRPr="00E14983" w14:paraId="6496645E" w14:textId="77777777" w:rsidTr="00DD3E4C">
        <w:tc>
          <w:tcPr>
            <w:tcW w:w="3096" w:type="dxa"/>
            <w:tcBorders>
              <w:top w:val="single" w:sz="4" w:space="0" w:color="auto"/>
              <w:left w:val="single" w:sz="4" w:space="0" w:color="auto"/>
              <w:bottom w:val="single" w:sz="4" w:space="0" w:color="auto"/>
              <w:right w:val="single" w:sz="4" w:space="0" w:color="auto"/>
            </w:tcBorders>
          </w:tcPr>
          <w:p w14:paraId="125387E8"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Bendras išgyvenamumas</w:t>
            </w:r>
          </w:p>
        </w:tc>
        <w:tc>
          <w:tcPr>
            <w:tcW w:w="3096" w:type="dxa"/>
            <w:tcBorders>
              <w:top w:val="single" w:sz="4" w:space="0" w:color="auto"/>
              <w:left w:val="single" w:sz="4" w:space="0" w:color="auto"/>
              <w:bottom w:val="single" w:sz="4" w:space="0" w:color="auto"/>
              <w:right w:val="single" w:sz="4" w:space="0" w:color="auto"/>
            </w:tcBorders>
          </w:tcPr>
          <w:p w14:paraId="29918A2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4F6EB15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r>
      <w:tr w:rsidR="009500C0" w:rsidRPr="00E14983" w14:paraId="151C7C3A" w14:textId="77777777" w:rsidTr="00DD3E4C">
        <w:tc>
          <w:tcPr>
            <w:tcW w:w="3096" w:type="dxa"/>
            <w:tcBorders>
              <w:top w:val="single" w:sz="4" w:space="0" w:color="auto"/>
              <w:left w:val="single" w:sz="4" w:space="0" w:color="auto"/>
              <w:bottom w:val="single" w:sz="4" w:space="0" w:color="auto"/>
              <w:right w:val="single" w:sz="4" w:space="0" w:color="auto"/>
            </w:tcBorders>
          </w:tcPr>
          <w:p w14:paraId="78955D76"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152F669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15,6</w:t>
            </w:r>
          </w:p>
        </w:tc>
        <w:tc>
          <w:tcPr>
            <w:tcW w:w="3097" w:type="dxa"/>
            <w:tcBorders>
              <w:top w:val="single" w:sz="4" w:space="0" w:color="auto"/>
              <w:left w:val="single" w:sz="4" w:space="0" w:color="auto"/>
              <w:bottom w:val="single" w:sz="4" w:space="0" w:color="auto"/>
              <w:right w:val="single" w:sz="4" w:space="0" w:color="auto"/>
            </w:tcBorders>
          </w:tcPr>
          <w:p w14:paraId="56805A7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20,3</w:t>
            </w:r>
          </w:p>
        </w:tc>
      </w:tr>
      <w:tr w:rsidR="009500C0" w:rsidRPr="00E14983" w14:paraId="13480F4B" w14:textId="77777777" w:rsidTr="00DD3E4C">
        <w:tc>
          <w:tcPr>
            <w:tcW w:w="3096" w:type="dxa"/>
            <w:tcBorders>
              <w:top w:val="single" w:sz="4" w:space="0" w:color="auto"/>
              <w:left w:val="single" w:sz="4" w:space="0" w:color="auto"/>
              <w:bottom w:val="single" w:sz="4" w:space="0" w:color="auto"/>
              <w:right w:val="single" w:sz="4" w:space="0" w:color="auto"/>
            </w:tcBorders>
          </w:tcPr>
          <w:p w14:paraId="00D6787E"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95 % Pasikliautinumo intervalas</w:t>
            </w:r>
          </w:p>
        </w:tc>
        <w:tc>
          <w:tcPr>
            <w:tcW w:w="3096" w:type="dxa"/>
            <w:tcBorders>
              <w:top w:val="single" w:sz="4" w:space="0" w:color="auto"/>
              <w:left w:val="single" w:sz="4" w:space="0" w:color="auto"/>
              <w:bottom w:val="single" w:sz="4" w:space="0" w:color="auto"/>
              <w:right w:val="single" w:sz="4" w:space="0" w:color="auto"/>
            </w:tcBorders>
          </w:tcPr>
          <w:p w14:paraId="3ED92ED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14,29</w:t>
            </w:r>
            <w:r w:rsidRPr="00E14983">
              <w:rPr>
                <w:rFonts w:ascii="Times New Roman" w:eastAsia="Times New Roman" w:hAnsi="Times New Roman" w:cs="Times New Roman"/>
                <w:color w:val="000000"/>
                <w:lang w:val="lt-LT"/>
              </w:rPr>
              <w:noBreakHyphen/>
              <w:t>16,99</w:t>
            </w:r>
          </w:p>
        </w:tc>
        <w:tc>
          <w:tcPr>
            <w:tcW w:w="3097" w:type="dxa"/>
            <w:tcBorders>
              <w:top w:val="single" w:sz="4" w:space="0" w:color="auto"/>
              <w:left w:val="single" w:sz="4" w:space="0" w:color="auto"/>
              <w:bottom w:val="single" w:sz="4" w:space="0" w:color="auto"/>
              <w:right w:val="single" w:sz="4" w:space="0" w:color="auto"/>
            </w:tcBorders>
          </w:tcPr>
          <w:p w14:paraId="2CE61F3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18,46</w:t>
            </w:r>
            <w:r w:rsidRPr="00E14983">
              <w:rPr>
                <w:rFonts w:ascii="Times New Roman" w:eastAsia="Times New Roman" w:hAnsi="Times New Roman" w:cs="Times New Roman"/>
                <w:color w:val="000000"/>
                <w:lang w:val="lt-LT"/>
              </w:rPr>
              <w:noBreakHyphen/>
              <w:t>24,18</w:t>
            </w:r>
          </w:p>
        </w:tc>
      </w:tr>
      <w:tr w:rsidR="009500C0" w:rsidRPr="00E14983" w14:paraId="54E0EE32" w14:textId="77777777" w:rsidTr="00DD3E4C">
        <w:tc>
          <w:tcPr>
            <w:tcW w:w="3096" w:type="dxa"/>
            <w:tcBorders>
              <w:top w:val="single" w:sz="4" w:space="0" w:color="auto"/>
              <w:left w:val="single" w:sz="4" w:space="0" w:color="auto"/>
              <w:bottom w:val="single" w:sz="4" w:space="0" w:color="auto"/>
              <w:right w:val="single" w:sz="4" w:space="0" w:color="auto"/>
            </w:tcBorders>
          </w:tcPr>
          <w:p w14:paraId="4E7F7E52"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Santykinė rizika</w:t>
            </w:r>
            <w:r w:rsidRPr="00E14983">
              <w:rPr>
                <w:rFonts w:ascii="Times New Roman" w:eastAsia="Times New Roman" w:hAnsi="Times New Roman" w:cs="Times New Roman"/>
                <w:color w:val="000000"/>
                <w:vertAlign w:val="superscript"/>
                <w:lang w:val="lt-LT"/>
              </w:rPr>
              <w:t>b</w:t>
            </w:r>
          </w:p>
        </w:tc>
        <w:tc>
          <w:tcPr>
            <w:tcW w:w="3096" w:type="dxa"/>
            <w:tcBorders>
              <w:top w:val="single" w:sz="4" w:space="0" w:color="auto"/>
              <w:left w:val="single" w:sz="4" w:space="0" w:color="auto"/>
              <w:bottom w:val="single" w:sz="4" w:space="0" w:color="auto"/>
              <w:right w:val="single" w:sz="4" w:space="0" w:color="auto"/>
            </w:tcBorders>
          </w:tcPr>
          <w:p w14:paraId="0C1DF3F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7425454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0,660</w:t>
            </w:r>
          </w:p>
        </w:tc>
      </w:tr>
      <w:tr w:rsidR="009500C0" w:rsidRPr="00E14983" w14:paraId="31B28E7D" w14:textId="77777777" w:rsidTr="00DD3E4C">
        <w:tc>
          <w:tcPr>
            <w:tcW w:w="3096" w:type="dxa"/>
            <w:tcBorders>
              <w:top w:val="single" w:sz="4" w:space="0" w:color="auto"/>
              <w:left w:val="single" w:sz="4" w:space="0" w:color="auto"/>
              <w:bottom w:val="single" w:sz="4" w:space="0" w:color="auto"/>
              <w:right w:val="single" w:sz="4" w:space="0" w:color="auto"/>
            </w:tcBorders>
          </w:tcPr>
          <w:p w14:paraId="541ECFCD"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3D16CAE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2E73F60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0,00004</w:t>
            </w:r>
          </w:p>
        </w:tc>
      </w:tr>
      <w:tr w:rsidR="009500C0" w:rsidRPr="00E14983" w14:paraId="750198B7" w14:textId="77777777" w:rsidTr="00DD3E4C">
        <w:tc>
          <w:tcPr>
            <w:tcW w:w="3096" w:type="dxa"/>
            <w:tcBorders>
              <w:top w:val="single" w:sz="4" w:space="0" w:color="auto"/>
              <w:left w:val="single" w:sz="4" w:space="0" w:color="auto"/>
              <w:bottom w:val="single" w:sz="4" w:space="0" w:color="auto"/>
              <w:right w:val="single" w:sz="4" w:space="0" w:color="auto"/>
            </w:tcBorders>
          </w:tcPr>
          <w:p w14:paraId="2A11155F"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Išgyvenimo trukmė ligai neprogresavus</w:t>
            </w:r>
          </w:p>
        </w:tc>
        <w:tc>
          <w:tcPr>
            <w:tcW w:w="3096" w:type="dxa"/>
            <w:tcBorders>
              <w:top w:val="single" w:sz="4" w:space="0" w:color="auto"/>
              <w:left w:val="single" w:sz="4" w:space="0" w:color="auto"/>
              <w:bottom w:val="single" w:sz="4" w:space="0" w:color="auto"/>
              <w:right w:val="single" w:sz="4" w:space="0" w:color="auto"/>
            </w:tcBorders>
          </w:tcPr>
          <w:p w14:paraId="6C6DADA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46ACFA0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r>
      <w:tr w:rsidR="009500C0" w:rsidRPr="00E14983" w14:paraId="6271137A" w14:textId="77777777" w:rsidTr="00DD3E4C">
        <w:tc>
          <w:tcPr>
            <w:tcW w:w="3096" w:type="dxa"/>
            <w:tcBorders>
              <w:top w:val="single" w:sz="4" w:space="0" w:color="auto"/>
              <w:left w:val="single" w:sz="4" w:space="0" w:color="auto"/>
              <w:bottom w:val="single" w:sz="4" w:space="0" w:color="auto"/>
              <w:right w:val="single" w:sz="4" w:space="0" w:color="auto"/>
            </w:tcBorders>
          </w:tcPr>
          <w:p w14:paraId="594C9612"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6A26187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6,2</w:t>
            </w:r>
          </w:p>
        </w:tc>
        <w:tc>
          <w:tcPr>
            <w:tcW w:w="3097" w:type="dxa"/>
            <w:tcBorders>
              <w:top w:val="single" w:sz="4" w:space="0" w:color="auto"/>
              <w:left w:val="single" w:sz="4" w:space="0" w:color="auto"/>
              <w:bottom w:val="single" w:sz="4" w:space="0" w:color="auto"/>
              <w:right w:val="single" w:sz="4" w:space="0" w:color="auto"/>
            </w:tcBorders>
          </w:tcPr>
          <w:p w14:paraId="5285649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10,6</w:t>
            </w:r>
          </w:p>
        </w:tc>
      </w:tr>
      <w:tr w:rsidR="009500C0" w:rsidRPr="00E14983" w14:paraId="059AF8C3" w14:textId="77777777" w:rsidTr="00DD3E4C">
        <w:tc>
          <w:tcPr>
            <w:tcW w:w="3096" w:type="dxa"/>
            <w:tcBorders>
              <w:top w:val="single" w:sz="4" w:space="0" w:color="auto"/>
              <w:left w:val="single" w:sz="4" w:space="0" w:color="auto"/>
              <w:bottom w:val="single" w:sz="4" w:space="0" w:color="auto"/>
              <w:right w:val="single" w:sz="4" w:space="0" w:color="auto"/>
            </w:tcBorders>
          </w:tcPr>
          <w:p w14:paraId="27051D9E"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Santykinė rizika</w:t>
            </w:r>
          </w:p>
        </w:tc>
        <w:tc>
          <w:tcPr>
            <w:tcW w:w="3096" w:type="dxa"/>
            <w:tcBorders>
              <w:top w:val="single" w:sz="4" w:space="0" w:color="auto"/>
              <w:left w:val="single" w:sz="4" w:space="0" w:color="auto"/>
              <w:bottom w:val="single" w:sz="4" w:space="0" w:color="auto"/>
              <w:right w:val="single" w:sz="4" w:space="0" w:color="auto"/>
            </w:tcBorders>
          </w:tcPr>
          <w:p w14:paraId="0A4DF84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6C39EF3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0,54</w:t>
            </w:r>
          </w:p>
        </w:tc>
      </w:tr>
      <w:tr w:rsidR="009500C0" w:rsidRPr="00E14983" w14:paraId="4FB14CFA" w14:textId="77777777" w:rsidTr="00DD3E4C">
        <w:tc>
          <w:tcPr>
            <w:tcW w:w="3096" w:type="dxa"/>
            <w:tcBorders>
              <w:top w:val="single" w:sz="4" w:space="0" w:color="auto"/>
              <w:left w:val="single" w:sz="4" w:space="0" w:color="auto"/>
              <w:bottom w:val="single" w:sz="4" w:space="0" w:color="auto"/>
              <w:right w:val="single" w:sz="4" w:space="0" w:color="auto"/>
            </w:tcBorders>
          </w:tcPr>
          <w:p w14:paraId="2545F3FC"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07ADC54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3076914F" w14:textId="3695E861"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&lt;</w:t>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0,0001</w:t>
            </w:r>
          </w:p>
        </w:tc>
      </w:tr>
      <w:tr w:rsidR="009500C0" w:rsidRPr="00E14983" w14:paraId="3A2A45D1" w14:textId="77777777" w:rsidTr="00DD3E4C">
        <w:tc>
          <w:tcPr>
            <w:tcW w:w="3096" w:type="dxa"/>
            <w:tcBorders>
              <w:top w:val="single" w:sz="4" w:space="0" w:color="auto"/>
              <w:left w:val="single" w:sz="4" w:space="0" w:color="auto"/>
              <w:bottom w:val="single" w:sz="4" w:space="0" w:color="auto"/>
              <w:right w:val="single" w:sz="4" w:space="0" w:color="auto"/>
            </w:tcBorders>
          </w:tcPr>
          <w:p w14:paraId="5FE30562"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Bendrasis atsako rodiklis</w:t>
            </w:r>
          </w:p>
        </w:tc>
        <w:tc>
          <w:tcPr>
            <w:tcW w:w="3096" w:type="dxa"/>
            <w:tcBorders>
              <w:top w:val="single" w:sz="4" w:space="0" w:color="auto"/>
              <w:left w:val="single" w:sz="4" w:space="0" w:color="auto"/>
              <w:bottom w:val="single" w:sz="4" w:space="0" w:color="auto"/>
              <w:right w:val="single" w:sz="4" w:space="0" w:color="auto"/>
            </w:tcBorders>
          </w:tcPr>
          <w:p w14:paraId="2352766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2D94A27C"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r>
      <w:tr w:rsidR="009500C0" w:rsidRPr="00E14983" w14:paraId="664ABDE5" w14:textId="77777777" w:rsidTr="00DD3E4C">
        <w:tc>
          <w:tcPr>
            <w:tcW w:w="3096" w:type="dxa"/>
            <w:tcBorders>
              <w:top w:val="single" w:sz="4" w:space="0" w:color="auto"/>
              <w:left w:val="single" w:sz="4" w:space="0" w:color="auto"/>
              <w:bottom w:val="single" w:sz="4" w:space="0" w:color="auto"/>
              <w:right w:val="single" w:sz="4" w:space="0" w:color="auto"/>
            </w:tcBorders>
          </w:tcPr>
          <w:p w14:paraId="02C52371"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Dažnis ( %)</w:t>
            </w:r>
          </w:p>
        </w:tc>
        <w:tc>
          <w:tcPr>
            <w:tcW w:w="3096" w:type="dxa"/>
            <w:tcBorders>
              <w:top w:val="single" w:sz="4" w:space="0" w:color="auto"/>
              <w:left w:val="single" w:sz="4" w:space="0" w:color="auto"/>
              <w:bottom w:val="single" w:sz="4" w:space="0" w:color="auto"/>
              <w:right w:val="single" w:sz="4" w:space="0" w:color="auto"/>
            </w:tcBorders>
          </w:tcPr>
          <w:p w14:paraId="5FED689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34,8</w:t>
            </w:r>
          </w:p>
        </w:tc>
        <w:tc>
          <w:tcPr>
            <w:tcW w:w="3097" w:type="dxa"/>
            <w:tcBorders>
              <w:top w:val="single" w:sz="4" w:space="0" w:color="auto"/>
              <w:left w:val="single" w:sz="4" w:space="0" w:color="auto"/>
              <w:bottom w:val="single" w:sz="4" w:space="0" w:color="auto"/>
              <w:right w:val="single" w:sz="4" w:space="0" w:color="auto"/>
            </w:tcBorders>
          </w:tcPr>
          <w:p w14:paraId="31D227B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44,8</w:t>
            </w:r>
          </w:p>
        </w:tc>
      </w:tr>
      <w:tr w:rsidR="009500C0" w:rsidRPr="00E14983" w14:paraId="100E9BE9" w14:textId="77777777" w:rsidTr="00DD3E4C">
        <w:trPr>
          <w:trHeight w:val="70"/>
        </w:trPr>
        <w:tc>
          <w:tcPr>
            <w:tcW w:w="3096" w:type="dxa"/>
            <w:tcBorders>
              <w:top w:val="single" w:sz="4" w:space="0" w:color="auto"/>
              <w:left w:val="single" w:sz="4" w:space="0" w:color="auto"/>
              <w:bottom w:val="single" w:sz="4" w:space="0" w:color="auto"/>
              <w:right w:val="single" w:sz="4" w:space="0" w:color="auto"/>
            </w:tcBorders>
          </w:tcPr>
          <w:p w14:paraId="5C63E44A"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95 % Pasikliautinumo intervalas</w:t>
            </w:r>
          </w:p>
        </w:tc>
        <w:tc>
          <w:tcPr>
            <w:tcW w:w="3096" w:type="dxa"/>
            <w:tcBorders>
              <w:top w:val="single" w:sz="4" w:space="0" w:color="auto"/>
              <w:left w:val="single" w:sz="4" w:space="0" w:color="auto"/>
              <w:bottom w:val="single" w:sz="4" w:space="0" w:color="auto"/>
              <w:right w:val="single" w:sz="4" w:space="0" w:color="auto"/>
            </w:tcBorders>
          </w:tcPr>
          <w:p w14:paraId="7F39CC8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30,2</w:t>
            </w:r>
            <w:r w:rsidRPr="00E14983">
              <w:rPr>
                <w:rFonts w:ascii="Times New Roman" w:eastAsia="Times New Roman" w:hAnsi="Times New Roman" w:cs="Times New Roman"/>
                <w:color w:val="000000"/>
                <w:lang w:val="lt-LT"/>
              </w:rPr>
              <w:noBreakHyphen/>
              <w:t>39,6</w:t>
            </w:r>
          </w:p>
        </w:tc>
        <w:tc>
          <w:tcPr>
            <w:tcW w:w="3097" w:type="dxa"/>
            <w:tcBorders>
              <w:top w:val="single" w:sz="4" w:space="0" w:color="auto"/>
              <w:left w:val="single" w:sz="4" w:space="0" w:color="auto"/>
              <w:bottom w:val="single" w:sz="4" w:space="0" w:color="auto"/>
              <w:right w:val="single" w:sz="4" w:space="0" w:color="auto"/>
            </w:tcBorders>
          </w:tcPr>
          <w:p w14:paraId="6767B16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39,9</w:t>
            </w:r>
            <w:r w:rsidRPr="00E14983">
              <w:rPr>
                <w:rFonts w:ascii="Times New Roman" w:eastAsia="Times New Roman" w:hAnsi="Times New Roman" w:cs="Times New Roman"/>
                <w:color w:val="000000"/>
                <w:lang w:val="lt-LT"/>
              </w:rPr>
              <w:noBreakHyphen/>
              <w:t>49,8</w:t>
            </w:r>
          </w:p>
        </w:tc>
      </w:tr>
      <w:tr w:rsidR="009500C0" w:rsidRPr="00E14983" w14:paraId="361A4D1D" w14:textId="77777777" w:rsidTr="00DD3E4C">
        <w:tc>
          <w:tcPr>
            <w:tcW w:w="3096" w:type="dxa"/>
            <w:tcBorders>
              <w:top w:val="single" w:sz="4" w:space="0" w:color="auto"/>
              <w:left w:val="single" w:sz="4" w:space="0" w:color="auto"/>
              <w:bottom w:val="single" w:sz="4" w:space="0" w:color="auto"/>
              <w:right w:val="single" w:sz="4" w:space="0" w:color="auto"/>
            </w:tcBorders>
          </w:tcPr>
          <w:p w14:paraId="1B7FF00C"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 reikšmė</w:t>
            </w:r>
          </w:p>
        </w:tc>
        <w:tc>
          <w:tcPr>
            <w:tcW w:w="3096" w:type="dxa"/>
            <w:tcBorders>
              <w:top w:val="single" w:sz="4" w:space="0" w:color="auto"/>
              <w:left w:val="single" w:sz="4" w:space="0" w:color="auto"/>
              <w:bottom w:val="single" w:sz="4" w:space="0" w:color="auto"/>
              <w:right w:val="single" w:sz="4" w:space="0" w:color="auto"/>
            </w:tcBorders>
          </w:tcPr>
          <w:p w14:paraId="1628AAE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3130BEF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0,0036</w:t>
            </w:r>
          </w:p>
        </w:tc>
      </w:tr>
      <w:tr w:rsidR="009500C0" w:rsidRPr="00E14983" w14:paraId="0B7E89F4" w14:textId="77777777" w:rsidTr="00DD3E4C">
        <w:tc>
          <w:tcPr>
            <w:tcW w:w="3096" w:type="dxa"/>
            <w:tcBorders>
              <w:top w:val="single" w:sz="4" w:space="0" w:color="auto"/>
              <w:left w:val="single" w:sz="4" w:space="0" w:color="auto"/>
              <w:bottom w:val="single" w:sz="4" w:space="0" w:color="auto"/>
              <w:right w:val="single" w:sz="4" w:space="0" w:color="auto"/>
            </w:tcBorders>
          </w:tcPr>
          <w:p w14:paraId="2A0D2D66"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Atsako trukmė</w:t>
            </w:r>
          </w:p>
        </w:tc>
        <w:tc>
          <w:tcPr>
            <w:tcW w:w="3096" w:type="dxa"/>
            <w:tcBorders>
              <w:top w:val="single" w:sz="4" w:space="0" w:color="auto"/>
              <w:left w:val="single" w:sz="4" w:space="0" w:color="auto"/>
              <w:bottom w:val="single" w:sz="4" w:space="0" w:color="auto"/>
              <w:right w:val="single" w:sz="4" w:space="0" w:color="auto"/>
            </w:tcBorders>
          </w:tcPr>
          <w:p w14:paraId="5693700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c>
          <w:tcPr>
            <w:tcW w:w="3097" w:type="dxa"/>
            <w:tcBorders>
              <w:top w:val="single" w:sz="4" w:space="0" w:color="auto"/>
              <w:left w:val="single" w:sz="4" w:space="0" w:color="auto"/>
              <w:bottom w:val="single" w:sz="4" w:space="0" w:color="auto"/>
              <w:right w:val="single" w:sz="4" w:space="0" w:color="auto"/>
            </w:tcBorders>
          </w:tcPr>
          <w:p w14:paraId="713EA64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tc>
      </w:tr>
      <w:tr w:rsidR="009500C0" w:rsidRPr="00E14983" w14:paraId="5B5AE97B" w14:textId="77777777" w:rsidTr="00DD3E4C">
        <w:tc>
          <w:tcPr>
            <w:tcW w:w="3096" w:type="dxa"/>
            <w:tcBorders>
              <w:top w:val="single" w:sz="4" w:space="0" w:color="auto"/>
              <w:left w:val="single" w:sz="4" w:space="0" w:color="auto"/>
              <w:bottom w:val="single" w:sz="4" w:space="0" w:color="auto"/>
              <w:right w:val="single" w:sz="4" w:space="0" w:color="auto"/>
            </w:tcBorders>
          </w:tcPr>
          <w:p w14:paraId="107F0F1D"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Laiko mediana (mėnesiai)</w:t>
            </w:r>
          </w:p>
        </w:tc>
        <w:tc>
          <w:tcPr>
            <w:tcW w:w="3096" w:type="dxa"/>
            <w:tcBorders>
              <w:top w:val="single" w:sz="4" w:space="0" w:color="auto"/>
              <w:left w:val="single" w:sz="4" w:space="0" w:color="auto"/>
              <w:bottom w:val="single" w:sz="4" w:space="0" w:color="auto"/>
              <w:right w:val="single" w:sz="4" w:space="0" w:color="auto"/>
            </w:tcBorders>
          </w:tcPr>
          <w:p w14:paraId="75738B3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7,1</w:t>
            </w:r>
          </w:p>
        </w:tc>
        <w:tc>
          <w:tcPr>
            <w:tcW w:w="3097" w:type="dxa"/>
            <w:tcBorders>
              <w:top w:val="single" w:sz="4" w:space="0" w:color="auto"/>
              <w:left w:val="single" w:sz="4" w:space="0" w:color="auto"/>
              <w:bottom w:val="single" w:sz="4" w:space="0" w:color="auto"/>
              <w:right w:val="single" w:sz="4" w:space="0" w:color="auto"/>
            </w:tcBorders>
          </w:tcPr>
          <w:p w14:paraId="6CB0F2A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10,4</w:t>
            </w:r>
          </w:p>
        </w:tc>
      </w:tr>
      <w:tr w:rsidR="009500C0" w:rsidRPr="00E14983" w14:paraId="43FF6049" w14:textId="77777777" w:rsidTr="00DD3E4C">
        <w:tc>
          <w:tcPr>
            <w:tcW w:w="3096" w:type="dxa"/>
            <w:tcBorders>
              <w:top w:val="single" w:sz="4" w:space="0" w:color="auto"/>
              <w:left w:val="single" w:sz="4" w:space="0" w:color="auto"/>
              <w:bottom w:val="single" w:sz="4" w:space="0" w:color="auto"/>
              <w:right w:val="single" w:sz="4" w:space="0" w:color="auto"/>
            </w:tcBorders>
          </w:tcPr>
          <w:p w14:paraId="49BBFFA8" w14:textId="77777777" w:rsidR="009500C0" w:rsidRPr="00E14983" w:rsidRDefault="009500C0" w:rsidP="00B077D6">
            <w:pPr>
              <w:widowControl w:val="0"/>
              <w:tabs>
                <w:tab w:val="left" w:pos="567"/>
              </w:tabs>
              <w:autoSpaceDE w:val="0"/>
              <w:autoSpaceDN w:val="0"/>
              <w:adjustRightInd w:val="0"/>
              <w:snapToGrid w:val="0"/>
              <w:spacing w:after="0" w:line="240" w:lineRule="auto"/>
              <w:jc w:val="right"/>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25</w:t>
            </w:r>
            <w:r w:rsidRPr="00E14983">
              <w:rPr>
                <w:rFonts w:ascii="Times New Roman" w:eastAsia="Times New Roman" w:hAnsi="Times New Roman" w:cs="Times New Roman"/>
                <w:color w:val="000000"/>
                <w:lang w:val="lt-LT"/>
              </w:rPr>
              <w:noBreakHyphen/>
              <w:t>75 procentilis (mėnesiai)</w:t>
            </w:r>
          </w:p>
        </w:tc>
        <w:tc>
          <w:tcPr>
            <w:tcW w:w="3096" w:type="dxa"/>
            <w:tcBorders>
              <w:top w:val="single" w:sz="4" w:space="0" w:color="auto"/>
              <w:left w:val="single" w:sz="4" w:space="0" w:color="auto"/>
              <w:bottom w:val="single" w:sz="4" w:space="0" w:color="auto"/>
              <w:right w:val="single" w:sz="4" w:space="0" w:color="auto"/>
            </w:tcBorders>
          </w:tcPr>
          <w:p w14:paraId="4C4BA00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4,7</w:t>
            </w:r>
            <w:r w:rsidRPr="00E14983">
              <w:rPr>
                <w:rFonts w:ascii="Times New Roman" w:eastAsia="Times New Roman" w:hAnsi="Times New Roman" w:cs="Times New Roman"/>
                <w:color w:val="000000"/>
                <w:lang w:val="lt-LT"/>
              </w:rPr>
              <w:noBreakHyphen/>
              <w:t>11,8</w:t>
            </w:r>
          </w:p>
        </w:tc>
        <w:tc>
          <w:tcPr>
            <w:tcW w:w="3097" w:type="dxa"/>
            <w:tcBorders>
              <w:top w:val="single" w:sz="4" w:space="0" w:color="auto"/>
              <w:left w:val="single" w:sz="4" w:space="0" w:color="auto"/>
              <w:bottom w:val="single" w:sz="4" w:space="0" w:color="auto"/>
              <w:right w:val="single" w:sz="4" w:space="0" w:color="auto"/>
            </w:tcBorders>
          </w:tcPr>
          <w:p w14:paraId="0C4812A1"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6,7</w:t>
            </w:r>
            <w:r w:rsidRPr="00E14983">
              <w:rPr>
                <w:rFonts w:ascii="Times New Roman" w:eastAsia="Times New Roman" w:hAnsi="Times New Roman" w:cs="Times New Roman"/>
                <w:color w:val="000000"/>
                <w:lang w:val="lt-LT"/>
              </w:rPr>
              <w:noBreakHyphen/>
              <w:t>15,0</w:t>
            </w:r>
          </w:p>
        </w:tc>
      </w:tr>
    </w:tbl>
    <w:p w14:paraId="371DBA6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vertAlign w:val="superscript"/>
          <w:lang w:val="lt-LT"/>
        </w:rPr>
        <w:t xml:space="preserve">a </w:t>
      </w:r>
      <w:r w:rsidRPr="00E14983">
        <w:rPr>
          <w:rFonts w:ascii="Times New Roman" w:eastAsia="Times New Roman" w:hAnsi="Times New Roman" w:cs="Times New Roman"/>
          <w:color w:val="000000"/>
          <w:lang w:val="lt-LT"/>
        </w:rPr>
        <w:t>vartojama 5 mg/kg kūno svorio dozė kas 2 savaites.</w:t>
      </w:r>
    </w:p>
    <w:p w14:paraId="0A84816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vertAlign w:val="superscript"/>
          <w:lang w:val="lt-LT"/>
        </w:rPr>
        <w:t xml:space="preserve">b </w:t>
      </w:r>
      <w:r w:rsidRPr="00E14983">
        <w:rPr>
          <w:rFonts w:ascii="Times New Roman" w:eastAsia="Times New Roman" w:hAnsi="Times New Roman" w:cs="Times New Roman"/>
          <w:color w:val="000000"/>
          <w:lang w:val="lt-LT"/>
        </w:rPr>
        <w:t>reliatyvi reikšmė kontrolinei grupei</w:t>
      </w:r>
    </w:p>
    <w:p w14:paraId="1865BFB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u w:val="single"/>
          <w:lang w:val="lt-LT"/>
        </w:rPr>
      </w:pPr>
    </w:p>
    <w:p w14:paraId="12787ACB"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color w:val="000000"/>
          <w:lang w:val="lt-LT"/>
        </w:rPr>
      </w:pPr>
      <w:r w:rsidRPr="00E14983">
        <w:rPr>
          <w:rFonts w:ascii="Times New Roman" w:eastAsia="Times New Roman" w:hAnsi="Times New Roman" w:cs="Times New Roman"/>
          <w:i/>
          <w:color w:val="000000"/>
          <w:lang w:val="lt-LT"/>
        </w:rPr>
        <w:t>Kombinuotas gydymas su cetuksimabu</w:t>
      </w:r>
    </w:p>
    <w:p w14:paraId="330B70C6" w14:textId="77777777" w:rsidR="009500C0" w:rsidRPr="00E14983" w:rsidRDefault="009500C0" w:rsidP="009500C0">
      <w:pPr>
        <w:tabs>
          <w:tab w:val="left" w:pos="567"/>
        </w:tabs>
        <w:autoSpaceDE w:val="0"/>
        <w:autoSpaceDN w:val="0"/>
        <w:adjustRightInd w:val="0"/>
        <w:spacing w:after="0" w:line="240" w:lineRule="auto"/>
        <w:rPr>
          <w:rFonts w:ascii="Times New Roman" w:eastAsia="SimSun" w:hAnsi="Times New Roman" w:cs="Times New Roman"/>
          <w:snapToGrid w:val="0"/>
          <w:color w:val="000000"/>
          <w:lang w:val="lt-LT" w:eastAsia="zh-CN"/>
        </w:rPr>
      </w:pPr>
      <w:r w:rsidRPr="00E14983">
        <w:rPr>
          <w:rFonts w:ascii="Times New Roman" w:eastAsia="SimSun" w:hAnsi="Times New Roman" w:cs="Times New Roman"/>
          <w:snapToGrid w:val="0"/>
          <w:color w:val="000000"/>
          <w:lang w:val="lt-LT" w:eastAsia="zh-CN"/>
        </w:rPr>
        <w:t xml:space="preserve">EMR 62 202-013: šis atsitiktinių imčių tyrimas su metastazavusiu gaubtinės ir tiesiosios vėžiu sergančiais pacientais, anksčiau negavusiais gydymo nuo metastazavusios ligos, lygino gydymą cetuksimabo, irinotekano ir leidžiamo 5-fluorouracilo/folino rūgšties (5-FU/FR) deriniu (599 pacientai) su tokia pačia chemoterapija vienu preparatu (599 pacientai). Pacientų su nemutavusio </w:t>
      </w:r>
      <w:r w:rsidRPr="00E14983">
        <w:rPr>
          <w:rFonts w:ascii="Times New Roman" w:eastAsia="SimSun" w:hAnsi="Times New Roman" w:cs="Times New Roman"/>
          <w:snapToGrid w:val="0"/>
          <w:color w:val="000000"/>
          <w:lang w:val="lt-LT" w:eastAsia="zh-CN"/>
        </w:rPr>
        <w:lastRenderedPageBreak/>
        <w:t>(„laukinio tipo“) KRAS geno navikais dalis iš įvertintos pacientų populiacijos dėl KRAS būklės buvo 64 %.</w:t>
      </w:r>
    </w:p>
    <w:p w14:paraId="58F22A27"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5D480C48"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Tyrimo metu gauti veiksmingumo rezultatai yra apibendrinti toliau pateiktoje lentelėje.</w:t>
      </w:r>
    </w:p>
    <w:p w14:paraId="300C188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2"/>
        <w:gridCol w:w="1846"/>
        <w:gridCol w:w="1834"/>
        <w:gridCol w:w="2036"/>
        <w:gridCol w:w="1540"/>
      </w:tblGrid>
      <w:tr w:rsidR="009500C0" w:rsidRPr="00E14983" w14:paraId="6168AE7C" w14:textId="77777777" w:rsidTr="00DD3E4C">
        <w:tc>
          <w:tcPr>
            <w:tcW w:w="1952" w:type="dxa"/>
            <w:tcBorders>
              <w:top w:val="single" w:sz="4" w:space="0" w:color="auto"/>
              <w:left w:val="single" w:sz="4" w:space="0" w:color="auto"/>
              <w:bottom w:val="single" w:sz="4" w:space="0" w:color="auto"/>
              <w:right w:val="single" w:sz="4" w:space="0" w:color="auto"/>
            </w:tcBorders>
          </w:tcPr>
          <w:p w14:paraId="5B14A105"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3680" w:type="dxa"/>
            <w:gridSpan w:val="2"/>
            <w:tcBorders>
              <w:top w:val="single" w:sz="4" w:space="0" w:color="auto"/>
              <w:left w:val="single" w:sz="4" w:space="0" w:color="auto"/>
              <w:bottom w:val="single" w:sz="4" w:space="0" w:color="auto"/>
              <w:right w:val="single" w:sz="4" w:space="0" w:color="auto"/>
            </w:tcBorders>
          </w:tcPr>
          <w:p w14:paraId="4172115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Bendra populiacija</w:t>
            </w:r>
          </w:p>
        </w:tc>
        <w:tc>
          <w:tcPr>
            <w:tcW w:w="3576" w:type="dxa"/>
            <w:gridSpan w:val="2"/>
            <w:tcBorders>
              <w:top w:val="single" w:sz="4" w:space="0" w:color="auto"/>
              <w:left w:val="single" w:sz="4" w:space="0" w:color="auto"/>
              <w:bottom w:val="single" w:sz="4" w:space="0" w:color="auto"/>
              <w:right w:val="single" w:sz="4" w:space="0" w:color="auto"/>
            </w:tcBorders>
          </w:tcPr>
          <w:p w14:paraId="500FE5E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KRAS laukinio tipo populiacija</w:t>
            </w:r>
          </w:p>
          <w:p w14:paraId="0CF3008C"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r>
      <w:tr w:rsidR="009500C0" w:rsidRPr="00E14983" w14:paraId="175E6083" w14:textId="77777777" w:rsidTr="00DD3E4C">
        <w:tc>
          <w:tcPr>
            <w:tcW w:w="1952" w:type="dxa"/>
            <w:tcBorders>
              <w:top w:val="single" w:sz="4" w:space="0" w:color="auto"/>
              <w:left w:val="single" w:sz="4" w:space="0" w:color="auto"/>
              <w:bottom w:val="single" w:sz="4" w:space="0" w:color="auto"/>
              <w:right w:val="single" w:sz="4" w:space="0" w:color="auto"/>
            </w:tcBorders>
          </w:tcPr>
          <w:p w14:paraId="07FAAAA9"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Kintamoji/statistika</w:t>
            </w:r>
          </w:p>
        </w:tc>
        <w:tc>
          <w:tcPr>
            <w:tcW w:w="1846" w:type="dxa"/>
            <w:tcBorders>
              <w:top w:val="single" w:sz="4" w:space="0" w:color="auto"/>
              <w:left w:val="single" w:sz="4" w:space="0" w:color="auto"/>
              <w:bottom w:val="single" w:sz="4" w:space="0" w:color="auto"/>
              <w:right w:val="single" w:sz="4" w:space="0" w:color="auto"/>
            </w:tcBorders>
          </w:tcPr>
          <w:p w14:paraId="3671C02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Cetuksimabas </w:t>
            </w:r>
          </w:p>
          <w:p w14:paraId="44E673A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kartu su FOLFIRI </w:t>
            </w:r>
          </w:p>
          <w:p w14:paraId="57F0EBA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 (n = 599)</w:t>
            </w:r>
          </w:p>
        </w:tc>
        <w:tc>
          <w:tcPr>
            <w:tcW w:w="1834" w:type="dxa"/>
            <w:tcBorders>
              <w:top w:val="single" w:sz="4" w:space="0" w:color="auto"/>
              <w:left w:val="single" w:sz="4" w:space="0" w:color="auto"/>
              <w:bottom w:val="single" w:sz="4" w:space="0" w:color="auto"/>
              <w:right w:val="single" w:sz="4" w:space="0" w:color="auto"/>
            </w:tcBorders>
          </w:tcPr>
          <w:p w14:paraId="508D086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FOLFIRI</w:t>
            </w:r>
          </w:p>
          <w:p w14:paraId="4D896EF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2C725E4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 = 599)</w:t>
            </w:r>
          </w:p>
        </w:tc>
        <w:tc>
          <w:tcPr>
            <w:tcW w:w="2036" w:type="dxa"/>
            <w:tcBorders>
              <w:top w:val="single" w:sz="4" w:space="0" w:color="auto"/>
              <w:left w:val="single" w:sz="4" w:space="0" w:color="auto"/>
              <w:bottom w:val="single" w:sz="4" w:space="0" w:color="auto"/>
              <w:right w:val="single" w:sz="4" w:space="0" w:color="auto"/>
            </w:tcBorders>
          </w:tcPr>
          <w:p w14:paraId="3A98C41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Cetuksimabas kartu </w:t>
            </w:r>
          </w:p>
          <w:p w14:paraId="11A81D9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su FOLFIRI </w:t>
            </w:r>
          </w:p>
          <w:p w14:paraId="7985201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 = 172)</w:t>
            </w:r>
          </w:p>
        </w:tc>
        <w:tc>
          <w:tcPr>
            <w:tcW w:w="1540" w:type="dxa"/>
            <w:tcBorders>
              <w:top w:val="single" w:sz="4" w:space="0" w:color="auto"/>
              <w:left w:val="single" w:sz="4" w:space="0" w:color="auto"/>
              <w:bottom w:val="single" w:sz="4" w:space="0" w:color="auto"/>
              <w:right w:val="single" w:sz="4" w:space="0" w:color="auto"/>
            </w:tcBorders>
          </w:tcPr>
          <w:p w14:paraId="032E2A6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FOLFIRI</w:t>
            </w:r>
          </w:p>
          <w:p w14:paraId="1D1E06B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23F55F8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 = 176)</w:t>
            </w:r>
          </w:p>
        </w:tc>
      </w:tr>
      <w:tr w:rsidR="009500C0" w:rsidRPr="00E14983" w14:paraId="714414EE" w14:textId="77777777" w:rsidTr="00DD3E4C">
        <w:tc>
          <w:tcPr>
            <w:tcW w:w="1952" w:type="dxa"/>
            <w:tcBorders>
              <w:top w:val="single" w:sz="4" w:space="0" w:color="auto"/>
              <w:left w:val="single" w:sz="4" w:space="0" w:color="auto"/>
              <w:bottom w:val="single" w:sz="4" w:space="0" w:color="auto"/>
              <w:right w:val="single" w:sz="4" w:space="0" w:color="auto"/>
            </w:tcBorders>
          </w:tcPr>
          <w:p w14:paraId="1AA94A59"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OAR </w:t>
            </w:r>
          </w:p>
        </w:tc>
        <w:tc>
          <w:tcPr>
            <w:tcW w:w="1846" w:type="dxa"/>
            <w:tcBorders>
              <w:top w:val="single" w:sz="4" w:space="0" w:color="auto"/>
              <w:left w:val="single" w:sz="4" w:space="0" w:color="auto"/>
              <w:bottom w:val="single" w:sz="4" w:space="0" w:color="auto"/>
              <w:right w:val="single" w:sz="4" w:space="0" w:color="auto"/>
            </w:tcBorders>
          </w:tcPr>
          <w:p w14:paraId="6B95FA1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1834" w:type="dxa"/>
            <w:tcBorders>
              <w:top w:val="single" w:sz="4" w:space="0" w:color="auto"/>
              <w:left w:val="single" w:sz="4" w:space="0" w:color="auto"/>
              <w:bottom w:val="single" w:sz="4" w:space="0" w:color="auto"/>
              <w:right w:val="single" w:sz="4" w:space="0" w:color="auto"/>
            </w:tcBorders>
          </w:tcPr>
          <w:p w14:paraId="73A93D2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2036" w:type="dxa"/>
            <w:tcBorders>
              <w:top w:val="single" w:sz="4" w:space="0" w:color="auto"/>
              <w:left w:val="single" w:sz="4" w:space="0" w:color="auto"/>
              <w:bottom w:val="single" w:sz="4" w:space="0" w:color="auto"/>
              <w:right w:val="single" w:sz="4" w:space="0" w:color="auto"/>
            </w:tcBorders>
          </w:tcPr>
          <w:p w14:paraId="3E9C869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1540" w:type="dxa"/>
            <w:tcBorders>
              <w:top w:val="single" w:sz="4" w:space="0" w:color="auto"/>
              <w:left w:val="single" w:sz="4" w:space="0" w:color="auto"/>
              <w:bottom w:val="single" w:sz="4" w:space="0" w:color="auto"/>
              <w:right w:val="single" w:sz="4" w:space="0" w:color="auto"/>
            </w:tcBorders>
          </w:tcPr>
          <w:p w14:paraId="15E4455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r>
      <w:tr w:rsidR="009500C0" w:rsidRPr="00E14983" w14:paraId="713B5200" w14:textId="77777777" w:rsidTr="00DD3E4C">
        <w:tc>
          <w:tcPr>
            <w:tcW w:w="1952" w:type="dxa"/>
            <w:tcBorders>
              <w:top w:val="single" w:sz="4" w:space="0" w:color="auto"/>
              <w:left w:val="single" w:sz="4" w:space="0" w:color="auto"/>
              <w:bottom w:val="single" w:sz="4" w:space="0" w:color="auto"/>
              <w:right w:val="single" w:sz="4" w:space="0" w:color="auto"/>
            </w:tcBorders>
          </w:tcPr>
          <w:p w14:paraId="5BE3ECDD"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rPr>
              <w:t> %(95 % PI)</w:t>
            </w:r>
          </w:p>
        </w:tc>
        <w:tc>
          <w:tcPr>
            <w:tcW w:w="1846" w:type="dxa"/>
            <w:tcBorders>
              <w:top w:val="single" w:sz="4" w:space="0" w:color="auto"/>
              <w:left w:val="single" w:sz="4" w:space="0" w:color="auto"/>
              <w:bottom w:val="single" w:sz="4" w:space="0" w:color="auto"/>
              <w:right w:val="single" w:sz="4" w:space="0" w:color="auto"/>
            </w:tcBorders>
          </w:tcPr>
          <w:p w14:paraId="5202C49C"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46,9 (42,9, 51,0)</w:t>
            </w:r>
          </w:p>
        </w:tc>
        <w:tc>
          <w:tcPr>
            <w:tcW w:w="1834" w:type="dxa"/>
            <w:tcBorders>
              <w:top w:val="single" w:sz="4" w:space="0" w:color="auto"/>
              <w:left w:val="single" w:sz="4" w:space="0" w:color="auto"/>
              <w:bottom w:val="single" w:sz="4" w:space="0" w:color="auto"/>
              <w:right w:val="single" w:sz="4" w:space="0" w:color="auto"/>
            </w:tcBorders>
          </w:tcPr>
          <w:p w14:paraId="4F3D64D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38,7 (34,8, 42,8)</w:t>
            </w:r>
          </w:p>
        </w:tc>
        <w:tc>
          <w:tcPr>
            <w:tcW w:w="2036" w:type="dxa"/>
            <w:tcBorders>
              <w:top w:val="single" w:sz="4" w:space="0" w:color="auto"/>
              <w:left w:val="single" w:sz="4" w:space="0" w:color="auto"/>
              <w:bottom w:val="single" w:sz="4" w:space="0" w:color="auto"/>
              <w:right w:val="single" w:sz="4" w:space="0" w:color="auto"/>
            </w:tcBorders>
          </w:tcPr>
          <w:p w14:paraId="015299F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59,3 (51,6, 66,7)</w:t>
            </w:r>
          </w:p>
        </w:tc>
        <w:tc>
          <w:tcPr>
            <w:tcW w:w="1540" w:type="dxa"/>
            <w:tcBorders>
              <w:top w:val="single" w:sz="4" w:space="0" w:color="auto"/>
              <w:left w:val="single" w:sz="4" w:space="0" w:color="auto"/>
              <w:bottom w:val="single" w:sz="4" w:space="0" w:color="auto"/>
              <w:right w:val="single" w:sz="4" w:space="0" w:color="auto"/>
            </w:tcBorders>
          </w:tcPr>
          <w:p w14:paraId="58E8ACD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43,2 (35,8, 50,9)</w:t>
            </w:r>
          </w:p>
        </w:tc>
      </w:tr>
      <w:tr w:rsidR="009500C0" w:rsidRPr="00E14983" w14:paraId="1414088E" w14:textId="77777777" w:rsidTr="00DD3E4C">
        <w:tc>
          <w:tcPr>
            <w:tcW w:w="1952" w:type="dxa"/>
            <w:tcBorders>
              <w:top w:val="single" w:sz="4" w:space="0" w:color="auto"/>
              <w:left w:val="single" w:sz="4" w:space="0" w:color="auto"/>
              <w:bottom w:val="single" w:sz="4" w:space="0" w:color="auto"/>
              <w:right w:val="single" w:sz="4" w:space="0" w:color="auto"/>
            </w:tcBorders>
          </w:tcPr>
          <w:p w14:paraId="0BC5C184"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p reikšmė</w:t>
            </w:r>
          </w:p>
        </w:tc>
        <w:tc>
          <w:tcPr>
            <w:tcW w:w="3680" w:type="dxa"/>
            <w:gridSpan w:val="2"/>
            <w:tcBorders>
              <w:top w:val="single" w:sz="4" w:space="0" w:color="auto"/>
              <w:left w:val="single" w:sz="4" w:space="0" w:color="auto"/>
              <w:bottom w:val="single" w:sz="4" w:space="0" w:color="auto"/>
              <w:right w:val="single" w:sz="4" w:space="0" w:color="auto"/>
            </w:tcBorders>
          </w:tcPr>
          <w:p w14:paraId="3C9D8DA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0,0038</w:t>
            </w:r>
          </w:p>
        </w:tc>
        <w:tc>
          <w:tcPr>
            <w:tcW w:w="2036" w:type="dxa"/>
            <w:tcBorders>
              <w:top w:val="single" w:sz="4" w:space="0" w:color="auto"/>
              <w:left w:val="single" w:sz="4" w:space="0" w:color="auto"/>
              <w:bottom w:val="single" w:sz="4" w:space="0" w:color="auto"/>
              <w:right w:val="single" w:sz="4" w:space="0" w:color="auto"/>
            </w:tcBorders>
          </w:tcPr>
          <w:p w14:paraId="034F984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0,0025</w:t>
            </w:r>
          </w:p>
        </w:tc>
        <w:tc>
          <w:tcPr>
            <w:tcW w:w="1540" w:type="dxa"/>
            <w:tcBorders>
              <w:top w:val="single" w:sz="4" w:space="0" w:color="auto"/>
              <w:left w:val="single" w:sz="4" w:space="0" w:color="auto"/>
              <w:bottom w:val="single" w:sz="4" w:space="0" w:color="auto"/>
              <w:right w:val="single" w:sz="4" w:space="0" w:color="auto"/>
            </w:tcBorders>
          </w:tcPr>
          <w:p w14:paraId="1F90E0F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r>
      <w:tr w:rsidR="009500C0" w:rsidRPr="00E14983" w14:paraId="5DCF2A13" w14:textId="77777777" w:rsidTr="00DD3E4C">
        <w:tc>
          <w:tcPr>
            <w:tcW w:w="1952" w:type="dxa"/>
            <w:tcBorders>
              <w:top w:val="single" w:sz="4" w:space="0" w:color="auto"/>
              <w:left w:val="single" w:sz="4" w:space="0" w:color="auto"/>
              <w:bottom w:val="single" w:sz="4" w:space="0" w:color="auto"/>
              <w:right w:val="single" w:sz="4" w:space="0" w:color="auto"/>
            </w:tcBorders>
          </w:tcPr>
          <w:p w14:paraId="5F98F45E"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ILNT</w:t>
            </w:r>
          </w:p>
        </w:tc>
        <w:tc>
          <w:tcPr>
            <w:tcW w:w="1846" w:type="dxa"/>
            <w:tcBorders>
              <w:top w:val="single" w:sz="4" w:space="0" w:color="auto"/>
              <w:left w:val="single" w:sz="4" w:space="0" w:color="auto"/>
              <w:bottom w:val="single" w:sz="4" w:space="0" w:color="auto"/>
              <w:right w:val="single" w:sz="4" w:space="0" w:color="auto"/>
            </w:tcBorders>
          </w:tcPr>
          <w:p w14:paraId="09E3B09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1834" w:type="dxa"/>
            <w:tcBorders>
              <w:top w:val="single" w:sz="4" w:space="0" w:color="auto"/>
              <w:left w:val="single" w:sz="4" w:space="0" w:color="auto"/>
              <w:bottom w:val="single" w:sz="4" w:space="0" w:color="auto"/>
              <w:right w:val="single" w:sz="4" w:space="0" w:color="auto"/>
            </w:tcBorders>
          </w:tcPr>
          <w:p w14:paraId="7EFB312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2036" w:type="dxa"/>
            <w:tcBorders>
              <w:top w:val="single" w:sz="4" w:space="0" w:color="auto"/>
              <w:left w:val="single" w:sz="4" w:space="0" w:color="auto"/>
              <w:bottom w:val="single" w:sz="4" w:space="0" w:color="auto"/>
              <w:right w:val="single" w:sz="4" w:space="0" w:color="auto"/>
            </w:tcBorders>
          </w:tcPr>
          <w:p w14:paraId="059A89C1"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1540" w:type="dxa"/>
            <w:tcBorders>
              <w:top w:val="single" w:sz="4" w:space="0" w:color="auto"/>
              <w:left w:val="single" w:sz="4" w:space="0" w:color="auto"/>
              <w:bottom w:val="single" w:sz="4" w:space="0" w:color="auto"/>
              <w:right w:val="single" w:sz="4" w:space="0" w:color="auto"/>
            </w:tcBorders>
          </w:tcPr>
          <w:p w14:paraId="14A3751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r>
      <w:tr w:rsidR="009500C0" w:rsidRPr="00E14983" w14:paraId="7360619D" w14:textId="77777777" w:rsidTr="00DD3E4C">
        <w:tc>
          <w:tcPr>
            <w:tcW w:w="1952" w:type="dxa"/>
            <w:tcBorders>
              <w:top w:val="single" w:sz="4" w:space="0" w:color="auto"/>
              <w:left w:val="single" w:sz="4" w:space="0" w:color="auto"/>
              <w:bottom w:val="single" w:sz="4" w:space="0" w:color="auto"/>
              <w:right w:val="single" w:sz="4" w:space="0" w:color="auto"/>
            </w:tcBorders>
          </w:tcPr>
          <w:p w14:paraId="6F8E0260"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rPr>
              <w:t>Santykinė rizika % (95 % PI)</w:t>
            </w:r>
          </w:p>
        </w:tc>
        <w:tc>
          <w:tcPr>
            <w:tcW w:w="3680" w:type="dxa"/>
            <w:gridSpan w:val="2"/>
            <w:tcBorders>
              <w:top w:val="single" w:sz="4" w:space="0" w:color="auto"/>
              <w:left w:val="single" w:sz="4" w:space="0" w:color="auto"/>
              <w:bottom w:val="single" w:sz="4" w:space="0" w:color="auto"/>
              <w:right w:val="single" w:sz="4" w:space="0" w:color="auto"/>
            </w:tcBorders>
          </w:tcPr>
          <w:p w14:paraId="35FE172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6FCB442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0,85 (0,726, 0,998)</w:t>
            </w:r>
          </w:p>
        </w:tc>
        <w:tc>
          <w:tcPr>
            <w:tcW w:w="3576" w:type="dxa"/>
            <w:gridSpan w:val="2"/>
            <w:tcBorders>
              <w:top w:val="single" w:sz="4" w:space="0" w:color="auto"/>
              <w:left w:val="single" w:sz="4" w:space="0" w:color="auto"/>
              <w:bottom w:val="single" w:sz="4" w:space="0" w:color="auto"/>
              <w:right w:val="single" w:sz="4" w:space="0" w:color="auto"/>
            </w:tcBorders>
          </w:tcPr>
          <w:p w14:paraId="6402783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4DCAAD1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0,68 (0,501, 0,934)</w:t>
            </w:r>
          </w:p>
        </w:tc>
      </w:tr>
      <w:tr w:rsidR="009500C0" w:rsidRPr="00E14983" w14:paraId="4DBFF3AD" w14:textId="77777777" w:rsidTr="00DD3E4C">
        <w:tc>
          <w:tcPr>
            <w:tcW w:w="1952" w:type="dxa"/>
            <w:tcBorders>
              <w:top w:val="single" w:sz="4" w:space="0" w:color="auto"/>
              <w:left w:val="single" w:sz="4" w:space="0" w:color="auto"/>
              <w:bottom w:val="single" w:sz="4" w:space="0" w:color="auto"/>
              <w:right w:val="single" w:sz="4" w:space="0" w:color="auto"/>
            </w:tcBorders>
          </w:tcPr>
          <w:p w14:paraId="538DBEB1"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p reikšmė</w:t>
            </w:r>
          </w:p>
        </w:tc>
        <w:tc>
          <w:tcPr>
            <w:tcW w:w="3680" w:type="dxa"/>
            <w:gridSpan w:val="2"/>
            <w:tcBorders>
              <w:top w:val="single" w:sz="4" w:space="0" w:color="auto"/>
              <w:left w:val="single" w:sz="4" w:space="0" w:color="auto"/>
              <w:bottom w:val="single" w:sz="4" w:space="0" w:color="auto"/>
              <w:right w:val="single" w:sz="4" w:space="0" w:color="auto"/>
            </w:tcBorders>
          </w:tcPr>
          <w:p w14:paraId="7FD9737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0,0479</w:t>
            </w:r>
          </w:p>
        </w:tc>
        <w:tc>
          <w:tcPr>
            <w:tcW w:w="3576" w:type="dxa"/>
            <w:gridSpan w:val="2"/>
            <w:tcBorders>
              <w:top w:val="single" w:sz="4" w:space="0" w:color="auto"/>
              <w:left w:val="single" w:sz="4" w:space="0" w:color="auto"/>
              <w:bottom w:val="single" w:sz="4" w:space="0" w:color="auto"/>
              <w:right w:val="single" w:sz="4" w:space="0" w:color="auto"/>
            </w:tcBorders>
          </w:tcPr>
          <w:p w14:paraId="542FEDB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0,0167</w:t>
            </w:r>
          </w:p>
        </w:tc>
      </w:tr>
    </w:tbl>
    <w:p w14:paraId="57F41E6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PI – pasikliautinasis intervalas, FOLFIRI – irinotekanas kartu su infuzuojamuoju 5-FU/FR, OAR (angl. ORR) – objektyvus atsako rodiklis (pacientai, kurių atsakas buvo visiškas arba dalinis),</w:t>
      </w:r>
    </w:p>
    <w:p w14:paraId="4B3EEDC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ILNT – išgyvenimo trukmė ligai neprogresavus (angl. PFS).</w:t>
      </w:r>
    </w:p>
    <w:p w14:paraId="483479A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02CDD4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
          <w:color w:val="000000"/>
          <w:lang w:val="lt-LT"/>
        </w:rPr>
      </w:pPr>
      <w:r w:rsidRPr="00E14983">
        <w:rPr>
          <w:rFonts w:ascii="Times New Roman" w:eastAsia="Times New Roman" w:hAnsi="Times New Roman" w:cs="Times New Roman"/>
          <w:bCs/>
          <w:i/>
          <w:color w:val="000000"/>
          <w:lang w:val="lt-LT"/>
        </w:rPr>
        <w:t>Kombinuotas gydymas su kapecitabinu</w:t>
      </w:r>
    </w:p>
    <w:p w14:paraId="7430E6AB" w14:textId="6D0E5C97" w:rsidR="009500C0" w:rsidRPr="00E14983" w:rsidRDefault="009500C0" w:rsidP="009500C0">
      <w:pPr>
        <w:tabs>
          <w:tab w:val="left" w:pos="567"/>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SimSun" w:hAnsi="Times New Roman" w:cs="Times New Roman"/>
          <w:snapToGrid w:val="0"/>
          <w:color w:val="000000"/>
          <w:lang w:val="lt-LT" w:eastAsia="zh-CN"/>
        </w:rPr>
        <w:t>Randomizuoto, kontroliuojamo III</w:t>
      </w:r>
      <w:r w:rsidRPr="00E14983">
        <w:rPr>
          <w:rFonts w:ascii="Times New Roman" w:eastAsia="SimSun" w:hAnsi="Times New Roman" w:cs="Times New Roman"/>
          <w:snapToGrid w:val="0"/>
          <w:lang w:val="lt-LT" w:eastAsia="zh-CN"/>
        </w:rPr>
        <w:t> </w:t>
      </w:r>
      <w:r w:rsidRPr="00E14983">
        <w:rPr>
          <w:rFonts w:ascii="Times New Roman" w:eastAsia="SimSun" w:hAnsi="Times New Roman" w:cs="Times New Roman"/>
          <w:snapToGrid w:val="0"/>
          <w:color w:val="000000"/>
          <w:lang w:val="lt-LT" w:eastAsia="zh-CN"/>
        </w:rPr>
        <w:t>fazės tyrimo (CAIRO) duomenys paremia metastazavusio gaubtinės ir tiesiosios žarnų vėžio pirmaeilę terapiją kapecitabino (pradine 1000</w:t>
      </w:r>
      <w:r w:rsidRPr="00E14983">
        <w:rPr>
          <w:rFonts w:ascii="Times New Roman" w:eastAsia="SimSun" w:hAnsi="Times New Roman" w:cs="Times New Roman"/>
          <w:snapToGrid w:val="0"/>
          <w:lang w:val="lt-LT" w:eastAsia="zh-CN"/>
        </w:rPr>
        <w:t> </w:t>
      </w:r>
      <w:r w:rsidRPr="00E14983">
        <w:rPr>
          <w:rFonts w:ascii="Times New Roman" w:eastAsia="SimSun" w:hAnsi="Times New Roman" w:cs="Times New Roman"/>
          <w:snapToGrid w:val="0"/>
          <w:color w:val="000000"/>
          <w:lang w:val="lt-LT" w:eastAsia="zh-CN"/>
        </w:rPr>
        <w:t>mg/m</w:t>
      </w:r>
      <w:r w:rsidRPr="00E14983">
        <w:rPr>
          <w:rFonts w:ascii="Times New Roman" w:eastAsia="SimSun" w:hAnsi="Times New Roman" w:cs="Times New Roman"/>
          <w:snapToGrid w:val="0"/>
          <w:color w:val="000000"/>
          <w:vertAlign w:val="superscript"/>
          <w:lang w:val="lt-LT" w:eastAsia="zh-CN"/>
        </w:rPr>
        <w:t>2</w:t>
      </w:r>
      <w:r w:rsidRPr="00E14983">
        <w:rPr>
          <w:rFonts w:ascii="Times New Roman" w:eastAsia="SimSun" w:hAnsi="Times New Roman" w:cs="Times New Roman"/>
          <w:snapToGrid w:val="0"/>
          <w:color w:val="000000"/>
          <w:lang w:val="lt-LT" w:eastAsia="zh-CN"/>
        </w:rPr>
        <w:t xml:space="preserve"> doze, vartota 2 savaites kas 3 savaites) ir irinotekano deriniu.</w:t>
      </w:r>
      <w:r w:rsidRPr="00E14983">
        <w:rPr>
          <w:rFonts w:ascii="Times New Roman" w:eastAsia="Times New Roman" w:hAnsi="Times New Roman" w:cs="Times New Roman"/>
          <w:color w:val="000000"/>
          <w:lang w:val="lt-LT"/>
        </w:rPr>
        <w:t xml:space="preserve"> 820 pacientų atsitiktinės imties būdu buvo paskirstyti arba į nuosekliai gydomus (n</w:t>
      </w:r>
      <w:r w:rsidR="00C457B2" w:rsidRPr="00E14983">
        <w:rPr>
          <w:lang w:val="lt-LT"/>
        </w:rPr>
        <w:t> </w:t>
      </w:r>
      <w:r w:rsidRPr="00E14983">
        <w:rPr>
          <w:rFonts w:ascii="Times New Roman" w:eastAsia="Times New Roman" w:hAnsi="Times New Roman" w:cs="Times New Roman"/>
          <w:color w:val="000000"/>
          <w:lang w:val="lt-LT"/>
        </w:rPr>
        <w:t>= 410), arba į gydomus kombinuotu būdu (n</w:t>
      </w:r>
      <w:r w:rsidR="00C457B2"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w:t>
      </w:r>
      <w:r w:rsidR="00C457B2"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410). Nuoseklaus gydymo būdas yra pirmojo pasirinkimo gydymas kapecitabinu (1250 mg/m</w:t>
      </w:r>
      <w:r w:rsidRPr="00E14983">
        <w:rPr>
          <w:rFonts w:ascii="Times New Roman" w:eastAsia="Times New Roman" w:hAnsi="Times New Roman" w:cs="Times New Roman"/>
          <w:color w:val="000000"/>
          <w:vertAlign w:val="superscript"/>
          <w:lang w:val="lt-LT"/>
        </w:rPr>
        <w:t xml:space="preserve">2 </w:t>
      </w:r>
      <w:r w:rsidRPr="00E14983">
        <w:rPr>
          <w:rFonts w:ascii="Times New Roman" w:eastAsia="Times New Roman" w:hAnsi="Times New Roman" w:cs="Times New Roman"/>
          <w:color w:val="000000"/>
          <w:lang w:val="lt-LT"/>
        </w:rPr>
        <w:t>kūno paviršiaus ploto dozė vartojama 2 kartus per parą. Gydymo trukmė 14 parų), antrojo pasirinkimo būdas yra irinotekano 350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dozės pavartojimas pirmąją gydymo ciklo parą, trečiojo pasirinkimo būdas yra kombinuotas gydymas kapecitabinu (1000 mg/m</w:t>
      </w:r>
      <w:r w:rsidRPr="00E14983">
        <w:rPr>
          <w:rFonts w:ascii="Times New Roman" w:eastAsia="Times New Roman" w:hAnsi="Times New Roman" w:cs="Times New Roman"/>
          <w:color w:val="000000"/>
          <w:vertAlign w:val="superscript"/>
          <w:lang w:val="lt-LT"/>
        </w:rPr>
        <w:t xml:space="preserve">2 </w:t>
      </w:r>
      <w:r w:rsidRPr="00E14983">
        <w:rPr>
          <w:rFonts w:ascii="Times New Roman" w:eastAsia="Times New Roman" w:hAnsi="Times New Roman" w:cs="Times New Roman"/>
          <w:color w:val="000000"/>
          <w:lang w:val="lt-LT"/>
        </w:rPr>
        <w:t>kūno paviršiaus ploto dozė vartojama 2 kartus per parą. Gydymo trukmė 14 parų) kartu su oksaliplatina (130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pavartojama pirmąją ciklo parą). Kombinuotas būdas yra toks: taikomas pirmojo pasirinkimo gydymas kapecitabinu (1000 mg/m</w:t>
      </w:r>
      <w:r w:rsidRPr="00E14983">
        <w:rPr>
          <w:rFonts w:ascii="Times New Roman" w:eastAsia="Times New Roman" w:hAnsi="Times New Roman" w:cs="Times New Roman"/>
          <w:color w:val="000000"/>
          <w:vertAlign w:val="superscript"/>
          <w:lang w:val="lt-LT"/>
        </w:rPr>
        <w:t xml:space="preserve">2 </w:t>
      </w:r>
      <w:r w:rsidRPr="00E14983">
        <w:rPr>
          <w:rFonts w:ascii="Times New Roman" w:eastAsia="Times New Roman" w:hAnsi="Times New Roman" w:cs="Times New Roman"/>
          <w:color w:val="000000"/>
          <w:lang w:val="lt-LT"/>
        </w:rPr>
        <w:t>kūno paviršiaus ploto dozė vartojama 2 kartus per parą. Gydymo trukmė 14 parų) kartu su irinotekano 250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doze, kuri vartojama pirmąją gydymo ciklo parą (XELIRI) ir antrojo pasirinkimo gydymas kapecitabinu (1000 mg/m</w:t>
      </w:r>
      <w:r w:rsidRPr="00E14983">
        <w:rPr>
          <w:rFonts w:ascii="Times New Roman" w:eastAsia="Times New Roman" w:hAnsi="Times New Roman" w:cs="Times New Roman"/>
          <w:color w:val="000000"/>
          <w:vertAlign w:val="superscript"/>
          <w:lang w:val="lt-LT"/>
        </w:rPr>
        <w:t xml:space="preserve">2 </w:t>
      </w:r>
      <w:r w:rsidRPr="00E14983">
        <w:rPr>
          <w:rFonts w:ascii="Times New Roman" w:eastAsia="Times New Roman" w:hAnsi="Times New Roman" w:cs="Times New Roman"/>
          <w:color w:val="000000"/>
          <w:lang w:val="lt-LT"/>
        </w:rPr>
        <w:t>kūno paviršiaus ploto dozė vartojama 2 kartus per parą. Gydymo trukmė 14 parų) kartu su oksaliplatina (130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vartojama pirmąją gydymo ciklo parą). Visi gydymo ciklai buvo taikomi kas tris savaites. Taikant pirmojo pasirinkimo gydymą vien kapecitabinu numatytų gydyti pacientų populiacijai išgyvenimo trukmės ligai neprogresavus mediana buvo 5,8 mėnesiai (95 % PI, 5,1–6,2 mėnesiai), XELIRI (p = 0,0002) atveju – (95 % PI, 7,0–8,3 mėnesiai). </w:t>
      </w:r>
    </w:p>
    <w:p w14:paraId="130E2915" w14:textId="77777777" w:rsidR="009500C0" w:rsidRPr="00E14983" w:rsidRDefault="009500C0" w:rsidP="009500C0">
      <w:pPr>
        <w:tabs>
          <w:tab w:val="left" w:pos="567"/>
        </w:tabs>
        <w:autoSpaceDE w:val="0"/>
        <w:autoSpaceDN w:val="0"/>
        <w:adjustRightInd w:val="0"/>
        <w:spacing w:after="0" w:line="240" w:lineRule="auto"/>
        <w:rPr>
          <w:rFonts w:ascii="Times New Roman" w:eastAsia="Times New Roman" w:hAnsi="Times New Roman" w:cs="Times New Roman"/>
          <w:color w:val="000000"/>
          <w:lang w:val="lt-LT"/>
        </w:rPr>
      </w:pPr>
    </w:p>
    <w:p w14:paraId="214AC0F4" w14:textId="77777777" w:rsidR="009500C0" w:rsidRPr="00E14983" w:rsidRDefault="009500C0" w:rsidP="009500C0">
      <w:pPr>
        <w:tabs>
          <w:tab w:val="left" w:pos="567"/>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II fazės daugiacentrio, atsitiktinės imties, kontroliuojamo tarpinio tyrimo (AIO KRK 0604) duomenimis buvo vertinamas pacientų, sergančių </w:t>
      </w:r>
      <w:r w:rsidRPr="00E14983">
        <w:rPr>
          <w:rFonts w:ascii="Times New Roman" w:eastAsia="Times New Roman" w:hAnsi="Times New Roman" w:cs="Times New Roman"/>
          <w:color w:val="000000"/>
          <w:lang w:val="lt-LT"/>
        </w:rPr>
        <w:t>metastazavusiu gaubtinės ir tiesiosios žarnos vėžiu kombinuotas pirmojo pasirinkimo 2 savaičių trukmės ir taikomu kas 3 savaites gydymas kapecitabino pradine 800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doze kartu su irinotekanu ir bevacizumabu. 115 pacientų atsitiktinės imties būdu buvo priskirti į gydomus kapecitabinu kartu su irinotekanu (XELIRI), ir bevacizumabu: dvi savaites du kartus per parą vartojama kapecitabino 800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po to daroma 7 parų pertrauka bei kas 3 savaites pirmą ciklo parą 30 minučių laikotarpiu infuzuojama irinotekano 200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ir kas 3 savaites pirmą ciklo parą 30</w:t>
      </w:r>
      <w:r w:rsidRPr="00E14983">
        <w:rPr>
          <w:rFonts w:ascii="Times New Roman" w:eastAsia="Times New Roman" w:hAnsi="Times New Roman" w:cs="Times New Roman"/>
          <w:color w:val="000000"/>
          <w:lang w:val="lt-LT"/>
        </w:rPr>
        <w:noBreakHyphen/>
        <w:t>90 minučių laikotarpiu infuzuojama bevacizumabo 7,5 mg/kg kūno svorio dozė. 118 pacientų atsitiktinės imties būdu buvo priskirti į gydomus kapecitabinu kartu su oksaliplatina ir bevacizumabu: dvi savaites du kartus per parą vartojama kapecitabino 1000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po to daroma 7 parų pertrauka, kas 3 savaites pirmąją gydymo ciklo parą 2 valandų laikotarpiu infuzuojama oksaliplatinos 130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kūno paviršiaus ploto dozė, ir kas 3 savaites pirmą ciklo parą 30</w:t>
      </w:r>
      <w:r w:rsidRPr="00E14983">
        <w:rPr>
          <w:rFonts w:ascii="Times New Roman" w:eastAsia="Times New Roman" w:hAnsi="Times New Roman" w:cs="Times New Roman"/>
          <w:color w:val="000000"/>
          <w:lang w:val="lt-LT"/>
        </w:rPr>
        <w:noBreakHyphen/>
        <w:t>90 minučių laikotarpiu infuzuojama bevacizumabo 7,5 mg/kg kūno svorio dozė.</w:t>
      </w:r>
    </w:p>
    <w:p w14:paraId="4BD91E9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Numatytų gydyti pacientų populiacijos išgyvenimo iki 6 mėnesių trukmės ligai neprogresavus </w:t>
      </w:r>
      <w:r w:rsidRPr="00E14983">
        <w:rPr>
          <w:rFonts w:ascii="Times New Roman" w:eastAsia="Times New Roman" w:hAnsi="Times New Roman" w:cs="Times New Roman"/>
          <w:color w:val="000000"/>
          <w:lang w:val="lt-LT"/>
        </w:rPr>
        <w:lastRenderedPageBreak/>
        <w:t>mediana buvo 80 % (XELIRI kartu su bevacizumabu), palyginti su 74 % (XELOX kartu su bevacizumabu). Bendras atsako (visiškas atsakas kartu su daliniu atsaku) dažnis buvo 45 % (XELOX kartu su bevacizumabu), palyginti su 47 % (XELIRI kartu su bevacizumabu).</w:t>
      </w:r>
    </w:p>
    <w:p w14:paraId="637676E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52BCF1D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
          <w:color w:val="000000"/>
          <w:u w:val="single"/>
          <w:lang w:val="lt-LT"/>
        </w:rPr>
      </w:pPr>
      <w:r w:rsidRPr="00E14983">
        <w:rPr>
          <w:rFonts w:ascii="Times New Roman" w:eastAsia="Times New Roman" w:hAnsi="Times New Roman" w:cs="Times New Roman"/>
          <w:bCs/>
          <w:i/>
          <w:color w:val="000000"/>
          <w:u w:val="single"/>
          <w:lang w:val="lt-LT"/>
        </w:rPr>
        <w:t>Antros eilės monoterapija metastazavusios gaubtinės ir tiesiosios žarnų karcinomos gydymui</w:t>
      </w:r>
    </w:p>
    <w:p w14:paraId="359657C3" w14:textId="77777777" w:rsidR="009500C0" w:rsidRPr="00E14983" w:rsidRDefault="009500C0" w:rsidP="009500C0">
      <w:pPr>
        <w:widowControl w:val="0"/>
        <w:shd w:val="clear" w:color="auto" w:fill="FFFFFF"/>
        <w:tabs>
          <w:tab w:val="left" w:pos="567"/>
          <w:tab w:val="left" w:pos="7513"/>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II ir III klinikinių fazių tyrimas atliktas daugiau kaip 980 pacientų, sergančių metastazavusiu gaubtinės ir tiesiosios žarnos vėžiu ir kas 3 savaites vartojančių vaistinio preparato ir kuriems ankstesnis gydymas 5-FU buvo neveiksmingas. Irinotekano poveikio veiksmingumas nustatytas 765 pacientams, kuriems buvo registruota progresija tyrimo pradžioje. </w:t>
      </w:r>
    </w:p>
    <w:p w14:paraId="63B1B67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u w:val="single"/>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0"/>
        <w:gridCol w:w="1327"/>
        <w:gridCol w:w="1328"/>
        <w:gridCol w:w="1288"/>
        <w:gridCol w:w="1304"/>
        <w:gridCol w:w="1037"/>
        <w:gridCol w:w="1166"/>
      </w:tblGrid>
      <w:tr w:rsidR="009500C0" w:rsidRPr="00E14983" w14:paraId="68A037B8" w14:textId="77777777" w:rsidTr="00DD3E4C">
        <w:tc>
          <w:tcPr>
            <w:tcW w:w="938" w:type="pct"/>
            <w:tcBorders>
              <w:top w:val="single" w:sz="4" w:space="0" w:color="auto"/>
              <w:left w:val="single" w:sz="4" w:space="0" w:color="auto"/>
              <w:bottom w:val="single" w:sz="4" w:space="0" w:color="auto"/>
              <w:right w:val="single" w:sz="4" w:space="0" w:color="auto"/>
            </w:tcBorders>
          </w:tcPr>
          <w:p w14:paraId="33B10EC1"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4062" w:type="pct"/>
            <w:gridSpan w:val="6"/>
            <w:tcBorders>
              <w:top w:val="single" w:sz="4" w:space="0" w:color="auto"/>
              <w:left w:val="single" w:sz="4" w:space="0" w:color="auto"/>
              <w:bottom w:val="single" w:sz="4" w:space="0" w:color="auto"/>
              <w:right w:val="single" w:sz="4" w:space="0" w:color="auto"/>
            </w:tcBorders>
          </w:tcPr>
          <w:p w14:paraId="2A8FC5B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III fazė</w:t>
            </w:r>
          </w:p>
        </w:tc>
      </w:tr>
      <w:tr w:rsidR="009500C0" w:rsidRPr="00E14983" w14:paraId="5F4626D5" w14:textId="77777777" w:rsidTr="00DD3E4C">
        <w:tc>
          <w:tcPr>
            <w:tcW w:w="938" w:type="pct"/>
            <w:tcBorders>
              <w:top w:val="single" w:sz="4" w:space="0" w:color="auto"/>
              <w:left w:val="single" w:sz="4" w:space="0" w:color="auto"/>
              <w:bottom w:val="single" w:sz="4" w:space="0" w:color="auto"/>
              <w:right w:val="single" w:sz="4" w:space="0" w:color="auto"/>
            </w:tcBorders>
          </w:tcPr>
          <w:p w14:paraId="658689EC"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2324" w:type="pct"/>
            <w:gridSpan w:val="3"/>
            <w:tcBorders>
              <w:top w:val="single" w:sz="4" w:space="0" w:color="auto"/>
              <w:left w:val="single" w:sz="4" w:space="0" w:color="auto"/>
              <w:bottom w:val="single" w:sz="4" w:space="0" w:color="auto"/>
              <w:right w:val="single" w:sz="4" w:space="0" w:color="auto"/>
            </w:tcBorders>
          </w:tcPr>
          <w:p w14:paraId="75661B24" w14:textId="77777777" w:rsidR="009500C0" w:rsidRPr="00E14983" w:rsidRDefault="009500C0" w:rsidP="00DD3E4C">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Irinotekanas palyginti su palaikomąja slauga</w:t>
            </w:r>
          </w:p>
        </w:tc>
        <w:tc>
          <w:tcPr>
            <w:tcW w:w="1738" w:type="pct"/>
            <w:gridSpan w:val="3"/>
            <w:tcBorders>
              <w:top w:val="single" w:sz="4" w:space="0" w:color="auto"/>
              <w:left w:val="single" w:sz="4" w:space="0" w:color="auto"/>
              <w:bottom w:val="single" w:sz="4" w:space="0" w:color="auto"/>
              <w:right w:val="single" w:sz="4" w:space="0" w:color="auto"/>
            </w:tcBorders>
          </w:tcPr>
          <w:p w14:paraId="692C304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Irinotekanas palyginti su 5FU</w:t>
            </w:r>
          </w:p>
        </w:tc>
      </w:tr>
      <w:tr w:rsidR="009500C0" w:rsidRPr="00E14983" w14:paraId="1457131D" w14:textId="77777777" w:rsidTr="00DD3E4C">
        <w:tc>
          <w:tcPr>
            <w:tcW w:w="938" w:type="pct"/>
            <w:tcBorders>
              <w:top w:val="single" w:sz="4" w:space="0" w:color="auto"/>
              <w:left w:val="single" w:sz="4" w:space="0" w:color="auto"/>
              <w:bottom w:val="single" w:sz="4" w:space="0" w:color="auto"/>
              <w:right w:val="single" w:sz="4" w:space="0" w:color="auto"/>
            </w:tcBorders>
          </w:tcPr>
          <w:p w14:paraId="214C94F2"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782" w:type="pct"/>
            <w:tcBorders>
              <w:top w:val="single" w:sz="4" w:space="0" w:color="auto"/>
              <w:left w:val="single" w:sz="4" w:space="0" w:color="auto"/>
              <w:bottom w:val="single" w:sz="4" w:space="0" w:color="auto"/>
              <w:right w:val="single" w:sz="4" w:space="0" w:color="auto"/>
            </w:tcBorders>
          </w:tcPr>
          <w:p w14:paraId="11FABA0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Irinotekanas</w:t>
            </w:r>
          </w:p>
          <w:p w14:paraId="5ABFFF5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p w14:paraId="12B3105C"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 = 183</w:t>
            </w:r>
          </w:p>
        </w:tc>
        <w:tc>
          <w:tcPr>
            <w:tcW w:w="782" w:type="pct"/>
            <w:tcBorders>
              <w:top w:val="single" w:sz="4" w:space="0" w:color="auto"/>
              <w:left w:val="single" w:sz="4" w:space="0" w:color="auto"/>
              <w:bottom w:val="single" w:sz="4" w:space="0" w:color="auto"/>
              <w:right w:val="single" w:sz="4" w:space="0" w:color="auto"/>
            </w:tcBorders>
          </w:tcPr>
          <w:p w14:paraId="7A8760E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Palaikomoji slauga</w:t>
            </w:r>
          </w:p>
          <w:p w14:paraId="369D62B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 = 90</w:t>
            </w:r>
          </w:p>
        </w:tc>
        <w:tc>
          <w:tcPr>
            <w:tcW w:w="760" w:type="pct"/>
            <w:tcBorders>
              <w:top w:val="single" w:sz="4" w:space="0" w:color="auto"/>
              <w:left w:val="single" w:sz="4" w:space="0" w:color="auto"/>
              <w:bottom w:val="single" w:sz="4" w:space="0" w:color="auto"/>
              <w:right w:val="single" w:sz="4" w:space="0" w:color="auto"/>
            </w:tcBorders>
          </w:tcPr>
          <w:p w14:paraId="4EE02C5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0911F21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p w14:paraId="1081A9E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reikšmė</w:t>
            </w:r>
          </w:p>
        </w:tc>
        <w:tc>
          <w:tcPr>
            <w:tcW w:w="760" w:type="pct"/>
            <w:tcBorders>
              <w:top w:val="single" w:sz="4" w:space="0" w:color="auto"/>
              <w:left w:val="single" w:sz="4" w:space="0" w:color="auto"/>
              <w:bottom w:val="single" w:sz="4" w:space="0" w:color="auto"/>
              <w:right w:val="single" w:sz="4" w:space="0" w:color="auto"/>
            </w:tcBorders>
          </w:tcPr>
          <w:p w14:paraId="595F262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Irinotekanas</w:t>
            </w:r>
          </w:p>
          <w:p w14:paraId="3247AB51"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p w14:paraId="028413A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 = 127</w:t>
            </w:r>
          </w:p>
        </w:tc>
        <w:tc>
          <w:tcPr>
            <w:tcW w:w="630" w:type="pct"/>
            <w:tcBorders>
              <w:top w:val="single" w:sz="4" w:space="0" w:color="auto"/>
              <w:left w:val="single" w:sz="4" w:space="0" w:color="auto"/>
              <w:bottom w:val="single" w:sz="4" w:space="0" w:color="auto"/>
              <w:right w:val="single" w:sz="4" w:space="0" w:color="auto"/>
            </w:tcBorders>
          </w:tcPr>
          <w:p w14:paraId="1FF29D4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5FU</w:t>
            </w:r>
          </w:p>
          <w:p w14:paraId="398760D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p w14:paraId="199AF89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 = 129</w:t>
            </w:r>
          </w:p>
        </w:tc>
        <w:tc>
          <w:tcPr>
            <w:tcW w:w="348" w:type="pct"/>
            <w:tcBorders>
              <w:top w:val="single" w:sz="4" w:space="0" w:color="auto"/>
              <w:left w:val="single" w:sz="4" w:space="0" w:color="auto"/>
              <w:bottom w:val="single" w:sz="4" w:space="0" w:color="auto"/>
              <w:right w:val="single" w:sz="4" w:space="0" w:color="auto"/>
            </w:tcBorders>
          </w:tcPr>
          <w:p w14:paraId="6940771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6924FE2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p w14:paraId="4B36E75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 xml:space="preserve">p reikšmė </w:t>
            </w:r>
          </w:p>
        </w:tc>
      </w:tr>
      <w:tr w:rsidR="009500C0" w:rsidRPr="00E14983" w14:paraId="7757CD46" w14:textId="77777777" w:rsidTr="00DD3E4C">
        <w:tc>
          <w:tcPr>
            <w:tcW w:w="938" w:type="pct"/>
            <w:tcBorders>
              <w:top w:val="single" w:sz="4" w:space="0" w:color="auto"/>
              <w:left w:val="single" w:sz="4" w:space="0" w:color="auto"/>
              <w:bottom w:val="single" w:sz="4" w:space="0" w:color="auto"/>
              <w:right w:val="single" w:sz="4" w:space="0" w:color="auto"/>
            </w:tcBorders>
          </w:tcPr>
          <w:p w14:paraId="6B84ECB7"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 xml:space="preserve">6 mėn. (%) išgyvenimo trukmė ligai neprogresavus </w:t>
            </w:r>
          </w:p>
        </w:tc>
        <w:tc>
          <w:tcPr>
            <w:tcW w:w="782" w:type="pct"/>
            <w:tcBorders>
              <w:top w:val="single" w:sz="4" w:space="0" w:color="auto"/>
              <w:left w:val="single" w:sz="4" w:space="0" w:color="auto"/>
              <w:bottom w:val="single" w:sz="4" w:space="0" w:color="auto"/>
              <w:right w:val="single" w:sz="4" w:space="0" w:color="auto"/>
            </w:tcBorders>
          </w:tcPr>
          <w:p w14:paraId="657A16A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17C2D291"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NA</w:t>
            </w:r>
          </w:p>
        </w:tc>
        <w:tc>
          <w:tcPr>
            <w:tcW w:w="782" w:type="pct"/>
            <w:tcBorders>
              <w:top w:val="single" w:sz="4" w:space="0" w:color="auto"/>
              <w:left w:val="single" w:sz="4" w:space="0" w:color="auto"/>
              <w:bottom w:val="single" w:sz="4" w:space="0" w:color="auto"/>
              <w:right w:val="single" w:sz="4" w:space="0" w:color="auto"/>
            </w:tcBorders>
          </w:tcPr>
          <w:p w14:paraId="2814C15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3F4B11E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NA</w:t>
            </w:r>
          </w:p>
        </w:tc>
        <w:tc>
          <w:tcPr>
            <w:tcW w:w="760" w:type="pct"/>
            <w:tcBorders>
              <w:top w:val="single" w:sz="4" w:space="0" w:color="auto"/>
              <w:left w:val="single" w:sz="4" w:space="0" w:color="auto"/>
              <w:bottom w:val="single" w:sz="4" w:space="0" w:color="auto"/>
              <w:right w:val="single" w:sz="4" w:space="0" w:color="auto"/>
            </w:tcBorders>
          </w:tcPr>
          <w:p w14:paraId="3DFBCF0C"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760" w:type="pct"/>
            <w:tcBorders>
              <w:top w:val="single" w:sz="4" w:space="0" w:color="auto"/>
              <w:left w:val="single" w:sz="4" w:space="0" w:color="auto"/>
              <w:bottom w:val="single" w:sz="4" w:space="0" w:color="auto"/>
              <w:right w:val="single" w:sz="4" w:space="0" w:color="auto"/>
            </w:tcBorders>
          </w:tcPr>
          <w:p w14:paraId="0042D54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1EFDD1E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33,5*</w:t>
            </w:r>
          </w:p>
        </w:tc>
        <w:tc>
          <w:tcPr>
            <w:tcW w:w="630" w:type="pct"/>
            <w:tcBorders>
              <w:top w:val="single" w:sz="4" w:space="0" w:color="auto"/>
              <w:left w:val="single" w:sz="4" w:space="0" w:color="auto"/>
              <w:bottom w:val="single" w:sz="4" w:space="0" w:color="auto"/>
              <w:right w:val="single" w:sz="4" w:space="0" w:color="auto"/>
            </w:tcBorders>
          </w:tcPr>
          <w:p w14:paraId="0A6B3A9B"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4EB4157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26,7</w:t>
            </w:r>
          </w:p>
        </w:tc>
        <w:tc>
          <w:tcPr>
            <w:tcW w:w="348" w:type="pct"/>
            <w:tcBorders>
              <w:top w:val="single" w:sz="4" w:space="0" w:color="auto"/>
              <w:left w:val="single" w:sz="4" w:space="0" w:color="auto"/>
              <w:bottom w:val="single" w:sz="4" w:space="0" w:color="auto"/>
              <w:right w:val="single" w:sz="4" w:space="0" w:color="auto"/>
            </w:tcBorders>
          </w:tcPr>
          <w:p w14:paraId="6DA74E5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4674511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 0,03</w:t>
            </w:r>
          </w:p>
        </w:tc>
      </w:tr>
      <w:tr w:rsidR="009500C0" w:rsidRPr="00E14983" w14:paraId="1F961D59" w14:textId="77777777" w:rsidTr="00DD3E4C">
        <w:tc>
          <w:tcPr>
            <w:tcW w:w="938" w:type="pct"/>
            <w:tcBorders>
              <w:top w:val="single" w:sz="4" w:space="0" w:color="auto"/>
              <w:left w:val="single" w:sz="4" w:space="0" w:color="auto"/>
              <w:bottom w:val="single" w:sz="4" w:space="0" w:color="auto"/>
              <w:right w:val="single" w:sz="4" w:space="0" w:color="auto"/>
            </w:tcBorders>
          </w:tcPr>
          <w:p w14:paraId="7E6AE22C"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12 mėn. (%)</w:t>
            </w:r>
          </w:p>
          <w:p w14:paraId="6573B9FA"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r w:rsidRPr="00E14983">
              <w:rPr>
                <w:rFonts w:ascii="Times New Roman" w:eastAsia="Times New Roman" w:hAnsi="Times New Roman" w:cs="Times New Roman"/>
                <w:color w:val="000000"/>
                <w:lang w:val="lt-LT" w:eastAsia="lt-LT"/>
              </w:rPr>
              <w:t xml:space="preserve">išgyvenimas </w:t>
            </w:r>
          </w:p>
          <w:p w14:paraId="23B29FBD"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782" w:type="pct"/>
            <w:tcBorders>
              <w:top w:val="single" w:sz="4" w:space="0" w:color="auto"/>
              <w:left w:val="single" w:sz="4" w:space="0" w:color="auto"/>
              <w:bottom w:val="single" w:sz="4" w:space="0" w:color="auto"/>
              <w:right w:val="single" w:sz="4" w:space="0" w:color="auto"/>
            </w:tcBorders>
          </w:tcPr>
          <w:p w14:paraId="16A6C91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177C358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36,2*</w:t>
            </w:r>
          </w:p>
        </w:tc>
        <w:tc>
          <w:tcPr>
            <w:tcW w:w="782" w:type="pct"/>
            <w:tcBorders>
              <w:top w:val="single" w:sz="4" w:space="0" w:color="auto"/>
              <w:left w:val="single" w:sz="4" w:space="0" w:color="auto"/>
              <w:bottom w:val="single" w:sz="4" w:space="0" w:color="auto"/>
              <w:right w:val="single" w:sz="4" w:space="0" w:color="auto"/>
            </w:tcBorders>
          </w:tcPr>
          <w:p w14:paraId="131DE67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7D1F311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13,8</w:t>
            </w:r>
          </w:p>
        </w:tc>
        <w:tc>
          <w:tcPr>
            <w:tcW w:w="760" w:type="pct"/>
            <w:tcBorders>
              <w:top w:val="single" w:sz="4" w:space="0" w:color="auto"/>
              <w:left w:val="single" w:sz="4" w:space="0" w:color="auto"/>
              <w:bottom w:val="single" w:sz="4" w:space="0" w:color="auto"/>
              <w:right w:val="single" w:sz="4" w:space="0" w:color="auto"/>
            </w:tcBorders>
          </w:tcPr>
          <w:p w14:paraId="30AAC1E8"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 0,0001</w:t>
            </w:r>
          </w:p>
        </w:tc>
        <w:tc>
          <w:tcPr>
            <w:tcW w:w="760" w:type="pct"/>
            <w:tcBorders>
              <w:top w:val="single" w:sz="4" w:space="0" w:color="auto"/>
              <w:left w:val="single" w:sz="4" w:space="0" w:color="auto"/>
              <w:bottom w:val="single" w:sz="4" w:space="0" w:color="auto"/>
              <w:right w:val="single" w:sz="4" w:space="0" w:color="auto"/>
            </w:tcBorders>
          </w:tcPr>
          <w:p w14:paraId="21DD9BA7"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4DA91C40"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44,8*</w:t>
            </w:r>
          </w:p>
        </w:tc>
        <w:tc>
          <w:tcPr>
            <w:tcW w:w="630" w:type="pct"/>
            <w:tcBorders>
              <w:top w:val="single" w:sz="4" w:space="0" w:color="auto"/>
              <w:left w:val="single" w:sz="4" w:space="0" w:color="auto"/>
              <w:bottom w:val="single" w:sz="4" w:space="0" w:color="auto"/>
              <w:right w:val="single" w:sz="4" w:space="0" w:color="auto"/>
            </w:tcBorders>
          </w:tcPr>
          <w:p w14:paraId="6BADA12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7F0B860A"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32,4</w:t>
            </w:r>
          </w:p>
        </w:tc>
        <w:tc>
          <w:tcPr>
            <w:tcW w:w="348" w:type="pct"/>
            <w:tcBorders>
              <w:top w:val="single" w:sz="4" w:space="0" w:color="auto"/>
              <w:left w:val="single" w:sz="4" w:space="0" w:color="auto"/>
              <w:bottom w:val="single" w:sz="4" w:space="0" w:color="auto"/>
              <w:right w:val="single" w:sz="4" w:space="0" w:color="auto"/>
            </w:tcBorders>
          </w:tcPr>
          <w:p w14:paraId="7822350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5359301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 0,0351</w:t>
            </w:r>
          </w:p>
        </w:tc>
      </w:tr>
      <w:tr w:rsidR="009500C0" w:rsidRPr="00E14983" w14:paraId="22AF52AA" w14:textId="77777777" w:rsidTr="00DD3E4C">
        <w:tc>
          <w:tcPr>
            <w:tcW w:w="938" w:type="pct"/>
            <w:tcBorders>
              <w:top w:val="single" w:sz="4" w:space="0" w:color="auto"/>
              <w:left w:val="single" w:sz="4" w:space="0" w:color="auto"/>
              <w:bottom w:val="single" w:sz="4" w:space="0" w:color="auto"/>
              <w:right w:val="single" w:sz="4" w:space="0" w:color="auto"/>
            </w:tcBorders>
          </w:tcPr>
          <w:p w14:paraId="5CF0AE01" w14:textId="77777777" w:rsidR="009500C0" w:rsidRPr="00E14983" w:rsidRDefault="009500C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Išgyvenimo mediana (mėn.)</w:t>
            </w:r>
          </w:p>
        </w:tc>
        <w:tc>
          <w:tcPr>
            <w:tcW w:w="782" w:type="pct"/>
            <w:tcBorders>
              <w:top w:val="single" w:sz="4" w:space="0" w:color="auto"/>
              <w:left w:val="single" w:sz="4" w:space="0" w:color="auto"/>
              <w:bottom w:val="single" w:sz="4" w:space="0" w:color="auto"/>
              <w:right w:val="single" w:sz="4" w:space="0" w:color="auto"/>
            </w:tcBorders>
          </w:tcPr>
          <w:p w14:paraId="185051E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5C63CAB6"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9,2*</w:t>
            </w:r>
          </w:p>
        </w:tc>
        <w:tc>
          <w:tcPr>
            <w:tcW w:w="782" w:type="pct"/>
            <w:tcBorders>
              <w:top w:val="single" w:sz="4" w:space="0" w:color="auto"/>
              <w:left w:val="single" w:sz="4" w:space="0" w:color="auto"/>
              <w:bottom w:val="single" w:sz="4" w:space="0" w:color="auto"/>
              <w:right w:val="single" w:sz="4" w:space="0" w:color="auto"/>
            </w:tcBorders>
          </w:tcPr>
          <w:p w14:paraId="7B648B3E"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5B3ED5A3"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6,5</w:t>
            </w:r>
          </w:p>
        </w:tc>
        <w:tc>
          <w:tcPr>
            <w:tcW w:w="760" w:type="pct"/>
            <w:tcBorders>
              <w:top w:val="single" w:sz="4" w:space="0" w:color="auto"/>
              <w:left w:val="single" w:sz="4" w:space="0" w:color="auto"/>
              <w:bottom w:val="single" w:sz="4" w:space="0" w:color="auto"/>
              <w:right w:val="single" w:sz="4" w:space="0" w:color="auto"/>
            </w:tcBorders>
          </w:tcPr>
          <w:p w14:paraId="1496C1D5"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7696C64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 0,0001</w:t>
            </w:r>
          </w:p>
        </w:tc>
        <w:tc>
          <w:tcPr>
            <w:tcW w:w="760" w:type="pct"/>
            <w:tcBorders>
              <w:top w:val="single" w:sz="4" w:space="0" w:color="auto"/>
              <w:left w:val="single" w:sz="4" w:space="0" w:color="auto"/>
              <w:bottom w:val="single" w:sz="4" w:space="0" w:color="auto"/>
              <w:right w:val="single" w:sz="4" w:space="0" w:color="auto"/>
            </w:tcBorders>
          </w:tcPr>
          <w:p w14:paraId="1141204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0A7F39B4"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10,8*</w:t>
            </w:r>
          </w:p>
        </w:tc>
        <w:tc>
          <w:tcPr>
            <w:tcW w:w="630" w:type="pct"/>
            <w:tcBorders>
              <w:top w:val="single" w:sz="4" w:space="0" w:color="auto"/>
              <w:left w:val="single" w:sz="4" w:space="0" w:color="auto"/>
              <w:bottom w:val="single" w:sz="4" w:space="0" w:color="auto"/>
              <w:right w:val="single" w:sz="4" w:space="0" w:color="auto"/>
            </w:tcBorders>
          </w:tcPr>
          <w:p w14:paraId="4DD56AEF"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0F7423AD"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8,5</w:t>
            </w:r>
          </w:p>
        </w:tc>
        <w:tc>
          <w:tcPr>
            <w:tcW w:w="348" w:type="pct"/>
            <w:tcBorders>
              <w:top w:val="single" w:sz="4" w:space="0" w:color="auto"/>
              <w:left w:val="single" w:sz="4" w:space="0" w:color="auto"/>
              <w:bottom w:val="single" w:sz="4" w:space="0" w:color="auto"/>
              <w:right w:val="single" w:sz="4" w:space="0" w:color="auto"/>
            </w:tcBorders>
          </w:tcPr>
          <w:p w14:paraId="758956F2"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30D97D79" w14:textId="77777777" w:rsidR="009500C0" w:rsidRPr="00E14983" w:rsidRDefault="009500C0"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eastAsia="lt-LT"/>
              </w:rPr>
              <w:t>p = 0,0351</w:t>
            </w:r>
          </w:p>
        </w:tc>
      </w:tr>
    </w:tbl>
    <w:p w14:paraId="3B03171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NA – nepateikiama</w:t>
      </w:r>
    </w:p>
    <w:p w14:paraId="0099338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 statistiškai reikšmingi pokyčiai</w:t>
      </w:r>
    </w:p>
    <w:p w14:paraId="1059C28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u w:val="single"/>
          <w:lang w:val="lt-LT"/>
        </w:rPr>
      </w:pPr>
    </w:p>
    <w:p w14:paraId="5E8815F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II</w:t>
      </w:r>
      <w:r w:rsidRPr="00E14983">
        <w:rPr>
          <w:rFonts w:ascii="Times New Roman" w:eastAsia="Times New Roman" w:hAnsi="Times New Roman" w:cs="Times New Roman"/>
          <w:bCs/>
          <w:color w:val="000000"/>
          <w:lang w:val="lt-LT"/>
        </w:rPr>
        <w:t xml:space="preserve"> </w:t>
      </w:r>
      <w:r w:rsidRPr="00E14983">
        <w:rPr>
          <w:rFonts w:ascii="Times New Roman" w:eastAsia="Times New Roman" w:hAnsi="Times New Roman" w:cs="Times New Roman"/>
          <w:color w:val="000000"/>
          <w:lang w:val="lt-LT"/>
        </w:rPr>
        <w:t>fazės tyrimo, atlikto su 455 pacientais, vartojusiais vaistinį preparatą kas 3 savaites, išgyvenimo trukmė ligai neprogresavus iki 6 mėn. buvo 30 % ir išgyvenimo mediana buvo 9 mėnesiai. Laiko iki ligos progresavimo mediana buvo 18 savaičių.</w:t>
      </w:r>
    </w:p>
    <w:p w14:paraId="25BEE20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26F136E7" w14:textId="77777777" w:rsidR="009500C0" w:rsidRPr="00E14983" w:rsidRDefault="009500C0" w:rsidP="009500C0">
      <w:pPr>
        <w:tabs>
          <w:tab w:val="left" w:pos="567"/>
        </w:tabs>
        <w:spacing w:after="0" w:line="240" w:lineRule="auto"/>
        <w:rPr>
          <w:rFonts w:ascii="Times New Roman" w:eastAsia="SimSun" w:hAnsi="Times New Roman" w:cs="Times New Roman"/>
          <w:snapToGrid w:val="0"/>
          <w:lang w:val="lt-LT" w:eastAsia="zh-CN"/>
        </w:rPr>
      </w:pPr>
      <w:r w:rsidRPr="00E14983">
        <w:rPr>
          <w:rFonts w:ascii="Times New Roman" w:eastAsia="SimSun" w:hAnsi="Times New Roman" w:cs="Times New Roman"/>
          <w:snapToGrid w:val="0"/>
          <w:lang w:val="lt-LT" w:eastAsia="zh-CN"/>
        </w:rPr>
        <w:t>Tai pat atlikti nelyginamieji II fazės tyrimai, kurių metu 304 pacientams kas savaitę 4 savaites iš eilės į veną per 90 minučių buvo leidžiama 125 mg/m</w:t>
      </w:r>
      <w:r w:rsidRPr="00E14983">
        <w:rPr>
          <w:rFonts w:ascii="Times New Roman" w:eastAsia="SimSun" w:hAnsi="Times New Roman" w:cs="Times New Roman"/>
          <w:snapToGrid w:val="0"/>
          <w:vertAlign w:val="superscript"/>
          <w:lang w:val="lt-LT" w:eastAsia="zh-CN"/>
        </w:rPr>
        <w:t>2</w:t>
      </w:r>
      <w:r w:rsidRPr="00E14983">
        <w:rPr>
          <w:rFonts w:ascii="Times New Roman" w:eastAsia="SimSun" w:hAnsi="Times New Roman" w:cs="Times New Roman"/>
          <w:snapToGrid w:val="0"/>
          <w:lang w:val="lt-LT" w:eastAsia="zh-CN"/>
        </w:rPr>
        <w:t xml:space="preserve"> kūno paviršiaus dozė, o vėliau daroma 2 savaičių pertrauka. Šių tyrimų metu vidutiniškai liga pradėjo progresuoti po 17 savaičių, o vidutinis išgyvenamumo laikas buvo 10 mėnesių. Panašaus pobūdžio preparato saugumas nustatytas ir tyrimo, kurio metu 193 pacientams preparato į veną buvo leidžiama kas savaitę, metu (pradinė dozė buvo 125 mg/m</w:t>
      </w:r>
      <w:r w:rsidRPr="00E14983">
        <w:rPr>
          <w:rFonts w:ascii="Times New Roman" w:eastAsia="SimSun" w:hAnsi="Times New Roman" w:cs="Times New Roman"/>
          <w:snapToGrid w:val="0"/>
          <w:vertAlign w:val="superscript"/>
          <w:lang w:val="lt-LT" w:eastAsia="zh-CN"/>
        </w:rPr>
        <w:t>2</w:t>
      </w:r>
      <w:r w:rsidRPr="00E14983">
        <w:rPr>
          <w:rFonts w:ascii="Times New Roman" w:eastAsia="SimSun" w:hAnsi="Times New Roman" w:cs="Times New Roman"/>
          <w:snapToGrid w:val="0"/>
          <w:lang w:val="lt-LT" w:eastAsia="zh-CN"/>
        </w:rPr>
        <w:t xml:space="preserve"> kūno paviršiaus), lyginant su dozavimo režimu, kai vaistinio preparato buvo leidžiama kas 3-ią savaitę. Vidutiniškai 11 parą prasidėjo tuštinimasis skystomis išmatomis.</w:t>
      </w:r>
    </w:p>
    <w:p w14:paraId="0ED3FD0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p>
    <w:p w14:paraId="759EEFD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color w:val="000000"/>
          <w:lang w:val="lt-LT"/>
        </w:rPr>
      </w:pPr>
      <w:r w:rsidRPr="00E14983">
        <w:rPr>
          <w:rFonts w:ascii="Times New Roman" w:eastAsia="Times New Roman" w:hAnsi="Times New Roman" w:cs="Times New Roman"/>
          <w:i/>
          <w:color w:val="000000"/>
          <w:lang w:val="lt-LT"/>
        </w:rPr>
        <w:t>Kombinuotas gydymas cetuksimabu po nesėkmingo gydymo irinotekanu, įskaitant citotoksinę terapiją</w:t>
      </w:r>
    </w:p>
    <w:p w14:paraId="6D635C46" w14:textId="1DDC986D"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Kombinuoto gydymo cetuksimabu kartu su irinotekanu veiksmingumas buvo tirtas dviejų klinikinių tyrimų metu. Tyrime dalyvavo iš viso 356 pacientai su metastazavusio gaubtinės ir tiesiosios žarnos vėžio EGFR ekspresija ir kuriems ankstesnis gydymas irinotekanu, įskaitant citotoksinį gydymą, buvo neveiksmingas, ir kurių bendros būklės įvertinimo Karnovskio (</w:t>
      </w:r>
      <w:r w:rsidRPr="00E14983">
        <w:rPr>
          <w:rFonts w:ascii="Times New Roman" w:eastAsia="Times New Roman" w:hAnsi="Times New Roman" w:cs="Times New Roman"/>
          <w:i/>
          <w:color w:val="000000"/>
          <w:lang w:val="lt-LT"/>
        </w:rPr>
        <w:t>Karnofsky</w:t>
      </w:r>
      <w:r w:rsidRPr="00E14983">
        <w:rPr>
          <w:rFonts w:ascii="Times New Roman" w:eastAsia="Times New Roman" w:hAnsi="Times New Roman" w:cs="Times New Roman"/>
          <w:color w:val="000000"/>
          <w:lang w:val="lt-LT"/>
        </w:rPr>
        <w:t>) indeksas buvo mažiausiai 60, tačiau daugeliui, kurių bendros būklės įvertinimo Karnovskio (</w:t>
      </w:r>
      <w:r w:rsidRPr="00E14983">
        <w:rPr>
          <w:rFonts w:ascii="Times New Roman" w:eastAsia="Times New Roman" w:hAnsi="Times New Roman" w:cs="Times New Roman"/>
          <w:i/>
          <w:color w:val="000000"/>
          <w:lang w:val="lt-LT"/>
        </w:rPr>
        <w:t>Karnofsky</w:t>
      </w:r>
      <w:r w:rsidRPr="00E14983">
        <w:rPr>
          <w:rFonts w:ascii="Times New Roman" w:eastAsia="Times New Roman" w:hAnsi="Times New Roman" w:cs="Times New Roman"/>
          <w:color w:val="000000"/>
          <w:lang w:val="lt-LT"/>
        </w:rPr>
        <w:t xml:space="preserve">) indeksas buvo </w:t>
      </w:r>
      <w:r w:rsidR="008F4321" w:rsidRPr="00E14983">
        <w:rPr>
          <w:rFonts w:ascii="Times New Roman" w:eastAsia="Times New Roman" w:hAnsi="Times New Roman" w:cs="Times New Roman"/>
          <w:color w:val="000000"/>
          <w:lang w:val="lt-LT"/>
        </w:rPr>
        <w:sym w:font="Symbol" w:char="F0B3"/>
      </w:r>
      <w:r w:rsidR="008F4321"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 xml:space="preserve">80, buvo taikoma kombinuota terapija. </w:t>
      </w:r>
    </w:p>
    <w:p w14:paraId="17D7D58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Tyrimas EMR 62 202</w:t>
      </w:r>
      <w:r w:rsidRPr="00E14983">
        <w:rPr>
          <w:rFonts w:ascii="Times New Roman" w:eastAsia="Times New Roman" w:hAnsi="Times New Roman" w:cs="Times New Roman"/>
          <w:color w:val="000000"/>
          <w:lang w:val="lt-LT"/>
        </w:rPr>
        <w:noBreakHyphen/>
        <w:t>007. Šio atsitiktinės imties tyrimo metu buvo lyginamas kombinuotas gydymas cetuksimabu ir irinotekanu (218 pacientų) su gydymu vien tik cetuksimabu (111 pacientų).</w:t>
      </w:r>
    </w:p>
    <w:p w14:paraId="4E28604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7E019C3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Tyrimas IMCL CP02-9923. Vienos grupės atviro tyrimo metu buvo tiriamas kombinuotas 138 pacientų gydymas. </w:t>
      </w:r>
    </w:p>
    <w:p w14:paraId="1ED3CF5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u w:val="single"/>
          <w:lang w:val="lt-LT"/>
        </w:rPr>
      </w:pPr>
    </w:p>
    <w:p w14:paraId="3EC5135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Šio tyrimo metu gauti gydymo veiksmingumo duomenys pateikti lentelėje.</w:t>
      </w:r>
    </w:p>
    <w:p w14:paraId="2983E44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9"/>
        <w:gridCol w:w="546"/>
        <w:gridCol w:w="858"/>
        <w:gridCol w:w="675"/>
        <w:gridCol w:w="748"/>
        <w:gridCol w:w="675"/>
        <w:gridCol w:w="986"/>
        <w:gridCol w:w="675"/>
        <w:gridCol w:w="1017"/>
        <w:gridCol w:w="986"/>
        <w:gridCol w:w="675"/>
      </w:tblGrid>
      <w:tr w:rsidR="000D6608" w:rsidRPr="00E14983" w14:paraId="1059013B" w14:textId="77777777" w:rsidTr="00962A70">
        <w:tc>
          <w:tcPr>
            <w:tcW w:w="673" w:type="pct"/>
            <w:tcBorders>
              <w:top w:val="single" w:sz="4" w:space="0" w:color="auto"/>
              <w:left w:val="single" w:sz="4" w:space="0" w:color="auto"/>
              <w:bottom w:val="single" w:sz="4" w:space="0" w:color="auto"/>
              <w:right w:val="single" w:sz="4" w:space="0" w:color="auto"/>
            </w:tcBorders>
          </w:tcPr>
          <w:p w14:paraId="43D9FC78" w14:textId="77777777" w:rsidR="0004246E" w:rsidRPr="00E14983" w:rsidRDefault="0004246E"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Tyrimas</w:t>
            </w:r>
          </w:p>
        </w:tc>
        <w:tc>
          <w:tcPr>
            <w:tcW w:w="301" w:type="pct"/>
            <w:tcBorders>
              <w:top w:val="single" w:sz="4" w:space="0" w:color="auto"/>
              <w:left w:val="single" w:sz="4" w:space="0" w:color="auto"/>
              <w:bottom w:val="single" w:sz="4" w:space="0" w:color="auto"/>
              <w:right w:val="single" w:sz="4" w:space="0" w:color="auto"/>
            </w:tcBorders>
          </w:tcPr>
          <w:p w14:paraId="1CB75EAA"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n</w:t>
            </w:r>
          </w:p>
        </w:tc>
        <w:tc>
          <w:tcPr>
            <w:tcW w:w="847" w:type="pct"/>
            <w:gridSpan w:val="2"/>
            <w:tcBorders>
              <w:top w:val="single" w:sz="4" w:space="0" w:color="auto"/>
              <w:left w:val="single" w:sz="4" w:space="0" w:color="auto"/>
              <w:bottom w:val="single" w:sz="4" w:space="0" w:color="auto"/>
              <w:right w:val="single" w:sz="4" w:space="0" w:color="auto"/>
            </w:tcBorders>
          </w:tcPr>
          <w:p w14:paraId="41B755C8"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OAR</w:t>
            </w:r>
          </w:p>
        </w:tc>
        <w:tc>
          <w:tcPr>
            <w:tcW w:w="786" w:type="pct"/>
            <w:gridSpan w:val="2"/>
            <w:tcBorders>
              <w:top w:val="single" w:sz="4" w:space="0" w:color="auto"/>
              <w:left w:val="single" w:sz="4" w:space="0" w:color="auto"/>
              <w:bottom w:val="single" w:sz="4" w:space="0" w:color="auto"/>
              <w:right w:val="single" w:sz="4" w:space="0" w:color="auto"/>
            </w:tcBorders>
          </w:tcPr>
          <w:p w14:paraId="3162B21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LKR</w:t>
            </w:r>
          </w:p>
        </w:tc>
        <w:tc>
          <w:tcPr>
            <w:tcW w:w="917" w:type="pct"/>
            <w:gridSpan w:val="2"/>
            <w:tcBorders>
              <w:top w:val="single" w:sz="4" w:space="0" w:color="auto"/>
              <w:left w:val="single" w:sz="4" w:space="0" w:color="auto"/>
              <w:bottom w:val="single" w:sz="4" w:space="0" w:color="auto"/>
              <w:right w:val="single" w:sz="4" w:space="0" w:color="auto"/>
            </w:tcBorders>
          </w:tcPr>
          <w:p w14:paraId="32564344"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ILNT (mėn.)</w:t>
            </w:r>
          </w:p>
        </w:tc>
        <w:tc>
          <w:tcPr>
            <w:tcW w:w="561" w:type="pct"/>
            <w:tcBorders>
              <w:top w:val="single" w:sz="4" w:space="0" w:color="auto"/>
              <w:left w:val="single" w:sz="4" w:space="0" w:color="auto"/>
              <w:bottom w:val="single" w:sz="4" w:space="0" w:color="auto"/>
              <w:right w:val="single" w:sz="4" w:space="0" w:color="auto"/>
            </w:tcBorders>
          </w:tcPr>
          <w:p w14:paraId="35F43170"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tc>
        <w:tc>
          <w:tcPr>
            <w:tcW w:w="915" w:type="pct"/>
            <w:gridSpan w:val="2"/>
            <w:tcBorders>
              <w:top w:val="single" w:sz="4" w:space="0" w:color="auto"/>
              <w:left w:val="single" w:sz="4" w:space="0" w:color="auto"/>
              <w:bottom w:val="single" w:sz="4" w:space="0" w:color="auto"/>
              <w:right w:val="single" w:sz="4" w:space="0" w:color="auto"/>
            </w:tcBorders>
          </w:tcPr>
          <w:p w14:paraId="325F62AB" w14:textId="4D9706FF"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BIT</w:t>
            </w:r>
          </w:p>
        </w:tc>
      </w:tr>
      <w:tr w:rsidR="000D6608" w:rsidRPr="00E14983" w14:paraId="050444B7" w14:textId="77777777" w:rsidTr="00962A70">
        <w:tc>
          <w:tcPr>
            <w:tcW w:w="673" w:type="pct"/>
            <w:tcBorders>
              <w:top w:val="single" w:sz="4" w:space="0" w:color="auto"/>
              <w:left w:val="single" w:sz="4" w:space="0" w:color="auto"/>
              <w:bottom w:val="single" w:sz="4" w:space="0" w:color="auto"/>
              <w:right w:val="single" w:sz="4" w:space="0" w:color="auto"/>
            </w:tcBorders>
          </w:tcPr>
          <w:p w14:paraId="4190F65F" w14:textId="77777777" w:rsidR="0004246E" w:rsidRPr="00E14983" w:rsidRDefault="0004246E"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tc>
        <w:tc>
          <w:tcPr>
            <w:tcW w:w="301" w:type="pct"/>
            <w:tcBorders>
              <w:top w:val="single" w:sz="4" w:space="0" w:color="auto"/>
              <w:left w:val="single" w:sz="4" w:space="0" w:color="auto"/>
              <w:bottom w:val="single" w:sz="4" w:space="0" w:color="auto"/>
              <w:right w:val="single" w:sz="4" w:space="0" w:color="auto"/>
            </w:tcBorders>
          </w:tcPr>
          <w:p w14:paraId="71486E5B"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tc>
        <w:tc>
          <w:tcPr>
            <w:tcW w:w="474" w:type="pct"/>
            <w:tcBorders>
              <w:top w:val="single" w:sz="4" w:space="0" w:color="auto"/>
              <w:left w:val="single" w:sz="4" w:space="0" w:color="auto"/>
              <w:bottom w:val="single" w:sz="4" w:space="0" w:color="auto"/>
              <w:right w:val="single" w:sz="4" w:space="0" w:color="auto"/>
            </w:tcBorders>
          </w:tcPr>
          <w:p w14:paraId="02BE7CB8"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n ( %)</w:t>
            </w:r>
          </w:p>
        </w:tc>
        <w:tc>
          <w:tcPr>
            <w:tcW w:w="373" w:type="pct"/>
            <w:tcBorders>
              <w:top w:val="single" w:sz="4" w:space="0" w:color="auto"/>
              <w:left w:val="single" w:sz="4" w:space="0" w:color="auto"/>
              <w:bottom w:val="single" w:sz="4" w:space="0" w:color="auto"/>
              <w:right w:val="single" w:sz="4" w:space="0" w:color="auto"/>
            </w:tcBorders>
          </w:tcPr>
          <w:p w14:paraId="60C3426F"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 xml:space="preserve">95 % </w:t>
            </w:r>
            <w:r w:rsidRPr="00E14983">
              <w:rPr>
                <w:rFonts w:ascii="Times New Roman" w:eastAsia="Times New Roman" w:hAnsi="Times New Roman" w:cs="Times New Roman"/>
                <w:color w:val="000000"/>
                <w:lang w:val="lt-LT" w:eastAsia="lt-LT"/>
              </w:rPr>
              <w:lastRenderedPageBreak/>
              <w:t>PI</w:t>
            </w:r>
          </w:p>
        </w:tc>
        <w:tc>
          <w:tcPr>
            <w:tcW w:w="413" w:type="pct"/>
            <w:tcBorders>
              <w:top w:val="single" w:sz="4" w:space="0" w:color="auto"/>
              <w:left w:val="single" w:sz="4" w:space="0" w:color="auto"/>
              <w:bottom w:val="single" w:sz="4" w:space="0" w:color="auto"/>
              <w:right w:val="single" w:sz="4" w:space="0" w:color="auto"/>
            </w:tcBorders>
          </w:tcPr>
          <w:p w14:paraId="3DD880E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lastRenderedPageBreak/>
              <w:t xml:space="preserve">n </w:t>
            </w:r>
            <w:r w:rsidRPr="00E14983">
              <w:rPr>
                <w:rFonts w:ascii="Times New Roman" w:eastAsia="Times New Roman" w:hAnsi="Times New Roman" w:cs="Times New Roman"/>
                <w:color w:val="000000"/>
                <w:lang w:val="lt-LT" w:eastAsia="lt-LT"/>
              </w:rPr>
              <w:lastRenderedPageBreak/>
              <w:t>( %)</w:t>
            </w:r>
          </w:p>
        </w:tc>
        <w:tc>
          <w:tcPr>
            <w:tcW w:w="373" w:type="pct"/>
            <w:tcBorders>
              <w:top w:val="single" w:sz="4" w:space="0" w:color="auto"/>
              <w:left w:val="single" w:sz="4" w:space="0" w:color="auto"/>
              <w:bottom w:val="single" w:sz="4" w:space="0" w:color="auto"/>
              <w:right w:val="single" w:sz="4" w:space="0" w:color="auto"/>
            </w:tcBorders>
          </w:tcPr>
          <w:p w14:paraId="35D51F7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lastRenderedPageBreak/>
              <w:t xml:space="preserve">95 % </w:t>
            </w:r>
            <w:r w:rsidRPr="00E14983">
              <w:rPr>
                <w:rFonts w:ascii="Times New Roman" w:eastAsia="Times New Roman" w:hAnsi="Times New Roman" w:cs="Times New Roman"/>
                <w:color w:val="000000"/>
                <w:lang w:val="lt-LT" w:eastAsia="lt-LT"/>
              </w:rPr>
              <w:lastRenderedPageBreak/>
              <w:t>PI</w:t>
            </w:r>
          </w:p>
        </w:tc>
        <w:tc>
          <w:tcPr>
            <w:tcW w:w="544" w:type="pct"/>
            <w:tcBorders>
              <w:top w:val="single" w:sz="4" w:space="0" w:color="auto"/>
              <w:left w:val="single" w:sz="4" w:space="0" w:color="auto"/>
              <w:bottom w:val="single" w:sz="4" w:space="0" w:color="auto"/>
              <w:right w:val="single" w:sz="4" w:space="0" w:color="auto"/>
            </w:tcBorders>
          </w:tcPr>
          <w:p w14:paraId="4C23F48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lastRenderedPageBreak/>
              <w:t>Mediana</w:t>
            </w:r>
          </w:p>
        </w:tc>
        <w:tc>
          <w:tcPr>
            <w:tcW w:w="373" w:type="pct"/>
            <w:tcBorders>
              <w:top w:val="single" w:sz="4" w:space="0" w:color="auto"/>
              <w:left w:val="single" w:sz="4" w:space="0" w:color="auto"/>
              <w:bottom w:val="single" w:sz="4" w:space="0" w:color="auto"/>
              <w:right w:val="single" w:sz="4" w:space="0" w:color="auto"/>
            </w:tcBorders>
          </w:tcPr>
          <w:p w14:paraId="1A6823DA"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 xml:space="preserve">95 % </w:t>
            </w:r>
            <w:r w:rsidRPr="00E14983">
              <w:rPr>
                <w:rFonts w:ascii="Times New Roman" w:eastAsia="Times New Roman" w:hAnsi="Times New Roman" w:cs="Times New Roman"/>
                <w:color w:val="000000"/>
                <w:lang w:val="lt-LT" w:eastAsia="lt-LT"/>
              </w:rPr>
              <w:lastRenderedPageBreak/>
              <w:t>PI</w:t>
            </w:r>
          </w:p>
        </w:tc>
        <w:tc>
          <w:tcPr>
            <w:tcW w:w="561" w:type="pct"/>
            <w:tcBorders>
              <w:top w:val="single" w:sz="4" w:space="0" w:color="auto"/>
              <w:left w:val="single" w:sz="4" w:space="0" w:color="auto"/>
              <w:bottom w:val="single" w:sz="4" w:space="0" w:color="auto"/>
              <w:right w:val="single" w:sz="4" w:space="0" w:color="auto"/>
            </w:tcBorders>
          </w:tcPr>
          <w:p w14:paraId="0FE3B3B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tc>
        <w:tc>
          <w:tcPr>
            <w:tcW w:w="544" w:type="pct"/>
            <w:tcBorders>
              <w:top w:val="single" w:sz="4" w:space="0" w:color="auto"/>
              <w:left w:val="single" w:sz="4" w:space="0" w:color="auto"/>
              <w:bottom w:val="single" w:sz="4" w:space="0" w:color="auto"/>
              <w:right w:val="single" w:sz="4" w:space="0" w:color="auto"/>
            </w:tcBorders>
          </w:tcPr>
          <w:p w14:paraId="28342901" w14:textId="7419767E"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Mediana</w:t>
            </w:r>
          </w:p>
        </w:tc>
        <w:tc>
          <w:tcPr>
            <w:tcW w:w="371" w:type="pct"/>
            <w:tcBorders>
              <w:top w:val="single" w:sz="4" w:space="0" w:color="auto"/>
              <w:left w:val="single" w:sz="4" w:space="0" w:color="auto"/>
              <w:bottom w:val="single" w:sz="4" w:space="0" w:color="auto"/>
              <w:right w:val="single" w:sz="4" w:space="0" w:color="auto"/>
            </w:tcBorders>
          </w:tcPr>
          <w:p w14:paraId="7415D7CA"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 xml:space="preserve">95 % </w:t>
            </w:r>
            <w:r w:rsidRPr="00E14983">
              <w:rPr>
                <w:rFonts w:ascii="Times New Roman" w:eastAsia="Times New Roman" w:hAnsi="Times New Roman" w:cs="Times New Roman"/>
                <w:color w:val="000000"/>
                <w:lang w:val="lt-LT" w:eastAsia="lt-LT"/>
              </w:rPr>
              <w:lastRenderedPageBreak/>
              <w:t>PI</w:t>
            </w:r>
          </w:p>
        </w:tc>
      </w:tr>
      <w:tr w:rsidR="00962A70" w:rsidRPr="00E14983" w14:paraId="412E2131" w14:textId="77777777" w:rsidTr="00962A70">
        <w:tc>
          <w:tcPr>
            <w:tcW w:w="5000" w:type="pct"/>
            <w:gridSpan w:val="11"/>
            <w:tcBorders>
              <w:top w:val="single" w:sz="4" w:space="0" w:color="auto"/>
              <w:left w:val="single" w:sz="4" w:space="0" w:color="auto"/>
              <w:bottom w:val="single" w:sz="4" w:space="0" w:color="auto"/>
              <w:right w:val="single" w:sz="4" w:space="0" w:color="auto"/>
            </w:tcBorders>
          </w:tcPr>
          <w:p w14:paraId="0FCCDC5A" w14:textId="2D7140C7" w:rsidR="00962A70" w:rsidRPr="00E14983" w:rsidRDefault="00962A7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lastRenderedPageBreak/>
              <w:t>Cetuksimabas+irinotekanas</w:t>
            </w:r>
          </w:p>
        </w:tc>
      </w:tr>
      <w:tr w:rsidR="000D6608" w:rsidRPr="00E14983" w14:paraId="5C0AAF98" w14:textId="77777777" w:rsidTr="00962A70">
        <w:tc>
          <w:tcPr>
            <w:tcW w:w="673" w:type="pct"/>
            <w:tcBorders>
              <w:top w:val="single" w:sz="4" w:space="0" w:color="auto"/>
              <w:left w:val="single" w:sz="4" w:space="0" w:color="auto"/>
              <w:bottom w:val="single" w:sz="4" w:space="0" w:color="auto"/>
              <w:right w:val="single" w:sz="4" w:space="0" w:color="auto"/>
            </w:tcBorders>
          </w:tcPr>
          <w:p w14:paraId="21BC2CFE" w14:textId="77777777" w:rsidR="0004246E" w:rsidRPr="00E14983" w:rsidRDefault="0004246E"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EMR 62 202</w:t>
            </w:r>
            <w:r w:rsidRPr="00E14983">
              <w:rPr>
                <w:rFonts w:ascii="Times New Roman" w:eastAsia="Times New Roman" w:hAnsi="Times New Roman" w:cs="Times New Roman"/>
                <w:color w:val="000000"/>
                <w:lang w:val="lt-LT" w:eastAsia="lt-LT"/>
              </w:rPr>
              <w:noBreakHyphen/>
              <w:t>007</w:t>
            </w:r>
          </w:p>
        </w:tc>
        <w:tc>
          <w:tcPr>
            <w:tcW w:w="301" w:type="pct"/>
            <w:tcBorders>
              <w:top w:val="single" w:sz="4" w:space="0" w:color="auto"/>
              <w:left w:val="single" w:sz="4" w:space="0" w:color="auto"/>
              <w:bottom w:val="single" w:sz="4" w:space="0" w:color="auto"/>
              <w:right w:val="single" w:sz="4" w:space="0" w:color="auto"/>
            </w:tcBorders>
          </w:tcPr>
          <w:p w14:paraId="4B16DE18"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218</w:t>
            </w:r>
          </w:p>
        </w:tc>
        <w:tc>
          <w:tcPr>
            <w:tcW w:w="474" w:type="pct"/>
            <w:tcBorders>
              <w:top w:val="single" w:sz="4" w:space="0" w:color="auto"/>
              <w:left w:val="single" w:sz="4" w:space="0" w:color="auto"/>
              <w:bottom w:val="single" w:sz="4" w:space="0" w:color="auto"/>
              <w:right w:val="single" w:sz="4" w:space="0" w:color="auto"/>
            </w:tcBorders>
          </w:tcPr>
          <w:p w14:paraId="4753260B"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50</w:t>
            </w:r>
          </w:p>
          <w:p w14:paraId="5BE76057"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(22,9)_</w:t>
            </w:r>
          </w:p>
        </w:tc>
        <w:tc>
          <w:tcPr>
            <w:tcW w:w="373" w:type="pct"/>
            <w:tcBorders>
              <w:top w:val="single" w:sz="4" w:space="0" w:color="auto"/>
              <w:left w:val="single" w:sz="4" w:space="0" w:color="auto"/>
              <w:bottom w:val="single" w:sz="4" w:space="0" w:color="auto"/>
              <w:right w:val="single" w:sz="4" w:space="0" w:color="auto"/>
            </w:tcBorders>
          </w:tcPr>
          <w:p w14:paraId="5667DC78"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17,5, 29,1</w:t>
            </w:r>
          </w:p>
        </w:tc>
        <w:tc>
          <w:tcPr>
            <w:tcW w:w="413" w:type="pct"/>
            <w:tcBorders>
              <w:top w:val="single" w:sz="4" w:space="0" w:color="auto"/>
              <w:left w:val="single" w:sz="4" w:space="0" w:color="auto"/>
              <w:bottom w:val="single" w:sz="4" w:space="0" w:color="auto"/>
              <w:right w:val="single" w:sz="4" w:space="0" w:color="auto"/>
            </w:tcBorders>
          </w:tcPr>
          <w:p w14:paraId="6981D2E4"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121</w:t>
            </w:r>
          </w:p>
          <w:p w14:paraId="348452DD"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(55,5)</w:t>
            </w:r>
          </w:p>
        </w:tc>
        <w:tc>
          <w:tcPr>
            <w:tcW w:w="373" w:type="pct"/>
            <w:tcBorders>
              <w:top w:val="single" w:sz="4" w:space="0" w:color="auto"/>
              <w:left w:val="single" w:sz="4" w:space="0" w:color="auto"/>
              <w:bottom w:val="single" w:sz="4" w:space="0" w:color="auto"/>
              <w:right w:val="single" w:sz="4" w:space="0" w:color="auto"/>
            </w:tcBorders>
          </w:tcPr>
          <w:p w14:paraId="536BC08D"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48,6, 62,2</w:t>
            </w:r>
          </w:p>
        </w:tc>
        <w:tc>
          <w:tcPr>
            <w:tcW w:w="544" w:type="pct"/>
            <w:tcBorders>
              <w:top w:val="single" w:sz="4" w:space="0" w:color="auto"/>
              <w:left w:val="single" w:sz="4" w:space="0" w:color="auto"/>
              <w:bottom w:val="single" w:sz="4" w:space="0" w:color="auto"/>
              <w:right w:val="single" w:sz="4" w:space="0" w:color="auto"/>
            </w:tcBorders>
          </w:tcPr>
          <w:p w14:paraId="67C6BA0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4,1</w:t>
            </w:r>
          </w:p>
        </w:tc>
        <w:tc>
          <w:tcPr>
            <w:tcW w:w="373" w:type="pct"/>
            <w:tcBorders>
              <w:top w:val="single" w:sz="4" w:space="0" w:color="auto"/>
              <w:left w:val="single" w:sz="4" w:space="0" w:color="auto"/>
              <w:bottom w:val="single" w:sz="4" w:space="0" w:color="auto"/>
              <w:right w:val="single" w:sz="4" w:space="0" w:color="auto"/>
            </w:tcBorders>
          </w:tcPr>
          <w:p w14:paraId="4DDAE84B"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2,8, 4,3</w:t>
            </w:r>
          </w:p>
        </w:tc>
        <w:tc>
          <w:tcPr>
            <w:tcW w:w="561" w:type="pct"/>
            <w:tcBorders>
              <w:top w:val="single" w:sz="4" w:space="0" w:color="auto"/>
              <w:left w:val="single" w:sz="4" w:space="0" w:color="auto"/>
              <w:bottom w:val="single" w:sz="4" w:space="0" w:color="auto"/>
              <w:right w:val="single" w:sz="4" w:space="0" w:color="auto"/>
            </w:tcBorders>
          </w:tcPr>
          <w:p w14:paraId="6C03F78F"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tc>
        <w:tc>
          <w:tcPr>
            <w:tcW w:w="544" w:type="pct"/>
            <w:tcBorders>
              <w:top w:val="single" w:sz="4" w:space="0" w:color="auto"/>
              <w:left w:val="single" w:sz="4" w:space="0" w:color="auto"/>
              <w:bottom w:val="single" w:sz="4" w:space="0" w:color="auto"/>
              <w:right w:val="single" w:sz="4" w:space="0" w:color="auto"/>
            </w:tcBorders>
          </w:tcPr>
          <w:p w14:paraId="620E71F7" w14:textId="580C541E"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8,6</w:t>
            </w:r>
          </w:p>
        </w:tc>
        <w:tc>
          <w:tcPr>
            <w:tcW w:w="371" w:type="pct"/>
            <w:tcBorders>
              <w:top w:val="single" w:sz="4" w:space="0" w:color="auto"/>
              <w:left w:val="single" w:sz="4" w:space="0" w:color="auto"/>
              <w:bottom w:val="single" w:sz="4" w:space="0" w:color="auto"/>
              <w:right w:val="single" w:sz="4" w:space="0" w:color="auto"/>
            </w:tcBorders>
          </w:tcPr>
          <w:p w14:paraId="5F37001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7,6, 9,6</w:t>
            </w:r>
          </w:p>
        </w:tc>
      </w:tr>
      <w:tr w:rsidR="000D6608" w:rsidRPr="00E14983" w14:paraId="015BA6BA" w14:textId="77777777" w:rsidTr="00962A70">
        <w:tc>
          <w:tcPr>
            <w:tcW w:w="673" w:type="pct"/>
            <w:tcBorders>
              <w:top w:val="single" w:sz="4" w:space="0" w:color="auto"/>
              <w:left w:val="single" w:sz="4" w:space="0" w:color="auto"/>
              <w:bottom w:val="single" w:sz="4" w:space="0" w:color="auto"/>
              <w:right w:val="single" w:sz="4" w:space="0" w:color="auto"/>
            </w:tcBorders>
          </w:tcPr>
          <w:p w14:paraId="20FF3A21" w14:textId="77777777" w:rsidR="0004246E" w:rsidRPr="00E14983" w:rsidRDefault="0004246E"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IMCL CP02</w:t>
            </w:r>
            <w:r w:rsidRPr="00E14983">
              <w:rPr>
                <w:rFonts w:ascii="Times New Roman" w:eastAsia="Times New Roman" w:hAnsi="Times New Roman" w:cs="Times New Roman"/>
                <w:color w:val="000000"/>
                <w:lang w:val="lt-LT" w:eastAsia="lt-LT"/>
              </w:rPr>
              <w:noBreakHyphen/>
              <w:t>9923</w:t>
            </w:r>
          </w:p>
        </w:tc>
        <w:tc>
          <w:tcPr>
            <w:tcW w:w="301" w:type="pct"/>
            <w:tcBorders>
              <w:top w:val="single" w:sz="4" w:space="0" w:color="auto"/>
              <w:left w:val="single" w:sz="4" w:space="0" w:color="auto"/>
              <w:bottom w:val="single" w:sz="4" w:space="0" w:color="auto"/>
              <w:right w:val="single" w:sz="4" w:space="0" w:color="auto"/>
            </w:tcBorders>
          </w:tcPr>
          <w:p w14:paraId="7A65CAA4"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138</w:t>
            </w:r>
          </w:p>
        </w:tc>
        <w:tc>
          <w:tcPr>
            <w:tcW w:w="474" w:type="pct"/>
            <w:tcBorders>
              <w:top w:val="single" w:sz="4" w:space="0" w:color="auto"/>
              <w:left w:val="single" w:sz="4" w:space="0" w:color="auto"/>
              <w:bottom w:val="single" w:sz="4" w:space="0" w:color="auto"/>
              <w:right w:val="single" w:sz="4" w:space="0" w:color="auto"/>
            </w:tcBorders>
          </w:tcPr>
          <w:p w14:paraId="2E1C00CC"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21</w:t>
            </w:r>
          </w:p>
          <w:p w14:paraId="03575879"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(15,2)</w:t>
            </w:r>
          </w:p>
        </w:tc>
        <w:tc>
          <w:tcPr>
            <w:tcW w:w="373" w:type="pct"/>
            <w:tcBorders>
              <w:top w:val="single" w:sz="4" w:space="0" w:color="auto"/>
              <w:left w:val="single" w:sz="4" w:space="0" w:color="auto"/>
              <w:bottom w:val="single" w:sz="4" w:space="0" w:color="auto"/>
              <w:right w:val="single" w:sz="4" w:space="0" w:color="auto"/>
            </w:tcBorders>
          </w:tcPr>
          <w:p w14:paraId="48E9BC9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9,7, 22,3</w:t>
            </w:r>
          </w:p>
        </w:tc>
        <w:tc>
          <w:tcPr>
            <w:tcW w:w="413" w:type="pct"/>
            <w:tcBorders>
              <w:top w:val="single" w:sz="4" w:space="0" w:color="auto"/>
              <w:left w:val="single" w:sz="4" w:space="0" w:color="auto"/>
              <w:bottom w:val="single" w:sz="4" w:space="0" w:color="auto"/>
              <w:right w:val="single" w:sz="4" w:space="0" w:color="auto"/>
            </w:tcBorders>
          </w:tcPr>
          <w:p w14:paraId="49F42A18"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84</w:t>
            </w:r>
          </w:p>
          <w:p w14:paraId="36FFBAA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(60,9)</w:t>
            </w:r>
          </w:p>
        </w:tc>
        <w:tc>
          <w:tcPr>
            <w:tcW w:w="373" w:type="pct"/>
            <w:tcBorders>
              <w:top w:val="single" w:sz="4" w:space="0" w:color="auto"/>
              <w:left w:val="single" w:sz="4" w:space="0" w:color="auto"/>
              <w:bottom w:val="single" w:sz="4" w:space="0" w:color="auto"/>
              <w:right w:val="single" w:sz="4" w:space="0" w:color="auto"/>
            </w:tcBorders>
          </w:tcPr>
          <w:p w14:paraId="0BA77926"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52,2, 69,1</w:t>
            </w:r>
          </w:p>
        </w:tc>
        <w:tc>
          <w:tcPr>
            <w:tcW w:w="544" w:type="pct"/>
            <w:tcBorders>
              <w:top w:val="single" w:sz="4" w:space="0" w:color="auto"/>
              <w:left w:val="single" w:sz="4" w:space="0" w:color="auto"/>
              <w:bottom w:val="single" w:sz="4" w:space="0" w:color="auto"/>
              <w:right w:val="single" w:sz="4" w:space="0" w:color="auto"/>
            </w:tcBorders>
          </w:tcPr>
          <w:p w14:paraId="32DF654C"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2,9</w:t>
            </w:r>
          </w:p>
        </w:tc>
        <w:tc>
          <w:tcPr>
            <w:tcW w:w="373" w:type="pct"/>
            <w:tcBorders>
              <w:top w:val="single" w:sz="4" w:space="0" w:color="auto"/>
              <w:left w:val="single" w:sz="4" w:space="0" w:color="auto"/>
              <w:bottom w:val="single" w:sz="4" w:space="0" w:color="auto"/>
              <w:right w:val="single" w:sz="4" w:space="0" w:color="auto"/>
            </w:tcBorders>
          </w:tcPr>
          <w:p w14:paraId="3F3DDAD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2,6, 4.1</w:t>
            </w:r>
          </w:p>
        </w:tc>
        <w:tc>
          <w:tcPr>
            <w:tcW w:w="561" w:type="pct"/>
            <w:tcBorders>
              <w:top w:val="single" w:sz="4" w:space="0" w:color="auto"/>
              <w:left w:val="single" w:sz="4" w:space="0" w:color="auto"/>
              <w:bottom w:val="single" w:sz="4" w:space="0" w:color="auto"/>
              <w:right w:val="single" w:sz="4" w:space="0" w:color="auto"/>
            </w:tcBorders>
          </w:tcPr>
          <w:p w14:paraId="174F7B2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tc>
        <w:tc>
          <w:tcPr>
            <w:tcW w:w="544" w:type="pct"/>
            <w:tcBorders>
              <w:top w:val="single" w:sz="4" w:space="0" w:color="auto"/>
              <w:left w:val="single" w:sz="4" w:space="0" w:color="auto"/>
              <w:bottom w:val="single" w:sz="4" w:space="0" w:color="auto"/>
              <w:right w:val="single" w:sz="4" w:space="0" w:color="auto"/>
            </w:tcBorders>
          </w:tcPr>
          <w:p w14:paraId="43006555" w14:textId="6F3D2208"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8,4</w:t>
            </w:r>
          </w:p>
        </w:tc>
        <w:tc>
          <w:tcPr>
            <w:tcW w:w="371" w:type="pct"/>
            <w:tcBorders>
              <w:top w:val="single" w:sz="4" w:space="0" w:color="auto"/>
              <w:left w:val="single" w:sz="4" w:space="0" w:color="auto"/>
              <w:bottom w:val="single" w:sz="4" w:space="0" w:color="auto"/>
              <w:right w:val="single" w:sz="4" w:space="0" w:color="auto"/>
            </w:tcBorders>
          </w:tcPr>
          <w:p w14:paraId="013C4CD1"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7,2, 10,3</w:t>
            </w:r>
          </w:p>
        </w:tc>
      </w:tr>
      <w:tr w:rsidR="00962A70" w:rsidRPr="00E14983" w14:paraId="114FBB7C" w14:textId="77777777" w:rsidTr="00962A70">
        <w:tc>
          <w:tcPr>
            <w:tcW w:w="5000" w:type="pct"/>
            <w:gridSpan w:val="11"/>
            <w:tcBorders>
              <w:top w:val="single" w:sz="4" w:space="0" w:color="auto"/>
              <w:left w:val="single" w:sz="4" w:space="0" w:color="auto"/>
              <w:bottom w:val="single" w:sz="4" w:space="0" w:color="auto"/>
              <w:right w:val="single" w:sz="4" w:space="0" w:color="auto"/>
            </w:tcBorders>
          </w:tcPr>
          <w:p w14:paraId="3417D4E9" w14:textId="5F335BF5" w:rsidR="00962A70" w:rsidRPr="00E14983" w:rsidRDefault="00962A70"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Cetuksimabas</w:t>
            </w:r>
          </w:p>
        </w:tc>
      </w:tr>
      <w:tr w:rsidR="000D6608" w:rsidRPr="00E14983" w14:paraId="4A25E4BE" w14:textId="77777777" w:rsidTr="00962A70">
        <w:tc>
          <w:tcPr>
            <w:tcW w:w="673" w:type="pct"/>
            <w:tcBorders>
              <w:top w:val="single" w:sz="4" w:space="0" w:color="auto"/>
              <w:left w:val="single" w:sz="4" w:space="0" w:color="auto"/>
              <w:bottom w:val="single" w:sz="4" w:space="0" w:color="auto"/>
              <w:right w:val="single" w:sz="4" w:space="0" w:color="auto"/>
            </w:tcBorders>
          </w:tcPr>
          <w:p w14:paraId="3AD83E28" w14:textId="77777777" w:rsidR="0004246E" w:rsidRPr="00E14983" w:rsidRDefault="0004246E" w:rsidP="00B077D6">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EMR 62 202</w:t>
            </w:r>
            <w:r w:rsidRPr="00E14983">
              <w:rPr>
                <w:rFonts w:ascii="Times New Roman" w:eastAsia="Times New Roman" w:hAnsi="Times New Roman" w:cs="Times New Roman"/>
                <w:color w:val="000000"/>
                <w:lang w:val="lt-LT" w:eastAsia="lt-LT"/>
              </w:rPr>
              <w:noBreakHyphen/>
              <w:t>007</w:t>
            </w:r>
          </w:p>
        </w:tc>
        <w:tc>
          <w:tcPr>
            <w:tcW w:w="301" w:type="pct"/>
            <w:tcBorders>
              <w:top w:val="single" w:sz="4" w:space="0" w:color="auto"/>
              <w:left w:val="single" w:sz="4" w:space="0" w:color="auto"/>
              <w:bottom w:val="single" w:sz="4" w:space="0" w:color="auto"/>
              <w:right w:val="single" w:sz="4" w:space="0" w:color="auto"/>
            </w:tcBorders>
          </w:tcPr>
          <w:p w14:paraId="14D545E9"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111</w:t>
            </w:r>
          </w:p>
        </w:tc>
        <w:tc>
          <w:tcPr>
            <w:tcW w:w="474" w:type="pct"/>
            <w:tcBorders>
              <w:top w:val="single" w:sz="4" w:space="0" w:color="auto"/>
              <w:left w:val="single" w:sz="4" w:space="0" w:color="auto"/>
              <w:bottom w:val="single" w:sz="4" w:space="0" w:color="auto"/>
              <w:right w:val="single" w:sz="4" w:space="0" w:color="auto"/>
            </w:tcBorders>
          </w:tcPr>
          <w:p w14:paraId="54E7AE72"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12</w:t>
            </w:r>
          </w:p>
          <w:p w14:paraId="571C2B19"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(10,8)</w:t>
            </w:r>
          </w:p>
        </w:tc>
        <w:tc>
          <w:tcPr>
            <w:tcW w:w="373" w:type="pct"/>
            <w:tcBorders>
              <w:top w:val="single" w:sz="4" w:space="0" w:color="auto"/>
              <w:left w:val="single" w:sz="4" w:space="0" w:color="auto"/>
              <w:bottom w:val="single" w:sz="4" w:space="0" w:color="auto"/>
              <w:right w:val="single" w:sz="4" w:space="0" w:color="auto"/>
            </w:tcBorders>
          </w:tcPr>
          <w:p w14:paraId="6EAE3632"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5,7, 18,1</w:t>
            </w:r>
          </w:p>
        </w:tc>
        <w:tc>
          <w:tcPr>
            <w:tcW w:w="413" w:type="pct"/>
            <w:tcBorders>
              <w:top w:val="single" w:sz="4" w:space="0" w:color="auto"/>
              <w:left w:val="single" w:sz="4" w:space="0" w:color="auto"/>
              <w:bottom w:val="single" w:sz="4" w:space="0" w:color="auto"/>
              <w:right w:val="single" w:sz="4" w:space="0" w:color="auto"/>
            </w:tcBorders>
          </w:tcPr>
          <w:p w14:paraId="2C620D62"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36</w:t>
            </w:r>
          </w:p>
          <w:p w14:paraId="48A82DC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(32,4)</w:t>
            </w:r>
          </w:p>
        </w:tc>
        <w:tc>
          <w:tcPr>
            <w:tcW w:w="373" w:type="pct"/>
            <w:tcBorders>
              <w:top w:val="single" w:sz="4" w:space="0" w:color="auto"/>
              <w:left w:val="single" w:sz="4" w:space="0" w:color="auto"/>
              <w:bottom w:val="single" w:sz="4" w:space="0" w:color="auto"/>
              <w:right w:val="single" w:sz="4" w:space="0" w:color="auto"/>
            </w:tcBorders>
          </w:tcPr>
          <w:p w14:paraId="76F05E6A"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23,9, 42,0</w:t>
            </w:r>
          </w:p>
        </w:tc>
        <w:tc>
          <w:tcPr>
            <w:tcW w:w="544" w:type="pct"/>
            <w:tcBorders>
              <w:top w:val="single" w:sz="4" w:space="0" w:color="auto"/>
              <w:left w:val="single" w:sz="4" w:space="0" w:color="auto"/>
              <w:bottom w:val="single" w:sz="4" w:space="0" w:color="auto"/>
              <w:right w:val="single" w:sz="4" w:space="0" w:color="auto"/>
            </w:tcBorders>
          </w:tcPr>
          <w:p w14:paraId="7E62FAC5"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1,5</w:t>
            </w:r>
          </w:p>
        </w:tc>
        <w:tc>
          <w:tcPr>
            <w:tcW w:w="373" w:type="pct"/>
            <w:tcBorders>
              <w:top w:val="single" w:sz="4" w:space="0" w:color="auto"/>
              <w:left w:val="single" w:sz="4" w:space="0" w:color="auto"/>
              <w:bottom w:val="single" w:sz="4" w:space="0" w:color="auto"/>
              <w:right w:val="single" w:sz="4" w:space="0" w:color="auto"/>
            </w:tcBorders>
          </w:tcPr>
          <w:p w14:paraId="363B57EB"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1,4, 2,0</w:t>
            </w:r>
          </w:p>
        </w:tc>
        <w:tc>
          <w:tcPr>
            <w:tcW w:w="561" w:type="pct"/>
            <w:tcBorders>
              <w:top w:val="single" w:sz="4" w:space="0" w:color="auto"/>
              <w:left w:val="single" w:sz="4" w:space="0" w:color="auto"/>
              <w:bottom w:val="single" w:sz="4" w:space="0" w:color="auto"/>
              <w:right w:val="single" w:sz="4" w:space="0" w:color="auto"/>
            </w:tcBorders>
          </w:tcPr>
          <w:p w14:paraId="480F2E3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eastAsia="lt-LT"/>
              </w:rPr>
            </w:pPr>
          </w:p>
        </w:tc>
        <w:tc>
          <w:tcPr>
            <w:tcW w:w="544" w:type="pct"/>
            <w:tcBorders>
              <w:top w:val="single" w:sz="4" w:space="0" w:color="auto"/>
              <w:left w:val="single" w:sz="4" w:space="0" w:color="auto"/>
              <w:bottom w:val="single" w:sz="4" w:space="0" w:color="auto"/>
              <w:right w:val="single" w:sz="4" w:space="0" w:color="auto"/>
            </w:tcBorders>
          </w:tcPr>
          <w:p w14:paraId="1DA8B20F" w14:textId="65C8165F"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6,9</w:t>
            </w:r>
          </w:p>
        </w:tc>
        <w:tc>
          <w:tcPr>
            <w:tcW w:w="371" w:type="pct"/>
            <w:tcBorders>
              <w:top w:val="single" w:sz="4" w:space="0" w:color="auto"/>
              <w:left w:val="single" w:sz="4" w:space="0" w:color="auto"/>
              <w:bottom w:val="single" w:sz="4" w:space="0" w:color="auto"/>
              <w:right w:val="single" w:sz="4" w:space="0" w:color="auto"/>
            </w:tcBorders>
          </w:tcPr>
          <w:p w14:paraId="6BC39B33" w14:textId="77777777" w:rsidR="0004246E" w:rsidRPr="00E14983" w:rsidRDefault="0004246E" w:rsidP="00B077D6">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color w:val="000000"/>
                <w:lang w:val="lt-LT" w:eastAsia="lt-LT"/>
              </w:rPr>
              <w:t>5,6, 9,1</w:t>
            </w:r>
          </w:p>
        </w:tc>
      </w:tr>
    </w:tbl>
    <w:p w14:paraId="2AC5388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PI – pasikliautinasis intervalas; LKR – ligos kontrolės rodiklis (pacientai, kurių atsakas yra visiškas, dalinis arba liga yra stabili mažiausiai 6 savaites); OAR – objektyvus atsako rodiklis (pacientai, kurių atsakas yra visiškas arba dalinis), BIT – bendroji išgyvenimo trukmė; ILNT – išgyvenimo trukmė ligai neprogresavus.</w:t>
      </w:r>
    </w:p>
    <w:p w14:paraId="6B171F6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711DD79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Atsižvelgiant į objektyvų atsako rodiklį (OAR), ligos kontrolės rodiklį (LKR) ir išgyvenimo trukmę ligai neprogresavus (ILNT), nustatyta, kad kombinuotas gydymas cetuksimabu ir irinotekanu yra efektyvesnis už gydymą vien tik cetuksimabu. Atsitiktinės imties tyrimo metu nustatyta, kad bendram išgyvenamumui poveikio nebuvo (santykinė rizika 0,91, p = 0,48).</w:t>
      </w:r>
    </w:p>
    <w:p w14:paraId="5BFA57D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u w:val="single"/>
          <w:lang w:val="lt-LT"/>
        </w:rPr>
      </w:pPr>
    </w:p>
    <w:p w14:paraId="6183E57C" w14:textId="77777777" w:rsidR="009500C0" w:rsidRPr="00E14983" w:rsidRDefault="009500C0" w:rsidP="00ED157C">
      <w:pPr>
        <w:keepNext/>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5.2</w:t>
      </w:r>
      <w:r w:rsidRPr="00E14983">
        <w:rPr>
          <w:rFonts w:ascii="Times New Roman" w:eastAsia="Times New Roman" w:hAnsi="Times New Roman" w:cs="Times New Roman"/>
          <w:b/>
          <w:bCs/>
          <w:color w:val="000000"/>
          <w:lang w:val="lt-LT"/>
        </w:rPr>
        <w:tab/>
        <w:t>Farmakokinetinės savybės</w:t>
      </w:r>
    </w:p>
    <w:p w14:paraId="1C07B4B8" w14:textId="77777777" w:rsidR="009500C0" w:rsidRPr="00E14983" w:rsidRDefault="009500C0" w:rsidP="00ED157C">
      <w:pPr>
        <w:keepNext/>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75013C9" w14:textId="77777777" w:rsidR="002D5224" w:rsidRPr="00E14983" w:rsidRDefault="002D5224" w:rsidP="00ED157C">
      <w:pPr>
        <w:keepNext/>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u w:val="single"/>
          <w:lang w:val="lt-LT"/>
        </w:rPr>
      </w:pPr>
      <w:r w:rsidRPr="00E14983">
        <w:rPr>
          <w:rFonts w:ascii="Times New Roman" w:eastAsia="Times New Roman" w:hAnsi="Times New Roman" w:cs="Times New Roman"/>
          <w:color w:val="000000"/>
          <w:u w:val="single"/>
          <w:lang w:val="lt-LT"/>
        </w:rPr>
        <w:t>Absorbcija</w:t>
      </w:r>
    </w:p>
    <w:p w14:paraId="6EACB52E" w14:textId="2C07F05F"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Infuzijos pabaigoje, kurios rekomenduojama dozė buvo 350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irinotekano ir SN-38 vidutinė didžiausia koncentracija plazmoje buvo atitinkamai 7,</w:t>
      </w:r>
      <w:r w:rsidR="00E630CA" w:rsidRPr="00E14983">
        <w:rPr>
          <w:rFonts w:ascii="Times New Roman" w:eastAsia="Times New Roman" w:hAnsi="Times New Roman" w:cs="Times New Roman"/>
          <w:color w:val="000000"/>
          <w:lang w:val="lt-LT"/>
        </w:rPr>
        <w:t>7 </w:t>
      </w:r>
      <w:r w:rsidRPr="00E14983">
        <w:rPr>
          <w:rFonts w:ascii="Times New Roman" w:eastAsia="Times New Roman" w:hAnsi="Times New Roman" w:cs="Times New Roman"/>
          <w:color w:val="000000"/>
          <w:lang w:val="lt-LT"/>
        </w:rPr>
        <w:t xml:space="preserve">mikrogramai/ml ir </w:t>
      </w:r>
      <w:r w:rsidR="00E630CA" w:rsidRPr="00E14983">
        <w:rPr>
          <w:rFonts w:ascii="Times New Roman" w:eastAsia="Times New Roman" w:hAnsi="Times New Roman" w:cs="Times New Roman"/>
          <w:color w:val="000000"/>
          <w:lang w:val="lt-LT"/>
        </w:rPr>
        <w:t>56 </w:t>
      </w:r>
      <w:r w:rsidRPr="00E14983">
        <w:rPr>
          <w:rFonts w:ascii="Times New Roman" w:eastAsia="Times New Roman" w:hAnsi="Times New Roman" w:cs="Times New Roman"/>
          <w:color w:val="000000"/>
          <w:lang w:val="lt-LT"/>
        </w:rPr>
        <w:t xml:space="preserve">nanogramai/ml, o vidutinės AUC reikšmės atitinkamai buvo </w:t>
      </w:r>
      <w:r w:rsidR="00E630CA" w:rsidRPr="00E14983">
        <w:rPr>
          <w:rFonts w:ascii="Times New Roman" w:eastAsia="Times New Roman" w:hAnsi="Times New Roman" w:cs="Times New Roman"/>
          <w:color w:val="000000"/>
          <w:lang w:val="lt-LT"/>
        </w:rPr>
        <w:t>34 </w:t>
      </w:r>
      <w:r w:rsidRPr="00E14983">
        <w:rPr>
          <w:rFonts w:ascii="Times New Roman" w:eastAsia="Times New Roman" w:hAnsi="Times New Roman" w:cs="Times New Roman"/>
          <w:color w:val="000000"/>
          <w:lang w:val="lt-LT"/>
        </w:rPr>
        <w:t xml:space="preserve">mikrogramai/val./ml ir </w:t>
      </w:r>
      <w:r w:rsidR="00E630CA" w:rsidRPr="00E14983">
        <w:rPr>
          <w:rFonts w:ascii="Times New Roman" w:eastAsia="Times New Roman" w:hAnsi="Times New Roman" w:cs="Times New Roman"/>
          <w:color w:val="000000"/>
          <w:lang w:val="lt-LT"/>
        </w:rPr>
        <w:t> 451 </w:t>
      </w:r>
      <w:r w:rsidRPr="00E14983">
        <w:rPr>
          <w:rFonts w:ascii="Times New Roman" w:eastAsia="Times New Roman" w:hAnsi="Times New Roman" w:cs="Times New Roman"/>
          <w:color w:val="000000"/>
          <w:lang w:val="lt-LT"/>
        </w:rPr>
        <w:t>nanogramai/val./ml. Atskirų asmenų organizme dideli farmakokinetinių parametrų skirtumai pastebėti daugiausia SN-38 metabolito.</w:t>
      </w:r>
    </w:p>
    <w:p w14:paraId="72AFAAB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84AFAA6" w14:textId="77777777" w:rsidR="002D5224" w:rsidRPr="00E14983" w:rsidRDefault="002D5224" w:rsidP="002D5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Pasiskirstymas</w:t>
      </w:r>
    </w:p>
    <w:p w14:paraId="3F7E706C" w14:textId="39FB2906" w:rsidR="002D5224" w:rsidRPr="00E14983" w:rsidRDefault="002D5224" w:rsidP="002D5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I fazės tyrime dalyva</w:t>
      </w:r>
      <w:r w:rsidR="006670F7" w:rsidRPr="00E14983">
        <w:rPr>
          <w:rFonts w:ascii="Times New Roman" w:eastAsia="Times New Roman" w:hAnsi="Times New Roman" w:cs="Times New Roman"/>
          <w:color w:val="000000"/>
          <w:lang w:val="lt-LT"/>
        </w:rPr>
        <w:t>vo</w:t>
      </w:r>
      <w:r w:rsidRPr="00E14983">
        <w:rPr>
          <w:rFonts w:ascii="Times New Roman" w:eastAsia="Times New Roman" w:hAnsi="Times New Roman" w:cs="Times New Roman"/>
          <w:color w:val="000000"/>
          <w:lang w:val="lt-LT"/>
        </w:rPr>
        <w:t xml:space="preserve"> 60 pacientų, kuriems kas tris savaites buvo infuzuojama nuo 100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iki 750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irinotekano į veną per 30 minučių, irinotekano pasiskirstymo tūris, kai koncentracija pastovi (Vss) buvo </w:t>
      </w:r>
      <w:r w:rsidR="00E630CA" w:rsidRPr="00E14983">
        <w:rPr>
          <w:rFonts w:ascii="Times New Roman" w:eastAsia="Times New Roman" w:hAnsi="Times New Roman" w:cs="Times New Roman"/>
          <w:color w:val="000000"/>
          <w:lang w:val="lt-LT"/>
        </w:rPr>
        <w:t>157 </w:t>
      </w:r>
      <w:r w:rsidR="008F4321" w:rsidRPr="00E14983">
        <w:rPr>
          <w:rFonts w:ascii="Times New Roman" w:eastAsia="Times New Roman" w:hAnsi="Times New Roman" w:cs="Times New Roman"/>
          <w:color w:val="000000"/>
          <w:lang w:val="lt-LT"/>
        </w:rPr>
        <w:t>l</w:t>
      </w:r>
      <w:r w:rsidRPr="00E14983">
        <w:rPr>
          <w:rFonts w:ascii="Times New Roman" w:eastAsia="Times New Roman" w:hAnsi="Times New Roman" w:cs="Times New Roman"/>
          <w:color w:val="000000"/>
          <w:lang w:val="lt-LT"/>
        </w:rPr>
        <w:t>/m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w:t>
      </w:r>
    </w:p>
    <w:p w14:paraId="46759FE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
          <w:iCs/>
          <w:color w:val="000000"/>
          <w:lang w:val="lt-LT"/>
        </w:rPr>
      </w:pPr>
      <w:r w:rsidRPr="00E14983">
        <w:rPr>
          <w:rFonts w:ascii="Times New Roman" w:eastAsia="Times New Roman" w:hAnsi="Times New Roman" w:cs="Times New Roman"/>
          <w:i/>
          <w:iCs/>
          <w:color w:val="000000"/>
          <w:lang w:val="lt-LT"/>
        </w:rPr>
        <w:t xml:space="preserve">In vitro, </w:t>
      </w:r>
      <w:r w:rsidRPr="00E14983">
        <w:rPr>
          <w:rFonts w:ascii="Times New Roman" w:eastAsia="Times New Roman" w:hAnsi="Times New Roman" w:cs="Times New Roman"/>
          <w:color w:val="000000"/>
          <w:lang w:val="lt-LT"/>
        </w:rPr>
        <w:t>prie plazmos baltymų prisijungia atitinkamai maždaug 65 % ir 95 % irinotekano ir SN-38</w:t>
      </w:r>
      <w:r w:rsidRPr="00E14983">
        <w:rPr>
          <w:rFonts w:ascii="Times New Roman" w:eastAsia="Times New Roman" w:hAnsi="Times New Roman" w:cs="Times New Roman"/>
          <w:i/>
          <w:iCs/>
          <w:color w:val="000000"/>
          <w:lang w:val="lt-LT"/>
        </w:rPr>
        <w:t>.</w:t>
      </w:r>
    </w:p>
    <w:p w14:paraId="29847A9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6B55F55F" w14:textId="77777777" w:rsidR="002D5224" w:rsidRPr="00E14983" w:rsidRDefault="002D5224" w:rsidP="002D5224">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Biotransformacija</w:t>
      </w:r>
    </w:p>
    <w:p w14:paraId="5A6007F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Masės pusiausvyros ir metabolizmo tyrimai su </w:t>
      </w:r>
      <w:r w:rsidRPr="00E14983">
        <w:rPr>
          <w:rFonts w:ascii="Times New Roman" w:eastAsia="Times New Roman" w:hAnsi="Times New Roman" w:cs="Times New Roman"/>
          <w:color w:val="000000"/>
          <w:vertAlign w:val="superscript"/>
          <w:lang w:val="lt-LT"/>
        </w:rPr>
        <w:t>14</w:t>
      </w:r>
      <w:r w:rsidRPr="00E14983">
        <w:rPr>
          <w:rFonts w:ascii="Times New Roman" w:eastAsia="Times New Roman" w:hAnsi="Times New Roman" w:cs="Times New Roman"/>
          <w:color w:val="000000"/>
          <w:lang w:val="lt-LT"/>
        </w:rPr>
        <w:t>C žymėtu vaistiniu preparatu parodė, kad daugiau kaip 50 % į veną vartojamo irinotekano išsiskiria nepakitusios formos, 33 % fekalijose dažniausiai su tulžimi ir 22 % šlapime.</w:t>
      </w:r>
    </w:p>
    <w:p w14:paraId="311E540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738ADE2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Yra du metabolizmo būdai, kurių kiekvienu metabolizuojama mažiausiai 12 % dozės:</w:t>
      </w:r>
    </w:p>
    <w:p w14:paraId="31791B7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E1F7EF9" w14:textId="77777777" w:rsidR="009500C0" w:rsidRPr="00E14983" w:rsidRDefault="009500C0" w:rsidP="009500C0">
      <w:pPr>
        <w:widowControl w:val="0"/>
        <w:numPr>
          <w:ilvl w:val="0"/>
          <w:numId w:val="45"/>
        </w:numPr>
        <w:shd w:val="clear" w:color="auto" w:fill="FFFFFF"/>
        <w:tabs>
          <w:tab w:val="left" w:pos="0"/>
          <w:tab w:val="left" w:pos="567"/>
        </w:tabs>
        <w:autoSpaceDE w:val="0"/>
        <w:autoSpaceDN w:val="0"/>
        <w:adjustRightInd w:val="0"/>
        <w:snapToGri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Calibri" w:hAnsi="Times New Roman" w:cs="Times New Roman"/>
          <w:lang w:val="lt-LT"/>
        </w:rPr>
        <w:t>Vykstant karboksilesterazės katalizuojamai hidrolizei atsiranda aktyvus SN-38 metabolitas. SN-38 daugiausia eliminuojamas sudarant jo gliukuronidą ir po to pasišalinant su tulžimi bei pro inkstus (mažiau nei 0,5 % irinotekano dozės). Atrodo, kad SN-38 gliukuronidas vėliau hidrolizuojamas žarnyne.</w:t>
      </w:r>
    </w:p>
    <w:p w14:paraId="6956C8A8" w14:textId="73619714" w:rsidR="009500C0" w:rsidRPr="00E14983" w:rsidRDefault="009500C0" w:rsidP="009500C0">
      <w:pPr>
        <w:pStyle w:val="Sraopastraipa"/>
        <w:numPr>
          <w:ilvl w:val="0"/>
          <w:numId w:val="45"/>
        </w:numPr>
        <w:shd w:val="clear" w:color="auto" w:fill="FFFFFF"/>
        <w:tabs>
          <w:tab w:val="left" w:pos="567"/>
        </w:tabs>
        <w:ind w:left="567" w:hanging="567"/>
        <w:rPr>
          <w:rFonts w:eastAsia="Calibri"/>
          <w:sz w:val="22"/>
          <w:szCs w:val="22"/>
          <w:lang w:val="lt-LT"/>
        </w:rPr>
      </w:pPr>
      <w:r w:rsidRPr="00E14983">
        <w:rPr>
          <w:rFonts w:eastAsia="Calibri"/>
          <w:sz w:val="22"/>
          <w:szCs w:val="22"/>
          <w:lang w:val="lt-LT"/>
        </w:rPr>
        <w:t>Vykstant oksidacijai, kurią skatina citochromo P450 3A fermentai, atsidaro išorinis piperidino žiedas, susidaro aminopentano rūgšties darinys (angl. APC) ir pirminis amino darinys (angl. NPC) (žr. 4.5</w:t>
      </w:r>
      <w:r w:rsidR="00E630CA" w:rsidRPr="00E14983">
        <w:rPr>
          <w:rFonts w:eastAsia="Calibri"/>
          <w:sz w:val="22"/>
          <w:szCs w:val="22"/>
          <w:lang w:val="lt-LT"/>
        </w:rPr>
        <w:t> </w:t>
      </w:r>
      <w:r w:rsidRPr="00E14983">
        <w:rPr>
          <w:rFonts w:eastAsia="Calibri"/>
          <w:sz w:val="22"/>
          <w:szCs w:val="22"/>
          <w:lang w:val="lt-LT"/>
        </w:rPr>
        <w:t>skyrių).</w:t>
      </w:r>
    </w:p>
    <w:p w14:paraId="415CC9B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Calibri" w:hAnsi="Times New Roman" w:cs="Times New Roman"/>
          <w:lang w:val="lt-LT"/>
        </w:rPr>
      </w:pPr>
    </w:p>
    <w:p w14:paraId="1FB2846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Kraujo plazmoje daugiausia būna nepakitusio irinotekano, mažiau APC, SN-38 gliukuronido ir SN-38. Tik SN-38 pasižymi reikšmingu citotoksiniu poveikiu.</w:t>
      </w:r>
    </w:p>
    <w:p w14:paraId="1B9A1EA8" w14:textId="77777777" w:rsidR="002D5224" w:rsidRPr="00E14983" w:rsidRDefault="002D5224" w:rsidP="009500C0">
      <w:pPr>
        <w:widowControl w:val="0"/>
        <w:shd w:val="clear" w:color="auto" w:fill="FFFFFF"/>
        <w:tabs>
          <w:tab w:val="left" w:pos="567"/>
        </w:tabs>
        <w:autoSpaceDE w:val="0"/>
        <w:autoSpaceDN w:val="0"/>
        <w:adjustRightInd w:val="0"/>
        <w:snapToGrid w:val="0"/>
        <w:spacing w:after="0" w:line="240" w:lineRule="auto"/>
        <w:rPr>
          <w:rFonts w:ascii="Times New Roman" w:hAnsi="Times New Roman"/>
          <w:color w:val="000000"/>
          <w:lang w:val="lt-LT"/>
        </w:rPr>
      </w:pPr>
    </w:p>
    <w:p w14:paraId="6F77E1CE" w14:textId="77777777" w:rsidR="002D5224" w:rsidRPr="00E14983" w:rsidRDefault="002D5224" w:rsidP="00DD3E4C">
      <w:pPr>
        <w:pStyle w:val="prastojitrauka"/>
        <w:spacing w:after="0"/>
        <w:ind w:left="0"/>
        <w:jc w:val="both"/>
        <w:rPr>
          <w:szCs w:val="22"/>
          <w:u w:val="single"/>
          <w:lang w:val="lt-LT"/>
        </w:rPr>
      </w:pPr>
      <w:r w:rsidRPr="00E14983">
        <w:rPr>
          <w:szCs w:val="22"/>
          <w:u w:val="single"/>
          <w:lang w:val="lt-LT"/>
        </w:rPr>
        <w:t>Eliminacija</w:t>
      </w:r>
    </w:p>
    <w:p w14:paraId="0296D50C" w14:textId="4AE99696" w:rsidR="002D5224" w:rsidRPr="00E14983" w:rsidRDefault="002D5224" w:rsidP="009500C0">
      <w:pPr>
        <w:widowControl w:val="0"/>
        <w:shd w:val="clear" w:color="auto" w:fill="FFFFFF"/>
        <w:tabs>
          <w:tab w:val="left" w:pos="567"/>
        </w:tabs>
        <w:autoSpaceDE w:val="0"/>
        <w:autoSpaceDN w:val="0"/>
        <w:adjustRightInd w:val="0"/>
        <w:snapToGrid w:val="0"/>
        <w:spacing w:after="0" w:line="240" w:lineRule="auto"/>
        <w:rPr>
          <w:lang w:val="lt-LT"/>
        </w:rPr>
      </w:pPr>
      <w:r w:rsidRPr="00E14983">
        <w:rPr>
          <w:rFonts w:ascii="Times New Roman" w:eastAsia="Times New Roman" w:hAnsi="Times New Roman" w:cs="Times New Roman"/>
          <w:color w:val="000000"/>
          <w:lang w:val="lt-LT"/>
        </w:rPr>
        <w:t>I fazės tyrime dalyva</w:t>
      </w:r>
      <w:r w:rsidR="006670F7" w:rsidRPr="00E14983">
        <w:rPr>
          <w:rFonts w:ascii="Times New Roman" w:eastAsia="Times New Roman" w:hAnsi="Times New Roman" w:cs="Times New Roman"/>
          <w:color w:val="000000"/>
          <w:lang w:val="lt-LT"/>
        </w:rPr>
        <w:t>vo</w:t>
      </w:r>
      <w:r w:rsidRPr="00E14983">
        <w:rPr>
          <w:rFonts w:ascii="Times New Roman" w:eastAsia="Times New Roman" w:hAnsi="Times New Roman" w:cs="Times New Roman"/>
          <w:color w:val="000000"/>
          <w:lang w:val="lt-LT"/>
        </w:rPr>
        <w:t xml:space="preserve"> 60 pacientų, kuriems kas tris savaites buvo infuzuojama nuo 100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iki 750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irinotekano į veną per 30 minučių, irinotekano išsiskyrimas buvo dvifazis arba trifazis. Vidutinis plazmos klirensas buvo 15</w:t>
      </w:r>
      <w:r w:rsidR="006670F7"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l/val./m</w:t>
      </w:r>
      <w:r w:rsidRPr="00E14983">
        <w:rPr>
          <w:rFonts w:ascii="Times New Roman" w:eastAsia="Times New Roman" w:hAnsi="Times New Roman" w:cs="Times New Roman"/>
          <w:color w:val="000000"/>
          <w:vertAlign w:val="superscript"/>
          <w:lang w:val="lt-LT"/>
        </w:rPr>
        <w:t>2</w:t>
      </w:r>
      <w:r w:rsidRPr="00E14983">
        <w:rPr>
          <w:rFonts w:ascii="Times New Roman" w:hAnsi="Times New Roman"/>
          <w:lang w:val="lt-LT"/>
        </w:rPr>
        <w:t xml:space="preserve">. </w:t>
      </w:r>
      <w:r w:rsidRPr="00E14983">
        <w:rPr>
          <w:rFonts w:ascii="Times New Roman" w:eastAsia="Times New Roman" w:hAnsi="Times New Roman" w:cs="Times New Roman"/>
          <w:color w:val="000000"/>
          <w:lang w:val="lt-LT"/>
        </w:rPr>
        <w:t xml:space="preserve">Vidutinis pusinės eliminacijos laikas pirmame trifazio modelio etape buvo 12 minučių, antrame etape – 2,5 valandos ir galutiniame etape – 14,2 valandos. </w:t>
      </w:r>
      <w:r w:rsidRPr="00E14983">
        <w:rPr>
          <w:rFonts w:ascii="Times New Roman" w:eastAsia="Times New Roman" w:hAnsi="Times New Roman" w:cs="Times New Roman"/>
          <w:color w:val="000000"/>
          <w:lang w:val="lt-LT"/>
        </w:rPr>
        <w:lastRenderedPageBreak/>
        <w:t>SN-38 pasišalinimas iš plazmos dvifazis, o vidutinis galutinis pusinės eliminacijos laikas 13,8 valandos</w:t>
      </w:r>
      <w:r w:rsidRPr="00E14983">
        <w:rPr>
          <w:rFonts w:ascii="Times New Roman" w:hAnsi="Times New Roman"/>
          <w:lang w:val="lt-LT"/>
        </w:rPr>
        <w:t>.</w:t>
      </w:r>
    </w:p>
    <w:p w14:paraId="1E8D91D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FA7F9DB" w14:textId="3EE9FE68"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Calibri" w:hAnsi="Times New Roman" w:cs="Times New Roman"/>
          <w:lang w:val="lt-LT"/>
        </w:rPr>
      </w:pPr>
      <w:r w:rsidRPr="00E14983">
        <w:rPr>
          <w:rFonts w:ascii="Times New Roman" w:eastAsia="Times New Roman" w:hAnsi="Times New Roman" w:cs="Times New Roman"/>
          <w:color w:val="000000"/>
          <w:lang w:val="lt-LT"/>
        </w:rPr>
        <w:t>Irinotekano klirensas sumažėjo maždaug 40 % pacientams, sergantiems bilirubinemija, kai bilirubino kiekis kraujyje 1,5</w:t>
      </w:r>
      <w:r w:rsidRPr="00E14983">
        <w:rPr>
          <w:rFonts w:ascii="Times New Roman" w:eastAsia="Times New Roman" w:hAnsi="Times New Roman" w:cs="Times New Roman"/>
          <w:color w:val="000000"/>
          <w:lang w:val="lt-LT"/>
        </w:rPr>
        <w:noBreakHyphen/>
        <w:t xml:space="preserve">3 kartus viršija viršutinę normos ribą. </w:t>
      </w:r>
      <w:r w:rsidRPr="00E14983">
        <w:rPr>
          <w:rFonts w:ascii="Times New Roman" w:eastAsia="Calibri" w:hAnsi="Times New Roman" w:cs="Times New Roman"/>
          <w:lang w:val="lt-LT"/>
        </w:rPr>
        <w:t>Tokių pacientų kraujo plazmoje vaistinio preparato ekspozicija nuo 200 mg/m</w:t>
      </w:r>
      <w:r w:rsidRPr="00E14983">
        <w:rPr>
          <w:rFonts w:ascii="Times New Roman" w:eastAsia="Calibri" w:hAnsi="Times New Roman" w:cs="Times New Roman"/>
          <w:vertAlign w:val="superscript"/>
          <w:lang w:val="lt-LT"/>
        </w:rPr>
        <w:t>2</w:t>
      </w:r>
      <w:r w:rsidRPr="00E14983">
        <w:rPr>
          <w:rFonts w:ascii="Times New Roman" w:eastAsia="Calibri" w:hAnsi="Times New Roman" w:cs="Times New Roman"/>
          <w:lang w:val="lt-LT"/>
        </w:rPr>
        <w:t xml:space="preserve"> kūno paviršiaus dozės būna panaši į tą, kuri atsiranda nuo 350 mg/m</w:t>
      </w:r>
      <w:r w:rsidRPr="00E14983">
        <w:rPr>
          <w:rFonts w:ascii="Times New Roman" w:eastAsia="Calibri" w:hAnsi="Times New Roman" w:cs="Times New Roman"/>
          <w:vertAlign w:val="superscript"/>
          <w:lang w:val="lt-LT"/>
        </w:rPr>
        <w:t>2</w:t>
      </w:r>
      <w:r w:rsidRPr="00E14983">
        <w:rPr>
          <w:rFonts w:ascii="Times New Roman" w:eastAsia="Calibri" w:hAnsi="Times New Roman" w:cs="Times New Roman"/>
          <w:lang w:val="lt-LT"/>
        </w:rPr>
        <w:t xml:space="preserve"> kūno paviršiaus dozės vėžiu sergančių pacientų, kurių kepenų funkcijos parametrai normalūs, kraujyje.</w:t>
      </w:r>
    </w:p>
    <w:p w14:paraId="483F01A3" w14:textId="77777777" w:rsidR="002D5224" w:rsidRPr="00E14983" w:rsidRDefault="002D5224" w:rsidP="009500C0">
      <w:pPr>
        <w:widowControl w:val="0"/>
        <w:shd w:val="clear" w:color="auto" w:fill="FFFFFF"/>
        <w:tabs>
          <w:tab w:val="left" w:pos="567"/>
        </w:tabs>
        <w:autoSpaceDE w:val="0"/>
        <w:autoSpaceDN w:val="0"/>
        <w:adjustRightInd w:val="0"/>
        <w:snapToGrid w:val="0"/>
        <w:spacing w:after="0" w:line="240" w:lineRule="auto"/>
        <w:rPr>
          <w:rFonts w:ascii="Times New Roman" w:eastAsia="Calibri" w:hAnsi="Times New Roman" w:cs="Times New Roman"/>
          <w:lang w:val="lt-LT"/>
        </w:rPr>
      </w:pPr>
    </w:p>
    <w:p w14:paraId="5CE8FE72" w14:textId="3E9BA367" w:rsidR="00175756" w:rsidRPr="00E14983" w:rsidRDefault="00745FA4" w:rsidP="00DD3E4C">
      <w:pPr>
        <w:pStyle w:val="prastojitrauka"/>
        <w:spacing w:after="0"/>
        <w:ind w:left="0"/>
        <w:jc w:val="both"/>
        <w:rPr>
          <w:szCs w:val="22"/>
          <w:lang w:val="lt-LT"/>
        </w:rPr>
      </w:pPr>
      <w:r w:rsidRPr="00E14983">
        <w:rPr>
          <w:szCs w:val="22"/>
          <w:u w:val="single"/>
          <w:lang w:val="lt-LT"/>
        </w:rPr>
        <w:t>Tiesinis / </w:t>
      </w:r>
      <w:r w:rsidRPr="00E14983">
        <w:rPr>
          <w:u w:val="single"/>
          <w:lang w:val="lt-LT"/>
        </w:rPr>
        <w:t>netiesinis pobūdis</w:t>
      </w:r>
    </w:p>
    <w:p w14:paraId="6635E9BC" w14:textId="77777777" w:rsidR="002D5224" w:rsidRPr="00E14983" w:rsidRDefault="002D5224" w:rsidP="00DD3E4C">
      <w:pPr>
        <w:pStyle w:val="prastojitrauka"/>
        <w:spacing w:after="0"/>
        <w:ind w:left="0"/>
        <w:rPr>
          <w:lang w:val="lt-LT"/>
        </w:rPr>
      </w:pPr>
      <w:r w:rsidRPr="00E14983">
        <w:rPr>
          <w:color w:val="000000"/>
          <w:lang w:val="lt-LT"/>
        </w:rPr>
        <w:t xml:space="preserve">Irinotekano farmakokinetinė analizė buvo atlikta su 148 pacientais, sergančiais metastazavusiu gaubtinės ir tiesiosios žarnos vėžiu, kurie buvo gydyti įvairiomis schemomis, skirtingomis dozėmis </w:t>
      </w:r>
      <w:r w:rsidRPr="00E14983">
        <w:rPr>
          <w:lang w:val="lt-LT"/>
        </w:rPr>
        <w:t>II fazės tyrimų</w:t>
      </w:r>
      <w:r w:rsidRPr="00E14983">
        <w:rPr>
          <w:color w:val="000000"/>
          <w:lang w:val="lt-LT"/>
        </w:rPr>
        <w:t xml:space="preserve"> etape. Farmakokinetiniai parametrai nustatyti su trijų skyrių modeliu, kur buvo gauti panašūs rezultatai kaip ir tyrimo I etape. Visi tyrimai parodė, kad irinotekano (CPT-11) ir SN-38 poveikis didėja proporcingai CPT-11 vartojimo dozei. Jų farmakokinetinės savybės priklauso nuo ankstesnių ciklų skaičiaus ir nuo vartojimo schemos</w:t>
      </w:r>
      <w:r w:rsidRPr="00E14983">
        <w:rPr>
          <w:lang w:val="lt-LT"/>
        </w:rPr>
        <w:t>.</w:t>
      </w:r>
    </w:p>
    <w:p w14:paraId="3D54D15A" w14:textId="77777777" w:rsidR="002D5224" w:rsidRPr="00E14983" w:rsidRDefault="002D5224" w:rsidP="00DD3E4C">
      <w:pPr>
        <w:pStyle w:val="prastojitrauka"/>
        <w:spacing w:after="0"/>
        <w:ind w:left="0"/>
        <w:jc w:val="both"/>
        <w:rPr>
          <w:lang w:val="lt-LT"/>
        </w:rPr>
      </w:pPr>
    </w:p>
    <w:p w14:paraId="02E9250F" w14:textId="0BA253CF" w:rsidR="00175756" w:rsidRPr="00E14983" w:rsidRDefault="00745FA4" w:rsidP="00ED157C">
      <w:pPr>
        <w:pStyle w:val="prastojitrauka"/>
        <w:keepNext/>
        <w:spacing w:after="0"/>
        <w:ind w:left="0"/>
        <w:jc w:val="both"/>
        <w:rPr>
          <w:lang w:val="lt-LT"/>
        </w:rPr>
      </w:pPr>
      <w:r w:rsidRPr="00E14983">
        <w:rPr>
          <w:u w:val="single"/>
          <w:lang w:val="lt-LT"/>
        </w:rPr>
        <w:t>Santykis tarp farmakokinetikos ir farmakodinamikos</w:t>
      </w:r>
    </w:p>
    <w:p w14:paraId="0E0BB699" w14:textId="58455D2B" w:rsidR="002D5224" w:rsidRPr="00E14983" w:rsidRDefault="002D5224" w:rsidP="00ED157C">
      <w:pPr>
        <w:pStyle w:val="prastojitrauka"/>
        <w:keepNext/>
        <w:spacing w:after="0"/>
        <w:ind w:left="0"/>
        <w:rPr>
          <w:rFonts w:eastAsia="Calibri"/>
          <w:lang w:val="lt-LT"/>
        </w:rPr>
      </w:pPr>
      <w:r w:rsidRPr="00E14983">
        <w:rPr>
          <w:rFonts w:eastAsia="Calibri"/>
          <w:lang w:val="lt-LT"/>
        </w:rPr>
        <w:t xml:space="preserve">Svarbiausio toksinio </w:t>
      </w:r>
      <w:r w:rsidRPr="00E14983">
        <w:rPr>
          <w:szCs w:val="22"/>
          <w:lang w:val="lt-LT"/>
        </w:rPr>
        <w:t xml:space="preserve">Irinotecan Accord 20 </w:t>
      </w:r>
      <w:r w:rsidRPr="00E14983">
        <w:rPr>
          <w:color w:val="000000"/>
          <w:lang w:val="lt-LT"/>
        </w:rPr>
        <w:t>mg/ml koncentratas infuziniam tirpalui</w:t>
      </w:r>
      <w:r w:rsidRPr="00E14983">
        <w:rPr>
          <w:rFonts w:eastAsia="Calibri"/>
          <w:lang w:val="lt-LT"/>
        </w:rPr>
        <w:t xml:space="preserve"> poveikio (pvz., leukoneutropenijos ir viduriavimo) stiprumas priklausė nuo nepakitusio irinotekano ir jo metabolito SN-38 ekspozicijos (AUC). Monoterapijos metu stebėta reikšminga koreliacija tarp toksinio poveikio kraujodarai (leukocitų ir neutrofilų </w:t>
      </w:r>
      <w:r w:rsidR="006670F7" w:rsidRPr="00E14983">
        <w:rPr>
          <w:rFonts w:eastAsia="Calibri"/>
          <w:lang w:val="lt-LT"/>
        </w:rPr>
        <w:t>skaičiaus</w:t>
      </w:r>
      <w:r w:rsidRPr="00E14983">
        <w:rPr>
          <w:rFonts w:eastAsia="Calibri"/>
          <w:lang w:val="lt-LT"/>
        </w:rPr>
        <w:t xml:space="preserve"> sumažėjimo tuo metu, kai jis būna mažiausias) ar viduriavimo stiprumo ir bendro irinotekano bei metabolito SN-38 AUC dydžio.</w:t>
      </w:r>
    </w:p>
    <w:p w14:paraId="4BF19F49" w14:textId="77777777" w:rsidR="006A277F" w:rsidRPr="00E14983" w:rsidRDefault="006A277F" w:rsidP="006A277F">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rPr>
          <w:rFonts w:ascii="Times New Roman" w:eastAsia="Times New Roman" w:hAnsi="Times New Roman" w:cs="Times New Roman"/>
          <w:bCs/>
          <w:color w:val="000000"/>
          <w:lang w:val="lt-LT"/>
        </w:rPr>
      </w:pPr>
    </w:p>
    <w:p w14:paraId="0F789BC0" w14:textId="77777777" w:rsidR="006A277F" w:rsidRPr="00E14983" w:rsidRDefault="006A277F" w:rsidP="004B4AAA">
      <w:pPr>
        <w:keepNext/>
        <w:spacing w:after="0" w:line="240" w:lineRule="auto"/>
        <w:rPr>
          <w:rFonts w:ascii="Times New Roman" w:eastAsia="Times New Roman" w:hAnsi="Times New Roman" w:cs="Times New Roman"/>
          <w:iCs/>
          <w:u w:val="single"/>
          <w:lang w:val="lt-LT"/>
        </w:rPr>
      </w:pPr>
      <w:r w:rsidRPr="00E14983">
        <w:rPr>
          <w:rFonts w:ascii="Times New Roman" w:eastAsia="Times New Roman" w:hAnsi="Times New Roman" w:cs="Times New Roman"/>
          <w:iCs/>
          <w:u w:val="single"/>
          <w:lang w:val="lt-LT"/>
        </w:rPr>
        <w:t>Pacientai, kurių uridino difosfato gliukuronozilo transferazės (UGT1A1) aktyvumas sumažėjęs</w:t>
      </w:r>
    </w:p>
    <w:p w14:paraId="0F2E473C" w14:textId="36EE0802" w:rsidR="00F12E1D" w:rsidRPr="00E14983" w:rsidRDefault="006A277F" w:rsidP="004B4AAA">
      <w:pPr>
        <w:keepNext/>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Uridino difosfato gliukuronozilo transferazė 1A1 (UGT1A1) dalyvauja metabolinėje SN-38 inaktyvacijoje, kuomet aktyvus irinotekano metabolitas verčiamas neaktyviu SN-38 gliukuronidu (SN-38G). UGT1A1 genas yra labai polimorfiškas, dėl to skirtingų asmenų metabolinės galimybės yra skirtingos. </w:t>
      </w:r>
      <w:r w:rsidR="00540F4B" w:rsidRPr="00E14983">
        <w:rPr>
          <w:rFonts w:ascii="Times New Roman" w:eastAsia="Times New Roman" w:hAnsi="Times New Roman" w:cs="Times New Roman"/>
          <w:lang w:val="lt-LT"/>
        </w:rPr>
        <w:t xml:space="preserve">Labiausiai apibūdinti UGT1A1 genetiniai variantai yra UGT1A1*28 ir UGT1A1*6. </w:t>
      </w:r>
      <w:r w:rsidRPr="00E14983">
        <w:rPr>
          <w:rFonts w:ascii="Times New Roman" w:eastAsia="Times New Roman" w:hAnsi="Times New Roman" w:cs="Times New Roman"/>
          <w:lang w:val="lt-LT"/>
        </w:rPr>
        <w:t>Ši</w:t>
      </w:r>
      <w:r w:rsidR="00F12E1D" w:rsidRPr="00E14983">
        <w:rPr>
          <w:rFonts w:ascii="Times New Roman" w:eastAsia="Times New Roman" w:hAnsi="Times New Roman" w:cs="Times New Roman"/>
          <w:lang w:val="lt-LT"/>
        </w:rPr>
        <w:t>e</w:t>
      </w:r>
      <w:r w:rsidRPr="00E14983">
        <w:rPr>
          <w:rFonts w:ascii="Times New Roman" w:eastAsia="Times New Roman" w:hAnsi="Times New Roman" w:cs="Times New Roman"/>
          <w:lang w:val="lt-LT"/>
        </w:rPr>
        <w:t xml:space="preserve"> varianta</w:t>
      </w:r>
      <w:r w:rsidR="00F12E1D" w:rsidRPr="00E14983">
        <w:rPr>
          <w:rFonts w:ascii="Times New Roman" w:eastAsia="Times New Roman" w:hAnsi="Times New Roman" w:cs="Times New Roman"/>
          <w:lang w:val="lt-LT"/>
        </w:rPr>
        <w:t>i</w:t>
      </w:r>
      <w:r w:rsidRPr="00E14983">
        <w:rPr>
          <w:rFonts w:ascii="Times New Roman" w:eastAsia="Times New Roman" w:hAnsi="Times New Roman" w:cs="Times New Roman"/>
          <w:lang w:val="lt-LT"/>
        </w:rPr>
        <w:t xml:space="preserve"> ir kitoks įgimtas UGT1A1 ekspresijos nepakankamumas (pvz., </w:t>
      </w:r>
      <w:r w:rsidR="00B76CDC" w:rsidRPr="00E14983">
        <w:rPr>
          <w:rFonts w:ascii="Times New Roman" w:eastAsia="Times New Roman" w:hAnsi="Times New Roman" w:cs="Times New Roman"/>
          <w:lang w:val="lt-LT"/>
        </w:rPr>
        <w:t>Gilberto [</w:t>
      </w:r>
      <w:r w:rsidR="00F12E1D" w:rsidRPr="00E14983">
        <w:rPr>
          <w:rFonts w:ascii="Times New Roman" w:eastAsia="Times New Roman" w:hAnsi="Times New Roman" w:cs="Times New Roman"/>
          <w:i/>
          <w:lang w:val="lt-LT"/>
        </w:rPr>
        <w:t>Gilbert</w:t>
      </w:r>
      <w:r w:rsidR="00B76CDC" w:rsidRPr="004B4AAA">
        <w:rPr>
          <w:rFonts w:ascii="Times New Roman" w:eastAsia="Times New Roman" w:hAnsi="Times New Roman" w:cs="Times New Roman"/>
          <w:iCs/>
          <w:lang w:val="lt-LT"/>
        </w:rPr>
        <w:t>]</w:t>
      </w:r>
      <w:r w:rsidR="00F12E1D" w:rsidRPr="00E14983">
        <w:rPr>
          <w:rFonts w:ascii="Times New Roman" w:eastAsia="Times New Roman" w:hAnsi="Times New Roman" w:cs="Times New Roman"/>
          <w:iCs/>
          <w:lang w:val="lt-LT"/>
        </w:rPr>
        <w:t xml:space="preserve"> </w:t>
      </w:r>
      <w:r w:rsidR="00F12E1D" w:rsidRPr="00E14983">
        <w:rPr>
          <w:rFonts w:ascii="Times New Roman" w:eastAsia="Times New Roman" w:hAnsi="Times New Roman" w:cs="Times New Roman"/>
          <w:lang w:val="lt-LT"/>
        </w:rPr>
        <w:t xml:space="preserve">sindromas </w:t>
      </w:r>
      <w:r w:rsidRPr="00E14983">
        <w:rPr>
          <w:rFonts w:ascii="Times New Roman" w:eastAsia="Times New Roman" w:hAnsi="Times New Roman" w:cs="Times New Roman"/>
          <w:lang w:val="lt-LT"/>
        </w:rPr>
        <w:t xml:space="preserve">ir </w:t>
      </w:r>
      <w:r w:rsidR="00B76CDC" w:rsidRPr="00E14983">
        <w:rPr>
          <w:rFonts w:ascii="Times New Roman" w:eastAsia="Times New Roman" w:hAnsi="Times New Roman" w:cs="Times New Roman"/>
          <w:lang w:val="lt-LT"/>
        </w:rPr>
        <w:t>Kriglerio-Najaro [</w:t>
      </w:r>
      <w:r w:rsidR="00F12E1D" w:rsidRPr="00E14983">
        <w:rPr>
          <w:rFonts w:ascii="Times New Roman" w:eastAsia="Times New Roman" w:hAnsi="Times New Roman" w:cs="Times New Roman"/>
          <w:i/>
          <w:lang w:val="lt-LT"/>
        </w:rPr>
        <w:t>Crigler-Najjar</w:t>
      </w:r>
      <w:r w:rsidR="00B76CDC" w:rsidRPr="004B4AAA">
        <w:rPr>
          <w:rFonts w:ascii="Times New Roman" w:eastAsia="Times New Roman" w:hAnsi="Times New Roman" w:cs="Times New Roman"/>
          <w:iCs/>
          <w:lang w:val="lt-LT"/>
        </w:rPr>
        <w:t>]</w:t>
      </w:r>
      <w:r w:rsidR="00F12E1D" w:rsidRPr="00E14983">
        <w:rPr>
          <w:rFonts w:ascii="Times New Roman" w:eastAsia="Times New Roman" w:hAnsi="Times New Roman" w:cs="Times New Roman"/>
          <w:iCs/>
          <w:lang w:val="lt-LT"/>
        </w:rPr>
        <w:t xml:space="preserve"> </w:t>
      </w:r>
      <w:r w:rsidRPr="00E14983">
        <w:rPr>
          <w:rFonts w:ascii="Times New Roman" w:eastAsia="Times New Roman" w:hAnsi="Times New Roman" w:cs="Times New Roman"/>
          <w:lang w:val="lt-LT"/>
        </w:rPr>
        <w:t xml:space="preserve">sindromas) yra susiję su sumažėjusiu šio fermento aktyvumu. </w:t>
      </w:r>
    </w:p>
    <w:p w14:paraId="38B897C3" w14:textId="77777777" w:rsidR="00F12E1D" w:rsidRPr="00E14983" w:rsidRDefault="00F12E1D" w:rsidP="006A277F">
      <w:pPr>
        <w:spacing w:after="0" w:line="240" w:lineRule="auto"/>
        <w:rPr>
          <w:rFonts w:ascii="Times New Roman" w:eastAsia="Times New Roman" w:hAnsi="Times New Roman" w:cs="Times New Roman"/>
          <w:lang w:val="lt-LT"/>
        </w:rPr>
      </w:pPr>
    </w:p>
    <w:p w14:paraId="6A42E521" w14:textId="77777777" w:rsidR="00637F5B" w:rsidRPr="00E14983" w:rsidRDefault="00F12E1D" w:rsidP="006A27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Pacientams, kurių UGT1A1 metabolizmas yra silpnas (pvz., homozigotiniai pagal UGT1A1*28 arba *6 variantą), yra padidėjusi sunkių nepageidaujamų reakcijų, tokių kaip neutropenija ir viduriavimas, rizika po irinotekano vartojimo dėl SN-38 kaupimosi. Remiantis kelių metaanalizių duomenimis, rizika yra didesnė pacientams, vartojantiems &gt; 180 mg/m² irinotekano dozes (žr. 4.4 skyrių). </w:t>
      </w:r>
    </w:p>
    <w:p w14:paraId="71D0C917" w14:textId="77777777" w:rsidR="00637F5B" w:rsidRPr="00E14983" w:rsidRDefault="00637F5B" w:rsidP="006A277F">
      <w:pPr>
        <w:spacing w:after="0" w:line="240" w:lineRule="auto"/>
        <w:rPr>
          <w:rFonts w:ascii="Times New Roman" w:eastAsia="Times New Roman" w:hAnsi="Times New Roman" w:cs="Times New Roman"/>
          <w:lang w:val="lt-LT"/>
        </w:rPr>
      </w:pPr>
    </w:p>
    <w:p w14:paraId="47D025CB" w14:textId="7C5C08F6" w:rsidR="00F12E1D" w:rsidRPr="00E14983" w:rsidRDefault="00F12E1D" w:rsidP="006A277F">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Norint nustatyti pacientus, kuriems yra padidėjusi sunkios neutropenijos ir viduriavimo rizika, galima naudoti UGT1A1 genotipavimą. Homozigotinis UGT1A1*28 </w:t>
      </w:r>
      <w:r w:rsidR="00A001C7" w:rsidRPr="00E14983">
        <w:rPr>
          <w:rFonts w:ascii="Times New Roman" w:eastAsia="Times New Roman" w:hAnsi="Times New Roman" w:cs="Times New Roman"/>
          <w:lang w:val="lt-LT"/>
        </w:rPr>
        <w:t>nustatomas</w:t>
      </w:r>
      <w:r w:rsidRPr="00E14983">
        <w:rPr>
          <w:rFonts w:ascii="Times New Roman" w:eastAsia="Times New Roman" w:hAnsi="Times New Roman" w:cs="Times New Roman"/>
          <w:lang w:val="lt-LT"/>
        </w:rPr>
        <w:t xml:space="preserve"> 8</w:t>
      </w:r>
      <w:r w:rsidR="00A001C7"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 xml:space="preserve">20 % Europos, Afrikos, Artimųjų Rytų ir Lotynų Amerikos </w:t>
      </w:r>
      <w:r w:rsidR="00A001C7" w:rsidRPr="00E14983">
        <w:rPr>
          <w:rFonts w:ascii="Times New Roman" w:eastAsia="Times New Roman" w:hAnsi="Times New Roman" w:cs="Times New Roman"/>
          <w:lang w:val="lt-LT"/>
        </w:rPr>
        <w:t>populiacijų</w:t>
      </w:r>
      <w:r w:rsidRPr="00E14983">
        <w:rPr>
          <w:rFonts w:ascii="Times New Roman" w:eastAsia="Times New Roman" w:hAnsi="Times New Roman" w:cs="Times New Roman"/>
          <w:lang w:val="lt-LT"/>
        </w:rPr>
        <w:t>. *6 varianto šiose populiacijose beveik nėra. Rytų Azijos populiacijoje *28/*28 dažnis yra apie 1</w:t>
      </w:r>
      <w:r w:rsidR="00A001C7"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4</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xml:space="preserve">%, </w:t>
      </w:r>
      <w:r w:rsidR="00A001C7" w:rsidRPr="00E14983">
        <w:rPr>
          <w:rFonts w:ascii="Times New Roman" w:eastAsia="Times New Roman" w:hAnsi="Times New Roman" w:cs="Times New Roman"/>
          <w:lang w:val="lt-LT"/>
        </w:rPr>
        <w:t xml:space="preserve">*6/*28 – </w:t>
      </w:r>
      <w:r w:rsidRPr="00E14983">
        <w:rPr>
          <w:rFonts w:ascii="Times New Roman" w:eastAsia="Times New Roman" w:hAnsi="Times New Roman" w:cs="Times New Roman"/>
          <w:lang w:val="lt-LT"/>
        </w:rPr>
        <w:t>3</w:t>
      </w:r>
      <w:r w:rsidR="00A001C7"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8</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w:t>
      </w:r>
      <w:r w:rsidR="00A001C7" w:rsidRPr="00E14983">
        <w:rPr>
          <w:rFonts w:ascii="Times New Roman" w:eastAsia="Times New Roman" w:hAnsi="Times New Roman" w:cs="Times New Roman"/>
          <w:lang w:val="lt-LT"/>
        </w:rPr>
        <w:t>, o *6/*6 –</w:t>
      </w:r>
      <w:r w:rsidRPr="00E14983">
        <w:rPr>
          <w:rFonts w:ascii="Times New Roman" w:eastAsia="Times New Roman" w:hAnsi="Times New Roman" w:cs="Times New Roman"/>
          <w:lang w:val="lt-LT"/>
        </w:rPr>
        <w:t xml:space="preserve"> 2</w:t>
      </w:r>
      <w:r w:rsidR="00A001C7"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6</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Centrinės ir Pietų Azijos populiacijoje *28/*28 dažnis yra apie 17</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 xml:space="preserve">%, </w:t>
      </w:r>
      <w:r w:rsidR="00A001C7" w:rsidRPr="00E14983">
        <w:rPr>
          <w:rFonts w:ascii="Times New Roman" w:eastAsia="Times New Roman" w:hAnsi="Times New Roman" w:cs="Times New Roman"/>
          <w:lang w:val="lt-LT"/>
        </w:rPr>
        <w:t xml:space="preserve">*6/*28 – </w:t>
      </w:r>
      <w:r w:rsidRPr="00E14983">
        <w:rPr>
          <w:rFonts w:ascii="Times New Roman" w:eastAsia="Times New Roman" w:hAnsi="Times New Roman" w:cs="Times New Roman"/>
          <w:lang w:val="lt-LT"/>
        </w:rPr>
        <w:t>4</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w:t>
      </w:r>
      <w:r w:rsidR="00A001C7" w:rsidRPr="00E14983">
        <w:rPr>
          <w:rFonts w:ascii="Times New Roman" w:eastAsia="Times New Roman" w:hAnsi="Times New Roman" w:cs="Times New Roman"/>
          <w:lang w:val="lt-LT"/>
        </w:rPr>
        <w:t>, o *6/*6 –</w:t>
      </w:r>
      <w:r w:rsidRPr="00E14983">
        <w:rPr>
          <w:rFonts w:ascii="Times New Roman" w:eastAsia="Times New Roman" w:hAnsi="Times New Roman" w:cs="Times New Roman"/>
          <w:lang w:val="lt-LT"/>
        </w:rPr>
        <w:t xml:space="preserve"> 0,2</w:t>
      </w:r>
      <w:r w:rsidR="00A001C7" w:rsidRPr="00E14983">
        <w:rPr>
          <w:rFonts w:ascii="Times New Roman" w:eastAsia="Times New Roman" w:hAnsi="Times New Roman" w:cs="Times New Roman"/>
          <w:lang w:val="lt-LT"/>
        </w:rPr>
        <w:t> </w:t>
      </w:r>
      <w:r w:rsidRPr="00E14983">
        <w:rPr>
          <w:rFonts w:ascii="Times New Roman" w:eastAsia="Times New Roman" w:hAnsi="Times New Roman" w:cs="Times New Roman"/>
          <w:lang w:val="lt-LT"/>
        </w:rPr>
        <w:t>%</w:t>
      </w:r>
      <w:r w:rsidR="00A001C7" w:rsidRPr="00E14983">
        <w:rPr>
          <w:rFonts w:ascii="Times New Roman" w:eastAsia="Times New Roman" w:hAnsi="Times New Roman" w:cs="Times New Roman"/>
          <w:lang w:val="lt-LT"/>
        </w:rPr>
        <w:t>.</w:t>
      </w:r>
    </w:p>
    <w:p w14:paraId="359F0955" w14:textId="77777777" w:rsidR="002D5224" w:rsidRPr="00E14983" w:rsidRDefault="002D5224" w:rsidP="00DD3E4C">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2A292DF6"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5.3</w:t>
      </w:r>
      <w:r w:rsidRPr="00E14983">
        <w:rPr>
          <w:rFonts w:ascii="Times New Roman" w:eastAsia="Times New Roman" w:hAnsi="Times New Roman" w:cs="Times New Roman"/>
          <w:b/>
          <w:bCs/>
          <w:color w:val="000000"/>
          <w:lang w:val="lt-LT"/>
        </w:rPr>
        <w:tab/>
        <w:t>Ikiklinikinių saugumo tyrimų duomenys</w:t>
      </w:r>
    </w:p>
    <w:p w14:paraId="08D50352"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EED292B"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Nustatyta, kad </w:t>
      </w:r>
      <w:r w:rsidRPr="00E14983">
        <w:rPr>
          <w:rFonts w:ascii="Times New Roman" w:eastAsia="Times New Roman" w:hAnsi="Times New Roman" w:cs="Times New Roman"/>
          <w:i/>
          <w:color w:val="000000"/>
          <w:lang w:val="lt-LT"/>
        </w:rPr>
        <w:t>in vitro</w:t>
      </w:r>
      <w:r w:rsidRPr="00E14983">
        <w:rPr>
          <w:rFonts w:ascii="Times New Roman" w:eastAsia="Times New Roman" w:hAnsi="Times New Roman" w:cs="Times New Roman"/>
          <w:color w:val="000000"/>
          <w:lang w:val="lt-LT"/>
        </w:rPr>
        <w:t xml:space="preserve"> chromosomų aberacijos CHO ląstelėse ir </w:t>
      </w:r>
      <w:r w:rsidRPr="00E14983">
        <w:rPr>
          <w:rFonts w:ascii="Times New Roman" w:eastAsia="Times New Roman" w:hAnsi="Times New Roman" w:cs="Times New Roman"/>
          <w:i/>
          <w:color w:val="000000"/>
          <w:lang w:val="lt-LT"/>
        </w:rPr>
        <w:t>in vivo</w:t>
      </w:r>
      <w:r w:rsidRPr="00E14983">
        <w:rPr>
          <w:rFonts w:ascii="Times New Roman" w:eastAsia="Times New Roman" w:hAnsi="Times New Roman" w:cs="Times New Roman"/>
          <w:color w:val="000000"/>
          <w:lang w:val="lt-LT"/>
        </w:rPr>
        <w:t xml:space="preserve"> pelių mikrobranduolių tyrimų metu irinotekanas ir SN-38 sukėlė mutageninį poveikį. </w:t>
      </w:r>
    </w:p>
    <w:p w14:paraId="1B51424C"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176911D6"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Tačiau atlikus Ames tyrimą šiuose preparatuose nebuvo aptikta jokio mutageninio potencialo.</w:t>
      </w:r>
    </w:p>
    <w:p w14:paraId="34DE095F"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51A580E"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Žiurkėms kartą per savaitę 13 savaičių duodant maksimalią 150 mg/m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 xml:space="preserve"> dozę (kuri yra mažiau nei pusė žmogui rekomenduojamos dozės) praėjus 91 savaitei po gydymo nebuvo pastebėta jokių su gydymu susijusių navikų.</w:t>
      </w:r>
    </w:p>
    <w:p w14:paraId="1EB0E30F"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0303855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Vienkartinės ir kartotinių dozių toksinis poveikis tirtas pelėms, žiurkėms ir šunims. Stipriausias toksinis poveikis pasireiškė kraujodarai ir limfinei sistemai. </w:t>
      </w:r>
      <w:r w:rsidRPr="00E14983">
        <w:rPr>
          <w:rFonts w:ascii="Times New Roman" w:eastAsia="Times New Roman" w:hAnsi="Times New Roman" w:cs="Times New Roman"/>
          <w:color w:val="000000"/>
          <w:lang w:val="lt-LT"/>
        </w:rPr>
        <w:t xml:space="preserve">Šunims buvo registruotas vėlyvas viduriavimas, susijęs su žarnyno gleivinės atrofija ir židinine nekroze. </w:t>
      </w:r>
      <w:r w:rsidRPr="00E14983">
        <w:rPr>
          <w:rFonts w:ascii="Times New Roman" w:eastAsia="Times New Roman" w:hAnsi="Times New Roman" w:cs="Times New Roman"/>
          <w:lang w:val="lt-LT"/>
        </w:rPr>
        <w:t>Jiems pasireiškė ir alopecija</w:t>
      </w:r>
      <w:r w:rsidRPr="00E14983">
        <w:rPr>
          <w:rFonts w:ascii="Times New Roman" w:eastAsia="Times New Roman" w:hAnsi="Times New Roman" w:cs="Times New Roman"/>
          <w:color w:val="000000"/>
          <w:lang w:val="lt-LT"/>
        </w:rPr>
        <w:t>.</w:t>
      </w:r>
    </w:p>
    <w:p w14:paraId="391F8B7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0A3514F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Šių poveikių stiprumas priklausė nuo dozės ir jie buvo laikini.</w:t>
      </w:r>
    </w:p>
    <w:p w14:paraId="31713672" w14:textId="77777777" w:rsidR="009500C0" w:rsidRPr="00E14983" w:rsidRDefault="009500C0" w:rsidP="009500C0">
      <w:pPr>
        <w:spacing w:after="0" w:line="240" w:lineRule="auto"/>
        <w:rPr>
          <w:rFonts w:ascii="Times New Roman" w:eastAsia="Times New Roman" w:hAnsi="Times New Roman" w:cs="Times New Roman"/>
          <w:lang w:val="lt-LT"/>
        </w:rPr>
      </w:pPr>
    </w:p>
    <w:p w14:paraId="5F428589" w14:textId="77777777" w:rsidR="009500C0" w:rsidRPr="00E14983" w:rsidRDefault="009500C0" w:rsidP="009500C0">
      <w:pPr>
        <w:spacing w:after="0" w:line="240" w:lineRule="auto"/>
        <w:rPr>
          <w:rFonts w:ascii="Times New Roman" w:eastAsia="Times New Roman" w:hAnsi="Times New Roman" w:cs="Times New Roman"/>
          <w:u w:val="single"/>
          <w:lang w:val="lt-LT"/>
        </w:rPr>
      </w:pPr>
      <w:r w:rsidRPr="00E14983">
        <w:rPr>
          <w:rFonts w:ascii="Times New Roman" w:eastAsia="Times New Roman" w:hAnsi="Times New Roman" w:cs="Times New Roman"/>
          <w:u w:val="single"/>
          <w:lang w:val="lt-LT"/>
        </w:rPr>
        <w:t>Reprodukcija</w:t>
      </w:r>
    </w:p>
    <w:p w14:paraId="1609B59C"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Irinotekanas sukėlė teratogeninį poveikį žiurkėms ir triušiams vartojant mažesnes dozes nei terapinės žmonėms skiriamos dozės. Irinotekano vartojusių žiurkių jauniklių, turėjusių išorinių sklaidos trūkumų, vaisingumas buvo sumažėjęs. Morfologiškai normaliems jaunikliams tokio poveikio stebėta nebuvo. Vaikingoms žiurkėms stebėtas placentinio laikotarpio svorio sumažėjimas, o palikuonims – sumažėjęs vaisiaus gyvybingumas ir elgsenos sutrikimų padažnėjimas.</w:t>
      </w:r>
    </w:p>
    <w:p w14:paraId="0D88D72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55B380F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626820C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lang w:val="lt-LT"/>
        </w:rPr>
      </w:pPr>
      <w:r w:rsidRPr="00E14983">
        <w:rPr>
          <w:rFonts w:ascii="Times New Roman" w:eastAsia="Times New Roman" w:hAnsi="Times New Roman" w:cs="Times New Roman"/>
          <w:b/>
          <w:bCs/>
          <w:color w:val="000000"/>
          <w:lang w:val="lt-LT"/>
        </w:rPr>
        <w:t xml:space="preserve">6. </w:t>
      </w:r>
      <w:r w:rsidRPr="00E14983">
        <w:rPr>
          <w:rFonts w:ascii="Times New Roman" w:eastAsia="Times New Roman" w:hAnsi="Times New Roman" w:cs="Times New Roman"/>
          <w:b/>
          <w:bCs/>
          <w:color w:val="000000"/>
          <w:lang w:val="lt-LT"/>
        </w:rPr>
        <w:tab/>
        <w:t>FARMACINĖ INFORMACIJA</w:t>
      </w:r>
    </w:p>
    <w:p w14:paraId="4FBD8AD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358353A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6.1</w:t>
      </w:r>
      <w:r w:rsidRPr="00E14983">
        <w:rPr>
          <w:rFonts w:ascii="Times New Roman" w:eastAsia="Times New Roman" w:hAnsi="Times New Roman" w:cs="Times New Roman"/>
          <w:b/>
          <w:bCs/>
          <w:color w:val="000000"/>
          <w:lang w:val="lt-LT"/>
        </w:rPr>
        <w:tab/>
        <w:t>Pagalbinių medžiagų sąrašas</w:t>
      </w:r>
    </w:p>
    <w:p w14:paraId="0A2E3FA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B4CFD2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Sorbitolis (E420)</w:t>
      </w:r>
    </w:p>
    <w:p w14:paraId="4397A07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Pieno rūgštis</w:t>
      </w:r>
    </w:p>
    <w:p w14:paraId="2AF31DD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Natrio hidroksidas (pH </w:t>
      </w:r>
      <w:r w:rsidRPr="00E14983">
        <w:rPr>
          <w:rFonts w:ascii="Times New Roman" w:eastAsia="Times New Roman" w:hAnsi="Times New Roman" w:cs="Times New Roman"/>
          <w:lang w:val="lt-LT"/>
        </w:rPr>
        <w:t>reguliavimui</w:t>
      </w:r>
      <w:r w:rsidRPr="00E14983">
        <w:rPr>
          <w:rFonts w:ascii="Times New Roman" w:eastAsia="Times New Roman" w:hAnsi="Times New Roman" w:cs="Times New Roman"/>
          <w:color w:val="000000"/>
          <w:lang w:val="lt-LT"/>
        </w:rPr>
        <w:t>)</w:t>
      </w:r>
    </w:p>
    <w:p w14:paraId="4BCD891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lang w:val="lt-LT"/>
        </w:rPr>
        <w:t>Vandenilio chlorido rūgštis (pH reguliavimui)</w:t>
      </w:r>
    </w:p>
    <w:p w14:paraId="27102C9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Injekcinis vanduo </w:t>
      </w:r>
    </w:p>
    <w:p w14:paraId="328B676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90AF6B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6.2</w:t>
      </w:r>
      <w:r w:rsidRPr="00E14983">
        <w:rPr>
          <w:rFonts w:ascii="Times New Roman" w:eastAsia="Times New Roman" w:hAnsi="Times New Roman" w:cs="Times New Roman"/>
          <w:b/>
          <w:bCs/>
          <w:color w:val="000000"/>
          <w:lang w:val="lt-LT"/>
        </w:rPr>
        <w:tab/>
        <w:t>Nesuderinamumas</w:t>
      </w:r>
    </w:p>
    <w:p w14:paraId="24A7C6F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387B3B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Šio vaistinio preparato negalima maišyti su kitais, išskyrus nurodytus 6.6 skyriuje</w:t>
      </w:r>
      <w:r w:rsidRPr="00E14983">
        <w:rPr>
          <w:rFonts w:ascii="Times New Roman" w:eastAsia="Times New Roman" w:hAnsi="Times New Roman" w:cs="Times New Roman"/>
          <w:color w:val="000000"/>
          <w:lang w:val="lt-LT"/>
        </w:rPr>
        <w:t xml:space="preserve"> (taip pat žr. 4.2 skyrių).</w:t>
      </w:r>
    </w:p>
    <w:p w14:paraId="180634B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41223EE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6.3</w:t>
      </w:r>
      <w:r w:rsidRPr="00E14983">
        <w:rPr>
          <w:rFonts w:ascii="Times New Roman" w:eastAsia="Times New Roman" w:hAnsi="Times New Roman" w:cs="Times New Roman"/>
          <w:b/>
          <w:bCs/>
          <w:color w:val="000000"/>
          <w:lang w:val="lt-LT"/>
        </w:rPr>
        <w:tab/>
        <w:t>Tinkamumo laikas</w:t>
      </w:r>
    </w:p>
    <w:p w14:paraId="59D3201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3840BB3" w14:textId="77777777" w:rsidR="009500C0" w:rsidRPr="00E14983" w:rsidRDefault="009500C0" w:rsidP="009500C0">
      <w:pPr>
        <w:spacing w:after="0" w:line="240" w:lineRule="auto"/>
        <w:rPr>
          <w:rFonts w:ascii="Times New Roman" w:eastAsia="Times New Roman" w:hAnsi="Times New Roman" w:cs="Times New Roman"/>
          <w:lang w:val="lt-LT" w:eastAsia="en-GB"/>
        </w:rPr>
      </w:pPr>
      <w:r w:rsidRPr="00E14983">
        <w:rPr>
          <w:rFonts w:ascii="Times New Roman" w:eastAsia="Times New Roman" w:hAnsi="Times New Roman" w:cs="Times New Roman"/>
          <w:lang w:val="lt-LT" w:eastAsia="en-GB"/>
        </w:rPr>
        <w:t>Neatidarytų flakonų tinkamumo laikas yra 3 metai.</w:t>
      </w:r>
    </w:p>
    <w:p w14:paraId="4BC17B9D" w14:textId="77777777" w:rsidR="009500C0" w:rsidRPr="00E14983" w:rsidRDefault="009500C0" w:rsidP="009500C0">
      <w:pPr>
        <w:spacing w:after="0" w:line="240" w:lineRule="auto"/>
        <w:rPr>
          <w:rFonts w:ascii="Times New Roman" w:eastAsia="Times New Roman" w:hAnsi="Times New Roman" w:cs="Times New Roman"/>
          <w:lang w:val="lt-LT" w:eastAsia="en-GB"/>
        </w:rPr>
      </w:pPr>
    </w:p>
    <w:p w14:paraId="58B0089B" w14:textId="1CE5DF24" w:rsidR="009500C0" w:rsidRPr="00E14983" w:rsidRDefault="009500C0" w:rsidP="009500C0">
      <w:pPr>
        <w:spacing w:after="0" w:line="240" w:lineRule="auto"/>
        <w:rPr>
          <w:rFonts w:ascii="Times New Roman" w:eastAsia="Times New Roman" w:hAnsi="Times New Roman" w:cs="Times New Roman"/>
          <w:lang w:val="lt-LT" w:eastAsia="en-GB"/>
        </w:rPr>
      </w:pPr>
      <w:r w:rsidRPr="00E14983">
        <w:rPr>
          <w:rFonts w:ascii="Times New Roman" w:eastAsia="Times New Roman" w:hAnsi="Times New Roman" w:cs="Times New Roman"/>
          <w:lang w:val="lt-LT" w:eastAsia="en-GB"/>
        </w:rPr>
        <w:t>Irinotekano tirpalas, kai jo ruošimui naudojami infuziniai tirpalai (0,9</w:t>
      </w:r>
      <w:r w:rsidR="003A543F"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w:t>
      </w:r>
      <w:r w:rsidR="003A543F"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(m/V) natrio chlorido tirpalas ir 5</w:t>
      </w:r>
      <w:r w:rsidR="003A543F"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w:t>
      </w:r>
      <w:r w:rsidR="003A543F"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 xml:space="preserve">(m/V) gliukozės tirpalas), fiziniu ir cheminiu požiūriu išlieka stabilus iki 28 dienų, jeigu yra laikomas MTPE ar PVC talpyklėse 5 °C arba 25 °C temperatūroje ir nuo šviesos apsaugotoje vietoje. Nustatyta, kad nuo šviesos neapsaugotoje vietoje laikomas tirpalas fiziniu ir cheminiu požiūriu išlieka stabilus iki 3 dienų. </w:t>
      </w:r>
    </w:p>
    <w:p w14:paraId="74470297" w14:textId="39AE16FC"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Mikrobiologiniu požiūriu, praskiestą tirpalą reikia vartoti nedelsiant. Jeigu vaistinis preparatas nevartojamas iš karto, už laikymo trukmę ir sąlygas iki vartojimo atsako vartotojas. Paprastai tirpalas negali būti laikomas ilgiau kaip 24</w:t>
      </w:r>
      <w:r w:rsidR="003A543F"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 xml:space="preserve">val. 2 °C </w:t>
      </w:r>
      <w:r w:rsidRPr="00E14983">
        <w:rPr>
          <w:rFonts w:ascii="Times New Roman" w:eastAsia="Times New Roman" w:hAnsi="Times New Roman" w:cs="Times New Roman"/>
          <w:color w:val="000000"/>
          <w:lang w:val="lt-LT"/>
        </w:rPr>
        <w:noBreakHyphen/>
        <w:t>8 °C temperatūroje, nebent buvo skiesta kontroliuojamomis ir patvirtintomis aseptinėmis sąlygomis.</w:t>
      </w:r>
    </w:p>
    <w:p w14:paraId="633B445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73BA274E"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6.4</w:t>
      </w:r>
      <w:r w:rsidRPr="00E14983">
        <w:rPr>
          <w:rFonts w:ascii="Times New Roman" w:eastAsia="Times New Roman" w:hAnsi="Times New Roman" w:cs="Times New Roman"/>
          <w:b/>
          <w:bCs/>
          <w:color w:val="000000"/>
          <w:lang w:val="lt-LT"/>
        </w:rPr>
        <w:tab/>
        <w:t>Specialios laikymo sąlygos</w:t>
      </w:r>
    </w:p>
    <w:p w14:paraId="4782C9C8"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F83CD9A" w14:textId="1545B5F3" w:rsidR="009500C0" w:rsidRPr="00E14983" w:rsidRDefault="009500C0" w:rsidP="00ED157C">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Šio vaistinio preparato laikymui specialių temperatūros sąlygų nereikalaujama. Laikyti gamintojo pakuotėje, kad</w:t>
      </w:r>
      <w:r w:rsidR="0024180B" w:rsidRPr="00E14983">
        <w:rPr>
          <w:rFonts w:ascii="Times New Roman" w:eastAsia="Times New Roman" w:hAnsi="Times New Roman" w:cs="Times New Roman"/>
          <w:color w:val="000000"/>
          <w:lang w:val="lt-LT"/>
        </w:rPr>
        <w:t xml:space="preserve"> vaistinis</w:t>
      </w:r>
      <w:r w:rsidRPr="00E14983">
        <w:rPr>
          <w:rFonts w:ascii="Times New Roman" w:eastAsia="Times New Roman" w:hAnsi="Times New Roman" w:cs="Times New Roman"/>
          <w:color w:val="000000"/>
          <w:lang w:val="lt-LT"/>
        </w:rPr>
        <w:t xml:space="preserve"> preparatas būtų apsaugotas nuo šviesos.</w:t>
      </w:r>
    </w:p>
    <w:p w14:paraId="7E7385E0"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Negalima užšaldyti.</w:t>
      </w:r>
    </w:p>
    <w:p w14:paraId="30E3E92C"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2750E2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Praskiesto vaistinio preparato laikymo sąlygos pateikiamos 6.3 skyriuje.</w:t>
      </w:r>
    </w:p>
    <w:p w14:paraId="4FABFD5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1422443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snapToGrid w:val="0"/>
          <w:lang w:val="lt-LT"/>
        </w:rPr>
      </w:pPr>
      <w:r w:rsidRPr="00E14983">
        <w:rPr>
          <w:rFonts w:ascii="Times New Roman" w:eastAsia="Times New Roman" w:hAnsi="Times New Roman" w:cs="Times New Roman"/>
          <w:b/>
          <w:snapToGrid w:val="0"/>
          <w:lang w:val="lt-LT"/>
        </w:rPr>
        <w:t>6.5</w:t>
      </w:r>
      <w:r w:rsidRPr="00E14983">
        <w:rPr>
          <w:rFonts w:ascii="Times New Roman" w:eastAsia="Times New Roman" w:hAnsi="Times New Roman" w:cs="Times New Roman"/>
          <w:b/>
          <w:snapToGrid w:val="0"/>
          <w:lang w:val="lt-LT"/>
        </w:rPr>
        <w:tab/>
        <w:t>Talpyklės pobūdis ir jos turinys</w:t>
      </w:r>
      <w:r w:rsidRPr="00E14983">
        <w:rPr>
          <w:rFonts w:ascii="Times New Roman" w:eastAsia="Times New Roman" w:hAnsi="Times New Roman" w:cs="Times New Roman"/>
          <w:b/>
          <w:bCs/>
          <w:snapToGrid w:val="0"/>
          <w:lang w:val="lt-LT"/>
        </w:rPr>
        <w:t xml:space="preserve"> </w:t>
      </w:r>
    </w:p>
    <w:p w14:paraId="01A02E3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p>
    <w:p w14:paraId="79193F2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iCs/>
          <w:color w:val="000000"/>
          <w:lang w:val="lt-LT"/>
        </w:rPr>
        <w:t>2 ml</w:t>
      </w:r>
    </w:p>
    <w:p w14:paraId="5898B933" w14:textId="77777777" w:rsidR="009500C0" w:rsidRPr="00E14983" w:rsidRDefault="009500C0" w:rsidP="00B22D7E">
      <w:pPr>
        <w:shd w:val="clear" w:color="auto" w:fill="FFFFFF"/>
        <w:spacing w:after="0" w:line="240" w:lineRule="auto"/>
        <w:rPr>
          <w:rFonts w:ascii="Times New Roman" w:eastAsia="Times New Roman" w:hAnsi="Times New Roman" w:cs="Times New Roman"/>
          <w:shd w:val="clear" w:color="auto" w:fill="FFFFFF"/>
          <w:lang w:val="lt-LT" w:eastAsia="en-GB"/>
        </w:rPr>
      </w:pPr>
      <w:r w:rsidRPr="00E14983">
        <w:rPr>
          <w:rFonts w:ascii="Times New Roman" w:eastAsia="Times New Roman" w:hAnsi="Times New Roman" w:cs="Times New Roman"/>
          <w:shd w:val="clear" w:color="auto" w:fill="FFFFFF"/>
          <w:lang w:val="lt-LT" w:eastAsia="en-GB"/>
        </w:rPr>
        <w:t>Koncentratas infuziniam tirpalui tiekiamas 5 ml I tipo gintaro spalvos stiklo flakone su pilku chlorobutilo gumos kamščiu ir oranžiniu aliumininiu lengvai nuplėšiamu gaubteliu.</w:t>
      </w:r>
    </w:p>
    <w:p w14:paraId="7605AC7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shd w:val="clear" w:color="auto" w:fill="FFFFFF"/>
          <w:lang w:val="lt-LT" w:eastAsia="en-GB"/>
        </w:rPr>
      </w:pPr>
    </w:p>
    <w:p w14:paraId="52B67AB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iCs/>
          <w:color w:val="000000"/>
          <w:lang w:val="lt-LT"/>
        </w:rPr>
        <w:t>5 ml</w:t>
      </w:r>
    </w:p>
    <w:p w14:paraId="3D8EB9E3" w14:textId="77777777" w:rsidR="009500C0" w:rsidRPr="00E14983" w:rsidRDefault="009500C0" w:rsidP="00B22D7E">
      <w:pPr>
        <w:shd w:val="clear" w:color="auto" w:fill="FFFFFF"/>
        <w:spacing w:after="0" w:line="240" w:lineRule="auto"/>
        <w:rPr>
          <w:rFonts w:ascii="Times New Roman" w:eastAsia="Times New Roman" w:hAnsi="Times New Roman" w:cs="Times New Roman"/>
          <w:shd w:val="clear" w:color="auto" w:fill="FFFFFF"/>
          <w:lang w:val="lt-LT" w:eastAsia="en-GB"/>
        </w:rPr>
      </w:pPr>
      <w:r w:rsidRPr="00E14983">
        <w:rPr>
          <w:rFonts w:ascii="Times New Roman" w:eastAsia="Times New Roman" w:hAnsi="Times New Roman" w:cs="Times New Roman"/>
          <w:shd w:val="clear" w:color="auto" w:fill="FFFFFF"/>
          <w:lang w:val="lt-LT" w:eastAsia="en-GB"/>
        </w:rPr>
        <w:t>Koncentratas infuziniam tirpalui tiekiamas 5 ml I tipo gintaro spalvos stiklo flakone su pilku chlorobutilo gumos kamščiu ir raudonu aliumininiu lengvai nuplėšiamu gaubteliu.</w:t>
      </w:r>
    </w:p>
    <w:p w14:paraId="277E198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shd w:val="clear" w:color="auto" w:fill="FFFFFF"/>
          <w:lang w:val="lt-LT" w:eastAsia="en-GB"/>
        </w:rPr>
      </w:pPr>
    </w:p>
    <w:p w14:paraId="2BA5FE4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iCs/>
          <w:color w:val="000000"/>
          <w:lang w:val="lt-LT"/>
        </w:rPr>
        <w:t>15 ml</w:t>
      </w:r>
    </w:p>
    <w:p w14:paraId="1A18A00B" w14:textId="77777777" w:rsidR="009500C0" w:rsidRPr="00E14983" w:rsidRDefault="009500C0" w:rsidP="00B22D7E">
      <w:pPr>
        <w:shd w:val="clear" w:color="auto" w:fill="FFFFFF"/>
        <w:spacing w:after="0" w:line="240" w:lineRule="auto"/>
        <w:rPr>
          <w:rFonts w:ascii="Times New Roman" w:eastAsia="Times New Roman" w:hAnsi="Times New Roman" w:cs="Times New Roman"/>
          <w:shd w:val="clear" w:color="auto" w:fill="FFFFFF"/>
          <w:lang w:val="lt-LT" w:eastAsia="en-GB"/>
        </w:rPr>
      </w:pPr>
      <w:r w:rsidRPr="00E14983">
        <w:rPr>
          <w:rFonts w:ascii="Times New Roman" w:eastAsia="Times New Roman" w:hAnsi="Times New Roman" w:cs="Times New Roman"/>
          <w:shd w:val="clear" w:color="auto" w:fill="FFFFFF"/>
          <w:lang w:val="lt-LT" w:eastAsia="en-GB"/>
        </w:rPr>
        <w:t>Koncentratas infuziniam tirpalui tiekiamas 20 ml I tipo gintaro spalvos stiklo flakone su pilku chlorobutilo gumos kamščiu ir oranžiniu aliumininiu lengvai nuplėšiamu gaubteliu.</w:t>
      </w:r>
    </w:p>
    <w:p w14:paraId="3DC08CF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shd w:val="clear" w:color="auto" w:fill="FFFFFF"/>
          <w:lang w:val="lt-LT" w:eastAsia="en-GB"/>
        </w:rPr>
      </w:pPr>
    </w:p>
    <w:p w14:paraId="1EEC470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iCs/>
          <w:color w:val="000000"/>
          <w:lang w:val="lt-LT"/>
        </w:rPr>
        <w:t>25 ml</w:t>
      </w:r>
    </w:p>
    <w:p w14:paraId="696CCD73" w14:textId="6F177350" w:rsidR="009500C0" w:rsidRPr="00E14983" w:rsidRDefault="009500C0" w:rsidP="00B22D7E">
      <w:pPr>
        <w:shd w:val="clear" w:color="auto" w:fill="FFFFFF"/>
        <w:spacing w:after="0" w:line="240" w:lineRule="auto"/>
        <w:rPr>
          <w:rFonts w:ascii="Times New Roman" w:eastAsia="Times New Roman" w:hAnsi="Times New Roman" w:cs="Times New Roman"/>
          <w:shd w:val="clear" w:color="auto" w:fill="FFFFFF"/>
          <w:lang w:val="lt-LT" w:eastAsia="en-GB"/>
        </w:rPr>
      </w:pPr>
      <w:r w:rsidRPr="00E14983">
        <w:rPr>
          <w:rFonts w:ascii="Times New Roman" w:eastAsia="Times New Roman" w:hAnsi="Times New Roman" w:cs="Times New Roman"/>
          <w:shd w:val="clear" w:color="auto" w:fill="FFFFFF"/>
          <w:lang w:val="lt-LT" w:eastAsia="en-GB"/>
        </w:rPr>
        <w:t>Koncentratas infuziniam tirpalui tiekiamas 30 ml I tipo gintaro spalvos stiklo flakone su pilku chlorobutilo gumos kamščiu ir oranžiniu aliumininiu lengvai nuplėšiamu gaubteliu.</w:t>
      </w:r>
    </w:p>
    <w:p w14:paraId="71AFBB92" w14:textId="7DBBC573" w:rsidR="00207E98" w:rsidRPr="00E14983" w:rsidRDefault="00207E98" w:rsidP="00B22D7E">
      <w:pPr>
        <w:shd w:val="clear" w:color="auto" w:fill="FFFFFF"/>
        <w:spacing w:after="0" w:line="240" w:lineRule="auto"/>
        <w:jc w:val="both"/>
        <w:rPr>
          <w:rFonts w:ascii="Times New Roman" w:hAnsi="Times New Roman"/>
          <w:shd w:val="clear" w:color="auto" w:fill="FFFFFF"/>
          <w:lang w:val="lt-LT"/>
        </w:rPr>
      </w:pPr>
    </w:p>
    <w:p w14:paraId="43B2233E" w14:textId="49B4CB72" w:rsidR="00207E98" w:rsidRPr="00E14983" w:rsidRDefault="00207E98" w:rsidP="00207E98">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iCs/>
          <w:color w:val="000000"/>
          <w:lang w:val="lt-LT"/>
        </w:rPr>
      </w:pPr>
      <w:r w:rsidRPr="00E14983">
        <w:rPr>
          <w:rFonts w:ascii="Times New Roman" w:eastAsia="Times New Roman" w:hAnsi="Times New Roman" w:cs="Times New Roman"/>
          <w:iCs/>
          <w:color w:val="000000"/>
          <w:lang w:val="lt-LT"/>
        </w:rPr>
        <w:t>50 ml</w:t>
      </w:r>
    </w:p>
    <w:p w14:paraId="2792BEE5" w14:textId="218823C8" w:rsidR="00207E98" w:rsidRPr="00E14983" w:rsidRDefault="00207E98" w:rsidP="0067103C">
      <w:pPr>
        <w:shd w:val="clear" w:color="auto" w:fill="FFFFFF"/>
        <w:spacing w:after="0" w:line="240" w:lineRule="auto"/>
        <w:rPr>
          <w:rFonts w:ascii="Times New Roman" w:eastAsia="Times New Roman" w:hAnsi="Times New Roman" w:cs="Times New Roman"/>
          <w:shd w:val="clear" w:color="auto" w:fill="FFFFFF"/>
          <w:lang w:val="lt-LT" w:eastAsia="en-GB"/>
        </w:rPr>
      </w:pPr>
      <w:r w:rsidRPr="00E14983">
        <w:rPr>
          <w:rFonts w:ascii="Times New Roman" w:eastAsia="Times New Roman" w:hAnsi="Times New Roman" w:cs="Times New Roman"/>
          <w:shd w:val="clear" w:color="auto" w:fill="FFFFFF"/>
          <w:lang w:val="lt-LT" w:eastAsia="en-GB"/>
        </w:rPr>
        <w:t xml:space="preserve">Koncentratas infuziniam tirpalui tiekiamas 50 ml I tipo </w:t>
      </w:r>
      <w:r w:rsidR="007C6C99" w:rsidRPr="00E14983">
        <w:rPr>
          <w:rFonts w:ascii="Times New Roman" w:eastAsia="Times New Roman" w:hAnsi="Times New Roman" w:cs="Times New Roman"/>
          <w:shd w:val="clear" w:color="auto" w:fill="FFFFFF"/>
          <w:lang w:val="lt-LT" w:eastAsia="en-GB"/>
        </w:rPr>
        <w:t xml:space="preserve">(pagal USP) </w:t>
      </w:r>
      <w:r w:rsidRPr="00E14983">
        <w:rPr>
          <w:rFonts w:ascii="Times New Roman" w:eastAsia="Times New Roman" w:hAnsi="Times New Roman" w:cs="Times New Roman"/>
          <w:shd w:val="clear" w:color="auto" w:fill="FFFFFF"/>
          <w:lang w:val="lt-LT" w:eastAsia="en-GB"/>
        </w:rPr>
        <w:t xml:space="preserve">gintaro spalvos stiklo flakone su pilku </w:t>
      </w:r>
      <w:r w:rsidR="007C6C99" w:rsidRPr="00E14983">
        <w:rPr>
          <w:rFonts w:ascii="Times New Roman" w:eastAsia="Times New Roman" w:hAnsi="Times New Roman" w:cs="Times New Roman"/>
          <w:shd w:val="clear" w:color="auto" w:fill="FFFFFF"/>
          <w:lang w:val="lt-LT" w:eastAsia="en-GB"/>
        </w:rPr>
        <w:t>„Westar“</w:t>
      </w:r>
      <w:r w:rsidRPr="00E14983">
        <w:rPr>
          <w:rFonts w:ascii="Times New Roman" w:eastAsia="Times New Roman" w:hAnsi="Times New Roman" w:cs="Times New Roman"/>
          <w:shd w:val="clear" w:color="auto" w:fill="FFFFFF"/>
          <w:lang w:val="lt-LT" w:eastAsia="en-GB"/>
        </w:rPr>
        <w:t xml:space="preserve"> gumos kamščiu ir oranžiniu aliumininiu lengvai nuplėšiamu gaubteliu.</w:t>
      </w:r>
    </w:p>
    <w:p w14:paraId="0E1297B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7A51E56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Pakuotės dydžiai:</w:t>
      </w:r>
    </w:p>
    <w:p w14:paraId="32DB39B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 ml</w:t>
      </w:r>
    </w:p>
    <w:p w14:paraId="1F415D5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 ml</w:t>
      </w:r>
    </w:p>
    <w:p w14:paraId="29A7DB1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15 ml</w:t>
      </w:r>
    </w:p>
    <w:p w14:paraId="278C78B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25 ml</w:t>
      </w:r>
    </w:p>
    <w:p w14:paraId="5300C8C5" w14:textId="43DBB776" w:rsidR="009500C0" w:rsidRPr="00E14983" w:rsidRDefault="00207E98"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50 ml</w:t>
      </w:r>
    </w:p>
    <w:p w14:paraId="5F19F791" w14:textId="77777777" w:rsidR="00207E98" w:rsidRPr="00E14983" w:rsidRDefault="00207E98"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60230CC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Gali būti tiekiamos ne visų dydžių pakuotės.</w:t>
      </w:r>
    </w:p>
    <w:p w14:paraId="3BAEE924" w14:textId="77777777" w:rsidR="009500C0" w:rsidRPr="00E14983" w:rsidRDefault="009500C0" w:rsidP="009500C0">
      <w:pPr>
        <w:widowControl w:val="0"/>
        <w:shd w:val="clear" w:color="auto" w:fill="FFFFFF"/>
        <w:tabs>
          <w:tab w:val="left" w:pos="398"/>
          <w:tab w:val="left" w:pos="567"/>
          <w:tab w:val="left" w:leader="underscore" w:pos="9082"/>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4032EDA8" w14:textId="77777777" w:rsidR="009500C0" w:rsidRPr="00E14983" w:rsidRDefault="009500C0" w:rsidP="009500C0">
      <w:pPr>
        <w:widowControl w:val="0"/>
        <w:shd w:val="clear" w:color="auto" w:fill="FFFFFF"/>
        <w:tabs>
          <w:tab w:val="left" w:pos="567"/>
          <w:tab w:val="left" w:leader="underscore" w:pos="9082"/>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6.6</w:t>
      </w:r>
      <w:r w:rsidRPr="00E14983">
        <w:rPr>
          <w:rFonts w:ascii="Times New Roman" w:eastAsia="Times New Roman" w:hAnsi="Times New Roman" w:cs="Times New Roman"/>
          <w:b/>
          <w:bCs/>
          <w:color w:val="000000"/>
          <w:lang w:val="lt-LT"/>
        </w:rPr>
        <w:tab/>
        <w:t>Specialūs reikalavimai atliekoms tvarkyti ir vaistiniam preparatui ruošti</w:t>
      </w:r>
    </w:p>
    <w:p w14:paraId="7CD42F3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324C52B" w14:textId="77777777" w:rsidR="009500C0" w:rsidRPr="00E14983" w:rsidRDefault="009500C0" w:rsidP="00DD3E4C">
      <w:pPr>
        <w:shd w:val="clear" w:color="auto" w:fill="FFFFFF"/>
        <w:spacing w:after="0" w:line="240" w:lineRule="auto"/>
        <w:rPr>
          <w:rFonts w:ascii="Times New Roman" w:eastAsia="Times New Roman" w:hAnsi="Times New Roman" w:cs="Times New Roman"/>
          <w:lang w:val="lt-LT" w:eastAsia="en-GB"/>
        </w:rPr>
      </w:pPr>
      <w:r w:rsidRPr="00E14983">
        <w:rPr>
          <w:rFonts w:ascii="Times New Roman" w:eastAsia="Times New Roman" w:hAnsi="Times New Roman" w:cs="Times New Roman"/>
          <w:color w:val="000000"/>
          <w:lang w:val="lt-LT" w:eastAsia="en-GB"/>
        </w:rPr>
        <w:t xml:space="preserve">Irinotecan Accord, kaip ir kitų vaistinių preparatų nuo vėžio, infuzinį tirpalą reikia ruošti bei su juo dirbti atsargiai. Būtina naudoti apsaugomąsias kameras </w:t>
      </w:r>
      <w:r w:rsidRPr="00E14983">
        <w:rPr>
          <w:rFonts w:ascii="Times New Roman" w:eastAsia="Times New Roman" w:hAnsi="Times New Roman" w:cs="Times New Roman"/>
          <w:lang w:val="lt-LT" w:eastAsia="en-GB"/>
        </w:rPr>
        <w:t>ir dėvėti apsaugomąsias pirštines bei chalatus. Jeigu apsaugomųjų kamerų nėra, reikia naudoti burnos kaukę ir apsaugomuosius akinius.</w:t>
      </w:r>
    </w:p>
    <w:p w14:paraId="64AD019F" w14:textId="77777777" w:rsidR="009500C0" w:rsidRPr="00E14983" w:rsidRDefault="009500C0" w:rsidP="009500C0">
      <w:pPr>
        <w:shd w:val="clear" w:color="auto" w:fill="FFFFFF"/>
        <w:spacing w:after="0" w:line="240" w:lineRule="auto"/>
        <w:jc w:val="both"/>
        <w:rPr>
          <w:rFonts w:ascii="Times New Roman" w:eastAsia="Times New Roman" w:hAnsi="Times New Roman" w:cs="Times New Roman"/>
          <w:color w:val="000000"/>
          <w:lang w:val="lt-LT" w:eastAsia="en-GB"/>
        </w:rPr>
      </w:pPr>
    </w:p>
    <w:p w14:paraId="5C242C78" w14:textId="77777777" w:rsidR="009500C0" w:rsidRPr="00E14983" w:rsidRDefault="009500C0" w:rsidP="00DD3E4C">
      <w:pPr>
        <w:shd w:val="clear" w:color="auto" w:fill="FFFFFF"/>
        <w:spacing w:after="0" w:line="240" w:lineRule="auto"/>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color w:val="000000"/>
          <w:lang w:val="lt-LT" w:eastAsia="en-GB"/>
        </w:rPr>
        <w:t>Jeigu Irinotecan Accord tirpalo ar infuzinio tirpalo patenka ant odos, ją būtina nedelsiant kruopščiai nuplauti muilu ir vandeniu. Jeigu Irinotecan Accord tirpalo ar infuzinio tirpalo patenka ant gleivinės, ją būtina nedelsiant kruopščiai nuplauti vandeniu.</w:t>
      </w:r>
    </w:p>
    <w:p w14:paraId="72CACD29" w14:textId="77777777" w:rsidR="009500C0" w:rsidRPr="00E14983" w:rsidRDefault="009500C0" w:rsidP="009500C0">
      <w:pPr>
        <w:shd w:val="clear" w:color="auto" w:fill="FFFFFF"/>
        <w:spacing w:after="0" w:line="240" w:lineRule="auto"/>
        <w:jc w:val="both"/>
        <w:rPr>
          <w:rFonts w:ascii="Times New Roman" w:eastAsia="Times New Roman" w:hAnsi="Times New Roman" w:cs="Times New Roman"/>
          <w:color w:val="000000"/>
          <w:lang w:val="lt-LT" w:eastAsia="en-GB"/>
        </w:rPr>
      </w:pPr>
    </w:p>
    <w:p w14:paraId="692D885E" w14:textId="77777777" w:rsidR="009500C0" w:rsidRPr="00E14983" w:rsidRDefault="009500C0" w:rsidP="009500C0">
      <w:pPr>
        <w:shd w:val="clear" w:color="auto" w:fill="FFFFFF"/>
        <w:spacing w:after="0" w:line="240" w:lineRule="auto"/>
        <w:jc w:val="both"/>
        <w:rPr>
          <w:rFonts w:ascii="Times New Roman" w:eastAsia="Times New Roman" w:hAnsi="Times New Roman" w:cs="Times New Roman"/>
          <w:b/>
          <w:bCs/>
          <w:color w:val="000000"/>
          <w:lang w:val="lt-LT" w:eastAsia="en-GB"/>
        </w:rPr>
      </w:pPr>
      <w:r w:rsidRPr="00E14983">
        <w:rPr>
          <w:rFonts w:ascii="Times New Roman" w:eastAsia="Times New Roman" w:hAnsi="Times New Roman" w:cs="Times New Roman"/>
          <w:b/>
          <w:bCs/>
          <w:color w:val="000000"/>
          <w:lang w:val="lt-LT" w:eastAsia="en-GB"/>
        </w:rPr>
        <w:t>Pasiruošimas infuzijai į veną</w:t>
      </w:r>
    </w:p>
    <w:p w14:paraId="12D55C56" w14:textId="77777777" w:rsidR="009500C0" w:rsidRPr="00E14983" w:rsidRDefault="009500C0" w:rsidP="00DD3E4C">
      <w:pPr>
        <w:shd w:val="clear" w:color="auto" w:fill="FFFFFF"/>
        <w:spacing w:after="0" w:line="240" w:lineRule="auto"/>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color w:val="000000"/>
          <w:lang w:val="lt-LT" w:eastAsia="en-GB"/>
        </w:rPr>
        <w:t xml:space="preserve">Irinotecan Accord, kaip ir kitų injekcinių vaistinių preparatų, tirpalą reikia ruošti aseptinėmis sąlygomis (žr. 6.3 skyrių). </w:t>
      </w:r>
    </w:p>
    <w:p w14:paraId="1E440F15" w14:textId="77777777" w:rsidR="009500C0" w:rsidRPr="00E14983" w:rsidRDefault="009500C0" w:rsidP="009500C0">
      <w:pPr>
        <w:shd w:val="clear" w:color="auto" w:fill="FFFFFF"/>
        <w:spacing w:after="0" w:line="240" w:lineRule="auto"/>
        <w:jc w:val="both"/>
        <w:rPr>
          <w:rFonts w:ascii="Times New Roman" w:eastAsia="Times New Roman" w:hAnsi="Times New Roman" w:cs="Times New Roman"/>
          <w:color w:val="000000"/>
          <w:lang w:val="lt-LT" w:eastAsia="en-GB"/>
        </w:rPr>
      </w:pPr>
    </w:p>
    <w:p w14:paraId="3403692E" w14:textId="77777777" w:rsidR="009500C0" w:rsidRPr="00E14983" w:rsidRDefault="009500C0" w:rsidP="00DD3E4C">
      <w:pPr>
        <w:shd w:val="clear" w:color="auto" w:fill="FFFFFF"/>
        <w:spacing w:after="0" w:line="240" w:lineRule="auto"/>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color w:val="000000"/>
          <w:lang w:val="lt-LT" w:eastAsia="en-GB"/>
        </w:rPr>
        <w:t xml:space="preserve">Jeigu flakone ar po praskiedimo atsiranda bet kokių nuosėdų, vaistinį preparatą reikia išmesti laikantis standartinių citotoksiniams vaistiniams preparatams skirtų procedūrų. </w:t>
      </w:r>
    </w:p>
    <w:p w14:paraId="01E6C74E" w14:textId="77777777" w:rsidR="009500C0" w:rsidRPr="00E14983" w:rsidRDefault="009500C0" w:rsidP="009500C0">
      <w:pPr>
        <w:shd w:val="clear" w:color="auto" w:fill="FFFFFF"/>
        <w:spacing w:after="0" w:line="240" w:lineRule="auto"/>
        <w:jc w:val="both"/>
        <w:rPr>
          <w:rFonts w:ascii="Times New Roman" w:eastAsia="Times New Roman" w:hAnsi="Times New Roman" w:cs="Times New Roman"/>
          <w:color w:val="000000"/>
          <w:lang w:val="lt-LT" w:eastAsia="en-GB"/>
        </w:rPr>
      </w:pPr>
    </w:p>
    <w:p w14:paraId="0D78BAA7" w14:textId="66B4A726" w:rsidR="009500C0" w:rsidRPr="00E14983" w:rsidRDefault="009500C0" w:rsidP="00DD3E4C">
      <w:pPr>
        <w:shd w:val="clear" w:color="auto" w:fill="FFFFFF"/>
        <w:spacing w:after="0" w:line="240" w:lineRule="auto"/>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color w:val="000000"/>
          <w:lang w:val="lt-LT" w:eastAsia="en-GB"/>
        </w:rPr>
        <w:t>Aseptinėmis sąlygomis kalibruotu švirkštu reikia įtraukti reikiamą Irinotecan Accord tirpalo kiekį ir jį suleisti į 250</w:t>
      </w:r>
      <w:r w:rsidR="0024180B"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ml infuzijų maišelį ar buteliuką, kuriame yra arba 0,9</w:t>
      </w:r>
      <w:r w:rsidR="0024180B"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 natrio chlorido tirpalo, arba 5</w:t>
      </w:r>
      <w:r w:rsidR="0024180B"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 gliukozės tirpalo. Infuzinį tirpalą reikia gerai sumaišyti talpyklę sukiojant rankomis.</w:t>
      </w:r>
    </w:p>
    <w:p w14:paraId="6B9D5EC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0F4ACFEB"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Atliekų tvarkymas</w:t>
      </w:r>
    </w:p>
    <w:p w14:paraId="44171E26"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Tik vienkartiniam vartojimui.</w:t>
      </w:r>
    </w:p>
    <w:p w14:paraId="45EC5EF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Visas priemones naudotas skiedimui ar infuzijai reikia tvarkyti laikantis standartinių ligoninės procedūrų, taikomų</w:t>
      </w:r>
      <w:r w:rsidRPr="00E14983">
        <w:rPr>
          <w:rFonts w:ascii="Times New Roman" w:eastAsia="Times New Roman" w:hAnsi="Times New Roman" w:cs="Times New Roman"/>
          <w:color w:val="000000"/>
          <w:lang w:val="lt-LT"/>
        </w:rPr>
        <w:t xml:space="preserve"> citotoksinėms medžiagoms. </w:t>
      </w:r>
    </w:p>
    <w:p w14:paraId="1804D8D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0CFE99A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1E595956" w14:textId="77777777" w:rsidR="009500C0" w:rsidRPr="00E14983" w:rsidRDefault="009500C0" w:rsidP="009500C0">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E14983">
        <w:rPr>
          <w:rFonts w:ascii="Times New Roman" w:eastAsia="Times New Roman" w:hAnsi="Times New Roman" w:cs="Times New Roman"/>
          <w:b/>
          <w:bCs/>
          <w:snapToGrid w:val="0"/>
          <w:lang w:val="lt-LT"/>
        </w:rPr>
        <w:t>7.</w:t>
      </w:r>
      <w:r w:rsidRPr="00E14983">
        <w:rPr>
          <w:rFonts w:ascii="Times New Roman" w:eastAsia="Times New Roman" w:hAnsi="Times New Roman" w:cs="Times New Roman"/>
          <w:b/>
          <w:bCs/>
          <w:snapToGrid w:val="0"/>
          <w:lang w:val="lt-LT"/>
        </w:rPr>
        <w:tab/>
        <w:t>REGISTRUOTOJAS</w:t>
      </w:r>
    </w:p>
    <w:p w14:paraId="64C4FE8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7465430D" w14:textId="1D787F3C" w:rsidR="009500C0" w:rsidRPr="00E14983" w:rsidRDefault="009500C0" w:rsidP="00AC448A">
      <w:pPr>
        <w:spacing w:after="0" w:line="240" w:lineRule="auto"/>
        <w:rPr>
          <w:rFonts w:ascii="Times New Roman" w:hAnsi="Times New Roman"/>
          <w:lang w:val="lt-LT"/>
        </w:rPr>
      </w:pPr>
      <w:r w:rsidRPr="00E14983">
        <w:rPr>
          <w:rFonts w:ascii="Times New Roman" w:hAnsi="Times New Roman"/>
          <w:lang w:val="lt-LT"/>
        </w:rPr>
        <w:t xml:space="preserve">Accord Healthcare </w:t>
      </w:r>
      <w:r w:rsidR="001F6662" w:rsidRPr="00E14983">
        <w:rPr>
          <w:rFonts w:ascii="Times New Roman" w:hAnsi="Times New Roman" w:cs="Times New Roman"/>
          <w:lang w:val="lt-LT"/>
        </w:rPr>
        <w:t xml:space="preserve">B.V. </w:t>
      </w:r>
    </w:p>
    <w:p w14:paraId="29D9455C"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Winthontlaan 200 </w:t>
      </w:r>
    </w:p>
    <w:p w14:paraId="0F4695FE"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3526 KV Utrecht </w:t>
      </w:r>
    </w:p>
    <w:p w14:paraId="21F4F443" w14:textId="77777777" w:rsidR="001F6662" w:rsidRPr="00E14983" w:rsidRDefault="001F6662" w:rsidP="001F6662">
      <w:pPr>
        <w:spacing w:after="0" w:line="240" w:lineRule="auto"/>
        <w:rPr>
          <w:lang w:val="lt-LT"/>
        </w:rPr>
      </w:pPr>
      <w:r w:rsidRPr="00E14983">
        <w:rPr>
          <w:rFonts w:ascii="Times New Roman" w:hAnsi="Times New Roman" w:cs="Times New Roman"/>
          <w:lang w:val="lt-LT"/>
        </w:rPr>
        <w:t>Nyderlandai</w:t>
      </w:r>
    </w:p>
    <w:p w14:paraId="5280276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97469C5"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20A6BC2" w14:textId="77777777" w:rsidR="009500C0" w:rsidRPr="00E14983" w:rsidRDefault="009500C0" w:rsidP="009500C0">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E14983">
        <w:rPr>
          <w:rFonts w:ascii="Times New Roman" w:eastAsia="Times New Roman" w:hAnsi="Times New Roman" w:cs="Times New Roman"/>
          <w:b/>
          <w:bCs/>
          <w:snapToGrid w:val="0"/>
          <w:lang w:val="lt-LT"/>
        </w:rPr>
        <w:lastRenderedPageBreak/>
        <w:t>8.</w:t>
      </w:r>
      <w:r w:rsidRPr="00E14983">
        <w:rPr>
          <w:rFonts w:ascii="Times New Roman" w:eastAsia="Times New Roman" w:hAnsi="Times New Roman" w:cs="Times New Roman"/>
          <w:b/>
          <w:bCs/>
          <w:snapToGrid w:val="0"/>
          <w:lang w:val="lt-LT"/>
        </w:rPr>
        <w:tab/>
        <w:t xml:space="preserve">REGISTRACIJOS PAŽYMĖJIMO NUMERIS (-IAI) </w:t>
      </w:r>
    </w:p>
    <w:p w14:paraId="04D4A60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u w:val="single"/>
          <w:lang w:val="lt-LT"/>
        </w:rPr>
      </w:pPr>
    </w:p>
    <w:p w14:paraId="0214B78C" w14:textId="7FAADFB7" w:rsidR="004D331C"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LT/1/16/3953/001 – 2 ml, N1</w:t>
      </w:r>
    </w:p>
    <w:p w14:paraId="6FD2176D" w14:textId="1D14CB8C" w:rsidR="004D331C"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LT/1/16/3953/002 – 5 ml, N1</w:t>
      </w:r>
    </w:p>
    <w:p w14:paraId="69D998D3" w14:textId="288FC769" w:rsidR="004D331C"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LT/1/16/3953/003 – 15 ml, N1</w:t>
      </w:r>
    </w:p>
    <w:p w14:paraId="5BC8BA88" w14:textId="25403DAC" w:rsidR="004D331C"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LT/1/16/3953/004 – 25 ml, N1</w:t>
      </w:r>
    </w:p>
    <w:p w14:paraId="7514CD58" w14:textId="50CCE3C1" w:rsidR="009500C0"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LT/1/16/3953/005 – 50 ml, N1</w:t>
      </w:r>
    </w:p>
    <w:p w14:paraId="10F4A6DC" w14:textId="77777777" w:rsidR="004D331C" w:rsidRPr="00E14983" w:rsidRDefault="004D331C" w:rsidP="004D331C">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3A16A07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Cs/>
          <w:color w:val="000000"/>
          <w:lang w:val="lt-LT"/>
        </w:rPr>
      </w:pPr>
    </w:p>
    <w:p w14:paraId="11175DBC" w14:textId="77777777" w:rsidR="009500C0" w:rsidRPr="00E14983" w:rsidRDefault="009500C0" w:rsidP="009500C0">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E14983">
        <w:rPr>
          <w:rFonts w:ascii="Times New Roman" w:eastAsia="Times New Roman" w:hAnsi="Times New Roman" w:cs="Times New Roman"/>
          <w:b/>
          <w:bCs/>
          <w:snapToGrid w:val="0"/>
          <w:lang w:val="lt-LT"/>
        </w:rPr>
        <w:t>9.</w:t>
      </w:r>
      <w:r w:rsidRPr="00E14983">
        <w:rPr>
          <w:rFonts w:ascii="Times New Roman" w:eastAsia="Times New Roman" w:hAnsi="Times New Roman" w:cs="Times New Roman"/>
          <w:b/>
          <w:bCs/>
          <w:snapToGrid w:val="0"/>
          <w:lang w:val="lt-LT"/>
        </w:rPr>
        <w:tab/>
        <w:t>REGISTRAVIMO / PERREGISTRAVIMO DATA</w:t>
      </w:r>
    </w:p>
    <w:p w14:paraId="4873C0F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BBEFBD5" w14:textId="38F0FB8B" w:rsidR="009500C0" w:rsidRPr="00E14983" w:rsidRDefault="009500C0" w:rsidP="009500C0">
      <w:pPr>
        <w:tabs>
          <w:tab w:val="left" w:pos="1296"/>
        </w:tabs>
        <w:snapToGrid w:val="0"/>
        <w:spacing w:after="0" w:line="240" w:lineRule="auto"/>
        <w:rPr>
          <w:rFonts w:ascii="Times New Roman" w:eastAsia="Times New Roman" w:hAnsi="Times New Roman" w:cs="Times New Roman"/>
          <w:szCs w:val="24"/>
          <w:lang w:val="lt-LT"/>
        </w:rPr>
      </w:pPr>
      <w:r w:rsidRPr="00E14983">
        <w:rPr>
          <w:rFonts w:ascii="Times New Roman" w:eastAsia="Times New Roman" w:hAnsi="Times New Roman" w:cs="Times New Roman"/>
          <w:szCs w:val="24"/>
          <w:lang w:val="lt-LT"/>
        </w:rPr>
        <w:t>Registravimo data 2016</w:t>
      </w:r>
      <w:r w:rsidR="00962A70" w:rsidRPr="00E14983">
        <w:rPr>
          <w:rFonts w:ascii="Times New Roman" w:eastAsia="Times New Roman" w:hAnsi="Times New Roman" w:cs="Times New Roman"/>
          <w:szCs w:val="24"/>
          <w:lang w:val="lt-LT"/>
        </w:rPr>
        <w:t> </w:t>
      </w:r>
      <w:r w:rsidRPr="00E14983">
        <w:rPr>
          <w:rFonts w:ascii="Times New Roman" w:eastAsia="Times New Roman" w:hAnsi="Times New Roman" w:cs="Times New Roman"/>
          <w:szCs w:val="24"/>
          <w:lang w:val="lt-LT"/>
        </w:rPr>
        <w:t>m. rugpjūčio 8</w:t>
      </w:r>
      <w:r w:rsidR="00962A70" w:rsidRPr="00E14983">
        <w:rPr>
          <w:rFonts w:ascii="Times New Roman" w:eastAsia="Times New Roman" w:hAnsi="Times New Roman" w:cs="Times New Roman"/>
          <w:szCs w:val="24"/>
          <w:lang w:val="lt-LT"/>
        </w:rPr>
        <w:t> </w:t>
      </w:r>
      <w:r w:rsidRPr="00E14983">
        <w:rPr>
          <w:rFonts w:ascii="Times New Roman" w:eastAsia="Times New Roman" w:hAnsi="Times New Roman" w:cs="Times New Roman"/>
          <w:szCs w:val="24"/>
          <w:lang w:val="lt-LT"/>
        </w:rPr>
        <w:t>d.</w:t>
      </w:r>
    </w:p>
    <w:p w14:paraId="544020A3" w14:textId="0131D01F" w:rsidR="005C51DF" w:rsidRPr="00E14983" w:rsidRDefault="005C51DF" w:rsidP="005C51DF">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Paskutinio perregistravimo data </w:t>
      </w:r>
      <w:r w:rsidR="004D331C" w:rsidRPr="00E14983">
        <w:rPr>
          <w:rFonts w:ascii="Times New Roman" w:eastAsia="Times New Roman" w:hAnsi="Times New Roman" w:cs="Times New Roman"/>
          <w:lang w:val="lt-LT"/>
        </w:rPr>
        <w:t>2021 m. rugpjūčio 27 d.</w:t>
      </w:r>
    </w:p>
    <w:p w14:paraId="08CFD90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8C568F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38587E8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10.</w:t>
      </w:r>
      <w:r w:rsidRPr="00E14983">
        <w:rPr>
          <w:rFonts w:ascii="Times New Roman" w:eastAsia="Times New Roman" w:hAnsi="Times New Roman" w:cs="Times New Roman"/>
          <w:b/>
          <w:bCs/>
          <w:color w:val="000000"/>
          <w:lang w:val="lt-LT"/>
        </w:rPr>
        <w:tab/>
        <w:t>TEKSTO PERŽIŪROS DATA</w:t>
      </w:r>
    </w:p>
    <w:p w14:paraId="3D01B16B" w14:textId="77777777" w:rsidR="004D331C" w:rsidRPr="00E14983" w:rsidRDefault="004D331C" w:rsidP="00B22D7E">
      <w:pPr>
        <w:tabs>
          <w:tab w:val="left" w:pos="567"/>
        </w:tabs>
        <w:spacing w:after="0" w:line="240" w:lineRule="auto"/>
        <w:jc w:val="both"/>
        <w:rPr>
          <w:rFonts w:ascii="Times New Roman" w:eastAsia="Times New Roman" w:hAnsi="Times New Roman" w:cs="Times New Roman"/>
          <w:lang w:val="lt-LT"/>
        </w:rPr>
      </w:pPr>
    </w:p>
    <w:p w14:paraId="665785B0" w14:textId="6794A743" w:rsidR="00EC1D86" w:rsidRPr="00E14983" w:rsidRDefault="00637F5B" w:rsidP="00B22D7E">
      <w:pPr>
        <w:tabs>
          <w:tab w:val="left" w:pos="567"/>
        </w:tabs>
        <w:spacing w:after="0" w:line="240" w:lineRule="auto"/>
        <w:jc w:val="both"/>
        <w:rPr>
          <w:rFonts w:ascii="Times New Roman" w:hAnsi="Times New Roman"/>
          <w:lang w:val="lt-LT"/>
        </w:rPr>
      </w:pPr>
      <w:r w:rsidRPr="00E14983">
        <w:rPr>
          <w:rFonts w:ascii="Times New Roman" w:eastAsia="Times New Roman" w:hAnsi="Times New Roman" w:cs="Times New Roman"/>
          <w:lang w:val="lt-LT"/>
        </w:rPr>
        <w:t>202</w:t>
      </w:r>
      <w:r w:rsidR="009848D0">
        <w:rPr>
          <w:rFonts w:ascii="Times New Roman" w:eastAsia="Times New Roman" w:hAnsi="Times New Roman" w:cs="Times New Roman"/>
          <w:lang w:val="lt-LT"/>
        </w:rPr>
        <w:t>3</w:t>
      </w:r>
      <w:r w:rsidRPr="00E14983">
        <w:rPr>
          <w:rFonts w:ascii="Times New Roman" w:eastAsia="Times New Roman" w:hAnsi="Times New Roman" w:cs="Times New Roman"/>
          <w:lang w:val="lt-LT"/>
        </w:rPr>
        <w:t xml:space="preserve"> m. </w:t>
      </w:r>
      <w:r w:rsidR="00EC1D86" w:rsidRPr="00EC1D86">
        <w:rPr>
          <w:rFonts w:ascii="Times New Roman" w:eastAsia="Times New Roman" w:hAnsi="Times New Roman" w:cs="Times New Roman"/>
          <w:lang w:val="lt-LT"/>
        </w:rPr>
        <w:t xml:space="preserve">spalio </w:t>
      </w:r>
      <w:r w:rsidR="009848D0">
        <w:rPr>
          <w:rFonts w:ascii="Times New Roman" w:eastAsia="Times New Roman" w:hAnsi="Times New Roman" w:cs="Times New Roman"/>
          <w:lang w:val="lt-LT"/>
        </w:rPr>
        <w:t>31</w:t>
      </w:r>
      <w:r w:rsidR="00EC1D86" w:rsidRPr="00EC1D86">
        <w:rPr>
          <w:rFonts w:ascii="Times New Roman" w:eastAsia="Times New Roman" w:hAnsi="Times New Roman" w:cs="Times New Roman"/>
          <w:lang w:val="lt-LT"/>
        </w:rPr>
        <w:t xml:space="preserve"> d.</w:t>
      </w:r>
    </w:p>
    <w:p w14:paraId="4A494DCF" w14:textId="77777777" w:rsidR="009500C0" w:rsidRPr="00E14983" w:rsidRDefault="009500C0" w:rsidP="00EC1D86">
      <w:pPr>
        <w:tabs>
          <w:tab w:val="left" w:pos="567"/>
        </w:tabs>
        <w:spacing w:after="0" w:line="240" w:lineRule="auto"/>
        <w:jc w:val="both"/>
        <w:rPr>
          <w:rFonts w:ascii="Times New Roman" w:eastAsia="SimSun" w:hAnsi="Times New Roman" w:cs="Times New Roman"/>
          <w:lang w:val="lt-LT"/>
        </w:rPr>
      </w:pPr>
    </w:p>
    <w:p w14:paraId="793AE9B8" w14:textId="77777777" w:rsidR="009500C0" w:rsidRPr="00E14983" w:rsidRDefault="009500C0" w:rsidP="009500C0">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E14983">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E14983">
        <w:rPr>
          <w:rFonts w:ascii="Times New Roman" w:eastAsia="SimSun" w:hAnsi="Times New Roman" w:cs="Times New Roman"/>
          <w:i/>
          <w:lang w:val="lt-LT"/>
        </w:rPr>
        <w:t xml:space="preserve"> </w:t>
      </w:r>
      <w:hyperlink r:id="rId9" w:history="1">
        <w:r w:rsidRPr="00E14983">
          <w:rPr>
            <w:rFonts w:ascii="Times New Roman" w:eastAsia="SimSun" w:hAnsi="Times New Roman" w:cs="Times New Roman"/>
            <w:color w:val="0000FF"/>
            <w:u w:val="single"/>
            <w:lang w:val="lt-LT"/>
          </w:rPr>
          <w:t>http://www.vvkt.lt</w:t>
        </w:r>
      </w:hyperlink>
    </w:p>
    <w:p w14:paraId="64252AC8"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br w:type="page"/>
      </w:r>
    </w:p>
    <w:p w14:paraId="00E72D13"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lang w:val="lt-LT"/>
        </w:rPr>
      </w:pPr>
    </w:p>
    <w:p w14:paraId="3FB8F364"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55E13BA"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527A80D"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D66E0A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EC4352A"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8385A56"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4EE530E"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5F53AAA"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5BD8924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1E6FA34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BD6ADB6"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5D2E254"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64187BB"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4B00FB42"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FB3E339"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320F027"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11A9D81F"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BD4C978"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6D41E0E0"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135CDAE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6C45939F"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443D2935"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7962A633" w14:textId="77777777" w:rsidR="009500C0" w:rsidRPr="00E14983" w:rsidRDefault="009500C0" w:rsidP="009500C0">
      <w:pPr>
        <w:tabs>
          <w:tab w:val="left" w:pos="567"/>
        </w:tabs>
        <w:spacing w:after="0" w:line="240" w:lineRule="auto"/>
        <w:jc w:val="center"/>
        <w:outlineLvl w:val="0"/>
        <w:rPr>
          <w:rFonts w:ascii="Times New Roman" w:eastAsia="Times New Roman" w:hAnsi="Times New Roman" w:cs="Times New Roman"/>
          <w:b/>
          <w:kern w:val="28"/>
          <w:lang w:val="lt-LT" w:eastAsia="lt-LT"/>
        </w:rPr>
      </w:pPr>
      <w:r w:rsidRPr="00E14983">
        <w:rPr>
          <w:rFonts w:ascii="Times New Roman" w:eastAsia="Times New Roman" w:hAnsi="Times New Roman" w:cs="Times New Roman"/>
          <w:b/>
          <w:kern w:val="28"/>
          <w:lang w:val="lt-LT" w:eastAsia="lt-LT"/>
        </w:rPr>
        <w:t>II PRIEDAS</w:t>
      </w:r>
    </w:p>
    <w:p w14:paraId="588EEB76" w14:textId="77777777" w:rsidR="009500C0" w:rsidRPr="00E14983" w:rsidRDefault="009500C0" w:rsidP="009500C0">
      <w:pPr>
        <w:tabs>
          <w:tab w:val="left" w:pos="567"/>
        </w:tabs>
        <w:spacing w:after="0" w:line="240" w:lineRule="auto"/>
        <w:jc w:val="center"/>
        <w:outlineLvl w:val="0"/>
        <w:rPr>
          <w:rFonts w:ascii="Times New Roman" w:eastAsia="Times New Roman" w:hAnsi="Times New Roman" w:cs="Times New Roman"/>
          <w:b/>
          <w:kern w:val="28"/>
          <w:lang w:val="lt-LT" w:eastAsia="lt-LT"/>
        </w:rPr>
      </w:pPr>
    </w:p>
    <w:p w14:paraId="7DEBEE4C"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r w:rsidRPr="00E14983">
        <w:rPr>
          <w:rFonts w:ascii="Times New Roman" w:eastAsia="Times New Roman" w:hAnsi="Times New Roman" w:cs="Times New Roman"/>
          <w:b/>
          <w:caps/>
          <w:lang w:val="lt-LT" w:eastAsia="en-GB"/>
        </w:rPr>
        <w:t>REGISTRACIJOS SĄLYGOS</w:t>
      </w:r>
    </w:p>
    <w:p w14:paraId="5F21D10B" w14:textId="77777777" w:rsidR="009500C0" w:rsidRPr="00E14983" w:rsidRDefault="009500C0" w:rsidP="009500C0">
      <w:pPr>
        <w:tabs>
          <w:tab w:val="left" w:pos="567"/>
        </w:tabs>
        <w:spacing w:after="0" w:line="240" w:lineRule="auto"/>
        <w:outlineLvl w:val="0"/>
        <w:rPr>
          <w:rFonts w:ascii="Times New Roman" w:eastAsia="Times New Roman" w:hAnsi="Times New Roman" w:cs="Times New Roman"/>
          <w:b/>
          <w:kern w:val="28"/>
          <w:lang w:val="lt-LT" w:eastAsia="lt-LT"/>
        </w:rPr>
      </w:pPr>
    </w:p>
    <w:p w14:paraId="2F5D8184" w14:textId="77777777" w:rsidR="009500C0" w:rsidRPr="00E14983" w:rsidRDefault="009500C0" w:rsidP="009500C0">
      <w:pPr>
        <w:tabs>
          <w:tab w:val="left" w:pos="1701"/>
        </w:tabs>
        <w:spacing w:after="0" w:line="240" w:lineRule="auto"/>
        <w:ind w:left="1701" w:right="567" w:hanging="567"/>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A.</w:t>
      </w:r>
      <w:r w:rsidRPr="00E14983">
        <w:rPr>
          <w:rFonts w:ascii="Times New Roman" w:eastAsia="Times New Roman" w:hAnsi="Times New Roman" w:cs="Times New Roman"/>
          <w:b/>
          <w:snapToGrid w:val="0"/>
          <w:lang w:val="lt-LT"/>
        </w:rPr>
        <w:tab/>
        <w:t>GAMINTOJAS (-AI), ATSAKINGAS (-I) UŽ SERIJŲ IŠLEIDIMĄ</w:t>
      </w:r>
    </w:p>
    <w:p w14:paraId="313E7BB9" w14:textId="77777777" w:rsidR="009500C0" w:rsidRPr="00E14983" w:rsidRDefault="009500C0" w:rsidP="009500C0">
      <w:pPr>
        <w:tabs>
          <w:tab w:val="left" w:pos="1701"/>
        </w:tabs>
        <w:spacing w:after="0" w:line="240" w:lineRule="auto"/>
        <w:ind w:left="567" w:right="567" w:hanging="567"/>
        <w:rPr>
          <w:rFonts w:ascii="Times New Roman" w:eastAsia="Times New Roman" w:hAnsi="Times New Roman" w:cs="Times New Roman"/>
          <w:snapToGrid w:val="0"/>
          <w:lang w:val="lt-LT"/>
        </w:rPr>
      </w:pPr>
    </w:p>
    <w:p w14:paraId="451D28B8" w14:textId="77777777" w:rsidR="009500C0" w:rsidRPr="00E14983" w:rsidRDefault="009500C0" w:rsidP="009500C0">
      <w:pPr>
        <w:tabs>
          <w:tab w:val="left" w:pos="1701"/>
        </w:tabs>
        <w:spacing w:after="0" w:line="240" w:lineRule="auto"/>
        <w:ind w:left="1701" w:right="567" w:hanging="567"/>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B.</w:t>
      </w:r>
      <w:r w:rsidRPr="00E14983">
        <w:rPr>
          <w:rFonts w:ascii="Times New Roman" w:eastAsia="Times New Roman" w:hAnsi="Times New Roman" w:cs="Times New Roman"/>
          <w:b/>
          <w:snapToGrid w:val="0"/>
          <w:lang w:val="lt-LT"/>
        </w:rPr>
        <w:tab/>
        <w:t>TIEKIMO IR VARTOJIMO SĄLYGOS AR APRIBOJIMAI</w:t>
      </w:r>
    </w:p>
    <w:p w14:paraId="0AB003BF" w14:textId="77777777" w:rsidR="009500C0" w:rsidRPr="00E14983" w:rsidRDefault="009500C0" w:rsidP="009500C0">
      <w:pPr>
        <w:spacing w:after="0" w:line="240" w:lineRule="auto"/>
        <w:rPr>
          <w:rFonts w:ascii="Times New Roman" w:eastAsia="Times New Roman" w:hAnsi="Times New Roman" w:cs="Times New Roman"/>
          <w:b/>
          <w:kern w:val="28"/>
          <w:lang w:val="lt-LT" w:eastAsia="lt-LT"/>
        </w:rPr>
      </w:pPr>
      <w:r w:rsidRPr="00E14983">
        <w:rPr>
          <w:rFonts w:ascii="Times New Roman" w:eastAsia="Times New Roman" w:hAnsi="Times New Roman" w:cs="Times New Roman"/>
          <w:b/>
          <w:kern w:val="28"/>
          <w:lang w:val="lt-LT" w:eastAsia="lt-LT"/>
        </w:rPr>
        <w:br w:type="page"/>
      </w:r>
    </w:p>
    <w:p w14:paraId="1D8C7541" w14:textId="77777777" w:rsidR="009500C0" w:rsidRPr="00E14983" w:rsidRDefault="009500C0" w:rsidP="009500C0">
      <w:pPr>
        <w:tabs>
          <w:tab w:val="left" w:pos="567"/>
        </w:tabs>
        <w:spacing w:after="0" w:line="240" w:lineRule="auto"/>
        <w:ind w:left="567" w:hanging="567"/>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lastRenderedPageBreak/>
        <w:t>A.</w:t>
      </w:r>
      <w:r w:rsidRPr="00E14983">
        <w:rPr>
          <w:rFonts w:ascii="Times New Roman" w:eastAsia="Times New Roman" w:hAnsi="Times New Roman" w:cs="Times New Roman"/>
          <w:b/>
          <w:snapToGrid w:val="0"/>
          <w:lang w:val="lt-LT"/>
        </w:rPr>
        <w:tab/>
        <w:t>GAMINTOJAS (-AI), ATSAKINGAS (-I) UŽ SERIJŲ IŠLEIDIMĄ</w:t>
      </w:r>
    </w:p>
    <w:p w14:paraId="307B014D"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p>
    <w:p w14:paraId="79EDB3C5"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u w:val="single"/>
          <w:lang w:val="lt-LT"/>
        </w:rPr>
        <w:t>Gamintojo (-ų), atsakingo (-ų) už serijų išleidimą, pavadinimas (-ai) ir adresas (-ai)</w:t>
      </w:r>
    </w:p>
    <w:p w14:paraId="2F1693BD" w14:textId="77777777" w:rsidR="009500C0" w:rsidRPr="00E14983" w:rsidRDefault="009500C0" w:rsidP="009500C0">
      <w:pPr>
        <w:autoSpaceDE w:val="0"/>
        <w:autoSpaceDN w:val="0"/>
        <w:adjustRightInd w:val="0"/>
        <w:spacing w:after="0" w:line="240" w:lineRule="auto"/>
        <w:rPr>
          <w:rFonts w:ascii="Times New Roman" w:eastAsia="SimSun" w:hAnsi="Times New Roman" w:cs="Times New Roman"/>
          <w:lang w:val="lt-LT"/>
        </w:rPr>
      </w:pPr>
    </w:p>
    <w:p w14:paraId="70DD84FC" w14:textId="77777777" w:rsidR="00AC448A" w:rsidRPr="00E14983" w:rsidRDefault="00AC448A" w:rsidP="00AC448A">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Accord Healthcare Polska Sp.z o.o.,</w:t>
      </w:r>
    </w:p>
    <w:p w14:paraId="74D770D9" w14:textId="77777777" w:rsidR="00767E96" w:rsidRPr="00E14983" w:rsidRDefault="00AC448A" w:rsidP="00AC448A">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ul. Lutomierska 50,95-200 Pabianice,</w:t>
      </w:r>
    </w:p>
    <w:p w14:paraId="2582698F" w14:textId="4F669570" w:rsidR="009500C0" w:rsidRDefault="00AC448A" w:rsidP="00AC448A">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Lenkija</w:t>
      </w:r>
    </w:p>
    <w:p w14:paraId="15F894EA" w14:textId="77777777" w:rsidR="0005125A" w:rsidRDefault="0005125A" w:rsidP="00AC448A">
      <w:pPr>
        <w:tabs>
          <w:tab w:val="left" w:pos="567"/>
        </w:tabs>
        <w:spacing w:after="0" w:line="240" w:lineRule="auto"/>
        <w:rPr>
          <w:rFonts w:ascii="Times New Roman" w:eastAsia="Times New Roman" w:hAnsi="Times New Roman" w:cs="Times New Roman"/>
          <w:lang w:val="lt-LT"/>
        </w:rPr>
      </w:pPr>
    </w:p>
    <w:p w14:paraId="00598C9B" w14:textId="79033E2E" w:rsidR="0005125A" w:rsidRDefault="00A1706F" w:rsidP="00AC448A">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a</w:t>
      </w:r>
      <w:r w:rsidR="0005125A">
        <w:rPr>
          <w:rFonts w:ascii="Times New Roman" w:eastAsia="Times New Roman" w:hAnsi="Times New Roman" w:cs="Times New Roman"/>
          <w:lang w:val="lt-LT"/>
        </w:rPr>
        <w:t>rba</w:t>
      </w:r>
    </w:p>
    <w:p w14:paraId="087CBC90" w14:textId="77777777" w:rsidR="0005125A" w:rsidRDefault="0005125A" w:rsidP="00AC448A">
      <w:pPr>
        <w:tabs>
          <w:tab w:val="left" w:pos="567"/>
        </w:tabs>
        <w:spacing w:after="0" w:line="240" w:lineRule="auto"/>
        <w:rPr>
          <w:rFonts w:ascii="Times New Roman" w:eastAsia="Times New Roman" w:hAnsi="Times New Roman" w:cs="Times New Roman"/>
          <w:lang w:val="lt-LT"/>
        </w:rPr>
      </w:pPr>
    </w:p>
    <w:p w14:paraId="12C41715" w14:textId="58CCC106" w:rsidR="0005125A" w:rsidRDefault="0005125A" w:rsidP="00AC448A">
      <w:pPr>
        <w:tabs>
          <w:tab w:val="left" w:pos="567"/>
        </w:tabs>
        <w:spacing w:after="0" w:line="240" w:lineRule="auto"/>
        <w:rPr>
          <w:rFonts w:ascii="Times New Roman" w:eastAsia="Times New Roman" w:hAnsi="Times New Roman" w:cs="Times New Roman"/>
          <w:lang w:val="lt-LT"/>
        </w:rPr>
      </w:pPr>
      <w:bookmarkStart w:id="10" w:name="_Hlk184052631"/>
      <w:r>
        <w:rPr>
          <w:rFonts w:ascii="Times New Roman" w:eastAsia="Times New Roman" w:hAnsi="Times New Roman" w:cs="Times New Roman"/>
          <w:lang w:val="lt-LT"/>
        </w:rPr>
        <w:t>Accord Healthcare single member S</w:t>
      </w:r>
      <w:r w:rsidR="004B73C5">
        <w:rPr>
          <w:rFonts w:ascii="Times New Roman" w:eastAsia="Times New Roman" w:hAnsi="Times New Roman" w:cs="Times New Roman"/>
          <w:lang w:val="lt-LT"/>
        </w:rPr>
        <w:t>.A.</w:t>
      </w:r>
    </w:p>
    <w:p w14:paraId="282B68FF" w14:textId="7DFD2945" w:rsidR="004B73C5" w:rsidRDefault="004B73C5" w:rsidP="00AC448A">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64th Km National Road Athens, Lamia, </w:t>
      </w:r>
      <w:r w:rsidR="00F4397C" w:rsidRPr="00F4397C">
        <w:rPr>
          <w:rFonts w:ascii="Times New Roman" w:eastAsia="Times New Roman" w:hAnsi="Times New Roman" w:cs="Times New Roman"/>
          <w:lang w:val="lt-LT"/>
        </w:rPr>
        <w:t xml:space="preserve">Schimatari, </w:t>
      </w:r>
      <w:r>
        <w:rPr>
          <w:rFonts w:ascii="Times New Roman" w:eastAsia="Times New Roman" w:hAnsi="Times New Roman" w:cs="Times New Roman"/>
          <w:lang w:val="lt-LT"/>
        </w:rPr>
        <w:t>32009,</w:t>
      </w:r>
    </w:p>
    <w:p w14:paraId="221E9A88" w14:textId="75D946F2" w:rsidR="0005125A" w:rsidRDefault="000573A7" w:rsidP="00AC448A">
      <w:pPr>
        <w:tabs>
          <w:tab w:val="left" w:pos="567"/>
        </w:tab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Graikija</w:t>
      </w:r>
      <w:bookmarkEnd w:id="10"/>
    </w:p>
    <w:p w14:paraId="0C422B62" w14:textId="77777777" w:rsidR="000573A7" w:rsidRDefault="000573A7" w:rsidP="00AC448A">
      <w:pPr>
        <w:tabs>
          <w:tab w:val="left" w:pos="567"/>
        </w:tabs>
        <w:spacing w:after="0" w:line="240" w:lineRule="auto"/>
        <w:rPr>
          <w:rFonts w:ascii="Times New Roman" w:eastAsia="Times New Roman" w:hAnsi="Times New Roman" w:cs="Times New Roman"/>
          <w:lang w:val="lt-LT"/>
        </w:rPr>
      </w:pPr>
    </w:p>
    <w:p w14:paraId="6D4A6A6A" w14:textId="3ABCC937" w:rsidR="000573A7" w:rsidRPr="00E14983" w:rsidRDefault="00B0680C" w:rsidP="00AC448A">
      <w:pPr>
        <w:tabs>
          <w:tab w:val="left" w:pos="567"/>
        </w:tabs>
        <w:spacing w:after="0" w:line="240" w:lineRule="auto"/>
        <w:rPr>
          <w:rFonts w:ascii="Times New Roman" w:eastAsia="Times New Roman" w:hAnsi="Times New Roman" w:cs="Times New Roman"/>
          <w:lang w:val="lt-LT"/>
        </w:rPr>
      </w:pPr>
      <w:r w:rsidRPr="00B0680C">
        <w:rPr>
          <w:rFonts w:ascii="Times New Roman" w:eastAsia="Times New Roman" w:hAnsi="Times New Roman" w:cs="Times New Roman"/>
          <w:lang w:val="lt-LT"/>
        </w:rPr>
        <w:t>Su pakuote pateikiamame lapelyje nurodomas gamintojo, atsakingo už konkrečios serijos išleidimą, pavadinimas ir adresas</w:t>
      </w:r>
      <w:r>
        <w:rPr>
          <w:rFonts w:ascii="Times New Roman" w:eastAsia="Times New Roman" w:hAnsi="Times New Roman" w:cs="Times New Roman"/>
          <w:lang w:val="lt-LT"/>
        </w:rPr>
        <w:t>.</w:t>
      </w:r>
    </w:p>
    <w:p w14:paraId="15FE99AC" w14:textId="635A2729" w:rsidR="00767E96" w:rsidRPr="00E14983" w:rsidRDefault="00767E96" w:rsidP="00AC448A">
      <w:pPr>
        <w:tabs>
          <w:tab w:val="left" w:pos="567"/>
        </w:tabs>
        <w:spacing w:after="0" w:line="240" w:lineRule="auto"/>
        <w:rPr>
          <w:rFonts w:ascii="Times New Roman" w:eastAsia="Times New Roman" w:hAnsi="Times New Roman" w:cs="Times New Roman"/>
          <w:lang w:val="lt-LT"/>
        </w:rPr>
      </w:pPr>
    </w:p>
    <w:p w14:paraId="5FA14B0C" w14:textId="77777777" w:rsidR="00AC448A" w:rsidRPr="00E14983" w:rsidRDefault="00AC448A" w:rsidP="00AC448A">
      <w:pPr>
        <w:tabs>
          <w:tab w:val="left" w:pos="567"/>
        </w:tabs>
        <w:spacing w:after="0" w:line="240" w:lineRule="auto"/>
        <w:rPr>
          <w:rFonts w:ascii="Times New Roman" w:eastAsia="Times New Roman" w:hAnsi="Times New Roman" w:cs="Times New Roman"/>
          <w:b/>
          <w:lang w:val="lt-LT"/>
        </w:rPr>
      </w:pPr>
    </w:p>
    <w:p w14:paraId="17186107" w14:textId="77777777" w:rsidR="009500C0" w:rsidRPr="00E14983" w:rsidRDefault="009500C0" w:rsidP="009500C0">
      <w:pPr>
        <w:tabs>
          <w:tab w:val="left" w:pos="567"/>
        </w:tabs>
        <w:spacing w:after="0" w:line="240" w:lineRule="auto"/>
        <w:ind w:left="567" w:hanging="567"/>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B.</w:t>
      </w:r>
      <w:r w:rsidRPr="00E14983">
        <w:rPr>
          <w:rFonts w:ascii="Times New Roman" w:eastAsia="Times New Roman" w:hAnsi="Times New Roman" w:cs="Times New Roman"/>
          <w:b/>
          <w:snapToGrid w:val="0"/>
          <w:lang w:val="lt-LT"/>
        </w:rPr>
        <w:tab/>
        <w:t>TIEKIMO IR VARTOJIMO SĄLYGOS AR APRIBOJIMAI</w:t>
      </w:r>
    </w:p>
    <w:p w14:paraId="1D4F075C"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p>
    <w:p w14:paraId="7BDA28A3"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Receptinis vaistinis preparatas.</w:t>
      </w:r>
    </w:p>
    <w:p w14:paraId="7B55FBB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lang w:val="lt-LT"/>
        </w:rPr>
        <w:br w:type="page"/>
      </w:r>
    </w:p>
    <w:p w14:paraId="2CA650C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374DBA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351B397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0791D2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15FD8C6"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50C16F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3BD914D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20218B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579C67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BBFBBB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591385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F2A574B"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6637FE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22DDE5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4B67B6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7A8FE2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92BE36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3C0E00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96064E9"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20C00B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4184E7B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2BA32E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C3F45BE"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bookmarkStart w:id="11" w:name="_Toc129243134"/>
      <w:bookmarkStart w:id="12" w:name="_Toc129243259"/>
    </w:p>
    <w:p w14:paraId="02637FF7"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r w:rsidRPr="00E14983">
        <w:rPr>
          <w:rFonts w:ascii="Times New Roman" w:eastAsia="Times New Roman" w:hAnsi="Times New Roman" w:cs="Times New Roman"/>
          <w:b/>
          <w:caps/>
          <w:lang w:val="lt-LT" w:eastAsia="en-GB"/>
        </w:rPr>
        <w:t>III PRIEDAS</w:t>
      </w:r>
      <w:bookmarkEnd w:id="11"/>
      <w:bookmarkEnd w:id="12"/>
    </w:p>
    <w:p w14:paraId="3E30D676" w14:textId="77777777" w:rsidR="009500C0" w:rsidRPr="00E14983" w:rsidRDefault="009500C0" w:rsidP="009500C0">
      <w:pPr>
        <w:widowControl w:val="0"/>
        <w:tabs>
          <w:tab w:val="left" w:pos="567"/>
        </w:tabs>
        <w:autoSpaceDE w:val="0"/>
        <w:autoSpaceDN w:val="0"/>
        <w:adjustRightInd w:val="0"/>
        <w:snapToGrid w:val="0"/>
        <w:spacing w:after="0" w:line="240" w:lineRule="auto"/>
        <w:jc w:val="center"/>
        <w:rPr>
          <w:rFonts w:ascii="Times New Roman" w:eastAsia="Times New Roman" w:hAnsi="Times New Roman" w:cs="Times New Roman"/>
          <w:lang w:val="lt-LT"/>
        </w:rPr>
      </w:pPr>
    </w:p>
    <w:p w14:paraId="72A03B64"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bookmarkStart w:id="13" w:name="_Toc129243135"/>
      <w:bookmarkStart w:id="14" w:name="_Toc129243260"/>
      <w:r w:rsidRPr="00E14983">
        <w:rPr>
          <w:rFonts w:ascii="Times New Roman" w:eastAsia="Times New Roman" w:hAnsi="Times New Roman" w:cs="Times New Roman"/>
          <w:b/>
          <w:caps/>
          <w:lang w:val="lt-LT" w:eastAsia="en-GB"/>
        </w:rPr>
        <w:t>ŽENKLINIMAS IR PAKUOTĖS LAPELIS</w:t>
      </w:r>
      <w:bookmarkEnd w:id="13"/>
      <w:bookmarkEnd w:id="14"/>
    </w:p>
    <w:p w14:paraId="081369F6" w14:textId="77777777" w:rsidR="009500C0" w:rsidRPr="00E14983" w:rsidRDefault="009500C0" w:rsidP="009500C0">
      <w:pPr>
        <w:widowControl w:val="0"/>
        <w:tabs>
          <w:tab w:val="left" w:pos="567"/>
        </w:tabs>
        <w:autoSpaceDE w:val="0"/>
        <w:autoSpaceDN w:val="0"/>
        <w:adjustRightInd w:val="0"/>
        <w:snapToGrid w:val="0"/>
        <w:spacing w:after="0" w:line="240" w:lineRule="auto"/>
        <w:jc w:val="center"/>
        <w:rPr>
          <w:rFonts w:ascii="Times New Roman" w:eastAsia="Times New Roman" w:hAnsi="Times New Roman" w:cs="Times New Roman"/>
          <w:lang w:val="lt-LT"/>
        </w:rPr>
      </w:pPr>
      <w:r w:rsidRPr="00E14983">
        <w:rPr>
          <w:rFonts w:ascii="Times New Roman" w:eastAsia="Times New Roman" w:hAnsi="Times New Roman" w:cs="Times New Roman"/>
          <w:lang w:val="lt-LT"/>
        </w:rPr>
        <w:br w:type="page"/>
      </w:r>
    </w:p>
    <w:p w14:paraId="6BD4B4F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A2E72B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42F2D4E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8DF862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3229676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9706B9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8DBD71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4D794C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D726C3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9ADFAA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275CAF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BF70CB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4FB0874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4243813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32C2136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5A6FDF4A"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0D5F78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B866B4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ECE968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0672808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71BA9FA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F8AA76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543D73B"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bookmarkStart w:id="15" w:name="_Toc129243136"/>
      <w:bookmarkStart w:id="16" w:name="_Toc129243261"/>
    </w:p>
    <w:p w14:paraId="36A4C59B" w14:textId="77777777" w:rsidR="009500C0" w:rsidRPr="00E14983" w:rsidRDefault="009500C0" w:rsidP="009500C0">
      <w:pPr>
        <w:tabs>
          <w:tab w:val="left" w:pos="567"/>
        </w:tabs>
        <w:snapToGrid w:val="0"/>
        <w:spacing w:after="0" w:line="240" w:lineRule="auto"/>
        <w:jc w:val="center"/>
        <w:outlineLvl w:val="0"/>
        <w:rPr>
          <w:rFonts w:ascii="Times New Roman" w:eastAsia="Times New Roman" w:hAnsi="Times New Roman" w:cs="Times New Roman"/>
          <w:b/>
          <w:caps/>
          <w:lang w:val="lt-LT" w:eastAsia="en-GB"/>
        </w:rPr>
      </w:pPr>
      <w:r w:rsidRPr="00E14983">
        <w:rPr>
          <w:rFonts w:ascii="Times New Roman" w:eastAsia="Times New Roman" w:hAnsi="Times New Roman" w:cs="Times New Roman"/>
          <w:b/>
          <w:caps/>
          <w:lang w:val="lt-LT" w:eastAsia="en-GB"/>
        </w:rPr>
        <w:t>A. ŽENKLINIMAS</w:t>
      </w:r>
      <w:bookmarkEnd w:id="15"/>
      <w:bookmarkEnd w:id="16"/>
    </w:p>
    <w:p w14:paraId="6A3D969C" w14:textId="77777777"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br w:type="page"/>
      </w:r>
    </w:p>
    <w:p w14:paraId="57C7CD91" w14:textId="77777777"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lastRenderedPageBreak/>
        <w:t>INFORMACIJA ANT IŠORINĖS PAKUOTĖS</w:t>
      </w:r>
    </w:p>
    <w:p w14:paraId="272606EC" w14:textId="77777777"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78E45E01" w14:textId="77777777"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KARTONO DĖŽUTĖ</w:t>
      </w:r>
    </w:p>
    <w:p w14:paraId="6BF7372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60B0D6A"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10E4AEF"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w:t>
      </w:r>
      <w:r w:rsidRPr="00E14983">
        <w:rPr>
          <w:rFonts w:ascii="Times New Roman" w:eastAsia="Times New Roman" w:hAnsi="Times New Roman" w:cs="Times New Roman"/>
          <w:b/>
          <w:snapToGrid w:val="0"/>
          <w:lang w:val="lt-LT"/>
        </w:rPr>
        <w:tab/>
      </w:r>
      <w:r w:rsidRPr="00E14983">
        <w:rPr>
          <w:rFonts w:ascii="Times New Roman" w:eastAsia="Times New Roman" w:hAnsi="Times New Roman" w:cs="Times New Roman"/>
          <w:b/>
          <w:caps/>
          <w:snapToGrid w:val="0"/>
          <w:lang w:val="lt-LT"/>
        </w:rPr>
        <w:t>VAISTINIO</w:t>
      </w:r>
      <w:r w:rsidRPr="00E14983">
        <w:rPr>
          <w:rFonts w:ascii="Times New Roman" w:eastAsia="Times New Roman" w:hAnsi="Times New Roman" w:cs="Times New Roman"/>
          <w:b/>
          <w:snapToGrid w:val="0"/>
          <w:lang w:val="lt-LT"/>
        </w:rPr>
        <w:t xml:space="preserve"> PREPARATO PAVADINIMAS</w:t>
      </w:r>
    </w:p>
    <w:p w14:paraId="4C5DB234"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18A46A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Irinotecan Accord 20 mg/ml koncentratas infuziniam tirpalui</w:t>
      </w:r>
    </w:p>
    <w:p w14:paraId="70C4BB92"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Arial Unicode MS" w:hAnsi="Times New Roman" w:cs="Times New Roman"/>
          <w:bCs/>
          <w:i/>
          <w:lang w:val="lt-LT"/>
        </w:rPr>
      </w:pPr>
      <w:r w:rsidRPr="00E14983">
        <w:rPr>
          <w:rFonts w:ascii="Times New Roman" w:eastAsia="Arial Unicode MS" w:hAnsi="Times New Roman" w:cs="Times New Roman"/>
          <w:bCs/>
          <w:i/>
          <w:lang w:val="lt-LT"/>
        </w:rPr>
        <w:t>Irinotecani hydrochloridum trihydricum</w:t>
      </w:r>
    </w:p>
    <w:p w14:paraId="465CC082"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F52076D"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8F3D663"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2.</w:t>
      </w:r>
      <w:r w:rsidRPr="00E14983">
        <w:rPr>
          <w:rFonts w:ascii="Times New Roman" w:eastAsia="Times New Roman" w:hAnsi="Times New Roman" w:cs="Times New Roman"/>
          <w:b/>
          <w:snapToGrid w:val="0"/>
          <w:lang w:val="lt-LT"/>
        </w:rPr>
        <w:tab/>
        <w:t>VEIKLIOJI (-IOS) MEDŽIAGA (-OS) IR JOS (-Ų) KIEKIS (-IAI)</w:t>
      </w:r>
    </w:p>
    <w:p w14:paraId="7D745C1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3FEE807"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1 ml yra 20 mg irinotekano hidrochlorido trihidrato.</w:t>
      </w:r>
    </w:p>
    <w:p w14:paraId="15183B9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DB2209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Kiekviename 2 ml flakone yra 40 mg irinotekano hidrochlorido trihidrato (20 mg/ml).</w:t>
      </w:r>
    </w:p>
    <w:p w14:paraId="1598FE7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highlight w:val="lightGray"/>
          <w:lang w:val="lt-LT"/>
        </w:rPr>
      </w:pPr>
      <w:r w:rsidRPr="00E14983">
        <w:rPr>
          <w:rFonts w:ascii="Times New Roman" w:hAnsi="Times New Roman"/>
          <w:color w:val="000000"/>
          <w:highlight w:val="lightGray"/>
          <w:lang w:val="lt-LT"/>
        </w:rPr>
        <w:t>Kiekviename 5 ml flakone yra 100 mg irinotekano hidrochlorido trihidrato (20 mg/ml).</w:t>
      </w:r>
    </w:p>
    <w:p w14:paraId="2966411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highlight w:val="lightGray"/>
          <w:lang w:val="lt-LT"/>
        </w:rPr>
      </w:pPr>
      <w:r w:rsidRPr="00E14983">
        <w:rPr>
          <w:rFonts w:ascii="Times New Roman" w:hAnsi="Times New Roman"/>
          <w:color w:val="000000"/>
          <w:highlight w:val="lightGray"/>
          <w:lang w:val="lt-LT"/>
        </w:rPr>
        <w:t>Kiekviename 15 ml flakone yra 300 mg irinotekano hidrochlorido trihidrato (20 mg/ml).</w:t>
      </w:r>
    </w:p>
    <w:p w14:paraId="52DBFBD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hAnsi="Times New Roman"/>
          <w:color w:val="000000"/>
          <w:highlight w:val="lightGray"/>
          <w:lang w:val="lt-LT"/>
        </w:rPr>
      </w:pPr>
      <w:r w:rsidRPr="00E14983">
        <w:rPr>
          <w:rFonts w:ascii="Times New Roman" w:hAnsi="Times New Roman"/>
          <w:color w:val="000000"/>
          <w:highlight w:val="lightGray"/>
          <w:lang w:val="lt-LT"/>
        </w:rPr>
        <w:t>Kiekviename 25 ml flakone yra 500 mg irinotekano hidrochlorido trihidrato (20 mg/ml).</w:t>
      </w:r>
    </w:p>
    <w:p w14:paraId="5C59B4A2" w14:textId="42B3317C" w:rsidR="009500C0" w:rsidRPr="00E14983" w:rsidRDefault="008218CA" w:rsidP="008218CA">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highlight w:val="lightGray"/>
          <w:lang w:val="lt-LT"/>
        </w:rPr>
        <w:t>Kiekviename 50 ml flakone yra 1000 mg irinotekano hidrochlorido trihidrato (20 mg/ml).</w:t>
      </w:r>
    </w:p>
    <w:p w14:paraId="78738DE7" w14:textId="0B0C29BE"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hAnsi="Times New Roman"/>
          <w:color w:val="000000"/>
          <w:lang w:val="lt-LT"/>
        </w:rPr>
      </w:pPr>
    </w:p>
    <w:p w14:paraId="6CAA0AE7" w14:textId="77777777" w:rsidR="008218CA" w:rsidRPr="00E14983" w:rsidRDefault="008218CA"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417DC12"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3.</w:t>
      </w:r>
      <w:r w:rsidRPr="00E14983">
        <w:rPr>
          <w:rFonts w:ascii="Times New Roman" w:eastAsia="Times New Roman" w:hAnsi="Times New Roman" w:cs="Times New Roman"/>
          <w:b/>
          <w:snapToGrid w:val="0"/>
          <w:lang w:val="lt-LT"/>
        </w:rPr>
        <w:tab/>
        <w:t>PAGALBINIŲ MEDŽIAGŲ SĄRAŠAS</w:t>
      </w:r>
    </w:p>
    <w:p w14:paraId="2262497A"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FA983D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Sorbitolis (E420), pieno rūgštis, natrio hidroksidas ir (arba) vandenilio chlorido rūgštis, injekcinis vanduo.</w:t>
      </w:r>
    </w:p>
    <w:p w14:paraId="1534BE7B"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37C3E9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078F7E5"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4.</w:t>
      </w:r>
      <w:r w:rsidRPr="00E14983">
        <w:rPr>
          <w:rFonts w:ascii="Times New Roman" w:eastAsia="Times New Roman" w:hAnsi="Times New Roman" w:cs="Times New Roman"/>
          <w:b/>
          <w:snapToGrid w:val="0"/>
          <w:lang w:val="lt-LT"/>
        </w:rPr>
        <w:tab/>
        <w:t>FARMACINĖ FORMA IR KIEKIS PAKUOTĖJE</w:t>
      </w:r>
    </w:p>
    <w:p w14:paraId="6BCB075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6E6B907"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hAnsi="Times New Roman"/>
          <w:highlight w:val="lightGray"/>
          <w:lang w:val="lt-LT"/>
        </w:rPr>
        <w:t>Koncentratas infuziniam tirpalui</w:t>
      </w:r>
    </w:p>
    <w:p w14:paraId="3C552293" w14:textId="77777777" w:rsidR="009500C0" w:rsidRPr="00E14983" w:rsidRDefault="009500C0"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lang w:val="lt-LT"/>
        </w:rPr>
        <w:t>2 ml</w:t>
      </w:r>
    </w:p>
    <w:p w14:paraId="291C43DC"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5 ml</w:t>
      </w:r>
    </w:p>
    <w:p w14:paraId="3C641C53"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15 ml</w:t>
      </w:r>
    </w:p>
    <w:p w14:paraId="679F67FA"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25 ml</w:t>
      </w:r>
    </w:p>
    <w:p w14:paraId="6964DB21" w14:textId="713A30BD" w:rsidR="009500C0" w:rsidRPr="00E14983" w:rsidRDefault="008218CA"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highlight w:val="lightGray"/>
          <w:lang w:val="lt-LT"/>
        </w:rPr>
        <w:t>50 ml</w:t>
      </w:r>
    </w:p>
    <w:p w14:paraId="606CBE37" w14:textId="77777777" w:rsidR="008218CA" w:rsidRPr="00E14983" w:rsidRDefault="008218CA" w:rsidP="009500C0">
      <w:pPr>
        <w:spacing w:after="0" w:line="240" w:lineRule="auto"/>
        <w:ind w:right="29"/>
        <w:rPr>
          <w:rFonts w:ascii="Times New Roman" w:eastAsia="Times New Roman" w:hAnsi="Times New Roman" w:cs="Times New Roman"/>
          <w:lang w:val="lt-LT"/>
        </w:rPr>
      </w:pPr>
    </w:p>
    <w:p w14:paraId="5D375DC0" w14:textId="77777777" w:rsidR="009500C0" w:rsidRPr="00E14983" w:rsidRDefault="009500C0"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lang w:val="lt-LT"/>
        </w:rPr>
        <w:t>40 mg/2 ml</w:t>
      </w:r>
    </w:p>
    <w:p w14:paraId="301463A5"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100 mg/5 ml</w:t>
      </w:r>
    </w:p>
    <w:p w14:paraId="193F8311"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300 mg/15 ml</w:t>
      </w:r>
    </w:p>
    <w:p w14:paraId="3493D9A6"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 xml:space="preserve">500 mg/25 ml </w:t>
      </w:r>
    </w:p>
    <w:p w14:paraId="2711912B" w14:textId="5BF5C500" w:rsidR="009500C0" w:rsidRPr="00E14983" w:rsidRDefault="008218CA"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highlight w:val="lightGray"/>
          <w:lang w:val="lt-LT"/>
        </w:rPr>
        <w:t>1000 mg/50 ml</w:t>
      </w:r>
    </w:p>
    <w:p w14:paraId="7E937626" w14:textId="77777777" w:rsidR="008218CA" w:rsidRPr="00E14983" w:rsidRDefault="008218CA"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7FAEC9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0546CFA"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5.</w:t>
      </w:r>
      <w:r w:rsidRPr="00E14983">
        <w:rPr>
          <w:rFonts w:ascii="Times New Roman" w:eastAsia="Times New Roman" w:hAnsi="Times New Roman" w:cs="Times New Roman"/>
          <w:b/>
          <w:snapToGrid w:val="0"/>
          <w:lang w:val="lt-LT"/>
        </w:rPr>
        <w:tab/>
        <w:t>VARTOJIMO METODAS IR BŪDAS (-AI)</w:t>
      </w:r>
    </w:p>
    <w:p w14:paraId="61E564C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858C5DE"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Praskiedus, leisti į veną.</w:t>
      </w:r>
    </w:p>
    <w:p w14:paraId="40ABB4BC"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Prieš vartojimą perskaitykite pakuotės lapelį.</w:t>
      </w:r>
    </w:p>
    <w:p w14:paraId="1641570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3B4935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1863F3D"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6.</w:t>
      </w:r>
      <w:r w:rsidRPr="00E14983">
        <w:rPr>
          <w:rFonts w:ascii="Times New Roman" w:eastAsia="Times New Roman" w:hAnsi="Times New Roman" w:cs="Times New Roman"/>
          <w:b/>
          <w:snapToGrid w:val="0"/>
          <w:lang w:val="lt-LT"/>
        </w:rPr>
        <w:tab/>
        <w:t>SPECIALUS ĮSPĖJIMAS, KAD VAISTINĮ PREPARATĄ BŪTINA LAIKYTI VAIKAMS NEPASTEBIMOJE IR NEPASIEKIAMOJE VIETOJE</w:t>
      </w:r>
    </w:p>
    <w:p w14:paraId="3634C29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119832E" w14:textId="77777777" w:rsidR="009500C0" w:rsidRPr="00E14983" w:rsidRDefault="009500C0" w:rsidP="009500C0">
      <w:pPr>
        <w:tabs>
          <w:tab w:val="left" w:pos="567"/>
        </w:tab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Laikyti vaikams nepastebimoje ir nepasiekiamoje vietoje.</w:t>
      </w:r>
    </w:p>
    <w:p w14:paraId="6ACA464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CF66E46"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4F17009"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lastRenderedPageBreak/>
        <w:t>7.</w:t>
      </w:r>
      <w:r w:rsidRPr="00E14983">
        <w:rPr>
          <w:rFonts w:ascii="Times New Roman" w:eastAsia="Times New Roman" w:hAnsi="Times New Roman" w:cs="Times New Roman"/>
          <w:b/>
          <w:snapToGrid w:val="0"/>
          <w:lang w:val="lt-LT"/>
        </w:rPr>
        <w:tab/>
        <w:t>KITAS (-I) SPECIALUS (-ŪS) ĮSPĖJIMAS (-AI) (JEI REIKIA)</w:t>
      </w:r>
    </w:p>
    <w:p w14:paraId="7D63E5C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C73F62F"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CITOTOKSIŠKAS</w:t>
      </w:r>
    </w:p>
    <w:p w14:paraId="07B86E13"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9639243"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Tik vienkartiniam vartojimui.</w:t>
      </w:r>
    </w:p>
    <w:p w14:paraId="0BEEF97F"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69E638DA"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01FFA7B"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8.</w:t>
      </w:r>
      <w:r w:rsidRPr="00E14983">
        <w:rPr>
          <w:rFonts w:ascii="Times New Roman" w:eastAsia="Times New Roman" w:hAnsi="Times New Roman" w:cs="Times New Roman"/>
          <w:b/>
          <w:snapToGrid w:val="0"/>
          <w:lang w:val="lt-LT"/>
        </w:rPr>
        <w:tab/>
        <w:t>TINKAMUMO LAIKAS</w:t>
      </w:r>
    </w:p>
    <w:p w14:paraId="25D9211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15D84CF9" w14:textId="2D7FCC5F" w:rsidR="009500C0" w:rsidRPr="00E14983" w:rsidRDefault="008F4321" w:rsidP="009500C0">
      <w:pPr>
        <w:tabs>
          <w:tab w:val="left" w:pos="567"/>
        </w:tab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EXP</w:t>
      </w:r>
      <w:r w:rsidR="009500C0" w:rsidRPr="00E14983">
        <w:rPr>
          <w:rFonts w:ascii="Times New Roman" w:eastAsia="Times New Roman" w:hAnsi="Times New Roman" w:cs="Times New Roman"/>
          <w:snapToGrid w:val="0"/>
          <w:lang w:val="lt-LT"/>
        </w:rPr>
        <w:t xml:space="preserve"> </w:t>
      </w:r>
      <w:r w:rsidRPr="00E14983">
        <w:rPr>
          <w:rFonts w:ascii="Times New Roman" w:eastAsia="Times New Roman" w:hAnsi="Times New Roman" w:cs="Times New Roman"/>
          <w:snapToGrid w:val="0"/>
          <w:lang w:val="lt-LT"/>
        </w:rPr>
        <w:t>{</w:t>
      </w:r>
      <w:r w:rsidR="009500C0" w:rsidRPr="00E14983">
        <w:rPr>
          <w:rFonts w:ascii="Times New Roman" w:eastAsia="Times New Roman" w:hAnsi="Times New Roman" w:cs="Times New Roman"/>
          <w:snapToGrid w:val="0"/>
          <w:lang w:val="lt-LT"/>
        </w:rPr>
        <w:t>mm/MMMM</w:t>
      </w:r>
      <w:r w:rsidRPr="00E14983">
        <w:rPr>
          <w:rFonts w:ascii="Times New Roman" w:eastAsia="Times New Roman" w:hAnsi="Times New Roman" w:cs="Times New Roman"/>
          <w:snapToGrid w:val="0"/>
          <w:lang w:val="lt-LT"/>
        </w:rPr>
        <w:t>}</w:t>
      </w:r>
    </w:p>
    <w:p w14:paraId="260DB477"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76D1020F"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Praskiestą vaistinį preparatą suvartoti nedelsiant. Daugiau informacijos pateikta pakuotės lapelyje.</w:t>
      </w:r>
    </w:p>
    <w:p w14:paraId="4B48E891"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p>
    <w:p w14:paraId="470EEAE7"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22566CCC" w14:textId="77777777" w:rsidR="009500C0" w:rsidRPr="00E14983" w:rsidRDefault="009500C0" w:rsidP="009500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9.</w:t>
      </w:r>
      <w:r w:rsidRPr="00E14983">
        <w:rPr>
          <w:rFonts w:ascii="Times New Roman" w:eastAsia="Times New Roman" w:hAnsi="Times New Roman" w:cs="Times New Roman"/>
          <w:b/>
          <w:snapToGrid w:val="0"/>
          <w:lang w:val="lt-LT"/>
        </w:rPr>
        <w:tab/>
        <w:t>SPECIALIOS LAIKYMO SĄLYGOS</w:t>
      </w:r>
    </w:p>
    <w:p w14:paraId="68988F8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FC6D11C" w14:textId="1AD01475"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Laikyti gamintojo pakuotėje, kad </w:t>
      </w:r>
      <w:r w:rsidR="00AD420A" w:rsidRPr="00E14983">
        <w:rPr>
          <w:rFonts w:ascii="Times New Roman" w:eastAsia="Times New Roman" w:hAnsi="Times New Roman" w:cs="Times New Roman"/>
          <w:lang w:val="lt-LT"/>
        </w:rPr>
        <w:t>vaistas</w:t>
      </w:r>
      <w:r w:rsidRPr="00E14983">
        <w:rPr>
          <w:rFonts w:ascii="Times New Roman" w:eastAsia="Times New Roman" w:hAnsi="Times New Roman" w:cs="Times New Roman"/>
          <w:lang w:val="lt-LT"/>
        </w:rPr>
        <w:t xml:space="preserve"> būtų apsaugotas nuo šviesos. Negalima užšaldyti.</w:t>
      </w:r>
    </w:p>
    <w:p w14:paraId="4950F94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279393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F95EECB"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10.</w:t>
      </w:r>
      <w:r w:rsidRPr="00E14983">
        <w:rPr>
          <w:rFonts w:ascii="Times New Roman" w:eastAsia="Times New Roman" w:hAnsi="Times New Roman" w:cs="Times New Roman"/>
          <w:b/>
          <w:snapToGrid w:val="0"/>
          <w:lang w:val="lt-LT"/>
        </w:rPr>
        <w:tab/>
        <w:t>SPECIALIOS ATSARGUMO PRIEMONĖS DĖL NESUVARTOTO VAISTINIO PREPARATO AR JO ATLIEKŲ TVARKYMO (JEI REIKIA)</w:t>
      </w:r>
    </w:p>
    <w:p w14:paraId="75F6B178"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14032CA0" w14:textId="77777777" w:rsidR="009500C0" w:rsidRPr="00E14983" w:rsidRDefault="009500C0" w:rsidP="009500C0">
      <w:pPr>
        <w:tabs>
          <w:tab w:val="left" w:pos="567"/>
        </w:tabs>
        <w:spacing w:after="0" w:line="240" w:lineRule="auto"/>
        <w:rPr>
          <w:rFonts w:ascii="Times New Roman" w:eastAsia="Arial Unicode MS" w:hAnsi="Times New Roman" w:cs="Times New Roman"/>
          <w:lang w:val="lt-LT"/>
        </w:rPr>
      </w:pPr>
      <w:r w:rsidRPr="00E14983">
        <w:rPr>
          <w:rFonts w:ascii="Times New Roman" w:eastAsia="Arial Unicode MS" w:hAnsi="Times New Roman" w:cs="Times New Roman"/>
          <w:lang w:val="lt-LT"/>
        </w:rPr>
        <w:t>Atliekų tvarkymas: žr. pakuotės lapelyje.</w:t>
      </w:r>
    </w:p>
    <w:p w14:paraId="58D3BC7B"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DF2AA07"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7171A53B"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11.</w:t>
      </w:r>
      <w:r w:rsidRPr="00E14983">
        <w:rPr>
          <w:rFonts w:ascii="Times New Roman" w:eastAsia="Times New Roman" w:hAnsi="Times New Roman" w:cs="Times New Roman"/>
          <w:b/>
          <w:snapToGrid w:val="0"/>
          <w:lang w:val="lt-LT"/>
        </w:rPr>
        <w:tab/>
      </w:r>
      <w:r w:rsidRPr="00E14983">
        <w:rPr>
          <w:rFonts w:ascii="Times New Roman" w:eastAsia="Times New Roman" w:hAnsi="Times New Roman" w:cs="Times New Roman"/>
          <w:b/>
          <w:caps/>
          <w:snapToGrid w:val="0"/>
          <w:lang w:val="lt-LT"/>
        </w:rPr>
        <w:t>REGISTRUOTOJO PAVADINIMAS IR ADRESAS</w:t>
      </w:r>
    </w:p>
    <w:p w14:paraId="2FDCCEB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4F2BC69" w14:textId="11980A6B" w:rsidR="009500C0" w:rsidRPr="00E14983" w:rsidRDefault="009500C0" w:rsidP="00AC448A">
      <w:pPr>
        <w:spacing w:after="0" w:line="240" w:lineRule="auto"/>
        <w:rPr>
          <w:rFonts w:ascii="Times New Roman" w:hAnsi="Times New Roman"/>
          <w:lang w:val="lt-LT"/>
        </w:rPr>
      </w:pPr>
      <w:r w:rsidRPr="00E14983">
        <w:rPr>
          <w:rFonts w:ascii="Times New Roman" w:hAnsi="Times New Roman"/>
          <w:lang w:val="lt-LT"/>
        </w:rPr>
        <w:t xml:space="preserve">Accord Healthcare </w:t>
      </w:r>
      <w:r w:rsidR="001F6662" w:rsidRPr="00E14983">
        <w:rPr>
          <w:rFonts w:ascii="Times New Roman" w:hAnsi="Times New Roman" w:cs="Times New Roman"/>
          <w:lang w:val="lt-LT"/>
        </w:rPr>
        <w:t xml:space="preserve">B.V. </w:t>
      </w:r>
    </w:p>
    <w:p w14:paraId="355A74D5"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Winthontlaan 200 </w:t>
      </w:r>
    </w:p>
    <w:p w14:paraId="6A40D463"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3526 KV Utrecht </w:t>
      </w:r>
    </w:p>
    <w:p w14:paraId="5420BEF8" w14:textId="77777777" w:rsidR="001F6662" w:rsidRPr="00E14983" w:rsidRDefault="001F6662" w:rsidP="001F6662">
      <w:pPr>
        <w:spacing w:after="0" w:line="240" w:lineRule="auto"/>
        <w:rPr>
          <w:lang w:val="lt-LT"/>
        </w:rPr>
      </w:pPr>
      <w:r w:rsidRPr="00E14983">
        <w:rPr>
          <w:rFonts w:ascii="Times New Roman" w:hAnsi="Times New Roman" w:cs="Times New Roman"/>
          <w:lang w:val="lt-LT"/>
        </w:rPr>
        <w:t>Nyderlandai</w:t>
      </w:r>
    </w:p>
    <w:p w14:paraId="156CA6B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443F04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D669A8E"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12.</w:t>
      </w:r>
      <w:r w:rsidRPr="00E14983">
        <w:rPr>
          <w:rFonts w:ascii="Times New Roman" w:eastAsia="Times New Roman" w:hAnsi="Times New Roman" w:cs="Times New Roman"/>
          <w:b/>
          <w:snapToGrid w:val="0"/>
          <w:lang w:val="lt-LT"/>
        </w:rPr>
        <w:tab/>
        <w:t xml:space="preserve">REGISTRACIJOS PAŽYMĖJIMO NUMERIS (-IAI) </w:t>
      </w:r>
    </w:p>
    <w:p w14:paraId="24441899"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E37286D"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eastAsia="Times New Roman" w:hAnsi="Times New Roman" w:cs="Times New Roman"/>
          <w:bCs/>
          <w:color w:val="000000"/>
          <w:lang w:val="lt-LT"/>
        </w:rPr>
        <w:t xml:space="preserve">LT/1/16/3953/001 </w:t>
      </w:r>
      <w:r w:rsidRPr="00E14983">
        <w:rPr>
          <w:rFonts w:ascii="Times New Roman" w:hAnsi="Times New Roman"/>
          <w:highlight w:val="lightGray"/>
          <w:lang w:val="lt-LT"/>
        </w:rPr>
        <w:t>– 2 ml, N1</w:t>
      </w:r>
    </w:p>
    <w:p w14:paraId="45168EE7"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LT/1/16/3953/002 – 5 ml, N1</w:t>
      </w:r>
    </w:p>
    <w:p w14:paraId="0D74FB54"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LT/1/16/3953/003 – 15 ml, N1</w:t>
      </w:r>
    </w:p>
    <w:p w14:paraId="5BDA7CF6"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LT/1/16/3953/004 – 25 ml, N1</w:t>
      </w:r>
    </w:p>
    <w:p w14:paraId="656B4421" w14:textId="4FC6FE82" w:rsidR="008218CA"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LT/1/16/3953/005 – 50 ml, N1</w:t>
      </w:r>
    </w:p>
    <w:p w14:paraId="201EA34F" w14:textId="77777777" w:rsidR="004D331C" w:rsidRPr="00E14983" w:rsidRDefault="004D331C" w:rsidP="004D331C">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67A488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C3E040B"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13.</w:t>
      </w:r>
      <w:r w:rsidRPr="00E14983">
        <w:rPr>
          <w:rFonts w:ascii="Times New Roman" w:eastAsia="Times New Roman" w:hAnsi="Times New Roman" w:cs="Times New Roman"/>
          <w:b/>
          <w:snapToGrid w:val="0"/>
          <w:lang w:val="lt-LT"/>
        </w:rPr>
        <w:tab/>
        <w:t xml:space="preserve">SERIJOS NUMERIS </w:t>
      </w:r>
    </w:p>
    <w:p w14:paraId="322DE40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591A5B4" w14:textId="3BAD8BF8" w:rsidR="009500C0" w:rsidRPr="00E14983" w:rsidRDefault="008F4321"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Lot</w:t>
      </w:r>
    </w:p>
    <w:p w14:paraId="5F8EB6F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10E140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421F78E"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14.</w:t>
      </w:r>
      <w:r w:rsidRPr="00E14983">
        <w:rPr>
          <w:rFonts w:ascii="Times New Roman" w:eastAsia="Times New Roman" w:hAnsi="Times New Roman" w:cs="Times New Roman"/>
          <w:b/>
          <w:snapToGrid w:val="0"/>
          <w:lang w:val="lt-LT"/>
        </w:rPr>
        <w:tab/>
        <w:t>PARDAVIMO (IŠDAVIMO) TVARKA</w:t>
      </w:r>
    </w:p>
    <w:p w14:paraId="7622B4D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C81630E" w14:textId="17D18675"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Receptinis</w:t>
      </w:r>
      <w:r w:rsidR="008F4321" w:rsidRPr="00E14983">
        <w:rPr>
          <w:rFonts w:ascii="Times New Roman" w:eastAsia="Times New Roman" w:hAnsi="Times New Roman" w:cs="Times New Roman"/>
          <w:lang w:val="lt-LT"/>
        </w:rPr>
        <w:t xml:space="preserve"> </w:t>
      </w:r>
      <w:r w:rsidR="00AD420A" w:rsidRPr="00E14983">
        <w:rPr>
          <w:rFonts w:ascii="Times New Roman" w:eastAsia="Times New Roman" w:hAnsi="Times New Roman" w:cs="Times New Roman"/>
          <w:lang w:val="lt-LT"/>
        </w:rPr>
        <w:t>vaistas</w:t>
      </w:r>
      <w:r w:rsidRPr="00E14983">
        <w:rPr>
          <w:rFonts w:ascii="Times New Roman" w:eastAsia="Times New Roman" w:hAnsi="Times New Roman" w:cs="Times New Roman"/>
          <w:color w:val="000000"/>
          <w:lang w:val="lt-LT"/>
        </w:rPr>
        <w:t>.</w:t>
      </w:r>
    </w:p>
    <w:p w14:paraId="7AC1ED5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CBC34D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B4337ED" w14:textId="77777777" w:rsidR="009500C0" w:rsidRPr="00E14983" w:rsidRDefault="009500C0" w:rsidP="009500C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15.</w:t>
      </w:r>
      <w:r w:rsidRPr="00E14983">
        <w:rPr>
          <w:rFonts w:ascii="Times New Roman" w:eastAsia="Times New Roman" w:hAnsi="Times New Roman" w:cs="Times New Roman"/>
          <w:b/>
          <w:snapToGrid w:val="0"/>
          <w:lang w:val="lt-LT"/>
        </w:rPr>
        <w:tab/>
        <w:t>VARTOJIMO INSTRUKCIJA</w:t>
      </w:r>
    </w:p>
    <w:p w14:paraId="3CC55EA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ACC370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7680101" w14:textId="77777777" w:rsidR="009500C0" w:rsidRPr="00E14983" w:rsidRDefault="009500C0" w:rsidP="009500C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E14983">
        <w:rPr>
          <w:rFonts w:ascii="Times New Roman" w:eastAsia="Times New Roman" w:hAnsi="Times New Roman" w:cs="Times New Roman"/>
          <w:b/>
          <w:snapToGrid w:val="0"/>
          <w:lang w:val="lt-LT"/>
        </w:rPr>
        <w:lastRenderedPageBreak/>
        <w:t>16.</w:t>
      </w:r>
      <w:r w:rsidRPr="00E14983">
        <w:rPr>
          <w:rFonts w:ascii="Times New Roman" w:eastAsia="Times New Roman" w:hAnsi="Times New Roman" w:cs="Times New Roman"/>
          <w:b/>
          <w:snapToGrid w:val="0"/>
          <w:lang w:val="lt-LT"/>
        </w:rPr>
        <w:tab/>
        <w:t>INFORMACIJA BRAILIO RAŠTU</w:t>
      </w:r>
    </w:p>
    <w:p w14:paraId="3BFB47C6"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1FD4A8D"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E14983">
        <w:rPr>
          <w:rFonts w:ascii="Times New Roman" w:eastAsia="Times New Roman" w:hAnsi="Times New Roman" w:cs="Times New Roman"/>
          <w:shd w:val="clear" w:color="auto" w:fill="CCCCCC"/>
          <w:lang w:val="lt-LT" w:eastAsia="lt-LT" w:bidi="lt-LT"/>
        </w:rPr>
        <w:t>Priimtas pagrindimas informacijos Brailio raštu nepateikti.</w:t>
      </w:r>
    </w:p>
    <w:p w14:paraId="5D21D1F9"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7581139F"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73DAB69E" w14:textId="77777777" w:rsidR="009500C0" w:rsidRPr="00E14983" w:rsidRDefault="009500C0" w:rsidP="009500C0">
      <w:pPr>
        <w:keepNext/>
        <w:numPr>
          <w:ilvl w:val="1"/>
          <w:numId w:val="4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lang w:val="lt-LT" w:eastAsia="lt-LT" w:bidi="lt-LT"/>
        </w:rPr>
      </w:pPr>
      <w:r w:rsidRPr="00E14983">
        <w:rPr>
          <w:rFonts w:ascii="Times New Roman" w:eastAsia="Times New Roman" w:hAnsi="Times New Roman" w:cs="Times New Roman"/>
          <w:b/>
          <w:lang w:val="lt-LT" w:eastAsia="lt-LT" w:bidi="lt-LT"/>
        </w:rPr>
        <w:t>UNIKALUS IDENTIFIKATORIUS – 2D BRŪKŠNINIS KODAS</w:t>
      </w:r>
    </w:p>
    <w:p w14:paraId="289CAEFB" w14:textId="77777777" w:rsidR="009500C0" w:rsidRPr="00E14983" w:rsidRDefault="009500C0" w:rsidP="009500C0">
      <w:pPr>
        <w:spacing w:after="0" w:line="240" w:lineRule="auto"/>
        <w:rPr>
          <w:rFonts w:ascii="Times New Roman" w:eastAsia="Times New Roman" w:hAnsi="Times New Roman" w:cs="Times New Roman"/>
          <w:lang w:val="lt-LT" w:eastAsia="lt-LT" w:bidi="lt-LT"/>
        </w:rPr>
      </w:pPr>
    </w:p>
    <w:p w14:paraId="1DF19619"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r w:rsidRPr="00E14983">
        <w:rPr>
          <w:rFonts w:ascii="Times New Roman" w:eastAsia="Times New Roman" w:hAnsi="Times New Roman" w:cs="Times New Roman"/>
          <w:highlight w:val="lightGray"/>
          <w:lang w:val="lt-LT" w:eastAsia="lt-LT" w:bidi="lt-LT"/>
        </w:rPr>
        <w:t>2D brūkšninis kodas su nurodytu unikaliu identifikatoriumi.</w:t>
      </w:r>
    </w:p>
    <w:p w14:paraId="5817F86D"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2AA2420B" w14:textId="77777777" w:rsidR="009500C0" w:rsidRPr="00E14983" w:rsidRDefault="009500C0" w:rsidP="009500C0">
      <w:pPr>
        <w:spacing w:after="0" w:line="240" w:lineRule="auto"/>
        <w:rPr>
          <w:rFonts w:ascii="Times New Roman" w:eastAsia="Times New Roman" w:hAnsi="Times New Roman" w:cs="Times New Roman"/>
          <w:lang w:val="lt-LT" w:eastAsia="lt-LT" w:bidi="lt-LT"/>
        </w:rPr>
      </w:pPr>
    </w:p>
    <w:p w14:paraId="2DCC6EAC" w14:textId="77777777" w:rsidR="009500C0" w:rsidRPr="00E14983" w:rsidRDefault="009500C0" w:rsidP="009500C0">
      <w:pPr>
        <w:keepNext/>
        <w:numPr>
          <w:ilvl w:val="1"/>
          <w:numId w:val="46"/>
        </w:numPr>
        <w:pBdr>
          <w:top w:val="single" w:sz="4" w:space="1" w:color="auto"/>
          <w:left w:val="single" w:sz="4" w:space="4" w:color="auto"/>
          <w:bottom w:val="single" w:sz="4" w:space="1" w:color="auto"/>
          <w:right w:val="single" w:sz="4" w:space="4" w:color="auto"/>
        </w:pBdr>
        <w:tabs>
          <w:tab w:val="left" w:pos="567"/>
        </w:tabs>
        <w:spacing w:after="0" w:line="240" w:lineRule="auto"/>
        <w:ind w:left="567"/>
        <w:outlineLvl w:val="0"/>
        <w:rPr>
          <w:rFonts w:ascii="Times New Roman" w:eastAsia="Times New Roman" w:hAnsi="Times New Roman" w:cs="Times New Roman"/>
          <w:i/>
          <w:lang w:val="lt-LT" w:eastAsia="lt-LT" w:bidi="lt-LT"/>
        </w:rPr>
      </w:pPr>
      <w:r w:rsidRPr="00E14983">
        <w:rPr>
          <w:rFonts w:ascii="Times New Roman" w:eastAsia="Times New Roman" w:hAnsi="Times New Roman" w:cs="Times New Roman"/>
          <w:b/>
          <w:lang w:val="lt-LT" w:eastAsia="lt-LT" w:bidi="lt-LT"/>
        </w:rPr>
        <w:t>UNIKALUS IDENTIFIKATORIUS – ŽMONĖMS SUPRANTAMI DUOMENYS</w:t>
      </w:r>
    </w:p>
    <w:p w14:paraId="16BE8BB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7019231" w14:textId="77777777"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PC: </w:t>
      </w:r>
    </w:p>
    <w:p w14:paraId="02521E92" w14:textId="77777777"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SN: </w:t>
      </w:r>
    </w:p>
    <w:p w14:paraId="236B866E" w14:textId="77777777"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NN: </w:t>
      </w:r>
    </w:p>
    <w:p w14:paraId="6F10F710" w14:textId="77777777"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br w:type="page"/>
      </w:r>
    </w:p>
    <w:p w14:paraId="78E30E2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9A208CA"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MINIMALI INFORMACIJA ANT MAŽŲ VIDINIŲ PAKUOČIŲ</w:t>
      </w:r>
    </w:p>
    <w:p w14:paraId="18381084"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p>
    <w:p w14:paraId="39DE5758"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FLAKONO ETIKETĖ (2 ml ir 5 ml)</w:t>
      </w:r>
    </w:p>
    <w:p w14:paraId="21C9981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DDBC0DB"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1.</w:t>
      </w:r>
      <w:r w:rsidRPr="00E14983">
        <w:rPr>
          <w:rFonts w:ascii="Times New Roman" w:eastAsia="Times New Roman" w:hAnsi="Times New Roman" w:cs="Times New Roman"/>
          <w:b/>
          <w:snapToGrid w:val="0"/>
          <w:lang w:val="lt-LT"/>
        </w:rPr>
        <w:tab/>
      </w:r>
      <w:r w:rsidRPr="00E14983">
        <w:rPr>
          <w:rFonts w:ascii="Times New Roman" w:eastAsia="Times New Roman" w:hAnsi="Times New Roman" w:cs="Times New Roman"/>
          <w:b/>
          <w:caps/>
          <w:snapToGrid w:val="0"/>
          <w:lang w:val="lt-LT"/>
        </w:rPr>
        <w:t>Vaistinio preparato pavadinimas ir vartojimo būdas (-ai)</w:t>
      </w:r>
    </w:p>
    <w:p w14:paraId="028274FE"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61CEE92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Irinotecan Accord 20 mg/ml sterilus koncentratas</w:t>
      </w:r>
    </w:p>
    <w:p w14:paraId="59D41FF7" w14:textId="77777777" w:rsidR="009500C0" w:rsidRPr="00E14983" w:rsidRDefault="009500C0" w:rsidP="009500C0">
      <w:pPr>
        <w:tabs>
          <w:tab w:val="left" w:pos="567"/>
        </w:tabs>
        <w:spacing w:after="0" w:line="240" w:lineRule="auto"/>
        <w:jc w:val="both"/>
        <w:rPr>
          <w:rFonts w:ascii="Times New Roman" w:eastAsia="Arial Unicode MS" w:hAnsi="Times New Roman" w:cs="Times New Roman"/>
          <w:bCs/>
          <w:i/>
          <w:lang w:val="lt-LT"/>
        </w:rPr>
      </w:pPr>
      <w:r w:rsidRPr="00E14983">
        <w:rPr>
          <w:rFonts w:ascii="Times New Roman" w:eastAsia="Arial Unicode MS" w:hAnsi="Times New Roman" w:cs="Times New Roman"/>
          <w:bCs/>
          <w:i/>
          <w:lang w:val="lt-LT"/>
        </w:rPr>
        <w:t>Irinotecani hydrochloridum trihydricum</w:t>
      </w:r>
    </w:p>
    <w:p w14:paraId="39DB358D"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r w:rsidRPr="00E14983">
        <w:rPr>
          <w:rFonts w:ascii="Times New Roman" w:eastAsia="Arial Unicode MS" w:hAnsi="Times New Roman" w:cs="Times New Roman"/>
          <w:bCs/>
          <w:lang w:val="lt-LT"/>
        </w:rPr>
        <w:t>i.v.</w:t>
      </w:r>
    </w:p>
    <w:p w14:paraId="29A22E80"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DDEBAE4"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74B4A739"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2.</w:t>
      </w:r>
      <w:r w:rsidRPr="00E14983">
        <w:rPr>
          <w:rFonts w:ascii="Times New Roman" w:eastAsia="Times New Roman" w:hAnsi="Times New Roman" w:cs="Times New Roman"/>
          <w:b/>
          <w:snapToGrid w:val="0"/>
          <w:lang w:val="lt-LT"/>
        </w:rPr>
        <w:tab/>
        <w:t>VARTOJIMO METODAS</w:t>
      </w:r>
    </w:p>
    <w:p w14:paraId="51803336"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E39820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F3EE19F"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3.</w:t>
      </w:r>
      <w:r w:rsidRPr="00E14983">
        <w:rPr>
          <w:rFonts w:ascii="Times New Roman" w:eastAsia="Times New Roman" w:hAnsi="Times New Roman" w:cs="Times New Roman"/>
          <w:b/>
          <w:snapToGrid w:val="0"/>
          <w:lang w:val="lt-LT"/>
        </w:rPr>
        <w:tab/>
        <w:t>TINKAMUMO LAIKAS</w:t>
      </w:r>
    </w:p>
    <w:p w14:paraId="6A6273BD"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5DFF17D7" w14:textId="290966E6" w:rsidR="009500C0" w:rsidRPr="00E14983" w:rsidRDefault="009500C0" w:rsidP="009500C0">
      <w:pPr>
        <w:tabs>
          <w:tab w:val="left" w:pos="567"/>
        </w:tabs>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EXP </w:t>
      </w:r>
      <w:r w:rsidR="008F4321"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mm/MMMM</w:t>
      </w:r>
      <w:r w:rsidR="008F4321" w:rsidRPr="00E14983">
        <w:rPr>
          <w:rFonts w:ascii="Times New Roman" w:eastAsia="Times New Roman" w:hAnsi="Times New Roman" w:cs="Times New Roman"/>
          <w:lang w:val="lt-LT"/>
        </w:rPr>
        <w:t>}</w:t>
      </w:r>
    </w:p>
    <w:p w14:paraId="1E426874"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74ADD958"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C77EF71" w14:textId="77777777" w:rsidR="009500C0" w:rsidRPr="00E14983" w:rsidRDefault="009500C0" w:rsidP="009500C0">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4.</w:t>
      </w:r>
      <w:r w:rsidRPr="00E14983">
        <w:rPr>
          <w:rFonts w:ascii="Times New Roman" w:eastAsia="Times New Roman" w:hAnsi="Times New Roman" w:cs="Times New Roman"/>
          <w:b/>
          <w:snapToGrid w:val="0"/>
          <w:lang w:val="lt-LT"/>
        </w:rPr>
        <w:tab/>
        <w:t xml:space="preserve">SERIJOS NUMERIS </w:t>
      </w:r>
    </w:p>
    <w:p w14:paraId="3029A03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7F50400"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Lot</w:t>
      </w:r>
    </w:p>
    <w:p w14:paraId="1DA7448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4FD92D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EF61B3D"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5.</w:t>
      </w:r>
      <w:r w:rsidRPr="00E14983">
        <w:rPr>
          <w:rFonts w:ascii="Times New Roman" w:eastAsia="Times New Roman" w:hAnsi="Times New Roman" w:cs="Times New Roman"/>
          <w:b/>
          <w:snapToGrid w:val="0"/>
          <w:lang w:val="lt-LT"/>
        </w:rPr>
        <w:tab/>
        <w:t>KIEKIS (MASĖ, TŪRIS ARBA VIENETAI)</w:t>
      </w:r>
    </w:p>
    <w:p w14:paraId="427FDFA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EB40A7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2 ml</w:t>
      </w:r>
    </w:p>
    <w:p w14:paraId="1C0280A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hAnsi="Times New Roman"/>
          <w:color w:val="000000"/>
          <w:highlight w:val="lightGray"/>
          <w:lang w:val="lt-LT"/>
        </w:rPr>
        <w:t>5 ml</w:t>
      </w:r>
    </w:p>
    <w:p w14:paraId="270E3F1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8972693"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40 mg/2 ml</w:t>
      </w:r>
    </w:p>
    <w:p w14:paraId="09AFD1B6"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hAnsi="Times New Roman"/>
          <w:color w:val="000000"/>
          <w:highlight w:val="lightGray"/>
          <w:lang w:val="lt-LT"/>
        </w:rPr>
        <w:t>100 mg/5 ml</w:t>
      </w:r>
    </w:p>
    <w:p w14:paraId="390CF3B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0EE304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CBE3516"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6.</w:t>
      </w:r>
      <w:r w:rsidRPr="00E14983">
        <w:rPr>
          <w:rFonts w:ascii="Times New Roman" w:eastAsia="Times New Roman" w:hAnsi="Times New Roman" w:cs="Times New Roman"/>
          <w:b/>
          <w:snapToGrid w:val="0"/>
          <w:lang w:val="lt-LT"/>
        </w:rPr>
        <w:tab/>
        <w:t>KITA</w:t>
      </w:r>
    </w:p>
    <w:p w14:paraId="7807500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B96F25E"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CITOTOKSIŠKAS</w:t>
      </w:r>
    </w:p>
    <w:p w14:paraId="78DCCC7F"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99E27DC"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536C0959"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br w:type="page"/>
      </w:r>
    </w:p>
    <w:p w14:paraId="72AF80C8" w14:textId="77777777"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lastRenderedPageBreak/>
        <w:t>INFORMACIJA ANT VIDINĖS PAKUOTĖS</w:t>
      </w:r>
    </w:p>
    <w:p w14:paraId="51EC769C" w14:textId="77777777"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snapToGrid w:val="0"/>
          <w:lang w:val="lt-LT"/>
        </w:rPr>
      </w:pPr>
    </w:p>
    <w:p w14:paraId="778F258C" w14:textId="7FAE53A8" w:rsidR="009500C0" w:rsidRPr="00E14983" w:rsidRDefault="009500C0" w:rsidP="009500C0">
      <w:pPr>
        <w:pBdr>
          <w:top w:val="single" w:sz="4" w:space="0"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FLAKONO ETIKETĖ (15 ml</w:t>
      </w:r>
      <w:r w:rsidR="008218CA" w:rsidRPr="00E14983">
        <w:rPr>
          <w:rFonts w:ascii="Times New Roman" w:eastAsia="Times New Roman" w:hAnsi="Times New Roman" w:cs="Times New Roman"/>
          <w:b/>
          <w:snapToGrid w:val="0"/>
          <w:lang w:val="lt-LT"/>
        </w:rPr>
        <w:t>,</w:t>
      </w:r>
      <w:r w:rsidRPr="00E14983">
        <w:rPr>
          <w:rFonts w:ascii="Times New Roman" w:eastAsia="Times New Roman" w:hAnsi="Times New Roman" w:cs="Times New Roman"/>
          <w:b/>
          <w:snapToGrid w:val="0"/>
          <w:lang w:val="lt-LT"/>
        </w:rPr>
        <w:t xml:space="preserve"> 25 ml</w:t>
      </w:r>
      <w:r w:rsidR="008218CA" w:rsidRPr="00E14983">
        <w:rPr>
          <w:rFonts w:ascii="Times New Roman" w:eastAsia="Times New Roman" w:hAnsi="Times New Roman" w:cs="Times New Roman"/>
          <w:b/>
          <w:snapToGrid w:val="0"/>
          <w:lang w:val="lt-LT"/>
        </w:rPr>
        <w:t xml:space="preserve"> ir 50 ml</w:t>
      </w:r>
      <w:r w:rsidRPr="00E14983">
        <w:rPr>
          <w:rFonts w:ascii="Times New Roman" w:eastAsia="Times New Roman" w:hAnsi="Times New Roman" w:cs="Times New Roman"/>
          <w:b/>
          <w:snapToGrid w:val="0"/>
          <w:lang w:val="lt-LT"/>
        </w:rPr>
        <w:t>)</w:t>
      </w:r>
    </w:p>
    <w:p w14:paraId="49A054C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6E07BB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CF69172"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w:t>
      </w:r>
      <w:r w:rsidRPr="00E14983">
        <w:rPr>
          <w:rFonts w:ascii="Times New Roman" w:eastAsia="Times New Roman" w:hAnsi="Times New Roman" w:cs="Times New Roman"/>
          <w:b/>
          <w:snapToGrid w:val="0"/>
          <w:lang w:val="lt-LT"/>
        </w:rPr>
        <w:tab/>
      </w:r>
      <w:r w:rsidRPr="00E14983">
        <w:rPr>
          <w:rFonts w:ascii="Times New Roman" w:eastAsia="Times New Roman" w:hAnsi="Times New Roman" w:cs="Times New Roman"/>
          <w:b/>
          <w:caps/>
          <w:snapToGrid w:val="0"/>
          <w:lang w:val="lt-LT"/>
        </w:rPr>
        <w:t>VAISTINIO</w:t>
      </w:r>
      <w:r w:rsidRPr="00E14983">
        <w:rPr>
          <w:rFonts w:ascii="Times New Roman" w:eastAsia="Times New Roman" w:hAnsi="Times New Roman" w:cs="Times New Roman"/>
          <w:b/>
          <w:snapToGrid w:val="0"/>
          <w:lang w:val="lt-LT"/>
        </w:rPr>
        <w:t xml:space="preserve"> PREPARATO PAVADINIMAS</w:t>
      </w:r>
    </w:p>
    <w:p w14:paraId="6A3668DA"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461540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Irinotecan Accord 20 mg/ml koncentratas infuziniam tirpalui</w:t>
      </w:r>
    </w:p>
    <w:p w14:paraId="64E077EA"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Arial Unicode MS" w:hAnsi="Times New Roman" w:cs="Times New Roman"/>
          <w:bCs/>
          <w:i/>
          <w:lang w:val="lt-LT"/>
        </w:rPr>
      </w:pPr>
      <w:r w:rsidRPr="00E14983">
        <w:rPr>
          <w:rFonts w:ascii="Times New Roman" w:eastAsia="Arial Unicode MS" w:hAnsi="Times New Roman" w:cs="Times New Roman"/>
          <w:bCs/>
          <w:i/>
          <w:lang w:val="lt-LT"/>
        </w:rPr>
        <w:t>Irinotecani hydrochloridum trihydricum</w:t>
      </w:r>
    </w:p>
    <w:p w14:paraId="126525C6"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D66E7A2" w14:textId="77777777" w:rsidR="009500C0" w:rsidRPr="00E14983" w:rsidRDefault="009500C0" w:rsidP="009500C0">
      <w:pPr>
        <w:widowControl w:val="0"/>
        <w:tabs>
          <w:tab w:val="left" w:pos="354"/>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FD10F5C"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2.</w:t>
      </w:r>
      <w:r w:rsidRPr="00E14983">
        <w:rPr>
          <w:rFonts w:ascii="Times New Roman" w:eastAsia="Times New Roman" w:hAnsi="Times New Roman" w:cs="Times New Roman"/>
          <w:b/>
          <w:snapToGrid w:val="0"/>
          <w:lang w:val="lt-LT"/>
        </w:rPr>
        <w:tab/>
        <w:t>VEIKLIOJI (-IOS) MEDŽIAGA (-OS) IR JOS (-Ų) KIEKIS (-IAI)</w:t>
      </w:r>
    </w:p>
    <w:p w14:paraId="124730A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021AC90"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1 ml yra 20 mg irinotekano hidrochlorido trihidrato.</w:t>
      </w:r>
    </w:p>
    <w:p w14:paraId="36E5F7D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2F62B42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8A6E27C"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3.</w:t>
      </w:r>
      <w:r w:rsidRPr="00E14983">
        <w:rPr>
          <w:rFonts w:ascii="Times New Roman" w:eastAsia="Times New Roman" w:hAnsi="Times New Roman" w:cs="Times New Roman"/>
          <w:b/>
          <w:snapToGrid w:val="0"/>
          <w:lang w:val="lt-LT"/>
        </w:rPr>
        <w:tab/>
        <w:t>PAGALBINIŲ MEDŽIAGŲ SĄRAŠAS</w:t>
      </w:r>
    </w:p>
    <w:p w14:paraId="354B9B7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0981E24" w14:textId="77777777" w:rsidR="009500C0" w:rsidRPr="00E14983" w:rsidRDefault="009500C0" w:rsidP="00DD3E4C">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Sorbitolis (E420), pieno rūgštis, natrio hidroksidas ir (arba) vandenilio chlorido rūgštis, injekcinis vanduo.</w:t>
      </w:r>
    </w:p>
    <w:p w14:paraId="56C912D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AE55C3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C0F58BC"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4.</w:t>
      </w:r>
      <w:r w:rsidRPr="00E14983">
        <w:rPr>
          <w:rFonts w:ascii="Times New Roman" w:eastAsia="Times New Roman" w:hAnsi="Times New Roman" w:cs="Times New Roman"/>
          <w:b/>
          <w:snapToGrid w:val="0"/>
          <w:lang w:val="lt-LT"/>
        </w:rPr>
        <w:tab/>
        <w:t>FARMACINĖ FORMA IR KIEKIS PAKUOTĖJE</w:t>
      </w:r>
    </w:p>
    <w:p w14:paraId="03CC0B5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5DB3FA0"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hAnsi="Times New Roman"/>
          <w:highlight w:val="lightGray"/>
          <w:lang w:val="lt-LT"/>
        </w:rPr>
        <w:t>Koncentratas infuziniam tirpalui</w:t>
      </w:r>
    </w:p>
    <w:p w14:paraId="0724BA1D" w14:textId="77777777" w:rsidR="009500C0" w:rsidRPr="00E14983" w:rsidRDefault="009500C0" w:rsidP="009500C0">
      <w:pPr>
        <w:spacing w:after="0" w:line="240" w:lineRule="auto"/>
        <w:ind w:right="29"/>
        <w:rPr>
          <w:rFonts w:ascii="Times New Roman" w:eastAsia="Times New Roman" w:hAnsi="Times New Roman" w:cs="Times New Roman"/>
          <w:lang w:val="lt-LT"/>
        </w:rPr>
      </w:pPr>
    </w:p>
    <w:p w14:paraId="2704ADF9" w14:textId="77777777" w:rsidR="009500C0" w:rsidRPr="00E14983" w:rsidRDefault="009500C0"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lang w:val="lt-LT"/>
        </w:rPr>
        <w:t>15 ml</w:t>
      </w:r>
    </w:p>
    <w:p w14:paraId="7992EF36" w14:textId="77777777" w:rsidR="009500C0" w:rsidRPr="00E14983" w:rsidRDefault="009500C0" w:rsidP="009500C0">
      <w:pPr>
        <w:spacing w:after="0" w:line="240" w:lineRule="auto"/>
        <w:ind w:right="29"/>
        <w:rPr>
          <w:rFonts w:ascii="Times New Roman" w:eastAsia="Times New Roman" w:hAnsi="Times New Roman" w:cs="Times New Roman"/>
          <w:lang w:val="lt-LT"/>
        </w:rPr>
      </w:pPr>
      <w:r w:rsidRPr="00E14983">
        <w:rPr>
          <w:rFonts w:ascii="Times New Roman" w:hAnsi="Times New Roman"/>
          <w:highlight w:val="lightGray"/>
          <w:lang w:val="lt-LT"/>
        </w:rPr>
        <w:t>25 ml</w:t>
      </w:r>
    </w:p>
    <w:p w14:paraId="14EFEEF2" w14:textId="7E9AA825" w:rsidR="009500C0" w:rsidRPr="00E14983" w:rsidRDefault="008218CA"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highlight w:val="lightGray"/>
          <w:lang w:val="lt-LT"/>
        </w:rPr>
        <w:t>50 ml</w:t>
      </w:r>
    </w:p>
    <w:p w14:paraId="0E31905A" w14:textId="77777777" w:rsidR="008218CA" w:rsidRPr="00E14983" w:rsidRDefault="008218CA" w:rsidP="009500C0">
      <w:pPr>
        <w:spacing w:after="0" w:line="240" w:lineRule="auto"/>
        <w:ind w:right="29"/>
        <w:rPr>
          <w:rFonts w:ascii="Times New Roman" w:eastAsia="Times New Roman" w:hAnsi="Times New Roman" w:cs="Times New Roman"/>
          <w:lang w:val="lt-LT"/>
        </w:rPr>
      </w:pPr>
    </w:p>
    <w:p w14:paraId="53AE64FF" w14:textId="77777777" w:rsidR="009500C0" w:rsidRPr="00E14983" w:rsidRDefault="009500C0" w:rsidP="009500C0">
      <w:pPr>
        <w:spacing w:after="0" w:line="240" w:lineRule="auto"/>
        <w:ind w:right="29"/>
        <w:rPr>
          <w:rFonts w:ascii="Times New Roman" w:eastAsia="Times New Roman" w:hAnsi="Times New Roman" w:cs="Times New Roman"/>
          <w:lang w:val="lt-LT"/>
        </w:rPr>
      </w:pPr>
      <w:r w:rsidRPr="00E14983">
        <w:rPr>
          <w:rFonts w:ascii="Times New Roman" w:eastAsia="Times New Roman" w:hAnsi="Times New Roman" w:cs="Times New Roman"/>
          <w:lang w:val="lt-LT"/>
        </w:rPr>
        <w:t>300 mg/15 ml</w:t>
      </w:r>
    </w:p>
    <w:p w14:paraId="6465757C" w14:textId="77777777" w:rsidR="009500C0" w:rsidRPr="00E14983" w:rsidRDefault="009500C0" w:rsidP="009500C0">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 xml:space="preserve">500 mg/25 ml </w:t>
      </w:r>
    </w:p>
    <w:p w14:paraId="2358F0A3" w14:textId="0947BF50" w:rsidR="009500C0" w:rsidRPr="00E14983" w:rsidRDefault="008218CA"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highlight w:val="lightGray"/>
          <w:lang w:val="lt-LT"/>
        </w:rPr>
        <w:t>1000 mg/50 ml</w:t>
      </w:r>
    </w:p>
    <w:p w14:paraId="20832034" w14:textId="77777777" w:rsidR="008218CA" w:rsidRPr="00E14983" w:rsidRDefault="008218CA"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61467D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7E0A002"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5.</w:t>
      </w:r>
      <w:r w:rsidRPr="00E14983">
        <w:rPr>
          <w:rFonts w:ascii="Times New Roman" w:eastAsia="Times New Roman" w:hAnsi="Times New Roman" w:cs="Times New Roman"/>
          <w:b/>
          <w:snapToGrid w:val="0"/>
          <w:lang w:val="lt-LT"/>
        </w:rPr>
        <w:tab/>
        <w:t>VARTOJIMO METODAS IR BŪDAS (-AI)</w:t>
      </w:r>
    </w:p>
    <w:p w14:paraId="7F67650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C9CE5DD"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Praskiedus, leisti į veną.</w:t>
      </w:r>
    </w:p>
    <w:p w14:paraId="6A2B1B09"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Prieš vartojimą perskaitykite pakuotės lapelį.</w:t>
      </w:r>
    </w:p>
    <w:p w14:paraId="12B91A9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23EB38D"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A7B231C"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6.</w:t>
      </w:r>
      <w:r w:rsidRPr="00E14983">
        <w:rPr>
          <w:rFonts w:ascii="Times New Roman" w:eastAsia="Times New Roman" w:hAnsi="Times New Roman" w:cs="Times New Roman"/>
          <w:b/>
          <w:snapToGrid w:val="0"/>
          <w:lang w:val="lt-LT"/>
        </w:rPr>
        <w:tab/>
        <w:t>SPECIALUS ĮSPĖJIMAS, KAD VAISTINĮ PREPARATĄ BŪTINA LAIKYTI VAIKAMS NEPASTEBIMOJE IR NEPASIEKIAMOJE VIETOJE</w:t>
      </w:r>
    </w:p>
    <w:p w14:paraId="00FE987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22B6538" w14:textId="77777777" w:rsidR="009500C0" w:rsidRPr="00E14983" w:rsidRDefault="009500C0" w:rsidP="009500C0">
      <w:pPr>
        <w:tabs>
          <w:tab w:val="left" w:pos="567"/>
        </w:tab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Laikyti vaikams nepastebimoje ir nepasiekiamoje vietoje.</w:t>
      </w:r>
    </w:p>
    <w:p w14:paraId="15D6EF56"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1A87AF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781ABC5"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7.</w:t>
      </w:r>
      <w:r w:rsidRPr="00E14983">
        <w:rPr>
          <w:rFonts w:ascii="Times New Roman" w:eastAsia="Times New Roman" w:hAnsi="Times New Roman" w:cs="Times New Roman"/>
          <w:b/>
          <w:snapToGrid w:val="0"/>
          <w:lang w:val="lt-LT"/>
        </w:rPr>
        <w:tab/>
        <w:t>KITAS (-I) SPECIALUS (-ŪS) ĮSPĖJIMAS (-AI) (JEI REIKIA)</w:t>
      </w:r>
    </w:p>
    <w:p w14:paraId="74A7893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A471AD4"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CITOTOKSIŠKAS</w:t>
      </w:r>
    </w:p>
    <w:p w14:paraId="74DD24EF"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Tik vienkartiniam vartojimui.</w:t>
      </w:r>
    </w:p>
    <w:p w14:paraId="62DED092"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18F452AC"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70145DF5"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8.</w:t>
      </w:r>
      <w:r w:rsidRPr="00E14983">
        <w:rPr>
          <w:rFonts w:ascii="Times New Roman" w:eastAsia="Times New Roman" w:hAnsi="Times New Roman" w:cs="Times New Roman"/>
          <w:b/>
          <w:snapToGrid w:val="0"/>
          <w:lang w:val="lt-LT"/>
        </w:rPr>
        <w:tab/>
        <w:t>TINKAMUMO LAIKAS</w:t>
      </w:r>
    </w:p>
    <w:p w14:paraId="58657929"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47E60F28" w14:textId="50DE62A8"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lastRenderedPageBreak/>
        <w:t xml:space="preserve">EXP </w:t>
      </w:r>
      <w:r w:rsidR="008F4321"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mm/MMMM</w:t>
      </w:r>
      <w:r w:rsidR="008F4321" w:rsidRPr="00E14983">
        <w:rPr>
          <w:rFonts w:ascii="Times New Roman" w:eastAsia="Times New Roman" w:hAnsi="Times New Roman" w:cs="Times New Roman"/>
          <w:lang w:val="lt-LT"/>
        </w:rPr>
        <w:t>}</w:t>
      </w:r>
    </w:p>
    <w:p w14:paraId="3C421B77"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p>
    <w:p w14:paraId="4F24887C"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794D83C" w14:textId="77777777" w:rsidR="009500C0" w:rsidRPr="00E14983" w:rsidRDefault="009500C0" w:rsidP="009500C0">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9.</w:t>
      </w:r>
      <w:r w:rsidRPr="00E14983">
        <w:rPr>
          <w:rFonts w:ascii="Times New Roman" w:eastAsia="Times New Roman" w:hAnsi="Times New Roman" w:cs="Times New Roman"/>
          <w:b/>
          <w:snapToGrid w:val="0"/>
          <w:lang w:val="lt-LT"/>
        </w:rPr>
        <w:tab/>
        <w:t>SPECIALIOS LAIKYMO SĄLYGOS</w:t>
      </w:r>
    </w:p>
    <w:p w14:paraId="343851CF"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FA74E22" w14:textId="7E7B956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Laikyti gamintojo pakuotėje, kad </w:t>
      </w:r>
      <w:r w:rsidR="00ED0805" w:rsidRPr="00E14983">
        <w:rPr>
          <w:rFonts w:ascii="Times New Roman" w:eastAsia="Times New Roman" w:hAnsi="Times New Roman" w:cs="Times New Roman"/>
          <w:lang w:val="lt-LT"/>
        </w:rPr>
        <w:t>vaistas</w:t>
      </w:r>
      <w:r w:rsidRPr="00E14983">
        <w:rPr>
          <w:rFonts w:ascii="Times New Roman" w:eastAsia="Times New Roman" w:hAnsi="Times New Roman" w:cs="Times New Roman"/>
          <w:lang w:val="lt-LT"/>
        </w:rPr>
        <w:t xml:space="preserve"> būtų apsaugotas nuo šviesos. Negalima užšaldyti.</w:t>
      </w:r>
    </w:p>
    <w:p w14:paraId="006D69B0"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Atidarius, flakono turinį būtina nedelsiant praskiesti.</w:t>
      </w:r>
    </w:p>
    <w:p w14:paraId="007C37D1"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38760D3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23E5D67A"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10.</w:t>
      </w:r>
      <w:r w:rsidRPr="00E14983">
        <w:rPr>
          <w:rFonts w:ascii="Times New Roman" w:eastAsia="Times New Roman" w:hAnsi="Times New Roman" w:cs="Times New Roman"/>
          <w:b/>
          <w:snapToGrid w:val="0"/>
          <w:lang w:val="lt-LT"/>
        </w:rPr>
        <w:tab/>
        <w:t>SPECIALIOS ATSARGUMO PRIEMONĖS DĖL NESUVARTOTO VAISTINIO PREPARATO AR JO ATLIEKŲ TVARKYMO (JEI REIKIA)</w:t>
      </w:r>
    </w:p>
    <w:p w14:paraId="4361C93B"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1971BE25"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3B983F86"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11.</w:t>
      </w:r>
      <w:r w:rsidRPr="00E14983">
        <w:rPr>
          <w:rFonts w:ascii="Times New Roman" w:eastAsia="Times New Roman" w:hAnsi="Times New Roman" w:cs="Times New Roman"/>
          <w:b/>
          <w:snapToGrid w:val="0"/>
          <w:lang w:val="lt-LT"/>
        </w:rPr>
        <w:tab/>
      </w:r>
      <w:r w:rsidRPr="00E14983">
        <w:rPr>
          <w:rFonts w:ascii="Times New Roman" w:eastAsia="Times New Roman" w:hAnsi="Times New Roman" w:cs="Times New Roman"/>
          <w:b/>
          <w:caps/>
          <w:snapToGrid w:val="0"/>
          <w:lang w:val="lt-LT"/>
        </w:rPr>
        <w:t>REGISTRUOTOJO PAVADINIMAS IR ADRESAS</w:t>
      </w:r>
    </w:p>
    <w:p w14:paraId="5AC9C65A"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9CB6043"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bCs/>
          <w:lang w:val="lt-LT"/>
        </w:rPr>
      </w:pPr>
      <w:r w:rsidRPr="00E14983">
        <w:rPr>
          <w:rFonts w:ascii="Times New Roman" w:eastAsia="Times New Roman" w:hAnsi="Times New Roman" w:cs="Times New Roman"/>
          <w:bCs/>
          <w:lang w:val="lt-LT"/>
        </w:rPr>
        <w:t xml:space="preserve">Accord </w:t>
      </w:r>
    </w:p>
    <w:p w14:paraId="5A389D97"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9028CFC"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1E7854E"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12.</w:t>
      </w:r>
      <w:r w:rsidRPr="00E14983">
        <w:rPr>
          <w:rFonts w:ascii="Times New Roman" w:eastAsia="Times New Roman" w:hAnsi="Times New Roman" w:cs="Times New Roman"/>
          <w:b/>
          <w:snapToGrid w:val="0"/>
          <w:lang w:val="lt-LT"/>
        </w:rPr>
        <w:tab/>
        <w:t xml:space="preserve">REGISTRACIJOS PAŽYMĖJIMO NUMERIS (-IAI) </w:t>
      </w:r>
    </w:p>
    <w:p w14:paraId="29F1A813"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49554B8"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color w:val="000000"/>
          <w:highlight w:val="lightGray"/>
          <w:lang w:val="lt-LT"/>
        </w:rPr>
        <w:t xml:space="preserve">LT/1/16/3953/003 </w:t>
      </w:r>
      <w:r w:rsidRPr="00E14983">
        <w:rPr>
          <w:rFonts w:ascii="Times New Roman" w:hAnsi="Times New Roman"/>
          <w:highlight w:val="lightGray"/>
          <w:lang w:val="lt-LT"/>
        </w:rPr>
        <w:t>– 15 ml, N1</w:t>
      </w:r>
    </w:p>
    <w:p w14:paraId="4FE0127A" w14:textId="77777777" w:rsidR="004D331C"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LT/1/16/3953/004 – 25 ml, N1</w:t>
      </w:r>
    </w:p>
    <w:p w14:paraId="5E7B8FD1" w14:textId="24F745F8" w:rsidR="008218CA" w:rsidRPr="00E14983" w:rsidRDefault="004D331C" w:rsidP="004D331C">
      <w:pPr>
        <w:spacing w:after="0" w:line="240" w:lineRule="auto"/>
        <w:ind w:right="29"/>
        <w:rPr>
          <w:rFonts w:ascii="Times New Roman" w:hAnsi="Times New Roman"/>
          <w:highlight w:val="lightGray"/>
          <w:lang w:val="lt-LT"/>
        </w:rPr>
      </w:pPr>
      <w:r w:rsidRPr="00E14983">
        <w:rPr>
          <w:rFonts w:ascii="Times New Roman" w:hAnsi="Times New Roman"/>
          <w:highlight w:val="lightGray"/>
          <w:lang w:val="lt-LT"/>
        </w:rPr>
        <w:t>LT/1/16/3953/005 – 50 ml, N1</w:t>
      </w:r>
    </w:p>
    <w:p w14:paraId="3D43F277" w14:textId="77777777" w:rsidR="004D331C" w:rsidRPr="00E14983" w:rsidRDefault="004D331C" w:rsidP="004D331C">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780A9449"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8E7B998"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13.</w:t>
      </w:r>
      <w:r w:rsidRPr="00E14983">
        <w:rPr>
          <w:rFonts w:ascii="Times New Roman" w:eastAsia="Times New Roman" w:hAnsi="Times New Roman" w:cs="Times New Roman"/>
          <w:b/>
          <w:snapToGrid w:val="0"/>
          <w:lang w:val="lt-LT"/>
        </w:rPr>
        <w:tab/>
        <w:t xml:space="preserve">SERIJOS NUMERIS </w:t>
      </w:r>
    </w:p>
    <w:p w14:paraId="7CC7C678"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715EA06"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Lot</w:t>
      </w:r>
    </w:p>
    <w:p w14:paraId="3EBFA88B"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9B1B775"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11D7F0FA" w14:textId="77777777" w:rsidR="009500C0" w:rsidRPr="00E14983" w:rsidRDefault="009500C0" w:rsidP="009500C0">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14.</w:t>
      </w:r>
      <w:r w:rsidRPr="00E14983">
        <w:rPr>
          <w:rFonts w:ascii="Times New Roman" w:eastAsia="Times New Roman" w:hAnsi="Times New Roman" w:cs="Times New Roman"/>
          <w:b/>
          <w:snapToGrid w:val="0"/>
          <w:lang w:val="lt-LT"/>
        </w:rPr>
        <w:tab/>
        <w:t>PARDAVIMO (IŠDAVIMO) TVARKA</w:t>
      </w:r>
    </w:p>
    <w:p w14:paraId="244468C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6F73AE52"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3F36372" w14:textId="77777777" w:rsidR="009500C0" w:rsidRPr="00E14983" w:rsidRDefault="009500C0" w:rsidP="009500C0">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15.</w:t>
      </w:r>
      <w:r w:rsidRPr="00E14983">
        <w:rPr>
          <w:rFonts w:ascii="Times New Roman" w:eastAsia="Times New Roman" w:hAnsi="Times New Roman" w:cs="Times New Roman"/>
          <w:b/>
          <w:snapToGrid w:val="0"/>
          <w:lang w:val="lt-LT"/>
        </w:rPr>
        <w:tab/>
        <w:t>VARTOJIMO INSTRUKCIJA</w:t>
      </w:r>
    </w:p>
    <w:p w14:paraId="6B3AD65E"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B3EB8B4" w14:textId="77777777" w:rsidR="009500C0" w:rsidRPr="00E14983" w:rsidRDefault="009500C0" w:rsidP="009500C0">
      <w:pPr>
        <w:widowControl w:val="0"/>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4040A23D" w14:textId="77777777" w:rsidR="009500C0" w:rsidRPr="00E14983" w:rsidRDefault="009500C0" w:rsidP="009500C0">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snapToGrid w:val="0"/>
          <w:color w:val="008000"/>
          <w:lang w:val="lt-LT"/>
        </w:rPr>
      </w:pPr>
      <w:r w:rsidRPr="00E14983">
        <w:rPr>
          <w:rFonts w:ascii="Times New Roman" w:eastAsia="Times New Roman" w:hAnsi="Times New Roman" w:cs="Times New Roman"/>
          <w:b/>
          <w:snapToGrid w:val="0"/>
          <w:lang w:val="lt-LT"/>
        </w:rPr>
        <w:t>16.</w:t>
      </w:r>
      <w:r w:rsidRPr="00E14983">
        <w:rPr>
          <w:rFonts w:ascii="Times New Roman" w:eastAsia="Times New Roman" w:hAnsi="Times New Roman" w:cs="Times New Roman"/>
          <w:b/>
          <w:snapToGrid w:val="0"/>
          <w:lang w:val="lt-LT"/>
        </w:rPr>
        <w:tab/>
        <w:t>INFORMACIJA BRAILIO RAŠTU</w:t>
      </w:r>
    </w:p>
    <w:p w14:paraId="0A9CD7A1"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3E08EA52" w14:textId="77777777" w:rsidR="009500C0" w:rsidRPr="00E14983" w:rsidRDefault="009500C0" w:rsidP="009500C0">
      <w:pPr>
        <w:tabs>
          <w:tab w:val="left" w:pos="567"/>
        </w:tabs>
        <w:spacing w:after="0" w:line="240" w:lineRule="auto"/>
        <w:rPr>
          <w:rFonts w:ascii="Times New Roman" w:eastAsia="Times New Roman" w:hAnsi="Times New Roman" w:cs="Times New Roman"/>
          <w:shd w:val="clear" w:color="auto" w:fill="CCCCCC"/>
          <w:lang w:val="lt-LT" w:eastAsia="lt-LT" w:bidi="lt-LT"/>
        </w:rPr>
      </w:pPr>
    </w:p>
    <w:p w14:paraId="7712136B" w14:textId="77777777" w:rsidR="009500C0" w:rsidRPr="00E14983" w:rsidRDefault="009500C0" w:rsidP="009500C0">
      <w:pPr>
        <w:keepNext/>
        <w:numPr>
          <w:ilvl w:val="0"/>
          <w:numId w:val="4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val="lt-LT" w:eastAsia="lt-LT" w:bidi="lt-LT"/>
        </w:rPr>
      </w:pPr>
      <w:r w:rsidRPr="00E14983">
        <w:rPr>
          <w:rFonts w:ascii="Times New Roman" w:eastAsia="Times New Roman" w:hAnsi="Times New Roman" w:cs="Times New Roman"/>
          <w:b/>
          <w:lang w:val="lt-LT" w:eastAsia="lt-LT" w:bidi="lt-LT"/>
        </w:rPr>
        <w:t>UNIKALUS IDENTIFIKATORIUS – 2D BRŪKŠNINIS KODAS</w:t>
      </w:r>
    </w:p>
    <w:p w14:paraId="0B7FE297" w14:textId="77777777" w:rsidR="009500C0" w:rsidRPr="00E14983" w:rsidRDefault="009500C0" w:rsidP="009500C0">
      <w:pPr>
        <w:spacing w:after="0" w:line="240" w:lineRule="auto"/>
        <w:rPr>
          <w:rFonts w:ascii="Times New Roman" w:eastAsia="Times New Roman" w:hAnsi="Times New Roman" w:cs="Times New Roman"/>
          <w:lang w:val="lt-LT" w:eastAsia="lt-LT" w:bidi="lt-LT"/>
        </w:rPr>
      </w:pPr>
    </w:p>
    <w:p w14:paraId="442471EE" w14:textId="77777777" w:rsidR="009500C0" w:rsidRPr="00E14983" w:rsidRDefault="009500C0" w:rsidP="009500C0">
      <w:pPr>
        <w:spacing w:after="0" w:line="240" w:lineRule="auto"/>
        <w:rPr>
          <w:rFonts w:ascii="Times New Roman" w:eastAsia="Times New Roman" w:hAnsi="Times New Roman" w:cs="Times New Roman"/>
          <w:lang w:val="lt-LT" w:eastAsia="lt-LT" w:bidi="lt-LT"/>
        </w:rPr>
      </w:pPr>
    </w:p>
    <w:p w14:paraId="45337E58" w14:textId="77777777" w:rsidR="009500C0" w:rsidRPr="00E14983" w:rsidRDefault="009500C0" w:rsidP="009500C0">
      <w:pPr>
        <w:keepNext/>
        <w:numPr>
          <w:ilvl w:val="0"/>
          <w:numId w:val="47"/>
        </w:numPr>
        <w:pBdr>
          <w:top w:val="single" w:sz="4" w:space="1" w:color="auto"/>
          <w:left w:val="single" w:sz="4" w:space="4" w:color="auto"/>
          <w:bottom w:val="single" w:sz="4" w:space="1" w:color="auto"/>
          <w:right w:val="single" w:sz="4" w:space="4" w:color="auto"/>
        </w:pBdr>
        <w:tabs>
          <w:tab w:val="left" w:pos="567"/>
        </w:tabs>
        <w:spacing w:after="0" w:line="240" w:lineRule="auto"/>
        <w:ind w:left="0" w:firstLine="0"/>
        <w:outlineLvl w:val="0"/>
        <w:rPr>
          <w:rFonts w:ascii="Times New Roman" w:eastAsia="Times New Roman" w:hAnsi="Times New Roman" w:cs="Times New Roman"/>
          <w:i/>
          <w:lang w:val="lt-LT" w:eastAsia="lt-LT" w:bidi="lt-LT"/>
        </w:rPr>
      </w:pPr>
      <w:r w:rsidRPr="00E14983">
        <w:rPr>
          <w:rFonts w:ascii="Times New Roman" w:eastAsia="Times New Roman" w:hAnsi="Times New Roman" w:cs="Times New Roman"/>
          <w:b/>
          <w:lang w:val="lt-LT" w:eastAsia="lt-LT" w:bidi="lt-LT"/>
        </w:rPr>
        <w:t>UNIKALUS IDENTIFIKATORIUS – ŽMONĖMS SUPRANTAMI DUOMENYS</w:t>
      </w:r>
    </w:p>
    <w:p w14:paraId="6382C95D"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eastAsia="lt-LT" w:bidi="lt-LT"/>
        </w:rPr>
      </w:pPr>
    </w:p>
    <w:p w14:paraId="2B73D4FF" w14:textId="77777777" w:rsidR="009500C0" w:rsidRPr="00E14983" w:rsidRDefault="009500C0" w:rsidP="009500C0">
      <w:pPr>
        <w:spacing w:after="0" w:line="240" w:lineRule="auto"/>
        <w:rPr>
          <w:rFonts w:ascii="Times New Roman" w:eastAsia="Times New Roman" w:hAnsi="Times New Roman" w:cs="Times New Roman"/>
          <w:vanish/>
          <w:lang w:val="lt-LT" w:eastAsia="lt-LT" w:bidi="lt-LT"/>
        </w:rPr>
      </w:pPr>
    </w:p>
    <w:p w14:paraId="15BEF6CF" w14:textId="77777777" w:rsidR="009500C0" w:rsidRPr="00E14983" w:rsidRDefault="009500C0" w:rsidP="009500C0">
      <w:p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br w:type="page"/>
      </w:r>
    </w:p>
    <w:p w14:paraId="5A0F1134"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F13E5F7"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969E1B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E03F62D"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9080300"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367EB00"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44AF03DD"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09341D37"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2F5177FC"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6374D07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136D6D59"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6808B131"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3082980B" w14:textId="77777777" w:rsidR="009500C0" w:rsidRPr="00E14983" w:rsidRDefault="009500C0" w:rsidP="009500C0">
      <w:pPr>
        <w:tabs>
          <w:tab w:val="left" w:pos="567"/>
        </w:tabs>
        <w:spacing w:after="0" w:line="240" w:lineRule="auto"/>
        <w:jc w:val="both"/>
        <w:outlineLvl w:val="0"/>
        <w:rPr>
          <w:rFonts w:ascii="Times New Roman" w:eastAsia="Times New Roman" w:hAnsi="Times New Roman" w:cs="Times New Roman"/>
          <w:b/>
          <w:kern w:val="28"/>
          <w:lang w:val="lt-LT" w:eastAsia="lt-LT"/>
        </w:rPr>
      </w:pPr>
    </w:p>
    <w:p w14:paraId="1D0F9F69" w14:textId="77777777" w:rsidR="009500C0" w:rsidRPr="00E14983" w:rsidRDefault="009500C0" w:rsidP="009500C0">
      <w:pPr>
        <w:tabs>
          <w:tab w:val="left" w:pos="567"/>
        </w:tabs>
        <w:spacing w:after="0" w:line="240" w:lineRule="auto"/>
        <w:outlineLvl w:val="0"/>
        <w:rPr>
          <w:rFonts w:ascii="Times New Roman" w:eastAsia="Times New Roman" w:hAnsi="Times New Roman" w:cs="Times New Roman"/>
          <w:b/>
          <w:kern w:val="28"/>
          <w:lang w:val="lt-LT" w:eastAsia="lt-LT"/>
        </w:rPr>
      </w:pPr>
    </w:p>
    <w:p w14:paraId="7B634892"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2AE4098B"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094EE0C2"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32111BFD"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556B8483"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18C779FF" w14:textId="77777777"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p>
    <w:p w14:paraId="379FEE6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color w:val="000000"/>
          <w:lang w:val="lt-LT"/>
        </w:rPr>
      </w:pPr>
    </w:p>
    <w:p w14:paraId="0D8992D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color w:val="000000"/>
          <w:lang w:val="lt-LT"/>
        </w:rPr>
      </w:pPr>
    </w:p>
    <w:p w14:paraId="71D2855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color w:val="000000"/>
          <w:lang w:val="lt-LT"/>
        </w:rPr>
      </w:pPr>
    </w:p>
    <w:p w14:paraId="3452288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bCs/>
          <w:color w:val="000000"/>
          <w:lang w:val="lt-LT"/>
        </w:rPr>
      </w:pPr>
      <w:r w:rsidRPr="00E14983">
        <w:rPr>
          <w:rFonts w:ascii="Times New Roman" w:eastAsia="Times New Roman" w:hAnsi="Times New Roman" w:cs="Times New Roman"/>
          <w:b/>
          <w:color w:val="000000"/>
          <w:lang w:val="lt-LT"/>
        </w:rPr>
        <w:t>B.</w:t>
      </w:r>
      <w:r w:rsidRPr="00E14983">
        <w:rPr>
          <w:rFonts w:ascii="Times New Roman" w:eastAsia="Times New Roman" w:hAnsi="Times New Roman" w:cs="Times New Roman"/>
          <w:b/>
          <w:color w:val="000000"/>
          <w:lang w:val="lt-LT"/>
        </w:rPr>
        <w:tab/>
        <w:t>PAKUOTĖS LAPELIS</w:t>
      </w:r>
    </w:p>
    <w:p w14:paraId="4EE9BFA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iCs/>
          <w:color w:val="000000"/>
          <w:lang w:val="lt-LT"/>
        </w:rPr>
        <w:br w:type="page"/>
      </w:r>
      <w:r w:rsidRPr="00E14983">
        <w:rPr>
          <w:rFonts w:ascii="Times New Roman" w:eastAsia="Times New Roman" w:hAnsi="Times New Roman" w:cs="Times New Roman"/>
          <w:b/>
          <w:bCs/>
          <w:iCs/>
          <w:color w:val="000000"/>
          <w:lang w:val="lt-LT"/>
        </w:rPr>
        <w:lastRenderedPageBreak/>
        <w:t>Pakuotės lapelis:</w:t>
      </w:r>
      <w:r w:rsidRPr="00E14983">
        <w:rPr>
          <w:rFonts w:ascii="Times New Roman" w:eastAsia="Times New Roman" w:hAnsi="Times New Roman" w:cs="Times New Roman"/>
          <w:b/>
          <w:bCs/>
          <w:color w:val="000000"/>
          <w:lang w:val="lt-LT"/>
        </w:rPr>
        <w:t xml:space="preserve"> </w:t>
      </w:r>
      <w:r w:rsidRPr="00E14983">
        <w:rPr>
          <w:rFonts w:ascii="Times New Roman" w:eastAsia="Times New Roman" w:hAnsi="Times New Roman" w:cs="Times New Roman"/>
          <w:b/>
          <w:bCs/>
          <w:iCs/>
          <w:color w:val="000000"/>
          <w:lang w:val="lt-LT"/>
        </w:rPr>
        <w:t>informacija vartotojui</w:t>
      </w:r>
    </w:p>
    <w:p w14:paraId="786A1FC3" w14:textId="77777777" w:rsidR="009500C0" w:rsidRPr="00E14983" w:rsidRDefault="009500C0" w:rsidP="009500C0">
      <w:pPr>
        <w:widowControl w:val="0"/>
        <w:tabs>
          <w:tab w:val="left" w:pos="567"/>
        </w:tabs>
        <w:autoSpaceDE w:val="0"/>
        <w:autoSpaceDN w:val="0"/>
        <w:adjustRightInd w:val="0"/>
        <w:snapToGrid w:val="0"/>
        <w:spacing w:after="0" w:line="240" w:lineRule="auto"/>
        <w:jc w:val="center"/>
        <w:rPr>
          <w:rFonts w:ascii="Times New Roman" w:eastAsia="Times New Roman" w:hAnsi="Times New Roman" w:cs="Times New Roman"/>
          <w:b/>
          <w:bCs/>
          <w:iCs/>
          <w:color w:val="000000"/>
          <w:lang w:val="lt-LT"/>
        </w:rPr>
      </w:pPr>
    </w:p>
    <w:p w14:paraId="1A51819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center"/>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 xml:space="preserve">Irinotecan Accord 20 mg/ml </w:t>
      </w:r>
      <w:r w:rsidRPr="00E14983">
        <w:rPr>
          <w:rFonts w:ascii="Times New Roman" w:eastAsia="Times New Roman" w:hAnsi="Times New Roman" w:cs="Times New Roman"/>
          <w:b/>
          <w:color w:val="000000"/>
          <w:lang w:val="lt-LT"/>
        </w:rPr>
        <w:t>koncentratas infuziniam tirpalui</w:t>
      </w:r>
    </w:p>
    <w:p w14:paraId="43E53A2C" w14:textId="34A3700D" w:rsidR="009500C0" w:rsidRPr="00E14983" w:rsidRDefault="00EC1D86" w:rsidP="009500C0">
      <w:pPr>
        <w:tabs>
          <w:tab w:val="left" w:pos="567"/>
        </w:tabs>
        <w:spacing w:after="0" w:line="240" w:lineRule="auto"/>
        <w:jc w:val="center"/>
        <w:rPr>
          <w:rFonts w:ascii="Times New Roman" w:eastAsia="Times New Roman" w:hAnsi="Times New Roman" w:cs="Times New Roman"/>
          <w:color w:val="000000"/>
          <w:lang w:val="lt-LT"/>
        </w:rPr>
      </w:pPr>
      <w:r>
        <w:rPr>
          <w:rFonts w:ascii="Times New Roman" w:eastAsia="Arial Unicode MS" w:hAnsi="Times New Roman" w:cs="Times New Roman"/>
          <w:lang w:val="lt-LT"/>
        </w:rPr>
        <w:t>i</w:t>
      </w:r>
      <w:r w:rsidR="009500C0" w:rsidRPr="00E14983">
        <w:rPr>
          <w:rFonts w:ascii="Times New Roman" w:eastAsia="Arial Unicode MS" w:hAnsi="Times New Roman" w:cs="Times New Roman"/>
          <w:lang w:val="lt-LT"/>
        </w:rPr>
        <w:t>rinotekano hidrochloridas trihidratas</w:t>
      </w:r>
    </w:p>
    <w:p w14:paraId="4BF58C4A" w14:textId="77777777" w:rsidR="009500C0" w:rsidRPr="00E14983" w:rsidRDefault="009500C0" w:rsidP="009500C0">
      <w:pPr>
        <w:suppressAutoHyphens/>
        <w:spacing w:after="0" w:line="240" w:lineRule="auto"/>
        <w:ind w:left="142" w:hanging="142"/>
        <w:rPr>
          <w:rFonts w:ascii="Times New Roman" w:eastAsia="Times New Roman" w:hAnsi="Times New Roman" w:cs="Times New Roman"/>
          <w:b/>
          <w:snapToGrid w:val="0"/>
          <w:lang w:val="lt-LT"/>
        </w:rPr>
      </w:pPr>
    </w:p>
    <w:p w14:paraId="2613D8B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snapToGrid w:val="0"/>
          <w:lang w:val="lt-LT"/>
        </w:rPr>
        <w:t xml:space="preserve">Šio vaisto pavadinimas yra Irinotecan Accord 20 mg/ml koncentratas infuziniam tirpalui, tačiau toliau pakuotės lapelyje jis bus vadinamas </w:t>
      </w:r>
      <w:r w:rsidRPr="00E14983">
        <w:rPr>
          <w:rFonts w:ascii="Times New Roman" w:eastAsia="Times New Roman" w:hAnsi="Times New Roman" w:cs="Times New Roman"/>
          <w:bCs/>
          <w:color w:val="000000"/>
          <w:lang w:val="lt-LT"/>
        </w:rPr>
        <w:t>Irinotecan Accord.</w:t>
      </w:r>
    </w:p>
    <w:p w14:paraId="626D922F" w14:textId="77777777" w:rsidR="009500C0" w:rsidRPr="00E14983" w:rsidRDefault="009500C0" w:rsidP="009500C0">
      <w:pPr>
        <w:suppressAutoHyphens/>
        <w:spacing w:after="0" w:line="240" w:lineRule="auto"/>
        <w:ind w:left="142" w:hanging="142"/>
        <w:rPr>
          <w:rFonts w:ascii="Times New Roman" w:eastAsia="Times New Roman" w:hAnsi="Times New Roman" w:cs="Times New Roman"/>
          <w:b/>
          <w:snapToGrid w:val="0"/>
          <w:lang w:val="lt-LT"/>
        </w:rPr>
      </w:pPr>
    </w:p>
    <w:p w14:paraId="208E0DA3" w14:textId="77777777" w:rsidR="009500C0" w:rsidRPr="00E14983" w:rsidRDefault="009500C0" w:rsidP="009500C0">
      <w:pPr>
        <w:suppressAutoHyphens/>
        <w:spacing w:after="0" w:line="240" w:lineRule="auto"/>
        <w:rPr>
          <w:rFonts w:ascii="Times New Roman" w:eastAsia="Times New Roman" w:hAnsi="Times New Roman" w:cs="Times New Roman"/>
          <w:snapToGrid w:val="0"/>
          <w:lang w:val="lt-LT"/>
        </w:rPr>
      </w:pPr>
      <w:r w:rsidRPr="00E14983">
        <w:rPr>
          <w:rFonts w:ascii="Times New Roman" w:eastAsia="Times New Roman" w:hAnsi="Times New Roman" w:cs="Times New Roman"/>
          <w:b/>
          <w:snapToGrid w:val="0"/>
          <w:lang w:val="lt-LT"/>
        </w:rPr>
        <w:t>Atidžiai perskaitykite visą šį lapelį, prieš pradėdami vartoti vaistą, nes jame pateikiama Jums svarbi informacija.</w:t>
      </w:r>
    </w:p>
    <w:p w14:paraId="04ADE3A9" w14:textId="77777777" w:rsidR="009500C0" w:rsidRPr="00E14983" w:rsidRDefault="009500C0" w:rsidP="009500C0">
      <w:pPr>
        <w:numPr>
          <w:ilvl w:val="0"/>
          <w:numId w:val="31"/>
        </w:num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 xml:space="preserve">Neišmeskite šio lapelio, nes vėl gali prireikti jį perskaityti. </w:t>
      </w:r>
    </w:p>
    <w:p w14:paraId="1E037BC6" w14:textId="5A24DE97" w:rsidR="009500C0" w:rsidRPr="00E14983" w:rsidRDefault="009500C0" w:rsidP="009500C0">
      <w:pPr>
        <w:numPr>
          <w:ilvl w:val="0"/>
          <w:numId w:val="31"/>
        </w:num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Jeigu kiltų daugiau klausimų, kreipkitės į gydytoją</w:t>
      </w:r>
      <w:r w:rsidR="00EB5E0D" w:rsidRPr="00E14983">
        <w:rPr>
          <w:rFonts w:ascii="Times New Roman" w:eastAsia="Times New Roman" w:hAnsi="Times New Roman" w:cs="Times New Roman"/>
          <w:snapToGrid w:val="0"/>
          <w:lang w:val="lt-LT"/>
        </w:rPr>
        <w:t>, vaistininką ar slaugytoją</w:t>
      </w:r>
      <w:r w:rsidRPr="00E14983">
        <w:rPr>
          <w:rFonts w:ascii="Times New Roman" w:eastAsia="Times New Roman" w:hAnsi="Times New Roman" w:cs="Times New Roman"/>
          <w:snapToGrid w:val="0"/>
          <w:lang w:val="lt-LT"/>
        </w:rPr>
        <w:t>.</w:t>
      </w:r>
    </w:p>
    <w:p w14:paraId="2F2D6F07" w14:textId="50F951A7" w:rsidR="009500C0" w:rsidRPr="00E14983" w:rsidRDefault="009500C0" w:rsidP="00DD3E4C">
      <w:pPr>
        <w:tabs>
          <w:tab w:val="left" w:pos="567"/>
        </w:tabs>
        <w:spacing w:after="0" w:line="240" w:lineRule="auto"/>
        <w:ind w:left="567" w:right="-2" w:hanging="567"/>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w:t>
      </w:r>
      <w:r w:rsidRPr="00E14983">
        <w:rPr>
          <w:rFonts w:ascii="Times New Roman" w:eastAsia="Times New Roman" w:hAnsi="Times New Roman" w:cs="Times New Roman"/>
          <w:snapToGrid w:val="0"/>
          <w:lang w:val="lt-LT"/>
        </w:rPr>
        <w:tab/>
        <w:t>Jeigu</w:t>
      </w:r>
      <w:r w:rsidR="00EB5E0D" w:rsidRPr="00E14983">
        <w:rPr>
          <w:rFonts w:ascii="Times New Roman" w:eastAsia="Times New Roman" w:hAnsi="Times New Roman" w:cs="Times New Roman"/>
          <w:snapToGrid w:val="0"/>
          <w:lang w:val="lt-LT"/>
        </w:rPr>
        <w:t xml:space="preserve"> </w:t>
      </w:r>
      <w:r w:rsidRPr="00E14983">
        <w:rPr>
          <w:rFonts w:ascii="Times New Roman" w:eastAsia="Times New Roman" w:hAnsi="Times New Roman" w:cs="Times New Roman"/>
          <w:snapToGrid w:val="0"/>
          <w:lang w:val="lt-LT"/>
        </w:rPr>
        <w:t>pasireiškė šalutinis poveikis</w:t>
      </w:r>
      <w:r w:rsidR="006E499B" w:rsidRPr="00E14983">
        <w:rPr>
          <w:rFonts w:ascii="Times New Roman" w:eastAsia="Times New Roman" w:hAnsi="Times New Roman" w:cs="Times New Roman"/>
          <w:snapToGrid w:val="0"/>
          <w:lang w:val="lt-LT"/>
        </w:rPr>
        <w:t xml:space="preserve"> (net jeigu jis šiame lapelyje nenurodytas)</w:t>
      </w:r>
      <w:r w:rsidR="00EB5E0D" w:rsidRPr="00E14983">
        <w:rPr>
          <w:rFonts w:ascii="Times New Roman" w:eastAsia="Times New Roman" w:hAnsi="Times New Roman" w:cs="Times New Roman"/>
          <w:snapToGrid w:val="0"/>
          <w:lang w:val="lt-LT"/>
        </w:rPr>
        <w:t xml:space="preserve">, </w:t>
      </w:r>
      <w:r w:rsidR="006E499B" w:rsidRPr="00E14983">
        <w:rPr>
          <w:rFonts w:ascii="Times New Roman" w:eastAsia="Times New Roman" w:hAnsi="Times New Roman" w:cs="Times New Roman"/>
          <w:snapToGrid w:val="0"/>
          <w:lang w:val="lt-LT"/>
        </w:rPr>
        <w:t>kreipkitės į</w:t>
      </w:r>
      <w:r w:rsidR="00EB5E0D" w:rsidRPr="00E14983">
        <w:rPr>
          <w:rFonts w:ascii="Times New Roman" w:eastAsia="Times New Roman" w:hAnsi="Times New Roman" w:cs="Times New Roman"/>
          <w:snapToGrid w:val="0"/>
          <w:lang w:val="lt-LT"/>
        </w:rPr>
        <w:t xml:space="preserve"> gydytoj</w:t>
      </w:r>
      <w:r w:rsidR="006E499B" w:rsidRPr="00E14983">
        <w:rPr>
          <w:rFonts w:ascii="Times New Roman" w:eastAsia="Times New Roman" w:hAnsi="Times New Roman" w:cs="Times New Roman"/>
          <w:snapToGrid w:val="0"/>
          <w:lang w:val="lt-LT"/>
        </w:rPr>
        <w:t>ą</w:t>
      </w:r>
      <w:r w:rsidR="00EB5E0D" w:rsidRPr="00E14983">
        <w:rPr>
          <w:rFonts w:ascii="Times New Roman" w:eastAsia="Times New Roman" w:hAnsi="Times New Roman" w:cs="Times New Roman"/>
          <w:snapToGrid w:val="0"/>
          <w:lang w:val="lt-LT"/>
        </w:rPr>
        <w:t>, vaistinink</w:t>
      </w:r>
      <w:r w:rsidR="006E499B" w:rsidRPr="00E14983">
        <w:rPr>
          <w:rFonts w:ascii="Times New Roman" w:eastAsia="Times New Roman" w:hAnsi="Times New Roman" w:cs="Times New Roman"/>
          <w:snapToGrid w:val="0"/>
          <w:lang w:val="lt-LT"/>
        </w:rPr>
        <w:t>ą</w:t>
      </w:r>
      <w:r w:rsidR="00EB5E0D" w:rsidRPr="00E14983">
        <w:rPr>
          <w:rFonts w:ascii="Times New Roman" w:eastAsia="Times New Roman" w:hAnsi="Times New Roman" w:cs="Times New Roman"/>
          <w:snapToGrid w:val="0"/>
          <w:lang w:val="lt-LT"/>
        </w:rPr>
        <w:t xml:space="preserve"> ar</w:t>
      </w:r>
      <w:r w:rsidR="006E499B" w:rsidRPr="00E14983">
        <w:rPr>
          <w:rFonts w:ascii="Times New Roman" w:eastAsia="Times New Roman" w:hAnsi="Times New Roman" w:cs="Times New Roman"/>
          <w:snapToGrid w:val="0"/>
          <w:lang w:val="lt-LT"/>
        </w:rPr>
        <w:t>ba</w:t>
      </w:r>
      <w:r w:rsidR="00EB5E0D" w:rsidRPr="00E14983">
        <w:rPr>
          <w:rFonts w:ascii="Times New Roman" w:eastAsia="Times New Roman" w:hAnsi="Times New Roman" w:cs="Times New Roman"/>
          <w:snapToGrid w:val="0"/>
          <w:lang w:val="lt-LT"/>
        </w:rPr>
        <w:t xml:space="preserve"> slaugytoj</w:t>
      </w:r>
      <w:r w:rsidR="006E499B" w:rsidRPr="00E14983">
        <w:rPr>
          <w:rFonts w:ascii="Times New Roman" w:eastAsia="Times New Roman" w:hAnsi="Times New Roman" w:cs="Times New Roman"/>
          <w:snapToGrid w:val="0"/>
          <w:lang w:val="lt-LT"/>
        </w:rPr>
        <w:t>ą</w:t>
      </w:r>
      <w:r w:rsidR="00EB5E0D" w:rsidRPr="00E14983">
        <w:rPr>
          <w:rFonts w:ascii="Times New Roman" w:eastAsia="Times New Roman" w:hAnsi="Times New Roman" w:cs="Times New Roman"/>
          <w:snapToGrid w:val="0"/>
          <w:lang w:val="lt-LT"/>
        </w:rPr>
        <w:t xml:space="preserve">. </w:t>
      </w:r>
      <w:r w:rsidRPr="00E14983">
        <w:rPr>
          <w:rFonts w:ascii="Times New Roman" w:eastAsia="Times New Roman" w:hAnsi="Times New Roman" w:cs="Times New Roman"/>
          <w:snapToGrid w:val="0"/>
          <w:lang w:val="lt-LT"/>
        </w:rPr>
        <w:t>Žr. 4 skyrių.</w:t>
      </w:r>
    </w:p>
    <w:p w14:paraId="7D09234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p>
    <w:p w14:paraId="629B3C6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Apie ką rašoma šiame lapelyje?</w:t>
      </w:r>
    </w:p>
    <w:p w14:paraId="7869EF25"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b/>
          <w:color w:val="000000"/>
          <w:lang w:val="lt-LT"/>
        </w:rPr>
      </w:pPr>
    </w:p>
    <w:p w14:paraId="13085E9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1.</w:t>
      </w:r>
      <w:r w:rsidRPr="00E14983">
        <w:rPr>
          <w:rFonts w:ascii="Times New Roman" w:eastAsia="Times New Roman" w:hAnsi="Times New Roman" w:cs="Times New Roman"/>
          <w:color w:val="000000"/>
          <w:lang w:val="lt-LT"/>
        </w:rPr>
        <w:tab/>
        <w:t>Kas yra Irinotecan Accord ir kam jis vartojamas</w:t>
      </w:r>
    </w:p>
    <w:p w14:paraId="4320D1E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2.</w:t>
      </w:r>
      <w:r w:rsidRPr="00E14983">
        <w:rPr>
          <w:rFonts w:ascii="Times New Roman" w:eastAsia="Times New Roman" w:hAnsi="Times New Roman" w:cs="Times New Roman"/>
          <w:color w:val="000000"/>
          <w:lang w:val="lt-LT"/>
        </w:rPr>
        <w:tab/>
        <w:t>Kas žinotina prieš vartojant Irinotecan Accord</w:t>
      </w:r>
    </w:p>
    <w:p w14:paraId="5D21034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3.</w:t>
      </w:r>
      <w:r w:rsidRPr="00E14983">
        <w:rPr>
          <w:rFonts w:ascii="Times New Roman" w:eastAsia="Times New Roman" w:hAnsi="Times New Roman" w:cs="Times New Roman"/>
          <w:color w:val="000000"/>
          <w:lang w:val="lt-LT"/>
        </w:rPr>
        <w:tab/>
        <w:t>Kaip vartoti Irinotecan Accord</w:t>
      </w:r>
    </w:p>
    <w:p w14:paraId="5687806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4.</w:t>
      </w:r>
      <w:r w:rsidRPr="00E14983">
        <w:rPr>
          <w:rFonts w:ascii="Times New Roman" w:eastAsia="Times New Roman" w:hAnsi="Times New Roman" w:cs="Times New Roman"/>
          <w:color w:val="000000"/>
          <w:lang w:val="lt-LT"/>
        </w:rPr>
        <w:tab/>
        <w:t>Galimas šalutinis poveikis</w:t>
      </w:r>
    </w:p>
    <w:p w14:paraId="2755BF7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5.</w:t>
      </w:r>
      <w:r w:rsidRPr="00E14983">
        <w:rPr>
          <w:rFonts w:ascii="Times New Roman" w:eastAsia="Times New Roman" w:hAnsi="Times New Roman" w:cs="Times New Roman"/>
          <w:color w:val="000000"/>
          <w:lang w:val="lt-LT"/>
        </w:rPr>
        <w:tab/>
        <w:t>Kaip laikyti Irinotecan Accord</w:t>
      </w:r>
    </w:p>
    <w:p w14:paraId="1F9E2B98" w14:textId="77777777" w:rsidR="009500C0" w:rsidRPr="00E14983" w:rsidRDefault="009500C0" w:rsidP="009500C0">
      <w:pPr>
        <w:widowControl w:val="0"/>
        <w:shd w:val="clear" w:color="auto" w:fill="FFFFFF"/>
        <w:tabs>
          <w:tab w:val="left" w:pos="0"/>
        </w:tabs>
        <w:autoSpaceDE w:val="0"/>
        <w:autoSpaceDN w:val="0"/>
        <w:adjustRightInd w:val="0"/>
        <w:snapToGri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6.</w:t>
      </w:r>
      <w:r w:rsidRPr="00E14983">
        <w:rPr>
          <w:rFonts w:ascii="Times New Roman" w:eastAsia="Times New Roman" w:hAnsi="Times New Roman" w:cs="Times New Roman"/>
          <w:color w:val="000000"/>
          <w:lang w:val="lt-LT"/>
        </w:rPr>
        <w:tab/>
        <w:t>Pakuotės turinys ir kita informacija</w:t>
      </w:r>
    </w:p>
    <w:p w14:paraId="11FB1C05"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696EAF53"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5648F63E"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1.</w:t>
      </w:r>
      <w:r w:rsidRPr="00E14983">
        <w:rPr>
          <w:rFonts w:ascii="Times New Roman" w:eastAsia="Times New Roman" w:hAnsi="Times New Roman" w:cs="Times New Roman"/>
          <w:b/>
          <w:bCs/>
          <w:color w:val="000000"/>
          <w:lang w:val="lt-LT"/>
        </w:rPr>
        <w:tab/>
        <w:t>Kas yra Irinotecan Accord ir kam jis vartojamas</w:t>
      </w:r>
    </w:p>
    <w:p w14:paraId="481B825D"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6264FB75" w14:textId="7D2B5505" w:rsidR="009500C0" w:rsidRPr="00E14983" w:rsidRDefault="009500C0" w:rsidP="009500C0">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Irinotekanas priklauso vaistų, vadinamų citostatikais (priešvėžiniais vaistais), grupei. Irinotekanas vartojamas gydyti suaugusiu</w:t>
      </w:r>
      <w:r w:rsidR="00975DAA" w:rsidRPr="00E14983">
        <w:rPr>
          <w:rFonts w:ascii="Times New Roman" w:eastAsia="Times New Roman" w:hAnsi="Times New Roman" w:cs="Times New Roman"/>
          <w:color w:val="000000"/>
          <w:lang w:val="lt-LT"/>
        </w:rPr>
        <w:t>osiu</w:t>
      </w:r>
      <w:r w:rsidRPr="00E14983">
        <w:rPr>
          <w:rFonts w:ascii="Times New Roman" w:eastAsia="Times New Roman" w:hAnsi="Times New Roman" w:cs="Times New Roman"/>
          <w:color w:val="000000"/>
          <w:lang w:val="lt-LT"/>
        </w:rPr>
        <w:t>s, sergančius progresavusiu gaubtinės ir tiesiosios žarnos vėžiu, derinyje su kitais vaistais arba vienas (monoterapija).</w:t>
      </w:r>
      <w:r w:rsidR="00EB5E0D" w:rsidRPr="00E14983">
        <w:rPr>
          <w:rFonts w:ascii="Times New Roman" w:eastAsia="Times New Roman" w:hAnsi="Times New Roman" w:cs="Times New Roman"/>
          <w:color w:val="000000"/>
          <w:lang w:val="lt-LT"/>
        </w:rPr>
        <w:t xml:space="preserve"> </w:t>
      </w:r>
      <w:r w:rsidR="00EB5E0D" w:rsidRPr="00E14983">
        <w:rPr>
          <w:rFonts w:ascii="Times New Roman" w:hAnsi="Times New Roman"/>
          <w:lang w:val="lt-LT"/>
        </w:rPr>
        <w:t>Irinotecan Accord yra priešvėžinis vaistas, kurio veiklioji medžiaga yra irinotekano hidrochloridas trihidratas. Irinotekano hidrochloridas trihidratas trukdo augti ir plisti vėžio ląstelėms organizme.</w:t>
      </w:r>
    </w:p>
    <w:p w14:paraId="570F90E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0B366F6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b/>
          <w:color w:val="000000"/>
          <w:lang w:val="lt-LT"/>
        </w:rPr>
        <w:t>Storosios (gaubtinės arba tiesiosios) žarnos vėžiui</w:t>
      </w:r>
      <w:r w:rsidRPr="00E14983">
        <w:rPr>
          <w:rFonts w:ascii="Times New Roman" w:eastAsia="Times New Roman" w:hAnsi="Times New Roman" w:cs="Times New Roman"/>
          <w:color w:val="000000"/>
          <w:lang w:val="lt-LT"/>
        </w:rPr>
        <w:t xml:space="preserve"> gydyti gydytojas gali Jums skirti irinotekano derinyje su </w:t>
      </w:r>
      <w:r w:rsidRPr="00E14983">
        <w:rPr>
          <w:rFonts w:ascii="Times New Roman" w:eastAsia="Times New Roman" w:hAnsi="Times New Roman" w:cs="Times New Roman"/>
          <w:b/>
          <w:color w:val="000000"/>
          <w:lang w:val="lt-LT"/>
        </w:rPr>
        <w:t>5-fluorouracilu/folino rūgštimi (5FU/FR)</w:t>
      </w:r>
      <w:r w:rsidRPr="00E14983">
        <w:rPr>
          <w:rFonts w:ascii="Times New Roman" w:eastAsia="Times New Roman" w:hAnsi="Times New Roman" w:cs="Times New Roman"/>
          <w:color w:val="000000"/>
          <w:lang w:val="lt-LT"/>
        </w:rPr>
        <w:t xml:space="preserve"> ir </w:t>
      </w:r>
      <w:r w:rsidRPr="00E14983">
        <w:rPr>
          <w:rFonts w:ascii="Times New Roman" w:eastAsia="Times New Roman" w:hAnsi="Times New Roman" w:cs="Times New Roman"/>
          <w:b/>
          <w:color w:val="000000"/>
          <w:lang w:val="lt-LT"/>
        </w:rPr>
        <w:t>bevacizumabu.</w:t>
      </w:r>
    </w:p>
    <w:p w14:paraId="425D27A0"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0AC5F11B" w14:textId="77777777" w:rsidR="009500C0" w:rsidRPr="00E14983" w:rsidRDefault="009500C0" w:rsidP="009500C0">
      <w:pPr>
        <w:widowControl w:val="0"/>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color w:val="000000"/>
          <w:lang w:val="lt-LT"/>
        </w:rPr>
        <w:t>Gaubtinės ir tiesiosios žarnos vėžiui</w:t>
      </w:r>
      <w:r w:rsidRPr="00E14983">
        <w:rPr>
          <w:rFonts w:ascii="Times New Roman" w:eastAsia="Times New Roman" w:hAnsi="Times New Roman" w:cs="Times New Roman"/>
          <w:color w:val="000000"/>
          <w:lang w:val="lt-LT"/>
        </w:rPr>
        <w:t xml:space="preserve"> gydyti gydytojas gali Jums skirti irinotekano derinyje su </w:t>
      </w:r>
      <w:r w:rsidRPr="00E14983">
        <w:rPr>
          <w:rFonts w:ascii="Times New Roman" w:eastAsia="Times New Roman" w:hAnsi="Times New Roman" w:cs="Times New Roman"/>
          <w:b/>
          <w:color w:val="000000"/>
          <w:lang w:val="lt-LT"/>
        </w:rPr>
        <w:t>kapecitabinu ir bevacizumabu</w:t>
      </w:r>
      <w:r w:rsidRPr="00E14983">
        <w:rPr>
          <w:rFonts w:ascii="Times New Roman" w:eastAsia="Times New Roman" w:hAnsi="Times New Roman" w:cs="Times New Roman"/>
          <w:color w:val="000000"/>
          <w:lang w:val="lt-LT"/>
        </w:rPr>
        <w:t xml:space="preserve"> arba be jo.</w:t>
      </w:r>
    </w:p>
    <w:p w14:paraId="66BF535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54EC9209" w14:textId="026989CC" w:rsidR="009500C0" w:rsidRPr="00E14983" w:rsidRDefault="009500C0" w:rsidP="009500C0">
      <w:pPr>
        <w:tabs>
          <w:tab w:val="left" w:pos="270"/>
        </w:tabs>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Gydytojas gali skirti irinotekano ir </w:t>
      </w:r>
      <w:r w:rsidRPr="00E14983">
        <w:rPr>
          <w:rFonts w:ascii="Times New Roman" w:eastAsia="Times New Roman" w:hAnsi="Times New Roman" w:cs="Times New Roman"/>
          <w:b/>
          <w:color w:val="000000"/>
          <w:lang w:val="lt-LT"/>
        </w:rPr>
        <w:t>cetuksimabo</w:t>
      </w:r>
      <w:r w:rsidRPr="00E14983">
        <w:rPr>
          <w:rFonts w:ascii="Times New Roman" w:eastAsia="Times New Roman" w:hAnsi="Times New Roman" w:cs="Times New Roman"/>
          <w:color w:val="000000"/>
          <w:lang w:val="lt-LT"/>
        </w:rPr>
        <w:t xml:space="preserve"> derinį </w:t>
      </w:r>
      <w:r w:rsidRPr="00E14983">
        <w:rPr>
          <w:rFonts w:ascii="Times New Roman" w:eastAsia="Times New Roman" w:hAnsi="Times New Roman" w:cs="Times New Roman"/>
          <w:b/>
          <w:color w:val="000000"/>
          <w:lang w:val="lt-LT"/>
        </w:rPr>
        <w:t>storosios žarnos vėžiui (RAS laukinio tipo)</w:t>
      </w:r>
      <w:r w:rsidRPr="00E14983">
        <w:rPr>
          <w:rFonts w:ascii="Times New Roman" w:eastAsia="Times New Roman" w:hAnsi="Times New Roman" w:cs="Times New Roman"/>
          <w:color w:val="000000"/>
          <w:lang w:val="lt-LT"/>
        </w:rPr>
        <w:t xml:space="preserve">, </w:t>
      </w:r>
      <w:r w:rsidRPr="00E14983">
        <w:rPr>
          <w:rFonts w:ascii="Times New Roman" w:hAnsi="Times New Roman" w:cs="Times New Roman"/>
          <w:lang w:val="lt-LT"/>
        </w:rPr>
        <w:t xml:space="preserve">kuris ekspresuoja baltymą, vadinamą </w:t>
      </w:r>
      <w:r w:rsidRPr="00E14983">
        <w:rPr>
          <w:rFonts w:ascii="Times New Roman" w:hAnsi="Times New Roman" w:cs="Times New Roman"/>
          <w:b/>
          <w:lang w:val="lt-LT"/>
        </w:rPr>
        <w:t>EAFR</w:t>
      </w:r>
      <w:r w:rsidRPr="00E14983">
        <w:rPr>
          <w:rFonts w:ascii="Times New Roman" w:hAnsi="Times New Roman" w:cs="Times New Roman"/>
          <w:lang w:val="lt-LT"/>
        </w:rPr>
        <w:t>, gydyti.</w:t>
      </w:r>
    </w:p>
    <w:p w14:paraId="12AB38EA"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4DB33416" w14:textId="77777777" w:rsidR="009500C0" w:rsidRPr="00E14983" w:rsidRDefault="009500C0" w:rsidP="009500C0">
      <w:pPr>
        <w:widowControl w:val="0"/>
        <w:shd w:val="clear" w:color="auto" w:fill="FFFFFF"/>
        <w:tabs>
          <w:tab w:val="left" w:pos="163"/>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p>
    <w:p w14:paraId="6EE209F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2.</w:t>
      </w:r>
      <w:r w:rsidRPr="00E14983">
        <w:rPr>
          <w:rFonts w:ascii="Times New Roman" w:eastAsia="Times New Roman" w:hAnsi="Times New Roman" w:cs="Times New Roman"/>
          <w:b/>
          <w:color w:val="000000"/>
          <w:lang w:val="lt-LT"/>
        </w:rPr>
        <w:tab/>
        <w:t>Kas žinotina prieš vartojant Irinotecan Accord</w:t>
      </w:r>
    </w:p>
    <w:p w14:paraId="70A5C1CA"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p>
    <w:p w14:paraId="220859E5" w14:textId="4DC20339" w:rsidR="009500C0" w:rsidRPr="00E14983" w:rsidRDefault="009500C0" w:rsidP="009500C0">
      <w:pPr>
        <w:tabs>
          <w:tab w:val="left" w:pos="567"/>
        </w:tabs>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 xml:space="preserve">Irinotecan Accord vartoti </w:t>
      </w:r>
      <w:r w:rsidR="00755C25" w:rsidRPr="00E14983">
        <w:rPr>
          <w:rFonts w:ascii="Times New Roman" w:eastAsia="Times New Roman" w:hAnsi="Times New Roman" w:cs="Times New Roman"/>
          <w:b/>
          <w:color w:val="000000"/>
          <w:lang w:val="lt-LT"/>
        </w:rPr>
        <w:t>draudžiama</w:t>
      </w:r>
      <w:r w:rsidRPr="00E14983">
        <w:rPr>
          <w:rFonts w:ascii="Times New Roman" w:eastAsia="Times New Roman" w:hAnsi="Times New Roman" w:cs="Times New Roman"/>
          <w:b/>
          <w:color w:val="000000"/>
          <w:lang w:val="lt-LT"/>
        </w:rPr>
        <w:t>:</w:t>
      </w:r>
    </w:p>
    <w:p w14:paraId="356D753E" w14:textId="77777777" w:rsidR="009500C0" w:rsidRPr="00E14983" w:rsidRDefault="009500C0" w:rsidP="009500C0">
      <w:pPr>
        <w:numPr>
          <w:ilvl w:val="0"/>
          <w:numId w:val="32"/>
        </w:numPr>
        <w:tabs>
          <w:tab w:val="clear" w:pos="432"/>
          <w:tab w:val="num" w:pos="567"/>
        </w:tabs>
        <w:spacing w:after="0" w:line="240" w:lineRule="auto"/>
        <w:ind w:hanging="432"/>
        <w:rPr>
          <w:rFonts w:ascii="Times New Roman" w:eastAsia="Times New Roman" w:hAnsi="Times New Roman" w:cs="Times New Roman"/>
          <w:b/>
          <w:color w:val="000000"/>
          <w:lang w:val="lt-LT"/>
        </w:rPr>
      </w:pPr>
      <w:r w:rsidRPr="00E14983">
        <w:rPr>
          <w:rFonts w:ascii="Times New Roman" w:eastAsia="Times New Roman" w:hAnsi="Times New Roman" w:cs="Times New Roman"/>
          <w:color w:val="000000"/>
          <w:lang w:val="lt-LT"/>
        </w:rPr>
        <w:t xml:space="preserve">jeigu yra alergija irinotekano hidrochloridui trihidratui arba bet kuriai pagalbinei </w:t>
      </w:r>
      <w:r w:rsidRPr="00E14983">
        <w:rPr>
          <w:rFonts w:ascii="Times New Roman" w:eastAsia="Times New Roman" w:hAnsi="Times New Roman" w:cs="Times New Roman"/>
          <w:b/>
          <w:color w:val="000000"/>
          <w:lang w:val="lt-LT"/>
        </w:rPr>
        <w:t>šio vaisto medžiagai (jos išvardytos 6 skyriuje)</w:t>
      </w:r>
      <w:r w:rsidRPr="00E14983">
        <w:rPr>
          <w:rFonts w:ascii="Times New Roman" w:eastAsia="Times New Roman" w:hAnsi="Times New Roman" w:cs="Times New Roman"/>
          <w:color w:val="000000"/>
          <w:lang w:val="lt-LT"/>
        </w:rPr>
        <w:t>;</w:t>
      </w:r>
    </w:p>
    <w:p w14:paraId="43379733" w14:textId="77777777" w:rsidR="009500C0" w:rsidRPr="00E14983" w:rsidRDefault="009500C0" w:rsidP="009500C0">
      <w:pPr>
        <w:numPr>
          <w:ilvl w:val="0"/>
          <w:numId w:val="32"/>
        </w:numPr>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sergate arba sirgote lėtine uždegimine žarnų liga arba žarnų nepraeinamumu;</w:t>
      </w:r>
    </w:p>
    <w:p w14:paraId="46B06AE6" w14:textId="77777777" w:rsidR="009500C0" w:rsidRPr="00E14983" w:rsidRDefault="009500C0" w:rsidP="009500C0">
      <w:pPr>
        <w:numPr>
          <w:ilvl w:val="0"/>
          <w:numId w:val="32"/>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žindote;</w:t>
      </w:r>
    </w:p>
    <w:p w14:paraId="7901DE8E" w14:textId="3880B330" w:rsidR="009500C0" w:rsidRPr="00E14983" w:rsidRDefault="009500C0" w:rsidP="009500C0">
      <w:pPr>
        <w:numPr>
          <w:ilvl w:val="0"/>
          <w:numId w:val="32"/>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sergate sunkia kepenų liga</w:t>
      </w:r>
      <w:r w:rsidR="00BB27BB">
        <w:rPr>
          <w:rFonts w:ascii="Times New Roman" w:eastAsia="Times New Roman" w:hAnsi="Times New Roman" w:cs="Times New Roman"/>
          <w:color w:val="000000"/>
          <w:lang w:val="lt-LT"/>
        </w:rPr>
        <w:t xml:space="preserve"> (bilirubino kiekis daugiau kaip 3 kartus viršija viršutinę normos ribą)</w:t>
      </w:r>
      <w:r w:rsidRPr="00E14983">
        <w:rPr>
          <w:rFonts w:ascii="Times New Roman" w:eastAsia="Times New Roman" w:hAnsi="Times New Roman" w:cs="Times New Roman"/>
          <w:color w:val="000000"/>
          <w:lang w:val="lt-LT"/>
        </w:rPr>
        <w:t>;</w:t>
      </w:r>
    </w:p>
    <w:p w14:paraId="57C3E818" w14:textId="77777777" w:rsidR="009500C0" w:rsidRPr="00E14983" w:rsidRDefault="009500C0" w:rsidP="009500C0">
      <w:pPr>
        <w:pStyle w:val="Sraopastraipa"/>
        <w:numPr>
          <w:ilvl w:val="0"/>
          <w:numId w:val="32"/>
        </w:numPr>
        <w:tabs>
          <w:tab w:val="clear" w:pos="432"/>
          <w:tab w:val="num" w:pos="567"/>
        </w:tabs>
        <w:ind w:hanging="432"/>
        <w:rPr>
          <w:color w:val="000000"/>
          <w:sz w:val="22"/>
          <w:szCs w:val="22"/>
          <w:lang w:val="lt-LT"/>
        </w:rPr>
      </w:pPr>
      <w:r w:rsidRPr="00E14983">
        <w:rPr>
          <w:color w:val="000000"/>
          <w:sz w:val="22"/>
          <w:szCs w:val="22"/>
          <w:lang w:val="lt-LT"/>
        </w:rPr>
        <w:t>jeigu yra sunkus kaulų čiulpų veiklos nepakankamumas;</w:t>
      </w:r>
    </w:p>
    <w:p w14:paraId="11ABB9F6" w14:textId="7F80F266" w:rsidR="009500C0" w:rsidRPr="00E14983" w:rsidRDefault="009500C0" w:rsidP="009500C0">
      <w:pPr>
        <w:numPr>
          <w:ilvl w:val="0"/>
          <w:numId w:val="32"/>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yra bloga bendra sveikatos būklė (įvertinus pagal tarptautinius standartus</w:t>
      </w:r>
      <w:r w:rsidR="00EB5E0D" w:rsidRPr="00E14983">
        <w:rPr>
          <w:rFonts w:ascii="Times New Roman" w:eastAsia="Times New Roman" w:hAnsi="Times New Roman" w:cs="Times New Roman"/>
          <w:color w:val="000000"/>
          <w:lang w:val="lt-LT"/>
        </w:rPr>
        <w:t>, būklė pagal PSO bendrosios būklės rodiklį didesnė kaip 2</w:t>
      </w:r>
      <w:r w:rsidRPr="00E14983">
        <w:rPr>
          <w:rFonts w:ascii="Times New Roman" w:eastAsia="Times New Roman" w:hAnsi="Times New Roman" w:cs="Times New Roman"/>
          <w:color w:val="000000"/>
          <w:lang w:val="lt-LT"/>
        </w:rPr>
        <w:t>);</w:t>
      </w:r>
    </w:p>
    <w:p w14:paraId="5D1AD929" w14:textId="77777777" w:rsidR="00EB5E0D" w:rsidRPr="00E14983" w:rsidRDefault="009500C0" w:rsidP="009500C0">
      <w:pPr>
        <w:numPr>
          <w:ilvl w:val="0"/>
          <w:numId w:val="32"/>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vartojate natūralių paprastųjų jonažolių (</w:t>
      </w:r>
      <w:r w:rsidRPr="00E14983">
        <w:rPr>
          <w:rFonts w:ascii="Times New Roman" w:eastAsia="Times New Roman" w:hAnsi="Times New Roman" w:cs="Times New Roman"/>
          <w:i/>
          <w:color w:val="000000"/>
          <w:lang w:val="lt-LT"/>
        </w:rPr>
        <w:t>Hypericum perforatum</w:t>
      </w:r>
      <w:r w:rsidRPr="00E14983">
        <w:rPr>
          <w:rFonts w:ascii="Times New Roman" w:eastAsia="Times New Roman" w:hAnsi="Times New Roman" w:cs="Times New Roman"/>
          <w:color w:val="000000"/>
          <w:lang w:val="lt-LT"/>
        </w:rPr>
        <w:t>) preparatų</w:t>
      </w:r>
      <w:r w:rsidR="00EB5E0D" w:rsidRPr="00E14983">
        <w:rPr>
          <w:rFonts w:ascii="Times New Roman" w:eastAsia="Times New Roman" w:hAnsi="Times New Roman" w:cs="Times New Roman"/>
          <w:color w:val="000000"/>
          <w:lang w:val="lt-LT"/>
        </w:rPr>
        <w:t>;</w:t>
      </w:r>
    </w:p>
    <w:p w14:paraId="1AACEFB0" w14:textId="17714AE0" w:rsidR="00EB5E0D" w:rsidRPr="00E14983" w:rsidRDefault="00EB5E0D" w:rsidP="00EB5E0D">
      <w:pPr>
        <w:numPr>
          <w:ilvl w:val="0"/>
          <w:numId w:val="32"/>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lastRenderedPageBreak/>
        <w:t xml:space="preserve">jeigu ketinate </w:t>
      </w:r>
      <w:r w:rsidR="006E499B" w:rsidRPr="00E14983">
        <w:rPr>
          <w:rFonts w:ascii="Times New Roman" w:eastAsia="Times New Roman" w:hAnsi="Times New Roman" w:cs="Times New Roman"/>
          <w:color w:val="000000"/>
          <w:lang w:val="lt-LT"/>
        </w:rPr>
        <w:t>skiepytis</w:t>
      </w:r>
      <w:r w:rsidRPr="00E14983">
        <w:rPr>
          <w:rFonts w:ascii="Times New Roman" w:eastAsia="Times New Roman" w:hAnsi="Times New Roman" w:cs="Times New Roman"/>
          <w:color w:val="000000"/>
          <w:lang w:val="lt-LT"/>
        </w:rPr>
        <w:t xml:space="preserve"> arba pastaruoju metu </w:t>
      </w:r>
      <w:r w:rsidR="006E499B" w:rsidRPr="00E14983">
        <w:rPr>
          <w:rFonts w:ascii="Times New Roman" w:eastAsia="Times New Roman" w:hAnsi="Times New Roman" w:cs="Times New Roman"/>
          <w:color w:val="000000"/>
          <w:lang w:val="lt-LT"/>
        </w:rPr>
        <w:t>skiepijotės</w:t>
      </w:r>
      <w:r w:rsidRPr="00E14983">
        <w:rPr>
          <w:rFonts w:ascii="Times New Roman" w:eastAsia="Times New Roman" w:hAnsi="Times New Roman" w:cs="Times New Roman"/>
          <w:color w:val="000000"/>
          <w:lang w:val="lt-LT"/>
        </w:rPr>
        <w:t xml:space="preserve"> gyv</w:t>
      </w:r>
      <w:r w:rsidR="006E499B" w:rsidRPr="00E14983">
        <w:rPr>
          <w:rFonts w:ascii="Times New Roman" w:eastAsia="Times New Roman" w:hAnsi="Times New Roman" w:cs="Times New Roman"/>
          <w:color w:val="000000"/>
          <w:lang w:val="lt-LT"/>
        </w:rPr>
        <w:t>osiomis</w:t>
      </w:r>
      <w:r w:rsidRPr="00E14983">
        <w:rPr>
          <w:rFonts w:ascii="Times New Roman" w:eastAsia="Times New Roman" w:hAnsi="Times New Roman" w:cs="Times New Roman"/>
          <w:color w:val="000000"/>
          <w:lang w:val="lt-LT"/>
        </w:rPr>
        <w:t xml:space="preserve"> susilpnint</w:t>
      </w:r>
      <w:r w:rsidR="006E499B" w:rsidRPr="00E14983">
        <w:rPr>
          <w:rFonts w:ascii="Times New Roman" w:eastAsia="Times New Roman" w:hAnsi="Times New Roman" w:cs="Times New Roman"/>
          <w:color w:val="000000"/>
          <w:lang w:val="lt-LT"/>
        </w:rPr>
        <w:t>omis</w:t>
      </w:r>
      <w:r w:rsidRPr="00E14983">
        <w:rPr>
          <w:rFonts w:ascii="Times New Roman" w:eastAsia="Times New Roman" w:hAnsi="Times New Roman" w:cs="Times New Roman"/>
          <w:color w:val="000000"/>
          <w:lang w:val="lt-LT"/>
        </w:rPr>
        <w:t xml:space="preserve"> vakcin</w:t>
      </w:r>
      <w:r w:rsidR="006E499B" w:rsidRPr="00E14983">
        <w:rPr>
          <w:rFonts w:ascii="Times New Roman" w:eastAsia="Times New Roman" w:hAnsi="Times New Roman" w:cs="Times New Roman"/>
          <w:color w:val="000000"/>
          <w:lang w:val="lt-LT"/>
        </w:rPr>
        <w:t>omis</w:t>
      </w:r>
      <w:r w:rsidRPr="00E14983">
        <w:rPr>
          <w:rFonts w:ascii="Times New Roman" w:eastAsia="Times New Roman" w:hAnsi="Times New Roman" w:cs="Times New Roman"/>
          <w:color w:val="000000"/>
          <w:lang w:val="lt-LT"/>
        </w:rPr>
        <w:t xml:space="preserve"> (vakcin</w:t>
      </w:r>
      <w:r w:rsidR="006E499B" w:rsidRPr="00E14983">
        <w:rPr>
          <w:rFonts w:ascii="Times New Roman" w:eastAsia="Times New Roman" w:hAnsi="Times New Roman" w:cs="Times New Roman"/>
          <w:color w:val="000000"/>
          <w:lang w:val="lt-LT"/>
        </w:rPr>
        <w:t>omis</w:t>
      </w:r>
      <w:r w:rsidRPr="00E14983">
        <w:rPr>
          <w:rFonts w:ascii="Times New Roman" w:eastAsia="Times New Roman" w:hAnsi="Times New Roman" w:cs="Times New Roman"/>
          <w:color w:val="000000"/>
          <w:lang w:val="lt-LT"/>
        </w:rPr>
        <w:t xml:space="preserve"> nuo geltonosios karštinės, vėjaraupių, pūslelinės, tymų, kiaulytės, raudonukės, tuberku</w:t>
      </w:r>
      <w:r w:rsidR="006E499B" w:rsidRPr="00E14983">
        <w:rPr>
          <w:rFonts w:ascii="Times New Roman" w:eastAsia="Times New Roman" w:hAnsi="Times New Roman" w:cs="Times New Roman"/>
          <w:color w:val="000000"/>
          <w:lang w:val="lt-LT"/>
        </w:rPr>
        <w:t>l</w:t>
      </w:r>
      <w:r w:rsidRPr="00E14983">
        <w:rPr>
          <w:rFonts w:ascii="Times New Roman" w:eastAsia="Times New Roman" w:hAnsi="Times New Roman" w:cs="Times New Roman"/>
          <w:color w:val="000000"/>
          <w:lang w:val="lt-LT"/>
        </w:rPr>
        <w:t>iozės, rotaviruso, gripo) ir 6 mėnesių laikotarpiu po chemoterapijos pabaigos.</w:t>
      </w:r>
    </w:p>
    <w:p w14:paraId="7774026F" w14:textId="77777777" w:rsidR="00EB5E0D" w:rsidRPr="00E14983" w:rsidRDefault="00EB5E0D" w:rsidP="00EB5E0D">
      <w:pPr>
        <w:tabs>
          <w:tab w:val="left" w:pos="270"/>
        </w:tabs>
        <w:autoSpaceDE w:val="0"/>
        <w:autoSpaceDN w:val="0"/>
        <w:adjustRightInd w:val="0"/>
        <w:spacing w:after="0" w:line="240" w:lineRule="auto"/>
        <w:jc w:val="both"/>
        <w:rPr>
          <w:lang w:val="lt-LT"/>
        </w:rPr>
      </w:pPr>
    </w:p>
    <w:p w14:paraId="388E51D0" w14:textId="4B05AABC" w:rsidR="00EB5E0D" w:rsidRPr="00E14983" w:rsidRDefault="00EB5E0D" w:rsidP="00DD3E4C">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Jeigu vartojate Irinotecan Accord kartu su kitais vaist</w:t>
      </w:r>
      <w:r w:rsidR="006E499B" w:rsidRPr="00E14983">
        <w:rPr>
          <w:rFonts w:ascii="Times New Roman" w:eastAsia="Times New Roman" w:hAnsi="Times New Roman" w:cs="Times New Roman"/>
          <w:color w:val="000000"/>
          <w:lang w:val="lt-LT"/>
        </w:rPr>
        <w:t>ais</w:t>
      </w:r>
      <w:r w:rsidRPr="00E14983">
        <w:rPr>
          <w:rFonts w:ascii="Times New Roman" w:eastAsia="Times New Roman" w:hAnsi="Times New Roman" w:cs="Times New Roman"/>
          <w:color w:val="000000"/>
          <w:lang w:val="lt-LT"/>
        </w:rPr>
        <w:t>, taip pat p</w:t>
      </w:r>
      <w:r w:rsidR="006E499B" w:rsidRPr="00E14983">
        <w:rPr>
          <w:rFonts w:ascii="Times New Roman" w:eastAsia="Times New Roman" w:hAnsi="Times New Roman" w:cs="Times New Roman"/>
          <w:color w:val="000000"/>
          <w:lang w:val="lt-LT"/>
        </w:rPr>
        <w:t>er</w:t>
      </w:r>
      <w:r w:rsidRPr="00E14983">
        <w:rPr>
          <w:rFonts w:ascii="Times New Roman" w:eastAsia="Times New Roman" w:hAnsi="Times New Roman" w:cs="Times New Roman"/>
          <w:color w:val="000000"/>
          <w:lang w:val="lt-LT"/>
        </w:rPr>
        <w:t>skaitykite kitų vaistų pakuotės lapel</w:t>
      </w:r>
      <w:r w:rsidR="006E499B" w:rsidRPr="00E14983">
        <w:rPr>
          <w:rFonts w:ascii="Times New Roman" w:eastAsia="Times New Roman" w:hAnsi="Times New Roman" w:cs="Times New Roman"/>
          <w:color w:val="000000"/>
          <w:lang w:val="lt-LT"/>
        </w:rPr>
        <w:t>ius</w:t>
      </w:r>
      <w:r w:rsidRPr="00E14983">
        <w:rPr>
          <w:rFonts w:ascii="Times New Roman" w:eastAsia="Times New Roman" w:hAnsi="Times New Roman" w:cs="Times New Roman"/>
          <w:color w:val="000000"/>
          <w:lang w:val="lt-LT"/>
        </w:rPr>
        <w:t xml:space="preserve"> dėl papildomų kontraindikacijų.</w:t>
      </w:r>
    </w:p>
    <w:p w14:paraId="35C216C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71F06B7D"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Įspėjimai ir atsargumo priemonės</w:t>
      </w:r>
    </w:p>
    <w:p w14:paraId="2F589824"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Specialių atsargumo priemonių reikia imtis senyviems pacientams.</w:t>
      </w:r>
    </w:p>
    <w:p w14:paraId="74D16F1F"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21A0F47F" w14:textId="77777777" w:rsidR="009500C0" w:rsidRPr="00E14983" w:rsidRDefault="009500C0" w:rsidP="00DD3E4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Irinotecan Accord yra priešvėžinis vaistas, todėl jis bus vartojamas specialiame skyriuje, prižiūrint gydytojui, kvalifikuotam skirti priešvėžinių vaistų. Skyriaus personalas paaiškins, kokių specialių priemonių reikia imtis gydymo metu ir po jo. Šis pakuotės lapelis padės Jums tai prisiminti.</w:t>
      </w:r>
    </w:p>
    <w:p w14:paraId="36D065E8"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73E250D7" w14:textId="77777777" w:rsidR="009500C0" w:rsidRPr="00E14983" w:rsidRDefault="009500C0" w:rsidP="009500C0">
      <w:pPr>
        <w:tabs>
          <w:tab w:val="left" w:pos="567"/>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Prieš pradedant gydymą Irinotecan Accord pasakykite savo gydytojui, jeigu:</w:t>
      </w:r>
    </w:p>
    <w:p w14:paraId="4C4446F5" w14:textId="3373C2E4"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kepenų liga;</w:t>
      </w:r>
    </w:p>
    <w:p w14:paraId="726312C5"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inkstų liga;</w:t>
      </w:r>
    </w:p>
    <w:p w14:paraId="5DD413BD"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sergate </w:t>
      </w:r>
      <w:r w:rsidRPr="00E14983">
        <w:rPr>
          <w:rFonts w:ascii="Times New Roman" w:eastAsia="Calibri" w:hAnsi="Times New Roman" w:cs="Times New Roman"/>
          <w:bCs/>
          <w:lang w:val="lt-LT"/>
        </w:rPr>
        <w:t>astma</w:t>
      </w:r>
      <w:r w:rsidRPr="00E14983">
        <w:rPr>
          <w:rFonts w:ascii="Times New Roman" w:eastAsia="Calibri" w:hAnsi="Times New Roman" w:cs="Times New Roman"/>
          <w:lang w:val="lt-LT"/>
        </w:rPr>
        <w:t>;</w:t>
      </w:r>
    </w:p>
    <w:p w14:paraId="2C062363"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kada nors esate gydyti </w:t>
      </w:r>
      <w:r w:rsidRPr="00E14983">
        <w:rPr>
          <w:rFonts w:ascii="Times New Roman" w:eastAsia="Calibri" w:hAnsi="Times New Roman" w:cs="Times New Roman"/>
          <w:bCs/>
          <w:lang w:val="lt-LT"/>
        </w:rPr>
        <w:t>spinduline terapija</w:t>
      </w:r>
      <w:r w:rsidRPr="00E14983">
        <w:rPr>
          <w:rFonts w:ascii="Times New Roman" w:eastAsia="Calibri" w:hAnsi="Times New Roman" w:cs="Times New Roman"/>
          <w:lang w:val="lt-LT"/>
        </w:rPr>
        <w:t>;</w:t>
      </w:r>
    </w:p>
    <w:p w14:paraId="02884BC2"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anksčiau buvote gydyti irinotekano tirpalu ir po to pasireiškė sunkus </w:t>
      </w:r>
      <w:r w:rsidRPr="00E14983">
        <w:rPr>
          <w:rFonts w:ascii="Times New Roman" w:eastAsia="Calibri" w:hAnsi="Times New Roman" w:cs="Times New Roman"/>
          <w:bCs/>
          <w:lang w:val="lt-LT"/>
        </w:rPr>
        <w:t>viduriavimas</w:t>
      </w:r>
      <w:r w:rsidRPr="00E14983">
        <w:rPr>
          <w:rFonts w:ascii="Times New Roman" w:eastAsia="Calibri" w:hAnsi="Times New Roman" w:cs="Times New Roman"/>
          <w:lang w:val="lt-LT"/>
        </w:rPr>
        <w:t xml:space="preserve"> arba </w:t>
      </w:r>
      <w:r w:rsidRPr="00E14983">
        <w:rPr>
          <w:rFonts w:ascii="Times New Roman" w:eastAsia="Calibri" w:hAnsi="Times New Roman" w:cs="Times New Roman"/>
          <w:bCs/>
          <w:lang w:val="lt-LT"/>
        </w:rPr>
        <w:t>karščiavimas;</w:t>
      </w:r>
    </w:p>
    <w:p w14:paraId="41CF0D32"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sergate širdies ligomis;</w:t>
      </w:r>
    </w:p>
    <w:p w14:paraId="3F3A0817" w14:textId="77777777"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rūkote, Jūsų aukštas kraujospūdis arba padidėjęs cholesterolio kiekis, nes tai gali padidinti pavojų susirgti širdies liga gydymo Irinotecan Accord metu;</w:t>
      </w:r>
    </w:p>
    <w:p w14:paraId="30552B6E" w14:textId="2B12F329"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buvote paskiepyti arba Ju</w:t>
      </w:r>
      <w:r w:rsidR="00C00717" w:rsidRPr="00E14983">
        <w:rPr>
          <w:rFonts w:ascii="Times New Roman" w:eastAsia="Calibri" w:hAnsi="Times New Roman" w:cs="Times New Roman"/>
          <w:lang w:val="lt-LT"/>
        </w:rPr>
        <w:t>m</w:t>
      </w:r>
      <w:r w:rsidRPr="00E14983">
        <w:rPr>
          <w:rFonts w:ascii="Times New Roman" w:eastAsia="Calibri" w:hAnsi="Times New Roman" w:cs="Times New Roman"/>
          <w:lang w:val="lt-LT"/>
        </w:rPr>
        <w:t xml:space="preserve">s reikia nuo ko nors </w:t>
      </w:r>
      <w:r w:rsidR="001F6662" w:rsidRPr="00E14983">
        <w:rPr>
          <w:rFonts w:ascii="Times New Roman" w:eastAsia="Calibri" w:hAnsi="Times New Roman" w:cs="Times New Roman"/>
          <w:bCs/>
          <w:lang w:val="lt-LT"/>
        </w:rPr>
        <w:t>skiepytis</w:t>
      </w:r>
      <w:r w:rsidRPr="00E14983">
        <w:rPr>
          <w:rFonts w:ascii="Times New Roman" w:eastAsia="Calibri" w:hAnsi="Times New Roman" w:cs="Times New Roman"/>
          <w:bCs/>
          <w:lang w:val="lt-LT"/>
        </w:rPr>
        <w:t>;</w:t>
      </w:r>
    </w:p>
    <w:p w14:paraId="4E6FE2F7" w14:textId="270283F1" w:rsidR="009500C0" w:rsidRPr="00E14983" w:rsidRDefault="009500C0"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vartojate kokius nors kitus vaistus. Žr. toliau skyrių </w:t>
      </w:r>
      <w:r w:rsidRPr="00E14983">
        <w:rPr>
          <w:rFonts w:ascii="Times New Roman" w:eastAsia="Calibri" w:hAnsi="Times New Roman" w:cs="Times New Roman"/>
          <w:bCs/>
          <w:lang w:val="lt-LT"/>
        </w:rPr>
        <w:t>„</w:t>
      </w:r>
      <w:r w:rsidRPr="00E14983">
        <w:rPr>
          <w:rFonts w:ascii="Times New Roman" w:eastAsia="Calibri" w:hAnsi="Times New Roman" w:cs="Times New Roman"/>
          <w:b/>
          <w:bCs/>
          <w:lang w:val="lt-LT"/>
        </w:rPr>
        <w:t>Kiti vaistai ir Irinotecan Accord</w:t>
      </w:r>
      <w:r w:rsidRPr="00E14983">
        <w:rPr>
          <w:rFonts w:ascii="Times New Roman" w:eastAsia="Calibri" w:hAnsi="Times New Roman" w:cs="Times New Roman"/>
          <w:bCs/>
          <w:lang w:val="lt-LT"/>
        </w:rPr>
        <w:t>“</w:t>
      </w:r>
      <w:r w:rsidR="00B76CDC" w:rsidRPr="00E14983">
        <w:rPr>
          <w:rFonts w:ascii="Times New Roman" w:eastAsia="Calibri" w:hAnsi="Times New Roman" w:cs="Times New Roman"/>
          <w:lang w:val="lt-LT"/>
        </w:rPr>
        <w:t>;</w:t>
      </w:r>
    </w:p>
    <w:p w14:paraId="6948031A" w14:textId="4E1F1CCA" w:rsidR="00B76CDC" w:rsidRPr="00E14983" w:rsidRDefault="00B76CDC" w:rsidP="009500C0">
      <w:pPr>
        <w:numPr>
          <w:ilvl w:val="0"/>
          <w:numId w:val="38"/>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 xml:space="preserve">jeigu sergate </w:t>
      </w:r>
      <w:r w:rsidR="00184EC4" w:rsidRPr="00E14983">
        <w:rPr>
          <w:rFonts w:ascii="Times New Roman" w:eastAsia="Calibri" w:hAnsi="Times New Roman" w:cs="Times New Roman"/>
          <w:lang w:val="lt-LT"/>
        </w:rPr>
        <w:t>Gilberto (</w:t>
      </w:r>
      <w:r w:rsidR="00184EC4" w:rsidRPr="00E14983">
        <w:rPr>
          <w:rFonts w:ascii="Times New Roman" w:eastAsia="Calibri" w:hAnsi="Times New Roman" w:cs="Times New Roman"/>
          <w:i/>
          <w:lang w:val="lt-LT"/>
        </w:rPr>
        <w:t>Gilbert</w:t>
      </w:r>
      <w:r w:rsidR="00184EC4" w:rsidRPr="00E14983">
        <w:rPr>
          <w:rFonts w:ascii="Times New Roman" w:eastAsia="Calibri" w:hAnsi="Times New Roman" w:cs="Times New Roman"/>
          <w:iCs/>
          <w:lang w:val="lt-LT"/>
        </w:rPr>
        <w:t xml:space="preserve">) </w:t>
      </w:r>
      <w:r w:rsidRPr="00E14983">
        <w:rPr>
          <w:rFonts w:ascii="Times New Roman" w:eastAsia="Calibri" w:hAnsi="Times New Roman" w:cs="Times New Roman"/>
          <w:lang w:val="lt-LT"/>
        </w:rPr>
        <w:t>sindromu – paveldima liga, dėl kurios gali padidėti bilirubino kiekis ir atsirasti gelta (odos ir akių pageltimas).</w:t>
      </w:r>
    </w:p>
    <w:p w14:paraId="35630CED"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33F3A8DB" w14:textId="77777777" w:rsidR="009500C0" w:rsidRPr="00E14983" w:rsidRDefault="009500C0" w:rsidP="009500C0">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1.</w:t>
      </w:r>
      <w:r w:rsidRPr="00E14983">
        <w:rPr>
          <w:rFonts w:ascii="Times New Roman" w:eastAsia="Times New Roman" w:hAnsi="Times New Roman" w:cs="Times New Roman"/>
          <w:b/>
          <w:bCs/>
          <w:lang w:val="lt-LT"/>
        </w:rPr>
        <w:tab/>
        <w:t>Pirmos 24 valandos po Irinotecan Accord pavartojimo</w:t>
      </w:r>
    </w:p>
    <w:p w14:paraId="25A19B59"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infuzijos metu (30-90 min.) ir netrukus po to Jums gali pasireikšti šie simptomai:</w:t>
      </w:r>
    </w:p>
    <w:p w14:paraId="43D16B3D"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Viduriavimas.</w:t>
      </w:r>
    </w:p>
    <w:p w14:paraId="540BEF0E"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Ašarojimas.</w:t>
      </w:r>
    </w:p>
    <w:p w14:paraId="68DEDB81"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Prakaitavimas.</w:t>
      </w:r>
    </w:p>
    <w:p w14:paraId="4897C186"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Matymo sutrikimas.</w:t>
      </w:r>
    </w:p>
    <w:p w14:paraId="00E80D79"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Pilvo skausmas.</w:t>
      </w:r>
    </w:p>
    <w:p w14:paraId="61597BA0" w14:textId="77777777" w:rsidR="009500C0" w:rsidRPr="00E14983" w:rsidRDefault="009500C0" w:rsidP="009500C0">
      <w:pPr>
        <w:numPr>
          <w:ilvl w:val="0"/>
          <w:numId w:val="39"/>
        </w:numPr>
        <w:tabs>
          <w:tab w:val="left" w:pos="567"/>
        </w:tabs>
        <w:spacing w:after="0" w:line="240" w:lineRule="auto"/>
        <w:ind w:left="567" w:hanging="567"/>
        <w:contextualSpacing/>
        <w:rPr>
          <w:rFonts w:ascii="Times New Roman" w:eastAsia="Calibri" w:hAnsi="Times New Roman" w:cs="Times New Roman"/>
          <w:lang w:val="lt-LT"/>
        </w:rPr>
      </w:pPr>
      <w:r w:rsidRPr="00E14983">
        <w:rPr>
          <w:rFonts w:ascii="Times New Roman" w:eastAsia="Calibri" w:hAnsi="Times New Roman" w:cs="Times New Roman"/>
          <w:lang w:val="lt-LT"/>
        </w:rPr>
        <w:t>Didelis seilėtekis.</w:t>
      </w:r>
    </w:p>
    <w:p w14:paraId="40E88A75" w14:textId="77777777" w:rsidR="009500C0" w:rsidRPr="00E14983" w:rsidRDefault="009500C0" w:rsidP="009500C0">
      <w:pPr>
        <w:tabs>
          <w:tab w:val="left" w:pos="567"/>
        </w:tabs>
        <w:spacing w:after="0" w:line="240" w:lineRule="auto"/>
        <w:contextualSpacing/>
        <w:rPr>
          <w:rFonts w:ascii="Times New Roman" w:eastAsia="Calibri" w:hAnsi="Times New Roman" w:cs="Times New Roman"/>
          <w:lang w:val="lt-LT"/>
        </w:rPr>
      </w:pPr>
    </w:p>
    <w:p w14:paraId="42ED4BBC" w14:textId="1CEC0E6A"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Ūminis cholinerginis sindromas</w:t>
      </w:r>
    </w:p>
    <w:p w14:paraId="247F4A3C" w14:textId="16BC5A7B"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Šis vaistas gali paveikti tą nervų sistemos dalį, kuri atsako už sekrecij</w:t>
      </w:r>
      <w:r w:rsidR="006E499B" w:rsidRPr="00E14983">
        <w:rPr>
          <w:rFonts w:ascii="Times New Roman" w:eastAsia="Times New Roman" w:hAnsi="Times New Roman" w:cs="Times New Roman"/>
          <w:lang w:val="lt-LT"/>
        </w:rPr>
        <w:t>ą</w:t>
      </w:r>
      <w:r w:rsidRPr="00E14983">
        <w:rPr>
          <w:rFonts w:ascii="Times New Roman" w:eastAsia="Times New Roman" w:hAnsi="Times New Roman" w:cs="Times New Roman"/>
          <w:lang w:val="lt-LT"/>
        </w:rPr>
        <w:t>, taip sukeldama</w:t>
      </w:r>
      <w:r w:rsidR="006E499B" w:rsidRPr="00E14983">
        <w:rPr>
          <w:rFonts w:ascii="Times New Roman" w:eastAsia="Times New Roman" w:hAnsi="Times New Roman" w:cs="Times New Roman"/>
          <w:lang w:val="lt-LT"/>
        </w:rPr>
        <w:t>s</w:t>
      </w:r>
      <w:r w:rsidRPr="00E14983">
        <w:rPr>
          <w:rFonts w:ascii="Times New Roman" w:eastAsia="Times New Roman" w:hAnsi="Times New Roman" w:cs="Times New Roman"/>
          <w:lang w:val="lt-LT"/>
        </w:rPr>
        <w:t xml:space="preserve"> vadinamąjį cholinerginį sindromą. Jis gali pasireikšti tokiais s</w:t>
      </w:r>
      <w:r w:rsidR="004F4235" w:rsidRPr="00E14983">
        <w:rPr>
          <w:rFonts w:ascii="Times New Roman" w:eastAsia="Times New Roman" w:hAnsi="Times New Roman" w:cs="Times New Roman"/>
          <w:lang w:val="lt-LT"/>
        </w:rPr>
        <w:t>i</w:t>
      </w:r>
      <w:r w:rsidRPr="00E14983">
        <w:rPr>
          <w:rFonts w:ascii="Times New Roman" w:eastAsia="Times New Roman" w:hAnsi="Times New Roman" w:cs="Times New Roman"/>
          <w:lang w:val="lt-LT"/>
        </w:rPr>
        <w:t xml:space="preserve">mptomais kaip </w:t>
      </w:r>
      <w:r w:rsidR="006E499B" w:rsidRPr="00E14983">
        <w:rPr>
          <w:rFonts w:ascii="Times New Roman" w:eastAsia="Times New Roman" w:hAnsi="Times New Roman" w:cs="Times New Roman"/>
          <w:lang w:val="lt-LT"/>
        </w:rPr>
        <w:t>sloga</w:t>
      </w:r>
      <w:r w:rsidRPr="00E14983">
        <w:rPr>
          <w:rFonts w:ascii="Times New Roman" w:eastAsia="Times New Roman" w:hAnsi="Times New Roman" w:cs="Times New Roman"/>
          <w:lang w:val="lt-LT"/>
        </w:rPr>
        <w:t xml:space="preserve">, seilių išsiskyrimo ir ašarojimo sustiprėjimas, prakaitavimas, paraudimas, pilvo spazmai ir viduriavimas. Jeigu </w:t>
      </w:r>
      <w:r w:rsidR="006E499B"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ums pasireiškia bet kuris iš šių simptomų, nedelsdami pasakykite gydytojui ar slaugytojui, nes yra vaistų, kurie gali padėti juos suvaldyti.</w:t>
      </w:r>
    </w:p>
    <w:p w14:paraId="1395E517"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78825FF8" w14:textId="77777777" w:rsidR="009500C0" w:rsidRPr="00E14983" w:rsidRDefault="009500C0" w:rsidP="009500C0">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2.</w:t>
      </w:r>
      <w:r w:rsidRPr="00E14983">
        <w:rPr>
          <w:rFonts w:ascii="Times New Roman" w:eastAsia="Times New Roman" w:hAnsi="Times New Roman" w:cs="Times New Roman"/>
          <w:b/>
          <w:bCs/>
          <w:lang w:val="lt-LT"/>
        </w:rPr>
        <w:tab/>
        <w:t>Nuo kitos dienos po Irinotecan Accord suleidimo iki kitos vaisto dozės leidimo</w:t>
      </w:r>
    </w:p>
    <w:p w14:paraId="3CA8AB46"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Šio laikotarpio metu galite patirti įvairių simptomų, kurie gali būti sunkūs ir reikalauti skubaus gydymo bei atidaus stebėjimo.</w:t>
      </w:r>
    </w:p>
    <w:p w14:paraId="2DBF71C6"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247C8E80"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Viduriavimas</w:t>
      </w:r>
    </w:p>
    <w:p w14:paraId="5973889C" w14:textId="2375328D"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Viduriavimas, prasidėjęs praėjus daugiau negu 24 val. po Irinotecan Accord infuzijos (vėlyvasis viduriavimas), gali būti sunkus. Paprastai jis pasireiškia per 5 paras po infuzijos. Viduriavimą būtina slopinti nedelsiant, be to, Jums būtina atidi priežiūra. </w:t>
      </w:r>
      <w:r w:rsidR="004F7EBC" w:rsidRPr="00E14983">
        <w:rPr>
          <w:rFonts w:ascii="Times New Roman" w:eastAsia="Times New Roman" w:hAnsi="Times New Roman" w:cs="Times New Roman"/>
          <w:lang w:val="lt-LT"/>
        </w:rPr>
        <w:t>Negydant jis gali sukelti dehidra</w:t>
      </w:r>
      <w:r w:rsidR="00804F16" w:rsidRPr="00E14983">
        <w:rPr>
          <w:rFonts w:ascii="Times New Roman" w:eastAsia="Times New Roman" w:hAnsi="Times New Roman" w:cs="Times New Roman"/>
          <w:lang w:val="lt-LT"/>
        </w:rPr>
        <w:t>ta</w:t>
      </w:r>
      <w:r w:rsidR="004F7EBC" w:rsidRPr="00E14983">
        <w:rPr>
          <w:rFonts w:ascii="Times New Roman" w:eastAsia="Times New Roman" w:hAnsi="Times New Roman" w:cs="Times New Roman"/>
          <w:lang w:val="lt-LT"/>
        </w:rPr>
        <w:t>ciją ir sunkų cheminių medžiagų disbalansą, kuris gali kelti pavojų gyvybei. Gydytojas skirs vaistų, kurie padės apsisaugoti nuo šios nepageidaujamos reakcijos arba ją suvaldyti. Pasirūpinkite šiuo vaist</w:t>
      </w:r>
      <w:r w:rsidR="00804F16" w:rsidRPr="00E14983">
        <w:rPr>
          <w:rFonts w:ascii="Times New Roman" w:eastAsia="Times New Roman" w:hAnsi="Times New Roman" w:cs="Times New Roman"/>
          <w:lang w:val="lt-LT"/>
        </w:rPr>
        <w:t>u</w:t>
      </w:r>
      <w:r w:rsidR="004F7EBC" w:rsidRPr="00E14983">
        <w:rPr>
          <w:rFonts w:ascii="Times New Roman" w:eastAsia="Times New Roman" w:hAnsi="Times New Roman" w:cs="Times New Roman"/>
          <w:lang w:val="lt-LT"/>
        </w:rPr>
        <w:t xml:space="preserve"> iš karto, </w:t>
      </w:r>
      <w:r w:rsidR="004F7EBC" w:rsidRPr="00E14983">
        <w:rPr>
          <w:rFonts w:ascii="Times New Roman" w:eastAsia="Times New Roman" w:hAnsi="Times New Roman" w:cs="Times New Roman"/>
          <w:lang w:val="lt-LT"/>
        </w:rPr>
        <w:lastRenderedPageBreak/>
        <w:t xml:space="preserve">kad prireikus turėtumėte jį namuose. </w:t>
      </w:r>
      <w:r w:rsidRPr="00E14983">
        <w:rPr>
          <w:rFonts w:ascii="Times New Roman" w:eastAsia="Times New Roman" w:hAnsi="Times New Roman" w:cs="Times New Roman"/>
          <w:lang w:val="lt-LT"/>
        </w:rPr>
        <w:t>Tuoj pat po pirmo pasituštinimo skystomis išmatomis Jums būtina elgtis taip, kaip nurodyta toliau.</w:t>
      </w:r>
    </w:p>
    <w:p w14:paraId="404CA6C8"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57A725E4" w14:textId="661F9078" w:rsidR="009500C0" w:rsidRPr="00E14983" w:rsidRDefault="009500C0" w:rsidP="009500C0">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1.</w:t>
      </w:r>
      <w:r w:rsidRPr="00E14983">
        <w:rPr>
          <w:rFonts w:ascii="Times New Roman" w:eastAsia="Times New Roman" w:hAnsi="Times New Roman" w:cs="Times New Roman"/>
          <w:lang w:val="lt-LT"/>
        </w:rPr>
        <w:tab/>
        <w:t xml:space="preserve">Pradėti vartoti gydytojo skirtų vaistų nuo viduriavimo tiksliai taip, kaip jo nurodyta. Nepasitarus su gydytoju, gydymo keisti negalima. Rekomenduojamas vaistas nuo viduriavimo yra loperamidas (pradinė jo dozė yra 4 mg, </w:t>
      </w:r>
      <w:r w:rsidR="003B6728"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o reikia gerti po 2 mg kas 2 val., taip pat ir naktį). Taip vaisto reikia vartoti dar mažiausiai 12 val. po paskutinio pasituštinimo skystomis išmatomis. Rekomenduojama loperamido dozė neturi būti vartojama ilgiau kaip 48 valandas.</w:t>
      </w:r>
    </w:p>
    <w:p w14:paraId="4265707F" w14:textId="77777777" w:rsidR="009500C0" w:rsidRPr="00E14983" w:rsidRDefault="009500C0" w:rsidP="009500C0">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2.</w:t>
      </w:r>
      <w:r w:rsidRPr="00E14983">
        <w:rPr>
          <w:rFonts w:ascii="Times New Roman" w:eastAsia="Times New Roman" w:hAnsi="Times New Roman" w:cs="Times New Roman"/>
          <w:lang w:val="lt-LT"/>
        </w:rPr>
        <w:tab/>
        <w:t>Nedelsiant pradėti gerti daug vandens ir skysčių (vandens, gazuoto vandens, putojančių nealkoholinių gėrimų, sriubos arba geriamųjų, skysčių kiekį organizme papildančių, preparatų).</w:t>
      </w:r>
    </w:p>
    <w:p w14:paraId="48999BB7" w14:textId="77777777" w:rsidR="009500C0" w:rsidRPr="00E14983" w:rsidRDefault="009500C0" w:rsidP="009500C0">
      <w:pPr>
        <w:tabs>
          <w:tab w:val="left" w:pos="0"/>
        </w:tabs>
        <w:spacing w:after="0" w:line="240" w:lineRule="auto"/>
        <w:ind w:left="567" w:hanging="567"/>
        <w:rPr>
          <w:rFonts w:ascii="Times New Roman" w:eastAsia="Times New Roman" w:hAnsi="Times New Roman" w:cs="Times New Roman"/>
          <w:lang w:val="lt-LT"/>
        </w:rPr>
      </w:pPr>
      <w:r w:rsidRPr="00E14983">
        <w:rPr>
          <w:rFonts w:ascii="Times New Roman" w:eastAsia="Times New Roman" w:hAnsi="Times New Roman" w:cs="Times New Roman"/>
          <w:lang w:val="lt-LT"/>
        </w:rPr>
        <w:t>3.</w:t>
      </w:r>
      <w:r w:rsidRPr="00E14983">
        <w:rPr>
          <w:rFonts w:ascii="Times New Roman" w:eastAsia="Times New Roman" w:hAnsi="Times New Roman" w:cs="Times New Roman"/>
          <w:lang w:val="lt-LT"/>
        </w:rPr>
        <w:tab/>
        <w:t>Nedelsiant informuoti gydymą prižiūrinti gydytoją apie viduriavimą. Jeigu su juo susisiekti negalite, kreipkitės į ligoninės skyriaus, prižiūrinčio Jūsų gydymą Irinotecan Accord, gydytoją. Labai svarbu, kad jie žinotų apie viduriavimą.</w:t>
      </w:r>
    </w:p>
    <w:p w14:paraId="47F7A4AE"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027581F4" w14:textId="77777777" w:rsidR="009500C0" w:rsidRPr="00E14983" w:rsidRDefault="009500C0" w:rsidP="009500C0">
      <w:pPr>
        <w:tabs>
          <w:tab w:val="left" w:pos="567"/>
        </w:tabs>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Nedelsdami praneškite gydytojui arba skyriaus, prižiūrinčio gydymą, darbuotojams, jeigu:</w:t>
      </w:r>
    </w:p>
    <w:p w14:paraId="71071FD7" w14:textId="77777777" w:rsidR="009500C0" w:rsidRPr="00E14983" w:rsidRDefault="009500C0" w:rsidP="009500C0">
      <w:pPr>
        <w:numPr>
          <w:ilvl w:val="0"/>
          <w:numId w:val="40"/>
        </w:numPr>
        <w:tabs>
          <w:tab w:val="left" w:pos="567"/>
        </w:tabs>
        <w:spacing w:after="0" w:line="240" w:lineRule="auto"/>
        <w:ind w:left="567" w:hanging="567"/>
        <w:contextualSpacing/>
        <w:rPr>
          <w:rFonts w:ascii="Times New Roman" w:eastAsia="Calibri" w:hAnsi="Times New Roman" w:cs="Times New Roman"/>
          <w:b/>
          <w:lang w:val="lt-LT"/>
        </w:rPr>
      </w:pPr>
      <w:r w:rsidRPr="00E14983">
        <w:rPr>
          <w:rFonts w:ascii="Times New Roman" w:eastAsia="Calibri" w:hAnsi="Times New Roman" w:cs="Times New Roman"/>
          <w:b/>
          <w:lang w:val="lt-LT"/>
        </w:rPr>
        <w:t xml:space="preserve">Jums pasireiškė pykinimas, vėmimas arba karščiavimas bei viduriavimas. </w:t>
      </w:r>
    </w:p>
    <w:p w14:paraId="395D6FC6" w14:textId="77777777" w:rsidR="009500C0" w:rsidRPr="00E14983" w:rsidRDefault="009500C0" w:rsidP="009500C0">
      <w:pPr>
        <w:numPr>
          <w:ilvl w:val="0"/>
          <w:numId w:val="40"/>
        </w:numPr>
        <w:tabs>
          <w:tab w:val="left" w:pos="567"/>
        </w:tabs>
        <w:spacing w:after="0" w:line="240" w:lineRule="auto"/>
        <w:ind w:left="567" w:hanging="567"/>
        <w:contextualSpacing/>
        <w:rPr>
          <w:rFonts w:ascii="Times New Roman" w:eastAsia="Calibri" w:hAnsi="Times New Roman" w:cs="Times New Roman"/>
          <w:b/>
          <w:lang w:val="lt-LT"/>
        </w:rPr>
      </w:pPr>
      <w:r w:rsidRPr="00E14983">
        <w:rPr>
          <w:rFonts w:ascii="Times New Roman" w:eastAsia="Calibri" w:hAnsi="Times New Roman" w:cs="Times New Roman"/>
          <w:b/>
          <w:lang w:val="lt-LT"/>
        </w:rPr>
        <w:t>praėjus 48 valandoms po gydymo nuo viduriavimo pradžios viduriavimas dar tęsiasi.</w:t>
      </w:r>
    </w:p>
    <w:p w14:paraId="5095C24A" w14:textId="77777777" w:rsidR="009500C0" w:rsidRPr="00E14983" w:rsidRDefault="009500C0" w:rsidP="009500C0">
      <w:pPr>
        <w:pStyle w:val="Sraopastraipa"/>
        <w:ind w:left="0"/>
        <w:rPr>
          <w:color w:val="000000"/>
          <w:sz w:val="22"/>
          <w:szCs w:val="22"/>
          <w:lang w:val="lt-LT"/>
        </w:rPr>
      </w:pPr>
      <w:r w:rsidRPr="00E14983">
        <w:rPr>
          <w:b/>
          <w:color w:val="000000"/>
          <w:sz w:val="22"/>
          <w:szCs w:val="22"/>
          <w:lang w:val="lt-LT"/>
        </w:rPr>
        <w:t>Pastaba.</w:t>
      </w:r>
      <w:r w:rsidRPr="00E14983">
        <w:rPr>
          <w:color w:val="000000"/>
          <w:sz w:val="22"/>
          <w:szCs w:val="22"/>
          <w:lang w:val="lt-LT"/>
        </w:rPr>
        <w:t xml:space="preserve"> Nevartokite jokių kitų vaistų nuo viduriavimo, išskyrus tuos, kuriuos Jums skyrė gydytojas ir anksčiau minėtus skysčius. Laikykitės gydytojo nurodymų. Vaistų nuo viduriavimo negalima vartoti norint apsisaugoti nuo tolimesnių viduriavimo epizodų, net tuo atveju, jeigu Jums anksčiau yra buvęs vėlyvas viduriavimas po ankstesnių gydymo ciklų.</w:t>
      </w:r>
    </w:p>
    <w:p w14:paraId="1C4B760A"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15FC195B"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Karščiavimas</w:t>
      </w:r>
    </w:p>
    <w:p w14:paraId="0365629F"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kūno temperatūra pakyla virš 38 </w:t>
      </w:r>
      <w:r w:rsidRPr="00E14983">
        <w:rPr>
          <w:rFonts w:ascii="Times New Roman" w:eastAsia="Times New Roman" w:hAnsi="Times New Roman" w:cs="Times New Roman"/>
          <w:lang w:val="lt-LT"/>
        </w:rPr>
        <w:sym w:font="Symbol" w:char="F0B0"/>
      </w:r>
      <w:r w:rsidRPr="00E14983">
        <w:rPr>
          <w:rFonts w:ascii="Times New Roman" w:eastAsia="Times New Roman" w:hAnsi="Times New Roman" w:cs="Times New Roman"/>
          <w:lang w:val="lt-LT"/>
        </w:rPr>
        <w:t>C, tai gali būti infekcinės ligos požymis, ypač tuo atveju, jeigu viduriuojate. Jeigu dėl bet kokių priežasčių karščiuojate (temperatūra aukštesnė negu 38 </w:t>
      </w:r>
      <w:r w:rsidRPr="00E14983">
        <w:rPr>
          <w:rFonts w:ascii="Times New Roman" w:eastAsia="Times New Roman" w:hAnsi="Times New Roman" w:cs="Times New Roman"/>
          <w:lang w:val="lt-LT"/>
        </w:rPr>
        <w:sym w:font="Symbol" w:char="F0B0"/>
      </w:r>
      <w:r w:rsidRPr="00E14983">
        <w:rPr>
          <w:rFonts w:ascii="Times New Roman" w:eastAsia="Times New Roman" w:hAnsi="Times New Roman" w:cs="Times New Roman"/>
          <w:lang w:val="lt-LT"/>
        </w:rPr>
        <w:t>C), nedelsdami kreipkitės į savo arba gydymą prižiūrinčio skyriaus gydytoją, kad jie paskirtų Jums reikiamą gydymą.</w:t>
      </w:r>
    </w:p>
    <w:p w14:paraId="638527D4"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0655E775"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 xml:space="preserve">Pykinimas ir vėmimas </w:t>
      </w:r>
    </w:p>
    <w:p w14:paraId="289D1526" w14:textId="5C07CA2B"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pykina ir (arba) vemiate, nedelsdami kreipkitės į savo arba gydymą prižiūrinčio skyriaus gydytoją.</w:t>
      </w:r>
      <w:r w:rsidR="004F7EBC" w:rsidRPr="00E14983">
        <w:rPr>
          <w:rFonts w:ascii="Times New Roman" w:eastAsia="Times New Roman" w:hAnsi="Times New Roman" w:cs="Times New Roman"/>
          <w:lang w:val="lt-LT"/>
        </w:rPr>
        <w:t xml:space="preserve"> </w:t>
      </w:r>
      <w:r w:rsidR="00804F16" w:rsidRPr="00E14983">
        <w:rPr>
          <w:rFonts w:ascii="Times New Roman" w:eastAsia="Times New Roman" w:hAnsi="Times New Roman" w:cs="Times New Roman"/>
          <w:lang w:val="lt-LT"/>
        </w:rPr>
        <w:t xml:space="preserve">Prieš pradedant gydymą </w:t>
      </w:r>
      <w:r w:rsidR="004F7EBC" w:rsidRPr="00E14983">
        <w:rPr>
          <w:rFonts w:ascii="Times New Roman" w:eastAsia="Times New Roman" w:hAnsi="Times New Roman" w:cs="Times New Roman"/>
          <w:lang w:val="lt-LT"/>
        </w:rPr>
        <w:t xml:space="preserve">gydytojas gali </w:t>
      </w:r>
      <w:r w:rsidR="00804F16" w:rsidRPr="00E14983">
        <w:rPr>
          <w:rFonts w:ascii="Times New Roman" w:eastAsia="Times New Roman" w:hAnsi="Times New Roman" w:cs="Times New Roman"/>
          <w:lang w:val="lt-LT"/>
        </w:rPr>
        <w:t>paskirt</w:t>
      </w:r>
      <w:r w:rsidR="004F7EBC" w:rsidRPr="00E14983">
        <w:rPr>
          <w:rFonts w:ascii="Times New Roman" w:eastAsia="Times New Roman" w:hAnsi="Times New Roman" w:cs="Times New Roman"/>
          <w:lang w:val="lt-LT"/>
        </w:rPr>
        <w:t>i vaist</w:t>
      </w:r>
      <w:r w:rsidR="00804F16" w:rsidRPr="00E14983">
        <w:rPr>
          <w:rFonts w:ascii="Times New Roman" w:eastAsia="Times New Roman" w:hAnsi="Times New Roman" w:cs="Times New Roman"/>
          <w:lang w:val="lt-LT"/>
        </w:rPr>
        <w:t>o</w:t>
      </w:r>
      <w:r w:rsidR="004F7EBC" w:rsidRPr="00E14983">
        <w:rPr>
          <w:rFonts w:ascii="Times New Roman" w:eastAsia="Times New Roman" w:hAnsi="Times New Roman" w:cs="Times New Roman"/>
          <w:lang w:val="lt-LT"/>
        </w:rPr>
        <w:t xml:space="preserve">, </w:t>
      </w:r>
      <w:r w:rsidR="00804F16" w:rsidRPr="00E14983">
        <w:rPr>
          <w:rFonts w:ascii="Times New Roman" w:eastAsia="Times New Roman" w:hAnsi="Times New Roman" w:cs="Times New Roman"/>
          <w:lang w:val="lt-LT"/>
        </w:rPr>
        <w:t>kuris padėtų išvengti</w:t>
      </w:r>
      <w:r w:rsidR="004F7EBC" w:rsidRPr="00E14983">
        <w:rPr>
          <w:rFonts w:ascii="Times New Roman" w:eastAsia="Times New Roman" w:hAnsi="Times New Roman" w:cs="Times New Roman"/>
          <w:lang w:val="lt-LT"/>
        </w:rPr>
        <w:t xml:space="preserve"> pykinimo ir vėmimo. Gali būti, kad gydytojas </w:t>
      </w:r>
      <w:r w:rsidR="00804F16" w:rsidRPr="00E14983">
        <w:rPr>
          <w:rFonts w:ascii="Times New Roman" w:eastAsia="Times New Roman" w:hAnsi="Times New Roman" w:cs="Times New Roman"/>
          <w:lang w:val="lt-LT"/>
        </w:rPr>
        <w:t>J</w:t>
      </w:r>
      <w:r w:rsidR="004F7EBC" w:rsidRPr="00E14983">
        <w:rPr>
          <w:rFonts w:ascii="Times New Roman" w:eastAsia="Times New Roman" w:hAnsi="Times New Roman" w:cs="Times New Roman"/>
          <w:lang w:val="lt-LT"/>
        </w:rPr>
        <w:t>ums skirs vaistų nuo pykinimo, kuriuos galėsite vartoti namuose. Laikykite juos po ranka, kad, prireikus, galėtumėte suvartoti. Jeigu dėl pykinimo ir vėmimo negalite nuryti skysčių, kreipkitės į gydytoją.</w:t>
      </w:r>
    </w:p>
    <w:p w14:paraId="2D411BA3"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35CE04F9"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Neutropenija</w:t>
      </w:r>
    </w:p>
    <w:p w14:paraId="50A2059A" w14:textId="0AA429F3" w:rsidR="004F7EBC" w:rsidRPr="00E14983" w:rsidRDefault="009500C0"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Dėl Irinotecan Accord poveikio gali sumažėti kai kurių baltųjų kraujo ląstelių, svarbių kovai su infekcija, kiekis. Tokia būklė vadinama neutropenija. Gydymo Irinotecan Accord metu neutropenija pasireiškia dažnai ir būna laikina. Gydytojas Jums lieps reguliariai atlikinėti kraujo tyrimus, kad galėtų sekti šių baltųjų kraujo ląstelių kiekį. Neutropenija yra sunkus sutrikimas. Jį būtina nedelsiant gydyti ir atidžiai sekti. </w:t>
      </w:r>
      <w:r w:rsidR="004F7EBC" w:rsidRPr="00E14983">
        <w:rPr>
          <w:rFonts w:ascii="Times New Roman" w:eastAsia="Times New Roman" w:hAnsi="Times New Roman" w:cs="Times New Roman"/>
          <w:lang w:val="lt-LT"/>
        </w:rPr>
        <w:t>Būtina nedelsiant informuoti gydytoją ar slaugytoją, jei pasireiškia bet kokie infekcijos požymiai, pavyzdžiui, karščiavimas (38</w:t>
      </w:r>
      <w:r w:rsidR="00804F16" w:rsidRPr="00E14983">
        <w:rPr>
          <w:rFonts w:ascii="Times New Roman" w:eastAsia="Times New Roman" w:hAnsi="Times New Roman" w:cs="Times New Roman"/>
          <w:lang w:val="lt-LT"/>
        </w:rPr>
        <w:t> </w:t>
      </w:r>
      <w:r w:rsidR="004F7EBC" w:rsidRPr="00E14983">
        <w:rPr>
          <w:rFonts w:ascii="Times New Roman" w:eastAsia="Times New Roman" w:hAnsi="Times New Roman" w:cs="Times New Roman"/>
          <w:lang w:val="lt-LT"/>
        </w:rPr>
        <w:t xml:space="preserve">°C ar aukštesnė temperatūra), šaltkrėtis, skausmas šlapinantis, naujai atsiradęs kosulys ar padidėjęs seilėtekis. Venkite būti šalia sergančių ar infekuotų žmonių. Nedelsdami praneškite savo gydytojui apie </w:t>
      </w:r>
      <w:r w:rsidR="00804F16" w:rsidRPr="00E14983">
        <w:rPr>
          <w:rFonts w:ascii="Times New Roman" w:eastAsia="Times New Roman" w:hAnsi="Times New Roman" w:cs="Times New Roman"/>
          <w:lang w:val="lt-LT"/>
        </w:rPr>
        <w:t>J</w:t>
      </w:r>
      <w:r w:rsidR="004F7EBC" w:rsidRPr="00E14983">
        <w:rPr>
          <w:rFonts w:ascii="Times New Roman" w:eastAsia="Times New Roman" w:hAnsi="Times New Roman" w:cs="Times New Roman"/>
          <w:lang w:val="lt-LT"/>
        </w:rPr>
        <w:t>ums pasireiškusius infekcijos požymius.</w:t>
      </w:r>
    </w:p>
    <w:p w14:paraId="72BDB50A"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72D74780" w14:textId="6D191985"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Kraujo</w:t>
      </w:r>
      <w:r w:rsidR="00804F16" w:rsidRPr="00E14983">
        <w:rPr>
          <w:rFonts w:ascii="Times New Roman" w:eastAsia="Times New Roman" w:hAnsi="Times New Roman" w:cs="Times New Roman"/>
          <w:i/>
          <w:lang w:val="lt-LT"/>
        </w:rPr>
        <w:t xml:space="preserve"> rodiklių</w:t>
      </w:r>
      <w:r w:rsidRPr="00E14983">
        <w:rPr>
          <w:rFonts w:ascii="Times New Roman" w:eastAsia="Times New Roman" w:hAnsi="Times New Roman" w:cs="Times New Roman"/>
          <w:i/>
          <w:lang w:val="lt-LT"/>
        </w:rPr>
        <w:t xml:space="preserve"> stebėjimas</w:t>
      </w:r>
    </w:p>
    <w:p w14:paraId="47DEF7E7" w14:textId="21BD2DD1"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Tikėtina, kad prieš pradedant gydymą ir jo metu gydytojas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 xml:space="preserve">ums atliks kraujo tyrimą, siekdamas patikrinti vaisto poveikį kraujo </w:t>
      </w:r>
      <w:r w:rsidR="00D30265" w:rsidRPr="00E14983">
        <w:rPr>
          <w:rFonts w:ascii="Times New Roman" w:eastAsia="Times New Roman" w:hAnsi="Times New Roman" w:cs="Times New Roman"/>
          <w:lang w:val="lt-LT"/>
        </w:rPr>
        <w:t>ląst</w:t>
      </w:r>
      <w:r w:rsidRPr="00E14983">
        <w:rPr>
          <w:rFonts w:ascii="Times New Roman" w:eastAsia="Times New Roman" w:hAnsi="Times New Roman" w:cs="Times New Roman"/>
          <w:lang w:val="lt-LT"/>
        </w:rPr>
        <w:t xml:space="preserve">elių skaičiui ir kraujo sudėčiai. Priklausomai nuo tyrimo rezultatų,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ums gali būti skirta vaistų, padėsiančių išgydyti poveikį. Gydytojas taip pat gali būti priverstas sumažinti arba atidėti kitos šio vaisto dozės vartojimą arba netgi jį nutraukti visiškai. Būtina atvykti į visus susitikimus su gydytoju ir atlikti visus tyrimus.</w:t>
      </w:r>
    </w:p>
    <w:p w14:paraId="4FD9433E"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5CF571B2" w14:textId="72DEC8E5"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Kelių savaičių laikotarpiu nuo šio vaisto vartojimo pradžios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 xml:space="preserve">ūsų kraujyje gali sumažėti trombocitų skaičius, dėl to padidėja kraujavimo rizika. Pasikalbėkite su gydytoju prieš vartodami bet kokius vaistus ar papildus, kurie gali paveikti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ūsų organizmo gebėjimą stabdyti kraujavimą, pavyzdžiui, aspiriną</w:t>
      </w:r>
      <w:r w:rsidR="004862D3" w:rsidRPr="00E14983">
        <w:rPr>
          <w:rFonts w:ascii="Times New Roman" w:eastAsia="Times New Roman" w:hAnsi="Times New Roman" w:cs="Times New Roman"/>
          <w:lang w:val="lt-LT"/>
        </w:rPr>
        <w:t xml:space="preserve"> (</w:t>
      </w:r>
      <w:r w:rsidR="007747C3" w:rsidRPr="00E14983">
        <w:rPr>
          <w:rFonts w:ascii="Times New Roman" w:eastAsia="Times New Roman" w:hAnsi="Times New Roman" w:cs="Times New Roman"/>
          <w:lang w:val="lt-LT"/>
        </w:rPr>
        <w:t>acetilsalicil</w:t>
      </w:r>
      <w:r w:rsidR="004862D3" w:rsidRPr="00E14983">
        <w:rPr>
          <w:rFonts w:ascii="Times New Roman" w:eastAsia="Times New Roman" w:hAnsi="Times New Roman" w:cs="Times New Roman"/>
          <w:lang w:val="lt-LT"/>
        </w:rPr>
        <w:t>o rūgštį)</w:t>
      </w:r>
      <w:r w:rsidRPr="00E14983">
        <w:rPr>
          <w:rFonts w:ascii="Times New Roman" w:eastAsia="Times New Roman" w:hAnsi="Times New Roman" w:cs="Times New Roman"/>
          <w:lang w:val="lt-LT"/>
        </w:rPr>
        <w:t xml:space="preserve"> ar vaistų, kurių sudėtyje yra aspirino</w:t>
      </w:r>
      <w:r w:rsidR="007747C3" w:rsidRPr="00E14983">
        <w:rPr>
          <w:rFonts w:ascii="Times New Roman" w:eastAsia="Times New Roman" w:hAnsi="Times New Roman" w:cs="Times New Roman"/>
          <w:lang w:val="lt-LT"/>
        </w:rPr>
        <w:t xml:space="preserve"> (acetilsalicilo rūgšties)</w:t>
      </w:r>
      <w:r w:rsidRPr="00E14983">
        <w:rPr>
          <w:rFonts w:ascii="Times New Roman" w:eastAsia="Times New Roman" w:hAnsi="Times New Roman" w:cs="Times New Roman"/>
          <w:lang w:val="lt-LT"/>
        </w:rPr>
        <w:t xml:space="preserve">, varfariną ar </w:t>
      </w:r>
      <w:r w:rsidRPr="00E14983">
        <w:rPr>
          <w:rFonts w:ascii="Times New Roman" w:eastAsia="Times New Roman" w:hAnsi="Times New Roman" w:cs="Times New Roman"/>
          <w:lang w:val="lt-LT"/>
        </w:rPr>
        <w:lastRenderedPageBreak/>
        <w:t xml:space="preserve">vitaminą E. Nedelsdami praneškite savo gydytojui, jei atsiranda neįprastos mėlynės ar kraujavimas, pavyzdžiui, iš nosies, dantenų, kai valotės dantis, arba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ūsų išmatos tampa juodos, dervos tamsumo.</w:t>
      </w:r>
    </w:p>
    <w:p w14:paraId="4F17A124"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588DB5FF" w14:textId="5FB3E1C4"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 xml:space="preserve">Plaučių </w:t>
      </w:r>
      <w:r w:rsidR="007747C3" w:rsidRPr="00E14983">
        <w:rPr>
          <w:rFonts w:ascii="Times New Roman" w:eastAsia="Times New Roman" w:hAnsi="Times New Roman" w:cs="Times New Roman"/>
          <w:i/>
          <w:lang w:val="lt-LT"/>
        </w:rPr>
        <w:t>funkcijos</w:t>
      </w:r>
      <w:r w:rsidRPr="00E14983">
        <w:rPr>
          <w:rFonts w:ascii="Times New Roman" w:eastAsia="Times New Roman" w:hAnsi="Times New Roman" w:cs="Times New Roman"/>
          <w:i/>
          <w:lang w:val="lt-LT"/>
        </w:rPr>
        <w:t xml:space="preserve"> sutrikimai</w:t>
      </w:r>
    </w:p>
    <w:p w14:paraId="4F8BE242" w14:textId="5A38C655"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Retais atvejais šį vaistą vartojantiems žmonėms pasireiškia </w:t>
      </w:r>
      <w:r w:rsidR="00804F16" w:rsidRPr="00E14983">
        <w:rPr>
          <w:rFonts w:ascii="Times New Roman" w:eastAsia="Times New Roman" w:hAnsi="Times New Roman" w:cs="Times New Roman"/>
          <w:lang w:val="lt-LT"/>
        </w:rPr>
        <w:t xml:space="preserve">sunkūs </w:t>
      </w:r>
      <w:r w:rsidRPr="00E14983">
        <w:rPr>
          <w:rFonts w:ascii="Times New Roman" w:eastAsia="Times New Roman" w:hAnsi="Times New Roman" w:cs="Times New Roman"/>
          <w:lang w:val="lt-LT"/>
        </w:rPr>
        <w:t xml:space="preserve">plaučių </w:t>
      </w:r>
      <w:r w:rsidR="007747C3" w:rsidRPr="00E14983">
        <w:rPr>
          <w:rFonts w:ascii="Times New Roman" w:eastAsia="Times New Roman" w:hAnsi="Times New Roman" w:cs="Times New Roman"/>
          <w:lang w:val="lt-LT"/>
        </w:rPr>
        <w:t>funkcijos</w:t>
      </w:r>
      <w:r w:rsidRPr="00E14983">
        <w:rPr>
          <w:rFonts w:ascii="Times New Roman" w:eastAsia="Times New Roman" w:hAnsi="Times New Roman" w:cs="Times New Roman"/>
          <w:lang w:val="lt-LT"/>
        </w:rPr>
        <w:t xml:space="preserve"> sutrikimai. Nedelsdami praneškite gydytojui, jeigu atsirado naujas arba pasunkėjo esamas kosulys, sutriko kvėpavimas ir pasireiškė karščiavimas. Gali būti, kad gydytojas turės nutraukti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ūsų gydymą, kad išspręstų šią problemą.</w:t>
      </w:r>
    </w:p>
    <w:p w14:paraId="4473EA06"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2DE5BF2C" w14:textId="39A781F5"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Šis vaistas taip pat gali padidinti didelių kraujo krešulių susidarymo kojų ar plaučių venose riziką, kurie gali </w:t>
      </w:r>
      <w:r w:rsidR="007747C3" w:rsidRPr="00E14983">
        <w:rPr>
          <w:rFonts w:ascii="Times New Roman" w:eastAsia="Times New Roman" w:hAnsi="Times New Roman" w:cs="Times New Roman"/>
          <w:lang w:val="lt-LT"/>
        </w:rPr>
        <w:t>nukeliauti</w:t>
      </w:r>
      <w:r w:rsidRPr="00E14983">
        <w:rPr>
          <w:rFonts w:ascii="Times New Roman" w:eastAsia="Times New Roman" w:hAnsi="Times New Roman" w:cs="Times New Roman"/>
          <w:lang w:val="lt-LT"/>
        </w:rPr>
        <w:t xml:space="preserve"> į kitas organizmo dalis, pavyzdžiui, plaučius ar smegenis. Nedelsdami pasakykite gydytojui, jei pajuntate krūtinės skausmą, pasunkėjusį kvėpavimą ar rankos arba kojos patinimą, skausmą, paraudimą arba karštį.</w:t>
      </w:r>
    </w:p>
    <w:p w14:paraId="61E3D067"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7BBEDBF3"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Lėtinis žarnų uždegimas ir (arba) nepraeinamumas</w:t>
      </w:r>
    </w:p>
    <w:p w14:paraId="640905FE"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Kreipkitės į gydytoją, jei pajutote skausmą pilve ir negalite išsituštinti, ypač jei jaučiate pilvo pūtimą ir neturite apetito.</w:t>
      </w:r>
    </w:p>
    <w:p w14:paraId="4937BFE8"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7ACA10ED"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Spindulinis gydymas</w:t>
      </w:r>
    </w:p>
    <w:p w14:paraId="34F858A6" w14:textId="4548C450"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ums nesenai buvo taikomas spindulinis dubens arba pilvo srities gydymas, yra didesnė kaulų čiulpų slopinimo atsiradimo rizika. Pasikalbėkite su savo gydytoju prieš pradėdami vartoti Irinotecan Accord.</w:t>
      </w:r>
    </w:p>
    <w:p w14:paraId="366D9838"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257573DD"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Inkstų funkcija</w:t>
      </w:r>
    </w:p>
    <w:p w14:paraId="25EA9EC2"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Buvo gauta pranešimų apie inkstų funkcijos sutrikimą.</w:t>
      </w:r>
    </w:p>
    <w:p w14:paraId="34D9382B"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0C4C8C3C"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Širdies sutrikimai</w:t>
      </w:r>
    </w:p>
    <w:p w14:paraId="6FAC9FA1" w14:textId="529013D0"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Informuokite gydytoją, jei šiuo metu sergate ar anksčiau sirgote širdies liga arba jei vartojote priešvėžinių vaistų. Gydytojas atidžiai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 xml:space="preserve">us ištirs ir aptars su </w:t>
      </w:r>
      <w:r w:rsidR="00804F16"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umis, kaip būtų galima sumažinti rizikos veiksnius (pavyzdžiui, rūkymą, hipertenziją ir hiperlipidemiją).</w:t>
      </w:r>
    </w:p>
    <w:p w14:paraId="4C74C86B"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37397E1F"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Kraujagyslių sutrikimai</w:t>
      </w:r>
    </w:p>
    <w:p w14:paraId="3EA7E4CC" w14:textId="5696C7CF" w:rsidR="009500C0" w:rsidRPr="00E14983" w:rsidRDefault="004F7EBC"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vartojimas retai buvo susijęs su tromboembolijos reiškinių (plaučių embolijos, venų trombozės arba arterijų tromboembolijos) atvejais pacientams, kuriems kartu su naviku buvo ir kitų dauginių rizikos veiksnių.</w:t>
      </w:r>
    </w:p>
    <w:p w14:paraId="15C9114D"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5DA96C65" w14:textId="77777777" w:rsidR="009500C0" w:rsidRPr="00E14983" w:rsidRDefault="009500C0" w:rsidP="009500C0">
      <w:pPr>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Kepenų veiklos sutrikimas</w:t>
      </w:r>
    </w:p>
    <w:p w14:paraId="47B04C16"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Prieš pradedant gydyti Irinotecan Accord ir prieš kiekvieną kitą gydymo ciklą, reikės tikrinti kepenų veiklą (atlikti kraujo tyrimus).</w:t>
      </w:r>
    </w:p>
    <w:p w14:paraId="5163C953"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3EBCC741" w14:textId="77777777" w:rsidR="004F7EBC" w:rsidRPr="00E14983" w:rsidRDefault="004F7EBC" w:rsidP="004F7EBC">
      <w:pPr>
        <w:tabs>
          <w:tab w:val="left" w:pos="567"/>
        </w:tabs>
        <w:spacing w:after="0" w:line="240" w:lineRule="auto"/>
        <w:rPr>
          <w:rFonts w:ascii="Times New Roman" w:eastAsia="Times New Roman" w:hAnsi="Times New Roman" w:cs="Times New Roman"/>
          <w:i/>
          <w:lang w:val="lt-LT"/>
        </w:rPr>
      </w:pPr>
      <w:r w:rsidRPr="00E14983">
        <w:rPr>
          <w:rFonts w:ascii="Times New Roman" w:eastAsia="Times New Roman" w:hAnsi="Times New Roman" w:cs="Times New Roman"/>
          <w:i/>
          <w:lang w:val="lt-LT"/>
        </w:rPr>
        <w:t>Kita informacija</w:t>
      </w:r>
    </w:p>
    <w:p w14:paraId="6B34E645"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Šis vaistas gali sukelti opas burnoje ar ant lūpų, dažnai jos gali atsirasti pirmąsias kelias savaites nuo gydymo pradžios. Tai gali sukelti burnos skausmą, kraujavimą ar net apsunkinti valgymą. Gydytojas ar slaugytoja gali pasiūlyti būdų, kaip juos sumažinti, pavyzdžiui, pakeitus valgymo ar dantų valymo būdą. Jei reikia, gydytojas gali skirti vaistų nuo skausmo.</w:t>
      </w:r>
    </w:p>
    <w:p w14:paraId="0952CC32" w14:textId="77777777" w:rsidR="00EC1D86" w:rsidRDefault="00EC1D86" w:rsidP="00EC1D86">
      <w:pPr>
        <w:tabs>
          <w:tab w:val="left" w:pos="567"/>
        </w:tabs>
        <w:spacing w:after="0" w:line="240" w:lineRule="auto"/>
        <w:rPr>
          <w:rFonts w:ascii="Times New Roman" w:eastAsia="Times New Roman" w:hAnsi="Times New Roman" w:cs="Times New Roman"/>
          <w:lang w:val="lt-LT"/>
        </w:rPr>
      </w:pPr>
    </w:p>
    <w:p w14:paraId="75065F08" w14:textId="717C37F9" w:rsidR="00EC1D86" w:rsidRPr="00964468" w:rsidRDefault="00EC1D86" w:rsidP="00EC1D86">
      <w:pPr>
        <w:tabs>
          <w:tab w:val="left" w:pos="567"/>
        </w:tabs>
        <w:spacing w:after="0" w:line="240" w:lineRule="auto"/>
        <w:rPr>
          <w:rFonts w:ascii="Times New Roman" w:eastAsia="Times New Roman" w:hAnsi="Times New Roman" w:cs="Times New Roman"/>
          <w:lang w:val="lt-LT"/>
        </w:rPr>
      </w:pPr>
      <w:r w:rsidRPr="00964468">
        <w:rPr>
          <w:rFonts w:ascii="Times New Roman" w:eastAsia="Times New Roman" w:hAnsi="Times New Roman" w:cs="Times New Roman"/>
          <w:lang w:val="lt-LT"/>
        </w:rPr>
        <w:t>Informaciją apie kontracepciją ir žindymą žr. toliau pateiktame skyriuje „</w:t>
      </w:r>
      <w:r w:rsidR="00BB27BB">
        <w:rPr>
          <w:rFonts w:ascii="Times New Roman" w:eastAsia="Times New Roman" w:hAnsi="Times New Roman" w:cs="Times New Roman"/>
          <w:lang w:val="lt-LT"/>
        </w:rPr>
        <w:t>Kontracepcija, n</w:t>
      </w:r>
      <w:r w:rsidRPr="00964468">
        <w:rPr>
          <w:rFonts w:ascii="Times New Roman" w:eastAsia="Times New Roman" w:hAnsi="Times New Roman" w:cs="Times New Roman"/>
          <w:lang w:val="lt-LT"/>
        </w:rPr>
        <w:t>ėštumas, žindymo laikotarpis ir vaisingumas“.</w:t>
      </w:r>
    </w:p>
    <w:p w14:paraId="6772E737"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3E1D1673" w14:textId="4DCFB8D6"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Pasakykite gydytojui ar </w:t>
      </w:r>
      <w:r w:rsidR="00900BAA" w:rsidRPr="00E14983">
        <w:rPr>
          <w:rFonts w:ascii="Times New Roman" w:eastAsia="Times New Roman" w:hAnsi="Times New Roman" w:cs="Times New Roman"/>
          <w:lang w:val="lt-LT"/>
        </w:rPr>
        <w:t>odontologui</w:t>
      </w:r>
      <w:r w:rsidRPr="00E14983">
        <w:rPr>
          <w:rFonts w:ascii="Times New Roman" w:eastAsia="Times New Roman" w:hAnsi="Times New Roman" w:cs="Times New Roman"/>
          <w:lang w:val="lt-LT"/>
        </w:rPr>
        <w:t xml:space="preserve">, kad vartojate šį vaistą, jei </w:t>
      </w:r>
      <w:r w:rsidR="00900BAA"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ums suplanuota atlikti operaciją ar kokią nors procedūrą.</w:t>
      </w:r>
    </w:p>
    <w:p w14:paraId="7CF32213"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p>
    <w:p w14:paraId="166F2D1D" w14:textId="77777777"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Vartojant derinyje su kitais vaistais nuo vėžio jūsų sveikatos būklei būtina įsitikinti, kad perskaitėte ir kito vaisto informacinius lapelius.</w:t>
      </w:r>
    </w:p>
    <w:p w14:paraId="42226EE7" w14:textId="62F21E05" w:rsidR="004F7EBC" w:rsidRPr="00E14983" w:rsidRDefault="004F7EBC" w:rsidP="004F7EBC">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gydytojas pasakė, kad netoleruojate tam tikrų angliavandenių, prieš vartodami šį vaistinį preparatą susisiekite su gydytoju.</w:t>
      </w:r>
    </w:p>
    <w:p w14:paraId="09B34DCF" w14:textId="77777777" w:rsidR="004F7EBC" w:rsidRPr="00E14983" w:rsidRDefault="004F7EBC"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lang w:val="lt-LT"/>
        </w:rPr>
      </w:pPr>
    </w:p>
    <w:p w14:paraId="7C2F4D1D" w14:textId="77777777" w:rsidR="009500C0" w:rsidRPr="00E14983" w:rsidRDefault="009500C0" w:rsidP="004B4AAA">
      <w:pPr>
        <w:keepNext/>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lastRenderedPageBreak/>
        <w:t>Kiti vaistai ir Irinotecan Accord</w:t>
      </w:r>
    </w:p>
    <w:p w14:paraId="3DAE5B2E" w14:textId="77777777" w:rsidR="009500C0" w:rsidRPr="00E14983" w:rsidRDefault="009500C0" w:rsidP="004B4AAA">
      <w:pPr>
        <w:keepNext/>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arba neseniai vartojote kitų vaistų, arba dėl to nesate tikri, apie tai pasakykite gydytojui arba ligoninės vaistininkui. Tai tinka ir vaistažolių bei stipraus poveikio vitaminų ir mineralinių medžiagų preparatams. </w:t>
      </w:r>
    </w:p>
    <w:p w14:paraId="294C0F95" w14:textId="38B1AA57"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epilepsijai gydyti (karbamazepinas, fenobarbitalis, fenitoinas ir fosfenitoinas)</w:t>
      </w:r>
      <w:r w:rsidR="00804F16" w:rsidRPr="00E14983">
        <w:rPr>
          <w:sz w:val="22"/>
          <w:szCs w:val="22"/>
          <w:lang w:val="lt-LT"/>
        </w:rPr>
        <w:t>.</w:t>
      </w:r>
    </w:p>
    <w:p w14:paraId="65FE87F1" w14:textId="4D29CFC1"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grybelinei infekcijai gydyti (ketokonazolas, itrakonazolas, vorikonazolas ir pozakonazolas)</w:t>
      </w:r>
      <w:r w:rsidR="00804F16" w:rsidRPr="00E14983">
        <w:rPr>
          <w:sz w:val="22"/>
          <w:szCs w:val="22"/>
          <w:lang w:val="lt-LT"/>
        </w:rPr>
        <w:t>.</w:t>
      </w:r>
    </w:p>
    <w:p w14:paraId="70B206F5" w14:textId="75F61FC8"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bakterinei infekcijai gydyti (klaritromicinas, eritromicinas ir telitromicinas)</w:t>
      </w:r>
      <w:r w:rsidR="00054890">
        <w:rPr>
          <w:sz w:val="22"/>
          <w:szCs w:val="22"/>
          <w:lang w:val="lt-LT"/>
        </w:rPr>
        <w:t>.</w:t>
      </w:r>
    </w:p>
    <w:p w14:paraId="39B08177" w14:textId="5EFDBB28" w:rsidR="00147A47" w:rsidRPr="00E14983" w:rsidRDefault="004F7EBC" w:rsidP="00804F16">
      <w:pPr>
        <w:pStyle w:val="Sraopastraipa"/>
        <w:numPr>
          <w:ilvl w:val="0"/>
          <w:numId w:val="49"/>
        </w:numPr>
        <w:tabs>
          <w:tab w:val="left" w:pos="567"/>
        </w:tabs>
        <w:ind w:left="567" w:hanging="567"/>
        <w:rPr>
          <w:sz w:val="22"/>
          <w:szCs w:val="22"/>
          <w:lang w:val="lt-LT"/>
        </w:rPr>
      </w:pPr>
      <w:r w:rsidRPr="00E14983">
        <w:rPr>
          <w:sz w:val="22"/>
          <w:szCs w:val="22"/>
          <w:lang w:val="lt-LT"/>
        </w:rPr>
        <w:t>Vaistai tuberkuliozei gydyti (rifampicinas ir rifabutinas)</w:t>
      </w:r>
      <w:r w:rsidR="00054890">
        <w:rPr>
          <w:sz w:val="22"/>
          <w:szCs w:val="22"/>
          <w:lang w:val="lt-LT"/>
        </w:rPr>
        <w:t>.</w:t>
      </w:r>
      <w:r w:rsidRPr="00E14983">
        <w:rPr>
          <w:sz w:val="22"/>
          <w:szCs w:val="22"/>
          <w:lang w:val="lt-LT"/>
        </w:rPr>
        <w:t xml:space="preserve"> </w:t>
      </w:r>
    </w:p>
    <w:p w14:paraId="78C1E01C" w14:textId="753703AA"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Paprastoji jonažolė (žolinis maist</w:t>
      </w:r>
      <w:r w:rsidR="00147A47" w:rsidRPr="00E14983">
        <w:rPr>
          <w:sz w:val="22"/>
          <w:szCs w:val="22"/>
          <w:lang w:val="lt-LT"/>
        </w:rPr>
        <w:t>o</w:t>
      </w:r>
      <w:r w:rsidRPr="00E14983">
        <w:rPr>
          <w:sz w:val="22"/>
          <w:szCs w:val="22"/>
          <w:lang w:val="lt-LT"/>
        </w:rPr>
        <w:t xml:space="preserve"> papildas)</w:t>
      </w:r>
      <w:r w:rsidR="00147A47" w:rsidRPr="00E14983">
        <w:rPr>
          <w:sz w:val="22"/>
          <w:szCs w:val="22"/>
          <w:lang w:val="lt-LT"/>
        </w:rPr>
        <w:t>.</w:t>
      </w:r>
    </w:p>
    <w:p w14:paraId="40BF7CCC" w14:textId="76FBB763"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Gyvosios susilpnintos vakcinos</w:t>
      </w:r>
      <w:r w:rsidR="00147A47" w:rsidRPr="00E14983">
        <w:rPr>
          <w:sz w:val="22"/>
          <w:szCs w:val="22"/>
          <w:lang w:val="lt-LT"/>
        </w:rPr>
        <w:t>.</w:t>
      </w:r>
    </w:p>
    <w:p w14:paraId="0D2363DF" w14:textId="0C3750FC"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ŽIV gydyti (indinaviras, ritonaviras, amprenaviras, fosamprenaviras, nelfinaviras, atazanaviras ir kiti)</w:t>
      </w:r>
      <w:r w:rsidR="00147A47" w:rsidRPr="00E14983">
        <w:rPr>
          <w:sz w:val="22"/>
          <w:szCs w:val="22"/>
          <w:lang w:val="lt-LT"/>
        </w:rPr>
        <w:t>.</w:t>
      </w:r>
    </w:p>
    <w:p w14:paraId="21BB199C" w14:textId="15726CA7" w:rsidR="004F7EBC" w:rsidRPr="00E14983" w:rsidRDefault="004F7EBC" w:rsidP="00DD3E4C">
      <w:pPr>
        <w:pStyle w:val="Sraopastraipa"/>
        <w:numPr>
          <w:ilvl w:val="0"/>
          <w:numId w:val="49"/>
        </w:numPr>
        <w:tabs>
          <w:tab w:val="left" w:pos="567"/>
        </w:tabs>
        <w:ind w:left="567" w:hanging="567"/>
        <w:rPr>
          <w:lang w:val="lt-LT"/>
        </w:rPr>
      </w:pPr>
      <w:r w:rsidRPr="00E14983">
        <w:rPr>
          <w:sz w:val="22"/>
          <w:szCs w:val="22"/>
          <w:lang w:val="lt-LT"/>
        </w:rPr>
        <w:t xml:space="preserve">Vaistai, skirti </w:t>
      </w:r>
      <w:r w:rsidR="00147A47" w:rsidRPr="00E14983">
        <w:rPr>
          <w:sz w:val="22"/>
          <w:szCs w:val="22"/>
          <w:lang w:val="lt-LT"/>
        </w:rPr>
        <w:t>J</w:t>
      </w:r>
      <w:r w:rsidRPr="00E14983">
        <w:rPr>
          <w:sz w:val="22"/>
          <w:szCs w:val="22"/>
          <w:lang w:val="lt-LT"/>
        </w:rPr>
        <w:t>ūsų organizmo imuninei sistemai s</w:t>
      </w:r>
      <w:r w:rsidR="00147A47" w:rsidRPr="00E14983">
        <w:rPr>
          <w:sz w:val="22"/>
          <w:szCs w:val="22"/>
          <w:lang w:val="lt-LT"/>
        </w:rPr>
        <w:t>lopinti</w:t>
      </w:r>
      <w:r w:rsidRPr="00E14983">
        <w:rPr>
          <w:sz w:val="22"/>
          <w:szCs w:val="22"/>
          <w:lang w:val="lt-LT"/>
        </w:rPr>
        <w:t xml:space="preserve">, apsisaugant nuo </w:t>
      </w:r>
      <w:r w:rsidR="00147A47" w:rsidRPr="00E14983">
        <w:rPr>
          <w:sz w:val="22"/>
          <w:szCs w:val="22"/>
          <w:lang w:val="lt-LT"/>
        </w:rPr>
        <w:t>persodinto organo</w:t>
      </w:r>
      <w:r w:rsidRPr="00E14983">
        <w:rPr>
          <w:sz w:val="22"/>
          <w:szCs w:val="22"/>
          <w:lang w:val="lt-LT"/>
        </w:rPr>
        <w:t xml:space="preserve"> atmetimo reakcijos (ciklosporinas ir takrolimusas)</w:t>
      </w:r>
      <w:r w:rsidR="00147A47" w:rsidRPr="00E14983">
        <w:rPr>
          <w:sz w:val="22"/>
          <w:szCs w:val="22"/>
          <w:lang w:val="lt-LT"/>
        </w:rPr>
        <w:t>.</w:t>
      </w:r>
    </w:p>
    <w:p w14:paraId="21D246F9" w14:textId="63F635C4"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vėžiui gydyti (regorafenibas, krizotinibas</w:t>
      </w:r>
      <w:r w:rsidR="00215D26" w:rsidRPr="00E14983">
        <w:rPr>
          <w:sz w:val="22"/>
          <w:szCs w:val="22"/>
          <w:lang w:val="lt-LT"/>
        </w:rPr>
        <w:t xml:space="preserve">, </w:t>
      </w:r>
      <w:r w:rsidRPr="00E14983">
        <w:rPr>
          <w:sz w:val="22"/>
          <w:szCs w:val="22"/>
          <w:lang w:val="lt-LT"/>
        </w:rPr>
        <w:t>idelalisibas</w:t>
      </w:r>
      <w:r w:rsidR="00215D26" w:rsidRPr="00E14983">
        <w:rPr>
          <w:sz w:val="22"/>
          <w:szCs w:val="22"/>
          <w:lang w:val="lt-LT"/>
        </w:rPr>
        <w:t xml:space="preserve"> ir apalutamidas</w:t>
      </w:r>
      <w:r w:rsidRPr="00E14983">
        <w:rPr>
          <w:sz w:val="22"/>
          <w:szCs w:val="22"/>
          <w:lang w:val="lt-LT"/>
        </w:rPr>
        <w:t>)</w:t>
      </w:r>
      <w:r w:rsidR="00147A47" w:rsidRPr="00E14983">
        <w:rPr>
          <w:sz w:val="22"/>
          <w:szCs w:val="22"/>
          <w:lang w:val="lt-LT"/>
        </w:rPr>
        <w:t>.</w:t>
      </w:r>
      <w:r w:rsidRPr="00E14983">
        <w:rPr>
          <w:sz w:val="22"/>
          <w:szCs w:val="22"/>
          <w:lang w:val="lt-LT"/>
        </w:rPr>
        <w:t xml:space="preserve"> </w:t>
      </w:r>
    </w:p>
    <w:p w14:paraId="1AF97502" w14:textId="19955542"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 xml:space="preserve">Vitamino K antagonistai (įprasti kraują skystinantys </w:t>
      </w:r>
      <w:r w:rsidR="00147A47" w:rsidRPr="00E14983">
        <w:rPr>
          <w:sz w:val="22"/>
          <w:szCs w:val="22"/>
          <w:lang w:val="lt-LT"/>
        </w:rPr>
        <w:t>vais</w:t>
      </w:r>
      <w:r w:rsidRPr="00E14983">
        <w:rPr>
          <w:sz w:val="22"/>
          <w:szCs w:val="22"/>
          <w:lang w:val="lt-LT"/>
        </w:rPr>
        <w:t>t</w:t>
      </w:r>
      <w:r w:rsidR="00147A47" w:rsidRPr="00E14983">
        <w:rPr>
          <w:sz w:val="22"/>
          <w:szCs w:val="22"/>
          <w:lang w:val="lt-LT"/>
        </w:rPr>
        <w:t>a</w:t>
      </w:r>
      <w:r w:rsidRPr="00E14983">
        <w:rPr>
          <w:sz w:val="22"/>
          <w:szCs w:val="22"/>
          <w:lang w:val="lt-LT"/>
        </w:rPr>
        <w:t>i, pvz., varfarinas)</w:t>
      </w:r>
      <w:r w:rsidR="00147A47" w:rsidRPr="00E14983">
        <w:rPr>
          <w:sz w:val="22"/>
          <w:szCs w:val="22"/>
          <w:lang w:val="lt-LT"/>
        </w:rPr>
        <w:t>.</w:t>
      </w:r>
    </w:p>
    <w:p w14:paraId="6F0A8A31" w14:textId="10F47755"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Vaistai, skiriami raumenims atpalaiduoti taikant bendrąją anesteziją ir chirurginių operacijų metu (suksametonis)</w:t>
      </w:r>
      <w:r w:rsidR="00147A47" w:rsidRPr="00E14983">
        <w:rPr>
          <w:sz w:val="22"/>
          <w:szCs w:val="22"/>
          <w:lang w:val="lt-LT"/>
        </w:rPr>
        <w:t>.</w:t>
      </w:r>
    </w:p>
    <w:p w14:paraId="02646A0C" w14:textId="2F3182D3"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5-fluorouracil</w:t>
      </w:r>
      <w:r w:rsidR="00147A47" w:rsidRPr="00E14983">
        <w:rPr>
          <w:sz w:val="22"/>
          <w:szCs w:val="22"/>
          <w:lang w:val="lt-LT"/>
        </w:rPr>
        <w:t>as</w:t>
      </w:r>
      <w:r w:rsidRPr="00E14983">
        <w:rPr>
          <w:sz w:val="22"/>
          <w:szCs w:val="22"/>
          <w:lang w:val="lt-LT"/>
        </w:rPr>
        <w:t xml:space="preserve"> </w:t>
      </w:r>
      <w:r w:rsidR="00147A47" w:rsidRPr="00E14983">
        <w:rPr>
          <w:sz w:val="22"/>
          <w:szCs w:val="22"/>
          <w:lang w:val="lt-LT"/>
        </w:rPr>
        <w:t>/</w:t>
      </w:r>
      <w:r w:rsidRPr="00E14983">
        <w:rPr>
          <w:sz w:val="22"/>
          <w:szCs w:val="22"/>
          <w:lang w:val="lt-LT"/>
        </w:rPr>
        <w:t xml:space="preserve"> folino rūgštis</w:t>
      </w:r>
      <w:r w:rsidR="00911FF2" w:rsidRPr="00E14983">
        <w:rPr>
          <w:sz w:val="22"/>
          <w:szCs w:val="22"/>
          <w:lang w:val="lt-LT"/>
        </w:rPr>
        <w:t>.</w:t>
      </w:r>
    </w:p>
    <w:p w14:paraId="614505BB" w14:textId="2CFEBCCD"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 xml:space="preserve">Bevacizumabas (kraujagyslių </w:t>
      </w:r>
      <w:r w:rsidR="00F03301" w:rsidRPr="00E14983">
        <w:rPr>
          <w:sz w:val="22"/>
          <w:szCs w:val="22"/>
          <w:lang w:val="lt-LT"/>
        </w:rPr>
        <w:t>susidarymo</w:t>
      </w:r>
      <w:r w:rsidRPr="00E14983">
        <w:rPr>
          <w:sz w:val="22"/>
          <w:szCs w:val="22"/>
          <w:lang w:val="lt-LT"/>
        </w:rPr>
        <w:t xml:space="preserve"> slopinimui)</w:t>
      </w:r>
      <w:r w:rsidR="00F03301" w:rsidRPr="00E14983">
        <w:rPr>
          <w:sz w:val="22"/>
          <w:szCs w:val="22"/>
          <w:lang w:val="lt-LT"/>
        </w:rPr>
        <w:t>.</w:t>
      </w:r>
    </w:p>
    <w:p w14:paraId="2FF9B9B1" w14:textId="6C9D8BF3" w:rsidR="004F7EBC" w:rsidRPr="00E14983" w:rsidRDefault="004F7EBC" w:rsidP="00DD3E4C">
      <w:pPr>
        <w:pStyle w:val="Sraopastraipa"/>
        <w:numPr>
          <w:ilvl w:val="0"/>
          <w:numId w:val="49"/>
        </w:numPr>
        <w:tabs>
          <w:tab w:val="left" w:pos="567"/>
        </w:tabs>
        <w:ind w:left="567" w:hanging="567"/>
        <w:rPr>
          <w:sz w:val="22"/>
          <w:szCs w:val="22"/>
          <w:lang w:val="lt-LT"/>
        </w:rPr>
      </w:pPr>
      <w:r w:rsidRPr="00E14983">
        <w:rPr>
          <w:sz w:val="22"/>
          <w:szCs w:val="22"/>
          <w:lang w:val="lt-LT"/>
        </w:rPr>
        <w:t>Cetuksimabas (</w:t>
      </w:r>
      <w:r w:rsidR="00C031B7" w:rsidRPr="00E14983">
        <w:rPr>
          <w:sz w:val="22"/>
          <w:szCs w:val="22"/>
          <w:lang w:val="lt-LT"/>
        </w:rPr>
        <w:t>epidermio augimo faktoriaus (</w:t>
      </w:r>
      <w:r w:rsidRPr="00E14983">
        <w:rPr>
          <w:sz w:val="22"/>
          <w:szCs w:val="22"/>
          <w:lang w:val="lt-LT"/>
        </w:rPr>
        <w:t>EGF</w:t>
      </w:r>
      <w:r w:rsidR="00C031B7" w:rsidRPr="00E14983">
        <w:rPr>
          <w:sz w:val="22"/>
          <w:szCs w:val="22"/>
          <w:lang w:val="lt-LT"/>
        </w:rPr>
        <w:t>)</w:t>
      </w:r>
      <w:r w:rsidRPr="00E14983">
        <w:rPr>
          <w:sz w:val="22"/>
          <w:szCs w:val="22"/>
          <w:lang w:val="lt-LT"/>
        </w:rPr>
        <w:t xml:space="preserve"> receptorių inhibitorius)</w:t>
      </w:r>
      <w:r w:rsidR="00F03301" w:rsidRPr="00E14983">
        <w:rPr>
          <w:sz w:val="22"/>
          <w:szCs w:val="22"/>
          <w:lang w:val="lt-LT"/>
        </w:rPr>
        <w:t>.</w:t>
      </w:r>
    </w:p>
    <w:p w14:paraId="331E65B2" w14:textId="6EDCF3AA"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2D7CB679" w14:textId="61878469" w:rsidR="00215D26" w:rsidRPr="00E14983" w:rsidRDefault="00215D26" w:rsidP="00ED157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Jei </w:t>
      </w:r>
      <w:r w:rsidR="003B6728" w:rsidRPr="00E14983">
        <w:rPr>
          <w:rFonts w:ascii="Times New Roman" w:eastAsia="Times New Roman" w:hAnsi="Times New Roman" w:cs="Times New Roman"/>
          <w:color w:val="000000"/>
          <w:lang w:val="lt-LT"/>
        </w:rPr>
        <w:t>J</w:t>
      </w:r>
      <w:r w:rsidRPr="00E14983">
        <w:rPr>
          <w:rFonts w:ascii="Times New Roman" w:eastAsia="Times New Roman" w:hAnsi="Times New Roman" w:cs="Times New Roman"/>
          <w:color w:val="000000"/>
          <w:lang w:val="lt-LT"/>
        </w:rPr>
        <w:t>ums jau taikoma arba neseniai taikyta chemoterapija (ir spindulinė terapija), pasakykite</w:t>
      </w:r>
      <w:r w:rsidR="003B6728"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 xml:space="preserve">apie tai gydytojui, vaistininkui arba slaugytojui prieš </w:t>
      </w:r>
      <w:r w:rsidR="002D6B48" w:rsidRPr="00E14983">
        <w:rPr>
          <w:rFonts w:ascii="Times New Roman" w:eastAsia="Times New Roman" w:hAnsi="Times New Roman" w:cs="Times New Roman"/>
          <w:color w:val="000000"/>
          <w:lang w:val="lt-LT"/>
        </w:rPr>
        <w:t>J</w:t>
      </w:r>
      <w:r w:rsidRPr="00E14983">
        <w:rPr>
          <w:rFonts w:ascii="Times New Roman" w:eastAsia="Times New Roman" w:hAnsi="Times New Roman" w:cs="Times New Roman"/>
          <w:color w:val="000000"/>
          <w:lang w:val="lt-LT"/>
        </w:rPr>
        <w:t xml:space="preserve">ums skiriant </w:t>
      </w:r>
      <w:r w:rsidR="004B67E5" w:rsidRPr="00E14983">
        <w:rPr>
          <w:rFonts w:ascii="Times New Roman" w:eastAsia="Times New Roman" w:hAnsi="Times New Roman" w:cs="Times New Roman"/>
          <w:color w:val="000000"/>
          <w:lang w:val="lt-LT"/>
        </w:rPr>
        <w:t>Irinotecan Accord</w:t>
      </w:r>
      <w:r w:rsidRPr="00E14983">
        <w:rPr>
          <w:rFonts w:ascii="Times New Roman" w:eastAsia="Times New Roman" w:hAnsi="Times New Roman" w:cs="Times New Roman"/>
          <w:color w:val="000000"/>
          <w:lang w:val="lt-LT"/>
        </w:rPr>
        <w:t>.</w:t>
      </w:r>
    </w:p>
    <w:p w14:paraId="3AA4ED8E" w14:textId="77777777" w:rsidR="00215D26" w:rsidRPr="00E14983" w:rsidRDefault="00215D26" w:rsidP="00215D26">
      <w:pPr>
        <w:autoSpaceDE w:val="0"/>
        <w:autoSpaceDN w:val="0"/>
        <w:adjustRightInd w:val="0"/>
        <w:spacing w:after="0" w:line="240" w:lineRule="auto"/>
        <w:jc w:val="both"/>
        <w:rPr>
          <w:rFonts w:ascii="Times New Roman" w:eastAsia="Times New Roman" w:hAnsi="Times New Roman" w:cs="Times New Roman"/>
          <w:color w:val="000000"/>
          <w:lang w:val="lt-LT"/>
        </w:rPr>
      </w:pPr>
    </w:p>
    <w:p w14:paraId="30303290" w14:textId="77777777" w:rsidR="009500C0" w:rsidRPr="00E14983" w:rsidRDefault="009500C0" w:rsidP="00DD3E4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Prieš operaciją apie irinotekano vartojimą reikia pasakyti gydytojui arba anesteziologui, kadangi šis vaistas gali keisti kai kurių operacijos metu vartojamų vaistų poveikį. </w:t>
      </w:r>
    </w:p>
    <w:p w14:paraId="44108113"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6E2498EA" w14:textId="5346D4DC" w:rsidR="004F7EBC" w:rsidRPr="00E14983" w:rsidRDefault="004F7EBC" w:rsidP="00DD3E4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Vartodami </w:t>
      </w:r>
      <w:bookmarkStart w:id="17" w:name="OLE_LINK234"/>
      <w:bookmarkStart w:id="18" w:name="OLE_LINK235"/>
      <w:r w:rsidRPr="00E14983">
        <w:rPr>
          <w:rFonts w:ascii="Times New Roman" w:eastAsia="Times New Roman" w:hAnsi="Times New Roman" w:cs="Times New Roman"/>
          <w:color w:val="000000"/>
          <w:lang w:val="lt-LT"/>
        </w:rPr>
        <w:t xml:space="preserve">Irinotecan Accord </w:t>
      </w:r>
      <w:bookmarkEnd w:id="17"/>
      <w:bookmarkEnd w:id="18"/>
      <w:r w:rsidRPr="00E14983">
        <w:rPr>
          <w:rFonts w:ascii="Times New Roman" w:eastAsia="Times New Roman" w:hAnsi="Times New Roman" w:cs="Times New Roman"/>
          <w:color w:val="000000"/>
          <w:lang w:val="lt-LT"/>
        </w:rPr>
        <w:t xml:space="preserve">nepradėkite vartoti naujų vaistų ir nenutraukite vartojamų vaistų prieš tai nepasitarę su gydytoju. </w:t>
      </w:r>
    </w:p>
    <w:p w14:paraId="0D0B3249" w14:textId="77777777" w:rsidR="004F7EBC" w:rsidRPr="00E14983" w:rsidRDefault="004F7EBC" w:rsidP="004F7EBC">
      <w:pPr>
        <w:autoSpaceDE w:val="0"/>
        <w:autoSpaceDN w:val="0"/>
        <w:adjustRightInd w:val="0"/>
        <w:spacing w:after="0" w:line="240" w:lineRule="auto"/>
        <w:jc w:val="both"/>
        <w:rPr>
          <w:rFonts w:ascii="Times New Roman" w:eastAsia="Times New Roman" w:hAnsi="Times New Roman" w:cs="Times New Roman"/>
          <w:color w:val="000000"/>
          <w:lang w:val="lt-LT"/>
        </w:rPr>
      </w:pPr>
    </w:p>
    <w:p w14:paraId="0194D5F1" w14:textId="30A7D2A8" w:rsidR="004F7EBC" w:rsidRPr="00E14983" w:rsidRDefault="004F7EBC" w:rsidP="00DD3E4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Šis vaistas gali sukelti sunkų viduriavimą. Jį vartodami pasistenkite nevartoti </w:t>
      </w:r>
      <w:r w:rsidR="00F03301" w:rsidRPr="00E14983">
        <w:rPr>
          <w:rFonts w:ascii="Times New Roman" w:eastAsia="Times New Roman" w:hAnsi="Times New Roman" w:cs="Times New Roman"/>
          <w:color w:val="000000"/>
          <w:lang w:val="lt-LT"/>
        </w:rPr>
        <w:t xml:space="preserve">vidurių </w:t>
      </w:r>
      <w:r w:rsidRPr="00E14983">
        <w:rPr>
          <w:rFonts w:ascii="Times New Roman" w:eastAsia="Times New Roman" w:hAnsi="Times New Roman" w:cs="Times New Roman"/>
          <w:color w:val="000000"/>
          <w:lang w:val="lt-LT"/>
        </w:rPr>
        <w:t xml:space="preserve">laisvinamųjų ir </w:t>
      </w:r>
      <w:r w:rsidR="00F84D6B" w:rsidRPr="00E14983">
        <w:rPr>
          <w:rFonts w:ascii="Times New Roman" w:eastAsia="Times New Roman" w:hAnsi="Times New Roman" w:cs="Times New Roman"/>
          <w:color w:val="000000"/>
          <w:lang w:val="lt-LT"/>
        </w:rPr>
        <w:t>išmatas minkštinančių</w:t>
      </w:r>
      <w:r w:rsidRPr="00E14983">
        <w:rPr>
          <w:rFonts w:ascii="Times New Roman" w:eastAsia="Times New Roman" w:hAnsi="Times New Roman" w:cs="Times New Roman"/>
          <w:color w:val="000000"/>
          <w:lang w:val="lt-LT"/>
        </w:rPr>
        <w:t xml:space="preserve"> preparatų. </w:t>
      </w:r>
    </w:p>
    <w:p w14:paraId="45E0339A" w14:textId="77777777" w:rsidR="004F7EBC" w:rsidRPr="00E14983" w:rsidRDefault="004F7EBC" w:rsidP="004F7EBC">
      <w:pPr>
        <w:autoSpaceDE w:val="0"/>
        <w:autoSpaceDN w:val="0"/>
        <w:adjustRightInd w:val="0"/>
        <w:spacing w:after="0" w:line="240" w:lineRule="auto"/>
        <w:jc w:val="both"/>
        <w:rPr>
          <w:rFonts w:ascii="Times New Roman" w:eastAsia="Times New Roman" w:hAnsi="Times New Roman" w:cs="Times New Roman"/>
          <w:color w:val="000000"/>
          <w:lang w:val="lt-LT"/>
        </w:rPr>
      </w:pPr>
    </w:p>
    <w:p w14:paraId="45286580" w14:textId="6E555BFC" w:rsidR="004F7EBC" w:rsidRPr="00E14983" w:rsidRDefault="004F7EBC" w:rsidP="00DD3E4C">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Gali būti daugiau vai</w:t>
      </w:r>
      <w:r w:rsidR="00F84D6B" w:rsidRPr="00E14983">
        <w:rPr>
          <w:rFonts w:ascii="Times New Roman" w:eastAsia="Times New Roman" w:hAnsi="Times New Roman" w:cs="Times New Roman"/>
          <w:color w:val="000000"/>
          <w:lang w:val="lt-LT"/>
        </w:rPr>
        <w:t>s</w:t>
      </w:r>
      <w:r w:rsidRPr="00E14983">
        <w:rPr>
          <w:rFonts w:ascii="Times New Roman" w:eastAsia="Times New Roman" w:hAnsi="Times New Roman" w:cs="Times New Roman"/>
          <w:color w:val="000000"/>
          <w:lang w:val="lt-LT"/>
        </w:rPr>
        <w:t>tų, sąveikaujančių su Irinotecan Accord. Pasitarkite su gydytoju, vaistininku ar slaugytoj</w:t>
      </w:r>
      <w:r w:rsidR="00C031B7" w:rsidRPr="00E14983">
        <w:rPr>
          <w:rFonts w:ascii="Times New Roman" w:eastAsia="Times New Roman" w:hAnsi="Times New Roman" w:cs="Times New Roman"/>
          <w:color w:val="000000"/>
          <w:lang w:val="lt-LT"/>
        </w:rPr>
        <w:t>u</w:t>
      </w:r>
      <w:r w:rsidRPr="00E14983">
        <w:rPr>
          <w:rFonts w:ascii="Times New Roman" w:eastAsia="Times New Roman" w:hAnsi="Times New Roman" w:cs="Times New Roman"/>
          <w:color w:val="000000"/>
          <w:lang w:val="lt-LT"/>
        </w:rPr>
        <w:t xml:space="preserve"> dėl kitų </w:t>
      </w:r>
      <w:r w:rsidR="00F84D6B" w:rsidRPr="00E14983">
        <w:rPr>
          <w:rFonts w:ascii="Times New Roman" w:eastAsia="Times New Roman" w:hAnsi="Times New Roman" w:cs="Times New Roman"/>
          <w:color w:val="000000"/>
          <w:lang w:val="lt-LT"/>
        </w:rPr>
        <w:t>J</w:t>
      </w:r>
      <w:r w:rsidRPr="00E14983">
        <w:rPr>
          <w:rFonts w:ascii="Times New Roman" w:eastAsia="Times New Roman" w:hAnsi="Times New Roman" w:cs="Times New Roman"/>
          <w:color w:val="000000"/>
          <w:lang w:val="lt-LT"/>
        </w:rPr>
        <w:t xml:space="preserve">ūsų vaistų, žolelių ir papildų, taip pat </w:t>
      </w:r>
      <w:r w:rsidR="00F84D6B" w:rsidRPr="00E14983">
        <w:rPr>
          <w:rFonts w:ascii="Times New Roman" w:eastAsia="Times New Roman" w:hAnsi="Times New Roman" w:cs="Times New Roman"/>
          <w:color w:val="000000"/>
          <w:lang w:val="lt-LT"/>
        </w:rPr>
        <w:t xml:space="preserve">dėl to, </w:t>
      </w:r>
      <w:r w:rsidRPr="00E14983">
        <w:rPr>
          <w:rFonts w:ascii="Times New Roman" w:eastAsia="Times New Roman" w:hAnsi="Times New Roman" w:cs="Times New Roman"/>
          <w:color w:val="000000"/>
          <w:lang w:val="lt-LT"/>
        </w:rPr>
        <w:t>ar alkoholis gali sukelti problemų vartojant šį vaistą.</w:t>
      </w:r>
    </w:p>
    <w:p w14:paraId="62FBBA3D" w14:textId="77777777" w:rsidR="004F7EBC" w:rsidRPr="00E14983" w:rsidRDefault="004F7EBC"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483489AC" w14:textId="5BB6B214" w:rsidR="009500C0" w:rsidRPr="00E14983" w:rsidRDefault="00AF4E3C" w:rsidP="009500C0">
      <w:pPr>
        <w:spacing w:after="0" w:line="240" w:lineRule="auto"/>
        <w:rPr>
          <w:rFonts w:ascii="Times New Roman" w:eastAsia="Times New Roman" w:hAnsi="Times New Roman" w:cs="Times New Roman"/>
          <w:b/>
          <w:bCs/>
          <w:lang w:val="lt-LT"/>
        </w:rPr>
      </w:pPr>
      <w:r>
        <w:rPr>
          <w:rFonts w:ascii="Times New Roman" w:eastAsia="Times New Roman" w:hAnsi="Times New Roman" w:cs="Times New Roman"/>
          <w:b/>
          <w:bCs/>
          <w:lang w:val="lt-LT"/>
        </w:rPr>
        <w:t>Kontracepcija, n</w:t>
      </w:r>
      <w:r w:rsidRPr="00E14983">
        <w:rPr>
          <w:rFonts w:ascii="Times New Roman" w:eastAsia="Times New Roman" w:hAnsi="Times New Roman" w:cs="Times New Roman"/>
          <w:b/>
          <w:bCs/>
          <w:lang w:val="lt-LT"/>
        </w:rPr>
        <w:t>ėštumas</w:t>
      </w:r>
      <w:r w:rsidR="009500C0" w:rsidRPr="00E14983">
        <w:rPr>
          <w:rFonts w:ascii="Times New Roman" w:eastAsia="Times New Roman" w:hAnsi="Times New Roman" w:cs="Times New Roman"/>
          <w:b/>
          <w:bCs/>
          <w:lang w:val="lt-LT"/>
        </w:rPr>
        <w:t>, žindymo laikotarpis ir vaisingumas</w:t>
      </w:r>
    </w:p>
    <w:p w14:paraId="6A521794" w14:textId="77777777" w:rsidR="00EC1D86" w:rsidRPr="00964468" w:rsidRDefault="00EC1D86" w:rsidP="00EC1D86">
      <w:pPr>
        <w:numPr>
          <w:ilvl w:val="12"/>
          <w:numId w:val="0"/>
        </w:numPr>
        <w:spacing w:after="0" w:line="240" w:lineRule="auto"/>
        <w:rPr>
          <w:rFonts w:ascii="Times New Roman" w:eastAsia="Times New Roman" w:hAnsi="Times New Roman" w:cs="Times New Roman"/>
          <w:i/>
          <w:snapToGrid w:val="0"/>
          <w:lang w:val="lt-LT"/>
        </w:rPr>
      </w:pPr>
      <w:r w:rsidRPr="00964468">
        <w:rPr>
          <w:rFonts w:ascii="Times New Roman" w:eastAsia="Times New Roman" w:hAnsi="Times New Roman" w:cs="Times New Roman"/>
          <w:i/>
          <w:snapToGrid w:val="0"/>
          <w:lang w:val="lt-LT"/>
        </w:rPr>
        <w:t>Kontracepcija</w:t>
      </w:r>
    </w:p>
    <w:p w14:paraId="6A5F8272" w14:textId="5CBBF6D4" w:rsidR="00EC1D86" w:rsidRPr="00964468" w:rsidRDefault="00EC1D86" w:rsidP="00EC1D86">
      <w:pPr>
        <w:numPr>
          <w:ilvl w:val="12"/>
          <w:numId w:val="0"/>
        </w:numPr>
        <w:spacing w:after="0" w:line="240" w:lineRule="auto"/>
        <w:rPr>
          <w:rFonts w:ascii="Times New Roman" w:eastAsia="Times New Roman" w:hAnsi="Times New Roman" w:cs="Times New Roman"/>
          <w:iCs/>
          <w:snapToGrid w:val="0"/>
          <w:lang w:val="lt-LT"/>
        </w:rPr>
      </w:pPr>
      <w:r w:rsidRPr="00964468">
        <w:rPr>
          <w:rFonts w:ascii="Times New Roman" w:eastAsia="Times New Roman" w:hAnsi="Times New Roman" w:cs="Times New Roman"/>
          <w:iCs/>
          <w:snapToGrid w:val="0"/>
          <w:lang w:val="lt-LT"/>
        </w:rPr>
        <w:t>Jei esate vaisingo amžiaus moteris, gydymo metu ir 6 mėnesi</w:t>
      </w:r>
      <w:r w:rsidR="00C40AD8">
        <w:rPr>
          <w:rFonts w:ascii="Times New Roman" w:eastAsia="Times New Roman" w:hAnsi="Times New Roman" w:cs="Times New Roman"/>
          <w:iCs/>
          <w:snapToGrid w:val="0"/>
          <w:lang w:val="lt-LT"/>
        </w:rPr>
        <w:t>us</w:t>
      </w:r>
      <w:r w:rsidRPr="00964468">
        <w:rPr>
          <w:rFonts w:ascii="Times New Roman" w:eastAsia="Times New Roman" w:hAnsi="Times New Roman" w:cs="Times New Roman"/>
          <w:iCs/>
          <w:snapToGrid w:val="0"/>
          <w:lang w:val="lt-LT"/>
        </w:rPr>
        <w:t xml:space="preserve"> po jo pabaigos turite naudoti veiksmingą kontracepcijos priemonę.</w:t>
      </w:r>
    </w:p>
    <w:p w14:paraId="6D1C4F04" w14:textId="77777777" w:rsidR="00EC1D86" w:rsidRPr="00964468" w:rsidRDefault="00EC1D86" w:rsidP="00EC1D86">
      <w:pPr>
        <w:numPr>
          <w:ilvl w:val="12"/>
          <w:numId w:val="0"/>
        </w:numPr>
        <w:spacing w:after="0" w:line="240" w:lineRule="auto"/>
        <w:rPr>
          <w:rFonts w:ascii="Times New Roman" w:eastAsia="Times New Roman" w:hAnsi="Times New Roman" w:cs="Times New Roman"/>
          <w:iCs/>
          <w:snapToGrid w:val="0"/>
          <w:lang w:val="lt-LT"/>
        </w:rPr>
      </w:pPr>
    </w:p>
    <w:p w14:paraId="7210331A" w14:textId="4DF1788A" w:rsidR="00EC1D86" w:rsidRDefault="00FC6056" w:rsidP="00EC1D86">
      <w:pPr>
        <w:numPr>
          <w:ilvl w:val="12"/>
          <w:numId w:val="0"/>
        </w:numPr>
        <w:spacing w:after="0" w:line="240" w:lineRule="auto"/>
        <w:rPr>
          <w:rFonts w:ascii="Times New Roman" w:eastAsia="Times New Roman" w:hAnsi="Times New Roman" w:cs="Times New Roman"/>
          <w:iCs/>
          <w:snapToGrid w:val="0"/>
          <w:lang w:val="lt-LT"/>
        </w:rPr>
      </w:pPr>
      <w:r>
        <w:rPr>
          <w:rFonts w:ascii="Times New Roman" w:eastAsia="Times New Roman" w:hAnsi="Times New Roman" w:cs="Times New Roman"/>
          <w:iCs/>
          <w:snapToGrid w:val="0"/>
          <w:lang w:val="lt-LT"/>
        </w:rPr>
        <w:t>Vyrams</w:t>
      </w:r>
      <w:r w:rsidR="00EC1D86" w:rsidRPr="00964468">
        <w:rPr>
          <w:rFonts w:ascii="Times New Roman" w:eastAsia="Times New Roman" w:hAnsi="Times New Roman" w:cs="Times New Roman"/>
          <w:iCs/>
          <w:snapToGrid w:val="0"/>
          <w:lang w:val="lt-LT"/>
        </w:rPr>
        <w:t>, gydymo metu ir 3 mėnesi</w:t>
      </w:r>
      <w:r>
        <w:rPr>
          <w:rFonts w:ascii="Times New Roman" w:eastAsia="Times New Roman" w:hAnsi="Times New Roman" w:cs="Times New Roman"/>
          <w:iCs/>
          <w:snapToGrid w:val="0"/>
          <w:lang w:val="lt-LT"/>
        </w:rPr>
        <w:t>us</w:t>
      </w:r>
      <w:r w:rsidR="00EC1D86" w:rsidRPr="00964468">
        <w:rPr>
          <w:rFonts w:ascii="Times New Roman" w:eastAsia="Times New Roman" w:hAnsi="Times New Roman" w:cs="Times New Roman"/>
          <w:iCs/>
          <w:snapToGrid w:val="0"/>
          <w:lang w:val="lt-LT"/>
        </w:rPr>
        <w:t xml:space="preserve"> po gydymo pabaigos turite naudoti veiksmingą kontracepcijos priemonę. Svarbu pasitarti su gydytoju, kokias kontracepcijos priemones galima naudoti su šiuo vaistu.</w:t>
      </w:r>
    </w:p>
    <w:p w14:paraId="30FCA191" w14:textId="77777777" w:rsidR="00EC1D86" w:rsidRPr="00964468" w:rsidRDefault="00EC1D86" w:rsidP="00EC1D86">
      <w:pPr>
        <w:numPr>
          <w:ilvl w:val="12"/>
          <w:numId w:val="0"/>
        </w:numPr>
        <w:spacing w:after="0" w:line="240" w:lineRule="auto"/>
        <w:rPr>
          <w:rFonts w:ascii="Times New Roman" w:eastAsia="Times New Roman" w:hAnsi="Times New Roman" w:cs="Times New Roman"/>
          <w:iCs/>
          <w:snapToGrid w:val="0"/>
          <w:lang w:val="lt-LT"/>
        </w:rPr>
      </w:pPr>
    </w:p>
    <w:p w14:paraId="31630E36" w14:textId="6368D58B" w:rsidR="004F7EBC" w:rsidRPr="00E14983" w:rsidRDefault="004F7EBC" w:rsidP="000D6608">
      <w:pPr>
        <w:numPr>
          <w:ilvl w:val="12"/>
          <w:numId w:val="0"/>
        </w:numPr>
        <w:spacing w:after="0" w:line="240" w:lineRule="auto"/>
        <w:rPr>
          <w:rFonts w:ascii="Times New Roman" w:eastAsia="Times New Roman" w:hAnsi="Times New Roman" w:cs="Times New Roman"/>
          <w:i/>
          <w:snapToGrid w:val="0"/>
          <w:lang w:val="lt-LT"/>
        </w:rPr>
      </w:pPr>
      <w:r w:rsidRPr="00E14983">
        <w:rPr>
          <w:rFonts w:ascii="Times New Roman" w:eastAsia="Times New Roman" w:hAnsi="Times New Roman" w:cs="Times New Roman"/>
          <w:i/>
          <w:snapToGrid w:val="0"/>
          <w:lang w:val="lt-LT"/>
        </w:rPr>
        <w:t>Nėštumas</w:t>
      </w:r>
    </w:p>
    <w:p w14:paraId="4850D3BC" w14:textId="77777777" w:rsidR="00EC1D86" w:rsidRPr="00EC1D86" w:rsidRDefault="00EC1D86" w:rsidP="00EC1D86">
      <w:pPr>
        <w:numPr>
          <w:ilvl w:val="12"/>
          <w:numId w:val="0"/>
        </w:numPr>
        <w:spacing w:after="0" w:line="240" w:lineRule="auto"/>
        <w:rPr>
          <w:rFonts w:ascii="Times New Roman" w:eastAsia="Times New Roman" w:hAnsi="Times New Roman" w:cs="Times New Roman"/>
          <w:snapToGrid w:val="0"/>
          <w:lang w:val="lt-LT"/>
        </w:rPr>
      </w:pPr>
      <w:r w:rsidRPr="00EC1D86">
        <w:rPr>
          <w:rFonts w:ascii="Times New Roman" w:eastAsia="Times New Roman" w:hAnsi="Times New Roman" w:cs="Times New Roman"/>
          <w:snapToGrid w:val="0"/>
          <w:lang w:val="lt-LT"/>
        </w:rPr>
        <w:t>Šis vaistas gali sukelti problemų vaisiui, jei jis vartojamas pastojimo metu arba nėštumo metu. Prieš pradėdamas gydymą, gydytojas įsitikins, kad nesate nėščia.</w:t>
      </w:r>
    </w:p>
    <w:p w14:paraId="5FD7A27F" w14:textId="77777777" w:rsidR="00EC1D86" w:rsidRPr="00EC1D86" w:rsidRDefault="00EC1D86" w:rsidP="00EC1D86">
      <w:pPr>
        <w:numPr>
          <w:ilvl w:val="12"/>
          <w:numId w:val="0"/>
        </w:numPr>
        <w:spacing w:after="0" w:line="240" w:lineRule="auto"/>
        <w:rPr>
          <w:rFonts w:ascii="Times New Roman" w:eastAsia="Times New Roman" w:hAnsi="Times New Roman" w:cs="Times New Roman"/>
          <w:snapToGrid w:val="0"/>
          <w:lang w:val="lt-LT"/>
        </w:rPr>
      </w:pPr>
    </w:p>
    <w:p w14:paraId="2292682C" w14:textId="77777777" w:rsidR="009500C0" w:rsidRPr="00EC1D86" w:rsidRDefault="009500C0" w:rsidP="009500C0">
      <w:pPr>
        <w:numPr>
          <w:ilvl w:val="12"/>
          <w:numId w:val="0"/>
        </w:numPr>
        <w:spacing w:after="0" w:line="240" w:lineRule="auto"/>
        <w:rPr>
          <w:rFonts w:ascii="Times New Roman" w:eastAsia="Times New Roman" w:hAnsi="Times New Roman" w:cs="Times New Roman"/>
          <w:bCs/>
          <w:lang w:val="lt-LT"/>
        </w:rPr>
      </w:pPr>
      <w:r w:rsidRPr="00C96B3D">
        <w:rPr>
          <w:rFonts w:ascii="Times New Roman" w:eastAsia="Times New Roman" w:hAnsi="Times New Roman" w:cs="Times New Roman"/>
          <w:bCs/>
          <w:snapToGrid w:val="0"/>
          <w:lang w:val="lt-LT"/>
        </w:rPr>
        <w:t>Jeigu esate nėščia, žindote kūdikį, manote, kad galbūt esate nėščia, arba planuojate pastoti, tai prieš vartodama šį vaistą, pasitarkite su gydytoju arba vaistininku.</w:t>
      </w:r>
    </w:p>
    <w:p w14:paraId="5C33D0F8" w14:textId="77777777" w:rsidR="004F7EBC" w:rsidRPr="00E14983" w:rsidRDefault="004F7EBC" w:rsidP="009500C0">
      <w:pPr>
        <w:spacing w:after="0" w:line="240" w:lineRule="auto"/>
        <w:rPr>
          <w:rFonts w:ascii="Times New Roman" w:eastAsia="Times New Roman" w:hAnsi="Times New Roman" w:cs="Times New Roman"/>
          <w:bCs/>
          <w:iCs/>
          <w:lang w:val="lt-LT"/>
        </w:rPr>
      </w:pPr>
    </w:p>
    <w:p w14:paraId="42087B96" w14:textId="77777777" w:rsidR="004F7EBC" w:rsidRPr="00C96B3D" w:rsidRDefault="004F7EBC" w:rsidP="004F7EBC">
      <w:pPr>
        <w:spacing w:after="0" w:line="240" w:lineRule="auto"/>
        <w:rPr>
          <w:rFonts w:ascii="Times New Roman" w:eastAsia="Times New Roman" w:hAnsi="Times New Roman" w:cs="Times New Roman"/>
          <w:bCs/>
          <w:i/>
          <w:lang w:val="lt-LT"/>
        </w:rPr>
      </w:pPr>
      <w:r w:rsidRPr="00C96B3D">
        <w:rPr>
          <w:rFonts w:ascii="Times New Roman" w:eastAsia="Times New Roman" w:hAnsi="Times New Roman" w:cs="Times New Roman"/>
          <w:bCs/>
          <w:i/>
          <w:lang w:val="lt-LT"/>
        </w:rPr>
        <w:t>Žindymas</w:t>
      </w:r>
    </w:p>
    <w:p w14:paraId="3FE8F017" w14:textId="11A9ED0E" w:rsidR="00EC1D86" w:rsidRPr="00E14983" w:rsidRDefault="00EC1D86" w:rsidP="004F7EBC">
      <w:pPr>
        <w:spacing w:after="0" w:line="240" w:lineRule="auto"/>
        <w:rPr>
          <w:rFonts w:ascii="Times New Roman" w:eastAsia="Times New Roman" w:hAnsi="Times New Roman" w:cs="Times New Roman"/>
          <w:bCs/>
          <w:iCs/>
          <w:lang w:val="lt-LT"/>
        </w:rPr>
      </w:pPr>
      <w:r w:rsidRPr="00EC1D86">
        <w:rPr>
          <w:rFonts w:ascii="Times New Roman" w:eastAsia="Times New Roman" w:hAnsi="Times New Roman" w:cs="Times New Roman"/>
          <w:bCs/>
          <w:iCs/>
          <w:lang w:val="lt-LT"/>
        </w:rPr>
        <w:t>Moters piene buvo rasta irinotekano</w:t>
      </w:r>
      <w:r>
        <w:rPr>
          <w:rFonts w:ascii="Times New Roman" w:eastAsia="Times New Roman" w:hAnsi="Times New Roman" w:cs="Times New Roman"/>
          <w:bCs/>
          <w:iCs/>
          <w:lang w:val="lt-LT"/>
        </w:rPr>
        <w:t xml:space="preserve"> </w:t>
      </w:r>
      <w:r w:rsidRPr="00EC1D86">
        <w:rPr>
          <w:rFonts w:ascii="Times New Roman" w:eastAsia="Times New Roman" w:hAnsi="Times New Roman" w:cs="Times New Roman"/>
          <w:bCs/>
          <w:iCs/>
          <w:lang w:val="lt-LT"/>
        </w:rPr>
        <w:t xml:space="preserve">ir jo metabolito. </w:t>
      </w:r>
    </w:p>
    <w:p w14:paraId="46EEF5ED" w14:textId="77777777" w:rsidR="009500C0" w:rsidRPr="00E14983" w:rsidRDefault="009500C0" w:rsidP="009500C0">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lastRenderedPageBreak/>
        <w:t>Gydymo Irinotecan Accord metu kūdikio maitinimą krūtimi būtina nutraukti.</w:t>
      </w:r>
    </w:p>
    <w:p w14:paraId="585D647B" w14:textId="77777777" w:rsidR="009500C0" w:rsidRPr="00E14983" w:rsidRDefault="009500C0" w:rsidP="009500C0">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t>Prieš vartojant bet kokį vaistą, būtina pasitarti su gydytoju.</w:t>
      </w:r>
    </w:p>
    <w:p w14:paraId="11E4A54B" w14:textId="77777777" w:rsidR="009500C0" w:rsidRPr="00E14983" w:rsidRDefault="009500C0" w:rsidP="009500C0">
      <w:pPr>
        <w:spacing w:after="0" w:line="240" w:lineRule="auto"/>
        <w:rPr>
          <w:rFonts w:ascii="Times New Roman" w:eastAsia="Times New Roman" w:hAnsi="Times New Roman" w:cs="Times New Roman"/>
          <w:lang w:val="lt-LT"/>
        </w:rPr>
      </w:pPr>
    </w:p>
    <w:p w14:paraId="0C871FF7" w14:textId="77777777" w:rsidR="004F7EBC" w:rsidRPr="00E14983" w:rsidRDefault="004F7EBC" w:rsidP="004F7EBC">
      <w:pPr>
        <w:spacing w:after="0" w:line="240" w:lineRule="auto"/>
        <w:rPr>
          <w:rFonts w:ascii="Times New Roman" w:eastAsia="Times New Roman" w:hAnsi="Times New Roman" w:cs="Times New Roman"/>
          <w:bCs/>
          <w:i/>
          <w:iCs/>
          <w:lang w:val="lt-LT"/>
        </w:rPr>
      </w:pPr>
      <w:r w:rsidRPr="00E14983">
        <w:rPr>
          <w:rFonts w:ascii="Times New Roman" w:eastAsia="Times New Roman" w:hAnsi="Times New Roman" w:cs="Times New Roman"/>
          <w:bCs/>
          <w:i/>
          <w:iCs/>
          <w:lang w:val="lt-LT"/>
        </w:rPr>
        <w:t>Vaisingumas</w:t>
      </w:r>
    </w:p>
    <w:p w14:paraId="36E20526" w14:textId="3EF7DA2C" w:rsidR="004F7EBC" w:rsidRPr="00E14983" w:rsidRDefault="004F7EBC" w:rsidP="004F7EBC">
      <w:pPr>
        <w:spacing w:after="0" w:line="240" w:lineRule="auto"/>
        <w:rPr>
          <w:rFonts w:ascii="Times New Roman" w:eastAsia="Times New Roman" w:hAnsi="Times New Roman" w:cs="Times New Roman"/>
          <w:bCs/>
          <w:iCs/>
          <w:lang w:val="lt-LT"/>
        </w:rPr>
      </w:pPr>
      <w:r w:rsidRPr="00E14983">
        <w:rPr>
          <w:rFonts w:ascii="Times New Roman" w:eastAsia="Times New Roman" w:hAnsi="Times New Roman" w:cs="Times New Roman"/>
          <w:bCs/>
          <w:iCs/>
          <w:lang w:val="lt-LT"/>
        </w:rPr>
        <w:t xml:space="preserve">Tyrimų atlikta nebuvo, </w:t>
      </w:r>
      <w:r w:rsidR="00F84D6B" w:rsidRPr="00E14983">
        <w:rPr>
          <w:rFonts w:ascii="Times New Roman" w:eastAsia="Times New Roman" w:hAnsi="Times New Roman" w:cs="Times New Roman"/>
          <w:bCs/>
          <w:iCs/>
          <w:lang w:val="lt-LT"/>
        </w:rPr>
        <w:t>vis dėlto</w:t>
      </w:r>
      <w:r w:rsidRPr="00E14983">
        <w:rPr>
          <w:rFonts w:ascii="Times New Roman" w:eastAsia="Times New Roman" w:hAnsi="Times New Roman" w:cs="Times New Roman"/>
          <w:bCs/>
          <w:iCs/>
          <w:lang w:val="lt-LT"/>
        </w:rPr>
        <w:t xml:space="preserve"> šis vaistas gali paveikti vaisingumą. </w:t>
      </w:r>
      <w:r w:rsidR="00EC1D86" w:rsidRPr="00EC1D86">
        <w:rPr>
          <w:rFonts w:ascii="Times New Roman" w:eastAsia="Times New Roman" w:hAnsi="Times New Roman" w:cs="Times New Roman"/>
          <w:bCs/>
          <w:iCs/>
          <w:lang w:val="lt-LT"/>
        </w:rPr>
        <w:t>Prieš vartodami šio vaisto, p</w:t>
      </w:r>
      <w:r w:rsidRPr="00E14983">
        <w:rPr>
          <w:rFonts w:ascii="Times New Roman" w:eastAsia="Times New Roman" w:hAnsi="Times New Roman" w:cs="Times New Roman"/>
          <w:bCs/>
          <w:iCs/>
          <w:lang w:val="lt-LT"/>
        </w:rPr>
        <w:t xml:space="preserve">asitarkite su gydytoju apie galimą riziką </w:t>
      </w:r>
      <w:r w:rsidR="00F84D6B" w:rsidRPr="00E14983">
        <w:rPr>
          <w:rFonts w:ascii="Times New Roman" w:eastAsia="Times New Roman" w:hAnsi="Times New Roman" w:cs="Times New Roman"/>
          <w:bCs/>
          <w:iCs/>
          <w:lang w:val="lt-LT"/>
        </w:rPr>
        <w:t xml:space="preserve">vartojant šio vaisto </w:t>
      </w:r>
      <w:r w:rsidRPr="00E14983">
        <w:rPr>
          <w:rFonts w:ascii="Times New Roman" w:eastAsia="Times New Roman" w:hAnsi="Times New Roman" w:cs="Times New Roman"/>
          <w:bCs/>
          <w:iCs/>
          <w:lang w:val="lt-LT"/>
        </w:rPr>
        <w:t xml:space="preserve">ir būdus, kuriais būtų išsaugota galimybė </w:t>
      </w:r>
      <w:r w:rsidR="00F84D6B" w:rsidRPr="00E14983">
        <w:rPr>
          <w:rFonts w:ascii="Times New Roman" w:eastAsia="Times New Roman" w:hAnsi="Times New Roman" w:cs="Times New Roman"/>
          <w:bCs/>
          <w:iCs/>
          <w:lang w:val="lt-LT"/>
        </w:rPr>
        <w:t>J</w:t>
      </w:r>
      <w:r w:rsidRPr="00E14983">
        <w:rPr>
          <w:rFonts w:ascii="Times New Roman" w:eastAsia="Times New Roman" w:hAnsi="Times New Roman" w:cs="Times New Roman"/>
          <w:bCs/>
          <w:iCs/>
          <w:lang w:val="lt-LT"/>
        </w:rPr>
        <w:t>ums turėti vaikų.</w:t>
      </w:r>
    </w:p>
    <w:p w14:paraId="5D93DCB6" w14:textId="77777777" w:rsidR="004F7EBC" w:rsidRPr="00E14983" w:rsidRDefault="004F7EBC" w:rsidP="009500C0">
      <w:pPr>
        <w:spacing w:after="0" w:line="240" w:lineRule="auto"/>
        <w:rPr>
          <w:rFonts w:ascii="Times New Roman" w:eastAsia="Times New Roman" w:hAnsi="Times New Roman" w:cs="Times New Roman"/>
          <w:lang w:val="lt-LT"/>
        </w:rPr>
      </w:pPr>
    </w:p>
    <w:p w14:paraId="0BA5E339" w14:textId="77777777" w:rsidR="009500C0" w:rsidRPr="00E14983" w:rsidRDefault="009500C0" w:rsidP="00ED157C">
      <w:pPr>
        <w:keepNext/>
        <w:tabs>
          <w:tab w:val="left" w:pos="567"/>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Vairavimas ir mechanizmų valdymas</w:t>
      </w:r>
    </w:p>
    <w:p w14:paraId="760AC54A" w14:textId="77777777" w:rsidR="009500C0" w:rsidRPr="00E14983" w:rsidRDefault="009500C0" w:rsidP="00ED157C">
      <w:pPr>
        <w:keepNext/>
        <w:tabs>
          <w:tab w:val="left" w:pos="567"/>
        </w:tabs>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Kai kuriais atvejais Irinotecan Accord gali sukelti šalutinį poveikį, kuris gali veikti gebėjimą vairuoti ir valdyti įrangą ir mechanizmus. Jeigu kyla abejonių, kreipkitės į gydytoją arba vaistininką.</w:t>
      </w:r>
    </w:p>
    <w:p w14:paraId="163FA1F2"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Pirmųjų 24 valandų laikotarpiu po Irinotecan Accord infuzijos Jums gali svaigti galva arba sutrikti rega. Jeigu toks poveikis pasireiškia, vairuoti ir valdyti įrangos ar mechanizmų negalima. </w:t>
      </w:r>
    </w:p>
    <w:p w14:paraId="22347059"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color w:val="000000"/>
          <w:lang w:val="lt-LT"/>
        </w:rPr>
      </w:pPr>
    </w:p>
    <w:p w14:paraId="30E60C6B" w14:textId="20F4DDD8" w:rsidR="004F7EBC" w:rsidRPr="00E14983" w:rsidRDefault="004F7EBC" w:rsidP="004F7EBC">
      <w:pPr>
        <w:autoSpaceDE w:val="0"/>
        <w:autoSpaceDN w:val="0"/>
        <w:adjustRightIn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Svarbi informacija apie tam tikras Irinotecan Accord sudėtines dalis</w:t>
      </w:r>
    </w:p>
    <w:p w14:paraId="6A3285E1" w14:textId="6C001AC0" w:rsidR="004F7EBC" w:rsidRPr="00E14983" w:rsidRDefault="00F84D6B" w:rsidP="004F7EBC">
      <w:pPr>
        <w:spacing w:after="0" w:line="240" w:lineRule="auto"/>
        <w:rPr>
          <w:bCs/>
          <w:iCs/>
          <w:lang w:val="lt-LT"/>
        </w:rPr>
      </w:pPr>
      <w:r w:rsidRPr="00E14983">
        <w:rPr>
          <w:rFonts w:ascii="Times New Roman" w:eastAsia="Calibri" w:hAnsi="Times New Roman" w:cs="Times New Roman"/>
          <w:lang w:val="lt-LT" w:eastAsia="sl-SI"/>
        </w:rPr>
        <w:t>K</w:t>
      </w:r>
      <w:r w:rsidR="00AD343E" w:rsidRPr="00E14983">
        <w:rPr>
          <w:rFonts w:ascii="Times New Roman" w:eastAsia="Calibri" w:hAnsi="Times New Roman" w:cs="Times New Roman"/>
          <w:lang w:val="lt-LT" w:eastAsia="sl-SI"/>
        </w:rPr>
        <w:t xml:space="preserve">iekviename </w:t>
      </w:r>
      <w:r w:rsidRPr="00E14983">
        <w:rPr>
          <w:rFonts w:ascii="Times New Roman" w:eastAsia="Calibri" w:hAnsi="Times New Roman" w:cs="Times New Roman"/>
          <w:lang w:val="lt-LT" w:eastAsia="sl-SI"/>
        </w:rPr>
        <w:t xml:space="preserve">šio vaisto </w:t>
      </w:r>
      <w:r w:rsidR="00AD343E" w:rsidRPr="00E14983">
        <w:rPr>
          <w:rFonts w:ascii="Times New Roman" w:eastAsia="Calibri" w:hAnsi="Times New Roman" w:cs="Times New Roman"/>
          <w:lang w:val="lt-LT" w:eastAsia="sl-SI"/>
        </w:rPr>
        <w:t>ml</w:t>
      </w:r>
      <w:r w:rsidR="00AD343E" w:rsidRPr="00E14983">
        <w:rPr>
          <w:rFonts w:ascii="Times New Roman" w:hAnsi="Times New Roman"/>
          <w:lang w:val="lt-LT"/>
        </w:rPr>
        <w:t xml:space="preserve"> yra </w:t>
      </w:r>
      <w:r w:rsidR="00AD343E" w:rsidRPr="00E14983">
        <w:rPr>
          <w:rFonts w:ascii="Times New Roman" w:eastAsia="Calibri" w:hAnsi="Times New Roman" w:cs="Times New Roman"/>
          <w:lang w:val="lt-LT" w:eastAsia="sl-SI"/>
        </w:rPr>
        <w:t>45</w:t>
      </w:r>
      <w:r w:rsidRPr="00E14983">
        <w:rPr>
          <w:rFonts w:ascii="Times New Roman" w:eastAsia="Calibri" w:hAnsi="Times New Roman" w:cs="Times New Roman"/>
          <w:lang w:val="lt-LT" w:eastAsia="sl-SI"/>
        </w:rPr>
        <w:t> </w:t>
      </w:r>
      <w:r w:rsidR="00AD343E" w:rsidRPr="00E14983">
        <w:rPr>
          <w:rFonts w:ascii="Times New Roman" w:eastAsia="Calibri" w:hAnsi="Times New Roman" w:cs="Times New Roman"/>
          <w:lang w:val="lt-LT" w:eastAsia="sl-SI"/>
        </w:rPr>
        <w:t xml:space="preserve">mg </w:t>
      </w:r>
      <w:r w:rsidR="00AD343E" w:rsidRPr="00E14983">
        <w:rPr>
          <w:rFonts w:ascii="Times New Roman" w:hAnsi="Times New Roman"/>
          <w:lang w:val="lt-LT"/>
        </w:rPr>
        <w:t>sorbitolio</w:t>
      </w:r>
      <w:r w:rsidR="00AD343E" w:rsidRPr="00E14983">
        <w:rPr>
          <w:rFonts w:ascii="Times New Roman" w:eastAsia="Calibri" w:hAnsi="Times New Roman" w:cs="Times New Roman"/>
          <w:lang w:val="lt-LT" w:eastAsia="sl-SI"/>
        </w:rPr>
        <w:t xml:space="preserve">. </w:t>
      </w:r>
      <w:r w:rsidR="004F7EBC" w:rsidRPr="00E14983">
        <w:rPr>
          <w:rFonts w:ascii="Times New Roman" w:eastAsia="Times New Roman" w:hAnsi="Times New Roman" w:cs="Times New Roman"/>
          <w:bCs/>
          <w:iCs/>
          <w:lang w:val="lt-LT"/>
        </w:rPr>
        <w:t xml:space="preserve">Sorbitolis yra fruktozės šaltinis. Jeigu </w:t>
      </w:r>
      <w:r w:rsidRPr="00E14983">
        <w:rPr>
          <w:rFonts w:ascii="Times New Roman" w:eastAsia="Times New Roman" w:hAnsi="Times New Roman" w:cs="Times New Roman"/>
          <w:bCs/>
          <w:iCs/>
          <w:lang w:val="lt-LT"/>
        </w:rPr>
        <w:t>J</w:t>
      </w:r>
      <w:r w:rsidR="004F7EBC" w:rsidRPr="00E14983">
        <w:rPr>
          <w:rFonts w:ascii="Times New Roman" w:eastAsia="Times New Roman" w:hAnsi="Times New Roman" w:cs="Times New Roman"/>
          <w:bCs/>
          <w:iCs/>
          <w:lang w:val="lt-LT"/>
        </w:rPr>
        <w:t xml:space="preserve">ums (ar </w:t>
      </w:r>
      <w:r w:rsidRPr="00E14983">
        <w:rPr>
          <w:rFonts w:ascii="Times New Roman" w:eastAsia="Times New Roman" w:hAnsi="Times New Roman" w:cs="Times New Roman"/>
          <w:bCs/>
          <w:iCs/>
          <w:lang w:val="lt-LT"/>
        </w:rPr>
        <w:t>J</w:t>
      </w:r>
      <w:r w:rsidR="004F7EBC" w:rsidRPr="00E14983">
        <w:rPr>
          <w:rFonts w:ascii="Times New Roman" w:eastAsia="Times New Roman" w:hAnsi="Times New Roman" w:cs="Times New Roman"/>
          <w:bCs/>
          <w:iCs/>
          <w:lang w:val="lt-LT"/>
        </w:rPr>
        <w:t xml:space="preserve">ūsų vaikui) </w:t>
      </w:r>
      <w:r w:rsidRPr="00E14983">
        <w:rPr>
          <w:rFonts w:ascii="Times New Roman" w:eastAsia="Times New Roman" w:hAnsi="Times New Roman" w:cs="Times New Roman"/>
          <w:bCs/>
          <w:iCs/>
          <w:lang w:val="lt-LT"/>
        </w:rPr>
        <w:t>yra</w:t>
      </w:r>
      <w:r w:rsidR="004F7EBC" w:rsidRPr="00E14983">
        <w:rPr>
          <w:rFonts w:ascii="Times New Roman" w:eastAsia="Times New Roman" w:hAnsi="Times New Roman" w:cs="Times New Roman"/>
          <w:bCs/>
          <w:iCs/>
          <w:lang w:val="lt-LT"/>
        </w:rPr>
        <w:t xml:space="preserve"> retas genetinis sutrikimas </w:t>
      </w:r>
      <w:r w:rsidRPr="00E14983">
        <w:rPr>
          <w:rFonts w:ascii="Times New Roman" w:eastAsia="Times New Roman" w:hAnsi="Times New Roman" w:cs="Times New Roman"/>
          <w:bCs/>
          <w:iCs/>
          <w:lang w:val="lt-LT"/>
        </w:rPr>
        <w:t>įgimtas</w:t>
      </w:r>
      <w:r w:rsidR="004F7EBC" w:rsidRPr="00E14983">
        <w:rPr>
          <w:rFonts w:ascii="Times New Roman" w:eastAsia="Times New Roman" w:hAnsi="Times New Roman" w:cs="Times New Roman"/>
          <w:bCs/>
          <w:iCs/>
          <w:lang w:val="lt-LT"/>
        </w:rPr>
        <w:t xml:space="preserve"> fruktozės netoleravimas (</w:t>
      </w:r>
      <w:r w:rsidRPr="00E14983">
        <w:rPr>
          <w:rFonts w:ascii="Times New Roman" w:eastAsia="Times New Roman" w:hAnsi="Times New Roman" w:cs="Times New Roman"/>
          <w:bCs/>
          <w:iCs/>
          <w:lang w:val="lt-LT"/>
        </w:rPr>
        <w:t>Į</w:t>
      </w:r>
      <w:r w:rsidR="004F7EBC" w:rsidRPr="00E14983">
        <w:rPr>
          <w:rFonts w:ascii="Times New Roman" w:eastAsia="Times New Roman" w:hAnsi="Times New Roman" w:cs="Times New Roman"/>
          <w:bCs/>
          <w:iCs/>
          <w:lang w:val="lt-LT"/>
        </w:rPr>
        <w:t xml:space="preserve">FN), </w:t>
      </w:r>
      <w:r w:rsidRPr="00E14983">
        <w:rPr>
          <w:rFonts w:ascii="Times New Roman" w:eastAsia="Times New Roman" w:hAnsi="Times New Roman" w:cs="Times New Roman"/>
          <w:bCs/>
          <w:iCs/>
          <w:lang w:val="lt-LT"/>
        </w:rPr>
        <w:t>Jums (ar Jūsų vaikui) šio vaisto vartoti negalima. Pacientų, kuriems yra ĮFN, organizmas negali suskaidyti šio vaisto sudėtyje esančios fruktozės ir tai gali sukelti sunkų nepageidaujamą poveikį.</w:t>
      </w:r>
    </w:p>
    <w:p w14:paraId="4E1BAC65" w14:textId="77777777" w:rsidR="00F84D6B" w:rsidRPr="00E14983" w:rsidRDefault="00F84D6B"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iCs/>
          <w:lang w:val="lt-LT"/>
        </w:rPr>
      </w:pPr>
    </w:p>
    <w:p w14:paraId="6874B69A" w14:textId="5B0F2DC3" w:rsidR="009500C0" w:rsidRPr="00E14983" w:rsidRDefault="00F84D6B"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u w:val="single"/>
          <w:lang w:val="lt-LT"/>
        </w:rPr>
      </w:pPr>
      <w:r w:rsidRPr="00E14983">
        <w:rPr>
          <w:rFonts w:ascii="Times New Roman" w:eastAsia="Times New Roman" w:hAnsi="Times New Roman" w:cs="Times New Roman"/>
          <w:bCs/>
          <w:iCs/>
          <w:lang w:val="lt-LT"/>
        </w:rPr>
        <w:t>Prieš vartojant šio vaisto, turite pasakyti gydytojui, jeigu Jums (ar Jūsų vaikui) yra ĮFN arba Jūsų vaikas daugiau negali vartoti saldaus maisto ar gėrimų dėl atsirandančio pykinimo, vėmimo, ar nemalonaus poveikio (pilvo pūtimo, skrandžio dieglių ar viduriavimo).</w:t>
      </w:r>
    </w:p>
    <w:p w14:paraId="3369740F" w14:textId="77777777" w:rsidR="00F84D6B" w:rsidRPr="00E14983" w:rsidRDefault="00F84D6B" w:rsidP="009500C0">
      <w:pPr>
        <w:tabs>
          <w:tab w:val="left" w:pos="567"/>
        </w:tabs>
        <w:spacing w:after="0" w:line="240" w:lineRule="auto"/>
        <w:rPr>
          <w:rFonts w:ascii="Times New Roman" w:eastAsia="Times New Roman" w:hAnsi="Times New Roman" w:cs="Times New Roman"/>
          <w:lang w:val="lt-LT"/>
        </w:rPr>
      </w:pPr>
    </w:p>
    <w:p w14:paraId="608E2290" w14:textId="16B185DF"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Šio vaisto vienoje dozėje yra mažiau kaip 1 mmol (23 mg) natrio, t. y. jis beveik neturi reikšmės.</w:t>
      </w:r>
    </w:p>
    <w:p w14:paraId="47D0C860"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2FA3F17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b/>
          <w:bCs/>
          <w:color w:val="000000"/>
          <w:u w:val="single"/>
          <w:lang w:val="lt-LT"/>
        </w:rPr>
      </w:pPr>
    </w:p>
    <w:p w14:paraId="3F72BC2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3.</w:t>
      </w:r>
      <w:r w:rsidRPr="00E14983">
        <w:rPr>
          <w:rFonts w:ascii="Times New Roman" w:eastAsia="Times New Roman" w:hAnsi="Times New Roman" w:cs="Times New Roman"/>
          <w:b/>
          <w:bCs/>
          <w:color w:val="000000"/>
          <w:lang w:val="lt-LT"/>
        </w:rPr>
        <w:tab/>
        <w:t>Kaip vartoti Irinotecan Accord</w:t>
      </w:r>
    </w:p>
    <w:p w14:paraId="1FA5CE33" w14:textId="77777777" w:rsidR="009A383F" w:rsidRPr="00E14983" w:rsidRDefault="009A383F"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6E43BF1" w14:textId="04BB9CAD"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Visad</w:t>
      </w:r>
      <w:r w:rsidR="008B7FBB" w:rsidRPr="00E14983">
        <w:rPr>
          <w:rFonts w:ascii="Times New Roman" w:eastAsia="Times New Roman" w:hAnsi="Times New Roman" w:cs="Times New Roman"/>
          <w:lang w:val="lt-LT"/>
        </w:rPr>
        <w:t>a</w:t>
      </w:r>
      <w:r w:rsidRPr="00E14983">
        <w:rPr>
          <w:rFonts w:ascii="Times New Roman" w:eastAsia="Times New Roman" w:hAnsi="Times New Roman" w:cs="Times New Roman"/>
          <w:lang w:val="lt-LT"/>
        </w:rPr>
        <w:t xml:space="preserve"> vartokite šį vaistą tiksliai kaip nurodė gydytojas. Jeigu abejojate, kreipkitės į gydytoją.</w:t>
      </w:r>
    </w:p>
    <w:p w14:paraId="6CDC55FA"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5BDB5852" w14:textId="00BF20D9"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Irinotecan Accord </w:t>
      </w:r>
      <w:r w:rsidR="008B7FBB"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ums suleis sveikatos priežiūros specialistai.</w:t>
      </w:r>
    </w:p>
    <w:p w14:paraId="08D82F6A"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689F9F04" w14:textId="3B149008"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Prieš </w:t>
      </w:r>
      <w:r w:rsidR="008B7FBB"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 xml:space="preserve">ums suleidžiant pirmąją </w:t>
      </w:r>
      <w:r w:rsidRPr="00E14983">
        <w:rPr>
          <w:rFonts w:ascii="Times New Roman" w:eastAsia="Times New Roman" w:hAnsi="Times New Roman" w:cs="Times New Roman"/>
          <w:color w:val="000000"/>
          <w:lang w:val="lt-LT"/>
        </w:rPr>
        <w:t xml:space="preserve">Irinotecan Accord </w:t>
      </w:r>
      <w:r w:rsidRPr="00E14983">
        <w:rPr>
          <w:rFonts w:ascii="Times New Roman" w:eastAsia="Times New Roman" w:hAnsi="Times New Roman" w:cs="Times New Roman"/>
          <w:lang w:val="lt-LT"/>
        </w:rPr>
        <w:t xml:space="preserve">dozę gydytojas gali rekomenduoti atlikti DNR testą. </w:t>
      </w:r>
    </w:p>
    <w:p w14:paraId="4EA44E6B"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0614347" w14:textId="69368449"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Kai kurie žmonės genetiškai yra labiau li</w:t>
      </w:r>
      <w:r w:rsidR="00CA66ED" w:rsidRPr="00E14983">
        <w:rPr>
          <w:rFonts w:ascii="Times New Roman" w:eastAsia="Times New Roman" w:hAnsi="Times New Roman" w:cs="Times New Roman"/>
          <w:lang w:val="lt-LT"/>
        </w:rPr>
        <w:t>n</w:t>
      </w:r>
      <w:r w:rsidRPr="00E14983">
        <w:rPr>
          <w:rFonts w:ascii="Times New Roman" w:eastAsia="Times New Roman" w:hAnsi="Times New Roman" w:cs="Times New Roman"/>
          <w:lang w:val="lt-LT"/>
        </w:rPr>
        <w:t>kę patirti tam tikrą šalutinį šio vaisto poveikį.</w:t>
      </w:r>
    </w:p>
    <w:p w14:paraId="7E5EBD8D"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39AC45C" w14:textId="5EB021CB"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Irinotecan Accord </w:t>
      </w:r>
      <w:r w:rsidRPr="00E14983">
        <w:rPr>
          <w:rFonts w:ascii="Times New Roman" w:eastAsia="Times New Roman" w:hAnsi="Times New Roman" w:cs="Times New Roman"/>
          <w:lang w:val="lt-LT"/>
        </w:rPr>
        <w:t xml:space="preserve">vartojimo metu </w:t>
      </w:r>
      <w:r w:rsidR="008B7FBB" w:rsidRPr="00E14983">
        <w:rPr>
          <w:rFonts w:ascii="Times New Roman" w:eastAsia="Times New Roman" w:hAnsi="Times New Roman" w:cs="Times New Roman"/>
          <w:lang w:val="lt-LT"/>
        </w:rPr>
        <w:t>J</w:t>
      </w:r>
      <w:r w:rsidRPr="00E14983">
        <w:rPr>
          <w:rFonts w:ascii="Times New Roman" w:eastAsia="Times New Roman" w:hAnsi="Times New Roman" w:cs="Times New Roman"/>
          <w:lang w:val="lt-LT"/>
        </w:rPr>
        <w:t xml:space="preserve">ums gali būti duodama kitų vaistų nuo pykinimo, vėmimo, viduriavimo ir kito nepageidaujamo poveikio. Gali būti, kad šiuos vaistus turėsite vartoti mažiausiai vieną dieną po </w:t>
      </w:r>
      <w:r w:rsidRPr="00E14983">
        <w:rPr>
          <w:rFonts w:ascii="Times New Roman" w:eastAsia="Times New Roman" w:hAnsi="Times New Roman" w:cs="Times New Roman"/>
          <w:color w:val="000000"/>
          <w:lang w:val="lt-LT"/>
        </w:rPr>
        <w:t xml:space="preserve">Irinotecan Accord </w:t>
      </w:r>
      <w:r w:rsidR="008B7FBB" w:rsidRPr="00E14983">
        <w:rPr>
          <w:rFonts w:ascii="Times New Roman" w:eastAsia="Times New Roman" w:hAnsi="Times New Roman" w:cs="Times New Roman"/>
          <w:lang w:val="lt-LT"/>
        </w:rPr>
        <w:t>suleidimo</w:t>
      </w:r>
      <w:r w:rsidRPr="00E14983">
        <w:rPr>
          <w:rFonts w:ascii="Times New Roman" w:eastAsia="Times New Roman" w:hAnsi="Times New Roman" w:cs="Times New Roman"/>
          <w:lang w:val="lt-LT"/>
        </w:rPr>
        <w:t xml:space="preserve">. </w:t>
      </w:r>
    </w:p>
    <w:p w14:paraId="336BB3E5"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6B96CB15" w14:textId="5FB40526"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w:t>
      </w:r>
      <w:r w:rsidRPr="00E14983">
        <w:rPr>
          <w:rFonts w:ascii="Times New Roman" w:eastAsia="Times New Roman" w:hAnsi="Times New Roman" w:cs="Times New Roman"/>
          <w:color w:val="000000"/>
          <w:lang w:val="lt-LT"/>
        </w:rPr>
        <w:t xml:space="preserve">Irinotecan Accord </w:t>
      </w:r>
      <w:r w:rsidR="008B7FBB" w:rsidRPr="00E14983">
        <w:rPr>
          <w:rFonts w:ascii="Times New Roman" w:eastAsia="Times New Roman" w:hAnsi="Times New Roman" w:cs="Times New Roman"/>
          <w:lang w:val="lt-LT"/>
        </w:rPr>
        <w:t>leidimo</w:t>
      </w:r>
      <w:r w:rsidRPr="00E14983">
        <w:rPr>
          <w:rFonts w:ascii="Times New Roman" w:eastAsia="Times New Roman" w:hAnsi="Times New Roman" w:cs="Times New Roman"/>
          <w:lang w:val="lt-LT"/>
        </w:rPr>
        <w:t xml:space="preserve"> metu pajusite deginimą, skausmą ar tinimą aplink </w:t>
      </w:r>
      <w:r w:rsidR="008B7FBB" w:rsidRPr="00E14983">
        <w:rPr>
          <w:rFonts w:ascii="Times New Roman" w:eastAsia="Times New Roman" w:hAnsi="Times New Roman" w:cs="Times New Roman"/>
          <w:lang w:val="lt-LT"/>
        </w:rPr>
        <w:t>intraveninę</w:t>
      </w:r>
      <w:r w:rsidRPr="00E14983">
        <w:rPr>
          <w:rFonts w:ascii="Times New Roman" w:eastAsia="Times New Roman" w:hAnsi="Times New Roman" w:cs="Times New Roman"/>
          <w:lang w:val="lt-LT"/>
        </w:rPr>
        <w:t xml:space="preserve"> adatą, pasakykite apie tai sveikatos priežiūros specialistams. Vaistui </w:t>
      </w:r>
      <w:r w:rsidR="00CA66ED" w:rsidRPr="00E14983">
        <w:rPr>
          <w:rFonts w:ascii="Times New Roman" w:eastAsia="Times New Roman" w:hAnsi="Times New Roman" w:cs="Times New Roman"/>
          <w:lang w:val="lt-LT"/>
        </w:rPr>
        <w:t>pra</w:t>
      </w:r>
      <w:r w:rsidRPr="00E14983">
        <w:rPr>
          <w:rFonts w:ascii="Times New Roman" w:eastAsia="Times New Roman" w:hAnsi="Times New Roman" w:cs="Times New Roman"/>
          <w:lang w:val="lt-LT"/>
        </w:rPr>
        <w:t xml:space="preserve">siveržus iš venos, jis gali pažeisti audinį. </w:t>
      </w:r>
      <w:r w:rsidRPr="00E14983">
        <w:rPr>
          <w:rFonts w:ascii="Times New Roman" w:eastAsia="Times New Roman" w:hAnsi="Times New Roman" w:cs="Times New Roman"/>
          <w:color w:val="000000"/>
          <w:lang w:val="lt-LT"/>
        </w:rPr>
        <w:t xml:space="preserve">Irinotecan Accord </w:t>
      </w:r>
      <w:r w:rsidR="00AF4E3C">
        <w:rPr>
          <w:rFonts w:ascii="Times New Roman" w:eastAsia="Times New Roman" w:hAnsi="Times New Roman" w:cs="Times New Roman"/>
          <w:color w:val="000000"/>
          <w:lang w:val="lt-LT"/>
        </w:rPr>
        <w:t>leidimo</w:t>
      </w:r>
      <w:r w:rsidRPr="00E14983">
        <w:rPr>
          <w:rFonts w:ascii="Times New Roman" w:eastAsia="Times New Roman" w:hAnsi="Times New Roman" w:cs="Times New Roman"/>
          <w:lang w:val="lt-LT"/>
        </w:rPr>
        <w:t xml:space="preserve"> metu pajutę skausmą arba pastebėję paraudimą</w:t>
      </w:r>
      <w:r w:rsidR="00CA66ED" w:rsidRPr="00E14983">
        <w:rPr>
          <w:rFonts w:ascii="Times New Roman" w:eastAsia="Times New Roman" w:hAnsi="Times New Roman" w:cs="Times New Roman"/>
          <w:lang w:val="lt-LT"/>
        </w:rPr>
        <w:t xml:space="preserve"> nedelsiant įspėkite sveikatos priežiūros specialistus.</w:t>
      </w:r>
    </w:p>
    <w:p w14:paraId="184DEB3C" w14:textId="77777777" w:rsidR="009A383F" w:rsidRPr="00E14983" w:rsidRDefault="009A383F"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691EDA6" w14:textId="12F9E835" w:rsidR="009500C0" w:rsidRPr="00E14983" w:rsidRDefault="009500C0" w:rsidP="009A383F">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Irinotecan Accord infuzuojamas į vieną iš venų per 30-90 minučių</w:t>
      </w:r>
      <w:r w:rsidRPr="00E14983">
        <w:rPr>
          <w:rFonts w:ascii="Times New Roman" w:eastAsia="Times New Roman" w:hAnsi="Times New Roman" w:cs="Times New Roman"/>
          <w:color w:val="000000"/>
          <w:lang w:val="lt-LT"/>
        </w:rPr>
        <w:t xml:space="preserve">. </w:t>
      </w:r>
    </w:p>
    <w:p w14:paraId="7756ADD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Infuzijos dozė priklausys nuo Jūsų amžiaus, svorio ir ūgio ir bendros sveikatos būklės. Taip pat dozė priklausys ir nuo kitų Jums taikytų vėžio gydymo metodų. Gydytojas apskaičiuos Jūsų kūno paviršiaus plotą kvadratiniais metrais (m</w:t>
      </w:r>
      <w:r w:rsidRPr="00E14983">
        <w:rPr>
          <w:rFonts w:ascii="Times New Roman" w:eastAsia="Times New Roman" w:hAnsi="Times New Roman" w:cs="Times New Roman"/>
          <w:color w:val="000000"/>
          <w:vertAlign w:val="superscript"/>
          <w:lang w:val="lt-LT"/>
        </w:rPr>
        <w:t>2</w:t>
      </w:r>
      <w:r w:rsidRPr="00E14983">
        <w:rPr>
          <w:rFonts w:ascii="Times New Roman" w:eastAsia="Times New Roman" w:hAnsi="Times New Roman" w:cs="Times New Roman"/>
          <w:color w:val="000000"/>
          <w:lang w:val="lt-LT"/>
        </w:rPr>
        <w:t>).</w:t>
      </w:r>
    </w:p>
    <w:p w14:paraId="53578484" w14:textId="77777777" w:rsidR="009500C0" w:rsidRPr="00E14983" w:rsidRDefault="009500C0" w:rsidP="009500C0">
      <w:pPr>
        <w:numPr>
          <w:ilvl w:val="0"/>
          <w:numId w:val="21"/>
        </w:numPr>
        <w:tabs>
          <w:tab w:val="clear" w:pos="432"/>
          <w:tab w:val="num" w:pos="567"/>
        </w:tabs>
        <w:spacing w:after="0" w:line="240" w:lineRule="auto"/>
        <w:ind w:hanging="432"/>
        <w:rPr>
          <w:rFonts w:ascii="Times New Roman" w:eastAsia="Times New Roman" w:hAnsi="Times New Roman" w:cs="Times New Roman"/>
          <w:lang w:val="lt-LT"/>
        </w:rPr>
      </w:pPr>
      <w:r w:rsidRPr="00E14983">
        <w:rPr>
          <w:rFonts w:ascii="Times New Roman" w:eastAsia="Times New Roman" w:hAnsi="Times New Roman" w:cs="Times New Roman"/>
          <w:lang w:val="lt-LT"/>
        </w:rPr>
        <w:t>Jeigu anksčiau buvote gydytas 5-fluorouracilu, Jus paprastai gydys vien Irinotecan Accord, pradedant nuo kas 3 savaites vartojamos 350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dozės. </w:t>
      </w:r>
    </w:p>
    <w:p w14:paraId="5F83A85F" w14:textId="77777777" w:rsidR="009500C0" w:rsidRPr="00E14983" w:rsidRDefault="009500C0" w:rsidP="009500C0">
      <w:pPr>
        <w:numPr>
          <w:ilvl w:val="0"/>
          <w:numId w:val="21"/>
        </w:numPr>
        <w:tabs>
          <w:tab w:val="clear" w:pos="432"/>
          <w:tab w:val="num" w:pos="567"/>
        </w:tabs>
        <w:spacing w:after="0" w:line="240" w:lineRule="auto"/>
        <w:ind w:hanging="432"/>
        <w:rPr>
          <w:rFonts w:ascii="Times New Roman" w:hAnsi="Times New Roman" w:cs="Times New Roman"/>
          <w:lang w:val="lt-LT"/>
        </w:rPr>
      </w:pPr>
      <w:r w:rsidRPr="00E14983">
        <w:rPr>
          <w:rFonts w:ascii="Times New Roman" w:eastAsia="Times New Roman" w:hAnsi="Times New Roman" w:cs="Times New Roman"/>
          <w:lang w:val="lt-LT"/>
        </w:rPr>
        <w:t>Jeigu chemoterapija anksčiau nebuvo taikyta, paprastai Jums kas 2 savaites bus lašinama 180 mg/m</w:t>
      </w:r>
      <w:r w:rsidRPr="00E14983">
        <w:rPr>
          <w:rFonts w:ascii="Times New Roman" w:eastAsia="Times New Roman" w:hAnsi="Times New Roman" w:cs="Times New Roman"/>
          <w:vertAlign w:val="superscript"/>
          <w:lang w:val="lt-LT"/>
        </w:rPr>
        <w:t>2</w:t>
      </w:r>
      <w:r w:rsidRPr="00E14983">
        <w:rPr>
          <w:rFonts w:ascii="Times New Roman" w:eastAsia="Times New Roman" w:hAnsi="Times New Roman" w:cs="Times New Roman"/>
          <w:lang w:val="lt-LT"/>
        </w:rPr>
        <w:t xml:space="preserve"> Irinotecan Accord dozė, po to vartosite folino rūgšties ir 5-fluorouracilo.</w:t>
      </w:r>
      <w:r w:rsidRPr="00E14983">
        <w:rPr>
          <w:rFonts w:ascii="Times New Roman" w:hAnsi="Times New Roman" w:cs="Times New Roman"/>
          <w:lang w:val="lt-LT"/>
        </w:rPr>
        <w:t xml:space="preserve"> </w:t>
      </w:r>
    </w:p>
    <w:p w14:paraId="58DF3E58" w14:textId="77777777" w:rsidR="009500C0" w:rsidRPr="00E14983" w:rsidRDefault="009500C0" w:rsidP="009500C0">
      <w:pPr>
        <w:numPr>
          <w:ilvl w:val="0"/>
          <w:numId w:val="21"/>
        </w:numPr>
        <w:tabs>
          <w:tab w:val="clear" w:pos="432"/>
          <w:tab w:val="num" w:pos="567"/>
        </w:tabs>
        <w:spacing w:after="0" w:line="240" w:lineRule="auto"/>
        <w:ind w:hanging="432"/>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Jeigu Jūs gydomas Irinotecan Accord ir cetuksimabo deriniu, paprastai Jums bus skiriama tokia pati irinotekano dozė, kokia buvo vartojama paskutinių ciklų prieš irinotekano režimą, metu. Irinotecan Accord negalima leisti anksčiau, negu po 1 val. po cetuksimabo infuzijos pabaigos. </w:t>
      </w:r>
    </w:p>
    <w:p w14:paraId="07679D26" w14:textId="77777777" w:rsidR="009500C0" w:rsidRPr="00E14983" w:rsidRDefault="009500C0" w:rsidP="009500C0">
      <w:pPr>
        <w:spacing w:after="0" w:line="240" w:lineRule="auto"/>
        <w:ind w:left="72"/>
        <w:rPr>
          <w:rFonts w:ascii="Times New Roman" w:eastAsia="Times New Roman" w:hAnsi="Times New Roman" w:cs="Times New Roman"/>
          <w:color w:val="000000"/>
          <w:lang w:val="lt-LT"/>
        </w:rPr>
      </w:pPr>
    </w:p>
    <w:p w14:paraId="2D0472D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Šių vaistų dozes nustato gydytojas, priklausomai nuo jūsų būklės ir patiriamo šalutinio poveikio.</w:t>
      </w:r>
    </w:p>
    <w:p w14:paraId="1EB6E9F1"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b/>
          <w:color w:val="000000"/>
          <w:lang w:val="lt-LT"/>
        </w:rPr>
      </w:pPr>
    </w:p>
    <w:p w14:paraId="6A3986BC" w14:textId="268C6D0C" w:rsidR="009500C0" w:rsidRPr="00E14983" w:rsidRDefault="009500C0" w:rsidP="00ED157C">
      <w:pPr>
        <w:keepNext/>
        <w:autoSpaceDE w:val="0"/>
        <w:autoSpaceDN w:val="0"/>
        <w:adjustRightIn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 xml:space="preserve">Ką daryti pavartojus per didelę Irinotecan Accord dozę </w:t>
      </w:r>
    </w:p>
    <w:p w14:paraId="3BF2BF60" w14:textId="62DA25FF" w:rsidR="009500C0" w:rsidRPr="00E14983" w:rsidRDefault="009500C0" w:rsidP="00ED157C">
      <w:pPr>
        <w:keepNext/>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Mažai tikėtina, kad Jums bus sulašinta per didelė Irinotecan Accord dozė. Tačiau jeigu taip nutiktų, Jums gali pasireikšti sunkūs kraujo sutrikimai ir viduriavimas. Jums bus skirta maksimali palaikomoji priežiūra, siekiant išvengti viduriavimo sukeltos dehidra</w:t>
      </w:r>
      <w:r w:rsidR="00D30265" w:rsidRPr="00E14983">
        <w:rPr>
          <w:rFonts w:ascii="Times New Roman" w:eastAsia="Times New Roman" w:hAnsi="Times New Roman" w:cs="Times New Roman"/>
          <w:color w:val="000000"/>
          <w:lang w:val="lt-LT"/>
        </w:rPr>
        <w:t>ta</w:t>
      </w:r>
      <w:r w:rsidRPr="00E14983">
        <w:rPr>
          <w:rFonts w:ascii="Times New Roman" w:eastAsia="Times New Roman" w:hAnsi="Times New Roman" w:cs="Times New Roman"/>
          <w:color w:val="000000"/>
          <w:lang w:val="lt-LT"/>
        </w:rPr>
        <w:t>cijos ir gydyti bet kokias infekcines komplikacijas. Jeigu manote, kad Jums buvo sulašinta per didelė dozė, kreipkitės į vaisto skyrusį gydytoją.</w:t>
      </w:r>
    </w:p>
    <w:p w14:paraId="6AA4A0FC"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b/>
          <w:color w:val="000000"/>
          <w:lang w:val="lt-LT"/>
        </w:rPr>
      </w:pPr>
    </w:p>
    <w:p w14:paraId="48C0DEF4"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Jeigu praleidote Irinotecan Accord dozę</w:t>
      </w:r>
    </w:p>
    <w:p w14:paraId="2A3616B3"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Labai svarbu, kad būtų sulašintos visos numatytos dozės. Jeigu praleidote dozę, nedelsdami kreipkitės į gydytoją</w:t>
      </w:r>
    </w:p>
    <w:p w14:paraId="7811A59E" w14:textId="77777777" w:rsidR="009500C0" w:rsidRPr="00E14983" w:rsidRDefault="009500C0" w:rsidP="009500C0">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80BA15F" w14:textId="77777777" w:rsidR="009500C0" w:rsidRPr="00E14983" w:rsidRDefault="009500C0" w:rsidP="009500C0">
      <w:pPr>
        <w:widowControl w:val="0"/>
        <w:shd w:val="clear" w:color="auto" w:fill="FFFFFF"/>
        <w:tabs>
          <w:tab w:val="left" w:pos="178"/>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513AA6D5" w14:textId="77777777" w:rsidR="009500C0" w:rsidRPr="00E14983" w:rsidRDefault="009500C0" w:rsidP="009500C0">
      <w:pPr>
        <w:keepNext/>
        <w:keepLines/>
        <w:tabs>
          <w:tab w:val="left" w:pos="567"/>
        </w:tabs>
        <w:spacing w:after="0" w:line="240" w:lineRule="auto"/>
        <w:outlineLvl w:val="2"/>
        <w:rPr>
          <w:rFonts w:ascii="Times New Roman" w:eastAsia="Times New Roman" w:hAnsi="Times New Roman" w:cs="Times New Roman"/>
          <w:b/>
          <w:bCs/>
          <w:snapToGrid w:val="0"/>
          <w:lang w:val="lt-LT"/>
        </w:rPr>
      </w:pPr>
      <w:r w:rsidRPr="00E14983">
        <w:rPr>
          <w:rFonts w:ascii="Times New Roman" w:eastAsia="Times New Roman" w:hAnsi="Times New Roman" w:cs="Times New Roman"/>
          <w:b/>
          <w:bCs/>
          <w:snapToGrid w:val="0"/>
          <w:lang w:val="lt-LT"/>
        </w:rPr>
        <w:t>4.</w:t>
      </w:r>
      <w:r w:rsidRPr="00E14983">
        <w:rPr>
          <w:rFonts w:ascii="Times New Roman" w:eastAsia="Times New Roman" w:hAnsi="Times New Roman" w:cs="Times New Roman"/>
          <w:b/>
          <w:bCs/>
          <w:snapToGrid w:val="0"/>
          <w:lang w:val="lt-LT"/>
        </w:rPr>
        <w:tab/>
        <w:t>Galimas šalutinis poveikis</w:t>
      </w:r>
    </w:p>
    <w:p w14:paraId="521F13B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p>
    <w:p w14:paraId="0D453C1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Šis vaistas, kaip ir visi kiti, gali sukelti šalutinį poveikį, nors jis pasireiškia ne visiems žmonėms. </w:t>
      </w:r>
    </w:p>
    <w:p w14:paraId="341FE114"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Gydytojas Jus supažindins su šalutiniu poveikiu ir paaiškins gydymo šiuo vaistu riziką ir naudą. Kai kurie šalutiniai poveikiai turi būti gydomi nedelsiant. </w:t>
      </w:r>
    </w:p>
    <w:p w14:paraId="460A8D1D" w14:textId="26EF91B4" w:rsidR="009500C0" w:rsidRPr="00E14983" w:rsidRDefault="009500C0" w:rsidP="009500C0">
      <w:pPr>
        <w:tabs>
          <w:tab w:val="left" w:pos="270"/>
        </w:tabs>
        <w:autoSpaceDE w:val="0"/>
        <w:autoSpaceDN w:val="0"/>
        <w:adjustRightInd w:val="0"/>
        <w:spacing w:after="0" w:line="240" w:lineRule="auto"/>
        <w:jc w:val="both"/>
        <w:rPr>
          <w:rFonts w:ascii="Times New Roman" w:eastAsia="Times New Roman" w:hAnsi="Times New Roman" w:cs="Times New Roman"/>
          <w:b/>
          <w:color w:val="000000"/>
          <w:lang w:val="lt-LT"/>
        </w:rPr>
      </w:pPr>
      <w:r w:rsidRPr="00E14983">
        <w:rPr>
          <w:rFonts w:ascii="Times New Roman" w:eastAsia="Times New Roman" w:hAnsi="Times New Roman" w:cs="Times New Roman"/>
          <w:color w:val="000000"/>
          <w:lang w:val="lt-LT"/>
        </w:rPr>
        <w:t xml:space="preserve">Taip pat žr. poskyrį </w:t>
      </w:r>
      <w:r w:rsidRPr="00E14983">
        <w:rPr>
          <w:rFonts w:ascii="Times New Roman" w:eastAsia="Times New Roman" w:hAnsi="Times New Roman" w:cs="Times New Roman"/>
          <w:b/>
          <w:color w:val="000000"/>
          <w:lang w:val="lt-LT"/>
        </w:rPr>
        <w:t>„Įspėjimai ir atsargumo priemonės“.</w:t>
      </w:r>
    </w:p>
    <w:p w14:paraId="1DD46B00" w14:textId="77777777" w:rsidR="009500C0" w:rsidRPr="00E14983" w:rsidRDefault="009500C0" w:rsidP="009500C0">
      <w:pPr>
        <w:tabs>
          <w:tab w:val="left" w:pos="270"/>
        </w:tabs>
        <w:autoSpaceDE w:val="0"/>
        <w:autoSpaceDN w:val="0"/>
        <w:adjustRightInd w:val="0"/>
        <w:spacing w:after="0" w:line="240" w:lineRule="auto"/>
        <w:jc w:val="both"/>
        <w:rPr>
          <w:rFonts w:ascii="Times New Roman" w:eastAsia="Times New Roman" w:hAnsi="Times New Roman" w:cs="Times New Roman"/>
          <w:color w:val="000000"/>
          <w:lang w:val="lt-LT"/>
        </w:rPr>
      </w:pPr>
    </w:p>
    <w:p w14:paraId="7919B431" w14:textId="77777777" w:rsidR="009500C0" w:rsidRPr="00E14983" w:rsidRDefault="009500C0" w:rsidP="004B4AAA">
      <w:pPr>
        <w:tabs>
          <w:tab w:val="left" w:pos="270"/>
        </w:tabs>
        <w:autoSpaceDE w:val="0"/>
        <w:autoSpaceDN w:val="0"/>
        <w:adjustRightIn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Jeigu po vaisto pavartojimo pasireiškia bet kuris toliau išvardytas šalutinis poveikis, nedelsdami pasakykite gydytojui. Jeigu tuo metu esate ne ligoninėje, PRIVALOTE VYKTI į ją kuo greičiau. </w:t>
      </w:r>
    </w:p>
    <w:p w14:paraId="6A22A9CB" w14:textId="4FB56CE6" w:rsidR="009500C0" w:rsidRPr="00E14983" w:rsidRDefault="009500C0" w:rsidP="00B22D7E">
      <w:pPr>
        <w:pStyle w:val="Sraopastraipa"/>
        <w:numPr>
          <w:ilvl w:val="0"/>
          <w:numId w:val="41"/>
        </w:numPr>
        <w:tabs>
          <w:tab w:val="left" w:pos="567"/>
        </w:tabs>
        <w:ind w:left="567" w:hanging="567"/>
        <w:rPr>
          <w:color w:val="000000"/>
          <w:sz w:val="22"/>
          <w:szCs w:val="22"/>
          <w:lang w:val="lt-LT"/>
        </w:rPr>
      </w:pPr>
      <w:r w:rsidRPr="00E14983">
        <w:rPr>
          <w:color w:val="000000"/>
          <w:sz w:val="22"/>
          <w:szCs w:val="22"/>
          <w:lang w:val="lt-LT"/>
        </w:rPr>
        <w:t>Alerginė</w:t>
      </w:r>
      <w:r w:rsidR="003B6728" w:rsidRPr="00E14983">
        <w:rPr>
          <w:color w:val="000000"/>
          <w:sz w:val="22"/>
          <w:szCs w:val="22"/>
          <w:lang w:val="lt-LT"/>
        </w:rPr>
        <w:t>s</w:t>
      </w:r>
      <w:r w:rsidRPr="00E14983">
        <w:rPr>
          <w:color w:val="000000"/>
          <w:sz w:val="22"/>
          <w:szCs w:val="22"/>
          <w:lang w:val="lt-LT"/>
        </w:rPr>
        <w:t xml:space="preserve"> reakcijos. Nedelsdami kreipkitės į gydytoją arba slaugytoją, jeigu pasireiškia švokštimas, patinimas, išbėrimas arba </w:t>
      </w:r>
      <w:r w:rsidR="002D41D8" w:rsidRPr="00E14983">
        <w:rPr>
          <w:color w:val="000000"/>
          <w:sz w:val="22"/>
          <w:szCs w:val="22"/>
          <w:lang w:val="lt-LT"/>
        </w:rPr>
        <w:t xml:space="preserve">niežėjimas </w:t>
      </w:r>
      <w:r w:rsidRPr="00E14983">
        <w:rPr>
          <w:color w:val="000000"/>
          <w:sz w:val="22"/>
          <w:szCs w:val="22"/>
          <w:lang w:val="lt-LT"/>
        </w:rPr>
        <w:t>(ypač jeigu apima visą kūną).</w:t>
      </w:r>
    </w:p>
    <w:p w14:paraId="4ED8C376" w14:textId="77777777" w:rsidR="009500C0" w:rsidRPr="00E14983" w:rsidRDefault="009500C0" w:rsidP="00B22D7E">
      <w:pPr>
        <w:pStyle w:val="Sraopastraipa"/>
        <w:numPr>
          <w:ilvl w:val="0"/>
          <w:numId w:val="41"/>
        </w:numPr>
        <w:tabs>
          <w:tab w:val="left" w:pos="567"/>
        </w:tabs>
        <w:ind w:left="567" w:hanging="567"/>
        <w:rPr>
          <w:color w:val="000000"/>
          <w:sz w:val="22"/>
          <w:szCs w:val="22"/>
          <w:lang w:val="lt-LT"/>
        </w:rPr>
      </w:pPr>
      <w:r w:rsidRPr="00E14983">
        <w:rPr>
          <w:color w:val="000000"/>
          <w:sz w:val="22"/>
          <w:szCs w:val="22"/>
          <w:lang w:val="lt-LT"/>
        </w:rPr>
        <w:t>Sunkios alerginės reakcijos (anafilaksinės ir anafilaktoidinės reakcijos) dažniausiai gali pasireikšti praėjus kelioms minutėms po vaisto injekcijos: odos paraudimas, įskaitant odos paraudimą su niežėjimu, plaštakų, pėdų, kulkšnių, veido, lūpų, burnos arba gerklės patinimą (galintį sutrikdyti rijimą ir labai pasunkinti kvėpavimą), Jums gali atrodyti, kad tuoj nualpsite.</w:t>
      </w:r>
    </w:p>
    <w:p w14:paraId="741E7E6C" w14:textId="377EE41A" w:rsidR="009A383F" w:rsidRPr="00E14983" w:rsidRDefault="009A383F" w:rsidP="009A383F">
      <w:pPr>
        <w:pStyle w:val="Sraopastraipa"/>
        <w:numPr>
          <w:ilvl w:val="0"/>
          <w:numId w:val="41"/>
        </w:numPr>
        <w:tabs>
          <w:tab w:val="left" w:pos="567"/>
        </w:tabs>
        <w:ind w:left="567" w:hanging="567"/>
        <w:jc w:val="both"/>
        <w:rPr>
          <w:color w:val="000000"/>
          <w:sz w:val="22"/>
          <w:szCs w:val="22"/>
          <w:lang w:val="lt-LT"/>
        </w:rPr>
      </w:pPr>
      <w:r w:rsidRPr="00E14983">
        <w:rPr>
          <w:color w:val="000000"/>
          <w:sz w:val="22"/>
          <w:szCs w:val="22"/>
          <w:lang w:val="lt-LT"/>
        </w:rPr>
        <w:t xml:space="preserve">Viduriavimas (žr. 2 </w:t>
      </w:r>
      <w:r w:rsidR="008B7FBB" w:rsidRPr="00E14983">
        <w:rPr>
          <w:color w:val="000000"/>
          <w:sz w:val="22"/>
          <w:szCs w:val="22"/>
          <w:lang w:val="lt-LT"/>
        </w:rPr>
        <w:t>skyrių</w:t>
      </w:r>
      <w:r w:rsidRPr="00E14983">
        <w:rPr>
          <w:color w:val="000000"/>
          <w:sz w:val="22"/>
          <w:szCs w:val="22"/>
          <w:lang w:val="lt-LT"/>
        </w:rPr>
        <w:t>).</w:t>
      </w:r>
    </w:p>
    <w:p w14:paraId="50E4F237" w14:textId="28264262" w:rsidR="009A383F" w:rsidRPr="00E14983" w:rsidRDefault="009A383F" w:rsidP="00DD3E4C">
      <w:pPr>
        <w:pStyle w:val="Sraopastraipa"/>
        <w:numPr>
          <w:ilvl w:val="0"/>
          <w:numId w:val="41"/>
        </w:numPr>
        <w:tabs>
          <w:tab w:val="left" w:pos="567"/>
        </w:tabs>
        <w:ind w:left="567" w:hanging="567"/>
        <w:rPr>
          <w:color w:val="000000"/>
          <w:lang w:val="lt-LT"/>
        </w:rPr>
      </w:pPr>
      <w:r w:rsidRPr="00E14983">
        <w:rPr>
          <w:color w:val="000000"/>
          <w:sz w:val="22"/>
          <w:szCs w:val="22"/>
          <w:lang w:val="lt-LT"/>
        </w:rPr>
        <w:t xml:space="preserve">Ankstyvasis viduriavimas: pasireiškia per 24 valandas nuo šio vaisto </w:t>
      </w:r>
      <w:r w:rsidR="008B7FBB" w:rsidRPr="00E14983">
        <w:rPr>
          <w:color w:val="000000"/>
          <w:sz w:val="22"/>
          <w:szCs w:val="22"/>
          <w:lang w:val="lt-LT"/>
        </w:rPr>
        <w:t>suleidimo</w:t>
      </w:r>
      <w:r w:rsidRPr="00E14983">
        <w:rPr>
          <w:color w:val="000000"/>
          <w:sz w:val="22"/>
          <w:szCs w:val="22"/>
          <w:lang w:val="lt-LT"/>
        </w:rPr>
        <w:t xml:space="preserve">, kurį lydi tokie simptomai kaip </w:t>
      </w:r>
      <w:r w:rsidR="008B7FBB" w:rsidRPr="00E14983">
        <w:rPr>
          <w:color w:val="000000"/>
          <w:sz w:val="22"/>
          <w:szCs w:val="22"/>
          <w:lang w:val="lt-LT"/>
        </w:rPr>
        <w:t>sloga</w:t>
      </w:r>
      <w:r w:rsidRPr="00E14983">
        <w:rPr>
          <w:color w:val="000000"/>
          <w:sz w:val="22"/>
          <w:szCs w:val="22"/>
          <w:lang w:val="lt-LT"/>
        </w:rPr>
        <w:t xml:space="preserve">, padidėjęs seilėtekis ir ašarojimas, prakaitavimas, paraudimas, pilvo spazmai. (Tai gali nutikti vaisto leidimo metu. Jeigu taip nutinka, nedelsdami įspėkite sveikatos priežiūros specialistą. Jums gali būti duota vaistų, skirtų sustabdyti ir (arba) susilpninti šią ankstyvąją nepageidaujamą reakciją). </w:t>
      </w:r>
    </w:p>
    <w:p w14:paraId="7A2D00EB" w14:textId="1940A0EC" w:rsidR="009A383F" w:rsidRPr="00E14983" w:rsidRDefault="009A383F" w:rsidP="00DD3E4C">
      <w:pPr>
        <w:pStyle w:val="Sraopastraipa"/>
        <w:numPr>
          <w:ilvl w:val="0"/>
          <w:numId w:val="41"/>
        </w:numPr>
        <w:tabs>
          <w:tab w:val="left" w:pos="567"/>
        </w:tabs>
        <w:ind w:left="567" w:hanging="567"/>
        <w:rPr>
          <w:color w:val="000000"/>
          <w:lang w:val="lt-LT"/>
        </w:rPr>
      </w:pPr>
      <w:r w:rsidRPr="00E14983">
        <w:rPr>
          <w:color w:val="000000"/>
          <w:sz w:val="22"/>
          <w:szCs w:val="22"/>
          <w:lang w:val="lt-LT"/>
        </w:rPr>
        <w:t xml:space="preserve">Vėlyvasis viduriavimas: pasireiškia praėjus daugiau kaip 24 valandoms nuo šio vaisto </w:t>
      </w:r>
      <w:r w:rsidR="008B7FBB" w:rsidRPr="00E14983">
        <w:rPr>
          <w:color w:val="000000"/>
          <w:sz w:val="22"/>
          <w:szCs w:val="22"/>
          <w:lang w:val="lt-LT"/>
        </w:rPr>
        <w:t>suleidimo</w:t>
      </w:r>
      <w:r w:rsidRPr="00E14983">
        <w:rPr>
          <w:color w:val="000000"/>
          <w:sz w:val="22"/>
          <w:szCs w:val="22"/>
          <w:lang w:val="lt-LT"/>
        </w:rPr>
        <w:t>. Dėl viduriavimo sukeliamos dehidra</w:t>
      </w:r>
      <w:r w:rsidR="008B7FBB" w:rsidRPr="00E14983">
        <w:rPr>
          <w:color w:val="000000"/>
          <w:sz w:val="22"/>
          <w:szCs w:val="22"/>
          <w:lang w:val="lt-LT"/>
        </w:rPr>
        <w:t>ta</w:t>
      </w:r>
      <w:r w:rsidRPr="00E14983">
        <w:rPr>
          <w:color w:val="000000"/>
          <w:sz w:val="22"/>
          <w:szCs w:val="22"/>
          <w:lang w:val="lt-LT"/>
        </w:rPr>
        <w:t xml:space="preserve">cijos ir elektrolitų disbalanso, svarbu susisiekti su sveikatos priežiūros specialistais, kurie užtikrins stebėjimą ir </w:t>
      </w:r>
      <w:r w:rsidR="008B7FBB" w:rsidRPr="00E14983">
        <w:rPr>
          <w:color w:val="000000"/>
          <w:sz w:val="22"/>
          <w:szCs w:val="22"/>
          <w:lang w:val="lt-LT"/>
        </w:rPr>
        <w:t xml:space="preserve">paskirs </w:t>
      </w:r>
      <w:r w:rsidRPr="00E14983">
        <w:rPr>
          <w:color w:val="000000"/>
          <w:sz w:val="22"/>
          <w:szCs w:val="22"/>
          <w:lang w:val="lt-LT"/>
        </w:rPr>
        <w:t xml:space="preserve">kitų vaistų bei </w:t>
      </w:r>
      <w:r w:rsidR="008B7FBB" w:rsidRPr="00E14983">
        <w:rPr>
          <w:color w:val="000000"/>
          <w:sz w:val="22"/>
          <w:szCs w:val="22"/>
          <w:lang w:val="lt-LT"/>
        </w:rPr>
        <w:t xml:space="preserve">suteiks </w:t>
      </w:r>
      <w:r w:rsidRPr="00E14983">
        <w:rPr>
          <w:color w:val="000000"/>
          <w:sz w:val="22"/>
          <w:szCs w:val="22"/>
          <w:lang w:val="lt-LT"/>
        </w:rPr>
        <w:t>patarimų mitybos keitimo klausim</w:t>
      </w:r>
      <w:r w:rsidR="00CA66ED" w:rsidRPr="00E14983">
        <w:rPr>
          <w:color w:val="000000"/>
          <w:sz w:val="22"/>
          <w:szCs w:val="22"/>
          <w:lang w:val="lt-LT"/>
        </w:rPr>
        <w:t>ais</w:t>
      </w:r>
      <w:r w:rsidRPr="00E14983">
        <w:rPr>
          <w:color w:val="000000"/>
          <w:sz w:val="22"/>
          <w:szCs w:val="22"/>
          <w:lang w:val="lt-LT"/>
        </w:rPr>
        <w:t xml:space="preserve">. </w:t>
      </w:r>
    </w:p>
    <w:p w14:paraId="6CCF633A" w14:textId="77777777" w:rsidR="009500C0" w:rsidRPr="00E14983" w:rsidRDefault="009500C0" w:rsidP="009500C0">
      <w:pPr>
        <w:autoSpaceDE w:val="0"/>
        <w:autoSpaceDN w:val="0"/>
        <w:adjustRightInd w:val="0"/>
        <w:spacing w:after="0" w:line="240" w:lineRule="auto"/>
        <w:jc w:val="both"/>
        <w:rPr>
          <w:rFonts w:ascii="Times New Roman" w:eastAsia="Times New Roman" w:hAnsi="Times New Roman" w:cs="Times New Roman"/>
          <w:b/>
          <w:color w:val="000000"/>
          <w:lang w:val="lt-LT"/>
        </w:rPr>
      </w:pPr>
    </w:p>
    <w:p w14:paraId="6B1E8E58" w14:textId="36EEB953" w:rsidR="009500C0" w:rsidRPr="00E14983" w:rsidRDefault="009500C0" w:rsidP="009500C0">
      <w:pPr>
        <w:tabs>
          <w:tab w:val="left" w:pos="0"/>
        </w:tabs>
        <w:autoSpaceDE w:val="0"/>
        <w:autoSpaceDN w:val="0"/>
        <w:adjustRightInd w:val="0"/>
        <w:spacing w:after="0" w:line="240" w:lineRule="auto"/>
        <w:jc w:val="both"/>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 xml:space="preserve">Labai </w:t>
      </w:r>
      <w:r w:rsidR="00D2234E" w:rsidRPr="00E14983">
        <w:rPr>
          <w:rFonts w:ascii="Times New Roman" w:eastAsia="Times New Roman" w:hAnsi="Times New Roman" w:cs="Times New Roman"/>
          <w:b/>
          <w:i/>
          <w:color w:val="000000"/>
          <w:lang w:val="lt-LT"/>
        </w:rPr>
        <w:t xml:space="preserve">dažni šalutinio poveikio reiškiniai </w:t>
      </w:r>
      <w:r w:rsidRPr="00E14983">
        <w:rPr>
          <w:rFonts w:ascii="Times New Roman" w:eastAsia="Times New Roman" w:hAnsi="Times New Roman" w:cs="Times New Roman"/>
          <w:b/>
          <w:i/>
          <w:color w:val="000000"/>
          <w:lang w:val="lt-LT"/>
        </w:rPr>
        <w:t xml:space="preserve">(gali pasireikšti </w:t>
      </w:r>
      <w:r w:rsidR="00D2234E" w:rsidRPr="00E14983">
        <w:rPr>
          <w:rFonts w:ascii="Times New Roman" w:eastAsia="Times New Roman" w:hAnsi="Times New Roman" w:cs="Times New Roman"/>
          <w:b/>
          <w:i/>
          <w:color w:val="000000"/>
          <w:lang w:val="lt-LT"/>
        </w:rPr>
        <w:t xml:space="preserve">ne rečiau </w:t>
      </w:r>
      <w:r w:rsidRPr="00E14983">
        <w:rPr>
          <w:rFonts w:ascii="Times New Roman" w:eastAsia="Times New Roman" w:hAnsi="Times New Roman" w:cs="Times New Roman"/>
          <w:b/>
          <w:i/>
          <w:color w:val="000000"/>
          <w:lang w:val="lt-LT"/>
        </w:rPr>
        <w:t>kaip 1 iš 10</w:t>
      </w:r>
      <w:r w:rsidR="00D2234E" w:rsidRPr="00E14983">
        <w:rPr>
          <w:rFonts w:ascii="Times New Roman" w:eastAsia="Times New Roman" w:hAnsi="Times New Roman" w:cs="Times New Roman"/>
          <w:b/>
          <w:i/>
          <w:color w:val="000000"/>
          <w:lang w:val="lt-LT"/>
        </w:rPr>
        <w:t xml:space="preserve"> asmenų</w:t>
      </w:r>
      <w:r w:rsidRPr="00E14983">
        <w:rPr>
          <w:rFonts w:ascii="Times New Roman" w:eastAsia="Times New Roman" w:hAnsi="Times New Roman" w:cs="Times New Roman"/>
          <w:b/>
          <w:i/>
          <w:color w:val="000000"/>
          <w:lang w:val="lt-LT"/>
        </w:rPr>
        <w:t>)</w:t>
      </w:r>
    </w:p>
    <w:p w14:paraId="0E47C3ED" w14:textId="0B2A16A5" w:rsidR="009500C0" w:rsidRPr="00E14983" w:rsidRDefault="009500C0" w:rsidP="00DD3E4C">
      <w:pPr>
        <w:numPr>
          <w:ilvl w:val="0"/>
          <w:numId w:val="26"/>
        </w:numPr>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Kraujo </w:t>
      </w:r>
      <w:r w:rsidR="00E00DF6" w:rsidRPr="00E14983">
        <w:rPr>
          <w:rFonts w:ascii="Times New Roman" w:eastAsia="Times New Roman" w:hAnsi="Times New Roman" w:cs="Times New Roman"/>
          <w:color w:val="000000"/>
          <w:lang w:val="lt-LT"/>
        </w:rPr>
        <w:t xml:space="preserve">sistemos </w:t>
      </w:r>
      <w:r w:rsidRPr="00E14983">
        <w:rPr>
          <w:rFonts w:ascii="Times New Roman" w:eastAsia="Times New Roman" w:hAnsi="Times New Roman" w:cs="Times New Roman"/>
          <w:color w:val="000000"/>
          <w:lang w:val="lt-LT"/>
        </w:rPr>
        <w:t>sutrikimai: neutropenija (tam tikrų baltųjų kraujo ląstelių sumažėjimas), trombocitopenija (trombocitų kiekio sumažėjimas kraujyje), anemija.</w:t>
      </w:r>
    </w:p>
    <w:p w14:paraId="72341B9C" w14:textId="77777777" w:rsidR="009500C0" w:rsidRPr="00E14983" w:rsidRDefault="009500C0" w:rsidP="009500C0">
      <w:pPr>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Vėlyvasis viduriavimas.</w:t>
      </w:r>
    </w:p>
    <w:p w14:paraId="54141892" w14:textId="77777777" w:rsidR="009500C0" w:rsidRPr="00E14983" w:rsidRDefault="009500C0" w:rsidP="009500C0">
      <w:pPr>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Pykinimas ir vėmimas.</w:t>
      </w:r>
    </w:p>
    <w:p w14:paraId="21FF7E45" w14:textId="77777777" w:rsidR="009500C0" w:rsidRPr="00E14983" w:rsidRDefault="009500C0" w:rsidP="009500C0">
      <w:pPr>
        <w:pStyle w:val="Sraopastraipa"/>
        <w:numPr>
          <w:ilvl w:val="0"/>
          <w:numId w:val="26"/>
        </w:numPr>
        <w:ind w:left="567" w:hanging="567"/>
        <w:rPr>
          <w:color w:val="000000"/>
          <w:sz w:val="22"/>
          <w:szCs w:val="22"/>
          <w:lang w:val="lt-LT"/>
        </w:rPr>
      </w:pPr>
      <w:r w:rsidRPr="00E14983">
        <w:rPr>
          <w:color w:val="000000"/>
          <w:sz w:val="22"/>
          <w:szCs w:val="22"/>
          <w:lang w:val="lt-LT"/>
        </w:rPr>
        <w:t>Plaukų slinkimas (baigus gydymą plaukai atauga).</w:t>
      </w:r>
    </w:p>
    <w:p w14:paraId="619BDFC0" w14:textId="77777777" w:rsidR="009500C0" w:rsidRPr="00E14983" w:rsidRDefault="009500C0" w:rsidP="009500C0">
      <w:pPr>
        <w:numPr>
          <w:ilvl w:val="0"/>
          <w:numId w:val="26"/>
        </w:numPr>
        <w:autoSpaceDE w:val="0"/>
        <w:autoSpaceDN w:val="0"/>
        <w:adjustRightInd w:val="0"/>
        <w:spacing w:after="0" w:line="240" w:lineRule="auto"/>
        <w:ind w:left="567"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Taikant kombinuotąjį gydymą laikinai padidėja kepenų fermentų arba bilirubino kiekio serume padidėjimas.</w:t>
      </w:r>
    </w:p>
    <w:p w14:paraId="33E3BBEA" w14:textId="77777777" w:rsidR="009500C0" w:rsidRPr="00E14983" w:rsidRDefault="009500C0" w:rsidP="009500C0">
      <w:pPr>
        <w:autoSpaceDE w:val="0"/>
        <w:autoSpaceDN w:val="0"/>
        <w:adjustRightInd w:val="0"/>
        <w:spacing w:after="0" w:line="240" w:lineRule="auto"/>
        <w:ind w:left="720"/>
        <w:jc w:val="both"/>
        <w:rPr>
          <w:rFonts w:ascii="Times New Roman" w:eastAsia="Times New Roman" w:hAnsi="Times New Roman" w:cs="Times New Roman"/>
          <w:color w:val="000000"/>
          <w:lang w:val="lt-LT"/>
        </w:rPr>
      </w:pPr>
    </w:p>
    <w:p w14:paraId="42ACE0D1" w14:textId="5A202B5A" w:rsidR="009500C0" w:rsidRPr="00E14983" w:rsidRDefault="009500C0" w:rsidP="00C96B3D">
      <w:pPr>
        <w:keepNext/>
        <w:tabs>
          <w:tab w:val="left" w:pos="-2400"/>
        </w:tabs>
        <w:autoSpaceDE w:val="0"/>
        <w:autoSpaceDN w:val="0"/>
        <w:adjustRightInd w:val="0"/>
        <w:spacing w:after="0" w:line="240" w:lineRule="auto"/>
        <w:ind w:left="-142"/>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Dažn</w:t>
      </w:r>
      <w:r w:rsidR="00D2234E" w:rsidRPr="00E14983">
        <w:rPr>
          <w:rFonts w:ascii="Times New Roman" w:eastAsia="Times New Roman" w:hAnsi="Times New Roman" w:cs="Times New Roman"/>
          <w:b/>
          <w:i/>
          <w:color w:val="000000"/>
          <w:lang w:val="lt-LT"/>
        </w:rPr>
        <w:t xml:space="preserve">i šalutinio poveikio reiškiniai </w:t>
      </w:r>
      <w:r w:rsidRPr="00E14983">
        <w:rPr>
          <w:rFonts w:ascii="Times New Roman" w:eastAsia="Times New Roman" w:hAnsi="Times New Roman" w:cs="Times New Roman"/>
          <w:b/>
          <w:i/>
          <w:color w:val="000000"/>
          <w:lang w:val="lt-LT"/>
        </w:rPr>
        <w:t xml:space="preserve">(gali pasireikšti </w:t>
      </w:r>
      <w:r w:rsidR="002D41D8" w:rsidRPr="00E14983">
        <w:rPr>
          <w:rFonts w:ascii="Times New Roman" w:eastAsia="Times New Roman" w:hAnsi="Times New Roman" w:cs="Times New Roman"/>
          <w:b/>
          <w:i/>
          <w:color w:val="000000"/>
          <w:lang w:val="lt-LT"/>
        </w:rPr>
        <w:t xml:space="preserve">rečiau </w:t>
      </w:r>
      <w:r w:rsidRPr="00E14983">
        <w:rPr>
          <w:rFonts w:ascii="Times New Roman" w:eastAsia="Times New Roman" w:hAnsi="Times New Roman" w:cs="Times New Roman"/>
          <w:b/>
          <w:i/>
          <w:color w:val="000000"/>
          <w:lang w:val="lt-LT"/>
        </w:rPr>
        <w:t>kaip 1 iš 10</w:t>
      </w:r>
      <w:r w:rsidR="00D2234E" w:rsidRPr="00E14983">
        <w:rPr>
          <w:rFonts w:ascii="Times New Roman" w:eastAsia="Times New Roman" w:hAnsi="Times New Roman" w:cs="Times New Roman"/>
          <w:b/>
          <w:i/>
          <w:color w:val="000000"/>
          <w:lang w:val="lt-LT"/>
        </w:rPr>
        <w:t xml:space="preserve"> asmenų</w:t>
      </w:r>
      <w:r w:rsidRPr="00E14983">
        <w:rPr>
          <w:rFonts w:ascii="Times New Roman" w:eastAsia="Times New Roman" w:hAnsi="Times New Roman" w:cs="Times New Roman"/>
          <w:b/>
          <w:i/>
          <w:color w:val="000000"/>
          <w:lang w:val="lt-LT"/>
        </w:rPr>
        <w:t>)</w:t>
      </w:r>
    </w:p>
    <w:p w14:paraId="7D397F79" w14:textId="77777777" w:rsidR="009500C0" w:rsidRPr="00E14983" w:rsidRDefault="009500C0" w:rsidP="00C96B3D">
      <w:pPr>
        <w:keepNext/>
        <w:numPr>
          <w:ilvl w:val="0"/>
          <w:numId w:val="27"/>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Ūminis cholinerginis sindromas. Pagrindiniai simptomai yra ankstyvasis viduriavimas ir įvairūs kitokie simptomai, pvz., pilvo skausmas; akių paraudimas, skausmas, niežėjimas ar ašarojimas (akies junginės uždegimas); nosies bėgimas (nosies gleivinės uždegimas); mažas kraujospūdis; kraujagyslių išsiplėtimas; prakaitavimas; šaltkrėtis; bloga bendroji savijauta ir negalavimas; </w:t>
      </w:r>
      <w:r w:rsidRPr="00E14983">
        <w:rPr>
          <w:rFonts w:ascii="Times New Roman" w:eastAsia="Times New Roman" w:hAnsi="Times New Roman" w:cs="Times New Roman"/>
          <w:color w:val="000000"/>
          <w:lang w:val="lt-LT"/>
        </w:rPr>
        <w:lastRenderedPageBreak/>
        <w:t xml:space="preserve">svaigulys; regos sutrikimai; vyzdžių susiaurėjimas; ašarojimas ir seilių išsiskyrimo sustiprėjimas, pasireiškiantis per pirmąsias 24 valandas po </w:t>
      </w:r>
      <w:r w:rsidRPr="00E14983">
        <w:rPr>
          <w:rFonts w:ascii="Times New Roman" w:eastAsia="Times New Roman" w:hAnsi="Times New Roman" w:cs="Times New Roman"/>
          <w:bCs/>
          <w:iCs/>
          <w:lang w:val="lt-LT"/>
        </w:rPr>
        <w:t xml:space="preserve">Irinotecan Accord </w:t>
      </w:r>
      <w:r w:rsidRPr="00E14983">
        <w:rPr>
          <w:rFonts w:ascii="Times New Roman" w:eastAsia="Times New Roman" w:hAnsi="Times New Roman" w:cs="Times New Roman"/>
          <w:color w:val="000000"/>
          <w:lang w:val="lt-LT"/>
        </w:rPr>
        <w:t>infuzijos.</w:t>
      </w:r>
    </w:p>
    <w:p w14:paraId="21DC4516" w14:textId="77777777" w:rsidR="009500C0" w:rsidRPr="00E14983" w:rsidRDefault="009500C0" w:rsidP="009500C0">
      <w:pPr>
        <w:numPr>
          <w:ilvl w:val="0"/>
          <w:numId w:val="27"/>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Karščiavimas, infekcijos (įskaitant sepsį).</w:t>
      </w:r>
    </w:p>
    <w:p w14:paraId="1A5327D9" w14:textId="77777777" w:rsidR="009500C0" w:rsidRPr="00E14983" w:rsidRDefault="009500C0" w:rsidP="009500C0">
      <w:pPr>
        <w:pStyle w:val="Sraopastraipa"/>
        <w:numPr>
          <w:ilvl w:val="0"/>
          <w:numId w:val="27"/>
        </w:numPr>
        <w:tabs>
          <w:tab w:val="clear" w:pos="360"/>
          <w:tab w:val="num" w:pos="567"/>
        </w:tabs>
        <w:ind w:left="567" w:hanging="567"/>
        <w:rPr>
          <w:color w:val="000000"/>
          <w:sz w:val="22"/>
          <w:szCs w:val="22"/>
          <w:lang w:val="lt-LT"/>
        </w:rPr>
      </w:pPr>
      <w:r w:rsidRPr="00E14983">
        <w:rPr>
          <w:color w:val="000000"/>
          <w:sz w:val="22"/>
          <w:szCs w:val="22"/>
          <w:lang w:val="lt-LT"/>
        </w:rPr>
        <w:t>Karščiavimas, susijęs su labai sumažėjusiu baltųjų kraujo ląstelių kiekiu.</w:t>
      </w:r>
    </w:p>
    <w:p w14:paraId="032C74EC" w14:textId="574AAF7D" w:rsidR="009500C0" w:rsidRPr="00E14983" w:rsidRDefault="009500C0" w:rsidP="009500C0">
      <w:pPr>
        <w:pStyle w:val="Sraopastraipa"/>
        <w:numPr>
          <w:ilvl w:val="0"/>
          <w:numId w:val="27"/>
        </w:numPr>
        <w:tabs>
          <w:tab w:val="clear" w:pos="360"/>
          <w:tab w:val="num" w:pos="567"/>
        </w:tabs>
        <w:ind w:left="567" w:hanging="567"/>
        <w:rPr>
          <w:color w:val="000000"/>
          <w:sz w:val="22"/>
          <w:szCs w:val="22"/>
          <w:lang w:val="lt-LT"/>
        </w:rPr>
      </w:pPr>
      <w:r w:rsidRPr="00E14983">
        <w:rPr>
          <w:color w:val="000000"/>
          <w:sz w:val="22"/>
          <w:szCs w:val="22"/>
          <w:lang w:val="lt-LT"/>
        </w:rPr>
        <w:t>Skysčių netekimas (dehidra</w:t>
      </w:r>
      <w:r w:rsidR="00D30265" w:rsidRPr="00E14983">
        <w:rPr>
          <w:color w:val="000000"/>
          <w:sz w:val="22"/>
          <w:szCs w:val="22"/>
          <w:lang w:val="lt-LT"/>
        </w:rPr>
        <w:t>ta</w:t>
      </w:r>
      <w:r w:rsidRPr="00E14983">
        <w:rPr>
          <w:color w:val="000000"/>
          <w:sz w:val="22"/>
          <w:szCs w:val="22"/>
          <w:lang w:val="lt-LT"/>
        </w:rPr>
        <w:t>cija), dažnai susijęs su viduriavimu ir (arba) vėmimu.</w:t>
      </w:r>
    </w:p>
    <w:p w14:paraId="5B8E20FA" w14:textId="77777777" w:rsidR="009500C0" w:rsidRPr="00E14983" w:rsidRDefault="009500C0" w:rsidP="009500C0">
      <w:pPr>
        <w:numPr>
          <w:ilvl w:val="0"/>
          <w:numId w:val="27"/>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Vidurių užkietėjimas.</w:t>
      </w:r>
    </w:p>
    <w:p w14:paraId="76940D35" w14:textId="77777777" w:rsidR="009500C0" w:rsidRPr="00E14983" w:rsidRDefault="009500C0" w:rsidP="009500C0">
      <w:pPr>
        <w:numPr>
          <w:ilvl w:val="0"/>
          <w:numId w:val="27"/>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Nuovargis.</w:t>
      </w:r>
    </w:p>
    <w:p w14:paraId="28CB9ACC" w14:textId="77777777" w:rsidR="009500C0" w:rsidRPr="00E14983" w:rsidRDefault="009500C0" w:rsidP="009500C0">
      <w:pPr>
        <w:numPr>
          <w:ilvl w:val="0"/>
          <w:numId w:val="27"/>
        </w:numPr>
        <w:tabs>
          <w:tab w:val="clear" w:pos="360"/>
          <w:tab w:val="left" w:pos="-240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Padidėjęs kepenų fermentų aktyvumas ir kreatinino kiekis kraujyje.</w:t>
      </w:r>
    </w:p>
    <w:p w14:paraId="25FE575B" w14:textId="77777777" w:rsidR="009500C0" w:rsidRPr="00E14983" w:rsidRDefault="009500C0" w:rsidP="009500C0">
      <w:pPr>
        <w:tabs>
          <w:tab w:val="left" w:pos="-2400"/>
        </w:tabs>
        <w:autoSpaceDE w:val="0"/>
        <w:autoSpaceDN w:val="0"/>
        <w:adjustRightInd w:val="0"/>
        <w:spacing w:after="0" w:line="240" w:lineRule="auto"/>
        <w:ind w:right="-317"/>
        <w:jc w:val="both"/>
        <w:rPr>
          <w:rFonts w:ascii="Times New Roman" w:eastAsia="Times New Roman" w:hAnsi="Times New Roman" w:cs="Times New Roman"/>
          <w:b/>
          <w:bCs/>
          <w:color w:val="000000"/>
          <w:lang w:val="lt-LT"/>
        </w:rPr>
      </w:pPr>
    </w:p>
    <w:p w14:paraId="296A1055" w14:textId="7623A72B" w:rsidR="009500C0" w:rsidRPr="00E14983" w:rsidRDefault="00D2234E" w:rsidP="009500C0">
      <w:pPr>
        <w:tabs>
          <w:tab w:val="left" w:pos="-2400"/>
        </w:tabs>
        <w:autoSpaceDE w:val="0"/>
        <w:autoSpaceDN w:val="0"/>
        <w:adjustRightInd w:val="0"/>
        <w:spacing w:after="0" w:line="240" w:lineRule="auto"/>
        <w:ind w:left="-142"/>
        <w:rPr>
          <w:rFonts w:ascii="Times New Roman" w:eastAsia="Times New Roman" w:hAnsi="Times New Roman" w:cs="Times New Roman"/>
          <w:b/>
          <w:i/>
          <w:color w:val="000000"/>
          <w:lang w:val="lt-LT"/>
        </w:rPr>
      </w:pPr>
      <w:r w:rsidRPr="00E14983">
        <w:rPr>
          <w:rFonts w:ascii="Times New Roman" w:eastAsia="Times New Roman" w:hAnsi="Times New Roman" w:cs="Times New Roman"/>
          <w:b/>
          <w:i/>
          <w:color w:val="000000"/>
          <w:lang w:val="lt-LT"/>
        </w:rPr>
        <w:t xml:space="preserve">Nedažni šalutinio poveikio reiškiniai </w:t>
      </w:r>
      <w:r w:rsidR="009500C0" w:rsidRPr="00E14983">
        <w:rPr>
          <w:rFonts w:ascii="Times New Roman" w:eastAsia="Times New Roman" w:hAnsi="Times New Roman" w:cs="Times New Roman"/>
          <w:b/>
          <w:i/>
          <w:color w:val="000000"/>
          <w:lang w:val="lt-LT"/>
        </w:rPr>
        <w:t xml:space="preserve">(gali pasireikšti </w:t>
      </w:r>
      <w:r w:rsidR="002D41D8" w:rsidRPr="00E14983">
        <w:rPr>
          <w:rFonts w:ascii="Times New Roman" w:eastAsia="Times New Roman" w:hAnsi="Times New Roman" w:cs="Times New Roman"/>
          <w:b/>
          <w:i/>
          <w:color w:val="000000"/>
          <w:lang w:val="lt-LT"/>
        </w:rPr>
        <w:t xml:space="preserve">rečiau </w:t>
      </w:r>
      <w:r w:rsidR="009500C0" w:rsidRPr="00E14983">
        <w:rPr>
          <w:rFonts w:ascii="Times New Roman" w:eastAsia="Times New Roman" w:hAnsi="Times New Roman" w:cs="Times New Roman"/>
          <w:b/>
          <w:i/>
          <w:color w:val="000000"/>
          <w:lang w:val="lt-LT"/>
        </w:rPr>
        <w:t>kaip 1 iš 100</w:t>
      </w:r>
      <w:r w:rsidRPr="00E14983">
        <w:rPr>
          <w:rFonts w:ascii="Times New Roman" w:eastAsia="Times New Roman" w:hAnsi="Times New Roman" w:cs="Times New Roman"/>
          <w:b/>
          <w:i/>
          <w:color w:val="000000"/>
          <w:lang w:val="lt-LT"/>
        </w:rPr>
        <w:t xml:space="preserve"> asmenų</w:t>
      </w:r>
      <w:r w:rsidR="009500C0" w:rsidRPr="00E14983">
        <w:rPr>
          <w:rFonts w:ascii="Times New Roman" w:eastAsia="Times New Roman" w:hAnsi="Times New Roman" w:cs="Times New Roman"/>
          <w:b/>
          <w:i/>
          <w:color w:val="000000"/>
          <w:lang w:val="lt-LT"/>
        </w:rPr>
        <w:t>)</w:t>
      </w:r>
    </w:p>
    <w:p w14:paraId="65015149" w14:textId="38E38E89"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Alerginės reakcijos. Nedelsdami kreipkitės į gydytoją arba slaugytoją, jeigu pasireiškia švokštimas, patinimas, išbėrimas arba </w:t>
      </w:r>
      <w:r w:rsidR="002D41D8" w:rsidRPr="00E14983">
        <w:rPr>
          <w:rFonts w:ascii="Times New Roman" w:eastAsia="Times New Roman" w:hAnsi="Times New Roman" w:cs="Times New Roman"/>
          <w:color w:val="000000"/>
          <w:lang w:val="lt-LT"/>
        </w:rPr>
        <w:t xml:space="preserve">niežėjimas </w:t>
      </w:r>
      <w:r w:rsidRPr="00E14983">
        <w:rPr>
          <w:rFonts w:ascii="Times New Roman" w:eastAsia="Times New Roman" w:hAnsi="Times New Roman" w:cs="Times New Roman"/>
          <w:color w:val="000000"/>
          <w:lang w:val="lt-LT"/>
        </w:rPr>
        <w:t xml:space="preserve">(ypač jeigu apima visą kūną). </w:t>
      </w:r>
    </w:p>
    <w:p w14:paraId="7E985780" w14:textId="77777777"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Lengvos odos reakcijos; lengvos infuzijos vietos reakcijos.</w:t>
      </w:r>
    </w:p>
    <w:p w14:paraId="3561BE9D" w14:textId="77777777"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Pasunkėjęs kvėpavimas.</w:t>
      </w:r>
    </w:p>
    <w:p w14:paraId="01DA6348" w14:textId="77777777"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Plaučių liga (intersticinė plaučių liga).</w:t>
      </w:r>
    </w:p>
    <w:p w14:paraId="321F7741" w14:textId="77777777"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Žarnyno nepraeinamumas.</w:t>
      </w:r>
    </w:p>
    <w:p w14:paraId="7C2ED7FF" w14:textId="77777777"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Pilvo skausmą ir uždegimą sukeliantis viduriavimas (būklė, vadinama pseudomembraniniu kolitu).</w:t>
      </w:r>
    </w:p>
    <w:p w14:paraId="2C214B3F" w14:textId="79D63A2E" w:rsidR="009500C0" w:rsidRPr="00E14983" w:rsidRDefault="009500C0" w:rsidP="009500C0">
      <w:pPr>
        <w:numPr>
          <w:ilvl w:val="0"/>
          <w:numId w:val="22"/>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 xml:space="preserve">Nedažni inkstų nepakankamumo atvejai, mažas kraujospūdis arba širdies ir kraujotakos nepakankamumas pacientams, </w:t>
      </w:r>
      <w:r w:rsidRPr="00E14983">
        <w:rPr>
          <w:rFonts w:ascii="Times New Roman" w:eastAsia="Times New Roman" w:hAnsi="Times New Roman" w:cs="Times New Roman"/>
          <w:lang w:val="lt-LT"/>
        </w:rPr>
        <w:t>kuriems pasireiškė dehidra</w:t>
      </w:r>
      <w:r w:rsidR="00B309FE" w:rsidRPr="00E14983">
        <w:rPr>
          <w:rFonts w:ascii="Times New Roman" w:eastAsia="Times New Roman" w:hAnsi="Times New Roman" w:cs="Times New Roman"/>
          <w:lang w:val="lt-LT"/>
        </w:rPr>
        <w:t>ta</w:t>
      </w:r>
      <w:r w:rsidRPr="00E14983">
        <w:rPr>
          <w:rFonts w:ascii="Times New Roman" w:eastAsia="Times New Roman" w:hAnsi="Times New Roman" w:cs="Times New Roman"/>
          <w:lang w:val="lt-LT"/>
        </w:rPr>
        <w:t>cijos epizodai, susiję su viduriavimu ir (arba) vėmimu</w:t>
      </w:r>
      <w:r w:rsidR="00B309FE" w:rsidRPr="00E14983">
        <w:rPr>
          <w:rFonts w:ascii="Times New Roman" w:eastAsia="Times New Roman" w:hAnsi="Times New Roman" w:cs="Times New Roman"/>
          <w:lang w:val="lt-LT"/>
        </w:rPr>
        <w:t>,</w:t>
      </w:r>
      <w:r w:rsidRPr="00E14983">
        <w:rPr>
          <w:rFonts w:ascii="Times New Roman" w:eastAsia="Times New Roman" w:hAnsi="Times New Roman" w:cs="Times New Roman"/>
          <w:lang w:val="lt-LT"/>
        </w:rPr>
        <w:t xml:space="preserve"> arba sepsis.</w:t>
      </w:r>
    </w:p>
    <w:p w14:paraId="1450823C" w14:textId="77777777" w:rsidR="009500C0" w:rsidRPr="00E14983" w:rsidRDefault="009500C0" w:rsidP="009500C0">
      <w:pPr>
        <w:tabs>
          <w:tab w:val="left" w:pos="-2400"/>
        </w:tabs>
        <w:autoSpaceDE w:val="0"/>
        <w:autoSpaceDN w:val="0"/>
        <w:adjustRightInd w:val="0"/>
        <w:spacing w:after="0" w:line="240" w:lineRule="auto"/>
        <w:jc w:val="both"/>
        <w:rPr>
          <w:rFonts w:ascii="Times New Roman" w:eastAsia="Times New Roman" w:hAnsi="Times New Roman" w:cs="Times New Roman"/>
          <w:color w:val="000000"/>
          <w:lang w:val="lt-LT"/>
        </w:rPr>
      </w:pPr>
    </w:p>
    <w:p w14:paraId="6FA1032C" w14:textId="0131BDA4" w:rsidR="009500C0" w:rsidRPr="00E14983" w:rsidRDefault="009500C0" w:rsidP="009500C0">
      <w:pPr>
        <w:pStyle w:val="Sraopastraipa"/>
        <w:tabs>
          <w:tab w:val="left" w:pos="-2400"/>
        </w:tabs>
        <w:ind w:left="0"/>
        <w:rPr>
          <w:b/>
          <w:i/>
          <w:color w:val="000000"/>
          <w:sz w:val="22"/>
          <w:szCs w:val="22"/>
          <w:lang w:val="lt-LT"/>
        </w:rPr>
      </w:pPr>
      <w:r w:rsidRPr="00E14983">
        <w:rPr>
          <w:b/>
          <w:i/>
          <w:color w:val="000000"/>
          <w:sz w:val="22"/>
          <w:szCs w:val="22"/>
          <w:lang w:val="lt-LT"/>
        </w:rPr>
        <w:t>Ret</w:t>
      </w:r>
      <w:r w:rsidR="00D2234E" w:rsidRPr="00E14983">
        <w:rPr>
          <w:b/>
          <w:i/>
          <w:color w:val="000000"/>
          <w:sz w:val="22"/>
          <w:szCs w:val="22"/>
          <w:lang w:val="lt-LT"/>
        </w:rPr>
        <w:t>i šalutinio poveikio reiškiniai</w:t>
      </w:r>
      <w:r w:rsidRPr="00E14983">
        <w:rPr>
          <w:b/>
          <w:i/>
          <w:color w:val="000000"/>
          <w:sz w:val="22"/>
          <w:szCs w:val="22"/>
          <w:lang w:val="lt-LT"/>
        </w:rPr>
        <w:t xml:space="preserve"> (gali pasireikšti </w:t>
      </w:r>
      <w:r w:rsidR="002D41D8" w:rsidRPr="00E14983">
        <w:rPr>
          <w:b/>
          <w:i/>
          <w:color w:val="000000"/>
          <w:sz w:val="22"/>
          <w:szCs w:val="22"/>
          <w:lang w:val="lt-LT"/>
        </w:rPr>
        <w:t xml:space="preserve">rečiau </w:t>
      </w:r>
      <w:r w:rsidRPr="00E14983">
        <w:rPr>
          <w:b/>
          <w:i/>
          <w:color w:val="000000"/>
          <w:sz w:val="22"/>
          <w:szCs w:val="22"/>
          <w:lang w:val="lt-LT"/>
        </w:rPr>
        <w:t>kaip 1 iš 1</w:t>
      </w:r>
      <w:r w:rsidR="00D2234E" w:rsidRPr="00E14983">
        <w:rPr>
          <w:b/>
          <w:i/>
          <w:color w:val="000000"/>
          <w:sz w:val="22"/>
          <w:szCs w:val="22"/>
          <w:lang w:val="lt-LT"/>
        </w:rPr>
        <w:t> </w:t>
      </w:r>
      <w:r w:rsidRPr="00E14983">
        <w:rPr>
          <w:b/>
          <w:i/>
          <w:color w:val="000000"/>
          <w:sz w:val="22"/>
          <w:szCs w:val="22"/>
          <w:lang w:val="lt-LT"/>
        </w:rPr>
        <w:t>000</w:t>
      </w:r>
      <w:r w:rsidR="00D2234E" w:rsidRPr="00E14983">
        <w:rPr>
          <w:b/>
          <w:i/>
          <w:color w:val="000000"/>
          <w:sz w:val="22"/>
          <w:szCs w:val="22"/>
          <w:lang w:val="lt-LT"/>
        </w:rPr>
        <w:t xml:space="preserve"> asmenų</w:t>
      </w:r>
      <w:r w:rsidRPr="00E14983">
        <w:rPr>
          <w:b/>
          <w:i/>
          <w:color w:val="000000"/>
          <w:sz w:val="22"/>
          <w:szCs w:val="22"/>
          <w:lang w:val="lt-LT"/>
        </w:rPr>
        <w:t>)</w:t>
      </w:r>
    </w:p>
    <w:p w14:paraId="0F03A4DA" w14:textId="77777777" w:rsidR="009500C0" w:rsidRPr="00E14983" w:rsidRDefault="009500C0" w:rsidP="00B22D7E">
      <w:pPr>
        <w:pStyle w:val="Sraopastraipa"/>
        <w:numPr>
          <w:ilvl w:val="0"/>
          <w:numId w:val="41"/>
        </w:numPr>
        <w:tabs>
          <w:tab w:val="left" w:pos="567"/>
        </w:tabs>
        <w:ind w:left="567" w:hanging="567"/>
        <w:rPr>
          <w:color w:val="000000"/>
          <w:sz w:val="22"/>
          <w:szCs w:val="22"/>
          <w:lang w:val="lt-LT"/>
        </w:rPr>
      </w:pPr>
      <w:r w:rsidRPr="00E14983">
        <w:rPr>
          <w:color w:val="000000"/>
          <w:sz w:val="22"/>
          <w:szCs w:val="22"/>
          <w:lang w:val="lt-LT"/>
        </w:rPr>
        <w:t>Sunkios alerginės reakcijos (anafilaksinės ir anafilaktoidinės reakcijos) dažniausiai gali pasireikšti praėjus kelioms minutėms po vaisto injekcijos: odos paraudimas, įskaitant odos paraudimą su niežėjimu, plaštakų, pėdų, kulkšnių, veido, lūpų, burnos arba gerklės patinimą (galintį sutrikdyti rijimą ir labai pasunkinti kvėpavimą), Jums gali atrodyti, kad tuoj nualpsite. Jeigu taip atsitinka, nedelsdami kreipkitės į gydytoją.</w:t>
      </w:r>
    </w:p>
    <w:p w14:paraId="19D7E809" w14:textId="77777777" w:rsidR="009500C0" w:rsidRPr="00E14983" w:rsidRDefault="009500C0" w:rsidP="009500C0">
      <w:pPr>
        <w:numPr>
          <w:ilvl w:val="0"/>
          <w:numId w:val="2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Ankstyvasis poveikis, pvz., raumenų susitraukimai arba mėšlungis, stingulys (parestezija).</w:t>
      </w:r>
    </w:p>
    <w:p w14:paraId="0AED5486" w14:textId="07C6265D" w:rsidR="009500C0" w:rsidRPr="00E14983" w:rsidRDefault="009500C0" w:rsidP="009500C0">
      <w:pPr>
        <w:numPr>
          <w:ilvl w:val="0"/>
          <w:numId w:val="2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 xml:space="preserve">Kraujavimas iš </w:t>
      </w:r>
      <w:r w:rsidR="002D41D8" w:rsidRPr="00E14983">
        <w:rPr>
          <w:rFonts w:ascii="Times New Roman" w:eastAsia="Times New Roman" w:hAnsi="Times New Roman" w:cs="Times New Roman"/>
          <w:color w:val="000000"/>
          <w:lang w:val="lt-LT" w:eastAsia="en-IN"/>
        </w:rPr>
        <w:t xml:space="preserve">virškinimo </w:t>
      </w:r>
      <w:r w:rsidRPr="00E14983">
        <w:rPr>
          <w:rFonts w:ascii="Times New Roman" w:eastAsia="Times New Roman" w:hAnsi="Times New Roman" w:cs="Times New Roman"/>
          <w:color w:val="000000"/>
          <w:lang w:val="lt-LT" w:eastAsia="en-IN"/>
        </w:rPr>
        <w:t>trakto ir storosios žarnos uždegimas, įskaitant apendicitą.</w:t>
      </w:r>
    </w:p>
    <w:p w14:paraId="4DD05572" w14:textId="77777777" w:rsidR="009500C0" w:rsidRPr="00E14983" w:rsidRDefault="009500C0" w:rsidP="009500C0">
      <w:pPr>
        <w:numPr>
          <w:ilvl w:val="0"/>
          <w:numId w:val="2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Žarnyno perforacija; anoreksija, pilvo skausmas, gleivinės uždegimas.</w:t>
      </w:r>
    </w:p>
    <w:p w14:paraId="4C6ADC2B" w14:textId="77777777" w:rsidR="009500C0" w:rsidRPr="00E14983" w:rsidRDefault="009500C0" w:rsidP="009500C0">
      <w:pPr>
        <w:numPr>
          <w:ilvl w:val="0"/>
          <w:numId w:val="2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Kasos uždegimas.</w:t>
      </w:r>
    </w:p>
    <w:p w14:paraId="3A8D2AB9" w14:textId="77777777" w:rsidR="009500C0" w:rsidRPr="00E14983" w:rsidRDefault="009500C0" w:rsidP="009500C0">
      <w:pPr>
        <w:numPr>
          <w:ilvl w:val="0"/>
          <w:numId w:val="23"/>
        </w:numPr>
        <w:tabs>
          <w:tab w:val="clear" w:pos="720"/>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Kraujospūdžio padidėjimas vaisto infuzijos metu ir po jos.</w:t>
      </w:r>
    </w:p>
    <w:p w14:paraId="54ACD186" w14:textId="77777777" w:rsidR="009500C0" w:rsidRPr="00E14983" w:rsidRDefault="009500C0" w:rsidP="009500C0">
      <w:pPr>
        <w:numPr>
          <w:ilvl w:val="0"/>
          <w:numId w:val="23"/>
        </w:numPr>
        <w:tabs>
          <w:tab w:val="clear" w:pos="720"/>
          <w:tab w:val="num" w:pos="0"/>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 xml:space="preserve">Kalio ir natrio kiekio kraujyje sumažėjimas, dažniausiai susijęs su viduriavimu ir vėmimu. </w:t>
      </w:r>
    </w:p>
    <w:p w14:paraId="04EEE51D" w14:textId="77777777" w:rsidR="009500C0" w:rsidRPr="00E14983" w:rsidRDefault="009500C0" w:rsidP="009500C0">
      <w:pPr>
        <w:keepNext/>
        <w:keepLines/>
        <w:tabs>
          <w:tab w:val="left" w:pos="-2400"/>
        </w:tabs>
        <w:autoSpaceDE w:val="0"/>
        <w:autoSpaceDN w:val="0"/>
        <w:adjustRightInd w:val="0"/>
        <w:spacing w:after="0" w:line="240" w:lineRule="auto"/>
        <w:jc w:val="both"/>
        <w:rPr>
          <w:rFonts w:ascii="Times New Roman" w:eastAsia="Times New Roman" w:hAnsi="Times New Roman" w:cs="Times New Roman"/>
          <w:color w:val="000000"/>
          <w:lang w:val="lt-LT"/>
        </w:rPr>
      </w:pPr>
    </w:p>
    <w:p w14:paraId="5BD83E6F" w14:textId="2D8EA5AE" w:rsidR="009500C0" w:rsidRPr="00E14983" w:rsidRDefault="009500C0" w:rsidP="009500C0">
      <w:pPr>
        <w:keepNext/>
        <w:keepLines/>
        <w:tabs>
          <w:tab w:val="left" w:pos="-2400"/>
        </w:tabs>
        <w:autoSpaceDE w:val="0"/>
        <w:autoSpaceDN w:val="0"/>
        <w:adjustRightInd w:val="0"/>
        <w:spacing w:after="0" w:line="240" w:lineRule="auto"/>
        <w:rPr>
          <w:rFonts w:ascii="Times New Roman" w:eastAsia="Times New Roman" w:hAnsi="Times New Roman" w:cs="Times New Roman"/>
          <w:b/>
          <w:i/>
          <w:color w:val="000000"/>
          <w:lang w:val="lt-LT"/>
        </w:rPr>
      </w:pPr>
      <w:r w:rsidRPr="00E14983">
        <w:rPr>
          <w:rFonts w:ascii="Times New Roman" w:eastAsia="Times New Roman" w:hAnsi="Times New Roman" w:cs="Times New Roman"/>
          <w:b/>
          <w:bCs/>
          <w:i/>
          <w:color w:val="000000"/>
          <w:lang w:val="lt-LT"/>
        </w:rPr>
        <w:t>Labai ret</w:t>
      </w:r>
      <w:r w:rsidR="00D2234E" w:rsidRPr="00E14983">
        <w:rPr>
          <w:rFonts w:ascii="Times New Roman" w:eastAsia="Times New Roman" w:hAnsi="Times New Roman" w:cs="Times New Roman"/>
          <w:b/>
          <w:bCs/>
          <w:i/>
          <w:color w:val="000000"/>
          <w:lang w:val="lt-LT"/>
        </w:rPr>
        <w:t xml:space="preserve">i </w:t>
      </w:r>
      <w:r w:rsidR="00D2234E" w:rsidRPr="00E14983">
        <w:rPr>
          <w:rFonts w:ascii="Times New Roman" w:eastAsia="Times New Roman" w:hAnsi="Times New Roman" w:cs="Times New Roman"/>
          <w:b/>
          <w:i/>
          <w:color w:val="000000"/>
          <w:lang w:val="lt-LT"/>
        </w:rPr>
        <w:t>šalutinio poveikio reiškiniai</w:t>
      </w:r>
      <w:r w:rsidRPr="00E14983">
        <w:rPr>
          <w:rFonts w:ascii="Times New Roman" w:eastAsia="Times New Roman" w:hAnsi="Times New Roman" w:cs="Times New Roman"/>
          <w:b/>
          <w:i/>
          <w:color w:val="000000"/>
          <w:lang w:val="lt-LT"/>
        </w:rPr>
        <w:t xml:space="preserve"> (gali pasireikšti </w:t>
      </w:r>
      <w:r w:rsidR="002D41D8" w:rsidRPr="00E14983">
        <w:rPr>
          <w:rFonts w:ascii="Times New Roman" w:eastAsia="Times New Roman" w:hAnsi="Times New Roman" w:cs="Times New Roman"/>
          <w:b/>
          <w:i/>
          <w:color w:val="000000"/>
          <w:lang w:val="lt-LT"/>
        </w:rPr>
        <w:t xml:space="preserve">rečiau </w:t>
      </w:r>
      <w:r w:rsidRPr="00E14983">
        <w:rPr>
          <w:rFonts w:ascii="Times New Roman" w:eastAsia="Times New Roman" w:hAnsi="Times New Roman" w:cs="Times New Roman"/>
          <w:b/>
          <w:i/>
          <w:color w:val="000000"/>
          <w:lang w:val="lt-LT"/>
        </w:rPr>
        <w:t>kaip 1 iš 10</w:t>
      </w:r>
      <w:r w:rsidR="00D2234E" w:rsidRPr="00E14983">
        <w:rPr>
          <w:rFonts w:ascii="Times New Roman" w:eastAsia="Times New Roman" w:hAnsi="Times New Roman" w:cs="Times New Roman"/>
          <w:b/>
          <w:i/>
          <w:color w:val="000000"/>
          <w:lang w:val="lt-LT"/>
        </w:rPr>
        <w:t> </w:t>
      </w:r>
      <w:r w:rsidRPr="00E14983">
        <w:rPr>
          <w:rFonts w:ascii="Times New Roman" w:eastAsia="Times New Roman" w:hAnsi="Times New Roman" w:cs="Times New Roman"/>
          <w:b/>
          <w:i/>
          <w:color w:val="000000"/>
          <w:lang w:val="lt-LT"/>
        </w:rPr>
        <w:t>000</w:t>
      </w:r>
      <w:r w:rsidR="00D2234E" w:rsidRPr="00E14983">
        <w:rPr>
          <w:rFonts w:ascii="Times New Roman" w:eastAsia="Times New Roman" w:hAnsi="Times New Roman" w:cs="Times New Roman"/>
          <w:b/>
          <w:i/>
          <w:color w:val="000000"/>
          <w:lang w:val="lt-LT"/>
        </w:rPr>
        <w:t xml:space="preserve"> asmenų</w:t>
      </w:r>
      <w:r w:rsidRPr="00E14983">
        <w:rPr>
          <w:rFonts w:ascii="Times New Roman" w:eastAsia="Times New Roman" w:hAnsi="Times New Roman" w:cs="Times New Roman"/>
          <w:b/>
          <w:i/>
          <w:color w:val="000000"/>
          <w:lang w:val="lt-LT"/>
        </w:rPr>
        <w:t>)</w:t>
      </w:r>
    </w:p>
    <w:p w14:paraId="11E00B4F" w14:textId="77777777" w:rsidR="009500C0" w:rsidRPr="00E14983" w:rsidRDefault="009500C0" w:rsidP="009500C0">
      <w:pPr>
        <w:keepNext/>
        <w:keepLines/>
        <w:numPr>
          <w:ilvl w:val="0"/>
          <w:numId w:val="24"/>
        </w:numPr>
        <w:tabs>
          <w:tab w:val="clear" w:pos="360"/>
          <w:tab w:val="num" w:pos="567"/>
        </w:tabs>
        <w:autoSpaceDE w:val="0"/>
        <w:autoSpaceDN w:val="0"/>
        <w:adjustRightInd w:val="0"/>
        <w:spacing w:after="0" w:line="240" w:lineRule="auto"/>
        <w:ind w:left="567" w:right="72" w:hanging="567"/>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Laikinas kalbos sutrikimas.</w:t>
      </w:r>
    </w:p>
    <w:p w14:paraId="5B1E8727" w14:textId="77777777" w:rsidR="009500C0" w:rsidRPr="00E14983" w:rsidRDefault="009500C0" w:rsidP="009500C0">
      <w:pPr>
        <w:keepNext/>
        <w:keepLines/>
        <w:numPr>
          <w:ilvl w:val="0"/>
          <w:numId w:val="24"/>
        </w:numPr>
        <w:tabs>
          <w:tab w:val="clear" w:pos="360"/>
          <w:tab w:val="num" w:pos="567"/>
        </w:tabs>
        <w:autoSpaceDE w:val="0"/>
        <w:autoSpaceDN w:val="0"/>
        <w:adjustRightInd w:val="0"/>
        <w:spacing w:after="0" w:line="240" w:lineRule="auto"/>
        <w:ind w:left="567" w:hanging="567"/>
        <w:rPr>
          <w:rFonts w:ascii="Times New Roman" w:eastAsia="Times New Roman" w:hAnsi="Times New Roman" w:cs="Times New Roman"/>
          <w:color w:val="000000"/>
          <w:lang w:val="lt-LT" w:eastAsia="en-IN"/>
        </w:rPr>
      </w:pPr>
      <w:r w:rsidRPr="00E14983">
        <w:rPr>
          <w:rFonts w:ascii="Times New Roman" w:eastAsia="Times New Roman" w:hAnsi="Times New Roman" w:cs="Times New Roman"/>
          <w:color w:val="000000"/>
          <w:lang w:val="lt-LT" w:eastAsia="en-IN"/>
        </w:rPr>
        <w:t>Tam tikrų virškinimo fermentų, dalyvaujančių skaidant angliavandenius ir riebalus aktyvumo padidėjimas.</w:t>
      </w:r>
    </w:p>
    <w:p w14:paraId="3D33B883" w14:textId="77777777"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14:paraId="043A4F29" w14:textId="6DEF78E0" w:rsidR="009500C0" w:rsidRPr="00E14983" w:rsidRDefault="00DF4F12"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i/>
          <w:color w:val="000000"/>
          <w:lang w:val="lt-LT" w:eastAsia="en-IN"/>
        </w:rPr>
      </w:pPr>
      <w:r w:rsidRPr="00E14983">
        <w:rPr>
          <w:rFonts w:ascii="Times New Roman" w:eastAsia="Times New Roman" w:hAnsi="Times New Roman" w:cs="Times New Roman"/>
          <w:b/>
          <w:i/>
          <w:color w:val="000000"/>
          <w:lang w:val="lt-LT" w:eastAsia="en-IN"/>
        </w:rPr>
        <w:t>Šalutinio poveikio reiškiniai, kurių d</w:t>
      </w:r>
      <w:r w:rsidR="009500C0" w:rsidRPr="00E14983">
        <w:rPr>
          <w:rFonts w:ascii="Times New Roman" w:eastAsia="Times New Roman" w:hAnsi="Times New Roman" w:cs="Times New Roman"/>
          <w:b/>
          <w:i/>
          <w:color w:val="000000"/>
          <w:lang w:val="lt-LT" w:eastAsia="en-IN"/>
        </w:rPr>
        <w:t xml:space="preserve">ažnis nežinomas (negali būti </w:t>
      </w:r>
      <w:r w:rsidRPr="00E14983">
        <w:rPr>
          <w:rFonts w:ascii="Times New Roman" w:eastAsia="Times New Roman" w:hAnsi="Times New Roman" w:cs="Times New Roman"/>
          <w:b/>
          <w:i/>
          <w:color w:val="000000"/>
          <w:lang w:val="lt-LT" w:eastAsia="en-IN"/>
        </w:rPr>
        <w:t xml:space="preserve">apskaičiuotas </w:t>
      </w:r>
      <w:r w:rsidR="009500C0" w:rsidRPr="00E14983">
        <w:rPr>
          <w:rFonts w:ascii="Times New Roman" w:eastAsia="Times New Roman" w:hAnsi="Times New Roman" w:cs="Times New Roman"/>
          <w:b/>
          <w:i/>
          <w:color w:val="000000"/>
          <w:lang w:val="lt-LT" w:eastAsia="en-IN"/>
        </w:rPr>
        <w:t>pagal turimus duomenis)</w:t>
      </w:r>
    </w:p>
    <w:p w14:paraId="3A0ABD23" w14:textId="073F5E2F"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Gausus, nepertraukiamas ar kraujingas viduriavimas (kuris gali būti susijęs su skrandžio skausmu ar karščiavimu), kurį sukelia bakterijos (</w:t>
      </w:r>
      <w:r w:rsidRPr="00E14983">
        <w:rPr>
          <w:rFonts w:ascii="Times New Roman" w:hAnsi="Times New Roman" w:cs="Times New Roman"/>
          <w:i/>
          <w:iCs/>
          <w:sz w:val="22"/>
          <w:szCs w:val="22"/>
          <w:lang w:val="lt-LT"/>
        </w:rPr>
        <w:t>Clostridium difficile</w:t>
      </w:r>
      <w:r w:rsidRPr="00E14983">
        <w:rPr>
          <w:rFonts w:ascii="Times New Roman" w:hAnsi="Times New Roman" w:cs="Times New Roman"/>
          <w:sz w:val="22"/>
          <w:szCs w:val="22"/>
          <w:lang w:val="lt-LT"/>
        </w:rPr>
        <w:t>)</w:t>
      </w:r>
      <w:r w:rsidR="008B7FBB" w:rsidRPr="00E14983">
        <w:rPr>
          <w:rFonts w:ascii="Times New Roman" w:hAnsi="Times New Roman" w:cs="Times New Roman"/>
          <w:sz w:val="22"/>
          <w:szCs w:val="22"/>
          <w:lang w:val="lt-LT"/>
        </w:rPr>
        <w:t>.</w:t>
      </w:r>
    </w:p>
    <w:p w14:paraId="4906C048" w14:textId="250CD2F2" w:rsidR="00870D04" w:rsidRPr="00E14983" w:rsidRDefault="00B309FE"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Sepsis</w:t>
      </w:r>
      <w:r w:rsidR="008B7FBB" w:rsidRPr="00E14983">
        <w:rPr>
          <w:rFonts w:ascii="Times New Roman" w:hAnsi="Times New Roman" w:cs="Times New Roman"/>
          <w:sz w:val="22"/>
          <w:szCs w:val="22"/>
          <w:lang w:val="lt-LT"/>
        </w:rPr>
        <w:t>.</w:t>
      </w:r>
    </w:p>
    <w:p w14:paraId="230B5875" w14:textId="5B8A9C2C"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Dehidra</w:t>
      </w:r>
      <w:r w:rsidR="008B7FBB" w:rsidRPr="00E14983">
        <w:rPr>
          <w:rFonts w:ascii="Times New Roman" w:hAnsi="Times New Roman" w:cs="Times New Roman"/>
          <w:sz w:val="22"/>
          <w:szCs w:val="22"/>
          <w:lang w:val="lt-LT"/>
        </w:rPr>
        <w:t>ta</w:t>
      </w:r>
      <w:r w:rsidRPr="00E14983">
        <w:rPr>
          <w:rFonts w:ascii="Times New Roman" w:hAnsi="Times New Roman" w:cs="Times New Roman"/>
          <w:sz w:val="22"/>
          <w:szCs w:val="22"/>
          <w:lang w:val="lt-LT"/>
        </w:rPr>
        <w:t>cija (atsiradusi dėl viduriavimo ir vėmimo)</w:t>
      </w:r>
      <w:r w:rsidR="008B7FBB" w:rsidRPr="00E14983">
        <w:rPr>
          <w:rFonts w:ascii="Times New Roman" w:hAnsi="Times New Roman" w:cs="Times New Roman"/>
          <w:sz w:val="22"/>
          <w:szCs w:val="22"/>
          <w:lang w:val="lt-LT"/>
        </w:rPr>
        <w:t>.</w:t>
      </w:r>
    </w:p>
    <w:p w14:paraId="054D533B" w14:textId="78054548"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Svaigulys, širdies ritmo pad</w:t>
      </w:r>
      <w:r w:rsidR="008B7FBB" w:rsidRPr="00E14983">
        <w:rPr>
          <w:rFonts w:ascii="Times New Roman" w:hAnsi="Times New Roman" w:cs="Times New Roman"/>
          <w:sz w:val="22"/>
          <w:szCs w:val="22"/>
          <w:lang w:val="lt-LT"/>
        </w:rPr>
        <w:t>ažn</w:t>
      </w:r>
      <w:r w:rsidRPr="00E14983">
        <w:rPr>
          <w:rFonts w:ascii="Times New Roman" w:hAnsi="Times New Roman" w:cs="Times New Roman"/>
          <w:sz w:val="22"/>
          <w:szCs w:val="22"/>
          <w:lang w:val="lt-LT"/>
        </w:rPr>
        <w:t>ėjimas ir išblyškusi oda (būklė vadinama hipovolemija)</w:t>
      </w:r>
      <w:r w:rsidR="008B7FBB" w:rsidRPr="00E14983">
        <w:rPr>
          <w:rFonts w:ascii="Times New Roman" w:hAnsi="Times New Roman" w:cs="Times New Roman"/>
          <w:sz w:val="22"/>
          <w:szCs w:val="22"/>
          <w:lang w:val="lt-LT"/>
        </w:rPr>
        <w:t>.</w:t>
      </w:r>
    </w:p>
    <w:p w14:paraId="027E9FEE" w14:textId="2D8CE98A"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Alerginė reakcija</w:t>
      </w:r>
      <w:r w:rsidR="008B7FBB" w:rsidRPr="00E14983">
        <w:rPr>
          <w:rFonts w:ascii="Times New Roman" w:hAnsi="Times New Roman" w:cs="Times New Roman"/>
          <w:sz w:val="22"/>
          <w:szCs w:val="22"/>
          <w:lang w:val="lt-LT"/>
        </w:rPr>
        <w:t>.</w:t>
      </w:r>
    </w:p>
    <w:p w14:paraId="4ECA285B" w14:textId="7D3FE446"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Laikinas kalbos sutrikimas gydymo metu arba iškart po jo</w:t>
      </w:r>
      <w:r w:rsidR="008B7FBB" w:rsidRPr="00E14983">
        <w:rPr>
          <w:rFonts w:ascii="Times New Roman" w:hAnsi="Times New Roman" w:cs="Times New Roman"/>
          <w:sz w:val="22"/>
          <w:szCs w:val="22"/>
          <w:lang w:val="lt-LT"/>
        </w:rPr>
        <w:t>.</w:t>
      </w:r>
    </w:p>
    <w:p w14:paraId="3C7AFC0F" w14:textId="17253ADB"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 xml:space="preserve">Dilgčiojimas </w:t>
      </w:r>
      <w:r w:rsidR="008B7FBB" w:rsidRPr="00E14983">
        <w:rPr>
          <w:rFonts w:ascii="Times New Roman" w:hAnsi="Times New Roman" w:cs="Times New Roman"/>
          <w:sz w:val="22"/>
          <w:szCs w:val="22"/>
          <w:lang w:val="lt-LT"/>
        </w:rPr>
        <w:t xml:space="preserve">ir badymo </w:t>
      </w:r>
      <w:r w:rsidR="00B309FE" w:rsidRPr="00E14983">
        <w:rPr>
          <w:rFonts w:ascii="Times New Roman" w:hAnsi="Times New Roman" w:cs="Times New Roman"/>
          <w:sz w:val="22"/>
          <w:szCs w:val="22"/>
          <w:lang w:val="lt-LT"/>
        </w:rPr>
        <w:t>pojūtis.</w:t>
      </w:r>
    </w:p>
    <w:p w14:paraId="5524A37D" w14:textId="3B46A4CC"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Aukštas kraujospūdis (infuzijos metu arba po jos)</w:t>
      </w:r>
      <w:r w:rsidR="00B309FE" w:rsidRPr="00E14983">
        <w:rPr>
          <w:rFonts w:ascii="Times New Roman" w:hAnsi="Times New Roman" w:cs="Times New Roman"/>
          <w:sz w:val="22"/>
          <w:szCs w:val="22"/>
          <w:lang w:val="lt-LT"/>
        </w:rPr>
        <w:t>.</w:t>
      </w:r>
    </w:p>
    <w:p w14:paraId="79A0DCA8" w14:textId="202CF742"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Širdies sutrikimai*</w:t>
      </w:r>
      <w:r w:rsidR="00B309FE" w:rsidRPr="00E14983">
        <w:rPr>
          <w:rFonts w:ascii="Times New Roman" w:hAnsi="Times New Roman" w:cs="Times New Roman"/>
          <w:sz w:val="22"/>
          <w:szCs w:val="22"/>
          <w:lang w:val="lt-LT"/>
        </w:rPr>
        <w:t>.</w:t>
      </w:r>
    </w:p>
    <w:p w14:paraId="2B3E089A" w14:textId="6330B1FB"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 xml:space="preserve">Plaučių </w:t>
      </w:r>
      <w:r w:rsidR="00B309FE" w:rsidRPr="00E14983">
        <w:rPr>
          <w:rFonts w:ascii="Times New Roman" w:hAnsi="Times New Roman" w:cs="Times New Roman"/>
          <w:sz w:val="22"/>
          <w:szCs w:val="22"/>
          <w:lang w:val="lt-LT"/>
        </w:rPr>
        <w:t>liga, sukelianti</w:t>
      </w:r>
      <w:r w:rsidRPr="00E14983">
        <w:rPr>
          <w:rFonts w:ascii="Times New Roman" w:hAnsi="Times New Roman" w:cs="Times New Roman"/>
          <w:sz w:val="22"/>
          <w:szCs w:val="22"/>
          <w:lang w:val="lt-LT"/>
        </w:rPr>
        <w:t xml:space="preserve"> švokštim</w:t>
      </w:r>
      <w:r w:rsidR="00B309FE" w:rsidRPr="00E14983">
        <w:rPr>
          <w:rFonts w:ascii="Times New Roman" w:hAnsi="Times New Roman" w:cs="Times New Roman"/>
          <w:sz w:val="22"/>
          <w:szCs w:val="22"/>
          <w:lang w:val="lt-LT"/>
        </w:rPr>
        <w:t>ą</w:t>
      </w:r>
      <w:r w:rsidRPr="00E14983">
        <w:rPr>
          <w:rFonts w:ascii="Times New Roman" w:hAnsi="Times New Roman" w:cs="Times New Roman"/>
          <w:sz w:val="22"/>
          <w:szCs w:val="22"/>
          <w:lang w:val="lt-LT"/>
        </w:rPr>
        <w:t xml:space="preserve"> ir dusul</w:t>
      </w:r>
      <w:r w:rsidR="00B309FE" w:rsidRPr="00E14983">
        <w:rPr>
          <w:rFonts w:ascii="Times New Roman" w:hAnsi="Times New Roman" w:cs="Times New Roman"/>
          <w:sz w:val="22"/>
          <w:szCs w:val="22"/>
          <w:lang w:val="lt-LT"/>
        </w:rPr>
        <w:t>į</w:t>
      </w:r>
      <w:r w:rsidRPr="00E14983">
        <w:rPr>
          <w:rFonts w:ascii="Times New Roman" w:hAnsi="Times New Roman" w:cs="Times New Roman"/>
          <w:sz w:val="22"/>
          <w:szCs w:val="22"/>
          <w:lang w:val="lt-LT"/>
        </w:rPr>
        <w:t xml:space="preserve"> (žr. 2 skyrių)</w:t>
      </w:r>
      <w:r w:rsidR="00B309FE" w:rsidRPr="00E14983">
        <w:rPr>
          <w:rFonts w:ascii="Times New Roman" w:hAnsi="Times New Roman" w:cs="Times New Roman"/>
          <w:sz w:val="22"/>
          <w:szCs w:val="22"/>
          <w:lang w:val="lt-LT"/>
        </w:rPr>
        <w:t>.</w:t>
      </w:r>
    </w:p>
    <w:p w14:paraId="05DCC142" w14:textId="01CCAFA1"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Žagsėjimas</w:t>
      </w:r>
      <w:r w:rsidR="00B309FE" w:rsidRPr="00E14983">
        <w:rPr>
          <w:rFonts w:ascii="Times New Roman" w:hAnsi="Times New Roman" w:cs="Times New Roman"/>
          <w:sz w:val="22"/>
          <w:szCs w:val="22"/>
          <w:lang w:val="lt-LT"/>
        </w:rPr>
        <w:t>.</w:t>
      </w:r>
    </w:p>
    <w:p w14:paraId="00EEB521" w14:textId="247A5D00"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Žarnyno nepraeinamumas</w:t>
      </w:r>
      <w:r w:rsidR="00B309FE" w:rsidRPr="00E14983">
        <w:rPr>
          <w:rFonts w:ascii="Times New Roman" w:hAnsi="Times New Roman" w:cs="Times New Roman"/>
          <w:sz w:val="22"/>
          <w:szCs w:val="22"/>
          <w:lang w:val="lt-LT"/>
        </w:rPr>
        <w:t>.</w:t>
      </w:r>
    </w:p>
    <w:p w14:paraId="60A776A6" w14:textId="5E28E3CA"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lastRenderedPageBreak/>
        <w:t xml:space="preserve">Gaubtinės žarnos </w:t>
      </w:r>
      <w:r w:rsidR="00B309FE" w:rsidRPr="00E14983">
        <w:rPr>
          <w:rFonts w:ascii="Times New Roman" w:hAnsi="Times New Roman" w:cs="Times New Roman"/>
          <w:sz w:val="22"/>
          <w:szCs w:val="22"/>
          <w:lang w:val="lt-LT"/>
        </w:rPr>
        <w:t>išsiplėtimas.</w:t>
      </w:r>
    </w:p>
    <w:p w14:paraId="137F98F9" w14:textId="557495B0" w:rsidR="00870D04" w:rsidRPr="00E14983" w:rsidRDefault="00B309FE"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K</w:t>
      </w:r>
      <w:r w:rsidR="00870D04" w:rsidRPr="00E14983">
        <w:rPr>
          <w:rFonts w:ascii="Times New Roman" w:hAnsi="Times New Roman" w:cs="Times New Roman"/>
          <w:sz w:val="22"/>
          <w:szCs w:val="22"/>
          <w:lang w:val="lt-LT"/>
        </w:rPr>
        <w:t>raujavimas</w:t>
      </w:r>
      <w:r w:rsidRPr="00E14983">
        <w:rPr>
          <w:rFonts w:ascii="Times New Roman" w:hAnsi="Times New Roman" w:cs="Times New Roman"/>
          <w:sz w:val="22"/>
          <w:szCs w:val="22"/>
          <w:lang w:val="lt-LT"/>
        </w:rPr>
        <w:t xml:space="preserve"> iš žarnyno.</w:t>
      </w:r>
    </w:p>
    <w:p w14:paraId="211C3F28" w14:textId="749F760C" w:rsidR="00870D04" w:rsidRPr="00E14983" w:rsidRDefault="00870D04" w:rsidP="00DD3E4C">
      <w:pPr>
        <w:pStyle w:val="Debesliotekstas"/>
        <w:widowControl/>
        <w:numPr>
          <w:ilvl w:val="0"/>
          <w:numId w:val="24"/>
        </w:numPr>
        <w:snapToGrid/>
        <w:rPr>
          <w:rFonts w:ascii="Times New Roman" w:hAnsi="Times New Roman"/>
          <w:lang w:val="lt-LT"/>
        </w:rPr>
      </w:pPr>
      <w:r w:rsidRPr="00E14983">
        <w:rPr>
          <w:rFonts w:ascii="Times New Roman" w:hAnsi="Times New Roman" w:cs="Times New Roman"/>
          <w:sz w:val="22"/>
          <w:szCs w:val="22"/>
          <w:lang w:val="lt-LT"/>
        </w:rPr>
        <w:t xml:space="preserve">Storosios žarnos </w:t>
      </w:r>
      <w:r w:rsidRPr="00E14983">
        <w:rPr>
          <w:rFonts w:ascii="Times New Roman" w:hAnsi="Times New Roman"/>
          <w:sz w:val="22"/>
          <w:lang w:val="lt-LT"/>
        </w:rPr>
        <w:t>uždegimas</w:t>
      </w:r>
      <w:r w:rsidR="00B309FE" w:rsidRPr="00E14983">
        <w:rPr>
          <w:rFonts w:ascii="Times New Roman" w:hAnsi="Times New Roman"/>
          <w:sz w:val="22"/>
          <w:lang w:val="lt-LT"/>
        </w:rPr>
        <w:t>.</w:t>
      </w:r>
    </w:p>
    <w:p w14:paraId="53AFABEF" w14:textId="2480A6E4"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Nenormalūs laboratorinių tyrimų rezul</w:t>
      </w:r>
      <w:r w:rsidR="00D30265" w:rsidRPr="00E14983">
        <w:rPr>
          <w:rFonts w:ascii="Times New Roman" w:hAnsi="Times New Roman" w:cs="Times New Roman"/>
          <w:sz w:val="22"/>
          <w:szCs w:val="22"/>
          <w:lang w:val="lt-LT"/>
        </w:rPr>
        <w:t>t</w:t>
      </w:r>
      <w:r w:rsidRPr="00E14983">
        <w:rPr>
          <w:rFonts w:ascii="Times New Roman" w:hAnsi="Times New Roman" w:cs="Times New Roman"/>
          <w:sz w:val="22"/>
          <w:szCs w:val="22"/>
          <w:lang w:val="lt-LT"/>
        </w:rPr>
        <w:t>atai</w:t>
      </w:r>
      <w:r w:rsidR="00B309FE" w:rsidRPr="00E14983">
        <w:rPr>
          <w:rFonts w:ascii="Times New Roman" w:hAnsi="Times New Roman" w:cs="Times New Roman"/>
          <w:sz w:val="22"/>
          <w:szCs w:val="22"/>
          <w:lang w:val="lt-LT"/>
        </w:rPr>
        <w:t>.</w:t>
      </w:r>
    </w:p>
    <w:p w14:paraId="1563D7D4" w14:textId="768F4E78" w:rsidR="00870D04" w:rsidRPr="00E14983" w:rsidRDefault="00B309FE"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Žarnos prakiurimas.</w:t>
      </w:r>
    </w:p>
    <w:p w14:paraId="325B97FD" w14:textId="77777777"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Kepenų suriebėjimas</w:t>
      </w:r>
    </w:p>
    <w:p w14:paraId="7EE292AF" w14:textId="72C24308"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Odos reakcij</w:t>
      </w:r>
      <w:r w:rsidR="00B309FE" w:rsidRPr="00E14983">
        <w:rPr>
          <w:rFonts w:ascii="Times New Roman" w:hAnsi="Times New Roman" w:cs="Times New Roman"/>
          <w:sz w:val="22"/>
          <w:szCs w:val="22"/>
          <w:lang w:val="lt-LT"/>
        </w:rPr>
        <w:t>os.</w:t>
      </w:r>
    </w:p>
    <w:p w14:paraId="5522323E" w14:textId="0DD4A568"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Reakcija vaist</w:t>
      </w:r>
      <w:r w:rsidR="00B309FE" w:rsidRPr="00E14983">
        <w:rPr>
          <w:rFonts w:ascii="Times New Roman" w:hAnsi="Times New Roman" w:cs="Times New Roman"/>
          <w:sz w:val="22"/>
          <w:szCs w:val="22"/>
          <w:lang w:val="lt-LT"/>
        </w:rPr>
        <w:t>o suleidimo vietoje.</w:t>
      </w:r>
    </w:p>
    <w:p w14:paraId="1BEE594E" w14:textId="4DACB276"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Sumažėjęs kalio kiekis kraujyje</w:t>
      </w:r>
      <w:r w:rsidR="00B309FE" w:rsidRPr="00E14983">
        <w:rPr>
          <w:rFonts w:ascii="Times New Roman" w:hAnsi="Times New Roman" w:cs="Times New Roman"/>
          <w:sz w:val="22"/>
          <w:szCs w:val="22"/>
          <w:lang w:val="lt-LT"/>
        </w:rPr>
        <w:t>.</w:t>
      </w:r>
    </w:p>
    <w:p w14:paraId="21E4C494" w14:textId="75473DDE"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Sumažėjęs druskos kiekis kraujyje, daugiausia susijęs su viduriavimu ir vėmimu</w:t>
      </w:r>
      <w:r w:rsidR="00B309FE" w:rsidRPr="00E14983">
        <w:rPr>
          <w:rFonts w:ascii="Times New Roman" w:hAnsi="Times New Roman" w:cs="Times New Roman"/>
          <w:sz w:val="22"/>
          <w:szCs w:val="22"/>
          <w:lang w:val="lt-LT"/>
        </w:rPr>
        <w:t>.</w:t>
      </w:r>
    </w:p>
    <w:p w14:paraId="605620EE" w14:textId="491D6828"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Mėšlungis</w:t>
      </w:r>
      <w:r w:rsidR="00B309FE" w:rsidRPr="00E14983">
        <w:rPr>
          <w:rFonts w:ascii="Times New Roman" w:hAnsi="Times New Roman" w:cs="Times New Roman"/>
          <w:sz w:val="22"/>
          <w:szCs w:val="22"/>
          <w:lang w:val="lt-LT"/>
        </w:rPr>
        <w:t>.</w:t>
      </w:r>
    </w:p>
    <w:p w14:paraId="633A2905" w14:textId="08319FC6"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Inkstų sutrikimai*</w:t>
      </w:r>
      <w:r w:rsidR="00B309FE" w:rsidRPr="00E14983">
        <w:rPr>
          <w:rFonts w:ascii="Times New Roman" w:hAnsi="Times New Roman" w:cs="Times New Roman"/>
          <w:sz w:val="22"/>
          <w:szCs w:val="22"/>
          <w:lang w:val="lt-LT"/>
        </w:rPr>
        <w:t>.</w:t>
      </w:r>
    </w:p>
    <w:p w14:paraId="4944877F" w14:textId="31DA304B" w:rsidR="00870D04" w:rsidRPr="00E14983" w:rsidRDefault="00B309FE"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Žemas</w:t>
      </w:r>
      <w:r w:rsidR="00870D04" w:rsidRPr="00E14983">
        <w:rPr>
          <w:rFonts w:ascii="Times New Roman" w:hAnsi="Times New Roman" w:cs="Times New Roman"/>
          <w:sz w:val="22"/>
          <w:szCs w:val="22"/>
          <w:lang w:val="lt-LT"/>
        </w:rPr>
        <w:t xml:space="preserve"> kraujo spaudimas*</w:t>
      </w:r>
      <w:r w:rsidRPr="00E14983">
        <w:rPr>
          <w:rFonts w:ascii="Times New Roman" w:hAnsi="Times New Roman" w:cs="Times New Roman"/>
          <w:sz w:val="22"/>
          <w:szCs w:val="22"/>
          <w:lang w:val="lt-LT"/>
        </w:rPr>
        <w:t>.</w:t>
      </w:r>
    </w:p>
    <w:p w14:paraId="650EF571" w14:textId="42B7B410"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Grybelinės infekcijos</w:t>
      </w:r>
      <w:r w:rsidR="00B309FE" w:rsidRPr="00E14983">
        <w:rPr>
          <w:rFonts w:ascii="Times New Roman" w:hAnsi="Times New Roman" w:cs="Times New Roman"/>
          <w:sz w:val="22"/>
          <w:szCs w:val="22"/>
          <w:lang w:val="lt-LT"/>
        </w:rPr>
        <w:t>.</w:t>
      </w:r>
    </w:p>
    <w:p w14:paraId="7392D567" w14:textId="1C83AA66" w:rsidR="00870D04" w:rsidRPr="00E14983" w:rsidRDefault="00870D04" w:rsidP="00870D04">
      <w:pPr>
        <w:pStyle w:val="Debesliotekstas"/>
        <w:widowControl/>
        <w:numPr>
          <w:ilvl w:val="0"/>
          <w:numId w:val="24"/>
        </w:numPr>
        <w:snapToGrid/>
        <w:rPr>
          <w:rFonts w:ascii="Times New Roman" w:hAnsi="Times New Roman" w:cs="Times New Roman"/>
          <w:sz w:val="22"/>
          <w:szCs w:val="22"/>
          <w:lang w:val="lt-LT"/>
        </w:rPr>
      </w:pPr>
      <w:r w:rsidRPr="00E14983">
        <w:rPr>
          <w:rFonts w:ascii="Times New Roman" w:hAnsi="Times New Roman" w:cs="Times New Roman"/>
          <w:sz w:val="22"/>
          <w:szCs w:val="22"/>
          <w:lang w:val="lt-LT"/>
        </w:rPr>
        <w:t>Virusinės infekcijos</w:t>
      </w:r>
      <w:r w:rsidR="00B309FE" w:rsidRPr="00E14983">
        <w:rPr>
          <w:rFonts w:ascii="Times New Roman" w:hAnsi="Times New Roman" w:cs="Times New Roman"/>
          <w:sz w:val="22"/>
          <w:szCs w:val="22"/>
          <w:lang w:val="lt-LT"/>
        </w:rPr>
        <w:t>.</w:t>
      </w:r>
    </w:p>
    <w:p w14:paraId="0E9CB07A" w14:textId="022CC3B4" w:rsidR="009500C0" w:rsidRPr="00E14983" w:rsidRDefault="009500C0"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14:paraId="0A5C9029" w14:textId="599D8BC6" w:rsidR="00B309FE" w:rsidRPr="00E14983" w:rsidRDefault="00B309FE"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eastAsia="en-IN"/>
        </w:rPr>
        <w:t xml:space="preserve">* </w:t>
      </w:r>
      <w:r w:rsidRPr="00E14983">
        <w:rPr>
          <w:rFonts w:ascii="Times New Roman" w:eastAsia="Times New Roman" w:hAnsi="Times New Roman" w:cs="Times New Roman"/>
          <w:color w:val="000000"/>
          <w:lang w:val="lt-LT"/>
        </w:rPr>
        <w:t xml:space="preserve">Nedažni šių reiškinių atvejai buvo nustatyti pacientams, </w:t>
      </w:r>
      <w:r w:rsidRPr="00E14983">
        <w:rPr>
          <w:rFonts w:ascii="Times New Roman" w:eastAsia="Times New Roman" w:hAnsi="Times New Roman" w:cs="Times New Roman"/>
          <w:lang w:val="lt-LT"/>
        </w:rPr>
        <w:t>kuriems pasireiškė dehidratacijos epizodai, susiję su viduriavimu ir (arba) vėmimu, arba sepsis.</w:t>
      </w:r>
    </w:p>
    <w:p w14:paraId="08A39E13" w14:textId="77777777" w:rsidR="00B309FE" w:rsidRPr="00E14983" w:rsidRDefault="00B309FE" w:rsidP="009500C0">
      <w:pPr>
        <w:keepNext/>
        <w:keepLines/>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en-IN"/>
        </w:rPr>
      </w:pPr>
    </w:p>
    <w:p w14:paraId="0673B979" w14:textId="16FD2A54" w:rsidR="009500C0" w:rsidRPr="00E14983" w:rsidRDefault="009500C0" w:rsidP="009500C0">
      <w:pPr>
        <w:keepNext/>
        <w:keepLines/>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Jeigu vartojate</w:t>
      </w:r>
      <w:r w:rsidRPr="00E14983">
        <w:rPr>
          <w:rFonts w:ascii="Times New Roman" w:hAnsi="Times New Roman" w:cs="Times New Roman"/>
          <w:lang w:val="lt-LT"/>
        </w:rPr>
        <w:t xml:space="preserve"> </w:t>
      </w:r>
      <w:r w:rsidRPr="00E14983">
        <w:rPr>
          <w:rFonts w:ascii="Times New Roman" w:eastAsia="Times New Roman" w:hAnsi="Times New Roman" w:cs="Times New Roman"/>
          <w:lang w:val="lt-LT"/>
        </w:rPr>
        <w:t xml:space="preserve">Irinotecan Accord ir </w:t>
      </w:r>
      <w:r w:rsidRPr="00E14983">
        <w:rPr>
          <w:rFonts w:ascii="Times New Roman" w:eastAsia="Times New Roman" w:hAnsi="Times New Roman" w:cs="Times New Roman"/>
          <w:b/>
          <w:lang w:val="lt-LT"/>
        </w:rPr>
        <w:t>cetuksimabo</w:t>
      </w:r>
      <w:r w:rsidRPr="00E14983">
        <w:rPr>
          <w:rFonts w:ascii="Times New Roman" w:eastAsia="Times New Roman" w:hAnsi="Times New Roman" w:cs="Times New Roman"/>
          <w:lang w:val="lt-LT"/>
        </w:rPr>
        <w:t xml:space="preserve"> derinį, kai kurie šalutini</w:t>
      </w:r>
      <w:r w:rsidR="00DF4F12"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poveiki</w:t>
      </w:r>
      <w:r w:rsidR="00DF4F12" w:rsidRPr="00E14983">
        <w:rPr>
          <w:rFonts w:ascii="Times New Roman" w:eastAsia="Times New Roman" w:hAnsi="Times New Roman" w:cs="Times New Roman"/>
          <w:lang w:val="lt-LT"/>
        </w:rPr>
        <w:t>o reiškini</w:t>
      </w:r>
      <w:r w:rsidRPr="00E14983">
        <w:rPr>
          <w:rFonts w:ascii="Times New Roman" w:eastAsia="Times New Roman" w:hAnsi="Times New Roman" w:cs="Times New Roman"/>
          <w:lang w:val="lt-LT"/>
        </w:rPr>
        <w:t>ai gali atsirasti dėl vartojamo derinio. Tai gali būti panašus į aknę bėrimas. Dėl šios priežasties, prašome taip pat perskaityti cetuksimabo pakuotės lapelį.</w:t>
      </w:r>
    </w:p>
    <w:p w14:paraId="209F142D"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11D5C530" w14:textId="094DA339"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Irinotecan Accord ir </w:t>
      </w:r>
      <w:r w:rsidRPr="00E14983">
        <w:rPr>
          <w:rFonts w:ascii="Times New Roman" w:eastAsia="Times New Roman" w:hAnsi="Times New Roman" w:cs="Times New Roman"/>
          <w:b/>
          <w:lang w:val="lt-LT"/>
        </w:rPr>
        <w:t>kapecitabino</w:t>
      </w:r>
      <w:r w:rsidRPr="00E14983">
        <w:rPr>
          <w:rFonts w:ascii="Times New Roman" w:eastAsia="Times New Roman" w:hAnsi="Times New Roman" w:cs="Times New Roman"/>
          <w:lang w:val="lt-LT"/>
        </w:rPr>
        <w:t xml:space="preserve"> derinį, kai kurie šalutini</w:t>
      </w:r>
      <w:r w:rsidR="00DF4F12"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poveiki</w:t>
      </w:r>
      <w:r w:rsidR="00DF4F12" w:rsidRPr="00E14983">
        <w:rPr>
          <w:rFonts w:ascii="Times New Roman" w:eastAsia="Times New Roman" w:hAnsi="Times New Roman" w:cs="Times New Roman"/>
          <w:lang w:val="lt-LT"/>
        </w:rPr>
        <w:t>o reiškini</w:t>
      </w:r>
      <w:r w:rsidRPr="00E14983">
        <w:rPr>
          <w:rFonts w:ascii="Times New Roman" w:eastAsia="Times New Roman" w:hAnsi="Times New Roman" w:cs="Times New Roman"/>
          <w:lang w:val="lt-LT"/>
        </w:rPr>
        <w:t>ai gali atsirasti dėl vartojamo derinio. Tai gali būti kraujo krešuliai (labai dažnai), alerginės reakcijos (dažnai), širdies smūgis arba pacientams, kurių baltųjų ląstelių kiekis mažas, gali prasidėti karščiavimas. Dėl šios priežasties, prašome taip pat perskaityti kapecitabino pakuotės lapelį.</w:t>
      </w:r>
    </w:p>
    <w:p w14:paraId="50FA76D0"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p>
    <w:p w14:paraId="33ACE221" w14:textId="55D83768"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Jeigu vartojate Irinotecan Accord ir </w:t>
      </w:r>
      <w:r w:rsidRPr="00E14983">
        <w:rPr>
          <w:rFonts w:ascii="Times New Roman" w:eastAsia="Times New Roman" w:hAnsi="Times New Roman" w:cs="Times New Roman"/>
          <w:b/>
          <w:lang w:val="lt-LT"/>
        </w:rPr>
        <w:t>kapecitabino</w:t>
      </w:r>
      <w:r w:rsidRPr="00E14983">
        <w:rPr>
          <w:rFonts w:ascii="Times New Roman" w:eastAsia="Times New Roman" w:hAnsi="Times New Roman" w:cs="Times New Roman"/>
          <w:lang w:val="lt-LT"/>
        </w:rPr>
        <w:t xml:space="preserve"> ir </w:t>
      </w:r>
      <w:r w:rsidRPr="00E14983">
        <w:rPr>
          <w:rFonts w:ascii="Times New Roman" w:eastAsia="Times New Roman" w:hAnsi="Times New Roman" w:cs="Times New Roman"/>
          <w:b/>
          <w:lang w:val="lt-LT"/>
        </w:rPr>
        <w:t>bevacizumabo</w:t>
      </w:r>
      <w:r w:rsidRPr="00E14983">
        <w:rPr>
          <w:rFonts w:ascii="Times New Roman" w:eastAsia="Times New Roman" w:hAnsi="Times New Roman" w:cs="Times New Roman"/>
          <w:lang w:val="lt-LT"/>
        </w:rPr>
        <w:t xml:space="preserve"> derinį, kai kurie šalutini</w:t>
      </w:r>
      <w:r w:rsidR="00DF4F12" w:rsidRPr="00E14983">
        <w:rPr>
          <w:rFonts w:ascii="Times New Roman" w:eastAsia="Times New Roman" w:hAnsi="Times New Roman" w:cs="Times New Roman"/>
          <w:lang w:val="lt-LT"/>
        </w:rPr>
        <w:t>o</w:t>
      </w:r>
      <w:r w:rsidRPr="00E14983">
        <w:rPr>
          <w:rFonts w:ascii="Times New Roman" w:eastAsia="Times New Roman" w:hAnsi="Times New Roman" w:cs="Times New Roman"/>
          <w:lang w:val="lt-LT"/>
        </w:rPr>
        <w:t xml:space="preserve"> poveiki</w:t>
      </w:r>
      <w:r w:rsidR="00DF4F12" w:rsidRPr="00E14983">
        <w:rPr>
          <w:rFonts w:ascii="Times New Roman" w:eastAsia="Times New Roman" w:hAnsi="Times New Roman" w:cs="Times New Roman"/>
          <w:lang w:val="lt-LT"/>
        </w:rPr>
        <w:t>o reiškiniai</w:t>
      </w:r>
      <w:r w:rsidRPr="00E14983">
        <w:rPr>
          <w:rFonts w:ascii="Times New Roman" w:eastAsia="Times New Roman" w:hAnsi="Times New Roman" w:cs="Times New Roman"/>
          <w:lang w:val="lt-LT"/>
        </w:rPr>
        <w:t xml:space="preserve"> gali atsirasti dėl vartojamo derinio. Tai gali būti mažas baltųjų kraujo ląstelių kiekis, kraujo krešuliai, aukštas kraujo spaudimas ir širdies smūgis. Dėl šios priežasties, prašome taip pat perskaityti kapecitabino pakuotės lapelį.</w:t>
      </w:r>
    </w:p>
    <w:p w14:paraId="0A6BDA4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66A21B9A" w14:textId="77777777" w:rsidR="009500C0" w:rsidRPr="00E14983" w:rsidRDefault="009500C0" w:rsidP="009500C0">
      <w:pPr>
        <w:tabs>
          <w:tab w:val="left" w:pos="567"/>
        </w:tabs>
        <w:spacing w:after="0" w:line="240" w:lineRule="auto"/>
        <w:rPr>
          <w:rFonts w:ascii="Times New Roman" w:eastAsia="Times New Roman" w:hAnsi="Times New Roman" w:cs="Times New Roman"/>
          <w:b/>
          <w:snapToGrid w:val="0"/>
          <w:lang w:val="lt-LT"/>
        </w:rPr>
      </w:pPr>
      <w:r w:rsidRPr="00E14983">
        <w:rPr>
          <w:rFonts w:ascii="Times New Roman" w:eastAsia="Times New Roman" w:hAnsi="Times New Roman" w:cs="Times New Roman"/>
          <w:b/>
          <w:snapToGrid w:val="0"/>
          <w:lang w:val="lt-LT"/>
        </w:rPr>
        <w:t>Pranešimas apie šalutinį poveikį</w:t>
      </w:r>
    </w:p>
    <w:p w14:paraId="7409D129" w14:textId="7C106E1F" w:rsidR="009500C0" w:rsidRPr="00E14983" w:rsidRDefault="009500C0" w:rsidP="009500C0">
      <w:pPr>
        <w:tabs>
          <w:tab w:val="left" w:pos="567"/>
        </w:tabs>
        <w:spacing w:after="0" w:line="240" w:lineRule="auto"/>
        <w:ind w:right="-449"/>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 xml:space="preserve">Jeigu pasireiškė šalutinis poveikis, įskaitant šiame lapelyje nenurodytą, pasakykite gydytojui, vaistininkui arba slaugytojui. </w:t>
      </w:r>
      <w:r w:rsidR="00DF4F12" w:rsidRPr="00E14983">
        <w:rPr>
          <w:rFonts w:ascii="Times New Roman" w:eastAsia="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w:t>
      </w:r>
      <w:r w:rsidRPr="00E14983">
        <w:rPr>
          <w:rFonts w:ascii="Times New Roman" w:eastAsia="Times New Roman" w:hAnsi="Times New Roman" w:cs="Times New Roman"/>
          <w:snapToGrid w:val="0"/>
          <w:lang w:val="lt-LT"/>
        </w:rPr>
        <w:t>Pranešdami apie šalutinį poveikį galite mums padėti gauti daugiau informacijos apie šio vaisto saugumą.</w:t>
      </w:r>
    </w:p>
    <w:p w14:paraId="37AA1984" w14:textId="77777777" w:rsidR="009500C0" w:rsidRPr="00E14983" w:rsidRDefault="009500C0" w:rsidP="009500C0">
      <w:pPr>
        <w:tabs>
          <w:tab w:val="left" w:pos="567"/>
        </w:tabs>
        <w:spacing w:after="0" w:line="240" w:lineRule="auto"/>
        <w:rPr>
          <w:rFonts w:ascii="Times New Roman" w:eastAsia="Times New Roman" w:hAnsi="Times New Roman" w:cs="Times New Roman"/>
          <w:color w:val="000000"/>
          <w:lang w:val="lt-LT"/>
        </w:rPr>
      </w:pPr>
    </w:p>
    <w:p w14:paraId="13A1AE1A"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color w:val="000000"/>
          <w:lang w:val="lt-LT"/>
        </w:rPr>
      </w:pPr>
    </w:p>
    <w:p w14:paraId="3CA0EA6C" w14:textId="77777777" w:rsidR="009500C0" w:rsidRPr="00E14983" w:rsidRDefault="009500C0" w:rsidP="009500C0">
      <w:pPr>
        <w:keepNext/>
        <w:keepLines/>
        <w:tabs>
          <w:tab w:val="left" w:pos="567"/>
        </w:tabs>
        <w:spacing w:after="0" w:line="240" w:lineRule="auto"/>
        <w:outlineLvl w:val="2"/>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snapToGrid w:val="0"/>
          <w:lang w:val="lt-LT"/>
        </w:rPr>
        <w:t>5.</w:t>
      </w:r>
      <w:r w:rsidRPr="00E14983">
        <w:rPr>
          <w:rFonts w:ascii="Times New Roman" w:eastAsia="Times New Roman" w:hAnsi="Times New Roman" w:cs="Times New Roman"/>
          <w:b/>
          <w:bCs/>
          <w:snapToGrid w:val="0"/>
          <w:lang w:val="lt-LT"/>
        </w:rPr>
        <w:tab/>
        <w:t xml:space="preserve">Kaip laikyti </w:t>
      </w:r>
      <w:r w:rsidRPr="00E14983">
        <w:rPr>
          <w:rFonts w:ascii="Times New Roman" w:eastAsia="Times New Roman" w:hAnsi="Times New Roman" w:cs="Times New Roman"/>
          <w:b/>
          <w:bCs/>
          <w:color w:val="000000"/>
          <w:lang w:val="lt-LT"/>
        </w:rPr>
        <w:t>Irinotecan Accord</w:t>
      </w:r>
    </w:p>
    <w:p w14:paraId="044DF5F3" w14:textId="77777777" w:rsidR="009500C0" w:rsidRPr="00E14983" w:rsidRDefault="009500C0" w:rsidP="009500C0">
      <w:pPr>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p>
    <w:p w14:paraId="3DE10E0B" w14:textId="77777777" w:rsidR="009500C0" w:rsidRPr="00E14983" w:rsidRDefault="009500C0" w:rsidP="009500C0">
      <w:pPr>
        <w:numPr>
          <w:ilvl w:val="12"/>
          <w:numId w:val="0"/>
        </w:numPr>
        <w:spacing w:after="0" w:line="240" w:lineRule="auto"/>
        <w:ind w:right="-2"/>
        <w:rPr>
          <w:rFonts w:ascii="Times New Roman" w:eastAsia="Times New Roman" w:hAnsi="Times New Roman" w:cs="Times New Roman"/>
          <w:bCs/>
          <w:color w:val="000000"/>
          <w:lang w:val="lt-LT"/>
        </w:rPr>
      </w:pPr>
      <w:r w:rsidRPr="00E14983">
        <w:rPr>
          <w:rFonts w:ascii="Times New Roman" w:eastAsia="Times New Roman" w:hAnsi="Times New Roman" w:cs="Times New Roman"/>
          <w:snapToGrid w:val="0"/>
          <w:lang w:val="lt-LT"/>
        </w:rPr>
        <w:t>Šį vaistą laikykite vaikams nepastebimoje ir nepasiekiamoje vietoje.</w:t>
      </w:r>
    </w:p>
    <w:p w14:paraId="7DE4A09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Negalima užšaldyti.</w:t>
      </w:r>
    </w:p>
    <w:p w14:paraId="46F2F1C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Tik vienkartiniam vartojimui.</w:t>
      </w:r>
    </w:p>
    <w:p w14:paraId="7132C04D" w14:textId="073AA6FD"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Cs/>
          <w:color w:val="000000"/>
          <w:lang w:val="lt-LT"/>
        </w:rPr>
      </w:pPr>
      <w:r w:rsidRPr="00E14983">
        <w:rPr>
          <w:rFonts w:ascii="Times New Roman" w:eastAsia="Times New Roman" w:hAnsi="Times New Roman" w:cs="Times New Roman"/>
          <w:bCs/>
          <w:color w:val="000000"/>
          <w:lang w:val="lt-LT"/>
        </w:rPr>
        <w:t xml:space="preserve">Šio vaisto laikymui specialių temperatūros sąlygų nereikalaujama. Laikyti gamintojo pakuotėje, kad </w:t>
      </w:r>
      <w:r w:rsidR="00B61679" w:rsidRPr="00E14983">
        <w:rPr>
          <w:rFonts w:ascii="Times New Roman" w:eastAsia="Times New Roman" w:hAnsi="Times New Roman" w:cs="Times New Roman"/>
          <w:bCs/>
          <w:color w:val="000000"/>
          <w:lang w:val="lt-LT"/>
        </w:rPr>
        <w:t>vaista</w:t>
      </w:r>
      <w:r w:rsidRPr="00E14983">
        <w:rPr>
          <w:rFonts w:ascii="Times New Roman" w:eastAsia="Times New Roman" w:hAnsi="Times New Roman" w:cs="Times New Roman"/>
          <w:bCs/>
          <w:color w:val="000000"/>
          <w:lang w:val="lt-LT"/>
        </w:rPr>
        <w:t>s būtų apsaugotas nuo šviesos.</w:t>
      </w:r>
    </w:p>
    <w:p w14:paraId="430835B8" w14:textId="7024DD5F"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color w:val="000000"/>
          <w:lang w:val="lt-LT"/>
        </w:rPr>
        <w:t>Ant dėžutės ir flakono po „EXP“ nurodytam tinkamumo laikui pasibaigus, šio vaisto vartoti negalima. Vaistas tinkamas vartoti iki paskutinės nurodyto mėnesio dienos.</w:t>
      </w:r>
    </w:p>
    <w:p w14:paraId="2D01B57A"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color w:val="000000"/>
          <w:lang w:val="lt-LT"/>
        </w:rPr>
      </w:pPr>
    </w:p>
    <w:p w14:paraId="359BD6CC" w14:textId="77777777" w:rsidR="009500C0" w:rsidRPr="00E14983" w:rsidRDefault="009500C0" w:rsidP="009500C0">
      <w:pPr>
        <w:tabs>
          <w:tab w:val="left" w:pos="567"/>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368C22E8"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3923ED1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324C01F2" w14:textId="77777777" w:rsidR="009500C0" w:rsidRPr="00E14983" w:rsidRDefault="009500C0" w:rsidP="00ED157C">
      <w:pPr>
        <w:keepNext/>
        <w:tabs>
          <w:tab w:val="left" w:pos="567"/>
        </w:tabs>
        <w:spacing w:after="0" w:line="240" w:lineRule="auto"/>
        <w:rPr>
          <w:rFonts w:ascii="Times New Roman" w:eastAsia="Times New Roman" w:hAnsi="Times New Roman" w:cs="Times New Roman"/>
          <w:b/>
          <w:lang w:val="lt-LT"/>
        </w:rPr>
      </w:pPr>
      <w:bookmarkStart w:id="19" w:name="_Toc129243144"/>
      <w:bookmarkStart w:id="20" w:name="_Toc129243269"/>
      <w:r w:rsidRPr="00E14983">
        <w:rPr>
          <w:rFonts w:ascii="Times New Roman" w:eastAsia="Times New Roman" w:hAnsi="Times New Roman" w:cs="Times New Roman"/>
          <w:b/>
          <w:lang w:val="lt-LT"/>
        </w:rPr>
        <w:t>6.</w:t>
      </w:r>
      <w:r w:rsidRPr="00E14983">
        <w:rPr>
          <w:rFonts w:ascii="Times New Roman" w:eastAsia="Times New Roman" w:hAnsi="Times New Roman" w:cs="Times New Roman"/>
          <w:b/>
          <w:lang w:val="lt-LT"/>
        </w:rPr>
        <w:tab/>
        <w:t>Pakuotės turinys ir kita informacija</w:t>
      </w:r>
      <w:bookmarkEnd w:id="19"/>
      <w:bookmarkEnd w:id="20"/>
    </w:p>
    <w:p w14:paraId="28F3724A" w14:textId="77777777" w:rsidR="009500C0" w:rsidRPr="00E14983" w:rsidRDefault="009500C0" w:rsidP="00ED157C">
      <w:pPr>
        <w:keepNext/>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1E743E67" w14:textId="77777777" w:rsidR="009500C0" w:rsidRPr="00E14983" w:rsidRDefault="009500C0" w:rsidP="00ED157C">
      <w:pPr>
        <w:keepNext/>
        <w:widowControl w:val="0"/>
        <w:shd w:val="clear" w:color="auto" w:fill="FFFFFF"/>
        <w:tabs>
          <w:tab w:val="left" w:pos="173"/>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rPr>
      </w:pPr>
      <w:r w:rsidRPr="00E14983">
        <w:rPr>
          <w:rFonts w:ascii="Times New Roman" w:eastAsia="Times New Roman" w:hAnsi="Times New Roman" w:cs="Times New Roman"/>
          <w:b/>
          <w:bCs/>
          <w:color w:val="000000"/>
          <w:lang w:val="lt-LT"/>
        </w:rPr>
        <w:t>Irinotecan Accord sudėtis</w:t>
      </w:r>
    </w:p>
    <w:p w14:paraId="6C8AADC3" w14:textId="77777777" w:rsidR="009500C0" w:rsidRPr="00E14983" w:rsidRDefault="009500C0" w:rsidP="00ED157C">
      <w:pPr>
        <w:pStyle w:val="Sraopastraipa"/>
        <w:keepNext/>
        <w:numPr>
          <w:ilvl w:val="0"/>
          <w:numId w:val="42"/>
        </w:numPr>
        <w:tabs>
          <w:tab w:val="left" w:pos="0"/>
        </w:tabs>
        <w:ind w:left="567" w:hanging="567"/>
        <w:jc w:val="both"/>
        <w:rPr>
          <w:sz w:val="22"/>
          <w:szCs w:val="22"/>
          <w:lang w:val="lt-LT"/>
        </w:rPr>
      </w:pPr>
      <w:r w:rsidRPr="00E14983">
        <w:rPr>
          <w:color w:val="000000"/>
          <w:sz w:val="22"/>
          <w:szCs w:val="22"/>
          <w:lang w:val="lt-LT"/>
        </w:rPr>
        <w:t>Veiklioji medžiaga yra irinotekano hidrochloridas trihidratas.</w:t>
      </w:r>
      <w:r w:rsidRPr="00E14983">
        <w:rPr>
          <w:sz w:val="22"/>
          <w:szCs w:val="22"/>
          <w:lang w:val="lt-LT"/>
        </w:rPr>
        <w:t xml:space="preserve"> </w:t>
      </w:r>
    </w:p>
    <w:p w14:paraId="1F390276" w14:textId="77777777" w:rsidR="009500C0" w:rsidRPr="00E14983" w:rsidRDefault="009500C0" w:rsidP="009500C0">
      <w:pPr>
        <w:pStyle w:val="Sraopastraipa"/>
        <w:numPr>
          <w:ilvl w:val="0"/>
          <w:numId w:val="42"/>
        </w:numPr>
        <w:shd w:val="clear" w:color="auto" w:fill="FFFFFF"/>
        <w:tabs>
          <w:tab w:val="left" w:pos="567"/>
        </w:tabs>
        <w:ind w:left="567" w:hanging="567"/>
        <w:rPr>
          <w:color w:val="000000"/>
          <w:sz w:val="22"/>
          <w:szCs w:val="22"/>
          <w:lang w:val="lt-LT"/>
        </w:rPr>
      </w:pPr>
      <w:r w:rsidRPr="00E14983">
        <w:rPr>
          <w:color w:val="000000"/>
          <w:sz w:val="22"/>
          <w:szCs w:val="22"/>
          <w:lang w:val="lt-LT"/>
        </w:rPr>
        <w:t>1 ml koncentrato yra 20 mg irinotekano hidrochlorido trihidrato, atitinkančio 17,33 mg irinotekano.</w:t>
      </w:r>
    </w:p>
    <w:p w14:paraId="69201CA4" w14:textId="77777777" w:rsidR="009500C0" w:rsidRPr="00E14983" w:rsidRDefault="009500C0" w:rsidP="009500C0">
      <w:pPr>
        <w:pStyle w:val="Sraopastraipa"/>
        <w:numPr>
          <w:ilvl w:val="0"/>
          <w:numId w:val="42"/>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Viename 2 ml flakone yra 40 mg irinotekano hidrochlorido trihidrato.</w:t>
      </w:r>
    </w:p>
    <w:p w14:paraId="0FF7AD20" w14:textId="77777777" w:rsidR="009500C0" w:rsidRPr="00E14983" w:rsidRDefault="009500C0" w:rsidP="009500C0">
      <w:pPr>
        <w:pStyle w:val="Sraopastraipa"/>
        <w:numPr>
          <w:ilvl w:val="0"/>
          <w:numId w:val="42"/>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Viename 5 ml flakone yra 100 mg irinotekano hidrochlorido trihidrato.</w:t>
      </w:r>
    </w:p>
    <w:p w14:paraId="2BB96D88" w14:textId="77777777" w:rsidR="009500C0" w:rsidRPr="00E14983" w:rsidRDefault="009500C0" w:rsidP="009500C0">
      <w:pPr>
        <w:pStyle w:val="Sraopastraipa"/>
        <w:numPr>
          <w:ilvl w:val="0"/>
          <w:numId w:val="42"/>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Viename 15 ml flakone yra 300 mg irinotekano hidrochlorido trihidrato.</w:t>
      </w:r>
    </w:p>
    <w:p w14:paraId="03ABCA22" w14:textId="5E63F07C" w:rsidR="009500C0" w:rsidRPr="00E14983" w:rsidRDefault="009500C0" w:rsidP="009500C0">
      <w:pPr>
        <w:pStyle w:val="Sraopastraipa"/>
        <w:numPr>
          <w:ilvl w:val="0"/>
          <w:numId w:val="42"/>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Viename 25 ml flakone yra 500 mg irinotekano hidrochlorido trihidrato.</w:t>
      </w:r>
    </w:p>
    <w:p w14:paraId="3B0DA0AF" w14:textId="64B9E4CE" w:rsidR="00A0600D" w:rsidRPr="00E14983" w:rsidRDefault="00A0600D" w:rsidP="00A0600D">
      <w:pPr>
        <w:pStyle w:val="Sraopastraipa"/>
        <w:numPr>
          <w:ilvl w:val="0"/>
          <w:numId w:val="42"/>
        </w:numPr>
        <w:shd w:val="clear" w:color="auto" w:fill="FFFFFF"/>
        <w:tabs>
          <w:tab w:val="left" w:pos="567"/>
        </w:tabs>
        <w:ind w:left="567" w:hanging="567"/>
        <w:jc w:val="both"/>
        <w:rPr>
          <w:color w:val="000000"/>
          <w:sz w:val="22"/>
          <w:szCs w:val="22"/>
          <w:lang w:val="lt-LT"/>
        </w:rPr>
      </w:pPr>
      <w:r w:rsidRPr="00E14983">
        <w:rPr>
          <w:color w:val="000000"/>
          <w:sz w:val="22"/>
          <w:szCs w:val="22"/>
          <w:lang w:val="lt-LT"/>
        </w:rPr>
        <w:t>Viename 50 ml flakone yra 1000 mg irinotekano hidrochlorido trihidrato.</w:t>
      </w:r>
    </w:p>
    <w:p w14:paraId="70763804" w14:textId="77777777" w:rsidR="009500C0" w:rsidRPr="00E14983" w:rsidRDefault="009500C0" w:rsidP="009500C0">
      <w:pPr>
        <w:pStyle w:val="Sraopastraipa"/>
        <w:keepNext/>
        <w:keepLines/>
        <w:widowControl/>
        <w:numPr>
          <w:ilvl w:val="1"/>
          <w:numId w:val="44"/>
        </w:numPr>
        <w:ind w:left="567" w:hanging="567"/>
        <w:rPr>
          <w:color w:val="000000"/>
          <w:sz w:val="22"/>
          <w:szCs w:val="22"/>
          <w:lang w:val="lt-LT"/>
        </w:rPr>
      </w:pPr>
      <w:r w:rsidRPr="00E14983">
        <w:rPr>
          <w:color w:val="000000"/>
          <w:sz w:val="22"/>
          <w:szCs w:val="22"/>
          <w:lang w:val="lt-LT"/>
        </w:rPr>
        <w:t>Pagalbinės medžiagos yra sorbitolis (E420), pieno rūgštis, natrio hidroksidas, vandenilio chlorido rūgštis ir injekcinis vanduo.</w:t>
      </w:r>
    </w:p>
    <w:p w14:paraId="024FDE1A"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4D084D9B"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b/>
          <w:bCs/>
          <w:color w:val="000000"/>
          <w:lang w:val="lt-LT"/>
        </w:rPr>
        <w:t>Irinotecan Accord išvaizda ir kiekis pakuotėje</w:t>
      </w:r>
    </w:p>
    <w:p w14:paraId="52961C0F" w14:textId="77777777" w:rsidR="009500C0" w:rsidRPr="00E14983" w:rsidRDefault="009500C0" w:rsidP="009500C0">
      <w:pPr>
        <w:tabs>
          <w:tab w:val="left" w:pos="271"/>
        </w:tabs>
        <w:autoSpaceDE w:val="0"/>
        <w:autoSpaceDN w:val="0"/>
        <w:adjustRightInd w:val="0"/>
        <w:spacing w:after="0" w:line="240" w:lineRule="auto"/>
        <w:jc w:val="both"/>
        <w:rPr>
          <w:rFonts w:ascii="Times New Roman" w:eastAsia="Times New Roman" w:hAnsi="Times New Roman" w:cs="Times New Roman"/>
          <w:color w:val="000000"/>
          <w:lang w:val="lt-LT"/>
        </w:rPr>
      </w:pPr>
      <w:r w:rsidRPr="00E14983">
        <w:rPr>
          <w:rFonts w:ascii="Times New Roman" w:eastAsia="Times New Roman" w:hAnsi="Times New Roman" w:cs="Times New Roman"/>
          <w:lang w:val="lt-LT"/>
        </w:rPr>
        <w:t xml:space="preserve">Irinotecan Accord </w:t>
      </w:r>
      <w:r w:rsidRPr="00E14983">
        <w:rPr>
          <w:rFonts w:ascii="Times New Roman" w:eastAsia="Times New Roman" w:hAnsi="Times New Roman" w:cs="Times New Roman"/>
          <w:color w:val="000000"/>
          <w:lang w:val="lt-LT"/>
        </w:rPr>
        <w:t>20 mg/ml koncentratas infuziniam tirpalui yra skaidrus, šviesiai geltonos spalvos tirpalas.</w:t>
      </w:r>
    </w:p>
    <w:p w14:paraId="63BF59B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3EE2B640"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Pakuotės dydžiai:</w:t>
      </w:r>
    </w:p>
    <w:p w14:paraId="1A76822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 ml</w:t>
      </w:r>
    </w:p>
    <w:p w14:paraId="4F6AED6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 ml</w:t>
      </w:r>
    </w:p>
    <w:p w14:paraId="542251D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15 ml</w:t>
      </w:r>
    </w:p>
    <w:p w14:paraId="43AACBF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25 ml</w:t>
      </w:r>
    </w:p>
    <w:p w14:paraId="0A5FD6A4" w14:textId="4C21EA04" w:rsidR="009500C0" w:rsidRPr="00E14983" w:rsidRDefault="00A0600D"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50 ml</w:t>
      </w:r>
    </w:p>
    <w:p w14:paraId="4C1B6B2D" w14:textId="77777777" w:rsidR="00A0600D" w:rsidRPr="00E14983" w:rsidRDefault="00A0600D"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19BA1A7C"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Gali būti tiekiamos ne visų dydžių pakuotės.</w:t>
      </w:r>
    </w:p>
    <w:p w14:paraId="1396D6C6"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1CBA279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Registruotojas ir gamintojas</w:t>
      </w:r>
    </w:p>
    <w:p w14:paraId="2C8DDEDE"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59ABACA9"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Registruotojas</w:t>
      </w:r>
    </w:p>
    <w:p w14:paraId="2A0BAA36" w14:textId="179C7852" w:rsidR="009500C0" w:rsidRPr="00E14983" w:rsidRDefault="009500C0" w:rsidP="00AC448A">
      <w:pPr>
        <w:spacing w:after="0" w:line="240" w:lineRule="auto"/>
        <w:rPr>
          <w:rFonts w:ascii="Times New Roman" w:hAnsi="Times New Roman"/>
          <w:lang w:val="lt-LT"/>
        </w:rPr>
      </w:pPr>
      <w:r w:rsidRPr="00E14983">
        <w:rPr>
          <w:rFonts w:ascii="Times New Roman" w:hAnsi="Times New Roman"/>
          <w:lang w:val="lt-LT"/>
        </w:rPr>
        <w:t xml:space="preserve">Accord Healthcare </w:t>
      </w:r>
      <w:r w:rsidR="001F6662" w:rsidRPr="00E14983">
        <w:rPr>
          <w:rFonts w:ascii="Times New Roman" w:hAnsi="Times New Roman" w:cs="Times New Roman"/>
          <w:lang w:val="lt-LT"/>
        </w:rPr>
        <w:t xml:space="preserve">B.V. </w:t>
      </w:r>
    </w:p>
    <w:p w14:paraId="03BC55DD"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Winthontlaan 200 </w:t>
      </w:r>
    </w:p>
    <w:p w14:paraId="6B36A3C6" w14:textId="77777777" w:rsidR="001F6662" w:rsidRPr="00E14983" w:rsidRDefault="001F6662" w:rsidP="001F6662">
      <w:pPr>
        <w:spacing w:after="0" w:line="240" w:lineRule="auto"/>
        <w:rPr>
          <w:rFonts w:ascii="Times New Roman" w:hAnsi="Times New Roman" w:cs="Times New Roman"/>
          <w:lang w:val="lt-LT"/>
        </w:rPr>
      </w:pPr>
      <w:r w:rsidRPr="00E14983">
        <w:rPr>
          <w:rFonts w:ascii="Times New Roman" w:hAnsi="Times New Roman" w:cs="Times New Roman"/>
          <w:lang w:val="lt-LT"/>
        </w:rPr>
        <w:t xml:space="preserve">3526 KV Utrecht </w:t>
      </w:r>
    </w:p>
    <w:p w14:paraId="2A35CE61" w14:textId="77777777" w:rsidR="001F6662" w:rsidRPr="00E14983" w:rsidRDefault="001F6662" w:rsidP="001F6662">
      <w:pPr>
        <w:spacing w:after="0" w:line="240" w:lineRule="auto"/>
        <w:rPr>
          <w:lang w:val="lt-LT"/>
        </w:rPr>
      </w:pPr>
      <w:r w:rsidRPr="00E14983">
        <w:rPr>
          <w:rFonts w:ascii="Times New Roman" w:hAnsi="Times New Roman" w:cs="Times New Roman"/>
          <w:lang w:val="lt-LT"/>
        </w:rPr>
        <w:t>Nyderlandai</w:t>
      </w:r>
    </w:p>
    <w:p w14:paraId="2AF77B01"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lang w:val="lt-LT"/>
        </w:rPr>
      </w:pPr>
    </w:p>
    <w:p w14:paraId="7336AB8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color w:val="000000"/>
          <w:lang w:val="lt-LT"/>
        </w:rPr>
      </w:pPr>
      <w:r w:rsidRPr="00E14983">
        <w:rPr>
          <w:rFonts w:ascii="Times New Roman" w:eastAsia="Times New Roman" w:hAnsi="Times New Roman" w:cs="Times New Roman"/>
          <w:b/>
          <w:color w:val="000000"/>
          <w:lang w:val="lt-LT"/>
        </w:rPr>
        <w:t>Gamintojas</w:t>
      </w:r>
    </w:p>
    <w:p w14:paraId="0DA39831" w14:textId="77777777" w:rsidR="00705C51" w:rsidRPr="00E14983" w:rsidRDefault="00705C51" w:rsidP="00705C51">
      <w:pPr>
        <w:autoSpaceDE w:val="0"/>
        <w:autoSpaceDN w:val="0"/>
        <w:adjustRightInd w:val="0"/>
        <w:spacing w:after="0" w:line="240" w:lineRule="auto"/>
        <w:rPr>
          <w:rFonts w:ascii="Times New Roman" w:eastAsia="SimSun" w:hAnsi="Times New Roman" w:cs="Times New Roman"/>
          <w:lang w:val="lt-LT"/>
        </w:rPr>
      </w:pPr>
      <w:r w:rsidRPr="00E14983">
        <w:rPr>
          <w:rFonts w:ascii="Times New Roman" w:eastAsia="SimSun" w:hAnsi="Times New Roman" w:cs="Times New Roman"/>
          <w:lang w:val="lt-LT"/>
        </w:rPr>
        <w:t>Accord Healthcare Polska Sp.z o.o.,</w:t>
      </w:r>
    </w:p>
    <w:p w14:paraId="4C9769EF" w14:textId="77777777" w:rsidR="00B61679" w:rsidRPr="00E14983" w:rsidRDefault="00705C51" w:rsidP="00705C51">
      <w:pPr>
        <w:autoSpaceDE w:val="0"/>
        <w:autoSpaceDN w:val="0"/>
        <w:adjustRightInd w:val="0"/>
        <w:spacing w:after="0" w:line="240" w:lineRule="auto"/>
        <w:rPr>
          <w:rFonts w:ascii="Times New Roman" w:eastAsia="SimSun" w:hAnsi="Times New Roman" w:cs="Times New Roman"/>
          <w:lang w:val="lt-LT"/>
        </w:rPr>
      </w:pPr>
      <w:r w:rsidRPr="00E14983">
        <w:rPr>
          <w:rFonts w:ascii="Times New Roman" w:eastAsia="SimSun" w:hAnsi="Times New Roman" w:cs="Times New Roman"/>
          <w:lang w:val="lt-LT"/>
        </w:rPr>
        <w:t>ul. Lutomierska 50,</w:t>
      </w:r>
      <w:r w:rsidR="00B309FE" w:rsidRPr="00E14983">
        <w:rPr>
          <w:rFonts w:ascii="Times New Roman" w:eastAsia="SimSun" w:hAnsi="Times New Roman" w:cs="Times New Roman"/>
          <w:lang w:val="lt-LT"/>
        </w:rPr>
        <w:t xml:space="preserve"> </w:t>
      </w:r>
      <w:r w:rsidRPr="00E14983">
        <w:rPr>
          <w:rFonts w:ascii="Times New Roman" w:eastAsia="SimSun" w:hAnsi="Times New Roman" w:cs="Times New Roman"/>
          <w:lang w:val="lt-LT"/>
        </w:rPr>
        <w:t xml:space="preserve">95-200 Pabianice, </w:t>
      </w:r>
    </w:p>
    <w:p w14:paraId="58124AB1" w14:textId="4D979E0E" w:rsidR="00705C51" w:rsidRPr="00E14983" w:rsidRDefault="00705C51" w:rsidP="00705C51">
      <w:pPr>
        <w:autoSpaceDE w:val="0"/>
        <w:autoSpaceDN w:val="0"/>
        <w:adjustRightInd w:val="0"/>
        <w:spacing w:after="0" w:line="240" w:lineRule="auto"/>
        <w:rPr>
          <w:rFonts w:ascii="Times New Roman" w:eastAsia="SimSun" w:hAnsi="Times New Roman" w:cs="Times New Roman"/>
          <w:lang w:val="lt-LT"/>
        </w:rPr>
      </w:pPr>
      <w:r w:rsidRPr="00E14983">
        <w:rPr>
          <w:rFonts w:ascii="Times New Roman" w:eastAsia="SimSun" w:hAnsi="Times New Roman" w:cs="Times New Roman"/>
          <w:lang w:val="lt-LT"/>
        </w:rPr>
        <w:t>Lenkija</w:t>
      </w:r>
    </w:p>
    <w:p w14:paraId="320ABDCC" w14:textId="77777777" w:rsidR="009500C0" w:rsidRDefault="009500C0" w:rsidP="009500C0">
      <w:pPr>
        <w:autoSpaceDE w:val="0"/>
        <w:autoSpaceDN w:val="0"/>
        <w:adjustRightInd w:val="0"/>
        <w:spacing w:after="0" w:line="240" w:lineRule="auto"/>
        <w:rPr>
          <w:rFonts w:ascii="Times New Roman" w:eastAsia="SimSun" w:hAnsi="Times New Roman" w:cs="Times New Roman"/>
          <w:lang w:val="lt-LT"/>
        </w:rPr>
      </w:pPr>
    </w:p>
    <w:p w14:paraId="218336C3" w14:textId="49A6E465" w:rsidR="00B0680C" w:rsidRDefault="00B0680C" w:rsidP="009500C0">
      <w:pPr>
        <w:autoSpaceDE w:val="0"/>
        <w:autoSpaceDN w:val="0"/>
        <w:adjustRightInd w:val="0"/>
        <w:spacing w:after="0" w:line="240" w:lineRule="auto"/>
        <w:rPr>
          <w:rFonts w:ascii="Times New Roman" w:eastAsia="SimSun" w:hAnsi="Times New Roman" w:cs="Times New Roman"/>
          <w:lang w:val="lt-LT"/>
        </w:rPr>
      </w:pPr>
      <w:r>
        <w:rPr>
          <w:rFonts w:ascii="Times New Roman" w:eastAsia="SimSun" w:hAnsi="Times New Roman" w:cs="Times New Roman"/>
          <w:lang w:val="lt-LT"/>
        </w:rPr>
        <w:t xml:space="preserve">arba </w:t>
      </w:r>
    </w:p>
    <w:p w14:paraId="7362D6A0" w14:textId="77777777" w:rsidR="00B0680C" w:rsidRDefault="00B0680C" w:rsidP="009500C0">
      <w:pPr>
        <w:autoSpaceDE w:val="0"/>
        <w:autoSpaceDN w:val="0"/>
        <w:adjustRightInd w:val="0"/>
        <w:spacing w:after="0" w:line="240" w:lineRule="auto"/>
        <w:rPr>
          <w:rFonts w:ascii="Times New Roman" w:eastAsia="SimSun" w:hAnsi="Times New Roman" w:cs="Times New Roman"/>
          <w:lang w:val="lt-LT"/>
        </w:rPr>
      </w:pPr>
    </w:p>
    <w:p w14:paraId="17AE2A86" w14:textId="77777777" w:rsidR="00B0680C" w:rsidRPr="00B0680C" w:rsidRDefault="00B0680C" w:rsidP="00B0680C">
      <w:pPr>
        <w:autoSpaceDE w:val="0"/>
        <w:autoSpaceDN w:val="0"/>
        <w:adjustRightInd w:val="0"/>
        <w:spacing w:after="0" w:line="240" w:lineRule="auto"/>
        <w:rPr>
          <w:rFonts w:ascii="Times New Roman" w:eastAsia="SimSun" w:hAnsi="Times New Roman" w:cs="Times New Roman"/>
          <w:lang w:val="lt-LT"/>
        </w:rPr>
      </w:pPr>
      <w:r w:rsidRPr="00B0680C">
        <w:rPr>
          <w:rFonts w:ascii="Times New Roman" w:eastAsia="SimSun" w:hAnsi="Times New Roman" w:cs="Times New Roman"/>
          <w:lang w:val="lt-LT"/>
        </w:rPr>
        <w:t>Accord Healthcare single member S.A.</w:t>
      </w:r>
    </w:p>
    <w:p w14:paraId="0FA205AA" w14:textId="77777777" w:rsidR="00B0680C" w:rsidRPr="00B0680C" w:rsidRDefault="00B0680C" w:rsidP="00B0680C">
      <w:pPr>
        <w:autoSpaceDE w:val="0"/>
        <w:autoSpaceDN w:val="0"/>
        <w:adjustRightInd w:val="0"/>
        <w:spacing w:after="0" w:line="240" w:lineRule="auto"/>
        <w:rPr>
          <w:rFonts w:ascii="Times New Roman" w:eastAsia="SimSun" w:hAnsi="Times New Roman" w:cs="Times New Roman"/>
          <w:lang w:val="lt-LT"/>
        </w:rPr>
      </w:pPr>
      <w:r w:rsidRPr="00B0680C">
        <w:rPr>
          <w:rFonts w:ascii="Times New Roman" w:eastAsia="SimSun" w:hAnsi="Times New Roman" w:cs="Times New Roman"/>
          <w:lang w:val="lt-LT"/>
        </w:rPr>
        <w:t>64th Km National Road Athens, Lamia, 32009,</w:t>
      </w:r>
    </w:p>
    <w:p w14:paraId="6D02FA89" w14:textId="55BFF9F6" w:rsidR="00B0680C" w:rsidRDefault="00B0680C" w:rsidP="00B0680C">
      <w:pPr>
        <w:autoSpaceDE w:val="0"/>
        <w:autoSpaceDN w:val="0"/>
        <w:adjustRightInd w:val="0"/>
        <w:spacing w:after="0" w:line="240" w:lineRule="auto"/>
        <w:rPr>
          <w:rFonts w:ascii="Times New Roman" w:eastAsia="SimSun" w:hAnsi="Times New Roman" w:cs="Times New Roman"/>
          <w:lang w:val="lt-LT"/>
        </w:rPr>
      </w:pPr>
      <w:r w:rsidRPr="00B0680C">
        <w:rPr>
          <w:rFonts w:ascii="Times New Roman" w:eastAsia="SimSun" w:hAnsi="Times New Roman" w:cs="Times New Roman"/>
          <w:lang w:val="lt-LT"/>
        </w:rPr>
        <w:t>Graikija</w:t>
      </w:r>
    </w:p>
    <w:p w14:paraId="66831840" w14:textId="77777777" w:rsidR="00B0680C" w:rsidRPr="00E14983" w:rsidRDefault="00B0680C" w:rsidP="00B0680C">
      <w:pPr>
        <w:autoSpaceDE w:val="0"/>
        <w:autoSpaceDN w:val="0"/>
        <w:adjustRightInd w:val="0"/>
        <w:spacing w:after="0" w:line="240" w:lineRule="auto"/>
        <w:rPr>
          <w:rFonts w:ascii="Times New Roman" w:eastAsia="SimSun" w:hAnsi="Times New Roman" w:cs="Times New Roman"/>
          <w:lang w:val="lt-LT"/>
        </w:rPr>
      </w:pPr>
    </w:p>
    <w:p w14:paraId="6120080F" w14:textId="1D5DA86E" w:rsidR="009500C0" w:rsidRPr="00E14983" w:rsidRDefault="009500C0" w:rsidP="000564A3">
      <w:pPr>
        <w:keepNext/>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E14983">
        <w:rPr>
          <w:rFonts w:ascii="Times New Roman" w:eastAsia="Times New Roman" w:hAnsi="Times New Roman" w:cs="Times New Roman"/>
          <w:b/>
          <w:snapToGrid w:val="0"/>
          <w:szCs w:val="20"/>
          <w:lang w:val="lt-LT"/>
        </w:rPr>
        <w:t xml:space="preserve">Šis vaistas </w:t>
      </w:r>
      <w:r w:rsidR="00DF4F12" w:rsidRPr="00E14983">
        <w:rPr>
          <w:rFonts w:ascii="Times New Roman" w:eastAsia="Times New Roman" w:hAnsi="Times New Roman" w:cs="Times New Roman"/>
          <w:b/>
          <w:snapToGrid w:val="0"/>
          <w:szCs w:val="20"/>
          <w:lang w:val="lt-LT"/>
        </w:rPr>
        <w:t xml:space="preserve">Europos ekonominės erdvės </w:t>
      </w:r>
      <w:r w:rsidRPr="00E14983">
        <w:rPr>
          <w:rFonts w:ascii="Times New Roman" w:eastAsia="Times New Roman" w:hAnsi="Times New Roman" w:cs="Times New Roman"/>
          <w:b/>
          <w:snapToGrid w:val="0"/>
          <w:szCs w:val="20"/>
          <w:lang w:val="lt-LT"/>
        </w:rPr>
        <w:t xml:space="preserve">valstybėse narėse </w:t>
      </w:r>
      <w:r w:rsidR="00DF4F12" w:rsidRPr="00E14983">
        <w:rPr>
          <w:rFonts w:ascii="Times New Roman" w:eastAsia="Times New Roman" w:hAnsi="Times New Roman" w:cs="Times New Roman"/>
          <w:b/>
          <w:snapToGrid w:val="0"/>
          <w:szCs w:val="20"/>
          <w:lang w:val="lt-LT"/>
        </w:rPr>
        <w:t xml:space="preserve">ir Jungtinėje Karalystėje (Šiaurės Airijoje) </w:t>
      </w:r>
      <w:r w:rsidRPr="00E14983">
        <w:rPr>
          <w:rFonts w:ascii="Times New Roman" w:eastAsia="Times New Roman" w:hAnsi="Times New Roman" w:cs="Times New Roman"/>
          <w:b/>
          <w:snapToGrid w:val="0"/>
          <w:szCs w:val="20"/>
          <w:lang w:val="lt-LT"/>
        </w:rPr>
        <w:t>registruotas tokiais pavadinimais</w:t>
      </w:r>
      <w:r w:rsidRPr="00E14983">
        <w:rPr>
          <w:rFonts w:ascii="Times New Roman" w:eastAsia="Times New Roman" w:hAnsi="Times New Roman" w:cs="Times New Roman"/>
          <w:snapToGrid w:val="0"/>
          <w:szCs w:val="20"/>
          <w:lang w:val="lt-LT"/>
        </w:rPr>
        <w:t>:</w:t>
      </w:r>
    </w:p>
    <w:p w14:paraId="24E21632" w14:textId="77777777" w:rsidR="009500C0" w:rsidRPr="00E14983" w:rsidRDefault="009500C0" w:rsidP="000564A3">
      <w:pPr>
        <w:keepNext/>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tbl>
      <w:tblPr>
        <w:tblW w:w="472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91"/>
        <w:gridCol w:w="6362"/>
      </w:tblGrid>
      <w:tr w:rsidR="009500C0" w:rsidRPr="00E14983" w14:paraId="3FC27A9E" w14:textId="77777777" w:rsidTr="00DD3E4C">
        <w:trPr>
          <w:trHeight w:val="144"/>
        </w:trPr>
        <w:tc>
          <w:tcPr>
            <w:tcW w:w="1281" w:type="pct"/>
          </w:tcPr>
          <w:p w14:paraId="107A417A" w14:textId="77777777" w:rsidR="009500C0" w:rsidRPr="00E14983" w:rsidRDefault="009500C0" w:rsidP="000564A3">
            <w:pPr>
              <w:keepNext/>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Valstybės narės pavadinimas</w:t>
            </w:r>
          </w:p>
        </w:tc>
        <w:tc>
          <w:tcPr>
            <w:tcW w:w="3719" w:type="pct"/>
          </w:tcPr>
          <w:p w14:paraId="3D2E9979" w14:textId="77777777" w:rsidR="009500C0" w:rsidRPr="00E14983" w:rsidRDefault="009500C0" w:rsidP="000564A3">
            <w:pPr>
              <w:keepNext/>
              <w:tabs>
                <w:tab w:val="center" w:pos="4320"/>
                <w:tab w:val="left" w:pos="5040"/>
                <w:tab w:val="right" w:pos="8640"/>
              </w:tabs>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b/>
                <w:lang w:val="lt-LT"/>
              </w:rPr>
              <w:t>Vaisto pavadinimas</w:t>
            </w:r>
          </w:p>
        </w:tc>
      </w:tr>
      <w:tr w:rsidR="009500C0" w:rsidRPr="00E14983" w14:paraId="2E00B391" w14:textId="77777777" w:rsidTr="00DD3E4C">
        <w:trPr>
          <w:trHeight w:val="144"/>
        </w:trPr>
        <w:tc>
          <w:tcPr>
            <w:tcW w:w="1281" w:type="pct"/>
          </w:tcPr>
          <w:p w14:paraId="22E6DA10" w14:textId="77777777" w:rsidR="009500C0" w:rsidRPr="00E14983" w:rsidRDefault="009500C0" w:rsidP="000564A3">
            <w:pPr>
              <w:keepNext/>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Austrija</w:t>
            </w:r>
          </w:p>
        </w:tc>
        <w:tc>
          <w:tcPr>
            <w:tcW w:w="3719" w:type="pct"/>
          </w:tcPr>
          <w:p w14:paraId="0D48696A" w14:textId="77777777" w:rsidR="009500C0" w:rsidRPr="00E14983" w:rsidRDefault="009500C0" w:rsidP="000564A3">
            <w:pPr>
              <w:keepNext/>
              <w:tabs>
                <w:tab w:val="center" w:pos="4320"/>
                <w:tab w:val="left" w:pos="504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Konzentrat zur Herstellung einer Infusionslösung</w:t>
            </w:r>
          </w:p>
        </w:tc>
      </w:tr>
      <w:tr w:rsidR="009500C0" w:rsidRPr="00E14983" w14:paraId="7576BE98" w14:textId="77777777" w:rsidTr="00DD3E4C">
        <w:trPr>
          <w:trHeight w:val="144"/>
        </w:trPr>
        <w:tc>
          <w:tcPr>
            <w:tcW w:w="1281" w:type="pct"/>
          </w:tcPr>
          <w:p w14:paraId="6BF59405"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Belgija</w:t>
            </w:r>
          </w:p>
        </w:tc>
        <w:tc>
          <w:tcPr>
            <w:tcW w:w="3719" w:type="pct"/>
          </w:tcPr>
          <w:p w14:paraId="473C758F"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concentraat voor oplossing voor infusie</w:t>
            </w:r>
          </w:p>
        </w:tc>
      </w:tr>
      <w:tr w:rsidR="009500C0" w:rsidRPr="00E14983" w14:paraId="24561BB6" w14:textId="77777777" w:rsidTr="00DD3E4C">
        <w:trPr>
          <w:trHeight w:val="144"/>
        </w:trPr>
        <w:tc>
          <w:tcPr>
            <w:tcW w:w="1281" w:type="pct"/>
          </w:tcPr>
          <w:p w14:paraId="677AD0A4"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lastRenderedPageBreak/>
              <w:t>Bulgarija</w:t>
            </w:r>
          </w:p>
        </w:tc>
        <w:tc>
          <w:tcPr>
            <w:tcW w:w="3719" w:type="pct"/>
          </w:tcPr>
          <w:p w14:paraId="6DA3147E"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Concentrate for Solution for Infusion</w:t>
            </w:r>
          </w:p>
        </w:tc>
      </w:tr>
      <w:tr w:rsidR="009500C0" w:rsidRPr="00E14983" w14:paraId="774B317B" w14:textId="77777777" w:rsidTr="00DD3E4C">
        <w:trPr>
          <w:trHeight w:val="144"/>
        </w:trPr>
        <w:tc>
          <w:tcPr>
            <w:tcW w:w="1281" w:type="pct"/>
          </w:tcPr>
          <w:p w14:paraId="1671EB5D"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Kipras</w:t>
            </w:r>
          </w:p>
        </w:tc>
        <w:tc>
          <w:tcPr>
            <w:tcW w:w="3719" w:type="pct"/>
          </w:tcPr>
          <w:p w14:paraId="2B5F04E3" w14:textId="77777777" w:rsidR="009500C0" w:rsidRPr="00E14983" w:rsidRDefault="009500C0" w:rsidP="00B077D6">
            <w:pPr>
              <w:tabs>
                <w:tab w:val="center" w:pos="4320"/>
                <w:tab w:val="left" w:pos="5040"/>
                <w:tab w:val="right" w:pos="8640"/>
              </w:tabs>
              <w:spacing w:after="0" w:line="240" w:lineRule="auto"/>
              <w:rPr>
                <w:rFonts w:ascii="Times New Roman" w:eastAsia="Times New Roman" w:hAnsi="Times New Roman" w:cs="Times New Roman"/>
                <w:highlight w:val="cyan"/>
                <w:lang w:val="lt-LT"/>
              </w:rPr>
            </w:pPr>
            <w:r w:rsidRPr="00E14983">
              <w:rPr>
                <w:rFonts w:ascii="Times New Roman" w:eastAsia="Times New Roman" w:hAnsi="Times New Roman" w:cs="Times New Roman"/>
                <w:lang w:val="lt-LT"/>
              </w:rPr>
              <w:t>Irinotecan Accord 20 mg/ml Concentrate for Solution for Infusion</w:t>
            </w:r>
          </w:p>
        </w:tc>
      </w:tr>
      <w:tr w:rsidR="009500C0" w:rsidRPr="00E14983" w14:paraId="5CAB8E4F" w14:textId="77777777" w:rsidTr="00DD3E4C">
        <w:trPr>
          <w:trHeight w:val="144"/>
        </w:trPr>
        <w:tc>
          <w:tcPr>
            <w:tcW w:w="1281" w:type="pct"/>
          </w:tcPr>
          <w:p w14:paraId="1AB644A8"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Čekija</w:t>
            </w:r>
          </w:p>
        </w:tc>
        <w:tc>
          <w:tcPr>
            <w:tcW w:w="3719" w:type="pct"/>
          </w:tcPr>
          <w:p w14:paraId="5D749601" w14:textId="77777777" w:rsidR="009500C0" w:rsidRPr="00E14983" w:rsidRDefault="009500C0" w:rsidP="00B077D6">
            <w:pPr>
              <w:tabs>
                <w:tab w:val="center" w:pos="4320"/>
                <w:tab w:val="left" w:pos="504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Accordpharma 20 mg/ml koncentrát pro infuzní roztok</w:t>
            </w:r>
          </w:p>
        </w:tc>
      </w:tr>
      <w:tr w:rsidR="009500C0" w:rsidRPr="00E14983" w14:paraId="5A12AE36" w14:textId="77777777" w:rsidTr="00DD3E4C">
        <w:trPr>
          <w:trHeight w:val="144"/>
        </w:trPr>
        <w:tc>
          <w:tcPr>
            <w:tcW w:w="1281" w:type="pct"/>
          </w:tcPr>
          <w:p w14:paraId="3C7F66C2"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Vokietija</w:t>
            </w:r>
          </w:p>
        </w:tc>
        <w:tc>
          <w:tcPr>
            <w:tcW w:w="3719" w:type="pct"/>
          </w:tcPr>
          <w:p w14:paraId="7E95F631" w14:textId="77777777" w:rsidR="009500C0" w:rsidRPr="00E14983" w:rsidRDefault="009500C0" w:rsidP="00B077D6">
            <w:pPr>
              <w:tabs>
                <w:tab w:val="center" w:pos="4320"/>
                <w:tab w:val="left" w:pos="504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Konzentrat zur Herstellung einer Infusionslösung</w:t>
            </w:r>
          </w:p>
        </w:tc>
      </w:tr>
      <w:tr w:rsidR="009500C0" w:rsidRPr="00E14983" w14:paraId="5CD4666C" w14:textId="77777777" w:rsidTr="00DD3E4C">
        <w:trPr>
          <w:trHeight w:val="144"/>
        </w:trPr>
        <w:tc>
          <w:tcPr>
            <w:tcW w:w="1281" w:type="pct"/>
          </w:tcPr>
          <w:p w14:paraId="19B22390"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Danija</w:t>
            </w:r>
          </w:p>
        </w:tc>
        <w:tc>
          <w:tcPr>
            <w:tcW w:w="3719" w:type="pct"/>
          </w:tcPr>
          <w:p w14:paraId="620B0BE6" w14:textId="77777777" w:rsidR="009500C0" w:rsidRPr="00E14983" w:rsidRDefault="009500C0" w:rsidP="00B077D6">
            <w:pPr>
              <w:tabs>
                <w:tab w:val="left" w:pos="0"/>
                <w:tab w:val="center" w:pos="432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w:t>
            </w:r>
          </w:p>
        </w:tc>
      </w:tr>
      <w:tr w:rsidR="009500C0" w:rsidRPr="00E14983" w14:paraId="4E04D130" w14:textId="77777777" w:rsidTr="00DD3E4C">
        <w:trPr>
          <w:trHeight w:val="144"/>
        </w:trPr>
        <w:tc>
          <w:tcPr>
            <w:tcW w:w="1281" w:type="pct"/>
          </w:tcPr>
          <w:p w14:paraId="5B6A1E57"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Estija</w:t>
            </w:r>
          </w:p>
        </w:tc>
        <w:tc>
          <w:tcPr>
            <w:tcW w:w="3719" w:type="pct"/>
          </w:tcPr>
          <w:p w14:paraId="111AD908" w14:textId="77777777" w:rsidR="009500C0" w:rsidRPr="00E14983" w:rsidRDefault="009500C0" w:rsidP="00B077D6">
            <w:pPr>
              <w:tabs>
                <w:tab w:val="center" w:pos="4320"/>
                <w:tab w:val="left" w:pos="504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w:t>
            </w:r>
          </w:p>
        </w:tc>
      </w:tr>
      <w:tr w:rsidR="009500C0" w:rsidRPr="00E14983" w14:paraId="582E9F85" w14:textId="77777777" w:rsidTr="00DD3E4C">
        <w:trPr>
          <w:trHeight w:val="144"/>
        </w:trPr>
        <w:tc>
          <w:tcPr>
            <w:tcW w:w="1281" w:type="pct"/>
          </w:tcPr>
          <w:p w14:paraId="29D9EAA4"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Graikija</w:t>
            </w:r>
          </w:p>
        </w:tc>
        <w:tc>
          <w:tcPr>
            <w:tcW w:w="3719" w:type="pct"/>
          </w:tcPr>
          <w:p w14:paraId="280B6501" w14:textId="77777777" w:rsidR="009500C0" w:rsidRPr="00E14983" w:rsidRDefault="009500C0" w:rsidP="00B077D6">
            <w:pPr>
              <w:tabs>
                <w:tab w:val="center" w:pos="4320"/>
                <w:tab w:val="left" w:pos="5040"/>
                <w:tab w:val="right" w:pos="8640"/>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20 mg/ml Concentrate for Solution for Infusion</w:t>
            </w:r>
          </w:p>
        </w:tc>
      </w:tr>
      <w:tr w:rsidR="009500C0" w:rsidRPr="00E14983" w14:paraId="7D0961C2"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0FAA8816"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Suomija</w:t>
            </w:r>
          </w:p>
        </w:tc>
        <w:tc>
          <w:tcPr>
            <w:tcW w:w="3719" w:type="pct"/>
            <w:tcBorders>
              <w:top w:val="single" w:sz="4" w:space="0" w:color="000000"/>
              <w:left w:val="single" w:sz="4" w:space="0" w:color="000000"/>
              <w:bottom w:val="single" w:sz="4" w:space="0" w:color="000000"/>
            </w:tcBorders>
          </w:tcPr>
          <w:p w14:paraId="1C337482"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Infuusiokonsentraatti, liuosta varten</w:t>
            </w:r>
          </w:p>
        </w:tc>
      </w:tr>
      <w:tr w:rsidR="009500C0" w:rsidRPr="00E14983" w14:paraId="414251D1"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6BF85B11"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Kroatija</w:t>
            </w:r>
          </w:p>
        </w:tc>
        <w:tc>
          <w:tcPr>
            <w:tcW w:w="3719" w:type="pct"/>
            <w:tcBorders>
              <w:top w:val="single" w:sz="4" w:space="0" w:color="000000"/>
              <w:left w:val="single" w:sz="4" w:space="0" w:color="000000"/>
              <w:bottom w:val="single" w:sz="4" w:space="0" w:color="000000"/>
            </w:tcBorders>
          </w:tcPr>
          <w:p w14:paraId="31CA844D"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Irinotekan Accord 20 mg/ml koncentrat za otopinu za infuziju</w:t>
            </w:r>
          </w:p>
        </w:tc>
      </w:tr>
      <w:tr w:rsidR="009500C0" w:rsidRPr="00E14983" w14:paraId="09AA6272"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2849A295"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Vengrija</w:t>
            </w:r>
          </w:p>
        </w:tc>
        <w:tc>
          <w:tcPr>
            <w:tcW w:w="3719" w:type="pct"/>
            <w:tcBorders>
              <w:top w:val="single" w:sz="4" w:space="0" w:color="000000"/>
              <w:left w:val="single" w:sz="4" w:space="0" w:color="000000"/>
              <w:bottom w:val="single" w:sz="4" w:space="0" w:color="000000"/>
            </w:tcBorders>
          </w:tcPr>
          <w:p w14:paraId="2BEEF7EF"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koncentrátum oldatos infúzióhoz</w:t>
            </w:r>
          </w:p>
        </w:tc>
      </w:tr>
      <w:tr w:rsidR="009500C0" w:rsidRPr="00E14983" w14:paraId="5B3A8F33"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688F61FD"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Airija</w:t>
            </w:r>
          </w:p>
        </w:tc>
        <w:tc>
          <w:tcPr>
            <w:tcW w:w="3719" w:type="pct"/>
            <w:tcBorders>
              <w:top w:val="single" w:sz="4" w:space="0" w:color="000000"/>
              <w:left w:val="single" w:sz="4" w:space="0" w:color="000000"/>
              <w:bottom w:val="single" w:sz="4" w:space="0" w:color="000000"/>
            </w:tcBorders>
          </w:tcPr>
          <w:p w14:paraId="5FAF180D"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Hydrochloride 20 mg/ml Concentrate for Solution for Infusion</w:t>
            </w:r>
          </w:p>
        </w:tc>
      </w:tr>
      <w:tr w:rsidR="009500C0" w:rsidRPr="00E14983" w14:paraId="2CE6CF48"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7094879E" w14:textId="37C9D2A8" w:rsidR="009500C0" w:rsidRPr="00E14983" w:rsidRDefault="001F6662"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Airija</w:t>
            </w:r>
          </w:p>
        </w:tc>
        <w:tc>
          <w:tcPr>
            <w:tcW w:w="3719" w:type="pct"/>
            <w:tcBorders>
              <w:top w:val="single" w:sz="4" w:space="0" w:color="000000"/>
              <w:left w:val="single" w:sz="4" w:space="0" w:color="000000"/>
              <w:bottom w:val="single" w:sz="4" w:space="0" w:color="000000"/>
            </w:tcBorders>
          </w:tcPr>
          <w:p w14:paraId="0D23AE6A"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innrennslisþykkni, lausn</w:t>
            </w:r>
          </w:p>
        </w:tc>
      </w:tr>
      <w:tr w:rsidR="009500C0" w:rsidRPr="00E14983" w14:paraId="07DDE073"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2DAACE88"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Italija</w:t>
            </w:r>
          </w:p>
        </w:tc>
        <w:tc>
          <w:tcPr>
            <w:tcW w:w="3719" w:type="pct"/>
            <w:tcBorders>
              <w:top w:val="single" w:sz="4" w:space="0" w:color="000000"/>
              <w:left w:val="single" w:sz="4" w:space="0" w:color="000000"/>
              <w:bottom w:val="single" w:sz="4" w:space="0" w:color="000000"/>
            </w:tcBorders>
          </w:tcPr>
          <w:p w14:paraId="0CC1F4ED"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Irinotecan </w:t>
            </w:r>
            <w:r w:rsidRPr="00E14983">
              <w:rPr>
                <w:rFonts w:ascii="Times New Roman" w:eastAsia="Times New Roman" w:hAnsi="Times New Roman" w:cs="Times New Roman"/>
                <w:bCs/>
                <w:lang w:val="lt-LT"/>
              </w:rPr>
              <w:t>Accord</w:t>
            </w:r>
          </w:p>
        </w:tc>
      </w:tr>
      <w:tr w:rsidR="009500C0" w:rsidRPr="00E14983" w14:paraId="0596BAA8"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65F83FAA"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Latvija</w:t>
            </w:r>
          </w:p>
        </w:tc>
        <w:tc>
          <w:tcPr>
            <w:tcW w:w="3719" w:type="pct"/>
            <w:tcBorders>
              <w:top w:val="single" w:sz="4" w:space="0" w:color="000000"/>
              <w:left w:val="single" w:sz="4" w:space="0" w:color="000000"/>
              <w:bottom w:val="single" w:sz="4" w:space="0" w:color="000000"/>
            </w:tcBorders>
          </w:tcPr>
          <w:p w14:paraId="7FAF5D2E"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Irinotecan </w:t>
            </w:r>
            <w:r w:rsidRPr="00E14983">
              <w:rPr>
                <w:rFonts w:ascii="Times New Roman" w:eastAsia="Times New Roman" w:hAnsi="Times New Roman" w:cs="Times New Roman"/>
                <w:bCs/>
                <w:lang w:val="lt-LT"/>
              </w:rPr>
              <w:t>Accord</w:t>
            </w:r>
            <w:r w:rsidRPr="00E14983">
              <w:rPr>
                <w:rFonts w:ascii="Times New Roman" w:eastAsia="Times New Roman" w:hAnsi="Times New Roman" w:cs="Times New Roman"/>
                <w:lang w:val="lt-LT"/>
              </w:rPr>
              <w:t xml:space="preserve"> 20 mg/ml koncentrāts infūziju šķīduma pagatavošanai</w:t>
            </w:r>
          </w:p>
        </w:tc>
      </w:tr>
      <w:tr w:rsidR="009500C0" w:rsidRPr="00E14983" w14:paraId="18CF1D89"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028365C6"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Lietuva</w:t>
            </w:r>
          </w:p>
        </w:tc>
        <w:tc>
          <w:tcPr>
            <w:tcW w:w="3719" w:type="pct"/>
            <w:tcBorders>
              <w:top w:val="single" w:sz="4" w:space="0" w:color="000000"/>
              <w:left w:val="single" w:sz="4" w:space="0" w:color="000000"/>
              <w:bottom w:val="single" w:sz="4" w:space="0" w:color="000000"/>
            </w:tcBorders>
          </w:tcPr>
          <w:p w14:paraId="05E40CE3"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Irinotecan </w:t>
            </w:r>
            <w:r w:rsidRPr="00E14983">
              <w:rPr>
                <w:rFonts w:ascii="Times New Roman" w:eastAsia="Times New Roman" w:hAnsi="Times New Roman" w:cs="Times New Roman"/>
                <w:bCs/>
                <w:lang w:val="lt-LT"/>
              </w:rPr>
              <w:t>Accord</w:t>
            </w:r>
            <w:r w:rsidRPr="00E14983">
              <w:rPr>
                <w:rFonts w:ascii="Times New Roman" w:eastAsia="Times New Roman" w:hAnsi="Times New Roman" w:cs="Times New Roman"/>
                <w:lang w:val="lt-LT"/>
              </w:rPr>
              <w:t xml:space="preserve"> 20 mg/ml koncentratas infuziniam tirpalui</w:t>
            </w:r>
          </w:p>
        </w:tc>
      </w:tr>
      <w:tr w:rsidR="009500C0" w:rsidRPr="00E14983" w14:paraId="73716944"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435A1E3B"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Lenkija</w:t>
            </w:r>
          </w:p>
        </w:tc>
        <w:tc>
          <w:tcPr>
            <w:tcW w:w="3719" w:type="pct"/>
            <w:tcBorders>
              <w:top w:val="single" w:sz="4" w:space="0" w:color="000000"/>
              <w:left w:val="single" w:sz="4" w:space="0" w:color="000000"/>
              <w:bottom w:val="single" w:sz="4" w:space="0" w:color="000000"/>
            </w:tcBorders>
          </w:tcPr>
          <w:p w14:paraId="73468536"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w:t>
            </w:r>
          </w:p>
        </w:tc>
      </w:tr>
      <w:tr w:rsidR="009500C0" w:rsidRPr="00E14983" w14:paraId="707182AD"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60E05142"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Nyderlandai</w:t>
            </w:r>
          </w:p>
        </w:tc>
        <w:tc>
          <w:tcPr>
            <w:tcW w:w="3719" w:type="pct"/>
            <w:tcBorders>
              <w:top w:val="single" w:sz="4" w:space="0" w:color="000000"/>
              <w:left w:val="single" w:sz="4" w:space="0" w:color="000000"/>
              <w:bottom w:val="single" w:sz="4" w:space="0" w:color="000000"/>
            </w:tcBorders>
          </w:tcPr>
          <w:p w14:paraId="189A3F0D"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concentraat voor oplossing voor infusie</w:t>
            </w:r>
          </w:p>
        </w:tc>
      </w:tr>
      <w:tr w:rsidR="009500C0" w:rsidRPr="00E14983" w14:paraId="15B15FD4"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4DAF2673"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Norvegija</w:t>
            </w:r>
          </w:p>
        </w:tc>
        <w:tc>
          <w:tcPr>
            <w:tcW w:w="3719" w:type="pct"/>
            <w:tcBorders>
              <w:top w:val="single" w:sz="4" w:space="0" w:color="000000"/>
              <w:left w:val="single" w:sz="4" w:space="0" w:color="000000"/>
              <w:bottom w:val="single" w:sz="4" w:space="0" w:color="000000"/>
            </w:tcBorders>
          </w:tcPr>
          <w:p w14:paraId="5362F081"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w:t>
            </w:r>
          </w:p>
        </w:tc>
      </w:tr>
      <w:tr w:rsidR="009500C0" w:rsidRPr="00E14983" w14:paraId="04756829"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50B60F1F"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Portugalija</w:t>
            </w:r>
          </w:p>
        </w:tc>
        <w:tc>
          <w:tcPr>
            <w:tcW w:w="3719" w:type="pct"/>
            <w:tcBorders>
              <w:top w:val="single" w:sz="4" w:space="0" w:color="000000"/>
              <w:left w:val="single" w:sz="4" w:space="0" w:color="000000"/>
              <w:bottom w:val="single" w:sz="4" w:space="0" w:color="000000"/>
            </w:tcBorders>
          </w:tcPr>
          <w:p w14:paraId="736F008F"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Irinotecano Accord</w:t>
            </w:r>
          </w:p>
        </w:tc>
      </w:tr>
      <w:tr w:rsidR="009500C0" w:rsidRPr="00E14983" w14:paraId="2F193408"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2729AA43" w14:textId="25071B21"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R</w:t>
            </w:r>
            <w:r w:rsidR="003B6728" w:rsidRPr="00E14983">
              <w:rPr>
                <w:rFonts w:ascii="Times New Roman" w:eastAsia="Times New Roman" w:hAnsi="Times New Roman" w:cs="Times New Roman"/>
                <w:lang w:val="lt-LT"/>
              </w:rPr>
              <w:t>u</w:t>
            </w:r>
            <w:r w:rsidRPr="00E14983">
              <w:rPr>
                <w:rFonts w:ascii="Times New Roman" w:eastAsia="Times New Roman" w:hAnsi="Times New Roman" w:cs="Times New Roman"/>
                <w:lang w:val="lt-LT"/>
              </w:rPr>
              <w:t>m</w:t>
            </w:r>
            <w:r w:rsidR="003B6728" w:rsidRPr="00E14983">
              <w:rPr>
                <w:rFonts w:ascii="Times New Roman" w:eastAsia="Times New Roman" w:hAnsi="Times New Roman" w:cs="Times New Roman"/>
                <w:lang w:val="lt-LT"/>
              </w:rPr>
              <w:t>u</w:t>
            </w:r>
            <w:r w:rsidRPr="00E14983">
              <w:rPr>
                <w:rFonts w:ascii="Times New Roman" w:eastAsia="Times New Roman" w:hAnsi="Times New Roman" w:cs="Times New Roman"/>
                <w:lang w:val="lt-LT"/>
              </w:rPr>
              <w:t>nija</w:t>
            </w:r>
          </w:p>
        </w:tc>
        <w:tc>
          <w:tcPr>
            <w:tcW w:w="3719" w:type="pct"/>
            <w:tcBorders>
              <w:top w:val="single" w:sz="4" w:space="0" w:color="000000"/>
              <w:left w:val="single" w:sz="4" w:space="0" w:color="000000"/>
              <w:bottom w:val="single" w:sz="4" w:space="0" w:color="000000"/>
            </w:tcBorders>
          </w:tcPr>
          <w:p w14:paraId="04759D1E" w14:textId="77777777" w:rsidR="009500C0" w:rsidRPr="00E14983" w:rsidRDefault="009500C0" w:rsidP="00B077D6">
            <w:pPr>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lang w:val="lt-LT"/>
              </w:rPr>
              <w:t>Irinotecan Accord 20 mg/ml concentrat pentru solutie perfuzabila</w:t>
            </w:r>
          </w:p>
        </w:tc>
      </w:tr>
      <w:tr w:rsidR="009500C0" w:rsidRPr="00E14983" w14:paraId="24F7B0AE"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74EDF038"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Slovakija</w:t>
            </w:r>
          </w:p>
        </w:tc>
        <w:tc>
          <w:tcPr>
            <w:tcW w:w="3719" w:type="pct"/>
            <w:tcBorders>
              <w:top w:val="single" w:sz="4" w:space="0" w:color="000000"/>
              <w:left w:val="single" w:sz="4" w:space="0" w:color="000000"/>
              <w:bottom w:val="single" w:sz="4" w:space="0" w:color="000000"/>
            </w:tcBorders>
          </w:tcPr>
          <w:p w14:paraId="672581F6"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infúzny koncentrát</w:t>
            </w:r>
          </w:p>
        </w:tc>
      </w:tr>
      <w:tr w:rsidR="009500C0" w:rsidRPr="00E14983" w14:paraId="03C295B1"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4D41D5C8"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Slovėnija</w:t>
            </w:r>
          </w:p>
        </w:tc>
        <w:tc>
          <w:tcPr>
            <w:tcW w:w="3719" w:type="pct"/>
            <w:tcBorders>
              <w:top w:val="single" w:sz="4" w:space="0" w:color="000000"/>
              <w:left w:val="single" w:sz="4" w:space="0" w:color="000000"/>
              <w:bottom w:val="single" w:sz="4" w:space="0" w:color="000000"/>
            </w:tcBorders>
          </w:tcPr>
          <w:p w14:paraId="71B339F0"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Irinotekan Accord 20 mg/ml koncentrat za raztopino za infundiranje</w:t>
            </w:r>
          </w:p>
        </w:tc>
      </w:tr>
      <w:tr w:rsidR="009500C0" w:rsidRPr="00E14983" w14:paraId="5EC1CC1D"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5AF5512F"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Švedija</w:t>
            </w:r>
          </w:p>
        </w:tc>
        <w:tc>
          <w:tcPr>
            <w:tcW w:w="3719" w:type="pct"/>
            <w:tcBorders>
              <w:top w:val="single" w:sz="4" w:space="0" w:color="000000"/>
              <w:left w:val="single" w:sz="4" w:space="0" w:color="000000"/>
              <w:bottom w:val="single" w:sz="4" w:space="0" w:color="000000"/>
            </w:tcBorders>
          </w:tcPr>
          <w:p w14:paraId="10386686"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koncentrat till infusionsvätska, lösning</w:t>
            </w:r>
          </w:p>
        </w:tc>
      </w:tr>
      <w:tr w:rsidR="009500C0" w:rsidRPr="00E14983" w14:paraId="484BAF36"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1F4B30BB" w14:textId="77777777" w:rsidR="009500C0" w:rsidRPr="00E14983" w:rsidRDefault="009500C0" w:rsidP="00B077D6">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Jungtinė Karalystė</w:t>
            </w:r>
          </w:p>
          <w:p w14:paraId="4BC05F88" w14:textId="40BF0FD3" w:rsidR="00DF4F12" w:rsidRPr="00E14983" w:rsidRDefault="00DF4F12"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szCs w:val="20"/>
                <w:lang w:val="lt-LT"/>
              </w:rPr>
              <w:t>(Šiaurės Airija)</w:t>
            </w:r>
          </w:p>
        </w:tc>
        <w:tc>
          <w:tcPr>
            <w:tcW w:w="3719" w:type="pct"/>
            <w:tcBorders>
              <w:top w:val="single" w:sz="4" w:space="0" w:color="000000"/>
              <w:left w:val="single" w:sz="4" w:space="0" w:color="000000"/>
              <w:bottom w:val="single" w:sz="4" w:space="0" w:color="000000"/>
            </w:tcBorders>
          </w:tcPr>
          <w:p w14:paraId="2E1DCCEF"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Hydrochloride 20 mg/ml Concentrate for Solution for Infusion</w:t>
            </w:r>
          </w:p>
        </w:tc>
      </w:tr>
      <w:tr w:rsidR="009500C0" w:rsidRPr="00E14983" w14:paraId="20ACDD75"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1A8D81E9"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Ispanija</w:t>
            </w:r>
          </w:p>
        </w:tc>
        <w:tc>
          <w:tcPr>
            <w:tcW w:w="3719" w:type="pct"/>
            <w:tcBorders>
              <w:top w:val="single" w:sz="4" w:space="0" w:color="000000"/>
              <w:left w:val="single" w:sz="4" w:space="0" w:color="000000"/>
              <w:bottom w:val="single" w:sz="4" w:space="0" w:color="000000"/>
            </w:tcBorders>
          </w:tcPr>
          <w:p w14:paraId="41BD9293"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Irinotecan Accord 20 mg/ml concentrado para solución para perfusión EFG</w:t>
            </w:r>
          </w:p>
        </w:tc>
      </w:tr>
      <w:tr w:rsidR="009500C0" w:rsidRPr="00E14983" w14:paraId="7E969E80" w14:textId="77777777" w:rsidTr="00DD3E4C">
        <w:trPr>
          <w:trHeight w:val="144"/>
        </w:trPr>
        <w:tc>
          <w:tcPr>
            <w:tcW w:w="1281" w:type="pct"/>
            <w:tcBorders>
              <w:top w:val="single" w:sz="4" w:space="0" w:color="000000"/>
              <w:left w:val="single" w:sz="4" w:space="0" w:color="000000"/>
              <w:bottom w:val="single" w:sz="4" w:space="0" w:color="000000"/>
              <w:right w:val="single" w:sz="4" w:space="0" w:color="000000"/>
            </w:tcBorders>
          </w:tcPr>
          <w:p w14:paraId="22B892FE" w14:textId="77777777" w:rsidR="009500C0" w:rsidRPr="00E14983" w:rsidRDefault="009500C0" w:rsidP="00B077D6">
            <w:pPr>
              <w:spacing w:after="0" w:line="240" w:lineRule="auto"/>
              <w:rPr>
                <w:rFonts w:ascii="Times New Roman" w:eastAsia="Times New Roman" w:hAnsi="Times New Roman" w:cs="Times New Roman"/>
                <w:b/>
                <w:bCs/>
                <w:lang w:val="lt-LT"/>
              </w:rPr>
            </w:pPr>
            <w:r w:rsidRPr="00E14983">
              <w:rPr>
                <w:rFonts w:ascii="Times New Roman" w:eastAsia="Times New Roman" w:hAnsi="Times New Roman" w:cs="Times New Roman"/>
                <w:lang w:val="lt-LT"/>
              </w:rPr>
              <w:t>Prancūzija</w:t>
            </w:r>
          </w:p>
        </w:tc>
        <w:tc>
          <w:tcPr>
            <w:tcW w:w="3719" w:type="pct"/>
            <w:tcBorders>
              <w:top w:val="single" w:sz="4" w:space="0" w:color="000000"/>
              <w:left w:val="single" w:sz="4" w:space="0" w:color="000000"/>
              <w:bottom w:val="single" w:sz="4" w:space="0" w:color="000000"/>
            </w:tcBorders>
          </w:tcPr>
          <w:p w14:paraId="1DEBEAAD" w14:textId="77777777" w:rsidR="009500C0" w:rsidRPr="00E14983" w:rsidRDefault="009500C0" w:rsidP="00B077D6">
            <w:pPr>
              <w:spacing w:after="0" w:line="240" w:lineRule="auto"/>
              <w:rPr>
                <w:rFonts w:ascii="Times New Roman" w:eastAsia="Times New Roman" w:hAnsi="Times New Roman" w:cs="Times New Roman"/>
                <w:b/>
                <w:lang w:val="lt-LT"/>
              </w:rPr>
            </w:pPr>
            <w:r w:rsidRPr="00E14983">
              <w:rPr>
                <w:rFonts w:ascii="Times New Roman" w:eastAsia="Times New Roman" w:hAnsi="Times New Roman" w:cs="Times New Roman"/>
                <w:lang w:val="lt-LT"/>
              </w:rPr>
              <w:t>IRINOTECAN ACCORD 20 mg/ml, Solution à diluer pour perfusion</w:t>
            </w:r>
          </w:p>
        </w:tc>
      </w:tr>
    </w:tbl>
    <w:p w14:paraId="734B826B" w14:textId="77777777" w:rsidR="009500C0" w:rsidRPr="00E14983" w:rsidRDefault="009500C0" w:rsidP="009500C0">
      <w:pPr>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p w14:paraId="32D72EB2" w14:textId="77777777" w:rsidR="009500C0" w:rsidRPr="00E14983" w:rsidRDefault="009500C0" w:rsidP="009500C0">
      <w:pPr>
        <w:tabs>
          <w:tab w:val="left" w:pos="567"/>
        </w:tabs>
        <w:autoSpaceDE w:val="0"/>
        <w:autoSpaceDN w:val="0"/>
        <w:adjustRightInd w:val="0"/>
        <w:snapToGrid w:val="0"/>
        <w:spacing w:after="0" w:line="240" w:lineRule="auto"/>
        <w:rPr>
          <w:rFonts w:ascii="Times New Roman" w:hAnsi="Times New Roman"/>
          <w:color w:val="000000"/>
          <w:lang w:val="lt-LT"/>
        </w:rPr>
      </w:pPr>
    </w:p>
    <w:p w14:paraId="042724D4" w14:textId="77777777" w:rsidR="009500C0" w:rsidRPr="00E14983" w:rsidRDefault="009500C0" w:rsidP="009500C0">
      <w:pPr>
        <w:tabs>
          <w:tab w:val="left" w:pos="567"/>
        </w:tabs>
        <w:autoSpaceDE w:val="0"/>
        <w:autoSpaceDN w:val="0"/>
        <w:adjustRightInd w:val="0"/>
        <w:snapToGrid w:val="0"/>
        <w:spacing w:after="0" w:line="240" w:lineRule="auto"/>
        <w:rPr>
          <w:rFonts w:ascii="Times New Roman" w:eastAsia="Times New Roman" w:hAnsi="Times New Roman" w:cs="Times New Roman"/>
          <w:color w:val="000000"/>
          <w:lang w:val="lt-LT" w:eastAsia="lt-LT"/>
        </w:rPr>
      </w:pPr>
    </w:p>
    <w:p w14:paraId="6CBC9B66" w14:textId="135CBDDB" w:rsidR="009500C0" w:rsidRPr="00E14983" w:rsidRDefault="009500C0" w:rsidP="009500C0">
      <w:pPr>
        <w:tabs>
          <w:tab w:val="left" w:pos="567"/>
          <w:tab w:val="left" w:pos="1620"/>
        </w:tabs>
        <w:spacing w:after="0" w:line="240" w:lineRule="auto"/>
        <w:jc w:val="both"/>
        <w:rPr>
          <w:rFonts w:ascii="Times New Roman" w:eastAsia="Calibri" w:hAnsi="Times New Roman" w:cs="Times New Roman"/>
          <w:b/>
          <w:lang w:val="lt-LT"/>
        </w:rPr>
      </w:pPr>
      <w:r w:rsidRPr="00E14983">
        <w:rPr>
          <w:rFonts w:ascii="Times New Roman" w:eastAsia="Calibri" w:hAnsi="Times New Roman" w:cs="Times New Roman"/>
          <w:b/>
          <w:lang w:val="lt-LT"/>
        </w:rPr>
        <w:t>Šis pakuotės lapelis paskutinį kartą peržiūrėtas</w:t>
      </w:r>
      <w:r w:rsidR="008178D3">
        <w:rPr>
          <w:rFonts w:ascii="Times New Roman" w:eastAsia="Calibri" w:hAnsi="Times New Roman" w:cs="Times New Roman"/>
          <w:b/>
          <w:lang w:val="lt-LT"/>
        </w:rPr>
        <w:t xml:space="preserve"> 202</w:t>
      </w:r>
      <w:r w:rsidR="00A242CF">
        <w:rPr>
          <w:rFonts w:ascii="Times New Roman" w:eastAsia="Calibri" w:hAnsi="Times New Roman" w:cs="Times New Roman"/>
          <w:b/>
          <w:lang w:val="lt-LT"/>
        </w:rPr>
        <w:t>5-04-02.</w:t>
      </w:r>
    </w:p>
    <w:p w14:paraId="1AA295B6" w14:textId="77777777" w:rsidR="009500C0" w:rsidRPr="00E14983" w:rsidRDefault="009500C0" w:rsidP="009500C0">
      <w:pPr>
        <w:tabs>
          <w:tab w:val="left" w:pos="567"/>
        </w:tabs>
        <w:spacing w:after="0" w:line="240" w:lineRule="auto"/>
        <w:jc w:val="both"/>
        <w:rPr>
          <w:rFonts w:ascii="Times New Roman" w:eastAsia="Times New Roman" w:hAnsi="Times New Roman" w:cs="Times New Roman"/>
          <w:lang w:val="lt-LT"/>
        </w:rPr>
      </w:pPr>
    </w:p>
    <w:p w14:paraId="6A56321E" w14:textId="77777777" w:rsidR="009500C0" w:rsidRPr="00E14983" w:rsidRDefault="009500C0" w:rsidP="009500C0">
      <w:pPr>
        <w:numPr>
          <w:ilvl w:val="12"/>
          <w:numId w:val="0"/>
        </w:numPr>
        <w:tabs>
          <w:tab w:val="left" w:pos="567"/>
        </w:tabs>
        <w:spacing w:after="0" w:line="240" w:lineRule="auto"/>
        <w:ind w:right="-2"/>
        <w:rPr>
          <w:rFonts w:ascii="Times New Roman" w:eastAsia="Times New Roman" w:hAnsi="Times New Roman" w:cs="Times New Roman"/>
          <w:snapToGrid w:val="0"/>
          <w:lang w:val="lt-LT"/>
        </w:rPr>
      </w:pPr>
      <w:r w:rsidRPr="00E14983">
        <w:rPr>
          <w:rFonts w:ascii="Times New Roman" w:eastAsia="Times New Roman" w:hAnsi="Times New Roman" w:cs="Times New Roman"/>
          <w:snapToGrid w:val="0"/>
          <w:lang w:val="lt-LT"/>
        </w:rPr>
        <w:t>Išsami informacija apie šį vaistą pateikiama valstybinės vaistų kontrolės tarnybos prie Lietuvos Respublikos sveikatos apsaugos ministerijos tinklalapyje</w:t>
      </w:r>
      <w:r w:rsidRPr="00E14983">
        <w:rPr>
          <w:rFonts w:ascii="Times New Roman" w:eastAsia="Times New Roman" w:hAnsi="Times New Roman" w:cs="Times New Roman"/>
          <w:i/>
          <w:snapToGrid w:val="0"/>
          <w:lang w:val="lt-LT"/>
        </w:rPr>
        <w:t xml:space="preserve"> </w:t>
      </w:r>
      <w:hyperlink r:id="rId10" w:history="1">
        <w:r w:rsidRPr="00E14983">
          <w:rPr>
            <w:rFonts w:ascii="Times New Roman" w:eastAsia="SimSun" w:hAnsi="Times New Roman" w:cs="Times New Roman"/>
            <w:snapToGrid w:val="0"/>
            <w:color w:val="0000FF"/>
            <w:u w:val="single"/>
            <w:lang w:val="lt-LT"/>
          </w:rPr>
          <w:t>http://www.vvkt.lt/</w:t>
        </w:r>
      </w:hyperlink>
      <w:r w:rsidRPr="00E14983">
        <w:rPr>
          <w:rFonts w:ascii="Times New Roman" w:eastAsia="Times New Roman" w:hAnsi="Times New Roman" w:cs="Times New Roman"/>
          <w:snapToGrid w:val="0"/>
          <w:lang w:val="lt-LT"/>
        </w:rPr>
        <w:t>.</w:t>
      </w:r>
    </w:p>
    <w:p w14:paraId="07CDA249" w14:textId="77777777" w:rsidR="009500C0" w:rsidRPr="00E14983" w:rsidRDefault="009500C0" w:rsidP="009500C0">
      <w:pPr>
        <w:numPr>
          <w:ilvl w:val="12"/>
          <w:numId w:val="0"/>
        </w:numPr>
        <w:spacing w:after="0" w:line="240" w:lineRule="auto"/>
        <w:ind w:right="-2"/>
        <w:rPr>
          <w:rFonts w:ascii="Times New Roman" w:eastAsia="Times New Roman" w:hAnsi="Times New Roman" w:cs="Times New Roman"/>
          <w:snapToGrid w:val="0"/>
          <w:szCs w:val="24"/>
          <w:lang w:val="lt-LT"/>
        </w:rPr>
      </w:pPr>
      <w:r w:rsidRPr="00E14983">
        <w:rPr>
          <w:rFonts w:ascii="Times New Roman" w:eastAsia="Times New Roman" w:hAnsi="Times New Roman" w:cs="Times New Roman"/>
          <w:snapToGrid w:val="0"/>
          <w:szCs w:val="24"/>
          <w:lang w:val="lt-LT"/>
        </w:rPr>
        <w:t>---------------------------------------------------------------------------------------------------------------------------</w:t>
      </w:r>
    </w:p>
    <w:p w14:paraId="76D787E2"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4584E03D"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Irinotecan Accord 20 mg/ml koncentratas infuziniam tirpalui</w:t>
      </w:r>
    </w:p>
    <w:p w14:paraId="159B56C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035E0417"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r w:rsidRPr="00E14983">
        <w:rPr>
          <w:rFonts w:ascii="Times New Roman" w:eastAsia="Times New Roman" w:hAnsi="Times New Roman" w:cs="Times New Roman"/>
          <w:b/>
          <w:bCs/>
          <w:color w:val="000000"/>
          <w:lang w:val="lt-LT"/>
        </w:rPr>
        <w:t>Toliau pateikta informacija skirta tik sveikatos priežiūros specialistams.</w:t>
      </w:r>
    </w:p>
    <w:p w14:paraId="48CFA55F" w14:textId="77777777" w:rsidR="009500C0" w:rsidRPr="00E14983" w:rsidRDefault="009500C0" w:rsidP="009500C0">
      <w:pPr>
        <w:widowControl w:val="0"/>
        <w:shd w:val="clear" w:color="auto" w:fill="FFFFFF"/>
        <w:tabs>
          <w:tab w:val="left" w:pos="567"/>
        </w:tabs>
        <w:autoSpaceDE w:val="0"/>
        <w:autoSpaceDN w:val="0"/>
        <w:adjustRightInd w:val="0"/>
        <w:snapToGrid w:val="0"/>
        <w:spacing w:after="0" w:line="240" w:lineRule="auto"/>
        <w:rPr>
          <w:rFonts w:ascii="Times New Roman" w:eastAsia="Times New Roman" w:hAnsi="Times New Roman" w:cs="Times New Roman"/>
          <w:b/>
          <w:bCs/>
          <w:color w:val="000000"/>
          <w:lang w:val="lt-LT"/>
        </w:rPr>
      </w:pPr>
    </w:p>
    <w:p w14:paraId="6107FE22" w14:textId="77777777" w:rsidR="009500C0" w:rsidRPr="00E14983" w:rsidRDefault="009500C0" w:rsidP="009500C0">
      <w:pPr>
        <w:keepNext/>
        <w:spacing w:after="0" w:line="240" w:lineRule="auto"/>
        <w:outlineLvl w:val="8"/>
        <w:rPr>
          <w:rFonts w:ascii="Times New Roman" w:eastAsia="Times New Roman" w:hAnsi="Times New Roman" w:cs="Times New Roman"/>
          <w:b/>
          <w:bCs/>
          <w:lang w:val="lt-LT"/>
        </w:rPr>
      </w:pPr>
      <w:r w:rsidRPr="00E14983">
        <w:rPr>
          <w:rFonts w:ascii="Times New Roman" w:eastAsia="Times New Roman" w:hAnsi="Times New Roman" w:cs="Times New Roman"/>
          <w:b/>
          <w:bCs/>
          <w:lang w:val="lt-LT"/>
        </w:rPr>
        <w:t>Vartojimo instrukcija (citotoksinis preparatas)</w:t>
      </w:r>
    </w:p>
    <w:p w14:paraId="0AAD4947" w14:textId="77777777" w:rsidR="009500C0" w:rsidRPr="00E14983" w:rsidRDefault="009500C0" w:rsidP="009500C0">
      <w:pPr>
        <w:spacing w:after="0" w:line="240" w:lineRule="auto"/>
        <w:rPr>
          <w:rFonts w:ascii="Times New Roman" w:eastAsia="Times New Roman" w:hAnsi="Times New Roman" w:cs="Times New Roman"/>
          <w:lang w:val="lt-LT"/>
        </w:rPr>
      </w:pPr>
    </w:p>
    <w:p w14:paraId="34E0E3FD" w14:textId="77777777" w:rsidR="009500C0" w:rsidRPr="00E14983" w:rsidRDefault="009500C0" w:rsidP="009500C0">
      <w:pPr>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Darbas su Irinotecan Accord</w:t>
      </w:r>
    </w:p>
    <w:p w14:paraId="3297276B" w14:textId="6B95EF66" w:rsidR="009500C0" w:rsidRPr="00E14983" w:rsidRDefault="009500C0" w:rsidP="009500C0">
      <w:pPr>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Su Irinotecan Accord</w:t>
      </w:r>
      <w:r w:rsidRPr="00E14983">
        <w:rPr>
          <w:rFonts w:ascii="Times New Roman" w:eastAsia="Times New Roman" w:hAnsi="Times New Roman" w:cs="Times New Roman"/>
          <w:color w:val="000000"/>
          <w:lang w:val="lt-LT" w:eastAsia="en-GB"/>
        </w:rPr>
        <w:t xml:space="preserve">, kaip ir su kitais </w:t>
      </w:r>
      <w:r w:rsidR="009C3969" w:rsidRPr="00E14983">
        <w:rPr>
          <w:rFonts w:ascii="Times New Roman" w:eastAsia="Times New Roman" w:hAnsi="Times New Roman" w:cs="Times New Roman"/>
          <w:color w:val="000000"/>
          <w:lang w:val="lt-LT" w:eastAsia="en-GB"/>
        </w:rPr>
        <w:t>vaistais</w:t>
      </w:r>
      <w:r w:rsidR="002D6B48" w:rsidRPr="00E14983">
        <w:rPr>
          <w:rFonts w:ascii="Times New Roman" w:eastAsia="Times New Roman" w:hAnsi="Times New Roman" w:cs="Times New Roman"/>
          <w:color w:val="000000"/>
          <w:lang w:val="lt-LT" w:eastAsia="en-GB"/>
        </w:rPr>
        <w:t xml:space="preserve"> </w:t>
      </w:r>
      <w:r w:rsidRPr="00E14983">
        <w:rPr>
          <w:rFonts w:ascii="Times New Roman" w:eastAsia="Times New Roman" w:hAnsi="Times New Roman" w:cs="Times New Roman"/>
          <w:color w:val="000000"/>
          <w:lang w:val="lt-LT" w:eastAsia="en-GB"/>
        </w:rPr>
        <w:t>nuo vėžio, reikia dirbti atsargiai</w:t>
      </w:r>
      <w:r w:rsidRPr="00E14983">
        <w:rPr>
          <w:rFonts w:ascii="Times New Roman" w:eastAsia="Times New Roman" w:hAnsi="Times New Roman" w:cs="Times New Roman"/>
          <w:lang w:val="lt-LT"/>
        </w:rPr>
        <w:t xml:space="preserve">. Praskiedimas turi būti atliekamas apmokyto personalo aseptinėmis sąlygomis tam skirtoje vietoje. Būtina imtis atsargumo priemonių, kad </w:t>
      </w:r>
      <w:r w:rsidR="009C3969" w:rsidRPr="00E14983">
        <w:rPr>
          <w:rFonts w:ascii="Times New Roman" w:eastAsia="Times New Roman" w:hAnsi="Times New Roman" w:cs="Times New Roman"/>
          <w:lang w:val="lt-LT"/>
        </w:rPr>
        <w:t>vaisto</w:t>
      </w:r>
      <w:r w:rsidR="002D6B48"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nepatektų ant odos ir gleivinės.</w:t>
      </w:r>
    </w:p>
    <w:p w14:paraId="6BD00AC9" w14:textId="77777777" w:rsidR="009500C0" w:rsidRPr="00E14983" w:rsidRDefault="009500C0" w:rsidP="009500C0">
      <w:pPr>
        <w:tabs>
          <w:tab w:val="num" w:pos="1404"/>
        </w:tabs>
        <w:spacing w:after="0" w:line="240" w:lineRule="auto"/>
        <w:rPr>
          <w:rFonts w:ascii="Times New Roman" w:eastAsia="Times New Roman" w:hAnsi="Times New Roman" w:cs="Times New Roman"/>
          <w:lang w:val="lt-LT"/>
        </w:rPr>
      </w:pPr>
    </w:p>
    <w:p w14:paraId="273AB5D6" w14:textId="77777777" w:rsidR="009500C0" w:rsidRPr="00E14983" w:rsidRDefault="009500C0" w:rsidP="009500C0">
      <w:pPr>
        <w:tabs>
          <w:tab w:val="num" w:pos="140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Su apsisaugojimu susijusios irinotekano infuzinio tirpalo ruošimo instrukcijos</w:t>
      </w:r>
    </w:p>
    <w:p w14:paraId="125E8D1D"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1. </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Būtina naudoti apsaugomąsias kameras </w:t>
      </w:r>
      <w:r w:rsidRPr="00E14983">
        <w:rPr>
          <w:rFonts w:ascii="Times New Roman" w:eastAsia="Times New Roman" w:hAnsi="Times New Roman" w:cs="Times New Roman"/>
          <w:lang w:val="lt-LT" w:eastAsia="en-GB"/>
        </w:rPr>
        <w:t>ir dėvėti apsaugomąsias pirštines bei chalatus. Jeigu apsaugomųjų kamerų nėra, reikia naudoti burnos kaukę ir apsaugomuosius akinius</w:t>
      </w:r>
      <w:r w:rsidRPr="00E14983">
        <w:rPr>
          <w:rFonts w:ascii="Times New Roman" w:eastAsia="Times New Roman" w:hAnsi="Times New Roman" w:cs="Times New Roman"/>
          <w:lang w:val="lt-LT"/>
        </w:rPr>
        <w:t>.</w:t>
      </w:r>
    </w:p>
    <w:p w14:paraId="5058581E"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p>
    <w:p w14:paraId="683954C8"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lastRenderedPageBreak/>
        <w:t xml:space="preserve">2. </w:t>
      </w:r>
      <w:r w:rsidRPr="00E14983">
        <w:rPr>
          <w:rFonts w:ascii="Times New Roman" w:eastAsia="Times New Roman" w:hAnsi="Times New Roman" w:cs="Times New Roman"/>
          <w:lang w:val="lt-LT"/>
        </w:rPr>
        <w:tab/>
        <w:t>Atviras talpykles, pvz., injekcinius flakonus ar infuzijų buteliukus, bei panaudotas kaniules, švirkštus, kateterius, vamzdelius ir citostatiko atliekas reikia laikyti pavojingomis atliekomis ir jas tvarkyti laikantis vietinių darbo su PAVOJINGOMIS ATLIEKOMIS gairių.</w:t>
      </w:r>
    </w:p>
    <w:p w14:paraId="7A766D58" w14:textId="77777777" w:rsidR="009500C0" w:rsidRPr="00E14983" w:rsidRDefault="009500C0" w:rsidP="009500C0">
      <w:pPr>
        <w:tabs>
          <w:tab w:val="num" w:pos="1404"/>
        </w:tabs>
        <w:spacing w:after="0" w:line="240" w:lineRule="auto"/>
        <w:ind w:left="562" w:hanging="562"/>
        <w:rPr>
          <w:rFonts w:ascii="Times New Roman" w:eastAsia="Times New Roman" w:hAnsi="Times New Roman" w:cs="Times New Roman"/>
          <w:lang w:val="lt-LT"/>
        </w:rPr>
      </w:pPr>
    </w:p>
    <w:p w14:paraId="2C4DD05E"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3. </w:t>
      </w:r>
      <w:r w:rsidRPr="00E14983">
        <w:rPr>
          <w:rFonts w:ascii="Times New Roman" w:eastAsia="Times New Roman" w:hAnsi="Times New Roman" w:cs="Times New Roman"/>
          <w:lang w:val="lt-LT"/>
        </w:rPr>
        <w:tab/>
        <w:t>Jeigu vaisto išpilama, laikykitės toliau pateikiamų instrukcijų.</w:t>
      </w:r>
    </w:p>
    <w:p w14:paraId="403F6251" w14:textId="77777777" w:rsidR="009500C0" w:rsidRPr="00E14983" w:rsidRDefault="009500C0" w:rsidP="009500C0">
      <w:pPr>
        <w:numPr>
          <w:ilvl w:val="0"/>
          <w:numId w:val="37"/>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Būtina dėvėti apsaugomuosius drabužius.</w:t>
      </w:r>
    </w:p>
    <w:p w14:paraId="5AAB91CB" w14:textId="77777777" w:rsidR="009500C0" w:rsidRPr="00E14983" w:rsidRDefault="009500C0" w:rsidP="009500C0">
      <w:pPr>
        <w:numPr>
          <w:ilvl w:val="0"/>
          <w:numId w:val="37"/>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Stiklo duženas reikia surinkti ir sudėti į PAVOJINGŲ ATLIEKŲ talpyklę.</w:t>
      </w:r>
    </w:p>
    <w:p w14:paraId="030506D2" w14:textId="77777777" w:rsidR="009500C0" w:rsidRPr="00E14983" w:rsidRDefault="009500C0" w:rsidP="009500C0">
      <w:pPr>
        <w:numPr>
          <w:ilvl w:val="0"/>
          <w:numId w:val="37"/>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Užterštus paviršius reikia tinkamai nuplauti dideliu kiekiu šalto vandens.</w:t>
      </w:r>
    </w:p>
    <w:p w14:paraId="72E3533E" w14:textId="77777777" w:rsidR="009500C0" w:rsidRPr="00E14983" w:rsidRDefault="009500C0" w:rsidP="009500C0">
      <w:pPr>
        <w:numPr>
          <w:ilvl w:val="0"/>
          <w:numId w:val="37"/>
        </w:num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Po to nuplautus paviršius reikia gerai nušluostyti, o šluostymui naudotą medžiagą reikia tvarkyti kaip PAVOJINGAS ATLIEKAS.</w:t>
      </w:r>
    </w:p>
    <w:p w14:paraId="15FD7122" w14:textId="77777777" w:rsidR="009500C0" w:rsidRPr="00E14983" w:rsidRDefault="009500C0" w:rsidP="009500C0">
      <w:pPr>
        <w:spacing w:after="0" w:line="240" w:lineRule="auto"/>
        <w:rPr>
          <w:rFonts w:ascii="Times New Roman" w:eastAsia="Times New Roman" w:hAnsi="Times New Roman" w:cs="Times New Roman"/>
          <w:lang w:val="lt-LT"/>
        </w:rPr>
      </w:pPr>
    </w:p>
    <w:p w14:paraId="36E9D648" w14:textId="720DFBCF" w:rsidR="009500C0" w:rsidRPr="00E14983" w:rsidRDefault="009500C0" w:rsidP="009500C0">
      <w:pPr>
        <w:spacing w:after="0" w:line="240" w:lineRule="auto"/>
        <w:ind w:left="562" w:hanging="562"/>
        <w:rPr>
          <w:rFonts w:ascii="Times New Roman" w:eastAsia="Times New Roman" w:hAnsi="Times New Roman" w:cs="Times New Roman"/>
          <w:color w:val="000000"/>
          <w:lang w:val="lt-LT" w:eastAsia="en-GB"/>
        </w:rPr>
      </w:pPr>
      <w:r w:rsidRPr="00E14983">
        <w:rPr>
          <w:rFonts w:ascii="Times New Roman" w:eastAsia="Times New Roman" w:hAnsi="Times New Roman" w:cs="Times New Roman"/>
          <w:lang w:val="lt-LT"/>
        </w:rPr>
        <w:t>4.</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Jeigu </w:t>
      </w:r>
      <w:r w:rsidRPr="00E14983">
        <w:rPr>
          <w:rFonts w:ascii="Times New Roman" w:eastAsia="Times New Roman" w:hAnsi="Times New Roman" w:cs="Times New Roman"/>
          <w:lang w:val="lt-LT"/>
        </w:rPr>
        <w:t>Irinotecan Accord</w:t>
      </w:r>
      <w:r w:rsidRPr="00E14983">
        <w:rPr>
          <w:rFonts w:ascii="Times New Roman" w:eastAsia="Times New Roman" w:hAnsi="Times New Roman" w:cs="Times New Roman"/>
          <w:color w:val="000000"/>
          <w:lang w:val="lt-LT" w:eastAsia="en-GB"/>
        </w:rPr>
        <w:t xml:space="preserve"> patenka ant odos, ją būtina nuplauti dideliu kiekiu bėgančio vandens ir po to nuplauti muilu ir vandeniu. Jeigu </w:t>
      </w:r>
      <w:r w:rsidR="00BD2F40" w:rsidRPr="00E14983">
        <w:rPr>
          <w:rFonts w:ascii="Times New Roman" w:eastAsia="Times New Roman" w:hAnsi="Times New Roman" w:cs="Times New Roman"/>
          <w:color w:val="000000"/>
          <w:lang w:val="lt-LT" w:eastAsia="en-GB"/>
        </w:rPr>
        <w:t>vaisto</w:t>
      </w:r>
      <w:r w:rsidR="002D6B48" w:rsidRPr="00E14983">
        <w:rPr>
          <w:rFonts w:ascii="Times New Roman" w:eastAsia="Times New Roman" w:hAnsi="Times New Roman" w:cs="Times New Roman"/>
          <w:color w:val="000000"/>
          <w:lang w:val="lt-LT" w:eastAsia="en-GB"/>
        </w:rPr>
        <w:t xml:space="preserve"> </w:t>
      </w:r>
      <w:r w:rsidRPr="00E14983">
        <w:rPr>
          <w:rFonts w:ascii="Times New Roman" w:eastAsia="Times New Roman" w:hAnsi="Times New Roman" w:cs="Times New Roman"/>
          <w:color w:val="000000"/>
          <w:lang w:val="lt-LT" w:eastAsia="en-GB"/>
        </w:rPr>
        <w:t>patenka ant gleivinės, ją būtina kruopščiai nuplauti vandeniu. Jeigu atsiranda nemalonių pojūčių, pacientas turi kreiptis į gydytoją.</w:t>
      </w:r>
    </w:p>
    <w:p w14:paraId="43CE5316"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p>
    <w:p w14:paraId="5D563F0B" w14:textId="77777777" w:rsidR="009500C0" w:rsidRPr="00E14983" w:rsidRDefault="009500C0" w:rsidP="009500C0">
      <w:pPr>
        <w:spacing w:after="0" w:line="240" w:lineRule="auto"/>
        <w:ind w:left="562" w:hanging="562"/>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5. </w:t>
      </w:r>
      <w:r w:rsidRPr="00E14983">
        <w:rPr>
          <w:rFonts w:ascii="Times New Roman" w:eastAsia="Times New Roman" w:hAnsi="Times New Roman" w:cs="Times New Roman"/>
          <w:lang w:val="lt-LT"/>
        </w:rPr>
        <w:tab/>
      </w:r>
      <w:r w:rsidRPr="00E14983">
        <w:rPr>
          <w:rFonts w:ascii="Times New Roman" w:eastAsia="Times New Roman" w:hAnsi="Times New Roman" w:cs="Times New Roman"/>
          <w:color w:val="000000"/>
          <w:lang w:val="lt-LT" w:eastAsia="en-GB"/>
        </w:rPr>
        <w:t xml:space="preserve">Jeigu </w:t>
      </w:r>
      <w:r w:rsidRPr="00E14983">
        <w:rPr>
          <w:rFonts w:ascii="Times New Roman" w:eastAsia="Times New Roman" w:hAnsi="Times New Roman" w:cs="Times New Roman"/>
          <w:lang w:val="lt-LT"/>
        </w:rPr>
        <w:t>Irinotecan Accord</w:t>
      </w:r>
      <w:r w:rsidRPr="00E14983">
        <w:rPr>
          <w:rFonts w:ascii="Times New Roman" w:eastAsia="Times New Roman" w:hAnsi="Times New Roman" w:cs="Times New Roman"/>
          <w:color w:val="000000"/>
          <w:lang w:val="lt-LT" w:eastAsia="en-GB"/>
        </w:rPr>
        <w:t xml:space="preserve"> patenka ant akių, jas būtina nuplauti dideliu kiekiu vandens</w:t>
      </w:r>
      <w:r w:rsidRPr="00E14983">
        <w:rPr>
          <w:rFonts w:ascii="Times New Roman" w:eastAsia="Times New Roman" w:hAnsi="Times New Roman" w:cs="Times New Roman"/>
          <w:lang w:val="lt-LT"/>
        </w:rPr>
        <w:t>. Būtina nedelsiant kreiptis į oftalmologą.</w:t>
      </w:r>
    </w:p>
    <w:p w14:paraId="50BD70D9" w14:textId="77777777" w:rsidR="009500C0" w:rsidRPr="00E14983" w:rsidRDefault="009500C0" w:rsidP="009500C0">
      <w:pPr>
        <w:tabs>
          <w:tab w:val="left" w:pos="342"/>
        </w:tabs>
        <w:spacing w:after="0" w:line="240" w:lineRule="auto"/>
        <w:rPr>
          <w:rFonts w:ascii="Times New Roman" w:eastAsia="Times New Roman" w:hAnsi="Times New Roman" w:cs="Times New Roman"/>
          <w:lang w:val="lt-LT"/>
        </w:rPr>
      </w:pPr>
    </w:p>
    <w:p w14:paraId="0E9F053C" w14:textId="77777777" w:rsidR="009500C0" w:rsidRPr="00E14983" w:rsidRDefault="009500C0" w:rsidP="009500C0">
      <w:pPr>
        <w:tabs>
          <w:tab w:val="left" w:pos="-134"/>
        </w:tabs>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Infuzinio tirpalo ruošimas</w:t>
      </w:r>
    </w:p>
    <w:p w14:paraId="05987E75" w14:textId="1D8239CC" w:rsidR="009500C0" w:rsidRPr="00E14983" w:rsidRDefault="009500C0" w:rsidP="009500C0">
      <w:pPr>
        <w:tabs>
          <w:tab w:val="left" w:pos="-13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Irinotecan Accord koncentratas infuziniam tirpalui yra skirtas tik infuzuoti į veną, prieš tai jį praskiedus rekomenduojamais skiedikliais:</w:t>
      </w:r>
      <w:r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color w:val="000000"/>
          <w:lang w:val="lt-LT" w:eastAsia="en-GB"/>
        </w:rPr>
        <w:t>arba 0,9</w:t>
      </w:r>
      <w:r w:rsidR="0098422E"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 natrio chlorido infuziniu tirpalu, arba 5</w:t>
      </w:r>
      <w:r w:rsidR="008A66B4"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 gliukozės infuziniu tirpalu</w:t>
      </w:r>
      <w:r w:rsidRPr="00E14983">
        <w:rPr>
          <w:rFonts w:ascii="Times New Roman" w:eastAsia="Times New Roman" w:hAnsi="Times New Roman" w:cs="Times New Roman"/>
          <w:lang w:val="lt-LT"/>
        </w:rPr>
        <w:t>.</w:t>
      </w:r>
      <w:r w:rsidRPr="00E14983">
        <w:rPr>
          <w:rFonts w:ascii="Times New Roman" w:eastAsia="Times New Roman" w:hAnsi="Times New Roman" w:cs="Times New Roman"/>
          <w:color w:val="000000"/>
          <w:lang w:val="lt-LT" w:eastAsia="en-GB"/>
        </w:rPr>
        <w:t xml:space="preserve"> Aseptinėmis sąlygomis kalibruotu švirkštu reikia įtraukti reikiamą Irinotecan Accord koncentrato infuziniam tirpalui kiekį ir jį suleidus į 250</w:t>
      </w:r>
      <w:r w:rsidR="0009035A" w:rsidRPr="00E14983">
        <w:rPr>
          <w:rFonts w:ascii="Times New Roman" w:eastAsia="Times New Roman" w:hAnsi="Times New Roman" w:cs="Times New Roman"/>
          <w:color w:val="000000"/>
          <w:lang w:val="lt-LT" w:eastAsia="en-GB"/>
        </w:rPr>
        <w:t> </w:t>
      </w:r>
      <w:r w:rsidRPr="00E14983">
        <w:rPr>
          <w:rFonts w:ascii="Times New Roman" w:eastAsia="Times New Roman" w:hAnsi="Times New Roman" w:cs="Times New Roman"/>
          <w:color w:val="000000"/>
          <w:lang w:val="lt-LT" w:eastAsia="en-GB"/>
        </w:rPr>
        <w:t>ml infuzijų maišelį ar buteliuką. Infuzinį tirpalą reikia gerai sumaišyti talpyklę sukiojant rankomis.</w:t>
      </w:r>
    </w:p>
    <w:p w14:paraId="4637EFB2" w14:textId="27F01BDB" w:rsidR="009500C0" w:rsidRPr="00E14983" w:rsidRDefault="009500C0" w:rsidP="009500C0">
      <w:pPr>
        <w:tabs>
          <w:tab w:val="left" w:pos="1638"/>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Po pakuotės atidarymo </w:t>
      </w:r>
      <w:r w:rsidR="0009035A" w:rsidRPr="00E14983">
        <w:rPr>
          <w:rFonts w:ascii="Times New Roman" w:eastAsia="Times New Roman" w:hAnsi="Times New Roman" w:cs="Times New Roman"/>
          <w:lang w:val="lt-LT"/>
        </w:rPr>
        <w:t>vaistą</w:t>
      </w:r>
      <w:r w:rsidR="002D6B48" w:rsidRPr="00E14983">
        <w:rPr>
          <w:rFonts w:ascii="Times New Roman" w:eastAsia="Times New Roman" w:hAnsi="Times New Roman" w:cs="Times New Roman"/>
          <w:lang w:val="lt-LT"/>
        </w:rPr>
        <w:t xml:space="preserve"> </w:t>
      </w:r>
      <w:r w:rsidRPr="00E14983">
        <w:rPr>
          <w:rFonts w:ascii="Times New Roman" w:eastAsia="Times New Roman" w:hAnsi="Times New Roman" w:cs="Times New Roman"/>
          <w:lang w:val="lt-LT"/>
        </w:rPr>
        <w:t>reikia praskiesti ir vartoti nedelsiant.</w:t>
      </w:r>
    </w:p>
    <w:p w14:paraId="6AF36B69" w14:textId="77777777" w:rsidR="009500C0" w:rsidRPr="00E14983" w:rsidRDefault="009500C0" w:rsidP="009500C0">
      <w:pPr>
        <w:spacing w:after="0" w:line="240" w:lineRule="auto"/>
        <w:rPr>
          <w:rFonts w:ascii="Times New Roman" w:eastAsia="Times New Roman" w:hAnsi="Times New Roman" w:cs="Times New Roman"/>
          <w:lang w:val="lt-LT" w:eastAsia="en-GB"/>
        </w:rPr>
      </w:pPr>
      <w:r w:rsidRPr="00E14983">
        <w:rPr>
          <w:rFonts w:ascii="Times New Roman" w:eastAsia="Times New Roman" w:hAnsi="Times New Roman" w:cs="Times New Roman"/>
          <w:lang w:val="lt-LT" w:eastAsia="en-GB"/>
        </w:rPr>
        <w:t>Irinotekano tirpalas, kai jo ruošimui naudojami infuziniai tirpalai (0,9</w:t>
      </w:r>
      <w:r w:rsidR="0098422E"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 (m/V) natrio chlorido tirpalas ir 5</w:t>
      </w:r>
      <w:r w:rsidR="0098422E"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 (m/V) gliukozės tirpalas), fiziniu ir cheminiu požiūriu išlieka stabilus iki 28 dienų, jeigu yra laikomas MTPE ar PVC talpyklėse 5</w:t>
      </w:r>
      <w:r w:rsidR="0098422E"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°C arba 25</w:t>
      </w:r>
      <w:r w:rsidR="0098422E" w:rsidRPr="00E14983">
        <w:rPr>
          <w:rFonts w:ascii="Times New Roman" w:eastAsia="Times New Roman" w:hAnsi="Times New Roman" w:cs="Times New Roman"/>
          <w:lang w:val="lt-LT" w:eastAsia="en-GB"/>
        </w:rPr>
        <w:t> </w:t>
      </w:r>
      <w:r w:rsidRPr="00E14983">
        <w:rPr>
          <w:rFonts w:ascii="Times New Roman" w:eastAsia="Times New Roman" w:hAnsi="Times New Roman" w:cs="Times New Roman"/>
          <w:lang w:val="lt-LT" w:eastAsia="en-GB"/>
        </w:rPr>
        <w:t xml:space="preserve">°C temperatūroje ir nuo šviesos apsaugotoje vietoje. Nustatyta, kad nuo šviesos neapsaugotoje vietoje laikomas tirpalas fiziniu ir cheminiu požiūriu išlieka stabilus iki 3 dienų. </w:t>
      </w:r>
    </w:p>
    <w:p w14:paraId="176C7CA1" w14:textId="639F6A8E" w:rsidR="009500C0" w:rsidRPr="00E14983" w:rsidRDefault="009500C0" w:rsidP="009500C0">
      <w:pPr>
        <w:tabs>
          <w:tab w:val="left" w:pos="-13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rPr>
        <w:t xml:space="preserve">Mikrobiologiniu požiūriu, praskiestą tirpalą reikia vartoti nedelsiant. Jeigu </w:t>
      </w:r>
      <w:r w:rsidR="0009035A" w:rsidRPr="00E14983">
        <w:rPr>
          <w:rFonts w:ascii="Times New Roman" w:eastAsia="Times New Roman" w:hAnsi="Times New Roman" w:cs="Times New Roman"/>
          <w:color w:val="000000"/>
          <w:lang w:val="lt-LT"/>
        </w:rPr>
        <w:t>vaistas</w:t>
      </w:r>
      <w:r w:rsidR="002D6B48" w:rsidRPr="00E14983">
        <w:rPr>
          <w:rFonts w:ascii="Times New Roman" w:eastAsia="Times New Roman" w:hAnsi="Times New Roman" w:cs="Times New Roman"/>
          <w:color w:val="000000"/>
          <w:lang w:val="lt-LT"/>
        </w:rPr>
        <w:t xml:space="preserve"> </w:t>
      </w:r>
      <w:r w:rsidRPr="00E14983">
        <w:rPr>
          <w:rFonts w:ascii="Times New Roman" w:eastAsia="Times New Roman" w:hAnsi="Times New Roman" w:cs="Times New Roman"/>
          <w:color w:val="000000"/>
          <w:lang w:val="lt-LT"/>
        </w:rPr>
        <w:t>nevartojamas iš karto, už laikymo trukmę ir sąlygas iki vartojimo atsako vartotojas. Paprastai tirpalas negali būti laikomas ilgiau kaip 24</w:t>
      </w:r>
      <w:r w:rsidR="0009035A" w:rsidRPr="00E14983">
        <w:rPr>
          <w:rFonts w:ascii="Times New Roman" w:eastAsia="Times New Roman" w:hAnsi="Times New Roman" w:cs="Times New Roman"/>
          <w:color w:val="000000"/>
          <w:lang w:val="lt-LT"/>
        </w:rPr>
        <w:t> </w:t>
      </w:r>
      <w:r w:rsidRPr="00E14983">
        <w:rPr>
          <w:rFonts w:ascii="Times New Roman" w:eastAsia="Times New Roman" w:hAnsi="Times New Roman" w:cs="Times New Roman"/>
          <w:color w:val="000000"/>
          <w:lang w:val="lt-LT"/>
        </w:rPr>
        <w:t xml:space="preserve">val. 2 °C </w:t>
      </w:r>
      <w:r w:rsidRPr="00E14983">
        <w:rPr>
          <w:rFonts w:ascii="Times New Roman" w:eastAsia="Times New Roman" w:hAnsi="Times New Roman" w:cs="Times New Roman"/>
          <w:color w:val="000000"/>
          <w:lang w:val="lt-LT"/>
        </w:rPr>
        <w:noBreakHyphen/>
        <w:t>8 °C temperatūroje, nebent buvo tirpinta ar skiesta (ir t. t.) kontroliuojamomis ir patvirtintomis aseptinėmis sąlygomis.</w:t>
      </w:r>
    </w:p>
    <w:p w14:paraId="37F5EC1A" w14:textId="77777777" w:rsidR="009500C0" w:rsidRPr="00E14983" w:rsidRDefault="009500C0" w:rsidP="009500C0">
      <w:pPr>
        <w:tabs>
          <w:tab w:val="left" w:pos="-134"/>
        </w:tabs>
        <w:spacing w:after="0" w:line="240" w:lineRule="auto"/>
        <w:rPr>
          <w:rFonts w:ascii="Times New Roman" w:eastAsia="Times New Roman" w:hAnsi="Times New Roman" w:cs="Times New Roman"/>
          <w:color w:val="000000"/>
          <w:lang w:val="lt-LT" w:eastAsia="en-GB"/>
        </w:rPr>
      </w:pPr>
    </w:p>
    <w:p w14:paraId="706F8373" w14:textId="77777777" w:rsidR="009500C0" w:rsidRPr="00E14983" w:rsidRDefault="009500C0" w:rsidP="009500C0">
      <w:pPr>
        <w:tabs>
          <w:tab w:val="left" w:pos="-13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color w:val="000000"/>
          <w:lang w:val="lt-LT" w:eastAsia="en-GB"/>
        </w:rPr>
        <w:t>Jeigu flakone ar po praskiedimo atsiranda bet kokių nuosėdų, vaistą reikia išmesti laikantis standartinių citotoksiniams vaistiniams preparatams skirtų procedūrų</w:t>
      </w:r>
      <w:r w:rsidRPr="00E14983">
        <w:rPr>
          <w:rFonts w:ascii="Times New Roman" w:eastAsia="Times New Roman" w:hAnsi="Times New Roman" w:cs="Times New Roman"/>
          <w:lang w:val="lt-LT"/>
        </w:rPr>
        <w:t>.</w:t>
      </w:r>
    </w:p>
    <w:p w14:paraId="0112C319" w14:textId="77777777" w:rsidR="009500C0" w:rsidRPr="00E14983" w:rsidRDefault="009500C0" w:rsidP="009500C0">
      <w:pPr>
        <w:autoSpaceDE w:val="0"/>
        <w:autoSpaceDN w:val="0"/>
        <w:adjustRightInd w:val="0"/>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Irinotecan Accord negalima suleisti į veną smūgine doze arba infuzuoti į veną per trumpesnį kaip 30 minučių arba ilgesnį kaip 90 minučių laikotarpį.</w:t>
      </w:r>
    </w:p>
    <w:p w14:paraId="47D35459" w14:textId="77777777" w:rsidR="009500C0" w:rsidRPr="00E14983" w:rsidRDefault="009500C0" w:rsidP="009500C0">
      <w:pPr>
        <w:tabs>
          <w:tab w:val="num" w:pos="1404"/>
        </w:tabs>
        <w:spacing w:after="0" w:line="240" w:lineRule="auto"/>
        <w:rPr>
          <w:rFonts w:ascii="Times New Roman" w:eastAsia="Times New Roman" w:hAnsi="Times New Roman" w:cs="Times New Roman"/>
          <w:lang w:val="lt-LT"/>
        </w:rPr>
      </w:pPr>
    </w:p>
    <w:p w14:paraId="1157B201" w14:textId="77777777" w:rsidR="009500C0" w:rsidRPr="00E14983" w:rsidRDefault="009500C0" w:rsidP="009500C0">
      <w:pPr>
        <w:tabs>
          <w:tab w:val="num" w:pos="1404"/>
        </w:tabs>
        <w:spacing w:after="0" w:line="240" w:lineRule="auto"/>
        <w:rPr>
          <w:rFonts w:ascii="Times New Roman" w:eastAsia="Times New Roman" w:hAnsi="Times New Roman" w:cs="Times New Roman"/>
          <w:b/>
          <w:bCs/>
          <w:i/>
          <w:iCs/>
          <w:lang w:val="lt-LT"/>
        </w:rPr>
      </w:pPr>
      <w:r w:rsidRPr="00E14983">
        <w:rPr>
          <w:rFonts w:ascii="Times New Roman" w:eastAsia="Times New Roman" w:hAnsi="Times New Roman" w:cs="Times New Roman"/>
          <w:b/>
          <w:bCs/>
          <w:i/>
          <w:iCs/>
          <w:lang w:val="lt-LT"/>
        </w:rPr>
        <w:t>Atliekų tvarkymas</w:t>
      </w:r>
    </w:p>
    <w:p w14:paraId="6C547CDE" w14:textId="77777777" w:rsidR="009500C0" w:rsidRPr="00E14983" w:rsidRDefault="009500C0" w:rsidP="009500C0">
      <w:pPr>
        <w:tabs>
          <w:tab w:val="num" w:pos="1404"/>
        </w:tabs>
        <w:spacing w:after="0" w:line="240" w:lineRule="auto"/>
        <w:rPr>
          <w:rFonts w:ascii="Times New Roman" w:eastAsia="Times New Roman" w:hAnsi="Times New Roman" w:cs="Times New Roman"/>
          <w:lang w:val="lt-LT"/>
        </w:rPr>
      </w:pPr>
      <w:r w:rsidRPr="00E14983">
        <w:rPr>
          <w:rFonts w:ascii="Times New Roman" w:eastAsia="Times New Roman" w:hAnsi="Times New Roman" w:cs="Times New Roman"/>
          <w:lang w:val="lt-LT"/>
        </w:rPr>
        <w:t xml:space="preserve">Visas priemones, naudotas ruošiant ar infuzuojant Irinotecan Accord arba kitaip kontaktavusias su vaistu, reikia tvarkyti laikantis vietinių gairių, taikomų </w:t>
      </w:r>
      <w:r w:rsidRPr="00E14983">
        <w:rPr>
          <w:rFonts w:ascii="Times New Roman" w:eastAsia="Times New Roman" w:hAnsi="Times New Roman" w:cs="Times New Roman"/>
          <w:color w:val="000000"/>
          <w:lang w:val="lt-LT"/>
        </w:rPr>
        <w:t>darbui su citotoksinėmis medžiagomis</w:t>
      </w:r>
      <w:r w:rsidRPr="00E14983">
        <w:rPr>
          <w:rFonts w:ascii="Times New Roman" w:eastAsia="Times New Roman" w:hAnsi="Times New Roman" w:cs="Times New Roman"/>
          <w:lang w:val="lt-LT"/>
        </w:rPr>
        <w:t>.</w:t>
      </w:r>
    </w:p>
    <w:p w14:paraId="23DBD01F" w14:textId="77777777" w:rsidR="00935F49" w:rsidRPr="00E14983" w:rsidRDefault="00935F49" w:rsidP="002D6B48">
      <w:pPr>
        <w:rPr>
          <w:lang w:val="lt-LT"/>
        </w:rPr>
      </w:pPr>
    </w:p>
    <w:sectPr w:rsidR="00935F49" w:rsidRPr="00E14983" w:rsidSect="00B11072">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Geneva">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91EE02BC"/>
    <w:lvl w:ilvl="0">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29F36D7"/>
    <w:multiLevelType w:val="hybridMultilevel"/>
    <w:tmpl w:val="12AEDB0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397640A"/>
    <w:multiLevelType w:val="hybridMultilevel"/>
    <w:tmpl w:val="4B02FF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B894037"/>
    <w:multiLevelType w:val="hybridMultilevel"/>
    <w:tmpl w:val="9B325E2A"/>
    <w:lvl w:ilvl="0" w:tplc="3F644BC4">
      <w:start w:val="5"/>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E16978"/>
    <w:multiLevelType w:val="hybridMultilevel"/>
    <w:tmpl w:val="EEFCC116"/>
    <w:lvl w:ilvl="0" w:tplc="040B000F">
      <w:start w:val="1"/>
      <w:numFmt w:val="decimal"/>
      <w:lvlText w:val="%1."/>
      <w:lvlJc w:val="left"/>
      <w:pPr>
        <w:tabs>
          <w:tab w:val="num" w:pos="360"/>
        </w:tabs>
        <w:ind w:left="360" w:hanging="360"/>
      </w:pPr>
      <w:rPr>
        <w:rFonts w:cs="Times New Roman"/>
      </w:rPr>
    </w:lvl>
    <w:lvl w:ilvl="1" w:tplc="040B0019">
      <w:start w:val="1"/>
      <w:numFmt w:val="lowerLetter"/>
      <w:lvlText w:val="%2."/>
      <w:lvlJc w:val="left"/>
      <w:pPr>
        <w:tabs>
          <w:tab w:val="num" w:pos="1080"/>
        </w:tabs>
        <w:ind w:left="1080" w:hanging="360"/>
      </w:pPr>
      <w:rPr>
        <w:rFonts w:cs="Times New Roman"/>
      </w:rPr>
    </w:lvl>
    <w:lvl w:ilvl="2" w:tplc="040B001B">
      <w:start w:val="1"/>
      <w:numFmt w:val="lowerRoman"/>
      <w:lvlText w:val="%3."/>
      <w:lvlJc w:val="right"/>
      <w:pPr>
        <w:tabs>
          <w:tab w:val="num" w:pos="1800"/>
        </w:tabs>
        <w:ind w:left="1800" w:hanging="180"/>
      </w:pPr>
      <w:rPr>
        <w:rFonts w:cs="Times New Roman"/>
      </w:rPr>
    </w:lvl>
    <w:lvl w:ilvl="3" w:tplc="040B000F">
      <w:start w:val="1"/>
      <w:numFmt w:val="decimal"/>
      <w:lvlText w:val="%4."/>
      <w:lvlJc w:val="left"/>
      <w:pPr>
        <w:tabs>
          <w:tab w:val="num" w:pos="2520"/>
        </w:tabs>
        <w:ind w:left="2520" w:hanging="360"/>
      </w:pPr>
      <w:rPr>
        <w:rFonts w:cs="Times New Roman"/>
      </w:rPr>
    </w:lvl>
    <w:lvl w:ilvl="4" w:tplc="040B0019">
      <w:start w:val="1"/>
      <w:numFmt w:val="lowerLetter"/>
      <w:lvlText w:val="%5."/>
      <w:lvlJc w:val="left"/>
      <w:pPr>
        <w:tabs>
          <w:tab w:val="num" w:pos="3240"/>
        </w:tabs>
        <w:ind w:left="3240" w:hanging="360"/>
      </w:pPr>
      <w:rPr>
        <w:rFonts w:cs="Times New Roman"/>
      </w:rPr>
    </w:lvl>
    <w:lvl w:ilvl="5" w:tplc="040B001B">
      <w:start w:val="1"/>
      <w:numFmt w:val="lowerRoman"/>
      <w:lvlText w:val="%6."/>
      <w:lvlJc w:val="right"/>
      <w:pPr>
        <w:tabs>
          <w:tab w:val="num" w:pos="3960"/>
        </w:tabs>
        <w:ind w:left="3960" w:hanging="180"/>
      </w:pPr>
      <w:rPr>
        <w:rFonts w:cs="Times New Roman"/>
      </w:rPr>
    </w:lvl>
    <w:lvl w:ilvl="6" w:tplc="040B000F">
      <w:start w:val="1"/>
      <w:numFmt w:val="decimal"/>
      <w:lvlText w:val="%7."/>
      <w:lvlJc w:val="left"/>
      <w:pPr>
        <w:tabs>
          <w:tab w:val="num" w:pos="4680"/>
        </w:tabs>
        <w:ind w:left="4680" w:hanging="360"/>
      </w:pPr>
      <w:rPr>
        <w:rFonts w:cs="Times New Roman"/>
      </w:rPr>
    </w:lvl>
    <w:lvl w:ilvl="7" w:tplc="040B0019">
      <w:start w:val="1"/>
      <w:numFmt w:val="lowerLetter"/>
      <w:lvlText w:val="%8."/>
      <w:lvlJc w:val="left"/>
      <w:pPr>
        <w:tabs>
          <w:tab w:val="num" w:pos="5400"/>
        </w:tabs>
        <w:ind w:left="5400" w:hanging="360"/>
      </w:pPr>
      <w:rPr>
        <w:rFonts w:cs="Times New Roman"/>
      </w:rPr>
    </w:lvl>
    <w:lvl w:ilvl="8" w:tplc="040B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0D022595"/>
    <w:multiLevelType w:val="hybridMultilevel"/>
    <w:tmpl w:val="13A854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0F642E3A"/>
    <w:multiLevelType w:val="hybridMultilevel"/>
    <w:tmpl w:val="23641F5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2D6428B"/>
    <w:multiLevelType w:val="hybridMultilevel"/>
    <w:tmpl w:val="F0F8EB4E"/>
    <w:lvl w:ilvl="0" w:tplc="72F467A0">
      <w:numFmt w:val="bullet"/>
      <w:lvlText w:val="-"/>
      <w:lvlJc w:val="left"/>
      <w:pPr>
        <w:ind w:left="360" w:hanging="360"/>
      </w:pPr>
      <w:rPr>
        <w:rFonts w:ascii="Times New Roman" w:eastAsia="Times New Roman" w:hAnsi="Times New Roman"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8" w15:restartNumberingAfterBreak="0">
    <w:nsid w:val="16253ADA"/>
    <w:multiLevelType w:val="hybridMultilevel"/>
    <w:tmpl w:val="01404CCA"/>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5D1C16"/>
    <w:multiLevelType w:val="hybridMultilevel"/>
    <w:tmpl w:val="7C5A2EC6"/>
    <w:lvl w:ilvl="0" w:tplc="40090001">
      <w:start w:val="1"/>
      <w:numFmt w:val="bullet"/>
      <w:lvlText w:val=""/>
      <w:lvlJc w:val="left"/>
      <w:pPr>
        <w:tabs>
          <w:tab w:val="num" w:pos="563"/>
        </w:tabs>
        <w:ind w:left="563" w:hanging="567"/>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D73B32"/>
    <w:multiLevelType w:val="hybridMultilevel"/>
    <w:tmpl w:val="7E3E80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E17C6A"/>
    <w:multiLevelType w:val="hybridMultilevel"/>
    <w:tmpl w:val="7542FD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6C3F90"/>
    <w:multiLevelType w:val="hybridMultilevel"/>
    <w:tmpl w:val="52D882A6"/>
    <w:lvl w:ilvl="0" w:tplc="5E886954">
      <w:numFmt w:val="bullet"/>
      <w:lvlText w:val="·"/>
      <w:lvlJc w:val="left"/>
      <w:pPr>
        <w:tabs>
          <w:tab w:val="num" w:pos="432"/>
        </w:tabs>
        <w:ind w:left="432"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F01E8C"/>
    <w:multiLevelType w:val="multilevel"/>
    <w:tmpl w:val="3B86FE26"/>
    <w:lvl w:ilvl="0">
      <w:start w:val="1"/>
      <w:numFmt w:val="decimal"/>
      <w:lvlText w:val="%1."/>
      <w:lvlJc w:val="left"/>
      <w:rPr>
        <w:rFonts w:ascii="Arial" w:hAnsi="Arial" w:cs="Aria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FD2B24"/>
    <w:multiLevelType w:val="hybridMultilevel"/>
    <w:tmpl w:val="A0B2462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F503A3"/>
    <w:multiLevelType w:val="hybridMultilevel"/>
    <w:tmpl w:val="F24AC8A8"/>
    <w:lvl w:ilvl="0" w:tplc="75E2D67A">
      <w:start w:val="1"/>
      <w:numFmt w:val="decimal"/>
      <w:lvlText w:val="%1."/>
      <w:lvlJc w:val="left"/>
      <w:pPr>
        <w:tabs>
          <w:tab w:val="num" w:pos="786"/>
        </w:tabs>
        <w:ind w:left="786" w:hanging="360"/>
      </w:pPr>
      <w:rPr>
        <w:rFonts w:ascii="Arial" w:hAnsi="Arial" w:cs="Times New Roman" w:hint="default"/>
        <w:b w:val="0"/>
        <w:i w:val="0"/>
        <w:color w:val="auto"/>
        <w:sz w:val="18"/>
      </w:rPr>
    </w:lvl>
    <w:lvl w:ilvl="1" w:tplc="04090019">
      <w:start w:val="1"/>
      <w:numFmt w:val="lowerLetter"/>
      <w:lvlText w:val="%2."/>
      <w:lvlJc w:val="left"/>
      <w:pPr>
        <w:tabs>
          <w:tab w:val="num" w:pos="1866"/>
        </w:tabs>
        <w:ind w:left="1866" w:hanging="360"/>
      </w:pPr>
    </w:lvl>
    <w:lvl w:ilvl="2" w:tplc="0409001B">
      <w:start w:val="1"/>
      <w:numFmt w:val="lowerRoman"/>
      <w:lvlText w:val="%3."/>
      <w:lvlJc w:val="right"/>
      <w:pPr>
        <w:tabs>
          <w:tab w:val="num" w:pos="2586"/>
        </w:tabs>
        <w:ind w:left="2586" w:hanging="180"/>
      </w:pPr>
    </w:lvl>
    <w:lvl w:ilvl="3" w:tplc="0409000F">
      <w:start w:val="1"/>
      <w:numFmt w:val="decimal"/>
      <w:lvlText w:val="%4."/>
      <w:lvlJc w:val="left"/>
      <w:pPr>
        <w:tabs>
          <w:tab w:val="num" w:pos="3306"/>
        </w:tabs>
        <w:ind w:left="3306" w:hanging="360"/>
      </w:pPr>
    </w:lvl>
    <w:lvl w:ilvl="4" w:tplc="04090019">
      <w:start w:val="1"/>
      <w:numFmt w:val="lowerLetter"/>
      <w:lvlText w:val="%5."/>
      <w:lvlJc w:val="left"/>
      <w:pPr>
        <w:tabs>
          <w:tab w:val="num" w:pos="4026"/>
        </w:tabs>
        <w:ind w:left="4026" w:hanging="360"/>
      </w:pPr>
    </w:lvl>
    <w:lvl w:ilvl="5" w:tplc="0409001B">
      <w:start w:val="1"/>
      <w:numFmt w:val="lowerRoman"/>
      <w:lvlText w:val="%6."/>
      <w:lvlJc w:val="right"/>
      <w:pPr>
        <w:tabs>
          <w:tab w:val="num" w:pos="4746"/>
        </w:tabs>
        <w:ind w:left="4746" w:hanging="180"/>
      </w:pPr>
    </w:lvl>
    <w:lvl w:ilvl="6" w:tplc="0409000F">
      <w:start w:val="1"/>
      <w:numFmt w:val="decimal"/>
      <w:lvlText w:val="%7."/>
      <w:lvlJc w:val="left"/>
      <w:pPr>
        <w:tabs>
          <w:tab w:val="num" w:pos="5466"/>
        </w:tabs>
        <w:ind w:left="5466" w:hanging="360"/>
      </w:pPr>
    </w:lvl>
    <w:lvl w:ilvl="7" w:tplc="04090019">
      <w:start w:val="1"/>
      <w:numFmt w:val="lowerLetter"/>
      <w:lvlText w:val="%8."/>
      <w:lvlJc w:val="left"/>
      <w:pPr>
        <w:tabs>
          <w:tab w:val="num" w:pos="6186"/>
        </w:tabs>
        <w:ind w:left="6186" w:hanging="360"/>
      </w:pPr>
    </w:lvl>
    <w:lvl w:ilvl="8" w:tplc="0409001B">
      <w:start w:val="1"/>
      <w:numFmt w:val="lowerRoman"/>
      <w:lvlText w:val="%9."/>
      <w:lvlJc w:val="right"/>
      <w:pPr>
        <w:tabs>
          <w:tab w:val="num" w:pos="6906"/>
        </w:tabs>
        <w:ind w:left="6906" w:hanging="180"/>
      </w:pPr>
    </w:lvl>
  </w:abstractNum>
  <w:abstractNum w:abstractNumId="16" w15:restartNumberingAfterBreak="0">
    <w:nsid w:val="381F4718"/>
    <w:multiLevelType w:val="hybridMultilevel"/>
    <w:tmpl w:val="37F666F8"/>
    <w:lvl w:ilvl="0" w:tplc="7560688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1739A"/>
    <w:multiLevelType w:val="hybridMultilevel"/>
    <w:tmpl w:val="43AA49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3D523C6E"/>
    <w:multiLevelType w:val="hybridMultilevel"/>
    <w:tmpl w:val="013A4A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15:restartNumberingAfterBreak="0">
    <w:nsid w:val="3E2A13B4"/>
    <w:multiLevelType w:val="hybridMultilevel"/>
    <w:tmpl w:val="0CC2B488"/>
    <w:lvl w:ilvl="0" w:tplc="9558C704">
      <w:numFmt w:val="bullet"/>
      <w:lvlText w:val="-"/>
      <w:lvlJc w:val="center"/>
      <w:pPr>
        <w:ind w:left="720" w:hanging="360"/>
      </w:pPr>
      <w:rPr>
        <w:rFonts w:ascii="Times New Roman" w:eastAsia="Times New Roman" w:hAnsi="Times New Roman" w:cs="Times New Roman"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34733BC"/>
    <w:multiLevelType w:val="hybridMultilevel"/>
    <w:tmpl w:val="CD8C0F6E"/>
    <w:lvl w:ilvl="0" w:tplc="BF50FE1E">
      <w:numFmt w:val="bullet"/>
      <w:lvlText w:val="·"/>
      <w:lvlJc w:val="left"/>
      <w:pPr>
        <w:tabs>
          <w:tab w:val="num" w:pos="360"/>
        </w:tabs>
        <w:ind w:left="360" w:hanging="360"/>
      </w:pPr>
      <w:rPr>
        <w:rFonts w:ascii="Symbol" w:hAnsi="Symbol" w:hint="default"/>
        <w:color w:val="000000"/>
      </w:rPr>
    </w:lvl>
    <w:lvl w:ilvl="1" w:tplc="40090003">
      <w:start w:val="1"/>
      <w:numFmt w:val="bullet"/>
      <w:lvlText w:val="o"/>
      <w:lvlJc w:val="left"/>
      <w:pPr>
        <w:ind w:left="1080" w:hanging="360"/>
      </w:pPr>
      <w:rPr>
        <w:rFonts w:ascii="Courier New" w:hAnsi="Courier New" w:hint="default"/>
      </w:rPr>
    </w:lvl>
    <w:lvl w:ilvl="2" w:tplc="40090005">
      <w:start w:val="1"/>
      <w:numFmt w:val="bullet"/>
      <w:lvlText w:val=""/>
      <w:lvlJc w:val="left"/>
      <w:pPr>
        <w:ind w:left="1800" w:hanging="360"/>
      </w:pPr>
      <w:rPr>
        <w:rFonts w:ascii="Wingdings" w:hAnsi="Wingdings" w:hint="default"/>
      </w:rPr>
    </w:lvl>
    <w:lvl w:ilvl="3" w:tplc="4009000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1" w15:restartNumberingAfterBreak="0">
    <w:nsid w:val="448159AD"/>
    <w:multiLevelType w:val="hybridMultilevel"/>
    <w:tmpl w:val="12DCDD48"/>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054CF"/>
    <w:multiLevelType w:val="hybridMultilevel"/>
    <w:tmpl w:val="AEBAC03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3" w15:restartNumberingAfterBreak="0">
    <w:nsid w:val="4B1B0158"/>
    <w:multiLevelType w:val="hybridMultilevel"/>
    <w:tmpl w:val="7B026516"/>
    <w:lvl w:ilvl="0" w:tplc="7054E976">
      <w:start w:val="1"/>
      <w:numFmt w:val="bullet"/>
      <w:lvlText w:val="•"/>
      <w:lvlJc w:val="left"/>
      <w:pPr>
        <w:tabs>
          <w:tab w:val="num" w:pos="360"/>
        </w:tabs>
        <w:ind w:left="0" w:firstLine="0"/>
      </w:pPr>
      <w:rPr>
        <w:rFonts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A3070"/>
    <w:multiLevelType w:val="hybridMultilevel"/>
    <w:tmpl w:val="657015BE"/>
    <w:lvl w:ilvl="0" w:tplc="510CB814">
      <w:numFmt w:val="bullet"/>
      <w:lvlText w:val="·"/>
      <w:lvlJc w:val="left"/>
      <w:pPr>
        <w:tabs>
          <w:tab w:val="num" w:pos="720"/>
        </w:tabs>
        <w:ind w:left="720" w:hanging="360"/>
      </w:pPr>
      <w:rPr>
        <w:rFonts w:ascii="Symbol" w:hAnsi="Symbol" w:hint="default"/>
        <w:color w:val="000000"/>
      </w:rPr>
    </w:lvl>
    <w:lvl w:ilvl="1" w:tplc="72F467A0">
      <w:numFmt w:val="bullet"/>
      <w:lvlText w:val="-"/>
      <w:lvlJc w:val="left"/>
      <w:pPr>
        <w:tabs>
          <w:tab w:val="num" w:pos="1440"/>
        </w:tabs>
        <w:ind w:left="1440" w:hanging="360"/>
      </w:pPr>
      <w:rPr>
        <w:rFonts w:ascii="Times New Roman" w:eastAsia="Times New Roman" w:hAnsi="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1834A6"/>
    <w:multiLevelType w:val="hybridMultilevel"/>
    <w:tmpl w:val="0338FB92"/>
    <w:lvl w:ilvl="0" w:tplc="510CB814">
      <w:numFmt w:val="bullet"/>
      <w:lvlText w:val="·"/>
      <w:lvlJc w:val="left"/>
      <w:pPr>
        <w:tabs>
          <w:tab w:val="num" w:pos="720"/>
        </w:tabs>
        <w:ind w:left="720" w:hanging="360"/>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0BC5454"/>
    <w:multiLevelType w:val="multilevel"/>
    <w:tmpl w:val="C2F82AD0"/>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5F3A9C"/>
    <w:multiLevelType w:val="hybridMultilevel"/>
    <w:tmpl w:val="7DFA7B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65820720"/>
    <w:multiLevelType w:val="hybridMultilevel"/>
    <w:tmpl w:val="0832EA2A"/>
    <w:lvl w:ilvl="0" w:tplc="9558C704">
      <w:numFmt w:val="bullet"/>
      <w:lvlText w:val="-"/>
      <w:lvlJc w:val="center"/>
      <w:pPr>
        <w:ind w:left="720" w:hanging="360"/>
      </w:pPr>
      <w:rPr>
        <w:rFonts w:ascii="Times New Roman" w:eastAsia="Times New Roman" w:hAnsi="Times New Roman" w:cs="Times New Roman" w:hint="default"/>
        <w:b/>
        <w:i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66B6824"/>
    <w:multiLevelType w:val="hybridMultilevel"/>
    <w:tmpl w:val="EDC6869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79AE67EE"/>
    <w:multiLevelType w:val="hybridMultilevel"/>
    <w:tmpl w:val="AADC2DD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79CE1BC2"/>
    <w:multiLevelType w:val="hybridMultilevel"/>
    <w:tmpl w:val="263E8EF0"/>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7A100D28"/>
    <w:multiLevelType w:val="hybridMultilevel"/>
    <w:tmpl w:val="39B43A0A"/>
    <w:lvl w:ilvl="0" w:tplc="FD788292">
      <w:start w:val="1"/>
      <w:numFmt w:val="upperLetter"/>
      <w:lvlText w:val="%1."/>
      <w:lvlJc w:val="left"/>
      <w:pPr>
        <w:ind w:left="5670" w:hanging="5670"/>
      </w:pPr>
      <w:rPr>
        <w:rFonts w:hint="default"/>
        <w:b/>
      </w:rPr>
    </w:lvl>
    <w:lvl w:ilvl="1" w:tplc="8D68442C">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3" w15:restartNumberingAfterBreak="0">
    <w:nsid w:val="7A5B3EA7"/>
    <w:multiLevelType w:val="hybridMultilevel"/>
    <w:tmpl w:val="8B28EFE4"/>
    <w:lvl w:ilvl="0" w:tplc="04090001">
      <w:start w:val="1"/>
      <w:numFmt w:val="bullet"/>
      <w:lvlText w:val=""/>
      <w:lvlJc w:val="left"/>
      <w:pPr>
        <w:tabs>
          <w:tab w:val="num" w:pos="1543"/>
        </w:tabs>
        <w:ind w:left="1543" w:hanging="360"/>
      </w:pPr>
      <w:rPr>
        <w:rFonts w:ascii="Symbol" w:hAnsi="Symbol" w:hint="default"/>
      </w:rPr>
    </w:lvl>
    <w:lvl w:ilvl="1" w:tplc="04090003" w:tentative="1">
      <w:start w:val="1"/>
      <w:numFmt w:val="bullet"/>
      <w:lvlText w:val="o"/>
      <w:lvlJc w:val="left"/>
      <w:pPr>
        <w:tabs>
          <w:tab w:val="num" w:pos="2263"/>
        </w:tabs>
        <w:ind w:left="2263" w:hanging="360"/>
      </w:pPr>
      <w:rPr>
        <w:rFonts w:ascii="Courier New" w:hAnsi="Courier New" w:hint="default"/>
      </w:rPr>
    </w:lvl>
    <w:lvl w:ilvl="2" w:tplc="04090005" w:tentative="1">
      <w:start w:val="1"/>
      <w:numFmt w:val="bullet"/>
      <w:lvlText w:val=""/>
      <w:lvlJc w:val="left"/>
      <w:pPr>
        <w:tabs>
          <w:tab w:val="num" w:pos="2983"/>
        </w:tabs>
        <w:ind w:left="2983" w:hanging="360"/>
      </w:pPr>
      <w:rPr>
        <w:rFonts w:ascii="Wingdings" w:hAnsi="Wingdings" w:hint="default"/>
      </w:rPr>
    </w:lvl>
    <w:lvl w:ilvl="3" w:tplc="04090001" w:tentative="1">
      <w:start w:val="1"/>
      <w:numFmt w:val="bullet"/>
      <w:lvlText w:val=""/>
      <w:lvlJc w:val="left"/>
      <w:pPr>
        <w:tabs>
          <w:tab w:val="num" w:pos="3703"/>
        </w:tabs>
        <w:ind w:left="3703" w:hanging="360"/>
      </w:pPr>
      <w:rPr>
        <w:rFonts w:ascii="Symbol" w:hAnsi="Symbol" w:hint="default"/>
      </w:rPr>
    </w:lvl>
    <w:lvl w:ilvl="4" w:tplc="04090003" w:tentative="1">
      <w:start w:val="1"/>
      <w:numFmt w:val="bullet"/>
      <w:lvlText w:val="o"/>
      <w:lvlJc w:val="left"/>
      <w:pPr>
        <w:tabs>
          <w:tab w:val="num" w:pos="4423"/>
        </w:tabs>
        <w:ind w:left="4423" w:hanging="360"/>
      </w:pPr>
      <w:rPr>
        <w:rFonts w:ascii="Courier New" w:hAnsi="Courier New" w:hint="default"/>
      </w:rPr>
    </w:lvl>
    <w:lvl w:ilvl="5" w:tplc="04090005" w:tentative="1">
      <w:start w:val="1"/>
      <w:numFmt w:val="bullet"/>
      <w:lvlText w:val=""/>
      <w:lvlJc w:val="left"/>
      <w:pPr>
        <w:tabs>
          <w:tab w:val="num" w:pos="5143"/>
        </w:tabs>
        <w:ind w:left="5143" w:hanging="360"/>
      </w:pPr>
      <w:rPr>
        <w:rFonts w:ascii="Wingdings" w:hAnsi="Wingdings" w:hint="default"/>
      </w:rPr>
    </w:lvl>
    <w:lvl w:ilvl="6" w:tplc="04090001" w:tentative="1">
      <w:start w:val="1"/>
      <w:numFmt w:val="bullet"/>
      <w:lvlText w:val=""/>
      <w:lvlJc w:val="left"/>
      <w:pPr>
        <w:tabs>
          <w:tab w:val="num" w:pos="5863"/>
        </w:tabs>
        <w:ind w:left="5863" w:hanging="360"/>
      </w:pPr>
      <w:rPr>
        <w:rFonts w:ascii="Symbol" w:hAnsi="Symbol" w:hint="default"/>
      </w:rPr>
    </w:lvl>
    <w:lvl w:ilvl="7" w:tplc="04090003" w:tentative="1">
      <w:start w:val="1"/>
      <w:numFmt w:val="bullet"/>
      <w:lvlText w:val="o"/>
      <w:lvlJc w:val="left"/>
      <w:pPr>
        <w:tabs>
          <w:tab w:val="num" w:pos="6583"/>
        </w:tabs>
        <w:ind w:left="6583" w:hanging="360"/>
      </w:pPr>
      <w:rPr>
        <w:rFonts w:ascii="Courier New" w:hAnsi="Courier New" w:hint="default"/>
      </w:rPr>
    </w:lvl>
    <w:lvl w:ilvl="8" w:tplc="04090005" w:tentative="1">
      <w:start w:val="1"/>
      <w:numFmt w:val="bullet"/>
      <w:lvlText w:val=""/>
      <w:lvlJc w:val="left"/>
      <w:pPr>
        <w:tabs>
          <w:tab w:val="num" w:pos="7303"/>
        </w:tabs>
        <w:ind w:left="7303" w:hanging="360"/>
      </w:pPr>
      <w:rPr>
        <w:rFonts w:ascii="Wingdings" w:hAnsi="Wingdings" w:hint="default"/>
      </w:rPr>
    </w:lvl>
  </w:abstractNum>
  <w:abstractNum w:abstractNumId="34" w15:restartNumberingAfterBreak="0">
    <w:nsid w:val="7ACA6072"/>
    <w:multiLevelType w:val="hybridMultilevel"/>
    <w:tmpl w:val="988EFC82"/>
    <w:lvl w:ilvl="0" w:tplc="8D68442C">
      <w:start w:val="17"/>
      <w:numFmt w:val="decimal"/>
      <w:lvlText w:val="%1."/>
      <w:lvlJc w:val="left"/>
      <w:pPr>
        <w:ind w:left="1650" w:hanging="570"/>
      </w:pPr>
      <w:rPr>
        <w:rFonts w:hint="default"/>
        <w:b/>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B111B4E"/>
    <w:multiLevelType w:val="hybridMultilevel"/>
    <w:tmpl w:val="7704609C"/>
    <w:lvl w:ilvl="0" w:tplc="642673BA">
      <w:start w:val="3"/>
      <w:numFmt w:val="bullet"/>
      <w:lvlText w:val="-"/>
      <w:lvlJc w:val="left"/>
      <w:pPr>
        <w:ind w:left="720" w:hanging="360"/>
      </w:pPr>
      <w:rPr>
        <w:rFonts w:ascii="Times New Roman" w:eastAsia="Times New Roman" w:hAnsi="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074CBE"/>
    <w:multiLevelType w:val="hybridMultilevel"/>
    <w:tmpl w:val="4252CE00"/>
    <w:lvl w:ilvl="0" w:tplc="04270001">
      <w:numFmt w:val="bullet"/>
      <w:lvlText w:val=""/>
      <w:lvlJc w:val="left"/>
      <w:pPr>
        <w:ind w:left="720" w:hanging="360"/>
      </w:pPr>
      <w:rPr>
        <w:rFonts w:ascii="Symbol" w:eastAsia="Times New Roman" w:hAnsi="Symbol"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numFmt w:val="bullet"/>
        <w:lvlText w:val="•"/>
        <w:lvlJc w:val="left"/>
        <w:pPr>
          <w:ind w:left="0" w:firstLine="0"/>
        </w:pPr>
        <w:rPr>
          <w:rFonts w:ascii="Times New Roman" w:hAnsi="Times New Roman" w:cs="Times New Roman"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3">
    <w:abstractNumId w:val="0"/>
    <w:lvlOverride w:ilvl="0">
      <w:lvl w:ilvl="0">
        <w:numFmt w:val="bullet"/>
        <w:lvlText w:val="-"/>
        <w:lvlJc w:val="left"/>
        <w:pPr>
          <w:ind w:left="0" w:firstLine="0"/>
        </w:pPr>
        <w:rPr>
          <w:rFonts w:ascii="Times New Roman" w:hAnsi="Times New Roman" w:cs="Times New Roman"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4">
    <w:abstractNumId w:val="0"/>
    <w:lvlOverride w:ilvl="0">
      <w:lvl w:ilvl="0">
        <w:numFmt w:val="bullet"/>
        <w:lvlText w:val="•"/>
        <w:lvlJc w:val="left"/>
        <w:pPr>
          <w:ind w:left="0" w:firstLine="0"/>
        </w:pPr>
        <w:rPr>
          <w:rFonts w:ascii="Arial" w:hAnsi="Arial" w:cs="Arial" w:hint="default"/>
          <w:lang w:val="lt-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0"/>
    <w:lvlOverride w:ilvl="0">
      <w:lvl w:ilvl="0">
        <w:numFmt w:val="bullet"/>
        <w:lvlText w:val="-"/>
        <w:lvlJc w:val="left"/>
        <w:rPr>
          <w:rFonts w:ascii="Times New Roman" w:hAnsi="Times New Roman" w:cs="Times New Roman" w:hint="default"/>
        </w:rPr>
      </w:lvl>
    </w:lvlOverride>
  </w:num>
  <w:num w:numId="6">
    <w:abstractNumId w:val="0"/>
    <w:lvlOverride w:ilvl="0">
      <w:lvl w:ilvl="0">
        <w:numFmt w:val="bullet"/>
        <w:lvlText w:val="•"/>
        <w:lvlJc w:val="left"/>
        <w:rPr>
          <w:rFonts w:ascii="Times New Roman" w:hAnsi="Times New Roman" w:cs="Times New Roman" w:hint="default"/>
        </w:rPr>
      </w:lvl>
    </w:lvlOverride>
  </w:num>
  <w:num w:numId="7">
    <w:abstractNumId w:val="0"/>
    <w:lvlOverride w:ilvl="0">
      <w:lvl w:ilvl="0">
        <w:numFmt w:val="bullet"/>
        <w:lvlText w:val="•"/>
        <w:lvlJc w:val="left"/>
        <w:rPr>
          <w:rFonts w:ascii="Times New Roman" w:hAnsi="Times New Roman" w:cs="Times New Roman" w:hint="default"/>
        </w:rPr>
      </w:lvl>
    </w:lvlOverride>
  </w:num>
  <w:num w:numId="8">
    <w:abstractNumId w:val="0"/>
    <w:lvlOverride w:ilvl="0">
      <w:lvl w:ilvl="0">
        <w:numFmt w:val="bullet"/>
        <w:lvlText w:val="-"/>
        <w:lvlJc w:val="left"/>
        <w:rPr>
          <w:rFonts w:ascii="Times New Roman" w:hAnsi="Times New Roman" w:cs="Times New Roman" w:hint="default"/>
        </w:rPr>
      </w:lvl>
    </w:lvlOverride>
  </w:num>
  <w:num w:numId="9">
    <w:abstractNumId w:val="0"/>
    <w:lvlOverride w:ilvl="0">
      <w:lvl w:ilvl="0">
        <w:numFmt w:val="bullet"/>
        <w:lvlText w:val="-"/>
        <w:lvlJc w:val="left"/>
        <w:rPr>
          <w:rFonts w:ascii="Times New Roman" w:hAnsi="Times New Roman" w:cs="Times New Roman" w:hint="default"/>
        </w:rPr>
      </w:lvl>
    </w:lvlOverride>
  </w:num>
  <w:num w:numId="10">
    <w:abstractNumId w:val="0"/>
    <w:lvlOverride w:ilvl="0">
      <w:lvl w:ilvl="0">
        <w:numFmt w:val="bullet"/>
        <w:lvlText w:val="•"/>
        <w:lvlJc w:val="left"/>
        <w:rPr>
          <w:rFonts w:ascii="Times New Roman" w:hAnsi="Times New Roman" w:cs="Times New Roman" w:hint="default"/>
        </w:rPr>
      </w:lvl>
    </w:lvlOverride>
  </w:num>
  <w:num w:numId="11">
    <w:abstractNumId w:val="23"/>
  </w:num>
  <w:num w:numId="12">
    <w:abstractNumId w:val="0"/>
    <w:lvlOverride w:ilvl="0">
      <w:lvl w:ilvl="0">
        <w:numFmt w:val="bullet"/>
        <w:lvlText w:val="•"/>
        <w:lvlJc w:val="left"/>
        <w:rPr>
          <w:rFonts w:ascii="Arial" w:hAnsi="Arial" w:cs="Arial" w:hint="default"/>
        </w:rPr>
      </w:lvl>
    </w:lvlOverride>
  </w:num>
  <w:num w:numId="13">
    <w:abstractNumId w:val="13"/>
  </w:num>
  <w:num w:numId="14">
    <w:abstractNumId w:val="0"/>
    <w:lvlOverride w:ilvl="0">
      <w:lvl w:ilvl="0">
        <w:numFmt w:val="bullet"/>
        <w:lvlText w:val="•"/>
        <w:lvlJc w:val="left"/>
        <w:rPr>
          <w:rFonts w:ascii="Arial" w:hAnsi="Arial" w:cs="Arial" w:hint="default"/>
          <w:lang w:val="lt-LT"/>
        </w:rPr>
      </w:lvl>
    </w:lvlOverride>
  </w:num>
  <w:num w:numId="15">
    <w:abstractNumId w:val="15"/>
  </w:num>
  <w:num w:numId="16">
    <w:abstractNumId w:val="26"/>
  </w:num>
  <w:num w:numId="17">
    <w:abstractNumId w:val="3"/>
  </w:num>
  <w:num w:numId="18">
    <w:abstractNumId w:val="18"/>
  </w:num>
  <w:num w:numId="19">
    <w:abstractNumId w:val="22"/>
  </w:num>
  <w:num w:numId="20">
    <w:abstractNumId w:val="29"/>
  </w:num>
  <w:num w:numId="21">
    <w:abstractNumId w:val="12"/>
  </w:num>
  <w:num w:numId="22">
    <w:abstractNumId w:val="25"/>
  </w:num>
  <w:num w:numId="23">
    <w:abstractNumId w:val="24"/>
  </w:num>
  <w:num w:numId="24">
    <w:abstractNumId w:val="16"/>
  </w:num>
  <w:num w:numId="25">
    <w:abstractNumId w:val="9"/>
  </w:num>
  <w:num w:numId="26">
    <w:abstractNumId w:val="30"/>
  </w:num>
  <w:num w:numId="27">
    <w:abstractNumId w:val="20"/>
  </w:num>
  <w:num w:numId="28">
    <w:abstractNumId w:val="7"/>
  </w:num>
  <w:num w:numId="29">
    <w:abstractNumId w:val="0"/>
    <w:lvlOverride w:ilvl="0">
      <w:lvl w:ilvl="0">
        <w:start w:val="1"/>
        <w:numFmt w:val="bullet"/>
        <w:lvlText w:val="-"/>
        <w:legacy w:legacy="1" w:legacySpace="0" w:legacyIndent="360"/>
        <w:lvlJc w:val="left"/>
        <w:pPr>
          <w:ind w:left="360" w:hanging="360"/>
        </w:pPr>
      </w:lvl>
    </w:lvlOverride>
  </w:num>
  <w:num w:numId="30">
    <w:abstractNumId w:val="4"/>
  </w:num>
  <w:num w:numId="31">
    <w:abstractNumId w:val="0"/>
    <w:lvlOverride w:ilvl="0">
      <w:lvl w:ilvl="0">
        <w:start w:val="1"/>
        <w:numFmt w:val="bullet"/>
        <w:lvlText w:val="-"/>
        <w:lvlJc w:val="left"/>
        <w:pPr>
          <w:ind w:left="360" w:hanging="360"/>
        </w:pPr>
      </w:lvl>
    </w:lvlOverride>
  </w:num>
  <w:num w:numId="32">
    <w:abstractNumId w:val="8"/>
  </w:num>
  <w:num w:numId="33">
    <w:abstractNumId w:val="11"/>
  </w:num>
  <w:num w:numId="34">
    <w:abstractNumId w:val="21"/>
  </w:num>
  <w:num w:numId="35">
    <w:abstractNumId w:val="35"/>
  </w:num>
  <w:num w:numId="36">
    <w:abstractNumId w:val="10"/>
  </w:num>
  <w:num w:numId="37">
    <w:abstractNumId w:val="33"/>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num>
  <w:num w:numId="42">
    <w:abstractNumId w:val="6"/>
  </w:num>
  <w:num w:numId="43">
    <w:abstractNumId w:val="17"/>
  </w:num>
  <w:num w:numId="44">
    <w:abstractNumId w:val="31"/>
  </w:num>
  <w:num w:numId="45">
    <w:abstractNumId w:val="1"/>
  </w:num>
  <w:num w:numId="46">
    <w:abstractNumId w:val="32"/>
  </w:num>
  <w:num w:numId="47">
    <w:abstractNumId w:val="34"/>
  </w:num>
  <w:num w:numId="48">
    <w:abstractNumId w:val="36"/>
  </w:num>
  <w:num w:numId="49">
    <w:abstractNumId w:val="14"/>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0C0"/>
    <w:rsid w:val="0000223F"/>
    <w:rsid w:val="000040CA"/>
    <w:rsid w:val="00006038"/>
    <w:rsid w:val="0001102C"/>
    <w:rsid w:val="00011EC8"/>
    <w:rsid w:val="00016FF5"/>
    <w:rsid w:val="0002094E"/>
    <w:rsid w:val="0002213A"/>
    <w:rsid w:val="00023504"/>
    <w:rsid w:val="00024E49"/>
    <w:rsid w:val="00025089"/>
    <w:rsid w:val="00030A5E"/>
    <w:rsid w:val="00032125"/>
    <w:rsid w:val="0003212F"/>
    <w:rsid w:val="0003281C"/>
    <w:rsid w:val="000356EF"/>
    <w:rsid w:val="00036C06"/>
    <w:rsid w:val="000377AE"/>
    <w:rsid w:val="00040F3B"/>
    <w:rsid w:val="0004246E"/>
    <w:rsid w:val="0004444C"/>
    <w:rsid w:val="00044E2A"/>
    <w:rsid w:val="0004517E"/>
    <w:rsid w:val="00045B2B"/>
    <w:rsid w:val="00045E1D"/>
    <w:rsid w:val="00051117"/>
    <w:rsid w:val="0005125A"/>
    <w:rsid w:val="00052BC4"/>
    <w:rsid w:val="0005301D"/>
    <w:rsid w:val="00053883"/>
    <w:rsid w:val="00054890"/>
    <w:rsid w:val="00055E3B"/>
    <w:rsid w:val="000564A3"/>
    <w:rsid w:val="0005719C"/>
    <w:rsid w:val="000573A7"/>
    <w:rsid w:val="000579C0"/>
    <w:rsid w:val="000611DD"/>
    <w:rsid w:val="00062D74"/>
    <w:rsid w:val="00063E40"/>
    <w:rsid w:val="00064E23"/>
    <w:rsid w:val="0006561E"/>
    <w:rsid w:val="00065701"/>
    <w:rsid w:val="00067325"/>
    <w:rsid w:val="00070958"/>
    <w:rsid w:val="00074E42"/>
    <w:rsid w:val="00077E82"/>
    <w:rsid w:val="00083831"/>
    <w:rsid w:val="0008602B"/>
    <w:rsid w:val="00086F4E"/>
    <w:rsid w:val="0009035A"/>
    <w:rsid w:val="000923C1"/>
    <w:rsid w:val="000A1EE2"/>
    <w:rsid w:val="000A251E"/>
    <w:rsid w:val="000A2937"/>
    <w:rsid w:val="000A378C"/>
    <w:rsid w:val="000A54D2"/>
    <w:rsid w:val="000A5663"/>
    <w:rsid w:val="000A631B"/>
    <w:rsid w:val="000A69C6"/>
    <w:rsid w:val="000A7E08"/>
    <w:rsid w:val="000A7F10"/>
    <w:rsid w:val="000B0D5F"/>
    <w:rsid w:val="000B0DF9"/>
    <w:rsid w:val="000B1FE4"/>
    <w:rsid w:val="000B24DC"/>
    <w:rsid w:val="000B27B1"/>
    <w:rsid w:val="000B4D16"/>
    <w:rsid w:val="000B7944"/>
    <w:rsid w:val="000C4981"/>
    <w:rsid w:val="000D35A7"/>
    <w:rsid w:val="000D3619"/>
    <w:rsid w:val="000D4B6C"/>
    <w:rsid w:val="000D6608"/>
    <w:rsid w:val="000D6C26"/>
    <w:rsid w:val="000D72B9"/>
    <w:rsid w:val="000D79B9"/>
    <w:rsid w:val="000E0F6A"/>
    <w:rsid w:val="000E1C0C"/>
    <w:rsid w:val="000E36B7"/>
    <w:rsid w:val="000E6616"/>
    <w:rsid w:val="000E78C6"/>
    <w:rsid w:val="000F5306"/>
    <w:rsid w:val="000F57A9"/>
    <w:rsid w:val="000F6A38"/>
    <w:rsid w:val="00100081"/>
    <w:rsid w:val="001006DD"/>
    <w:rsid w:val="00101C67"/>
    <w:rsid w:val="001038F4"/>
    <w:rsid w:val="001044F4"/>
    <w:rsid w:val="0010475F"/>
    <w:rsid w:val="00104B20"/>
    <w:rsid w:val="0010551A"/>
    <w:rsid w:val="00105999"/>
    <w:rsid w:val="00105FBF"/>
    <w:rsid w:val="00106C6B"/>
    <w:rsid w:val="0011105F"/>
    <w:rsid w:val="00115C67"/>
    <w:rsid w:val="00116E4F"/>
    <w:rsid w:val="00117814"/>
    <w:rsid w:val="00120C1D"/>
    <w:rsid w:val="00123FB7"/>
    <w:rsid w:val="00125B17"/>
    <w:rsid w:val="0013043F"/>
    <w:rsid w:val="0013221C"/>
    <w:rsid w:val="00132613"/>
    <w:rsid w:val="001328FD"/>
    <w:rsid w:val="00132CB8"/>
    <w:rsid w:val="00133E79"/>
    <w:rsid w:val="001348E2"/>
    <w:rsid w:val="00134C95"/>
    <w:rsid w:val="00134F05"/>
    <w:rsid w:val="001367CA"/>
    <w:rsid w:val="00140E7E"/>
    <w:rsid w:val="00141027"/>
    <w:rsid w:val="001417C9"/>
    <w:rsid w:val="00142615"/>
    <w:rsid w:val="00142739"/>
    <w:rsid w:val="00147922"/>
    <w:rsid w:val="00147A47"/>
    <w:rsid w:val="00151687"/>
    <w:rsid w:val="001525EF"/>
    <w:rsid w:val="0015293A"/>
    <w:rsid w:val="00152D64"/>
    <w:rsid w:val="00153523"/>
    <w:rsid w:val="001540E7"/>
    <w:rsid w:val="00155E39"/>
    <w:rsid w:val="00156250"/>
    <w:rsid w:val="001639A8"/>
    <w:rsid w:val="00164F0A"/>
    <w:rsid w:val="00175721"/>
    <w:rsid w:val="00175756"/>
    <w:rsid w:val="00180D16"/>
    <w:rsid w:val="00181953"/>
    <w:rsid w:val="00182F6C"/>
    <w:rsid w:val="00184EC4"/>
    <w:rsid w:val="001873BD"/>
    <w:rsid w:val="00193B82"/>
    <w:rsid w:val="0019418A"/>
    <w:rsid w:val="001969F3"/>
    <w:rsid w:val="00197F37"/>
    <w:rsid w:val="001A09CB"/>
    <w:rsid w:val="001A1DCE"/>
    <w:rsid w:val="001A2252"/>
    <w:rsid w:val="001A305A"/>
    <w:rsid w:val="001A3FFF"/>
    <w:rsid w:val="001A4346"/>
    <w:rsid w:val="001A5662"/>
    <w:rsid w:val="001A7358"/>
    <w:rsid w:val="001B16FE"/>
    <w:rsid w:val="001B20B1"/>
    <w:rsid w:val="001B3E72"/>
    <w:rsid w:val="001B4562"/>
    <w:rsid w:val="001C1E53"/>
    <w:rsid w:val="001C2AE6"/>
    <w:rsid w:val="001C7FCD"/>
    <w:rsid w:val="001D0222"/>
    <w:rsid w:val="001D2B0C"/>
    <w:rsid w:val="001D6B5D"/>
    <w:rsid w:val="001E1F70"/>
    <w:rsid w:val="001E2576"/>
    <w:rsid w:val="001E4A6B"/>
    <w:rsid w:val="001E4DE1"/>
    <w:rsid w:val="001E53F7"/>
    <w:rsid w:val="001E586A"/>
    <w:rsid w:val="001E75D3"/>
    <w:rsid w:val="001E78A8"/>
    <w:rsid w:val="001F1F2C"/>
    <w:rsid w:val="001F22FD"/>
    <w:rsid w:val="001F4227"/>
    <w:rsid w:val="001F51E5"/>
    <w:rsid w:val="001F6662"/>
    <w:rsid w:val="001F73E5"/>
    <w:rsid w:val="0020035F"/>
    <w:rsid w:val="00201865"/>
    <w:rsid w:val="00202B09"/>
    <w:rsid w:val="00205167"/>
    <w:rsid w:val="00205A87"/>
    <w:rsid w:val="00205CF5"/>
    <w:rsid w:val="00206646"/>
    <w:rsid w:val="00207039"/>
    <w:rsid w:val="00207BA8"/>
    <w:rsid w:val="00207E98"/>
    <w:rsid w:val="0021014F"/>
    <w:rsid w:val="0021170A"/>
    <w:rsid w:val="00211E3E"/>
    <w:rsid w:val="00212310"/>
    <w:rsid w:val="0021349E"/>
    <w:rsid w:val="00214FA7"/>
    <w:rsid w:val="00215D26"/>
    <w:rsid w:val="00216A36"/>
    <w:rsid w:val="00223AC0"/>
    <w:rsid w:val="0022442B"/>
    <w:rsid w:val="002247E0"/>
    <w:rsid w:val="0022491D"/>
    <w:rsid w:val="00225ED1"/>
    <w:rsid w:val="002264D9"/>
    <w:rsid w:val="00232708"/>
    <w:rsid w:val="0023272A"/>
    <w:rsid w:val="002339E2"/>
    <w:rsid w:val="0024180B"/>
    <w:rsid w:val="00241BB4"/>
    <w:rsid w:val="002433DE"/>
    <w:rsid w:val="00244F5D"/>
    <w:rsid w:val="00245435"/>
    <w:rsid w:val="002466C2"/>
    <w:rsid w:val="00250E1D"/>
    <w:rsid w:val="0025122E"/>
    <w:rsid w:val="00251461"/>
    <w:rsid w:val="00251B5C"/>
    <w:rsid w:val="002542C4"/>
    <w:rsid w:val="00254FA5"/>
    <w:rsid w:val="00257390"/>
    <w:rsid w:val="00264FAD"/>
    <w:rsid w:val="002679C7"/>
    <w:rsid w:val="00267BAE"/>
    <w:rsid w:val="00272CC7"/>
    <w:rsid w:val="00275074"/>
    <w:rsid w:val="00277D6A"/>
    <w:rsid w:val="00282A1A"/>
    <w:rsid w:val="00290D65"/>
    <w:rsid w:val="00291F84"/>
    <w:rsid w:val="002926E1"/>
    <w:rsid w:val="00294BD1"/>
    <w:rsid w:val="00297712"/>
    <w:rsid w:val="00297850"/>
    <w:rsid w:val="002A03C7"/>
    <w:rsid w:val="002A4043"/>
    <w:rsid w:val="002A4EF4"/>
    <w:rsid w:val="002B0EFD"/>
    <w:rsid w:val="002B144A"/>
    <w:rsid w:val="002B2E0B"/>
    <w:rsid w:val="002B7A26"/>
    <w:rsid w:val="002C1214"/>
    <w:rsid w:val="002C263C"/>
    <w:rsid w:val="002C2869"/>
    <w:rsid w:val="002C3C22"/>
    <w:rsid w:val="002C3E64"/>
    <w:rsid w:val="002C57F1"/>
    <w:rsid w:val="002C5CAB"/>
    <w:rsid w:val="002C76F2"/>
    <w:rsid w:val="002D1532"/>
    <w:rsid w:val="002D3AA1"/>
    <w:rsid w:val="002D41D8"/>
    <w:rsid w:val="002D4CEC"/>
    <w:rsid w:val="002D5224"/>
    <w:rsid w:val="002D5964"/>
    <w:rsid w:val="002D615B"/>
    <w:rsid w:val="002D6346"/>
    <w:rsid w:val="002D6B48"/>
    <w:rsid w:val="002D7F57"/>
    <w:rsid w:val="002E093E"/>
    <w:rsid w:val="002E0E8C"/>
    <w:rsid w:val="002E7950"/>
    <w:rsid w:val="002F0B94"/>
    <w:rsid w:val="002F338C"/>
    <w:rsid w:val="002F641A"/>
    <w:rsid w:val="002F6EC3"/>
    <w:rsid w:val="002F724C"/>
    <w:rsid w:val="002F7ACE"/>
    <w:rsid w:val="002F7BB9"/>
    <w:rsid w:val="00305424"/>
    <w:rsid w:val="00313CE5"/>
    <w:rsid w:val="003143BA"/>
    <w:rsid w:val="0031473D"/>
    <w:rsid w:val="0031715F"/>
    <w:rsid w:val="00321CBD"/>
    <w:rsid w:val="00324325"/>
    <w:rsid w:val="003247EE"/>
    <w:rsid w:val="00324D54"/>
    <w:rsid w:val="0032628E"/>
    <w:rsid w:val="0032665F"/>
    <w:rsid w:val="003266B3"/>
    <w:rsid w:val="00327492"/>
    <w:rsid w:val="00327A11"/>
    <w:rsid w:val="0033054B"/>
    <w:rsid w:val="00330A7A"/>
    <w:rsid w:val="00334102"/>
    <w:rsid w:val="00334845"/>
    <w:rsid w:val="003352E2"/>
    <w:rsid w:val="00336DCD"/>
    <w:rsid w:val="00340C87"/>
    <w:rsid w:val="003429B3"/>
    <w:rsid w:val="00343FC8"/>
    <w:rsid w:val="003442F7"/>
    <w:rsid w:val="003476C2"/>
    <w:rsid w:val="003537B6"/>
    <w:rsid w:val="00353AEA"/>
    <w:rsid w:val="003574CA"/>
    <w:rsid w:val="0036063E"/>
    <w:rsid w:val="00360E1F"/>
    <w:rsid w:val="00361A47"/>
    <w:rsid w:val="0036250E"/>
    <w:rsid w:val="00365A11"/>
    <w:rsid w:val="003669B2"/>
    <w:rsid w:val="00366E55"/>
    <w:rsid w:val="003735DE"/>
    <w:rsid w:val="00374177"/>
    <w:rsid w:val="00381E9F"/>
    <w:rsid w:val="00382518"/>
    <w:rsid w:val="00387184"/>
    <w:rsid w:val="00393977"/>
    <w:rsid w:val="00394D28"/>
    <w:rsid w:val="00395842"/>
    <w:rsid w:val="00396C8F"/>
    <w:rsid w:val="00397A8F"/>
    <w:rsid w:val="003A03F1"/>
    <w:rsid w:val="003A1A15"/>
    <w:rsid w:val="003A4BE7"/>
    <w:rsid w:val="003A543F"/>
    <w:rsid w:val="003A635E"/>
    <w:rsid w:val="003B6728"/>
    <w:rsid w:val="003B7DE1"/>
    <w:rsid w:val="003C5489"/>
    <w:rsid w:val="003C6E19"/>
    <w:rsid w:val="003C7F5D"/>
    <w:rsid w:val="003D0655"/>
    <w:rsid w:val="003D227A"/>
    <w:rsid w:val="003D3C21"/>
    <w:rsid w:val="003D3E56"/>
    <w:rsid w:val="003D3FEA"/>
    <w:rsid w:val="003D56F2"/>
    <w:rsid w:val="003D5C6C"/>
    <w:rsid w:val="003E09EF"/>
    <w:rsid w:val="003E398E"/>
    <w:rsid w:val="003E4818"/>
    <w:rsid w:val="003E6140"/>
    <w:rsid w:val="003F12C1"/>
    <w:rsid w:val="003F4058"/>
    <w:rsid w:val="003F5782"/>
    <w:rsid w:val="003F613D"/>
    <w:rsid w:val="003F6D92"/>
    <w:rsid w:val="003F6FB2"/>
    <w:rsid w:val="00400555"/>
    <w:rsid w:val="0040097C"/>
    <w:rsid w:val="00402CB3"/>
    <w:rsid w:val="00403BBC"/>
    <w:rsid w:val="0040444D"/>
    <w:rsid w:val="004054D3"/>
    <w:rsid w:val="004059C2"/>
    <w:rsid w:val="00407E37"/>
    <w:rsid w:val="004111B0"/>
    <w:rsid w:val="00411443"/>
    <w:rsid w:val="00412B63"/>
    <w:rsid w:val="00412C33"/>
    <w:rsid w:val="00421255"/>
    <w:rsid w:val="004217B9"/>
    <w:rsid w:val="00423331"/>
    <w:rsid w:val="0042417A"/>
    <w:rsid w:val="004254F1"/>
    <w:rsid w:val="00427290"/>
    <w:rsid w:val="004301CA"/>
    <w:rsid w:val="0043029F"/>
    <w:rsid w:val="0043155C"/>
    <w:rsid w:val="00432A81"/>
    <w:rsid w:val="004331CF"/>
    <w:rsid w:val="004341A6"/>
    <w:rsid w:val="00435407"/>
    <w:rsid w:val="004359EC"/>
    <w:rsid w:val="00435FFE"/>
    <w:rsid w:val="00436397"/>
    <w:rsid w:val="0043706C"/>
    <w:rsid w:val="00440DEE"/>
    <w:rsid w:val="004425AA"/>
    <w:rsid w:val="00442632"/>
    <w:rsid w:val="00445060"/>
    <w:rsid w:val="00445358"/>
    <w:rsid w:val="00445890"/>
    <w:rsid w:val="00445A9D"/>
    <w:rsid w:val="00445DE8"/>
    <w:rsid w:val="00447635"/>
    <w:rsid w:val="004514CC"/>
    <w:rsid w:val="004530D1"/>
    <w:rsid w:val="00454F26"/>
    <w:rsid w:val="00456AF6"/>
    <w:rsid w:val="0046024C"/>
    <w:rsid w:val="004640D7"/>
    <w:rsid w:val="0046469C"/>
    <w:rsid w:val="00466884"/>
    <w:rsid w:val="00467B66"/>
    <w:rsid w:val="004702E9"/>
    <w:rsid w:val="00472BF0"/>
    <w:rsid w:val="004743AE"/>
    <w:rsid w:val="004750BE"/>
    <w:rsid w:val="00476FC3"/>
    <w:rsid w:val="004818EF"/>
    <w:rsid w:val="00482194"/>
    <w:rsid w:val="004840AF"/>
    <w:rsid w:val="004862D3"/>
    <w:rsid w:val="004879F6"/>
    <w:rsid w:val="00490DD5"/>
    <w:rsid w:val="0049146F"/>
    <w:rsid w:val="004914C1"/>
    <w:rsid w:val="004962BA"/>
    <w:rsid w:val="004969F1"/>
    <w:rsid w:val="00496F86"/>
    <w:rsid w:val="004A0BE0"/>
    <w:rsid w:val="004A1F2A"/>
    <w:rsid w:val="004A3229"/>
    <w:rsid w:val="004A4B07"/>
    <w:rsid w:val="004A6049"/>
    <w:rsid w:val="004A6538"/>
    <w:rsid w:val="004A7968"/>
    <w:rsid w:val="004B1408"/>
    <w:rsid w:val="004B1A39"/>
    <w:rsid w:val="004B2EB8"/>
    <w:rsid w:val="004B3237"/>
    <w:rsid w:val="004B4AAA"/>
    <w:rsid w:val="004B5007"/>
    <w:rsid w:val="004B6715"/>
    <w:rsid w:val="004B67E5"/>
    <w:rsid w:val="004B73C5"/>
    <w:rsid w:val="004B78C8"/>
    <w:rsid w:val="004B7F58"/>
    <w:rsid w:val="004C0902"/>
    <w:rsid w:val="004C1290"/>
    <w:rsid w:val="004C1BF4"/>
    <w:rsid w:val="004C2464"/>
    <w:rsid w:val="004C31AF"/>
    <w:rsid w:val="004C40FD"/>
    <w:rsid w:val="004C4B54"/>
    <w:rsid w:val="004C561C"/>
    <w:rsid w:val="004C5860"/>
    <w:rsid w:val="004C6D45"/>
    <w:rsid w:val="004D128E"/>
    <w:rsid w:val="004D331C"/>
    <w:rsid w:val="004D3DC3"/>
    <w:rsid w:val="004D583B"/>
    <w:rsid w:val="004E2D91"/>
    <w:rsid w:val="004E4374"/>
    <w:rsid w:val="004E7142"/>
    <w:rsid w:val="004F02A7"/>
    <w:rsid w:val="004F1C38"/>
    <w:rsid w:val="004F4235"/>
    <w:rsid w:val="004F4F70"/>
    <w:rsid w:val="004F7EBC"/>
    <w:rsid w:val="00500172"/>
    <w:rsid w:val="00500F73"/>
    <w:rsid w:val="00503992"/>
    <w:rsid w:val="00504371"/>
    <w:rsid w:val="00510A33"/>
    <w:rsid w:val="00510E4A"/>
    <w:rsid w:val="005119D2"/>
    <w:rsid w:val="00515693"/>
    <w:rsid w:val="005158D5"/>
    <w:rsid w:val="00515AE6"/>
    <w:rsid w:val="00517B7A"/>
    <w:rsid w:val="005207FD"/>
    <w:rsid w:val="00522A40"/>
    <w:rsid w:val="0052502B"/>
    <w:rsid w:val="005257FA"/>
    <w:rsid w:val="00525C16"/>
    <w:rsid w:val="005275A8"/>
    <w:rsid w:val="00531E04"/>
    <w:rsid w:val="00533837"/>
    <w:rsid w:val="00533DAF"/>
    <w:rsid w:val="00534241"/>
    <w:rsid w:val="00534B1E"/>
    <w:rsid w:val="00535BFC"/>
    <w:rsid w:val="00540F4B"/>
    <w:rsid w:val="0054499C"/>
    <w:rsid w:val="00545D5F"/>
    <w:rsid w:val="00550F2C"/>
    <w:rsid w:val="005517AD"/>
    <w:rsid w:val="00552A2F"/>
    <w:rsid w:val="005534FD"/>
    <w:rsid w:val="005544E7"/>
    <w:rsid w:val="00556F0C"/>
    <w:rsid w:val="00560578"/>
    <w:rsid w:val="00562182"/>
    <w:rsid w:val="00564873"/>
    <w:rsid w:val="005658B4"/>
    <w:rsid w:val="00567A78"/>
    <w:rsid w:val="00570F5A"/>
    <w:rsid w:val="00571BB0"/>
    <w:rsid w:val="00571BD7"/>
    <w:rsid w:val="00572D01"/>
    <w:rsid w:val="005732D8"/>
    <w:rsid w:val="00573842"/>
    <w:rsid w:val="0058217F"/>
    <w:rsid w:val="005825EA"/>
    <w:rsid w:val="005852C5"/>
    <w:rsid w:val="00585DE3"/>
    <w:rsid w:val="0058739F"/>
    <w:rsid w:val="005901CC"/>
    <w:rsid w:val="00591CF3"/>
    <w:rsid w:val="005A0112"/>
    <w:rsid w:val="005A14F0"/>
    <w:rsid w:val="005A5016"/>
    <w:rsid w:val="005A5798"/>
    <w:rsid w:val="005A6E58"/>
    <w:rsid w:val="005A70C2"/>
    <w:rsid w:val="005B342F"/>
    <w:rsid w:val="005B3752"/>
    <w:rsid w:val="005B4EFC"/>
    <w:rsid w:val="005B6A4F"/>
    <w:rsid w:val="005B7F3C"/>
    <w:rsid w:val="005C083A"/>
    <w:rsid w:val="005C0E84"/>
    <w:rsid w:val="005C3225"/>
    <w:rsid w:val="005C4EB4"/>
    <w:rsid w:val="005C51DF"/>
    <w:rsid w:val="005C5302"/>
    <w:rsid w:val="005C68AB"/>
    <w:rsid w:val="005C7356"/>
    <w:rsid w:val="005D03D1"/>
    <w:rsid w:val="005D1E04"/>
    <w:rsid w:val="005D54DF"/>
    <w:rsid w:val="005E1CBF"/>
    <w:rsid w:val="005E2B77"/>
    <w:rsid w:val="005E436B"/>
    <w:rsid w:val="005E5C88"/>
    <w:rsid w:val="005E758D"/>
    <w:rsid w:val="005F023C"/>
    <w:rsid w:val="005F2120"/>
    <w:rsid w:val="005F3E91"/>
    <w:rsid w:val="005F4E14"/>
    <w:rsid w:val="005F555D"/>
    <w:rsid w:val="005F5B3C"/>
    <w:rsid w:val="005F72F2"/>
    <w:rsid w:val="00601DC3"/>
    <w:rsid w:val="00603DB5"/>
    <w:rsid w:val="00603FD6"/>
    <w:rsid w:val="006055D2"/>
    <w:rsid w:val="0060752A"/>
    <w:rsid w:val="00607C08"/>
    <w:rsid w:val="00610399"/>
    <w:rsid w:val="00610613"/>
    <w:rsid w:val="006112FC"/>
    <w:rsid w:val="006127A2"/>
    <w:rsid w:val="006136B7"/>
    <w:rsid w:val="00613788"/>
    <w:rsid w:val="00614253"/>
    <w:rsid w:val="0061749F"/>
    <w:rsid w:val="00617925"/>
    <w:rsid w:val="00620236"/>
    <w:rsid w:val="00622167"/>
    <w:rsid w:val="00623606"/>
    <w:rsid w:val="00625047"/>
    <w:rsid w:val="006307B7"/>
    <w:rsid w:val="00630AD0"/>
    <w:rsid w:val="0063407F"/>
    <w:rsid w:val="006378A9"/>
    <w:rsid w:val="00637F5B"/>
    <w:rsid w:val="00641965"/>
    <w:rsid w:val="00641CA8"/>
    <w:rsid w:val="00643AA7"/>
    <w:rsid w:val="0064484E"/>
    <w:rsid w:val="00646F0E"/>
    <w:rsid w:val="00647F97"/>
    <w:rsid w:val="00650DD5"/>
    <w:rsid w:val="00651887"/>
    <w:rsid w:val="00652E7C"/>
    <w:rsid w:val="006530FC"/>
    <w:rsid w:val="006555B1"/>
    <w:rsid w:val="00656033"/>
    <w:rsid w:val="00657BD2"/>
    <w:rsid w:val="00660847"/>
    <w:rsid w:val="006616B3"/>
    <w:rsid w:val="006619CD"/>
    <w:rsid w:val="00661FFF"/>
    <w:rsid w:val="00662B8F"/>
    <w:rsid w:val="00664093"/>
    <w:rsid w:val="00664CC4"/>
    <w:rsid w:val="006670F7"/>
    <w:rsid w:val="0067103C"/>
    <w:rsid w:val="00677076"/>
    <w:rsid w:val="00677BFF"/>
    <w:rsid w:val="0068008A"/>
    <w:rsid w:val="00683476"/>
    <w:rsid w:val="0068489A"/>
    <w:rsid w:val="006859A3"/>
    <w:rsid w:val="006859CA"/>
    <w:rsid w:val="00686743"/>
    <w:rsid w:val="00693A4A"/>
    <w:rsid w:val="0069497F"/>
    <w:rsid w:val="00695E39"/>
    <w:rsid w:val="006964F5"/>
    <w:rsid w:val="006A0E00"/>
    <w:rsid w:val="006A146A"/>
    <w:rsid w:val="006A239D"/>
    <w:rsid w:val="006A277F"/>
    <w:rsid w:val="006A3971"/>
    <w:rsid w:val="006A3F25"/>
    <w:rsid w:val="006B1EF4"/>
    <w:rsid w:val="006B2D1B"/>
    <w:rsid w:val="006B57D7"/>
    <w:rsid w:val="006B618D"/>
    <w:rsid w:val="006B6BE1"/>
    <w:rsid w:val="006B7B4B"/>
    <w:rsid w:val="006B7C5D"/>
    <w:rsid w:val="006C24AE"/>
    <w:rsid w:val="006C29D0"/>
    <w:rsid w:val="006C3F63"/>
    <w:rsid w:val="006C66DF"/>
    <w:rsid w:val="006C7B4B"/>
    <w:rsid w:val="006D013E"/>
    <w:rsid w:val="006D3D45"/>
    <w:rsid w:val="006D4AC4"/>
    <w:rsid w:val="006D4C34"/>
    <w:rsid w:val="006D512B"/>
    <w:rsid w:val="006E04F5"/>
    <w:rsid w:val="006E17B9"/>
    <w:rsid w:val="006E35DD"/>
    <w:rsid w:val="006E3BA9"/>
    <w:rsid w:val="006E4488"/>
    <w:rsid w:val="006E499B"/>
    <w:rsid w:val="006E62E2"/>
    <w:rsid w:val="006F0590"/>
    <w:rsid w:val="006F1F6E"/>
    <w:rsid w:val="006F3F18"/>
    <w:rsid w:val="006F5A8C"/>
    <w:rsid w:val="006F6850"/>
    <w:rsid w:val="00705C51"/>
    <w:rsid w:val="00706A75"/>
    <w:rsid w:val="00710B92"/>
    <w:rsid w:val="0071284D"/>
    <w:rsid w:val="00715761"/>
    <w:rsid w:val="00715F2D"/>
    <w:rsid w:val="00716220"/>
    <w:rsid w:val="007165E2"/>
    <w:rsid w:val="00716CDF"/>
    <w:rsid w:val="00717C58"/>
    <w:rsid w:val="0072142B"/>
    <w:rsid w:val="00721790"/>
    <w:rsid w:val="00723917"/>
    <w:rsid w:val="007261A6"/>
    <w:rsid w:val="00727FF4"/>
    <w:rsid w:val="00731EE9"/>
    <w:rsid w:val="00735274"/>
    <w:rsid w:val="0074132F"/>
    <w:rsid w:val="007444D1"/>
    <w:rsid w:val="00745FA4"/>
    <w:rsid w:val="00750C74"/>
    <w:rsid w:val="00751590"/>
    <w:rsid w:val="007526CD"/>
    <w:rsid w:val="00752DE3"/>
    <w:rsid w:val="00755C25"/>
    <w:rsid w:val="00757A17"/>
    <w:rsid w:val="007619B1"/>
    <w:rsid w:val="007623CE"/>
    <w:rsid w:val="00764231"/>
    <w:rsid w:val="0076488E"/>
    <w:rsid w:val="00765F28"/>
    <w:rsid w:val="00767E96"/>
    <w:rsid w:val="00770510"/>
    <w:rsid w:val="00772D0C"/>
    <w:rsid w:val="00772E7D"/>
    <w:rsid w:val="00773608"/>
    <w:rsid w:val="007747C3"/>
    <w:rsid w:val="0078060B"/>
    <w:rsid w:val="00780D43"/>
    <w:rsid w:val="00781DC1"/>
    <w:rsid w:val="00781E5C"/>
    <w:rsid w:val="00782191"/>
    <w:rsid w:val="00782E9F"/>
    <w:rsid w:val="00783AC4"/>
    <w:rsid w:val="00784E54"/>
    <w:rsid w:val="007853EB"/>
    <w:rsid w:val="00791F2B"/>
    <w:rsid w:val="00792AB8"/>
    <w:rsid w:val="00793224"/>
    <w:rsid w:val="00793716"/>
    <w:rsid w:val="0079415A"/>
    <w:rsid w:val="00797AEA"/>
    <w:rsid w:val="007A1EBC"/>
    <w:rsid w:val="007A25E9"/>
    <w:rsid w:val="007A40D6"/>
    <w:rsid w:val="007A7B87"/>
    <w:rsid w:val="007A7EFB"/>
    <w:rsid w:val="007B1485"/>
    <w:rsid w:val="007B2ABE"/>
    <w:rsid w:val="007B42F0"/>
    <w:rsid w:val="007B55DD"/>
    <w:rsid w:val="007C45FB"/>
    <w:rsid w:val="007C5117"/>
    <w:rsid w:val="007C65A9"/>
    <w:rsid w:val="007C6C99"/>
    <w:rsid w:val="007D37A9"/>
    <w:rsid w:val="007D491A"/>
    <w:rsid w:val="007D575E"/>
    <w:rsid w:val="007E1EAD"/>
    <w:rsid w:val="007E2E5C"/>
    <w:rsid w:val="007F22E1"/>
    <w:rsid w:val="007F2766"/>
    <w:rsid w:val="007F2A19"/>
    <w:rsid w:val="007F2AA2"/>
    <w:rsid w:val="007F5CE0"/>
    <w:rsid w:val="007F60FC"/>
    <w:rsid w:val="008001D6"/>
    <w:rsid w:val="00801B6D"/>
    <w:rsid w:val="008048A5"/>
    <w:rsid w:val="00804F16"/>
    <w:rsid w:val="0080787E"/>
    <w:rsid w:val="008079A0"/>
    <w:rsid w:val="0081123F"/>
    <w:rsid w:val="00811354"/>
    <w:rsid w:val="0081224D"/>
    <w:rsid w:val="00813A2E"/>
    <w:rsid w:val="008164DA"/>
    <w:rsid w:val="008178D3"/>
    <w:rsid w:val="008205D0"/>
    <w:rsid w:val="008218CA"/>
    <w:rsid w:val="008249B4"/>
    <w:rsid w:val="0083024F"/>
    <w:rsid w:val="008448E7"/>
    <w:rsid w:val="00844C83"/>
    <w:rsid w:val="0084639D"/>
    <w:rsid w:val="0084675A"/>
    <w:rsid w:val="00846D55"/>
    <w:rsid w:val="00847BA8"/>
    <w:rsid w:val="008511C9"/>
    <w:rsid w:val="008533CD"/>
    <w:rsid w:val="00856EC7"/>
    <w:rsid w:val="00857B94"/>
    <w:rsid w:val="00857BCD"/>
    <w:rsid w:val="00860891"/>
    <w:rsid w:val="00862D61"/>
    <w:rsid w:val="00864494"/>
    <w:rsid w:val="008653B5"/>
    <w:rsid w:val="0086658B"/>
    <w:rsid w:val="00870D04"/>
    <w:rsid w:val="00870EBA"/>
    <w:rsid w:val="008737B5"/>
    <w:rsid w:val="00875AD9"/>
    <w:rsid w:val="0087628E"/>
    <w:rsid w:val="00881218"/>
    <w:rsid w:val="00881960"/>
    <w:rsid w:val="00882D3D"/>
    <w:rsid w:val="00883236"/>
    <w:rsid w:val="00886559"/>
    <w:rsid w:val="00890A6D"/>
    <w:rsid w:val="00891AA3"/>
    <w:rsid w:val="00892736"/>
    <w:rsid w:val="008947E2"/>
    <w:rsid w:val="00897CCE"/>
    <w:rsid w:val="008A1614"/>
    <w:rsid w:val="008A1DD3"/>
    <w:rsid w:val="008A3B6E"/>
    <w:rsid w:val="008A49F4"/>
    <w:rsid w:val="008A59EF"/>
    <w:rsid w:val="008A66B4"/>
    <w:rsid w:val="008B21E1"/>
    <w:rsid w:val="008B582E"/>
    <w:rsid w:val="008B6A12"/>
    <w:rsid w:val="008B7A83"/>
    <w:rsid w:val="008B7BA1"/>
    <w:rsid w:val="008B7FBB"/>
    <w:rsid w:val="008C3D8E"/>
    <w:rsid w:val="008C603D"/>
    <w:rsid w:val="008C747F"/>
    <w:rsid w:val="008C7780"/>
    <w:rsid w:val="008D08A6"/>
    <w:rsid w:val="008D0A11"/>
    <w:rsid w:val="008D2841"/>
    <w:rsid w:val="008D2878"/>
    <w:rsid w:val="008D4EF6"/>
    <w:rsid w:val="008D6C33"/>
    <w:rsid w:val="008E1F1E"/>
    <w:rsid w:val="008E35D4"/>
    <w:rsid w:val="008F1B65"/>
    <w:rsid w:val="008F1FA3"/>
    <w:rsid w:val="008F2E61"/>
    <w:rsid w:val="008F3A7B"/>
    <w:rsid w:val="008F3AD5"/>
    <w:rsid w:val="008F4321"/>
    <w:rsid w:val="008F60C9"/>
    <w:rsid w:val="008F6A8E"/>
    <w:rsid w:val="00900BAA"/>
    <w:rsid w:val="00901048"/>
    <w:rsid w:val="00902090"/>
    <w:rsid w:val="009071D3"/>
    <w:rsid w:val="0091035D"/>
    <w:rsid w:val="00911529"/>
    <w:rsid w:val="00911FF2"/>
    <w:rsid w:val="00912D73"/>
    <w:rsid w:val="009144A5"/>
    <w:rsid w:val="00915ACB"/>
    <w:rsid w:val="00917404"/>
    <w:rsid w:val="0092026C"/>
    <w:rsid w:val="0092273B"/>
    <w:rsid w:val="00923393"/>
    <w:rsid w:val="009236B8"/>
    <w:rsid w:val="00923CBA"/>
    <w:rsid w:val="00924CE4"/>
    <w:rsid w:val="00926111"/>
    <w:rsid w:val="0092767D"/>
    <w:rsid w:val="00932EA3"/>
    <w:rsid w:val="0093357E"/>
    <w:rsid w:val="0093391E"/>
    <w:rsid w:val="00934240"/>
    <w:rsid w:val="0093533C"/>
    <w:rsid w:val="00935883"/>
    <w:rsid w:val="00935F49"/>
    <w:rsid w:val="009364FF"/>
    <w:rsid w:val="00936C44"/>
    <w:rsid w:val="009375AC"/>
    <w:rsid w:val="0094003E"/>
    <w:rsid w:val="009418CE"/>
    <w:rsid w:val="00942163"/>
    <w:rsid w:val="00942B23"/>
    <w:rsid w:val="0094385E"/>
    <w:rsid w:val="0094395B"/>
    <w:rsid w:val="00945520"/>
    <w:rsid w:val="0094586D"/>
    <w:rsid w:val="009479B4"/>
    <w:rsid w:val="00947C8D"/>
    <w:rsid w:val="009500C0"/>
    <w:rsid w:val="00951127"/>
    <w:rsid w:val="00952D24"/>
    <w:rsid w:val="009549AE"/>
    <w:rsid w:val="0095523E"/>
    <w:rsid w:val="00956AE1"/>
    <w:rsid w:val="009609D8"/>
    <w:rsid w:val="00962A70"/>
    <w:rsid w:val="009634B8"/>
    <w:rsid w:val="00964C2D"/>
    <w:rsid w:val="009652ED"/>
    <w:rsid w:val="00966706"/>
    <w:rsid w:val="009741E3"/>
    <w:rsid w:val="00975DAA"/>
    <w:rsid w:val="0097711E"/>
    <w:rsid w:val="009809BD"/>
    <w:rsid w:val="00980A5B"/>
    <w:rsid w:val="00981BA0"/>
    <w:rsid w:val="00982641"/>
    <w:rsid w:val="0098422E"/>
    <w:rsid w:val="009848D0"/>
    <w:rsid w:val="009902BC"/>
    <w:rsid w:val="009916C2"/>
    <w:rsid w:val="0099347E"/>
    <w:rsid w:val="0099586F"/>
    <w:rsid w:val="00995EC6"/>
    <w:rsid w:val="009A068C"/>
    <w:rsid w:val="009A16A1"/>
    <w:rsid w:val="009A383F"/>
    <w:rsid w:val="009A4DC6"/>
    <w:rsid w:val="009A6610"/>
    <w:rsid w:val="009A72F6"/>
    <w:rsid w:val="009A7403"/>
    <w:rsid w:val="009A7D28"/>
    <w:rsid w:val="009B2CDC"/>
    <w:rsid w:val="009B3930"/>
    <w:rsid w:val="009B52A0"/>
    <w:rsid w:val="009B5CCC"/>
    <w:rsid w:val="009B6040"/>
    <w:rsid w:val="009B64B2"/>
    <w:rsid w:val="009C3857"/>
    <w:rsid w:val="009C3969"/>
    <w:rsid w:val="009C5252"/>
    <w:rsid w:val="009C536B"/>
    <w:rsid w:val="009C6224"/>
    <w:rsid w:val="009C78E3"/>
    <w:rsid w:val="009C7923"/>
    <w:rsid w:val="009D0733"/>
    <w:rsid w:val="009E008E"/>
    <w:rsid w:val="009E0CD7"/>
    <w:rsid w:val="009E0F22"/>
    <w:rsid w:val="009E2EBE"/>
    <w:rsid w:val="009E30E8"/>
    <w:rsid w:val="009E491E"/>
    <w:rsid w:val="009E558B"/>
    <w:rsid w:val="009E68D7"/>
    <w:rsid w:val="009E6F31"/>
    <w:rsid w:val="009E7D45"/>
    <w:rsid w:val="009E7D67"/>
    <w:rsid w:val="009F017C"/>
    <w:rsid w:val="009F3A77"/>
    <w:rsid w:val="009F5865"/>
    <w:rsid w:val="00A001C7"/>
    <w:rsid w:val="00A03A95"/>
    <w:rsid w:val="00A0600D"/>
    <w:rsid w:val="00A15305"/>
    <w:rsid w:val="00A1706F"/>
    <w:rsid w:val="00A205D8"/>
    <w:rsid w:val="00A2174A"/>
    <w:rsid w:val="00A242CF"/>
    <w:rsid w:val="00A24F07"/>
    <w:rsid w:val="00A26923"/>
    <w:rsid w:val="00A31DB3"/>
    <w:rsid w:val="00A34672"/>
    <w:rsid w:val="00A34A6C"/>
    <w:rsid w:val="00A35D17"/>
    <w:rsid w:val="00A37B60"/>
    <w:rsid w:val="00A42578"/>
    <w:rsid w:val="00A43476"/>
    <w:rsid w:val="00A500D7"/>
    <w:rsid w:val="00A514D8"/>
    <w:rsid w:val="00A51C28"/>
    <w:rsid w:val="00A52A50"/>
    <w:rsid w:val="00A54AFA"/>
    <w:rsid w:val="00A56560"/>
    <w:rsid w:val="00A566C3"/>
    <w:rsid w:val="00A56DB4"/>
    <w:rsid w:val="00A61C0D"/>
    <w:rsid w:val="00A61CB9"/>
    <w:rsid w:val="00A66A6E"/>
    <w:rsid w:val="00A66F2F"/>
    <w:rsid w:val="00A70A6B"/>
    <w:rsid w:val="00A7245E"/>
    <w:rsid w:val="00A72D26"/>
    <w:rsid w:val="00A75EBF"/>
    <w:rsid w:val="00A7608A"/>
    <w:rsid w:val="00A820AC"/>
    <w:rsid w:val="00A8284C"/>
    <w:rsid w:val="00A8508A"/>
    <w:rsid w:val="00A903D3"/>
    <w:rsid w:val="00A934A3"/>
    <w:rsid w:val="00A94FFE"/>
    <w:rsid w:val="00A9651A"/>
    <w:rsid w:val="00A9652D"/>
    <w:rsid w:val="00A97F0E"/>
    <w:rsid w:val="00AA29EC"/>
    <w:rsid w:val="00AA3C8F"/>
    <w:rsid w:val="00AA6032"/>
    <w:rsid w:val="00AA7C68"/>
    <w:rsid w:val="00AB074B"/>
    <w:rsid w:val="00AB0A6C"/>
    <w:rsid w:val="00AB3389"/>
    <w:rsid w:val="00AB37BD"/>
    <w:rsid w:val="00AB56E5"/>
    <w:rsid w:val="00AB5FA3"/>
    <w:rsid w:val="00AB6405"/>
    <w:rsid w:val="00AB65B6"/>
    <w:rsid w:val="00AC16B7"/>
    <w:rsid w:val="00AC1D78"/>
    <w:rsid w:val="00AC2ED8"/>
    <w:rsid w:val="00AC396E"/>
    <w:rsid w:val="00AC448A"/>
    <w:rsid w:val="00AC4812"/>
    <w:rsid w:val="00AD079E"/>
    <w:rsid w:val="00AD07B3"/>
    <w:rsid w:val="00AD0CC0"/>
    <w:rsid w:val="00AD2364"/>
    <w:rsid w:val="00AD343E"/>
    <w:rsid w:val="00AD4008"/>
    <w:rsid w:val="00AD420A"/>
    <w:rsid w:val="00AD436A"/>
    <w:rsid w:val="00AE0D00"/>
    <w:rsid w:val="00AE1D3C"/>
    <w:rsid w:val="00AE5E63"/>
    <w:rsid w:val="00AE71ED"/>
    <w:rsid w:val="00AF0835"/>
    <w:rsid w:val="00AF11D3"/>
    <w:rsid w:val="00AF4E3C"/>
    <w:rsid w:val="00AF4F3B"/>
    <w:rsid w:val="00AF537C"/>
    <w:rsid w:val="00AF5726"/>
    <w:rsid w:val="00AF6736"/>
    <w:rsid w:val="00B00776"/>
    <w:rsid w:val="00B00F60"/>
    <w:rsid w:val="00B054B9"/>
    <w:rsid w:val="00B055A0"/>
    <w:rsid w:val="00B060C7"/>
    <w:rsid w:val="00B0633B"/>
    <w:rsid w:val="00B065A2"/>
    <w:rsid w:val="00B0680C"/>
    <w:rsid w:val="00B077D6"/>
    <w:rsid w:val="00B07879"/>
    <w:rsid w:val="00B07B18"/>
    <w:rsid w:val="00B11072"/>
    <w:rsid w:val="00B12505"/>
    <w:rsid w:val="00B13B3E"/>
    <w:rsid w:val="00B14672"/>
    <w:rsid w:val="00B21894"/>
    <w:rsid w:val="00B218AE"/>
    <w:rsid w:val="00B22D7E"/>
    <w:rsid w:val="00B24050"/>
    <w:rsid w:val="00B24AF9"/>
    <w:rsid w:val="00B309FE"/>
    <w:rsid w:val="00B31E5A"/>
    <w:rsid w:val="00B32929"/>
    <w:rsid w:val="00B33934"/>
    <w:rsid w:val="00B35609"/>
    <w:rsid w:val="00B36C3D"/>
    <w:rsid w:val="00B40447"/>
    <w:rsid w:val="00B42C4C"/>
    <w:rsid w:val="00B50D12"/>
    <w:rsid w:val="00B51281"/>
    <w:rsid w:val="00B52723"/>
    <w:rsid w:val="00B548C4"/>
    <w:rsid w:val="00B56051"/>
    <w:rsid w:val="00B56313"/>
    <w:rsid w:val="00B56BEE"/>
    <w:rsid w:val="00B56EA7"/>
    <w:rsid w:val="00B6008B"/>
    <w:rsid w:val="00B61294"/>
    <w:rsid w:val="00B615B4"/>
    <w:rsid w:val="00B61679"/>
    <w:rsid w:val="00B6678A"/>
    <w:rsid w:val="00B672E4"/>
    <w:rsid w:val="00B7058D"/>
    <w:rsid w:val="00B71023"/>
    <w:rsid w:val="00B75C3E"/>
    <w:rsid w:val="00B760FA"/>
    <w:rsid w:val="00B763A4"/>
    <w:rsid w:val="00B76CDC"/>
    <w:rsid w:val="00B803CB"/>
    <w:rsid w:val="00B81FA1"/>
    <w:rsid w:val="00B82151"/>
    <w:rsid w:val="00B8347A"/>
    <w:rsid w:val="00B85AC3"/>
    <w:rsid w:val="00B9057F"/>
    <w:rsid w:val="00B925BD"/>
    <w:rsid w:val="00B940BC"/>
    <w:rsid w:val="00B95197"/>
    <w:rsid w:val="00B952A2"/>
    <w:rsid w:val="00B95478"/>
    <w:rsid w:val="00B97C8F"/>
    <w:rsid w:val="00BA0B79"/>
    <w:rsid w:val="00BA164D"/>
    <w:rsid w:val="00BA4D15"/>
    <w:rsid w:val="00BA67B7"/>
    <w:rsid w:val="00BA777E"/>
    <w:rsid w:val="00BB26AF"/>
    <w:rsid w:val="00BB27BB"/>
    <w:rsid w:val="00BB667B"/>
    <w:rsid w:val="00BB693D"/>
    <w:rsid w:val="00BB75C4"/>
    <w:rsid w:val="00BC37BE"/>
    <w:rsid w:val="00BC37EB"/>
    <w:rsid w:val="00BC5829"/>
    <w:rsid w:val="00BC6F99"/>
    <w:rsid w:val="00BD0BC9"/>
    <w:rsid w:val="00BD10BA"/>
    <w:rsid w:val="00BD239D"/>
    <w:rsid w:val="00BD2F40"/>
    <w:rsid w:val="00BD3B22"/>
    <w:rsid w:val="00BD3BD4"/>
    <w:rsid w:val="00BD5093"/>
    <w:rsid w:val="00BD551E"/>
    <w:rsid w:val="00BD74EB"/>
    <w:rsid w:val="00BD79E8"/>
    <w:rsid w:val="00BE0F69"/>
    <w:rsid w:val="00BE14D9"/>
    <w:rsid w:val="00BE1FC2"/>
    <w:rsid w:val="00BE552B"/>
    <w:rsid w:val="00BE5BE6"/>
    <w:rsid w:val="00BF1886"/>
    <w:rsid w:val="00BF1A0B"/>
    <w:rsid w:val="00BF2025"/>
    <w:rsid w:val="00BF2390"/>
    <w:rsid w:val="00BF437C"/>
    <w:rsid w:val="00BF5DE0"/>
    <w:rsid w:val="00BF7632"/>
    <w:rsid w:val="00BF76DF"/>
    <w:rsid w:val="00C00717"/>
    <w:rsid w:val="00C031B7"/>
    <w:rsid w:val="00C03FC5"/>
    <w:rsid w:val="00C0473E"/>
    <w:rsid w:val="00C0632A"/>
    <w:rsid w:val="00C07550"/>
    <w:rsid w:val="00C107E3"/>
    <w:rsid w:val="00C13EFB"/>
    <w:rsid w:val="00C1697E"/>
    <w:rsid w:val="00C16E83"/>
    <w:rsid w:val="00C177BA"/>
    <w:rsid w:val="00C212E4"/>
    <w:rsid w:val="00C21ABE"/>
    <w:rsid w:val="00C236E0"/>
    <w:rsid w:val="00C2383C"/>
    <w:rsid w:val="00C24D33"/>
    <w:rsid w:val="00C32983"/>
    <w:rsid w:val="00C3322F"/>
    <w:rsid w:val="00C33BE8"/>
    <w:rsid w:val="00C35061"/>
    <w:rsid w:val="00C4063C"/>
    <w:rsid w:val="00C40AD8"/>
    <w:rsid w:val="00C40FD5"/>
    <w:rsid w:val="00C4165E"/>
    <w:rsid w:val="00C42651"/>
    <w:rsid w:val="00C42F75"/>
    <w:rsid w:val="00C437D1"/>
    <w:rsid w:val="00C4384E"/>
    <w:rsid w:val="00C45220"/>
    <w:rsid w:val="00C457B2"/>
    <w:rsid w:val="00C477D9"/>
    <w:rsid w:val="00C55D33"/>
    <w:rsid w:val="00C57B9C"/>
    <w:rsid w:val="00C57C25"/>
    <w:rsid w:val="00C60A1E"/>
    <w:rsid w:val="00C6162A"/>
    <w:rsid w:val="00C63491"/>
    <w:rsid w:val="00C64B7B"/>
    <w:rsid w:val="00C66BD0"/>
    <w:rsid w:val="00C71D85"/>
    <w:rsid w:val="00C726DE"/>
    <w:rsid w:val="00C72B79"/>
    <w:rsid w:val="00C73814"/>
    <w:rsid w:val="00C7438B"/>
    <w:rsid w:val="00C756C3"/>
    <w:rsid w:val="00C80621"/>
    <w:rsid w:val="00C813D8"/>
    <w:rsid w:val="00C816AE"/>
    <w:rsid w:val="00C82922"/>
    <w:rsid w:val="00C84C35"/>
    <w:rsid w:val="00C9030E"/>
    <w:rsid w:val="00C91282"/>
    <w:rsid w:val="00C91DFC"/>
    <w:rsid w:val="00C937A3"/>
    <w:rsid w:val="00C94047"/>
    <w:rsid w:val="00C9589D"/>
    <w:rsid w:val="00C95A24"/>
    <w:rsid w:val="00C960A9"/>
    <w:rsid w:val="00C96B3D"/>
    <w:rsid w:val="00C96D15"/>
    <w:rsid w:val="00CA26BB"/>
    <w:rsid w:val="00CA3691"/>
    <w:rsid w:val="00CA5D75"/>
    <w:rsid w:val="00CA63EC"/>
    <w:rsid w:val="00CA66ED"/>
    <w:rsid w:val="00CB006E"/>
    <w:rsid w:val="00CB2A96"/>
    <w:rsid w:val="00CC16B8"/>
    <w:rsid w:val="00CC404D"/>
    <w:rsid w:val="00CC5850"/>
    <w:rsid w:val="00CC645F"/>
    <w:rsid w:val="00CD2FD2"/>
    <w:rsid w:val="00CD3958"/>
    <w:rsid w:val="00CD3DB5"/>
    <w:rsid w:val="00CD4494"/>
    <w:rsid w:val="00CD4E5F"/>
    <w:rsid w:val="00CD4EAA"/>
    <w:rsid w:val="00CE09DE"/>
    <w:rsid w:val="00CE2151"/>
    <w:rsid w:val="00CE2AE2"/>
    <w:rsid w:val="00CE308E"/>
    <w:rsid w:val="00CE34A0"/>
    <w:rsid w:val="00CE4663"/>
    <w:rsid w:val="00CE55DC"/>
    <w:rsid w:val="00CE58B5"/>
    <w:rsid w:val="00CE7091"/>
    <w:rsid w:val="00CE7281"/>
    <w:rsid w:val="00CF0BC7"/>
    <w:rsid w:val="00CF249C"/>
    <w:rsid w:val="00CF2ED4"/>
    <w:rsid w:val="00CF5E24"/>
    <w:rsid w:val="00CF7315"/>
    <w:rsid w:val="00D00678"/>
    <w:rsid w:val="00D03730"/>
    <w:rsid w:val="00D04412"/>
    <w:rsid w:val="00D0556C"/>
    <w:rsid w:val="00D1019F"/>
    <w:rsid w:val="00D1020F"/>
    <w:rsid w:val="00D1457C"/>
    <w:rsid w:val="00D21158"/>
    <w:rsid w:val="00D21731"/>
    <w:rsid w:val="00D2234E"/>
    <w:rsid w:val="00D22A18"/>
    <w:rsid w:val="00D25AD5"/>
    <w:rsid w:val="00D30265"/>
    <w:rsid w:val="00D30B9B"/>
    <w:rsid w:val="00D3318D"/>
    <w:rsid w:val="00D406D2"/>
    <w:rsid w:val="00D42C32"/>
    <w:rsid w:val="00D42F54"/>
    <w:rsid w:val="00D44E9C"/>
    <w:rsid w:val="00D46637"/>
    <w:rsid w:val="00D46957"/>
    <w:rsid w:val="00D50A36"/>
    <w:rsid w:val="00D50F29"/>
    <w:rsid w:val="00D52B45"/>
    <w:rsid w:val="00D57B68"/>
    <w:rsid w:val="00D606E6"/>
    <w:rsid w:val="00D608E1"/>
    <w:rsid w:val="00D62D9C"/>
    <w:rsid w:val="00D631BC"/>
    <w:rsid w:val="00D66E85"/>
    <w:rsid w:val="00D70C7A"/>
    <w:rsid w:val="00D728BC"/>
    <w:rsid w:val="00D74E1E"/>
    <w:rsid w:val="00D76897"/>
    <w:rsid w:val="00D814F9"/>
    <w:rsid w:val="00D815BC"/>
    <w:rsid w:val="00D82B92"/>
    <w:rsid w:val="00D86E51"/>
    <w:rsid w:val="00D87BD1"/>
    <w:rsid w:val="00D90B9D"/>
    <w:rsid w:val="00D9126B"/>
    <w:rsid w:val="00D92135"/>
    <w:rsid w:val="00D92DEE"/>
    <w:rsid w:val="00D93DC2"/>
    <w:rsid w:val="00D95B56"/>
    <w:rsid w:val="00DA044E"/>
    <w:rsid w:val="00DA0849"/>
    <w:rsid w:val="00DA351E"/>
    <w:rsid w:val="00DA3CE4"/>
    <w:rsid w:val="00DA4DE6"/>
    <w:rsid w:val="00DA759B"/>
    <w:rsid w:val="00DB0FA0"/>
    <w:rsid w:val="00DB1D66"/>
    <w:rsid w:val="00DB2D78"/>
    <w:rsid w:val="00DB717F"/>
    <w:rsid w:val="00DC013C"/>
    <w:rsid w:val="00DC027A"/>
    <w:rsid w:val="00DC20CD"/>
    <w:rsid w:val="00DC27FF"/>
    <w:rsid w:val="00DC3C46"/>
    <w:rsid w:val="00DC5360"/>
    <w:rsid w:val="00DC6574"/>
    <w:rsid w:val="00DC7163"/>
    <w:rsid w:val="00DD271D"/>
    <w:rsid w:val="00DD3E4C"/>
    <w:rsid w:val="00DD4F61"/>
    <w:rsid w:val="00DD5C43"/>
    <w:rsid w:val="00DD7693"/>
    <w:rsid w:val="00DE0CB8"/>
    <w:rsid w:val="00DE1A69"/>
    <w:rsid w:val="00DE22D7"/>
    <w:rsid w:val="00DE3192"/>
    <w:rsid w:val="00DE42B3"/>
    <w:rsid w:val="00DE5FB2"/>
    <w:rsid w:val="00DE6295"/>
    <w:rsid w:val="00DE70D1"/>
    <w:rsid w:val="00DE732A"/>
    <w:rsid w:val="00DE7BFB"/>
    <w:rsid w:val="00DF0371"/>
    <w:rsid w:val="00DF0EC8"/>
    <w:rsid w:val="00DF16BD"/>
    <w:rsid w:val="00DF1BCE"/>
    <w:rsid w:val="00DF3567"/>
    <w:rsid w:val="00DF3E15"/>
    <w:rsid w:val="00DF4F12"/>
    <w:rsid w:val="00DF52C2"/>
    <w:rsid w:val="00E00323"/>
    <w:rsid w:val="00E00DF6"/>
    <w:rsid w:val="00E0253A"/>
    <w:rsid w:val="00E02FEA"/>
    <w:rsid w:val="00E04CEC"/>
    <w:rsid w:val="00E0593C"/>
    <w:rsid w:val="00E1062E"/>
    <w:rsid w:val="00E12B3C"/>
    <w:rsid w:val="00E141C4"/>
    <w:rsid w:val="00E14983"/>
    <w:rsid w:val="00E14AB9"/>
    <w:rsid w:val="00E15D7F"/>
    <w:rsid w:val="00E169C4"/>
    <w:rsid w:val="00E16D4C"/>
    <w:rsid w:val="00E21145"/>
    <w:rsid w:val="00E23D1D"/>
    <w:rsid w:val="00E24899"/>
    <w:rsid w:val="00E266F9"/>
    <w:rsid w:val="00E303E6"/>
    <w:rsid w:val="00E32521"/>
    <w:rsid w:val="00E3381B"/>
    <w:rsid w:val="00E36684"/>
    <w:rsid w:val="00E3682E"/>
    <w:rsid w:val="00E372DA"/>
    <w:rsid w:val="00E414BC"/>
    <w:rsid w:val="00E4190C"/>
    <w:rsid w:val="00E42494"/>
    <w:rsid w:val="00E43462"/>
    <w:rsid w:val="00E46985"/>
    <w:rsid w:val="00E479F5"/>
    <w:rsid w:val="00E527ED"/>
    <w:rsid w:val="00E55BE6"/>
    <w:rsid w:val="00E55EBA"/>
    <w:rsid w:val="00E57220"/>
    <w:rsid w:val="00E57451"/>
    <w:rsid w:val="00E57C4F"/>
    <w:rsid w:val="00E61365"/>
    <w:rsid w:val="00E6187D"/>
    <w:rsid w:val="00E61E99"/>
    <w:rsid w:val="00E630CA"/>
    <w:rsid w:val="00E63F2C"/>
    <w:rsid w:val="00E64920"/>
    <w:rsid w:val="00E70E89"/>
    <w:rsid w:val="00E7230B"/>
    <w:rsid w:val="00E73740"/>
    <w:rsid w:val="00E757A8"/>
    <w:rsid w:val="00E75EBB"/>
    <w:rsid w:val="00E7656E"/>
    <w:rsid w:val="00E77FF9"/>
    <w:rsid w:val="00E80176"/>
    <w:rsid w:val="00E82173"/>
    <w:rsid w:val="00E82C95"/>
    <w:rsid w:val="00E83EEF"/>
    <w:rsid w:val="00E87AB8"/>
    <w:rsid w:val="00E92C83"/>
    <w:rsid w:val="00E94203"/>
    <w:rsid w:val="00E9740E"/>
    <w:rsid w:val="00EA0492"/>
    <w:rsid w:val="00EA1B72"/>
    <w:rsid w:val="00EA2AFD"/>
    <w:rsid w:val="00EA2DB5"/>
    <w:rsid w:val="00EA652D"/>
    <w:rsid w:val="00EA7A10"/>
    <w:rsid w:val="00EB1B4D"/>
    <w:rsid w:val="00EB4BD2"/>
    <w:rsid w:val="00EB5E0D"/>
    <w:rsid w:val="00EB681E"/>
    <w:rsid w:val="00EB6FC7"/>
    <w:rsid w:val="00EB7FC5"/>
    <w:rsid w:val="00EC080B"/>
    <w:rsid w:val="00EC0D9F"/>
    <w:rsid w:val="00EC1A2B"/>
    <w:rsid w:val="00EC1D86"/>
    <w:rsid w:val="00EC2B4C"/>
    <w:rsid w:val="00EC36B7"/>
    <w:rsid w:val="00EC4503"/>
    <w:rsid w:val="00EC4D41"/>
    <w:rsid w:val="00EC56F7"/>
    <w:rsid w:val="00EC6086"/>
    <w:rsid w:val="00ED0204"/>
    <w:rsid w:val="00ED020F"/>
    <w:rsid w:val="00ED0805"/>
    <w:rsid w:val="00ED157C"/>
    <w:rsid w:val="00ED71DD"/>
    <w:rsid w:val="00EE1BDE"/>
    <w:rsid w:val="00EE1CDB"/>
    <w:rsid w:val="00EE1EDF"/>
    <w:rsid w:val="00EE2F4C"/>
    <w:rsid w:val="00EE4D63"/>
    <w:rsid w:val="00EE723E"/>
    <w:rsid w:val="00EF1BA1"/>
    <w:rsid w:val="00EF3909"/>
    <w:rsid w:val="00EF6C77"/>
    <w:rsid w:val="00EF7D5B"/>
    <w:rsid w:val="00F016E4"/>
    <w:rsid w:val="00F0272F"/>
    <w:rsid w:val="00F03301"/>
    <w:rsid w:val="00F035E2"/>
    <w:rsid w:val="00F03EB7"/>
    <w:rsid w:val="00F05709"/>
    <w:rsid w:val="00F05A4D"/>
    <w:rsid w:val="00F063E4"/>
    <w:rsid w:val="00F0687F"/>
    <w:rsid w:val="00F06F66"/>
    <w:rsid w:val="00F07873"/>
    <w:rsid w:val="00F10F17"/>
    <w:rsid w:val="00F10FA0"/>
    <w:rsid w:val="00F11C54"/>
    <w:rsid w:val="00F12E1D"/>
    <w:rsid w:val="00F14677"/>
    <w:rsid w:val="00F178F6"/>
    <w:rsid w:val="00F17B95"/>
    <w:rsid w:val="00F20D0A"/>
    <w:rsid w:val="00F231C5"/>
    <w:rsid w:val="00F24CE1"/>
    <w:rsid w:val="00F27F56"/>
    <w:rsid w:val="00F27FB5"/>
    <w:rsid w:val="00F37ABD"/>
    <w:rsid w:val="00F37D9F"/>
    <w:rsid w:val="00F4134C"/>
    <w:rsid w:val="00F4397C"/>
    <w:rsid w:val="00F4477C"/>
    <w:rsid w:val="00F45A02"/>
    <w:rsid w:val="00F50253"/>
    <w:rsid w:val="00F50794"/>
    <w:rsid w:val="00F53746"/>
    <w:rsid w:val="00F550EE"/>
    <w:rsid w:val="00F55410"/>
    <w:rsid w:val="00F557F6"/>
    <w:rsid w:val="00F56705"/>
    <w:rsid w:val="00F6026C"/>
    <w:rsid w:val="00F61FC1"/>
    <w:rsid w:val="00F63D88"/>
    <w:rsid w:val="00F652D7"/>
    <w:rsid w:val="00F65553"/>
    <w:rsid w:val="00F66C05"/>
    <w:rsid w:val="00F70D8A"/>
    <w:rsid w:val="00F72BE0"/>
    <w:rsid w:val="00F749C9"/>
    <w:rsid w:val="00F754B3"/>
    <w:rsid w:val="00F76D72"/>
    <w:rsid w:val="00F77755"/>
    <w:rsid w:val="00F81E6C"/>
    <w:rsid w:val="00F84D6B"/>
    <w:rsid w:val="00F851B2"/>
    <w:rsid w:val="00F8581F"/>
    <w:rsid w:val="00F8759D"/>
    <w:rsid w:val="00F87BC6"/>
    <w:rsid w:val="00F94269"/>
    <w:rsid w:val="00F960A4"/>
    <w:rsid w:val="00F96674"/>
    <w:rsid w:val="00FA0C22"/>
    <w:rsid w:val="00FA0DF3"/>
    <w:rsid w:val="00FA3A4E"/>
    <w:rsid w:val="00FA4278"/>
    <w:rsid w:val="00FA7954"/>
    <w:rsid w:val="00FB0C60"/>
    <w:rsid w:val="00FB1E11"/>
    <w:rsid w:val="00FB3F3B"/>
    <w:rsid w:val="00FB4619"/>
    <w:rsid w:val="00FB542C"/>
    <w:rsid w:val="00FB6694"/>
    <w:rsid w:val="00FB7929"/>
    <w:rsid w:val="00FC6056"/>
    <w:rsid w:val="00FC695F"/>
    <w:rsid w:val="00FC6A31"/>
    <w:rsid w:val="00FD0998"/>
    <w:rsid w:val="00FD0BFE"/>
    <w:rsid w:val="00FD4499"/>
    <w:rsid w:val="00FD47B5"/>
    <w:rsid w:val="00FD4C77"/>
    <w:rsid w:val="00FD52C1"/>
    <w:rsid w:val="00FD725C"/>
    <w:rsid w:val="00FD7C3D"/>
    <w:rsid w:val="00FE1E28"/>
    <w:rsid w:val="00FE2022"/>
    <w:rsid w:val="00FE2398"/>
    <w:rsid w:val="00FE2910"/>
    <w:rsid w:val="00FE2C85"/>
    <w:rsid w:val="00FE76B4"/>
    <w:rsid w:val="00FE7784"/>
    <w:rsid w:val="00FF11F9"/>
    <w:rsid w:val="00FF4F55"/>
    <w:rsid w:val="00FF5417"/>
    <w:rsid w:val="00FF5437"/>
    <w:rsid w:val="00FF63FB"/>
    <w:rsid w:val="00FF7D6D"/>
    <w:rsid w:val="00FF7EB9"/>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2248"/>
  <w15:docId w15:val="{BF2091AD-D408-4DF8-8CA9-C926C253C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A277F"/>
    <w:pPr>
      <w:spacing w:after="160" w:line="259" w:lineRule="auto"/>
    </w:pPr>
    <w:rPr>
      <w:lang w:val="en-GB"/>
    </w:rPr>
  </w:style>
  <w:style w:type="paragraph" w:styleId="Antrat1">
    <w:name w:val="heading 1"/>
    <w:basedOn w:val="prastasis"/>
    <w:next w:val="prastasis"/>
    <w:link w:val="Antrat1Diagrama"/>
    <w:qFormat/>
    <w:rsid w:val="009500C0"/>
    <w:pPr>
      <w:keepNext/>
      <w:widowControl w:val="0"/>
      <w:shd w:val="clear" w:color="auto" w:fill="000000"/>
      <w:autoSpaceDE w:val="0"/>
      <w:autoSpaceDN w:val="0"/>
      <w:adjustRightInd w:val="0"/>
      <w:snapToGrid w:val="0"/>
      <w:spacing w:before="460" w:after="0" w:line="280" w:lineRule="exact"/>
      <w:ind w:left="2430" w:right="2200"/>
      <w:jc w:val="center"/>
      <w:outlineLvl w:val="0"/>
    </w:pPr>
    <w:rPr>
      <w:rFonts w:ascii="Times New Roman" w:eastAsia="Times New Roman" w:hAnsi="Times New Roman" w:cs="Times New Roman"/>
      <w:color w:val="FFFFFF"/>
      <w:spacing w:val="-3"/>
      <w:sz w:val="24"/>
      <w:szCs w:val="24"/>
      <w:lang w:val="lt-LT"/>
    </w:rPr>
  </w:style>
  <w:style w:type="paragraph" w:styleId="Antrat3">
    <w:name w:val="heading 3"/>
    <w:basedOn w:val="prastasis"/>
    <w:next w:val="prastasis"/>
    <w:link w:val="Antrat3Diagrama"/>
    <w:qFormat/>
    <w:rsid w:val="009500C0"/>
    <w:pPr>
      <w:keepNext/>
      <w:widowControl w:val="0"/>
      <w:autoSpaceDE w:val="0"/>
      <w:autoSpaceDN w:val="0"/>
      <w:adjustRightInd w:val="0"/>
      <w:snapToGrid w:val="0"/>
      <w:spacing w:before="240" w:after="60" w:line="240" w:lineRule="auto"/>
      <w:outlineLvl w:val="2"/>
    </w:pPr>
    <w:rPr>
      <w:rFonts w:ascii="Arial" w:eastAsia="Times New Roman" w:hAnsi="Arial" w:cs="Arial"/>
      <w:b/>
      <w:bCs/>
      <w:sz w:val="26"/>
      <w:szCs w:val="26"/>
      <w:lang w:val="cs-CZ"/>
    </w:rPr>
  </w:style>
  <w:style w:type="paragraph" w:styleId="Antrat4">
    <w:name w:val="heading 4"/>
    <w:basedOn w:val="prastasis"/>
    <w:next w:val="prastasis"/>
    <w:link w:val="Antrat4Diagrama"/>
    <w:uiPriority w:val="9"/>
    <w:semiHidden/>
    <w:unhideWhenUsed/>
    <w:qFormat/>
    <w:rsid w:val="009500C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9">
    <w:name w:val="heading 9"/>
    <w:basedOn w:val="prastasis"/>
    <w:next w:val="prastasis"/>
    <w:link w:val="Antrat9Diagrama"/>
    <w:uiPriority w:val="9"/>
    <w:semiHidden/>
    <w:unhideWhenUsed/>
    <w:qFormat/>
    <w:rsid w:val="009500C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9500C0"/>
    <w:rPr>
      <w:rFonts w:ascii="Times New Roman" w:eastAsia="Times New Roman" w:hAnsi="Times New Roman" w:cs="Times New Roman"/>
      <w:color w:val="FFFFFF"/>
      <w:spacing w:val="-3"/>
      <w:sz w:val="24"/>
      <w:szCs w:val="24"/>
      <w:shd w:val="clear" w:color="auto" w:fill="000000"/>
    </w:rPr>
  </w:style>
  <w:style w:type="character" w:customStyle="1" w:styleId="Antrat3Diagrama">
    <w:name w:val="Antraštė 3 Diagrama"/>
    <w:basedOn w:val="Numatytasispastraiposriftas"/>
    <w:link w:val="Antrat3"/>
    <w:rsid w:val="009500C0"/>
    <w:rPr>
      <w:rFonts w:ascii="Arial" w:eastAsia="Times New Roman" w:hAnsi="Arial" w:cs="Arial"/>
      <w:b/>
      <w:bCs/>
      <w:sz w:val="26"/>
      <w:szCs w:val="26"/>
      <w:lang w:val="cs-CZ"/>
    </w:rPr>
  </w:style>
  <w:style w:type="character" w:customStyle="1" w:styleId="Antrat4Diagrama">
    <w:name w:val="Antraštė 4 Diagrama"/>
    <w:basedOn w:val="Numatytasispastraiposriftas"/>
    <w:link w:val="Antrat4"/>
    <w:uiPriority w:val="9"/>
    <w:semiHidden/>
    <w:rsid w:val="009500C0"/>
    <w:rPr>
      <w:rFonts w:asciiTheme="majorHAnsi" w:eastAsiaTheme="majorEastAsia" w:hAnsiTheme="majorHAnsi" w:cstheme="majorBidi"/>
      <w:i/>
      <w:iCs/>
      <w:color w:val="365F91" w:themeColor="accent1" w:themeShade="BF"/>
      <w:lang w:val="en-GB"/>
    </w:rPr>
  </w:style>
  <w:style w:type="character" w:customStyle="1" w:styleId="Antrat9Diagrama">
    <w:name w:val="Antraštė 9 Diagrama"/>
    <w:basedOn w:val="Numatytasispastraiposriftas"/>
    <w:link w:val="Antrat9"/>
    <w:uiPriority w:val="9"/>
    <w:semiHidden/>
    <w:rsid w:val="009500C0"/>
    <w:rPr>
      <w:rFonts w:asciiTheme="majorHAnsi" w:eastAsiaTheme="majorEastAsia" w:hAnsiTheme="majorHAnsi" w:cstheme="majorBidi"/>
      <w:i/>
      <w:iCs/>
      <w:color w:val="272727" w:themeColor="text1" w:themeTint="D8"/>
      <w:sz w:val="21"/>
      <w:szCs w:val="21"/>
      <w:lang w:val="en-GB"/>
    </w:rPr>
  </w:style>
  <w:style w:type="numbering" w:customStyle="1" w:styleId="NoList1">
    <w:name w:val="No List1"/>
    <w:next w:val="Sraonra"/>
    <w:uiPriority w:val="99"/>
    <w:semiHidden/>
    <w:unhideWhenUsed/>
    <w:rsid w:val="009500C0"/>
  </w:style>
  <w:style w:type="character" w:styleId="Hipersaitas">
    <w:name w:val="Hyperlink"/>
    <w:semiHidden/>
    <w:unhideWhenUsed/>
    <w:rsid w:val="009500C0"/>
    <w:rPr>
      <w:color w:val="0000FF"/>
      <w:u w:val="single"/>
    </w:rPr>
  </w:style>
  <w:style w:type="character" w:styleId="Perirtashipersaitas">
    <w:name w:val="FollowedHyperlink"/>
    <w:uiPriority w:val="99"/>
    <w:semiHidden/>
    <w:unhideWhenUsed/>
    <w:rsid w:val="009500C0"/>
    <w:rPr>
      <w:color w:val="800080"/>
      <w:u w:val="single"/>
    </w:rPr>
  </w:style>
  <w:style w:type="paragraph" w:styleId="prastasiniatinklio">
    <w:name w:val="Normal (Web)"/>
    <w:basedOn w:val="prastasis"/>
    <w:unhideWhenUsed/>
    <w:rsid w:val="009500C0"/>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Komentarotekstas">
    <w:name w:val="annotation text"/>
    <w:basedOn w:val="prastasis"/>
    <w:link w:val="KomentarotekstasDiagrama"/>
    <w:semiHidden/>
    <w:unhideWhenUsed/>
    <w:rsid w:val="009500C0"/>
    <w:pPr>
      <w:widowControl w:val="0"/>
      <w:autoSpaceDE w:val="0"/>
      <w:autoSpaceDN w:val="0"/>
      <w:adjustRightInd w:val="0"/>
      <w:snapToGrid w:val="0"/>
      <w:spacing w:after="0" w:line="240" w:lineRule="auto"/>
    </w:pPr>
    <w:rPr>
      <w:rFonts w:ascii="Times New Roman" w:eastAsia="Times New Roman" w:hAnsi="Times New Roman" w:cs="Times New Roman"/>
      <w:sz w:val="20"/>
      <w:szCs w:val="20"/>
      <w:lang w:val="cs-CZ"/>
    </w:rPr>
  </w:style>
  <w:style w:type="character" w:customStyle="1" w:styleId="KomentarotekstasDiagrama">
    <w:name w:val="Komentaro tekstas Diagrama"/>
    <w:basedOn w:val="Numatytasispastraiposriftas"/>
    <w:link w:val="Komentarotekstas"/>
    <w:semiHidden/>
    <w:rsid w:val="009500C0"/>
    <w:rPr>
      <w:rFonts w:ascii="Times New Roman" w:eastAsia="Times New Roman" w:hAnsi="Times New Roman" w:cs="Times New Roman"/>
      <w:sz w:val="20"/>
      <w:szCs w:val="20"/>
      <w:lang w:val="cs-CZ"/>
    </w:rPr>
  </w:style>
  <w:style w:type="paragraph" w:styleId="Antrats">
    <w:name w:val="header"/>
    <w:basedOn w:val="prastasis"/>
    <w:link w:val="AntratsDiagrama"/>
    <w:unhideWhenUsed/>
    <w:rsid w:val="009500C0"/>
    <w:pPr>
      <w:widowControl w:val="0"/>
      <w:tabs>
        <w:tab w:val="center" w:pos="4153"/>
        <w:tab w:val="right" w:pos="8306"/>
      </w:tabs>
      <w:autoSpaceDE w:val="0"/>
      <w:autoSpaceDN w:val="0"/>
      <w:adjustRightInd w:val="0"/>
      <w:snapToGrid w:val="0"/>
      <w:spacing w:after="0" w:line="240" w:lineRule="auto"/>
    </w:pPr>
    <w:rPr>
      <w:rFonts w:ascii="Times New Roman" w:eastAsia="Times New Roman" w:hAnsi="Times New Roman" w:cs="Times New Roman"/>
      <w:sz w:val="20"/>
      <w:szCs w:val="20"/>
      <w:lang w:val="cs-CZ"/>
    </w:rPr>
  </w:style>
  <w:style w:type="character" w:customStyle="1" w:styleId="AntratsDiagrama">
    <w:name w:val="Antraštės Diagrama"/>
    <w:basedOn w:val="Numatytasispastraiposriftas"/>
    <w:link w:val="Antrats"/>
    <w:rsid w:val="009500C0"/>
    <w:rPr>
      <w:rFonts w:ascii="Times New Roman" w:eastAsia="Times New Roman" w:hAnsi="Times New Roman" w:cs="Times New Roman"/>
      <w:sz w:val="20"/>
      <w:szCs w:val="20"/>
      <w:lang w:val="cs-CZ"/>
    </w:rPr>
  </w:style>
  <w:style w:type="paragraph" w:styleId="Porat">
    <w:name w:val="footer"/>
    <w:basedOn w:val="prastasis"/>
    <w:link w:val="PoratDiagrama"/>
    <w:semiHidden/>
    <w:unhideWhenUsed/>
    <w:rsid w:val="009500C0"/>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PoratDiagrama">
    <w:name w:val="Poraštė Diagrama"/>
    <w:basedOn w:val="Numatytasispastraiposriftas"/>
    <w:link w:val="Porat"/>
    <w:semiHidden/>
    <w:rsid w:val="009500C0"/>
    <w:rPr>
      <w:rFonts w:ascii="Times New Roman" w:eastAsia="Times New Roman" w:hAnsi="Times New Roman" w:cs="Times New Roman"/>
      <w:sz w:val="24"/>
      <w:szCs w:val="24"/>
      <w:lang w:val="en-US"/>
    </w:rPr>
  </w:style>
  <w:style w:type="paragraph" w:styleId="Pavadinimas">
    <w:name w:val="Title"/>
    <w:basedOn w:val="prastasis"/>
    <w:link w:val="PavadinimasDiagrama"/>
    <w:autoRedefine/>
    <w:uiPriority w:val="99"/>
    <w:qFormat/>
    <w:rsid w:val="009500C0"/>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uiPriority w:val="99"/>
    <w:rsid w:val="009500C0"/>
    <w:rPr>
      <w:rFonts w:ascii="Times New Roman" w:eastAsia="Times New Roman" w:hAnsi="Times New Roman" w:cs="Times New Roman"/>
      <w:b/>
      <w:kern w:val="28"/>
      <w:szCs w:val="20"/>
      <w:lang w:eastAsia="lt-LT"/>
    </w:rPr>
  </w:style>
  <w:style w:type="paragraph" w:styleId="Pagrindinistekstas">
    <w:name w:val="Body Text"/>
    <w:basedOn w:val="prastasis"/>
    <w:link w:val="PagrindinistekstasDiagrama"/>
    <w:unhideWhenUsed/>
    <w:rsid w:val="009500C0"/>
    <w:pPr>
      <w:spacing w:after="0" w:line="240" w:lineRule="auto"/>
      <w:jc w:val="both"/>
    </w:pPr>
    <w:rPr>
      <w:rFonts w:ascii="Geneva" w:eastAsia="Times New Roman" w:hAnsi="Geneva" w:cs="Times New Roman"/>
      <w:sz w:val="20"/>
      <w:szCs w:val="20"/>
      <w:lang w:val="en-US"/>
    </w:rPr>
  </w:style>
  <w:style w:type="character" w:customStyle="1" w:styleId="PagrindinistekstasDiagrama">
    <w:name w:val="Pagrindinis tekstas Diagrama"/>
    <w:basedOn w:val="Numatytasispastraiposriftas"/>
    <w:link w:val="Pagrindinistekstas"/>
    <w:rsid w:val="009500C0"/>
    <w:rPr>
      <w:rFonts w:ascii="Geneva" w:eastAsia="Times New Roman" w:hAnsi="Geneva" w:cs="Times New Roman"/>
      <w:sz w:val="20"/>
      <w:szCs w:val="20"/>
      <w:lang w:val="en-US"/>
    </w:rPr>
  </w:style>
  <w:style w:type="paragraph" w:styleId="Pagrindinistekstas2">
    <w:name w:val="Body Text 2"/>
    <w:basedOn w:val="prastasis"/>
    <w:link w:val="Pagrindinistekstas2Diagrama"/>
    <w:semiHidden/>
    <w:unhideWhenUsed/>
    <w:rsid w:val="009500C0"/>
    <w:pPr>
      <w:spacing w:after="0" w:line="240" w:lineRule="auto"/>
      <w:jc w:val="both"/>
    </w:pPr>
    <w:rPr>
      <w:rFonts w:ascii="Times New Roman" w:eastAsia="Times New Roman" w:hAnsi="Times New Roman" w:cs="Times New Roman"/>
      <w:sz w:val="24"/>
      <w:szCs w:val="20"/>
      <w:lang w:val="en-US"/>
    </w:rPr>
  </w:style>
  <w:style w:type="character" w:customStyle="1" w:styleId="Pagrindinistekstas2Diagrama">
    <w:name w:val="Pagrindinis tekstas 2 Diagrama"/>
    <w:basedOn w:val="Numatytasispastraiposriftas"/>
    <w:link w:val="Pagrindinistekstas2"/>
    <w:semiHidden/>
    <w:rsid w:val="009500C0"/>
    <w:rPr>
      <w:rFonts w:ascii="Times New Roman" w:eastAsia="Times New Roman" w:hAnsi="Times New Roman" w:cs="Times New Roman"/>
      <w:sz w:val="24"/>
      <w:szCs w:val="20"/>
      <w:lang w:val="en-US"/>
    </w:rPr>
  </w:style>
  <w:style w:type="paragraph" w:styleId="Pagrindiniotekstotrauka3">
    <w:name w:val="Body Text Indent 3"/>
    <w:basedOn w:val="prastasis"/>
    <w:link w:val="Pagrindiniotekstotrauka3Diagrama"/>
    <w:semiHidden/>
    <w:unhideWhenUsed/>
    <w:rsid w:val="009500C0"/>
    <w:pPr>
      <w:spacing w:after="0" w:line="360" w:lineRule="auto"/>
      <w:ind w:left="-6"/>
      <w:jc w:val="both"/>
    </w:pPr>
    <w:rPr>
      <w:rFonts w:ascii="Times New Roman" w:eastAsia="Times New Roman" w:hAnsi="Times New Roman" w:cs="Times New Roman"/>
      <w:sz w:val="24"/>
      <w:szCs w:val="20"/>
      <w:lang w:val="en-US"/>
    </w:rPr>
  </w:style>
  <w:style w:type="character" w:customStyle="1" w:styleId="Pagrindiniotekstotrauka3Diagrama">
    <w:name w:val="Pagrindinio teksto įtrauka 3 Diagrama"/>
    <w:basedOn w:val="Numatytasispastraiposriftas"/>
    <w:link w:val="Pagrindiniotekstotrauka3"/>
    <w:semiHidden/>
    <w:rsid w:val="009500C0"/>
    <w:rPr>
      <w:rFonts w:ascii="Times New Roman" w:eastAsia="Times New Roman" w:hAnsi="Times New Roman" w:cs="Times New Roman"/>
      <w:sz w:val="24"/>
      <w:szCs w:val="20"/>
      <w:lang w:val="en-US"/>
    </w:rPr>
  </w:style>
  <w:style w:type="paragraph" w:styleId="Komentarotema">
    <w:name w:val="annotation subject"/>
    <w:basedOn w:val="Komentarotekstas"/>
    <w:next w:val="Komentarotekstas"/>
    <w:link w:val="KomentarotemaDiagrama"/>
    <w:semiHidden/>
    <w:unhideWhenUsed/>
    <w:rsid w:val="009500C0"/>
    <w:rPr>
      <w:b/>
      <w:bCs/>
    </w:rPr>
  </w:style>
  <w:style w:type="character" w:customStyle="1" w:styleId="KomentarotemaDiagrama">
    <w:name w:val="Komentaro tema Diagrama"/>
    <w:basedOn w:val="KomentarotekstasDiagrama"/>
    <w:link w:val="Komentarotema"/>
    <w:semiHidden/>
    <w:rsid w:val="009500C0"/>
    <w:rPr>
      <w:rFonts w:ascii="Times New Roman" w:eastAsia="Times New Roman" w:hAnsi="Times New Roman" w:cs="Times New Roman"/>
      <w:b/>
      <w:bCs/>
      <w:sz w:val="20"/>
      <w:szCs w:val="20"/>
      <w:lang w:val="cs-CZ"/>
    </w:rPr>
  </w:style>
  <w:style w:type="paragraph" w:styleId="Debesliotekstas">
    <w:name w:val="Balloon Text"/>
    <w:basedOn w:val="prastasis"/>
    <w:link w:val="DebesliotekstasDiagrama"/>
    <w:semiHidden/>
    <w:unhideWhenUsed/>
    <w:rsid w:val="009500C0"/>
    <w:pPr>
      <w:widowControl w:val="0"/>
      <w:autoSpaceDE w:val="0"/>
      <w:autoSpaceDN w:val="0"/>
      <w:adjustRightInd w:val="0"/>
      <w:snapToGrid w:val="0"/>
      <w:spacing w:after="0" w:line="240" w:lineRule="auto"/>
    </w:pPr>
    <w:rPr>
      <w:rFonts w:ascii="Tahoma" w:eastAsia="Times New Roman" w:hAnsi="Tahoma" w:cs="Tahoma"/>
      <w:sz w:val="16"/>
      <w:szCs w:val="16"/>
      <w:lang w:val="cs-CZ"/>
    </w:rPr>
  </w:style>
  <w:style w:type="character" w:customStyle="1" w:styleId="DebesliotekstasDiagrama">
    <w:name w:val="Debesėlio tekstas Diagrama"/>
    <w:basedOn w:val="Numatytasispastraiposriftas"/>
    <w:link w:val="Debesliotekstas"/>
    <w:semiHidden/>
    <w:rsid w:val="009500C0"/>
    <w:rPr>
      <w:rFonts w:ascii="Tahoma" w:eastAsia="Times New Roman" w:hAnsi="Tahoma" w:cs="Tahoma"/>
      <w:sz w:val="16"/>
      <w:szCs w:val="16"/>
      <w:lang w:val="cs-CZ"/>
    </w:rPr>
  </w:style>
  <w:style w:type="character" w:customStyle="1" w:styleId="BTEMEASMCAChar">
    <w:name w:val="BT EMEA_SMCA Char"/>
    <w:link w:val="BTEMEASMCA"/>
    <w:uiPriority w:val="99"/>
    <w:locked/>
    <w:rsid w:val="009500C0"/>
    <w:rPr>
      <w:noProof/>
    </w:rPr>
  </w:style>
  <w:style w:type="paragraph" w:customStyle="1" w:styleId="BTEMEASMCA">
    <w:name w:val="BT EMEA_SMCA"/>
    <w:basedOn w:val="prastasis"/>
    <w:link w:val="BTEMEASMCAChar"/>
    <w:autoRedefine/>
    <w:uiPriority w:val="99"/>
    <w:rsid w:val="009500C0"/>
    <w:pPr>
      <w:snapToGrid w:val="0"/>
      <w:spacing w:after="0" w:line="240" w:lineRule="auto"/>
    </w:pPr>
    <w:rPr>
      <w:noProof/>
      <w:lang w:val="lt-LT"/>
    </w:rPr>
  </w:style>
  <w:style w:type="character" w:customStyle="1" w:styleId="TTEMEASMCAChar">
    <w:name w:val="TT EMEA_SMCA Char"/>
    <w:link w:val="TTEMEASMCA"/>
    <w:locked/>
    <w:rsid w:val="009500C0"/>
    <w:rPr>
      <w:rFonts w:ascii="Times New Roman" w:hAnsi="Times New Roman" w:cs="Times New Roman"/>
      <w:b/>
      <w:caps/>
      <w:lang w:val="en-US"/>
    </w:rPr>
  </w:style>
  <w:style w:type="paragraph" w:customStyle="1" w:styleId="TTEMEASMCA">
    <w:name w:val="TT EMEA_SMCA"/>
    <w:basedOn w:val="Antrat1"/>
    <w:link w:val="TTEMEASMCAChar"/>
    <w:autoRedefine/>
    <w:rsid w:val="009500C0"/>
    <w:pPr>
      <w:keepNext w:val="0"/>
      <w:widowControl/>
      <w:shd w:val="clear" w:color="auto" w:fill="auto"/>
      <w:tabs>
        <w:tab w:val="left" w:pos="567"/>
      </w:tabs>
      <w:autoSpaceDE/>
      <w:autoSpaceDN/>
      <w:adjustRightInd/>
      <w:spacing w:before="0" w:line="240" w:lineRule="auto"/>
      <w:ind w:left="0" w:right="0"/>
    </w:pPr>
    <w:rPr>
      <w:rFonts w:eastAsiaTheme="minorHAnsi"/>
      <w:b/>
      <w:caps/>
      <w:color w:val="auto"/>
      <w:spacing w:val="0"/>
      <w:sz w:val="22"/>
      <w:szCs w:val="22"/>
      <w:lang w:val="en-US"/>
    </w:rPr>
  </w:style>
  <w:style w:type="paragraph" w:customStyle="1" w:styleId="PI-2EMEASMCA">
    <w:name w:val="PI-2 EMEA_SMCA"/>
    <w:basedOn w:val="Antrat3"/>
    <w:autoRedefine/>
    <w:rsid w:val="009500C0"/>
    <w:pPr>
      <w:keepLines/>
      <w:widowControl/>
      <w:tabs>
        <w:tab w:val="left" w:pos="567"/>
      </w:tabs>
      <w:autoSpaceDE/>
      <w:autoSpaceDN/>
      <w:adjustRightInd/>
      <w:snapToGrid/>
      <w:spacing w:before="0" w:after="0"/>
      <w:ind w:left="567" w:hanging="567"/>
    </w:pPr>
    <w:rPr>
      <w:rFonts w:ascii="Times New Roman" w:hAnsi="Times New Roman" w:cs="Times New Roman"/>
      <w:bCs w:val="0"/>
      <w:kern w:val="28"/>
      <w:sz w:val="22"/>
      <w:szCs w:val="22"/>
      <w:lang w:val="lt-LT"/>
    </w:rPr>
  </w:style>
  <w:style w:type="paragraph" w:customStyle="1" w:styleId="BTbEMEASMCA">
    <w:name w:val="BT(b) EMEA_SMCA"/>
    <w:basedOn w:val="BTEMEASMCA"/>
    <w:autoRedefine/>
    <w:rsid w:val="009500C0"/>
    <w:pPr>
      <w:tabs>
        <w:tab w:val="left" w:pos="567"/>
        <w:tab w:val="left" w:pos="1620"/>
      </w:tabs>
      <w:snapToGrid/>
      <w:jc w:val="both"/>
    </w:pPr>
    <w:rPr>
      <w:rFonts w:eastAsia="Calibri"/>
      <w:b/>
      <w:noProof w:val="0"/>
    </w:rPr>
  </w:style>
  <w:style w:type="paragraph" w:customStyle="1" w:styleId="Default">
    <w:name w:val="Default"/>
    <w:rsid w:val="009500C0"/>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Default1">
    <w:name w:val="Default1"/>
    <w:basedOn w:val="Default"/>
    <w:next w:val="Default"/>
    <w:rsid w:val="009500C0"/>
    <w:rPr>
      <w:color w:val="auto"/>
    </w:rPr>
  </w:style>
  <w:style w:type="character" w:styleId="Komentaronuoroda">
    <w:name w:val="annotation reference"/>
    <w:semiHidden/>
    <w:unhideWhenUsed/>
    <w:rsid w:val="009500C0"/>
    <w:rPr>
      <w:sz w:val="16"/>
      <w:szCs w:val="16"/>
    </w:rPr>
  </w:style>
  <w:style w:type="character" w:customStyle="1" w:styleId="tw4winMark">
    <w:name w:val="tw4winMark"/>
    <w:rsid w:val="009500C0"/>
    <w:rPr>
      <w:rFonts w:ascii="Courier New" w:hAnsi="Courier New" w:cs="Courier New" w:hint="default"/>
      <w:vanish/>
      <w:webHidden w:val="0"/>
      <w:color w:val="800080"/>
      <w:sz w:val="24"/>
      <w:szCs w:val="24"/>
      <w:vertAlign w:val="subscript"/>
      <w:specVanish w:val="0"/>
    </w:rPr>
  </w:style>
  <w:style w:type="character" w:customStyle="1" w:styleId="tw4winError">
    <w:name w:val="tw4winError"/>
    <w:rsid w:val="009500C0"/>
    <w:rPr>
      <w:rFonts w:ascii="Courier New" w:hAnsi="Courier New" w:cs="Courier New" w:hint="default"/>
      <w:color w:val="00FF00"/>
      <w:sz w:val="40"/>
      <w:szCs w:val="40"/>
    </w:rPr>
  </w:style>
  <w:style w:type="character" w:customStyle="1" w:styleId="tw4winTerm">
    <w:name w:val="tw4winTerm"/>
    <w:rsid w:val="009500C0"/>
    <w:rPr>
      <w:color w:val="0000FF"/>
    </w:rPr>
  </w:style>
  <w:style w:type="character" w:customStyle="1" w:styleId="tw4winPopup">
    <w:name w:val="tw4winPopup"/>
    <w:rsid w:val="009500C0"/>
    <w:rPr>
      <w:rFonts w:ascii="Courier New" w:hAnsi="Courier New" w:cs="Courier New" w:hint="default"/>
      <w:noProof/>
      <w:color w:val="008000"/>
    </w:rPr>
  </w:style>
  <w:style w:type="character" w:customStyle="1" w:styleId="tw4winJump">
    <w:name w:val="tw4winJump"/>
    <w:rsid w:val="009500C0"/>
    <w:rPr>
      <w:rFonts w:ascii="Courier New" w:hAnsi="Courier New" w:cs="Courier New" w:hint="default"/>
      <w:noProof/>
      <w:color w:val="008080"/>
    </w:rPr>
  </w:style>
  <w:style w:type="character" w:customStyle="1" w:styleId="tw4winExternal">
    <w:name w:val="tw4winExternal"/>
    <w:rsid w:val="009500C0"/>
    <w:rPr>
      <w:rFonts w:ascii="Courier New" w:hAnsi="Courier New" w:cs="Courier New" w:hint="default"/>
      <w:noProof/>
      <w:color w:val="808080"/>
    </w:rPr>
  </w:style>
  <w:style w:type="character" w:customStyle="1" w:styleId="tw4winInternal">
    <w:name w:val="tw4winInternal"/>
    <w:rsid w:val="009500C0"/>
    <w:rPr>
      <w:rFonts w:ascii="Courier New" w:hAnsi="Courier New" w:cs="Courier New" w:hint="default"/>
      <w:noProof/>
      <w:color w:val="FF0000"/>
    </w:rPr>
  </w:style>
  <w:style w:type="character" w:customStyle="1" w:styleId="DONOTTRANSLATE">
    <w:name w:val="DO_NOT_TRANSLATE"/>
    <w:rsid w:val="009500C0"/>
    <w:rPr>
      <w:rFonts w:ascii="Courier New" w:hAnsi="Courier New" w:cs="Courier New" w:hint="default"/>
      <w:noProof/>
      <w:color w:val="800000"/>
    </w:rPr>
  </w:style>
  <w:style w:type="character" w:customStyle="1" w:styleId="BTEMEASMCACharChar">
    <w:name w:val="BT EMEA_SMCA Char Char"/>
    <w:rsid w:val="009500C0"/>
    <w:rPr>
      <w:noProof/>
      <w:sz w:val="22"/>
      <w:szCs w:val="22"/>
      <w:lang w:val="lt-LT" w:eastAsia="en-US" w:bidi="ar-SA"/>
    </w:rPr>
  </w:style>
  <w:style w:type="table" w:styleId="Lentelstinklelis">
    <w:name w:val="Table Grid"/>
    <w:basedOn w:val="prastojilentel"/>
    <w:rsid w:val="009500C0"/>
    <w:pPr>
      <w:widowControl w:val="0"/>
      <w:autoSpaceDE w:val="0"/>
      <w:autoSpaceDN w:val="0"/>
      <w:adjustRightInd w:val="0"/>
      <w:spacing w:after="0" w:line="240" w:lineRule="auto"/>
    </w:pPr>
    <w:rPr>
      <w:rFonts w:ascii="Times New Roman" w:eastAsia="Times New Roman" w:hAnsi="Times New Roman" w:cs="Times New Roman"/>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9500C0"/>
    <w:pPr>
      <w:widowControl w:val="0"/>
      <w:autoSpaceDE w:val="0"/>
      <w:autoSpaceDN w:val="0"/>
      <w:adjustRightInd w:val="0"/>
      <w:snapToGrid w:val="0"/>
      <w:spacing w:after="0" w:line="240" w:lineRule="auto"/>
      <w:ind w:left="720"/>
      <w:contextualSpacing/>
    </w:pPr>
    <w:rPr>
      <w:rFonts w:ascii="Times New Roman" w:eastAsia="Times New Roman" w:hAnsi="Times New Roman" w:cs="Times New Roman"/>
      <w:sz w:val="20"/>
      <w:szCs w:val="20"/>
      <w:lang w:val="cs-CZ"/>
    </w:rPr>
  </w:style>
  <w:style w:type="character" w:styleId="Puslapionumeris">
    <w:name w:val="page number"/>
    <w:basedOn w:val="Numatytasispastraiposriftas"/>
    <w:rsid w:val="009500C0"/>
  </w:style>
  <w:style w:type="numbering" w:customStyle="1" w:styleId="NoList2">
    <w:name w:val="No List2"/>
    <w:next w:val="Sraonra"/>
    <w:uiPriority w:val="99"/>
    <w:semiHidden/>
    <w:unhideWhenUsed/>
    <w:rsid w:val="009500C0"/>
  </w:style>
  <w:style w:type="table" w:customStyle="1" w:styleId="TableGrid1">
    <w:name w:val="Table Grid1"/>
    <w:basedOn w:val="prastojilentel"/>
    <w:next w:val="Lentelstinklelis"/>
    <w:rsid w:val="009500C0"/>
    <w:pPr>
      <w:widowControl w:val="0"/>
      <w:autoSpaceDE w:val="0"/>
      <w:autoSpaceDN w:val="0"/>
      <w:adjustRightInd w:val="0"/>
      <w:spacing w:after="0" w:line="240" w:lineRule="auto"/>
    </w:pPr>
    <w:rPr>
      <w:rFonts w:ascii="Times New Roman" w:eastAsia="Times New Roman" w:hAnsi="Times New Roman" w:cs="Times New Roman"/>
      <w:sz w:val="20"/>
      <w:szCs w:val="20"/>
      <w:lang w:val="en-GB"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9500C0"/>
    <w:pPr>
      <w:spacing w:after="0" w:line="240" w:lineRule="auto"/>
    </w:pPr>
    <w:rPr>
      <w:lang w:val="en-GB"/>
    </w:rPr>
  </w:style>
  <w:style w:type="paragraph" w:styleId="Pagrindinistekstas3">
    <w:name w:val="Body Text 3"/>
    <w:basedOn w:val="prastasis"/>
    <w:link w:val="Pagrindinistekstas3Diagrama"/>
    <w:uiPriority w:val="99"/>
    <w:semiHidden/>
    <w:unhideWhenUsed/>
    <w:rsid w:val="009500C0"/>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9500C0"/>
    <w:rPr>
      <w:sz w:val="16"/>
      <w:szCs w:val="16"/>
      <w:lang w:val="en-GB"/>
    </w:rPr>
  </w:style>
  <w:style w:type="paragraph" w:styleId="prastojitrauka">
    <w:name w:val="Normal Indent"/>
    <w:basedOn w:val="prastasis"/>
    <w:rsid w:val="009500C0"/>
    <w:pPr>
      <w:spacing w:after="120" w:line="240" w:lineRule="auto"/>
      <w:ind w:left="720"/>
    </w:pPr>
    <w:rPr>
      <w:rFonts w:ascii="Times New Roman" w:eastAsia="Times New Roman" w:hAnsi="Times New Roman" w:cs="Times New Roman"/>
      <w:szCs w:val="20"/>
      <w:lang w:eastAsia="en-GB"/>
    </w:rPr>
  </w:style>
  <w:style w:type="paragraph" w:styleId="Pagrindiniotekstotrauka2">
    <w:name w:val="Body Text Indent 2"/>
    <w:basedOn w:val="prastasis"/>
    <w:link w:val="Pagrindiniotekstotrauka2Diagrama"/>
    <w:uiPriority w:val="99"/>
    <w:semiHidden/>
    <w:unhideWhenUsed/>
    <w:rsid w:val="009500C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9500C0"/>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b7c35e9e9f1e5553d04c1721f227267b">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453b20e74daedfc9e956d0012a5e5bd8"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BCC3E5-8971-4AD7-99E4-50F7E0D3F273}">
  <ds:schemaRefs>
    <ds:schemaRef ds:uri="http://purl.org/dc/term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1D622E1C-3143-46A8-B7C7-B7B33E73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109A7F-21FC-4EA7-BE38-3A45A5CF1176}">
  <ds:schemaRefs>
    <ds:schemaRef ds:uri="http://schemas.microsoft.com/sharepoint/v3/contenttype/forms"/>
  </ds:schemaRefs>
</ds:datastoreItem>
</file>

<file path=customXml/itemProps4.xml><?xml version="1.0" encoding="utf-8"?>
<ds:datastoreItem xmlns:ds="http://schemas.openxmlformats.org/officeDocument/2006/customXml" ds:itemID="{D9801322-0C1E-4462-9242-544E7916E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71742</Words>
  <Characters>40893</Characters>
  <Application>Microsoft Office Word</Application>
  <DocSecurity>4</DocSecurity>
  <Lines>340</Lines>
  <Paragraphs>224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Lithuanian</dc:creator>
  <cp:lastModifiedBy>Albina Burkauskaitė</cp:lastModifiedBy>
  <cp:revision>2</cp:revision>
  <dcterms:created xsi:type="dcterms:W3CDTF">2025-04-16T06:29:00Z</dcterms:created>
  <dcterms:modified xsi:type="dcterms:W3CDTF">2025-04-16T06:29:00Z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0x01010024448ADDA094B941BF150AA70B0E97EF</vt:lpwstr>
  </property>
  <property fmtid="{D5CDD505-2E9C-101B-9397-08002B2CF9AE}" pid="3" name="MediaServiceImageTags">
    <vt:lpwstr/>
  </property>
</Properties>
</file>