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9566" w14:textId="77777777" w:rsidR="00CA2E41" w:rsidRDefault="00CA2E41" w:rsidP="00CA2E41">
      <w:pPr>
        <w:rPr>
          <w:sz w:val="22"/>
        </w:rPr>
      </w:pPr>
    </w:p>
    <w:p w14:paraId="248C3C1A" w14:textId="77777777" w:rsidR="00CA2E41" w:rsidRDefault="00CA2E41" w:rsidP="00CA2E41">
      <w:pPr>
        <w:rPr>
          <w:sz w:val="22"/>
        </w:rPr>
      </w:pPr>
    </w:p>
    <w:p w14:paraId="32EA8750" w14:textId="77777777" w:rsidR="00CA2E41" w:rsidRDefault="00CA2E41" w:rsidP="00CA2E41">
      <w:pPr>
        <w:rPr>
          <w:sz w:val="22"/>
        </w:rPr>
      </w:pPr>
    </w:p>
    <w:p w14:paraId="6A55E80B" w14:textId="77777777" w:rsidR="00CA2E41" w:rsidRDefault="00CA2E41" w:rsidP="00CA2E41">
      <w:pPr>
        <w:rPr>
          <w:sz w:val="22"/>
        </w:rPr>
      </w:pPr>
    </w:p>
    <w:p w14:paraId="7CB3E1FB" w14:textId="77777777" w:rsidR="00CA2E41" w:rsidRDefault="00CA2E41" w:rsidP="00CA2E41">
      <w:pPr>
        <w:rPr>
          <w:sz w:val="22"/>
        </w:rPr>
      </w:pPr>
    </w:p>
    <w:p w14:paraId="1BF16148" w14:textId="77777777" w:rsidR="00CA2E41" w:rsidRDefault="00CA2E41" w:rsidP="00CA2E41">
      <w:pPr>
        <w:rPr>
          <w:sz w:val="22"/>
        </w:rPr>
      </w:pPr>
    </w:p>
    <w:p w14:paraId="162DCDD1" w14:textId="77777777" w:rsidR="00CA2E41" w:rsidRDefault="00CA2E41" w:rsidP="00CA2E41">
      <w:pPr>
        <w:rPr>
          <w:sz w:val="22"/>
        </w:rPr>
      </w:pPr>
    </w:p>
    <w:p w14:paraId="763D896A" w14:textId="77777777" w:rsidR="00CA2E41" w:rsidRDefault="00CA2E41" w:rsidP="00CA2E41">
      <w:pPr>
        <w:rPr>
          <w:sz w:val="22"/>
        </w:rPr>
      </w:pPr>
    </w:p>
    <w:p w14:paraId="31CD9415" w14:textId="77777777" w:rsidR="00CA2E41" w:rsidRDefault="00CA2E41" w:rsidP="00CA2E41">
      <w:pPr>
        <w:rPr>
          <w:sz w:val="22"/>
        </w:rPr>
      </w:pPr>
    </w:p>
    <w:p w14:paraId="36B6A4C0" w14:textId="77777777" w:rsidR="00CA2E41" w:rsidRDefault="00CA2E41" w:rsidP="00CA2E41">
      <w:pPr>
        <w:rPr>
          <w:sz w:val="22"/>
        </w:rPr>
      </w:pPr>
    </w:p>
    <w:p w14:paraId="17DB194B" w14:textId="77777777" w:rsidR="00CA2E41" w:rsidRDefault="00CA2E41" w:rsidP="00CA2E41">
      <w:pPr>
        <w:rPr>
          <w:sz w:val="22"/>
        </w:rPr>
      </w:pPr>
    </w:p>
    <w:p w14:paraId="4B6606EC" w14:textId="77777777" w:rsidR="00CA2E41" w:rsidRDefault="00CA2E41" w:rsidP="00CA2E41">
      <w:pPr>
        <w:rPr>
          <w:sz w:val="22"/>
        </w:rPr>
      </w:pPr>
    </w:p>
    <w:p w14:paraId="242459D0" w14:textId="77777777" w:rsidR="00CA2E41" w:rsidRDefault="00CA2E41" w:rsidP="00CA2E41">
      <w:pPr>
        <w:rPr>
          <w:sz w:val="22"/>
        </w:rPr>
      </w:pPr>
    </w:p>
    <w:p w14:paraId="21963E61" w14:textId="77777777" w:rsidR="00CA2E41" w:rsidRDefault="00CA2E41" w:rsidP="00CA2E41">
      <w:pPr>
        <w:rPr>
          <w:sz w:val="22"/>
        </w:rPr>
      </w:pPr>
    </w:p>
    <w:p w14:paraId="1BE3E376" w14:textId="77777777" w:rsidR="00CA2E41" w:rsidRDefault="00CA2E41" w:rsidP="00CA2E41">
      <w:pPr>
        <w:rPr>
          <w:sz w:val="22"/>
        </w:rPr>
      </w:pPr>
    </w:p>
    <w:p w14:paraId="1099DFA4" w14:textId="77777777" w:rsidR="00CA2E41" w:rsidRDefault="00CA2E41" w:rsidP="00CA2E41">
      <w:pPr>
        <w:rPr>
          <w:sz w:val="22"/>
        </w:rPr>
      </w:pPr>
    </w:p>
    <w:p w14:paraId="7A254BC6" w14:textId="77777777" w:rsidR="00CA2E41" w:rsidRDefault="00CA2E41" w:rsidP="00CA2E41">
      <w:pPr>
        <w:rPr>
          <w:sz w:val="22"/>
        </w:rPr>
      </w:pPr>
    </w:p>
    <w:p w14:paraId="03D8E9CA" w14:textId="77777777" w:rsidR="00CA2E41" w:rsidRDefault="00CA2E41" w:rsidP="00CA2E41">
      <w:pPr>
        <w:rPr>
          <w:sz w:val="22"/>
        </w:rPr>
      </w:pPr>
    </w:p>
    <w:p w14:paraId="338D8B6D" w14:textId="77777777" w:rsidR="00CA2E41" w:rsidRDefault="00CA2E41" w:rsidP="00CA2E41">
      <w:pPr>
        <w:rPr>
          <w:sz w:val="22"/>
        </w:rPr>
      </w:pPr>
    </w:p>
    <w:p w14:paraId="582AB268" w14:textId="77777777" w:rsidR="00CA2E41" w:rsidRDefault="00CA2E41" w:rsidP="00CA2E41">
      <w:pPr>
        <w:rPr>
          <w:sz w:val="22"/>
        </w:rPr>
      </w:pPr>
    </w:p>
    <w:p w14:paraId="790B2980" w14:textId="77777777" w:rsidR="00CA2E41" w:rsidRDefault="00CA2E41" w:rsidP="00CA2E41">
      <w:pPr>
        <w:rPr>
          <w:sz w:val="22"/>
        </w:rPr>
      </w:pPr>
    </w:p>
    <w:p w14:paraId="3C441F04" w14:textId="77777777" w:rsidR="00CA2E41" w:rsidRDefault="00CA2E41" w:rsidP="00CA2E41">
      <w:pPr>
        <w:rPr>
          <w:sz w:val="22"/>
        </w:rPr>
      </w:pPr>
    </w:p>
    <w:p w14:paraId="1C66BEB0" w14:textId="77777777" w:rsidR="00CA2E41" w:rsidRDefault="00CA2E41" w:rsidP="00CA2E41">
      <w:pPr>
        <w:rPr>
          <w:sz w:val="22"/>
        </w:rPr>
      </w:pPr>
    </w:p>
    <w:p w14:paraId="2CAE1E6F" w14:textId="77777777" w:rsidR="00CA2E41" w:rsidRDefault="00CA2E41" w:rsidP="00CA2E41">
      <w:pPr>
        <w:jc w:val="center"/>
        <w:rPr>
          <w:b/>
          <w:sz w:val="22"/>
        </w:rPr>
      </w:pPr>
      <w:r>
        <w:rPr>
          <w:b/>
          <w:sz w:val="22"/>
        </w:rPr>
        <w:t>I PRIEDAS</w:t>
      </w:r>
    </w:p>
    <w:p w14:paraId="2ED26084" w14:textId="77777777" w:rsidR="00CA2E41" w:rsidRDefault="00CA2E41" w:rsidP="00CA2E41">
      <w:pPr>
        <w:jc w:val="center"/>
        <w:rPr>
          <w:b/>
          <w:sz w:val="22"/>
        </w:rPr>
      </w:pPr>
    </w:p>
    <w:p w14:paraId="57CD79C6" w14:textId="77777777" w:rsidR="00CA2E41" w:rsidRDefault="00CA2E41" w:rsidP="00CA2E41">
      <w:pPr>
        <w:jc w:val="center"/>
        <w:rPr>
          <w:b/>
          <w:sz w:val="22"/>
        </w:rPr>
      </w:pPr>
      <w:r>
        <w:rPr>
          <w:b/>
          <w:sz w:val="22"/>
        </w:rPr>
        <w:t>PREPARATO CHARAKTERISTIKŲ SANTRAUKA</w:t>
      </w:r>
    </w:p>
    <w:p w14:paraId="00C58843" w14:textId="77777777" w:rsidR="00CA2E41" w:rsidRDefault="00CA2E41" w:rsidP="00CA2E41">
      <w:pPr>
        <w:rPr>
          <w:b/>
          <w:sz w:val="22"/>
        </w:rPr>
      </w:pPr>
    </w:p>
    <w:p w14:paraId="350911F6" w14:textId="77777777" w:rsidR="00CA2E41" w:rsidRDefault="00CA2E41" w:rsidP="00CA2E41">
      <w:pPr>
        <w:rPr>
          <w:sz w:val="22"/>
        </w:rPr>
      </w:pPr>
      <w:r>
        <w:rPr>
          <w:sz w:val="22"/>
        </w:rPr>
        <w:br w:type="page"/>
      </w:r>
      <w:r>
        <w:rPr>
          <w:b/>
          <w:sz w:val="22"/>
        </w:rPr>
        <w:lastRenderedPageBreak/>
        <w:t>1.</w:t>
      </w:r>
      <w:r>
        <w:rPr>
          <w:b/>
          <w:sz w:val="22"/>
        </w:rPr>
        <w:tab/>
        <w:t>VAISTINIO PREPARATO PAVADINIMAS</w:t>
      </w:r>
    </w:p>
    <w:p w14:paraId="3802D6DF" w14:textId="77777777" w:rsidR="00CA2E41" w:rsidRDefault="00CA2E41" w:rsidP="00CA2E41">
      <w:pPr>
        <w:rPr>
          <w:sz w:val="22"/>
        </w:rPr>
      </w:pPr>
    </w:p>
    <w:p w14:paraId="13E37710" w14:textId="77777777" w:rsidR="00CA2E41" w:rsidRDefault="00CA2E41" w:rsidP="00CA2E41">
      <w:pPr>
        <w:rPr>
          <w:sz w:val="22"/>
        </w:rPr>
      </w:pPr>
      <w:r>
        <w:rPr>
          <w:sz w:val="22"/>
        </w:rPr>
        <w:t>BOOSTRIX POLIO injekcinė suspensija užpildytame švirkšte</w:t>
      </w:r>
    </w:p>
    <w:p w14:paraId="185B62D4" w14:textId="77777777" w:rsidR="00CA2E41" w:rsidRDefault="00CA2E41" w:rsidP="00CA2E41">
      <w:pPr>
        <w:rPr>
          <w:sz w:val="22"/>
        </w:rPr>
      </w:pPr>
      <w:r>
        <w:rPr>
          <w:sz w:val="22"/>
        </w:rPr>
        <w:t xml:space="preserve">Vakcina nuo difterijos, stabligės, kokliušo (neląstelinė, </w:t>
      </w:r>
      <w:proofErr w:type="spellStart"/>
      <w:r>
        <w:rPr>
          <w:sz w:val="22"/>
        </w:rPr>
        <w:t>komponentinė</w:t>
      </w:r>
      <w:proofErr w:type="spellEnd"/>
      <w:r>
        <w:rPr>
          <w:sz w:val="22"/>
        </w:rPr>
        <w:t>) ir nuo poliomielito (</w:t>
      </w:r>
      <w:proofErr w:type="spellStart"/>
      <w:r>
        <w:rPr>
          <w:sz w:val="22"/>
        </w:rPr>
        <w:t>inaktyvuota</w:t>
      </w:r>
      <w:proofErr w:type="spellEnd"/>
      <w:r>
        <w:rPr>
          <w:sz w:val="22"/>
        </w:rPr>
        <w:t>), (</w:t>
      </w:r>
      <w:proofErr w:type="spellStart"/>
      <w:r>
        <w:rPr>
          <w:sz w:val="22"/>
        </w:rPr>
        <w:t>adsorbuota</w:t>
      </w:r>
      <w:proofErr w:type="spellEnd"/>
      <w:r>
        <w:rPr>
          <w:sz w:val="22"/>
        </w:rPr>
        <w:t>, sumažinto antigenų kiekio)</w:t>
      </w:r>
    </w:p>
    <w:p w14:paraId="6D9A095C" w14:textId="77777777" w:rsidR="00CA2E41" w:rsidRDefault="00CA2E41" w:rsidP="00CA2E41">
      <w:pPr>
        <w:rPr>
          <w:sz w:val="22"/>
        </w:rPr>
      </w:pPr>
    </w:p>
    <w:p w14:paraId="49660170" w14:textId="77777777" w:rsidR="00CA2E41" w:rsidRDefault="00CA2E41" w:rsidP="00CA2E41">
      <w:pPr>
        <w:rPr>
          <w:sz w:val="22"/>
        </w:rPr>
      </w:pPr>
    </w:p>
    <w:p w14:paraId="6951F8A2" w14:textId="77777777" w:rsidR="00CA2E41" w:rsidRDefault="00CA2E41" w:rsidP="00CA2E41">
      <w:pPr>
        <w:rPr>
          <w:b/>
          <w:sz w:val="22"/>
        </w:rPr>
      </w:pPr>
      <w:r>
        <w:rPr>
          <w:b/>
          <w:sz w:val="22"/>
        </w:rPr>
        <w:t>2.</w:t>
      </w:r>
      <w:r>
        <w:rPr>
          <w:b/>
          <w:sz w:val="22"/>
        </w:rPr>
        <w:tab/>
        <w:t>KOKYBINĖ IR KIEKYBINĖ SUDĖTIS</w:t>
      </w:r>
    </w:p>
    <w:p w14:paraId="08BC3B9E" w14:textId="77777777" w:rsidR="00CA2E41" w:rsidRDefault="00CA2E41" w:rsidP="00CA2E41">
      <w:pPr>
        <w:rPr>
          <w:sz w:val="22"/>
        </w:rPr>
      </w:pPr>
    </w:p>
    <w:p w14:paraId="3847CAEE" w14:textId="77777777" w:rsidR="00CA2E41" w:rsidRDefault="00CA2E41" w:rsidP="00CA2E41">
      <w:pPr>
        <w:rPr>
          <w:sz w:val="22"/>
        </w:rPr>
      </w:pPr>
      <w:r>
        <w:rPr>
          <w:sz w:val="22"/>
        </w:rPr>
        <w:t>Vienoje 0,5 ml vakcinos dozėje yra:</w:t>
      </w:r>
    </w:p>
    <w:p w14:paraId="3540DE95" w14:textId="77777777" w:rsidR="00CA2E41" w:rsidRDefault="00CA2E41" w:rsidP="00CA2E41">
      <w:pPr>
        <w:rPr>
          <w:sz w:val="22"/>
        </w:rPr>
      </w:pPr>
      <w:bookmarkStart w:id="0" w:name="_Hlk500232350"/>
    </w:p>
    <w:p w14:paraId="14A7D6F8" w14:textId="77777777" w:rsidR="00CA2E41" w:rsidRDefault="00CA2E41" w:rsidP="00CA2E41">
      <w:pPr>
        <w:rPr>
          <w:sz w:val="22"/>
        </w:rPr>
      </w:pPr>
      <w:r>
        <w:rPr>
          <w:sz w:val="22"/>
        </w:rPr>
        <w:t>Difterijos anatoksino</w:t>
      </w:r>
      <w:r>
        <w:rPr>
          <w:sz w:val="22"/>
          <w:vertAlign w:val="superscript"/>
        </w:rPr>
        <w:t>1</w:t>
      </w:r>
      <w:r>
        <w:rPr>
          <w:sz w:val="22"/>
        </w:rPr>
        <w:tab/>
      </w:r>
      <w:r>
        <w:rPr>
          <w:sz w:val="22"/>
        </w:rPr>
        <w:tab/>
      </w:r>
      <w:r>
        <w:rPr>
          <w:sz w:val="22"/>
        </w:rPr>
        <w:tab/>
        <w:t>ne mažiau kaip 2 TV (2,5 </w:t>
      </w:r>
      <w:proofErr w:type="spellStart"/>
      <w:r>
        <w:rPr>
          <w:sz w:val="22"/>
        </w:rPr>
        <w:t>Lf</w:t>
      </w:r>
      <w:proofErr w:type="spellEnd"/>
      <w:r>
        <w:rPr>
          <w:sz w:val="22"/>
        </w:rPr>
        <w:t>)</w:t>
      </w:r>
    </w:p>
    <w:p w14:paraId="05EE9D99" w14:textId="77777777" w:rsidR="00CA2E41" w:rsidRDefault="00CA2E41" w:rsidP="00CA2E41">
      <w:pPr>
        <w:rPr>
          <w:sz w:val="22"/>
        </w:rPr>
      </w:pPr>
      <w:r>
        <w:rPr>
          <w:sz w:val="22"/>
        </w:rPr>
        <w:t>Stabligės anatoksino</w:t>
      </w:r>
      <w:r>
        <w:rPr>
          <w:sz w:val="22"/>
          <w:vertAlign w:val="superscript"/>
        </w:rPr>
        <w:t>1</w:t>
      </w:r>
      <w:r>
        <w:rPr>
          <w:sz w:val="22"/>
        </w:rPr>
        <w:t xml:space="preserve"> </w:t>
      </w:r>
      <w:r>
        <w:rPr>
          <w:sz w:val="22"/>
        </w:rPr>
        <w:tab/>
      </w:r>
      <w:r>
        <w:rPr>
          <w:sz w:val="22"/>
        </w:rPr>
        <w:tab/>
      </w:r>
      <w:r>
        <w:rPr>
          <w:sz w:val="22"/>
        </w:rPr>
        <w:tab/>
        <w:t>ne mažiau kaip 20 TV (5 </w:t>
      </w:r>
      <w:proofErr w:type="spellStart"/>
      <w:r>
        <w:rPr>
          <w:sz w:val="22"/>
        </w:rPr>
        <w:t>Lf</w:t>
      </w:r>
      <w:proofErr w:type="spellEnd"/>
      <w:r>
        <w:rPr>
          <w:sz w:val="22"/>
        </w:rPr>
        <w:t>)</w:t>
      </w:r>
    </w:p>
    <w:p w14:paraId="2E209E38" w14:textId="77777777" w:rsidR="00CA2E41" w:rsidRDefault="00CA2E41" w:rsidP="00CA2E41">
      <w:pPr>
        <w:rPr>
          <w:sz w:val="22"/>
        </w:rPr>
      </w:pPr>
      <w:proofErr w:type="spellStart"/>
      <w:r>
        <w:rPr>
          <w:i/>
          <w:sz w:val="22"/>
        </w:rPr>
        <w:t>Bordetella</w:t>
      </w:r>
      <w:proofErr w:type="spellEnd"/>
      <w:r>
        <w:rPr>
          <w:i/>
          <w:sz w:val="22"/>
        </w:rPr>
        <w:t xml:space="preserve"> </w:t>
      </w:r>
      <w:proofErr w:type="spellStart"/>
      <w:r>
        <w:rPr>
          <w:i/>
          <w:sz w:val="22"/>
        </w:rPr>
        <w:t>pertussis</w:t>
      </w:r>
      <w:proofErr w:type="spellEnd"/>
      <w:r>
        <w:rPr>
          <w:sz w:val="22"/>
        </w:rPr>
        <w:t xml:space="preserve"> antigenų</w:t>
      </w:r>
    </w:p>
    <w:p w14:paraId="3462A78E" w14:textId="77777777" w:rsidR="00CA2E41" w:rsidRDefault="00CA2E41" w:rsidP="00CA2E41">
      <w:pPr>
        <w:rPr>
          <w:sz w:val="22"/>
        </w:rPr>
      </w:pPr>
      <w:r>
        <w:rPr>
          <w:sz w:val="22"/>
        </w:rPr>
        <w:t xml:space="preserve">     Kokliušo anatoksino</w:t>
      </w:r>
      <w:r>
        <w:rPr>
          <w:sz w:val="22"/>
          <w:vertAlign w:val="superscript"/>
        </w:rPr>
        <w:t>1</w:t>
      </w:r>
      <w:r>
        <w:rPr>
          <w:sz w:val="22"/>
        </w:rPr>
        <w:tab/>
      </w:r>
      <w:r>
        <w:rPr>
          <w:sz w:val="22"/>
        </w:rPr>
        <w:tab/>
      </w:r>
      <w:r>
        <w:rPr>
          <w:sz w:val="22"/>
        </w:rPr>
        <w:tab/>
      </w:r>
      <w:r>
        <w:rPr>
          <w:sz w:val="22"/>
        </w:rPr>
        <w:tab/>
        <w:t xml:space="preserve">8 </w:t>
      </w:r>
      <w:proofErr w:type="spellStart"/>
      <w:r>
        <w:rPr>
          <w:sz w:val="22"/>
        </w:rPr>
        <w:t>mikrogramai</w:t>
      </w:r>
      <w:proofErr w:type="spellEnd"/>
    </w:p>
    <w:p w14:paraId="47C2CAED" w14:textId="77777777" w:rsidR="00CA2E41" w:rsidRDefault="00CA2E41" w:rsidP="00CA2E41">
      <w:pPr>
        <w:rPr>
          <w:sz w:val="22"/>
        </w:rPr>
      </w:pPr>
      <w:r>
        <w:rPr>
          <w:sz w:val="22"/>
        </w:rPr>
        <w:t xml:space="preserve">     </w:t>
      </w:r>
      <w:proofErr w:type="spellStart"/>
      <w:r>
        <w:rPr>
          <w:sz w:val="22"/>
        </w:rPr>
        <w:t>Filamentinio</w:t>
      </w:r>
      <w:proofErr w:type="spellEnd"/>
      <w:r>
        <w:rPr>
          <w:sz w:val="22"/>
        </w:rPr>
        <w:t xml:space="preserve"> hemagliutinino</w:t>
      </w:r>
      <w:r>
        <w:rPr>
          <w:sz w:val="22"/>
          <w:vertAlign w:val="superscript"/>
        </w:rPr>
        <w:t>1</w:t>
      </w:r>
      <w:r>
        <w:rPr>
          <w:sz w:val="22"/>
          <w:vertAlign w:val="superscript"/>
        </w:rPr>
        <w:tab/>
      </w:r>
      <w:r>
        <w:rPr>
          <w:sz w:val="22"/>
          <w:vertAlign w:val="superscript"/>
        </w:rPr>
        <w:tab/>
      </w:r>
      <w:r>
        <w:rPr>
          <w:sz w:val="22"/>
          <w:vertAlign w:val="superscript"/>
        </w:rPr>
        <w:tab/>
      </w:r>
      <w:r>
        <w:rPr>
          <w:sz w:val="22"/>
        </w:rPr>
        <w:t xml:space="preserve">8 </w:t>
      </w:r>
      <w:proofErr w:type="spellStart"/>
      <w:r>
        <w:rPr>
          <w:sz w:val="22"/>
        </w:rPr>
        <w:t>mikrogramai</w:t>
      </w:r>
      <w:proofErr w:type="spellEnd"/>
    </w:p>
    <w:p w14:paraId="16EFC5DC" w14:textId="77777777" w:rsidR="00CA2E41" w:rsidRDefault="00CA2E41" w:rsidP="00CA2E41">
      <w:pPr>
        <w:rPr>
          <w:sz w:val="22"/>
        </w:rPr>
      </w:pPr>
      <w:r>
        <w:rPr>
          <w:sz w:val="22"/>
        </w:rPr>
        <w:t xml:space="preserve">     Pertaktino</w:t>
      </w:r>
      <w:r>
        <w:rPr>
          <w:sz w:val="22"/>
          <w:vertAlign w:val="superscript"/>
        </w:rPr>
        <w:t>1</w:t>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rPr>
        <w:t xml:space="preserve">2,5 </w:t>
      </w:r>
      <w:proofErr w:type="spellStart"/>
      <w:r>
        <w:rPr>
          <w:sz w:val="22"/>
        </w:rPr>
        <w:t>mikrogramai</w:t>
      </w:r>
      <w:proofErr w:type="spellEnd"/>
    </w:p>
    <w:p w14:paraId="078641A5" w14:textId="77777777" w:rsidR="00CA2E41" w:rsidRDefault="00CA2E41" w:rsidP="00CA2E41">
      <w:pPr>
        <w:rPr>
          <w:sz w:val="22"/>
        </w:rPr>
      </w:pPr>
      <w:proofErr w:type="spellStart"/>
      <w:r>
        <w:rPr>
          <w:sz w:val="22"/>
        </w:rPr>
        <w:t>Inaktyvuotų</w:t>
      </w:r>
      <w:proofErr w:type="spellEnd"/>
      <w:r>
        <w:rPr>
          <w:sz w:val="22"/>
        </w:rPr>
        <w:t xml:space="preserve"> </w:t>
      </w:r>
      <w:proofErr w:type="spellStart"/>
      <w:r>
        <w:rPr>
          <w:sz w:val="22"/>
        </w:rPr>
        <w:t>poliovirusų</w:t>
      </w:r>
      <w:proofErr w:type="spellEnd"/>
    </w:p>
    <w:p w14:paraId="44911DAC" w14:textId="77777777" w:rsidR="00CA2E41" w:rsidRDefault="00CA2E41" w:rsidP="00CA2E41">
      <w:pPr>
        <w:rPr>
          <w:sz w:val="22"/>
        </w:rPr>
      </w:pPr>
      <w:r>
        <w:rPr>
          <w:sz w:val="22"/>
        </w:rPr>
        <w:t>1-ojo tipo (</w:t>
      </w:r>
      <w:proofErr w:type="spellStart"/>
      <w:r>
        <w:rPr>
          <w:i/>
          <w:sz w:val="22"/>
        </w:rPr>
        <w:t>Mahoney</w:t>
      </w:r>
      <w:proofErr w:type="spellEnd"/>
      <w:r>
        <w:rPr>
          <w:sz w:val="22"/>
        </w:rPr>
        <w:t xml:space="preserve"> padermė)</w:t>
      </w:r>
      <w:r>
        <w:rPr>
          <w:sz w:val="22"/>
          <w:vertAlign w:val="superscript"/>
        </w:rPr>
        <w:t>2</w:t>
      </w:r>
      <w:r>
        <w:rPr>
          <w:sz w:val="22"/>
        </w:rPr>
        <w:tab/>
      </w:r>
      <w:r>
        <w:rPr>
          <w:sz w:val="22"/>
        </w:rPr>
        <w:tab/>
      </w:r>
      <w:r>
        <w:rPr>
          <w:sz w:val="22"/>
        </w:rPr>
        <w:tab/>
        <w:t>40 D antigeno vienetų</w:t>
      </w:r>
    </w:p>
    <w:p w14:paraId="0E2C3B4F" w14:textId="77777777" w:rsidR="00CA2E41" w:rsidRDefault="00CA2E41" w:rsidP="00CA2E41">
      <w:pPr>
        <w:rPr>
          <w:sz w:val="22"/>
        </w:rPr>
      </w:pPr>
      <w:r>
        <w:rPr>
          <w:sz w:val="22"/>
        </w:rPr>
        <w:t>2-ojo tipo (MEF-1 padermė)</w:t>
      </w:r>
      <w:r>
        <w:rPr>
          <w:sz w:val="22"/>
          <w:vertAlign w:val="superscript"/>
        </w:rPr>
        <w:t>2</w:t>
      </w:r>
      <w:r>
        <w:rPr>
          <w:sz w:val="22"/>
        </w:rPr>
        <w:tab/>
      </w:r>
      <w:r>
        <w:rPr>
          <w:sz w:val="22"/>
        </w:rPr>
        <w:tab/>
      </w:r>
      <w:r>
        <w:rPr>
          <w:sz w:val="22"/>
        </w:rPr>
        <w:tab/>
      </w:r>
      <w:r>
        <w:rPr>
          <w:sz w:val="22"/>
        </w:rPr>
        <w:tab/>
        <w:t>8 D antigeno vienetai</w:t>
      </w:r>
    </w:p>
    <w:p w14:paraId="51EC07C9" w14:textId="77777777" w:rsidR="00CA2E41" w:rsidRDefault="00CA2E41" w:rsidP="00CA2E41">
      <w:pPr>
        <w:rPr>
          <w:sz w:val="22"/>
        </w:rPr>
      </w:pPr>
      <w:r>
        <w:rPr>
          <w:sz w:val="22"/>
        </w:rPr>
        <w:t>3-iojo tipo (</w:t>
      </w:r>
      <w:proofErr w:type="spellStart"/>
      <w:r>
        <w:rPr>
          <w:i/>
          <w:sz w:val="22"/>
        </w:rPr>
        <w:t>Saukett</w:t>
      </w:r>
      <w:proofErr w:type="spellEnd"/>
      <w:r>
        <w:rPr>
          <w:sz w:val="22"/>
        </w:rPr>
        <w:t xml:space="preserve"> padermė)</w:t>
      </w:r>
      <w:r>
        <w:rPr>
          <w:sz w:val="22"/>
          <w:vertAlign w:val="superscript"/>
        </w:rPr>
        <w:t>2</w:t>
      </w:r>
      <w:r>
        <w:rPr>
          <w:sz w:val="22"/>
        </w:rPr>
        <w:tab/>
      </w:r>
      <w:r>
        <w:rPr>
          <w:sz w:val="22"/>
        </w:rPr>
        <w:tab/>
      </w:r>
      <w:r>
        <w:rPr>
          <w:sz w:val="22"/>
        </w:rPr>
        <w:tab/>
        <w:t>32 D antigeno vienetai</w:t>
      </w:r>
    </w:p>
    <w:p w14:paraId="66F38BCD" w14:textId="77777777" w:rsidR="00CA2E41" w:rsidRDefault="00CA2E41" w:rsidP="00CA2E41">
      <w:pPr>
        <w:rPr>
          <w:sz w:val="22"/>
        </w:rPr>
      </w:pPr>
    </w:p>
    <w:bookmarkEnd w:id="0"/>
    <w:p w14:paraId="284712E3" w14:textId="77777777" w:rsidR="00CA2E41" w:rsidRDefault="00CA2E41" w:rsidP="00CA2E41">
      <w:pPr>
        <w:rPr>
          <w:sz w:val="22"/>
          <w:vertAlign w:val="superscript"/>
        </w:rPr>
      </w:pPr>
      <w:r>
        <w:rPr>
          <w:sz w:val="22"/>
          <w:vertAlign w:val="superscript"/>
        </w:rPr>
        <w:t>1</w:t>
      </w:r>
      <w:r>
        <w:rPr>
          <w:sz w:val="22"/>
        </w:rPr>
        <w:t>Adsorbuotas hidratuotu aliuminio hidroksidu</w:t>
      </w:r>
      <w:r>
        <w:rPr>
          <w:i/>
          <w:sz w:val="22"/>
        </w:rPr>
        <w:t xml:space="preserve"> (Al (OH)</w:t>
      </w:r>
      <w:r>
        <w:rPr>
          <w:i/>
          <w:sz w:val="22"/>
          <w:vertAlign w:val="subscript"/>
        </w:rPr>
        <w:t>3</w:t>
      </w:r>
      <w:r>
        <w:rPr>
          <w:i/>
          <w:sz w:val="22"/>
        </w:rPr>
        <w:t>)</w:t>
      </w:r>
      <w:r>
        <w:rPr>
          <w:sz w:val="22"/>
        </w:rPr>
        <w:tab/>
      </w:r>
      <w:r>
        <w:rPr>
          <w:sz w:val="22"/>
        </w:rPr>
        <w:tab/>
        <w:t>0,3 miligramo Al</w:t>
      </w:r>
      <w:r>
        <w:rPr>
          <w:sz w:val="22"/>
          <w:vertAlign w:val="superscript"/>
        </w:rPr>
        <w:t>3+</w:t>
      </w:r>
    </w:p>
    <w:p w14:paraId="49AC5905" w14:textId="77777777" w:rsidR="00CA2E41" w:rsidRDefault="00CA2E41" w:rsidP="00CA2E41">
      <w:pPr>
        <w:rPr>
          <w:sz w:val="22"/>
          <w:vertAlign w:val="superscript"/>
        </w:rPr>
      </w:pPr>
      <w:r>
        <w:rPr>
          <w:sz w:val="22"/>
        </w:rPr>
        <w:t xml:space="preserve">ir aliuminio fosfatu </w:t>
      </w:r>
      <w:r>
        <w:rPr>
          <w:i/>
          <w:sz w:val="22"/>
        </w:rPr>
        <w:t>(AlPO</w:t>
      </w:r>
      <w:r>
        <w:rPr>
          <w:i/>
          <w:sz w:val="22"/>
          <w:vertAlign w:val="subscript"/>
        </w:rPr>
        <w:t>4</w:t>
      </w:r>
      <w:r>
        <w:rPr>
          <w:i/>
          <w:sz w:val="22"/>
        </w:rPr>
        <w:t>)</w:t>
      </w:r>
      <w:r>
        <w:rPr>
          <w:sz w:val="22"/>
        </w:rPr>
        <w:tab/>
      </w:r>
      <w:r>
        <w:rPr>
          <w:sz w:val="22"/>
        </w:rPr>
        <w:tab/>
      </w:r>
      <w:r>
        <w:rPr>
          <w:sz w:val="22"/>
        </w:rPr>
        <w:tab/>
      </w:r>
      <w:r>
        <w:rPr>
          <w:sz w:val="22"/>
        </w:rPr>
        <w:tab/>
        <w:t>0,2 miligramo Al</w:t>
      </w:r>
      <w:r>
        <w:rPr>
          <w:sz w:val="22"/>
          <w:vertAlign w:val="superscript"/>
        </w:rPr>
        <w:t>3+</w:t>
      </w:r>
    </w:p>
    <w:p w14:paraId="73DFE463" w14:textId="77777777" w:rsidR="00CA2E41" w:rsidRDefault="00CA2E41" w:rsidP="00CA2E41">
      <w:pPr>
        <w:rPr>
          <w:sz w:val="22"/>
        </w:rPr>
      </w:pPr>
      <w:r>
        <w:rPr>
          <w:sz w:val="22"/>
          <w:vertAlign w:val="superscript"/>
        </w:rPr>
        <w:t>2</w:t>
      </w:r>
      <w:r>
        <w:rPr>
          <w:sz w:val="22"/>
        </w:rPr>
        <w:t xml:space="preserve"> kultivuotų VERO ląstelėse</w:t>
      </w:r>
    </w:p>
    <w:p w14:paraId="6F49A66B" w14:textId="77777777" w:rsidR="00CA2E41" w:rsidRDefault="00CA2E41" w:rsidP="00CA2E41">
      <w:pPr>
        <w:rPr>
          <w:sz w:val="22"/>
        </w:rPr>
      </w:pPr>
    </w:p>
    <w:p w14:paraId="125B56C0" w14:textId="748BA4CB" w:rsidR="006B11D5" w:rsidRPr="00402C81" w:rsidRDefault="006B11D5" w:rsidP="006B11D5">
      <w:pPr>
        <w:rPr>
          <w:sz w:val="22"/>
        </w:rPr>
      </w:pPr>
      <w:r w:rsidRPr="00402C81">
        <w:rPr>
          <w:sz w:val="22"/>
        </w:rPr>
        <w:t xml:space="preserve">Vakcinos sudėtyje gali būti </w:t>
      </w:r>
      <w:proofErr w:type="spellStart"/>
      <w:r w:rsidRPr="00402C81">
        <w:rPr>
          <w:sz w:val="22"/>
        </w:rPr>
        <w:t>formaldehido</w:t>
      </w:r>
      <w:proofErr w:type="spellEnd"/>
      <w:r w:rsidRPr="00402C81">
        <w:rPr>
          <w:sz w:val="22"/>
        </w:rPr>
        <w:t xml:space="preserve">, </w:t>
      </w:r>
      <w:proofErr w:type="spellStart"/>
      <w:r w:rsidRPr="00402C81">
        <w:rPr>
          <w:sz w:val="22"/>
        </w:rPr>
        <w:t>neomicino</w:t>
      </w:r>
      <w:proofErr w:type="spellEnd"/>
      <w:r w:rsidRPr="00402C81">
        <w:rPr>
          <w:sz w:val="22"/>
        </w:rPr>
        <w:t xml:space="preserve"> ir </w:t>
      </w:r>
      <w:proofErr w:type="spellStart"/>
      <w:r w:rsidRPr="00402C81">
        <w:rPr>
          <w:sz w:val="22"/>
        </w:rPr>
        <w:t>polimiksino</w:t>
      </w:r>
      <w:proofErr w:type="spellEnd"/>
      <w:r w:rsidRPr="00402C81">
        <w:rPr>
          <w:sz w:val="22"/>
        </w:rPr>
        <w:t>, kurie naudojami gamybos proceso metu, likučių (žr. 4.3 skyrių).</w:t>
      </w:r>
    </w:p>
    <w:p w14:paraId="777685F1" w14:textId="77777777" w:rsidR="006B11D5" w:rsidRPr="00855B42" w:rsidRDefault="006B11D5" w:rsidP="00CA2E41">
      <w:pPr>
        <w:rPr>
          <w:sz w:val="22"/>
        </w:rPr>
      </w:pPr>
    </w:p>
    <w:p w14:paraId="34D89785" w14:textId="77777777" w:rsidR="005E0746" w:rsidRPr="00402C81" w:rsidRDefault="005E0746" w:rsidP="005E0746">
      <w:pPr>
        <w:rPr>
          <w:sz w:val="22"/>
          <w:u w:val="single"/>
        </w:rPr>
      </w:pPr>
      <w:r w:rsidRPr="00402C81">
        <w:rPr>
          <w:sz w:val="22"/>
          <w:u w:val="single"/>
        </w:rPr>
        <w:t>Pagalbinės medžiagos, kurių poveikis žinomas</w:t>
      </w:r>
    </w:p>
    <w:p w14:paraId="74398ACD" w14:textId="29D03EBA" w:rsidR="005E0746" w:rsidRPr="00402C81" w:rsidRDefault="00FD5316" w:rsidP="005E0746">
      <w:pPr>
        <w:rPr>
          <w:sz w:val="22"/>
        </w:rPr>
      </w:pPr>
      <w:r>
        <w:rPr>
          <w:sz w:val="22"/>
        </w:rPr>
        <w:t>Kiekvienoje š</w:t>
      </w:r>
      <w:r w:rsidR="000134A6">
        <w:rPr>
          <w:sz w:val="22"/>
        </w:rPr>
        <w:t xml:space="preserve">ios </w:t>
      </w:r>
      <w:r w:rsidR="00D475BE">
        <w:rPr>
          <w:sz w:val="22"/>
        </w:rPr>
        <w:t>v</w:t>
      </w:r>
      <w:r w:rsidR="005E0746" w:rsidRPr="00402C81">
        <w:rPr>
          <w:sz w:val="22"/>
        </w:rPr>
        <w:t xml:space="preserve">akcinos </w:t>
      </w:r>
      <w:r w:rsidR="00D475BE">
        <w:rPr>
          <w:sz w:val="22"/>
        </w:rPr>
        <w:t>dozėje</w:t>
      </w:r>
      <w:r w:rsidR="005E0746" w:rsidRPr="00402C81">
        <w:rPr>
          <w:sz w:val="22"/>
        </w:rPr>
        <w:t xml:space="preserve"> yra </w:t>
      </w:r>
      <w:r w:rsidR="008C5283" w:rsidRPr="008C5283">
        <w:rPr>
          <w:sz w:val="22"/>
        </w:rPr>
        <w:t>&lt;</w:t>
      </w:r>
      <w:r w:rsidR="008C5283">
        <w:rPr>
          <w:sz w:val="22"/>
        </w:rPr>
        <w:t> </w:t>
      </w:r>
      <w:r w:rsidR="005E0746" w:rsidRPr="00402C81">
        <w:rPr>
          <w:sz w:val="22"/>
        </w:rPr>
        <w:t>0,07 </w:t>
      </w:r>
      <w:proofErr w:type="spellStart"/>
      <w:r w:rsidR="005E0746" w:rsidRPr="00402C81">
        <w:rPr>
          <w:sz w:val="22"/>
        </w:rPr>
        <w:t>nanogramo</w:t>
      </w:r>
      <w:proofErr w:type="spellEnd"/>
      <w:r w:rsidR="005E0746" w:rsidRPr="00402C81">
        <w:rPr>
          <w:sz w:val="22"/>
        </w:rPr>
        <w:t xml:space="preserve"> para-</w:t>
      </w:r>
      <w:proofErr w:type="spellStart"/>
      <w:r w:rsidR="005E0746" w:rsidRPr="00402C81">
        <w:rPr>
          <w:sz w:val="22"/>
        </w:rPr>
        <w:t>aminobenzenkarboksirūgšties</w:t>
      </w:r>
      <w:proofErr w:type="spellEnd"/>
      <w:r w:rsidR="005E0746" w:rsidRPr="00402C81">
        <w:rPr>
          <w:sz w:val="22"/>
        </w:rPr>
        <w:t xml:space="preserve"> ir 0,0298 </w:t>
      </w:r>
      <w:proofErr w:type="spellStart"/>
      <w:r w:rsidR="005E0746" w:rsidRPr="00402C81">
        <w:rPr>
          <w:sz w:val="22"/>
        </w:rPr>
        <w:t>mikrogram</w:t>
      </w:r>
      <w:r w:rsidR="00675C8D">
        <w:rPr>
          <w:sz w:val="22"/>
        </w:rPr>
        <w:t>o</w:t>
      </w:r>
      <w:proofErr w:type="spellEnd"/>
      <w:r w:rsidR="005E0746" w:rsidRPr="00402C81">
        <w:rPr>
          <w:sz w:val="22"/>
        </w:rPr>
        <w:t xml:space="preserve"> </w:t>
      </w:r>
      <w:proofErr w:type="spellStart"/>
      <w:r w:rsidR="005E0746" w:rsidRPr="00402C81">
        <w:rPr>
          <w:sz w:val="22"/>
        </w:rPr>
        <w:t>fenilalanino</w:t>
      </w:r>
      <w:proofErr w:type="spellEnd"/>
      <w:r w:rsidR="005E0746" w:rsidRPr="00402C81">
        <w:rPr>
          <w:sz w:val="22"/>
        </w:rPr>
        <w:t xml:space="preserve"> (žr. 4.4 skyrių).</w:t>
      </w:r>
    </w:p>
    <w:p w14:paraId="3A3EB2BA" w14:textId="77777777" w:rsidR="006B11D5" w:rsidRDefault="006B11D5" w:rsidP="00CA2E41">
      <w:pPr>
        <w:rPr>
          <w:sz w:val="22"/>
        </w:rPr>
      </w:pPr>
    </w:p>
    <w:p w14:paraId="77824BD5" w14:textId="35033871" w:rsidR="00CA2E41" w:rsidRDefault="00CA2E41" w:rsidP="00CA2E41">
      <w:pPr>
        <w:rPr>
          <w:sz w:val="22"/>
        </w:rPr>
      </w:pPr>
      <w:r>
        <w:rPr>
          <w:sz w:val="22"/>
        </w:rPr>
        <w:t>Visos pagalbinės medžiagos išvardytos 6.1</w:t>
      </w:r>
      <w:r w:rsidR="00FB5855">
        <w:rPr>
          <w:sz w:val="22"/>
        </w:rPr>
        <w:t> </w:t>
      </w:r>
      <w:r>
        <w:rPr>
          <w:sz w:val="22"/>
        </w:rPr>
        <w:t>skyriuje.</w:t>
      </w:r>
    </w:p>
    <w:p w14:paraId="5CA4190C" w14:textId="77777777" w:rsidR="00CA2E41" w:rsidRDefault="00CA2E41" w:rsidP="00CA2E41">
      <w:pPr>
        <w:rPr>
          <w:sz w:val="22"/>
        </w:rPr>
      </w:pPr>
    </w:p>
    <w:p w14:paraId="1E61C624" w14:textId="77777777" w:rsidR="00CA2E41" w:rsidRDefault="00CA2E41" w:rsidP="00CA2E41">
      <w:pPr>
        <w:rPr>
          <w:sz w:val="22"/>
        </w:rPr>
      </w:pPr>
    </w:p>
    <w:p w14:paraId="27FB1252" w14:textId="77777777" w:rsidR="00CA2E41" w:rsidRDefault="00CA2E41" w:rsidP="00CA2E41">
      <w:pPr>
        <w:rPr>
          <w:b/>
          <w:sz w:val="22"/>
        </w:rPr>
      </w:pPr>
      <w:r>
        <w:rPr>
          <w:b/>
          <w:sz w:val="22"/>
        </w:rPr>
        <w:t>3.</w:t>
      </w:r>
      <w:r>
        <w:rPr>
          <w:b/>
          <w:sz w:val="22"/>
        </w:rPr>
        <w:tab/>
        <w:t>FARMACINĖ FORMA</w:t>
      </w:r>
    </w:p>
    <w:p w14:paraId="65FA92F4" w14:textId="77777777" w:rsidR="00CA2E41" w:rsidRDefault="00CA2E41" w:rsidP="00CA2E41">
      <w:pPr>
        <w:rPr>
          <w:sz w:val="22"/>
        </w:rPr>
      </w:pPr>
    </w:p>
    <w:p w14:paraId="500A7C35" w14:textId="77777777" w:rsidR="00CA2E41" w:rsidRDefault="00CA2E41" w:rsidP="00CA2E41">
      <w:pPr>
        <w:rPr>
          <w:b/>
          <w:sz w:val="22"/>
        </w:rPr>
      </w:pPr>
      <w:r>
        <w:rPr>
          <w:sz w:val="22"/>
        </w:rPr>
        <w:t>Injekcinė suspensija užpildytame švirkšte.</w:t>
      </w:r>
    </w:p>
    <w:p w14:paraId="3D4BDF8F" w14:textId="77777777" w:rsidR="00CA2E41" w:rsidRPr="00E30FAC" w:rsidRDefault="00CA2E41" w:rsidP="00CA2E41">
      <w:pPr>
        <w:rPr>
          <w:sz w:val="22"/>
          <w:u w:val="single"/>
        </w:rPr>
      </w:pPr>
    </w:p>
    <w:p w14:paraId="4AC8A1FD" w14:textId="77777777" w:rsidR="00CA2E41" w:rsidRDefault="00CA2E41" w:rsidP="00CA2E41">
      <w:pPr>
        <w:rPr>
          <w:sz w:val="22"/>
        </w:rPr>
      </w:pPr>
      <w:r>
        <w:rPr>
          <w:sz w:val="22"/>
        </w:rPr>
        <w:t>BOOSTRIX POLIO yra drumsta baltos spalvos suspensija.</w:t>
      </w:r>
    </w:p>
    <w:p w14:paraId="0DFB3EA8" w14:textId="77777777" w:rsidR="00CA2E41" w:rsidRDefault="00CA2E41" w:rsidP="00CA2E41">
      <w:pPr>
        <w:rPr>
          <w:sz w:val="22"/>
        </w:rPr>
      </w:pPr>
    </w:p>
    <w:p w14:paraId="7A9F5B0A" w14:textId="77777777" w:rsidR="00CA2E41" w:rsidRDefault="00CA2E41" w:rsidP="00CA2E41">
      <w:pPr>
        <w:rPr>
          <w:sz w:val="22"/>
        </w:rPr>
      </w:pPr>
    </w:p>
    <w:p w14:paraId="4E748EAF" w14:textId="77777777" w:rsidR="00CA2E41" w:rsidRDefault="00CA2E41" w:rsidP="00CA2E41">
      <w:pPr>
        <w:rPr>
          <w:b/>
          <w:sz w:val="22"/>
        </w:rPr>
      </w:pPr>
      <w:r>
        <w:rPr>
          <w:b/>
          <w:caps/>
          <w:sz w:val="22"/>
        </w:rPr>
        <w:t>4.</w:t>
      </w:r>
      <w:r>
        <w:rPr>
          <w:b/>
          <w:caps/>
          <w:sz w:val="22"/>
        </w:rPr>
        <w:tab/>
      </w:r>
      <w:r>
        <w:rPr>
          <w:b/>
          <w:sz w:val="22"/>
        </w:rPr>
        <w:t>KLINIKINĖ INFORMACIJA</w:t>
      </w:r>
    </w:p>
    <w:p w14:paraId="6892B9BF" w14:textId="77777777" w:rsidR="00CA2E41" w:rsidRPr="00305A45" w:rsidRDefault="00CA2E41" w:rsidP="00CA2E41">
      <w:pPr>
        <w:rPr>
          <w:sz w:val="22"/>
        </w:rPr>
      </w:pPr>
    </w:p>
    <w:p w14:paraId="5FECBCFC" w14:textId="77777777" w:rsidR="00CA2E41" w:rsidRDefault="00CA2E41" w:rsidP="00CA2E41">
      <w:pPr>
        <w:rPr>
          <w:b/>
          <w:sz w:val="22"/>
        </w:rPr>
      </w:pPr>
      <w:r>
        <w:rPr>
          <w:b/>
          <w:sz w:val="22"/>
        </w:rPr>
        <w:t>4.1</w:t>
      </w:r>
      <w:r>
        <w:rPr>
          <w:b/>
          <w:sz w:val="22"/>
        </w:rPr>
        <w:tab/>
        <w:t>Terapinės indikacijos</w:t>
      </w:r>
    </w:p>
    <w:p w14:paraId="181AFF45" w14:textId="77777777" w:rsidR="00CA2E41" w:rsidRDefault="00CA2E41" w:rsidP="00CA2E41">
      <w:pPr>
        <w:rPr>
          <w:sz w:val="22"/>
        </w:rPr>
      </w:pPr>
    </w:p>
    <w:p w14:paraId="5EBFA6DF" w14:textId="27F4637C" w:rsidR="00CA2E41" w:rsidRDefault="00CA2E41" w:rsidP="00CA2E41">
      <w:pPr>
        <w:rPr>
          <w:sz w:val="22"/>
        </w:rPr>
      </w:pPr>
      <w:r>
        <w:rPr>
          <w:sz w:val="22"/>
        </w:rPr>
        <w:t>Trejų metų ir vyresnių vaikų bei suaugusiųjų pakartotinė imunizacija nuo difterijos, stabligės, kokliušo ir poliomielito (žr.</w:t>
      </w:r>
      <w:r w:rsidR="005E0746">
        <w:rPr>
          <w:sz w:val="22"/>
        </w:rPr>
        <w:t> </w:t>
      </w:r>
      <w:r>
        <w:rPr>
          <w:sz w:val="22"/>
        </w:rPr>
        <w:t>4.2</w:t>
      </w:r>
      <w:r w:rsidR="005E0746">
        <w:rPr>
          <w:sz w:val="22"/>
        </w:rPr>
        <w:t> </w:t>
      </w:r>
      <w:r>
        <w:rPr>
          <w:sz w:val="22"/>
        </w:rPr>
        <w:t>skyrių).</w:t>
      </w:r>
    </w:p>
    <w:p w14:paraId="7971AAAD" w14:textId="77777777" w:rsidR="00CA2E41" w:rsidRDefault="00CA2E41" w:rsidP="00CA2E41">
      <w:pPr>
        <w:rPr>
          <w:sz w:val="22"/>
        </w:rPr>
      </w:pPr>
    </w:p>
    <w:p w14:paraId="18AD9DBF" w14:textId="65995DCB" w:rsidR="00CA2E41" w:rsidRDefault="00CA2E41" w:rsidP="00CA2E41">
      <w:pPr>
        <w:rPr>
          <w:sz w:val="22"/>
        </w:rPr>
      </w:pPr>
      <w:bookmarkStart w:id="1" w:name="_Hlk55026990"/>
      <w:r>
        <w:rPr>
          <w:sz w:val="22"/>
        </w:rPr>
        <w:t>BOOSTRIX POLIO taip pat skiriama pasyviai apsaugai nuo kokliušo ankstyvoje kūdikystėje po motinos imunizacijos nėštumo metu (žr.</w:t>
      </w:r>
      <w:r w:rsidR="005E0746">
        <w:rPr>
          <w:sz w:val="22"/>
        </w:rPr>
        <w:t> </w:t>
      </w:r>
      <w:r>
        <w:rPr>
          <w:sz w:val="22"/>
        </w:rPr>
        <w:t>4.2, 4.6 ir 5.1 skyrius).</w:t>
      </w:r>
    </w:p>
    <w:bookmarkEnd w:id="1"/>
    <w:p w14:paraId="57895545" w14:textId="77777777" w:rsidR="00CA2E41" w:rsidRDefault="00CA2E41" w:rsidP="00CA2E41">
      <w:pPr>
        <w:rPr>
          <w:sz w:val="22"/>
        </w:rPr>
      </w:pPr>
    </w:p>
    <w:p w14:paraId="4A990A56" w14:textId="77777777" w:rsidR="00CA2E41" w:rsidRDefault="00CA2E41" w:rsidP="00CA2E41">
      <w:pPr>
        <w:rPr>
          <w:sz w:val="22"/>
        </w:rPr>
      </w:pPr>
      <w:r>
        <w:rPr>
          <w:sz w:val="22"/>
        </w:rPr>
        <w:t>Vartojant BOOSTRIX POLIO, reikia atsižvelgti į oficialias rekomendacijas.</w:t>
      </w:r>
    </w:p>
    <w:p w14:paraId="6C2E7003" w14:textId="77777777" w:rsidR="00CA2E41" w:rsidRDefault="00CA2E41" w:rsidP="00CA2E41">
      <w:pPr>
        <w:rPr>
          <w:sz w:val="22"/>
        </w:rPr>
      </w:pPr>
    </w:p>
    <w:p w14:paraId="4C8C1D13" w14:textId="77777777" w:rsidR="00CA2E41" w:rsidRDefault="00CA2E41" w:rsidP="00CA2E41">
      <w:pPr>
        <w:keepNext/>
        <w:rPr>
          <w:b/>
          <w:sz w:val="22"/>
        </w:rPr>
      </w:pPr>
      <w:r>
        <w:rPr>
          <w:b/>
          <w:sz w:val="22"/>
        </w:rPr>
        <w:lastRenderedPageBreak/>
        <w:t>4.2</w:t>
      </w:r>
      <w:r>
        <w:rPr>
          <w:b/>
          <w:sz w:val="22"/>
        </w:rPr>
        <w:tab/>
        <w:t>Dozavimas ir vartojimo metodas</w:t>
      </w:r>
    </w:p>
    <w:p w14:paraId="364430A7" w14:textId="77777777" w:rsidR="00CA2E41" w:rsidRDefault="00CA2E41" w:rsidP="00CA2E41">
      <w:pPr>
        <w:keepNext/>
        <w:rPr>
          <w:sz w:val="22"/>
        </w:rPr>
      </w:pPr>
    </w:p>
    <w:p w14:paraId="710B4CD5" w14:textId="77777777" w:rsidR="00CA2E41" w:rsidRDefault="00CA2E41" w:rsidP="00CA2E41">
      <w:pPr>
        <w:keepNext/>
        <w:rPr>
          <w:sz w:val="22"/>
          <w:u w:val="single"/>
        </w:rPr>
      </w:pPr>
      <w:r>
        <w:rPr>
          <w:sz w:val="22"/>
          <w:u w:val="single"/>
        </w:rPr>
        <w:t>Dozavimas</w:t>
      </w:r>
    </w:p>
    <w:p w14:paraId="598F833C" w14:textId="77777777" w:rsidR="00CA2E41" w:rsidRDefault="00CA2E41" w:rsidP="00CA2E41">
      <w:pPr>
        <w:keepNext/>
        <w:rPr>
          <w:sz w:val="22"/>
        </w:rPr>
      </w:pPr>
    </w:p>
    <w:p w14:paraId="71AA7860" w14:textId="77777777" w:rsidR="00CA2E41" w:rsidRDefault="00CA2E41" w:rsidP="00CA2E41">
      <w:pPr>
        <w:rPr>
          <w:sz w:val="22"/>
        </w:rPr>
      </w:pPr>
      <w:r>
        <w:rPr>
          <w:sz w:val="22"/>
        </w:rPr>
        <w:t>Rekomenduojama viena 0,5 ml vakcinos dozė.</w:t>
      </w:r>
    </w:p>
    <w:p w14:paraId="33D8E413" w14:textId="77777777" w:rsidR="00CA2E41" w:rsidRDefault="00CA2E41" w:rsidP="00CA2E41">
      <w:pPr>
        <w:rPr>
          <w:sz w:val="22"/>
        </w:rPr>
      </w:pPr>
    </w:p>
    <w:p w14:paraId="22B287A5" w14:textId="77777777" w:rsidR="00CA2E41" w:rsidRDefault="00CA2E41" w:rsidP="00CA2E41">
      <w:pPr>
        <w:rPr>
          <w:sz w:val="22"/>
        </w:rPr>
      </w:pPr>
      <w:r>
        <w:rPr>
          <w:sz w:val="22"/>
        </w:rPr>
        <w:t>BOOSTRIX POLIO vakcina gali būti skiriama vartoti vyresniems kaip trejų metų asmenims.</w:t>
      </w:r>
    </w:p>
    <w:p w14:paraId="360A7725" w14:textId="77777777" w:rsidR="00CA2E41" w:rsidRDefault="00CA2E41" w:rsidP="00CA2E41">
      <w:pPr>
        <w:rPr>
          <w:sz w:val="22"/>
        </w:rPr>
      </w:pPr>
    </w:p>
    <w:p w14:paraId="4A8994BE" w14:textId="77777777" w:rsidR="00CA2E41" w:rsidRDefault="00CA2E41" w:rsidP="00CA2E41">
      <w:pPr>
        <w:rPr>
          <w:sz w:val="22"/>
        </w:rPr>
      </w:pPr>
      <w:r>
        <w:rPr>
          <w:sz w:val="22"/>
        </w:rPr>
        <w:t>BOOSTRIX POLIO sudėtyje yra sumažintas difterijos, stabligės ir kokliušo antigenų kiekis kartu su poliomielito antigenais. BOOSTRIX POLIO preparatą reikia vartoti laikantis oficialių rekomendacijų ir (arba) vietinės praktikos.</w:t>
      </w:r>
    </w:p>
    <w:p w14:paraId="1B1C0FBF" w14:textId="77777777" w:rsidR="00CA2E41" w:rsidRDefault="00CA2E41" w:rsidP="00CA2E41">
      <w:pPr>
        <w:rPr>
          <w:sz w:val="22"/>
        </w:rPr>
      </w:pPr>
    </w:p>
    <w:p w14:paraId="1E94DA3F" w14:textId="47B0151B" w:rsidR="00CA2E41" w:rsidRDefault="00CA2E41" w:rsidP="00CA2E41">
      <w:pPr>
        <w:rPr>
          <w:sz w:val="22"/>
        </w:rPr>
      </w:pPr>
      <w:r>
        <w:rPr>
          <w:sz w:val="22"/>
        </w:rPr>
        <w:t>BOOSTRIX POLIO galima skirti nėščioms moterims antrąjį ar trečiąjį nėštumo trimestrais laikantis oficialių rekomendacijų (žr.</w:t>
      </w:r>
      <w:r w:rsidR="00FE742B">
        <w:rPr>
          <w:sz w:val="22"/>
        </w:rPr>
        <w:t> </w:t>
      </w:r>
      <w:r>
        <w:rPr>
          <w:sz w:val="22"/>
        </w:rPr>
        <w:t>4.1, 4.6 ir 5.1 skyrius).</w:t>
      </w:r>
    </w:p>
    <w:p w14:paraId="4F855DC8" w14:textId="77777777" w:rsidR="00CA2E41" w:rsidRDefault="00CA2E41" w:rsidP="00CA2E41">
      <w:pPr>
        <w:rPr>
          <w:sz w:val="22"/>
        </w:rPr>
      </w:pPr>
    </w:p>
    <w:p w14:paraId="4A6B92A7" w14:textId="63ACBB22" w:rsidR="00CA2E41" w:rsidRDefault="00CA2E41" w:rsidP="00CA2E41">
      <w:pPr>
        <w:rPr>
          <w:sz w:val="22"/>
        </w:rPr>
      </w:pPr>
      <w:r>
        <w:rPr>
          <w:sz w:val="22"/>
        </w:rPr>
        <w:t>Be to,</w:t>
      </w:r>
      <w:r>
        <w:t xml:space="preserve"> </w:t>
      </w:r>
      <w:r>
        <w:rPr>
          <w:sz w:val="22"/>
        </w:rPr>
        <w:t xml:space="preserve">BOOSTRIX POLIO </w:t>
      </w:r>
      <w:r>
        <w:rPr>
          <w:iCs/>
          <w:color w:val="000000"/>
          <w:sz w:val="22"/>
        </w:rPr>
        <w:t xml:space="preserve">gali būti skirtas suaugusiųjų ir paauglių, </w:t>
      </w:r>
      <w:r>
        <w:rPr>
          <w:sz w:val="22"/>
        </w:rPr>
        <w:t xml:space="preserve">kurių </w:t>
      </w:r>
      <w:r>
        <w:rPr>
          <w:iCs/>
          <w:sz w:val="22"/>
        </w:rPr>
        <w:t xml:space="preserve">vakcinacijos būklė yra nežinoma arba kurių vakcinacija nuo </w:t>
      </w:r>
      <w:r>
        <w:rPr>
          <w:sz w:val="22"/>
        </w:rPr>
        <w:t>difterijos,</w:t>
      </w:r>
      <w:r>
        <w:rPr>
          <w:iCs/>
          <w:sz w:val="22"/>
        </w:rPr>
        <w:t xml:space="preserve"> </w:t>
      </w:r>
      <w:r>
        <w:rPr>
          <w:sz w:val="22"/>
        </w:rPr>
        <w:t>stabligės ir kokliušo yra neužbaigta, imunizacijai n</w:t>
      </w:r>
      <w:r>
        <w:rPr>
          <w:iCs/>
          <w:sz w:val="22"/>
        </w:rPr>
        <w:t xml:space="preserve">uo </w:t>
      </w:r>
      <w:r>
        <w:rPr>
          <w:sz w:val="22"/>
        </w:rPr>
        <w:t>difterijos,</w:t>
      </w:r>
      <w:r>
        <w:rPr>
          <w:iCs/>
          <w:sz w:val="22"/>
        </w:rPr>
        <w:t xml:space="preserve"> </w:t>
      </w:r>
      <w:r>
        <w:rPr>
          <w:sz w:val="22"/>
        </w:rPr>
        <w:t xml:space="preserve">stabligės, kokliušo ir poliomielito kaip </w:t>
      </w:r>
      <w:r>
        <w:rPr>
          <w:sz w:val="22"/>
          <w:lang w:eastAsia="en-US"/>
        </w:rPr>
        <w:t xml:space="preserve">vakcinacijos serijos dalis. </w:t>
      </w:r>
      <w:r>
        <w:rPr>
          <w:sz w:val="22"/>
        </w:rPr>
        <w:t>Remiantis suaugusiųjų duomenimis</w:t>
      </w:r>
      <w:r>
        <w:rPr>
          <w:iCs/>
          <w:sz w:val="22"/>
        </w:rPr>
        <w:t>, paskiepijus dviem papildomomis vakcinos nuo difterijos ir stabligės dozėmis praėjus vienam ir šešeriems mėnesiams po pirmosios dozės, atsakas į vakciną nuo difterijos ir stabligės maksimaliai padidėja (žr.</w:t>
      </w:r>
      <w:r w:rsidR="00FE742B">
        <w:rPr>
          <w:iCs/>
          <w:sz w:val="22"/>
        </w:rPr>
        <w:t> </w:t>
      </w:r>
      <w:r>
        <w:rPr>
          <w:iCs/>
          <w:sz w:val="22"/>
        </w:rPr>
        <w:t>5.1</w:t>
      </w:r>
      <w:r w:rsidR="00FE742B">
        <w:rPr>
          <w:iCs/>
          <w:sz w:val="22"/>
        </w:rPr>
        <w:t> </w:t>
      </w:r>
      <w:r>
        <w:rPr>
          <w:iCs/>
          <w:sz w:val="22"/>
        </w:rPr>
        <w:t>skyrių).</w:t>
      </w:r>
    </w:p>
    <w:p w14:paraId="1BE5F812" w14:textId="77777777" w:rsidR="00CA2E41" w:rsidRDefault="00CA2E41" w:rsidP="00CA2E41">
      <w:pPr>
        <w:rPr>
          <w:sz w:val="22"/>
        </w:rPr>
      </w:pPr>
    </w:p>
    <w:p w14:paraId="606A977D" w14:textId="77777777" w:rsidR="00CA2E41" w:rsidRDefault="00CA2E41" w:rsidP="00CA2E41">
      <w:pPr>
        <w:rPr>
          <w:sz w:val="22"/>
        </w:rPr>
      </w:pPr>
      <w:r>
        <w:rPr>
          <w:sz w:val="22"/>
        </w:rPr>
        <w:t xml:space="preserve">Padidėjus stabligės rizikai dėl sužeidimų, BOOSTRIX POLIO galima skiepyti asmenis, kuriems anksčiau buvo atliktas pirminis vakcinavimas stabligės </w:t>
      </w:r>
      <w:proofErr w:type="spellStart"/>
      <w:r>
        <w:rPr>
          <w:sz w:val="22"/>
        </w:rPr>
        <w:t>anatoksino</w:t>
      </w:r>
      <w:proofErr w:type="spellEnd"/>
      <w:r>
        <w:rPr>
          <w:sz w:val="22"/>
        </w:rPr>
        <w:t xml:space="preserve"> vakcina ir kuriems yra </w:t>
      </w:r>
      <w:proofErr w:type="spellStart"/>
      <w:r>
        <w:rPr>
          <w:sz w:val="22"/>
        </w:rPr>
        <w:t>indikuotina</w:t>
      </w:r>
      <w:proofErr w:type="spellEnd"/>
      <w:r>
        <w:rPr>
          <w:sz w:val="22"/>
        </w:rPr>
        <w:t xml:space="preserve"> </w:t>
      </w:r>
      <w:proofErr w:type="spellStart"/>
      <w:r>
        <w:rPr>
          <w:sz w:val="22"/>
        </w:rPr>
        <w:t>revakcinacija</w:t>
      </w:r>
      <w:proofErr w:type="spellEnd"/>
      <w:r>
        <w:rPr>
          <w:sz w:val="22"/>
        </w:rPr>
        <w:t xml:space="preserve"> nuo difterijos, kokliušo ir poliomielito. Remiantis oficialiomis rekomendacijomis, reikėtų paskirti ir stabligės imunoglobulino.</w:t>
      </w:r>
    </w:p>
    <w:p w14:paraId="74428527" w14:textId="77777777" w:rsidR="00CA2E41" w:rsidRDefault="00CA2E41" w:rsidP="00CA2E41">
      <w:pPr>
        <w:rPr>
          <w:sz w:val="22"/>
        </w:rPr>
      </w:pPr>
    </w:p>
    <w:p w14:paraId="36FB14D7" w14:textId="77777777" w:rsidR="00CA2E41" w:rsidRDefault="00CA2E41" w:rsidP="00CA2E41">
      <w:pPr>
        <w:rPr>
          <w:sz w:val="22"/>
        </w:rPr>
      </w:pPr>
      <w:r>
        <w:rPr>
          <w:sz w:val="22"/>
        </w:rPr>
        <w:t>Kartotinis vakcinavimas nuo difterijos, stabligės, kokliušo ir poliomielito turi būti atliekamas oficialiose rekomendacijose nurodytais laiko tarpais.</w:t>
      </w:r>
    </w:p>
    <w:p w14:paraId="595B56B1" w14:textId="77777777" w:rsidR="00CA2E41" w:rsidRDefault="00CA2E41" w:rsidP="00CA2E41">
      <w:pPr>
        <w:rPr>
          <w:sz w:val="22"/>
        </w:rPr>
      </w:pPr>
    </w:p>
    <w:p w14:paraId="2019B54B" w14:textId="77777777" w:rsidR="00CA2E41" w:rsidRDefault="00CA2E41" w:rsidP="00CA2E41">
      <w:pPr>
        <w:rPr>
          <w:sz w:val="22"/>
        </w:rPr>
      </w:pPr>
      <w:r>
        <w:rPr>
          <w:i/>
          <w:iCs/>
          <w:sz w:val="22"/>
        </w:rPr>
        <w:t>Vaikų populiacija</w:t>
      </w:r>
    </w:p>
    <w:p w14:paraId="154CD4CB" w14:textId="77777777" w:rsidR="00CA2E41" w:rsidRDefault="00CA2E41" w:rsidP="00CA2E41">
      <w:pPr>
        <w:rPr>
          <w:sz w:val="22"/>
        </w:rPr>
      </w:pPr>
    </w:p>
    <w:p w14:paraId="3F8C1B5B" w14:textId="77777777" w:rsidR="00CA2E41" w:rsidRDefault="00CA2E41" w:rsidP="00CA2E41">
      <w:pPr>
        <w:rPr>
          <w:sz w:val="22"/>
        </w:rPr>
      </w:pPr>
      <w:r>
        <w:rPr>
          <w:sz w:val="22"/>
        </w:rPr>
        <w:t>BOOSTRIX POLIO saugumas ir veiksmingumas jaunesniems kaip 3 metų vaikams nebuvo nustatytas.</w:t>
      </w:r>
    </w:p>
    <w:p w14:paraId="7D0240F4" w14:textId="77777777" w:rsidR="00CA2E41" w:rsidRDefault="00CA2E41" w:rsidP="00CA2E41">
      <w:pPr>
        <w:rPr>
          <w:sz w:val="22"/>
        </w:rPr>
      </w:pPr>
    </w:p>
    <w:p w14:paraId="5A82DB1B" w14:textId="77777777" w:rsidR="00CA2E41" w:rsidRDefault="00CA2E41" w:rsidP="00CA2E41">
      <w:pPr>
        <w:rPr>
          <w:sz w:val="22"/>
          <w:u w:val="single"/>
        </w:rPr>
      </w:pPr>
      <w:r>
        <w:rPr>
          <w:sz w:val="22"/>
          <w:u w:val="single"/>
        </w:rPr>
        <w:t>Vartojimo metodas</w:t>
      </w:r>
    </w:p>
    <w:p w14:paraId="691C8E6C" w14:textId="77777777" w:rsidR="00CA2E41" w:rsidRDefault="00CA2E41" w:rsidP="00CA2E41">
      <w:pPr>
        <w:rPr>
          <w:sz w:val="22"/>
        </w:rPr>
      </w:pPr>
    </w:p>
    <w:p w14:paraId="0790A97E" w14:textId="6B57C242" w:rsidR="00CA2E41" w:rsidRDefault="00CA2E41" w:rsidP="00CA2E41">
      <w:pPr>
        <w:rPr>
          <w:sz w:val="22"/>
        </w:rPr>
      </w:pPr>
      <w:r>
        <w:rPr>
          <w:sz w:val="22"/>
        </w:rPr>
        <w:t>BOOSTRIX POLIO vakcina švirkščiama giliai į raumenis, geriausiai į deltinį raumenį (žr.</w:t>
      </w:r>
      <w:r w:rsidR="00FE742B">
        <w:rPr>
          <w:sz w:val="22"/>
        </w:rPr>
        <w:t> </w:t>
      </w:r>
      <w:r>
        <w:rPr>
          <w:sz w:val="22"/>
        </w:rPr>
        <w:t>4.4</w:t>
      </w:r>
      <w:r w:rsidR="00FE742B">
        <w:rPr>
          <w:sz w:val="22"/>
        </w:rPr>
        <w:t> </w:t>
      </w:r>
      <w:r>
        <w:rPr>
          <w:sz w:val="22"/>
        </w:rPr>
        <w:t>skyrių).</w:t>
      </w:r>
    </w:p>
    <w:p w14:paraId="53C2FB99" w14:textId="77777777" w:rsidR="00CA2E41" w:rsidRDefault="00CA2E41" w:rsidP="00CA2E41">
      <w:pPr>
        <w:rPr>
          <w:sz w:val="22"/>
        </w:rPr>
      </w:pPr>
    </w:p>
    <w:p w14:paraId="7A3AF897" w14:textId="77777777" w:rsidR="00CA2E41" w:rsidRDefault="00CA2E41" w:rsidP="00CA2E41">
      <w:pPr>
        <w:rPr>
          <w:b/>
          <w:sz w:val="22"/>
        </w:rPr>
      </w:pPr>
      <w:r>
        <w:rPr>
          <w:b/>
          <w:sz w:val="22"/>
        </w:rPr>
        <w:t>4.3</w:t>
      </w:r>
      <w:r>
        <w:rPr>
          <w:b/>
          <w:sz w:val="22"/>
        </w:rPr>
        <w:tab/>
        <w:t>Kontraindikacijos</w:t>
      </w:r>
    </w:p>
    <w:p w14:paraId="435FBB28" w14:textId="77777777" w:rsidR="00CA2E41" w:rsidRDefault="00CA2E41" w:rsidP="00CA2E41">
      <w:pPr>
        <w:rPr>
          <w:sz w:val="22"/>
        </w:rPr>
      </w:pPr>
    </w:p>
    <w:p w14:paraId="4A9BC293" w14:textId="27DF6226" w:rsidR="00CA2E41" w:rsidRDefault="00CA2E41" w:rsidP="00CA2E41">
      <w:pPr>
        <w:rPr>
          <w:sz w:val="22"/>
        </w:rPr>
      </w:pPr>
      <w:r>
        <w:rPr>
          <w:sz w:val="22"/>
        </w:rPr>
        <w:t>Padidėjęs jautrumas veikliosioms medžiagoms arba bet kuriai 6.1</w:t>
      </w:r>
      <w:r w:rsidR="00FE742B">
        <w:rPr>
          <w:sz w:val="22"/>
        </w:rPr>
        <w:t> </w:t>
      </w:r>
      <w:r>
        <w:rPr>
          <w:sz w:val="22"/>
        </w:rPr>
        <w:t xml:space="preserve">skyriuje nurodytai pagalbinei medžiagai ar </w:t>
      </w:r>
      <w:proofErr w:type="spellStart"/>
      <w:r>
        <w:rPr>
          <w:sz w:val="22"/>
        </w:rPr>
        <w:t>neomicinui</w:t>
      </w:r>
      <w:proofErr w:type="spellEnd"/>
      <w:r w:rsidR="007C6B51">
        <w:rPr>
          <w:sz w:val="22"/>
        </w:rPr>
        <w:t>,</w:t>
      </w:r>
      <w:r>
        <w:rPr>
          <w:sz w:val="22"/>
        </w:rPr>
        <w:t xml:space="preserve"> </w:t>
      </w:r>
      <w:proofErr w:type="spellStart"/>
      <w:r>
        <w:rPr>
          <w:sz w:val="22"/>
        </w:rPr>
        <w:t>polimiksinui</w:t>
      </w:r>
      <w:proofErr w:type="spellEnd"/>
      <w:r w:rsidR="007C6B51" w:rsidRPr="007C6B51">
        <w:rPr>
          <w:sz w:val="22"/>
        </w:rPr>
        <w:t xml:space="preserve"> </w:t>
      </w:r>
      <w:r w:rsidR="007C6B51">
        <w:rPr>
          <w:sz w:val="22"/>
        </w:rPr>
        <w:t xml:space="preserve">bei </w:t>
      </w:r>
      <w:proofErr w:type="spellStart"/>
      <w:r w:rsidR="007C6B51">
        <w:rPr>
          <w:sz w:val="22"/>
        </w:rPr>
        <w:t>formaldehidui</w:t>
      </w:r>
      <w:proofErr w:type="spellEnd"/>
      <w:r>
        <w:rPr>
          <w:sz w:val="22"/>
        </w:rPr>
        <w:t xml:space="preserve">. </w:t>
      </w:r>
    </w:p>
    <w:p w14:paraId="54846176" w14:textId="77777777" w:rsidR="00CA2E41" w:rsidRDefault="00CA2E41" w:rsidP="00CA2E41">
      <w:pPr>
        <w:rPr>
          <w:sz w:val="22"/>
        </w:rPr>
      </w:pPr>
    </w:p>
    <w:p w14:paraId="759BC075" w14:textId="77777777" w:rsidR="00CA2E41" w:rsidRDefault="00CA2E41" w:rsidP="00CA2E41">
      <w:pPr>
        <w:rPr>
          <w:sz w:val="22"/>
        </w:rPr>
      </w:pPr>
      <w:r>
        <w:rPr>
          <w:sz w:val="22"/>
        </w:rPr>
        <w:t xml:space="preserve">Padidėjęs jautrumas anksčiau vartotoms difterijos, stabligės, kokliušo ar poliomielito vakcinoms. </w:t>
      </w:r>
    </w:p>
    <w:p w14:paraId="73334B7A" w14:textId="77777777" w:rsidR="00CA2E41" w:rsidRDefault="00CA2E41" w:rsidP="00CA2E41">
      <w:pPr>
        <w:rPr>
          <w:sz w:val="22"/>
        </w:rPr>
      </w:pPr>
    </w:p>
    <w:p w14:paraId="11E374A5" w14:textId="3FC521AC" w:rsidR="00CA2E41" w:rsidRDefault="00CA2E41" w:rsidP="00CA2E41">
      <w:pPr>
        <w:rPr>
          <w:sz w:val="22"/>
        </w:rPr>
      </w:pPr>
      <w:r>
        <w:rPr>
          <w:sz w:val="22"/>
        </w:rPr>
        <w:t xml:space="preserve">BOOSTRIX POLIO negalima vartoti, jei asmeniui yra buvusi nežinomos etiologijos </w:t>
      </w:r>
      <w:proofErr w:type="spellStart"/>
      <w:r>
        <w:rPr>
          <w:sz w:val="22"/>
        </w:rPr>
        <w:t>encefalopatija</w:t>
      </w:r>
      <w:proofErr w:type="spellEnd"/>
      <w:r>
        <w:rPr>
          <w:sz w:val="22"/>
        </w:rPr>
        <w:t>, pasireiškusi per 7</w:t>
      </w:r>
      <w:r w:rsidR="00FE742B">
        <w:rPr>
          <w:sz w:val="22"/>
        </w:rPr>
        <w:t> </w:t>
      </w:r>
      <w:r>
        <w:rPr>
          <w:sz w:val="22"/>
        </w:rPr>
        <w:t>dienas po ankstesnio skiepijimo vakcina nuo kokliušo. Tokiomis aplinkybėmis reikia nutraukti skiepijimą nuo kokliušo ir toliau tęsti vakcinacijos kursą vakcinomis nuo difterijos, stabligės ir poliomielito.</w:t>
      </w:r>
    </w:p>
    <w:p w14:paraId="5DFE9204" w14:textId="77777777" w:rsidR="00CA2E41" w:rsidRDefault="00CA2E41" w:rsidP="00CA2E41">
      <w:pPr>
        <w:rPr>
          <w:sz w:val="22"/>
        </w:rPr>
      </w:pPr>
    </w:p>
    <w:p w14:paraId="0A348683" w14:textId="08A9A379" w:rsidR="00CA2E41" w:rsidRDefault="00CA2E41" w:rsidP="00CA2E41">
      <w:pPr>
        <w:rPr>
          <w:sz w:val="22"/>
        </w:rPr>
      </w:pPr>
      <w:r>
        <w:rPr>
          <w:sz w:val="22"/>
        </w:rPr>
        <w:t xml:space="preserve">BOOSTRIX POLIO negalima vartoti asmenims, kuriems pasireiškė praeinanti </w:t>
      </w:r>
      <w:proofErr w:type="spellStart"/>
      <w:r>
        <w:rPr>
          <w:sz w:val="22"/>
        </w:rPr>
        <w:t>trombocitopenija</w:t>
      </w:r>
      <w:proofErr w:type="spellEnd"/>
      <w:r>
        <w:rPr>
          <w:sz w:val="22"/>
        </w:rPr>
        <w:t xml:space="preserve"> ar buvo neurologinių sutrikimų (konvulsijos ar </w:t>
      </w:r>
      <w:proofErr w:type="spellStart"/>
      <w:r>
        <w:rPr>
          <w:sz w:val="22"/>
        </w:rPr>
        <w:t>hipotoniniai</w:t>
      </w:r>
      <w:proofErr w:type="spellEnd"/>
      <w:r>
        <w:rPr>
          <w:sz w:val="22"/>
        </w:rPr>
        <w:t xml:space="preserve"> susilpnėjusios reakcijos epizodai, žr.</w:t>
      </w:r>
      <w:r w:rsidR="00A1698C">
        <w:rPr>
          <w:sz w:val="22"/>
        </w:rPr>
        <w:t> </w:t>
      </w:r>
      <w:r>
        <w:rPr>
          <w:sz w:val="22"/>
        </w:rPr>
        <w:t>4.4 skyrių) po ankstesnės imunizacijos nuo difterijos ir (arba) stabligės.</w:t>
      </w:r>
    </w:p>
    <w:p w14:paraId="1C190803" w14:textId="77777777" w:rsidR="00CA2E41" w:rsidRDefault="00CA2E41" w:rsidP="00CA2E41">
      <w:pPr>
        <w:rPr>
          <w:sz w:val="22"/>
        </w:rPr>
      </w:pPr>
    </w:p>
    <w:p w14:paraId="07552C51" w14:textId="77777777" w:rsidR="00CA2E41" w:rsidRDefault="00CA2E41" w:rsidP="00CA2E41">
      <w:pPr>
        <w:rPr>
          <w:sz w:val="22"/>
        </w:rPr>
      </w:pPr>
      <w:r>
        <w:rPr>
          <w:sz w:val="22"/>
        </w:rPr>
        <w:t>Kaip ir skiepijant kitais preparatais, vakcinavimą BOOSTRIX POLIO reikia atidėti, jei asmuo serga ūmine sunkia liga ir karščiuoja. Tačiau lengvas infekcinis susirgimas nėra kontraindikacija.</w:t>
      </w:r>
    </w:p>
    <w:p w14:paraId="6991CF01" w14:textId="77777777" w:rsidR="00CA2E41" w:rsidRDefault="00CA2E41" w:rsidP="00CA2E41">
      <w:pPr>
        <w:rPr>
          <w:sz w:val="22"/>
        </w:rPr>
      </w:pPr>
    </w:p>
    <w:p w14:paraId="19BF4051" w14:textId="77777777" w:rsidR="00CA2E41" w:rsidRDefault="00CA2E41" w:rsidP="00CA2E41">
      <w:pPr>
        <w:rPr>
          <w:b/>
          <w:sz w:val="22"/>
        </w:rPr>
      </w:pPr>
      <w:r>
        <w:rPr>
          <w:b/>
          <w:sz w:val="22"/>
        </w:rPr>
        <w:lastRenderedPageBreak/>
        <w:t>4.4</w:t>
      </w:r>
      <w:r>
        <w:rPr>
          <w:b/>
          <w:sz w:val="22"/>
        </w:rPr>
        <w:tab/>
        <w:t>Specialūs įspėjimai ir atsargumo priemonės</w:t>
      </w:r>
    </w:p>
    <w:p w14:paraId="59132CEE" w14:textId="77777777" w:rsidR="00CA2E41" w:rsidRDefault="00CA2E41" w:rsidP="00CA2E41">
      <w:pPr>
        <w:rPr>
          <w:sz w:val="22"/>
        </w:rPr>
      </w:pPr>
    </w:p>
    <w:p w14:paraId="4FAF8791" w14:textId="77777777" w:rsidR="00CA2E41" w:rsidRDefault="00CA2E41" w:rsidP="00CA2E41">
      <w:pPr>
        <w:rPr>
          <w:sz w:val="22"/>
        </w:rPr>
      </w:pPr>
      <w:r>
        <w:rPr>
          <w:sz w:val="22"/>
        </w:rPr>
        <w:t>Prieš skiepijimą reikia peržiūrėti paciento sveikatos istoriją (ypač atsižvelgiant į ankstesnius skiepijimus ir galimus nepageidaujamus reiškinius).</w:t>
      </w:r>
    </w:p>
    <w:p w14:paraId="1BF0AF1A" w14:textId="77777777" w:rsidR="00CA2E41" w:rsidRDefault="00CA2E41" w:rsidP="00CA2E41">
      <w:pPr>
        <w:rPr>
          <w:sz w:val="22"/>
        </w:rPr>
      </w:pPr>
    </w:p>
    <w:p w14:paraId="7B7A41B9" w14:textId="77777777" w:rsidR="00CA2E41" w:rsidRDefault="00CA2E41" w:rsidP="00CA2E41">
      <w:pPr>
        <w:rPr>
          <w:sz w:val="22"/>
        </w:rPr>
      </w:pPr>
      <w:r>
        <w:rPr>
          <w:sz w:val="22"/>
        </w:rPr>
        <w:t>Jei pavartojus bet kurios vakcinos nuo kokliušo pasireiškė kuri nors iš čia išvardytų reakcijų, reikia gerai apsvarstyti, ar skirti kitas vakcinų, turinčių kokliušo komponentą, dozes:</w:t>
      </w:r>
    </w:p>
    <w:p w14:paraId="1C3848C6" w14:textId="6EF10038" w:rsidR="00CA2E41" w:rsidRDefault="00CA2E41" w:rsidP="00CA2E41">
      <w:pPr>
        <w:ind w:left="567" w:hanging="567"/>
        <w:rPr>
          <w:sz w:val="22"/>
        </w:rPr>
      </w:pPr>
      <w:r>
        <w:rPr>
          <w:sz w:val="22"/>
        </w:rPr>
        <w:t>-</w:t>
      </w:r>
      <w:r>
        <w:rPr>
          <w:sz w:val="22"/>
        </w:rPr>
        <w:tab/>
        <w:t xml:space="preserve">temperatūra </w:t>
      </w:r>
      <w:r>
        <w:rPr>
          <w:sz w:val="22"/>
        </w:rPr>
        <w:sym w:font="Symbol" w:char="F0B3"/>
      </w:r>
      <w:r>
        <w:rPr>
          <w:sz w:val="22"/>
        </w:rPr>
        <w:t> 40,0 °C per 48</w:t>
      </w:r>
      <w:r w:rsidR="00FE742B">
        <w:rPr>
          <w:sz w:val="22"/>
        </w:rPr>
        <w:t> </w:t>
      </w:r>
      <w:r>
        <w:rPr>
          <w:sz w:val="22"/>
        </w:rPr>
        <w:t>valandas po vakcinavimo, pakilusi ne dėl kitos nustatytos priežasties;</w:t>
      </w:r>
    </w:p>
    <w:p w14:paraId="364CA36E" w14:textId="77777777" w:rsidR="00CA2E41" w:rsidRDefault="00CA2E41" w:rsidP="00CA2E41">
      <w:pPr>
        <w:ind w:left="567" w:hanging="567"/>
        <w:rPr>
          <w:sz w:val="22"/>
        </w:rPr>
      </w:pPr>
      <w:r>
        <w:rPr>
          <w:sz w:val="22"/>
        </w:rPr>
        <w:t>-</w:t>
      </w:r>
      <w:r>
        <w:rPr>
          <w:sz w:val="22"/>
        </w:rPr>
        <w:tab/>
      </w:r>
      <w:proofErr w:type="spellStart"/>
      <w:r>
        <w:rPr>
          <w:sz w:val="22"/>
        </w:rPr>
        <w:t>kolapsas</w:t>
      </w:r>
      <w:proofErr w:type="spellEnd"/>
      <w:r>
        <w:rPr>
          <w:sz w:val="22"/>
        </w:rPr>
        <w:t xml:space="preserve"> arba į šoką panaši būklė (</w:t>
      </w:r>
      <w:proofErr w:type="spellStart"/>
      <w:r>
        <w:rPr>
          <w:sz w:val="22"/>
        </w:rPr>
        <w:t>hipotoninis</w:t>
      </w:r>
      <w:proofErr w:type="spellEnd"/>
      <w:r>
        <w:rPr>
          <w:sz w:val="22"/>
        </w:rPr>
        <w:t xml:space="preserve"> susilpnėjusios reakcijos epizodas) per 48 valandas po vakcinavimo;</w:t>
      </w:r>
    </w:p>
    <w:p w14:paraId="35268216" w14:textId="77777777" w:rsidR="00CA2E41" w:rsidRDefault="00CA2E41" w:rsidP="00CA2E41">
      <w:pPr>
        <w:ind w:left="567" w:hanging="567"/>
        <w:rPr>
          <w:sz w:val="22"/>
        </w:rPr>
      </w:pPr>
      <w:r>
        <w:rPr>
          <w:sz w:val="22"/>
        </w:rPr>
        <w:t>-</w:t>
      </w:r>
      <w:r>
        <w:rPr>
          <w:sz w:val="22"/>
        </w:rPr>
        <w:tab/>
        <w:t xml:space="preserve">nuolatinis nenuraminamas verksmas, trunkantis </w:t>
      </w:r>
      <w:r>
        <w:rPr>
          <w:sz w:val="22"/>
        </w:rPr>
        <w:sym w:font="Symbol" w:char="F0B3"/>
      </w:r>
      <w:r>
        <w:rPr>
          <w:sz w:val="22"/>
        </w:rPr>
        <w:t> 3 valandas, prasidėjęs per 48 valandas po vakcinavimo;</w:t>
      </w:r>
    </w:p>
    <w:p w14:paraId="215958A4" w14:textId="77777777" w:rsidR="00CA2E41" w:rsidRDefault="00CA2E41" w:rsidP="00CA2E41">
      <w:pPr>
        <w:ind w:left="567" w:hanging="567"/>
        <w:rPr>
          <w:sz w:val="22"/>
        </w:rPr>
      </w:pPr>
      <w:r>
        <w:rPr>
          <w:sz w:val="22"/>
        </w:rPr>
        <w:t>-</w:t>
      </w:r>
      <w:r>
        <w:rPr>
          <w:sz w:val="22"/>
        </w:rPr>
        <w:tab/>
        <w:t>traukuliai su karščiavimu ar be jo, atsiradę per 3 dienas po vakcinavimo.</w:t>
      </w:r>
    </w:p>
    <w:p w14:paraId="7BAA4C76" w14:textId="77777777" w:rsidR="00CA2E41" w:rsidRDefault="00CA2E41" w:rsidP="00CA2E41">
      <w:pPr>
        <w:rPr>
          <w:sz w:val="22"/>
        </w:rPr>
      </w:pPr>
    </w:p>
    <w:p w14:paraId="4F44569C" w14:textId="77777777" w:rsidR="00CA2E41" w:rsidRDefault="00CA2E41" w:rsidP="00CA2E41">
      <w:pPr>
        <w:rPr>
          <w:sz w:val="22"/>
        </w:rPr>
      </w:pPr>
      <w:r>
        <w:rPr>
          <w:sz w:val="22"/>
        </w:rPr>
        <w:t>Gali būti aplinkybių, pvz., didelis kokliušo paplitimas, kai galima nauda yra didesnė už galimą riziką.</w:t>
      </w:r>
    </w:p>
    <w:p w14:paraId="0BBB6F60" w14:textId="77777777" w:rsidR="00CA2E41" w:rsidRDefault="00CA2E41" w:rsidP="00CA2E41">
      <w:pPr>
        <w:rPr>
          <w:sz w:val="22"/>
        </w:rPr>
      </w:pPr>
    </w:p>
    <w:p w14:paraId="30AC5B0A" w14:textId="77777777" w:rsidR="00CA2E41" w:rsidRDefault="00CA2E41" w:rsidP="00CA2E41">
      <w:pPr>
        <w:rPr>
          <w:sz w:val="22"/>
        </w:rPr>
      </w:pPr>
      <w:r>
        <w:rPr>
          <w:sz w:val="22"/>
        </w:rPr>
        <w:t xml:space="preserve">Kaip ir visų skiepijimų atvejais, prieš skiepijant </w:t>
      </w:r>
      <w:r>
        <w:rPr>
          <w:caps/>
          <w:sz w:val="22"/>
        </w:rPr>
        <w:t>Boostrix Polio</w:t>
      </w:r>
      <w:r>
        <w:rPr>
          <w:sz w:val="22"/>
        </w:rPr>
        <w:t xml:space="preserve"> ar atidedant šį vakcinavimą, reikia kruopščiai pasverti rizikos ir naudos santykį, jeigu vaikui prasidėjo ar progresuoja sunki neurologinė liga. </w:t>
      </w:r>
    </w:p>
    <w:p w14:paraId="5F2D6C11" w14:textId="77777777" w:rsidR="00CA2E41" w:rsidRDefault="00CA2E41" w:rsidP="00CA2E41">
      <w:pPr>
        <w:rPr>
          <w:sz w:val="22"/>
        </w:rPr>
      </w:pPr>
    </w:p>
    <w:p w14:paraId="6C97B56B" w14:textId="77777777" w:rsidR="00CA2E41" w:rsidRDefault="00CA2E41" w:rsidP="00CA2E41">
      <w:pPr>
        <w:rPr>
          <w:sz w:val="22"/>
        </w:rPr>
      </w:pPr>
      <w:r>
        <w:rPr>
          <w:sz w:val="22"/>
        </w:rPr>
        <w:t xml:space="preserve">Kaip ir vartojant visas kitas </w:t>
      </w:r>
      <w:proofErr w:type="spellStart"/>
      <w:r>
        <w:rPr>
          <w:sz w:val="22"/>
        </w:rPr>
        <w:t>injekuojamas</w:t>
      </w:r>
      <w:proofErr w:type="spellEnd"/>
      <w:r>
        <w:rPr>
          <w:sz w:val="22"/>
        </w:rPr>
        <w:t xml:space="preserve"> vakcinas, visada reikia pasiruošti tinkamai gydyti ir stebėti, jei sušvirkštus vakcinos prasidėtų anafilaksinė reakcija.</w:t>
      </w:r>
    </w:p>
    <w:p w14:paraId="1317C3A2" w14:textId="77777777" w:rsidR="00CA2E41" w:rsidRDefault="00CA2E41" w:rsidP="00CA2E41">
      <w:pPr>
        <w:rPr>
          <w:sz w:val="22"/>
        </w:rPr>
      </w:pPr>
    </w:p>
    <w:p w14:paraId="11B8D7C6" w14:textId="2EA24514" w:rsidR="00CA2E41" w:rsidRDefault="00CA2E41" w:rsidP="00CA2E41">
      <w:pPr>
        <w:rPr>
          <w:sz w:val="22"/>
        </w:rPr>
      </w:pPr>
      <w:r>
        <w:rPr>
          <w:sz w:val="22"/>
        </w:rPr>
        <w:t xml:space="preserve">BOOSTRIX POLIO vakciną reikia atsargiai švirkšti asmenims, sergantiems </w:t>
      </w:r>
      <w:proofErr w:type="spellStart"/>
      <w:r>
        <w:rPr>
          <w:sz w:val="22"/>
        </w:rPr>
        <w:t>trombocitopenija</w:t>
      </w:r>
      <w:proofErr w:type="spellEnd"/>
      <w:r>
        <w:rPr>
          <w:sz w:val="22"/>
        </w:rPr>
        <w:t xml:space="preserve"> (žr.</w:t>
      </w:r>
      <w:r w:rsidR="0098180C">
        <w:rPr>
          <w:sz w:val="22"/>
        </w:rPr>
        <w:t> </w:t>
      </w:r>
      <w:r>
        <w:rPr>
          <w:sz w:val="22"/>
        </w:rPr>
        <w:t xml:space="preserve">4.3 skyrių) ar kraujavimo sutrikimais, kadangi jiems dėl injekcijos į raumenis gali prasidėti kraujavimas. </w:t>
      </w:r>
      <w:bookmarkStart w:id="2" w:name="_Hlk46728365"/>
      <w:r>
        <w:rPr>
          <w:sz w:val="22"/>
        </w:rPr>
        <w:t>Atsižvelgiant į oficialias rekomendacijas, tokiems asmenims vakciną galima įskiepyti po oda. Skiepijant bet kuriuo nurodytu būdu, mažiausiai dviem minutėms reikia stipriai prispausti injekcijos vietą (netrinant).</w:t>
      </w:r>
    </w:p>
    <w:bookmarkEnd w:id="2"/>
    <w:p w14:paraId="7B3A8A10" w14:textId="77777777" w:rsidR="00CA2E41" w:rsidRDefault="00CA2E41" w:rsidP="00CA2E41">
      <w:pPr>
        <w:rPr>
          <w:sz w:val="22"/>
        </w:rPr>
      </w:pPr>
    </w:p>
    <w:p w14:paraId="0FCF7E6D" w14:textId="77777777" w:rsidR="00CA2E41" w:rsidRDefault="00CA2E41" w:rsidP="00CA2E41">
      <w:pPr>
        <w:rPr>
          <w:sz w:val="22"/>
        </w:rPr>
      </w:pPr>
      <w:r>
        <w:rPr>
          <w:sz w:val="22"/>
        </w:rPr>
        <w:t>BOOSTRIX POLIO jokiu būdu negalima švirkšti į kraujagysles.</w:t>
      </w:r>
    </w:p>
    <w:p w14:paraId="2631E3C1" w14:textId="77777777" w:rsidR="00CA2E41" w:rsidRDefault="00CA2E41" w:rsidP="00CA2E41">
      <w:pPr>
        <w:rPr>
          <w:sz w:val="22"/>
        </w:rPr>
      </w:pPr>
    </w:p>
    <w:p w14:paraId="62FB39E1" w14:textId="77777777" w:rsidR="00CA2E41" w:rsidRDefault="00CA2E41" w:rsidP="00CA2E41">
      <w:pPr>
        <w:rPr>
          <w:sz w:val="22"/>
        </w:rPr>
      </w:pPr>
      <w:bookmarkStart w:id="3" w:name="_Hlk500168165"/>
      <w:r>
        <w:rPr>
          <w:sz w:val="22"/>
        </w:rPr>
        <w:t>Anamnezėje buvę traukuliai</w:t>
      </w:r>
      <w:r>
        <w:t xml:space="preserve"> </w:t>
      </w:r>
      <w:r>
        <w:rPr>
          <w:sz w:val="22"/>
        </w:rPr>
        <w:t>dėl karščiavimo, traukuliai šeimos anamnezėje, taip pat nepageidaujamas poveikis po DTP vakcinacijos šeimos anamnezėje nėra kontraindikacijos skiepyti BOOSTRIX POLIO.</w:t>
      </w:r>
    </w:p>
    <w:bookmarkEnd w:id="3"/>
    <w:p w14:paraId="5AE8539D" w14:textId="77777777" w:rsidR="00CA2E41" w:rsidRDefault="00CA2E41" w:rsidP="00CA2E41">
      <w:pPr>
        <w:rPr>
          <w:sz w:val="22"/>
        </w:rPr>
      </w:pPr>
    </w:p>
    <w:p w14:paraId="1DDC96F0" w14:textId="77777777" w:rsidR="00CA2E41" w:rsidRDefault="00CA2E41" w:rsidP="00CA2E41">
      <w:pPr>
        <w:rPr>
          <w:sz w:val="22"/>
        </w:rPr>
      </w:pPr>
      <w:r>
        <w:rPr>
          <w:sz w:val="22"/>
        </w:rPr>
        <w:t xml:space="preserve">Žmogaus imunodeficito virusų (ŽIV) infekcija nelaikoma kontraindikacija skiepyti </w:t>
      </w:r>
      <w:r>
        <w:rPr>
          <w:caps/>
          <w:sz w:val="22"/>
        </w:rPr>
        <w:t>Boostrix Polio</w:t>
      </w:r>
      <w:r>
        <w:rPr>
          <w:sz w:val="22"/>
        </w:rPr>
        <w:t>. Paskiepijus pacientus, kurių imuninė sistema yra nuslopinta, gali būti nepasiekta tikėtina imunologinė reakcija.</w:t>
      </w:r>
    </w:p>
    <w:p w14:paraId="3297340E" w14:textId="77777777" w:rsidR="00CA2E41" w:rsidRDefault="00CA2E41" w:rsidP="00CA2E41">
      <w:pPr>
        <w:rPr>
          <w:sz w:val="22"/>
        </w:rPr>
      </w:pPr>
    </w:p>
    <w:p w14:paraId="6DB4BFC5" w14:textId="77777777" w:rsidR="00CA2E41" w:rsidRDefault="00CA2E41" w:rsidP="00CA2E41">
      <w:pPr>
        <w:rPr>
          <w:sz w:val="22"/>
        </w:rPr>
      </w:pPr>
      <w:r>
        <w:rPr>
          <w:sz w:val="22"/>
        </w:rPr>
        <w:t xml:space="preserve">Sinkopė (apalpimas), kaip </w:t>
      </w:r>
      <w:proofErr w:type="spellStart"/>
      <w:r>
        <w:rPr>
          <w:sz w:val="22"/>
        </w:rPr>
        <w:t>psichogeninis</w:t>
      </w:r>
      <w:proofErr w:type="spellEnd"/>
      <w:r>
        <w:rPr>
          <w:sz w:val="22"/>
        </w:rPr>
        <w:t xml:space="preserve"> atsakas į injekciją adata, gali pasireikšti po arba netgi prieš bet kokį skiepijimą, ypač paaugliams. Kartu gali atsirasti įvairių neurologinių požymių, pavyzdžiui, trumpalaikis regėjimo sutrikimas, </w:t>
      </w:r>
      <w:proofErr w:type="spellStart"/>
      <w:r>
        <w:rPr>
          <w:sz w:val="22"/>
        </w:rPr>
        <w:t>parestezija</w:t>
      </w:r>
      <w:proofErr w:type="spellEnd"/>
      <w:r>
        <w:rPr>
          <w:sz w:val="22"/>
        </w:rPr>
        <w:t xml:space="preserve"> ir toniniai </w:t>
      </w:r>
      <w:proofErr w:type="spellStart"/>
      <w:r>
        <w:rPr>
          <w:sz w:val="22"/>
        </w:rPr>
        <w:t>kloniniai</w:t>
      </w:r>
      <w:proofErr w:type="spellEnd"/>
      <w:r>
        <w:rPr>
          <w:sz w:val="22"/>
        </w:rPr>
        <w:t xml:space="preserve"> galūnių judesiai atsigavimo metu. Svarbu atlikti procedūras tinkamai, kad būtų išvengta sužalojimų nualpus.</w:t>
      </w:r>
    </w:p>
    <w:p w14:paraId="4A2DDBBB" w14:textId="77777777" w:rsidR="00CA2E41" w:rsidRDefault="00CA2E41" w:rsidP="00CA2E41">
      <w:pPr>
        <w:rPr>
          <w:sz w:val="22"/>
        </w:rPr>
      </w:pPr>
    </w:p>
    <w:p w14:paraId="5C5375D1" w14:textId="77777777" w:rsidR="00CA2E41" w:rsidRDefault="00CA2E41" w:rsidP="00CA2E41">
      <w:pPr>
        <w:rPr>
          <w:sz w:val="22"/>
        </w:rPr>
      </w:pPr>
      <w:r>
        <w:rPr>
          <w:sz w:val="22"/>
        </w:rPr>
        <w:t>Kaip ir skiepijant kitomis vakcinomis, nevisiems vakcinuotiems gali susidaryti apsauginis imuninis atsakas.</w:t>
      </w:r>
    </w:p>
    <w:p w14:paraId="08DBA773" w14:textId="77777777" w:rsidR="00CA2E41" w:rsidRPr="00402C81" w:rsidRDefault="00CA2E41" w:rsidP="00CA2E41">
      <w:pPr>
        <w:rPr>
          <w:sz w:val="22"/>
          <w:u w:val="single"/>
        </w:rPr>
      </w:pPr>
    </w:p>
    <w:p w14:paraId="6DB3960E" w14:textId="4FED2363" w:rsidR="00CA2E41" w:rsidRPr="00402C81" w:rsidRDefault="00CA2E41" w:rsidP="00CA2E41">
      <w:pPr>
        <w:rPr>
          <w:sz w:val="22"/>
          <w:u w:val="single"/>
        </w:rPr>
      </w:pPr>
      <w:r w:rsidRPr="00402C81">
        <w:rPr>
          <w:sz w:val="22"/>
          <w:u w:val="single"/>
        </w:rPr>
        <w:t>Pagalbinės medžiagos</w:t>
      </w:r>
      <w:r w:rsidR="00EE231A" w:rsidRPr="00402C81">
        <w:rPr>
          <w:sz w:val="22"/>
          <w:u w:val="single"/>
        </w:rPr>
        <w:t>, kurių poveikis žinomas</w:t>
      </w:r>
    </w:p>
    <w:p w14:paraId="1D908888" w14:textId="77777777" w:rsidR="00CA2E41" w:rsidRPr="00745BD9" w:rsidRDefault="00CA2E41" w:rsidP="00CA2E41">
      <w:pPr>
        <w:rPr>
          <w:sz w:val="22"/>
        </w:rPr>
      </w:pPr>
    </w:p>
    <w:p w14:paraId="78046559" w14:textId="51A6AD7E" w:rsidR="00DF693F" w:rsidRPr="00402C81" w:rsidRDefault="00A06D5E" w:rsidP="00DF693F">
      <w:pPr>
        <w:rPr>
          <w:sz w:val="22"/>
        </w:rPr>
      </w:pPr>
      <w:proofErr w:type="spellStart"/>
      <w:r w:rsidRPr="00402C81">
        <w:rPr>
          <w:sz w:val="22"/>
        </w:rPr>
        <w:t>Boostrix</w:t>
      </w:r>
      <w:proofErr w:type="spellEnd"/>
      <w:r w:rsidRPr="00402C81">
        <w:rPr>
          <w:sz w:val="22"/>
        </w:rPr>
        <w:t xml:space="preserve"> Polio </w:t>
      </w:r>
      <w:r w:rsidR="00DF693F" w:rsidRPr="00402C81">
        <w:rPr>
          <w:sz w:val="22"/>
        </w:rPr>
        <w:t>sudėtyje yra para-</w:t>
      </w:r>
      <w:proofErr w:type="spellStart"/>
      <w:r w:rsidR="00DF693F" w:rsidRPr="00402C81">
        <w:rPr>
          <w:sz w:val="22"/>
        </w:rPr>
        <w:t>aminobenzenkarboksirūgšties</w:t>
      </w:r>
      <w:proofErr w:type="spellEnd"/>
      <w:r w:rsidR="00DF693F" w:rsidRPr="00402C81">
        <w:rPr>
          <w:sz w:val="22"/>
        </w:rPr>
        <w:t xml:space="preserve">. </w:t>
      </w:r>
      <w:r w:rsidR="00ED671A">
        <w:rPr>
          <w:sz w:val="22"/>
        </w:rPr>
        <w:t>Ji</w:t>
      </w:r>
      <w:r w:rsidR="00DF693F" w:rsidRPr="00402C81">
        <w:rPr>
          <w:sz w:val="22"/>
        </w:rPr>
        <w:t xml:space="preserve"> gali sukelti alergin</w:t>
      </w:r>
      <w:r w:rsidR="00ED671A">
        <w:rPr>
          <w:sz w:val="22"/>
        </w:rPr>
        <w:t>ių</w:t>
      </w:r>
      <w:r w:rsidR="00DF693F" w:rsidRPr="00402C81">
        <w:rPr>
          <w:sz w:val="22"/>
        </w:rPr>
        <w:t xml:space="preserve"> reakcij</w:t>
      </w:r>
      <w:r w:rsidR="00ED671A">
        <w:rPr>
          <w:sz w:val="22"/>
        </w:rPr>
        <w:t>ų, kurios gali būti</w:t>
      </w:r>
      <w:r w:rsidR="00134E3B">
        <w:rPr>
          <w:sz w:val="22"/>
        </w:rPr>
        <w:t xml:space="preserve"> uždelstos</w:t>
      </w:r>
      <w:r w:rsidR="00DF693F" w:rsidRPr="00402C81">
        <w:rPr>
          <w:sz w:val="22"/>
        </w:rPr>
        <w:t xml:space="preserve"> ir iš</w:t>
      </w:r>
      <w:r w:rsidR="00F36EB4">
        <w:rPr>
          <w:sz w:val="22"/>
        </w:rPr>
        <w:t>imtiniais</w:t>
      </w:r>
      <w:r w:rsidR="00DF693F" w:rsidRPr="00402C81">
        <w:rPr>
          <w:sz w:val="22"/>
        </w:rPr>
        <w:t xml:space="preserve"> atvejais bronchų spazmą.</w:t>
      </w:r>
    </w:p>
    <w:p w14:paraId="5BB0F8C6" w14:textId="666ECEF1" w:rsidR="00DF693F" w:rsidRPr="00402C81" w:rsidRDefault="00FD5316" w:rsidP="00DF693F">
      <w:pPr>
        <w:rPr>
          <w:sz w:val="22"/>
        </w:rPr>
      </w:pPr>
      <w:r>
        <w:rPr>
          <w:sz w:val="22"/>
        </w:rPr>
        <w:t>K</w:t>
      </w:r>
      <w:r w:rsidR="00F87321">
        <w:rPr>
          <w:sz w:val="22"/>
        </w:rPr>
        <w:t>iekvienoje šios vakcinos</w:t>
      </w:r>
      <w:r w:rsidR="00A06D5E" w:rsidRPr="00402C81">
        <w:rPr>
          <w:sz w:val="22"/>
        </w:rPr>
        <w:t xml:space="preserve"> dozėje </w:t>
      </w:r>
      <w:r w:rsidR="00DF693F" w:rsidRPr="00402C81">
        <w:rPr>
          <w:sz w:val="22"/>
        </w:rPr>
        <w:t>yra 0,0298 </w:t>
      </w:r>
      <w:proofErr w:type="spellStart"/>
      <w:r w:rsidR="00DF693F" w:rsidRPr="00402C81">
        <w:rPr>
          <w:sz w:val="22"/>
        </w:rPr>
        <w:t>mikrogramo</w:t>
      </w:r>
      <w:proofErr w:type="spellEnd"/>
      <w:r w:rsidR="00DF693F" w:rsidRPr="00402C81">
        <w:rPr>
          <w:sz w:val="22"/>
        </w:rPr>
        <w:t xml:space="preserve"> </w:t>
      </w:r>
      <w:proofErr w:type="spellStart"/>
      <w:r w:rsidR="00DF693F" w:rsidRPr="00402C81">
        <w:rPr>
          <w:sz w:val="22"/>
        </w:rPr>
        <w:t>fenilalanino</w:t>
      </w:r>
      <w:proofErr w:type="spellEnd"/>
      <w:r w:rsidR="00DF693F" w:rsidRPr="00402C81">
        <w:rPr>
          <w:sz w:val="22"/>
        </w:rPr>
        <w:t xml:space="preserve">. </w:t>
      </w:r>
      <w:proofErr w:type="spellStart"/>
      <w:r w:rsidR="00DF693F" w:rsidRPr="00402C81">
        <w:rPr>
          <w:sz w:val="22"/>
        </w:rPr>
        <w:t>Fenilalaninas</w:t>
      </w:r>
      <w:proofErr w:type="spellEnd"/>
      <w:r w:rsidR="00DF693F" w:rsidRPr="00402C81">
        <w:rPr>
          <w:sz w:val="22"/>
        </w:rPr>
        <w:t xml:space="preserve"> gali būti kenksmingas sergantiems </w:t>
      </w:r>
      <w:proofErr w:type="spellStart"/>
      <w:r w:rsidR="00DF693F" w:rsidRPr="00402C81">
        <w:rPr>
          <w:sz w:val="22"/>
        </w:rPr>
        <w:t>fenilketonurija</w:t>
      </w:r>
      <w:proofErr w:type="spellEnd"/>
      <w:r w:rsidR="00DF693F" w:rsidRPr="00402C81">
        <w:rPr>
          <w:sz w:val="22"/>
        </w:rPr>
        <w:t xml:space="preserve"> (FKU), reta genetine liga, kuria sergant </w:t>
      </w:r>
      <w:proofErr w:type="spellStart"/>
      <w:r w:rsidR="00DF693F" w:rsidRPr="00402C81">
        <w:rPr>
          <w:sz w:val="22"/>
        </w:rPr>
        <w:t>fenilalaninas</w:t>
      </w:r>
      <w:proofErr w:type="spellEnd"/>
      <w:r w:rsidR="00DF693F" w:rsidRPr="00402C81">
        <w:rPr>
          <w:sz w:val="22"/>
        </w:rPr>
        <w:t xml:space="preserve"> kaupiasi organizme, nes organizmas negali jo tinkamai pašalinti.</w:t>
      </w:r>
    </w:p>
    <w:p w14:paraId="00799CE1" w14:textId="77777777" w:rsidR="00DF693F" w:rsidRPr="00745BD9" w:rsidRDefault="00DF693F" w:rsidP="00CA2E41">
      <w:pPr>
        <w:rPr>
          <w:sz w:val="22"/>
        </w:rPr>
      </w:pPr>
    </w:p>
    <w:p w14:paraId="4CD27D2E" w14:textId="4405D290" w:rsidR="00CA2E41" w:rsidRPr="00745BD9" w:rsidRDefault="00CA2E41" w:rsidP="00CA2E41">
      <w:pPr>
        <w:rPr>
          <w:sz w:val="22"/>
        </w:rPr>
      </w:pPr>
      <w:r w:rsidRPr="00745BD9">
        <w:rPr>
          <w:sz w:val="22"/>
        </w:rPr>
        <w:t>Šio</w:t>
      </w:r>
      <w:r w:rsidR="00FD5316">
        <w:rPr>
          <w:sz w:val="22"/>
        </w:rPr>
        <w:t>s</w:t>
      </w:r>
      <w:r w:rsidR="003605A0">
        <w:rPr>
          <w:sz w:val="22"/>
        </w:rPr>
        <w:t xml:space="preserve"> vakcinos</w:t>
      </w:r>
      <w:r w:rsidRPr="00745BD9">
        <w:rPr>
          <w:sz w:val="22"/>
        </w:rPr>
        <w:t xml:space="preserve"> dozėje yra mažiau kaip 1 </w:t>
      </w:r>
      <w:proofErr w:type="spellStart"/>
      <w:r w:rsidRPr="00745BD9">
        <w:rPr>
          <w:sz w:val="22"/>
        </w:rPr>
        <w:t>mmol</w:t>
      </w:r>
      <w:proofErr w:type="spellEnd"/>
      <w:r w:rsidRPr="00745BD9">
        <w:rPr>
          <w:sz w:val="22"/>
        </w:rPr>
        <w:t xml:space="preserve"> (23 mg) natrio, t. y. jis beveik neturi reikšmės.</w:t>
      </w:r>
    </w:p>
    <w:p w14:paraId="383329D7" w14:textId="3C447A88" w:rsidR="00C63497" w:rsidRDefault="00C63497" w:rsidP="00CA2E41">
      <w:pPr>
        <w:rPr>
          <w:sz w:val="22"/>
        </w:rPr>
      </w:pPr>
      <w:r w:rsidRPr="00745BD9">
        <w:rPr>
          <w:sz w:val="22"/>
        </w:rPr>
        <w:lastRenderedPageBreak/>
        <w:t>Šio</w:t>
      </w:r>
      <w:r w:rsidR="003605A0">
        <w:rPr>
          <w:sz w:val="22"/>
        </w:rPr>
        <w:t>s vakcinos</w:t>
      </w:r>
      <w:r w:rsidRPr="00745BD9">
        <w:rPr>
          <w:sz w:val="22"/>
        </w:rPr>
        <w:t xml:space="preserve"> dozėje yra mažiau kaip 1</w:t>
      </w:r>
      <w:r w:rsidR="00F52883">
        <w:rPr>
          <w:sz w:val="22"/>
        </w:rPr>
        <w:t> </w:t>
      </w:r>
      <w:proofErr w:type="spellStart"/>
      <w:r w:rsidRPr="00745BD9">
        <w:rPr>
          <w:sz w:val="22"/>
        </w:rPr>
        <w:t>mmol</w:t>
      </w:r>
      <w:proofErr w:type="spellEnd"/>
      <w:r w:rsidRPr="00745BD9">
        <w:rPr>
          <w:sz w:val="22"/>
        </w:rPr>
        <w:t xml:space="preserve"> (39</w:t>
      </w:r>
      <w:r w:rsidR="00F52883">
        <w:rPr>
          <w:sz w:val="22"/>
        </w:rPr>
        <w:t> </w:t>
      </w:r>
      <w:r w:rsidRPr="00745BD9">
        <w:rPr>
          <w:sz w:val="22"/>
        </w:rPr>
        <w:t>mg) kalio, t. y. jis beveik neturi reikšmės</w:t>
      </w:r>
      <w:r w:rsidRPr="00C63497">
        <w:rPr>
          <w:sz w:val="22"/>
        </w:rPr>
        <w:t>.</w:t>
      </w:r>
    </w:p>
    <w:p w14:paraId="42193B42" w14:textId="77777777" w:rsidR="00CA2E41" w:rsidRDefault="00CA2E41" w:rsidP="00CA2E41">
      <w:pPr>
        <w:rPr>
          <w:sz w:val="22"/>
        </w:rPr>
      </w:pPr>
    </w:p>
    <w:p w14:paraId="5D031BE1" w14:textId="77777777" w:rsidR="00CA2E41" w:rsidRPr="00402C81" w:rsidRDefault="00CA2E41" w:rsidP="00CA2E41">
      <w:pPr>
        <w:keepNext/>
        <w:rPr>
          <w:sz w:val="22"/>
          <w:u w:val="single"/>
        </w:rPr>
      </w:pPr>
      <w:r w:rsidRPr="00402C81">
        <w:rPr>
          <w:sz w:val="22"/>
          <w:u w:val="single"/>
        </w:rPr>
        <w:t>Atsekamumas</w:t>
      </w:r>
    </w:p>
    <w:p w14:paraId="5B517CD3" w14:textId="77777777" w:rsidR="00CA2E41" w:rsidRDefault="00CA2E41" w:rsidP="00CA2E41">
      <w:pPr>
        <w:rPr>
          <w:sz w:val="22"/>
        </w:rPr>
      </w:pPr>
    </w:p>
    <w:p w14:paraId="602E8EAE" w14:textId="77777777" w:rsidR="00CA2E41" w:rsidRDefault="00CA2E41" w:rsidP="00CA2E41">
      <w:pPr>
        <w:rPr>
          <w:sz w:val="22"/>
        </w:rPr>
      </w:pPr>
      <w:r>
        <w:rPr>
          <w:sz w:val="22"/>
        </w:rPr>
        <w:t>Siekiant pagerinti biologinių vaistinių preparatų atsekamumą, reikia aiškiai užrašyti paskirto vaistinio preparato pavadinimą ir serijos numerį.</w:t>
      </w:r>
    </w:p>
    <w:p w14:paraId="752495DB" w14:textId="77777777" w:rsidR="00CA2E41" w:rsidRDefault="00CA2E41" w:rsidP="00CA2E41">
      <w:pPr>
        <w:rPr>
          <w:sz w:val="22"/>
        </w:rPr>
      </w:pPr>
    </w:p>
    <w:p w14:paraId="1795DAF0" w14:textId="77777777" w:rsidR="00CA2E41" w:rsidRDefault="00CA2E41" w:rsidP="00CA2E41">
      <w:pPr>
        <w:keepNext/>
        <w:rPr>
          <w:b/>
          <w:sz w:val="22"/>
        </w:rPr>
      </w:pPr>
      <w:r>
        <w:rPr>
          <w:b/>
          <w:sz w:val="22"/>
        </w:rPr>
        <w:t>4.5</w:t>
      </w:r>
      <w:r>
        <w:rPr>
          <w:b/>
          <w:sz w:val="22"/>
        </w:rPr>
        <w:tab/>
        <w:t>Sąveika su kitais vaistiniais preparatais ir kitokia sąveika</w:t>
      </w:r>
    </w:p>
    <w:p w14:paraId="6AFCDDB6" w14:textId="77777777" w:rsidR="00CA2E41" w:rsidRDefault="00CA2E41" w:rsidP="00CA2E41">
      <w:pPr>
        <w:keepNext/>
        <w:rPr>
          <w:sz w:val="22"/>
        </w:rPr>
      </w:pPr>
    </w:p>
    <w:p w14:paraId="01D275A0" w14:textId="77777777" w:rsidR="00CA2E41" w:rsidRDefault="00CA2E41" w:rsidP="00CA2E41">
      <w:pPr>
        <w:rPr>
          <w:sz w:val="22"/>
          <w:u w:val="single"/>
        </w:rPr>
      </w:pPr>
      <w:r>
        <w:rPr>
          <w:sz w:val="22"/>
          <w:u w:val="single"/>
        </w:rPr>
        <w:t>Vartojimas kartu su kitomis vakcinomis arba imunoglobulinais</w:t>
      </w:r>
    </w:p>
    <w:p w14:paraId="01F71AD3" w14:textId="77777777" w:rsidR="00CA2E41" w:rsidRDefault="00CA2E41" w:rsidP="00CA2E41">
      <w:pPr>
        <w:rPr>
          <w:sz w:val="22"/>
          <w:u w:val="single"/>
        </w:rPr>
      </w:pPr>
    </w:p>
    <w:p w14:paraId="7FCCBDC2" w14:textId="750EA724" w:rsidR="00CA2E41" w:rsidRDefault="00CA2E41" w:rsidP="00CA2E41">
      <w:pPr>
        <w:rPr>
          <w:sz w:val="22"/>
        </w:rPr>
      </w:pPr>
      <w:r>
        <w:rPr>
          <w:sz w:val="22"/>
        </w:rPr>
        <w:t xml:space="preserve">BOOSTRIX POLIO galima vartoti kartu su visomis išvardytomis </w:t>
      </w:r>
      <w:proofErr w:type="spellStart"/>
      <w:r>
        <w:rPr>
          <w:sz w:val="22"/>
        </w:rPr>
        <w:t>vienvalentėmis</w:t>
      </w:r>
      <w:proofErr w:type="spellEnd"/>
      <w:r>
        <w:rPr>
          <w:sz w:val="22"/>
        </w:rPr>
        <w:t xml:space="preserve"> arba kombinuotomis vakcinomis (tymų, kiaulytės, raudonukės, vėjaraupių [MMR ar MMRV] ir žmogaus papilomos viruso [ŽPV]) vakcinomis be kliniškai reikšmingos įtakos antikūnų atsakui į kurį nors kurios nors vakcinos komponentą (žr.</w:t>
      </w:r>
      <w:r w:rsidR="00745BD9">
        <w:rPr>
          <w:sz w:val="22"/>
        </w:rPr>
        <w:t> </w:t>
      </w:r>
      <w:r>
        <w:rPr>
          <w:sz w:val="22"/>
        </w:rPr>
        <w:t>4.8 skyrių).</w:t>
      </w:r>
    </w:p>
    <w:p w14:paraId="6C98B9A6" w14:textId="77777777" w:rsidR="00CA2E41" w:rsidRDefault="00CA2E41" w:rsidP="00CA2E41">
      <w:pPr>
        <w:rPr>
          <w:sz w:val="22"/>
        </w:rPr>
      </w:pPr>
    </w:p>
    <w:p w14:paraId="3A170985" w14:textId="77777777" w:rsidR="00CA2E41" w:rsidRDefault="00CA2E41" w:rsidP="00CA2E41">
      <w:pPr>
        <w:rPr>
          <w:sz w:val="22"/>
        </w:rPr>
      </w:pPr>
      <w:r>
        <w:rPr>
          <w:sz w:val="22"/>
        </w:rPr>
        <w:t>BOOSTRIX POLIO vartojimas kartu su kitomis vakcinomis ar su imunoglobulinais nėra ištirtas. Nesitikima, kad vartojimas kartu turėtų įtakos imuniniam atsakui.</w:t>
      </w:r>
    </w:p>
    <w:p w14:paraId="20D502AB" w14:textId="77777777" w:rsidR="00CA2E41" w:rsidRDefault="00CA2E41" w:rsidP="00CA2E41">
      <w:pPr>
        <w:rPr>
          <w:sz w:val="22"/>
        </w:rPr>
      </w:pPr>
    </w:p>
    <w:p w14:paraId="26D41B50" w14:textId="77777777" w:rsidR="00CA2E41" w:rsidRDefault="00CA2E41" w:rsidP="00CA2E41">
      <w:pPr>
        <w:rPr>
          <w:sz w:val="22"/>
        </w:rPr>
      </w:pPr>
      <w:r>
        <w:rPr>
          <w:sz w:val="22"/>
        </w:rPr>
        <w:t xml:space="preserve">Remiantis bendrai priimta vakcinavimo praktika ir rekomendacijomis, jei būtina, BOOSTRIX POLIO galima vartoti kartu su kitomis vakcinomis ar imunoglobulinais, </w:t>
      </w:r>
      <w:proofErr w:type="spellStart"/>
      <w:r>
        <w:rPr>
          <w:sz w:val="22"/>
        </w:rPr>
        <w:t>injekuojant</w:t>
      </w:r>
      <w:proofErr w:type="spellEnd"/>
      <w:r>
        <w:rPr>
          <w:sz w:val="22"/>
        </w:rPr>
        <w:t xml:space="preserve"> į skirtingas vietas.</w:t>
      </w:r>
    </w:p>
    <w:p w14:paraId="32288097" w14:textId="77777777" w:rsidR="00CA2E41" w:rsidRDefault="00CA2E41" w:rsidP="00CA2E41">
      <w:pPr>
        <w:rPr>
          <w:sz w:val="22"/>
        </w:rPr>
      </w:pPr>
    </w:p>
    <w:p w14:paraId="56D9E0FE" w14:textId="77777777" w:rsidR="00CA2E41" w:rsidRDefault="00CA2E41" w:rsidP="00CA2E41">
      <w:pPr>
        <w:rPr>
          <w:sz w:val="22"/>
          <w:u w:val="single"/>
        </w:rPr>
      </w:pPr>
      <w:r>
        <w:rPr>
          <w:sz w:val="22"/>
          <w:u w:val="single"/>
        </w:rPr>
        <w:t>Vartojimas kartu taikant imunosupresinį gydymą</w:t>
      </w:r>
    </w:p>
    <w:p w14:paraId="7F995CB1" w14:textId="77777777" w:rsidR="00CA2E41" w:rsidRDefault="00CA2E41" w:rsidP="00CA2E41">
      <w:pPr>
        <w:rPr>
          <w:sz w:val="22"/>
          <w:u w:val="single"/>
        </w:rPr>
      </w:pPr>
    </w:p>
    <w:p w14:paraId="3985EC23" w14:textId="77777777" w:rsidR="00CA2E41" w:rsidRDefault="00CA2E41" w:rsidP="00CA2E41">
      <w:pPr>
        <w:rPr>
          <w:sz w:val="22"/>
        </w:rPr>
      </w:pPr>
      <w:r>
        <w:rPr>
          <w:sz w:val="22"/>
        </w:rPr>
        <w:t>Kaip ir vartojant kitas vakcinas, reikia žinoti, kad pacientams, kuriems taikomas imunosupresinis gydymas, gali būti nepasiekta adekvati reakcija.</w:t>
      </w:r>
    </w:p>
    <w:p w14:paraId="61C0BBAD" w14:textId="77777777" w:rsidR="00CA2E41" w:rsidRDefault="00CA2E41" w:rsidP="00CA2E41">
      <w:pPr>
        <w:rPr>
          <w:sz w:val="22"/>
        </w:rPr>
      </w:pPr>
    </w:p>
    <w:p w14:paraId="39ECC832" w14:textId="77777777" w:rsidR="00CA2E41" w:rsidRDefault="00CA2E41" w:rsidP="00CA2E41">
      <w:pPr>
        <w:keepNext/>
        <w:rPr>
          <w:b/>
          <w:sz w:val="22"/>
        </w:rPr>
      </w:pPr>
      <w:r>
        <w:rPr>
          <w:b/>
          <w:sz w:val="22"/>
        </w:rPr>
        <w:t>4.6</w:t>
      </w:r>
      <w:r>
        <w:rPr>
          <w:b/>
          <w:sz w:val="22"/>
        </w:rPr>
        <w:tab/>
        <w:t>Vaisingumas, nėštumo ir žindymo laikotarpis</w:t>
      </w:r>
    </w:p>
    <w:p w14:paraId="4BC8F2AA" w14:textId="77777777" w:rsidR="00CA2E41" w:rsidRDefault="00CA2E41" w:rsidP="00CA2E41">
      <w:pPr>
        <w:keepNext/>
        <w:rPr>
          <w:b/>
          <w:sz w:val="22"/>
        </w:rPr>
      </w:pPr>
    </w:p>
    <w:p w14:paraId="77124F0D" w14:textId="77777777" w:rsidR="00CA2E41" w:rsidRDefault="00CA2E41" w:rsidP="00CA2E41">
      <w:pPr>
        <w:rPr>
          <w:sz w:val="22"/>
          <w:u w:val="single"/>
        </w:rPr>
      </w:pPr>
      <w:r>
        <w:rPr>
          <w:sz w:val="22"/>
          <w:u w:val="single"/>
        </w:rPr>
        <w:t>Nėštumas</w:t>
      </w:r>
    </w:p>
    <w:p w14:paraId="146FAA20" w14:textId="77777777" w:rsidR="00CA2E41" w:rsidRDefault="00CA2E41" w:rsidP="00CA2E41">
      <w:pPr>
        <w:rPr>
          <w:sz w:val="22"/>
          <w:u w:val="single"/>
        </w:rPr>
      </w:pPr>
    </w:p>
    <w:p w14:paraId="1ADE3F9B" w14:textId="77777777" w:rsidR="00CA2E41" w:rsidRDefault="00CA2E41" w:rsidP="00CA2E41">
      <w:pPr>
        <w:rPr>
          <w:sz w:val="22"/>
        </w:rPr>
      </w:pPr>
      <w:r>
        <w:rPr>
          <w:sz w:val="22"/>
        </w:rPr>
        <w:t>BOOSTRIX POLIO galima skirti nėščioms moterims antrąjį ar trečiąjį nėštumo trimestrais laikantis oficialių rekomendacijų.</w:t>
      </w:r>
    </w:p>
    <w:p w14:paraId="5B3AD6B4" w14:textId="77777777" w:rsidR="00CA2E41" w:rsidRDefault="00CA2E41" w:rsidP="00CA2E41">
      <w:pPr>
        <w:rPr>
          <w:sz w:val="22"/>
        </w:rPr>
      </w:pPr>
    </w:p>
    <w:p w14:paraId="7B4B9679" w14:textId="2A1D8FF2" w:rsidR="00CA2E41" w:rsidRDefault="00CA2E41" w:rsidP="00CA2E41">
      <w:pPr>
        <w:rPr>
          <w:sz w:val="22"/>
        </w:rPr>
      </w:pPr>
      <w:r>
        <w:rPr>
          <w:sz w:val="22"/>
        </w:rPr>
        <w:t>Duomenis apie nėštumo metu paskiepytų motinų pagimdytų kūdikių apsaugą nuo kokliušo ligos žr.</w:t>
      </w:r>
      <w:r w:rsidR="00745BD9">
        <w:rPr>
          <w:sz w:val="22"/>
        </w:rPr>
        <w:t> </w:t>
      </w:r>
      <w:r>
        <w:rPr>
          <w:sz w:val="22"/>
        </w:rPr>
        <w:t>5.1</w:t>
      </w:r>
      <w:r w:rsidR="00F52883">
        <w:rPr>
          <w:sz w:val="22"/>
        </w:rPr>
        <w:t> </w:t>
      </w:r>
      <w:r>
        <w:rPr>
          <w:sz w:val="22"/>
        </w:rPr>
        <w:t>skyriuje.</w:t>
      </w:r>
    </w:p>
    <w:p w14:paraId="1DD88D0E" w14:textId="77777777" w:rsidR="00CA2E41" w:rsidRDefault="00CA2E41" w:rsidP="00CA2E41">
      <w:pPr>
        <w:rPr>
          <w:sz w:val="22"/>
        </w:rPr>
      </w:pPr>
    </w:p>
    <w:p w14:paraId="17A8178C" w14:textId="77777777" w:rsidR="00CA2E41" w:rsidRDefault="00CA2E41" w:rsidP="00CA2E41">
      <w:pPr>
        <w:rPr>
          <w:sz w:val="22"/>
        </w:rPr>
      </w:pPr>
      <w:r>
        <w:rPr>
          <w:sz w:val="22"/>
        </w:rPr>
        <w:t>Atsitiktinių imčių kontroliuojamojo klinikinio tyrimo (341 nėštumo baigtys) ir</w:t>
      </w:r>
      <w:r>
        <w:t xml:space="preserve"> </w:t>
      </w:r>
      <w:proofErr w:type="spellStart"/>
      <w:r>
        <w:t>p</w:t>
      </w:r>
      <w:r>
        <w:rPr>
          <w:sz w:val="22"/>
        </w:rPr>
        <w:t>rospektyviojo</w:t>
      </w:r>
      <w:proofErr w:type="spellEnd"/>
      <w:r>
        <w:rPr>
          <w:sz w:val="22"/>
        </w:rPr>
        <w:t xml:space="preserve"> stebėsenos tyrimo (793 nėštumų baigtys), kurių metu nėščios moterys trečiąjį nėštumo trimestrą buvo paskiepytos </w:t>
      </w:r>
      <w:proofErr w:type="spellStart"/>
      <w:r>
        <w:rPr>
          <w:sz w:val="22"/>
        </w:rPr>
        <w:t>Boostrix</w:t>
      </w:r>
      <w:proofErr w:type="spellEnd"/>
      <w:r>
        <w:rPr>
          <w:sz w:val="22"/>
        </w:rPr>
        <w:t xml:space="preserve"> (BOOSTRIX POLIO sudėtyje esantis difterijos, kokliušo ir kokliušo neląstelinis [angl.</w:t>
      </w:r>
      <w:r>
        <w:rPr>
          <w:i/>
          <w:sz w:val="22"/>
        </w:rPr>
        <w:t xml:space="preserve"> </w:t>
      </w:r>
      <w:proofErr w:type="spellStart"/>
      <w:r>
        <w:rPr>
          <w:i/>
          <w:sz w:val="22"/>
        </w:rPr>
        <w:t>diphtheria</w:t>
      </w:r>
      <w:proofErr w:type="spellEnd"/>
      <w:r>
        <w:rPr>
          <w:i/>
          <w:sz w:val="22"/>
        </w:rPr>
        <w:t xml:space="preserve">, tetanus, </w:t>
      </w:r>
      <w:proofErr w:type="spellStart"/>
      <w:r>
        <w:rPr>
          <w:i/>
          <w:sz w:val="22"/>
        </w:rPr>
        <w:t>pertussis</w:t>
      </w:r>
      <w:proofErr w:type="spellEnd"/>
      <w:r>
        <w:rPr>
          <w:i/>
          <w:sz w:val="22"/>
        </w:rPr>
        <w:t xml:space="preserve"> </w:t>
      </w:r>
      <w:proofErr w:type="spellStart"/>
      <w:r>
        <w:rPr>
          <w:i/>
          <w:sz w:val="22"/>
        </w:rPr>
        <w:t>acellular</w:t>
      </w:r>
      <w:proofErr w:type="spellEnd"/>
      <w:r>
        <w:rPr>
          <w:i/>
          <w:sz w:val="22"/>
        </w:rPr>
        <w:t xml:space="preserve">, </w:t>
      </w:r>
      <w:proofErr w:type="spellStart"/>
      <w:r>
        <w:rPr>
          <w:i/>
          <w:sz w:val="22"/>
        </w:rPr>
        <w:t>dTpa</w:t>
      </w:r>
      <w:proofErr w:type="spellEnd"/>
      <w:r>
        <w:rPr>
          <w:sz w:val="22"/>
        </w:rPr>
        <w:t>] komponentas), saugumo duomenys su vakcina susijusio nepageidaujamo poveikio nėštumui arba vaisiaus ar naujagimio sveikatai neparodė.</w:t>
      </w:r>
    </w:p>
    <w:p w14:paraId="269C17F3" w14:textId="77777777" w:rsidR="00CA2E41" w:rsidRDefault="00CA2E41" w:rsidP="00CA2E41">
      <w:pPr>
        <w:rPr>
          <w:sz w:val="22"/>
        </w:rPr>
      </w:pPr>
    </w:p>
    <w:p w14:paraId="4D4F80B2" w14:textId="77777777" w:rsidR="00CA2E41" w:rsidRDefault="00CA2E41" w:rsidP="00CA2E41">
      <w:pPr>
        <w:rPr>
          <w:sz w:val="22"/>
        </w:rPr>
      </w:pPr>
      <w:bookmarkStart w:id="4" w:name="_Hlk55028117"/>
      <w:r>
        <w:rPr>
          <w:sz w:val="22"/>
        </w:rPr>
        <w:t xml:space="preserve">Perspektyviųjų klinikinių tyrimų saugumo duomenų apie BOOSTRIX POLIO arba </w:t>
      </w:r>
      <w:proofErr w:type="spellStart"/>
      <w:r>
        <w:rPr>
          <w:sz w:val="22"/>
        </w:rPr>
        <w:t>Boostrix</w:t>
      </w:r>
      <w:proofErr w:type="spellEnd"/>
      <w:r>
        <w:rPr>
          <w:sz w:val="22"/>
        </w:rPr>
        <w:t xml:space="preserve"> vartojimą žmogui pirmąjį ar antrąjį nėštumo trimestrais nėra. </w:t>
      </w:r>
    </w:p>
    <w:p w14:paraId="7E090813" w14:textId="77777777" w:rsidR="00CA2E41" w:rsidRDefault="00CA2E41" w:rsidP="00CA2E41">
      <w:pPr>
        <w:rPr>
          <w:sz w:val="22"/>
        </w:rPr>
      </w:pPr>
    </w:p>
    <w:bookmarkEnd w:id="4"/>
    <w:p w14:paraId="3B87B1D2" w14:textId="77777777" w:rsidR="00CA2E41" w:rsidRDefault="00CA2E41" w:rsidP="00CA2E41">
      <w:pPr>
        <w:rPr>
          <w:sz w:val="22"/>
        </w:rPr>
      </w:pPr>
      <w:r>
        <w:rPr>
          <w:sz w:val="22"/>
        </w:rPr>
        <w:t xml:space="preserve">Nėščių moterų, trečiąjį ar antrąjį nėštumo trimestrais patyrusių BOOSTRIX POLIO ar </w:t>
      </w:r>
      <w:proofErr w:type="spellStart"/>
      <w:r>
        <w:rPr>
          <w:sz w:val="22"/>
        </w:rPr>
        <w:t>Boostrix</w:t>
      </w:r>
      <w:proofErr w:type="spellEnd"/>
      <w:r>
        <w:rPr>
          <w:sz w:val="22"/>
        </w:rPr>
        <w:t xml:space="preserve"> ekspoziciją, pasyvaus stebėjimo duomenys su vakcina susijusio nepageidaujamo poveikio nėštumui arba vaisiaus ar naujagimio sveikatai neparodė.</w:t>
      </w:r>
    </w:p>
    <w:p w14:paraId="5FBD94F0" w14:textId="77777777" w:rsidR="00CA2E41" w:rsidRDefault="00CA2E41" w:rsidP="00CA2E41">
      <w:pPr>
        <w:rPr>
          <w:sz w:val="22"/>
        </w:rPr>
      </w:pPr>
    </w:p>
    <w:p w14:paraId="07079841" w14:textId="77777777" w:rsidR="00CA2E41" w:rsidRDefault="00CA2E41" w:rsidP="00CA2E41">
      <w:pPr>
        <w:rPr>
          <w:sz w:val="22"/>
        </w:rPr>
      </w:pPr>
      <w:bookmarkStart w:id="5" w:name="_Hlk55028306"/>
      <w:r>
        <w:rPr>
          <w:sz w:val="22"/>
        </w:rPr>
        <w:t xml:space="preserve">Kaip ir skiepijant kitomis </w:t>
      </w:r>
      <w:proofErr w:type="spellStart"/>
      <w:r>
        <w:rPr>
          <w:sz w:val="22"/>
        </w:rPr>
        <w:t>inaktyvuotomis</w:t>
      </w:r>
      <w:proofErr w:type="spellEnd"/>
      <w:r>
        <w:rPr>
          <w:sz w:val="22"/>
        </w:rPr>
        <w:t xml:space="preserve"> vakcinomis, nesitikima, kad vakcinacija BOOSTRIX POLIO kuriame nors nėštumo trimestre pakenktų vaisiui. </w:t>
      </w:r>
      <w:bookmarkEnd w:id="5"/>
    </w:p>
    <w:p w14:paraId="496899A7" w14:textId="7B12740C" w:rsidR="00CA2E41" w:rsidRDefault="00CA2E41" w:rsidP="00CA2E41">
      <w:pPr>
        <w:rPr>
          <w:sz w:val="22"/>
        </w:rPr>
      </w:pPr>
      <w:r>
        <w:rPr>
          <w:sz w:val="22"/>
        </w:rPr>
        <w:t>Tyrimai su gyvūnais tiesioginio ar netiesioginio kenksmingo poveikio nėštumui, embriono ir (arba) vaisiaus vystymuisi, gimdymui ar naujagimio vystymuisi neparodė (žr. 5.3</w:t>
      </w:r>
      <w:r w:rsidR="00FF305A">
        <w:rPr>
          <w:sz w:val="22"/>
        </w:rPr>
        <w:t> </w:t>
      </w:r>
      <w:r>
        <w:rPr>
          <w:sz w:val="22"/>
        </w:rPr>
        <w:t xml:space="preserve">skyrių). </w:t>
      </w:r>
    </w:p>
    <w:p w14:paraId="4CDB83AB" w14:textId="77777777" w:rsidR="00CA2E41" w:rsidRDefault="00CA2E41" w:rsidP="00CA2E41">
      <w:pPr>
        <w:rPr>
          <w:sz w:val="22"/>
        </w:rPr>
      </w:pPr>
    </w:p>
    <w:p w14:paraId="1C571575" w14:textId="77777777" w:rsidR="00CA2E41" w:rsidRDefault="00CA2E41" w:rsidP="00CA2E41">
      <w:pPr>
        <w:keepNext/>
        <w:rPr>
          <w:sz w:val="22"/>
          <w:u w:val="single"/>
        </w:rPr>
      </w:pPr>
      <w:r>
        <w:rPr>
          <w:sz w:val="22"/>
          <w:u w:val="single"/>
        </w:rPr>
        <w:lastRenderedPageBreak/>
        <w:t>Žindymas</w:t>
      </w:r>
    </w:p>
    <w:p w14:paraId="53DEF747" w14:textId="77777777" w:rsidR="00CA2E41" w:rsidRDefault="00CA2E41" w:rsidP="00CA2E41">
      <w:pPr>
        <w:keepNext/>
        <w:rPr>
          <w:sz w:val="22"/>
          <w:u w:val="single"/>
        </w:rPr>
      </w:pPr>
    </w:p>
    <w:p w14:paraId="2BC14D77" w14:textId="77777777" w:rsidR="00CA2E41" w:rsidRDefault="00CA2E41" w:rsidP="00CA2E41">
      <w:pPr>
        <w:rPr>
          <w:sz w:val="22"/>
        </w:rPr>
      </w:pPr>
      <w:r>
        <w:rPr>
          <w:sz w:val="22"/>
        </w:rPr>
        <w:t xml:space="preserve">Vakcinos poveikis vartojant žindymo laikotarpiu nėra įvertintas. Kadangi vakcinoje yra </w:t>
      </w:r>
      <w:proofErr w:type="spellStart"/>
      <w:r>
        <w:rPr>
          <w:sz w:val="22"/>
        </w:rPr>
        <w:t>anatoksinai</w:t>
      </w:r>
      <w:proofErr w:type="spellEnd"/>
      <w:r>
        <w:rPr>
          <w:sz w:val="22"/>
        </w:rPr>
        <w:t xml:space="preserve"> bei </w:t>
      </w:r>
      <w:proofErr w:type="spellStart"/>
      <w:r>
        <w:rPr>
          <w:sz w:val="22"/>
        </w:rPr>
        <w:t>inaktyvuoti</w:t>
      </w:r>
      <w:proofErr w:type="spellEnd"/>
      <w:r>
        <w:rPr>
          <w:sz w:val="22"/>
        </w:rPr>
        <w:t xml:space="preserve"> antigenai, žalingo poveikio žindomam kūdikiui nesitikima. Naudos ir rizikos santykį skiepijant BOOSTRIX POLIO žindymo laikotarpiu turėtų įvertinti gydytojas.</w:t>
      </w:r>
    </w:p>
    <w:p w14:paraId="31C58C92" w14:textId="77777777" w:rsidR="00CA2E41" w:rsidRDefault="00CA2E41" w:rsidP="00CA2E41">
      <w:pPr>
        <w:rPr>
          <w:sz w:val="22"/>
          <w:u w:val="single"/>
        </w:rPr>
      </w:pPr>
    </w:p>
    <w:p w14:paraId="02AE9BAD" w14:textId="77777777" w:rsidR="00CA2E41" w:rsidRDefault="00CA2E41" w:rsidP="00CA2E41">
      <w:pPr>
        <w:rPr>
          <w:sz w:val="22"/>
          <w:u w:val="single"/>
        </w:rPr>
      </w:pPr>
      <w:r>
        <w:rPr>
          <w:sz w:val="22"/>
          <w:u w:val="single"/>
        </w:rPr>
        <w:t>Vaisingumas</w:t>
      </w:r>
    </w:p>
    <w:p w14:paraId="7F96FF21" w14:textId="77777777" w:rsidR="00CA2E41" w:rsidRDefault="00CA2E41" w:rsidP="00CA2E41">
      <w:pPr>
        <w:rPr>
          <w:sz w:val="22"/>
          <w:u w:val="single"/>
        </w:rPr>
      </w:pPr>
    </w:p>
    <w:p w14:paraId="5EC6998A" w14:textId="6B735E18" w:rsidR="00CA2E41" w:rsidRDefault="00CA2E41" w:rsidP="00CA2E41">
      <w:pPr>
        <w:pStyle w:val="Default"/>
        <w:rPr>
          <w:sz w:val="22"/>
          <w:szCs w:val="22"/>
          <w:lang w:val="lt-LT"/>
        </w:rPr>
      </w:pPr>
      <w:proofErr w:type="spellStart"/>
      <w:r>
        <w:rPr>
          <w:sz w:val="22"/>
          <w:szCs w:val="22"/>
          <w:lang w:val="lt-LT"/>
        </w:rPr>
        <w:t>Prospektyvinių</w:t>
      </w:r>
      <w:proofErr w:type="spellEnd"/>
      <w:r>
        <w:rPr>
          <w:sz w:val="22"/>
          <w:szCs w:val="22"/>
          <w:lang w:val="lt-LT"/>
        </w:rPr>
        <w:t xml:space="preserve"> tyrimų duomenų apie žmonių vaisingumą nėra. Tyrimai su gyvūnais tiesioginio ar netiesioginio kenksmingo poveikio moters vaisingumui neparodė (žr.</w:t>
      </w:r>
      <w:r w:rsidR="00FF305A">
        <w:rPr>
          <w:sz w:val="22"/>
          <w:szCs w:val="22"/>
          <w:lang w:val="lt-LT"/>
        </w:rPr>
        <w:t> </w:t>
      </w:r>
      <w:r>
        <w:rPr>
          <w:sz w:val="22"/>
          <w:szCs w:val="22"/>
          <w:lang w:val="lt-LT"/>
        </w:rPr>
        <w:t>5.3</w:t>
      </w:r>
      <w:r w:rsidR="00FF305A">
        <w:rPr>
          <w:sz w:val="22"/>
          <w:szCs w:val="22"/>
          <w:lang w:val="lt-LT"/>
        </w:rPr>
        <w:t> </w:t>
      </w:r>
      <w:r>
        <w:rPr>
          <w:sz w:val="22"/>
          <w:szCs w:val="22"/>
          <w:lang w:val="lt-LT"/>
        </w:rPr>
        <w:t>skyrių).</w:t>
      </w:r>
    </w:p>
    <w:p w14:paraId="03FD19FB" w14:textId="77777777" w:rsidR="00CA2E41" w:rsidRDefault="00CA2E41" w:rsidP="00CA2E41">
      <w:pPr>
        <w:rPr>
          <w:sz w:val="22"/>
        </w:rPr>
      </w:pPr>
    </w:p>
    <w:p w14:paraId="1FDA534E" w14:textId="77777777" w:rsidR="00CA2E41" w:rsidRDefault="00CA2E41" w:rsidP="00CA2E41">
      <w:pPr>
        <w:rPr>
          <w:b/>
          <w:sz w:val="22"/>
        </w:rPr>
      </w:pPr>
      <w:r>
        <w:rPr>
          <w:b/>
          <w:sz w:val="22"/>
        </w:rPr>
        <w:t>4.7</w:t>
      </w:r>
      <w:r>
        <w:rPr>
          <w:b/>
          <w:sz w:val="22"/>
        </w:rPr>
        <w:tab/>
        <w:t>Poveikis gebėjimui vairuoti ir valdyti mechanizmus</w:t>
      </w:r>
    </w:p>
    <w:p w14:paraId="15BA95C1" w14:textId="77777777" w:rsidR="00CA2E41" w:rsidRDefault="00CA2E41" w:rsidP="00CA2E41">
      <w:pPr>
        <w:rPr>
          <w:sz w:val="22"/>
        </w:rPr>
      </w:pPr>
    </w:p>
    <w:p w14:paraId="320FCC5B" w14:textId="77777777" w:rsidR="00CA2E41" w:rsidRDefault="00CA2E41" w:rsidP="00CA2E41">
      <w:pPr>
        <w:rPr>
          <w:sz w:val="22"/>
        </w:rPr>
      </w:pPr>
      <w:r>
        <w:rPr>
          <w:sz w:val="22"/>
        </w:rPr>
        <w:t>Nepanašu, kad vakcina turėtų kokį nors poveikį gebėjimui vairuoti ir valdyti mechanizmus.</w:t>
      </w:r>
    </w:p>
    <w:p w14:paraId="231F7E3A" w14:textId="77777777" w:rsidR="00CA2E41" w:rsidRDefault="00CA2E41" w:rsidP="00CA2E41">
      <w:pPr>
        <w:rPr>
          <w:sz w:val="22"/>
        </w:rPr>
      </w:pPr>
    </w:p>
    <w:p w14:paraId="0A3A2F45" w14:textId="77777777" w:rsidR="00CA2E41" w:rsidRDefault="00CA2E41" w:rsidP="00CA2E41">
      <w:pPr>
        <w:keepNext/>
        <w:rPr>
          <w:b/>
          <w:sz w:val="22"/>
        </w:rPr>
      </w:pPr>
      <w:r>
        <w:rPr>
          <w:b/>
          <w:sz w:val="22"/>
        </w:rPr>
        <w:t>4.8</w:t>
      </w:r>
      <w:r>
        <w:rPr>
          <w:b/>
          <w:sz w:val="22"/>
        </w:rPr>
        <w:tab/>
        <w:t>Nepageidaujamas poveikis</w:t>
      </w:r>
    </w:p>
    <w:p w14:paraId="75342661" w14:textId="77777777" w:rsidR="00CA2E41" w:rsidRDefault="00CA2E41" w:rsidP="00CA2E41">
      <w:pPr>
        <w:keepNext/>
        <w:rPr>
          <w:sz w:val="22"/>
        </w:rPr>
      </w:pPr>
    </w:p>
    <w:p w14:paraId="6CB15FE8" w14:textId="77777777" w:rsidR="00CA2E41" w:rsidRPr="00402C81" w:rsidRDefault="00CA2E41" w:rsidP="00CA2E41">
      <w:pPr>
        <w:keepNext/>
        <w:rPr>
          <w:bCs/>
          <w:sz w:val="22"/>
          <w:u w:val="single"/>
        </w:rPr>
      </w:pPr>
      <w:r w:rsidRPr="00402C81">
        <w:rPr>
          <w:bCs/>
          <w:sz w:val="22"/>
          <w:u w:val="single"/>
        </w:rPr>
        <w:t>Saugumo duomenų santrauka</w:t>
      </w:r>
    </w:p>
    <w:p w14:paraId="6BB92D1B" w14:textId="77777777" w:rsidR="00CA2E41" w:rsidRDefault="00CA2E41" w:rsidP="00CA2E41">
      <w:pPr>
        <w:rPr>
          <w:sz w:val="22"/>
        </w:rPr>
      </w:pPr>
    </w:p>
    <w:p w14:paraId="3A045F51" w14:textId="77777777" w:rsidR="00CA2E41" w:rsidRDefault="00CA2E41" w:rsidP="00CA2E41">
      <w:pPr>
        <w:rPr>
          <w:sz w:val="22"/>
        </w:rPr>
      </w:pPr>
      <w:r>
        <w:rPr>
          <w:sz w:val="22"/>
        </w:rPr>
        <w:t>1 lentelėje pateikti saugumo duomenys yra pagrįsti klinikinių tyrimų, kurių metu BOOSTRIX POLIO buvo skirtas 908 vaikams (nuo 4 iki 8 metų amžiaus) ir 955 suaugusiesiems, paaugliams ir vaikams (nuo 10 iki 93 metų amžiaus), duomenimis.</w:t>
      </w:r>
    </w:p>
    <w:p w14:paraId="54C97FAA" w14:textId="77777777" w:rsidR="00CA2E41" w:rsidRDefault="00CA2E41" w:rsidP="00CA2E41">
      <w:pPr>
        <w:rPr>
          <w:sz w:val="22"/>
        </w:rPr>
      </w:pPr>
    </w:p>
    <w:p w14:paraId="51338369" w14:textId="43EDAD76" w:rsidR="00CA2E41" w:rsidRDefault="00CA2E41" w:rsidP="00CA2E41">
      <w:pPr>
        <w:rPr>
          <w:sz w:val="22"/>
        </w:rPr>
      </w:pPr>
      <w:r>
        <w:rPr>
          <w:sz w:val="22"/>
        </w:rPr>
        <w:t>Dažniausi nepageidaujami reiškiniai, pasireiškę po BOOSTRIX POLIO pavartojimo abiejose grupėse, buvo lokalios reakcijos injekcijos vietoje (skausmas, paraudimas, patinimas), kurios buvo nustatytos iš viso 31,3</w:t>
      </w:r>
      <w:r>
        <w:rPr>
          <w:sz w:val="22"/>
        </w:rPr>
        <w:noBreakHyphen/>
        <w:t>82,3 % tiriamųjų. Paprastai šios reakcijos prasidėdavo per pirmąsias 48</w:t>
      </w:r>
      <w:r w:rsidR="00FF305A">
        <w:rPr>
          <w:sz w:val="22"/>
        </w:rPr>
        <w:t> </w:t>
      </w:r>
      <w:r>
        <w:rPr>
          <w:sz w:val="22"/>
        </w:rPr>
        <w:t>valandas po vakcinavimo. Visos reakcijos praėjo be pasekmių.</w:t>
      </w:r>
    </w:p>
    <w:p w14:paraId="40452724" w14:textId="77777777" w:rsidR="00CA2E41" w:rsidRDefault="00CA2E41" w:rsidP="00CA2E41">
      <w:pPr>
        <w:rPr>
          <w:sz w:val="22"/>
        </w:rPr>
      </w:pPr>
    </w:p>
    <w:p w14:paraId="37FB5B4F" w14:textId="77777777" w:rsidR="00CA2E41" w:rsidRPr="00402C81" w:rsidRDefault="00CA2E41" w:rsidP="00CA2E41">
      <w:pPr>
        <w:rPr>
          <w:bCs/>
          <w:sz w:val="22"/>
          <w:u w:val="single"/>
        </w:rPr>
      </w:pPr>
      <w:r w:rsidRPr="00402C81">
        <w:rPr>
          <w:bCs/>
          <w:sz w:val="22"/>
          <w:u w:val="single"/>
        </w:rPr>
        <w:t>Nepageidaujamų reakcijų sąrašas lentelėje</w:t>
      </w:r>
    </w:p>
    <w:p w14:paraId="40EAA743" w14:textId="77777777" w:rsidR="00CA2E41" w:rsidRDefault="00CA2E41" w:rsidP="00CA2E41">
      <w:pPr>
        <w:rPr>
          <w:sz w:val="22"/>
        </w:rPr>
      </w:pPr>
    </w:p>
    <w:p w14:paraId="051F8CB6" w14:textId="77777777" w:rsidR="00CA2E41" w:rsidRDefault="00CA2E41" w:rsidP="00CA2E41">
      <w:pPr>
        <w:rPr>
          <w:sz w:val="22"/>
        </w:rPr>
      </w:pPr>
      <w:r>
        <w:rPr>
          <w:sz w:val="22"/>
        </w:rPr>
        <w:t>Nepageidaujamos reakcijos išvardytos toliau, naudojant tokius dažnio apibūdinimus:</w:t>
      </w:r>
    </w:p>
    <w:p w14:paraId="2665CDA7" w14:textId="77777777" w:rsidR="00CA2E41" w:rsidRDefault="00CA2E41" w:rsidP="00CA2E41">
      <w:pPr>
        <w:rPr>
          <w:sz w:val="22"/>
        </w:rPr>
      </w:pPr>
    </w:p>
    <w:p w14:paraId="2A8F479A" w14:textId="77777777" w:rsidR="00CA2E41" w:rsidRDefault="00CA2E41" w:rsidP="00CA2E41">
      <w:pPr>
        <w:rPr>
          <w:sz w:val="22"/>
        </w:rPr>
      </w:pPr>
      <w:r>
        <w:rPr>
          <w:sz w:val="22"/>
        </w:rPr>
        <w:t>labai dažni:</w:t>
      </w:r>
      <w:r>
        <w:rPr>
          <w:sz w:val="22"/>
        </w:rPr>
        <w:tab/>
      </w:r>
      <w:r>
        <w:rPr>
          <w:sz w:val="22"/>
        </w:rPr>
        <w:tab/>
        <w:t>(≥ 1/10);</w:t>
      </w:r>
    </w:p>
    <w:p w14:paraId="55BAA0CE" w14:textId="77777777" w:rsidR="00CA2E41" w:rsidRDefault="00CA2E41" w:rsidP="00CA2E41">
      <w:pPr>
        <w:rPr>
          <w:sz w:val="22"/>
        </w:rPr>
      </w:pPr>
      <w:r>
        <w:rPr>
          <w:sz w:val="22"/>
        </w:rPr>
        <w:t>dažni:</w:t>
      </w:r>
      <w:r>
        <w:rPr>
          <w:sz w:val="22"/>
        </w:rPr>
        <w:tab/>
      </w:r>
      <w:r>
        <w:rPr>
          <w:sz w:val="22"/>
        </w:rPr>
        <w:tab/>
      </w:r>
      <w:r>
        <w:rPr>
          <w:sz w:val="22"/>
        </w:rPr>
        <w:tab/>
        <w:t>(nuo ≥ 1/100 iki &lt; 1/10);</w:t>
      </w:r>
    </w:p>
    <w:p w14:paraId="73B7F213" w14:textId="77777777" w:rsidR="00CA2E41" w:rsidRDefault="00CA2E41" w:rsidP="00CA2E41">
      <w:pPr>
        <w:rPr>
          <w:sz w:val="22"/>
        </w:rPr>
      </w:pPr>
      <w:r>
        <w:rPr>
          <w:sz w:val="22"/>
        </w:rPr>
        <w:t>nedažni:</w:t>
      </w:r>
      <w:r>
        <w:rPr>
          <w:sz w:val="22"/>
        </w:rPr>
        <w:tab/>
      </w:r>
      <w:r>
        <w:rPr>
          <w:sz w:val="22"/>
        </w:rPr>
        <w:tab/>
        <w:t>(nuo ≥ 1/1 000 iki &lt; 1/100);</w:t>
      </w:r>
    </w:p>
    <w:p w14:paraId="72CEAAAD" w14:textId="77777777" w:rsidR="00CA2E41" w:rsidRDefault="00CA2E41" w:rsidP="00CA2E41">
      <w:pPr>
        <w:rPr>
          <w:sz w:val="22"/>
        </w:rPr>
      </w:pPr>
      <w:r>
        <w:rPr>
          <w:sz w:val="22"/>
        </w:rPr>
        <w:t>reti:</w:t>
      </w:r>
      <w:r>
        <w:rPr>
          <w:sz w:val="22"/>
        </w:rPr>
        <w:tab/>
      </w:r>
      <w:r>
        <w:rPr>
          <w:sz w:val="22"/>
        </w:rPr>
        <w:tab/>
      </w:r>
      <w:r>
        <w:rPr>
          <w:sz w:val="22"/>
        </w:rPr>
        <w:tab/>
        <w:t>(nuo ≥ 1/10 000 iki &lt; 1/1 000);</w:t>
      </w:r>
    </w:p>
    <w:p w14:paraId="7D769EB6" w14:textId="77777777" w:rsidR="00CA2E41" w:rsidRDefault="00CA2E41" w:rsidP="00CA2E41">
      <w:pPr>
        <w:rPr>
          <w:sz w:val="22"/>
        </w:rPr>
      </w:pPr>
      <w:r>
        <w:rPr>
          <w:sz w:val="22"/>
        </w:rPr>
        <w:t>labai reti:</w:t>
      </w:r>
      <w:r>
        <w:rPr>
          <w:sz w:val="22"/>
        </w:rPr>
        <w:tab/>
      </w:r>
      <w:r>
        <w:rPr>
          <w:sz w:val="22"/>
        </w:rPr>
        <w:tab/>
        <w:t>(&lt; 1/10 000).</w:t>
      </w:r>
    </w:p>
    <w:p w14:paraId="4AB3B3AA" w14:textId="77777777" w:rsidR="00CA2E41" w:rsidRDefault="00CA2E41" w:rsidP="00CA2E41">
      <w:pPr>
        <w:rPr>
          <w:sz w:val="22"/>
        </w:rPr>
      </w:pPr>
    </w:p>
    <w:p w14:paraId="6B004ADC" w14:textId="77777777" w:rsidR="00CA2E41" w:rsidRDefault="00CA2E41" w:rsidP="00CA2E41">
      <w:pPr>
        <w:keepNext/>
        <w:widowControl w:val="0"/>
        <w:numPr>
          <w:ilvl w:val="0"/>
          <w:numId w:val="4"/>
        </w:numPr>
        <w:adjustRightInd w:val="0"/>
        <w:jc w:val="both"/>
        <w:textAlignment w:val="baseline"/>
        <w:rPr>
          <w:b/>
        </w:rPr>
      </w:pPr>
      <w:r>
        <w:rPr>
          <w:b/>
          <w:sz w:val="22"/>
        </w:rPr>
        <w:t>Klinikiniai tyrimai</w:t>
      </w:r>
    </w:p>
    <w:p w14:paraId="0544CC6B" w14:textId="77777777" w:rsidR="00CA2E41" w:rsidRDefault="00CA2E41" w:rsidP="00CA2E41">
      <w:pPr>
        <w:keepNext/>
        <w:rPr>
          <w:sz w:val="22"/>
        </w:rPr>
      </w:pPr>
    </w:p>
    <w:p w14:paraId="3B62C6F7" w14:textId="102473B1" w:rsidR="00CA2E41" w:rsidRDefault="00CA2E41" w:rsidP="00CA2E41">
      <w:pPr>
        <w:keepNext/>
        <w:rPr>
          <w:sz w:val="22"/>
        </w:rPr>
      </w:pPr>
      <w:r>
        <w:rPr>
          <w:b/>
          <w:sz w:val="22"/>
        </w:rPr>
        <w:t>1</w:t>
      </w:r>
      <w:r w:rsidR="00FF305A">
        <w:rPr>
          <w:b/>
          <w:sz w:val="22"/>
        </w:rPr>
        <w:t> </w:t>
      </w:r>
      <w:r>
        <w:rPr>
          <w:b/>
          <w:sz w:val="22"/>
        </w:rPr>
        <w:t>lentelė.</w:t>
      </w:r>
      <w:r>
        <w:rPr>
          <w:sz w:val="22"/>
        </w:rPr>
        <w:t xml:space="preserve"> Nepageidaujamos reakcijos, apie kurias buvo pranešta BOOSTRIX POLIO klinikinių tyrimų metu</w:t>
      </w:r>
    </w:p>
    <w:p w14:paraId="5777BE02" w14:textId="77777777" w:rsidR="00CA2E41" w:rsidRDefault="00CA2E41" w:rsidP="00CA2E41">
      <w:pPr>
        <w:keepNex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173"/>
        <w:gridCol w:w="2631"/>
        <w:gridCol w:w="2994"/>
      </w:tblGrid>
      <w:tr w:rsidR="00CA2E41" w14:paraId="7790F91A" w14:textId="77777777" w:rsidTr="00E30FAC">
        <w:tc>
          <w:tcPr>
            <w:tcW w:w="2321" w:type="dxa"/>
            <w:vMerge w:val="restart"/>
            <w:tcBorders>
              <w:top w:val="single" w:sz="4" w:space="0" w:color="auto"/>
              <w:left w:val="single" w:sz="4" w:space="0" w:color="auto"/>
              <w:bottom w:val="single" w:sz="4" w:space="0" w:color="auto"/>
              <w:right w:val="single" w:sz="4" w:space="0" w:color="auto"/>
            </w:tcBorders>
            <w:hideMark/>
          </w:tcPr>
          <w:p w14:paraId="27C1291F" w14:textId="77777777" w:rsidR="00CA2E41" w:rsidRDefault="00CA2E41" w:rsidP="00E30FAC">
            <w:pPr>
              <w:spacing w:line="256" w:lineRule="auto"/>
              <w:rPr>
                <w:b/>
                <w:i/>
                <w:sz w:val="22"/>
                <w:lang w:eastAsia="en-US"/>
              </w:rPr>
            </w:pPr>
            <w:r>
              <w:rPr>
                <w:b/>
                <w:i/>
                <w:sz w:val="22"/>
                <w:lang w:eastAsia="en-US"/>
              </w:rPr>
              <w:t>Organų sistemų klasės</w:t>
            </w:r>
          </w:p>
        </w:tc>
        <w:tc>
          <w:tcPr>
            <w:tcW w:w="1189" w:type="dxa"/>
            <w:vMerge w:val="restart"/>
            <w:tcBorders>
              <w:top w:val="single" w:sz="4" w:space="0" w:color="auto"/>
              <w:left w:val="single" w:sz="4" w:space="0" w:color="auto"/>
              <w:bottom w:val="single" w:sz="4" w:space="0" w:color="auto"/>
              <w:right w:val="single" w:sz="4" w:space="0" w:color="auto"/>
            </w:tcBorders>
            <w:hideMark/>
          </w:tcPr>
          <w:p w14:paraId="38534E4C" w14:textId="77777777" w:rsidR="00CA2E41" w:rsidRDefault="00CA2E41" w:rsidP="00E30FAC">
            <w:pPr>
              <w:spacing w:line="256" w:lineRule="auto"/>
              <w:rPr>
                <w:b/>
                <w:i/>
                <w:sz w:val="22"/>
                <w:lang w:eastAsia="en-US"/>
              </w:rPr>
            </w:pPr>
            <w:r>
              <w:rPr>
                <w:b/>
                <w:i/>
                <w:sz w:val="22"/>
                <w:lang w:eastAsia="en-US"/>
              </w:rPr>
              <w:t xml:space="preserve">Dažnis </w:t>
            </w:r>
          </w:p>
        </w:tc>
        <w:tc>
          <w:tcPr>
            <w:tcW w:w="5776" w:type="dxa"/>
            <w:gridSpan w:val="2"/>
            <w:tcBorders>
              <w:top w:val="single" w:sz="4" w:space="0" w:color="auto"/>
              <w:left w:val="single" w:sz="4" w:space="0" w:color="auto"/>
              <w:bottom w:val="single" w:sz="4" w:space="0" w:color="auto"/>
              <w:right w:val="single" w:sz="4" w:space="0" w:color="auto"/>
            </w:tcBorders>
            <w:hideMark/>
          </w:tcPr>
          <w:p w14:paraId="6EEF90C0" w14:textId="77777777" w:rsidR="00CA2E41" w:rsidRDefault="00CA2E41" w:rsidP="00E30FAC">
            <w:pPr>
              <w:spacing w:line="256" w:lineRule="auto"/>
              <w:jc w:val="center"/>
              <w:rPr>
                <w:b/>
                <w:i/>
                <w:sz w:val="22"/>
                <w:lang w:eastAsia="en-US"/>
              </w:rPr>
            </w:pPr>
            <w:r>
              <w:rPr>
                <w:b/>
                <w:i/>
                <w:sz w:val="22"/>
                <w:lang w:eastAsia="en-US"/>
              </w:rPr>
              <w:t>Nepageidaujamos reakcijos</w:t>
            </w:r>
          </w:p>
        </w:tc>
      </w:tr>
      <w:tr w:rsidR="00CA2E41" w14:paraId="46E06422" w14:textId="77777777" w:rsidTr="00E30FAC">
        <w:tc>
          <w:tcPr>
            <w:tcW w:w="0" w:type="auto"/>
            <w:vMerge/>
            <w:tcBorders>
              <w:top w:val="single" w:sz="4" w:space="0" w:color="auto"/>
              <w:left w:val="single" w:sz="4" w:space="0" w:color="auto"/>
              <w:bottom w:val="single" w:sz="4" w:space="0" w:color="auto"/>
              <w:right w:val="single" w:sz="4" w:space="0" w:color="auto"/>
            </w:tcBorders>
            <w:vAlign w:val="center"/>
            <w:hideMark/>
          </w:tcPr>
          <w:p w14:paraId="0FB15542" w14:textId="77777777" w:rsidR="00CA2E41" w:rsidRDefault="00CA2E41" w:rsidP="00E30FAC">
            <w:pPr>
              <w:tabs>
                <w:tab w:val="clear" w:pos="567"/>
              </w:tabs>
              <w:spacing w:line="256" w:lineRule="auto"/>
              <w:rPr>
                <w:b/>
                <w:i/>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06D5D" w14:textId="77777777" w:rsidR="00CA2E41" w:rsidRDefault="00CA2E41" w:rsidP="00E30FAC">
            <w:pPr>
              <w:tabs>
                <w:tab w:val="clear" w:pos="567"/>
              </w:tabs>
              <w:spacing w:line="256" w:lineRule="auto"/>
              <w:rPr>
                <w:b/>
                <w:i/>
                <w:sz w:val="22"/>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74105EF3" w14:textId="77777777" w:rsidR="00CA2E41" w:rsidRDefault="00CA2E41" w:rsidP="00E30FAC">
            <w:pPr>
              <w:spacing w:line="256" w:lineRule="auto"/>
              <w:jc w:val="center"/>
              <w:rPr>
                <w:b/>
                <w:i/>
                <w:sz w:val="22"/>
                <w:lang w:eastAsia="en-US"/>
              </w:rPr>
            </w:pPr>
            <w:r>
              <w:rPr>
                <w:b/>
                <w:i/>
                <w:sz w:val="22"/>
                <w:lang w:eastAsia="en-US"/>
              </w:rPr>
              <w:t>4</w:t>
            </w:r>
            <w:r>
              <w:rPr>
                <w:b/>
                <w:i/>
                <w:sz w:val="22"/>
                <w:lang w:eastAsia="en-US"/>
              </w:rPr>
              <w:noBreakHyphen/>
              <w:t>8 metų tiriamieji</w:t>
            </w:r>
          </w:p>
          <w:p w14:paraId="33178C23" w14:textId="77777777" w:rsidR="00CA2E41" w:rsidRDefault="00CA2E41" w:rsidP="00E30FAC">
            <w:pPr>
              <w:spacing w:line="256" w:lineRule="auto"/>
              <w:jc w:val="center"/>
              <w:rPr>
                <w:b/>
                <w:i/>
                <w:sz w:val="22"/>
                <w:lang w:eastAsia="en-US"/>
              </w:rPr>
            </w:pPr>
            <w:r>
              <w:rPr>
                <w:b/>
                <w:i/>
                <w:sz w:val="22"/>
                <w:lang w:eastAsia="en-US"/>
              </w:rPr>
              <w:t>(N = 908)</w:t>
            </w:r>
          </w:p>
        </w:tc>
        <w:tc>
          <w:tcPr>
            <w:tcW w:w="3082" w:type="dxa"/>
            <w:tcBorders>
              <w:top w:val="single" w:sz="4" w:space="0" w:color="auto"/>
              <w:left w:val="single" w:sz="4" w:space="0" w:color="auto"/>
              <w:bottom w:val="single" w:sz="4" w:space="0" w:color="auto"/>
              <w:right w:val="single" w:sz="4" w:space="0" w:color="auto"/>
            </w:tcBorders>
            <w:hideMark/>
          </w:tcPr>
          <w:p w14:paraId="2967D7EF" w14:textId="77777777" w:rsidR="00CA2E41" w:rsidRDefault="00CA2E41" w:rsidP="00E30FAC">
            <w:pPr>
              <w:spacing w:line="256" w:lineRule="auto"/>
              <w:jc w:val="center"/>
              <w:rPr>
                <w:b/>
                <w:i/>
                <w:sz w:val="22"/>
                <w:lang w:eastAsia="en-US"/>
              </w:rPr>
            </w:pPr>
            <w:r>
              <w:rPr>
                <w:b/>
                <w:i/>
                <w:sz w:val="22"/>
                <w:lang w:eastAsia="en-US"/>
              </w:rPr>
              <w:t>10</w:t>
            </w:r>
            <w:r>
              <w:rPr>
                <w:b/>
                <w:i/>
                <w:sz w:val="22"/>
                <w:lang w:eastAsia="en-US"/>
              </w:rPr>
              <w:noBreakHyphen/>
              <w:t>93 metų tiriamieji</w:t>
            </w:r>
          </w:p>
          <w:p w14:paraId="0FD3AEAA" w14:textId="77777777" w:rsidR="00CA2E41" w:rsidRDefault="00CA2E41" w:rsidP="00E30FAC">
            <w:pPr>
              <w:spacing w:line="256" w:lineRule="auto"/>
              <w:jc w:val="center"/>
              <w:rPr>
                <w:b/>
                <w:i/>
                <w:sz w:val="22"/>
                <w:lang w:eastAsia="en-US"/>
              </w:rPr>
            </w:pPr>
            <w:r>
              <w:rPr>
                <w:b/>
                <w:i/>
                <w:sz w:val="22"/>
                <w:lang w:eastAsia="en-US"/>
              </w:rPr>
              <w:t>(N = 955)</w:t>
            </w:r>
          </w:p>
        </w:tc>
      </w:tr>
      <w:tr w:rsidR="00CA2E41" w14:paraId="578B066D" w14:textId="77777777" w:rsidTr="00E30FAC">
        <w:tc>
          <w:tcPr>
            <w:tcW w:w="2321" w:type="dxa"/>
            <w:tcBorders>
              <w:top w:val="single" w:sz="4" w:space="0" w:color="auto"/>
              <w:left w:val="single" w:sz="4" w:space="0" w:color="auto"/>
              <w:bottom w:val="single" w:sz="4" w:space="0" w:color="auto"/>
              <w:right w:val="single" w:sz="4" w:space="0" w:color="auto"/>
            </w:tcBorders>
            <w:hideMark/>
          </w:tcPr>
          <w:p w14:paraId="296E44EB" w14:textId="77777777" w:rsidR="00CA2E41" w:rsidRDefault="00CA2E41" w:rsidP="00E30FAC">
            <w:pPr>
              <w:spacing w:line="256" w:lineRule="auto"/>
              <w:rPr>
                <w:b/>
                <w:i/>
                <w:sz w:val="22"/>
                <w:lang w:eastAsia="en-US"/>
              </w:rPr>
            </w:pPr>
            <w:r>
              <w:rPr>
                <w:b/>
                <w:i/>
                <w:sz w:val="22"/>
                <w:lang w:eastAsia="en-US"/>
              </w:rPr>
              <w:t xml:space="preserve">Infekcijos ir </w:t>
            </w:r>
            <w:proofErr w:type="spellStart"/>
            <w:r>
              <w:rPr>
                <w:b/>
                <w:i/>
                <w:sz w:val="22"/>
                <w:lang w:eastAsia="en-US"/>
              </w:rPr>
              <w:t>infestacijos</w:t>
            </w:r>
            <w:proofErr w:type="spellEnd"/>
          </w:p>
        </w:tc>
        <w:tc>
          <w:tcPr>
            <w:tcW w:w="1189" w:type="dxa"/>
            <w:tcBorders>
              <w:top w:val="single" w:sz="4" w:space="0" w:color="auto"/>
              <w:left w:val="single" w:sz="4" w:space="0" w:color="auto"/>
              <w:bottom w:val="single" w:sz="4" w:space="0" w:color="auto"/>
              <w:right w:val="single" w:sz="4" w:space="0" w:color="auto"/>
            </w:tcBorders>
            <w:hideMark/>
          </w:tcPr>
          <w:p w14:paraId="0656B9AD" w14:textId="77777777" w:rsidR="00CA2E41" w:rsidRDefault="00CA2E41" w:rsidP="00E30FAC">
            <w:pPr>
              <w:spacing w:line="256" w:lineRule="auto"/>
              <w:rPr>
                <w:sz w:val="22"/>
                <w:lang w:eastAsia="en-US"/>
              </w:rPr>
            </w:pPr>
            <w:r>
              <w:rPr>
                <w:sz w:val="22"/>
                <w:lang w:eastAsia="en-US"/>
              </w:rPr>
              <w:t>Nedažni</w:t>
            </w:r>
          </w:p>
        </w:tc>
        <w:tc>
          <w:tcPr>
            <w:tcW w:w="2694" w:type="dxa"/>
            <w:tcBorders>
              <w:top w:val="single" w:sz="4" w:space="0" w:color="auto"/>
              <w:left w:val="single" w:sz="4" w:space="0" w:color="auto"/>
              <w:bottom w:val="single" w:sz="4" w:space="0" w:color="auto"/>
              <w:right w:val="single" w:sz="4" w:space="0" w:color="auto"/>
            </w:tcBorders>
          </w:tcPr>
          <w:p w14:paraId="481DCE34" w14:textId="77777777" w:rsidR="00CA2E41" w:rsidRDefault="00CA2E41" w:rsidP="00E30FAC">
            <w:pPr>
              <w:spacing w:line="256" w:lineRule="auto"/>
              <w:rPr>
                <w:sz w:val="22"/>
                <w:lang w:eastAsia="en-US"/>
              </w:rPr>
            </w:pPr>
          </w:p>
        </w:tc>
        <w:tc>
          <w:tcPr>
            <w:tcW w:w="3082" w:type="dxa"/>
            <w:tcBorders>
              <w:top w:val="single" w:sz="4" w:space="0" w:color="auto"/>
              <w:left w:val="single" w:sz="4" w:space="0" w:color="auto"/>
              <w:bottom w:val="single" w:sz="4" w:space="0" w:color="auto"/>
              <w:right w:val="single" w:sz="4" w:space="0" w:color="auto"/>
            </w:tcBorders>
            <w:hideMark/>
          </w:tcPr>
          <w:p w14:paraId="3A7C8F1C" w14:textId="77777777" w:rsidR="00CA2E41" w:rsidRDefault="00CA2E41" w:rsidP="00E30FAC">
            <w:pPr>
              <w:spacing w:line="256" w:lineRule="auto"/>
              <w:rPr>
                <w:sz w:val="22"/>
                <w:lang w:eastAsia="en-US"/>
              </w:rPr>
            </w:pPr>
            <w:r>
              <w:rPr>
                <w:sz w:val="22"/>
                <w:lang w:eastAsia="en-US"/>
              </w:rPr>
              <w:t>Burnos pūslelinė.</w:t>
            </w:r>
          </w:p>
        </w:tc>
      </w:tr>
      <w:tr w:rsidR="00CA2E41" w14:paraId="12E61E86" w14:textId="77777777" w:rsidTr="00E30FAC">
        <w:tc>
          <w:tcPr>
            <w:tcW w:w="2321" w:type="dxa"/>
            <w:tcBorders>
              <w:top w:val="single" w:sz="4" w:space="0" w:color="auto"/>
              <w:left w:val="single" w:sz="4" w:space="0" w:color="auto"/>
              <w:bottom w:val="single" w:sz="4" w:space="0" w:color="auto"/>
              <w:right w:val="single" w:sz="4" w:space="0" w:color="auto"/>
            </w:tcBorders>
            <w:hideMark/>
          </w:tcPr>
          <w:p w14:paraId="0B827AF6" w14:textId="77777777" w:rsidR="00CA2E41" w:rsidRDefault="00CA2E41" w:rsidP="00E30FAC">
            <w:pPr>
              <w:spacing w:line="256" w:lineRule="auto"/>
              <w:rPr>
                <w:b/>
                <w:i/>
                <w:sz w:val="22"/>
                <w:lang w:eastAsia="en-US"/>
              </w:rPr>
            </w:pPr>
            <w:r>
              <w:rPr>
                <w:b/>
                <w:i/>
                <w:sz w:val="22"/>
                <w:lang w:eastAsia="en-US"/>
              </w:rPr>
              <w:t>Kraujo ir limfinės sistemos sutrikimai</w:t>
            </w:r>
          </w:p>
        </w:tc>
        <w:tc>
          <w:tcPr>
            <w:tcW w:w="1189" w:type="dxa"/>
            <w:tcBorders>
              <w:top w:val="single" w:sz="4" w:space="0" w:color="auto"/>
              <w:left w:val="single" w:sz="4" w:space="0" w:color="auto"/>
              <w:bottom w:val="single" w:sz="4" w:space="0" w:color="auto"/>
              <w:right w:val="single" w:sz="4" w:space="0" w:color="auto"/>
            </w:tcBorders>
            <w:hideMark/>
          </w:tcPr>
          <w:p w14:paraId="27B3F068" w14:textId="77777777" w:rsidR="00CA2E41" w:rsidRDefault="00CA2E41" w:rsidP="00E30FAC">
            <w:pPr>
              <w:spacing w:line="256" w:lineRule="auto"/>
              <w:rPr>
                <w:sz w:val="22"/>
                <w:lang w:eastAsia="en-US"/>
              </w:rPr>
            </w:pPr>
            <w:r>
              <w:rPr>
                <w:sz w:val="22"/>
                <w:lang w:eastAsia="en-US"/>
              </w:rPr>
              <w:t>Nedažni</w:t>
            </w:r>
          </w:p>
        </w:tc>
        <w:tc>
          <w:tcPr>
            <w:tcW w:w="2694" w:type="dxa"/>
            <w:tcBorders>
              <w:top w:val="single" w:sz="4" w:space="0" w:color="auto"/>
              <w:left w:val="single" w:sz="4" w:space="0" w:color="auto"/>
              <w:bottom w:val="single" w:sz="4" w:space="0" w:color="auto"/>
              <w:right w:val="single" w:sz="4" w:space="0" w:color="auto"/>
            </w:tcBorders>
            <w:hideMark/>
          </w:tcPr>
          <w:p w14:paraId="3D1A92BC" w14:textId="77777777" w:rsidR="00CA2E41" w:rsidRDefault="00CA2E41" w:rsidP="00E30FAC">
            <w:pPr>
              <w:spacing w:line="256" w:lineRule="auto"/>
              <w:rPr>
                <w:sz w:val="22"/>
                <w:lang w:eastAsia="en-US"/>
              </w:rPr>
            </w:pPr>
            <w:proofErr w:type="spellStart"/>
            <w:r>
              <w:rPr>
                <w:sz w:val="22"/>
                <w:lang w:eastAsia="en-US"/>
              </w:rPr>
              <w:t>Limfadenopatija</w:t>
            </w:r>
            <w:proofErr w:type="spellEnd"/>
            <w:r>
              <w:rPr>
                <w:sz w:val="22"/>
                <w:lang w:eastAsia="en-US"/>
              </w:rPr>
              <w:t>.</w:t>
            </w:r>
          </w:p>
        </w:tc>
        <w:tc>
          <w:tcPr>
            <w:tcW w:w="3082" w:type="dxa"/>
            <w:tcBorders>
              <w:top w:val="single" w:sz="4" w:space="0" w:color="auto"/>
              <w:left w:val="single" w:sz="4" w:space="0" w:color="auto"/>
              <w:bottom w:val="single" w:sz="4" w:space="0" w:color="auto"/>
              <w:right w:val="single" w:sz="4" w:space="0" w:color="auto"/>
            </w:tcBorders>
            <w:hideMark/>
          </w:tcPr>
          <w:p w14:paraId="3F7BFEAE" w14:textId="77777777" w:rsidR="00CA2E41" w:rsidRDefault="00CA2E41" w:rsidP="00E30FAC">
            <w:pPr>
              <w:spacing w:line="256" w:lineRule="auto"/>
              <w:rPr>
                <w:sz w:val="22"/>
                <w:lang w:eastAsia="en-US"/>
              </w:rPr>
            </w:pPr>
            <w:proofErr w:type="spellStart"/>
            <w:r>
              <w:rPr>
                <w:sz w:val="22"/>
                <w:lang w:eastAsia="en-US"/>
              </w:rPr>
              <w:t>Limfadenopatija</w:t>
            </w:r>
            <w:proofErr w:type="spellEnd"/>
            <w:r>
              <w:rPr>
                <w:sz w:val="22"/>
                <w:lang w:eastAsia="en-US"/>
              </w:rPr>
              <w:t>.</w:t>
            </w:r>
          </w:p>
        </w:tc>
      </w:tr>
      <w:tr w:rsidR="00CA2E41" w14:paraId="0FE0BDFA" w14:textId="77777777" w:rsidTr="00E30FAC">
        <w:tc>
          <w:tcPr>
            <w:tcW w:w="2321" w:type="dxa"/>
            <w:vMerge w:val="restart"/>
            <w:tcBorders>
              <w:top w:val="single" w:sz="4" w:space="0" w:color="auto"/>
              <w:left w:val="single" w:sz="4" w:space="0" w:color="auto"/>
              <w:bottom w:val="single" w:sz="4" w:space="0" w:color="auto"/>
              <w:right w:val="single" w:sz="4" w:space="0" w:color="auto"/>
            </w:tcBorders>
            <w:hideMark/>
          </w:tcPr>
          <w:p w14:paraId="212DAED5" w14:textId="77777777" w:rsidR="00CA2E41" w:rsidRDefault="00CA2E41" w:rsidP="00E30FAC">
            <w:pPr>
              <w:spacing w:line="256" w:lineRule="auto"/>
              <w:rPr>
                <w:b/>
                <w:i/>
                <w:sz w:val="22"/>
                <w:lang w:eastAsia="en-US"/>
              </w:rPr>
            </w:pPr>
            <w:r>
              <w:rPr>
                <w:b/>
                <w:i/>
                <w:sz w:val="22"/>
                <w:lang w:eastAsia="en-US"/>
              </w:rPr>
              <w:t>Metabolizmo ir mitybos sutrikimai</w:t>
            </w:r>
          </w:p>
        </w:tc>
        <w:tc>
          <w:tcPr>
            <w:tcW w:w="1189" w:type="dxa"/>
            <w:tcBorders>
              <w:top w:val="single" w:sz="4" w:space="0" w:color="auto"/>
              <w:left w:val="single" w:sz="4" w:space="0" w:color="auto"/>
              <w:bottom w:val="single" w:sz="4" w:space="0" w:color="auto"/>
              <w:right w:val="single" w:sz="4" w:space="0" w:color="auto"/>
            </w:tcBorders>
            <w:hideMark/>
          </w:tcPr>
          <w:p w14:paraId="7098E509" w14:textId="77777777" w:rsidR="00CA2E41" w:rsidRDefault="00CA2E41" w:rsidP="00E30FAC">
            <w:pPr>
              <w:spacing w:line="256" w:lineRule="auto"/>
              <w:rPr>
                <w:sz w:val="22"/>
                <w:lang w:eastAsia="en-US"/>
              </w:rPr>
            </w:pPr>
            <w:r>
              <w:rPr>
                <w:sz w:val="22"/>
                <w:lang w:eastAsia="en-US"/>
              </w:rPr>
              <w:t xml:space="preserve">Dažni </w:t>
            </w:r>
          </w:p>
        </w:tc>
        <w:tc>
          <w:tcPr>
            <w:tcW w:w="2694" w:type="dxa"/>
            <w:tcBorders>
              <w:top w:val="single" w:sz="4" w:space="0" w:color="auto"/>
              <w:left w:val="single" w:sz="4" w:space="0" w:color="auto"/>
              <w:bottom w:val="single" w:sz="4" w:space="0" w:color="auto"/>
              <w:right w:val="single" w:sz="4" w:space="0" w:color="auto"/>
            </w:tcBorders>
          </w:tcPr>
          <w:p w14:paraId="34978B4C" w14:textId="77777777" w:rsidR="00CA2E41" w:rsidRDefault="00CA2E41" w:rsidP="00E30FAC">
            <w:pPr>
              <w:spacing w:line="256" w:lineRule="auto"/>
              <w:rPr>
                <w:sz w:val="22"/>
                <w:lang w:eastAsia="en-US"/>
              </w:rPr>
            </w:pPr>
            <w:r>
              <w:rPr>
                <w:sz w:val="22"/>
                <w:lang w:eastAsia="en-US"/>
              </w:rPr>
              <w:t>Anoreksija.</w:t>
            </w:r>
          </w:p>
          <w:p w14:paraId="34C7B45B" w14:textId="77777777" w:rsidR="00CA2E41" w:rsidRDefault="00CA2E41" w:rsidP="00E30FAC">
            <w:pPr>
              <w:spacing w:line="256" w:lineRule="auto"/>
              <w:rPr>
                <w:sz w:val="22"/>
                <w:lang w:eastAsia="en-US"/>
              </w:rPr>
            </w:pPr>
          </w:p>
        </w:tc>
        <w:tc>
          <w:tcPr>
            <w:tcW w:w="3082" w:type="dxa"/>
            <w:tcBorders>
              <w:top w:val="single" w:sz="4" w:space="0" w:color="auto"/>
              <w:left w:val="single" w:sz="4" w:space="0" w:color="auto"/>
              <w:bottom w:val="single" w:sz="4" w:space="0" w:color="auto"/>
              <w:right w:val="single" w:sz="4" w:space="0" w:color="auto"/>
            </w:tcBorders>
          </w:tcPr>
          <w:p w14:paraId="6C5EE76A" w14:textId="77777777" w:rsidR="00CA2E41" w:rsidRDefault="00CA2E41" w:rsidP="00E30FAC">
            <w:pPr>
              <w:spacing w:line="256" w:lineRule="auto"/>
              <w:rPr>
                <w:sz w:val="22"/>
                <w:lang w:eastAsia="en-US"/>
              </w:rPr>
            </w:pPr>
          </w:p>
        </w:tc>
      </w:tr>
      <w:tr w:rsidR="00CA2E41" w14:paraId="18D9A17E" w14:textId="77777777" w:rsidTr="00E30FAC">
        <w:tc>
          <w:tcPr>
            <w:tcW w:w="0" w:type="auto"/>
            <w:vMerge/>
            <w:tcBorders>
              <w:top w:val="single" w:sz="4" w:space="0" w:color="auto"/>
              <w:left w:val="single" w:sz="4" w:space="0" w:color="auto"/>
              <w:bottom w:val="single" w:sz="4" w:space="0" w:color="auto"/>
              <w:right w:val="single" w:sz="4" w:space="0" w:color="auto"/>
            </w:tcBorders>
            <w:vAlign w:val="center"/>
            <w:hideMark/>
          </w:tcPr>
          <w:p w14:paraId="3BE4EC06" w14:textId="77777777" w:rsidR="00CA2E41" w:rsidRDefault="00CA2E41" w:rsidP="00E30FAC">
            <w:pPr>
              <w:tabs>
                <w:tab w:val="clear" w:pos="567"/>
              </w:tabs>
              <w:spacing w:line="256" w:lineRule="auto"/>
              <w:rPr>
                <w:b/>
                <w:i/>
                <w:sz w:val="22"/>
                <w:lang w:eastAsia="en-US"/>
              </w:rPr>
            </w:pPr>
          </w:p>
        </w:tc>
        <w:tc>
          <w:tcPr>
            <w:tcW w:w="1189" w:type="dxa"/>
            <w:tcBorders>
              <w:top w:val="single" w:sz="4" w:space="0" w:color="auto"/>
              <w:left w:val="single" w:sz="4" w:space="0" w:color="auto"/>
              <w:bottom w:val="single" w:sz="4" w:space="0" w:color="auto"/>
              <w:right w:val="single" w:sz="4" w:space="0" w:color="auto"/>
            </w:tcBorders>
            <w:hideMark/>
          </w:tcPr>
          <w:p w14:paraId="583F719A" w14:textId="77777777" w:rsidR="00CA2E41" w:rsidRDefault="00CA2E41" w:rsidP="00E30FAC">
            <w:pPr>
              <w:spacing w:line="256" w:lineRule="auto"/>
              <w:rPr>
                <w:sz w:val="22"/>
                <w:lang w:eastAsia="en-US"/>
              </w:rPr>
            </w:pPr>
            <w:r>
              <w:rPr>
                <w:sz w:val="22"/>
                <w:lang w:eastAsia="en-US"/>
              </w:rPr>
              <w:t>Nedažni</w:t>
            </w:r>
          </w:p>
        </w:tc>
        <w:tc>
          <w:tcPr>
            <w:tcW w:w="2694" w:type="dxa"/>
            <w:tcBorders>
              <w:top w:val="single" w:sz="4" w:space="0" w:color="auto"/>
              <w:left w:val="single" w:sz="4" w:space="0" w:color="auto"/>
              <w:bottom w:val="single" w:sz="4" w:space="0" w:color="auto"/>
              <w:right w:val="single" w:sz="4" w:space="0" w:color="auto"/>
            </w:tcBorders>
          </w:tcPr>
          <w:p w14:paraId="14F60F78" w14:textId="77777777" w:rsidR="00CA2E41" w:rsidRDefault="00CA2E41" w:rsidP="00E30FAC">
            <w:pPr>
              <w:spacing w:line="256" w:lineRule="auto"/>
              <w:rPr>
                <w:sz w:val="22"/>
                <w:lang w:eastAsia="en-US"/>
              </w:rPr>
            </w:pPr>
          </w:p>
        </w:tc>
        <w:tc>
          <w:tcPr>
            <w:tcW w:w="3082" w:type="dxa"/>
            <w:tcBorders>
              <w:top w:val="single" w:sz="4" w:space="0" w:color="auto"/>
              <w:left w:val="single" w:sz="4" w:space="0" w:color="auto"/>
              <w:bottom w:val="single" w:sz="4" w:space="0" w:color="auto"/>
              <w:right w:val="single" w:sz="4" w:space="0" w:color="auto"/>
            </w:tcBorders>
          </w:tcPr>
          <w:p w14:paraId="3EBC1EFF" w14:textId="77777777" w:rsidR="00CA2E41" w:rsidRDefault="00CA2E41" w:rsidP="00E30FAC">
            <w:pPr>
              <w:spacing w:line="256" w:lineRule="auto"/>
              <w:rPr>
                <w:sz w:val="22"/>
                <w:lang w:eastAsia="en-US"/>
              </w:rPr>
            </w:pPr>
            <w:r>
              <w:rPr>
                <w:sz w:val="22"/>
                <w:lang w:eastAsia="en-US"/>
              </w:rPr>
              <w:t>Apetito sumažėjimas.</w:t>
            </w:r>
          </w:p>
          <w:p w14:paraId="51FE0383" w14:textId="77777777" w:rsidR="00CA2E41" w:rsidRDefault="00CA2E41" w:rsidP="00E30FAC">
            <w:pPr>
              <w:spacing w:line="256" w:lineRule="auto"/>
              <w:rPr>
                <w:sz w:val="22"/>
                <w:lang w:eastAsia="en-US"/>
              </w:rPr>
            </w:pPr>
          </w:p>
        </w:tc>
      </w:tr>
      <w:tr w:rsidR="00CA2E41" w14:paraId="335B9E7B" w14:textId="77777777" w:rsidTr="00E30FAC">
        <w:tc>
          <w:tcPr>
            <w:tcW w:w="2321" w:type="dxa"/>
            <w:vMerge w:val="restart"/>
            <w:tcBorders>
              <w:top w:val="single" w:sz="4" w:space="0" w:color="auto"/>
              <w:left w:val="single" w:sz="4" w:space="0" w:color="auto"/>
              <w:bottom w:val="single" w:sz="4" w:space="0" w:color="auto"/>
              <w:right w:val="single" w:sz="4" w:space="0" w:color="auto"/>
            </w:tcBorders>
            <w:hideMark/>
          </w:tcPr>
          <w:p w14:paraId="70151DA3" w14:textId="77777777" w:rsidR="00CA2E41" w:rsidRDefault="00CA2E41" w:rsidP="00E30FAC">
            <w:pPr>
              <w:spacing w:line="256" w:lineRule="auto"/>
              <w:rPr>
                <w:b/>
                <w:i/>
                <w:sz w:val="22"/>
                <w:lang w:eastAsia="en-US"/>
              </w:rPr>
            </w:pPr>
            <w:r>
              <w:rPr>
                <w:b/>
                <w:i/>
                <w:sz w:val="22"/>
                <w:lang w:eastAsia="en-US"/>
              </w:rPr>
              <w:t>Psichikos sutrikimai</w:t>
            </w:r>
          </w:p>
        </w:tc>
        <w:tc>
          <w:tcPr>
            <w:tcW w:w="1189" w:type="dxa"/>
            <w:tcBorders>
              <w:top w:val="single" w:sz="4" w:space="0" w:color="auto"/>
              <w:left w:val="single" w:sz="4" w:space="0" w:color="auto"/>
              <w:bottom w:val="single" w:sz="4" w:space="0" w:color="auto"/>
              <w:right w:val="single" w:sz="4" w:space="0" w:color="auto"/>
            </w:tcBorders>
            <w:hideMark/>
          </w:tcPr>
          <w:p w14:paraId="751EDF43" w14:textId="77777777" w:rsidR="00CA2E41" w:rsidRDefault="00CA2E41" w:rsidP="00E30FAC">
            <w:pPr>
              <w:spacing w:line="256" w:lineRule="auto"/>
              <w:rPr>
                <w:sz w:val="22"/>
                <w:lang w:eastAsia="en-US"/>
              </w:rPr>
            </w:pPr>
            <w:r>
              <w:rPr>
                <w:sz w:val="22"/>
                <w:lang w:eastAsia="en-US"/>
              </w:rPr>
              <w:t xml:space="preserve">Dažni </w:t>
            </w:r>
          </w:p>
        </w:tc>
        <w:tc>
          <w:tcPr>
            <w:tcW w:w="2694" w:type="dxa"/>
            <w:tcBorders>
              <w:top w:val="single" w:sz="4" w:space="0" w:color="auto"/>
              <w:left w:val="single" w:sz="4" w:space="0" w:color="auto"/>
              <w:bottom w:val="single" w:sz="4" w:space="0" w:color="auto"/>
              <w:right w:val="single" w:sz="4" w:space="0" w:color="auto"/>
            </w:tcBorders>
          </w:tcPr>
          <w:p w14:paraId="3C6800A8" w14:textId="77777777" w:rsidR="00CA2E41" w:rsidRDefault="00CA2E41" w:rsidP="00E30FAC">
            <w:pPr>
              <w:spacing w:line="256" w:lineRule="auto"/>
              <w:rPr>
                <w:sz w:val="22"/>
                <w:lang w:eastAsia="en-US"/>
              </w:rPr>
            </w:pPr>
            <w:r>
              <w:rPr>
                <w:sz w:val="22"/>
                <w:lang w:eastAsia="en-US"/>
              </w:rPr>
              <w:t>Irzlumas.</w:t>
            </w:r>
          </w:p>
          <w:p w14:paraId="7CEDF57C" w14:textId="77777777" w:rsidR="00CA2E41" w:rsidRDefault="00CA2E41" w:rsidP="00E30FAC">
            <w:pPr>
              <w:spacing w:line="256" w:lineRule="auto"/>
              <w:rPr>
                <w:sz w:val="22"/>
                <w:lang w:eastAsia="en-US"/>
              </w:rPr>
            </w:pPr>
          </w:p>
        </w:tc>
        <w:tc>
          <w:tcPr>
            <w:tcW w:w="3082" w:type="dxa"/>
            <w:tcBorders>
              <w:top w:val="single" w:sz="4" w:space="0" w:color="auto"/>
              <w:left w:val="single" w:sz="4" w:space="0" w:color="auto"/>
              <w:bottom w:val="single" w:sz="4" w:space="0" w:color="auto"/>
              <w:right w:val="single" w:sz="4" w:space="0" w:color="auto"/>
            </w:tcBorders>
          </w:tcPr>
          <w:p w14:paraId="4FEF88B0" w14:textId="77777777" w:rsidR="00CA2E41" w:rsidRDefault="00CA2E41" w:rsidP="00E30FAC">
            <w:pPr>
              <w:spacing w:line="256" w:lineRule="auto"/>
              <w:rPr>
                <w:sz w:val="22"/>
                <w:lang w:eastAsia="en-US"/>
              </w:rPr>
            </w:pPr>
          </w:p>
        </w:tc>
      </w:tr>
      <w:tr w:rsidR="00CA2E41" w14:paraId="1C097DE3" w14:textId="77777777" w:rsidTr="00E30FAC">
        <w:tc>
          <w:tcPr>
            <w:tcW w:w="0" w:type="auto"/>
            <w:vMerge/>
            <w:tcBorders>
              <w:top w:val="single" w:sz="4" w:space="0" w:color="auto"/>
              <w:left w:val="single" w:sz="4" w:space="0" w:color="auto"/>
              <w:bottom w:val="single" w:sz="4" w:space="0" w:color="auto"/>
              <w:right w:val="single" w:sz="4" w:space="0" w:color="auto"/>
            </w:tcBorders>
            <w:vAlign w:val="center"/>
            <w:hideMark/>
          </w:tcPr>
          <w:p w14:paraId="5CDBA6A7" w14:textId="77777777" w:rsidR="00CA2E41" w:rsidRDefault="00CA2E41" w:rsidP="00E30FAC">
            <w:pPr>
              <w:tabs>
                <w:tab w:val="clear" w:pos="567"/>
              </w:tabs>
              <w:spacing w:line="256" w:lineRule="auto"/>
              <w:rPr>
                <w:b/>
                <w:i/>
                <w:sz w:val="22"/>
                <w:lang w:eastAsia="en-US"/>
              </w:rPr>
            </w:pPr>
          </w:p>
        </w:tc>
        <w:tc>
          <w:tcPr>
            <w:tcW w:w="1189" w:type="dxa"/>
            <w:tcBorders>
              <w:top w:val="single" w:sz="4" w:space="0" w:color="auto"/>
              <w:left w:val="single" w:sz="4" w:space="0" w:color="auto"/>
              <w:bottom w:val="single" w:sz="4" w:space="0" w:color="auto"/>
              <w:right w:val="single" w:sz="4" w:space="0" w:color="auto"/>
            </w:tcBorders>
            <w:hideMark/>
          </w:tcPr>
          <w:p w14:paraId="719549EE" w14:textId="77777777" w:rsidR="00CA2E41" w:rsidRDefault="00CA2E41" w:rsidP="00E30FAC">
            <w:pPr>
              <w:spacing w:line="256" w:lineRule="auto"/>
              <w:rPr>
                <w:sz w:val="22"/>
                <w:lang w:eastAsia="en-US"/>
              </w:rPr>
            </w:pPr>
            <w:r>
              <w:rPr>
                <w:sz w:val="22"/>
                <w:lang w:eastAsia="en-US"/>
              </w:rPr>
              <w:t>Nedažni</w:t>
            </w:r>
          </w:p>
        </w:tc>
        <w:tc>
          <w:tcPr>
            <w:tcW w:w="2694" w:type="dxa"/>
            <w:tcBorders>
              <w:top w:val="single" w:sz="4" w:space="0" w:color="auto"/>
              <w:left w:val="single" w:sz="4" w:space="0" w:color="auto"/>
              <w:bottom w:val="single" w:sz="4" w:space="0" w:color="auto"/>
              <w:right w:val="single" w:sz="4" w:space="0" w:color="auto"/>
            </w:tcBorders>
          </w:tcPr>
          <w:p w14:paraId="07421392" w14:textId="77777777" w:rsidR="00CA2E41" w:rsidRDefault="00CA2E41" w:rsidP="00E30FAC">
            <w:pPr>
              <w:spacing w:line="256" w:lineRule="auto"/>
              <w:rPr>
                <w:sz w:val="22"/>
                <w:lang w:eastAsia="en-US"/>
              </w:rPr>
            </w:pPr>
            <w:r>
              <w:rPr>
                <w:sz w:val="22"/>
                <w:lang w:eastAsia="en-US"/>
              </w:rPr>
              <w:t>Miego sutrikimas, apatija.</w:t>
            </w:r>
          </w:p>
          <w:p w14:paraId="0CF56EEE" w14:textId="77777777" w:rsidR="00CA2E41" w:rsidRDefault="00CA2E41" w:rsidP="00E30FAC">
            <w:pPr>
              <w:spacing w:line="256" w:lineRule="auto"/>
              <w:rPr>
                <w:sz w:val="22"/>
                <w:lang w:eastAsia="en-US"/>
              </w:rPr>
            </w:pPr>
          </w:p>
        </w:tc>
        <w:tc>
          <w:tcPr>
            <w:tcW w:w="3082" w:type="dxa"/>
            <w:tcBorders>
              <w:top w:val="single" w:sz="4" w:space="0" w:color="auto"/>
              <w:left w:val="single" w:sz="4" w:space="0" w:color="auto"/>
              <w:bottom w:val="single" w:sz="4" w:space="0" w:color="auto"/>
              <w:right w:val="single" w:sz="4" w:space="0" w:color="auto"/>
            </w:tcBorders>
          </w:tcPr>
          <w:p w14:paraId="3EAD5E5A" w14:textId="77777777" w:rsidR="00CA2E41" w:rsidRDefault="00CA2E41" w:rsidP="00E30FAC">
            <w:pPr>
              <w:spacing w:line="256" w:lineRule="auto"/>
              <w:rPr>
                <w:sz w:val="22"/>
                <w:lang w:eastAsia="en-US"/>
              </w:rPr>
            </w:pPr>
          </w:p>
        </w:tc>
      </w:tr>
      <w:tr w:rsidR="00CA2E41" w14:paraId="4EE79027" w14:textId="77777777" w:rsidTr="00E30FAC">
        <w:tc>
          <w:tcPr>
            <w:tcW w:w="2321" w:type="dxa"/>
            <w:vMerge w:val="restart"/>
            <w:tcBorders>
              <w:top w:val="single" w:sz="4" w:space="0" w:color="auto"/>
              <w:left w:val="single" w:sz="4" w:space="0" w:color="auto"/>
              <w:bottom w:val="single" w:sz="4" w:space="0" w:color="auto"/>
              <w:right w:val="single" w:sz="4" w:space="0" w:color="auto"/>
            </w:tcBorders>
            <w:hideMark/>
          </w:tcPr>
          <w:p w14:paraId="332F231D" w14:textId="77777777" w:rsidR="00CA2E41" w:rsidRDefault="00CA2E41" w:rsidP="00E30FAC">
            <w:pPr>
              <w:spacing w:line="256" w:lineRule="auto"/>
              <w:rPr>
                <w:b/>
                <w:i/>
                <w:sz w:val="22"/>
                <w:lang w:eastAsia="en-US"/>
              </w:rPr>
            </w:pPr>
            <w:r>
              <w:rPr>
                <w:b/>
                <w:i/>
                <w:sz w:val="22"/>
                <w:lang w:eastAsia="en-US"/>
              </w:rPr>
              <w:t>Nervų sistemos sutrikimai</w:t>
            </w:r>
          </w:p>
        </w:tc>
        <w:tc>
          <w:tcPr>
            <w:tcW w:w="1189" w:type="dxa"/>
            <w:tcBorders>
              <w:top w:val="single" w:sz="4" w:space="0" w:color="auto"/>
              <w:left w:val="single" w:sz="4" w:space="0" w:color="auto"/>
              <w:bottom w:val="single" w:sz="4" w:space="0" w:color="auto"/>
              <w:right w:val="single" w:sz="4" w:space="0" w:color="auto"/>
            </w:tcBorders>
            <w:hideMark/>
          </w:tcPr>
          <w:p w14:paraId="3262EB79" w14:textId="77777777" w:rsidR="00CA2E41" w:rsidRDefault="00CA2E41" w:rsidP="00E30FAC">
            <w:pPr>
              <w:spacing w:line="256" w:lineRule="auto"/>
              <w:rPr>
                <w:sz w:val="22"/>
                <w:lang w:eastAsia="en-US"/>
              </w:rPr>
            </w:pPr>
            <w:r>
              <w:rPr>
                <w:sz w:val="22"/>
                <w:lang w:eastAsia="en-US"/>
              </w:rPr>
              <w:t>Labai dažni</w:t>
            </w:r>
          </w:p>
        </w:tc>
        <w:tc>
          <w:tcPr>
            <w:tcW w:w="2694" w:type="dxa"/>
            <w:tcBorders>
              <w:top w:val="single" w:sz="4" w:space="0" w:color="auto"/>
              <w:left w:val="single" w:sz="4" w:space="0" w:color="auto"/>
              <w:bottom w:val="single" w:sz="4" w:space="0" w:color="auto"/>
              <w:right w:val="single" w:sz="4" w:space="0" w:color="auto"/>
            </w:tcBorders>
            <w:hideMark/>
          </w:tcPr>
          <w:p w14:paraId="17F055EE" w14:textId="77777777" w:rsidR="00CA2E41" w:rsidRDefault="00CA2E41" w:rsidP="00E30FAC">
            <w:pPr>
              <w:spacing w:line="256" w:lineRule="auto"/>
              <w:rPr>
                <w:sz w:val="22"/>
                <w:lang w:eastAsia="en-US"/>
              </w:rPr>
            </w:pPr>
            <w:proofErr w:type="spellStart"/>
            <w:r>
              <w:rPr>
                <w:sz w:val="22"/>
                <w:lang w:eastAsia="en-US"/>
              </w:rPr>
              <w:t>Somnolencija</w:t>
            </w:r>
            <w:proofErr w:type="spellEnd"/>
            <w:r>
              <w:rPr>
                <w:sz w:val="22"/>
                <w:lang w:eastAsia="en-US"/>
              </w:rPr>
              <w:t>.</w:t>
            </w:r>
          </w:p>
        </w:tc>
        <w:tc>
          <w:tcPr>
            <w:tcW w:w="3082" w:type="dxa"/>
            <w:tcBorders>
              <w:top w:val="single" w:sz="4" w:space="0" w:color="auto"/>
              <w:left w:val="single" w:sz="4" w:space="0" w:color="auto"/>
              <w:bottom w:val="single" w:sz="4" w:space="0" w:color="auto"/>
              <w:right w:val="single" w:sz="4" w:space="0" w:color="auto"/>
            </w:tcBorders>
            <w:hideMark/>
          </w:tcPr>
          <w:p w14:paraId="7A1D3E2F" w14:textId="77777777" w:rsidR="00CA2E41" w:rsidRDefault="00CA2E41" w:rsidP="00E30FAC">
            <w:pPr>
              <w:spacing w:line="256" w:lineRule="auto"/>
              <w:rPr>
                <w:sz w:val="22"/>
                <w:lang w:eastAsia="en-US"/>
              </w:rPr>
            </w:pPr>
            <w:r>
              <w:rPr>
                <w:sz w:val="22"/>
                <w:lang w:eastAsia="en-US"/>
              </w:rPr>
              <w:t>Galvos skausmas.</w:t>
            </w:r>
          </w:p>
        </w:tc>
      </w:tr>
      <w:tr w:rsidR="00CA2E41" w14:paraId="5E25A5DC" w14:textId="77777777" w:rsidTr="00E30FAC">
        <w:tc>
          <w:tcPr>
            <w:tcW w:w="0" w:type="auto"/>
            <w:vMerge/>
            <w:tcBorders>
              <w:top w:val="single" w:sz="4" w:space="0" w:color="auto"/>
              <w:left w:val="single" w:sz="4" w:space="0" w:color="auto"/>
              <w:bottom w:val="single" w:sz="4" w:space="0" w:color="auto"/>
              <w:right w:val="single" w:sz="4" w:space="0" w:color="auto"/>
            </w:tcBorders>
            <w:vAlign w:val="center"/>
            <w:hideMark/>
          </w:tcPr>
          <w:p w14:paraId="24920468" w14:textId="77777777" w:rsidR="00CA2E41" w:rsidRDefault="00CA2E41" w:rsidP="00E30FAC">
            <w:pPr>
              <w:tabs>
                <w:tab w:val="clear" w:pos="567"/>
              </w:tabs>
              <w:spacing w:line="256" w:lineRule="auto"/>
              <w:rPr>
                <w:b/>
                <w:i/>
                <w:sz w:val="22"/>
                <w:lang w:eastAsia="en-US"/>
              </w:rPr>
            </w:pPr>
          </w:p>
        </w:tc>
        <w:tc>
          <w:tcPr>
            <w:tcW w:w="1189" w:type="dxa"/>
            <w:tcBorders>
              <w:top w:val="single" w:sz="4" w:space="0" w:color="auto"/>
              <w:left w:val="single" w:sz="4" w:space="0" w:color="auto"/>
              <w:bottom w:val="single" w:sz="4" w:space="0" w:color="auto"/>
              <w:right w:val="single" w:sz="4" w:space="0" w:color="auto"/>
            </w:tcBorders>
          </w:tcPr>
          <w:p w14:paraId="10BFD443" w14:textId="77777777" w:rsidR="00CA2E41" w:rsidRDefault="00CA2E41" w:rsidP="00E30FAC">
            <w:pPr>
              <w:spacing w:line="256" w:lineRule="auto"/>
              <w:rPr>
                <w:sz w:val="22"/>
                <w:lang w:eastAsia="en-US"/>
              </w:rPr>
            </w:pPr>
            <w:r>
              <w:rPr>
                <w:sz w:val="22"/>
                <w:lang w:eastAsia="en-US"/>
              </w:rPr>
              <w:t>Dažni</w:t>
            </w:r>
          </w:p>
          <w:p w14:paraId="2A3ED6F2" w14:textId="77777777" w:rsidR="00CA2E41" w:rsidRDefault="00CA2E41" w:rsidP="00E30FAC">
            <w:pPr>
              <w:spacing w:line="256" w:lineRule="auto"/>
              <w:rPr>
                <w:sz w:val="22"/>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47C8DC21" w14:textId="77777777" w:rsidR="00CA2E41" w:rsidRDefault="00CA2E41" w:rsidP="00E30FAC">
            <w:pPr>
              <w:spacing w:line="256" w:lineRule="auto"/>
              <w:rPr>
                <w:sz w:val="22"/>
                <w:lang w:eastAsia="en-US"/>
              </w:rPr>
            </w:pPr>
            <w:r>
              <w:rPr>
                <w:sz w:val="22"/>
                <w:lang w:eastAsia="en-US"/>
              </w:rPr>
              <w:t>Galvos skausmas.</w:t>
            </w:r>
          </w:p>
        </w:tc>
        <w:tc>
          <w:tcPr>
            <w:tcW w:w="3082" w:type="dxa"/>
            <w:tcBorders>
              <w:top w:val="single" w:sz="4" w:space="0" w:color="auto"/>
              <w:left w:val="single" w:sz="4" w:space="0" w:color="auto"/>
              <w:bottom w:val="single" w:sz="4" w:space="0" w:color="auto"/>
              <w:right w:val="single" w:sz="4" w:space="0" w:color="auto"/>
            </w:tcBorders>
          </w:tcPr>
          <w:p w14:paraId="7FB1AC23" w14:textId="77777777" w:rsidR="00CA2E41" w:rsidRDefault="00CA2E41" w:rsidP="00E30FAC">
            <w:pPr>
              <w:spacing w:line="256" w:lineRule="auto"/>
              <w:rPr>
                <w:sz w:val="22"/>
                <w:lang w:eastAsia="en-US"/>
              </w:rPr>
            </w:pPr>
          </w:p>
        </w:tc>
      </w:tr>
      <w:tr w:rsidR="00CA2E41" w14:paraId="5C7DD39B" w14:textId="77777777" w:rsidTr="00E30FAC">
        <w:tc>
          <w:tcPr>
            <w:tcW w:w="0" w:type="auto"/>
            <w:vMerge/>
            <w:tcBorders>
              <w:top w:val="single" w:sz="4" w:space="0" w:color="auto"/>
              <w:left w:val="single" w:sz="4" w:space="0" w:color="auto"/>
              <w:bottom w:val="single" w:sz="4" w:space="0" w:color="auto"/>
              <w:right w:val="single" w:sz="4" w:space="0" w:color="auto"/>
            </w:tcBorders>
            <w:vAlign w:val="center"/>
            <w:hideMark/>
          </w:tcPr>
          <w:p w14:paraId="6558DF88" w14:textId="77777777" w:rsidR="00CA2E41" w:rsidRDefault="00CA2E41" w:rsidP="00E30FAC">
            <w:pPr>
              <w:tabs>
                <w:tab w:val="clear" w:pos="567"/>
              </w:tabs>
              <w:spacing w:line="256" w:lineRule="auto"/>
              <w:rPr>
                <w:b/>
                <w:i/>
                <w:sz w:val="22"/>
                <w:lang w:eastAsia="en-US"/>
              </w:rPr>
            </w:pPr>
          </w:p>
        </w:tc>
        <w:tc>
          <w:tcPr>
            <w:tcW w:w="1189" w:type="dxa"/>
            <w:tcBorders>
              <w:top w:val="single" w:sz="4" w:space="0" w:color="auto"/>
              <w:left w:val="single" w:sz="4" w:space="0" w:color="auto"/>
              <w:bottom w:val="single" w:sz="4" w:space="0" w:color="auto"/>
              <w:right w:val="single" w:sz="4" w:space="0" w:color="auto"/>
            </w:tcBorders>
          </w:tcPr>
          <w:p w14:paraId="1D8452DA" w14:textId="77777777" w:rsidR="00CA2E41" w:rsidRDefault="00CA2E41" w:rsidP="00E30FAC">
            <w:pPr>
              <w:spacing w:line="256" w:lineRule="auto"/>
              <w:rPr>
                <w:sz w:val="22"/>
                <w:lang w:eastAsia="en-US"/>
              </w:rPr>
            </w:pPr>
            <w:r>
              <w:rPr>
                <w:sz w:val="22"/>
                <w:lang w:eastAsia="en-US"/>
              </w:rPr>
              <w:t>Nedažni</w:t>
            </w:r>
          </w:p>
          <w:p w14:paraId="786B44FE" w14:textId="77777777" w:rsidR="00CA2E41" w:rsidRDefault="00CA2E41" w:rsidP="00E30FAC">
            <w:pPr>
              <w:spacing w:line="256" w:lineRule="auto"/>
              <w:rPr>
                <w:sz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4642AF45" w14:textId="77777777" w:rsidR="00CA2E41" w:rsidRDefault="00CA2E41" w:rsidP="00E30FAC">
            <w:pPr>
              <w:spacing w:line="256" w:lineRule="auto"/>
              <w:rPr>
                <w:sz w:val="22"/>
                <w:lang w:eastAsia="en-US"/>
              </w:rPr>
            </w:pPr>
          </w:p>
        </w:tc>
        <w:tc>
          <w:tcPr>
            <w:tcW w:w="3082" w:type="dxa"/>
            <w:tcBorders>
              <w:top w:val="single" w:sz="4" w:space="0" w:color="auto"/>
              <w:left w:val="single" w:sz="4" w:space="0" w:color="auto"/>
              <w:bottom w:val="single" w:sz="4" w:space="0" w:color="auto"/>
              <w:right w:val="single" w:sz="4" w:space="0" w:color="auto"/>
            </w:tcBorders>
            <w:hideMark/>
          </w:tcPr>
          <w:p w14:paraId="074AD298" w14:textId="77777777" w:rsidR="00CA2E41" w:rsidRDefault="00CA2E41" w:rsidP="00E30FAC">
            <w:pPr>
              <w:spacing w:line="256" w:lineRule="auto"/>
              <w:rPr>
                <w:sz w:val="22"/>
                <w:lang w:eastAsia="en-US"/>
              </w:rPr>
            </w:pPr>
            <w:proofErr w:type="spellStart"/>
            <w:r>
              <w:rPr>
                <w:sz w:val="22"/>
                <w:lang w:eastAsia="en-US"/>
              </w:rPr>
              <w:t>Parestezija</w:t>
            </w:r>
            <w:proofErr w:type="spellEnd"/>
            <w:r>
              <w:rPr>
                <w:sz w:val="22"/>
                <w:lang w:eastAsia="en-US"/>
              </w:rPr>
              <w:t xml:space="preserve">, </w:t>
            </w:r>
            <w:proofErr w:type="spellStart"/>
            <w:r>
              <w:rPr>
                <w:sz w:val="22"/>
                <w:lang w:eastAsia="en-US"/>
              </w:rPr>
              <w:t>somnolencija</w:t>
            </w:r>
            <w:proofErr w:type="spellEnd"/>
            <w:r>
              <w:rPr>
                <w:sz w:val="22"/>
                <w:lang w:eastAsia="en-US"/>
              </w:rPr>
              <w:t>, svaigulys.</w:t>
            </w:r>
          </w:p>
        </w:tc>
      </w:tr>
      <w:tr w:rsidR="00CA2E41" w14:paraId="198CFC1C" w14:textId="77777777" w:rsidTr="00E30FAC">
        <w:tc>
          <w:tcPr>
            <w:tcW w:w="2321" w:type="dxa"/>
            <w:tcBorders>
              <w:top w:val="single" w:sz="4" w:space="0" w:color="auto"/>
              <w:left w:val="single" w:sz="4" w:space="0" w:color="auto"/>
              <w:bottom w:val="single" w:sz="4" w:space="0" w:color="auto"/>
              <w:right w:val="single" w:sz="4" w:space="0" w:color="auto"/>
            </w:tcBorders>
            <w:hideMark/>
          </w:tcPr>
          <w:p w14:paraId="622BB899" w14:textId="77777777" w:rsidR="00CA2E41" w:rsidRDefault="00CA2E41" w:rsidP="00E30FAC">
            <w:pPr>
              <w:spacing w:line="256" w:lineRule="auto"/>
              <w:rPr>
                <w:b/>
                <w:i/>
                <w:sz w:val="22"/>
                <w:lang w:eastAsia="en-US"/>
              </w:rPr>
            </w:pPr>
            <w:r>
              <w:rPr>
                <w:b/>
                <w:i/>
                <w:sz w:val="22"/>
                <w:lang w:eastAsia="en-US"/>
              </w:rPr>
              <w:t>Kvėpavimo sistemos, krūtinės ląstos ir tarpuplaučio sutrikimai</w:t>
            </w:r>
          </w:p>
        </w:tc>
        <w:tc>
          <w:tcPr>
            <w:tcW w:w="1189" w:type="dxa"/>
            <w:tcBorders>
              <w:top w:val="single" w:sz="4" w:space="0" w:color="auto"/>
              <w:left w:val="single" w:sz="4" w:space="0" w:color="auto"/>
              <w:bottom w:val="single" w:sz="4" w:space="0" w:color="auto"/>
              <w:right w:val="single" w:sz="4" w:space="0" w:color="auto"/>
            </w:tcBorders>
          </w:tcPr>
          <w:p w14:paraId="4255B6E0" w14:textId="77777777" w:rsidR="00CA2E41" w:rsidRDefault="00CA2E41" w:rsidP="00E30FAC">
            <w:pPr>
              <w:spacing w:line="256" w:lineRule="auto"/>
              <w:rPr>
                <w:sz w:val="22"/>
                <w:lang w:eastAsia="en-US"/>
              </w:rPr>
            </w:pPr>
            <w:r>
              <w:rPr>
                <w:sz w:val="22"/>
                <w:lang w:eastAsia="en-US"/>
              </w:rPr>
              <w:t>Nedažni</w:t>
            </w:r>
          </w:p>
          <w:p w14:paraId="6D557B6D" w14:textId="77777777" w:rsidR="00CA2E41" w:rsidRDefault="00CA2E41" w:rsidP="00E30FAC">
            <w:pPr>
              <w:spacing w:line="256" w:lineRule="auto"/>
              <w:rPr>
                <w:sz w:val="22"/>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036CEC74" w14:textId="77777777" w:rsidR="00CA2E41" w:rsidRDefault="00CA2E41" w:rsidP="00E30FAC">
            <w:pPr>
              <w:spacing w:line="256" w:lineRule="auto"/>
              <w:rPr>
                <w:sz w:val="22"/>
                <w:lang w:eastAsia="en-US"/>
              </w:rPr>
            </w:pPr>
            <w:r>
              <w:rPr>
                <w:sz w:val="22"/>
                <w:lang w:eastAsia="en-US"/>
              </w:rPr>
              <w:t>Gerklės džiūvimas.</w:t>
            </w:r>
          </w:p>
        </w:tc>
        <w:tc>
          <w:tcPr>
            <w:tcW w:w="3082" w:type="dxa"/>
            <w:tcBorders>
              <w:top w:val="single" w:sz="4" w:space="0" w:color="auto"/>
              <w:left w:val="single" w:sz="4" w:space="0" w:color="auto"/>
              <w:bottom w:val="single" w:sz="4" w:space="0" w:color="auto"/>
              <w:right w:val="single" w:sz="4" w:space="0" w:color="auto"/>
            </w:tcBorders>
            <w:hideMark/>
          </w:tcPr>
          <w:p w14:paraId="04B7C854" w14:textId="77777777" w:rsidR="00CA2E41" w:rsidRDefault="00CA2E41" w:rsidP="00E30FAC">
            <w:pPr>
              <w:spacing w:line="256" w:lineRule="auto"/>
              <w:rPr>
                <w:sz w:val="22"/>
                <w:lang w:eastAsia="en-US"/>
              </w:rPr>
            </w:pPr>
            <w:r>
              <w:rPr>
                <w:sz w:val="22"/>
                <w:lang w:eastAsia="en-US"/>
              </w:rPr>
              <w:t>Astma.</w:t>
            </w:r>
          </w:p>
        </w:tc>
      </w:tr>
      <w:tr w:rsidR="00CA2E41" w14:paraId="337199DD" w14:textId="77777777" w:rsidTr="00E30FAC">
        <w:tc>
          <w:tcPr>
            <w:tcW w:w="2321" w:type="dxa"/>
            <w:vMerge w:val="restart"/>
            <w:tcBorders>
              <w:top w:val="single" w:sz="4" w:space="0" w:color="auto"/>
              <w:left w:val="single" w:sz="4" w:space="0" w:color="auto"/>
              <w:bottom w:val="single" w:sz="4" w:space="0" w:color="auto"/>
              <w:right w:val="single" w:sz="4" w:space="0" w:color="auto"/>
            </w:tcBorders>
            <w:hideMark/>
          </w:tcPr>
          <w:p w14:paraId="50B07D7C" w14:textId="77777777" w:rsidR="00CA2E41" w:rsidRDefault="00CA2E41" w:rsidP="00E30FAC">
            <w:pPr>
              <w:spacing w:line="256" w:lineRule="auto"/>
              <w:rPr>
                <w:b/>
                <w:i/>
                <w:sz w:val="22"/>
                <w:lang w:eastAsia="en-US"/>
              </w:rPr>
            </w:pPr>
            <w:r>
              <w:rPr>
                <w:b/>
                <w:i/>
                <w:sz w:val="22"/>
                <w:lang w:eastAsia="en-US"/>
              </w:rPr>
              <w:t>Virškinimo trakto sutrikimai</w:t>
            </w:r>
          </w:p>
        </w:tc>
        <w:tc>
          <w:tcPr>
            <w:tcW w:w="1189" w:type="dxa"/>
            <w:tcBorders>
              <w:top w:val="single" w:sz="4" w:space="0" w:color="auto"/>
              <w:left w:val="single" w:sz="4" w:space="0" w:color="auto"/>
              <w:bottom w:val="single" w:sz="4" w:space="0" w:color="auto"/>
              <w:right w:val="single" w:sz="4" w:space="0" w:color="auto"/>
            </w:tcBorders>
          </w:tcPr>
          <w:p w14:paraId="1DCAEA8C" w14:textId="77777777" w:rsidR="00CA2E41" w:rsidRDefault="00CA2E41" w:rsidP="00E30FAC">
            <w:pPr>
              <w:spacing w:line="256" w:lineRule="auto"/>
              <w:rPr>
                <w:sz w:val="22"/>
                <w:lang w:eastAsia="en-US"/>
              </w:rPr>
            </w:pPr>
            <w:r>
              <w:rPr>
                <w:sz w:val="22"/>
                <w:lang w:eastAsia="en-US"/>
              </w:rPr>
              <w:t>Dažni</w:t>
            </w:r>
          </w:p>
          <w:p w14:paraId="0C94B0F0" w14:textId="77777777" w:rsidR="00CA2E41" w:rsidRDefault="00CA2E41" w:rsidP="00E30FAC">
            <w:pPr>
              <w:spacing w:line="256" w:lineRule="auto"/>
              <w:rPr>
                <w:sz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3F54A3E1" w14:textId="77777777" w:rsidR="00CA2E41" w:rsidRDefault="00CA2E41" w:rsidP="00E30FAC">
            <w:pPr>
              <w:spacing w:line="256" w:lineRule="auto"/>
              <w:rPr>
                <w:sz w:val="22"/>
                <w:lang w:eastAsia="en-US"/>
              </w:rPr>
            </w:pPr>
          </w:p>
        </w:tc>
        <w:tc>
          <w:tcPr>
            <w:tcW w:w="3082" w:type="dxa"/>
            <w:tcBorders>
              <w:top w:val="single" w:sz="4" w:space="0" w:color="auto"/>
              <w:left w:val="single" w:sz="4" w:space="0" w:color="auto"/>
              <w:bottom w:val="single" w:sz="4" w:space="0" w:color="auto"/>
              <w:right w:val="single" w:sz="4" w:space="0" w:color="auto"/>
            </w:tcBorders>
          </w:tcPr>
          <w:p w14:paraId="2D1FCD86" w14:textId="77777777" w:rsidR="00CA2E41" w:rsidRDefault="00CA2E41" w:rsidP="00E30FAC">
            <w:pPr>
              <w:spacing w:line="256" w:lineRule="auto"/>
              <w:rPr>
                <w:sz w:val="22"/>
                <w:lang w:eastAsia="en-US"/>
              </w:rPr>
            </w:pPr>
            <w:r>
              <w:rPr>
                <w:sz w:val="22"/>
                <w:lang w:eastAsia="en-US"/>
              </w:rPr>
              <w:t>Virškinamojo trakto sutrikimai (pvz., vėmimas, pilvo skausmas, pykinimas).</w:t>
            </w:r>
          </w:p>
          <w:p w14:paraId="381C5EE7" w14:textId="77777777" w:rsidR="00CA2E41" w:rsidRDefault="00CA2E41" w:rsidP="00E30FAC">
            <w:pPr>
              <w:spacing w:line="256" w:lineRule="auto"/>
              <w:rPr>
                <w:sz w:val="22"/>
                <w:lang w:eastAsia="en-US"/>
              </w:rPr>
            </w:pPr>
          </w:p>
        </w:tc>
      </w:tr>
      <w:tr w:rsidR="00CA2E41" w14:paraId="55C1DC51" w14:textId="77777777" w:rsidTr="00E30FAC">
        <w:tc>
          <w:tcPr>
            <w:tcW w:w="0" w:type="auto"/>
            <w:vMerge/>
            <w:tcBorders>
              <w:top w:val="single" w:sz="4" w:space="0" w:color="auto"/>
              <w:left w:val="single" w:sz="4" w:space="0" w:color="auto"/>
              <w:bottom w:val="single" w:sz="4" w:space="0" w:color="auto"/>
              <w:right w:val="single" w:sz="4" w:space="0" w:color="auto"/>
            </w:tcBorders>
            <w:vAlign w:val="center"/>
            <w:hideMark/>
          </w:tcPr>
          <w:p w14:paraId="282873E0" w14:textId="77777777" w:rsidR="00CA2E41" w:rsidRDefault="00CA2E41" w:rsidP="00E30FAC">
            <w:pPr>
              <w:tabs>
                <w:tab w:val="clear" w:pos="567"/>
              </w:tabs>
              <w:spacing w:line="256" w:lineRule="auto"/>
              <w:rPr>
                <w:b/>
                <w:i/>
                <w:sz w:val="22"/>
                <w:lang w:eastAsia="en-US"/>
              </w:rPr>
            </w:pPr>
          </w:p>
        </w:tc>
        <w:tc>
          <w:tcPr>
            <w:tcW w:w="1189" w:type="dxa"/>
            <w:tcBorders>
              <w:top w:val="single" w:sz="4" w:space="0" w:color="auto"/>
              <w:left w:val="single" w:sz="4" w:space="0" w:color="auto"/>
              <w:bottom w:val="single" w:sz="4" w:space="0" w:color="auto"/>
              <w:right w:val="single" w:sz="4" w:space="0" w:color="auto"/>
            </w:tcBorders>
          </w:tcPr>
          <w:p w14:paraId="32F221E1" w14:textId="77777777" w:rsidR="00CA2E41" w:rsidRDefault="00CA2E41" w:rsidP="00E30FAC">
            <w:pPr>
              <w:spacing w:line="256" w:lineRule="auto"/>
              <w:rPr>
                <w:sz w:val="22"/>
                <w:lang w:eastAsia="en-US"/>
              </w:rPr>
            </w:pPr>
            <w:r>
              <w:rPr>
                <w:sz w:val="22"/>
                <w:lang w:eastAsia="en-US"/>
              </w:rPr>
              <w:t>Nedažni</w:t>
            </w:r>
          </w:p>
          <w:p w14:paraId="0E0A95D9" w14:textId="77777777" w:rsidR="00CA2E41" w:rsidRDefault="00CA2E41" w:rsidP="00E30FAC">
            <w:pPr>
              <w:spacing w:line="256" w:lineRule="auto"/>
              <w:rPr>
                <w:sz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472368E5" w14:textId="77777777" w:rsidR="00CA2E41" w:rsidRDefault="00CA2E41" w:rsidP="00E30FAC">
            <w:pPr>
              <w:spacing w:line="256" w:lineRule="auto"/>
              <w:rPr>
                <w:sz w:val="22"/>
                <w:lang w:eastAsia="en-US"/>
              </w:rPr>
            </w:pPr>
            <w:r>
              <w:rPr>
                <w:sz w:val="22"/>
                <w:lang w:eastAsia="en-US"/>
              </w:rPr>
              <w:t>Viduriavimas, vėmimas, pilvo skausmas, pykinimas.</w:t>
            </w:r>
          </w:p>
          <w:p w14:paraId="347BE279" w14:textId="77777777" w:rsidR="00CA2E41" w:rsidRDefault="00CA2E41" w:rsidP="00E30FAC">
            <w:pPr>
              <w:spacing w:line="256" w:lineRule="auto"/>
              <w:rPr>
                <w:sz w:val="22"/>
                <w:lang w:eastAsia="en-US"/>
              </w:rPr>
            </w:pPr>
          </w:p>
        </w:tc>
        <w:tc>
          <w:tcPr>
            <w:tcW w:w="3082" w:type="dxa"/>
            <w:tcBorders>
              <w:top w:val="single" w:sz="4" w:space="0" w:color="auto"/>
              <w:left w:val="single" w:sz="4" w:space="0" w:color="auto"/>
              <w:bottom w:val="single" w:sz="4" w:space="0" w:color="auto"/>
              <w:right w:val="single" w:sz="4" w:space="0" w:color="auto"/>
            </w:tcBorders>
          </w:tcPr>
          <w:p w14:paraId="0FAC082A" w14:textId="77777777" w:rsidR="00CA2E41" w:rsidRDefault="00CA2E41" w:rsidP="00E30FAC">
            <w:pPr>
              <w:spacing w:line="256" w:lineRule="auto"/>
              <w:rPr>
                <w:sz w:val="22"/>
                <w:lang w:eastAsia="en-US"/>
              </w:rPr>
            </w:pPr>
          </w:p>
        </w:tc>
      </w:tr>
      <w:tr w:rsidR="00CA2E41" w14:paraId="72A2FB22" w14:textId="77777777" w:rsidTr="00E30FAC">
        <w:tc>
          <w:tcPr>
            <w:tcW w:w="2321" w:type="dxa"/>
            <w:tcBorders>
              <w:top w:val="single" w:sz="4" w:space="0" w:color="auto"/>
              <w:left w:val="single" w:sz="4" w:space="0" w:color="auto"/>
              <w:bottom w:val="single" w:sz="4" w:space="0" w:color="auto"/>
              <w:right w:val="single" w:sz="4" w:space="0" w:color="auto"/>
            </w:tcBorders>
            <w:hideMark/>
          </w:tcPr>
          <w:p w14:paraId="092DFDF3" w14:textId="77777777" w:rsidR="00CA2E41" w:rsidRDefault="00CA2E41" w:rsidP="00E30FAC">
            <w:pPr>
              <w:spacing w:line="256" w:lineRule="auto"/>
              <w:rPr>
                <w:b/>
                <w:i/>
                <w:sz w:val="22"/>
                <w:lang w:eastAsia="en-US"/>
              </w:rPr>
            </w:pPr>
            <w:r>
              <w:rPr>
                <w:b/>
                <w:i/>
                <w:sz w:val="22"/>
                <w:lang w:eastAsia="en-US"/>
              </w:rPr>
              <w:t>Odos ir poodinio audinio sutrikimai</w:t>
            </w:r>
          </w:p>
        </w:tc>
        <w:tc>
          <w:tcPr>
            <w:tcW w:w="1189" w:type="dxa"/>
            <w:tcBorders>
              <w:top w:val="single" w:sz="4" w:space="0" w:color="auto"/>
              <w:left w:val="single" w:sz="4" w:space="0" w:color="auto"/>
              <w:bottom w:val="single" w:sz="4" w:space="0" w:color="auto"/>
              <w:right w:val="single" w:sz="4" w:space="0" w:color="auto"/>
            </w:tcBorders>
          </w:tcPr>
          <w:p w14:paraId="447403AE" w14:textId="77777777" w:rsidR="00CA2E41" w:rsidRDefault="00CA2E41" w:rsidP="00E30FAC">
            <w:pPr>
              <w:spacing w:line="256" w:lineRule="auto"/>
              <w:rPr>
                <w:sz w:val="22"/>
                <w:lang w:eastAsia="en-US"/>
              </w:rPr>
            </w:pPr>
            <w:r>
              <w:rPr>
                <w:sz w:val="22"/>
                <w:lang w:eastAsia="en-US"/>
              </w:rPr>
              <w:t>Nedažni</w:t>
            </w:r>
          </w:p>
          <w:p w14:paraId="31BE1117" w14:textId="77777777" w:rsidR="00CA2E41" w:rsidRDefault="00CA2E41" w:rsidP="00E30FAC">
            <w:pPr>
              <w:spacing w:line="256" w:lineRule="auto"/>
              <w:rPr>
                <w:sz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63A261E4" w14:textId="77777777" w:rsidR="00CA2E41" w:rsidRDefault="00CA2E41" w:rsidP="00E30FAC">
            <w:pPr>
              <w:spacing w:line="256" w:lineRule="auto"/>
              <w:rPr>
                <w:sz w:val="22"/>
                <w:lang w:eastAsia="en-US"/>
              </w:rPr>
            </w:pPr>
          </w:p>
        </w:tc>
        <w:tc>
          <w:tcPr>
            <w:tcW w:w="3082" w:type="dxa"/>
            <w:tcBorders>
              <w:top w:val="single" w:sz="4" w:space="0" w:color="auto"/>
              <w:left w:val="single" w:sz="4" w:space="0" w:color="auto"/>
              <w:bottom w:val="single" w:sz="4" w:space="0" w:color="auto"/>
              <w:right w:val="single" w:sz="4" w:space="0" w:color="auto"/>
            </w:tcBorders>
            <w:hideMark/>
          </w:tcPr>
          <w:p w14:paraId="67924D0E" w14:textId="77777777" w:rsidR="00CA2E41" w:rsidRDefault="00CA2E41" w:rsidP="00E30FAC">
            <w:pPr>
              <w:spacing w:line="256" w:lineRule="auto"/>
              <w:rPr>
                <w:sz w:val="22"/>
                <w:lang w:eastAsia="en-US"/>
              </w:rPr>
            </w:pPr>
            <w:r>
              <w:rPr>
                <w:sz w:val="22"/>
                <w:lang w:eastAsia="en-US"/>
              </w:rPr>
              <w:t>Niežėjimas.</w:t>
            </w:r>
          </w:p>
        </w:tc>
      </w:tr>
      <w:tr w:rsidR="00CA2E41" w14:paraId="4EEF2951" w14:textId="77777777" w:rsidTr="00E30FAC">
        <w:tc>
          <w:tcPr>
            <w:tcW w:w="2321" w:type="dxa"/>
            <w:tcBorders>
              <w:top w:val="single" w:sz="4" w:space="0" w:color="auto"/>
              <w:left w:val="single" w:sz="4" w:space="0" w:color="auto"/>
              <w:bottom w:val="single" w:sz="4" w:space="0" w:color="auto"/>
              <w:right w:val="single" w:sz="4" w:space="0" w:color="auto"/>
            </w:tcBorders>
            <w:hideMark/>
          </w:tcPr>
          <w:p w14:paraId="71893A83" w14:textId="77777777" w:rsidR="00CA2E41" w:rsidRDefault="00CA2E41" w:rsidP="00E30FAC">
            <w:pPr>
              <w:spacing w:line="256" w:lineRule="auto"/>
              <w:rPr>
                <w:b/>
                <w:i/>
                <w:sz w:val="22"/>
                <w:lang w:eastAsia="en-US"/>
              </w:rPr>
            </w:pPr>
            <w:r>
              <w:rPr>
                <w:b/>
                <w:i/>
                <w:sz w:val="22"/>
                <w:lang w:eastAsia="en-US"/>
              </w:rPr>
              <w:t>Skeleto, raumenų ir jungiamojo audinio sutrikimai</w:t>
            </w:r>
          </w:p>
        </w:tc>
        <w:tc>
          <w:tcPr>
            <w:tcW w:w="1189" w:type="dxa"/>
            <w:tcBorders>
              <w:top w:val="single" w:sz="4" w:space="0" w:color="auto"/>
              <w:left w:val="single" w:sz="4" w:space="0" w:color="auto"/>
              <w:bottom w:val="single" w:sz="4" w:space="0" w:color="auto"/>
              <w:right w:val="single" w:sz="4" w:space="0" w:color="auto"/>
            </w:tcBorders>
          </w:tcPr>
          <w:p w14:paraId="3896BAD6" w14:textId="77777777" w:rsidR="00CA2E41" w:rsidRDefault="00CA2E41" w:rsidP="00E30FAC">
            <w:pPr>
              <w:spacing w:line="256" w:lineRule="auto"/>
              <w:rPr>
                <w:sz w:val="22"/>
                <w:lang w:eastAsia="en-US"/>
              </w:rPr>
            </w:pPr>
            <w:r>
              <w:rPr>
                <w:sz w:val="22"/>
                <w:lang w:eastAsia="en-US"/>
              </w:rPr>
              <w:t>Nedažni</w:t>
            </w:r>
          </w:p>
          <w:p w14:paraId="098A7857" w14:textId="77777777" w:rsidR="00CA2E41" w:rsidRDefault="00CA2E41" w:rsidP="00E30FAC">
            <w:pPr>
              <w:spacing w:line="256" w:lineRule="auto"/>
              <w:rPr>
                <w:sz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203757DB" w14:textId="77777777" w:rsidR="00CA2E41" w:rsidRDefault="00CA2E41" w:rsidP="00E30FAC">
            <w:pPr>
              <w:spacing w:line="256" w:lineRule="auto"/>
              <w:rPr>
                <w:sz w:val="22"/>
                <w:lang w:eastAsia="en-US"/>
              </w:rPr>
            </w:pPr>
          </w:p>
        </w:tc>
        <w:tc>
          <w:tcPr>
            <w:tcW w:w="3082" w:type="dxa"/>
            <w:tcBorders>
              <w:top w:val="single" w:sz="4" w:space="0" w:color="auto"/>
              <w:left w:val="single" w:sz="4" w:space="0" w:color="auto"/>
              <w:bottom w:val="single" w:sz="4" w:space="0" w:color="auto"/>
              <w:right w:val="single" w:sz="4" w:space="0" w:color="auto"/>
            </w:tcBorders>
            <w:hideMark/>
          </w:tcPr>
          <w:p w14:paraId="06323385" w14:textId="77777777" w:rsidR="00CA2E41" w:rsidRDefault="00CA2E41" w:rsidP="00E30FAC">
            <w:pPr>
              <w:spacing w:line="256" w:lineRule="auto"/>
              <w:rPr>
                <w:sz w:val="22"/>
                <w:lang w:eastAsia="en-US"/>
              </w:rPr>
            </w:pPr>
            <w:proofErr w:type="spellStart"/>
            <w:r>
              <w:rPr>
                <w:sz w:val="22"/>
                <w:lang w:eastAsia="en-US"/>
              </w:rPr>
              <w:t>Artralgija</w:t>
            </w:r>
            <w:proofErr w:type="spellEnd"/>
            <w:r>
              <w:rPr>
                <w:sz w:val="22"/>
                <w:lang w:eastAsia="en-US"/>
              </w:rPr>
              <w:t xml:space="preserve">, </w:t>
            </w:r>
            <w:proofErr w:type="spellStart"/>
            <w:r>
              <w:rPr>
                <w:sz w:val="22"/>
                <w:lang w:eastAsia="en-US"/>
              </w:rPr>
              <w:t>mialgija</w:t>
            </w:r>
            <w:proofErr w:type="spellEnd"/>
            <w:r>
              <w:rPr>
                <w:sz w:val="22"/>
                <w:lang w:eastAsia="en-US"/>
              </w:rPr>
              <w:t>.</w:t>
            </w:r>
          </w:p>
        </w:tc>
      </w:tr>
      <w:tr w:rsidR="00CA2E41" w14:paraId="53BC8440" w14:textId="77777777" w:rsidTr="00E30FAC">
        <w:tc>
          <w:tcPr>
            <w:tcW w:w="2321" w:type="dxa"/>
            <w:vMerge w:val="restart"/>
            <w:tcBorders>
              <w:top w:val="single" w:sz="4" w:space="0" w:color="auto"/>
              <w:left w:val="single" w:sz="4" w:space="0" w:color="auto"/>
              <w:bottom w:val="single" w:sz="4" w:space="0" w:color="auto"/>
              <w:right w:val="single" w:sz="4" w:space="0" w:color="auto"/>
            </w:tcBorders>
            <w:hideMark/>
          </w:tcPr>
          <w:p w14:paraId="4810E483" w14:textId="77777777" w:rsidR="00CA2E41" w:rsidRDefault="00CA2E41" w:rsidP="00E30FAC">
            <w:pPr>
              <w:spacing w:line="256" w:lineRule="auto"/>
              <w:rPr>
                <w:b/>
                <w:i/>
                <w:sz w:val="22"/>
                <w:lang w:eastAsia="en-US"/>
              </w:rPr>
            </w:pPr>
            <w:r>
              <w:rPr>
                <w:b/>
                <w:i/>
                <w:sz w:val="22"/>
                <w:lang w:eastAsia="en-US"/>
              </w:rPr>
              <w:t>Bendrieji sutrikimai ir vartojimo vietos pažeidimai</w:t>
            </w:r>
          </w:p>
        </w:tc>
        <w:tc>
          <w:tcPr>
            <w:tcW w:w="1189" w:type="dxa"/>
            <w:tcBorders>
              <w:top w:val="single" w:sz="4" w:space="0" w:color="auto"/>
              <w:left w:val="single" w:sz="4" w:space="0" w:color="auto"/>
              <w:bottom w:val="single" w:sz="4" w:space="0" w:color="auto"/>
              <w:right w:val="single" w:sz="4" w:space="0" w:color="auto"/>
            </w:tcBorders>
          </w:tcPr>
          <w:p w14:paraId="4B1B587F" w14:textId="77777777" w:rsidR="00CA2E41" w:rsidRDefault="00CA2E41" w:rsidP="00E30FAC">
            <w:pPr>
              <w:spacing w:line="256" w:lineRule="auto"/>
              <w:rPr>
                <w:sz w:val="22"/>
                <w:lang w:eastAsia="en-US"/>
              </w:rPr>
            </w:pPr>
            <w:r>
              <w:rPr>
                <w:sz w:val="22"/>
                <w:lang w:eastAsia="en-US"/>
              </w:rPr>
              <w:t>Labai dažni</w:t>
            </w:r>
          </w:p>
          <w:p w14:paraId="731ED0FB" w14:textId="77777777" w:rsidR="00CA2E41" w:rsidRDefault="00CA2E41" w:rsidP="00E30FAC">
            <w:pPr>
              <w:spacing w:line="256" w:lineRule="auto"/>
              <w:rPr>
                <w:sz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00442D04" w14:textId="77777777" w:rsidR="00CA2E41" w:rsidRDefault="00CA2E41" w:rsidP="00E30FAC">
            <w:pPr>
              <w:spacing w:line="256" w:lineRule="auto"/>
              <w:rPr>
                <w:sz w:val="22"/>
                <w:lang w:eastAsia="en-US"/>
              </w:rPr>
            </w:pPr>
            <w:r>
              <w:rPr>
                <w:iCs/>
                <w:sz w:val="22"/>
                <w:lang w:eastAsia="en-US"/>
              </w:rPr>
              <w:t>I</w:t>
            </w:r>
            <w:r>
              <w:rPr>
                <w:sz w:val="22"/>
                <w:lang w:eastAsia="en-US"/>
              </w:rPr>
              <w:t>njekcijos vietos reakcijos (pvz., paraudimas ir (arba) patinimas), skausmas injekcijos vietoje.</w:t>
            </w:r>
          </w:p>
          <w:p w14:paraId="527FA16F" w14:textId="77777777" w:rsidR="00CA2E41" w:rsidRDefault="00CA2E41" w:rsidP="00E30FAC">
            <w:pPr>
              <w:spacing w:line="256" w:lineRule="auto"/>
              <w:rPr>
                <w:sz w:val="22"/>
                <w:lang w:eastAsia="en-US"/>
              </w:rPr>
            </w:pPr>
          </w:p>
        </w:tc>
        <w:tc>
          <w:tcPr>
            <w:tcW w:w="3082" w:type="dxa"/>
            <w:tcBorders>
              <w:top w:val="single" w:sz="4" w:space="0" w:color="auto"/>
              <w:left w:val="single" w:sz="4" w:space="0" w:color="auto"/>
              <w:bottom w:val="single" w:sz="4" w:space="0" w:color="auto"/>
              <w:right w:val="single" w:sz="4" w:space="0" w:color="auto"/>
            </w:tcBorders>
          </w:tcPr>
          <w:p w14:paraId="0560F4E6" w14:textId="77777777" w:rsidR="00CA2E41" w:rsidRDefault="00CA2E41" w:rsidP="00E30FAC">
            <w:pPr>
              <w:spacing w:line="256" w:lineRule="auto"/>
              <w:rPr>
                <w:sz w:val="22"/>
                <w:lang w:eastAsia="en-US"/>
              </w:rPr>
            </w:pPr>
            <w:r>
              <w:rPr>
                <w:iCs/>
                <w:sz w:val="22"/>
                <w:lang w:eastAsia="en-US"/>
              </w:rPr>
              <w:t>I</w:t>
            </w:r>
            <w:r>
              <w:rPr>
                <w:sz w:val="22"/>
                <w:lang w:eastAsia="en-US"/>
              </w:rPr>
              <w:t>njekcijos vietos reakcijos (pvz., paraudimas ir (arba) patinimas), nuovargis, skausmas injekcijos vietoje.</w:t>
            </w:r>
          </w:p>
          <w:p w14:paraId="739FC7AF" w14:textId="77777777" w:rsidR="00CA2E41" w:rsidRDefault="00CA2E41" w:rsidP="00E30FAC">
            <w:pPr>
              <w:spacing w:line="256" w:lineRule="auto"/>
              <w:rPr>
                <w:sz w:val="22"/>
                <w:lang w:eastAsia="en-US"/>
              </w:rPr>
            </w:pPr>
          </w:p>
        </w:tc>
      </w:tr>
      <w:tr w:rsidR="00CA2E41" w14:paraId="35757B8D" w14:textId="77777777" w:rsidTr="00E30FAC">
        <w:tc>
          <w:tcPr>
            <w:tcW w:w="0" w:type="auto"/>
            <w:vMerge/>
            <w:tcBorders>
              <w:top w:val="single" w:sz="4" w:space="0" w:color="auto"/>
              <w:left w:val="single" w:sz="4" w:space="0" w:color="auto"/>
              <w:bottom w:val="single" w:sz="4" w:space="0" w:color="auto"/>
              <w:right w:val="single" w:sz="4" w:space="0" w:color="auto"/>
            </w:tcBorders>
            <w:vAlign w:val="center"/>
            <w:hideMark/>
          </w:tcPr>
          <w:p w14:paraId="022A78E0" w14:textId="77777777" w:rsidR="00CA2E41" w:rsidRDefault="00CA2E41" w:rsidP="00E30FAC">
            <w:pPr>
              <w:tabs>
                <w:tab w:val="clear" w:pos="567"/>
              </w:tabs>
              <w:spacing w:line="256" w:lineRule="auto"/>
              <w:rPr>
                <w:b/>
                <w:i/>
                <w:sz w:val="22"/>
                <w:lang w:eastAsia="en-US"/>
              </w:rPr>
            </w:pPr>
          </w:p>
        </w:tc>
        <w:tc>
          <w:tcPr>
            <w:tcW w:w="1189" w:type="dxa"/>
            <w:tcBorders>
              <w:top w:val="single" w:sz="4" w:space="0" w:color="auto"/>
              <w:left w:val="single" w:sz="4" w:space="0" w:color="auto"/>
              <w:bottom w:val="single" w:sz="4" w:space="0" w:color="auto"/>
              <w:right w:val="single" w:sz="4" w:space="0" w:color="auto"/>
            </w:tcBorders>
          </w:tcPr>
          <w:p w14:paraId="326BD2E3" w14:textId="77777777" w:rsidR="00CA2E41" w:rsidRDefault="00CA2E41" w:rsidP="00E30FAC">
            <w:pPr>
              <w:spacing w:line="256" w:lineRule="auto"/>
              <w:rPr>
                <w:sz w:val="22"/>
                <w:lang w:eastAsia="en-US"/>
              </w:rPr>
            </w:pPr>
            <w:r>
              <w:rPr>
                <w:sz w:val="22"/>
                <w:lang w:eastAsia="en-US"/>
              </w:rPr>
              <w:t>Dažni</w:t>
            </w:r>
          </w:p>
          <w:p w14:paraId="6D861A11" w14:textId="77777777" w:rsidR="00CA2E41" w:rsidRDefault="00CA2E41" w:rsidP="00E30FAC">
            <w:pPr>
              <w:spacing w:line="256" w:lineRule="auto"/>
              <w:rPr>
                <w:sz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4CA2F995" w14:textId="2F962ABF" w:rsidR="00CA2E41" w:rsidRDefault="00CA2E41" w:rsidP="00E30FAC">
            <w:pPr>
              <w:spacing w:line="256" w:lineRule="auto"/>
              <w:rPr>
                <w:sz w:val="22"/>
                <w:lang w:eastAsia="en-US"/>
              </w:rPr>
            </w:pPr>
            <w:r>
              <w:rPr>
                <w:sz w:val="22"/>
                <w:lang w:eastAsia="en-US"/>
              </w:rPr>
              <w:t xml:space="preserve">Karščiavimas (kūno temperatūra </w:t>
            </w:r>
            <w:r>
              <w:rPr>
                <w:sz w:val="22"/>
                <w:lang w:eastAsia="en-US"/>
              </w:rPr>
              <w:sym w:font="Symbol" w:char="F0B3"/>
            </w:r>
            <w:r>
              <w:rPr>
                <w:sz w:val="22"/>
                <w:lang w:eastAsia="en-US"/>
              </w:rPr>
              <w:t> 37,5</w:t>
            </w:r>
            <w:r w:rsidR="00AD2B7C">
              <w:rPr>
                <w:sz w:val="22"/>
                <w:lang w:eastAsia="en-US"/>
              </w:rPr>
              <w:t> </w:t>
            </w:r>
            <w:r>
              <w:rPr>
                <w:sz w:val="22"/>
                <w:lang w:eastAsia="en-US"/>
              </w:rPr>
              <w:t>ºC, įskaitant karščiavimą &gt; 39,0</w:t>
            </w:r>
            <w:r w:rsidR="00AD2B7C">
              <w:rPr>
                <w:sz w:val="22"/>
                <w:lang w:eastAsia="en-US"/>
              </w:rPr>
              <w:t> </w:t>
            </w:r>
            <w:r>
              <w:rPr>
                <w:sz w:val="22"/>
                <w:lang w:eastAsia="en-US"/>
              </w:rPr>
              <w:t>ºC), stiprus galūnės, į kurią buvo suleista vakcina, tinimas (kartais apimantis ir greta esantį sąnarį), reakcijos injekcijos vietoje (pvz., kraujavimas, niežėjimas ir sukietėjimas).</w:t>
            </w:r>
          </w:p>
          <w:p w14:paraId="234DA944" w14:textId="77777777" w:rsidR="00CA2E41" w:rsidRDefault="00CA2E41" w:rsidP="00E30FAC">
            <w:pPr>
              <w:spacing w:line="256" w:lineRule="auto"/>
              <w:rPr>
                <w:sz w:val="22"/>
                <w:lang w:eastAsia="en-US"/>
              </w:rPr>
            </w:pPr>
          </w:p>
        </w:tc>
        <w:tc>
          <w:tcPr>
            <w:tcW w:w="3082" w:type="dxa"/>
            <w:tcBorders>
              <w:top w:val="single" w:sz="4" w:space="0" w:color="auto"/>
              <w:left w:val="single" w:sz="4" w:space="0" w:color="auto"/>
              <w:bottom w:val="single" w:sz="4" w:space="0" w:color="auto"/>
              <w:right w:val="single" w:sz="4" w:space="0" w:color="auto"/>
            </w:tcBorders>
          </w:tcPr>
          <w:p w14:paraId="75634AE6" w14:textId="2EF2BCCD" w:rsidR="00CA2E41" w:rsidRDefault="00CA2E41" w:rsidP="00E30FAC">
            <w:pPr>
              <w:spacing w:line="256" w:lineRule="auto"/>
              <w:rPr>
                <w:sz w:val="22"/>
                <w:lang w:eastAsia="en-US"/>
              </w:rPr>
            </w:pPr>
            <w:r>
              <w:rPr>
                <w:sz w:val="22"/>
                <w:lang w:eastAsia="en-US"/>
              </w:rPr>
              <w:t xml:space="preserve">Karščiavimas (kūno temperatūra </w:t>
            </w:r>
            <w:r>
              <w:rPr>
                <w:sz w:val="22"/>
                <w:lang w:eastAsia="en-US"/>
              </w:rPr>
              <w:sym w:font="Symbol" w:char="F0B3"/>
            </w:r>
            <w:r>
              <w:rPr>
                <w:sz w:val="22"/>
                <w:lang w:eastAsia="en-US"/>
              </w:rPr>
              <w:t> 37,5</w:t>
            </w:r>
            <w:r w:rsidR="00AD2B7C">
              <w:rPr>
                <w:sz w:val="22"/>
                <w:lang w:eastAsia="en-US"/>
              </w:rPr>
              <w:t> </w:t>
            </w:r>
            <w:r>
              <w:rPr>
                <w:sz w:val="22"/>
                <w:lang w:eastAsia="en-US"/>
              </w:rPr>
              <w:t xml:space="preserve">ºC), </w:t>
            </w:r>
            <w:r>
              <w:rPr>
                <w:iCs/>
                <w:sz w:val="22"/>
                <w:lang w:eastAsia="en-US"/>
              </w:rPr>
              <w:t>i</w:t>
            </w:r>
            <w:r>
              <w:rPr>
                <w:sz w:val="22"/>
                <w:lang w:eastAsia="en-US"/>
              </w:rPr>
              <w:t>njekcijos vietos reakcijos (pvz., hematoma, niežėjimas, sukietėjimas ir šiltas tirpimas).</w:t>
            </w:r>
          </w:p>
          <w:p w14:paraId="7D3D5868" w14:textId="77777777" w:rsidR="00CA2E41" w:rsidRDefault="00CA2E41" w:rsidP="00E30FAC">
            <w:pPr>
              <w:spacing w:line="256" w:lineRule="auto"/>
              <w:rPr>
                <w:sz w:val="22"/>
                <w:lang w:eastAsia="en-US"/>
              </w:rPr>
            </w:pPr>
          </w:p>
        </w:tc>
      </w:tr>
      <w:tr w:rsidR="00CA2E41" w14:paraId="05CD61F0" w14:textId="77777777" w:rsidTr="00E30FAC">
        <w:tc>
          <w:tcPr>
            <w:tcW w:w="0" w:type="auto"/>
            <w:vMerge/>
            <w:tcBorders>
              <w:top w:val="single" w:sz="4" w:space="0" w:color="auto"/>
              <w:left w:val="single" w:sz="4" w:space="0" w:color="auto"/>
              <w:bottom w:val="single" w:sz="4" w:space="0" w:color="auto"/>
              <w:right w:val="single" w:sz="4" w:space="0" w:color="auto"/>
            </w:tcBorders>
            <w:vAlign w:val="center"/>
            <w:hideMark/>
          </w:tcPr>
          <w:p w14:paraId="7711AE1B" w14:textId="77777777" w:rsidR="00CA2E41" w:rsidRDefault="00CA2E41" w:rsidP="00E30FAC">
            <w:pPr>
              <w:tabs>
                <w:tab w:val="clear" w:pos="567"/>
              </w:tabs>
              <w:spacing w:line="256" w:lineRule="auto"/>
              <w:rPr>
                <w:b/>
                <w:i/>
                <w:sz w:val="22"/>
                <w:lang w:eastAsia="en-US"/>
              </w:rPr>
            </w:pPr>
          </w:p>
        </w:tc>
        <w:tc>
          <w:tcPr>
            <w:tcW w:w="1189" w:type="dxa"/>
            <w:tcBorders>
              <w:top w:val="single" w:sz="4" w:space="0" w:color="auto"/>
              <w:left w:val="single" w:sz="4" w:space="0" w:color="auto"/>
              <w:bottom w:val="single" w:sz="4" w:space="0" w:color="auto"/>
              <w:right w:val="single" w:sz="4" w:space="0" w:color="auto"/>
            </w:tcBorders>
          </w:tcPr>
          <w:p w14:paraId="7C51327F" w14:textId="77777777" w:rsidR="00CA2E41" w:rsidRDefault="00CA2E41" w:rsidP="00E30FAC">
            <w:pPr>
              <w:spacing w:line="256" w:lineRule="auto"/>
              <w:rPr>
                <w:sz w:val="22"/>
                <w:lang w:eastAsia="en-US"/>
              </w:rPr>
            </w:pPr>
            <w:r>
              <w:rPr>
                <w:sz w:val="22"/>
                <w:lang w:eastAsia="en-US"/>
              </w:rPr>
              <w:t>Nedažni</w:t>
            </w:r>
          </w:p>
          <w:p w14:paraId="520B3988" w14:textId="77777777" w:rsidR="00CA2E41" w:rsidRDefault="00CA2E41" w:rsidP="00E30FAC">
            <w:pPr>
              <w:spacing w:line="256" w:lineRule="auto"/>
              <w:rPr>
                <w:sz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13AAF8F1" w14:textId="77777777" w:rsidR="00CA2E41" w:rsidRDefault="00CA2E41" w:rsidP="00E30FAC">
            <w:pPr>
              <w:spacing w:line="256" w:lineRule="auto"/>
              <w:rPr>
                <w:sz w:val="22"/>
                <w:lang w:eastAsia="en-US"/>
              </w:rPr>
            </w:pPr>
            <w:r>
              <w:rPr>
                <w:sz w:val="22"/>
                <w:lang w:eastAsia="en-US"/>
              </w:rPr>
              <w:t>Nuovargis.</w:t>
            </w:r>
          </w:p>
          <w:p w14:paraId="211CE38F" w14:textId="77777777" w:rsidR="00CA2E41" w:rsidRDefault="00CA2E41" w:rsidP="00E30FAC">
            <w:pPr>
              <w:spacing w:line="256" w:lineRule="auto"/>
              <w:rPr>
                <w:sz w:val="22"/>
                <w:lang w:eastAsia="en-US"/>
              </w:rPr>
            </w:pPr>
          </w:p>
        </w:tc>
        <w:tc>
          <w:tcPr>
            <w:tcW w:w="3082" w:type="dxa"/>
            <w:tcBorders>
              <w:top w:val="single" w:sz="4" w:space="0" w:color="auto"/>
              <w:left w:val="single" w:sz="4" w:space="0" w:color="auto"/>
              <w:bottom w:val="single" w:sz="4" w:space="0" w:color="auto"/>
              <w:right w:val="single" w:sz="4" w:space="0" w:color="auto"/>
            </w:tcBorders>
          </w:tcPr>
          <w:p w14:paraId="6C52ACA7" w14:textId="3141CF07" w:rsidR="00CA2E41" w:rsidRDefault="00CA2E41" w:rsidP="00E30FAC">
            <w:pPr>
              <w:spacing w:line="256" w:lineRule="auto"/>
              <w:rPr>
                <w:sz w:val="22"/>
                <w:lang w:eastAsia="en-US"/>
              </w:rPr>
            </w:pPr>
            <w:r>
              <w:rPr>
                <w:sz w:val="22"/>
                <w:lang w:eastAsia="en-US"/>
              </w:rPr>
              <w:t>Stiprus galūnės, į kurią buvo suleista vakcina, tinimas (kartais apimantis ir greta esantį sąnarį), karščiavimas (&gt; 39,0</w:t>
            </w:r>
            <w:r w:rsidR="00AD2B7C">
              <w:rPr>
                <w:sz w:val="22"/>
                <w:lang w:eastAsia="en-US"/>
              </w:rPr>
              <w:t> </w:t>
            </w:r>
            <w:r>
              <w:rPr>
                <w:sz w:val="22"/>
                <w:lang w:eastAsia="en-US"/>
              </w:rPr>
              <w:t xml:space="preserve">ºC), </w:t>
            </w:r>
            <w:proofErr w:type="spellStart"/>
            <w:r>
              <w:rPr>
                <w:sz w:val="22"/>
                <w:lang w:eastAsia="en-US"/>
              </w:rPr>
              <w:t>šaltkrėtis</w:t>
            </w:r>
            <w:proofErr w:type="spellEnd"/>
            <w:r>
              <w:rPr>
                <w:sz w:val="22"/>
                <w:lang w:eastAsia="en-US"/>
              </w:rPr>
              <w:t>, skausmas.</w:t>
            </w:r>
          </w:p>
          <w:p w14:paraId="3AB67C5A" w14:textId="77777777" w:rsidR="00CA2E41" w:rsidRDefault="00CA2E41" w:rsidP="00E30FAC">
            <w:pPr>
              <w:spacing w:line="256" w:lineRule="auto"/>
              <w:rPr>
                <w:sz w:val="22"/>
                <w:lang w:eastAsia="en-US"/>
              </w:rPr>
            </w:pPr>
          </w:p>
        </w:tc>
      </w:tr>
    </w:tbl>
    <w:p w14:paraId="3332F47A" w14:textId="77777777" w:rsidR="00CA2E41" w:rsidRPr="00305A45" w:rsidRDefault="00CA2E41" w:rsidP="00CA2E41">
      <w:pPr>
        <w:rPr>
          <w:sz w:val="22"/>
        </w:rPr>
      </w:pPr>
    </w:p>
    <w:p w14:paraId="44D9C051" w14:textId="77777777" w:rsidR="00CA2E41" w:rsidRDefault="00CA2E41" w:rsidP="00CA2E41">
      <w:pPr>
        <w:keepNext/>
        <w:rPr>
          <w:i/>
          <w:sz w:val="22"/>
        </w:rPr>
      </w:pPr>
      <w:r>
        <w:rPr>
          <w:i/>
          <w:sz w:val="22"/>
        </w:rPr>
        <w:t>Vartojimas kartu su MMR ar MMRV vakcinomis 3</w:t>
      </w:r>
      <w:r>
        <w:rPr>
          <w:i/>
          <w:sz w:val="22"/>
        </w:rPr>
        <w:noBreakHyphen/>
        <w:t>6 metų vaikams</w:t>
      </w:r>
    </w:p>
    <w:p w14:paraId="70B3AEA7" w14:textId="77777777" w:rsidR="00CA2E41" w:rsidRDefault="00CA2E41" w:rsidP="00CA2E41">
      <w:pPr>
        <w:keepNext/>
        <w:rPr>
          <w:i/>
          <w:sz w:val="22"/>
        </w:rPr>
      </w:pPr>
    </w:p>
    <w:p w14:paraId="38402498" w14:textId="77777777" w:rsidR="00CA2E41" w:rsidRDefault="00CA2E41" w:rsidP="00CA2E41">
      <w:pPr>
        <w:rPr>
          <w:sz w:val="22"/>
        </w:rPr>
      </w:pPr>
      <w:r>
        <w:rPr>
          <w:sz w:val="22"/>
        </w:rPr>
        <w:t xml:space="preserve">Dviejų klinikinių tyrimų metu BOOSTRIX POLIO buvo suleista kartu su </w:t>
      </w:r>
      <w:r>
        <w:rPr>
          <w:i/>
          <w:sz w:val="22"/>
        </w:rPr>
        <w:t>MMR</w:t>
      </w:r>
      <w:r>
        <w:rPr>
          <w:sz w:val="22"/>
        </w:rPr>
        <w:t xml:space="preserve"> ar </w:t>
      </w:r>
      <w:r>
        <w:rPr>
          <w:i/>
          <w:sz w:val="22"/>
        </w:rPr>
        <w:t>MMRV</w:t>
      </w:r>
      <w:r>
        <w:rPr>
          <w:sz w:val="22"/>
        </w:rPr>
        <w:t xml:space="preserve"> vakcinomis 406 vaikams, kurių amžius buvo nuo 3 iki 6 metų. Šių tyrimų metu buvo dažnai pranešta apie </w:t>
      </w:r>
      <w:r>
        <w:rPr>
          <w:sz w:val="22"/>
        </w:rPr>
        <w:lastRenderedPageBreak/>
        <w:t>viršutinių kvėpavimo takų infekcines ligas ir bėrimą. Apie karščiavimą, irzlumą, nuovargį, apetito netekimą ir virškinimo trakto sutrikimus (įskaitant viduriavimą ir vėmimą) buvo pranešta dažniau (labai dažnai), palyginti su 1 lentelės duomenimis, o visos kitos nepageidaujamos reakcijos pasireiškė panašiu ar mažesniu dažnumu.</w:t>
      </w:r>
    </w:p>
    <w:p w14:paraId="0FC8B2AA" w14:textId="77777777" w:rsidR="00CA2E41" w:rsidRDefault="00CA2E41" w:rsidP="00CA2E41">
      <w:pPr>
        <w:rPr>
          <w:sz w:val="22"/>
        </w:rPr>
      </w:pPr>
    </w:p>
    <w:p w14:paraId="217AD643" w14:textId="44B00F1E" w:rsidR="00CA2E41" w:rsidRDefault="00CA2E41" w:rsidP="00CA2E41">
      <w:pPr>
        <w:rPr>
          <w:sz w:val="22"/>
        </w:rPr>
      </w:pPr>
      <w:r>
        <w:rPr>
          <w:sz w:val="22"/>
        </w:rPr>
        <w:t xml:space="preserve">Nepageidaujamos reakcijos, apie kurias buvo papildomai pranešta atliekant </w:t>
      </w:r>
      <w:proofErr w:type="spellStart"/>
      <w:r>
        <w:rPr>
          <w:sz w:val="22"/>
        </w:rPr>
        <w:t>Boostrix</w:t>
      </w:r>
      <w:proofErr w:type="spellEnd"/>
      <w:r>
        <w:rPr>
          <w:sz w:val="22"/>
        </w:rPr>
        <w:t xml:space="preserve"> (BOOSTRIX POLIO </w:t>
      </w:r>
      <w:proofErr w:type="spellStart"/>
      <w:r>
        <w:rPr>
          <w:i/>
          <w:iCs/>
          <w:sz w:val="22"/>
        </w:rPr>
        <w:t>dTpa</w:t>
      </w:r>
      <w:proofErr w:type="spellEnd"/>
      <w:r>
        <w:rPr>
          <w:sz w:val="22"/>
        </w:rPr>
        <w:t xml:space="preserve"> komponentas) klinikinius tyrimus, kurių metu ši vakcina buvo skirta 839 vaikams (nuo 4 iki 8 metų amžiaus) ir 1 931 suaugusiesiems, paaugliams ir vaikams (nuo 10 iki 76 metų amžiaus), išvardytos 2</w:t>
      </w:r>
      <w:r w:rsidR="00FF305A">
        <w:rPr>
          <w:sz w:val="22"/>
        </w:rPr>
        <w:t> </w:t>
      </w:r>
      <w:r>
        <w:rPr>
          <w:sz w:val="22"/>
        </w:rPr>
        <w:t>lentelėje.</w:t>
      </w:r>
    </w:p>
    <w:p w14:paraId="007A8C27" w14:textId="77777777" w:rsidR="00CA2E41" w:rsidRDefault="00CA2E41" w:rsidP="00CA2E41">
      <w:pPr>
        <w:rPr>
          <w:sz w:val="22"/>
        </w:rPr>
      </w:pPr>
    </w:p>
    <w:p w14:paraId="785F7667" w14:textId="3140C7FE" w:rsidR="00CA2E41" w:rsidRDefault="00CA2E41" w:rsidP="00CA2E41">
      <w:pPr>
        <w:keepNext/>
        <w:rPr>
          <w:sz w:val="22"/>
        </w:rPr>
      </w:pPr>
      <w:r>
        <w:rPr>
          <w:b/>
          <w:sz w:val="22"/>
        </w:rPr>
        <w:t>2</w:t>
      </w:r>
      <w:r w:rsidR="00FF305A">
        <w:rPr>
          <w:b/>
          <w:sz w:val="22"/>
        </w:rPr>
        <w:t> </w:t>
      </w:r>
      <w:r>
        <w:rPr>
          <w:b/>
          <w:sz w:val="22"/>
        </w:rPr>
        <w:t>lentelė.</w:t>
      </w:r>
      <w:r>
        <w:rPr>
          <w:sz w:val="22"/>
        </w:rPr>
        <w:t xml:space="preserve"> Nepageidaujamos reakcijos, apie kurias buvo pranešta </w:t>
      </w:r>
      <w:proofErr w:type="spellStart"/>
      <w:r>
        <w:rPr>
          <w:sz w:val="22"/>
        </w:rPr>
        <w:t>Boostrix</w:t>
      </w:r>
      <w:proofErr w:type="spellEnd"/>
      <w:r>
        <w:rPr>
          <w:sz w:val="22"/>
        </w:rPr>
        <w:t xml:space="preserve"> klinikinių tyrimų metu</w:t>
      </w:r>
    </w:p>
    <w:p w14:paraId="014E3D24" w14:textId="77777777" w:rsidR="00CA2E41" w:rsidRDefault="00CA2E41" w:rsidP="00CA2E41">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175"/>
        <w:gridCol w:w="2631"/>
        <w:gridCol w:w="2989"/>
      </w:tblGrid>
      <w:tr w:rsidR="00CA2E41" w14:paraId="6C915D04" w14:textId="77777777" w:rsidTr="00E30FAC">
        <w:tc>
          <w:tcPr>
            <w:tcW w:w="2265" w:type="dxa"/>
            <w:vMerge w:val="restart"/>
            <w:tcBorders>
              <w:top w:val="single" w:sz="4" w:space="0" w:color="auto"/>
              <w:left w:val="single" w:sz="4" w:space="0" w:color="auto"/>
              <w:bottom w:val="single" w:sz="4" w:space="0" w:color="auto"/>
              <w:right w:val="single" w:sz="4" w:space="0" w:color="auto"/>
            </w:tcBorders>
            <w:hideMark/>
          </w:tcPr>
          <w:p w14:paraId="318C4680" w14:textId="77777777" w:rsidR="00CA2E41" w:rsidRDefault="00CA2E41" w:rsidP="00E30FAC">
            <w:pPr>
              <w:spacing w:line="256" w:lineRule="auto"/>
              <w:rPr>
                <w:b/>
                <w:i/>
                <w:sz w:val="22"/>
                <w:lang w:eastAsia="en-US"/>
              </w:rPr>
            </w:pPr>
            <w:r>
              <w:rPr>
                <w:b/>
                <w:i/>
                <w:sz w:val="22"/>
                <w:lang w:eastAsia="en-US"/>
              </w:rPr>
              <w:t>Organų sistemų klasės</w:t>
            </w:r>
          </w:p>
        </w:tc>
        <w:tc>
          <w:tcPr>
            <w:tcW w:w="1175" w:type="dxa"/>
            <w:vMerge w:val="restart"/>
            <w:tcBorders>
              <w:top w:val="single" w:sz="4" w:space="0" w:color="auto"/>
              <w:left w:val="single" w:sz="4" w:space="0" w:color="auto"/>
              <w:bottom w:val="single" w:sz="4" w:space="0" w:color="auto"/>
              <w:right w:val="single" w:sz="4" w:space="0" w:color="auto"/>
            </w:tcBorders>
            <w:hideMark/>
          </w:tcPr>
          <w:p w14:paraId="6D796DB9" w14:textId="77777777" w:rsidR="00CA2E41" w:rsidRDefault="00CA2E41" w:rsidP="00E30FAC">
            <w:pPr>
              <w:spacing w:line="256" w:lineRule="auto"/>
              <w:rPr>
                <w:b/>
                <w:i/>
                <w:sz w:val="22"/>
                <w:lang w:eastAsia="en-US"/>
              </w:rPr>
            </w:pPr>
            <w:r>
              <w:rPr>
                <w:b/>
                <w:i/>
                <w:sz w:val="22"/>
                <w:lang w:eastAsia="en-US"/>
              </w:rPr>
              <w:t xml:space="preserve">Dažnis </w:t>
            </w:r>
          </w:p>
        </w:tc>
        <w:tc>
          <w:tcPr>
            <w:tcW w:w="5620" w:type="dxa"/>
            <w:gridSpan w:val="2"/>
            <w:tcBorders>
              <w:top w:val="single" w:sz="4" w:space="0" w:color="auto"/>
              <w:left w:val="single" w:sz="4" w:space="0" w:color="auto"/>
              <w:bottom w:val="single" w:sz="4" w:space="0" w:color="auto"/>
              <w:right w:val="single" w:sz="4" w:space="0" w:color="auto"/>
            </w:tcBorders>
            <w:hideMark/>
          </w:tcPr>
          <w:p w14:paraId="667333A6" w14:textId="77777777" w:rsidR="00CA2E41" w:rsidRDefault="00CA2E41" w:rsidP="00E30FAC">
            <w:pPr>
              <w:spacing w:line="256" w:lineRule="auto"/>
              <w:jc w:val="center"/>
              <w:rPr>
                <w:b/>
                <w:i/>
                <w:sz w:val="22"/>
                <w:lang w:eastAsia="en-US"/>
              </w:rPr>
            </w:pPr>
            <w:r>
              <w:rPr>
                <w:b/>
                <w:i/>
                <w:sz w:val="22"/>
                <w:lang w:eastAsia="en-US"/>
              </w:rPr>
              <w:t>Nepageidaujamos reakcijos</w:t>
            </w:r>
          </w:p>
        </w:tc>
      </w:tr>
      <w:tr w:rsidR="00CA2E41" w14:paraId="3808BDB9" w14:textId="77777777" w:rsidTr="00E30FAC">
        <w:tc>
          <w:tcPr>
            <w:tcW w:w="0" w:type="auto"/>
            <w:vMerge/>
            <w:tcBorders>
              <w:top w:val="single" w:sz="4" w:space="0" w:color="auto"/>
              <w:left w:val="single" w:sz="4" w:space="0" w:color="auto"/>
              <w:bottom w:val="single" w:sz="4" w:space="0" w:color="auto"/>
              <w:right w:val="single" w:sz="4" w:space="0" w:color="auto"/>
            </w:tcBorders>
            <w:vAlign w:val="center"/>
            <w:hideMark/>
          </w:tcPr>
          <w:p w14:paraId="1FAA4A02" w14:textId="77777777" w:rsidR="00CA2E41" w:rsidRDefault="00CA2E41" w:rsidP="00E30FAC">
            <w:pPr>
              <w:tabs>
                <w:tab w:val="clear" w:pos="567"/>
              </w:tabs>
              <w:spacing w:line="256" w:lineRule="auto"/>
              <w:rPr>
                <w:b/>
                <w:i/>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E5E366" w14:textId="77777777" w:rsidR="00CA2E41" w:rsidRDefault="00CA2E41" w:rsidP="00E30FAC">
            <w:pPr>
              <w:tabs>
                <w:tab w:val="clear" w:pos="567"/>
              </w:tabs>
              <w:spacing w:line="256" w:lineRule="auto"/>
              <w:rPr>
                <w:b/>
                <w:i/>
                <w:sz w:val="22"/>
                <w:lang w:eastAsia="en-US"/>
              </w:rPr>
            </w:pPr>
          </w:p>
        </w:tc>
        <w:tc>
          <w:tcPr>
            <w:tcW w:w="2631" w:type="dxa"/>
            <w:tcBorders>
              <w:top w:val="single" w:sz="4" w:space="0" w:color="auto"/>
              <w:left w:val="single" w:sz="4" w:space="0" w:color="auto"/>
              <w:bottom w:val="single" w:sz="4" w:space="0" w:color="auto"/>
              <w:right w:val="single" w:sz="4" w:space="0" w:color="auto"/>
            </w:tcBorders>
            <w:hideMark/>
          </w:tcPr>
          <w:p w14:paraId="2851B47F" w14:textId="77777777" w:rsidR="00CA2E41" w:rsidRDefault="00CA2E41" w:rsidP="00E30FAC">
            <w:pPr>
              <w:spacing w:line="256" w:lineRule="auto"/>
              <w:jc w:val="center"/>
              <w:rPr>
                <w:b/>
                <w:i/>
                <w:sz w:val="22"/>
                <w:lang w:eastAsia="en-US"/>
              </w:rPr>
            </w:pPr>
            <w:r>
              <w:rPr>
                <w:b/>
                <w:i/>
                <w:sz w:val="22"/>
                <w:lang w:eastAsia="en-US"/>
              </w:rPr>
              <w:t>4</w:t>
            </w:r>
            <w:r>
              <w:rPr>
                <w:b/>
                <w:i/>
                <w:sz w:val="22"/>
                <w:lang w:eastAsia="en-US"/>
              </w:rPr>
              <w:noBreakHyphen/>
              <w:t>8 metų tiriamieji</w:t>
            </w:r>
          </w:p>
          <w:p w14:paraId="618629F3" w14:textId="77777777" w:rsidR="00CA2E41" w:rsidRDefault="00CA2E41" w:rsidP="00E30FAC">
            <w:pPr>
              <w:spacing w:line="256" w:lineRule="auto"/>
              <w:jc w:val="center"/>
              <w:rPr>
                <w:b/>
                <w:i/>
                <w:sz w:val="22"/>
                <w:lang w:eastAsia="en-US"/>
              </w:rPr>
            </w:pPr>
            <w:r>
              <w:rPr>
                <w:b/>
                <w:i/>
                <w:sz w:val="22"/>
                <w:lang w:eastAsia="en-US"/>
              </w:rPr>
              <w:t>(N = 839)</w:t>
            </w:r>
          </w:p>
        </w:tc>
        <w:tc>
          <w:tcPr>
            <w:tcW w:w="2989" w:type="dxa"/>
            <w:tcBorders>
              <w:top w:val="single" w:sz="4" w:space="0" w:color="auto"/>
              <w:left w:val="single" w:sz="4" w:space="0" w:color="auto"/>
              <w:bottom w:val="single" w:sz="4" w:space="0" w:color="auto"/>
              <w:right w:val="single" w:sz="4" w:space="0" w:color="auto"/>
            </w:tcBorders>
            <w:hideMark/>
          </w:tcPr>
          <w:p w14:paraId="730449DB" w14:textId="77777777" w:rsidR="00CA2E41" w:rsidRDefault="00CA2E41" w:rsidP="00E30FAC">
            <w:pPr>
              <w:spacing w:line="256" w:lineRule="auto"/>
              <w:jc w:val="center"/>
              <w:rPr>
                <w:b/>
                <w:i/>
                <w:sz w:val="22"/>
                <w:lang w:eastAsia="en-US"/>
              </w:rPr>
            </w:pPr>
            <w:r>
              <w:rPr>
                <w:b/>
                <w:i/>
                <w:sz w:val="22"/>
                <w:lang w:eastAsia="en-US"/>
              </w:rPr>
              <w:t>10</w:t>
            </w:r>
            <w:r>
              <w:rPr>
                <w:b/>
                <w:i/>
                <w:sz w:val="22"/>
                <w:lang w:eastAsia="en-US"/>
              </w:rPr>
              <w:noBreakHyphen/>
              <w:t>76 metų tiriamieji</w:t>
            </w:r>
          </w:p>
          <w:p w14:paraId="06925D0F" w14:textId="77777777" w:rsidR="00CA2E41" w:rsidRDefault="00CA2E41" w:rsidP="00E30FAC">
            <w:pPr>
              <w:spacing w:line="256" w:lineRule="auto"/>
              <w:jc w:val="center"/>
              <w:rPr>
                <w:b/>
                <w:i/>
                <w:sz w:val="22"/>
                <w:lang w:eastAsia="en-US"/>
              </w:rPr>
            </w:pPr>
            <w:r>
              <w:rPr>
                <w:b/>
                <w:i/>
                <w:sz w:val="22"/>
                <w:lang w:eastAsia="en-US"/>
              </w:rPr>
              <w:t>(N = 1931)</w:t>
            </w:r>
          </w:p>
        </w:tc>
      </w:tr>
      <w:tr w:rsidR="00CA2E41" w14:paraId="5920412B" w14:textId="77777777" w:rsidTr="00E30FAC">
        <w:tc>
          <w:tcPr>
            <w:tcW w:w="2265" w:type="dxa"/>
            <w:tcBorders>
              <w:top w:val="single" w:sz="4" w:space="0" w:color="auto"/>
              <w:left w:val="single" w:sz="4" w:space="0" w:color="auto"/>
              <w:bottom w:val="single" w:sz="4" w:space="0" w:color="auto"/>
              <w:right w:val="single" w:sz="4" w:space="0" w:color="auto"/>
            </w:tcBorders>
            <w:hideMark/>
          </w:tcPr>
          <w:p w14:paraId="426341AA" w14:textId="77777777" w:rsidR="00CA2E41" w:rsidRDefault="00CA2E41" w:rsidP="00E30FAC">
            <w:pPr>
              <w:spacing w:line="256" w:lineRule="auto"/>
              <w:rPr>
                <w:b/>
                <w:i/>
                <w:sz w:val="22"/>
                <w:lang w:eastAsia="en-US"/>
              </w:rPr>
            </w:pPr>
            <w:r>
              <w:rPr>
                <w:b/>
                <w:i/>
                <w:sz w:val="22"/>
                <w:lang w:eastAsia="en-US"/>
              </w:rPr>
              <w:t xml:space="preserve">Infekcijos ir </w:t>
            </w:r>
            <w:proofErr w:type="spellStart"/>
            <w:r>
              <w:rPr>
                <w:b/>
                <w:i/>
                <w:sz w:val="22"/>
                <w:lang w:eastAsia="en-US"/>
              </w:rPr>
              <w:t>infestacijos</w:t>
            </w:r>
            <w:proofErr w:type="spellEnd"/>
          </w:p>
        </w:tc>
        <w:tc>
          <w:tcPr>
            <w:tcW w:w="1175" w:type="dxa"/>
            <w:tcBorders>
              <w:top w:val="single" w:sz="4" w:space="0" w:color="auto"/>
              <w:left w:val="single" w:sz="4" w:space="0" w:color="auto"/>
              <w:bottom w:val="single" w:sz="4" w:space="0" w:color="auto"/>
              <w:right w:val="single" w:sz="4" w:space="0" w:color="auto"/>
            </w:tcBorders>
            <w:hideMark/>
          </w:tcPr>
          <w:p w14:paraId="74DB0054" w14:textId="77777777" w:rsidR="00CA2E41" w:rsidRDefault="00CA2E41" w:rsidP="00E30FAC">
            <w:pPr>
              <w:spacing w:line="256" w:lineRule="auto"/>
              <w:rPr>
                <w:sz w:val="22"/>
                <w:lang w:eastAsia="en-US"/>
              </w:rPr>
            </w:pPr>
            <w:r>
              <w:rPr>
                <w:sz w:val="22"/>
                <w:lang w:eastAsia="en-US"/>
              </w:rPr>
              <w:t>Nedažni</w:t>
            </w:r>
          </w:p>
        </w:tc>
        <w:tc>
          <w:tcPr>
            <w:tcW w:w="2631" w:type="dxa"/>
            <w:tcBorders>
              <w:top w:val="single" w:sz="4" w:space="0" w:color="auto"/>
              <w:left w:val="single" w:sz="4" w:space="0" w:color="auto"/>
              <w:bottom w:val="single" w:sz="4" w:space="0" w:color="auto"/>
              <w:right w:val="single" w:sz="4" w:space="0" w:color="auto"/>
            </w:tcBorders>
          </w:tcPr>
          <w:p w14:paraId="10A89419" w14:textId="77777777" w:rsidR="00CA2E41" w:rsidRDefault="00CA2E41" w:rsidP="00E30FAC">
            <w:pPr>
              <w:spacing w:line="256" w:lineRule="auto"/>
              <w:rPr>
                <w:sz w:val="22"/>
                <w:lang w:eastAsia="en-US"/>
              </w:rPr>
            </w:pPr>
          </w:p>
        </w:tc>
        <w:tc>
          <w:tcPr>
            <w:tcW w:w="2989" w:type="dxa"/>
            <w:tcBorders>
              <w:top w:val="single" w:sz="4" w:space="0" w:color="auto"/>
              <w:left w:val="single" w:sz="4" w:space="0" w:color="auto"/>
              <w:bottom w:val="single" w:sz="4" w:space="0" w:color="auto"/>
              <w:right w:val="single" w:sz="4" w:space="0" w:color="auto"/>
            </w:tcBorders>
            <w:hideMark/>
          </w:tcPr>
          <w:p w14:paraId="2E46470B" w14:textId="77777777" w:rsidR="00CA2E41" w:rsidRDefault="00CA2E41" w:rsidP="00E30FAC">
            <w:pPr>
              <w:spacing w:line="256" w:lineRule="auto"/>
              <w:rPr>
                <w:sz w:val="22"/>
                <w:lang w:eastAsia="en-US"/>
              </w:rPr>
            </w:pPr>
            <w:r>
              <w:rPr>
                <w:sz w:val="22"/>
                <w:lang w:eastAsia="en-US"/>
              </w:rPr>
              <w:t xml:space="preserve">Viršutinių kvėpavimo takų infekcinė liga, </w:t>
            </w:r>
            <w:proofErr w:type="spellStart"/>
            <w:r>
              <w:rPr>
                <w:sz w:val="22"/>
                <w:lang w:eastAsia="en-US"/>
              </w:rPr>
              <w:t>faringitas</w:t>
            </w:r>
            <w:proofErr w:type="spellEnd"/>
            <w:r>
              <w:rPr>
                <w:sz w:val="22"/>
                <w:lang w:eastAsia="en-US"/>
              </w:rPr>
              <w:t>.</w:t>
            </w:r>
          </w:p>
        </w:tc>
      </w:tr>
      <w:tr w:rsidR="00CA2E41" w14:paraId="4F22AE31" w14:textId="77777777" w:rsidTr="00E30FAC">
        <w:tc>
          <w:tcPr>
            <w:tcW w:w="2265" w:type="dxa"/>
            <w:tcBorders>
              <w:top w:val="single" w:sz="4" w:space="0" w:color="auto"/>
              <w:left w:val="single" w:sz="4" w:space="0" w:color="auto"/>
              <w:bottom w:val="single" w:sz="4" w:space="0" w:color="auto"/>
              <w:right w:val="single" w:sz="4" w:space="0" w:color="auto"/>
            </w:tcBorders>
            <w:hideMark/>
          </w:tcPr>
          <w:p w14:paraId="4570F619" w14:textId="77777777" w:rsidR="00CA2E41" w:rsidRDefault="00CA2E41" w:rsidP="00E30FAC">
            <w:pPr>
              <w:spacing w:line="256" w:lineRule="auto"/>
              <w:rPr>
                <w:b/>
                <w:i/>
                <w:sz w:val="22"/>
                <w:lang w:eastAsia="en-US"/>
              </w:rPr>
            </w:pPr>
            <w:r>
              <w:rPr>
                <w:b/>
                <w:i/>
                <w:sz w:val="22"/>
                <w:lang w:eastAsia="en-US"/>
              </w:rPr>
              <w:t>Nervų sistemos sutrikimai</w:t>
            </w:r>
          </w:p>
        </w:tc>
        <w:tc>
          <w:tcPr>
            <w:tcW w:w="1175" w:type="dxa"/>
            <w:tcBorders>
              <w:top w:val="single" w:sz="4" w:space="0" w:color="auto"/>
              <w:left w:val="single" w:sz="4" w:space="0" w:color="auto"/>
              <w:bottom w:val="single" w:sz="4" w:space="0" w:color="auto"/>
              <w:right w:val="single" w:sz="4" w:space="0" w:color="auto"/>
            </w:tcBorders>
            <w:hideMark/>
          </w:tcPr>
          <w:p w14:paraId="199DF101" w14:textId="77777777" w:rsidR="00CA2E41" w:rsidRDefault="00CA2E41" w:rsidP="00E30FAC">
            <w:pPr>
              <w:spacing w:line="256" w:lineRule="auto"/>
              <w:rPr>
                <w:sz w:val="22"/>
                <w:lang w:eastAsia="en-US"/>
              </w:rPr>
            </w:pPr>
            <w:r>
              <w:rPr>
                <w:sz w:val="22"/>
                <w:lang w:eastAsia="en-US"/>
              </w:rPr>
              <w:t>Nedažni</w:t>
            </w:r>
          </w:p>
        </w:tc>
        <w:tc>
          <w:tcPr>
            <w:tcW w:w="2631" w:type="dxa"/>
            <w:tcBorders>
              <w:top w:val="single" w:sz="4" w:space="0" w:color="auto"/>
              <w:left w:val="single" w:sz="4" w:space="0" w:color="auto"/>
              <w:bottom w:val="single" w:sz="4" w:space="0" w:color="auto"/>
              <w:right w:val="single" w:sz="4" w:space="0" w:color="auto"/>
            </w:tcBorders>
            <w:hideMark/>
          </w:tcPr>
          <w:p w14:paraId="5B33779F" w14:textId="77777777" w:rsidR="00CA2E41" w:rsidRDefault="00CA2E41" w:rsidP="00E30FAC">
            <w:pPr>
              <w:spacing w:line="256" w:lineRule="auto"/>
              <w:rPr>
                <w:sz w:val="22"/>
                <w:lang w:eastAsia="en-US"/>
              </w:rPr>
            </w:pPr>
            <w:r>
              <w:rPr>
                <w:sz w:val="22"/>
                <w:lang w:eastAsia="en-US"/>
              </w:rPr>
              <w:t>Dėmesio sutrikimai.</w:t>
            </w:r>
          </w:p>
        </w:tc>
        <w:tc>
          <w:tcPr>
            <w:tcW w:w="2989" w:type="dxa"/>
            <w:tcBorders>
              <w:top w:val="single" w:sz="4" w:space="0" w:color="auto"/>
              <w:left w:val="single" w:sz="4" w:space="0" w:color="auto"/>
              <w:bottom w:val="single" w:sz="4" w:space="0" w:color="auto"/>
              <w:right w:val="single" w:sz="4" w:space="0" w:color="auto"/>
            </w:tcBorders>
            <w:hideMark/>
          </w:tcPr>
          <w:p w14:paraId="6080FACF" w14:textId="77777777" w:rsidR="00CA2E41" w:rsidRDefault="00CA2E41" w:rsidP="00E30FAC">
            <w:pPr>
              <w:spacing w:line="256" w:lineRule="auto"/>
              <w:rPr>
                <w:sz w:val="22"/>
                <w:lang w:eastAsia="en-US"/>
              </w:rPr>
            </w:pPr>
            <w:r>
              <w:rPr>
                <w:sz w:val="22"/>
                <w:lang w:eastAsia="en-US"/>
              </w:rPr>
              <w:t>Apalpimas.</w:t>
            </w:r>
          </w:p>
        </w:tc>
      </w:tr>
      <w:tr w:rsidR="00CA2E41" w14:paraId="19879F84" w14:textId="77777777" w:rsidTr="00E30FAC">
        <w:tc>
          <w:tcPr>
            <w:tcW w:w="2265" w:type="dxa"/>
            <w:tcBorders>
              <w:top w:val="single" w:sz="4" w:space="0" w:color="auto"/>
              <w:left w:val="single" w:sz="4" w:space="0" w:color="auto"/>
              <w:bottom w:val="single" w:sz="4" w:space="0" w:color="auto"/>
              <w:right w:val="single" w:sz="4" w:space="0" w:color="auto"/>
            </w:tcBorders>
            <w:hideMark/>
          </w:tcPr>
          <w:p w14:paraId="00816339" w14:textId="77777777" w:rsidR="00CA2E41" w:rsidRDefault="00CA2E41" w:rsidP="00E30FAC">
            <w:pPr>
              <w:spacing w:line="256" w:lineRule="auto"/>
              <w:rPr>
                <w:b/>
                <w:i/>
                <w:sz w:val="22"/>
                <w:lang w:eastAsia="en-US"/>
              </w:rPr>
            </w:pPr>
            <w:r>
              <w:rPr>
                <w:b/>
                <w:i/>
                <w:sz w:val="22"/>
                <w:lang w:eastAsia="en-US"/>
              </w:rPr>
              <w:t>Akių sutrikimai</w:t>
            </w:r>
          </w:p>
        </w:tc>
        <w:tc>
          <w:tcPr>
            <w:tcW w:w="1175" w:type="dxa"/>
            <w:tcBorders>
              <w:top w:val="single" w:sz="4" w:space="0" w:color="auto"/>
              <w:left w:val="single" w:sz="4" w:space="0" w:color="auto"/>
              <w:bottom w:val="single" w:sz="4" w:space="0" w:color="auto"/>
              <w:right w:val="single" w:sz="4" w:space="0" w:color="auto"/>
            </w:tcBorders>
            <w:hideMark/>
          </w:tcPr>
          <w:p w14:paraId="7EC837E0" w14:textId="77777777" w:rsidR="00CA2E41" w:rsidRDefault="00CA2E41" w:rsidP="00E30FAC">
            <w:pPr>
              <w:spacing w:line="256" w:lineRule="auto"/>
              <w:rPr>
                <w:sz w:val="22"/>
                <w:lang w:eastAsia="en-US"/>
              </w:rPr>
            </w:pPr>
            <w:r>
              <w:rPr>
                <w:sz w:val="22"/>
                <w:lang w:eastAsia="en-US"/>
              </w:rPr>
              <w:t>Nedažni</w:t>
            </w:r>
          </w:p>
        </w:tc>
        <w:tc>
          <w:tcPr>
            <w:tcW w:w="2631" w:type="dxa"/>
            <w:tcBorders>
              <w:top w:val="single" w:sz="4" w:space="0" w:color="auto"/>
              <w:left w:val="single" w:sz="4" w:space="0" w:color="auto"/>
              <w:bottom w:val="single" w:sz="4" w:space="0" w:color="auto"/>
              <w:right w:val="single" w:sz="4" w:space="0" w:color="auto"/>
            </w:tcBorders>
          </w:tcPr>
          <w:p w14:paraId="62149917" w14:textId="77777777" w:rsidR="00CA2E41" w:rsidRDefault="00CA2E41" w:rsidP="00E30FAC">
            <w:pPr>
              <w:spacing w:line="256" w:lineRule="auto"/>
              <w:rPr>
                <w:sz w:val="22"/>
                <w:lang w:eastAsia="en-US"/>
              </w:rPr>
            </w:pPr>
            <w:r>
              <w:rPr>
                <w:sz w:val="22"/>
                <w:lang w:eastAsia="en-US"/>
              </w:rPr>
              <w:t>Konjunktyvitas.</w:t>
            </w:r>
          </w:p>
          <w:p w14:paraId="4B41F161" w14:textId="77777777" w:rsidR="00CA2E41" w:rsidRDefault="00CA2E41" w:rsidP="00E30FAC">
            <w:pPr>
              <w:spacing w:line="256" w:lineRule="auto"/>
              <w:rPr>
                <w:sz w:val="22"/>
                <w:lang w:eastAsia="en-US"/>
              </w:rPr>
            </w:pPr>
          </w:p>
        </w:tc>
        <w:tc>
          <w:tcPr>
            <w:tcW w:w="2989" w:type="dxa"/>
            <w:tcBorders>
              <w:top w:val="single" w:sz="4" w:space="0" w:color="auto"/>
              <w:left w:val="single" w:sz="4" w:space="0" w:color="auto"/>
              <w:bottom w:val="single" w:sz="4" w:space="0" w:color="auto"/>
              <w:right w:val="single" w:sz="4" w:space="0" w:color="auto"/>
            </w:tcBorders>
          </w:tcPr>
          <w:p w14:paraId="3BD5F0E7" w14:textId="77777777" w:rsidR="00CA2E41" w:rsidRDefault="00CA2E41" w:rsidP="00E30FAC">
            <w:pPr>
              <w:spacing w:line="256" w:lineRule="auto"/>
              <w:rPr>
                <w:sz w:val="22"/>
                <w:lang w:eastAsia="en-US"/>
              </w:rPr>
            </w:pPr>
          </w:p>
        </w:tc>
      </w:tr>
      <w:tr w:rsidR="00CA2E41" w14:paraId="4E827432" w14:textId="77777777" w:rsidTr="00E30FAC">
        <w:tc>
          <w:tcPr>
            <w:tcW w:w="2265" w:type="dxa"/>
            <w:tcBorders>
              <w:top w:val="single" w:sz="4" w:space="0" w:color="auto"/>
              <w:left w:val="single" w:sz="4" w:space="0" w:color="auto"/>
              <w:bottom w:val="single" w:sz="4" w:space="0" w:color="auto"/>
              <w:right w:val="single" w:sz="4" w:space="0" w:color="auto"/>
            </w:tcBorders>
            <w:hideMark/>
          </w:tcPr>
          <w:p w14:paraId="02FF5D61" w14:textId="77777777" w:rsidR="00CA2E41" w:rsidRDefault="00CA2E41" w:rsidP="00E30FAC">
            <w:pPr>
              <w:spacing w:line="256" w:lineRule="auto"/>
              <w:rPr>
                <w:b/>
                <w:i/>
                <w:sz w:val="22"/>
                <w:lang w:eastAsia="en-US"/>
              </w:rPr>
            </w:pPr>
            <w:r>
              <w:rPr>
                <w:b/>
                <w:i/>
                <w:sz w:val="22"/>
                <w:lang w:eastAsia="en-US"/>
              </w:rPr>
              <w:t>Kvėpavimo sistemos, krūtinės ląstos ir tarpuplaučio sutrikimai</w:t>
            </w:r>
          </w:p>
        </w:tc>
        <w:tc>
          <w:tcPr>
            <w:tcW w:w="1175" w:type="dxa"/>
            <w:tcBorders>
              <w:top w:val="single" w:sz="4" w:space="0" w:color="auto"/>
              <w:left w:val="single" w:sz="4" w:space="0" w:color="auto"/>
              <w:bottom w:val="single" w:sz="4" w:space="0" w:color="auto"/>
              <w:right w:val="single" w:sz="4" w:space="0" w:color="auto"/>
            </w:tcBorders>
            <w:hideMark/>
          </w:tcPr>
          <w:p w14:paraId="19ADFE39" w14:textId="77777777" w:rsidR="00CA2E41" w:rsidRDefault="00CA2E41" w:rsidP="00E30FAC">
            <w:pPr>
              <w:spacing w:line="256" w:lineRule="auto"/>
              <w:rPr>
                <w:sz w:val="22"/>
                <w:lang w:eastAsia="en-US"/>
              </w:rPr>
            </w:pPr>
            <w:r>
              <w:rPr>
                <w:sz w:val="22"/>
                <w:lang w:eastAsia="en-US"/>
              </w:rPr>
              <w:t>Nedažni</w:t>
            </w:r>
          </w:p>
        </w:tc>
        <w:tc>
          <w:tcPr>
            <w:tcW w:w="2631" w:type="dxa"/>
            <w:tcBorders>
              <w:top w:val="single" w:sz="4" w:space="0" w:color="auto"/>
              <w:left w:val="single" w:sz="4" w:space="0" w:color="auto"/>
              <w:bottom w:val="single" w:sz="4" w:space="0" w:color="auto"/>
              <w:right w:val="single" w:sz="4" w:space="0" w:color="auto"/>
            </w:tcBorders>
          </w:tcPr>
          <w:p w14:paraId="42FE9C16" w14:textId="77777777" w:rsidR="00CA2E41" w:rsidRDefault="00CA2E41" w:rsidP="00E30FAC">
            <w:pPr>
              <w:spacing w:line="256" w:lineRule="auto"/>
              <w:rPr>
                <w:sz w:val="22"/>
                <w:lang w:eastAsia="en-US"/>
              </w:rPr>
            </w:pPr>
          </w:p>
        </w:tc>
        <w:tc>
          <w:tcPr>
            <w:tcW w:w="2989" w:type="dxa"/>
            <w:tcBorders>
              <w:top w:val="single" w:sz="4" w:space="0" w:color="auto"/>
              <w:left w:val="single" w:sz="4" w:space="0" w:color="auto"/>
              <w:bottom w:val="single" w:sz="4" w:space="0" w:color="auto"/>
              <w:right w:val="single" w:sz="4" w:space="0" w:color="auto"/>
            </w:tcBorders>
            <w:hideMark/>
          </w:tcPr>
          <w:p w14:paraId="3CB6DE7F" w14:textId="77777777" w:rsidR="00CA2E41" w:rsidRDefault="00CA2E41" w:rsidP="00E30FAC">
            <w:pPr>
              <w:spacing w:line="256" w:lineRule="auto"/>
              <w:rPr>
                <w:sz w:val="22"/>
                <w:lang w:eastAsia="en-US"/>
              </w:rPr>
            </w:pPr>
            <w:r>
              <w:rPr>
                <w:sz w:val="22"/>
                <w:lang w:eastAsia="en-US"/>
              </w:rPr>
              <w:t>Kosulys.</w:t>
            </w:r>
          </w:p>
        </w:tc>
      </w:tr>
      <w:tr w:rsidR="00CA2E41" w14:paraId="12CFB9EA" w14:textId="77777777" w:rsidTr="00E30FAC">
        <w:tc>
          <w:tcPr>
            <w:tcW w:w="2265" w:type="dxa"/>
            <w:vMerge w:val="restart"/>
            <w:tcBorders>
              <w:top w:val="single" w:sz="4" w:space="0" w:color="auto"/>
              <w:left w:val="single" w:sz="4" w:space="0" w:color="auto"/>
              <w:bottom w:val="single" w:sz="4" w:space="0" w:color="auto"/>
              <w:right w:val="single" w:sz="4" w:space="0" w:color="auto"/>
            </w:tcBorders>
            <w:hideMark/>
          </w:tcPr>
          <w:p w14:paraId="7DB075A1" w14:textId="77777777" w:rsidR="00CA2E41" w:rsidRDefault="00CA2E41" w:rsidP="00E30FAC">
            <w:pPr>
              <w:spacing w:line="256" w:lineRule="auto"/>
              <w:rPr>
                <w:b/>
                <w:i/>
                <w:sz w:val="22"/>
                <w:lang w:eastAsia="en-US"/>
              </w:rPr>
            </w:pPr>
            <w:r>
              <w:rPr>
                <w:b/>
                <w:i/>
                <w:sz w:val="22"/>
                <w:lang w:eastAsia="en-US"/>
              </w:rPr>
              <w:t>Virškinimo trakto sutrikimai</w:t>
            </w:r>
          </w:p>
        </w:tc>
        <w:tc>
          <w:tcPr>
            <w:tcW w:w="1175" w:type="dxa"/>
            <w:tcBorders>
              <w:top w:val="single" w:sz="4" w:space="0" w:color="auto"/>
              <w:left w:val="single" w:sz="4" w:space="0" w:color="auto"/>
              <w:bottom w:val="single" w:sz="4" w:space="0" w:color="auto"/>
              <w:right w:val="single" w:sz="4" w:space="0" w:color="auto"/>
            </w:tcBorders>
          </w:tcPr>
          <w:p w14:paraId="759DAF06" w14:textId="77777777" w:rsidR="00CA2E41" w:rsidRDefault="00CA2E41" w:rsidP="00E30FAC">
            <w:pPr>
              <w:spacing w:line="256" w:lineRule="auto"/>
              <w:rPr>
                <w:sz w:val="22"/>
                <w:lang w:eastAsia="en-US"/>
              </w:rPr>
            </w:pPr>
          </w:p>
        </w:tc>
        <w:tc>
          <w:tcPr>
            <w:tcW w:w="2631" w:type="dxa"/>
            <w:tcBorders>
              <w:top w:val="single" w:sz="4" w:space="0" w:color="auto"/>
              <w:left w:val="single" w:sz="4" w:space="0" w:color="auto"/>
              <w:bottom w:val="single" w:sz="4" w:space="0" w:color="auto"/>
              <w:right w:val="single" w:sz="4" w:space="0" w:color="auto"/>
            </w:tcBorders>
          </w:tcPr>
          <w:p w14:paraId="3D507E07" w14:textId="77777777" w:rsidR="00CA2E41" w:rsidRDefault="00CA2E41" w:rsidP="00E30FAC">
            <w:pPr>
              <w:spacing w:line="256" w:lineRule="auto"/>
              <w:rPr>
                <w:sz w:val="22"/>
                <w:lang w:eastAsia="en-US"/>
              </w:rPr>
            </w:pPr>
          </w:p>
        </w:tc>
        <w:tc>
          <w:tcPr>
            <w:tcW w:w="2989" w:type="dxa"/>
            <w:tcBorders>
              <w:top w:val="single" w:sz="4" w:space="0" w:color="auto"/>
              <w:left w:val="single" w:sz="4" w:space="0" w:color="auto"/>
              <w:bottom w:val="single" w:sz="4" w:space="0" w:color="auto"/>
              <w:right w:val="single" w:sz="4" w:space="0" w:color="auto"/>
            </w:tcBorders>
          </w:tcPr>
          <w:p w14:paraId="53FFAE54" w14:textId="77777777" w:rsidR="00CA2E41" w:rsidRDefault="00CA2E41" w:rsidP="00E30FAC">
            <w:pPr>
              <w:spacing w:line="256" w:lineRule="auto"/>
              <w:rPr>
                <w:sz w:val="22"/>
                <w:lang w:eastAsia="en-US"/>
              </w:rPr>
            </w:pPr>
          </w:p>
        </w:tc>
      </w:tr>
      <w:tr w:rsidR="00CA2E41" w14:paraId="26B31F73" w14:textId="77777777" w:rsidTr="00E30FAC">
        <w:tc>
          <w:tcPr>
            <w:tcW w:w="0" w:type="auto"/>
            <w:vMerge/>
            <w:tcBorders>
              <w:top w:val="single" w:sz="4" w:space="0" w:color="auto"/>
              <w:left w:val="single" w:sz="4" w:space="0" w:color="auto"/>
              <w:bottom w:val="single" w:sz="4" w:space="0" w:color="auto"/>
              <w:right w:val="single" w:sz="4" w:space="0" w:color="auto"/>
            </w:tcBorders>
            <w:vAlign w:val="center"/>
            <w:hideMark/>
          </w:tcPr>
          <w:p w14:paraId="461C00FA" w14:textId="77777777" w:rsidR="00CA2E41" w:rsidRDefault="00CA2E41" w:rsidP="00E30FAC">
            <w:pPr>
              <w:tabs>
                <w:tab w:val="clear" w:pos="567"/>
              </w:tabs>
              <w:spacing w:line="256" w:lineRule="auto"/>
              <w:rPr>
                <w:b/>
                <w:i/>
                <w:sz w:val="22"/>
                <w:lang w:eastAsia="en-US"/>
              </w:rPr>
            </w:pPr>
          </w:p>
        </w:tc>
        <w:tc>
          <w:tcPr>
            <w:tcW w:w="1175" w:type="dxa"/>
            <w:tcBorders>
              <w:top w:val="single" w:sz="4" w:space="0" w:color="auto"/>
              <w:left w:val="single" w:sz="4" w:space="0" w:color="auto"/>
              <w:bottom w:val="single" w:sz="4" w:space="0" w:color="auto"/>
              <w:right w:val="single" w:sz="4" w:space="0" w:color="auto"/>
            </w:tcBorders>
            <w:hideMark/>
          </w:tcPr>
          <w:p w14:paraId="3B5E4EC9" w14:textId="77777777" w:rsidR="00CA2E41" w:rsidRDefault="00CA2E41" w:rsidP="00E30FAC">
            <w:pPr>
              <w:spacing w:line="256" w:lineRule="auto"/>
              <w:rPr>
                <w:sz w:val="22"/>
                <w:lang w:eastAsia="en-US"/>
              </w:rPr>
            </w:pPr>
            <w:r>
              <w:rPr>
                <w:sz w:val="22"/>
                <w:lang w:eastAsia="en-US"/>
              </w:rPr>
              <w:t>Nedažni</w:t>
            </w:r>
          </w:p>
        </w:tc>
        <w:tc>
          <w:tcPr>
            <w:tcW w:w="2631" w:type="dxa"/>
            <w:tcBorders>
              <w:top w:val="single" w:sz="4" w:space="0" w:color="auto"/>
              <w:left w:val="single" w:sz="4" w:space="0" w:color="auto"/>
              <w:bottom w:val="single" w:sz="4" w:space="0" w:color="auto"/>
              <w:right w:val="single" w:sz="4" w:space="0" w:color="auto"/>
            </w:tcBorders>
          </w:tcPr>
          <w:p w14:paraId="2C01584D" w14:textId="77777777" w:rsidR="00CA2E41" w:rsidRDefault="00CA2E41" w:rsidP="00E30FAC">
            <w:pPr>
              <w:spacing w:line="256" w:lineRule="auto"/>
              <w:rPr>
                <w:sz w:val="22"/>
                <w:lang w:eastAsia="en-US"/>
              </w:rPr>
            </w:pPr>
          </w:p>
        </w:tc>
        <w:tc>
          <w:tcPr>
            <w:tcW w:w="2989" w:type="dxa"/>
            <w:tcBorders>
              <w:top w:val="single" w:sz="4" w:space="0" w:color="auto"/>
              <w:left w:val="single" w:sz="4" w:space="0" w:color="auto"/>
              <w:bottom w:val="single" w:sz="4" w:space="0" w:color="auto"/>
              <w:right w:val="single" w:sz="4" w:space="0" w:color="auto"/>
            </w:tcBorders>
          </w:tcPr>
          <w:p w14:paraId="4AA54F4C" w14:textId="77777777" w:rsidR="00CA2E41" w:rsidRDefault="00CA2E41" w:rsidP="00E30FAC">
            <w:pPr>
              <w:spacing w:line="256" w:lineRule="auto"/>
              <w:rPr>
                <w:sz w:val="22"/>
                <w:lang w:eastAsia="en-US"/>
              </w:rPr>
            </w:pPr>
            <w:r>
              <w:rPr>
                <w:sz w:val="22"/>
                <w:lang w:eastAsia="en-US"/>
              </w:rPr>
              <w:t>Viduriavimas.</w:t>
            </w:r>
          </w:p>
          <w:p w14:paraId="42E001D5" w14:textId="77777777" w:rsidR="00CA2E41" w:rsidRDefault="00CA2E41" w:rsidP="00E30FAC">
            <w:pPr>
              <w:spacing w:line="256" w:lineRule="auto"/>
              <w:rPr>
                <w:sz w:val="22"/>
                <w:lang w:eastAsia="en-US"/>
              </w:rPr>
            </w:pPr>
          </w:p>
        </w:tc>
      </w:tr>
      <w:tr w:rsidR="00CA2E41" w14:paraId="08F025B8" w14:textId="77777777" w:rsidTr="00E30FAC">
        <w:tc>
          <w:tcPr>
            <w:tcW w:w="2265" w:type="dxa"/>
            <w:tcBorders>
              <w:top w:val="single" w:sz="4" w:space="0" w:color="auto"/>
              <w:left w:val="single" w:sz="4" w:space="0" w:color="auto"/>
              <w:bottom w:val="single" w:sz="4" w:space="0" w:color="auto"/>
              <w:right w:val="single" w:sz="4" w:space="0" w:color="auto"/>
            </w:tcBorders>
            <w:hideMark/>
          </w:tcPr>
          <w:p w14:paraId="40CA34CD" w14:textId="77777777" w:rsidR="00CA2E41" w:rsidRDefault="00CA2E41" w:rsidP="00E30FAC">
            <w:pPr>
              <w:spacing w:line="256" w:lineRule="auto"/>
              <w:rPr>
                <w:b/>
                <w:i/>
                <w:sz w:val="22"/>
                <w:lang w:eastAsia="en-US"/>
              </w:rPr>
            </w:pPr>
            <w:r>
              <w:rPr>
                <w:b/>
                <w:i/>
                <w:sz w:val="22"/>
                <w:lang w:eastAsia="en-US"/>
              </w:rPr>
              <w:t>Odos ir poodinio audinio sutrikimai</w:t>
            </w:r>
          </w:p>
        </w:tc>
        <w:tc>
          <w:tcPr>
            <w:tcW w:w="1175" w:type="dxa"/>
            <w:tcBorders>
              <w:top w:val="single" w:sz="4" w:space="0" w:color="auto"/>
              <w:left w:val="single" w:sz="4" w:space="0" w:color="auto"/>
              <w:bottom w:val="single" w:sz="4" w:space="0" w:color="auto"/>
              <w:right w:val="single" w:sz="4" w:space="0" w:color="auto"/>
            </w:tcBorders>
          </w:tcPr>
          <w:p w14:paraId="285874E4" w14:textId="77777777" w:rsidR="00CA2E41" w:rsidRDefault="00CA2E41" w:rsidP="00E30FAC">
            <w:pPr>
              <w:spacing w:line="256" w:lineRule="auto"/>
              <w:rPr>
                <w:sz w:val="22"/>
                <w:lang w:eastAsia="en-US"/>
              </w:rPr>
            </w:pPr>
            <w:r>
              <w:rPr>
                <w:sz w:val="22"/>
                <w:lang w:eastAsia="en-US"/>
              </w:rPr>
              <w:t>Nedažni</w:t>
            </w:r>
          </w:p>
          <w:p w14:paraId="64890F31" w14:textId="77777777" w:rsidR="00CA2E41" w:rsidRDefault="00CA2E41" w:rsidP="00E30FAC">
            <w:pPr>
              <w:spacing w:line="256" w:lineRule="auto"/>
              <w:rPr>
                <w:sz w:val="22"/>
                <w:lang w:eastAsia="en-US"/>
              </w:rPr>
            </w:pPr>
          </w:p>
        </w:tc>
        <w:tc>
          <w:tcPr>
            <w:tcW w:w="2631" w:type="dxa"/>
            <w:tcBorders>
              <w:top w:val="single" w:sz="4" w:space="0" w:color="auto"/>
              <w:left w:val="single" w:sz="4" w:space="0" w:color="auto"/>
              <w:bottom w:val="single" w:sz="4" w:space="0" w:color="auto"/>
              <w:right w:val="single" w:sz="4" w:space="0" w:color="auto"/>
            </w:tcBorders>
          </w:tcPr>
          <w:p w14:paraId="7918A5C3" w14:textId="77777777" w:rsidR="00CA2E41" w:rsidRDefault="00CA2E41" w:rsidP="00E30FAC">
            <w:pPr>
              <w:spacing w:line="256" w:lineRule="auto"/>
              <w:rPr>
                <w:sz w:val="22"/>
                <w:lang w:eastAsia="en-US"/>
              </w:rPr>
            </w:pPr>
          </w:p>
        </w:tc>
        <w:tc>
          <w:tcPr>
            <w:tcW w:w="2989" w:type="dxa"/>
            <w:tcBorders>
              <w:top w:val="single" w:sz="4" w:space="0" w:color="auto"/>
              <w:left w:val="single" w:sz="4" w:space="0" w:color="auto"/>
              <w:bottom w:val="single" w:sz="4" w:space="0" w:color="auto"/>
              <w:right w:val="single" w:sz="4" w:space="0" w:color="auto"/>
            </w:tcBorders>
          </w:tcPr>
          <w:p w14:paraId="419C174F" w14:textId="77777777" w:rsidR="00CA2E41" w:rsidRDefault="00CA2E41" w:rsidP="00E30FAC">
            <w:pPr>
              <w:spacing w:line="256" w:lineRule="auto"/>
              <w:rPr>
                <w:sz w:val="22"/>
                <w:lang w:eastAsia="en-US"/>
              </w:rPr>
            </w:pPr>
            <w:r>
              <w:rPr>
                <w:sz w:val="22"/>
                <w:lang w:eastAsia="en-US"/>
              </w:rPr>
              <w:t>Pernelyg stiprus prakaitavimas, bėrimas.</w:t>
            </w:r>
          </w:p>
          <w:p w14:paraId="1C371A14" w14:textId="77777777" w:rsidR="00CA2E41" w:rsidRDefault="00CA2E41" w:rsidP="00E30FAC">
            <w:pPr>
              <w:spacing w:line="256" w:lineRule="auto"/>
              <w:rPr>
                <w:sz w:val="22"/>
                <w:lang w:eastAsia="en-US"/>
              </w:rPr>
            </w:pPr>
          </w:p>
        </w:tc>
      </w:tr>
      <w:tr w:rsidR="00CA2E41" w14:paraId="6E8320F4" w14:textId="77777777" w:rsidTr="00E30FAC">
        <w:tc>
          <w:tcPr>
            <w:tcW w:w="2265" w:type="dxa"/>
            <w:tcBorders>
              <w:top w:val="single" w:sz="4" w:space="0" w:color="auto"/>
              <w:left w:val="single" w:sz="4" w:space="0" w:color="auto"/>
              <w:bottom w:val="single" w:sz="4" w:space="0" w:color="auto"/>
              <w:right w:val="single" w:sz="4" w:space="0" w:color="auto"/>
            </w:tcBorders>
            <w:hideMark/>
          </w:tcPr>
          <w:p w14:paraId="7FE3BD03" w14:textId="77777777" w:rsidR="00CA2E41" w:rsidRDefault="00CA2E41" w:rsidP="00E30FAC">
            <w:pPr>
              <w:spacing w:line="256" w:lineRule="auto"/>
              <w:rPr>
                <w:b/>
                <w:i/>
                <w:sz w:val="22"/>
                <w:lang w:eastAsia="en-US"/>
              </w:rPr>
            </w:pPr>
            <w:r>
              <w:rPr>
                <w:b/>
                <w:i/>
                <w:sz w:val="22"/>
                <w:lang w:eastAsia="en-US"/>
              </w:rPr>
              <w:t>Skeleto, raumenų ir jungiamojo audinio sutrikimai</w:t>
            </w:r>
          </w:p>
        </w:tc>
        <w:tc>
          <w:tcPr>
            <w:tcW w:w="1175" w:type="dxa"/>
            <w:tcBorders>
              <w:top w:val="single" w:sz="4" w:space="0" w:color="auto"/>
              <w:left w:val="single" w:sz="4" w:space="0" w:color="auto"/>
              <w:bottom w:val="single" w:sz="4" w:space="0" w:color="auto"/>
              <w:right w:val="single" w:sz="4" w:space="0" w:color="auto"/>
            </w:tcBorders>
          </w:tcPr>
          <w:p w14:paraId="5ED70CA1" w14:textId="77777777" w:rsidR="00CA2E41" w:rsidRDefault="00CA2E41" w:rsidP="00E30FAC">
            <w:pPr>
              <w:spacing w:line="256" w:lineRule="auto"/>
              <w:rPr>
                <w:sz w:val="22"/>
                <w:lang w:eastAsia="en-US"/>
              </w:rPr>
            </w:pPr>
            <w:r>
              <w:rPr>
                <w:sz w:val="22"/>
                <w:lang w:eastAsia="en-US"/>
              </w:rPr>
              <w:t>Nedažni</w:t>
            </w:r>
          </w:p>
          <w:p w14:paraId="7B0C7618" w14:textId="77777777" w:rsidR="00CA2E41" w:rsidRDefault="00CA2E41" w:rsidP="00E30FAC">
            <w:pPr>
              <w:spacing w:line="256" w:lineRule="auto"/>
              <w:rPr>
                <w:sz w:val="22"/>
                <w:lang w:eastAsia="en-US"/>
              </w:rPr>
            </w:pPr>
          </w:p>
        </w:tc>
        <w:tc>
          <w:tcPr>
            <w:tcW w:w="2631" w:type="dxa"/>
            <w:tcBorders>
              <w:top w:val="single" w:sz="4" w:space="0" w:color="auto"/>
              <w:left w:val="single" w:sz="4" w:space="0" w:color="auto"/>
              <w:bottom w:val="single" w:sz="4" w:space="0" w:color="auto"/>
              <w:right w:val="single" w:sz="4" w:space="0" w:color="auto"/>
            </w:tcBorders>
          </w:tcPr>
          <w:p w14:paraId="281B6F5B" w14:textId="77777777" w:rsidR="00CA2E41" w:rsidRDefault="00CA2E41" w:rsidP="00E30FAC">
            <w:pPr>
              <w:spacing w:line="256" w:lineRule="auto"/>
              <w:rPr>
                <w:sz w:val="22"/>
                <w:lang w:eastAsia="en-US"/>
              </w:rPr>
            </w:pPr>
          </w:p>
        </w:tc>
        <w:tc>
          <w:tcPr>
            <w:tcW w:w="2989" w:type="dxa"/>
            <w:tcBorders>
              <w:top w:val="single" w:sz="4" w:space="0" w:color="auto"/>
              <w:left w:val="single" w:sz="4" w:space="0" w:color="auto"/>
              <w:bottom w:val="single" w:sz="4" w:space="0" w:color="auto"/>
              <w:right w:val="single" w:sz="4" w:space="0" w:color="auto"/>
            </w:tcBorders>
            <w:hideMark/>
          </w:tcPr>
          <w:p w14:paraId="3F8BBA9E" w14:textId="77777777" w:rsidR="00CA2E41" w:rsidRDefault="00CA2E41" w:rsidP="00E30FAC">
            <w:pPr>
              <w:spacing w:line="256" w:lineRule="auto"/>
              <w:rPr>
                <w:sz w:val="22"/>
                <w:lang w:eastAsia="en-US"/>
              </w:rPr>
            </w:pPr>
            <w:r>
              <w:rPr>
                <w:sz w:val="22"/>
                <w:lang w:eastAsia="en-US"/>
              </w:rPr>
              <w:t>Sąnarių sustingimas, skeleto raumenų sustingimas.</w:t>
            </w:r>
          </w:p>
        </w:tc>
      </w:tr>
      <w:tr w:rsidR="00CA2E41" w14:paraId="3FCD367B" w14:textId="77777777" w:rsidTr="00E30FAC">
        <w:tc>
          <w:tcPr>
            <w:tcW w:w="2265" w:type="dxa"/>
            <w:vMerge w:val="restart"/>
            <w:tcBorders>
              <w:top w:val="single" w:sz="4" w:space="0" w:color="auto"/>
              <w:left w:val="single" w:sz="4" w:space="0" w:color="auto"/>
              <w:bottom w:val="single" w:sz="4" w:space="0" w:color="auto"/>
              <w:right w:val="single" w:sz="4" w:space="0" w:color="auto"/>
            </w:tcBorders>
            <w:hideMark/>
          </w:tcPr>
          <w:p w14:paraId="37941D83" w14:textId="77777777" w:rsidR="00CA2E41" w:rsidRDefault="00CA2E41" w:rsidP="00E30FAC">
            <w:pPr>
              <w:spacing w:line="256" w:lineRule="auto"/>
              <w:rPr>
                <w:b/>
                <w:i/>
                <w:sz w:val="22"/>
                <w:lang w:eastAsia="en-US"/>
              </w:rPr>
            </w:pPr>
            <w:r>
              <w:rPr>
                <w:b/>
                <w:i/>
                <w:sz w:val="22"/>
                <w:lang w:eastAsia="en-US"/>
              </w:rPr>
              <w:t>Bendrieji sutrikimai ir vartojimo vietos pažeidimai</w:t>
            </w:r>
          </w:p>
        </w:tc>
        <w:tc>
          <w:tcPr>
            <w:tcW w:w="1175" w:type="dxa"/>
            <w:tcBorders>
              <w:top w:val="single" w:sz="4" w:space="0" w:color="auto"/>
              <w:left w:val="single" w:sz="4" w:space="0" w:color="auto"/>
              <w:bottom w:val="single" w:sz="4" w:space="0" w:color="auto"/>
              <w:right w:val="single" w:sz="4" w:space="0" w:color="auto"/>
            </w:tcBorders>
          </w:tcPr>
          <w:p w14:paraId="483D0195" w14:textId="77777777" w:rsidR="00CA2E41" w:rsidRDefault="00CA2E41" w:rsidP="00E30FAC">
            <w:pPr>
              <w:spacing w:line="256" w:lineRule="auto"/>
              <w:rPr>
                <w:sz w:val="22"/>
                <w:lang w:eastAsia="en-US"/>
              </w:rPr>
            </w:pPr>
            <w:r>
              <w:rPr>
                <w:sz w:val="22"/>
                <w:lang w:eastAsia="en-US"/>
              </w:rPr>
              <w:t>Labai dažni</w:t>
            </w:r>
          </w:p>
          <w:p w14:paraId="6772868C" w14:textId="77777777" w:rsidR="00CA2E41" w:rsidRDefault="00CA2E41" w:rsidP="00E30FAC">
            <w:pPr>
              <w:spacing w:line="256" w:lineRule="auto"/>
              <w:rPr>
                <w:sz w:val="22"/>
                <w:lang w:eastAsia="en-US"/>
              </w:rPr>
            </w:pPr>
          </w:p>
        </w:tc>
        <w:tc>
          <w:tcPr>
            <w:tcW w:w="2631" w:type="dxa"/>
            <w:tcBorders>
              <w:top w:val="single" w:sz="4" w:space="0" w:color="auto"/>
              <w:left w:val="single" w:sz="4" w:space="0" w:color="auto"/>
              <w:bottom w:val="single" w:sz="4" w:space="0" w:color="auto"/>
              <w:right w:val="single" w:sz="4" w:space="0" w:color="auto"/>
            </w:tcBorders>
          </w:tcPr>
          <w:p w14:paraId="2FA08566" w14:textId="77777777" w:rsidR="00CA2E41" w:rsidRDefault="00CA2E41" w:rsidP="00E30FAC">
            <w:pPr>
              <w:spacing w:line="256" w:lineRule="auto"/>
              <w:rPr>
                <w:sz w:val="22"/>
                <w:lang w:eastAsia="en-US"/>
              </w:rPr>
            </w:pPr>
          </w:p>
        </w:tc>
        <w:tc>
          <w:tcPr>
            <w:tcW w:w="2989" w:type="dxa"/>
            <w:tcBorders>
              <w:top w:val="single" w:sz="4" w:space="0" w:color="auto"/>
              <w:left w:val="single" w:sz="4" w:space="0" w:color="auto"/>
              <w:bottom w:val="single" w:sz="4" w:space="0" w:color="auto"/>
              <w:right w:val="single" w:sz="4" w:space="0" w:color="auto"/>
            </w:tcBorders>
            <w:hideMark/>
          </w:tcPr>
          <w:p w14:paraId="3C2A5A0B" w14:textId="77777777" w:rsidR="00CA2E41" w:rsidRDefault="00CA2E41" w:rsidP="00E30FAC">
            <w:pPr>
              <w:spacing w:line="256" w:lineRule="auto"/>
              <w:rPr>
                <w:sz w:val="22"/>
                <w:lang w:eastAsia="en-US"/>
              </w:rPr>
            </w:pPr>
            <w:r>
              <w:rPr>
                <w:sz w:val="22"/>
                <w:lang w:eastAsia="en-US"/>
              </w:rPr>
              <w:t>Bendrasis negalavimas.</w:t>
            </w:r>
          </w:p>
        </w:tc>
      </w:tr>
      <w:tr w:rsidR="00CA2E41" w14:paraId="4D8ACF99" w14:textId="77777777" w:rsidTr="00E30FAC">
        <w:tc>
          <w:tcPr>
            <w:tcW w:w="0" w:type="auto"/>
            <w:vMerge/>
            <w:tcBorders>
              <w:top w:val="single" w:sz="4" w:space="0" w:color="auto"/>
              <w:left w:val="single" w:sz="4" w:space="0" w:color="auto"/>
              <w:bottom w:val="single" w:sz="4" w:space="0" w:color="auto"/>
              <w:right w:val="single" w:sz="4" w:space="0" w:color="auto"/>
            </w:tcBorders>
            <w:vAlign w:val="center"/>
            <w:hideMark/>
          </w:tcPr>
          <w:p w14:paraId="3EAFE865" w14:textId="77777777" w:rsidR="00CA2E41" w:rsidRDefault="00CA2E41" w:rsidP="00E30FAC">
            <w:pPr>
              <w:tabs>
                <w:tab w:val="clear" w:pos="567"/>
              </w:tabs>
              <w:spacing w:line="256" w:lineRule="auto"/>
              <w:rPr>
                <w:b/>
                <w:i/>
                <w:sz w:val="22"/>
                <w:lang w:eastAsia="en-US"/>
              </w:rPr>
            </w:pPr>
          </w:p>
        </w:tc>
        <w:tc>
          <w:tcPr>
            <w:tcW w:w="1175" w:type="dxa"/>
            <w:tcBorders>
              <w:top w:val="single" w:sz="4" w:space="0" w:color="auto"/>
              <w:left w:val="single" w:sz="4" w:space="0" w:color="auto"/>
              <w:bottom w:val="single" w:sz="4" w:space="0" w:color="auto"/>
              <w:right w:val="single" w:sz="4" w:space="0" w:color="auto"/>
            </w:tcBorders>
          </w:tcPr>
          <w:p w14:paraId="7D73511D" w14:textId="77777777" w:rsidR="00CA2E41" w:rsidRDefault="00CA2E41" w:rsidP="00E30FAC">
            <w:pPr>
              <w:spacing w:line="256" w:lineRule="auto"/>
              <w:rPr>
                <w:sz w:val="22"/>
                <w:lang w:eastAsia="en-US"/>
              </w:rPr>
            </w:pPr>
            <w:r>
              <w:rPr>
                <w:sz w:val="22"/>
                <w:lang w:eastAsia="en-US"/>
              </w:rPr>
              <w:t>Dažni</w:t>
            </w:r>
          </w:p>
          <w:p w14:paraId="4BFBD15A" w14:textId="77777777" w:rsidR="00CA2E41" w:rsidRDefault="00CA2E41" w:rsidP="00E30FAC">
            <w:pPr>
              <w:spacing w:line="256" w:lineRule="auto"/>
              <w:rPr>
                <w:sz w:val="22"/>
                <w:lang w:eastAsia="en-US"/>
              </w:rPr>
            </w:pPr>
          </w:p>
        </w:tc>
        <w:tc>
          <w:tcPr>
            <w:tcW w:w="2631" w:type="dxa"/>
            <w:tcBorders>
              <w:top w:val="single" w:sz="4" w:space="0" w:color="auto"/>
              <w:left w:val="single" w:sz="4" w:space="0" w:color="auto"/>
              <w:bottom w:val="single" w:sz="4" w:space="0" w:color="auto"/>
              <w:right w:val="single" w:sz="4" w:space="0" w:color="auto"/>
            </w:tcBorders>
          </w:tcPr>
          <w:p w14:paraId="169B4170" w14:textId="77777777" w:rsidR="00CA2E41" w:rsidRDefault="00CA2E41" w:rsidP="00E30FAC">
            <w:pPr>
              <w:spacing w:line="256" w:lineRule="auto"/>
              <w:rPr>
                <w:sz w:val="22"/>
                <w:lang w:eastAsia="en-US"/>
              </w:rPr>
            </w:pPr>
          </w:p>
        </w:tc>
        <w:tc>
          <w:tcPr>
            <w:tcW w:w="2989" w:type="dxa"/>
            <w:tcBorders>
              <w:top w:val="single" w:sz="4" w:space="0" w:color="auto"/>
              <w:left w:val="single" w:sz="4" w:space="0" w:color="auto"/>
              <w:bottom w:val="single" w:sz="4" w:space="0" w:color="auto"/>
              <w:right w:val="single" w:sz="4" w:space="0" w:color="auto"/>
            </w:tcBorders>
          </w:tcPr>
          <w:p w14:paraId="5D2A3410" w14:textId="77777777" w:rsidR="00CA2E41" w:rsidRDefault="00CA2E41" w:rsidP="00E30FAC">
            <w:pPr>
              <w:spacing w:line="256" w:lineRule="auto"/>
              <w:rPr>
                <w:sz w:val="22"/>
                <w:lang w:eastAsia="en-US"/>
              </w:rPr>
            </w:pPr>
            <w:r>
              <w:rPr>
                <w:iCs/>
                <w:sz w:val="22"/>
                <w:lang w:eastAsia="en-US"/>
              </w:rPr>
              <w:t>I</w:t>
            </w:r>
            <w:r>
              <w:rPr>
                <w:sz w:val="22"/>
                <w:lang w:eastAsia="en-US"/>
              </w:rPr>
              <w:t xml:space="preserve">njekcijos vietos reakcijos (pvz., gumbas injekcijos vietoje ir sterilusis injekcijos vietos </w:t>
            </w:r>
            <w:proofErr w:type="spellStart"/>
            <w:r>
              <w:rPr>
                <w:sz w:val="22"/>
                <w:lang w:eastAsia="en-US"/>
              </w:rPr>
              <w:t>abscesas</w:t>
            </w:r>
            <w:proofErr w:type="spellEnd"/>
            <w:r>
              <w:rPr>
                <w:sz w:val="22"/>
                <w:lang w:eastAsia="en-US"/>
              </w:rPr>
              <w:t>).</w:t>
            </w:r>
          </w:p>
          <w:p w14:paraId="371C2381" w14:textId="77777777" w:rsidR="00CA2E41" w:rsidRDefault="00CA2E41" w:rsidP="00E30FAC">
            <w:pPr>
              <w:spacing w:line="256" w:lineRule="auto"/>
              <w:rPr>
                <w:sz w:val="22"/>
                <w:lang w:eastAsia="en-US"/>
              </w:rPr>
            </w:pPr>
          </w:p>
        </w:tc>
      </w:tr>
      <w:tr w:rsidR="00CA2E41" w14:paraId="78BC4C44" w14:textId="77777777" w:rsidTr="00E30FAC">
        <w:tc>
          <w:tcPr>
            <w:tcW w:w="0" w:type="auto"/>
            <w:vMerge/>
            <w:tcBorders>
              <w:top w:val="single" w:sz="4" w:space="0" w:color="auto"/>
              <w:left w:val="single" w:sz="4" w:space="0" w:color="auto"/>
              <w:bottom w:val="single" w:sz="4" w:space="0" w:color="auto"/>
              <w:right w:val="single" w:sz="4" w:space="0" w:color="auto"/>
            </w:tcBorders>
            <w:vAlign w:val="center"/>
            <w:hideMark/>
          </w:tcPr>
          <w:p w14:paraId="614B0236" w14:textId="77777777" w:rsidR="00CA2E41" w:rsidRDefault="00CA2E41" w:rsidP="00E30FAC">
            <w:pPr>
              <w:tabs>
                <w:tab w:val="clear" w:pos="567"/>
              </w:tabs>
              <w:spacing w:line="256" w:lineRule="auto"/>
              <w:rPr>
                <w:b/>
                <w:i/>
                <w:sz w:val="22"/>
                <w:lang w:eastAsia="en-US"/>
              </w:rPr>
            </w:pPr>
          </w:p>
        </w:tc>
        <w:tc>
          <w:tcPr>
            <w:tcW w:w="1175" w:type="dxa"/>
            <w:tcBorders>
              <w:top w:val="single" w:sz="4" w:space="0" w:color="auto"/>
              <w:left w:val="single" w:sz="4" w:space="0" w:color="auto"/>
              <w:bottom w:val="single" w:sz="4" w:space="0" w:color="auto"/>
              <w:right w:val="single" w:sz="4" w:space="0" w:color="auto"/>
            </w:tcBorders>
          </w:tcPr>
          <w:p w14:paraId="15A0C576" w14:textId="77777777" w:rsidR="00CA2E41" w:rsidRDefault="00CA2E41" w:rsidP="00E30FAC">
            <w:pPr>
              <w:spacing w:line="256" w:lineRule="auto"/>
              <w:rPr>
                <w:sz w:val="22"/>
                <w:lang w:eastAsia="en-US"/>
              </w:rPr>
            </w:pPr>
            <w:r>
              <w:rPr>
                <w:sz w:val="22"/>
                <w:lang w:eastAsia="en-US"/>
              </w:rPr>
              <w:t>Nedažni</w:t>
            </w:r>
          </w:p>
          <w:p w14:paraId="53C3EC4C" w14:textId="77777777" w:rsidR="00CA2E41" w:rsidRDefault="00CA2E41" w:rsidP="00E30FAC">
            <w:pPr>
              <w:spacing w:line="256" w:lineRule="auto"/>
              <w:rPr>
                <w:sz w:val="22"/>
                <w:lang w:eastAsia="en-US"/>
              </w:rPr>
            </w:pPr>
          </w:p>
        </w:tc>
        <w:tc>
          <w:tcPr>
            <w:tcW w:w="2631" w:type="dxa"/>
            <w:tcBorders>
              <w:top w:val="single" w:sz="4" w:space="0" w:color="auto"/>
              <w:left w:val="single" w:sz="4" w:space="0" w:color="auto"/>
              <w:bottom w:val="single" w:sz="4" w:space="0" w:color="auto"/>
              <w:right w:val="single" w:sz="4" w:space="0" w:color="auto"/>
            </w:tcBorders>
          </w:tcPr>
          <w:p w14:paraId="1E4D14CD" w14:textId="77777777" w:rsidR="00CA2E41" w:rsidRDefault="00CA2E41" w:rsidP="00E30FAC">
            <w:pPr>
              <w:spacing w:line="256" w:lineRule="auto"/>
              <w:rPr>
                <w:sz w:val="22"/>
                <w:lang w:eastAsia="en-US"/>
              </w:rPr>
            </w:pPr>
            <w:r>
              <w:rPr>
                <w:sz w:val="22"/>
                <w:lang w:eastAsia="en-US"/>
              </w:rPr>
              <w:t>Skausmas.</w:t>
            </w:r>
          </w:p>
          <w:p w14:paraId="0E23B340" w14:textId="77777777" w:rsidR="00CA2E41" w:rsidRDefault="00CA2E41" w:rsidP="00E30FAC">
            <w:pPr>
              <w:spacing w:line="256" w:lineRule="auto"/>
              <w:rPr>
                <w:sz w:val="22"/>
                <w:lang w:eastAsia="en-US"/>
              </w:rPr>
            </w:pPr>
          </w:p>
        </w:tc>
        <w:tc>
          <w:tcPr>
            <w:tcW w:w="2989" w:type="dxa"/>
            <w:tcBorders>
              <w:top w:val="single" w:sz="4" w:space="0" w:color="auto"/>
              <w:left w:val="single" w:sz="4" w:space="0" w:color="auto"/>
              <w:bottom w:val="single" w:sz="4" w:space="0" w:color="auto"/>
              <w:right w:val="single" w:sz="4" w:space="0" w:color="auto"/>
            </w:tcBorders>
          </w:tcPr>
          <w:p w14:paraId="0AA04943" w14:textId="77777777" w:rsidR="00CA2E41" w:rsidRDefault="00CA2E41" w:rsidP="00E30FAC">
            <w:pPr>
              <w:spacing w:line="256" w:lineRule="auto"/>
              <w:rPr>
                <w:sz w:val="22"/>
                <w:lang w:eastAsia="en-US"/>
              </w:rPr>
            </w:pPr>
            <w:r>
              <w:rPr>
                <w:sz w:val="22"/>
                <w:lang w:eastAsia="en-US"/>
              </w:rPr>
              <w:t>Į gripą panašus sutrikimas.</w:t>
            </w:r>
          </w:p>
          <w:p w14:paraId="42274CDB" w14:textId="77777777" w:rsidR="00CA2E41" w:rsidRDefault="00CA2E41" w:rsidP="00E30FAC">
            <w:pPr>
              <w:spacing w:line="256" w:lineRule="auto"/>
              <w:rPr>
                <w:sz w:val="22"/>
                <w:lang w:eastAsia="en-US"/>
              </w:rPr>
            </w:pPr>
          </w:p>
        </w:tc>
      </w:tr>
    </w:tbl>
    <w:p w14:paraId="6AC6BD51" w14:textId="77777777" w:rsidR="00CA2E41" w:rsidRDefault="00CA2E41" w:rsidP="00CA2E41">
      <w:pPr>
        <w:rPr>
          <w:sz w:val="22"/>
        </w:rPr>
      </w:pPr>
      <w:bookmarkStart w:id="6" w:name="_Hlk500169441"/>
    </w:p>
    <w:p w14:paraId="6559CCED" w14:textId="77777777" w:rsidR="00CA2E41" w:rsidRDefault="00CA2E41" w:rsidP="00CA2E41">
      <w:pPr>
        <w:rPr>
          <w:i/>
          <w:sz w:val="22"/>
        </w:rPr>
      </w:pPr>
      <w:proofErr w:type="spellStart"/>
      <w:r>
        <w:rPr>
          <w:i/>
          <w:sz w:val="22"/>
        </w:rPr>
        <w:t>Reaktogeniškumas</w:t>
      </w:r>
      <w:proofErr w:type="spellEnd"/>
      <w:r>
        <w:rPr>
          <w:i/>
          <w:sz w:val="22"/>
        </w:rPr>
        <w:t xml:space="preserve"> po pakartotinės dozės</w:t>
      </w:r>
    </w:p>
    <w:p w14:paraId="41178DB8" w14:textId="77777777" w:rsidR="00CA2E41" w:rsidRDefault="00CA2E41" w:rsidP="00CA2E41">
      <w:pPr>
        <w:rPr>
          <w:sz w:val="22"/>
        </w:rPr>
      </w:pPr>
      <w:r>
        <w:rPr>
          <w:sz w:val="22"/>
        </w:rPr>
        <w:t xml:space="preserve">Duomenys rodo, kad asmenims, vaikystėje paskiepytais DTP, antroji </w:t>
      </w:r>
      <w:proofErr w:type="spellStart"/>
      <w:r>
        <w:rPr>
          <w:sz w:val="22"/>
        </w:rPr>
        <w:t>revakcinacija</w:t>
      </w:r>
      <w:proofErr w:type="spellEnd"/>
      <w:r>
        <w:rPr>
          <w:sz w:val="22"/>
        </w:rPr>
        <w:t xml:space="preserve"> gali padidinti vietinį reaktyvumą.</w:t>
      </w:r>
    </w:p>
    <w:p w14:paraId="3FA49BB8" w14:textId="77777777" w:rsidR="00CA2E41" w:rsidRDefault="00CA2E41" w:rsidP="00CA2E41">
      <w:pPr>
        <w:rPr>
          <w:sz w:val="22"/>
        </w:rPr>
      </w:pPr>
    </w:p>
    <w:p w14:paraId="28F6AD73" w14:textId="01615EBD" w:rsidR="00CA2E41" w:rsidRDefault="00CA2E41" w:rsidP="00CA2E41">
      <w:pPr>
        <w:rPr>
          <w:sz w:val="22"/>
        </w:rPr>
      </w:pPr>
      <w:r>
        <w:rPr>
          <w:sz w:val="22"/>
        </w:rPr>
        <w:t>15</w:t>
      </w:r>
      <w:r w:rsidR="00FF305A">
        <w:rPr>
          <w:sz w:val="22"/>
        </w:rPr>
        <w:t> </w:t>
      </w:r>
      <w:r>
        <w:rPr>
          <w:sz w:val="22"/>
        </w:rPr>
        <w:t>metų ir vyresni tiriamieji, kurie neseniai nebuvo skiepyti nuo difterijos, stabligės, kokliušo ir poliomielito, kurie buvo paskiepyti BOOSTRIX POLIO ar kitokios vakcinos, kurioje yra sumažintas antigeno kiekis, doze, buvo stebėti po papildomos BOOSTRIX POLIO dozės pavartojimo po 10</w:t>
      </w:r>
      <w:r w:rsidR="00493E7B">
        <w:rPr>
          <w:sz w:val="22"/>
        </w:rPr>
        <w:t> </w:t>
      </w:r>
      <w:r>
        <w:rPr>
          <w:sz w:val="22"/>
        </w:rPr>
        <w:t xml:space="preserve">metų ir padidėjusio </w:t>
      </w:r>
      <w:proofErr w:type="spellStart"/>
      <w:r>
        <w:rPr>
          <w:sz w:val="22"/>
        </w:rPr>
        <w:t>reaktogeniškumo</w:t>
      </w:r>
      <w:proofErr w:type="spellEnd"/>
      <w:r>
        <w:rPr>
          <w:sz w:val="22"/>
        </w:rPr>
        <w:t xml:space="preserve"> po šios antrosios dozės, palyginti su pirmąja doze, nepastebėta.</w:t>
      </w:r>
    </w:p>
    <w:p w14:paraId="1A68D2D2" w14:textId="77777777" w:rsidR="00CA2E41" w:rsidRDefault="00CA2E41" w:rsidP="00CA2E41">
      <w:pPr>
        <w:rPr>
          <w:sz w:val="22"/>
        </w:rPr>
      </w:pPr>
    </w:p>
    <w:bookmarkEnd w:id="6"/>
    <w:p w14:paraId="426C850D" w14:textId="77777777" w:rsidR="00CA2E41" w:rsidRDefault="00CA2E41" w:rsidP="00305A45">
      <w:pPr>
        <w:widowControl w:val="0"/>
        <w:numPr>
          <w:ilvl w:val="0"/>
          <w:numId w:val="4"/>
        </w:numPr>
        <w:adjustRightInd w:val="0"/>
        <w:jc w:val="both"/>
        <w:textAlignment w:val="baseline"/>
        <w:rPr>
          <w:b/>
        </w:rPr>
      </w:pPr>
      <w:r>
        <w:rPr>
          <w:b/>
          <w:sz w:val="22"/>
        </w:rPr>
        <w:lastRenderedPageBreak/>
        <w:t>Stebėjimas po patekimo į rinką</w:t>
      </w:r>
    </w:p>
    <w:p w14:paraId="5839177E" w14:textId="77777777" w:rsidR="00CA2E41" w:rsidRDefault="00CA2E41" w:rsidP="001E59E0">
      <w:pPr>
        <w:rPr>
          <w:sz w:val="22"/>
        </w:rPr>
      </w:pPr>
    </w:p>
    <w:p w14:paraId="21471976" w14:textId="77777777" w:rsidR="00CA2E41" w:rsidRDefault="00CA2E41" w:rsidP="00CA2E41">
      <w:pPr>
        <w:rPr>
          <w:sz w:val="22"/>
        </w:rPr>
      </w:pPr>
      <w:r>
        <w:rPr>
          <w:sz w:val="22"/>
        </w:rPr>
        <w:t>Kadangi apie šiuos reiškinius pranešta savanoriškai, jų dažnio tiksliai įvertinti neįmanoma.</w:t>
      </w:r>
    </w:p>
    <w:p w14:paraId="3FA891CB" w14:textId="77777777" w:rsidR="00CA2E41" w:rsidRDefault="00CA2E41" w:rsidP="00CA2E41">
      <w:pPr>
        <w:rPr>
          <w:sz w:val="22"/>
        </w:rPr>
      </w:pPr>
    </w:p>
    <w:p w14:paraId="40EDEEFD" w14:textId="0F7C3428" w:rsidR="00CA2E41" w:rsidRDefault="00CA2E41" w:rsidP="00CA2E41">
      <w:pPr>
        <w:keepNext/>
        <w:rPr>
          <w:sz w:val="22"/>
        </w:rPr>
      </w:pPr>
      <w:r>
        <w:rPr>
          <w:b/>
          <w:sz w:val="22"/>
        </w:rPr>
        <w:t>3</w:t>
      </w:r>
      <w:r w:rsidR="000F07B5">
        <w:rPr>
          <w:b/>
          <w:sz w:val="22"/>
        </w:rPr>
        <w:t> </w:t>
      </w:r>
      <w:r>
        <w:rPr>
          <w:b/>
          <w:sz w:val="22"/>
        </w:rPr>
        <w:t>lentelė.</w:t>
      </w:r>
      <w:r>
        <w:rPr>
          <w:sz w:val="22"/>
        </w:rPr>
        <w:t xml:space="preserve"> Nepageidaujamos reakcijos, apie kurias buvo pranešta po BOOSTRIX POLIO patekimo į rinką</w:t>
      </w:r>
    </w:p>
    <w:p w14:paraId="02F63C60" w14:textId="77777777" w:rsidR="00CA2E41" w:rsidRDefault="00CA2E41" w:rsidP="00CA2E41">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1543"/>
        <w:gridCol w:w="4245"/>
      </w:tblGrid>
      <w:tr w:rsidR="00CA2E41" w14:paraId="20059EA9" w14:textId="77777777" w:rsidTr="00E30FAC">
        <w:tc>
          <w:tcPr>
            <w:tcW w:w="3369" w:type="dxa"/>
            <w:tcBorders>
              <w:top w:val="single" w:sz="4" w:space="0" w:color="auto"/>
              <w:left w:val="single" w:sz="4" w:space="0" w:color="auto"/>
              <w:bottom w:val="single" w:sz="4" w:space="0" w:color="auto"/>
              <w:right w:val="single" w:sz="4" w:space="0" w:color="auto"/>
            </w:tcBorders>
            <w:hideMark/>
          </w:tcPr>
          <w:p w14:paraId="3B76E7E5" w14:textId="77777777" w:rsidR="00CA2E41" w:rsidRDefault="00CA2E41" w:rsidP="00E30FAC">
            <w:pPr>
              <w:spacing w:line="256" w:lineRule="auto"/>
              <w:rPr>
                <w:sz w:val="22"/>
                <w:lang w:eastAsia="en-US"/>
              </w:rPr>
            </w:pPr>
            <w:r>
              <w:rPr>
                <w:b/>
                <w:i/>
                <w:sz w:val="22"/>
                <w:lang w:eastAsia="en-US"/>
              </w:rPr>
              <w:t>Organų sistemų klasės</w:t>
            </w:r>
          </w:p>
        </w:tc>
        <w:tc>
          <w:tcPr>
            <w:tcW w:w="1559" w:type="dxa"/>
            <w:tcBorders>
              <w:top w:val="single" w:sz="4" w:space="0" w:color="auto"/>
              <w:left w:val="single" w:sz="4" w:space="0" w:color="auto"/>
              <w:bottom w:val="single" w:sz="4" w:space="0" w:color="auto"/>
              <w:right w:val="single" w:sz="4" w:space="0" w:color="auto"/>
            </w:tcBorders>
            <w:hideMark/>
          </w:tcPr>
          <w:p w14:paraId="5BAB1ECC" w14:textId="77777777" w:rsidR="00CA2E41" w:rsidRDefault="00CA2E41" w:rsidP="00E30FAC">
            <w:pPr>
              <w:spacing w:line="256" w:lineRule="auto"/>
              <w:rPr>
                <w:sz w:val="22"/>
                <w:lang w:eastAsia="en-US"/>
              </w:rPr>
            </w:pPr>
            <w:r>
              <w:rPr>
                <w:b/>
                <w:i/>
                <w:sz w:val="22"/>
                <w:lang w:eastAsia="en-US"/>
              </w:rPr>
              <w:t xml:space="preserve">Dažnis </w:t>
            </w:r>
          </w:p>
        </w:tc>
        <w:tc>
          <w:tcPr>
            <w:tcW w:w="4358" w:type="dxa"/>
            <w:tcBorders>
              <w:top w:val="single" w:sz="4" w:space="0" w:color="auto"/>
              <w:left w:val="single" w:sz="4" w:space="0" w:color="auto"/>
              <w:bottom w:val="single" w:sz="4" w:space="0" w:color="auto"/>
              <w:right w:val="single" w:sz="4" w:space="0" w:color="auto"/>
            </w:tcBorders>
            <w:hideMark/>
          </w:tcPr>
          <w:p w14:paraId="4EC96A73" w14:textId="77777777" w:rsidR="00CA2E41" w:rsidRDefault="00CA2E41" w:rsidP="00E30FAC">
            <w:pPr>
              <w:spacing w:line="256" w:lineRule="auto"/>
              <w:rPr>
                <w:sz w:val="22"/>
                <w:lang w:eastAsia="en-US"/>
              </w:rPr>
            </w:pPr>
            <w:r>
              <w:rPr>
                <w:b/>
                <w:i/>
                <w:sz w:val="22"/>
                <w:lang w:eastAsia="en-US"/>
              </w:rPr>
              <w:t>Nepageidaujamos reakcijos</w:t>
            </w:r>
          </w:p>
        </w:tc>
      </w:tr>
      <w:tr w:rsidR="00CA2E41" w14:paraId="5ED1EB7B" w14:textId="77777777" w:rsidTr="00E30FAC">
        <w:tc>
          <w:tcPr>
            <w:tcW w:w="3369" w:type="dxa"/>
            <w:tcBorders>
              <w:top w:val="single" w:sz="4" w:space="0" w:color="auto"/>
              <w:left w:val="single" w:sz="4" w:space="0" w:color="auto"/>
              <w:bottom w:val="single" w:sz="4" w:space="0" w:color="auto"/>
              <w:right w:val="single" w:sz="4" w:space="0" w:color="auto"/>
            </w:tcBorders>
            <w:hideMark/>
          </w:tcPr>
          <w:p w14:paraId="12A48DEB" w14:textId="77777777" w:rsidR="00CA2E41" w:rsidRDefault="00CA2E41" w:rsidP="00E30FAC">
            <w:pPr>
              <w:spacing w:line="256" w:lineRule="auto"/>
              <w:rPr>
                <w:sz w:val="22"/>
                <w:lang w:eastAsia="en-US"/>
              </w:rPr>
            </w:pPr>
            <w:r>
              <w:rPr>
                <w:b/>
                <w:i/>
                <w:sz w:val="22"/>
                <w:lang w:eastAsia="en-US"/>
              </w:rPr>
              <w:t>Imuninės sistemos sutrikimai</w:t>
            </w:r>
          </w:p>
        </w:tc>
        <w:tc>
          <w:tcPr>
            <w:tcW w:w="1559" w:type="dxa"/>
            <w:tcBorders>
              <w:top w:val="single" w:sz="4" w:space="0" w:color="auto"/>
              <w:left w:val="single" w:sz="4" w:space="0" w:color="auto"/>
              <w:bottom w:val="single" w:sz="4" w:space="0" w:color="auto"/>
              <w:right w:val="single" w:sz="4" w:space="0" w:color="auto"/>
            </w:tcBorders>
            <w:hideMark/>
          </w:tcPr>
          <w:p w14:paraId="4DE51FA6" w14:textId="77777777" w:rsidR="00CA2E41" w:rsidRDefault="00CA2E41" w:rsidP="00E30FAC">
            <w:pPr>
              <w:spacing w:line="256" w:lineRule="auto"/>
              <w:rPr>
                <w:sz w:val="22"/>
                <w:lang w:eastAsia="en-US"/>
              </w:rPr>
            </w:pPr>
            <w:r>
              <w:rPr>
                <w:sz w:val="22"/>
                <w:lang w:eastAsia="en-US"/>
              </w:rPr>
              <w:t xml:space="preserve">Nežinomas </w:t>
            </w:r>
          </w:p>
        </w:tc>
        <w:tc>
          <w:tcPr>
            <w:tcW w:w="4358" w:type="dxa"/>
            <w:tcBorders>
              <w:top w:val="single" w:sz="4" w:space="0" w:color="auto"/>
              <w:left w:val="single" w:sz="4" w:space="0" w:color="auto"/>
              <w:bottom w:val="single" w:sz="4" w:space="0" w:color="auto"/>
              <w:right w:val="single" w:sz="4" w:space="0" w:color="auto"/>
            </w:tcBorders>
          </w:tcPr>
          <w:p w14:paraId="69FC14BE" w14:textId="77777777" w:rsidR="00CA2E41" w:rsidRDefault="00CA2E41" w:rsidP="00E30FAC">
            <w:pPr>
              <w:spacing w:line="256" w:lineRule="auto"/>
              <w:rPr>
                <w:sz w:val="22"/>
                <w:lang w:eastAsia="en-US"/>
              </w:rPr>
            </w:pPr>
            <w:r>
              <w:rPr>
                <w:sz w:val="22"/>
                <w:lang w:eastAsia="en-US"/>
              </w:rPr>
              <w:t xml:space="preserve">alerginės reakcijos, įskaitant anafilaksines ir </w:t>
            </w:r>
            <w:proofErr w:type="spellStart"/>
            <w:r>
              <w:rPr>
                <w:sz w:val="22"/>
                <w:lang w:eastAsia="en-US"/>
              </w:rPr>
              <w:t>anafilaktoidines</w:t>
            </w:r>
            <w:proofErr w:type="spellEnd"/>
            <w:r>
              <w:rPr>
                <w:sz w:val="22"/>
                <w:lang w:eastAsia="en-US"/>
              </w:rPr>
              <w:t xml:space="preserve"> reakcijas.</w:t>
            </w:r>
          </w:p>
          <w:p w14:paraId="06B4BD61" w14:textId="77777777" w:rsidR="00CA2E41" w:rsidRDefault="00CA2E41" w:rsidP="00E30FAC">
            <w:pPr>
              <w:spacing w:line="256" w:lineRule="auto"/>
              <w:rPr>
                <w:sz w:val="22"/>
                <w:lang w:eastAsia="en-US"/>
              </w:rPr>
            </w:pPr>
          </w:p>
        </w:tc>
      </w:tr>
      <w:tr w:rsidR="00CA2E41" w14:paraId="2A842338" w14:textId="77777777" w:rsidTr="00E30FAC">
        <w:tc>
          <w:tcPr>
            <w:tcW w:w="3369" w:type="dxa"/>
            <w:tcBorders>
              <w:top w:val="single" w:sz="4" w:space="0" w:color="auto"/>
              <w:left w:val="single" w:sz="4" w:space="0" w:color="auto"/>
              <w:bottom w:val="single" w:sz="4" w:space="0" w:color="auto"/>
              <w:right w:val="single" w:sz="4" w:space="0" w:color="auto"/>
            </w:tcBorders>
            <w:hideMark/>
          </w:tcPr>
          <w:p w14:paraId="3643C532" w14:textId="77777777" w:rsidR="00CA2E41" w:rsidRDefault="00CA2E41" w:rsidP="00E30FAC">
            <w:pPr>
              <w:spacing w:line="256" w:lineRule="auto"/>
              <w:rPr>
                <w:sz w:val="22"/>
                <w:lang w:eastAsia="en-US"/>
              </w:rPr>
            </w:pPr>
            <w:r>
              <w:rPr>
                <w:b/>
                <w:i/>
                <w:sz w:val="22"/>
                <w:lang w:eastAsia="en-US"/>
              </w:rPr>
              <w:t>Nervų sistemos sutrikimai</w:t>
            </w:r>
          </w:p>
        </w:tc>
        <w:tc>
          <w:tcPr>
            <w:tcW w:w="1559" w:type="dxa"/>
            <w:tcBorders>
              <w:top w:val="single" w:sz="4" w:space="0" w:color="auto"/>
              <w:left w:val="single" w:sz="4" w:space="0" w:color="auto"/>
              <w:bottom w:val="single" w:sz="4" w:space="0" w:color="auto"/>
              <w:right w:val="single" w:sz="4" w:space="0" w:color="auto"/>
            </w:tcBorders>
            <w:hideMark/>
          </w:tcPr>
          <w:p w14:paraId="60F0DE23" w14:textId="77777777" w:rsidR="00CA2E41" w:rsidRDefault="00CA2E41" w:rsidP="00E30FAC">
            <w:pPr>
              <w:spacing w:line="256" w:lineRule="auto"/>
              <w:rPr>
                <w:sz w:val="22"/>
                <w:lang w:eastAsia="en-US"/>
              </w:rPr>
            </w:pPr>
            <w:r>
              <w:rPr>
                <w:sz w:val="22"/>
                <w:lang w:eastAsia="en-US"/>
              </w:rPr>
              <w:t>Nežinomas</w:t>
            </w:r>
          </w:p>
        </w:tc>
        <w:tc>
          <w:tcPr>
            <w:tcW w:w="4358" w:type="dxa"/>
            <w:tcBorders>
              <w:top w:val="single" w:sz="4" w:space="0" w:color="auto"/>
              <w:left w:val="single" w:sz="4" w:space="0" w:color="auto"/>
              <w:bottom w:val="single" w:sz="4" w:space="0" w:color="auto"/>
              <w:right w:val="single" w:sz="4" w:space="0" w:color="auto"/>
            </w:tcBorders>
          </w:tcPr>
          <w:p w14:paraId="1386CFCA" w14:textId="77777777" w:rsidR="00CA2E41" w:rsidRDefault="00CA2E41" w:rsidP="00E30FAC">
            <w:pPr>
              <w:spacing w:line="256" w:lineRule="auto"/>
              <w:rPr>
                <w:sz w:val="22"/>
                <w:lang w:eastAsia="en-US"/>
              </w:rPr>
            </w:pPr>
            <w:r>
              <w:rPr>
                <w:sz w:val="22"/>
                <w:lang w:eastAsia="en-US"/>
              </w:rPr>
              <w:t>hipotonijos ir atsako susilpnėjimo epizodai, traukuliai (su karščiavimu arba be karščiavimo).</w:t>
            </w:r>
          </w:p>
          <w:p w14:paraId="35DE4184" w14:textId="77777777" w:rsidR="00CA2E41" w:rsidRDefault="00CA2E41" w:rsidP="00E30FAC">
            <w:pPr>
              <w:spacing w:line="256" w:lineRule="auto"/>
              <w:rPr>
                <w:sz w:val="22"/>
                <w:lang w:eastAsia="en-US"/>
              </w:rPr>
            </w:pPr>
          </w:p>
        </w:tc>
      </w:tr>
      <w:tr w:rsidR="00CA2E41" w14:paraId="4B39A7A3" w14:textId="77777777" w:rsidTr="00E30FAC">
        <w:tc>
          <w:tcPr>
            <w:tcW w:w="3369" w:type="dxa"/>
            <w:tcBorders>
              <w:top w:val="single" w:sz="4" w:space="0" w:color="auto"/>
              <w:left w:val="single" w:sz="4" w:space="0" w:color="auto"/>
              <w:bottom w:val="single" w:sz="4" w:space="0" w:color="auto"/>
              <w:right w:val="single" w:sz="4" w:space="0" w:color="auto"/>
            </w:tcBorders>
            <w:hideMark/>
          </w:tcPr>
          <w:p w14:paraId="2A47F303" w14:textId="77777777" w:rsidR="00CA2E41" w:rsidRDefault="00CA2E41" w:rsidP="00E30FAC">
            <w:pPr>
              <w:spacing w:line="256" w:lineRule="auto"/>
              <w:rPr>
                <w:sz w:val="22"/>
                <w:lang w:eastAsia="en-US"/>
              </w:rPr>
            </w:pPr>
            <w:r>
              <w:rPr>
                <w:b/>
                <w:i/>
                <w:sz w:val="22"/>
                <w:lang w:eastAsia="en-US"/>
              </w:rPr>
              <w:t>Odos ir poodinio audinio sutrikimai</w:t>
            </w:r>
          </w:p>
        </w:tc>
        <w:tc>
          <w:tcPr>
            <w:tcW w:w="1559" w:type="dxa"/>
            <w:tcBorders>
              <w:top w:val="single" w:sz="4" w:space="0" w:color="auto"/>
              <w:left w:val="single" w:sz="4" w:space="0" w:color="auto"/>
              <w:bottom w:val="single" w:sz="4" w:space="0" w:color="auto"/>
              <w:right w:val="single" w:sz="4" w:space="0" w:color="auto"/>
            </w:tcBorders>
            <w:hideMark/>
          </w:tcPr>
          <w:p w14:paraId="25428180" w14:textId="77777777" w:rsidR="00CA2E41" w:rsidRDefault="00CA2E41" w:rsidP="00E30FAC">
            <w:pPr>
              <w:spacing w:line="256" w:lineRule="auto"/>
              <w:rPr>
                <w:sz w:val="22"/>
                <w:lang w:eastAsia="en-US"/>
              </w:rPr>
            </w:pPr>
            <w:r>
              <w:rPr>
                <w:sz w:val="22"/>
                <w:lang w:eastAsia="en-US"/>
              </w:rPr>
              <w:t>Nežinomas</w:t>
            </w:r>
          </w:p>
        </w:tc>
        <w:tc>
          <w:tcPr>
            <w:tcW w:w="4358" w:type="dxa"/>
            <w:tcBorders>
              <w:top w:val="single" w:sz="4" w:space="0" w:color="auto"/>
              <w:left w:val="single" w:sz="4" w:space="0" w:color="auto"/>
              <w:bottom w:val="single" w:sz="4" w:space="0" w:color="auto"/>
              <w:right w:val="single" w:sz="4" w:space="0" w:color="auto"/>
            </w:tcBorders>
            <w:hideMark/>
          </w:tcPr>
          <w:p w14:paraId="036EC2F3" w14:textId="77777777" w:rsidR="00CA2E41" w:rsidRDefault="00CA2E41" w:rsidP="00E30FAC">
            <w:pPr>
              <w:spacing w:line="256" w:lineRule="auto"/>
              <w:rPr>
                <w:sz w:val="22"/>
                <w:lang w:eastAsia="en-US"/>
              </w:rPr>
            </w:pPr>
            <w:r>
              <w:rPr>
                <w:sz w:val="22"/>
                <w:lang w:eastAsia="en-US"/>
              </w:rPr>
              <w:t xml:space="preserve">dilgėlinė, </w:t>
            </w:r>
            <w:proofErr w:type="spellStart"/>
            <w:r>
              <w:rPr>
                <w:sz w:val="22"/>
                <w:lang w:eastAsia="en-US"/>
              </w:rPr>
              <w:t>angioneurozinė</w:t>
            </w:r>
            <w:proofErr w:type="spellEnd"/>
            <w:r>
              <w:rPr>
                <w:sz w:val="22"/>
                <w:lang w:eastAsia="en-US"/>
              </w:rPr>
              <w:t xml:space="preserve"> edema.</w:t>
            </w:r>
          </w:p>
        </w:tc>
      </w:tr>
      <w:tr w:rsidR="00CA2E41" w14:paraId="243D145D" w14:textId="77777777" w:rsidTr="00E30FAC">
        <w:tc>
          <w:tcPr>
            <w:tcW w:w="3369" w:type="dxa"/>
            <w:tcBorders>
              <w:top w:val="single" w:sz="4" w:space="0" w:color="auto"/>
              <w:left w:val="single" w:sz="4" w:space="0" w:color="auto"/>
              <w:bottom w:val="single" w:sz="4" w:space="0" w:color="auto"/>
              <w:right w:val="single" w:sz="4" w:space="0" w:color="auto"/>
            </w:tcBorders>
            <w:hideMark/>
          </w:tcPr>
          <w:p w14:paraId="7DE0FD5D" w14:textId="77777777" w:rsidR="00CA2E41" w:rsidRDefault="00CA2E41" w:rsidP="00E30FAC">
            <w:pPr>
              <w:spacing w:line="256" w:lineRule="auto"/>
              <w:rPr>
                <w:sz w:val="22"/>
                <w:lang w:eastAsia="en-US"/>
              </w:rPr>
            </w:pPr>
            <w:r>
              <w:rPr>
                <w:b/>
                <w:i/>
                <w:sz w:val="22"/>
                <w:lang w:eastAsia="en-US"/>
              </w:rPr>
              <w:t>Bendrieji sutrikimai ir vartojimo vietos pažeidimai</w:t>
            </w:r>
          </w:p>
        </w:tc>
        <w:tc>
          <w:tcPr>
            <w:tcW w:w="1559" w:type="dxa"/>
            <w:tcBorders>
              <w:top w:val="single" w:sz="4" w:space="0" w:color="auto"/>
              <w:left w:val="single" w:sz="4" w:space="0" w:color="auto"/>
              <w:bottom w:val="single" w:sz="4" w:space="0" w:color="auto"/>
              <w:right w:val="single" w:sz="4" w:space="0" w:color="auto"/>
            </w:tcBorders>
            <w:hideMark/>
          </w:tcPr>
          <w:p w14:paraId="3B64E13B" w14:textId="77777777" w:rsidR="00CA2E41" w:rsidRDefault="00CA2E41" w:rsidP="00E30FAC">
            <w:pPr>
              <w:spacing w:line="256" w:lineRule="auto"/>
              <w:rPr>
                <w:sz w:val="22"/>
                <w:lang w:eastAsia="en-US"/>
              </w:rPr>
            </w:pPr>
            <w:r>
              <w:rPr>
                <w:sz w:val="22"/>
                <w:lang w:eastAsia="en-US"/>
              </w:rPr>
              <w:t>Nežinomas</w:t>
            </w:r>
          </w:p>
        </w:tc>
        <w:tc>
          <w:tcPr>
            <w:tcW w:w="4358" w:type="dxa"/>
            <w:tcBorders>
              <w:top w:val="single" w:sz="4" w:space="0" w:color="auto"/>
              <w:left w:val="single" w:sz="4" w:space="0" w:color="auto"/>
              <w:bottom w:val="single" w:sz="4" w:space="0" w:color="auto"/>
              <w:right w:val="single" w:sz="4" w:space="0" w:color="auto"/>
            </w:tcBorders>
            <w:hideMark/>
          </w:tcPr>
          <w:p w14:paraId="2821656F" w14:textId="77777777" w:rsidR="00CA2E41" w:rsidRDefault="00CA2E41" w:rsidP="00E30FAC">
            <w:pPr>
              <w:spacing w:line="256" w:lineRule="auto"/>
              <w:rPr>
                <w:sz w:val="22"/>
                <w:lang w:eastAsia="en-US"/>
              </w:rPr>
            </w:pPr>
            <w:proofErr w:type="spellStart"/>
            <w:r>
              <w:rPr>
                <w:sz w:val="22"/>
                <w:lang w:eastAsia="en-US"/>
              </w:rPr>
              <w:t>astenija</w:t>
            </w:r>
            <w:proofErr w:type="spellEnd"/>
            <w:r>
              <w:rPr>
                <w:sz w:val="22"/>
                <w:lang w:eastAsia="en-US"/>
              </w:rPr>
              <w:t>.</w:t>
            </w:r>
          </w:p>
        </w:tc>
      </w:tr>
    </w:tbl>
    <w:p w14:paraId="63801B0A" w14:textId="77777777" w:rsidR="00CA2E41" w:rsidRDefault="00CA2E41" w:rsidP="00CA2E41">
      <w:pPr>
        <w:rPr>
          <w:sz w:val="22"/>
        </w:rPr>
      </w:pPr>
    </w:p>
    <w:p w14:paraId="449A3A4E" w14:textId="77777777" w:rsidR="00CA2E41" w:rsidRDefault="00CA2E41" w:rsidP="00CA2E41">
      <w:pPr>
        <w:rPr>
          <w:sz w:val="22"/>
        </w:rPr>
      </w:pPr>
      <w:r>
        <w:rPr>
          <w:sz w:val="22"/>
        </w:rPr>
        <w:t xml:space="preserve">Skiriant vakcinas, kuriose yra stabligės toksinų, labai retai buvo gauta pranešimų apie šalutines centrinės ar periferinės nervų sistemos reakcijas, įskaitant kylantį paralyžių ir netgi kvėpavimo takų paralyžių (pvz., </w:t>
      </w:r>
      <w:proofErr w:type="spellStart"/>
      <w:r>
        <w:rPr>
          <w:i/>
          <w:sz w:val="22"/>
        </w:rPr>
        <w:t>Guillain-Barre</w:t>
      </w:r>
      <w:proofErr w:type="spellEnd"/>
      <w:r>
        <w:rPr>
          <w:sz w:val="22"/>
        </w:rPr>
        <w:t xml:space="preserve"> sindromas).</w:t>
      </w:r>
    </w:p>
    <w:p w14:paraId="6BBB9CD9" w14:textId="77777777" w:rsidR="00CA2E41" w:rsidRDefault="00CA2E41" w:rsidP="00CA2E41">
      <w:pPr>
        <w:rPr>
          <w:sz w:val="22"/>
        </w:rPr>
      </w:pPr>
    </w:p>
    <w:p w14:paraId="177D1ADC" w14:textId="77777777" w:rsidR="00CA2E41" w:rsidRDefault="00CA2E41" w:rsidP="00CA2E41">
      <w:pPr>
        <w:keepNext/>
        <w:autoSpaceDE w:val="0"/>
        <w:autoSpaceDN w:val="0"/>
        <w:adjustRightInd w:val="0"/>
        <w:jc w:val="both"/>
        <w:rPr>
          <w:sz w:val="22"/>
          <w:u w:val="single"/>
        </w:rPr>
      </w:pPr>
      <w:r>
        <w:rPr>
          <w:sz w:val="22"/>
          <w:u w:val="single"/>
        </w:rPr>
        <w:t>Pranešimas apie įtariamas nepageidaujamas reakcijas</w:t>
      </w:r>
    </w:p>
    <w:p w14:paraId="357C1E4C" w14:textId="27C60629" w:rsidR="00CA2E41" w:rsidRDefault="00CA2E41" w:rsidP="00402C81">
      <w:pPr>
        <w:jc w:val="both"/>
        <w:rPr>
          <w:sz w:val="22"/>
        </w:rPr>
      </w:pPr>
      <w:r>
        <w:rPr>
          <w:sz w:val="22"/>
        </w:rPr>
        <w:t xml:space="preserve">Svarbu pranešti apie įtariamas nepageidaujamas reakcijas, pastebėtas po vaistinio preparato registracijos, nes tai leidžia nuolat stebėti vaistinio preparato naudos ir rizikos santykį. Sveikatos priežiūros </w:t>
      </w:r>
      <w:r w:rsidR="00CD326F" w:rsidRPr="00CD326F">
        <w:rPr>
          <w:sz w:val="22"/>
        </w:rPr>
        <w:t xml:space="preserve">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00CD326F" w:rsidRPr="00CD326F">
        <w:rPr>
          <w:sz w:val="22"/>
        </w:rPr>
        <w:t>NepageidaujamaR@vvkt.lt</w:t>
      </w:r>
      <w:proofErr w:type="spellEnd"/>
      <w:r w:rsidR="00CD326F" w:rsidRPr="00CD326F">
        <w:rPr>
          <w:sz w:val="22"/>
        </w:rPr>
        <w:t>).</w:t>
      </w:r>
    </w:p>
    <w:p w14:paraId="75A3222C" w14:textId="77777777" w:rsidR="00CA2E41" w:rsidRDefault="00CA2E41" w:rsidP="00CA2E41">
      <w:pPr>
        <w:rPr>
          <w:sz w:val="22"/>
        </w:rPr>
      </w:pPr>
    </w:p>
    <w:p w14:paraId="0E62E6A7" w14:textId="77777777" w:rsidR="00CA2E41" w:rsidRDefault="00CA2E41" w:rsidP="00CA2E41">
      <w:pPr>
        <w:rPr>
          <w:b/>
          <w:sz w:val="22"/>
        </w:rPr>
      </w:pPr>
      <w:r>
        <w:rPr>
          <w:b/>
          <w:sz w:val="22"/>
        </w:rPr>
        <w:t>4.9</w:t>
      </w:r>
      <w:r>
        <w:rPr>
          <w:b/>
          <w:sz w:val="22"/>
        </w:rPr>
        <w:tab/>
        <w:t>Perdozavimas</w:t>
      </w:r>
    </w:p>
    <w:p w14:paraId="0337411B" w14:textId="77777777" w:rsidR="00CA2E41" w:rsidRDefault="00CA2E41" w:rsidP="00CA2E41">
      <w:pPr>
        <w:rPr>
          <w:sz w:val="22"/>
        </w:rPr>
      </w:pPr>
    </w:p>
    <w:p w14:paraId="79C95144" w14:textId="77777777" w:rsidR="00CA2E41" w:rsidRDefault="00CA2E41" w:rsidP="00CA2E41">
      <w:pPr>
        <w:rPr>
          <w:sz w:val="22"/>
        </w:rPr>
      </w:pPr>
      <w:r>
        <w:rPr>
          <w:sz w:val="22"/>
        </w:rPr>
        <w:t>Stebėjimo po vakcinos patekimo į rinką metu buvo pranešta apie perdozavimo atvejus. Nepageidaujami reiškiniai po perdozavimo, jeigu buvo pranešta, buvo panašūs į tuos, apie kuriuos buvo pranešta normaliai vartojant vakciną.</w:t>
      </w:r>
    </w:p>
    <w:p w14:paraId="3B3FA135" w14:textId="77777777" w:rsidR="00CA2E41" w:rsidRDefault="00CA2E41" w:rsidP="00CA2E41">
      <w:pPr>
        <w:rPr>
          <w:sz w:val="22"/>
        </w:rPr>
      </w:pPr>
    </w:p>
    <w:p w14:paraId="13183045" w14:textId="77777777" w:rsidR="00CA2E41" w:rsidRDefault="00CA2E41" w:rsidP="00CA2E41">
      <w:pPr>
        <w:rPr>
          <w:sz w:val="22"/>
        </w:rPr>
      </w:pPr>
    </w:p>
    <w:p w14:paraId="22007B85" w14:textId="77777777" w:rsidR="00CA2E41" w:rsidRDefault="00CA2E41" w:rsidP="00CA2E41">
      <w:pPr>
        <w:rPr>
          <w:b/>
          <w:sz w:val="22"/>
        </w:rPr>
      </w:pPr>
      <w:r>
        <w:rPr>
          <w:b/>
          <w:sz w:val="22"/>
        </w:rPr>
        <w:t>5.</w:t>
      </w:r>
      <w:r>
        <w:rPr>
          <w:b/>
          <w:sz w:val="22"/>
        </w:rPr>
        <w:tab/>
        <w:t xml:space="preserve">FARMAKOLOGINĖS </w:t>
      </w:r>
      <w:r>
        <w:rPr>
          <w:b/>
          <w:caps/>
          <w:sz w:val="22"/>
        </w:rPr>
        <w:t>savybės</w:t>
      </w:r>
    </w:p>
    <w:p w14:paraId="078F567E" w14:textId="77777777" w:rsidR="00CA2E41" w:rsidRPr="00305A45" w:rsidRDefault="00CA2E41" w:rsidP="00CA2E41">
      <w:pPr>
        <w:rPr>
          <w:sz w:val="22"/>
        </w:rPr>
      </w:pPr>
    </w:p>
    <w:p w14:paraId="20F5C397" w14:textId="77777777" w:rsidR="00CA2E41" w:rsidRDefault="00CA2E41" w:rsidP="00CA2E41">
      <w:pPr>
        <w:rPr>
          <w:b/>
          <w:sz w:val="22"/>
        </w:rPr>
      </w:pPr>
      <w:r>
        <w:rPr>
          <w:b/>
          <w:sz w:val="22"/>
        </w:rPr>
        <w:t>5.1</w:t>
      </w:r>
      <w:r>
        <w:rPr>
          <w:b/>
          <w:sz w:val="22"/>
        </w:rPr>
        <w:tab/>
      </w:r>
      <w:proofErr w:type="spellStart"/>
      <w:r>
        <w:rPr>
          <w:b/>
          <w:sz w:val="22"/>
        </w:rPr>
        <w:t>Farmakodinaminės</w:t>
      </w:r>
      <w:proofErr w:type="spellEnd"/>
      <w:r>
        <w:rPr>
          <w:b/>
          <w:sz w:val="22"/>
        </w:rPr>
        <w:t xml:space="preserve"> savybės</w:t>
      </w:r>
    </w:p>
    <w:p w14:paraId="0F5D4AF4" w14:textId="77777777" w:rsidR="00CA2E41" w:rsidRDefault="00CA2E41" w:rsidP="00CA2E41">
      <w:pPr>
        <w:rPr>
          <w:sz w:val="22"/>
        </w:rPr>
      </w:pPr>
    </w:p>
    <w:p w14:paraId="091136FB" w14:textId="77777777" w:rsidR="00CA2E41" w:rsidRDefault="00CA2E41" w:rsidP="00CA2E41">
      <w:pPr>
        <w:rPr>
          <w:sz w:val="22"/>
        </w:rPr>
      </w:pPr>
      <w:proofErr w:type="spellStart"/>
      <w:r>
        <w:rPr>
          <w:sz w:val="22"/>
        </w:rPr>
        <w:t>Farmakoterapinė</w:t>
      </w:r>
      <w:proofErr w:type="spellEnd"/>
      <w:r>
        <w:rPr>
          <w:sz w:val="22"/>
        </w:rPr>
        <w:t xml:space="preserve"> grupė – kombinuotos bakterinės ir virusinės vakcinos, ATC kodas – J07CA02.</w:t>
      </w:r>
    </w:p>
    <w:p w14:paraId="7476E178" w14:textId="77777777" w:rsidR="00CA2E41" w:rsidRDefault="00CA2E41" w:rsidP="00CA2E41">
      <w:pPr>
        <w:rPr>
          <w:sz w:val="22"/>
        </w:rPr>
      </w:pPr>
    </w:p>
    <w:p w14:paraId="0FB4B1D5" w14:textId="77777777" w:rsidR="00CA2E41" w:rsidRPr="00402C81" w:rsidRDefault="00CA2E41" w:rsidP="00CA2E41">
      <w:pPr>
        <w:rPr>
          <w:iCs/>
          <w:sz w:val="22"/>
          <w:u w:val="single"/>
        </w:rPr>
      </w:pPr>
      <w:r w:rsidRPr="00402C81">
        <w:rPr>
          <w:iCs/>
          <w:sz w:val="22"/>
          <w:u w:val="single"/>
        </w:rPr>
        <w:t>Imuninis atsakas</w:t>
      </w:r>
    </w:p>
    <w:p w14:paraId="2216E7F6" w14:textId="77777777" w:rsidR="00CA2E41" w:rsidRDefault="00CA2E41" w:rsidP="00CA2E41">
      <w:pPr>
        <w:rPr>
          <w:i/>
          <w:sz w:val="22"/>
        </w:rPr>
      </w:pPr>
    </w:p>
    <w:p w14:paraId="63CD88F4" w14:textId="72E72816" w:rsidR="00CA2E41" w:rsidRDefault="00CA2E41" w:rsidP="00CA2E41">
      <w:pPr>
        <w:rPr>
          <w:sz w:val="22"/>
        </w:rPr>
      </w:pPr>
      <w:r>
        <w:rPr>
          <w:sz w:val="22"/>
        </w:rPr>
        <w:t>Imuninė reakcija į BOOSTRIX POLIO buvo įvertinta klinikiniais tyrimais, atliktais su įvairaus amžiaus asmenimis, kurių vakcinavimo anamnezė skirtinga (žr.</w:t>
      </w:r>
      <w:r w:rsidR="000F07B5">
        <w:rPr>
          <w:sz w:val="22"/>
        </w:rPr>
        <w:t> </w:t>
      </w:r>
      <w:r>
        <w:rPr>
          <w:sz w:val="22"/>
        </w:rPr>
        <w:t>4.8 skyrių).</w:t>
      </w:r>
    </w:p>
    <w:p w14:paraId="5F0BE882" w14:textId="77777777" w:rsidR="00CA2E41" w:rsidRDefault="00CA2E41" w:rsidP="00CA2E41">
      <w:pPr>
        <w:rPr>
          <w:sz w:val="22"/>
        </w:rPr>
      </w:pPr>
    </w:p>
    <w:p w14:paraId="66E3A455" w14:textId="77777777" w:rsidR="00CA2E41" w:rsidRDefault="00CA2E41" w:rsidP="00CA2E41">
      <w:pPr>
        <w:rPr>
          <w:sz w:val="22"/>
        </w:rPr>
      </w:pPr>
      <w:r>
        <w:rPr>
          <w:sz w:val="22"/>
        </w:rPr>
        <w:t>Toliau nurodytas imuninis atsakas buvo stebėtas visų tyrimų metu praėjus vienam mėnesiui po vaikų, paauglių ir suaugusiųjų paskiepijimo BOOSTRIX POLIO vakcina (4 lentelė).</w:t>
      </w:r>
    </w:p>
    <w:p w14:paraId="46243A4E" w14:textId="77777777" w:rsidR="00CA2E41" w:rsidRDefault="00CA2E41" w:rsidP="00CA2E41">
      <w:pPr>
        <w:rPr>
          <w:sz w:val="22"/>
        </w:rPr>
      </w:pPr>
    </w:p>
    <w:p w14:paraId="76DD8B9D" w14:textId="28F9C1FD" w:rsidR="00CA2E41" w:rsidRDefault="00CA2E41" w:rsidP="00E30FAC">
      <w:pPr>
        <w:keepNext/>
        <w:tabs>
          <w:tab w:val="clear" w:pos="567"/>
          <w:tab w:val="left" w:pos="1296"/>
        </w:tabs>
        <w:spacing w:after="120"/>
        <w:rPr>
          <w:snapToGrid w:val="0"/>
          <w:color w:val="000000"/>
          <w:sz w:val="22"/>
        </w:rPr>
      </w:pPr>
      <w:r>
        <w:rPr>
          <w:b/>
          <w:snapToGrid w:val="0"/>
          <w:color w:val="000000"/>
          <w:sz w:val="22"/>
        </w:rPr>
        <w:lastRenderedPageBreak/>
        <w:t>4</w:t>
      </w:r>
      <w:r w:rsidR="000F07B5">
        <w:rPr>
          <w:b/>
          <w:snapToGrid w:val="0"/>
          <w:color w:val="000000"/>
          <w:sz w:val="22"/>
        </w:rPr>
        <w:t> </w:t>
      </w:r>
      <w:r>
        <w:rPr>
          <w:b/>
          <w:snapToGrid w:val="0"/>
          <w:color w:val="000000"/>
          <w:sz w:val="22"/>
        </w:rPr>
        <w:t>lentelė.</w:t>
      </w:r>
      <w:r>
        <w:rPr>
          <w:snapToGrid w:val="0"/>
          <w:color w:val="000000"/>
          <w:sz w:val="22"/>
        </w:rPr>
        <w:t xml:space="preserve"> Vaikų, paauglių ir suaugusiųjų imuninis atsakas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1884"/>
        <w:gridCol w:w="2319"/>
        <w:gridCol w:w="2426"/>
      </w:tblGrid>
      <w:tr w:rsidR="00DB3AA4" w14:paraId="000D7683" w14:textId="77777777" w:rsidTr="00CA2E41">
        <w:trPr>
          <w:trHeight w:val="1363"/>
        </w:trPr>
        <w:tc>
          <w:tcPr>
            <w:tcW w:w="1341"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C41F89A" w14:textId="77777777" w:rsidR="00CA2E41" w:rsidRDefault="00CA2E41" w:rsidP="00305A45">
            <w:pPr>
              <w:keepNext/>
              <w:tabs>
                <w:tab w:val="clear" w:pos="567"/>
                <w:tab w:val="left" w:pos="1296"/>
              </w:tabs>
              <w:jc w:val="center"/>
              <w:rPr>
                <w:b/>
                <w:sz w:val="22"/>
                <w:lang w:eastAsia="en-US"/>
              </w:rPr>
            </w:pPr>
            <w:r>
              <w:rPr>
                <w:b/>
                <w:sz w:val="22"/>
                <w:lang w:eastAsia="en-US"/>
              </w:rPr>
              <w:t>Antigenas</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9EAFB71" w14:textId="77777777" w:rsidR="00CA2E41" w:rsidRDefault="00CA2E41" w:rsidP="00305A45">
            <w:pPr>
              <w:keepNext/>
              <w:tabs>
                <w:tab w:val="clear" w:pos="567"/>
                <w:tab w:val="left" w:pos="1296"/>
              </w:tabs>
              <w:jc w:val="center"/>
              <w:rPr>
                <w:b/>
                <w:sz w:val="22"/>
                <w:lang w:eastAsia="en-US"/>
              </w:rPr>
            </w:pPr>
            <w:r>
              <w:rPr>
                <w:b/>
                <w:sz w:val="22"/>
                <w:lang w:eastAsia="en-US"/>
              </w:rPr>
              <w:t>Atsakas</w:t>
            </w:r>
          </w:p>
        </w:tc>
        <w:tc>
          <w:tcPr>
            <w:tcW w:w="1280" w:type="pct"/>
            <w:tcBorders>
              <w:top w:val="single" w:sz="4" w:space="0" w:color="auto"/>
              <w:left w:val="single" w:sz="4" w:space="0" w:color="auto"/>
              <w:bottom w:val="nil"/>
              <w:right w:val="single" w:sz="4" w:space="0" w:color="auto"/>
            </w:tcBorders>
            <w:shd w:val="clear" w:color="auto" w:fill="F2F2F2"/>
            <w:vAlign w:val="center"/>
          </w:tcPr>
          <w:p w14:paraId="46BD138A" w14:textId="77777777" w:rsidR="00CA2E41" w:rsidRDefault="00CA2E41" w:rsidP="00305A45">
            <w:pPr>
              <w:keepNext/>
              <w:tabs>
                <w:tab w:val="clear" w:pos="567"/>
                <w:tab w:val="left" w:pos="1296"/>
              </w:tabs>
              <w:jc w:val="center"/>
              <w:rPr>
                <w:b/>
                <w:sz w:val="22"/>
                <w:lang w:eastAsia="en-US"/>
              </w:rPr>
            </w:pPr>
            <w:r>
              <w:rPr>
                <w:b/>
                <w:sz w:val="22"/>
                <w:lang w:eastAsia="en-US"/>
              </w:rPr>
              <w:t>3</w:t>
            </w:r>
            <w:r>
              <w:rPr>
                <w:b/>
                <w:sz w:val="22"/>
                <w:lang w:eastAsia="en-US"/>
              </w:rPr>
              <w:noBreakHyphen/>
              <w:t>8 metų vaikai</w:t>
            </w:r>
          </w:p>
          <w:p w14:paraId="5EA367C7" w14:textId="77777777" w:rsidR="00CA2E41" w:rsidRDefault="00CA2E41" w:rsidP="00305A45">
            <w:pPr>
              <w:keepNext/>
              <w:tabs>
                <w:tab w:val="clear" w:pos="567"/>
                <w:tab w:val="left" w:pos="1296"/>
              </w:tabs>
              <w:jc w:val="center"/>
              <w:rPr>
                <w:b/>
                <w:sz w:val="22"/>
                <w:lang w:eastAsia="en-US"/>
              </w:rPr>
            </w:pPr>
          </w:p>
          <w:p w14:paraId="3DD1248B" w14:textId="77777777" w:rsidR="00CA2E41" w:rsidRDefault="00CA2E41" w:rsidP="00305A45">
            <w:pPr>
              <w:keepNext/>
              <w:tabs>
                <w:tab w:val="clear" w:pos="567"/>
                <w:tab w:val="left" w:pos="1296"/>
              </w:tabs>
              <w:jc w:val="center"/>
              <w:rPr>
                <w:b/>
                <w:sz w:val="22"/>
                <w:lang w:eastAsia="en-US"/>
              </w:rPr>
            </w:pPr>
            <w:r>
              <w:rPr>
                <w:b/>
                <w:sz w:val="22"/>
                <w:lang w:eastAsia="en-US"/>
              </w:rPr>
              <w:t>N = 1 195</w:t>
            </w:r>
          </w:p>
        </w:tc>
        <w:tc>
          <w:tcPr>
            <w:tcW w:w="1339" w:type="pct"/>
            <w:tcBorders>
              <w:top w:val="single" w:sz="4" w:space="0" w:color="auto"/>
              <w:left w:val="single" w:sz="4" w:space="0" w:color="auto"/>
              <w:bottom w:val="nil"/>
              <w:right w:val="single" w:sz="4" w:space="0" w:color="auto"/>
            </w:tcBorders>
            <w:shd w:val="clear" w:color="auto" w:fill="F2F2F2"/>
            <w:vAlign w:val="center"/>
            <w:hideMark/>
          </w:tcPr>
          <w:p w14:paraId="1B73CDE0" w14:textId="77777777" w:rsidR="00CA2E41" w:rsidRDefault="00CA2E41" w:rsidP="00305A45">
            <w:pPr>
              <w:keepNext/>
              <w:tabs>
                <w:tab w:val="clear" w:pos="567"/>
                <w:tab w:val="left" w:pos="1296"/>
              </w:tabs>
              <w:jc w:val="center"/>
              <w:rPr>
                <w:b/>
                <w:sz w:val="22"/>
                <w:lang w:eastAsia="en-US"/>
              </w:rPr>
            </w:pPr>
            <w:r>
              <w:rPr>
                <w:b/>
                <w:sz w:val="22"/>
                <w:lang w:eastAsia="en-US"/>
              </w:rPr>
              <w:t xml:space="preserve">Suaugusieji, paaugliai ir vaikai </w:t>
            </w:r>
          </w:p>
          <w:p w14:paraId="44ADDAFF" w14:textId="77777777" w:rsidR="00CA2E41" w:rsidRDefault="00CA2E41" w:rsidP="00305A45">
            <w:pPr>
              <w:keepNext/>
              <w:tabs>
                <w:tab w:val="clear" w:pos="567"/>
                <w:tab w:val="left" w:pos="1296"/>
              </w:tabs>
              <w:jc w:val="center"/>
              <w:rPr>
                <w:b/>
                <w:sz w:val="22"/>
                <w:lang w:eastAsia="en-US"/>
              </w:rPr>
            </w:pPr>
            <w:r>
              <w:rPr>
                <w:b/>
                <w:sz w:val="22"/>
                <w:lang w:eastAsia="en-US"/>
              </w:rPr>
              <w:t>(nuo 10 metų ir vyresni)</w:t>
            </w:r>
          </w:p>
          <w:p w14:paraId="5CB7538F" w14:textId="77777777" w:rsidR="00CA2E41" w:rsidRDefault="00CA2E41" w:rsidP="00305A45">
            <w:pPr>
              <w:keepNext/>
              <w:tabs>
                <w:tab w:val="clear" w:pos="567"/>
                <w:tab w:val="left" w:pos="1296"/>
              </w:tabs>
              <w:jc w:val="center"/>
              <w:rPr>
                <w:b/>
                <w:sz w:val="22"/>
                <w:lang w:eastAsia="en-US"/>
              </w:rPr>
            </w:pPr>
            <w:r>
              <w:rPr>
                <w:b/>
                <w:sz w:val="22"/>
                <w:lang w:eastAsia="en-US"/>
              </w:rPr>
              <w:t>N = 923</w:t>
            </w:r>
          </w:p>
        </w:tc>
      </w:tr>
      <w:tr w:rsidR="00DB3AA4" w14:paraId="65A81179" w14:textId="77777777" w:rsidTr="00CA2E41">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81FBD" w14:textId="77777777" w:rsidR="00CA2E41" w:rsidRDefault="00CA2E41" w:rsidP="00E30FAC">
            <w:pPr>
              <w:tabs>
                <w:tab w:val="clear" w:pos="567"/>
              </w:tabs>
              <w:spacing w:line="256" w:lineRule="auto"/>
              <w:rPr>
                <w:b/>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64637" w14:textId="77777777" w:rsidR="00CA2E41" w:rsidRDefault="00CA2E41" w:rsidP="00E30FAC">
            <w:pPr>
              <w:tabs>
                <w:tab w:val="clear" w:pos="567"/>
              </w:tabs>
              <w:spacing w:line="256" w:lineRule="auto"/>
              <w:rPr>
                <w:b/>
                <w:sz w:val="22"/>
                <w:lang w:eastAsia="en-US"/>
              </w:rPr>
            </w:pPr>
          </w:p>
        </w:tc>
        <w:tc>
          <w:tcPr>
            <w:tcW w:w="1280" w:type="pct"/>
            <w:tcBorders>
              <w:top w:val="nil"/>
              <w:left w:val="single" w:sz="4" w:space="0" w:color="auto"/>
              <w:bottom w:val="single" w:sz="4" w:space="0" w:color="auto"/>
              <w:right w:val="single" w:sz="4" w:space="0" w:color="auto"/>
            </w:tcBorders>
            <w:shd w:val="clear" w:color="auto" w:fill="F2F2F2"/>
            <w:vAlign w:val="center"/>
            <w:hideMark/>
          </w:tcPr>
          <w:p w14:paraId="71308811" w14:textId="77777777" w:rsidR="00CA2E41" w:rsidRDefault="00CA2E41" w:rsidP="00E30FAC">
            <w:pPr>
              <w:keepNext/>
              <w:tabs>
                <w:tab w:val="clear" w:pos="567"/>
                <w:tab w:val="left" w:pos="1296"/>
              </w:tabs>
              <w:spacing w:line="256" w:lineRule="auto"/>
              <w:jc w:val="center"/>
              <w:rPr>
                <w:b/>
                <w:sz w:val="22"/>
                <w:lang w:eastAsia="en-US"/>
              </w:rPr>
            </w:pPr>
            <w:r>
              <w:rPr>
                <w:sz w:val="22"/>
                <w:lang w:eastAsia="en-US"/>
              </w:rPr>
              <w:t>(% vakcinuotųjų)</w:t>
            </w:r>
          </w:p>
        </w:tc>
        <w:tc>
          <w:tcPr>
            <w:tcW w:w="1339" w:type="pct"/>
            <w:tcBorders>
              <w:top w:val="nil"/>
              <w:left w:val="single" w:sz="4" w:space="0" w:color="auto"/>
              <w:bottom w:val="single" w:sz="4" w:space="0" w:color="auto"/>
              <w:right w:val="single" w:sz="4" w:space="0" w:color="auto"/>
            </w:tcBorders>
            <w:shd w:val="clear" w:color="auto" w:fill="F2F2F2"/>
            <w:vAlign w:val="center"/>
            <w:hideMark/>
          </w:tcPr>
          <w:p w14:paraId="6DE0D714" w14:textId="77777777" w:rsidR="00CA2E41" w:rsidRDefault="00CA2E41" w:rsidP="00E30FAC">
            <w:pPr>
              <w:keepNext/>
              <w:tabs>
                <w:tab w:val="clear" w:pos="567"/>
                <w:tab w:val="left" w:pos="1296"/>
              </w:tabs>
              <w:spacing w:line="256" w:lineRule="auto"/>
              <w:jc w:val="center"/>
              <w:rPr>
                <w:b/>
                <w:sz w:val="22"/>
                <w:lang w:eastAsia="en-US"/>
              </w:rPr>
            </w:pPr>
            <w:r>
              <w:rPr>
                <w:sz w:val="22"/>
                <w:lang w:eastAsia="en-US"/>
              </w:rPr>
              <w:t>(% vakcinuotųjų)</w:t>
            </w:r>
          </w:p>
        </w:tc>
      </w:tr>
      <w:tr w:rsidR="00CA2E41" w14:paraId="563AE4A0" w14:textId="77777777" w:rsidTr="00E30FAC">
        <w:trPr>
          <w:trHeight w:val="390"/>
        </w:trPr>
        <w:tc>
          <w:tcPr>
            <w:tcW w:w="1341"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BB34EDB" w14:textId="77777777" w:rsidR="00CA2E41" w:rsidRDefault="00CA2E41" w:rsidP="00E30FAC">
            <w:pPr>
              <w:keepNext/>
              <w:tabs>
                <w:tab w:val="clear" w:pos="567"/>
                <w:tab w:val="left" w:pos="1296"/>
              </w:tabs>
              <w:spacing w:line="256" w:lineRule="auto"/>
              <w:rPr>
                <w:b/>
                <w:sz w:val="22"/>
                <w:lang w:eastAsia="en-US"/>
              </w:rPr>
            </w:pPr>
            <w:r>
              <w:rPr>
                <w:b/>
                <w:sz w:val="22"/>
                <w:lang w:eastAsia="en-US"/>
              </w:rPr>
              <w:t>Difterija</w:t>
            </w:r>
          </w:p>
        </w:tc>
        <w:tc>
          <w:tcPr>
            <w:tcW w:w="1040" w:type="pct"/>
            <w:tcBorders>
              <w:top w:val="single" w:sz="4" w:space="0" w:color="auto"/>
              <w:left w:val="single" w:sz="4" w:space="0" w:color="auto"/>
              <w:bottom w:val="dashed" w:sz="4" w:space="0" w:color="auto"/>
              <w:right w:val="single" w:sz="4" w:space="0" w:color="auto"/>
            </w:tcBorders>
            <w:vAlign w:val="center"/>
            <w:hideMark/>
          </w:tcPr>
          <w:p w14:paraId="28E52A16" w14:textId="77777777" w:rsidR="00CA2E41" w:rsidRDefault="00CA2E41" w:rsidP="00E30FAC">
            <w:pPr>
              <w:keepNext/>
              <w:tabs>
                <w:tab w:val="clear" w:pos="567"/>
                <w:tab w:val="left" w:pos="1296"/>
              </w:tabs>
              <w:spacing w:line="256" w:lineRule="auto"/>
              <w:jc w:val="center"/>
              <w:rPr>
                <w:sz w:val="22"/>
                <w:lang w:eastAsia="en-US"/>
              </w:rPr>
            </w:pPr>
            <w:r>
              <w:rPr>
                <w:sz w:val="22"/>
                <w:lang w:eastAsia="en-US"/>
              </w:rPr>
              <w:sym w:font="Symbol" w:char="F0B3"/>
            </w:r>
            <w:r>
              <w:rPr>
                <w:sz w:val="22"/>
                <w:lang w:eastAsia="en-US"/>
              </w:rPr>
              <w:t xml:space="preserve"> 0,1 TV/ml</w:t>
            </w:r>
          </w:p>
        </w:tc>
        <w:tc>
          <w:tcPr>
            <w:tcW w:w="1280" w:type="pct"/>
            <w:tcBorders>
              <w:top w:val="single" w:sz="4" w:space="0" w:color="auto"/>
              <w:left w:val="single" w:sz="4" w:space="0" w:color="auto"/>
              <w:bottom w:val="dashed" w:sz="4" w:space="0" w:color="auto"/>
              <w:right w:val="single" w:sz="4" w:space="0" w:color="auto"/>
            </w:tcBorders>
            <w:vAlign w:val="center"/>
            <w:hideMark/>
          </w:tcPr>
          <w:p w14:paraId="7A8C51A6" w14:textId="29684DC0" w:rsidR="00CA2E41" w:rsidRDefault="00CA2E41" w:rsidP="00E30FAC">
            <w:pPr>
              <w:keepNext/>
              <w:tabs>
                <w:tab w:val="clear" w:pos="567"/>
                <w:tab w:val="left" w:pos="1296"/>
              </w:tabs>
              <w:spacing w:line="256" w:lineRule="auto"/>
              <w:jc w:val="center"/>
              <w:rPr>
                <w:sz w:val="22"/>
                <w:lang w:eastAsia="en-US"/>
              </w:rPr>
            </w:pPr>
            <w:r>
              <w:rPr>
                <w:sz w:val="22"/>
                <w:lang w:eastAsia="en-US"/>
              </w:rPr>
              <w:t>100</w:t>
            </w:r>
            <w:r w:rsidR="00E56AEA">
              <w:rPr>
                <w:sz w:val="22"/>
                <w:lang w:eastAsia="en-US"/>
              </w:rPr>
              <w:t> </w:t>
            </w:r>
            <w:r>
              <w:rPr>
                <w:sz w:val="22"/>
                <w:lang w:eastAsia="en-US"/>
              </w:rPr>
              <w:t>%</w:t>
            </w:r>
          </w:p>
        </w:tc>
        <w:tc>
          <w:tcPr>
            <w:tcW w:w="1339" w:type="pct"/>
            <w:tcBorders>
              <w:top w:val="single" w:sz="4" w:space="0" w:color="auto"/>
              <w:left w:val="single" w:sz="4" w:space="0" w:color="auto"/>
              <w:bottom w:val="dashed" w:sz="4" w:space="0" w:color="auto"/>
              <w:right w:val="single" w:sz="4" w:space="0" w:color="auto"/>
            </w:tcBorders>
            <w:vAlign w:val="center"/>
            <w:hideMark/>
          </w:tcPr>
          <w:p w14:paraId="74254E54" w14:textId="217B8077" w:rsidR="00CA2E41" w:rsidRDefault="00CA2E41" w:rsidP="00E30FAC">
            <w:pPr>
              <w:keepNext/>
              <w:tabs>
                <w:tab w:val="clear" w:pos="567"/>
                <w:tab w:val="left" w:pos="1296"/>
              </w:tabs>
              <w:spacing w:line="256" w:lineRule="auto"/>
              <w:jc w:val="center"/>
              <w:rPr>
                <w:sz w:val="22"/>
                <w:lang w:eastAsia="en-US"/>
              </w:rPr>
            </w:pPr>
            <w:r>
              <w:rPr>
                <w:sz w:val="22"/>
                <w:lang w:eastAsia="en-US"/>
              </w:rPr>
              <w:t>82,2 – 100</w:t>
            </w:r>
            <w:r w:rsidR="00E56AEA">
              <w:rPr>
                <w:sz w:val="22"/>
                <w:lang w:eastAsia="en-US"/>
              </w:rPr>
              <w:t> </w:t>
            </w:r>
            <w:r>
              <w:rPr>
                <w:sz w:val="22"/>
                <w:lang w:eastAsia="en-US"/>
              </w:rPr>
              <w:t>%</w:t>
            </w:r>
          </w:p>
        </w:tc>
      </w:tr>
      <w:tr w:rsidR="00CA2E41" w14:paraId="104CD8D3" w14:textId="77777777" w:rsidTr="00E30FAC">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1AE8F" w14:textId="77777777" w:rsidR="00CA2E41" w:rsidRDefault="00CA2E41" w:rsidP="00E30FAC">
            <w:pPr>
              <w:tabs>
                <w:tab w:val="clear" w:pos="567"/>
              </w:tabs>
              <w:spacing w:line="256" w:lineRule="auto"/>
              <w:rPr>
                <w:b/>
                <w:sz w:val="22"/>
                <w:lang w:eastAsia="en-US"/>
              </w:rPr>
            </w:pPr>
          </w:p>
        </w:tc>
        <w:tc>
          <w:tcPr>
            <w:tcW w:w="1040" w:type="pct"/>
            <w:tcBorders>
              <w:top w:val="dashed" w:sz="4" w:space="0" w:color="auto"/>
              <w:left w:val="single" w:sz="4" w:space="0" w:color="auto"/>
              <w:bottom w:val="single" w:sz="4" w:space="0" w:color="auto"/>
              <w:right w:val="single" w:sz="4" w:space="0" w:color="auto"/>
            </w:tcBorders>
            <w:vAlign w:val="center"/>
            <w:hideMark/>
          </w:tcPr>
          <w:p w14:paraId="3A727506" w14:textId="77777777" w:rsidR="00CA2E41" w:rsidRDefault="00CA2E41" w:rsidP="00E30FAC">
            <w:pPr>
              <w:keepNext/>
              <w:tabs>
                <w:tab w:val="clear" w:pos="567"/>
                <w:tab w:val="left" w:pos="1296"/>
              </w:tabs>
              <w:spacing w:line="256" w:lineRule="auto"/>
              <w:jc w:val="center"/>
              <w:rPr>
                <w:sz w:val="22"/>
                <w:lang w:eastAsia="en-US"/>
              </w:rPr>
            </w:pPr>
            <w:r>
              <w:rPr>
                <w:sz w:val="22"/>
                <w:lang w:eastAsia="en-US"/>
              </w:rPr>
              <w:sym w:font="Symbol" w:char="F0B3"/>
            </w:r>
            <w:r>
              <w:rPr>
                <w:sz w:val="22"/>
                <w:lang w:eastAsia="en-US"/>
              </w:rPr>
              <w:t xml:space="preserve"> 0,016 TV/ml</w:t>
            </w:r>
            <w:r>
              <w:rPr>
                <w:sz w:val="22"/>
                <w:vertAlign w:val="superscript"/>
                <w:lang w:eastAsia="en-US"/>
              </w:rPr>
              <w:t xml:space="preserve"> (1)</w:t>
            </w:r>
          </w:p>
        </w:tc>
        <w:tc>
          <w:tcPr>
            <w:tcW w:w="1280" w:type="pct"/>
            <w:tcBorders>
              <w:top w:val="dashed" w:sz="4" w:space="0" w:color="auto"/>
              <w:left w:val="single" w:sz="4" w:space="0" w:color="auto"/>
              <w:bottom w:val="single" w:sz="4" w:space="0" w:color="auto"/>
              <w:right w:val="single" w:sz="4" w:space="0" w:color="auto"/>
            </w:tcBorders>
            <w:vAlign w:val="center"/>
            <w:hideMark/>
          </w:tcPr>
          <w:p w14:paraId="54002F2F" w14:textId="77777777" w:rsidR="00CA2E41" w:rsidRDefault="00CA2E41" w:rsidP="00E30FAC">
            <w:pPr>
              <w:keepNext/>
              <w:tabs>
                <w:tab w:val="clear" w:pos="567"/>
                <w:tab w:val="left" w:pos="1296"/>
              </w:tabs>
              <w:spacing w:line="256" w:lineRule="auto"/>
              <w:jc w:val="center"/>
              <w:rPr>
                <w:sz w:val="22"/>
                <w:lang w:eastAsia="en-US"/>
              </w:rPr>
            </w:pPr>
            <w:r>
              <w:rPr>
                <w:sz w:val="22"/>
                <w:lang w:eastAsia="en-US"/>
              </w:rPr>
              <w:t>NA</w:t>
            </w:r>
          </w:p>
        </w:tc>
        <w:tc>
          <w:tcPr>
            <w:tcW w:w="1339" w:type="pct"/>
            <w:tcBorders>
              <w:top w:val="dashed" w:sz="4" w:space="0" w:color="auto"/>
              <w:left w:val="single" w:sz="4" w:space="0" w:color="auto"/>
              <w:bottom w:val="single" w:sz="4" w:space="0" w:color="auto"/>
              <w:right w:val="single" w:sz="4" w:space="0" w:color="auto"/>
            </w:tcBorders>
            <w:vAlign w:val="center"/>
            <w:hideMark/>
          </w:tcPr>
          <w:p w14:paraId="261F0D45" w14:textId="19FC142C" w:rsidR="00CA2E41" w:rsidRDefault="00CA2E41" w:rsidP="00E30FAC">
            <w:pPr>
              <w:keepNext/>
              <w:tabs>
                <w:tab w:val="clear" w:pos="567"/>
                <w:tab w:val="left" w:pos="1296"/>
              </w:tabs>
              <w:spacing w:line="256" w:lineRule="auto"/>
              <w:jc w:val="center"/>
              <w:rPr>
                <w:sz w:val="22"/>
                <w:lang w:eastAsia="en-US"/>
              </w:rPr>
            </w:pPr>
            <w:r>
              <w:rPr>
                <w:sz w:val="22"/>
                <w:lang w:eastAsia="en-US"/>
              </w:rPr>
              <w:t>87,7 – 100</w:t>
            </w:r>
            <w:r w:rsidR="00E56AEA">
              <w:rPr>
                <w:sz w:val="22"/>
                <w:lang w:eastAsia="en-US"/>
              </w:rPr>
              <w:t> </w:t>
            </w:r>
            <w:r>
              <w:rPr>
                <w:sz w:val="22"/>
                <w:lang w:eastAsia="en-US"/>
              </w:rPr>
              <w:t xml:space="preserve">% </w:t>
            </w:r>
            <w:r>
              <w:rPr>
                <w:sz w:val="22"/>
                <w:vertAlign w:val="superscript"/>
                <w:lang w:eastAsia="en-US"/>
              </w:rPr>
              <w:t>(2)</w:t>
            </w:r>
          </w:p>
        </w:tc>
      </w:tr>
      <w:tr w:rsidR="00CA2E41" w14:paraId="4739B402" w14:textId="77777777" w:rsidTr="00E30FAC">
        <w:trPr>
          <w:trHeight w:val="423"/>
        </w:trPr>
        <w:tc>
          <w:tcPr>
            <w:tcW w:w="134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F26D870" w14:textId="77777777" w:rsidR="00CA2E41" w:rsidRDefault="00CA2E41" w:rsidP="00E30FAC">
            <w:pPr>
              <w:keepNext/>
              <w:tabs>
                <w:tab w:val="clear" w:pos="567"/>
                <w:tab w:val="left" w:pos="1296"/>
              </w:tabs>
              <w:spacing w:line="256" w:lineRule="auto"/>
              <w:rPr>
                <w:b/>
                <w:sz w:val="22"/>
                <w:lang w:eastAsia="en-US"/>
              </w:rPr>
            </w:pPr>
            <w:r>
              <w:rPr>
                <w:b/>
                <w:sz w:val="22"/>
                <w:lang w:eastAsia="en-US"/>
              </w:rPr>
              <w:t>Stabligė</w:t>
            </w:r>
          </w:p>
        </w:tc>
        <w:tc>
          <w:tcPr>
            <w:tcW w:w="1040" w:type="pct"/>
            <w:tcBorders>
              <w:top w:val="single" w:sz="4" w:space="0" w:color="auto"/>
              <w:left w:val="single" w:sz="4" w:space="0" w:color="auto"/>
              <w:bottom w:val="single" w:sz="4" w:space="0" w:color="auto"/>
              <w:right w:val="single" w:sz="4" w:space="0" w:color="auto"/>
            </w:tcBorders>
            <w:vAlign w:val="center"/>
            <w:hideMark/>
          </w:tcPr>
          <w:p w14:paraId="404A2CF6" w14:textId="77777777" w:rsidR="00CA2E41" w:rsidRDefault="00CA2E41" w:rsidP="00E30FAC">
            <w:pPr>
              <w:keepNext/>
              <w:tabs>
                <w:tab w:val="clear" w:pos="567"/>
                <w:tab w:val="left" w:pos="1296"/>
              </w:tabs>
              <w:spacing w:line="256" w:lineRule="auto"/>
              <w:jc w:val="center"/>
              <w:rPr>
                <w:sz w:val="22"/>
                <w:lang w:eastAsia="en-US"/>
              </w:rPr>
            </w:pPr>
            <w:r>
              <w:rPr>
                <w:sz w:val="22"/>
                <w:lang w:eastAsia="en-US"/>
              </w:rPr>
              <w:sym w:font="Symbol" w:char="F0B3"/>
            </w:r>
            <w:r>
              <w:rPr>
                <w:sz w:val="22"/>
                <w:lang w:eastAsia="en-US"/>
              </w:rPr>
              <w:t xml:space="preserve"> 0,1 TV/ml</w:t>
            </w:r>
          </w:p>
        </w:tc>
        <w:tc>
          <w:tcPr>
            <w:tcW w:w="1280" w:type="pct"/>
            <w:tcBorders>
              <w:top w:val="single" w:sz="4" w:space="0" w:color="auto"/>
              <w:left w:val="single" w:sz="4" w:space="0" w:color="auto"/>
              <w:bottom w:val="single" w:sz="4" w:space="0" w:color="auto"/>
              <w:right w:val="single" w:sz="4" w:space="0" w:color="auto"/>
            </w:tcBorders>
            <w:vAlign w:val="center"/>
            <w:hideMark/>
          </w:tcPr>
          <w:p w14:paraId="78AB9EF9" w14:textId="3F454D42" w:rsidR="00CA2E41" w:rsidRDefault="00CA2E41" w:rsidP="00E30FAC">
            <w:pPr>
              <w:keepNext/>
              <w:tabs>
                <w:tab w:val="clear" w:pos="567"/>
                <w:tab w:val="left" w:pos="1296"/>
              </w:tabs>
              <w:spacing w:line="256" w:lineRule="auto"/>
              <w:jc w:val="center"/>
              <w:rPr>
                <w:sz w:val="22"/>
                <w:lang w:eastAsia="en-US"/>
              </w:rPr>
            </w:pPr>
            <w:r>
              <w:rPr>
                <w:sz w:val="22"/>
                <w:lang w:eastAsia="en-US"/>
              </w:rPr>
              <w:t>99,9 – 100</w:t>
            </w:r>
            <w:r w:rsidR="00E56AEA">
              <w:rPr>
                <w:sz w:val="22"/>
                <w:lang w:eastAsia="en-US"/>
              </w:rPr>
              <w:t> </w:t>
            </w:r>
            <w:r>
              <w:rPr>
                <w:sz w:val="22"/>
                <w:lang w:eastAsia="en-US"/>
              </w:rPr>
              <w:t>%</w:t>
            </w:r>
          </w:p>
        </w:tc>
        <w:tc>
          <w:tcPr>
            <w:tcW w:w="1339" w:type="pct"/>
            <w:tcBorders>
              <w:top w:val="single" w:sz="4" w:space="0" w:color="auto"/>
              <w:left w:val="single" w:sz="4" w:space="0" w:color="auto"/>
              <w:bottom w:val="single" w:sz="4" w:space="0" w:color="auto"/>
              <w:right w:val="single" w:sz="4" w:space="0" w:color="auto"/>
            </w:tcBorders>
            <w:vAlign w:val="center"/>
            <w:hideMark/>
          </w:tcPr>
          <w:p w14:paraId="6AFEACD7" w14:textId="769EA5A3" w:rsidR="00CA2E41" w:rsidRDefault="00CA2E41" w:rsidP="00E30FAC">
            <w:pPr>
              <w:keepNext/>
              <w:tabs>
                <w:tab w:val="clear" w:pos="567"/>
                <w:tab w:val="left" w:pos="1296"/>
              </w:tabs>
              <w:spacing w:line="256" w:lineRule="auto"/>
              <w:jc w:val="center"/>
              <w:rPr>
                <w:sz w:val="22"/>
                <w:lang w:eastAsia="en-US"/>
              </w:rPr>
            </w:pPr>
            <w:r>
              <w:rPr>
                <w:sz w:val="22"/>
                <w:lang w:eastAsia="en-US"/>
              </w:rPr>
              <w:t>99,6 – 100</w:t>
            </w:r>
            <w:r w:rsidR="00E56AEA">
              <w:rPr>
                <w:sz w:val="22"/>
                <w:lang w:eastAsia="en-US"/>
              </w:rPr>
              <w:t> </w:t>
            </w:r>
            <w:r>
              <w:rPr>
                <w:sz w:val="22"/>
                <w:lang w:eastAsia="en-US"/>
              </w:rPr>
              <w:t>%</w:t>
            </w:r>
          </w:p>
        </w:tc>
      </w:tr>
      <w:tr w:rsidR="00DB3AA4" w14:paraId="2FEBB1E3" w14:textId="77777777" w:rsidTr="00CA2E41">
        <w:trPr>
          <w:trHeight w:val="415"/>
        </w:trPr>
        <w:tc>
          <w:tcPr>
            <w:tcW w:w="1341" w:type="pct"/>
            <w:tcBorders>
              <w:top w:val="single" w:sz="4" w:space="0" w:color="auto"/>
              <w:left w:val="single" w:sz="4" w:space="0" w:color="auto"/>
              <w:bottom w:val="nil"/>
              <w:right w:val="single" w:sz="4" w:space="0" w:color="auto"/>
            </w:tcBorders>
            <w:shd w:val="clear" w:color="auto" w:fill="F2F2F2"/>
            <w:vAlign w:val="center"/>
            <w:hideMark/>
          </w:tcPr>
          <w:p w14:paraId="0BBB8CF8" w14:textId="77777777" w:rsidR="00CA2E41" w:rsidRDefault="00CA2E41" w:rsidP="00E30FAC">
            <w:pPr>
              <w:keepNext/>
              <w:tabs>
                <w:tab w:val="clear" w:pos="567"/>
                <w:tab w:val="left" w:pos="1296"/>
              </w:tabs>
              <w:spacing w:line="256" w:lineRule="auto"/>
              <w:rPr>
                <w:b/>
                <w:sz w:val="22"/>
                <w:lang w:eastAsia="en-US"/>
              </w:rPr>
            </w:pPr>
            <w:r>
              <w:rPr>
                <w:b/>
                <w:sz w:val="22"/>
                <w:lang w:eastAsia="en-US"/>
              </w:rPr>
              <w:t>Kokliušas</w:t>
            </w:r>
          </w:p>
        </w:tc>
        <w:tc>
          <w:tcPr>
            <w:tcW w:w="1040" w:type="pct"/>
            <w:vMerge w:val="restart"/>
            <w:tcBorders>
              <w:top w:val="single" w:sz="4" w:space="0" w:color="auto"/>
              <w:left w:val="single" w:sz="4" w:space="0" w:color="auto"/>
              <w:bottom w:val="single" w:sz="4" w:space="0" w:color="auto"/>
              <w:right w:val="single" w:sz="4" w:space="0" w:color="auto"/>
            </w:tcBorders>
            <w:vAlign w:val="center"/>
            <w:hideMark/>
          </w:tcPr>
          <w:p w14:paraId="351BAA36" w14:textId="77777777" w:rsidR="00CA2E41" w:rsidRDefault="00CA2E41" w:rsidP="00E30FAC">
            <w:pPr>
              <w:keepNext/>
              <w:tabs>
                <w:tab w:val="clear" w:pos="567"/>
                <w:tab w:val="left" w:pos="1296"/>
              </w:tabs>
              <w:spacing w:line="256" w:lineRule="auto"/>
              <w:ind w:left="-81" w:right="-188"/>
              <w:jc w:val="center"/>
              <w:rPr>
                <w:sz w:val="22"/>
                <w:lang w:eastAsia="en-US"/>
              </w:rPr>
            </w:pPr>
            <w:r>
              <w:rPr>
                <w:sz w:val="22"/>
                <w:lang w:eastAsia="en-US"/>
              </w:rPr>
              <w:t xml:space="preserve">Atsakas į </w:t>
            </w:r>
            <w:proofErr w:type="spellStart"/>
            <w:r>
              <w:rPr>
                <w:sz w:val="22"/>
                <w:lang w:eastAsia="en-US"/>
              </w:rPr>
              <w:t>revakcinaciją</w:t>
            </w:r>
            <w:proofErr w:type="spellEnd"/>
            <w:r>
              <w:rPr>
                <w:sz w:val="22"/>
                <w:vertAlign w:val="superscript"/>
                <w:lang w:eastAsia="en-US"/>
              </w:rPr>
              <w:t xml:space="preserve"> (3)</w:t>
            </w:r>
          </w:p>
        </w:tc>
        <w:tc>
          <w:tcPr>
            <w:tcW w:w="1280" w:type="pct"/>
            <w:tcBorders>
              <w:top w:val="single" w:sz="4" w:space="0" w:color="auto"/>
              <w:left w:val="single" w:sz="4" w:space="0" w:color="auto"/>
              <w:bottom w:val="nil"/>
              <w:right w:val="single" w:sz="4" w:space="0" w:color="auto"/>
            </w:tcBorders>
            <w:vAlign w:val="center"/>
          </w:tcPr>
          <w:p w14:paraId="015DA23A" w14:textId="77777777" w:rsidR="00CA2E41" w:rsidRDefault="00CA2E41" w:rsidP="00E30FAC">
            <w:pPr>
              <w:keepNext/>
              <w:tabs>
                <w:tab w:val="clear" w:pos="567"/>
                <w:tab w:val="left" w:pos="1296"/>
              </w:tabs>
              <w:spacing w:line="256" w:lineRule="auto"/>
              <w:rPr>
                <w:sz w:val="22"/>
                <w:lang w:eastAsia="en-US"/>
              </w:rPr>
            </w:pPr>
          </w:p>
        </w:tc>
        <w:tc>
          <w:tcPr>
            <w:tcW w:w="1339" w:type="pct"/>
            <w:tcBorders>
              <w:top w:val="single" w:sz="4" w:space="0" w:color="auto"/>
              <w:left w:val="single" w:sz="4" w:space="0" w:color="auto"/>
              <w:bottom w:val="nil"/>
              <w:right w:val="single" w:sz="4" w:space="0" w:color="auto"/>
            </w:tcBorders>
            <w:vAlign w:val="center"/>
          </w:tcPr>
          <w:p w14:paraId="00253EED" w14:textId="77777777" w:rsidR="00CA2E41" w:rsidRDefault="00CA2E41" w:rsidP="00E30FAC">
            <w:pPr>
              <w:keepNext/>
              <w:tabs>
                <w:tab w:val="clear" w:pos="567"/>
                <w:tab w:val="left" w:pos="1296"/>
              </w:tabs>
              <w:spacing w:line="256" w:lineRule="auto"/>
              <w:rPr>
                <w:sz w:val="22"/>
                <w:lang w:eastAsia="en-US"/>
              </w:rPr>
            </w:pPr>
          </w:p>
        </w:tc>
      </w:tr>
      <w:tr w:rsidR="00DB3AA4" w14:paraId="2E5DD1DA" w14:textId="77777777" w:rsidTr="00CA2E41">
        <w:trPr>
          <w:trHeight w:val="214"/>
        </w:trPr>
        <w:tc>
          <w:tcPr>
            <w:tcW w:w="1341" w:type="pct"/>
            <w:tcBorders>
              <w:top w:val="nil"/>
              <w:left w:val="single" w:sz="4" w:space="0" w:color="auto"/>
              <w:bottom w:val="nil"/>
              <w:right w:val="single" w:sz="4" w:space="0" w:color="auto"/>
            </w:tcBorders>
            <w:shd w:val="clear" w:color="auto" w:fill="F2F2F2"/>
            <w:vAlign w:val="center"/>
            <w:hideMark/>
          </w:tcPr>
          <w:p w14:paraId="001421C1" w14:textId="77777777" w:rsidR="00CA2E41" w:rsidRDefault="00CA2E41" w:rsidP="00E30FAC">
            <w:pPr>
              <w:keepNext/>
              <w:tabs>
                <w:tab w:val="left" w:pos="142"/>
              </w:tabs>
              <w:spacing w:line="256" w:lineRule="auto"/>
              <w:ind w:left="142"/>
              <w:rPr>
                <w:sz w:val="22"/>
                <w:lang w:eastAsia="en-US"/>
              </w:rPr>
            </w:pPr>
            <w:r>
              <w:rPr>
                <w:sz w:val="22"/>
                <w:lang w:eastAsia="en-US"/>
              </w:rPr>
              <w:t xml:space="preserve">Kokliušo </w:t>
            </w:r>
            <w:proofErr w:type="spellStart"/>
            <w:r>
              <w:rPr>
                <w:sz w:val="22"/>
                <w:lang w:eastAsia="en-US"/>
              </w:rPr>
              <w:t>anatoksinas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F8D62" w14:textId="77777777" w:rsidR="00CA2E41" w:rsidRDefault="00CA2E41" w:rsidP="00E30FAC">
            <w:pPr>
              <w:tabs>
                <w:tab w:val="clear" w:pos="567"/>
              </w:tabs>
              <w:spacing w:line="256" w:lineRule="auto"/>
              <w:rPr>
                <w:sz w:val="22"/>
                <w:lang w:eastAsia="en-US"/>
              </w:rPr>
            </w:pPr>
          </w:p>
        </w:tc>
        <w:tc>
          <w:tcPr>
            <w:tcW w:w="1280" w:type="pct"/>
            <w:tcBorders>
              <w:top w:val="nil"/>
              <w:left w:val="single" w:sz="4" w:space="0" w:color="auto"/>
              <w:bottom w:val="nil"/>
              <w:right w:val="single" w:sz="4" w:space="0" w:color="auto"/>
            </w:tcBorders>
            <w:vAlign w:val="center"/>
            <w:hideMark/>
          </w:tcPr>
          <w:p w14:paraId="2FBF98C8" w14:textId="60B1BE4F" w:rsidR="00CA2E41" w:rsidRDefault="00CA2E41" w:rsidP="00E30FAC">
            <w:pPr>
              <w:keepNext/>
              <w:tabs>
                <w:tab w:val="clear" w:pos="567"/>
                <w:tab w:val="left" w:pos="1296"/>
              </w:tabs>
              <w:spacing w:line="256" w:lineRule="auto"/>
              <w:jc w:val="center"/>
              <w:rPr>
                <w:sz w:val="22"/>
                <w:lang w:eastAsia="ja-JP"/>
              </w:rPr>
            </w:pPr>
            <w:r>
              <w:rPr>
                <w:sz w:val="22"/>
                <w:lang w:eastAsia="ja-JP"/>
              </w:rPr>
              <w:t>84,6 – 90,6</w:t>
            </w:r>
            <w:r w:rsidR="00E56AEA">
              <w:rPr>
                <w:sz w:val="22"/>
                <w:lang w:eastAsia="ja-JP"/>
              </w:rPr>
              <w:t> </w:t>
            </w:r>
            <w:r>
              <w:rPr>
                <w:sz w:val="22"/>
                <w:lang w:eastAsia="ja-JP"/>
              </w:rPr>
              <w:t>%</w:t>
            </w:r>
          </w:p>
        </w:tc>
        <w:tc>
          <w:tcPr>
            <w:tcW w:w="1339" w:type="pct"/>
            <w:tcBorders>
              <w:top w:val="nil"/>
              <w:left w:val="single" w:sz="4" w:space="0" w:color="auto"/>
              <w:bottom w:val="nil"/>
              <w:right w:val="single" w:sz="4" w:space="0" w:color="auto"/>
            </w:tcBorders>
            <w:vAlign w:val="center"/>
            <w:hideMark/>
          </w:tcPr>
          <w:p w14:paraId="64551043" w14:textId="1C67C21B" w:rsidR="00CA2E41" w:rsidRDefault="00CA2E41" w:rsidP="00E30FAC">
            <w:pPr>
              <w:keepNext/>
              <w:tabs>
                <w:tab w:val="clear" w:pos="567"/>
                <w:tab w:val="left" w:pos="1296"/>
              </w:tabs>
              <w:spacing w:line="256" w:lineRule="auto"/>
              <w:jc w:val="center"/>
              <w:rPr>
                <w:sz w:val="22"/>
                <w:lang w:eastAsia="en-US"/>
              </w:rPr>
            </w:pPr>
            <w:r>
              <w:rPr>
                <w:sz w:val="22"/>
                <w:lang w:eastAsia="en-US"/>
              </w:rPr>
              <w:t>79,8 – 94,0</w:t>
            </w:r>
            <w:r w:rsidR="00E56AEA">
              <w:rPr>
                <w:sz w:val="22"/>
                <w:lang w:eastAsia="en-US"/>
              </w:rPr>
              <w:t> </w:t>
            </w:r>
            <w:r>
              <w:rPr>
                <w:sz w:val="22"/>
                <w:lang w:eastAsia="en-US"/>
              </w:rPr>
              <w:t>%</w:t>
            </w:r>
          </w:p>
        </w:tc>
      </w:tr>
      <w:tr w:rsidR="00DB3AA4" w14:paraId="7D5E3DE6" w14:textId="77777777" w:rsidTr="00CA2E41">
        <w:trPr>
          <w:trHeight w:val="565"/>
        </w:trPr>
        <w:tc>
          <w:tcPr>
            <w:tcW w:w="1341" w:type="pct"/>
            <w:tcBorders>
              <w:top w:val="nil"/>
              <w:left w:val="single" w:sz="4" w:space="0" w:color="auto"/>
              <w:bottom w:val="nil"/>
              <w:right w:val="single" w:sz="4" w:space="0" w:color="auto"/>
            </w:tcBorders>
            <w:shd w:val="clear" w:color="auto" w:fill="F2F2F2"/>
            <w:vAlign w:val="center"/>
            <w:hideMark/>
          </w:tcPr>
          <w:p w14:paraId="6048672B" w14:textId="77777777" w:rsidR="00CA2E41" w:rsidRDefault="00CA2E41" w:rsidP="00E30FAC">
            <w:pPr>
              <w:keepNext/>
              <w:tabs>
                <w:tab w:val="left" w:pos="142"/>
              </w:tabs>
              <w:spacing w:line="256" w:lineRule="auto"/>
              <w:ind w:left="142"/>
              <w:rPr>
                <w:sz w:val="22"/>
                <w:lang w:eastAsia="en-US"/>
              </w:rPr>
            </w:pPr>
            <w:proofErr w:type="spellStart"/>
            <w:r>
              <w:rPr>
                <w:sz w:val="22"/>
                <w:lang w:eastAsia="en-US"/>
              </w:rPr>
              <w:t>Filamentinis</w:t>
            </w:r>
            <w:proofErr w:type="spellEnd"/>
            <w:r>
              <w:rPr>
                <w:sz w:val="22"/>
                <w:lang w:eastAsia="en-US"/>
              </w:rPr>
              <w:t xml:space="preserve">      </w:t>
            </w:r>
          </w:p>
          <w:p w14:paraId="54AAC7B1" w14:textId="77777777" w:rsidR="00CA2E41" w:rsidRDefault="00CA2E41" w:rsidP="00E30FAC">
            <w:pPr>
              <w:keepNext/>
              <w:tabs>
                <w:tab w:val="left" w:pos="142"/>
              </w:tabs>
              <w:spacing w:line="256" w:lineRule="auto"/>
              <w:ind w:left="142"/>
              <w:rPr>
                <w:sz w:val="22"/>
                <w:lang w:eastAsia="en-US"/>
              </w:rPr>
            </w:pPr>
            <w:r>
              <w:rPr>
                <w:sz w:val="22"/>
                <w:lang w:eastAsia="en-US"/>
              </w:rPr>
              <w:t xml:space="preserve">   </w:t>
            </w:r>
            <w:proofErr w:type="spellStart"/>
            <w:r>
              <w:rPr>
                <w:sz w:val="22"/>
                <w:lang w:eastAsia="en-US"/>
              </w:rPr>
              <w:t>hemagliutininas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BBC0CC" w14:textId="77777777" w:rsidR="00CA2E41" w:rsidRDefault="00CA2E41" w:rsidP="00E30FAC">
            <w:pPr>
              <w:tabs>
                <w:tab w:val="clear" w:pos="567"/>
              </w:tabs>
              <w:spacing w:line="256" w:lineRule="auto"/>
              <w:rPr>
                <w:sz w:val="22"/>
                <w:lang w:eastAsia="en-US"/>
              </w:rPr>
            </w:pPr>
          </w:p>
        </w:tc>
        <w:tc>
          <w:tcPr>
            <w:tcW w:w="1280" w:type="pct"/>
            <w:tcBorders>
              <w:top w:val="nil"/>
              <w:left w:val="single" w:sz="4" w:space="0" w:color="auto"/>
              <w:bottom w:val="nil"/>
              <w:right w:val="single" w:sz="4" w:space="0" w:color="auto"/>
            </w:tcBorders>
            <w:vAlign w:val="center"/>
            <w:hideMark/>
          </w:tcPr>
          <w:p w14:paraId="5BE01060" w14:textId="1DDEB4AB" w:rsidR="00CA2E41" w:rsidRDefault="00CA2E41" w:rsidP="00E30FAC">
            <w:pPr>
              <w:keepNext/>
              <w:tabs>
                <w:tab w:val="clear" w:pos="567"/>
                <w:tab w:val="left" w:pos="1296"/>
              </w:tabs>
              <w:spacing w:line="256" w:lineRule="auto"/>
              <w:jc w:val="center"/>
              <w:rPr>
                <w:sz w:val="22"/>
                <w:lang w:eastAsia="en-US"/>
              </w:rPr>
            </w:pPr>
            <w:r>
              <w:rPr>
                <w:sz w:val="22"/>
                <w:lang w:eastAsia="en-US"/>
              </w:rPr>
              <w:t>90,1 – 98,8</w:t>
            </w:r>
            <w:r w:rsidR="00E56AEA">
              <w:rPr>
                <w:sz w:val="22"/>
                <w:lang w:eastAsia="en-US"/>
              </w:rPr>
              <w:t> </w:t>
            </w:r>
            <w:r>
              <w:rPr>
                <w:sz w:val="22"/>
                <w:lang w:eastAsia="en-US"/>
              </w:rPr>
              <w:t>%</w:t>
            </w:r>
          </w:p>
        </w:tc>
        <w:tc>
          <w:tcPr>
            <w:tcW w:w="1339" w:type="pct"/>
            <w:tcBorders>
              <w:top w:val="nil"/>
              <w:left w:val="single" w:sz="4" w:space="0" w:color="auto"/>
              <w:bottom w:val="nil"/>
              <w:right w:val="single" w:sz="4" w:space="0" w:color="auto"/>
            </w:tcBorders>
            <w:vAlign w:val="center"/>
            <w:hideMark/>
          </w:tcPr>
          <w:p w14:paraId="3DE10A8B" w14:textId="538E37EF" w:rsidR="00CA2E41" w:rsidRDefault="00CA2E41" w:rsidP="00E30FAC">
            <w:pPr>
              <w:keepNext/>
              <w:tabs>
                <w:tab w:val="clear" w:pos="567"/>
                <w:tab w:val="left" w:pos="1296"/>
              </w:tabs>
              <w:spacing w:line="256" w:lineRule="auto"/>
              <w:jc w:val="center"/>
              <w:rPr>
                <w:sz w:val="22"/>
                <w:lang w:eastAsia="en-US"/>
              </w:rPr>
            </w:pPr>
            <w:r>
              <w:rPr>
                <w:sz w:val="22"/>
                <w:lang w:eastAsia="en-US"/>
              </w:rPr>
              <w:t>90,7 – 97,2</w:t>
            </w:r>
            <w:r w:rsidR="00E56AEA">
              <w:rPr>
                <w:sz w:val="22"/>
                <w:lang w:eastAsia="en-US"/>
              </w:rPr>
              <w:t> </w:t>
            </w:r>
            <w:r>
              <w:rPr>
                <w:sz w:val="22"/>
                <w:lang w:eastAsia="en-US"/>
              </w:rPr>
              <w:t>%</w:t>
            </w:r>
          </w:p>
        </w:tc>
      </w:tr>
      <w:tr w:rsidR="00DB3AA4" w14:paraId="0EDB31A4" w14:textId="77777777" w:rsidTr="00CA2E41">
        <w:trPr>
          <w:trHeight w:val="301"/>
        </w:trPr>
        <w:tc>
          <w:tcPr>
            <w:tcW w:w="1341" w:type="pct"/>
            <w:tcBorders>
              <w:top w:val="nil"/>
              <w:left w:val="single" w:sz="4" w:space="0" w:color="auto"/>
              <w:bottom w:val="single" w:sz="4" w:space="0" w:color="auto"/>
              <w:right w:val="single" w:sz="4" w:space="0" w:color="auto"/>
            </w:tcBorders>
            <w:shd w:val="clear" w:color="auto" w:fill="F2F2F2"/>
            <w:vAlign w:val="center"/>
            <w:hideMark/>
          </w:tcPr>
          <w:p w14:paraId="2379A4BB" w14:textId="77777777" w:rsidR="00CA2E41" w:rsidRDefault="00CA2E41" w:rsidP="00E30FAC">
            <w:pPr>
              <w:keepNext/>
              <w:tabs>
                <w:tab w:val="clear" w:pos="567"/>
                <w:tab w:val="left" w:pos="1296"/>
              </w:tabs>
              <w:spacing w:line="256" w:lineRule="auto"/>
              <w:ind w:left="142"/>
              <w:rPr>
                <w:sz w:val="22"/>
                <w:lang w:eastAsia="en-US"/>
              </w:rPr>
            </w:pPr>
            <w:proofErr w:type="spellStart"/>
            <w:r>
              <w:rPr>
                <w:sz w:val="22"/>
                <w:lang w:eastAsia="en-US"/>
              </w:rPr>
              <w:t>Pertaktinas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15D4C" w14:textId="77777777" w:rsidR="00CA2E41" w:rsidRDefault="00CA2E41" w:rsidP="00E30FAC">
            <w:pPr>
              <w:tabs>
                <w:tab w:val="clear" w:pos="567"/>
              </w:tabs>
              <w:spacing w:line="256" w:lineRule="auto"/>
              <w:rPr>
                <w:sz w:val="22"/>
                <w:lang w:eastAsia="en-US"/>
              </w:rPr>
            </w:pPr>
          </w:p>
        </w:tc>
        <w:tc>
          <w:tcPr>
            <w:tcW w:w="1280" w:type="pct"/>
            <w:tcBorders>
              <w:top w:val="nil"/>
              <w:left w:val="single" w:sz="4" w:space="0" w:color="auto"/>
              <w:bottom w:val="single" w:sz="4" w:space="0" w:color="auto"/>
              <w:right w:val="single" w:sz="4" w:space="0" w:color="auto"/>
            </w:tcBorders>
            <w:vAlign w:val="center"/>
            <w:hideMark/>
          </w:tcPr>
          <w:p w14:paraId="0B54EB67" w14:textId="03C5C10B" w:rsidR="00CA2E41" w:rsidRDefault="00CA2E41" w:rsidP="00E30FAC">
            <w:pPr>
              <w:keepNext/>
              <w:tabs>
                <w:tab w:val="clear" w:pos="567"/>
                <w:tab w:val="left" w:pos="1296"/>
              </w:tabs>
              <w:spacing w:line="256" w:lineRule="auto"/>
              <w:jc w:val="center"/>
              <w:rPr>
                <w:sz w:val="22"/>
                <w:lang w:eastAsia="en-US"/>
              </w:rPr>
            </w:pPr>
            <w:r>
              <w:rPr>
                <w:sz w:val="22"/>
                <w:lang w:eastAsia="en-US"/>
              </w:rPr>
              <w:t>94,2 – 96,6</w:t>
            </w:r>
            <w:r w:rsidR="00E56AEA">
              <w:rPr>
                <w:sz w:val="22"/>
                <w:lang w:eastAsia="en-US"/>
              </w:rPr>
              <w:t> </w:t>
            </w:r>
            <w:r>
              <w:rPr>
                <w:sz w:val="22"/>
                <w:lang w:eastAsia="en-US"/>
              </w:rPr>
              <w:t>%</w:t>
            </w:r>
          </w:p>
        </w:tc>
        <w:tc>
          <w:tcPr>
            <w:tcW w:w="1339" w:type="pct"/>
            <w:tcBorders>
              <w:top w:val="nil"/>
              <w:left w:val="single" w:sz="4" w:space="0" w:color="auto"/>
              <w:bottom w:val="single" w:sz="4" w:space="0" w:color="auto"/>
              <w:right w:val="single" w:sz="4" w:space="0" w:color="auto"/>
            </w:tcBorders>
            <w:vAlign w:val="center"/>
            <w:hideMark/>
          </w:tcPr>
          <w:p w14:paraId="53D78A23" w14:textId="1204B986" w:rsidR="00CA2E41" w:rsidRDefault="00CA2E41" w:rsidP="00E30FAC">
            <w:pPr>
              <w:keepNext/>
              <w:tabs>
                <w:tab w:val="clear" w:pos="567"/>
                <w:tab w:val="left" w:pos="1296"/>
              </w:tabs>
              <w:spacing w:line="256" w:lineRule="auto"/>
              <w:jc w:val="center"/>
              <w:rPr>
                <w:sz w:val="22"/>
                <w:lang w:eastAsia="en-US"/>
              </w:rPr>
            </w:pPr>
            <w:r>
              <w:rPr>
                <w:sz w:val="22"/>
                <w:lang w:eastAsia="en-US"/>
              </w:rPr>
              <w:t>90,0 – 96,7</w:t>
            </w:r>
            <w:r w:rsidR="00E56AEA">
              <w:rPr>
                <w:sz w:val="22"/>
                <w:lang w:eastAsia="en-US"/>
              </w:rPr>
              <w:t> </w:t>
            </w:r>
            <w:r>
              <w:rPr>
                <w:sz w:val="22"/>
                <w:lang w:eastAsia="en-US"/>
              </w:rPr>
              <w:t>%</w:t>
            </w:r>
          </w:p>
        </w:tc>
      </w:tr>
      <w:tr w:rsidR="00DB3AA4" w14:paraId="504C5899" w14:textId="77777777" w:rsidTr="00CA2E41">
        <w:trPr>
          <w:trHeight w:val="376"/>
        </w:trPr>
        <w:tc>
          <w:tcPr>
            <w:tcW w:w="1341" w:type="pct"/>
            <w:tcBorders>
              <w:top w:val="single" w:sz="4" w:space="0" w:color="auto"/>
              <w:left w:val="single" w:sz="4" w:space="0" w:color="auto"/>
              <w:bottom w:val="nil"/>
              <w:right w:val="single" w:sz="4" w:space="0" w:color="auto"/>
            </w:tcBorders>
            <w:shd w:val="clear" w:color="auto" w:fill="F2F2F2"/>
            <w:vAlign w:val="center"/>
            <w:hideMark/>
          </w:tcPr>
          <w:p w14:paraId="0A0C1AA7" w14:textId="77777777" w:rsidR="00CA2E41" w:rsidRDefault="00CA2E41" w:rsidP="00E30FAC">
            <w:pPr>
              <w:keepNext/>
              <w:tabs>
                <w:tab w:val="clear" w:pos="567"/>
                <w:tab w:val="left" w:pos="1296"/>
              </w:tabs>
              <w:spacing w:line="256" w:lineRule="auto"/>
              <w:rPr>
                <w:b/>
                <w:sz w:val="22"/>
                <w:lang w:eastAsia="en-US"/>
              </w:rPr>
            </w:pPr>
            <w:proofErr w:type="spellStart"/>
            <w:r>
              <w:rPr>
                <w:b/>
                <w:sz w:val="22"/>
                <w:lang w:eastAsia="en-US"/>
              </w:rPr>
              <w:t>Inaktyvuotas</w:t>
            </w:r>
            <w:proofErr w:type="spellEnd"/>
            <w:r>
              <w:rPr>
                <w:b/>
                <w:sz w:val="22"/>
                <w:lang w:eastAsia="en-US"/>
              </w:rPr>
              <w:t xml:space="preserve"> </w:t>
            </w:r>
            <w:proofErr w:type="spellStart"/>
            <w:r>
              <w:rPr>
                <w:b/>
                <w:sz w:val="22"/>
                <w:lang w:eastAsia="en-US"/>
              </w:rPr>
              <w:t>poliovirusas</w:t>
            </w:r>
            <w:proofErr w:type="spellEnd"/>
          </w:p>
        </w:tc>
        <w:tc>
          <w:tcPr>
            <w:tcW w:w="1040" w:type="pct"/>
            <w:vMerge w:val="restart"/>
            <w:tcBorders>
              <w:top w:val="single" w:sz="4" w:space="0" w:color="auto"/>
              <w:left w:val="single" w:sz="4" w:space="0" w:color="auto"/>
              <w:bottom w:val="single" w:sz="4" w:space="0" w:color="auto"/>
              <w:right w:val="single" w:sz="4" w:space="0" w:color="auto"/>
            </w:tcBorders>
            <w:vAlign w:val="center"/>
            <w:hideMark/>
          </w:tcPr>
          <w:p w14:paraId="0D672361" w14:textId="77777777" w:rsidR="00CA2E41" w:rsidRDefault="00CA2E41" w:rsidP="00E30FAC">
            <w:pPr>
              <w:keepNext/>
              <w:tabs>
                <w:tab w:val="clear" w:pos="567"/>
                <w:tab w:val="left" w:pos="1296"/>
              </w:tabs>
              <w:spacing w:line="256" w:lineRule="auto"/>
              <w:jc w:val="center"/>
              <w:rPr>
                <w:sz w:val="22"/>
                <w:lang w:eastAsia="en-US"/>
              </w:rPr>
            </w:pPr>
            <w:r>
              <w:rPr>
                <w:sz w:val="22"/>
                <w:lang w:eastAsia="en-US"/>
              </w:rPr>
              <w:sym w:font="Symbol" w:char="F0B3"/>
            </w:r>
            <w:r>
              <w:rPr>
                <w:sz w:val="22"/>
                <w:lang w:eastAsia="en-US"/>
              </w:rPr>
              <w:t xml:space="preserve"> 8 ED</w:t>
            </w:r>
            <w:r>
              <w:rPr>
                <w:sz w:val="22"/>
                <w:vertAlign w:val="subscript"/>
                <w:lang w:eastAsia="en-US"/>
              </w:rPr>
              <w:t>50</w:t>
            </w:r>
          </w:p>
        </w:tc>
        <w:tc>
          <w:tcPr>
            <w:tcW w:w="1280" w:type="pct"/>
            <w:tcBorders>
              <w:top w:val="single" w:sz="4" w:space="0" w:color="auto"/>
              <w:left w:val="single" w:sz="4" w:space="0" w:color="auto"/>
              <w:bottom w:val="nil"/>
              <w:right w:val="single" w:sz="4" w:space="0" w:color="auto"/>
            </w:tcBorders>
          </w:tcPr>
          <w:p w14:paraId="48C5083F" w14:textId="77777777" w:rsidR="00CA2E41" w:rsidRDefault="00CA2E41" w:rsidP="00E30FAC">
            <w:pPr>
              <w:keepNext/>
              <w:tabs>
                <w:tab w:val="clear" w:pos="567"/>
                <w:tab w:val="left" w:pos="1296"/>
              </w:tabs>
              <w:spacing w:line="256" w:lineRule="auto"/>
              <w:jc w:val="center"/>
              <w:rPr>
                <w:sz w:val="22"/>
                <w:highlight w:val="yellow"/>
                <w:lang w:eastAsia="en-US"/>
              </w:rPr>
            </w:pPr>
          </w:p>
        </w:tc>
        <w:tc>
          <w:tcPr>
            <w:tcW w:w="1339" w:type="pct"/>
            <w:tcBorders>
              <w:top w:val="single" w:sz="4" w:space="0" w:color="auto"/>
              <w:left w:val="single" w:sz="4" w:space="0" w:color="auto"/>
              <w:bottom w:val="nil"/>
              <w:right w:val="single" w:sz="4" w:space="0" w:color="auto"/>
            </w:tcBorders>
          </w:tcPr>
          <w:p w14:paraId="49DA21B7" w14:textId="77777777" w:rsidR="00CA2E41" w:rsidRDefault="00CA2E41" w:rsidP="00E30FAC">
            <w:pPr>
              <w:keepNext/>
              <w:tabs>
                <w:tab w:val="clear" w:pos="567"/>
                <w:tab w:val="left" w:pos="1296"/>
              </w:tabs>
              <w:spacing w:line="256" w:lineRule="auto"/>
              <w:rPr>
                <w:sz w:val="22"/>
                <w:highlight w:val="yellow"/>
                <w:lang w:eastAsia="en-US"/>
              </w:rPr>
            </w:pPr>
          </w:p>
        </w:tc>
      </w:tr>
      <w:tr w:rsidR="00DB3AA4" w14:paraId="1A94B96D" w14:textId="77777777" w:rsidTr="00CA2E41">
        <w:trPr>
          <w:trHeight w:val="287"/>
        </w:trPr>
        <w:tc>
          <w:tcPr>
            <w:tcW w:w="1341" w:type="pct"/>
            <w:tcBorders>
              <w:top w:val="nil"/>
              <w:left w:val="single" w:sz="4" w:space="0" w:color="auto"/>
              <w:bottom w:val="nil"/>
              <w:right w:val="single" w:sz="4" w:space="0" w:color="auto"/>
            </w:tcBorders>
            <w:shd w:val="clear" w:color="auto" w:fill="F2F2F2"/>
            <w:vAlign w:val="center"/>
            <w:hideMark/>
          </w:tcPr>
          <w:p w14:paraId="1BEFCDBC" w14:textId="77777777" w:rsidR="00CA2E41" w:rsidRDefault="00CA2E41" w:rsidP="00E30FAC">
            <w:pPr>
              <w:keepNext/>
              <w:tabs>
                <w:tab w:val="clear" w:pos="567"/>
                <w:tab w:val="left" w:pos="1296"/>
              </w:tabs>
              <w:spacing w:line="256" w:lineRule="auto"/>
              <w:ind w:left="142"/>
              <w:rPr>
                <w:sz w:val="22"/>
                <w:lang w:eastAsia="en-US"/>
              </w:rPr>
            </w:pPr>
            <w:r>
              <w:rPr>
                <w:sz w:val="22"/>
                <w:lang w:eastAsia="en-US"/>
              </w:rPr>
              <w:t>1 tipo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46B34" w14:textId="77777777" w:rsidR="00CA2E41" w:rsidRDefault="00CA2E41" w:rsidP="00E30FAC">
            <w:pPr>
              <w:tabs>
                <w:tab w:val="clear" w:pos="567"/>
              </w:tabs>
              <w:spacing w:line="256" w:lineRule="auto"/>
              <w:rPr>
                <w:sz w:val="22"/>
                <w:lang w:eastAsia="en-US"/>
              </w:rPr>
            </w:pPr>
          </w:p>
        </w:tc>
        <w:tc>
          <w:tcPr>
            <w:tcW w:w="1280" w:type="pct"/>
            <w:tcBorders>
              <w:top w:val="nil"/>
              <w:left w:val="single" w:sz="4" w:space="0" w:color="auto"/>
              <w:bottom w:val="nil"/>
              <w:right w:val="single" w:sz="4" w:space="0" w:color="auto"/>
            </w:tcBorders>
            <w:vAlign w:val="center"/>
            <w:hideMark/>
          </w:tcPr>
          <w:p w14:paraId="798195C9" w14:textId="548B69F5" w:rsidR="00CA2E41" w:rsidRDefault="00CA2E41" w:rsidP="00E30FAC">
            <w:pPr>
              <w:keepNext/>
              <w:tabs>
                <w:tab w:val="clear" w:pos="567"/>
                <w:tab w:val="left" w:pos="1296"/>
              </w:tabs>
              <w:spacing w:line="256" w:lineRule="auto"/>
              <w:jc w:val="center"/>
              <w:rPr>
                <w:sz w:val="22"/>
                <w:lang w:eastAsia="en-US"/>
              </w:rPr>
            </w:pPr>
            <w:r>
              <w:rPr>
                <w:sz w:val="22"/>
                <w:lang w:eastAsia="en-US"/>
              </w:rPr>
              <w:t>98,8 – 100</w:t>
            </w:r>
            <w:r w:rsidR="00E56AEA">
              <w:rPr>
                <w:sz w:val="22"/>
                <w:lang w:eastAsia="en-US"/>
              </w:rPr>
              <w:t> </w:t>
            </w:r>
            <w:r>
              <w:rPr>
                <w:sz w:val="22"/>
                <w:lang w:eastAsia="en-US"/>
              </w:rPr>
              <w:t>%</w:t>
            </w:r>
          </w:p>
        </w:tc>
        <w:tc>
          <w:tcPr>
            <w:tcW w:w="1339" w:type="pct"/>
            <w:tcBorders>
              <w:top w:val="nil"/>
              <w:left w:val="single" w:sz="4" w:space="0" w:color="auto"/>
              <w:bottom w:val="nil"/>
              <w:right w:val="single" w:sz="4" w:space="0" w:color="auto"/>
            </w:tcBorders>
            <w:vAlign w:val="center"/>
            <w:hideMark/>
          </w:tcPr>
          <w:p w14:paraId="7B5C2F6F" w14:textId="5A4DFA28" w:rsidR="00CA2E41" w:rsidRDefault="00CA2E41" w:rsidP="00E30FAC">
            <w:pPr>
              <w:keepNext/>
              <w:tabs>
                <w:tab w:val="clear" w:pos="567"/>
                <w:tab w:val="left" w:pos="1296"/>
              </w:tabs>
              <w:spacing w:line="256" w:lineRule="auto"/>
              <w:jc w:val="center"/>
              <w:rPr>
                <w:sz w:val="22"/>
                <w:lang w:eastAsia="en-US"/>
              </w:rPr>
            </w:pPr>
            <w:r>
              <w:rPr>
                <w:sz w:val="22"/>
                <w:lang w:eastAsia="en-US"/>
              </w:rPr>
              <w:t>99,6 – 100</w:t>
            </w:r>
            <w:r w:rsidR="00E56AEA">
              <w:rPr>
                <w:sz w:val="22"/>
                <w:lang w:eastAsia="en-US"/>
              </w:rPr>
              <w:t> </w:t>
            </w:r>
            <w:r>
              <w:rPr>
                <w:sz w:val="22"/>
                <w:lang w:eastAsia="en-US"/>
              </w:rPr>
              <w:t>%</w:t>
            </w:r>
          </w:p>
        </w:tc>
      </w:tr>
      <w:tr w:rsidR="00DB3AA4" w14:paraId="1282755D" w14:textId="77777777" w:rsidTr="00CA2E41">
        <w:trPr>
          <w:trHeight w:val="290"/>
        </w:trPr>
        <w:tc>
          <w:tcPr>
            <w:tcW w:w="1341" w:type="pct"/>
            <w:tcBorders>
              <w:top w:val="nil"/>
              <w:left w:val="single" w:sz="4" w:space="0" w:color="auto"/>
              <w:bottom w:val="nil"/>
              <w:right w:val="single" w:sz="4" w:space="0" w:color="auto"/>
            </w:tcBorders>
            <w:shd w:val="clear" w:color="auto" w:fill="F2F2F2"/>
            <w:vAlign w:val="center"/>
            <w:hideMark/>
          </w:tcPr>
          <w:p w14:paraId="569A4710" w14:textId="77777777" w:rsidR="00CA2E41" w:rsidRDefault="00CA2E41" w:rsidP="00E30FAC">
            <w:pPr>
              <w:keepNext/>
              <w:tabs>
                <w:tab w:val="clear" w:pos="567"/>
                <w:tab w:val="left" w:pos="1296"/>
              </w:tabs>
              <w:spacing w:line="256" w:lineRule="auto"/>
              <w:ind w:left="142"/>
              <w:rPr>
                <w:sz w:val="22"/>
                <w:lang w:eastAsia="en-US"/>
              </w:rPr>
            </w:pPr>
            <w:r>
              <w:rPr>
                <w:sz w:val="22"/>
                <w:lang w:eastAsia="en-US"/>
              </w:rPr>
              <w:t>2 tipo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5210D" w14:textId="77777777" w:rsidR="00CA2E41" w:rsidRDefault="00CA2E41" w:rsidP="00E30FAC">
            <w:pPr>
              <w:tabs>
                <w:tab w:val="clear" w:pos="567"/>
              </w:tabs>
              <w:spacing w:line="256" w:lineRule="auto"/>
              <w:rPr>
                <w:sz w:val="22"/>
                <w:lang w:eastAsia="en-US"/>
              </w:rPr>
            </w:pPr>
          </w:p>
        </w:tc>
        <w:tc>
          <w:tcPr>
            <w:tcW w:w="1280" w:type="pct"/>
            <w:tcBorders>
              <w:top w:val="nil"/>
              <w:left w:val="single" w:sz="4" w:space="0" w:color="auto"/>
              <w:bottom w:val="nil"/>
              <w:right w:val="single" w:sz="4" w:space="0" w:color="auto"/>
            </w:tcBorders>
            <w:vAlign w:val="center"/>
            <w:hideMark/>
          </w:tcPr>
          <w:p w14:paraId="14F1F3AD" w14:textId="036CC73B" w:rsidR="00CA2E41" w:rsidRDefault="00CA2E41" w:rsidP="00E30FAC">
            <w:pPr>
              <w:keepNext/>
              <w:tabs>
                <w:tab w:val="clear" w:pos="567"/>
                <w:tab w:val="left" w:pos="1296"/>
              </w:tabs>
              <w:spacing w:line="256" w:lineRule="auto"/>
              <w:jc w:val="center"/>
              <w:rPr>
                <w:sz w:val="22"/>
                <w:lang w:eastAsia="en-US"/>
              </w:rPr>
            </w:pPr>
            <w:r>
              <w:rPr>
                <w:sz w:val="22"/>
                <w:lang w:eastAsia="en-US"/>
              </w:rPr>
              <w:t>99,2 – 100</w:t>
            </w:r>
            <w:r w:rsidR="00E56AEA">
              <w:rPr>
                <w:sz w:val="22"/>
                <w:lang w:eastAsia="en-US"/>
              </w:rPr>
              <w:t> </w:t>
            </w:r>
            <w:r>
              <w:rPr>
                <w:sz w:val="22"/>
                <w:lang w:eastAsia="en-US"/>
              </w:rPr>
              <w:t>%</w:t>
            </w:r>
          </w:p>
        </w:tc>
        <w:tc>
          <w:tcPr>
            <w:tcW w:w="1339" w:type="pct"/>
            <w:tcBorders>
              <w:top w:val="nil"/>
              <w:left w:val="single" w:sz="4" w:space="0" w:color="auto"/>
              <w:bottom w:val="nil"/>
              <w:right w:val="single" w:sz="4" w:space="0" w:color="auto"/>
            </w:tcBorders>
            <w:vAlign w:val="center"/>
            <w:hideMark/>
          </w:tcPr>
          <w:p w14:paraId="211DE261" w14:textId="7C82BE5F" w:rsidR="00CA2E41" w:rsidRDefault="00CA2E41" w:rsidP="00E30FAC">
            <w:pPr>
              <w:keepNext/>
              <w:tabs>
                <w:tab w:val="clear" w:pos="567"/>
                <w:tab w:val="left" w:pos="1296"/>
              </w:tabs>
              <w:spacing w:line="256" w:lineRule="auto"/>
              <w:jc w:val="center"/>
              <w:rPr>
                <w:sz w:val="22"/>
                <w:lang w:eastAsia="en-US"/>
              </w:rPr>
            </w:pPr>
            <w:r>
              <w:rPr>
                <w:sz w:val="22"/>
                <w:lang w:eastAsia="en-US"/>
              </w:rPr>
              <w:t>99,6 – 100</w:t>
            </w:r>
            <w:r w:rsidR="00E56AEA">
              <w:rPr>
                <w:sz w:val="22"/>
                <w:lang w:eastAsia="en-US"/>
              </w:rPr>
              <w:t> </w:t>
            </w:r>
            <w:r>
              <w:rPr>
                <w:sz w:val="22"/>
                <w:lang w:eastAsia="en-US"/>
              </w:rPr>
              <w:t>%</w:t>
            </w:r>
          </w:p>
        </w:tc>
      </w:tr>
      <w:tr w:rsidR="00DB3AA4" w14:paraId="4A778528" w14:textId="77777777" w:rsidTr="00CA2E41">
        <w:trPr>
          <w:trHeight w:val="277"/>
        </w:trPr>
        <w:tc>
          <w:tcPr>
            <w:tcW w:w="1341" w:type="pct"/>
            <w:tcBorders>
              <w:top w:val="nil"/>
              <w:left w:val="single" w:sz="4" w:space="0" w:color="auto"/>
              <w:bottom w:val="single" w:sz="4" w:space="0" w:color="auto"/>
              <w:right w:val="single" w:sz="4" w:space="0" w:color="auto"/>
            </w:tcBorders>
            <w:shd w:val="clear" w:color="auto" w:fill="F2F2F2"/>
            <w:vAlign w:val="center"/>
            <w:hideMark/>
          </w:tcPr>
          <w:p w14:paraId="31DD2742" w14:textId="77777777" w:rsidR="00CA2E41" w:rsidRDefault="00CA2E41" w:rsidP="00E30FAC">
            <w:pPr>
              <w:keepNext/>
              <w:tabs>
                <w:tab w:val="clear" w:pos="567"/>
                <w:tab w:val="left" w:pos="1296"/>
              </w:tabs>
              <w:spacing w:line="256" w:lineRule="auto"/>
              <w:ind w:left="142"/>
              <w:rPr>
                <w:sz w:val="22"/>
                <w:lang w:eastAsia="en-US"/>
              </w:rPr>
            </w:pPr>
            <w:r>
              <w:rPr>
                <w:sz w:val="22"/>
                <w:lang w:eastAsia="en-US"/>
              </w:rPr>
              <w:t>3 tipo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7EAD8" w14:textId="77777777" w:rsidR="00CA2E41" w:rsidRDefault="00CA2E41" w:rsidP="00E30FAC">
            <w:pPr>
              <w:tabs>
                <w:tab w:val="clear" w:pos="567"/>
              </w:tabs>
              <w:spacing w:line="256" w:lineRule="auto"/>
              <w:rPr>
                <w:sz w:val="22"/>
                <w:lang w:eastAsia="en-US"/>
              </w:rPr>
            </w:pPr>
          </w:p>
        </w:tc>
        <w:tc>
          <w:tcPr>
            <w:tcW w:w="1280" w:type="pct"/>
            <w:tcBorders>
              <w:top w:val="nil"/>
              <w:left w:val="single" w:sz="4" w:space="0" w:color="auto"/>
              <w:bottom w:val="single" w:sz="4" w:space="0" w:color="auto"/>
              <w:right w:val="single" w:sz="4" w:space="0" w:color="auto"/>
            </w:tcBorders>
            <w:vAlign w:val="center"/>
            <w:hideMark/>
          </w:tcPr>
          <w:p w14:paraId="5839081B" w14:textId="7F23D322" w:rsidR="00CA2E41" w:rsidRDefault="00CA2E41" w:rsidP="00E30FAC">
            <w:pPr>
              <w:keepNext/>
              <w:tabs>
                <w:tab w:val="clear" w:pos="567"/>
                <w:tab w:val="left" w:pos="1296"/>
              </w:tabs>
              <w:spacing w:line="256" w:lineRule="auto"/>
              <w:jc w:val="center"/>
              <w:rPr>
                <w:sz w:val="22"/>
                <w:lang w:eastAsia="en-US"/>
              </w:rPr>
            </w:pPr>
            <w:r>
              <w:rPr>
                <w:sz w:val="22"/>
                <w:lang w:eastAsia="en-US"/>
              </w:rPr>
              <w:t>99,4 – 100</w:t>
            </w:r>
            <w:r w:rsidR="00E56AEA">
              <w:rPr>
                <w:sz w:val="22"/>
                <w:lang w:eastAsia="en-US"/>
              </w:rPr>
              <w:t> </w:t>
            </w:r>
            <w:r>
              <w:rPr>
                <w:sz w:val="22"/>
                <w:lang w:eastAsia="en-US"/>
              </w:rPr>
              <w:t>%</w:t>
            </w:r>
          </w:p>
        </w:tc>
        <w:tc>
          <w:tcPr>
            <w:tcW w:w="1339" w:type="pct"/>
            <w:tcBorders>
              <w:top w:val="nil"/>
              <w:left w:val="single" w:sz="4" w:space="0" w:color="auto"/>
              <w:bottom w:val="single" w:sz="4" w:space="0" w:color="auto"/>
              <w:right w:val="single" w:sz="4" w:space="0" w:color="auto"/>
            </w:tcBorders>
            <w:vAlign w:val="center"/>
            <w:hideMark/>
          </w:tcPr>
          <w:p w14:paraId="1EF8D106" w14:textId="3ECE4DA7" w:rsidR="00CA2E41" w:rsidRDefault="00CA2E41" w:rsidP="00E30FAC">
            <w:pPr>
              <w:keepNext/>
              <w:tabs>
                <w:tab w:val="clear" w:pos="567"/>
                <w:tab w:val="left" w:pos="1296"/>
              </w:tabs>
              <w:spacing w:line="256" w:lineRule="auto"/>
              <w:jc w:val="center"/>
              <w:rPr>
                <w:sz w:val="22"/>
                <w:lang w:eastAsia="en-US"/>
              </w:rPr>
            </w:pPr>
            <w:r>
              <w:rPr>
                <w:sz w:val="22"/>
                <w:lang w:eastAsia="en-US"/>
              </w:rPr>
              <w:t>99,1 – 100</w:t>
            </w:r>
            <w:r w:rsidR="00E56AEA">
              <w:rPr>
                <w:sz w:val="22"/>
                <w:lang w:eastAsia="en-US"/>
              </w:rPr>
              <w:t> </w:t>
            </w:r>
            <w:r>
              <w:rPr>
                <w:sz w:val="22"/>
                <w:lang w:eastAsia="en-US"/>
              </w:rPr>
              <w:t>%</w:t>
            </w:r>
          </w:p>
        </w:tc>
      </w:tr>
    </w:tbl>
    <w:p w14:paraId="663C2F4A" w14:textId="77777777" w:rsidR="00CA2E41" w:rsidRDefault="00CA2E41" w:rsidP="00402C81">
      <w:pPr>
        <w:keepNext/>
        <w:tabs>
          <w:tab w:val="clear" w:pos="567"/>
          <w:tab w:val="left" w:pos="1296"/>
        </w:tabs>
        <w:rPr>
          <w:sz w:val="20"/>
        </w:rPr>
      </w:pPr>
      <w:r>
        <w:rPr>
          <w:sz w:val="20"/>
        </w:rPr>
        <w:t>N = tiriamųjų skaičius.</w:t>
      </w:r>
    </w:p>
    <w:p w14:paraId="2DEF08F8" w14:textId="77777777" w:rsidR="00CA2E41" w:rsidRDefault="00CA2E41" w:rsidP="00402C81">
      <w:pPr>
        <w:keepNext/>
        <w:widowControl w:val="0"/>
        <w:numPr>
          <w:ilvl w:val="0"/>
          <w:numId w:val="6"/>
        </w:numPr>
        <w:tabs>
          <w:tab w:val="left" w:pos="284"/>
        </w:tabs>
        <w:adjustRightInd w:val="0"/>
        <w:ind w:left="284" w:hanging="284"/>
        <w:textAlignment w:val="baseline"/>
        <w:rPr>
          <w:sz w:val="20"/>
        </w:rPr>
      </w:pPr>
      <w:r>
        <w:rPr>
          <w:sz w:val="20"/>
        </w:rPr>
        <w:t>Procentinė dalis tiriamųjų, kurių antikūnų koncentracijos buvo susijusios su apsauga nuo ligos (</w:t>
      </w:r>
      <w:r>
        <w:rPr>
          <w:sz w:val="20"/>
        </w:rPr>
        <w:sym w:font="Symbol" w:char="F0B3"/>
      </w:r>
      <w:r>
        <w:rPr>
          <w:sz w:val="20"/>
        </w:rPr>
        <w:t xml:space="preserve"> 0,1 TV/ml atlikus ELISA tyrimą arba </w:t>
      </w:r>
      <w:r>
        <w:rPr>
          <w:sz w:val="20"/>
        </w:rPr>
        <w:sym w:font="Symbol" w:char="F0B3"/>
      </w:r>
      <w:r>
        <w:rPr>
          <w:sz w:val="20"/>
        </w:rPr>
        <w:t xml:space="preserve"> 0,016 TV/ml atlikus </w:t>
      </w:r>
      <w:r>
        <w:rPr>
          <w:i/>
          <w:sz w:val="20"/>
        </w:rPr>
        <w:t>VERO</w:t>
      </w:r>
      <w:r>
        <w:rPr>
          <w:sz w:val="20"/>
        </w:rPr>
        <w:t xml:space="preserve"> ląstelių neutralizacijos tyrimą</w:t>
      </w:r>
      <w:r>
        <w:rPr>
          <w:i/>
          <w:sz w:val="20"/>
        </w:rPr>
        <w:t xml:space="preserve"> </w:t>
      </w:r>
      <w:proofErr w:type="spellStart"/>
      <w:r>
        <w:rPr>
          <w:i/>
          <w:sz w:val="20"/>
        </w:rPr>
        <w:t>in</w:t>
      </w:r>
      <w:proofErr w:type="spellEnd"/>
      <w:r>
        <w:rPr>
          <w:i/>
          <w:sz w:val="20"/>
        </w:rPr>
        <w:t xml:space="preserve"> </w:t>
      </w:r>
      <w:proofErr w:type="spellStart"/>
      <w:r>
        <w:rPr>
          <w:i/>
          <w:sz w:val="20"/>
        </w:rPr>
        <w:t>vitro</w:t>
      </w:r>
      <w:proofErr w:type="spellEnd"/>
      <w:r>
        <w:rPr>
          <w:sz w:val="20"/>
        </w:rPr>
        <w:t>).</w:t>
      </w:r>
    </w:p>
    <w:p w14:paraId="4637D8D3" w14:textId="77777777" w:rsidR="00CA2E41" w:rsidRDefault="00CA2E41" w:rsidP="00E56AEA">
      <w:pPr>
        <w:keepNext/>
        <w:widowControl w:val="0"/>
        <w:numPr>
          <w:ilvl w:val="0"/>
          <w:numId w:val="6"/>
        </w:numPr>
        <w:tabs>
          <w:tab w:val="left" w:pos="284"/>
        </w:tabs>
        <w:adjustRightInd w:val="0"/>
        <w:ind w:left="284" w:hanging="284"/>
        <w:textAlignment w:val="baseline"/>
        <w:rPr>
          <w:sz w:val="20"/>
        </w:rPr>
      </w:pPr>
      <w:r>
        <w:rPr>
          <w:sz w:val="20"/>
        </w:rPr>
        <w:t>Ši analizė nebuvo atliekama HPV-042 tyrimo metu.</w:t>
      </w:r>
    </w:p>
    <w:p w14:paraId="67860279" w14:textId="77777777" w:rsidR="00CA2E41" w:rsidRDefault="00CA2E41" w:rsidP="00402C81">
      <w:pPr>
        <w:keepNext/>
        <w:widowControl w:val="0"/>
        <w:numPr>
          <w:ilvl w:val="0"/>
          <w:numId w:val="6"/>
        </w:numPr>
        <w:tabs>
          <w:tab w:val="left" w:pos="284"/>
        </w:tabs>
        <w:adjustRightInd w:val="0"/>
        <w:ind w:left="284" w:hanging="284"/>
        <w:textAlignment w:val="baseline"/>
        <w:rPr>
          <w:sz w:val="20"/>
        </w:rPr>
      </w:pPr>
      <w:r>
        <w:rPr>
          <w:sz w:val="20"/>
        </w:rPr>
        <w:t xml:space="preserve">Atsako į </w:t>
      </w:r>
      <w:proofErr w:type="spellStart"/>
      <w:r>
        <w:rPr>
          <w:sz w:val="20"/>
        </w:rPr>
        <w:t>revakcinaciją</w:t>
      </w:r>
      <w:proofErr w:type="spellEnd"/>
      <w:r>
        <w:rPr>
          <w:sz w:val="20"/>
        </w:rPr>
        <w:t xml:space="preserve"> apibūdinimas:</w:t>
      </w:r>
    </w:p>
    <w:p w14:paraId="1B19C469" w14:textId="77777777" w:rsidR="00CA2E41" w:rsidRDefault="00CA2E41" w:rsidP="00E56AEA">
      <w:pPr>
        <w:numPr>
          <w:ilvl w:val="0"/>
          <w:numId w:val="8"/>
        </w:numPr>
        <w:tabs>
          <w:tab w:val="clear" w:pos="567"/>
          <w:tab w:val="left" w:pos="709"/>
        </w:tabs>
        <w:rPr>
          <w:sz w:val="20"/>
        </w:rPr>
      </w:pPr>
      <w:r>
        <w:rPr>
          <w:sz w:val="20"/>
        </w:rPr>
        <w:t xml:space="preserve">Buvusiems </w:t>
      </w:r>
      <w:proofErr w:type="spellStart"/>
      <w:r>
        <w:rPr>
          <w:sz w:val="20"/>
        </w:rPr>
        <w:t>seroneigiamiems</w:t>
      </w:r>
      <w:proofErr w:type="spellEnd"/>
      <w:r>
        <w:rPr>
          <w:sz w:val="20"/>
        </w:rPr>
        <w:t xml:space="preserve"> tiriamiesiems antikūnų koncentracijos padidėja bent keturis kartus palyginus su vertėm iki skiepijimo (koncentracija po vakcinacijos ≥ 20 </w:t>
      </w:r>
      <w:proofErr w:type="spellStart"/>
      <w:r>
        <w:rPr>
          <w:sz w:val="20"/>
        </w:rPr>
        <w:t>El.V</w:t>
      </w:r>
      <w:proofErr w:type="spellEnd"/>
      <w:r>
        <w:rPr>
          <w:sz w:val="20"/>
        </w:rPr>
        <w:t>/ml);</w:t>
      </w:r>
    </w:p>
    <w:p w14:paraId="4690AB90" w14:textId="77777777" w:rsidR="00CA2E41" w:rsidRDefault="00CA2E41">
      <w:pPr>
        <w:numPr>
          <w:ilvl w:val="0"/>
          <w:numId w:val="8"/>
        </w:numPr>
        <w:tabs>
          <w:tab w:val="clear" w:pos="567"/>
          <w:tab w:val="left" w:pos="709"/>
        </w:tabs>
        <w:rPr>
          <w:sz w:val="20"/>
        </w:rPr>
      </w:pPr>
      <w:r>
        <w:rPr>
          <w:sz w:val="20"/>
        </w:rPr>
        <w:t xml:space="preserve">Buvusiems </w:t>
      </w:r>
      <w:proofErr w:type="spellStart"/>
      <w:r>
        <w:rPr>
          <w:sz w:val="20"/>
        </w:rPr>
        <w:t>seroteigiamiems</w:t>
      </w:r>
      <w:proofErr w:type="spellEnd"/>
      <w:r>
        <w:rPr>
          <w:sz w:val="20"/>
        </w:rPr>
        <w:t xml:space="preserve"> tiriamiesiems, kurių koncentracija prieš </w:t>
      </w:r>
      <w:proofErr w:type="spellStart"/>
      <w:r>
        <w:rPr>
          <w:sz w:val="20"/>
        </w:rPr>
        <w:t>revakcinaciją</w:t>
      </w:r>
      <w:proofErr w:type="spellEnd"/>
      <w:r>
        <w:rPr>
          <w:sz w:val="20"/>
        </w:rPr>
        <w:t xml:space="preserve"> ≥ 5 </w:t>
      </w:r>
      <w:proofErr w:type="spellStart"/>
      <w:r>
        <w:rPr>
          <w:sz w:val="20"/>
        </w:rPr>
        <w:t>El.V</w:t>
      </w:r>
      <w:proofErr w:type="spellEnd"/>
      <w:r>
        <w:rPr>
          <w:sz w:val="20"/>
        </w:rPr>
        <w:t>/ml - &lt; 20 </w:t>
      </w:r>
      <w:proofErr w:type="spellStart"/>
      <w:r>
        <w:rPr>
          <w:sz w:val="20"/>
        </w:rPr>
        <w:t>El.V</w:t>
      </w:r>
      <w:proofErr w:type="spellEnd"/>
      <w:r>
        <w:rPr>
          <w:sz w:val="20"/>
        </w:rPr>
        <w:t xml:space="preserve">/ml: antikūnų koncentracijos padidėja bent keturis kartus palyginus su vertėm iki </w:t>
      </w:r>
      <w:proofErr w:type="spellStart"/>
      <w:r>
        <w:rPr>
          <w:sz w:val="20"/>
        </w:rPr>
        <w:t>revakcinacijos</w:t>
      </w:r>
      <w:proofErr w:type="spellEnd"/>
      <w:r>
        <w:rPr>
          <w:sz w:val="20"/>
        </w:rPr>
        <w:t>;</w:t>
      </w:r>
    </w:p>
    <w:p w14:paraId="37128EBA" w14:textId="77777777" w:rsidR="00CA2E41" w:rsidRDefault="00CA2E41">
      <w:pPr>
        <w:numPr>
          <w:ilvl w:val="0"/>
          <w:numId w:val="8"/>
        </w:numPr>
        <w:tabs>
          <w:tab w:val="clear" w:pos="567"/>
          <w:tab w:val="left" w:pos="709"/>
        </w:tabs>
        <w:rPr>
          <w:sz w:val="20"/>
        </w:rPr>
      </w:pPr>
      <w:r>
        <w:rPr>
          <w:sz w:val="20"/>
        </w:rPr>
        <w:t xml:space="preserve">Buvusiems </w:t>
      </w:r>
      <w:proofErr w:type="spellStart"/>
      <w:r>
        <w:rPr>
          <w:sz w:val="20"/>
        </w:rPr>
        <w:t>seroteigiamiems</w:t>
      </w:r>
      <w:proofErr w:type="spellEnd"/>
      <w:r>
        <w:rPr>
          <w:sz w:val="20"/>
        </w:rPr>
        <w:t xml:space="preserve"> tiriamiesiems, kurių koncentracija prieš </w:t>
      </w:r>
      <w:proofErr w:type="spellStart"/>
      <w:r>
        <w:rPr>
          <w:sz w:val="20"/>
        </w:rPr>
        <w:t>revakcinaciją</w:t>
      </w:r>
      <w:proofErr w:type="spellEnd"/>
      <w:r>
        <w:rPr>
          <w:sz w:val="20"/>
        </w:rPr>
        <w:t xml:space="preserve"> ≥ 20 </w:t>
      </w:r>
      <w:proofErr w:type="spellStart"/>
      <w:r>
        <w:rPr>
          <w:sz w:val="20"/>
        </w:rPr>
        <w:t>El.V</w:t>
      </w:r>
      <w:proofErr w:type="spellEnd"/>
      <w:r>
        <w:rPr>
          <w:sz w:val="20"/>
        </w:rPr>
        <w:t xml:space="preserve">/ml: antikūnų koncentracijos padidėja bent du kartus palyginus su vertėm iki </w:t>
      </w:r>
      <w:proofErr w:type="spellStart"/>
      <w:r>
        <w:rPr>
          <w:sz w:val="20"/>
        </w:rPr>
        <w:t>revakcinacijos</w:t>
      </w:r>
      <w:proofErr w:type="spellEnd"/>
      <w:r>
        <w:rPr>
          <w:sz w:val="20"/>
        </w:rPr>
        <w:t>.</w:t>
      </w:r>
    </w:p>
    <w:p w14:paraId="5DFA401F" w14:textId="77777777" w:rsidR="00CA2E41" w:rsidRDefault="00CA2E41" w:rsidP="00CA2E41">
      <w:pPr>
        <w:rPr>
          <w:sz w:val="22"/>
        </w:rPr>
      </w:pPr>
    </w:p>
    <w:p w14:paraId="647ADB32" w14:textId="77777777" w:rsidR="00CA2E41" w:rsidRDefault="00CA2E41" w:rsidP="00CA2E41">
      <w:pPr>
        <w:rPr>
          <w:sz w:val="22"/>
        </w:rPr>
      </w:pPr>
      <w:r>
        <w:rPr>
          <w:sz w:val="22"/>
        </w:rPr>
        <w:t xml:space="preserve">Kaip ir vakcinuojant kitomis suaugusiųjų tipo </w:t>
      </w:r>
      <w:proofErr w:type="spellStart"/>
      <w:r>
        <w:rPr>
          <w:sz w:val="22"/>
        </w:rPr>
        <w:t>Td</w:t>
      </w:r>
      <w:proofErr w:type="spellEnd"/>
      <w:r>
        <w:rPr>
          <w:sz w:val="22"/>
        </w:rPr>
        <w:t xml:space="preserve"> vakcinomis, vaikams ir paaugliams BOOSTRIX POLIO sudaro didesnius </w:t>
      </w:r>
      <w:proofErr w:type="spellStart"/>
      <w:r>
        <w:rPr>
          <w:sz w:val="22"/>
        </w:rPr>
        <w:t>anti</w:t>
      </w:r>
      <w:proofErr w:type="spellEnd"/>
      <w:r>
        <w:rPr>
          <w:sz w:val="22"/>
        </w:rPr>
        <w:t xml:space="preserve">-D ir </w:t>
      </w:r>
      <w:proofErr w:type="spellStart"/>
      <w:r>
        <w:rPr>
          <w:sz w:val="22"/>
        </w:rPr>
        <w:t>anti</w:t>
      </w:r>
      <w:proofErr w:type="spellEnd"/>
      <w:r>
        <w:rPr>
          <w:sz w:val="22"/>
        </w:rPr>
        <w:t>-T antikūnų titrus nei suaugusiems žmonėms.</w:t>
      </w:r>
    </w:p>
    <w:p w14:paraId="5838099E" w14:textId="77777777" w:rsidR="00CA2E41" w:rsidRDefault="00CA2E41" w:rsidP="00CA2E41">
      <w:pPr>
        <w:rPr>
          <w:i/>
          <w:sz w:val="22"/>
        </w:rPr>
      </w:pPr>
    </w:p>
    <w:p w14:paraId="78D5E749" w14:textId="77777777" w:rsidR="00CA2E41" w:rsidRPr="00402C81" w:rsidRDefault="00CA2E41" w:rsidP="00CA2E41">
      <w:pPr>
        <w:rPr>
          <w:iCs/>
          <w:sz w:val="22"/>
          <w:u w:val="single"/>
        </w:rPr>
      </w:pPr>
      <w:r w:rsidRPr="00402C81">
        <w:rPr>
          <w:iCs/>
          <w:sz w:val="22"/>
          <w:u w:val="single"/>
        </w:rPr>
        <w:t>Imuninio atsako išlikimas</w:t>
      </w:r>
    </w:p>
    <w:p w14:paraId="4116C325" w14:textId="77777777" w:rsidR="00CA2E41" w:rsidRDefault="00CA2E41" w:rsidP="00CA2E41">
      <w:pPr>
        <w:rPr>
          <w:sz w:val="22"/>
        </w:rPr>
      </w:pPr>
      <w:bookmarkStart w:id="7" w:name="_Hlk500232991"/>
    </w:p>
    <w:p w14:paraId="21494460" w14:textId="77777777" w:rsidR="00CA2E41" w:rsidRDefault="00CA2E41" w:rsidP="00CA2E41">
      <w:pPr>
        <w:rPr>
          <w:sz w:val="22"/>
        </w:rPr>
      </w:pPr>
      <w:r>
        <w:rPr>
          <w:sz w:val="22"/>
        </w:rPr>
        <w:t>Praėjus penkeriems metams po paskiepijimo BOOSTRIX POLIO vaikams ir praėjus 10 metų po paskiepijimo BOOSTRIX POLIO paaugliams ar suaugusiesiems buvo nustatyti toliau nurodyti serologinės apsaugos / serologinio atsako rodmenys (5 lentelė).</w:t>
      </w:r>
    </w:p>
    <w:p w14:paraId="12D0D9DD" w14:textId="77777777" w:rsidR="00CA2E41" w:rsidRDefault="00CA2E41" w:rsidP="00CA2E41">
      <w:pPr>
        <w:rPr>
          <w:sz w:val="22"/>
        </w:rPr>
      </w:pPr>
    </w:p>
    <w:p w14:paraId="7142B598" w14:textId="77777777" w:rsidR="00CA2E41" w:rsidRDefault="00CA2E41" w:rsidP="00E30FAC">
      <w:pPr>
        <w:keepNext/>
        <w:tabs>
          <w:tab w:val="clear" w:pos="567"/>
          <w:tab w:val="left" w:pos="1296"/>
        </w:tabs>
        <w:spacing w:after="120"/>
        <w:rPr>
          <w:sz w:val="22"/>
        </w:rPr>
      </w:pPr>
      <w:r>
        <w:rPr>
          <w:b/>
          <w:sz w:val="22"/>
        </w:rPr>
        <w:lastRenderedPageBreak/>
        <w:t>5 lentelė.</w:t>
      </w:r>
      <w:r>
        <w:rPr>
          <w:sz w:val="22"/>
        </w:rPr>
        <w:t xml:space="preserve"> Imuninio atsako išlikimas vaikams, paaugliams ir suaugusiesiems</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799"/>
        <w:gridCol w:w="2161"/>
        <w:gridCol w:w="2504"/>
      </w:tblGrid>
      <w:tr w:rsidR="00DB3AA4" w14:paraId="031B35D7" w14:textId="77777777" w:rsidTr="00CA2E41">
        <w:trPr>
          <w:trHeight w:val="1712"/>
          <w:jc w:val="center"/>
        </w:trPr>
        <w:tc>
          <w:tcPr>
            <w:tcW w:w="1368"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73D7EE8" w14:textId="77777777" w:rsidR="00CA2E41" w:rsidRDefault="00CA2E41" w:rsidP="00E30FAC">
            <w:pPr>
              <w:keepNext/>
              <w:tabs>
                <w:tab w:val="clear" w:pos="567"/>
                <w:tab w:val="left" w:pos="1296"/>
              </w:tabs>
              <w:spacing w:after="120" w:line="256" w:lineRule="auto"/>
              <w:rPr>
                <w:b/>
                <w:iCs/>
                <w:sz w:val="22"/>
                <w:lang w:eastAsia="en-US"/>
              </w:rPr>
            </w:pPr>
            <w:r>
              <w:rPr>
                <w:b/>
                <w:iCs/>
                <w:sz w:val="22"/>
                <w:lang w:eastAsia="en-US"/>
              </w:rPr>
              <w:t>Antigenas</w:t>
            </w:r>
          </w:p>
        </w:tc>
        <w:tc>
          <w:tcPr>
            <w:tcW w:w="1011" w:type="pct"/>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D3A5954" w14:textId="77777777" w:rsidR="00CA2E41" w:rsidRDefault="00CA2E41" w:rsidP="00E30FAC">
            <w:pPr>
              <w:spacing w:line="256" w:lineRule="auto"/>
              <w:rPr>
                <w:b/>
                <w:iCs/>
                <w:sz w:val="22"/>
                <w:lang w:eastAsia="en-US"/>
              </w:rPr>
            </w:pPr>
            <w:r>
              <w:rPr>
                <w:b/>
                <w:iCs/>
                <w:sz w:val="22"/>
                <w:lang w:eastAsia="en-US"/>
              </w:rPr>
              <w:t>Serologinė apsauga /</w:t>
            </w:r>
          </w:p>
          <w:p w14:paraId="4281DD8F" w14:textId="77777777" w:rsidR="00CA2E41" w:rsidRDefault="00CA2E41" w:rsidP="00E30FAC">
            <w:pPr>
              <w:spacing w:line="256" w:lineRule="auto"/>
              <w:rPr>
                <w:b/>
                <w:iCs/>
                <w:sz w:val="22"/>
                <w:lang w:eastAsia="en-US"/>
              </w:rPr>
            </w:pPr>
            <w:r>
              <w:rPr>
                <w:b/>
                <w:iCs/>
                <w:sz w:val="22"/>
                <w:lang w:eastAsia="en-US"/>
              </w:rPr>
              <w:t>serologinis atsakas</w:t>
            </w:r>
          </w:p>
        </w:tc>
        <w:tc>
          <w:tcPr>
            <w:tcW w:w="1214" w:type="pct"/>
            <w:tcBorders>
              <w:top w:val="single" w:sz="4" w:space="0" w:color="auto"/>
              <w:left w:val="single" w:sz="4" w:space="0" w:color="auto"/>
              <w:bottom w:val="nil"/>
              <w:right w:val="single" w:sz="4" w:space="0" w:color="auto"/>
            </w:tcBorders>
            <w:vAlign w:val="center"/>
            <w:hideMark/>
          </w:tcPr>
          <w:p w14:paraId="0B1D7C1D" w14:textId="77777777" w:rsidR="00CA2E41" w:rsidRDefault="00CA2E41" w:rsidP="00E30FAC">
            <w:pPr>
              <w:spacing w:line="256" w:lineRule="auto"/>
              <w:rPr>
                <w:b/>
                <w:iCs/>
                <w:sz w:val="22"/>
                <w:lang w:eastAsia="en-US"/>
              </w:rPr>
            </w:pPr>
            <w:r>
              <w:rPr>
                <w:b/>
                <w:iCs/>
                <w:sz w:val="22"/>
                <w:lang w:eastAsia="en-US"/>
              </w:rPr>
              <w:t>Kriterijaus atitikimo procentinė dalis praėjus 5 metams po vaikų (4-8 metų) paskiepijimo vakcina</w:t>
            </w:r>
          </w:p>
          <w:p w14:paraId="052F0AC1" w14:textId="77777777" w:rsidR="00CA2E41" w:rsidRDefault="00CA2E41" w:rsidP="00E30FAC">
            <w:pPr>
              <w:spacing w:line="256" w:lineRule="auto"/>
              <w:rPr>
                <w:b/>
                <w:iCs/>
                <w:sz w:val="22"/>
                <w:lang w:eastAsia="en-US"/>
              </w:rPr>
            </w:pPr>
            <w:r>
              <w:rPr>
                <w:b/>
                <w:iCs/>
                <w:sz w:val="22"/>
                <w:lang w:eastAsia="en-US"/>
              </w:rPr>
              <w:t>(N=344)</w:t>
            </w:r>
          </w:p>
        </w:tc>
        <w:tc>
          <w:tcPr>
            <w:tcW w:w="1407" w:type="pct"/>
            <w:tcBorders>
              <w:top w:val="single" w:sz="4" w:space="0" w:color="auto"/>
              <w:left w:val="single" w:sz="4" w:space="0" w:color="auto"/>
              <w:bottom w:val="nil"/>
              <w:right w:val="single" w:sz="4" w:space="0" w:color="auto"/>
            </w:tcBorders>
            <w:vAlign w:val="center"/>
          </w:tcPr>
          <w:p w14:paraId="78BC33A6" w14:textId="77777777" w:rsidR="00CA2E41" w:rsidRDefault="00CA2E41" w:rsidP="00E30FAC">
            <w:pPr>
              <w:spacing w:line="256" w:lineRule="auto"/>
              <w:rPr>
                <w:b/>
                <w:iCs/>
                <w:sz w:val="22"/>
                <w:lang w:eastAsia="en-US"/>
              </w:rPr>
            </w:pPr>
            <w:r>
              <w:rPr>
                <w:b/>
                <w:iCs/>
                <w:sz w:val="22"/>
                <w:lang w:eastAsia="en-US"/>
              </w:rPr>
              <w:t>Kriterijaus atitikimo procentinė dalis praėjus 10 metų po paauglių ir suaugusiųjų (15 metų ir vyresnių) paskiepijimo vakcina</w:t>
            </w:r>
          </w:p>
          <w:p w14:paraId="67166794" w14:textId="77777777" w:rsidR="00CA2E41" w:rsidRDefault="00CA2E41" w:rsidP="00E30FAC">
            <w:pPr>
              <w:spacing w:line="256" w:lineRule="auto"/>
              <w:rPr>
                <w:b/>
                <w:iCs/>
                <w:sz w:val="22"/>
                <w:lang w:eastAsia="en-US"/>
              </w:rPr>
            </w:pPr>
          </w:p>
          <w:p w14:paraId="619097C4" w14:textId="77777777" w:rsidR="00CA2E41" w:rsidRDefault="00CA2E41" w:rsidP="00E30FAC">
            <w:pPr>
              <w:spacing w:line="256" w:lineRule="auto"/>
              <w:rPr>
                <w:b/>
                <w:iCs/>
                <w:sz w:val="22"/>
                <w:lang w:eastAsia="en-US"/>
              </w:rPr>
            </w:pPr>
            <w:r>
              <w:rPr>
                <w:b/>
                <w:iCs/>
                <w:sz w:val="22"/>
                <w:lang w:eastAsia="en-US"/>
              </w:rPr>
              <w:t>(N=63)</w:t>
            </w:r>
          </w:p>
        </w:tc>
      </w:tr>
      <w:tr w:rsidR="00DB3AA4" w14:paraId="5538726D" w14:textId="77777777" w:rsidTr="00CA2E41">
        <w:trPr>
          <w:trHeight w:val="3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D2158" w14:textId="77777777" w:rsidR="00CA2E41" w:rsidRDefault="00CA2E41" w:rsidP="00E30FAC">
            <w:pPr>
              <w:tabs>
                <w:tab w:val="clear" w:pos="567"/>
              </w:tabs>
              <w:spacing w:line="256" w:lineRule="auto"/>
              <w:rPr>
                <w:b/>
                <w:iCs/>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4F534" w14:textId="77777777" w:rsidR="00CA2E41" w:rsidRDefault="00CA2E41" w:rsidP="00E30FAC">
            <w:pPr>
              <w:tabs>
                <w:tab w:val="clear" w:pos="567"/>
              </w:tabs>
              <w:spacing w:line="256" w:lineRule="auto"/>
              <w:rPr>
                <w:b/>
                <w:iCs/>
                <w:sz w:val="22"/>
                <w:lang w:eastAsia="en-US"/>
              </w:rPr>
            </w:pPr>
          </w:p>
        </w:tc>
        <w:tc>
          <w:tcPr>
            <w:tcW w:w="1214" w:type="pct"/>
            <w:tcBorders>
              <w:top w:val="nil"/>
              <w:left w:val="single" w:sz="4" w:space="0" w:color="auto"/>
              <w:bottom w:val="single" w:sz="4" w:space="0" w:color="auto"/>
              <w:right w:val="single" w:sz="4" w:space="0" w:color="auto"/>
            </w:tcBorders>
            <w:shd w:val="clear" w:color="auto" w:fill="F2F2F2"/>
            <w:vAlign w:val="center"/>
            <w:hideMark/>
          </w:tcPr>
          <w:p w14:paraId="65DF9A43" w14:textId="77777777" w:rsidR="00CA2E41" w:rsidRDefault="00CA2E41" w:rsidP="00E30FAC">
            <w:pPr>
              <w:spacing w:line="256" w:lineRule="auto"/>
              <w:rPr>
                <w:b/>
                <w:iCs/>
                <w:sz w:val="22"/>
                <w:lang w:eastAsia="en-US"/>
              </w:rPr>
            </w:pPr>
            <w:r>
              <w:rPr>
                <w:iCs/>
                <w:sz w:val="22"/>
                <w:lang w:eastAsia="en-US"/>
              </w:rPr>
              <w:t>(paskiepytųjų procentinė dalis)</w:t>
            </w:r>
          </w:p>
        </w:tc>
        <w:tc>
          <w:tcPr>
            <w:tcW w:w="1407" w:type="pct"/>
            <w:tcBorders>
              <w:top w:val="nil"/>
              <w:left w:val="single" w:sz="4" w:space="0" w:color="auto"/>
              <w:bottom w:val="single" w:sz="4" w:space="0" w:color="auto"/>
              <w:right w:val="single" w:sz="4" w:space="0" w:color="auto"/>
            </w:tcBorders>
            <w:shd w:val="clear" w:color="auto" w:fill="F2F2F2"/>
            <w:vAlign w:val="center"/>
            <w:hideMark/>
          </w:tcPr>
          <w:p w14:paraId="4E2DFC64" w14:textId="77777777" w:rsidR="00CA2E41" w:rsidRDefault="00CA2E41" w:rsidP="00E30FAC">
            <w:pPr>
              <w:spacing w:line="256" w:lineRule="auto"/>
              <w:rPr>
                <w:b/>
                <w:iCs/>
                <w:sz w:val="22"/>
                <w:lang w:eastAsia="en-US"/>
              </w:rPr>
            </w:pPr>
            <w:r>
              <w:rPr>
                <w:iCs/>
                <w:sz w:val="22"/>
                <w:lang w:eastAsia="en-US"/>
              </w:rPr>
              <w:t>(paskiepytųjų procentinė dalis)</w:t>
            </w:r>
          </w:p>
        </w:tc>
      </w:tr>
      <w:tr w:rsidR="00CA2E41" w14:paraId="0A1ED52B" w14:textId="77777777" w:rsidTr="00E30FAC">
        <w:trPr>
          <w:trHeight w:val="316"/>
          <w:jc w:val="center"/>
        </w:trPr>
        <w:tc>
          <w:tcPr>
            <w:tcW w:w="1368" w:type="pct"/>
            <w:tcBorders>
              <w:top w:val="single" w:sz="4" w:space="0" w:color="auto"/>
              <w:left w:val="single" w:sz="4" w:space="0" w:color="auto"/>
              <w:bottom w:val="single" w:sz="4" w:space="0" w:color="auto"/>
              <w:right w:val="single" w:sz="4" w:space="0" w:color="auto"/>
            </w:tcBorders>
            <w:shd w:val="clear" w:color="auto" w:fill="F2F2F2"/>
            <w:hideMark/>
          </w:tcPr>
          <w:p w14:paraId="718AA13A" w14:textId="77777777" w:rsidR="00CA2E41" w:rsidRDefault="00CA2E41" w:rsidP="00E30FAC">
            <w:pPr>
              <w:spacing w:line="256" w:lineRule="auto"/>
              <w:rPr>
                <w:b/>
                <w:iCs/>
                <w:sz w:val="22"/>
                <w:lang w:eastAsia="en-US"/>
              </w:rPr>
            </w:pPr>
            <w:r>
              <w:rPr>
                <w:b/>
                <w:iCs/>
                <w:sz w:val="22"/>
                <w:lang w:eastAsia="en-US"/>
              </w:rPr>
              <w:t>Difterijos</w:t>
            </w:r>
          </w:p>
        </w:tc>
        <w:tc>
          <w:tcPr>
            <w:tcW w:w="1011" w:type="pct"/>
            <w:tcBorders>
              <w:top w:val="single" w:sz="4" w:space="0" w:color="auto"/>
              <w:left w:val="single" w:sz="4" w:space="0" w:color="auto"/>
              <w:bottom w:val="single" w:sz="4" w:space="0" w:color="auto"/>
              <w:right w:val="single" w:sz="4" w:space="0" w:color="auto"/>
            </w:tcBorders>
            <w:hideMark/>
          </w:tcPr>
          <w:p w14:paraId="6E5821E8" w14:textId="77777777" w:rsidR="00CA2E41" w:rsidRDefault="00CA2E41" w:rsidP="00E30FAC">
            <w:pPr>
              <w:spacing w:line="256" w:lineRule="auto"/>
              <w:rPr>
                <w:iCs/>
                <w:sz w:val="22"/>
                <w:lang w:eastAsia="en-US"/>
              </w:rPr>
            </w:pPr>
            <w:r>
              <w:rPr>
                <w:iCs/>
                <w:sz w:val="22"/>
                <w:lang w:eastAsia="en-US"/>
              </w:rPr>
              <w:sym w:font="Symbol" w:char="F0B3"/>
            </w:r>
            <w:r>
              <w:rPr>
                <w:iCs/>
                <w:sz w:val="22"/>
                <w:lang w:eastAsia="en-US"/>
              </w:rPr>
              <w:t xml:space="preserve"> 0,1 TV/ml</w:t>
            </w:r>
          </w:p>
        </w:tc>
        <w:tc>
          <w:tcPr>
            <w:tcW w:w="1214" w:type="pct"/>
            <w:tcBorders>
              <w:top w:val="single" w:sz="4" w:space="0" w:color="auto"/>
              <w:left w:val="single" w:sz="4" w:space="0" w:color="auto"/>
              <w:bottom w:val="single" w:sz="4" w:space="0" w:color="auto"/>
              <w:right w:val="single" w:sz="4" w:space="0" w:color="auto"/>
            </w:tcBorders>
            <w:hideMark/>
          </w:tcPr>
          <w:p w14:paraId="4619BA97" w14:textId="1BA31C22" w:rsidR="00CA2E41" w:rsidRDefault="00CA2E41" w:rsidP="00E30FAC">
            <w:pPr>
              <w:spacing w:line="256" w:lineRule="auto"/>
              <w:rPr>
                <w:iCs/>
                <w:sz w:val="22"/>
                <w:lang w:eastAsia="en-US"/>
              </w:rPr>
            </w:pPr>
            <w:r>
              <w:rPr>
                <w:iCs/>
                <w:sz w:val="22"/>
                <w:lang w:eastAsia="en-US"/>
              </w:rPr>
              <w:t>89,4</w:t>
            </w:r>
            <w:r w:rsidR="00F408F7">
              <w:rPr>
                <w:iCs/>
                <w:sz w:val="22"/>
                <w:lang w:eastAsia="en-US"/>
              </w:rPr>
              <w:t> </w:t>
            </w:r>
            <w:r>
              <w:rPr>
                <w:iCs/>
                <w:sz w:val="22"/>
                <w:lang w:eastAsia="en-US"/>
              </w:rPr>
              <w:t>%*</w:t>
            </w:r>
          </w:p>
        </w:tc>
        <w:tc>
          <w:tcPr>
            <w:tcW w:w="1407" w:type="pct"/>
            <w:tcBorders>
              <w:top w:val="single" w:sz="4" w:space="0" w:color="auto"/>
              <w:left w:val="single" w:sz="4" w:space="0" w:color="auto"/>
              <w:bottom w:val="single" w:sz="4" w:space="0" w:color="auto"/>
              <w:right w:val="single" w:sz="4" w:space="0" w:color="auto"/>
            </w:tcBorders>
            <w:hideMark/>
          </w:tcPr>
          <w:p w14:paraId="64180FB1" w14:textId="14AC98E9" w:rsidR="00CA2E41" w:rsidRDefault="00CA2E41" w:rsidP="00E30FAC">
            <w:pPr>
              <w:spacing w:line="256" w:lineRule="auto"/>
              <w:rPr>
                <w:iCs/>
                <w:sz w:val="22"/>
                <w:lang w:eastAsia="en-US"/>
              </w:rPr>
            </w:pPr>
            <w:r>
              <w:rPr>
                <w:iCs/>
                <w:sz w:val="22"/>
                <w:lang w:eastAsia="en-US"/>
              </w:rPr>
              <w:t>81,0</w:t>
            </w:r>
            <w:r w:rsidR="00D91191">
              <w:rPr>
                <w:iCs/>
                <w:sz w:val="22"/>
                <w:lang w:eastAsia="en-US"/>
              </w:rPr>
              <w:t> </w:t>
            </w:r>
            <w:r>
              <w:rPr>
                <w:iCs/>
                <w:sz w:val="22"/>
                <w:lang w:eastAsia="en-US"/>
              </w:rPr>
              <w:t>%**</w:t>
            </w:r>
          </w:p>
        </w:tc>
      </w:tr>
      <w:tr w:rsidR="00CA2E41" w14:paraId="2834EBCF" w14:textId="77777777" w:rsidTr="00E30FAC">
        <w:trPr>
          <w:trHeight w:val="316"/>
          <w:jc w:val="center"/>
        </w:trPr>
        <w:tc>
          <w:tcPr>
            <w:tcW w:w="1368" w:type="pct"/>
            <w:tcBorders>
              <w:top w:val="single" w:sz="4" w:space="0" w:color="auto"/>
              <w:left w:val="single" w:sz="4" w:space="0" w:color="auto"/>
              <w:bottom w:val="single" w:sz="4" w:space="0" w:color="auto"/>
              <w:right w:val="single" w:sz="4" w:space="0" w:color="auto"/>
            </w:tcBorders>
            <w:shd w:val="clear" w:color="auto" w:fill="F2F2F2"/>
            <w:hideMark/>
          </w:tcPr>
          <w:p w14:paraId="5BE47A42" w14:textId="77777777" w:rsidR="00CA2E41" w:rsidRDefault="00CA2E41" w:rsidP="00E30FAC">
            <w:pPr>
              <w:spacing w:line="256" w:lineRule="auto"/>
              <w:rPr>
                <w:b/>
                <w:iCs/>
                <w:sz w:val="22"/>
                <w:lang w:eastAsia="en-US"/>
              </w:rPr>
            </w:pPr>
            <w:r>
              <w:rPr>
                <w:b/>
                <w:iCs/>
                <w:sz w:val="22"/>
                <w:lang w:eastAsia="en-US"/>
              </w:rPr>
              <w:t>Stabligės</w:t>
            </w:r>
          </w:p>
        </w:tc>
        <w:tc>
          <w:tcPr>
            <w:tcW w:w="1011" w:type="pct"/>
            <w:tcBorders>
              <w:top w:val="single" w:sz="4" w:space="0" w:color="auto"/>
              <w:left w:val="single" w:sz="4" w:space="0" w:color="auto"/>
              <w:bottom w:val="single" w:sz="4" w:space="0" w:color="auto"/>
              <w:right w:val="single" w:sz="4" w:space="0" w:color="auto"/>
            </w:tcBorders>
            <w:hideMark/>
          </w:tcPr>
          <w:p w14:paraId="6733132F" w14:textId="77777777" w:rsidR="00CA2E41" w:rsidRDefault="00CA2E41" w:rsidP="00E30FAC">
            <w:pPr>
              <w:spacing w:line="256" w:lineRule="auto"/>
              <w:rPr>
                <w:iCs/>
                <w:sz w:val="22"/>
                <w:lang w:eastAsia="en-US"/>
              </w:rPr>
            </w:pPr>
            <w:r>
              <w:rPr>
                <w:iCs/>
                <w:sz w:val="22"/>
                <w:lang w:eastAsia="en-US"/>
              </w:rPr>
              <w:sym w:font="Symbol" w:char="F0B3"/>
            </w:r>
            <w:r>
              <w:rPr>
                <w:iCs/>
                <w:sz w:val="22"/>
                <w:lang w:eastAsia="en-US"/>
              </w:rPr>
              <w:t xml:space="preserve"> 0,1 TV/ml</w:t>
            </w:r>
          </w:p>
        </w:tc>
        <w:tc>
          <w:tcPr>
            <w:tcW w:w="1214" w:type="pct"/>
            <w:tcBorders>
              <w:top w:val="single" w:sz="4" w:space="0" w:color="auto"/>
              <w:left w:val="single" w:sz="4" w:space="0" w:color="auto"/>
              <w:bottom w:val="single" w:sz="4" w:space="0" w:color="auto"/>
              <w:right w:val="single" w:sz="4" w:space="0" w:color="auto"/>
            </w:tcBorders>
            <w:hideMark/>
          </w:tcPr>
          <w:p w14:paraId="2D73F0C8" w14:textId="5B7B1593" w:rsidR="00CA2E41" w:rsidRDefault="00CA2E41" w:rsidP="00E30FAC">
            <w:pPr>
              <w:spacing w:line="256" w:lineRule="auto"/>
              <w:rPr>
                <w:iCs/>
                <w:sz w:val="22"/>
                <w:lang w:eastAsia="en-US"/>
              </w:rPr>
            </w:pPr>
            <w:r>
              <w:rPr>
                <w:iCs/>
                <w:sz w:val="22"/>
                <w:lang w:eastAsia="en-US"/>
              </w:rPr>
              <w:t>98,5</w:t>
            </w:r>
            <w:r w:rsidR="00F408F7">
              <w:rPr>
                <w:iCs/>
                <w:sz w:val="22"/>
                <w:lang w:eastAsia="en-US"/>
              </w:rPr>
              <w:t> </w:t>
            </w:r>
            <w:r>
              <w:rPr>
                <w:iCs/>
                <w:sz w:val="22"/>
                <w:lang w:eastAsia="en-US"/>
              </w:rPr>
              <w:t>%</w:t>
            </w:r>
          </w:p>
        </w:tc>
        <w:tc>
          <w:tcPr>
            <w:tcW w:w="1407" w:type="pct"/>
            <w:tcBorders>
              <w:top w:val="single" w:sz="4" w:space="0" w:color="auto"/>
              <w:left w:val="single" w:sz="4" w:space="0" w:color="auto"/>
              <w:bottom w:val="single" w:sz="4" w:space="0" w:color="auto"/>
              <w:right w:val="single" w:sz="4" w:space="0" w:color="auto"/>
            </w:tcBorders>
            <w:hideMark/>
          </w:tcPr>
          <w:p w14:paraId="53E8E20D" w14:textId="3C72DC0A" w:rsidR="00CA2E41" w:rsidRDefault="00CA2E41" w:rsidP="00E30FAC">
            <w:pPr>
              <w:spacing w:line="256" w:lineRule="auto"/>
              <w:rPr>
                <w:iCs/>
                <w:sz w:val="22"/>
                <w:lang w:eastAsia="en-US"/>
              </w:rPr>
            </w:pPr>
            <w:r>
              <w:rPr>
                <w:iCs/>
                <w:sz w:val="22"/>
                <w:lang w:eastAsia="en-US"/>
              </w:rPr>
              <w:t>98,4</w:t>
            </w:r>
            <w:r w:rsidR="00D91191">
              <w:rPr>
                <w:iCs/>
                <w:sz w:val="22"/>
                <w:lang w:eastAsia="en-US"/>
              </w:rPr>
              <w:t> </w:t>
            </w:r>
            <w:r>
              <w:rPr>
                <w:iCs/>
                <w:sz w:val="22"/>
                <w:lang w:eastAsia="en-US"/>
              </w:rPr>
              <w:t>%</w:t>
            </w:r>
          </w:p>
        </w:tc>
      </w:tr>
      <w:tr w:rsidR="00DB3AA4" w14:paraId="01833383" w14:textId="77777777" w:rsidTr="00CA2E41">
        <w:trPr>
          <w:trHeight w:val="345"/>
          <w:jc w:val="center"/>
        </w:trPr>
        <w:tc>
          <w:tcPr>
            <w:tcW w:w="1368" w:type="pct"/>
            <w:tcBorders>
              <w:top w:val="single" w:sz="4" w:space="0" w:color="auto"/>
              <w:left w:val="single" w:sz="4" w:space="0" w:color="auto"/>
              <w:bottom w:val="nil"/>
              <w:right w:val="single" w:sz="4" w:space="0" w:color="auto"/>
            </w:tcBorders>
            <w:shd w:val="clear" w:color="auto" w:fill="F2F2F2"/>
            <w:hideMark/>
          </w:tcPr>
          <w:p w14:paraId="11472AEF" w14:textId="77777777" w:rsidR="00CA2E41" w:rsidRDefault="00CA2E41" w:rsidP="00E30FAC">
            <w:pPr>
              <w:spacing w:line="256" w:lineRule="auto"/>
              <w:rPr>
                <w:b/>
                <w:iCs/>
                <w:sz w:val="22"/>
                <w:lang w:eastAsia="en-US"/>
              </w:rPr>
            </w:pPr>
            <w:r>
              <w:rPr>
                <w:b/>
                <w:iCs/>
                <w:sz w:val="22"/>
                <w:lang w:eastAsia="en-US"/>
              </w:rPr>
              <w:t>Kokliušo</w:t>
            </w:r>
          </w:p>
        </w:tc>
        <w:tc>
          <w:tcPr>
            <w:tcW w:w="1011" w:type="pct"/>
            <w:vMerge w:val="restart"/>
            <w:tcBorders>
              <w:top w:val="single" w:sz="4" w:space="0" w:color="auto"/>
              <w:left w:val="single" w:sz="4" w:space="0" w:color="auto"/>
              <w:bottom w:val="single" w:sz="4" w:space="0" w:color="auto"/>
              <w:right w:val="single" w:sz="4" w:space="0" w:color="auto"/>
            </w:tcBorders>
            <w:vAlign w:val="center"/>
            <w:hideMark/>
          </w:tcPr>
          <w:p w14:paraId="7246D848" w14:textId="77777777" w:rsidR="00CA2E41" w:rsidRDefault="00CA2E41" w:rsidP="00E30FAC">
            <w:pPr>
              <w:spacing w:line="256" w:lineRule="auto"/>
              <w:rPr>
                <w:iCs/>
                <w:sz w:val="22"/>
                <w:lang w:eastAsia="en-US"/>
              </w:rPr>
            </w:pPr>
            <w:r>
              <w:rPr>
                <w:iCs/>
                <w:sz w:val="22"/>
                <w:lang w:eastAsia="en-US"/>
              </w:rPr>
              <w:sym w:font="Symbol" w:char="F0B3"/>
            </w:r>
            <w:r>
              <w:rPr>
                <w:iCs/>
                <w:sz w:val="22"/>
                <w:lang w:eastAsia="en-US"/>
              </w:rPr>
              <w:t xml:space="preserve"> 5 EL.V/ml</w:t>
            </w:r>
          </w:p>
        </w:tc>
        <w:tc>
          <w:tcPr>
            <w:tcW w:w="1214" w:type="pct"/>
            <w:tcBorders>
              <w:top w:val="single" w:sz="4" w:space="0" w:color="auto"/>
              <w:left w:val="single" w:sz="4" w:space="0" w:color="auto"/>
              <w:bottom w:val="nil"/>
              <w:right w:val="single" w:sz="4" w:space="0" w:color="auto"/>
            </w:tcBorders>
          </w:tcPr>
          <w:p w14:paraId="22E42A9C" w14:textId="77777777" w:rsidR="00CA2E41" w:rsidRDefault="00CA2E41" w:rsidP="00E30FAC">
            <w:pPr>
              <w:spacing w:line="256" w:lineRule="auto"/>
              <w:rPr>
                <w:iCs/>
                <w:sz w:val="22"/>
                <w:lang w:eastAsia="en-US"/>
              </w:rPr>
            </w:pPr>
          </w:p>
        </w:tc>
        <w:tc>
          <w:tcPr>
            <w:tcW w:w="1407" w:type="pct"/>
            <w:tcBorders>
              <w:top w:val="single" w:sz="4" w:space="0" w:color="auto"/>
              <w:left w:val="single" w:sz="4" w:space="0" w:color="auto"/>
              <w:bottom w:val="nil"/>
              <w:right w:val="single" w:sz="4" w:space="0" w:color="auto"/>
            </w:tcBorders>
          </w:tcPr>
          <w:p w14:paraId="26435E3E" w14:textId="77777777" w:rsidR="00CA2E41" w:rsidRDefault="00CA2E41" w:rsidP="00E30FAC">
            <w:pPr>
              <w:spacing w:line="256" w:lineRule="auto"/>
              <w:rPr>
                <w:iCs/>
                <w:sz w:val="22"/>
                <w:lang w:eastAsia="en-US"/>
              </w:rPr>
            </w:pPr>
          </w:p>
        </w:tc>
      </w:tr>
      <w:tr w:rsidR="00DB3AA4" w14:paraId="341E50CB" w14:textId="77777777" w:rsidTr="00CA2E41">
        <w:trPr>
          <w:trHeight w:val="295"/>
          <w:jc w:val="center"/>
        </w:trPr>
        <w:tc>
          <w:tcPr>
            <w:tcW w:w="1368" w:type="pct"/>
            <w:tcBorders>
              <w:top w:val="nil"/>
              <w:left w:val="single" w:sz="4" w:space="0" w:color="auto"/>
              <w:bottom w:val="nil"/>
              <w:right w:val="single" w:sz="4" w:space="0" w:color="auto"/>
            </w:tcBorders>
            <w:shd w:val="clear" w:color="auto" w:fill="F2F2F2"/>
            <w:hideMark/>
          </w:tcPr>
          <w:p w14:paraId="215BEAE7" w14:textId="77777777" w:rsidR="00CA2E41" w:rsidRDefault="00CA2E41" w:rsidP="00E30FAC">
            <w:pPr>
              <w:spacing w:line="256" w:lineRule="auto"/>
              <w:rPr>
                <w:b/>
                <w:iCs/>
                <w:sz w:val="22"/>
                <w:lang w:eastAsia="en-US"/>
              </w:rPr>
            </w:pPr>
            <w:r>
              <w:rPr>
                <w:iCs/>
                <w:sz w:val="22"/>
                <w:lang w:eastAsia="en-US"/>
              </w:rPr>
              <w:t xml:space="preserve">Kokliušo </w:t>
            </w:r>
            <w:proofErr w:type="spellStart"/>
            <w:r>
              <w:rPr>
                <w:iCs/>
                <w:sz w:val="22"/>
                <w:lang w:eastAsia="en-US"/>
              </w:rPr>
              <w:t>anatoksinas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F703E" w14:textId="77777777" w:rsidR="00CA2E41" w:rsidRDefault="00CA2E41" w:rsidP="00E30FAC">
            <w:pPr>
              <w:tabs>
                <w:tab w:val="clear" w:pos="567"/>
              </w:tabs>
              <w:spacing w:line="256" w:lineRule="auto"/>
              <w:rPr>
                <w:iCs/>
                <w:sz w:val="22"/>
                <w:lang w:eastAsia="en-US"/>
              </w:rPr>
            </w:pPr>
          </w:p>
        </w:tc>
        <w:tc>
          <w:tcPr>
            <w:tcW w:w="1214" w:type="pct"/>
            <w:tcBorders>
              <w:top w:val="nil"/>
              <w:left w:val="single" w:sz="4" w:space="0" w:color="auto"/>
              <w:bottom w:val="nil"/>
              <w:right w:val="single" w:sz="4" w:space="0" w:color="auto"/>
            </w:tcBorders>
            <w:hideMark/>
          </w:tcPr>
          <w:p w14:paraId="2891D513" w14:textId="1BF77E59" w:rsidR="00CA2E41" w:rsidRDefault="00CA2E41" w:rsidP="00E30FAC">
            <w:pPr>
              <w:spacing w:line="256" w:lineRule="auto"/>
              <w:rPr>
                <w:iCs/>
                <w:sz w:val="22"/>
                <w:lang w:eastAsia="en-US"/>
              </w:rPr>
            </w:pPr>
            <w:r>
              <w:rPr>
                <w:iCs/>
                <w:sz w:val="22"/>
                <w:lang w:eastAsia="en-US"/>
              </w:rPr>
              <w:t>40,9</w:t>
            </w:r>
            <w:r w:rsidR="00F408F7">
              <w:rPr>
                <w:iCs/>
                <w:sz w:val="22"/>
                <w:lang w:eastAsia="en-US"/>
              </w:rPr>
              <w:t> </w:t>
            </w:r>
            <w:r>
              <w:rPr>
                <w:iCs/>
                <w:sz w:val="22"/>
                <w:lang w:eastAsia="en-US"/>
              </w:rPr>
              <w:t>%</w:t>
            </w:r>
          </w:p>
        </w:tc>
        <w:tc>
          <w:tcPr>
            <w:tcW w:w="1407" w:type="pct"/>
            <w:tcBorders>
              <w:top w:val="nil"/>
              <w:left w:val="single" w:sz="4" w:space="0" w:color="auto"/>
              <w:bottom w:val="nil"/>
              <w:right w:val="single" w:sz="4" w:space="0" w:color="auto"/>
            </w:tcBorders>
            <w:hideMark/>
          </w:tcPr>
          <w:p w14:paraId="7DA81443" w14:textId="1D704AB8" w:rsidR="00CA2E41" w:rsidRDefault="00CA2E41" w:rsidP="00E30FAC">
            <w:pPr>
              <w:spacing w:line="256" w:lineRule="auto"/>
              <w:rPr>
                <w:iCs/>
                <w:sz w:val="22"/>
                <w:lang w:eastAsia="en-US"/>
              </w:rPr>
            </w:pPr>
            <w:r>
              <w:rPr>
                <w:iCs/>
                <w:sz w:val="22"/>
                <w:lang w:eastAsia="en-US"/>
              </w:rPr>
              <w:t>78,7</w:t>
            </w:r>
            <w:r w:rsidR="00D91191">
              <w:rPr>
                <w:iCs/>
                <w:sz w:val="22"/>
                <w:lang w:eastAsia="en-US"/>
              </w:rPr>
              <w:t> </w:t>
            </w:r>
            <w:r>
              <w:rPr>
                <w:iCs/>
                <w:sz w:val="22"/>
                <w:lang w:eastAsia="en-US"/>
              </w:rPr>
              <w:t>%</w:t>
            </w:r>
          </w:p>
        </w:tc>
      </w:tr>
      <w:tr w:rsidR="00DB3AA4" w14:paraId="29A56B5D" w14:textId="77777777" w:rsidTr="00CA2E41">
        <w:trPr>
          <w:trHeight w:val="350"/>
          <w:jc w:val="center"/>
        </w:trPr>
        <w:tc>
          <w:tcPr>
            <w:tcW w:w="1368" w:type="pct"/>
            <w:tcBorders>
              <w:top w:val="nil"/>
              <w:left w:val="single" w:sz="4" w:space="0" w:color="auto"/>
              <w:bottom w:val="nil"/>
              <w:right w:val="single" w:sz="4" w:space="0" w:color="auto"/>
            </w:tcBorders>
            <w:shd w:val="clear" w:color="auto" w:fill="F2F2F2"/>
            <w:hideMark/>
          </w:tcPr>
          <w:p w14:paraId="0A0E385E" w14:textId="77777777" w:rsidR="00CA2E41" w:rsidRDefault="00CA2E41" w:rsidP="00E30FAC">
            <w:pPr>
              <w:spacing w:line="256" w:lineRule="auto"/>
              <w:rPr>
                <w:iCs/>
                <w:sz w:val="22"/>
                <w:lang w:eastAsia="en-US"/>
              </w:rPr>
            </w:pPr>
            <w:proofErr w:type="spellStart"/>
            <w:r>
              <w:rPr>
                <w:iCs/>
                <w:sz w:val="22"/>
                <w:lang w:eastAsia="en-US"/>
              </w:rPr>
              <w:t>Filamentinis</w:t>
            </w:r>
            <w:proofErr w:type="spellEnd"/>
            <w:r>
              <w:rPr>
                <w:iCs/>
                <w:sz w:val="22"/>
                <w:lang w:eastAsia="en-US"/>
              </w:rPr>
              <w:t xml:space="preserve">   </w:t>
            </w:r>
          </w:p>
          <w:p w14:paraId="5E951F99" w14:textId="77777777" w:rsidR="00CA2E41" w:rsidRDefault="00CA2E41" w:rsidP="00E30FAC">
            <w:pPr>
              <w:spacing w:line="256" w:lineRule="auto"/>
              <w:rPr>
                <w:b/>
                <w:iCs/>
                <w:sz w:val="22"/>
                <w:lang w:eastAsia="en-US"/>
              </w:rPr>
            </w:pPr>
            <w:r>
              <w:rPr>
                <w:iCs/>
                <w:sz w:val="22"/>
                <w:lang w:eastAsia="en-US"/>
              </w:rPr>
              <w:t xml:space="preserve">    </w:t>
            </w:r>
            <w:proofErr w:type="spellStart"/>
            <w:r>
              <w:rPr>
                <w:iCs/>
                <w:sz w:val="22"/>
                <w:lang w:eastAsia="en-US"/>
              </w:rPr>
              <w:t>hemagliutininas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EA2C4B" w14:textId="77777777" w:rsidR="00CA2E41" w:rsidRDefault="00CA2E41" w:rsidP="00E30FAC">
            <w:pPr>
              <w:tabs>
                <w:tab w:val="clear" w:pos="567"/>
              </w:tabs>
              <w:spacing w:line="256" w:lineRule="auto"/>
              <w:rPr>
                <w:iCs/>
                <w:sz w:val="22"/>
                <w:lang w:eastAsia="en-US"/>
              </w:rPr>
            </w:pPr>
          </w:p>
        </w:tc>
        <w:tc>
          <w:tcPr>
            <w:tcW w:w="1214" w:type="pct"/>
            <w:tcBorders>
              <w:top w:val="nil"/>
              <w:left w:val="single" w:sz="4" w:space="0" w:color="auto"/>
              <w:bottom w:val="nil"/>
              <w:right w:val="single" w:sz="4" w:space="0" w:color="auto"/>
            </w:tcBorders>
            <w:vAlign w:val="center"/>
            <w:hideMark/>
          </w:tcPr>
          <w:p w14:paraId="47B1E873" w14:textId="00B6DCED" w:rsidR="00CA2E41" w:rsidRDefault="00CA2E41" w:rsidP="00E30FAC">
            <w:pPr>
              <w:spacing w:line="256" w:lineRule="auto"/>
              <w:rPr>
                <w:iCs/>
                <w:sz w:val="22"/>
                <w:lang w:eastAsia="en-US"/>
              </w:rPr>
            </w:pPr>
            <w:r>
              <w:rPr>
                <w:iCs/>
                <w:sz w:val="22"/>
                <w:lang w:eastAsia="en-US"/>
              </w:rPr>
              <w:t>99,7</w:t>
            </w:r>
            <w:r w:rsidR="00F408F7">
              <w:rPr>
                <w:iCs/>
                <w:sz w:val="22"/>
                <w:lang w:eastAsia="en-US"/>
              </w:rPr>
              <w:t> </w:t>
            </w:r>
            <w:r>
              <w:rPr>
                <w:iCs/>
                <w:sz w:val="22"/>
                <w:lang w:eastAsia="en-US"/>
              </w:rPr>
              <w:t>%</w:t>
            </w:r>
          </w:p>
        </w:tc>
        <w:tc>
          <w:tcPr>
            <w:tcW w:w="1407" w:type="pct"/>
            <w:tcBorders>
              <w:top w:val="nil"/>
              <w:left w:val="single" w:sz="4" w:space="0" w:color="auto"/>
              <w:bottom w:val="nil"/>
              <w:right w:val="single" w:sz="4" w:space="0" w:color="auto"/>
            </w:tcBorders>
            <w:vAlign w:val="center"/>
            <w:hideMark/>
          </w:tcPr>
          <w:p w14:paraId="0F2F6E41" w14:textId="2FCD623A" w:rsidR="00CA2E41" w:rsidRDefault="00CA2E41" w:rsidP="00E30FAC">
            <w:pPr>
              <w:spacing w:line="256" w:lineRule="auto"/>
              <w:rPr>
                <w:iCs/>
                <w:sz w:val="22"/>
                <w:lang w:eastAsia="en-US"/>
              </w:rPr>
            </w:pPr>
            <w:r>
              <w:rPr>
                <w:iCs/>
                <w:sz w:val="22"/>
                <w:lang w:eastAsia="en-US"/>
              </w:rPr>
              <w:t>100</w:t>
            </w:r>
            <w:r w:rsidR="00D91191">
              <w:rPr>
                <w:iCs/>
                <w:sz w:val="22"/>
                <w:lang w:eastAsia="en-US"/>
              </w:rPr>
              <w:t> </w:t>
            </w:r>
            <w:r>
              <w:rPr>
                <w:iCs/>
                <w:sz w:val="22"/>
                <w:lang w:eastAsia="en-US"/>
              </w:rPr>
              <w:t>%</w:t>
            </w:r>
          </w:p>
        </w:tc>
      </w:tr>
      <w:tr w:rsidR="00DB3AA4" w14:paraId="6A982EF6" w14:textId="77777777" w:rsidTr="00CA2E41">
        <w:trPr>
          <w:trHeight w:val="322"/>
          <w:jc w:val="center"/>
        </w:trPr>
        <w:tc>
          <w:tcPr>
            <w:tcW w:w="1368" w:type="pct"/>
            <w:tcBorders>
              <w:top w:val="nil"/>
              <w:left w:val="single" w:sz="4" w:space="0" w:color="auto"/>
              <w:bottom w:val="single" w:sz="4" w:space="0" w:color="auto"/>
              <w:right w:val="single" w:sz="4" w:space="0" w:color="auto"/>
            </w:tcBorders>
            <w:shd w:val="clear" w:color="auto" w:fill="F2F2F2"/>
            <w:hideMark/>
          </w:tcPr>
          <w:p w14:paraId="4A1487A8" w14:textId="77777777" w:rsidR="00CA2E41" w:rsidRDefault="00CA2E41" w:rsidP="00E30FAC">
            <w:pPr>
              <w:spacing w:line="256" w:lineRule="auto"/>
              <w:rPr>
                <w:b/>
                <w:iCs/>
                <w:sz w:val="22"/>
                <w:lang w:eastAsia="en-US"/>
              </w:rPr>
            </w:pPr>
            <w:proofErr w:type="spellStart"/>
            <w:r>
              <w:rPr>
                <w:iCs/>
                <w:sz w:val="22"/>
                <w:lang w:eastAsia="en-US"/>
              </w:rPr>
              <w:t>Pertaktinas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50CB4" w14:textId="77777777" w:rsidR="00CA2E41" w:rsidRDefault="00CA2E41" w:rsidP="00E30FAC">
            <w:pPr>
              <w:tabs>
                <w:tab w:val="clear" w:pos="567"/>
              </w:tabs>
              <w:spacing w:line="256" w:lineRule="auto"/>
              <w:rPr>
                <w:iCs/>
                <w:sz w:val="22"/>
                <w:lang w:eastAsia="en-US"/>
              </w:rPr>
            </w:pPr>
          </w:p>
        </w:tc>
        <w:tc>
          <w:tcPr>
            <w:tcW w:w="1214" w:type="pct"/>
            <w:tcBorders>
              <w:top w:val="nil"/>
              <w:left w:val="single" w:sz="4" w:space="0" w:color="auto"/>
              <w:bottom w:val="single" w:sz="4" w:space="0" w:color="auto"/>
              <w:right w:val="single" w:sz="4" w:space="0" w:color="auto"/>
            </w:tcBorders>
            <w:hideMark/>
          </w:tcPr>
          <w:p w14:paraId="26E5129C" w14:textId="0246133E" w:rsidR="00CA2E41" w:rsidRDefault="00CA2E41" w:rsidP="00E30FAC">
            <w:pPr>
              <w:spacing w:line="256" w:lineRule="auto"/>
              <w:rPr>
                <w:iCs/>
                <w:sz w:val="22"/>
                <w:lang w:eastAsia="en-US"/>
              </w:rPr>
            </w:pPr>
            <w:r>
              <w:rPr>
                <w:iCs/>
                <w:sz w:val="22"/>
                <w:lang w:eastAsia="en-US"/>
              </w:rPr>
              <w:t>97,1</w:t>
            </w:r>
            <w:r w:rsidR="00F408F7">
              <w:rPr>
                <w:iCs/>
                <w:sz w:val="22"/>
                <w:lang w:eastAsia="en-US"/>
              </w:rPr>
              <w:t> </w:t>
            </w:r>
            <w:r>
              <w:rPr>
                <w:iCs/>
                <w:sz w:val="22"/>
                <w:lang w:eastAsia="en-US"/>
              </w:rPr>
              <w:t>%</w:t>
            </w:r>
          </w:p>
        </w:tc>
        <w:tc>
          <w:tcPr>
            <w:tcW w:w="1407" w:type="pct"/>
            <w:tcBorders>
              <w:top w:val="nil"/>
              <w:left w:val="single" w:sz="4" w:space="0" w:color="auto"/>
              <w:bottom w:val="single" w:sz="4" w:space="0" w:color="auto"/>
              <w:right w:val="single" w:sz="4" w:space="0" w:color="auto"/>
            </w:tcBorders>
            <w:hideMark/>
          </w:tcPr>
          <w:p w14:paraId="3D07AD82" w14:textId="77EF3B93" w:rsidR="00CA2E41" w:rsidRDefault="00CA2E41" w:rsidP="00E30FAC">
            <w:pPr>
              <w:spacing w:line="256" w:lineRule="auto"/>
              <w:rPr>
                <w:iCs/>
                <w:sz w:val="22"/>
                <w:lang w:eastAsia="en-US"/>
              </w:rPr>
            </w:pPr>
            <w:r>
              <w:rPr>
                <w:iCs/>
                <w:sz w:val="22"/>
                <w:lang w:eastAsia="en-US"/>
              </w:rPr>
              <w:t>88,7</w:t>
            </w:r>
            <w:r w:rsidR="00D91191">
              <w:rPr>
                <w:iCs/>
                <w:sz w:val="22"/>
                <w:lang w:eastAsia="en-US"/>
              </w:rPr>
              <w:t> </w:t>
            </w:r>
            <w:r>
              <w:rPr>
                <w:iCs/>
                <w:sz w:val="22"/>
                <w:lang w:eastAsia="en-US"/>
              </w:rPr>
              <w:t>%</w:t>
            </w:r>
          </w:p>
        </w:tc>
      </w:tr>
      <w:tr w:rsidR="00DB3AA4" w14:paraId="41B2A383" w14:textId="77777777" w:rsidTr="00CA2E41">
        <w:trPr>
          <w:trHeight w:val="339"/>
          <w:jc w:val="center"/>
        </w:trPr>
        <w:tc>
          <w:tcPr>
            <w:tcW w:w="1368" w:type="pct"/>
            <w:tcBorders>
              <w:top w:val="single" w:sz="4" w:space="0" w:color="auto"/>
              <w:left w:val="single" w:sz="4" w:space="0" w:color="auto"/>
              <w:bottom w:val="nil"/>
              <w:right w:val="single" w:sz="4" w:space="0" w:color="auto"/>
            </w:tcBorders>
            <w:shd w:val="clear" w:color="auto" w:fill="F2F2F2"/>
            <w:hideMark/>
          </w:tcPr>
          <w:p w14:paraId="6B4E924B" w14:textId="77777777" w:rsidR="00CA2E41" w:rsidRDefault="00CA2E41" w:rsidP="00E30FAC">
            <w:pPr>
              <w:spacing w:line="256" w:lineRule="auto"/>
              <w:rPr>
                <w:b/>
                <w:iCs/>
                <w:sz w:val="22"/>
                <w:lang w:eastAsia="en-US"/>
              </w:rPr>
            </w:pPr>
            <w:proofErr w:type="spellStart"/>
            <w:r>
              <w:rPr>
                <w:b/>
                <w:iCs/>
                <w:sz w:val="22"/>
                <w:lang w:eastAsia="en-US"/>
              </w:rPr>
              <w:t>Inaktyvuoto</w:t>
            </w:r>
            <w:proofErr w:type="spellEnd"/>
            <w:r>
              <w:rPr>
                <w:b/>
                <w:iCs/>
                <w:sz w:val="22"/>
                <w:lang w:eastAsia="en-US"/>
              </w:rPr>
              <w:t xml:space="preserve"> </w:t>
            </w:r>
            <w:proofErr w:type="spellStart"/>
            <w:r>
              <w:rPr>
                <w:b/>
                <w:iCs/>
                <w:sz w:val="22"/>
                <w:lang w:eastAsia="en-US"/>
              </w:rPr>
              <w:t>polioviruso</w:t>
            </w:r>
            <w:proofErr w:type="spellEnd"/>
          </w:p>
        </w:tc>
        <w:tc>
          <w:tcPr>
            <w:tcW w:w="1011" w:type="pct"/>
            <w:vMerge w:val="restart"/>
            <w:tcBorders>
              <w:top w:val="single" w:sz="4" w:space="0" w:color="auto"/>
              <w:left w:val="single" w:sz="4" w:space="0" w:color="auto"/>
              <w:bottom w:val="single" w:sz="4" w:space="0" w:color="auto"/>
              <w:right w:val="single" w:sz="4" w:space="0" w:color="auto"/>
            </w:tcBorders>
            <w:vAlign w:val="center"/>
            <w:hideMark/>
          </w:tcPr>
          <w:p w14:paraId="404F3BE9" w14:textId="77777777" w:rsidR="00CA2E41" w:rsidRDefault="00CA2E41" w:rsidP="00E30FAC">
            <w:pPr>
              <w:spacing w:line="256" w:lineRule="auto"/>
              <w:rPr>
                <w:iCs/>
                <w:sz w:val="22"/>
                <w:lang w:eastAsia="en-US"/>
              </w:rPr>
            </w:pPr>
            <w:r>
              <w:rPr>
                <w:iCs/>
                <w:sz w:val="22"/>
                <w:lang w:eastAsia="en-US"/>
              </w:rPr>
              <w:sym w:font="Symbol" w:char="F0B3"/>
            </w:r>
            <w:r>
              <w:rPr>
                <w:bCs/>
                <w:iCs/>
                <w:sz w:val="22"/>
                <w:lang w:eastAsia="en-US"/>
              </w:rPr>
              <w:t xml:space="preserve"> 8 </w:t>
            </w:r>
            <w:r>
              <w:rPr>
                <w:bCs/>
                <w:i/>
                <w:iCs/>
                <w:sz w:val="22"/>
                <w:lang w:eastAsia="en-US"/>
              </w:rPr>
              <w:t>ED</w:t>
            </w:r>
            <w:r>
              <w:rPr>
                <w:bCs/>
                <w:iCs/>
                <w:sz w:val="22"/>
                <w:vertAlign w:val="subscript"/>
                <w:lang w:eastAsia="en-US"/>
              </w:rPr>
              <w:t>50</w:t>
            </w:r>
          </w:p>
        </w:tc>
        <w:tc>
          <w:tcPr>
            <w:tcW w:w="1214" w:type="pct"/>
            <w:tcBorders>
              <w:top w:val="single" w:sz="4" w:space="0" w:color="auto"/>
              <w:left w:val="single" w:sz="4" w:space="0" w:color="auto"/>
              <w:bottom w:val="nil"/>
              <w:right w:val="single" w:sz="4" w:space="0" w:color="auto"/>
            </w:tcBorders>
          </w:tcPr>
          <w:p w14:paraId="3ABA2C71" w14:textId="77777777" w:rsidR="00CA2E41" w:rsidRDefault="00CA2E41" w:rsidP="00E30FAC">
            <w:pPr>
              <w:spacing w:line="256" w:lineRule="auto"/>
              <w:rPr>
                <w:iCs/>
                <w:sz w:val="22"/>
                <w:lang w:eastAsia="en-US"/>
              </w:rPr>
            </w:pPr>
          </w:p>
        </w:tc>
        <w:tc>
          <w:tcPr>
            <w:tcW w:w="1407" w:type="pct"/>
            <w:tcBorders>
              <w:top w:val="single" w:sz="4" w:space="0" w:color="auto"/>
              <w:left w:val="single" w:sz="4" w:space="0" w:color="auto"/>
              <w:bottom w:val="nil"/>
              <w:right w:val="single" w:sz="4" w:space="0" w:color="auto"/>
            </w:tcBorders>
          </w:tcPr>
          <w:p w14:paraId="1347B9E1" w14:textId="77777777" w:rsidR="00CA2E41" w:rsidRDefault="00CA2E41" w:rsidP="00E30FAC">
            <w:pPr>
              <w:spacing w:line="256" w:lineRule="auto"/>
              <w:rPr>
                <w:iCs/>
                <w:sz w:val="22"/>
                <w:lang w:eastAsia="en-US"/>
              </w:rPr>
            </w:pPr>
          </w:p>
        </w:tc>
      </w:tr>
      <w:tr w:rsidR="00DB3AA4" w14:paraId="199E95B3" w14:textId="77777777" w:rsidTr="00CA2E41">
        <w:trPr>
          <w:trHeight w:val="274"/>
          <w:jc w:val="center"/>
        </w:trPr>
        <w:tc>
          <w:tcPr>
            <w:tcW w:w="1368" w:type="pct"/>
            <w:tcBorders>
              <w:top w:val="nil"/>
              <w:left w:val="single" w:sz="4" w:space="0" w:color="auto"/>
              <w:bottom w:val="nil"/>
              <w:right w:val="single" w:sz="4" w:space="0" w:color="auto"/>
            </w:tcBorders>
            <w:shd w:val="clear" w:color="auto" w:fill="F2F2F2"/>
            <w:hideMark/>
          </w:tcPr>
          <w:p w14:paraId="7D37A9F5" w14:textId="77777777" w:rsidR="00CA2E41" w:rsidRDefault="00CA2E41" w:rsidP="00E30FAC">
            <w:pPr>
              <w:spacing w:line="256" w:lineRule="auto"/>
              <w:rPr>
                <w:iCs/>
                <w:sz w:val="22"/>
                <w:lang w:eastAsia="en-US"/>
              </w:rPr>
            </w:pPr>
            <w:r>
              <w:rPr>
                <w:iCs/>
                <w:sz w:val="22"/>
                <w:lang w:eastAsia="en-US"/>
              </w:rPr>
              <w:t>1-ojo tipo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0263F" w14:textId="77777777" w:rsidR="00CA2E41" w:rsidRDefault="00CA2E41" w:rsidP="00E30FAC">
            <w:pPr>
              <w:tabs>
                <w:tab w:val="clear" w:pos="567"/>
              </w:tabs>
              <w:spacing w:line="256" w:lineRule="auto"/>
              <w:rPr>
                <w:iCs/>
                <w:sz w:val="22"/>
                <w:lang w:eastAsia="en-US"/>
              </w:rPr>
            </w:pPr>
          </w:p>
        </w:tc>
        <w:tc>
          <w:tcPr>
            <w:tcW w:w="1214" w:type="pct"/>
            <w:tcBorders>
              <w:top w:val="nil"/>
              <w:left w:val="single" w:sz="4" w:space="0" w:color="auto"/>
              <w:bottom w:val="nil"/>
              <w:right w:val="single" w:sz="4" w:space="0" w:color="auto"/>
            </w:tcBorders>
            <w:hideMark/>
          </w:tcPr>
          <w:p w14:paraId="5E481DAB" w14:textId="555CEC44" w:rsidR="00CA2E41" w:rsidRDefault="00CA2E41" w:rsidP="00E30FAC">
            <w:pPr>
              <w:spacing w:line="256" w:lineRule="auto"/>
              <w:rPr>
                <w:iCs/>
                <w:sz w:val="22"/>
                <w:lang w:eastAsia="en-US"/>
              </w:rPr>
            </w:pPr>
            <w:r>
              <w:rPr>
                <w:iCs/>
                <w:sz w:val="22"/>
                <w:lang w:eastAsia="en-US"/>
              </w:rPr>
              <w:t>98,8</w:t>
            </w:r>
            <w:r w:rsidR="00F408F7">
              <w:rPr>
                <w:iCs/>
                <w:sz w:val="22"/>
                <w:lang w:eastAsia="en-US"/>
              </w:rPr>
              <w:t> </w:t>
            </w:r>
            <w:r>
              <w:rPr>
                <w:iCs/>
                <w:sz w:val="22"/>
                <w:lang w:eastAsia="en-US"/>
              </w:rPr>
              <w:t>%</w:t>
            </w:r>
          </w:p>
        </w:tc>
        <w:tc>
          <w:tcPr>
            <w:tcW w:w="1407" w:type="pct"/>
            <w:tcBorders>
              <w:top w:val="nil"/>
              <w:left w:val="single" w:sz="4" w:space="0" w:color="auto"/>
              <w:bottom w:val="nil"/>
              <w:right w:val="single" w:sz="4" w:space="0" w:color="auto"/>
            </w:tcBorders>
            <w:hideMark/>
          </w:tcPr>
          <w:p w14:paraId="0FA720B6" w14:textId="753E0D3B" w:rsidR="00CA2E41" w:rsidRDefault="00CA2E41" w:rsidP="00E30FAC">
            <w:pPr>
              <w:spacing w:line="256" w:lineRule="auto"/>
              <w:rPr>
                <w:iCs/>
                <w:sz w:val="22"/>
                <w:lang w:eastAsia="en-US"/>
              </w:rPr>
            </w:pPr>
            <w:r>
              <w:rPr>
                <w:iCs/>
                <w:sz w:val="22"/>
                <w:lang w:eastAsia="en-US"/>
              </w:rPr>
              <w:t>100</w:t>
            </w:r>
            <w:r w:rsidR="00D91191">
              <w:rPr>
                <w:iCs/>
                <w:sz w:val="22"/>
                <w:lang w:eastAsia="en-US"/>
              </w:rPr>
              <w:t> </w:t>
            </w:r>
            <w:r>
              <w:rPr>
                <w:iCs/>
                <w:sz w:val="22"/>
                <w:lang w:eastAsia="en-US"/>
              </w:rPr>
              <w:t>%</w:t>
            </w:r>
          </w:p>
        </w:tc>
      </w:tr>
      <w:tr w:rsidR="00DB3AA4" w14:paraId="44CC997B" w14:textId="77777777" w:rsidTr="00CA2E41">
        <w:trPr>
          <w:trHeight w:val="277"/>
          <w:jc w:val="center"/>
        </w:trPr>
        <w:tc>
          <w:tcPr>
            <w:tcW w:w="1368" w:type="pct"/>
            <w:tcBorders>
              <w:top w:val="nil"/>
              <w:left w:val="single" w:sz="4" w:space="0" w:color="auto"/>
              <w:bottom w:val="nil"/>
              <w:right w:val="single" w:sz="4" w:space="0" w:color="auto"/>
            </w:tcBorders>
            <w:shd w:val="clear" w:color="auto" w:fill="F2F2F2"/>
            <w:hideMark/>
          </w:tcPr>
          <w:p w14:paraId="73E1B49D" w14:textId="77777777" w:rsidR="00CA2E41" w:rsidRDefault="00CA2E41" w:rsidP="00E30FAC">
            <w:pPr>
              <w:spacing w:line="256" w:lineRule="auto"/>
              <w:rPr>
                <w:iCs/>
                <w:sz w:val="22"/>
                <w:lang w:eastAsia="en-US"/>
              </w:rPr>
            </w:pPr>
            <w:r>
              <w:rPr>
                <w:iCs/>
                <w:sz w:val="22"/>
                <w:lang w:eastAsia="en-US"/>
              </w:rPr>
              <w:t>2-ojo tipo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ADAE7" w14:textId="77777777" w:rsidR="00CA2E41" w:rsidRDefault="00CA2E41" w:rsidP="00E30FAC">
            <w:pPr>
              <w:tabs>
                <w:tab w:val="clear" w:pos="567"/>
              </w:tabs>
              <w:spacing w:line="256" w:lineRule="auto"/>
              <w:rPr>
                <w:iCs/>
                <w:sz w:val="22"/>
                <w:lang w:eastAsia="en-US"/>
              </w:rPr>
            </w:pPr>
          </w:p>
        </w:tc>
        <w:tc>
          <w:tcPr>
            <w:tcW w:w="1214" w:type="pct"/>
            <w:tcBorders>
              <w:top w:val="nil"/>
              <w:left w:val="single" w:sz="4" w:space="0" w:color="auto"/>
              <w:bottom w:val="nil"/>
              <w:right w:val="single" w:sz="4" w:space="0" w:color="auto"/>
            </w:tcBorders>
            <w:hideMark/>
          </w:tcPr>
          <w:p w14:paraId="4B0CB11A" w14:textId="68E0E1A0" w:rsidR="00CA2E41" w:rsidRDefault="00CA2E41" w:rsidP="00E30FAC">
            <w:pPr>
              <w:spacing w:line="256" w:lineRule="auto"/>
              <w:rPr>
                <w:iCs/>
                <w:sz w:val="22"/>
                <w:lang w:eastAsia="en-US"/>
              </w:rPr>
            </w:pPr>
            <w:r>
              <w:rPr>
                <w:iCs/>
                <w:sz w:val="22"/>
                <w:lang w:eastAsia="en-US"/>
              </w:rPr>
              <w:t>99,7</w:t>
            </w:r>
            <w:r w:rsidR="00F408F7">
              <w:rPr>
                <w:iCs/>
                <w:sz w:val="22"/>
                <w:lang w:eastAsia="en-US"/>
              </w:rPr>
              <w:t> </w:t>
            </w:r>
            <w:r>
              <w:rPr>
                <w:iCs/>
                <w:sz w:val="22"/>
                <w:lang w:eastAsia="en-US"/>
              </w:rPr>
              <w:t>%</w:t>
            </w:r>
          </w:p>
        </w:tc>
        <w:tc>
          <w:tcPr>
            <w:tcW w:w="1407" w:type="pct"/>
            <w:tcBorders>
              <w:top w:val="nil"/>
              <w:left w:val="single" w:sz="4" w:space="0" w:color="auto"/>
              <w:bottom w:val="nil"/>
              <w:right w:val="single" w:sz="4" w:space="0" w:color="auto"/>
            </w:tcBorders>
            <w:hideMark/>
          </w:tcPr>
          <w:p w14:paraId="40F2FC7A" w14:textId="688E792E" w:rsidR="00CA2E41" w:rsidRDefault="00CA2E41" w:rsidP="00E30FAC">
            <w:pPr>
              <w:spacing w:line="256" w:lineRule="auto"/>
              <w:rPr>
                <w:iCs/>
                <w:sz w:val="22"/>
                <w:lang w:eastAsia="en-US"/>
              </w:rPr>
            </w:pPr>
            <w:r>
              <w:rPr>
                <w:iCs/>
                <w:sz w:val="22"/>
                <w:lang w:eastAsia="en-US"/>
              </w:rPr>
              <w:t>100</w:t>
            </w:r>
            <w:r w:rsidR="00D91191">
              <w:rPr>
                <w:iCs/>
                <w:sz w:val="22"/>
                <w:lang w:eastAsia="en-US"/>
              </w:rPr>
              <w:t> </w:t>
            </w:r>
            <w:r>
              <w:rPr>
                <w:iCs/>
                <w:sz w:val="22"/>
                <w:lang w:eastAsia="en-US"/>
              </w:rPr>
              <w:t>%</w:t>
            </w:r>
          </w:p>
        </w:tc>
      </w:tr>
      <w:tr w:rsidR="00DB3AA4" w14:paraId="07A394AE" w14:textId="77777777" w:rsidTr="00CA2E41">
        <w:trPr>
          <w:trHeight w:val="209"/>
          <w:jc w:val="center"/>
        </w:trPr>
        <w:tc>
          <w:tcPr>
            <w:tcW w:w="1368" w:type="pct"/>
            <w:tcBorders>
              <w:top w:val="nil"/>
              <w:left w:val="single" w:sz="4" w:space="0" w:color="auto"/>
              <w:bottom w:val="single" w:sz="4" w:space="0" w:color="auto"/>
              <w:right w:val="single" w:sz="4" w:space="0" w:color="auto"/>
            </w:tcBorders>
            <w:shd w:val="clear" w:color="auto" w:fill="F2F2F2"/>
            <w:hideMark/>
          </w:tcPr>
          <w:p w14:paraId="7828D042" w14:textId="77777777" w:rsidR="00CA2E41" w:rsidRDefault="00CA2E41" w:rsidP="00E30FAC">
            <w:pPr>
              <w:spacing w:line="256" w:lineRule="auto"/>
              <w:rPr>
                <w:b/>
                <w:iCs/>
                <w:sz w:val="22"/>
                <w:lang w:eastAsia="en-US"/>
              </w:rPr>
            </w:pPr>
            <w:r>
              <w:rPr>
                <w:iCs/>
                <w:sz w:val="22"/>
                <w:lang w:eastAsia="en-US"/>
              </w:rPr>
              <w:t>3-ojo tipo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A663E" w14:textId="77777777" w:rsidR="00CA2E41" w:rsidRDefault="00CA2E41" w:rsidP="00E30FAC">
            <w:pPr>
              <w:tabs>
                <w:tab w:val="clear" w:pos="567"/>
              </w:tabs>
              <w:spacing w:line="256" w:lineRule="auto"/>
              <w:rPr>
                <w:iCs/>
                <w:sz w:val="22"/>
                <w:lang w:eastAsia="en-US"/>
              </w:rPr>
            </w:pPr>
          </w:p>
        </w:tc>
        <w:tc>
          <w:tcPr>
            <w:tcW w:w="1214" w:type="pct"/>
            <w:tcBorders>
              <w:top w:val="nil"/>
              <w:left w:val="single" w:sz="4" w:space="0" w:color="auto"/>
              <w:bottom w:val="single" w:sz="4" w:space="0" w:color="auto"/>
              <w:right w:val="single" w:sz="4" w:space="0" w:color="auto"/>
            </w:tcBorders>
            <w:hideMark/>
          </w:tcPr>
          <w:p w14:paraId="7FC13282" w14:textId="163C9E74" w:rsidR="00CA2E41" w:rsidRDefault="00CA2E41" w:rsidP="00E30FAC">
            <w:pPr>
              <w:spacing w:line="256" w:lineRule="auto"/>
              <w:rPr>
                <w:iCs/>
                <w:sz w:val="22"/>
                <w:lang w:eastAsia="en-US"/>
              </w:rPr>
            </w:pPr>
            <w:r>
              <w:rPr>
                <w:iCs/>
                <w:sz w:val="22"/>
                <w:lang w:eastAsia="en-US"/>
              </w:rPr>
              <w:t>97,1</w:t>
            </w:r>
            <w:r w:rsidR="00F408F7">
              <w:rPr>
                <w:iCs/>
                <w:sz w:val="22"/>
                <w:lang w:eastAsia="en-US"/>
              </w:rPr>
              <w:t> </w:t>
            </w:r>
            <w:r>
              <w:rPr>
                <w:iCs/>
                <w:sz w:val="22"/>
                <w:lang w:eastAsia="en-US"/>
              </w:rPr>
              <w:t>%</w:t>
            </w:r>
          </w:p>
        </w:tc>
        <w:tc>
          <w:tcPr>
            <w:tcW w:w="1407" w:type="pct"/>
            <w:tcBorders>
              <w:top w:val="nil"/>
              <w:left w:val="single" w:sz="4" w:space="0" w:color="auto"/>
              <w:bottom w:val="single" w:sz="4" w:space="0" w:color="auto"/>
              <w:right w:val="single" w:sz="4" w:space="0" w:color="auto"/>
            </w:tcBorders>
            <w:hideMark/>
          </w:tcPr>
          <w:p w14:paraId="31BBAB33" w14:textId="3CCBD784" w:rsidR="00CA2E41" w:rsidRDefault="00CA2E41" w:rsidP="00E30FAC">
            <w:pPr>
              <w:spacing w:line="256" w:lineRule="auto"/>
              <w:rPr>
                <w:iCs/>
                <w:sz w:val="22"/>
                <w:lang w:eastAsia="en-US"/>
              </w:rPr>
            </w:pPr>
            <w:r>
              <w:rPr>
                <w:iCs/>
                <w:sz w:val="22"/>
                <w:lang w:eastAsia="en-US"/>
              </w:rPr>
              <w:t>98,3</w:t>
            </w:r>
            <w:r w:rsidR="00D91191">
              <w:rPr>
                <w:iCs/>
                <w:sz w:val="22"/>
                <w:lang w:eastAsia="en-US"/>
              </w:rPr>
              <w:t> </w:t>
            </w:r>
            <w:r>
              <w:rPr>
                <w:iCs/>
                <w:sz w:val="22"/>
                <w:lang w:eastAsia="en-US"/>
              </w:rPr>
              <w:t>%</w:t>
            </w:r>
          </w:p>
        </w:tc>
      </w:tr>
    </w:tbl>
    <w:p w14:paraId="298B7FD3" w14:textId="7317BBD1" w:rsidR="00CA2E41" w:rsidRDefault="00CA2E41" w:rsidP="00CA2E41">
      <w:pPr>
        <w:rPr>
          <w:sz w:val="22"/>
        </w:rPr>
      </w:pPr>
      <w:r>
        <w:rPr>
          <w:sz w:val="22"/>
        </w:rPr>
        <w:t xml:space="preserve">* Remiantis VERO ląstelių neutralizacijos mėginio </w:t>
      </w:r>
      <w:proofErr w:type="spellStart"/>
      <w:r>
        <w:rPr>
          <w:i/>
          <w:sz w:val="22"/>
        </w:rPr>
        <w:t>in-vitro</w:t>
      </w:r>
      <w:proofErr w:type="spellEnd"/>
      <w:r>
        <w:rPr>
          <w:sz w:val="22"/>
        </w:rPr>
        <w:t xml:space="preserve"> duomenimis, 98,2</w:t>
      </w:r>
      <w:r w:rsidR="00D91191">
        <w:rPr>
          <w:sz w:val="22"/>
        </w:rPr>
        <w:t> </w:t>
      </w:r>
      <w:r>
        <w:rPr>
          <w:sz w:val="22"/>
        </w:rPr>
        <w:t>% tiriamųjų antikūnų koncentracijos, susijusios su apsauga nuo ligos, buvo 0,016 TV/ml ir didesnės.</w:t>
      </w:r>
    </w:p>
    <w:p w14:paraId="67B3865C" w14:textId="708D2B19" w:rsidR="00CA2E41" w:rsidRDefault="00CA2E41" w:rsidP="00CA2E41">
      <w:pPr>
        <w:rPr>
          <w:sz w:val="22"/>
        </w:rPr>
      </w:pPr>
      <w:r>
        <w:rPr>
          <w:sz w:val="22"/>
        </w:rPr>
        <w:t xml:space="preserve">** Remiantis VERO ląstelių neutralizacijos mėginio </w:t>
      </w:r>
      <w:proofErr w:type="spellStart"/>
      <w:r>
        <w:rPr>
          <w:i/>
          <w:sz w:val="22"/>
        </w:rPr>
        <w:t>in-vitro</w:t>
      </w:r>
      <w:proofErr w:type="spellEnd"/>
      <w:r>
        <w:rPr>
          <w:sz w:val="22"/>
        </w:rPr>
        <w:t xml:space="preserve"> duomenimis, 92,1</w:t>
      </w:r>
      <w:r w:rsidR="00D91191">
        <w:rPr>
          <w:sz w:val="22"/>
        </w:rPr>
        <w:t> </w:t>
      </w:r>
      <w:r>
        <w:rPr>
          <w:sz w:val="22"/>
        </w:rPr>
        <w:t>% tiriamųjų antikūnų koncentracijos, susijusios su apsauga nuo ligos, buvo 0,01 TV/ml ir didesnės.</w:t>
      </w:r>
    </w:p>
    <w:bookmarkEnd w:id="7"/>
    <w:p w14:paraId="6D3666EA" w14:textId="77777777" w:rsidR="00CA2E41" w:rsidRDefault="00CA2E41" w:rsidP="00CA2E41">
      <w:pPr>
        <w:rPr>
          <w:sz w:val="22"/>
        </w:rPr>
      </w:pPr>
    </w:p>
    <w:p w14:paraId="5B1703A3" w14:textId="77777777" w:rsidR="00CA2E41" w:rsidRPr="00402C81" w:rsidRDefault="00CA2E41" w:rsidP="00CA2E41">
      <w:pPr>
        <w:keepNext/>
        <w:rPr>
          <w:iCs/>
          <w:sz w:val="22"/>
          <w:u w:val="single"/>
        </w:rPr>
      </w:pPr>
      <w:r w:rsidRPr="00402C81">
        <w:rPr>
          <w:iCs/>
          <w:sz w:val="22"/>
          <w:u w:val="single"/>
        </w:rPr>
        <w:t>Imuninis atsakas po pakartotinės dozės</w:t>
      </w:r>
    </w:p>
    <w:p w14:paraId="1CF35BF5" w14:textId="77777777" w:rsidR="00CA2E41" w:rsidRDefault="00CA2E41" w:rsidP="00CA2E41">
      <w:pPr>
        <w:keepNext/>
        <w:rPr>
          <w:i/>
          <w:sz w:val="22"/>
        </w:rPr>
      </w:pPr>
    </w:p>
    <w:p w14:paraId="3F1B9461" w14:textId="77777777" w:rsidR="00CA2E41" w:rsidRDefault="00CA2E41" w:rsidP="00CA2E41">
      <w:pPr>
        <w:rPr>
          <w:sz w:val="22"/>
        </w:rPr>
      </w:pPr>
      <w:r>
        <w:rPr>
          <w:sz w:val="22"/>
        </w:rPr>
        <w:t xml:space="preserve">Buvo įvertintas </w:t>
      </w:r>
      <w:bookmarkStart w:id="8" w:name="_Hlk500233294"/>
      <w:r>
        <w:rPr>
          <w:sz w:val="22"/>
        </w:rPr>
        <w:t xml:space="preserve">BOOSTRIX POLIO </w:t>
      </w:r>
      <w:bookmarkEnd w:id="8"/>
      <w:proofErr w:type="spellStart"/>
      <w:r>
        <w:rPr>
          <w:sz w:val="22"/>
        </w:rPr>
        <w:t>imunogeniškumas</w:t>
      </w:r>
      <w:proofErr w:type="spellEnd"/>
      <w:r>
        <w:rPr>
          <w:sz w:val="22"/>
        </w:rPr>
        <w:t xml:space="preserve"> praėjus 5 metams po pirmosios BOOSTRIX POLIO </w:t>
      </w:r>
      <w:proofErr w:type="spellStart"/>
      <w:r>
        <w:rPr>
          <w:sz w:val="22"/>
        </w:rPr>
        <w:t>revakcinacijos</w:t>
      </w:r>
      <w:proofErr w:type="spellEnd"/>
      <w:r>
        <w:rPr>
          <w:sz w:val="22"/>
        </w:rPr>
        <w:t xml:space="preserve"> dozės pavartojimo 4</w:t>
      </w:r>
      <w:r>
        <w:rPr>
          <w:sz w:val="22"/>
        </w:rPr>
        <w:noBreakHyphen/>
        <w:t xml:space="preserve">8 metų amžiuje. Praėjus vienam mėnesiui po vakcinacijos, daugiau kaip 99 % tiriamųjų buvo  nustatytas serologinis atsakas į kokliušą ir jiems pasireiškė serologinė apsauga nuo difterijos, stabligės ir visų trijų tipų </w:t>
      </w:r>
      <w:proofErr w:type="spellStart"/>
      <w:r>
        <w:rPr>
          <w:sz w:val="22"/>
        </w:rPr>
        <w:t>poliovirusų</w:t>
      </w:r>
      <w:proofErr w:type="spellEnd"/>
      <w:r>
        <w:rPr>
          <w:sz w:val="22"/>
        </w:rPr>
        <w:t>.</w:t>
      </w:r>
    </w:p>
    <w:p w14:paraId="201826EE" w14:textId="77777777" w:rsidR="00CA2E41" w:rsidRDefault="00CA2E41" w:rsidP="00CA2E41">
      <w:pPr>
        <w:rPr>
          <w:sz w:val="22"/>
        </w:rPr>
      </w:pPr>
    </w:p>
    <w:p w14:paraId="599A3C32" w14:textId="6C9B4F4D" w:rsidR="00CA2E41" w:rsidRDefault="00CA2E41" w:rsidP="00CA2E41">
      <w:pPr>
        <w:rPr>
          <w:sz w:val="22"/>
        </w:rPr>
      </w:pPr>
      <w:bookmarkStart w:id="9" w:name="_Hlk500234055"/>
      <w:r>
        <w:rPr>
          <w:sz w:val="22"/>
        </w:rPr>
        <w:t>Remiantis suaugusiųjų, kuriems praėjus 10 metų po pirmosios vakcinos dozės buvo suleista viena BOOSTRIX POLIO dozė, duomenimis, apsauginis imuninis atsakas pasireiškė daugiau kaip 96,8</w:t>
      </w:r>
      <w:r w:rsidR="00D91191">
        <w:rPr>
          <w:sz w:val="22"/>
        </w:rPr>
        <w:t> </w:t>
      </w:r>
      <w:r>
        <w:rPr>
          <w:sz w:val="22"/>
        </w:rPr>
        <w:t>% (difterijos antigenui) ir 100</w:t>
      </w:r>
      <w:r w:rsidR="00D91191">
        <w:rPr>
          <w:sz w:val="22"/>
        </w:rPr>
        <w:t> </w:t>
      </w:r>
      <w:r>
        <w:rPr>
          <w:sz w:val="22"/>
        </w:rPr>
        <w:t xml:space="preserve">% (stabligės ir polio antigenams) tiriamųjų. </w:t>
      </w:r>
      <w:proofErr w:type="spellStart"/>
      <w:r>
        <w:rPr>
          <w:sz w:val="22"/>
        </w:rPr>
        <w:t>Revakcinacijos</w:t>
      </w:r>
      <w:proofErr w:type="spellEnd"/>
      <w:r>
        <w:rPr>
          <w:sz w:val="22"/>
        </w:rPr>
        <w:t xml:space="preserve"> atsakas prieš kokliušo antigeną pasireiškė nuo 74,2 iki 98,4</w:t>
      </w:r>
      <w:r w:rsidR="00D91191">
        <w:rPr>
          <w:sz w:val="22"/>
        </w:rPr>
        <w:t> </w:t>
      </w:r>
      <w:r>
        <w:rPr>
          <w:sz w:val="22"/>
        </w:rPr>
        <w:t>% tiriamųjų.</w:t>
      </w:r>
      <w:bookmarkEnd w:id="9"/>
    </w:p>
    <w:p w14:paraId="0D042BCD" w14:textId="77777777" w:rsidR="00CA2E41" w:rsidRDefault="00CA2E41" w:rsidP="00CA2E41">
      <w:pPr>
        <w:rPr>
          <w:i/>
          <w:sz w:val="22"/>
        </w:rPr>
      </w:pPr>
    </w:p>
    <w:p w14:paraId="7410FE95" w14:textId="77777777" w:rsidR="00CA2E41" w:rsidRPr="00402C81" w:rsidRDefault="00CA2E41" w:rsidP="00CA2E41">
      <w:pPr>
        <w:rPr>
          <w:iCs/>
          <w:sz w:val="22"/>
          <w:u w:val="single"/>
        </w:rPr>
      </w:pPr>
      <w:r w:rsidRPr="00402C81">
        <w:rPr>
          <w:iCs/>
          <w:sz w:val="22"/>
          <w:u w:val="single"/>
        </w:rPr>
        <w:t xml:space="preserve">Imuninis atsakas anksčiau neskiepytiems asmenims arba asmenims, kurių </w:t>
      </w:r>
      <w:proofErr w:type="spellStart"/>
      <w:r w:rsidRPr="00402C81">
        <w:rPr>
          <w:iCs/>
          <w:sz w:val="22"/>
          <w:u w:val="single"/>
        </w:rPr>
        <w:t>vakcincijos</w:t>
      </w:r>
      <w:proofErr w:type="spellEnd"/>
      <w:r w:rsidRPr="00402C81">
        <w:rPr>
          <w:iCs/>
          <w:sz w:val="22"/>
          <w:u w:val="single"/>
        </w:rPr>
        <w:t xml:space="preserve"> istorija nežinoma</w:t>
      </w:r>
    </w:p>
    <w:p w14:paraId="4B03934A" w14:textId="77777777" w:rsidR="00CA2E41" w:rsidRDefault="00CA2E41" w:rsidP="00CA2E41">
      <w:pPr>
        <w:rPr>
          <w:i/>
          <w:sz w:val="22"/>
        </w:rPr>
      </w:pPr>
    </w:p>
    <w:p w14:paraId="63364CC8" w14:textId="69E8FB98" w:rsidR="00CA2E41" w:rsidRDefault="00CA2E41" w:rsidP="00CA2E41">
      <w:pPr>
        <w:rPr>
          <w:sz w:val="22"/>
        </w:rPr>
      </w:pPr>
      <w:r>
        <w:rPr>
          <w:sz w:val="22"/>
        </w:rPr>
        <w:t xml:space="preserve">Suleidus vieną </w:t>
      </w:r>
      <w:proofErr w:type="spellStart"/>
      <w:r>
        <w:rPr>
          <w:sz w:val="22"/>
        </w:rPr>
        <w:t>Boostrix</w:t>
      </w:r>
      <w:proofErr w:type="spellEnd"/>
      <w:r>
        <w:rPr>
          <w:sz w:val="22"/>
        </w:rPr>
        <w:t xml:space="preserve"> (BOOSTRIX POLIO </w:t>
      </w:r>
      <w:proofErr w:type="spellStart"/>
      <w:r>
        <w:rPr>
          <w:sz w:val="22"/>
        </w:rPr>
        <w:t>dTpa</w:t>
      </w:r>
      <w:proofErr w:type="spellEnd"/>
      <w:r>
        <w:rPr>
          <w:sz w:val="22"/>
        </w:rPr>
        <w:t xml:space="preserve"> komponentas) dozę 83 paaugliams nuo 11 iki 18</w:t>
      </w:r>
      <w:r w:rsidR="00493E7B">
        <w:rPr>
          <w:sz w:val="22"/>
        </w:rPr>
        <w:t> </w:t>
      </w:r>
      <w:r>
        <w:rPr>
          <w:sz w:val="22"/>
        </w:rPr>
        <w:t>metų, kurie anksčiau nebuvo skiepyti nuo kokliušo ir nebuvo skiepyti nuo difterijos ar stabligės per praėjusius 5</w:t>
      </w:r>
      <w:r w:rsidR="00D91191">
        <w:rPr>
          <w:sz w:val="22"/>
        </w:rPr>
        <w:t> </w:t>
      </w:r>
      <w:r>
        <w:rPr>
          <w:sz w:val="22"/>
        </w:rPr>
        <w:t xml:space="preserve">metus, visiems tiriamiesiems pasireiškė serologinė apsauga nuo stabligės ir difterijos. </w:t>
      </w:r>
      <w:proofErr w:type="spellStart"/>
      <w:r>
        <w:rPr>
          <w:sz w:val="22"/>
        </w:rPr>
        <w:t>Seropozityvumas</w:t>
      </w:r>
      <w:proofErr w:type="spellEnd"/>
      <w:r>
        <w:rPr>
          <w:sz w:val="22"/>
        </w:rPr>
        <w:t xml:space="preserve"> skirtingiems kokliušo antigenams buvo nuo 87 % iki 100</w:t>
      </w:r>
      <w:r w:rsidR="00493E7B">
        <w:rPr>
          <w:sz w:val="22"/>
        </w:rPr>
        <w:t> </w:t>
      </w:r>
      <w:r>
        <w:rPr>
          <w:sz w:val="22"/>
        </w:rPr>
        <w:t>%.</w:t>
      </w:r>
    </w:p>
    <w:p w14:paraId="352C78C3" w14:textId="77777777" w:rsidR="00CA2E41" w:rsidRDefault="00CA2E41" w:rsidP="00CA2E41">
      <w:pPr>
        <w:ind w:right="82"/>
        <w:rPr>
          <w:iCs/>
          <w:sz w:val="22"/>
        </w:rPr>
      </w:pPr>
    </w:p>
    <w:p w14:paraId="06219E18" w14:textId="2A08DF58" w:rsidR="00CA2E41" w:rsidRDefault="00CA2E41" w:rsidP="00CA2E41">
      <w:pPr>
        <w:rPr>
          <w:sz w:val="22"/>
        </w:rPr>
      </w:pPr>
      <w:r>
        <w:rPr>
          <w:sz w:val="22"/>
        </w:rPr>
        <w:t>Po vienos BOOSTRIX POLIO dozės pavartojimo 140 suaugusiųjų, kurie buvo 40 metų ar vyresni (įskaitant tuos, kurie niekada nebuvo skiepyti arba kurių vakcinacijos būklė yra nežinoma), kurie per praėjusius 20 metų nebuvo skiepyti jokia difterijos ir stabligės vakcina, daugiau kaip 96,4</w:t>
      </w:r>
      <w:r w:rsidR="00D91191">
        <w:rPr>
          <w:sz w:val="22"/>
        </w:rPr>
        <w:t> </w:t>
      </w:r>
      <w:r>
        <w:rPr>
          <w:sz w:val="22"/>
        </w:rPr>
        <w:t xml:space="preserve">% suaugusiųjų buvo </w:t>
      </w:r>
      <w:proofErr w:type="spellStart"/>
      <w:r>
        <w:rPr>
          <w:sz w:val="22"/>
        </w:rPr>
        <w:t>serologiškai</w:t>
      </w:r>
      <w:proofErr w:type="spellEnd"/>
      <w:r>
        <w:rPr>
          <w:sz w:val="22"/>
        </w:rPr>
        <w:t xml:space="preserve"> teigiami prieš visus tris kokliušo antigenus, o atitinkamai 77,7</w:t>
      </w:r>
      <w:r w:rsidR="00D91191">
        <w:rPr>
          <w:sz w:val="22"/>
        </w:rPr>
        <w:t> </w:t>
      </w:r>
      <w:r>
        <w:rPr>
          <w:sz w:val="22"/>
        </w:rPr>
        <w:t>% ir 95,7</w:t>
      </w:r>
      <w:r w:rsidR="00D91191">
        <w:rPr>
          <w:sz w:val="22"/>
        </w:rPr>
        <w:t> </w:t>
      </w:r>
      <w:r>
        <w:rPr>
          <w:sz w:val="22"/>
        </w:rPr>
        <w:t xml:space="preserve">% tiriamųjų pasireiškė </w:t>
      </w:r>
      <w:proofErr w:type="spellStart"/>
      <w:r>
        <w:rPr>
          <w:sz w:val="22"/>
        </w:rPr>
        <w:t>seroprotekcija</w:t>
      </w:r>
      <w:proofErr w:type="spellEnd"/>
      <w:r>
        <w:rPr>
          <w:sz w:val="22"/>
        </w:rPr>
        <w:t xml:space="preserve"> prieš difteriją ir stabligę.</w:t>
      </w:r>
    </w:p>
    <w:p w14:paraId="52BABC9C" w14:textId="600E630E" w:rsidR="00CA2E41" w:rsidRDefault="00CA2E41" w:rsidP="00CA2E41">
      <w:pPr>
        <w:rPr>
          <w:sz w:val="22"/>
        </w:rPr>
      </w:pPr>
    </w:p>
    <w:p w14:paraId="080A5F0C" w14:textId="7C509599" w:rsidR="00213A40" w:rsidRDefault="00213A40" w:rsidP="00213A40">
      <w:pPr>
        <w:tabs>
          <w:tab w:val="clear" w:pos="567"/>
          <w:tab w:val="left" w:pos="0"/>
        </w:tabs>
        <w:ind w:right="82"/>
        <w:rPr>
          <w:iCs/>
          <w:sz w:val="22"/>
          <w:u w:val="single"/>
        </w:rPr>
      </w:pPr>
      <w:r w:rsidRPr="001A310B">
        <w:rPr>
          <w:iCs/>
          <w:sz w:val="22"/>
          <w:u w:val="single"/>
        </w:rPr>
        <w:lastRenderedPageBreak/>
        <w:t>Imuninis atsakas ir saugumo duomenys tiriamiesiems aktyviai gydant obstrukcines kvėpavimo takų ligas</w:t>
      </w:r>
    </w:p>
    <w:p w14:paraId="3A87F7DB" w14:textId="77777777" w:rsidR="009C3562" w:rsidRPr="001A310B" w:rsidRDefault="009C3562" w:rsidP="00213A40">
      <w:pPr>
        <w:tabs>
          <w:tab w:val="clear" w:pos="567"/>
          <w:tab w:val="left" w:pos="0"/>
        </w:tabs>
        <w:ind w:right="82"/>
        <w:rPr>
          <w:iCs/>
          <w:sz w:val="22"/>
          <w:u w:val="single"/>
        </w:rPr>
      </w:pPr>
    </w:p>
    <w:p w14:paraId="10ECF1AE" w14:textId="0BE58940" w:rsidR="00213A40" w:rsidRPr="00213A40" w:rsidRDefault="00213A40" w:rsidP="00213A40">
      <w:pPr>
        <w:tabs>
          <w:tab w:val="clear" w:pos="567"/>
          <w:tab w:val="left" w:pos="0"/>
        </w:tabs>
        <w:ind w:right="82"/>
        <w:rPr>
          <w:iCs/>
          <w:sz w:val="22"/>
        </w:rPr>
      </w:pPr>
      <w:proofErr w:type="spellStart"/>
      <w:r w:rsidRPr="005573FB">
        <w:rPr>
          <w:iCs/>
          <w:sz w:val="22"/>
        </w:rPr>
        <w:t>Boostrix</w:t>
      </w:r>
      <w:proofErr w:type="spellEnd"/>
      <w:r w:rsidRPr="005573FB">
        <w:rPr>
          <w:iCs/>
          <w:sz w:val="22"/>
        </w:rPr>
        <w:t xml:space="preserve"> saugumas ir </w:t>
      </w:r>
      <w:proofErr w:type="spellStart"/>
      <w:r w:rsidRPr="005573FB">
        <w:rPr>
          <w:iCs/>
          <w:sz w:val="22"/>
        </w:rPr>
        <w:t>imunogeniškumas</w:t>
      </w:r>
      <w:proofErr w:type="spellEnd"/>
      <w:r w:rsidRPr="005573FB">
        <w:rPr>
          <w:iCs/>
          <w:sz w:val="22"/>
        </w:rPr>
        <w:t xml:space="preserve"> buvo tirti</w:t>
      </w:r>
      <w:r w:rsidRPr="005573FB">
        <w:rPr>
          <w:sz w:val="22"/>
        </w:rPr>
        <w:t xml:space="preserve"> atlikus </w:t>
      </w:r>
      <w:r w:rsidRPr="005573FB">
        <w:rPr>
          <w:iCs/>
          <w:sz w:val="22"/>
        </w:rPr>
        <w:t xml:space="preserve">aprašomąjį </w:t>
      </w:r>
      <w:proofErr w:type="spellStart"/>
      <w:r w:rsidRPr="005573FB">
        <w:rPr>
          <w:iCs/>
          <w:sz w:val="22"/>
        </w:rPr>
        <w:t>metaanalizės</w:t>
      </w:r>
      <w:proofErr w:type="spellEnd"/>
      <w:r w:rsidRPr="005573FB">
        <w:rPr>
          <w:iCs/>
          <w:sz w:val="22"/>
        </w:rPr>
        <w:t xml:space="preserve"> tyrimą, apjungus </w:t>
      </w:r>
      <w:r w:rsidRPr="001A310B">
        <w:rPr>
          <w:iCs/>
          <w:sz w:val="22"/>
        </w:rPr>
        <w:t>222</w:t>
      </w:r>
      <w:r w:rsidRPr="005573FB">
        <w:rPr>
          <w:iCs/>
          <w:sz w:val="22"/>
        </w:rPr>
        <w:t xml:space="preserve"> tiriamųjų, kuriems yra </w:t>
      </w:r>
      <w:r w:rsidRPr="001A310B">
        <w:rPr>
          <w:iCs/>
          <w:sz w:val="22"/>
        </w:rPr>
        <w:t>18</w:t>
      </w:r>
      <w:r w:rsidRPr="005573FB">
        <w:rPr>
          <w:iCs/>
          <w:sz w:val="22"/>
        </w:rPr>
        <w:t xml:space="preserve"> ar daugiau metų, paskiepytų </w:t>
      </w:r>
      <w:proofErr w:type="spellStart"/>
      <w:r w:rsidRPr="005573FB">
        <w:rPr>
          <w:iCs/>
          <w:sz w:val="22"/>
        </w:rPr>
        <w:t>Boostrix</w:t>
      </w:r>
      <w:proofErr w:type="spellEnd"/>
      <w:r w:rsidRPr="005573FB">
        <w:rPr>
          <w:iCs/>
          <w:sz w:val="22"/>
        </w:rPr>
        <w:t xml:space="preserve"> </w:t>
      </w:r>
      <w:r w:rsidRPr="00507177">
        <w:rPr>
          <w:iCs/>
          <w:sz w:val="22"/>
        </w:rPr>
        <w:t>aktyvaus obstrukcin</w:t>
      </w:r>
      <w:r w:rsidR="009A1A84" w:rsidRPr="00507177">
        <w:rPr>
          <w:iCs/>
          <w:sz w:val="22"/>
        </w:rPr>
        <w:t>ių</w:t>
      </w:r>
      <w:r w:rsidRPr="00507177">
        <w:rPr>
          <w:iCs/>
          <w:sz w:val="22"/>
        </w:rPr>
        <w:t xml:space="preserve"> </w:t>
      </w:r>
      <w:r w:rsidR="009A1A84" w:rsidRPr="00507177">
        <w:rPr>
          <w:iCs/>
          <w:sz w:val="22"/>
        </w:rPr>
        <w:t>kvėpavimo takų</w:t>
      </w:r>
      <w:r w:rsidRPr="00507177">
        <w:rPr>
          <w:iCs/>
          <w:sz w:val="22"/>
        </w:rPr>
        <w:t xml:space="preserve"> lig</w:t>
      </w:r>
      <w:r w:rsidR="009A1A84" w:rsidRPr="00507177">
        <w:rPr>
          <w:iCs/>
          <w:sz w:val="22"/>
        </w:rPr>
        <w:t>ų, tokių kaip astma ar lėtinė obstrukcinė plaučių liga (LOPL)</w:t>
      </w:r>
      <w:r w:rsidRPr="00507177">
        <w:rPr>
          <w:iCs/>
          <w:sz w:val="22"/>
        </w:rPr>
        <w:t xml:space="preserve"> gydymo metu.</w:t>
      </w:r>
      <w:r w:rsidRPr="005573FB">
        <w:rPr>
          <w:iCs/>
          <w:sz w:val="22"/>
        </w:rPr>
        <w:t xml:space="preserve"> Praėjus vienam mėnesiui po paskiepijimo </w:t>
      </w:r>
      <w:proofErr w:type="spellStart"/>
      <w:r w:rsidRPr="005573FB">
        <w:rPr>
          <w:iCs/>
          <w:sz w:val="22"/>
        </w:rPr>
        <w:t>Boostrix</w:t>
      </w:r>
      <w:proofErr w:type="spellEnd"/>
      <w:r w:rsidRPr="005573FB">
        <w:rPr>
          <w:iCs/>
          <w:sz w:val="22"/>
        </w:rPr>
        <w:t xml:space="preserve">, imuninis atsakas į difterijos ir stabligės antigenus, įvertinus </w:t>
      </w:r>
      <w:proofErr w:type="spellStart"/>
      <w:r w:rsidRPr="005573FB">
        <w:rPr>
          <w:iCs/>
          <w:sz w:val="22"/>
        </w:rPr>
        <w:t>seroprotekcijos</w:t>
      </w:r>
      <w:proofErr w:type="spellEnd"/>
      <w:r w:rsidRPr="005573FB">
        <w:rPr>
          <w:iCs/>
          <w:sz w:val="22"/>
        </w:rPr>
        <w:t xml:space="preserve"> laipsnį (≥ 0,1 TV/ml), buvo atitinkamai 89,0 % ir 97,2 %, o įvertinus atsaką į kokliušą po </w:t>
      </w:r>
      <w:proofErr w:type="spellStart"/>
      <w:r w:rsidRPr="005573FB">
        <w:rPr>
          <w:iCs/>
          <w:sz w:val="22"/>
        </w:rPr>
        <w:t>revakcinacijos</w:t>
      </w:r>
      <w:proofErr w:type="spellEnd"/>
      <w:r w:rsidRPr="005573FB">
        <w:rPr>
          <w:iCs/>
          <w:sz w:val="22"/>
        </w:rPr>
        <w:t xml:space="preserve">, – atsakas atitinkamai į kokliušo </w:t>
      </w:r>
      <w:proofErr w:type="spellStart"/>
      <w:r w:rsidR="000528CD">
        <w:rPr>
          <w:iCs/>
          <w:sz w:val="22"/>
        </w:rPr>
        <w:t>anatoksin</w:t>
      </w:r>
      <w:r w:rsidRPr="005573FB">
        <w:rPr>
          <w:iCs/>
          <w:sz w:val="22"/>
        </w:rPr>
        <w:t>ą</w:t>
      </w:r>
      <w:proofErr w:type="spellEnd"/>
      <w:r w:rsidRPr="005573FB">
        <w:rPr>
          <w:iCs/>
          <w:sz w:val="22"/>
        </w:rPr>
        <w:t xml:space="preserve"> [P</w:t>
      </w:r>
      <w:r w:rsidR="000528CD">
        <w:rPr>
          <w:iCs/>
          <w:sz w:val="22"/>
        </w:rPr>
        <w:t>A</w:t>
      </w:r>
      <w:r w:rsidRPr="005573FB">
        <w:rPr>
          <w:iCs/>
          <w:sz w:val="22"/>
        </w:rPr>
        <w:t xml:space="preserve">], </w:t>
      </w:r>
      <w:proofErr w:type="spellStart"/>
      <w:r w:rsidRPr="005573FB">
        <w:rPr>
          <w:iCs/>
          <w:sz w:val="22"/>
        </w:rPr>
        <w:t>filamentinį</w:t>
      </w:r>
      <w:proofErr w:type="spellEnd"/>
      <w:r w:rsidRPr="005573FB">
        <w:rPr>
          <w:iCs/>
          <w:sz w:val="22"/>
        </w:rPr>
        <w:t xml:space="preserve"> </w:t>
      </w:r>
      <w:proofErr w:type="spellStart"/>
      <w:r w:rsidRPr="005573FB">
        <w:rPr>
          <w:iCs/>
          <w:sz w:val="22"/>
        </w:rPr>
        <w:t>hemagliutininą</w:t>
      </w:r>
      <w:proofErr w:type="spellEnd"/>
      <w:r w:rsidRPr="005573FB">
        <w:rPr>
          <w:iCs/>
          <w:sz w:val="22"/>
        </w:rPr>
        <w:t xml:space="preserve"> [FHA] ir </w:t>
      </w:r>
      <w:proofErr w:type="spellStart"/>
      <w:r w:rsidRPr="005573FB">
        <w:rPr>
          <w:iCs/>
          <w:sz w:val="22"/>
        </w:rPr>
        <w:t>pertaktiną</w:t>
      </w:r>
      <w:proofErr w:type="spellEnd"/>
      <w:r w:rsidRPr="005573FB">
        <w:rPr>
          <w:iCs/>
          <w:sz w:val="22"/>
        </w:rPr>
        <w:t xml:space="preserve"> [PRN] buvo atitinkamai 78,3 %, 96,1 % ir 92,2 %. Šie duomenys atitinka atsaką bendrojoje suaugusiųjų populiacijoje ir saugumo duomenys yra panašūs.</w:t>
      </w:r>
    </w:p>
    <w:p w14:paraId="0C80AB14" w14:textId="77777777" w:rsidR="00213A40" w:rsidRDefault="00213A40" w:rsidP="00CA2E41">
      <w:pPr>
        <w:rPr>
          <w:sz w:val="22"/>
        </w:rPr>
      </w:pPr>
    </w:p>
    <w:p w14:paraId="60E287DC" w14:textId="77777777" w:rsidR="00CA2E41" w:rsidRPr="00402C81" w:rsidRDefault="00CA2E41" w:rsidP="00CA2E41">
      <w:pPr>
        <w:keepNext/>
        <w:rPr>
          <w:iCs/>
          <w:sz w:val="22"/>
          <w:u w:val="single"/>
        </w:rPr>
      </w:pPr>
      <w:r w:rsidRPr="00402C81">
        <w:rPr>
          <w:iCs/>
          <w:sz w:val="22"/>
          <w:u w:val="single"/>
        </w:rPr>
        <w:t>Apsaugos nuo kokliušo veiksmingumas</w:t>
      </w:r>
    </w:p>
    <w:p w14:paraId="6D82DEEE" w14:textId="77777777" w:rsidR="00CA2E41" w:rsidRDefault="00CA2E41" w:rsidP="00CA2E41">
      <w:pPr>
        <w:rPr>
          <w:i/>
          <w:sz w:val="22"/>
        </w:rPr>
      </w:pPr>
    </w:p>
    <w:p w14:paraId="50AF52C3" w14:textId="77777777" w:rsidR="00CA2E41" w:rsidRDefault="00CA2E41" w:rsidP="00CA2E41">
      <w:pPr>
        <w:rPr>
          <w:sz w:val="22"/>
        </w:rPr>
      </w:pPr>
      <w:r>
        <w:rPr>
          <w:sz w:val="22"/>
        </w:rPr>
        <w:t>Kokliušo antigenai, esantys BOOSTRIX POLIO, yra sudedamoji vaikams skirtos neląstelinės kokliušo kombinuotosios vakcinos (</w:t>
      </w:r>
      <w:proofErr w:type="spellStart"/>
      <w:r>
        <w:rPr>
          <w:sz w:val="22"/>
        </w:rPr>
        <w:t>Infanrix</w:t>
      </w:r>
      <w:proofErr w:type="spellEnd"/>
      <w:r>
        <w:rPr>
          <w:sz w:val="22"/>
        </w:rPr>
        <w:t>) dalis. Šios vakcinos veiksmingumas po pradinės vakcinacijos buvo parodytas atliekant kontaktų su šeimos nariais veiksmingumo tyrimą. Visus tris kokliušo komponentus veikiančių antikūnų titrai po vakcinavimo BOOSTRIX POLIO buvo didesni nei nustatytieji tiriant kontaktų su šeimos nariais veiksmingumą. Remiantis šiais palyginimais, daroma išvada, kad BOOSTRIX POLIO suteikia apsaugą nuo kokliušo, tačiau vakcinos suteiktos apsaugos apimtis ir trukmė nenustatyta.</w:t>
      </w:r>
    </w:p>
    <w:p w14:paraId="7106D7E1" w14:textId="77777777" w:rsidR="00CA2E41" w:rsidRDefault="00CA2E41" w:rsidP="00CA2E41">
      <w:pPr>
        <w:rPr>
          <w:sz w:val="22"/>
        </w:rPr>
      </w:pPr>
    </w:p>
    <w:p w14:paraId="2E94D929" w14:textId="77777777" w:rsidR="00CA2E41" w:rsidRPr="00402C81" w:rsidRDefault="00CA2E41" w:rsidP="00CA2E41">
      <w:pPr>
        <w:rPr>
          <w:iCs/>
          <w:sz w:val="22"/>
          <w:u w:val="single"/>
        </w:rPr>
      </w:pPr>
      <w:r w:rsidRPr="00402C81">
        <w:rPr>
          <w:iCs/>
          <w:sz w:val="22"/>
          <w:u w:val="single"/>
        </w:rPr>
        <w:t>Nėštumo metu paskiepytų motinų pagimdytų kūdikių (jaunesnių kaip 3 mėnesių) pasyvi apsauga nuo kokliušo</w:t>
      </w:r>
    </w:p>
    <w:p w14:paraId="1F5BCEA4" w14:textId="77777777" w:rsidR="00CA2E41" w:rsidRDefault="00CA2E41" w:rsidP="00CA2E41">
      <w:pPr>
        <w:rPr>
          <w:sz w:val="22"/>
        </w:rPr>
      </w:pPr>
    </w:p>
    <w:p w14:paraId="20132DC4" w14:textId="77777777" w:rsidR="00CA2E41" w:rsidRDefault="00CA2E41" w:rsidP="00CA2E41">
      <w:pPr>
        <w:rPr>
          <w:sz w:val="22"/>
        </w:rPr>
      </w:pPr>
      <w:bookmarkStart w:id="10" w:name="_Hlk47000877"/>
      <w:r>
        <w:rPr>
          <w:sz w:val="22"/>
        </w:rPr>
        <w:t>Atsitiktinių imčių, kryžminio, placebu kontroliuojamojo tyrimo duomenimis, kūdikių, kuriuos pagimdė 27</w:t>
      </w:r>
      <w:r>
        <w:rPr>
          <w:sz w:val="22"/>
        </w:rPr>
        <w:noBreakHyphen/>
        <w:t xml:space="preserve">36 nėštumo savaitėmis </w:t>
      </w:r>
      <w:proofErr w:type="spellStart"/>
      <w:r>
        <w:rPr>
          <w:sz w:val="22"/>
        </w:rPr>
        <w:t>Boostrix</w:t>
      </w:r>
      <w:proofErr w:type="spellEnd"/>
      <w:r>
        <w:rPr>
          <w:sz w:val="22"/>
        </w:rPr>
        <w:t xml:space="preserve"> paskiepytos motinos (</w:t>
      </w:r>
      <w:proofErr w:type="spellStart"/>
      <w:r>
        <w:rPr>
          <w:i/>
          <w:iCs/>
          <w:sz w:val="22"/>
        </w:rPr>
        <w:t>dTpa</w:t>
      </w:r>
      <w:proofErr w:type="spellEnd"/>
      <w:r>
        <w:rPr>
          <w:sz w:val="22"/>
        </w:rPr>
        <w:t xml:space="preserve"> grupė; N = 291), virkštelės kraujyje po gimdymo buvo išmatuotos didesnės kokliušo antikūnų koncentracijos, palyginti su placebu paskiepytų motinų kūdikiais (kontrolinė grupė; N = 292). Antikūnų prieš kokliušo PT, FHA ir PRN antigenus koncentracijų virkštelės kraujyje geometriniai vidurkiai </w:t>
      </w:r>
      <w:proofErr w:type="spellStart"/>
      <w:r>
        <w:rPr>
          <w:i/>
          <w:iCs/>
          <w:sz w:val="22"/>
        </w:rPr>
        <w:t>dTpa</w:t>
      </w:r>
      <w:proofErr w:type="spellEnd"/>
      <w:r>
        <w:rPr>
          <w:sz w:val="22"/>
        </w:rPr>
        <w:t xml:space="preserve"> grupėje buvo atitinkamai 46,9, 366,1 ir 301,8 TV/ml, o placebo grupėje – 5,5, 22,7 ir 14,6 TV/ml. Tai atitinka 8, 16 ir 21 kartų didesnius antikūnų titrus paskiepytų motinų naujagimių virkštelės kraujyje, palyginti su kontroline grupe. Kaip rodo realiojo veiksmingumo stebėjimo tyrimai, tokie antikūnų titrai gali užtikrinti pasyvią apsaugą nuo kokliušo.</w:t>
      </w:r>
    </w:p>
    <w:p w14:paraId="1ACF76EC" w14:textId="77777777" w:rsidR="00CA2E41" w:rsidRDefault="00CA2E41" w:rsidP="00CA2E41">
      <w:pPr>
        <w:rPr>
          <w:sz w:val="22"/>
        </w:rPr>
      </w:pPr>
    </w:p>
    <w:bookmarkEnd w:id="10"/>
    <w:p w14:paraId="2411F07C" w14:textId="77777777" w:rsidR="00CA2E41" w:rsidRPr="00402C81" w:rsidRDefault="00CA2E41" w:rsidP="00CA2E41">
      <w:pPr>
        <w:rPr>
          <w:iCs/>
          <w:sz w:val="22"/>
          <w:u w:val="single"/>
        </w:rPr>
      </w:pPr>
      <w:proofErr w:type="spellStart"/>
      <w:r w:rsidRPr="00402C81">
        <w:rPr>
          <w:iCs/>
          <w:sz w:val="22"/>
          <w:u w:val="single"/>
        </w:rPr>
        <w:t>Imunogeniškumas</w:t>
      </w:r>
      <w:proofErr w:type="spellEnd"/>
      <w:r w:rsidRPr="00402C81">
        <w:rPr>
          <w:iCs/>
          <w:sz w:val="22"/>
          <w:u w:val="single"/>
        </w:rPr>
        <w:t xml:space="preserve"> kūdikiams ir mažiems vaikams, kuriuos pagimdė nėštumo metu paskiepytos motinos</w:t>
      </w:r>
    </w:p>
    <w:p w14:paraId="5F439A17" w14:textId="77777777" w:rsidR="00CA2E41" w:rsidRDefault="00CA2E41" w:rsidP="00CA2E41">
      <w:pPr>
        <w:rPr>
          <w:sz w:val="22"/>
        </w:rPr>
      </w:pPr>
      <w:bookmarkStart w:id="11" w:name="_Hlk47001042"/>
    </w:p>
    <w:p w14:paraId="3F7B446A" w14:textId="77777777" w:rsidR="00CA2E41" w:rsidRDefault="00CA2E41" w:rsidP="00CA2E41">
      <w:pPr>
        <w:rPr>
          <w:sz w:val="22"/>
        </w:rPr>
      </w:pPr>
      <w:proofErr w:type="spellStart"/>
      <w:r>
        <w:rPr>
          <w:sz w:val="22"/>
        </w:rPr>
        <w:t>Infanrix</w:t>
      </w:r>
      <w:proofErr w:type="spellEnd"/>
      <w:r>
        <w:rPr>
          <w:sz w:val="22"/>
        </w:rPr>
        <w:t xml:space="preserve"> </w:t>
      </w:r>
      <w:proofErr w:type="spellStart"/>
      <w:r>
        <w:rPr>
          <w:sz w:val="22"/>
        </w:rPr>
        <w:t>hexa</w:t>
      </w:r>
      <w:proofErr w:type="spellEnd"/>
      <w:r>
        <w:rPr>
          <w:sz w:val="22"/>
        </w:rPr>
        <w:t xml:space="preserve"> (difterijos, stabligės, kokliušo, hepatito B, </w:t>
      </w:r>
      <w:proofErr w:type="spellStart"/>
      <w:r>
        <w:rPr>
          <w:sz w:val="22"/>
        </w:rPr>
        <w:t>inaktyvuota</w:t>
      </w:r>
      <w:proofErr w:type="spellEnd"/>
      <w:r>
        <w:rPr>
          <w:sz w:val="22"/>
        </w:rPr>
        <w:t xml:space="preserve"> </w:t>
      </w:r>
      <w:proofErr w:type="spellStart"/>
      <w:r>
        <w:rPr>
          <w:sz w:val="22"/>
        </w:rPr>
        <w:t>poliovirusų</w:t>
      </w:r>
      <w:proofErr w:type="spellEnd"/>
      <w:r>
        <w:rPr>
          <w:sz w:val="22"/>
        </w:rPr>
        <w:t xml:space="preserve">, b tipo </w:t>
      </w:r>
      <w:proofErr w:type="spellStart"/>
      <w:r>
        <w:rPr>
          <w:i/>
          <w:iCs/>
          <w:sz w:val="22"/>
        </w:rPr>
        <w:t>Haemophilus</w:t>
      </w:r>
      <w:proofErr w:type="spellEnd"/>
      <w:r>
        <w:rPr>
          <w:i/>
          <w:iCs/>
          <w:sz w:val="22"/>
        </w:rPr>
        <w:t xml:space="preserve"> </w:t>
      </w:r>
      <w:proofErr w:type="spellStart"/>
      <w:r>
        <w:rPr>
          <w:i/>
          <w:iCs/>
          <w:sz w:val="22"/>
        </w:rPr>
        <w:t>influenzae</w:t>
      </w:r>
      <w:proofErr w:type="spellEnd"/>
      <w:r>
        <w:rPr>
          <w:sz w:val="22"/>
        </w:rPr>
        <w:t xml:space="preserve"> </w:t>
      </w:r>
      <w:proofErr w:type="spellStart"/>
      <w:r>
        <w:rPr>
          <w:sz w:val="22"/>
        </w:rPr>
        <w:t>konjuguota</w:t>
      </w:r>
      <w:proofErr w:type="spellEnd"/>
      <w:r>
        <w:rPr>
          <w:sz w:val="22"/>
        </w:rPr>
        <w:t xml:space="preserve"> vakcina) </w:t>
      </w:r>
      <w:proofErr w:type="spellStart"/>
      <w:r>
        <w:rPr>
          <w:sz w:val="22"/>
        </w:rPr>
        <w:t>imunogeniškumas</w:t>
      </w:r>
      <w:proofErr w:type="spellEnd"/>
      <w:r>
        <w:rPr>
          <w:sz w:val="22"/>
        </w:rPr>
        <w:t xml:space="preserve"> kūdikiams ir mažiems vaikams, kuriuos pagimdė 27</w:t>
      </w:r>
      <w:r>
        <w:rPr>
          <w:sz w:val="22"/>
        </w:rPr>
        <w:noBreakHyphen/>
        <w:t xml:space="preserve">36 nėštumo savaitėmis </w:t>
      </w:r>
      <w:proofErr w:type="spellStart"/>
      <w:r>
        <w:rPr>
          <w:sz w:val="22"/>
        </w:rPr>
        <w:t>Boostrix</w:t>
      </w:r>
      <w:proofErr w:type="spellEnd"/>
      <w:r>
        <w:rPr>
          <w:sz w:val="22"/>
        </w:rPr>
        <w:t xml:space="preserve"> paskiepytos motinos, buvo tirtas dviejų klinikinių tyrimų metu.</w:t>
      </w:r>
    </w:p>
    <w:p w14:paraId="76FC6B19" w14:textId="77777777" w:rsidR="00CA2E41" w:rsidRPr="00E30FAC" w:rsidRDefault="00CA2E41" w:rsidP="00CA2E41">
      <w:pPr>
        <w:rPr>
          <w:sz w:val="22"/>
        </w:rPr>
      </w:pPr>
    </w:p>
    <w:p w14:paraId="4CA5A10E" w14:textId="77777777" w:rsidR="00CA2E41" w:rsidRDefault="00CA2E41" w:rsidP="00CA2E41">
      <w:pPr>
        <w:rPr>
          <w:sz w:val="22"/>
        </w:rPr>
      </w:pPr>
      <w:proofErr w:type="spellStart"/>
      <w:r>
        <w:rPr>
          <w:sz w:val="22"/>
        </w:rPr>
        <w:t>Infanrix</w:t>
      </w:r>
      <w:proofErr w:type="spellEnd"/>
      <w:r>
        <w:rPr>
          <w:sz w:val="22"/>
        </w:rPr>
        <w:t xml:space="preserve"> </w:t>
      </w:r>
      <w:proofErr w:type="spellStart"/>
      <w:r>
        <w:rPr>
          <w:sz w:val="22"/>
        </w:rPr>
        <w:t>hexa</w:t>
      </w:r>
      <w:proofErr w:type="spellEnd"/>
      <w:r>
        <w:rPr>
          <w:sz w:val="22"/>
        </w:rPr>
        <w:t xml:space="preserve"> buvo suleista kartu su 13-valente pneumokokine </w:t>
      </w:r>
      <w:proofErr w:type="spellStart"/>
      <w:r>
        <w:rPr>
          <w:sz w:val="22"/>
        </w:rPr>
        <w:t>konjuguota</w:t>
      </w:r>
      <w:proofErr w:type="spellEnd"/>
      <w:r>
        <w:rPr>
          <w:sz w:val="22"/>
        </w:rPr>
        <w:t xml:space="preserve"> vakcina kūdikiams pirminės vakcinacijos metu (n = 268) ir tiems patiems kūdikiams ar mažiems vaikams nuo 11 iki 18 mėnesio buvo suleista </w:t>
      </w:r>
      <w:proofErr w:type="spellStart"/>
      <w:r>
        <w:rPr>
          <w:sz w:val="22"/>
        </w:rPr>
        <w:t>revakcinacijos</w:t>
      </w:r>
      <w:proofErr w:type="spellEnd"/>
      <w:r>
        <w:rPr>
          <w:sz w:val="22"/>
        </w:rPr>
        <w:t xml:space="preserve"> dozė (n = 229).</w:t>
      </w:r>
    </w:p>
    <w:p w14:paraId="09208369" w14:textId="77777777" w:rsidR="00CA2E41" w:rsidRDefault="00CA2E41" w:rsidP="00CA2E41">
      <w:pPr>
        <w:rPr>
          <w:sz w:val="22"/>
        </w:rPr>
      </w:pPr>
    </w:p>
    <w:p w14:paraId="3F5E0725" w14:textId="77777777" w:rsidR="00CA2E41" w:rsidRDefault="00CA2E41" w:rsidP="00CA2E41">
      <w:pPr>
        <w:rPr>
          <w:sz w:val="22"/>
        </w:rPr>
      </w:pPr>
      <w:r>
        <w:rPr>
          <w:sz w:val="22"/>
        </w:rPr>
        <w:t xml:space="preserve">Remiantis po pirminės vakcinacijos ir </w:t>
      </w:r>
      <w:proofErr w:type="spellStart"/>
      <w:r>
        <w:rPr>
          <w:sz w:val="22"/>
        </w:rPr>
        <w:t>revakcinacijos</w:t>
      </w:r>
      <w:proofErr w:type="spellEnd"/>
      <w:r>
        <w:rPr>
          <w:sz w:val="22"/>
        </w:rPr>
        <w:t xml:space="preserve"> gautais duomenimis, imunologiniai duomenys nerodo, kad motinos vakcinacija </w:t>
      </w:r>
      <w:proofErr w:type="spellStart"/>
      <w:r>
        <w:rPr>
          <w:sz w:val="22"/>
        </w:rPr>
        <w:t>Boostrix</w:t>
      </w:r>
      <w:proofErr w:type="spellEnd"/>
      <w:r>
        <w:rPr>
          <w:sz w:val="22"/>
        </w:rPr>
        <w:t xml:space="preserve"> kliniškai reikšmingai paveiktų kūdikių ar mažų vaikų atsaką į difterijos, stabligės, hepatito B, </w:t>
      </w:r>
      <w:proofErr w:type="spellStart"/>
      <w:r>
        <w:rPr>
          <w:sz w:val="22"/>
        </w:rPr>
        <w:t>inaktyvuotų</w:t>
      </w:r>
      <w:proofErr w:type="spellEnd"/>
      <w:r>
        <w:rPr>
          <w:sz w:val="22"/>
        </w:rPr>
        <w:t xml:space="preserve"> </w:t>
      </w:r>
      <w:proofErr w:type="spellStart"/>
      <w:r>
        <w:rPr>
          <w:sz w:val="22"/>
        </w:rPr>
        <w:t>poliovirusų</w:t>
      </w:r>
      <w:proofErr w:type="spellEnd"/>
      <w:r>
        <w:rPr>
          <w:sz w:val="22"/>
        </w:rPr>
        <w:t xml:space="preserve">, b tipo </w:t>
      </w:r>
      <w:proofErr w:type="spellStart"/>
      <w:r>
        <w:rPr>
          <w:i/>
          <w:iCs/>
          <w:sz w:val="22"/>
        </w:rPr>
        <w:t>Haemophilus</w:t>
      </w:r>
      <w:proofErr w:type="spellEnd"/>
      <w:r>
        <w:rPr>
          <w:i/>
          <w:iCs/>
          <w:sz w:val="22"/>
        </w:rPr>
        <w:t xml:space="preserve"> </w:t>
      </w:r>
      <w:proofErr w:type="spellStart"/>
      <w:r>
        <w:rPr>
          <w:i/>
          <w:iCs/>
          <w:sz w:val="22"/>
        </w:rPr>
        <w:t>influenzae</w:t>
      </w:r>
      <w:proofErr w:type="spellEnd"/>
      <w:r>
        <w:rPr>
          <w:sz w:val="22"/>
        </w:rPr>
        <w:t xml:space="preserve"> ar </w:t>
      </w:r>
      <w:proofErr w:type="spellStart"/>
      <w:r>
        <w:rPr>
          <w:sz w:val="22"/>
        </w:rPr>
        <w:t>pneumokokų</w:t>
      </w:r>
      <w:proofErr w:type="spellEnd"/>
      <w:r>
        <w:rPr>
          <w:sz w:val="22"/>
        </w:rPr>
        <w:t xml:space="preserve"> antigenus.</w:t>
      </w:r>
    </w:p>
    <w:p w14:paraId="1544F288" w14:textId="77777777" w:rsidR="00CA2E41" w:rsidRPr="00E30FAC" w:rsidRDefault="00CA2E41" w:rsidP="00CA2E41">
      <w:pPr>
        <w:rPr>
          <w:sz w:val="22"/>
        </w:rPr>
      </w:pPr>
    </w:p>
    <w:bookmarkEnd w:id="11"/>
    <w:p w14:paraId="111907F4" w14:textId="77777777" w:rsidR="00CA2E41" w:rsidRDefault="00CA2E41" w:rsidP="00CA2E41">
      <w:pPr>
        <w:rPr>
          <w:sz w:val="22"/>
        </w:rPr>
      </w:pPr>
      <w:r>
        <w:rPr>
          <w:sz w:val="22"/>
        </w:rPr>
        <w:t xml:space="preserve">Kūdikiams ir mažiems vaikams, kuriuos pagimdė </w:t>
      </w:r>
      <w:proofErr w:type="spellStart"/>
      <w:r>
        <w:rPr>
          <w:sz w:val="22"/>
        </w:rPr>
        <w:t>Boostrix</w:t>
      </w:r>
      <w:proofErr w:type="spellEnd"/>
      <w:r>
        <w:rPr>
          <w:sz w:val="22"/>
        </w:rPr>
        <w:t xml:space="preserve"> nėštumo metu paskiepytos motinos, po pirminės vakcinacijos (PT, FHA ir PRN) ir </w:t>
      </w:r>
      <w:proofErr w:type="spellStart"/>
      <w:r>
        <w:rPr>
          <w:sz w:val="22"/>
        </w:rPr>
        <w:t>revakcinacijos</w:t>
      </w:r>
      <w:proofErr w:type="spellEnd"/>
      <w:r>
        <w:rPr>
          <w:sz w:val="22"/>
        </w:rPr>
        <w:t xml:space="preserve"> (PT, FHA) dozių suleidimo buvo išmatuotos mažesnės antikūnų prieš kokliušo antigeną koncentracijos. Kūdikių ir mažų vaikų, kuriuos pagimdė </w:t>
      </w:r>
      <w:proofErr w:type="spellStart"/>
      <w:r>
        <w:rPr>
          <w:sz w:val="22"/>
        </w:rPr>
        <w:t>Boostrix</w:t>
      </w:r>
      <w:proofErr w:type="spellEnd"/>
      <w:r>
        <w:rPr>
          <w:sz w:val="22"/>
        </w:rPr>
        <w:t xml:space="preserve"> arba placebu nėštumo metu paskiepytos motinos, antikūnų prieš kokliušo antigeną koncentracijų padidėjimas kartais 1-ąjį mėnesį po </w:t>
      </w:r>
      <w:proofErr w:type="spellStart"/>
      <w:r>
        <w:rPr>
          <w:sz w:val="22"/>
        </w:rPr>
        <w:t>revakcinacijos</w:t>
      </w:r>
      <w:proofErr w:type="spellEnd"/>
      <w:r>
        <w:rPr>
          <w:sz w:val="22"/>
        </w:rPr>
        <w:t xml:space="preserve">, palyginti su buvusiomis prieš </w:t>
      </w:r>
      <w:proofErr w:type="spellStart"/>
      <w:r>
        <w:rPr>
          <w:sz w:val="22"/>
        </w:rPr>
        <w:t>revakcinaciją</w:t>
      </w:r>
      <w:proofErr w:type="spellEnd"/>
      <w:r>
        <w:rPr>
          <w:sz w:val="22"/>
        </w:rPr>
        <w:t xml:space="preserve">, buvo tokiose pat ribose, o tai rodo efektyvią imuninę atmintį. Kadangi nėra koreliacinių </w:t>
      </w:r>
      <w:r>
        <w:rPr>
          <w:sz w:val="22"/>
        </w:rPr>
        <w:lastRenderedPageBreak/>
        <w:t xml:space="preserve">ryšių su apsauga nuo kokliušo, šių stebėjimų klinikinė reikšmė nėra pilnai suprantama. Vis dėlto, šiuo metu turimi kokliušo ligos epidemiologiniai duomenys, gauti po motinų </w:t>
      </w:r>
      <w:proofErr w:type="spellStart"/>
      <w:r>
        <w:rPr>
          <w:i/>
          <w:iCs/>
          <w:sz w:val="22"/>
        </w:rPr>
        <w:t>dTpa</w:t>
      </w:r>
      <w:proofErr w:type="spellEnd"/>
      <w:r>
        <w:rPr>
          <w:sz w:val="22"/>
        </w:rPr>
        <w:t xml:space="preserve"> imunizacijos įgyvendinimo, nerodo, kad tokia imuninė intervencija būtų kliniškai reikšminga.</w:t>
      </w:r>
    </w:p>
    <w:p w14:paraId="0852C621" w14:textId="77777777" w:rsidR="00CA2E41" w:rsidRDefault="00CA2E41" w:rsidP="00CA2E41">
      <w:pPr>
        <w:rPr>
          <w:sz w:val="22"/>
        </w:rPr>
      </w:pPr>
    </w:p>
    <w:p w14:paraId="6A879316" w14:textId="77777777" w:rsidR="00CA2E41" w:rsidRPr="00402C81" w:rsidRDefault="00CA2E41" w:rsidP="00CA2E41">
      <w:pPr>
        <w:rPr>
          <w:iCs/>
          <w:sz w:val="22"/>
          <w:u w:val="single"/>
        </w:rPr>
      </w:pPr>
      <w:r w:rsidRPr="00402C81">
        <w:rPr>
          <w:iCs/>
          <w:sz w:val="22"/>
          <w:u w:val="single"/>
        </w:rPr>
        <w:t>Nėštumo metu paskiepytų motinų pagimdytų kūdikių apsaugos nuo kokliušo veiksmingumas</w:t>
      </w:r>
    </w:p>
    <w:p w14:paraId="6E22AE8C" w14:textId="77777777" w:rsidR="00CA2E41" w:rsidRDefault="00CA2E41" w:rsidP="00CA2E41">
      <w:pPr>
        <w:rPr>
          <w:i/>
          <w:color w:val="000000"/>
          <w:sz w:val="22"/>
        </w:rPr>
      </w:pPr>
    </w:p>
    <w:p w14:paraId="438F1EDB" w14:textId="77777777" w:rsidR="00CA2E41" w:rsidRDefault="00CA2E41" w:rsidP="00CA2E41">
      <w:pPr>
        <w:rPr>
          <w:color w:val="000000"/>
          <w:sz w:val="22"/>
        </w:rPr>
      </w:pPr>
      <w:proofErr w:type="spellStart"/>
      <w:r>
        <w:rPr>
          <w:color w:val="000000"/>
          <w:sz w:val="22"/>
        </w:rPr>
        <w:t>Boostrix</w:t>
      </w:r>
      <w:proofErr w:type="spellEnd"/>
      <w:r>
        <w:rPr>
          <w:color w:val="000000"/>
          <w:sz w:val="22"/>
        </w:rPr>
        <w:t xml:space="preserve"> arba </w:t>
      </w:r>
      <w:r>
        <w:rPr>
          <w:sz w:val="22"/>
        </w:rPr>
        <w:t xml:space="preserve">BOOSTRIX POLIO </w:t>
      </w:r>
      <w:r>
        <w:rPr>
          <w:color w:val="000000"/>
          <w:sz w:val="22"/>
        </w:rPr>
        <w:t xml:space="preserve">vakcinos veiksmingumas buvo įvertintas trijų Jungtinėje Karalystėje, Ispanijoje ir Australijoje atliktų stebėjimo tyrimų metu. Vakcina buvo suleista kaip motinos vakcinacijos programos dalis trečiąjį nėštumo trimestrą, siekiant apsaugoti jaunesnius kaip 3 mėnesių kūdikius nuo kokliušo ligos. </w:t>
      </w:r>
    </w:p>
    <w:p w14:paraId="649F83E9" w14:textId="77777777" w:rsidR="00CA2E41" w:rsidRDefault="00CA2E41" w:rsidP="00CA2E41">
      <w:pPr>
        <w:rPr>
          <w:color w:val="000000"/>
          <w:sz w:val="22"/>
        </w:rPr>
      </w:pPr>
    </w:p>
    <w:p w14:paraId="56945F01" w14:textId="77777777" w:rsidR="00CA2E41" w:rsidRDefault="00CA2E41" w:rsidP="00CA2E41">
      <w:pPr>
        <w:rPr>
          <w:color w:val="000000"/>
          <w:sz w:val="22"/>
        </w:rPr>
      </w:pPr>
      <w:r>
        <w:rPr>
          <w:color w:val="000000"/>
          <w:sz w:val="22"/>
        </w:rPr>
        <w:t>Išsami informacija apie kiekvieno tyrimo planą ir tyrimų duomenys pateikti 6 lentelėje.</w:t>
      </w:r>
    </w:p>
    <w:p w14:paraId="150D8FA5" w14:textId="77777777" w:rsidR="00CA2E41" w:rsidRDefault="00CA2E41" w:rsidP="00CA2E41">
      <w:pPr>
        <w:rPr>
          <w:color w:val="000000"/>
          <w:sz w:val="22"/>
        </w:rPr>
      </w:pPr>
    </w:p>
    <w:p w14:paraId="444C5E18" w14:textId="316D06BD" w:rsidR="00CA2E41" w:rsidRDefault="00CA2E41" w:rsidP="00CA2E41">
      <w:pPr>
        <w:pStyle w:val="captiontable"/>
        <w:keepLines/>
        <w:ind w:left="0" w:firstLine="0"/>
        <w:rPr>
          <w:rFonts w:ascii="Times New Roman" w:hAnsi="Times New Roman"/>
          <w:szCs w:val="22"/>
          <w:lang w:val="lt-LT"/>
        </w:rPr>
      </w:pPr>
      <w:r>
        <w:rPr>
          <w:rFonts w:ascii="Times New Roman" w:hAnsi="Times New Roman"/>
          <w:szCs w:val="22"/>
          <w:lang w:val="lt-LT"/>
        </w:rPr>
        <w:t xml:space="preserve">6 lentelė. </w:t>
      </w:r>
      <w:r>
        <w:rPr>
          <w:rFonts w:ascii="Times New Roman" w:hAnsi="Times New Roman"/>
          <w:b w:val="0"/>
          <w:szCs w:val="22"/>
          <w:lang w:val="lt-LT"/>
        </w:rPr>
        <w:t>Vakcinos veiksmingumas saugant nuo kokliušo ligos jaunesnius kaip 3</w:t>
      </w:r>
      <w:r w:rsidR="00424B3A">
        <w:rPr>
          <w:rFonts w:ascii="Times New Roman" w:hAnsi="Times New Roman"/>
          <w:b w:val="0"/>
          <w:szCs w:val="22"/>
          <w:lang w:val="lt-LT"/>
        </w:rPr>
        <w:t> </w:t>
      </w:r>
      <w:r>
        <w:rPr>
          <w:rFonts w:ascii="Times New Roman" w:hAnsi="Times New Roman"/>
          <w:b w:val="0"/>
          <w:szCs w:val="22"/>
          <w:lang w:val="lt-LT"/>
        </w:rPr>
        <w:t xml:space="preserve">mėnesių kūdikius, pagimdytus motinų, kurios trečiąjį nėštumo trimestrą buvo paskiepytos </w:t>
      </w:r>
      <w:proofErr w:type="spellStart"/>
      <w:r>
        <w:rPr>
          <w:rFonts w:ascii="Times New Roman" w:hAnsi="Times New Roman"/>
          <w:b w:val="0"/>
          <w:szCs w:val="22"/>
          <w:lang w:val="lt-LT"/>
        </w:rPr>
        <w:t>Boostrix</w:t>
      </w:r>
      <w:proofErr w:type="spellEnd"/>
      <w:r>
        <w:rPr>
          <w:rFonts w:ascii="Times New Roman" w:hAnsi="Times New Roman"/>
          <w:b w:val="0"/>
          <w:szCs w:val="22"/>
          <w:lang w:val="lt-LT"/>
        </w:rPr>
        <w:t xml:space="preserve"> arba BOOSTRIX POLIO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015"/>
        <w:gridCol w:w="2249"/>
        <w:gridCol w:w="3655"/>
      </w:tblGrid>
      <w:tr w:rsidR="00CA2E41" w14:paraId="1E37B1F7" w14:textId="77777777" w:rsidTr="00E30FAC">
        <w:tc>
          <w:tcPr>
            <w:tcW w:w="1182" w:type="pct"/>
            <w:tcBorders>
              <w:top w:val="single" w:sz="4" w:space="0" w:color="auto"/>
              <w:left w:val="single" w:sz="4" w:space="0" w:color="auto"/>
              <w:bottom w:val="single" w:sz="4" w:space="0" w:color="auto"/>
              <w:right w:val="single" w:sz="4" w:space="0" w:color="auto"/>
            </w:tcBorders>
            <w:hideMark/>
          </w:tcPr>
          <w:p w14:paraId="40C29E8D" w14:textId="77777777" w:rsidR="00CA2E41" w:rsidRDefault="00CA2E41" w:rsidP="00E30FAC">
            <w:pPr>
              <w:pStyle w:val="tabletextNS"/>
              <w:keepNext/>
              <w:keepLines/>
              <w:spacing w:line="256" w:lineRule="auto"/>
              <w:rPr>
                <w:rFonts w:ascii="Times New Roman" w:hAnsi="Times New Roman"/>
                <w:b/>
                <w:sz w:val="22"/>
                <w:szCs w:val="22"/>
                <w:lang w:val="lt-LT"/>
              </w:rPr>
            </w:pPr>
            <w:r>
              <w:rPr>
                <w:rFonts w:ascii="Times New Roman" w:hAnsi="Times New Roman"/>
                <w:b/>
                <w:sz w:val="22"/>
                <w:szCs w:val="22"/>
                <w:lang w:val="lt-LT"/>
              </w:rPr>
              <w:t>Tyrimo atlikimo vieta</w:t>
            </w:r>
          </w:p>
        </w:tc>
        <w:tc>
          <w:tcPr>
            <w:tcW w:w="560" w:type="pct"/>
            <w:tcBorders>
              <w:top w:val="single" w:sz="4" w:space="0" w:color="auto"/>
              <w:left w:val="single" w:sz="4" w:space="0" w:color="auto"/>
              <w:bottom w:val="single" w:sz="4" w:space="0" w:color="auto"/>
              <w:right w:val="single" w:sz="4" w:space="0" w:color="auto"/>
            </w:tcBorders>
            <w:hideMark/>
          </w:tcPr>
          <w:p w14:paraId="05496D47" w14:textId="77777777" w:rsidR="00CA2E41" w:rsidRDefault="00CA2E41" w:rsidP="00E30FAC">
            <w:pPr>
              <w:pStyle w:val="tabletextNS"/>
              <w:keepNext/>
              <w:keepLines/>
              <w:spacing w:line="256" w:lineRule="auto"/>
              <w:jc w:val="center"/>
              <w:rPr>
                <w:rFonts w:ascii="Times New Roman" w:hAnsi="Times New Roman"/>
                <w:b/>
                <w:sz w:val="22"/>
                <w:szCs w:val="22"/>
                <w:lang w:val="lt-LT"/>
              </w:rPr>
            </w:pPr>
            <w:r>
              <w:rPr>
                <w:rFonts w:ascii="Times New Roman" w:hAnsi="Times New Roman"/>
                <w:b/>
                <w:sz w:val="22"/>
                <w:szCs w:val="22"/>
                <w:lang w:val="lt-LT"/>
              </w:rPr>
              <w:t>Vakcina</w:t>
            </w:r>
          </w:p>
        </w:tc>
        <w:tc>
          <w:tcPr>
            <w:tcW w:w="1241" w:type="pct"/>
            <w:tcBorders>
              <w:top w:val="single" w:sz="4" w:space="0" w:color="auto"/>
              <w:left w:val="single" w:sz="4" w:space="0" w:color="auto"/>
              <w:bottom w:val="single" w:sz="4" w:space="0" w:color="auto"/>
              <w:right w:val="single" w:sz="4" w:space="0" w:color="auto"/>
            </w:tcBorders>
            <w:hideMark/>
          </w:tcPr>
          <w:p w14:paraId="6CF1FF67" w14:textId="77777777" w:rsidR="00CA2E41" w:rsidRDefault="00CA2E41" w:rsidP="00E30FAC">
            <w:pPr>
              <w:pStyle w:val="tabletextNS"/>
              <w:keepNext/>
              <w:keepLines/>
              <w:spacing w:line="256" w:lineRule="auto"/>
              <w:jc w:val="center"/>
              <w:rPr>
                <w:rFonts w:ascii="Times New Roman" w:hAnsi="Times New Roman"/>
                <w:b/>
                <w:sz w:val="22"/>
                <w:szCs w:val="22"/>
                <w:lang w:val="lt-LT"/>
              </w:rPr>
            </w:pPr>
            <w:r>
              <w:rPr>
                <w:rFonts w:ascii="Times New Roman" w:hAnsi="Times New Roman"/>
                <w:b/>
                <w:sz w:val="22"/>
                <w:szCs w:val="22"/>
                <w:lang w:val="lt-LT"/>
              </w:rPr>
              <w:t>Tyrimo planas</w:t>
            </w:r>
          </w:p>
        </w:tc>
        <w:tc>
          <w:tcPr>
            <w:tcW w:w="2017" w:type="pct"/>
            <w:tcBorders>
              <w:top w:val="single" w:sz="4" w:space="0" w:color="auto"/>
              <w:left w:val="single" w:sz="4" w:space="0" w:color="auto"/>
              <w:bottom w:val="single" w:sz="4" w:space="0" w:color="auto"/>
              <w:right w:val="single" w:sz="4" w:space="0" w:color="auto"/>
            </w:tcBorders>
            <w:hideMark/>
          </w:tcPr>
          <w:p w14:paraId="1ADFFE9E" w14:textId="77777777" w:rsidR="00CA2E41" w:rsidRDefault="00CA2E41" w:rsidP="00E30FAC">
            <w:pPr>
              <w:pStyle w:val="tabletextNS"/>
              <w:keepNext/>
              <w:keepLines/>
              <w:spacing w:line="256" w:lineRule="auto"/>
              <w:jc w:val="center"/>
              <w:rPr>
                <w:rFonts w:ascii="Times New Roman" w:hAnsi="Times New Roman"/>
                <w:b/>
                <w:sz w:val="22"/>
                <w:szCs w:val="22"/>
                <w:lang w:val="lt-LT"/>
              </w:rPr>
            </w:pPr>
            <w:r>
              <w:rPr>
                <w:rFonts w:ascii="Times New Roman" w:hAnsi="Times New Roman"/>
                <w:b/>
                <w:sz w:val="22"/>
                <w:szCs w:val="22"/>
                <w:lang w:val="lt-LT"/>
              </w:rPr>
              <w:t>Skiepijimo veiksmingumas</w:t>
            </w:r>
          </w:p>
        </w:tc>
      </w:tr>
      <w:tr w:rsidR="00CA2E41" w14:paraId="31376AFB" w14:textId="77777777" w:rsidTr="00E30FAC">
        <w:tc>
          <w:tcPr>
            <w:tcW w:w="1182" w:type="pct"/>
            <w:tcBorders>
              <w:top w:val="single" w:sz="4" w:space="0" w:color="auto"/>
              <w:left w:val="single" w:sz="4" w:space="0" w:color="auto"/>
              <w:bottom w:val="single" w:sz="4" w:space="0" w:color="auto"/>
              <w:right w:val="single" w:sz="4" w:space="0" w:color="auto"/>
            </w:tcBorders>
            <w:hideMark/>
          </w:tcPr>
          <w:p w14:paraId="59B31DE8" w14:textId="77777777" w:rsidR="00CA2E41" w:rsidRDefault="00CA2E41" w:rsidP="00E30FAC">
            <w:pPr>
              <w:pStyle w:val="tabletextNS"/>
              <w:keepNext/>
              <w:keepLines/>
              <w:spacing w:line="256" w:lineRule="auto"/>
              <w:rPr>
                <w:rFonts w:ascii="Times New Roman" w:hAnsi="Times New Roman"/>
                <w:b/>
                <w:sz w:val="22"/>
                <w:szCs w:val="22"/>
                <w:lang w:val="lt-LT"/>
              </w:rPr>
            </w:pPr>
            <w:r>
              <w:rPr>
                <w:rFonts w:ascii="Times New Roman" w:hAnsi="Times New Roman"/>
                <w:b/>
                <w:sz w:val="22"/>
                <w:szCs w:val="22"/>
                <w:lang w:val="lt-LT"/>
              </w:rPr>
              <w:t>Jungtinė Karalystė</w:t>
            </w:r>
          </w:p>
        </w:tc>
        <w:tc>
          <w:tcPr>
            <w:tcW w:w="560" w:type="pct"/>
            <w:tcBorders>
              <w:top w:val="single" w:sz="4" w:space="0" w:color="auto"/>
              <w:left w:val="single" w:sz="4" w:space="0" w:color="auto"/>
              <w:bottom w:val="single" w:sz="4" w:space="0" w:color="auto"/>
              <w:right w:val="single" w:sz="4" w:space="0" w:color="auto"/>
            </w:tcBorders>
            <w:hideMark/>
          </w:tcPr>
          <w:p w14:paraId="478F2A91" w14:textId="77777777" w:rsidR="00CA2E41" w:rsidRDefault="00CA2E41" w:rsidP="00E30FAC">
            <w:pPr>
              <w:pStyle w:val="tabletextNS"/>
              <w:keepNext/>
              <w:keepLines/>
              <w:spacing w:line="256" w:lineRule="auto"/>
              <w:jc w:val="center"/>
              <w:rPr>
                <w:rFonts w:ascii="Times New Roman" w:hAnsi="Times New Roman"/>
                <w:sz w:val="22"/>
                <w:szCs w:val="22"/>
                <w:lang w:val="lt-LT"/>
              </w:rPr>
            </w:pPr>
            <w:proofErr w:type="spellStart"/>
            <w:r>
              <w:rPr>
                <w:rFonts w:ascii="Times New Roman" w:hAnsi="Times New Roman"/>
                <w:i/>
                <w:sz w:val="22"/>
                <w:szCs w:val="22"/>
                <w:lang w:val="lt-LT"/>
              </w:rPr>
              <w:t>Boostrix</w:t>
            </w:r>
            <w:proofErr w:type="spellEnd"/>
            <w:r>
              <w:rPr>
                <w:rFonts w:ascii="Times New Roman" w:hAnsi="Times New Roman"/>
                <w:i/>
                <w:sz w:val="22"/>
                <w:szCs w:val="22"/>
                <w:lang w:val="lt-LT"/>
              </w:rPr>
              <w:t xml:space="preserve"> Polio</w:t>
            </w:r>
          </w:p>
        </w:tc>
        <w:tc>
          <w:tcPr>
            <w:tcW w:w="1241" w:type="pct"/>
            <w:tcBorders>
              <w:top w:val="single" w:sz="4" w:space="0" w:color="auto"/>
              <w:left w:val="single" w:sz="4" w:space="0" w:color="auto"/>
              <w:bottom w:val="single" w:sz="4" w:space="0" w:color="auto"/>
              <w:right w:val="single" w:sz="4" w:space="0" w:color="auto"/>
            </w:tcBorders>
            <w:hideMark/>
          </w:tcPr>
          <w:p w14:paraId="5A60DBFC" w14:textId="77777777" w:rsidR="00CA2E41" w:rsidRDefault="00CA2E41" w:rsidP="00E30FAC">
            <w:pPr>
              <w:pStyle w:val="tabletextNS"/>
              <w:keepNext/>
              <w:keepLines/>
              <w:spacing w:line="256" w:lineRule="auto"/>
              <w:jc w:val="center"/>
              <w:rPr>
                <w:rFonts w:ascii="Times New Roman" w:hAnsi="Times New Roman"/>
                <w:sz w:val="22"/>
                <w:szCs w:val="22"/>
                <w:lang w:val="lt-LT"/>
              </w:rPr>
            </w:pPr>
            <w:r>
              <w:rPr>
                <w:rFonts w:ascii="Times New Roman" w:hAnsi="Times New Roman"/>
                <w:sz w:val="22"/>
                <w:szCs w:val="22"/>
                <w:lang w:val="lt-LT"/>
              </w:rPr>
              <w:t>Retrospektyvusis, atrankos metodas</w:t>
            </w:r>
          </w:p>
        </w:tc>
        <w:tc>
          <w:tcPr>
            <w:tcW w:w="2017" w:type="pct"/>
            <w:tcBorders>
              <w:top w:val="single" w:sz="4" w:space="0" w:color="auto"/>
              <w:left w:val="single" w:sz="4" w:space="0" w:color="auto"/>
              <w:bottom w:val="single" w:sz="4" w:space="0" w:color="auto"/>
              <w:right w:val="single" w:sz="4" w:space="0" w:color="auto"/>
            </w:tcBorders>
          </w:tcPr>
          <w:p w14:paraId="50E42E2F" w14:textId="0A8130C2" w:rsidR="00CA2E41" w:rsidRDefault="00CA2E41" w:rsidP="00E30FAC">
            <w:pPr>
              <w:pStyle w:val="tabletextNS"/>
              <w:keepNext/>
              <w:keepLines/>
              <w:spacing w:line="256" w:lineRule="auto"/>
              <w:jc w:val="center"/>
              <w:rPr>
                <w:rFonts w:ascii="Times New Roman" w:hAnsi="Times New Roman"/>
                <w:sz w:val="22"/>
                <w:szCs w:val="22"/>
                <w:lang w:val="lt-LT"/>
              </w:rPr>
            </w:pPr>
            <w:r>
              <w:rPr>
                <w:rFonts w:ascii="Times New Roman" w:hAnsi="Times New Roman"/>
                <w:sz w:val="22"/>
                <w:szCs w:val="22"/>
                <w:lang w:val="lt-LT"/>
              </w:rPr>
              <w:t>88</w:t>
            </w:r>
            <w:r w:rsidR="00AD2B7C">
              <w:rPr>
                <w:rFonts w:ascii="Times New Roman" w:hAnsi="Times New Roman"/>
                <w:sz w:val="22"/>
                <w:szCs w:val="22"/>
                <w:lang w:val="lt-LT"/>
              </w:rPr>
              <w:t> </w:t>
            </w:r>
            <w:r>
              <w:rPr>
                <w:rFonts w:ascii="Times New Roman" w:hAnsi="Times New Roman"/>
                <w:sz w:val="22"/>
                <w:szCs w:val="22"/>
                <w:lang w:val="lt-LT"/>
              </w:rPr>
              <w:t>% (95</w:t>
            </w:r>
            <w:r w:rsidR="00AD2B7C">
              <w:rPr>
                <w:rFonts w:ascii="Times New Roman" w:hAnsi="Times New Roman"/>
                <w:sz w:val="22"/>
                <w:szCs w:val="22"/>
                <w:lang w:val="lt-LT"/>
              </w:rPr>
              <w:t> </w:t>
            </w:r>
            <w:r>
              <w:rPr>
                <w:rFonts w:ascii="Times New Roman" w:hAnsi="Times New Roman"/>
                <w:sz w:val="22"/>
                <w:szCs w:val="22"/>
                <w:lang w:val="lt-LT"/>
              </w:rPr>
              <w:t>% PI: 79, 93)</w:t>
            </w:r>
          </w:p>
          <w:p w14:paraId="5CCCA088" w14:textId="77777777" w:rsidR="00CA2E41" w:rsidRDefault="00CA2E41" w:rsidP="00E30FAC">
            <w:pPr>
              <w:pStyle w:val="tabletextNS"/>
              <w:keepNext/>
              <w:keepLines/>
              <w:spacing w:line="256" w:lineRule="auto"/>
              <w:jc w:val="center"/>
              <w:rPr>
                <w:rFonts w:ascii="Times New Roman" w:hAnsi="Times New Roman"/>
                <w:i/>
                <w:color w:val="000000"/>
                <w:sz w:val="22"/>
                <w:szCs w:val="22"/>
                <w:lang w:val="lt-LT"/>
              </w:rPr>
            </w:pPr>
          </w:p>
        </w:tc>
      </w:tr>
      <w:tr w:rsidR="00CA2E41" w14:paraId="071EC1D6" w14:textId="77777777" w:rsidTr="00E30FAC">
        <w:tc>
          <w:tcPr>
            <w:tcW w:w="1182" w:type="pct"/>
            <w:tcBorders>
              <w:top w:val="single" w:sz="4" w:space="0" w:color="auto"/>
              <w:left w:val="single" w:sz="4" w:space="0" w:color="auto"/>
              <w:bottom w:val="single" w:sz="4" w:space="0" w:color="auto"/>
              <w:right w:val="single" w:sz="4" w:space="0" w:color="auto"/>
            </w:tcBorders>
            <w:hideMark/>
          </w:tcPr>
          <w:p w14:paraId="360FF667" w14:textId="77777777" w:rsidR="00CA2E41" w:rsidRDefault="00CA2E41" w:rsidP="00E30FAC">
            <w:pPr>
              <w:pStyle w:val="tabletextNS"/>
              <w:keepNext/>
              <w:keepLines/>
              <w:spacing w:line="256" w:lineRule="auto"/>
              <w:rPr>
                <w:rFonts w:ascii="Times New Roman" w:hAnsi="Times New Roman"/>
                <w:b/>
                <w:sz w:val="22"/>
                <w:szCs w:val="22"/>
                <w:lang w:val="lt-LT"/>
              </w:rPr>
            </w:pPr>
            <w:r>
              <w:rPr>
                <w:rFonts w:ascii="Times New Roman" w:hAnsi="Times New Roman"/>
                <w:b/>
                <w:sz w:val="22"/>
                <w:szCs w:val="22"/>
                <w:lang w:val="lt-LT"/>
              </w:rPr>
              <w:t>Ispanija</w:t>
            </w:r>
          </w:p>
        </w:tc>
        <w:tc>
          <w:tcPr>
            <w:tcW w:w="560" w:type="pct"/>
            <w:tcBorders>
              <w:top w:val="single" w:sz="4" w:space="0" w:color="auto"/>
              <w:left w:val="single" w:sz="4" w:space="0" w:color="auto"/>
              <w:bottom w:val="single" w:sz="4" w:space="0" w:color="auto"/>
              <w:right w:val="single" w:sz="4" w:space="0" w:color="auto"/>
            </w:tcBorders>
            <w:hideMark/>
          </w:tcPr>
          <w:p w14:paraId="1D6C9161" w14:textId="77777777" w:rsidR="00CA2E41" w:rsidRDefault="00CA2E41" w:rsidP="00E30FAC">
            <w:pPr>
              <w:pStyle w:val="tabletextNS"/>
              <w:keepNext/>
              <w:keepLines/>
              <w:spacing w:line="256" w:lineRule="auto"/>
              <w:jc w:val="center"/>
              <w:rPr>
                <w:rFonts w:ascii="Times New Roman" w:hAnsi="Times New Roman"/>
                <w:sz w:val="22"/>
                <w:szCs w:val="22"/>
                <w:lang w:val="lt-LT"/>
              </w:rPr>
            </w:pPr>
            <w:proofErr w:type="spellStart"/>
            <w:r>
              <w:rPr>
                <w:rFonts w:ascii="Times New Roman" w:hAnsi="Times New Roman"/>
                <w:i/>
                <w:sz w:val="22"/>
                <w:szCs w:val="22"/>
                <w:lang w:val="lt-LT"/>
              </w:rPr>
              <w:t>Boostrix</w:t>
            </w:r>
            <w:proofErr w:type="spellEnd"/>
          </w:p>
        </w:tc>
        <w:tc>
          <w:tcPr>
            <w:tcW w:w="1241" w:type="pct"/>
            <w:tcBorders>
              <w:top w:val="single" w:sz="4" w:space="0" w:color="auto"/>
              <w:left w:val="single" w:sz="4" w:space="0" w:color="auto"/>
              <w:bottom w:val="single" w:sz="4" w:space="0" w:color="auto"/>
              <w:right w:val="single" w:sz="4" w:space="0" w:color="auto"/>
            </w:tcBorders>
            <w:hideMark/>
          </w:tcPr>
          <w:p w14:paraId="69120669" w14:textId="77777777" w:rsidR="00CA2E41" w:rsidRDefault="00CA2E41" w:rsidP="00E30FAC">
            <w:pPr>
              <w:pStyle w:val="tabletextNS"/>
              <w:keepNext/>
              <w:keepLines/>
              <w:spacing w:line="256" w:lineRule="auto"/>
              <w:jc w:val="center"/>
              <w:rPr>
                <w:rFonts w:ascii="Times New Roman" w:hAnsi="Times New Roman"/>
                <w:sz w:val="22"/>
                <w:szCs w:val="22"/>
                <w:lang w:val="lt-LT"/>
              </w:rPr>
            </w:pPr>
            <w:r>
              <w:rPr>
                <w:rFonts w:ascii="Times New Roman" w:hAnsi="Times New Roman"/>
                <w:sz w:val="22"/>
                <w:szCs w:val="22"/>
                <w:lang w:val="lt-LT"/>
              </w:rPr>
              <w:t>Perspektyvusis, suderintų atvejų kontrolės</w:t>
            </w:r>
          </w:p>
        </w:tc>
        <w:tc>
          <w:tcPr>
            <w:tcW w:w="2017" w:type="pct"/>
            <w:tcBorders>
              <w:top w:val="single" w:sz="4" w:space="0" w:color="auto"/>
              <w:left w:val="single" w:sz="4" w:space="0" w:color="auto"/>
              <w:bottom w:val="single" w:sz="4" w:space="0" w:color="auto"/>
              <w:right w:val="single" w:sz="4" w:space="0" w:color="auto"/>
            </w:tcBorders>
          </w:tcPr>
          <w:p w14:paraId="738CD19E" w14:textId="1B4CD0E5" w:rsidR="00CA2E41" w:rsidRDefault="00CA2E41" w:rsidP="00E30FAC">
            <w:pPr>
              <w:pStyle w:val="tabletextNS"/>
              <w:keepNext/>
              <w:keepLines/>
              <w:spacing w:line="256" w:lineRule="auto"/>
              <w:jc w:val="center"/>
              <w:rPr>
                <w:rFonts w:ascii="Times New Roman" w:hAnsi="Times New Roman"/>
                <w:sz w:val="22"/>
                <w:szCs w:val="22"/>
                <w:lang w:val="lt-LT"/>
              </w:rPr>
            </w:pPr>
            <w:r>
              <w:rPr>
                <w:rFonts w:ascii="Times New Roman" w:hAnsi="Times New Roman"/>
                <w:sz w:val="22"/>
                <w:szCs w:val="22"/>
                <w:lang w:val="lt-LT"/>
              </w:rPr>
              <w:t>90,9</w:t>
            </w:r>
            <w:r w:rsidR="00AD2B7C">
              <w:rPr>
                <w:rFonts w:ascii="Times New Roman" w:hAnsi="Times New Roman"/>
                <w:sz w:val="22"/>
                <w:szCs w:val="22"/>
                <w:lang w:val="lt-LT"/>
              </w:rPr>
              <w:t> </w:t>
            </w:r>
            <w:r>
              <w:rPr>
                <w:rFonts w:ascii="Times New Roman" w:hAnsi="Times New Roman"/>
                <w:sz w:val="22"/>
                <w:szCs w:val="22"/>
                <w:lang w:val="lt-LT"/>
              </w:rPr>
              <w:t>% (95</w:t>
            </w:r>
            <w:r w:rsidR="00AD2B7C">
              <w:rPr>
                <w:rFonts w:ascii="Times New Roman" w:hAnsi="Times New Roman"/>
                <w:sz w:val="22"/>
                <w:szCs w:val="22"/>
                <w:lang w:val="lt-LT"/>
              </w:rPr>
              <w:t> </w:t>
            </w:r>
            <w:r>
              <w:rPr>
                <w:rFonts w:ascii="Times New Roman" w:hAnsi="Times New Roman"/>
                <w:sz w:val="22"/>
                <w:szCs w:val="22"/>
                <w:lang w:val="lt-LT"/>
              </w:rPr>
              <w:t>% PI: 56,6, 98,1)</w:t>
            </w:r>
          </w:p>
          <w:p w14:paraId="7C5294AE" w14:textId="77777777" w:rsidR="00CA2E41" w:rsidRDefault="00CA2E41" w:rsidP="00E30FAC">
            <w:pPr>
              <w:pStyle w:val="tabletextNS"/>
              <w:keepNext/>
              <w:keepLines/>
              <w:spacing w:line="256" w:lineRule="auto"/>
              <w:jc w:val="center"/>
              <w:rPr>
                <w:rFonts w:ascii="Times New Roman" w:hAnsi="Times New Roman"/>
                <w:sz w:val="22"/>
                <w:szCs w:val="22"/>
                <w:lang w:val="lt-LT"/>
              </w:rPr>
            </w:pPr>
          </w:p>
        </w:tc>
      </w:tr>
      <w:tr w:rsidR="00CA2E41" w14:paraId="0E42B1EA" w14:textId="77777777" w:rsidTr="00E30FAC">
        <w:tc>
          <w:tcPr>
            <w:tcW w:w="1182" w:type="pct"/>
            <w:tcBorders>
              <w:top w:val="single" w:sz="4" w:space="0" w:color="auto"/>
              <w:left w:val="single" w:sz="4" w:space="0" w:color="auto"/>
              <w:bottom w:val="single" w:sz="4" w:space="0" w:color="auto"/>
              <w:right w:val="single" w:sz="4" w:space="0" w:color="auto"/>
            </w:tcBorders>
            <w:hideMark/>
          </w:tcPr>
          <w:p w14:paraId="41FEF480" w14:textId="77777777" w:rsidR="00CA2E41" w:rsidRDefault="00CA2E41" w:rsidP="00E30FAC">
            <w:pPr>
              <w:pStyle w:val="tabletextNS"/>
              <w:keepNext/>
              <w:keepLines/>
              <w:spacing w:line="256" w:lineRule="auto"/>
              <w:rPr>
                <w:rFonts w:ascii="Times New Roman" w:hAnsi="Times New Roman"/>
                <w:b/>
                <w:sz w:val="22"/>
                <w:szCs w:val="22"/>
                <w:lang w:val="lt-LT"/>
              </w:rPr>
            </w:pPr>
            <w:r>
              <w:rPr>
                <w:rFonts w:ascii="Times New Roman" w:hAnsi="Times New Roman"/>
                <w:b/>
                <w:sz w:val="22"/>
                <w:szCs w:val="22"/>
                <w:lang w:val="lt-LT"/>
              </w:rPr>
              <w:t>Australija</w:t>
            </w:r>
          </w:p>
        </w:tc>
        <w:tc>
          <w:tcPr>
            <w:tcW w:w="560" w:type="pct"/>
            <w:tcBorders>
              <w:top w:val="single" w:sz="4" w:space="0" w:color="auto"/>
              <w:left w:val="single" w:sz="4" w:space="0" w:color="auto"/>
              <w:bottom w:val="single" w:sz="4" w:space="0" w:color="auto"/>
              <w:right w:val="single" w:sz="4" w:space="0" w:color="auto"/>
            </w:tcBorders>
            <w:hideMark/>
          </w:tcPr>
          <w:p w14:paraId="6CF6B075" w14:textId="77777777" w:rsidR="00CA2E41" w:rsidRDefault="00CA2E41" w:rsidP="00E30FAC">
            <w:pPr>
              <w:pStyle w:val="tabletextNS"/>
              <w:keepNext/>
              <w:keepLines/>
              <w:spacing w:line="256" w:lineRule="auto"/>
              <w:jc w:val="center"/>
              <w:rPr>
                <w:rFonts w:ascii="Times New Roman" w:hAnsi="Times New Roman"/>
                <w:sz w:val="22"/>
                <w:szCs w:val="22"/>
                <w:lang w:val="lt-LT"/>
              </w:rPr>
            </w:pPr>
            <w:proofErr w:type="spellStart"/>
            <w:r>
              <w:rPr>
                <w:rFonts w:ascii="Times New Roman" w:hAnsi="Times New Roman"/>
                <w:i/>
                <w:sz w:val="22"/>
                <w:szCs w:val="22"/>
                <w:lang w:val="lt-LT"/>
              </w:rPr>
              <w:t>Boostrix</w:t>
            </w:r>
            <w:proofErr w:type="spellEnd"/>
          </w:p>
        </w:tc>
        <w:tc>
          <w:tcPr>
            <w:tcW w:w="1241" w:type="pct"/>
            <w:tcBorders>
              <w:top w:val="single" w:sz="4" w:space="0" w:color="auto"/>
              <w:left w:val="single" w:sz="4" w:space="0" w:color="auto"/>
              <w:bottom w:val="single" w:sz="4" w:space="0" w:color="auto"/>
              <w:right w:val="single" w:sz="4" w:space="0" w:color="auto"/>
            </w:tcBorders>
            <w:hideMark/>
          </w:tcPr>
          <w:p w14:paraId="4EDC702A" w14:textId="77777777" w:rsidR="00CA2E41" w:rsidRDefault="00CA2E41" w:rsidP="00E30FAC">
            <w:pPr>
              <w:pStyle w:val="tabletextNS"/>
              <w:keepNext/>
              <w:keepLines/>
              <w:spacing w:line="256" w:lineRule="auto"/>
              <w:jc w:val="center"/>
              <w:rPr>
                <w:rFonts w:ascii="Times New Roman" w:hAnsi="Times New Roman"/>
                <w:sz w:val="22"/>
                <w:szCs w:val="22"/>
                <w:lang w:val="lt-LT"/>
              </w:rPr>
            </w:pPr>
            <w:r>
              <w:rPr>
                <w:rFonts w:ascii="Times New Roman" w:hAnsi="Times New Roman"/>
                <w:sz w:val="22"/>
                <w:szCs w:val="22"/>
                <w:lang w:val="lt-LT"/>
              </w:rPr>
              <w:t>Perspektyvusis, suderintų atvejų kontrolės</w:t>
            </w:r>
          </w:p>
        </w:tc>
        <w:tc>
          <w:tcPr>
            <w:tcW w:w="2017" w:type="pct"/>
            <w:tcBorders>
              <w:top w:val="single" w:sz="4" w:space="0" w:color="auto"/>
              <w:left w:val="single" w:sz="4" w:space="0" w:color="auto"/>
              <w:bottom w:val="single" w:sz="4" w:space="0" w:color="auto"/>
              <w:right w:val="single" w:sz="4" w:space="0" w:color="auto"/>
            </w:tcBorders>
          </w:tcPr>
          <w:p w14:paraId="79C7D83E" w14:textId="4C3C0413" w:rsidR="00CA2E41" w:rsidRDefault="00CA2E41" w:rsidP="00E30FAC">
            <w:pPr>
              <w:pStyle w:val="tabletextNS"/>
              <w:keepNext/>
              <w:keepLines/>
              <w:spacing w:line="256" w:lineRule="auto"/>
              <w:jc w:val="center"/>
              <w:rPr>
                <w:rFonts w:ascii="Times New Roman" w:hAnsi="Times New Roman"/>
                <w:sz w:val="22"/>
                <w:szCs w:val="22"/>
                <w:lang w:val="lt-LT"/>
              </w:rPr>
            </w:pPr>
            <w:r>
              <w:rPr>
                <w:rFonts w:ascii="Times New Roman" w:hAnsi="Times New Roman"/>
                <w:sz w:val="22"/>
                <w:szCs w:val="22"/>
                <w:lang w:val="lt-LT"/>
              </w:rPr>
              <w:t>69</w:t>
            </w:r>
            <w:r w:rsidR="00AD2B7C">
              <w:rPr>
                <w:rFonts w:ascii="Times New Roman" w:hAnsi="Times New Roman"/>
                <w:sz w:val="22"/>
                <w:szCs w:val="22"/>
                <w:lang w:val="lt-LT"/>
              </w:rPr>
              <w:t> </w:t>
            </w:r>
            <w:r>
              <w:rPr>
                <w:rFonts w:ascii="Times New Roman" w:hAnsi="Times New Roman"/>
                <w:sz w:val="22"/>
                <w:szCs w:val="22"/>
                <w:lang w:val="lt-LT"/>
              </w:rPr>
              <w:t>% (95</w:t>
            </w:r>
            <w:r w:rsidR="00AD2B7C">
              <w:rPr>
                <w:rFonts w:ascii="Times New Roman" w:hAnsi="Times New Roman"/>
                <w:sz w:val="22"/>
                <w:szCs w:val="22"/>
                <w:lang w:val="lt-LT"/>
              </w:rPr>
              <w:t> </w:t>
            </w:r>
            <w:r>
              <w:rPr>
                <w:rFonts w:ascii="Times New Roman" w:hAnsi="Times New Roman"/>
                <w:sz w:val="22"/>
                <w:szCs w:val="22"/>
                <w:lang w:val="lt-LT"/>
              </w:rPr>
              <w:t>% PI: 13, 89)</w:t>
            </w:r>
          </w:p>
          <w:p w14:paraId="02BFAC54" w14:textId="77777777" w:rsidR="00CA2E41" w:rsidRDefault="00CA2E41" w:rsidP="00E30FAC">
            <w:pPr>
              <w:pStyle w:val="tabletextNS"/>
              <w:keepNext/>
              <w:keepLines/>
              <w:spacing w:line="256" w:lineRule="auto"/>
              <w:jc w:val="center"/>
              <w:rPr>
                <w:rFonts w:ascii="Times New Roman" w:hAnsi="Times New Roman"/>
                <w:i/>
                <w:color w:val="000000"/>
                <w:sz w:val="22"/>
                <w:szCs w:val="22"/>
                <w:lang w:val="lt-LT"/>
              </w:rPr>
            </w:pPr>
          </w:p>
        </w:tc>
      </w:tr>
    </w:tbl>
    <w:p w14:paraId="2FB0159C" w14:textId="77777777" w:rsidR="00CA2E41" w:rsidRDefault="00CA2E41" w:rsidP="00CA2E41">
      <w:pPr>
        <w:rPr>
          <w:sz w:val="20"/>
        </w:rPr>
      </w:pPr>
      <w:r>
        <w:rPr>
          <w:sz w:val="20"/>
        </w:rPr>
        <w:t xml:space="preserve">PI – </w:t>
      </w:r>
      <w:proofErr w:type="spellStart"/>
      <w:r>
        <w:rPr>
          <w:sz w:val="20"/>
        </w:rPr>
        <w:t>pasikliautinasis</w:t>
      </w:r>
      <w:proofErr w:type="spellEnd"/>
      <w:r>
        <w:rPr>
          <w:sz w:val="20"/>
        </w:rPr>
        <w:t xml:space="preserve"> intervalas.</w:t>
      </w:r>
    </w:p>
    <w:p w14:paraId="1139C39D" w14:textId="77777777" w:rsidR="00CA2E41" w:rsidRDefault="00CA2E41" w:rsidP="00CA2E41">
      <w:pPr>
        <w:rPr>
          <w:sz w:val="22"/>
        </w:rPr>
      </w:pPr>
    </w:p>
    <w:p w14:paraId="70120B84" w14:textId="77777777" w:rsidR="00CA2E41" w:rsidRDefault="00CA2E41" w:rsidP="00CA2E41">
      <w:pPr>
        <w:rPr>
          <w:sz w:val="22"/>
        </w:rPr>
      </w:pPr>
      <w:r>
        <w:rPr>
          <w:sz w:val="22"/>
        </w:rPr>
        <w:t>Jeigu motina paskiepijama dviejų savaičių iki gimdymo laikotarpiu, vakcinos veiksmingumas kūdikiui gali būti mažesnis nei nurodyta lentelėje.</w:t>
      </w:r>
    </w:p>
    <w:p w14:paraId="7F50AA9B" w14:textId="77777777" w:rsidR="00CA2E41" w:rsidRDefault="00CA2E41" w:rsidP="00CA2E41">
      <w:pPr>
        <w:rPr>
          <w:sz w:val="22"/>
        </w:rPr>
      </w:pPr>
    </w:p>
    <w:p w14:paraId="54ADECA0" w14:textId="77777777" w:rsidR="00CA2E41" w:rsidRDefault="00CA2E41" w:rsidP="00CA2E41">
      <w:pPr>
        <w:rPr>
          <w:b/>
          <w:sz w:val="22"/>
        </w:rPr>
      </w:pPr>
      <w:r>
        <w:rPr>
          <w:b/>
          <w:sz w:val="22"/>
        </w:rPr>
        <w:t>5.2</w:t>
      </w:r>
      <w:r>
        <w:rPr>
          <w:b/>
          <w:sz w:val="22"/>
        </w:rPr>
        <w:tab/>
      </w:r>
      <w:proofErr w:type="spellStart"/>
      <w:r>
        <w:rPr>
          <w:b/>
          <w:sz w:val="22"/>
        </w:rPr>
        <w:t>Farmakokinetinės</w:t>
      </w:r>
      <w:proofErr w:type="spellEnd"/>
      <w:r>
        <w:rPr>
          <w:b/>
          <w:sz w:val="22"/>
        </w:rPr>
        <w:t xml:space="preserve"> savybės</w:t>
      </w:r>
    </w:p>
    <w:p w14:paraId="2F5B9AC1" w14:textId="77777777" w:rsidR="00CA2E41" w:rsidRDefault="00CA2E41" w:rsidP="00CA2E41">
      <w:pPr>
        <w:rPr>
          <w:sz w:val="22"/>
        </w:rPr>
      </w:pPr>
    </w:p>
    <w:p w14:paraId="684CB5C7" w14:textId="77777777" w:rsidR="00CA2E41" w:rsidRDefault="00CA2E41" w:rsidP="00CA2E41">
      <w:pPr>
        <w:rPr>
          <w:sz w:val="22"/>
        </w:rPr>
      </w:pPr>
      <w:proofErr w:type="spellStart"/>
      <w:r>
        <w:rPr>
          <w:sz w:val="22"/>
        </w:rPr>
        <w:t>Farmakokinetinių</w:t>
      </w:r>
      <w:proofErr w:type="spellEnd"/>
      <w:r>
        <w:rPr>
          <w:sz w:val="22"/>
        </w:rPr>
        <w:t xml:space="preserve"> vakcinų savybių tirti nebūtina.</w:t>
      </w:r>
    </w:p>
    <w:p w14:paraId="61E68110" w14:textId="77777777" w:rsidR="00CA2E41" w:rsidRDefault="00CA2E41" w:rsidP="00CA2E41">
      <w:pPr>
        <w:rPr>
          <w:sz w:val="22"/>
        </w:rPr>
      </w:pPr>
    </w:p>
    <w:p w14:paraId="62F2209F" w14:textId="77777777" w:rsidR="00CA2E41" w:rsidRDefault="00CA2E41" w:rsidP="00CA2E41">
      <w:pPr>
        <w:rPr>
          <w:b/>
          <w:sz w:val="22"/>
        </w:rPr>
      </w:pPr>
      <w:r>
        <w:rPr>
          <w:b/>
          <w:sz w:val="22"/>
        </w:rPr>
        <w:t>5.3</w:t>
      </w:r>
      <w:r>
        <w:rPr>
          <w:b/>
          <w:sz w:val="22"/>
        </w:rPr>
        <w:tab/>
      </w:r>
      <w:proofErr w:type="spellStart"/>
      <w:r>
        <w:rPr>
          <w:b/>
          <w:sz w:val="22"/>
        </w:rPr>
        <w:t>Ikiklinikinių</w:t>
      </w:r>
      <w:proofErr w:type="spellEnd"/>
      <w:r>
        <w:rPr>
          <w:b/>
          <w:sz w:val="22"/>
        </w:rPr>
        <w:t xml:space="preserve"> saugumo tyrimų duomenys</w:t>
      </w:r>
    </w:p>
    <w:p w14:paraId="7DDA5D7B" w14:textId="77777777" w:rsidR="00CA2E41" w:rsidRDefault="00CA2E41" w:rsidP="00CA2E41">
      <w:pPr>
        <w:rPr>
          <w:sz w:val="22"/>
        </w:rPr>
      </w:pPr>
    </w:p>
    <w:p w14:paraId="3D414333" w14:textId="77777777" w:rsidR="00CA2E41" w:rsidRPr="00402C81" w:rsidRDefault="00CA2E41" w:rsidP="00CA2E41">
      <w:pPr>
        <w:rPr>
          <w:bCs/>
          <w:sz w:val="22"/>
          <w:u w:val="single"/>
        </w:rPr>
      </w:pPr>
      <w:r w:rsidRPr="00402C81">
        <w:rPr>
          <w:bCs/>
          <w:sz w:val="22"/>
          <w:u w:val="single"/>
        </w:rPr>
        <w:t>Toksinis poveikis reprodukcinei sistemai</w:t>
      </w:r>
    </w:p>
    <w:p w14:paraId="0BBBDDC3" w14:textId="77777777" w:rsidR="00CA2E41" w:rsidRDefault="00CA2E41" w:rsidP="00CA2E41">
      <w:pPr>
        <w:rPr>
          <w:sz w:val="22"/>
        </w:rPr>
      </w:pPr>
    </w:p>
    <w:p w14:paraId="41373A56" w14:textId="77777777" w:rsidR="00CA2E41" w:rsidRDefault="00CA2E41" w:rsidP="00CA2E41">
      <w:pPr>
        <w:rPr>
          <w:i/>
          <w:sz w:val="22"/>
        </w:rPr>
      </w:pPr>
      <w:r>
        <w:rPr>
          <w:i/>
          <w:sz w:val="22"/>
        </w:rPr>
        <w:t>Vaisingumas</w:t>
      </w:r>
    </w:p>
    <w:p w14:paraId="7EC5CD6E" w14:textId="77777777" w:rsidR="00CA2E41" w:rsidRDefault="00CA2E41" w:rsidP="00CA2E41">
      <w:pPr>
        <w:rPr>
          <w:sz w:val="22"/>
        </w:rPr>
      </w:pPr>
    </w:p>
    <w:p w14:paraId="0566ED26" w14:textId="77777777" w:rsidR="00CA2E41" w:rsidRDefault="00CA2E41" w:rsidP="00CA2E41">
      <w:pPr>
        <w:rPr>
          <w:sz w:val="22"/>
        </w:rPr>
      </w:pPr>
      <w:proofErr w:type="spellStart"/>
      <w:r>
        <w:rPr>
          <w:sz w:val="22"/>
        </w:rPr>
        <w:t>Ikiklinikiniai</w:t>
      </w:r>
      <w:proofErr w:type="spellEnd"/>
      <w:r>
        <w:rPr>
          <w:sz w:val="22"/>
        </w:rPr>
        <w:t xml:space="preserve"> duomenys, gauti su BOOSTRIX POLIO įprastinių vaisingumo tyrimų su žiurkių ir triušių patelėmis metu, specifinio pavojaus žmogui nerodo.</w:t>
      </w:r>
    </w:p>
    <w:p w14:paraId="58A48BC4" w14:textId="77777777" w:rsidR="00CA2E41" w:rsidRDefault="00CA2E41" w:rsidP="00CA2E41">
      <w:pPr>
        <w:rPr>
          <w:sz w:val="22"/>
        </w:rPr>
      </w:pPr>
    </w:p>
    <w:p w14:paraId="3B92CA8D" w14:textId="77777777" w:rsidR="00CA2E41" w:rsidRDefault="00CA2E41" w:rsidP="00CA2E41">
      <w:pPr>
        <w:rPr>
          <w:i/>
          <w:sz w:val="22"/>
        </w:rPr>
      </w:pPr>
      <w:r>
        <w:rPr>
          <w:i/>
          <w:sz w:val="22"/>
        </w:rPr>
        <w:t>Nėštumas</w:t>
      </w:r>
    </w:p>
    <w:p w14:paraId="09714FBA" w14:textId="77777777" w:rsidR="00CA2E41" w:rsidRDefault="00CA2E41" w:rsidP="00CA2E41">
      <w:pPr>
        <w:rPr>
          <w:sz w:val="22"/>
        </w:rPr>
      </w:pPr>
    </w:p>
    <w:p w14:paraId="5B0C5781" w14:textId="77777777" w:rsidR="00CA2E41" w:rsidRDefault="00CA2E41" w:rsidP="00CA2E41">
      <w:pPr>
        <w:rPr>
          <w:sz w:val="22"/>
        </w:rPr>
      </w:pPr>
      <w:proofErr w:type="spellStart"/>
      <w:r>
        <w:rPr>
          <w:sz w:val="22"/>
        </w:rPr>
        <w:t>Ikiklinikiniai</w:t>
      </w:r>
      <w:proofErr w:type="spellEnd"/>
      <w:r>
        <w:rPr>
          <w:sz w:val="22"/>
        </w:rPr>
        <w:t xml:space="preserve"> duomenys, gauti su BOOSTRIX POLIO įprastinių vaisiaus vystymosi tyrimų su žiurkėmis ir triušiais metu, o taip pat toksinio poveikio gimdymui ir jauniklio vystymuisi (iki laktacijos periodo pabaigos) tyrimų su žiurkėmis metu,  specifinio pavojaus žmogui nerodo.</w:t>
      </w:r>
    </w:p>
    <w:p w14:paraId="0385CDE7" w14:textId="77777777" w:rsidR="00CA2E41" w:rsidRDefault="00CA2E41" w:rsidP="00CA2E41">
      <w:pPr>
        <w:rPr>
          <w:b/>
          <w:sz w:val="22"/>
        </w:rPr>
      </w:pPr>
    </w:p>
    <w:p w14:paraId="3F38C8D2" w14:textId="77777777" w:rsidR="00CA2E41" w:rsidRPr="00402C81" w:rsidRDefault="00CA2E41" w:rsidP="00CA2E41">
      <w:pPr>
        <w:keepNext/>
        <w:rPr>
          <w:bCs/>
          <w:sz w:val="22"/>
          <w:u w:val="single"/>
        </w:rPr>
      </w:pPr>
      <w:r w:rsidRPr="00402C81">
        <w:rPr>
          <w:bCs/>
          <w:sz w:val="22"/>
          <w:u w:val="single"/>
        </w:rPr>
        <w:t>Toksinis ir (arba) farmakologinis poveikis gyvūnams</w:t>
      </w:r>
    </w:p>
    <w:p w14:paraId="007CF915" w14:textId="77777777" w:rsidR="00CA2E41" w:rsidRDefault="00CA2E41" w:rsidP="00CA2E41">
      <w:pPr>
        <w:rPr>
          <w:sz w:val="22"/>
        </w:rPr>
      </w:pPr>
    </w:p>
    <w:p w14:paraId="556C5778" w14:textId="77777777" w:rsidR="00CA2E41" w:rsidRDefault="00CA2E41" w:rsidP="00CA2E41">
      <w:pPr>
        <w:rPr>
          <w:sz w:val="22"/>
        </w:rPr>
      </w:pPr>
      <w:r>
        <w:rPr>
          <w:sz w:val="22"/>
        </w:rPr>
        <w:t xml:space="preserve">Remiantis įprastais saugumo ir toksiškumo tyrimais, </w:t>
      </w:r>
      <w:proofErr w:type="spellStart"/>
      <w:r>
        <w:rPr>
          <w:sz w:val="22"/>
        </w:rPr>
        <w:t>ikiklinikiniai</w:t>
      </w:r>
      <w:proofErr w:type="spellEnd"/>
      <w:r>
        <w:rPr>
          <w:sz w:val="22"/>
        </w:rPr>
        <w:t xml:space="preserve"> duomenys neparodė ypatingo pavojaus žmonėms.</w:t>
      </w:r>
    </w:p>
    <w:p w14:paraId="38648351" w14:textId="77777777" w:rsidR="00CA2E41" w:rsidRDefault="00CA2E41" w:rsidP="00CA2E41">
      <w:pPr>
        <w:rPr>
          <w:sz w:val="22"/>
        </w:rPr>
      </w:pPr>
    </w:p>
    <w:p w14:paraId="030E8EE0" w14:textId="77777777" w:rsidR="00CA2E41" w:rsidRDefault="00CA2E41" w:rsidP="00CA2E41">
      <w:pPr>
        <w:rPr>
          <w:sz w:val="22"/>
        </w:rPr>
      </w:pPr>
    </w:p>
    <w:p w14:paraId="608BCFAF" w14:textId="77777777" w:rsidR="00CA2E41" w:rsidRDefault="00CA2E41" w:rsidP="00CA2E41">
      <w:pPr>
        <w:keepNext/>
        <w:rPr>
          <w:b/>
          <w:sz w:val="22"/>
        </w:rPr>
      </w:pPr>
      <w:r>
        <w:rPr>
          <w:b/>
          <w:sz w:val="22"/>
        </w:rPr>
        <w:t>6.</w:t>
      </w:r>
      <w:r>
        <w:rPr>
          <w:b/>
          <w:sz w:val="22"/>
        </w:rPr>
        <w:tab/>
        <w:t>FARMACINĖ INFORMACIJA</w:t>
      </w:r>
    </w:p>
    <w:p w14:paraId="6EAB6223" w14:textId="77777777" w:rsidR="00CA2E41" w:rsidRPr="00305A45" w:rsidRDefault="00CA2E41" w:rsidP="00CA2E41">
      <w:pPr>
        <w:keepNext/>
        <w:rPr>
          <w:sz w:val="22"/>
        </w:rPr>
      </w:pPr>
    </w:p>
    <w:p w14:paraId="3FE0C955" w14:textId="77777777" w:rsidR="00CA2E41" w:rsidRDefault="00CA2E41" w:rsidP="00CA2E41">
      <w:pPr>
        <w:keepNext/>
        <w:rPr>
          <w:b/>
          <w:sz w:val="22"/>
        </w:rPr>
      </w:pPr>
      <w:r>
        <w:rPr>
          <w:b/>
          <w:sz w:val="22"/>
        </w:rPr>
        <w:t>6.1</w:t>
      </w:r>
      <w:r>
        <w:rPr>
          <w:b/>
          <w:sz w:val="22"/>
        </w:rPr>
        <w:tab/>
        <w:t>Pagalbinių medžiagų sąrašas</w:t>
      </w:r>
    </w:p>
    <w:p w14:paraId="2D989C05" w14:textId="77777777" w:rsidR="00CA2E41" w:rsidRDefault="00CA2E41" w:rsidP="00CA2E41">
      <w:pPr>
        <w:rPr>
          <w:sz w:val="22"/>
        </w:rPr>
      </w:pPr>
    </w:p>
    <w:p w14:paraId="52A632FF" w14:textId="5600C4FC" w:rsidR="00CA2E41" w:rsidRDefault="00CA2E41" w:rsidP="00CA2E41">
      <w:pPr>
        <w:rPr>
          <w:sz w:val="22"/>
        </w:rPr>
      </w:pPr>
      <w:r>
        <w:rPr>
          <w:sz w:val="22"/>
        </w:rPr>
        <w:t>Terpė</w:t>
      </w:r>
      <w:r w:rsidR="00F37788">
        <w:rPr>
          <w:sz w:val="22"/>
        </w:rPr>
        <w:t> </w:t>
      </w:r>
      <w:r>
        <w:rPr>
          <w:sz w:val="22"/>
        </w:rPr>
        <w:t>199 (sudėtyje yra aminorūgščių</w:t>
      </w:r>
      <w:r w:rsidR="00CC6A2D">
        <w:rPr>
          <w:sz w:val="22"/>
        </w:rPr>
        <w:t xml:space="preserve"> </w:t>
      </w:r>
      <w:r w:rsidR="00134E3B">
        <w:rPr>
          <w:sz w:val="22"/>
        </w:rPr>
        <w:t>[</w:t>
      </w:r>
      <w:r w:rsidR="00CC6A2D">
        <w:rPr>
          <w:sz w:val="22"/>
        </w:rPr>
        <w:t xml:space="preserve">įskaitant </w:t>
      </w:r>
      <w:proofErr w:type="spellStart"/>
      <w:r w:rsidR="00CC6A2D">
        <w:rPr>
          <w:sz w:val="22"/>
        </w:rPr>
        <w:t>fenilalaniną</w:t>
      </w:r>
      <w:proofErr w:type="spellEnd"/>
      <w:r w:rsidR="00134E3B">
        <w:rPr>
          <w:sz w:val="22"/>
        </w:rPr>
        <w:t>]</w:t>
      </w:r>
      <w:r>
        <w:rPr>
          <w:sz w:val="22"/>
        </w:rPr>
        <w:t>, mineralinių druskų</w:t>
      </w:r>
      <w:r w:rsidR="00D01665">
        <w:rPr>
          <w:sz w:val="22"/>
        </w:rPr>
        <w:t xml:space="preserve"> </w:t>
      </w:r>
      <w:r w:rsidR="00134E3B">
        <w:rPr>
          <w:sz w:val="22"/>
        </w:rPr>
        <w:t>[</w:t>
      </w:r>
      <w:r w:rsidR="00D01665">
        <w:rPr>
          <w:sz w:val="22"/>
        </w:rPr>
        <w:t>įskaitant natrį ir kalį</w:t>
      </w:r>
      <w:r w:rsidR="00134E3B">
        <w:rPr>
          <w:sz w:val="22"/>
        </w:rPr>
        <w:t>]</w:t>
      </w:r>
      <w:r>
        <w:rPr>
          <w:sz w:val="22"/>
        </w:rPr>
        <w:t xml:space="preserve">, vitaminų </w:t>
      </w:r>
      <w:r w:rsidR="008305C9">
        <w:rPr>
          <w:sz w:val="22"/>
        </w:rPr>
        <w:t>[</w:t>
      </w:r>
      <w:r w:rsidR="00D01665">
        <w:rPr>
          <w:sz w:val="22"/>
        </w:rPr>
        <w:t xml:space="preserve">įskaitant </w:t>
      </w:r>
      <w:r w:rsidR="00F403F6" w:rsidRPr="00F403F6">
        <w:rPr>
          <w:sz w:val="22"/>
        </w:rPr>
        <w:t>para-</w:t>
      </w:r>
      <w:proofErr w:type="spellStart"/>
      <w:r w:rsidR="00F403F6" w:rsidRPr="00F403F6">
        <w:rPr>
          <w:sz w:val="22"/>
        </w:rPr>
        <w:t>aminobenzenkarboksirūgšti</w:t>
      </w:r>
      <w:r w:rsidR="00F403F6">
        <w:rPr>
          <w:sz w:val="22"/>
        </w:rPr>
        <w:t>es</w:t>
      </w:r>
      <w:proofErr w:type="spellEnd"/>
      <w:r w:rsidR="008305C9">
        <w:rPr>
          <w:sz w:val="22"/>
        </w:rPr>
        <w:t>]</w:t>
      </w:r>
      <w:r w:rsidR="00F403F6" w:rsidRPr="00F403F6">
        <w:rPr>
          <w:sz w:val="22"/>
        </w:rPr>
        <w:t xml:space="preserve"> </w:t>
      </w:r>
      <w:r>
        <w:rPr>
          <w:sz w:val="22"/>
        </w:rPr>
        <w:t>ir kitų medžiagų)</w:t>
      </w:r>
    </w:p>
    <w:p w14:paraId="4CFF4FE8" w14:textId="77777777" w:rsidR="00CA2E41" w:rsidRDefault="00CA2E41" w:rsidP="00CA2E41">
      <w:pPr>
        <w:rPr>
          <w:sz w:val="22"/>
        </w:rPr>
      </w:pPr>
      <w:r>
        <w:rPr>
          <w:sz w:val="22"/>
        </w:rPr>
        <w:t>Natrio chloridas</w:t>
      </w:r>
    </w:p>
    <w:p w14:paraId="79A94700" w14:textId="77777777" w:rsidR="00CA2E41" w:rsidRDefault="00CA2E41" w:rsidP="00CA2E41">
      <w:pPr>
        <w:rPr>
          <w:sz w:val="22"/>
        </w:rPr>
      </w:pPr>
      <w:r>
        <w:rPr>
          <w:sz w:val="22"/>
        </w:rPr>
        <w:t>Injekcinis vanduo</w:t>
      </w:r>
    </w:p>
    <w:p w14:paraId="6E15D564" w14:textId="77777777" w:rsidR="00CA2E41" w:rsidRDefault="00CA2E41" w:rsidP="00CA2E41">
      <w:pPr>
        <w:rPr>
          <w:sz w:val="22"/>
        </w:rPr>
      </w:pPr>
    </w:p>
    <w:p w14:paraId="56A84A0C" w14:textId="7691CB3D" w:rsidR="00CA2E41" w:rsidRDefault="00CA2E41" w:rsidP="00CA2E41">
      <w:pPr>
        <w:rPr>
          <w:sz w:val="22"/>
        </w:rPr>
      </w:pPr>
      <w:r>
        <w:rPr>
          <w:sz w:val="22"/>
        </w:rPr>
        <w:t>Kitos pagalbinės medžiagos išvardytos 2</w:t>
      </w:r>
      <w:r w:rsidR="00F90789">
        <w:rPr>
          <w:sz w:val="22"/>
        </w:rPr>
        <w:t> </w:t>
      </w:r>
      <w:r>
        <w:rPr>
          <w:sz w:val="22"/>
        </w:rPr>
        <w:t>skyriuje.</w:t>
      </w:r>
    </w:p>
    <w:p w14:paraId="112D9DC8" w14:textId="77777777" w:rsidR="00CA2E41" w:rsidRDefault="00CA2E41" w:rsidP="00CA2E41">
      <w:pPr>
        <w:rPr>
          <w:sz w:val="22"/>
        </w:rPr>
      </w:pPr>
    </w:p>
    <w:p w14:paraId="1E0AB8F5" w14:textId="77777777" w:rsidR="00CA2E41" w:rsidRDefault="00CA2E41" w:rsidP="00CA2E41">
      <w:pPr>
        <w:rPr>
          <w:b/>
          <w:sz w:val="22"/>
        </w:rPr>
      </w:pPr>
      <w:r>
        <w:rPr>
          <w:b/>
          <w:sz w:val="22"/>
        </w:rPr>
        <w:t>6.2</w:t>
      </w:r>
      <w:r>
        <w:rPr>
          <w:b/>
          <w:sz w:val="22"/>
        </w:rPr>
        <w:tab/>
        <w:t>Nesuderinamumas</w:t>
      </w:r>
    </w:p>
    <w:p w14:paraId="1C66446E" w14:textId="77777777" w:rsidR="00CA2E41" w:rsidRDefault="00CA2E41" w:rsidP="00CA2E41">
      <w:pPr>
        <w:rPr>
          <w:sz w:val="22"/>
        </w:rPr>
      </w:pPr>
    </w:p>
    <w:p w14:paraId="1A5BF6FF" w14:textId="77777777" w:rsidR="00CA2E41" w:rsidRDefault="00CA2E41" w:rsidP="00CA2E41">
      <w:pPr>
        <w:rPr>
          <w:sz w:val="22"/>
        </w:rPr>
      </w:pPr>
      <w:r>
        <w:rPr>
          <w:sz w:val="22"/>
        </w:rPr>
        <w:t>Suderinamumo tyrimų neatlikta, todėl šio vaistinio preparato maišyti su kitais negalima.</w:t>
      </w:r>
    </w:p>
    <w:p w14:paraId="551F4F9B" w14:textId="77777777" w:rsidR="00CA2E41" w:rsidRDefault="00CA2E41" w:rsidP="00CA2E41">
      <w:pPr>
        <w:rPr>
          <w:sz w:val="22"/>
        </w:rPr>
      </w:pPr>
    </w:p>
    <w:p w14:paraId="2D3DC547" w14:textId="77777777" w:rsidR="00CA2E41" w:rsidRDefault="00CA2E41" w:rsidP="00CA2E41">
      <w:pPr>
        <w:rPr>
          <w:b/>
          <w:sz w:val="22"/>
        </w:rPr>
      </w:pPr>
      <w:r>
        <w:rPr>
          <w:b/>
          <w:sz w:val="22"/>
        </w:rPr>
        <w:t>6.3</w:t>
      </w:r>
      <w:r>
        <w:rPr>
          <w:b/>
          <w:sz w:val="22"/>
        </w:rPr>
        <w:tab/>
        <w:t>Tinkamumo laikas</w:t>
      </w:r>
    </w:p>
    <w:p w14:paraId="35C5F1B6" w14:textId="77777777" w:rsidR="00CA2E41" w:rsidRDefault="00CA2E41" w:rsidP="00CA2E41">
      <w:pPr>
        <w:rPr>
          <w:sz w:val="22"/>
        </w:rPr>
      </w:pPr>
    </w:p>
    <w:p w14:paraId="05D6A072" w14:textId="522EDF3E" w:rsidR="00CA2E41" w:rsidRDefault="00CA2E41" w:rsidP="00CA2E41">
      <w:pPr>
        <w:rPr>
          <w:sz w:val="22"/>
        </w:rPr>
      </w:pPr>
      <w:r>
        <w:rPr>
          <w:sz w:val="22"/>
        </w:rPr>
        <w:t>3</w:t>
      </w:r>
      <w:r w:rsidR="00F90789">
        <w:rPr>
          <w:sz w:val="22"/>
        </w:rPr>
        <w:t> </w:t>
      </w:r>
      <w:r>
        <w:rPr>
          <w:sz w:val="22"/>
        </w:rPr>
        <w:t xml:space="preserve">metai </w:t>
      </w:r>
    </w:p>
    <w:p w14:paraId="15D5FA47" w14:textId="77777777" w:rsidR="00CA2E41" w:rsidRDefault="00CA2E41" w:rsidP="00CA2E41">
      <w:pPr>
        <w:rPr>
          <w:sz w:val="22"/>
        </w:rPr>
      </w:pPr>
    </w:p>
    <w:p w14:paraId="4CEF267F" w14:textId="77777777" w:rsidR="00CA2E41" w:rsidRDefault="00CA2E41" w:rsidP="00CA2E41">
      <w:pPr>
        <w:keepNext/>
        <w:rPr>
          <w:b/>
          <w:sz w:val="22"/>
        </w:rPr>
      </w:pPr>
      <w:r>
        <w:rPr>
          <w:b/>
          <w:sz w:val="22"/>
        </w:rPr>
        <w:t>6.4</w:t>
      </w:r>
      <w:r>
        <w:rPr>
          <w:b/>
          <w:sz w:val="22"/>
        </w:rPr>
        <w:tab/>
        <w:t>Specialios laikymo sąlygos</w:t>
      </w:r>
    </w:p>
    <w:p w14:paraId="0DA4B287" w14:textId="77777777" w:rsidR="00CA2E41" w:rsidRDefault="00CA2E41" w:rsidP="00CA2E41">
      <w:pPr>
        <w:rPr>
          <w:sz w:val="22"/>
        </w:rPr>
      </w:pPr>
    </w:p>
    <w:p w14:paraId="02619719" w14:textId="77777777" w:rsidR="00CA2E41" w:rsidRDefault="00CA2E41" w:rsidP="00CA2E41">
      <w:pPr>
        <w:rPr>
          <w:sz w:val="22"/>
        </w:rPr>
      </w:pPr>
      <w:r>
        <w:rPr>
          <w:sz w:val="22"/>
        </w:rPr>
        <w:t>Laikyti šaldytuve (2 </w:t>
      </w:r>
      <w:r>
        <w:rPr>
          <w:sz w:val="22"/>
        </w:rPr>
        <w:sym w:font="Symbol" w:char="F0B0"/>
      </w:r>
      <w:r>
        <w:rPr>
          <w:sz w:val="22"/>
        </w:rPr>
        <w:t>C–8 </w:t>
      </w:r>
      <w:r>
        <w:rPr>
          <w:sz w:val="22"/>
        </w:rPr>
        <w:sym w:font="Symbol" w:char="F0B0"/>
      </w:r>
      <w:r>
        <w:rPr>
          <w:sz w:val="22"/>
        </w:rPr>
        <w:t>C).</w:t>
      </w:r>
    </w:p>
    <w:p w14:paraId="74EE5A71" w14:textId="77777777" w:rsidR="00CA2E41" w:rsidRDefault="00CA2E41" w:rsidP="00CA2E41">
      <w:pPr>
        <w:rPr>
          <w:sz w:val="22"/>
        </w:rPr>
      </w:pPr>
    </w:p>
    <w:p w14:paraId="7710A260" w14:textId="77777777" w:rsidR="00CA2E41" w:rsidRDefault="00CA2E41" w:rsidP="00CA2E41">
      <w:pPr>
        <w:rPr>
          <w:sz w:val="22"/>
        </w:rPr>
      </w:pPr>
      <w:bookmarkStart w:id="12" w:name="_Hlk55028961"/>
      <w:r>
        <w:rPr>
          <w:sz w:val="22"/>
        </w:rPr>
        <w:t>Išimta iš šaldytuvo vakcina išlieka stabili 8 valandas 21 </w:t>
      </w:r>
      <w:r>
        <w:rPr>
          <w:sz w:val="22"/>
        </w:rPr>
        <w:sym w:font="Symbol" w:char="F0B0"/>
      </w:r>
      <w:r>
        <w:rPr>
          <w:sz w:val="22"/>
        </w:rPr>
        <w:t>C temperatūroje.</w:t>
      </w:r>
      <w:r>
        <w:t xml:space="preserve"> </w:t>
      </w:r>
      <w:r>
        <w:rPr>
          <w:sz w:val="22"/>
        </w:rPr>
        <w:t>Jeigu per šį laikotarpį vakcina nesuvartojama, ją reikia išmesti. Ši informacija skirta sveikatos priežiūros specialistams tik laikino temperatūros nukrypimo atveju.</w:t>
      </w:r>
    </w:p>
    <w:bookmarkEnd w:id="12"/>
    <w:p w14:paraId="5432416C" w14:textId="77777777" w:rsidR="00CA2E41" w:rsidRDefault="00CA2E41" w:rsidP="00CA2E41">
      <w:pPr>
        <w:rPr>
          <w:sz w:val="22"/>
        </w:rPr>
      </w:pPr>
    </w:p>
    <w:p w14:paraId="2704B283" w14:textId="77777777" w:rsidR="00CA2E41" w:rsidRDefault="00CA2E41" w:rsidP="00CA2E41">
      <w:pPr>
        <w:rPr>
          <w:sz w:val="22"/>
        </w:rPr>
      </w:pPr>
      <w:r>
        <w:rPr>
          <w:b/>
          <w:sz w:val="22"/>
        </w:rPr>
        <w:t>Negalima užšaldyti</w:t>
      </w:r>
      <w:r>
        <w:rPr>
          <w:sz w:val="22"/>
        </w:rPr>
        <w:t xml:space="preserve">. </w:t>
      </w:r>
    </w:p>
    <w:p w14:paraId="7A41231A" w14:textId="77777777" w:rsidR="00CA2E41" w:rsidRDefault="00CA2E41" w:rsidP="00CA2E41">
      <w:pPr>
        <w:rPr>
          <w:sz w:val="22"/>
        </w:rPr>
      </w:pPr>
    </w:p>
    <w:p w14:paraId="2FECA2A5" w14:textId="77777777" w:rsidR="00CA2E41" w:rsidRDefault="00CA2E41" w:rsidP="00CA2E41">
      <w:pPr>
        <w:rPr>
          <w:sz w:val="22"/>
        </w:rPr>
      </w:pPr>
      <w:r>
        <w:rPr>
          <w:sz w:val="22"/>
        </w:rPr>
        <w:t>Laikyti gamintojo pakuotėje, kad preparatas būtų apsaugotas nuo šviesos.</w:t>
      </w:r>
    </w:p>
    <w:p w14:paraId="242853B5" w14:textId="77777777" w:rsidR="00CA2E41" w:rsidRDefault="00CA2E41" w:rsidP="00CA2E41">
      <w:pPr>
        <w:rPr>
          <w:sz w:val="22"/>
        </w:rPr>
      </w:pPr>
    </w:p>
    <w:p w14:paraId="3A201056" w14:textId="77777777" w:rsidR="00CA2E41" w:rsidRDefault="00CA2E41" w:rsidP="00CA2E41">
      <w:pPr>
        <w:rPr>
          <w:b/>
          <w:sz w:val="22"/>
        </w:rPr>
      </w:pPr>
      <w:r>
        <w:rPr>
          <w:b/>
          <w:sz w:val="22"/>
        </w:rPr>
        <w:t>6.5</w:t>
      </w:r>
      <w:r>
        <w:rPr>
          <w:b/>
          <w:sz w:val="22"/>
        </w:rPr>
        <w:tab/>
      </w:r>
      <w:proofErr w:type="spellStart"/>
      <w:r>
        <w:rPr>
          <w:b/>
          <w:bCs/>
          <w:sz w:val="22"/>
        </w:rPr>
        <w:t>Talpyklės</w:t>
      </w:r>
      <w:proofErr w:type="spellEnd"/>
      <w:r>
        <w:rPr>
          <w:b/>
          <w:bCs/>
          <w:sz w:val="22"/>
        </w:rPr>
        <w:t xml:space="preserve"> pobūdis</w:t>
      </w:r>
      <w:r>
        <w:rPr>
          <w:b/>
          <w:sz w:val="22"/>
        </w:rPr>
        <w:t xml:space="preserve"> ir jos turinys</w:t>
      </w:r>
    </w:p>
    <w:p w14:paraId="7B1F74F3" w14:textId="77777777" w:rsidR="00CA2E41" w:rsidRDefault="00CA2E41" w:rsidP="00CA2E41">
      <w:pPr>
        <w:rPr>
          <w:sz w:val="22"/>
        </w:rPr>
      </w:pPr>
    </w:p>
    <w:p w14:paraId="64EF17DE" w14:textId="5737DA67" w:rsidR="0029080A" w:rsidRDefault="00CA2E41" w:rsidP="00CA2E41">
      <w:pPr>
        <w:rPr>
          <w:sz w:val="22"/>
        </w:rPr>
      </w:pPr>
      <w:r>
        <w:rPr>
          <w:sz w:val="22"/>
        </w:rPr>
        <w:t xml:space="preserve">0,5 ml injekcinės suspensijos užpildytame švirkšte (I tipo stiklas) </w:t>
      </w:r>
      <w:r w:rsidR="00904EC5" w:rsidRPr="00904EC5">
        <w:rPr>
          <w:sz w:val="22"/>
        </w:rPr>
        <w:t>su stūmoklio kamščiu (butilo guma) ir su apsauginiu antgalio dangteliu</w:t>
      </w:r>
      <w:r w:rsidR="006A77E1">
        <w:rPr>
          <w:sz w:val="22"/>
        </w:rPr>
        <w:t>.</w:t>
      </w:r>
      <w:r>
        <w:rPr>
          <w:sz w:val="22"/>
        </w:rPr>
        <w:t xml:space="preserve"> </w:t>
      </w:r>
    </w:p>
    <w:p w14:paraId="6D03F443" w14:textId="77777777" w:rsidR="0029080A" w:rsidRDefault="0029080A" w:rsidP="00CA2E41">
      <w:pPr>
        <w:rPr>
          <w:sz w:val="22"/>
        </w:rPr>
      </w:pPr>
    </w:p>
    <w:p w14:paraId="43DCA292" w14:textId="172ECF5A" w:rsidR="00CA2E41" w:rsidRDefault="0029080A" w:rsidP="00CA2E41">
      <w:pPr>
        <w:rPr>
          <w:sz w:val="22"/>
        </w:rPr>
      </w:pPr>
      <w:r>
        <w:rPr>
          <w:sz w:val="22"/>
        </w:rPr>
        <w:t>P</w:t>
      </w:r>
      <w:r w:rsidR="00CA2E41">
        <w:rPr>
          <w:sz w:val="22"/>
        </w:rPr>
        <w:t>akuot</w:t>
      </w:r>
      <w:r>
        <w:rPr>
          <w:sz w:val="22"/>
        </w:rPr>
        <w:t>ėje yra</w:t>
      </w:r>
      <w:r w:rsidR="00CA2E41">
        <w:rPr>
          <w:sz w:val="22"/>
        </w:rPr>
        <w:t xml:space="preserve"> 1 </w:t>
      </w:r>
      <w:r w:rsidR="009F44A9">
        <w:rPr>
          <w:sz w:val="22"/>
        </w:rPr>
        <w:t>ir</w:t>
      </w:r>
      <w:r w:rsidR="00F146EB">
        <w:rPr>
          <w:sz w:val="22"/>
        </w:rPr>
        <w:t xml:space="preserve"> </w:t>
      </w:r>
      <w:r w:rsidR="00CA2E41">
        <w:rPr>
          <w:sz w:val="22"/>
        </w:rPr>
        <w:t>10</w:t>
      </w:r>
      <w:r w:rsidR="00DB339E" w:rsidRPr="00DB339E">
        <w:t xml:space="preserve"> </w:t>
      </w:r>
      <w:r w:rsidR="00DB339E" w:rsidRPr="00DB339E">
        <w:rPr>
          <w:sz w:val="22"/>
        </w:rPr>
        <w:t>su adatomis ar be jų</w:t>
      </w:r>
      <w:r w:rsidR="00CA2E41">
        <w:rPr>
          <w:sz w:val="22"/>
        </w:rPr>
        <w:t xml:space="preserve">. </w:t>
      </w:r>
    </w:p>
    <w:p w14:paraId="025583BA" w14:textId="77777777" w:rsidR="00CA2E41" w:rsidRDefault="00CA2E41" w:rsidP="00CA2E41">
      <w:pPr>
        <w:rPr>
          <w:sz w:val="22"/>
        </w:rPr>
      </w:pPr>
    </w:p>
    <w:p w14:paraId="1B99C3DB" w14:textId="263E13AA" w:rsidR="004C00D4" w:rsidRDefault="004C00D4" w:rsidP="00CA2E41">
      <w:pPr>
        <w:rPr>
          <w:sz w:val="22"/>
        </w:rPr>
      </w:pPr>
      <w:r w:rsidRPr="004C00D4">
        <w:rPr>
          <w:sz w:val="22"/>
        </w:rPr>
        <w:t xml:space="preserve">Užpildyto švirkšto antgalio dangtelis ir guminis </w:t>
      </w:r>
      <w:r w:rsidR="00385EC1" w:rsidRPr="004C00D4">
        <w:rPr>
          <w:sz w:val="22"/>
        </w:rPr>
        <w:t>stūmoklinis</w:t>
      </w:r>
      <w:r w:rsidRPr="004C00D4">
        <w:rPr>
          <w:sz w:val="22"/>
        </w:rPr>
        <w:t xml:space="preserve"> kamštis</w:t>
      </w:r>
      <w:r w:rsidR="002927F6">
        <w:rPr>
          <w:sz w:val="22"/>
        </w:rPr>
        <w:t xml:space="preserve"> yra</w:t>
      </w:r>
      <w:r w:rsidRPr="004C00D4">
        <w:rPr>
          <w:sz w:val="22"/>
        </w:rPr>
        <w:t xml:space="preserve"> pagaminti iš sintetinės gumos.</w:t>
      </w:r>
    </w:p>
    <w:p w14:paraId="76F4C440" w14:textId="77777777" w:rsidR="004C00D4" w:rsidRDefault="004C00D4" w:rsidP="00CA2E41">
      <w:pPr>
        <w:rPr>
          <w:sz w:val="22"/>
        </w:rPr>
      </w:pPr>
    </w:p>
    <w:p w14:paraId="29E72136" w14:textId="77777777" w:rsidR="00CA2E41" w:rsidRDefault="00CA2E41" w:rsidP="00CA2E41">
      <w:pPr>
        <w:rPr>
          <w:sz w:val="22"/>
        </w:rPr>
      </w:pPr>
      <w:r>
        <w:rPr>
          <w:sz w:val="22"/>
        </w:rPr>
        <w:t>Gali būti tiekiamos ne visų dydžių pakuotės.</w:t>
      </w:r>
    </w:p>
    <w:p w14:paraId="22F1DFC6" w14:textId="77777777" w:rsidR="00CA2E41" w:rsidRDefault="00CA2E41" w:rsidP="00CA2E41">
      <w:pPr>
        <w:rPr>
          <w:sz w:val="22"/>
        </w:rPr>
      </w:pPr>
    </w:p>
    <w:p w14:paraId="34226986" w14:textId="77777777" w:rsidR="00CA2E41" w:rsidRDefault="00CA2E41" w:rsidP="00CA2E41">
      <w:pPr>
        <w:rPr>
          <w:b/>
          <w:sz w:val="22"/>
        </w:rPr>
      </w:pPr>
      <w:r>
        <w:rPr>
          <w:b/>
          <w:sz w:val="22"/>
        </w:rPr>
        <w:t>6.6</w:t>
      </w:r>
      <w:r>
        <w:rPr>
          <w:b/>
          <w:sz w:val="22"/>
        </w:rPr>
        <w:tab/>
        <w:t>Specialūs reikalavimai atliekoms tvarkyti ir vaistiniam preparatui ruošti</w:t>
      </w:r>
    </w:p>
    <w:p w14:paraId="2737152B" w14:textId="77777777" w:rsidR="00CA2E41" w:rsidRDefault="00CA2E41" w:rsidP="00CA2E41">
      <w:pPr>
        <w:rPr>
          <w:sz w:val="22"/>
        </w:rPr>
      </w:pPr>
    </w:p>
    <w:p w14:paraId="0733E426" w14:textId="77777777" w:rsidR="00CA2E41" w:rsidRDefault="00CA2E41" w:rsidP="00CA2E41">
      <w:pPr>
        <w:rPr>
          <w:sz w:val="22"/>
        </w:rPr>
      </w:pPr>
      <w:r>
        <w:rPr>
          <w:sz w:val="22"/>
        </w:rPr>
        <w:t>Prieš vartojant, vakciną reikia palaikyti kambario temperatūroje, po to gerai sukratyti, kad susidarytų homogeniška drumsta balta suspensija. Taip pat, prieš švirkščiant, reikėtų apžiūrėti, ar nėra kokių nors pašalinių dalelių ir (arba) fizinės išvaizdos pokyčių. Pastebėjus ką nors įtartino, vakcinos vartoti negalima.</w:t>
      </w:r>
    </w:p>
    <w:p w14:paraId="6CC42AE4" w14:textId="77777777" w:rsidR="00CA2E41" w:rsidRDefault="00CA2E41" w:rsidP="00CA2E41">
      <w:pPr>
        <w:rPr>
          <w:sz w:val="22"/>
        </w:rPr>
      </w:pPr>
    </w:p>
    <w:p w14:paraId="67883029" w14:textId="77777777" w:rsidR="00EF4EEF" w:rsidRPr="00716313" w:rsidRDefault="00EF4EEF" w:rsidP="00716313">
      <w:pPr>
        <w:keepNext/>
        <w:widowControl w:val="0"/>
        <w:spacing w:after="120"/>
        <w:rPr>
          <w:sz w:val="22"/>
          <w:szCs w:val="20"/>
        </w:rPr>
      </w:pPr>
      <w:bookmarkStart w:id="13" w:name="_Hlk132121427"/>
      <w:bookmarkStart w:id="14" w:name="_Hlk132120702"/>
      <w:r w:rsidRPr="00716313">
        <w:rPr>
          <w:bCs/>
          <w:iCs/>
          <w:sz w:val="22"/>
          <w:szCs w:val="20"/>
          <w:u w:val="single"/>
        </w:rPr>
        <w:lastRenderedPageBreak/>
        <w:t>Užpildyto švirkšto, naudojimo instrukcijos</w:t>
      </w:r>
    </w:p>
    <w:tbl>
      <w:tblPr>
        <w:tblW w:w="0" w:type="auto"/>
        <w:jc w:val="center"/>
        <w:tblLook w:val="04A0" w:firstRow="1" w:lastRow="0" w:firstColumn="1" w:lastColumn="0" w:noHBand="0" w:noVBand="1"/>
      </w:tblPr>
      <w:tblGrid>
        <w:gridCol w:w="3618"/>
        <w:gridCol w:w="5238"/>
      </w:tblGrid>
      <w:tr w:rsidR="00EF4EEF" w:rsidRPr="00895454" w14:paraId="5F92C93C" w14:textId="77777777" w:rsidTr="006E4344">
        <w:trPr>
          <w:jc w:val="center"/>
        </w:trPr>
        <w:tc>
          <w:tcPr>
            <w:tcW w:w="3618" w:type="dxa"/>
          </w:tcPr>
          <w:p w14:paraId="6EAC922C" w14:textId="45748D87" w:rsidR="00EF4EEF" w:rsidRPr="00895454" w:rsidRDefault="007A1F29" w:rsidP="006E4344">
            <w:pPr>
              <w:widowControl w:val="0"/>
              <w:spacing w:after="120"/>
              <w:jc w:val="center"/>
              <w:rPr>
                <w:szCs w:val="24"/>
              </w:rPr>
            </w:pPr>
            <w:r>
              <w:rPr>
                <w:noProof/>
                <w:szCs w:val="24"/>
              </w:rPr>
              <mc:AlternateContent>
                <mc:Choice Requires="wps">
                  <w:drawing>
                    <wp:anchor distT="0" distB="0" distL="0" distR="0" simplePos="0" relativeHeight="251661312" behindDoc="0" locked="0" layoutInCell="1" allowOverlap="0" wp14:anchorId="4CDAAE50" wp14:editId="413A3EAB">
                      <wp:simplePos x="0" y="0"/>
                      <wp:positionH relativeFrom="column">
                        <wp:posOffset>494665</wp:posOffset>
                      </wp:positionH>
                      <wp:positionV relativeFrom="paragraph">
                        <wp:posOffset>1177290</wp:posOffset>
                      </wp:positionV>
                      <wp:extent cx="822960" cy="248920"/>
                      <wp:effectExtent l="0" t="0" r="0" b="0"/>
                      <wp:wrapNone/>
                      <wp:docPr id="1857536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960" cy="248920"/>
                              </a:xfrm>
                              <a:prstGeom prst="rect">
                                <a:avLst/>
                              </a:prstGeom>
                              <a:noFill/>
                              <a:ln w="6350">
                                <a:noFill/>
                              </a:ln>
                            </wps:spPr>
                            <wps:txbx>
                              <w:txbxContent>
                                <w:p w14:paraId="07F3C0EF" w14:textId="77777777" w:rsidR="00EF4EEF" w:rsidRPr="00CF0077" w:rsidRDefault="00EF4EEF" w:rsidP="00EF4EEF">
                                  <w:pPr>
                                    <w:rPr>
                                      <w:sz w:val="20"/>
                                    </w:rPr>
                                  </w:pPr>
                                  <w:r>
                                    <w:rPr>
                                      <w:sz w:val="20"/>
                                    </w:rPr>
                                    <w:t>Vamzdelis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DAAE50" id="_x0000_t202" coordsize="21600,21600" o:spt="202" path="m,l,21600r21600,l21600,xe">
                      <v:stroke joinstyle="miter"/>
                      <v:path gradientshapeok="t" o:connecttype="rect"/>
                    </v:shapetype>
                    <v:shape id="Text Box 4" o:spid="_x0000_s1026" type="#_x0000_t202" style="position:absolute;left:0;text-align:left;margin-left:38.95pt;margin-top:92.7pt;width:64.8pt;height:19.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" o:allowoverlap="f" filled="f" stroked="f" strokeweight=".5pt">
                      <v:textbox>
                        <w:txbxContent>
                          <w:p w14:paraId="07F3C0EF" w14:textId="77777777" w:rsidR="00EF4EEF" w:rsidRPr="00CF0077" w:rsidRDefault="00EF4EEF" w:rsidP="00EF4EEF">
                            <w:pPr>
                              <w:rPr>
                                <w:sz w:val="20"/>
                              </w:rPr>
                            </w:pPr>
                            <w:r>
                              <w:rPr>
                                <w:sz w:val="20"/>
                              </w:rPr>
                              <w:t>Vamzdelis</w:t>
                            </w:r>
                          </w:p>
                        </w:txbxContent>
                      </v:textbox>
                    </v:shape>
                  </w:pict>
                </mc:Fallback>
              </mc:AlternateContent>
            </w:r>
            <w:r w:rsidR="00EF4EEF">
              <w:rPr>
                <w:noProof/>
              </w:rPr>
              <mc:AlternateContent>
                <mc:Choice Requires="wps">
                  <w:drawing>
                    <wp:anchor distT="0" distB="0" distL="0" distR="0" simplePos="0" relativeHeight="251663360" behindDoc="0" locked="0" layoutInCell="1" allowOverlap="0" wp14:anchorId="18A070EE" wp14:editId="4A2355DA">
                      <wp:simplePos x="0" y="0"/>
                      <wp:positionH relativeFrom="column">
                        <wp:posOffset>165735</wp:posOffset>
                      </wp:positionH>
                      <wp:positionV relativeFrom="paragraph">
                        <wp:posOffset>902970</wp:posOffset>
                      </wp:positionV>
                      <wp:extent cx="784225" cy="273685"/>
                      <wp:effectExtent l="0" t="0" r="0" b="0"/>
                      <wp:wrapNone/>
                      <wp:docPr id="893758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273685"/>
                              </a:xfrm>
                              <a:prstGeom prst="rect">
                                <a:avLst/>
                              </a:prstGeom>
                              <a:noFill/>
                              <a:ln w="6350">
                                <a:noFill/>
                              </a:ln>
                            </wps:spPr>
                            <wps:txbx>
                              <w:txbxContent>
                                <w:p w14:paraId="73BF20DB" w14:textId="77777777" w:rsidR="00EF4EEF" w:rsidRPr="00CF0077" w:rsidRDefault="00EF4EEF" w:rsidP="00EF4EEF">
                                  <w:pPr>
                                    <w:rPr>
                                      <w:sz w:val="20"/>
                                    </w:rPr>
                                  </w:pPr>
                                  <w:r>
                                    <w:rPr>
                                      <w:sz w:val="20"/>
                                    </w:rP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070EE" id="Text Box 7" o:spid="_x0000_s1027" type="#_x0000_t202" style="position:absolute;left:0;text-align:left;margin-left:13.05pt;margin-top:71.1pt;width:61.75pt;height:21.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" o:allowoverlap="f" filled="f" stroked="f" strokeweight=".5pt">
                      <v:textbox>
                        <w:txbxContent>
                          <w:p w14:paraId="73BF20DB" w14:textId="77777777" w:rsidR="00EF4EEF" w:rsidRPr="00CF0077" w:rsidRDefault="00EF4EEF" w:rsidP="00EF4EEF">
                            <w:pPr>
                              <w:rPr>
                                <w:sz w:val="20"/>
                              </w:rPr>
                            </w:pPr>
                            <w:r>
                              <w:rPr>
                                <w:sz w:val="20"/>
                              </w:rPr>
                              <w:t>Stūmoklis</w:t>
                            </w:r>
                          </w:p>
                        </w:txbxContent>
                      </v:textbox>
                    </v:shape>
                  </w:pict>
                </mc:Fallback>
              </mc:AlternateContent>
            </w:r>
            <w:r w:rsidR="00EF4EEF">
              <w:rPr>
                <w:noProof/>
                <w:szCs w:val="24"/>
              </w:rPr>
              <mc:AlternateContent>
                <mc:Choice Requires="wps">
                  <w:drawing>
                    <wp:anchor distT="0" distB="0" distL="0" distR="0" simplePos="0" relativeHeight="251660288" behindDoc="0" locked="0" layoutInCell="1" allowOverlap="0" wp14:anchorId="5E190DEF" wp14:editId="6A3C9746">
                      <wp:simplePos x="0" y="0"/>
                      <wp:positionH relativeFrom="column">
                        <wp:posOffset>507365</wp:posOffset>
                      </wp:positionH>
                      <wp:positionV relativeFrom="paragraph">
                        <wp:posOffset>384175</wp:posOffset>
                      </wp:positionV>
                      <wp:extent cx="1852930" cy="277495"/>
                      <wp:effectExtent l="0" t="0" r="0" b="0"/>
                      <wp:wrapNone/>
                      <wp:docPr id="852150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77495"/>
                              </a:xfrm>
                              <a:prstGeom prst="rect">
                                <a:avLst/>
                              </a:prstGeom>
                              <a:noFill/>
                              <a:ln w="6350">
                                <a:noFill/>
                              </a:ln>
                            </wps:spPr>
                            <wps:txbx>
                              <w:txbxContent>
                                <w:p w14:paraId="2179EF20" w14:textId="77777777" w:rsidR="00EF4EEF" w:rsidRPr="00CF0077" w:rsidRDefault="00EF4EEF" w:rsidP="00EF4EEF">
                                  <w:pPr>
                                    <w:rPr>
                                      <w:sz w:val="20"/>
                                    </w:rPr>
                                  </w:pPr>
                                  <w:r w:rsidRPr="007557EE">
                                    <w:rPr>
                                      <w:i/>
                                      <w:iCs/>
                                      <w:sz w:val="20"/>
                                    </w:rPr>
                                    <w:t>Luer Lock</w:t>
                                  </w:r>
                                  <w:r w:rsidRPr="003D3C41">
                                    <w:rPr>
                                      <w:sz w:val="20"/>
                                    </w:rPr>
                                    <w:t xml:space="preserve"> </w:t>
                                  </w:r>
                                  <w:r>
                                    <w:rPr>
                                      <w:sz w:val="20"/>
                                    </w:rP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90DEF" id="Text Box 6" o:spid="_x0000_s1028" type="#_x0000_t202" style="position:absolute;left:0;text-align:left;margin-left:39.95pt;margin-top:30.25pt;width:145.9pt;height:21.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" o:allowoverlap="f" filled="f" stroked="f" strokeweight=".5pt">
                      <v:textbox>
                        <w:txbxContent>
                          <w:p w14:paraId="2179EF20" w14:textId="77777777" w:rsidR="00EF4EEF" w:rsidRPr="00CF0077" w:rsidRDefault="00EF4EEF" w:rsidP="00EF4EEF">
                            <w:pPr>
                              <w:rPr>
                                <w:sz w:val="20"/>
                              </w:rPr>
                            </w:pPr>
                            <w:proofErr w:type="spellStart"/>
                            <w:r w:rsidRPr="007557EE">
                              <w:rPr>
                                <w:i/>
                                <w:iCs/>
                                <w:sz w:val="20"/>
                              </w:rPr>
                              <w:t>Luer</w:t>
                            </w:r>
                            <w:proofErr w:type="spellEnd"/>
                            <w:r w:rsidRPr="007557EE">
                              <w:rPr>
                                <w:i/>
                                <w:iCs/>
                                <w:sz w:val="20"/>
                              </w:rPr>
                              <w:t xml:space="preserve"> </w:t>
                            </w:r>
                            <w:proofErr w:type="spellStart"/>
                            <w:r w:rsidRPr="007557EE">
                              <w:rPr>
                                <w:i/>
                                <w:iCs/>
                                <w:sz w:val="20"/>
                              </w:rPr>
                              <w:t>Lock</w:t>
                            </w:r>
                            <w:proofErr w:type="spellEnd"/>
                            <w:r w:rsidRPr="003D3C41">
                              <w:rPr>
                                <w:sz w:val="20"/>
                              </w:rPr>
                              <w:t xml:space="preserve"> </w:t>
                            </w:r>
                            <w:r>
                              <w:rPr>
                                <w:sz w:val="20"/>
                              </w:rPr>
                              <w:t>adapteris</w:t>
                            </w:r>
                          </w:p>
                        </w:txbxContent>
                      </v:textbox>
                    </v:shape>
                  </w:pict>
                </mc:Fallback>
              </mc:AlternateContent>
            </w:r>
            <w:r w:rsidR="00EF4EEF">
              <w:rPr>
                <w:noProof/>
                <w:szCs w:val="24"/>
              </w:rPr>
              <mc:AlternateContent>
                <mc:Choice Requires="wps">
                  <w:drawing>
                    <wp:anchor distT="0" distB="0" distL="0" distR="0" simplePos="0" relativeHeight="251662336" behindDoc="0" locked="0" layoutInCell="1" allowOverlap="0" wp14:anchorId="023881DD" wp14:editId="3FBE0B40">
                      <wp:simplePos x="0" y="0"/>
                      <wp:positionH relativeFrom="column">
                        <wp:posOffset>1253490</wp:posOffset>
                      </wp:positionH>
                      <wp:positionV relativeFrom="paragraph">
                        <wp:posOffset>1176655</wp:posOffset>
                      </wp:positionV>
                      <wp:extent cx="809625" cy="277495"/>
                      <wp:effectExtent l="0" t="0" r="0" b="0"/>
                      <wp:wrapNone/>
                      <wp:docPr id="37924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77495"/>
                              </a:xfrm>
                              <a:prstGeom prst="rect">
                                <a:avLst/>
                              </a:prstGeom>
                              <a:noFill/>
                              <a:ln w="6350">
                                <a:noFill/>
                              </a:ln>
                            </wps:spPr>
                            <wps:txbx>
                              <w:txbxContent>
                                <w:p w14:paraId="2C9A3166" w14:textId="77777777" w:rsidR="00EF4EEF" w:rsidRPr="00CF0077" w:rsidRDefault="00EF4EEF" w:rsidP="00EF4EEF">
                                  <w:pPr>
                                    <w:rPr>
                                      <w:sz w:val="20"/>
                                    </w:rPr>
                                  </w:pPr>
                                  <w:r>
                                    <w:rPr>
                                      <w:sz w:val="20"/>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881DD" id="Text Box 5" o:spid="_x0000_s1029" type="#_x0000_t202" style="position:absolute;left:0;text-align:left;margin-left:98.7pt;margin-top:92.65pt;width:63.75pt;height:21.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" o:allowoverlap="f" filled="f" stroked="f" strokeweight=".5pt">
                      <v:textbox>
                        <w:txbxContent>
                          <w:p w14:paraId="2C9A3166" w14:textId="77777777" w:rsidR="00EF4EEF" w:rsidRPr="00CF0077" w:rsidRDefault="00EF4EEF" w:rsidP="00EF4EEF">
                            <w:pPr>
                              <w:rPr>
                                <w:sz w:val="20"/>
                              </w:rPr>
                            </w:pPr>
                            <w:r>
                              <w:rPr>
                                <w:sz w:val="20"/>
                              </w:rPr>
                              <w:t>Dangtelis</w:t>
                            </w:r>
                          </w:p>
                        </w:txbxContent>
                      </v:textbox>
                    </v:shape>
                  </w:pict>
                </mc:Fallback>
              </mc:AlternateContent>
            </w:r>
            <w:r w:rsidR="00EF4EEF">
              <w:rPr>
                <w:noProof/>
              </w:rPr>
              <w:drawing>
                <wp:inline distT="0" distB="0" distL="0" distR="0" wp14:anchorId="3D6456A4" wp14:editId="07D8E9FF">
                  <wp:extent cx="1743075" cy="1752600"/>
                  <wp:effectExtent l="0" t="0" r="9525" b="0"/>
                  <wp:docPr id="1020454722" name="Picture 2"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075" cy="1752600"/>
                          </a:xfrm>
                          <a:prstGeom prst="rect">
                            <a:avLst/>
                          </a:prstGeom>
                          <a:noFill/>
                          <a:ln>
                            <a:noFill/>
                          </a:ln>
                        </pic:spPr>
                      </pic:pic>
                    </a:graphicData>
                  </a:graphic>
                </wp:inline>
              </w:drawing>
            </w:r>
          </w:p>
        </w:tc>
        <w:tc>
          <w:tcPr>
            <w:tcW w:w="5238" w:type="dxa"/>
          </w:tcPr>
          <w:p w14:paraId="6D7096CC" w14:textId="77777777" w:rsidR="00EF4EEF" w:rsidRPr="00716313" w:rsidRDefault="00EF4EEF" w:rsidP="006E4344">
            <w:pPr>
              <w:widowControl w:val="0"/>
              <w:rPr>
                <w:sz w:val="22"/>
                <w:szCs w:val="20"/>
              </w:rPr>
            </w:pPr>
          </w:p>
          <w:p w14:paraId="1355F0D8" w14:textId="77777777" w:rsidR="00EF4EEF" w:rsidRPr="00716313" w:rsidRDefault="00EF4EEF" w:rsidP="006E4344">
            <w:pPr>
              <w:widowControl w:val="0"/>
              <w:rPr>
                <w:sz w:val="22"/>
                <w:szCs w:val="20"/>
              </w:rPr>
            </w:pPr>
          </w:p>
          <w:p w14:paraId="63055520" w14:textId="707F04F4" w:rsidR="00EF4EEF" w:rsidRPr="00716313" w:rsidRDefault="00EF4EEF" w:rsidP="006E4344">
            <w:pPr>
              <w:widowControl w:val="0"/>
              <w:rPr>
                <w:sz w:val="22"/>
                <w:szCs w:val="20"/>
              </w:rPr>
            </w:pPr>
            <w:r w:rsidRPr="00716313">
              <w:rPr>
                <w:sz w:val="22"/>
                <w:szCs w:val="20"/>
              </w:rPr>
              <w:t>Laikykite švirkštą už vamzdel</w:t>
            </w:r>
            <w:r w:rsidR="007A1F29">
              <w:rPr>
                <w:sz w:val="22"/>
                <w:szCs w:val="20"/>
              </w:rPr>
              <w:t>i</w:t>
            </w:r>
            <w:r w:rsidRPr="00716313">
              <w:rPr>
                <w:sz w:val="22"/>
                <w:szCs w:val="20"/>
              </w:rPr>
              <w:t>o, bet ne už stūmoklio.</w:t>
            </w:r>
          </w:p>
          <w:p w14:paraId="5E9F917A" w14:textId="77777777" w:rsidR="00EF4EEF" w:rsidRPr="00716313" w:rsidRDefault="00EF4EEF" w:rsidP="006E4344">
            <w:pPr>
              <w:widowControl w:val="0"/>
              <w:rPr>
                <w:sz w:val="22"/>
                <w:szCs w:val="20"/>
              </w:rPr>
            </w:pPr>
          </w:p>
          <w:p w14:paraId="2A9CE1E5" w14:textId="77777777" w:rsidR="00EF4EEF" w:rsidRPr="00716313" w:rsidRDefault="00EF4EEF" w:rsidP="006E4344">
            <w:pPr>
              <w:widowControl w:val="0"/>
              <w:rPr>
                <w:sz w:val="22"/>
                <w:szCs w:val="20"/>
              </w:rPr>
            </w:pPr>
            <w:r w:rsidRPr="00716313">
              <w:rPr>
                <w:sz w:val="22"/>
                <w:szCs w:val="20"/>
              </w:rPr>
              <w:t xml:space="preserve">Nusukite švirkšto dangtelį sukdami prieš laikrodžio rodyklę. </w:t>
            </w:r>
          </w:p>
        </w:tc>
      </w:tr>
      <w:tr w:rsidR="00EF4EEF" w14:paraId="2F89B18C" w14:textId="77777777" w:rsidTr="006E4344">
        <w:trPr>
          <w:jc w:val="center"/>
        </w:trPr>
        <w:tc>
          <w:tcPr>
            <w:tcW w:w="3618" w:type="dxa"/>
          </w:tcPr>
          <w:p w14:paraId="1D3EE1BC" w14:textId="76E4585E" w:rsidR="00EF4EEF" w:rsidRPr="00895454" w:rsidRDefault="00EF4EEF" w:rsidP="006E4344">
            <w:pPr>
              <w:widowControl w:val="0"/>
              <w:spacing w:after="120"/>
              <w:jc w:val="center"/>
              <w:rPr>
                <w:szCs w:val="24"/>
              </w:rPr>
            </w:pPr>
            <w:r>
              <w:rPr>
                <w:rFonts w:ascii="Calibri" w:hAnsi="Calibri"/>
                <w:noProof/>
              </w:rPr>
              <mc:AlternateContent>
                <mc:Choice Requires="wps">
                  <w:drawing>
                    <wp:anchor distT="0" distB="0" distL="0" distR="0" simplePos="0" relativeHeight="251659264" behindDoc="0" locked="0" layoutInCell="1" allowOverlap="0" wp14:anchorId="7C5E0149" wp14:editId="47D5F9FE">
                      <wp:simplePos x="0" y="0"/>
                      <wp:positionH relativeFrom="column">
                        <wp:posOffset>949960</wp:posOffset>
                      </wp:positionH>
                      <wp:positionV relativeFrom="paragraph">
                        <wp:posOffset>356235</wp:posOffset>
                      </wp:positionV>
                      <wp:extent cx="942975" cy="27178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14:paraId="21107F8E" w14:textId="77777777" w:rsidR="00EF4EEF" w:rsidRPr="007557EE" w:rsidRDefault="00EF4EEF" w:rsidP="00EF4EEF">
                                  <w:pPr>
                                    <w:rPr>
                                      <w:sz w:val="20"/>
                                    </w:rPr>
                                  </w:pPr>
                                  <w:r>
                                    <w:rPr>
                                      <w:sz w:val="20"/>
                                    </w:rPr>
                                    <w:t xml:space="preserve">Adatos </w:t>
                                  </w:r>
                                  <w:r w:rsidRPr="003D3C41">
                                    <w:rPr>
                                      <w:sz w:val="20"/>
                                    </w:rPr>
                                    <w:t>stebulė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E0149" id="Text Box 3" o:spid="_x0000_s1030" type="#_x0000_t202" style="position:absolute;left:0;text-align:left;margin-left:74.8pt;margin-top:28.05pt;width:74.25pt;height:21.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" o:allowoverlap="f" filled="f" stroked="f" strokeweight=".5pt">
                      <v:textbox>
                        <w:txbxContent>
                          <w:p w14:paraId="21107F8E" w14:textId="77777777" w:rsidR="00EF4EEF" w:rsidRPr="007557EE" w:rsidRDefault="00EF4EEF" w:rsidP="00EF4EEF">
                            <w:pPr>
                              <w:rPr>
                                <w:sz w:val="20"/>
                              </w:rPr>
                            </w:pPr>
                            <w:r>
                              <w:rPr>
                                <w:sz w:val="20"/>
                              </w:rPr>
                              <w:t xml:space="preserve">Adatos </w:t>
                            </w:r>
                            <w:r w:rsidRPr="003D3C41">
                              <w:rPr>
                                <w:sz w:val="20"/>
                              </w:rPr>
                              <w:t>stebulė</w:t>
                            </w:r>
                          </w:p>
                        </w:txbxContent>
                      </v:textbox>
                    </v:shape>
                  </w:pict>
                </mc:Fallback>
              </mc:AlternateContent>
            </w:r>
            <w:r>
              <w:rPr>
                <w:noProof/>
              </w:rPr>
              <w:drawing>
                <wp:inline distT="0" distB="0" distL="0" distR="0" wp14:anchorId="4D5C94A3" wp14:editId="7055E6CD">
                  <wp:extent cx="1828800" cy="1838325"/>
                  <wp:effectExtent l="0" t="0" r="0" b="9525"/>
                  <wp:docPr id="130583121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838325"/>
                          </a:xfrm>
                          <a:prstGeom prst="rect">
                            <a:avLst/>
                          </a:prstGeom>
                          <a:noFill/>
                          <a:ln>
                            <a:noFill/>
                          </a:ln>
                        </pic:spPr>
                      </pic:pic>
                    </a:graphicData>
                  </a:graphic>
                </wp:inline>
              </w:drawing>
            </w:r>
          </w:p>
        </w:tc>
        <w:tc>
          <w:tcPr>
            <w:tcW w:w="5238" w:type="dxa"/>
          </w:tcPr>
          <w:p w14:paraId="1066A219" w14:textId="77777777" w:rsidR="00EF4EEF" w:rsidRPr="00716313" w:rsidRDefault="00EF4EEF" w:rsidP="006E4344">
            <w:pPr>
              <w:widowControl w:val="0"/>
              <w:rPr>
                <w:sz w:val="22"/>
                <w:szCs w:val="20"/>
              </w:rPr>
            </w:pPr>
          </w:p>
          <w:p w14:paraId="4C65406B" w14:textId="77777777" w:rsidR="00EF4EEF" w:rsidRPr="00716313" w:rsidRDefault="00EF4EEF" w:rsidP="006E4344">
            <w:pPr>
              <w:widowControl w:val="0"/>
              <w:rPr>
                <w:sz w:val="22"/>
                <w:szCs w:val="20"/>
              </w:rPr>
            </w:pPr>
            <w:r w:rsidRPr="00716313">
              <w:rPr>
                <w:sz w:val="22"/>
                <w:szCs w:val="20"/>
              </w:rPr>
              <w:t xml:space="preserve">Norėdami pritvirtinti adatą, prijunkite stebulę prie </w:t>
            </w:r>
            <w:proofErr w:type="spellStart"/>
            <w:r w:rsidRPr="00716313">
              <w:rPr>
                <w:i/>
                <w:iCs/>
                <w:sz w:val="22"/>
                <w:szCs w:val="20"/>
              </w:rPr>
              <w:t>Luer</w:t>
            </w:r>
            <w:proofErr w:type="spellEnd"/>
            <w:r w:rsidRPr="00716313">
              <w:rPr>
                <w:i/>
                <w:iCs/>
                <w:sz w:val="22"/>
                <w:szCs w:val="20"/>
              </w:rPr>
              <w:t xml:space="preserve"> </w:t>
            </w:r>
            <w:proofErr w:type="spellStart"/>
            <w:r w:rsidRPr="00716313">
              <w:rPr>
                <w:i/>
                <w:iCs/>
                <w:sz w:val="22"/>
                <w:szCs w:val="20"/>
              </w:rPr>
              <w:t>Lock</w:t>
            </w:r>
            <w:proofErr w:type="spellEnd"/>
            <w:r w:rsidRPr="00716313">
              <w:rPr>
                <w:sz w:val="22"/>
                <w:szCs w:val="20"/>
              </w:rPr>
              <w:t xml:space="preserve"> adapterio ir pasukite ketvirtį apsisukimo pagal laikrodžio rodyklę, kol pajusite, kad ji užsifiksuos.</w:t>
            </w:r>
          </w:p>
          <w:p w14:paraId="63653092" w14:textId="77777777" w:rsidR="00EF4EEF" w:rsidRPr="00716313" w:rsidRDefault="00EF4EEF" w:rsidP="006E4344">
            <w:pPr>
              <w:widowControl w:val="0"/>
              <w:rPr>
                <w:sz w:val="22"/>
                <w:szCs w:val="20"/>
              </w:rPr>
            </w:pPr>
          </w:p>
          <w:p w14:paraId="3C0539DD" w14:textId="77777777" w:rsidR="00EF4EEF" w:rsidRPr="00716313" w:rsidRDefault="00EF4EEF" w:rsidP="006E4344">
            <w:pPr>
              <w:widowControl w:val="0"/>
              <w:rPr>
                <w:sz w:val="22"/>
                <w:szCs w:val="20"/>
              </w:rPr>
            </w:pPr>
            <w:r w:rsidRPr="00716313">
              <w:rPr>
                <w:sz w:val="22"/>
                <w:szCs w:val="20"/>
              </w:rPr>
              <w:t>Netraukite švirkšto stūmoklio iš vamzdelio. Jei taip atsitiktų, vakcinos neskirkite.</w:t>
            </w:r>
            <w:r w:rsidRPr="00716313">
              <w:rPr>
                <w:noProof/>
                <w:sz w:val="22"/>
                <w:szCs w:val="20"/>
                <w:lang w:val="it-IT" w:eastAsia="it-IT"/>
              </w:rPr>
              <w:t xml:space="preserve"> </w:t>
            </w:r>
          </w:p>
        </w:tc>
      </w:tr>
      <w:bookmarkEnd w:id="13"/>
    </w:tbl>
    <w:p w14:paraId="1F3DD512" w14:textId="77777777" w:rsidR="007A1F29" w:rsidRDefault="007A1F29" w:rsidP="00CA2E41">
      <w:pPr>
        <w:rPr>
          <w:noProof/>
          <w:snapToGrid w:val="0"/>
          <w:sz w:val="22"/>
          <w:szCs w:val="20"/>
          <w:u w:val="single"/>
        </w:rPr>
      </w:pPr>
    </w:p>
    <w:p w14:paraId="45AE1A1F" w14:textId="444B7E6C" w:rsidR="00EF4EEF" w:rsidRPr="00716313" w:rsidRDefault="00EF4EEF" w:rsidP="00CA2E41">
      <w:pPr>
        <w:rPr>
          <w:sz w:val="20"/>
          <w:szCs w:val="20"/>
        </w:rPr>
      </w:pPr>
      <w:r w:rsidRPr="00716313">
        <w:rPr>
          <w:noProof/>
          <w:snapToGrid w:val="0"/>
          <w:sz w:val="22"/>
          <w:szCs w:val="20"/>
          <w:u w:val="single"/>
        </w:rPr>
        <w:t>Atliekų tvarkymas</w:t>
      </w:r>
      <w:bookmarkEnd w:id="14"/>
    </w:p>
    <w:p w14:paraId="3CAE69A9" w14:textId="77777777" w:rsidR="00CA2E41" w:rsidRDefault="00CA2E41" w:rsidP="00CA2E41">
      <w:pPr>
        <w:rPr>
          <w:sz w:val="22"/>
        </w:rPr>
      </w:pPr>
      <w:r>
        <w:rPr>
          <w:sz w:val="22"/>
        </w:rPr>
        <w:t>Nesuvartotą vaistinį preparatą ar atliekas reikia tvarkyti laikantis vietinių reikalavimų.</w:t>
      </w:r>
    </w:p>
    <w:p w14:paraId="0A18438D" w14:textId="77777777" w:rsidR="00CA2E41" w:rsidRDefault="00CA2E41" w:rsidP="00CA2E41">
      <w:pPr>
        <w:rPr>
          <w:sz w:val="22"/>
        </w:rPr>
      </w:pPr>
    </w:p>
    <w:p w14:paraId="5FE432D1" w14:textId="77777777" w:rsidR="00CA2E41" w:rsidRDefault="00CA2E41" w:rsidP="00CA2E41">
      <w:pPr>
        <w:rPr>
          <w:sz w:val="22"/>
        </w:rPr>
      </w:pPr>
    </w:p>
    <w:p w14:paraId="507E576A" w14:textId="77777777" w:rsidR="00CA2E41" w:rsidRDefault="00CA2E41" w:rsidP="00CA2E41">
      <w:pPr>
        <w:keepNext/>
        <w:rPr>
          <w:b/>
          <w:sz w:val="22"/>
        </w:rPr>
      </w:pPr>
      <w:r>
        <w:rPr>
          <w:b/>
          <w:sz w:val="22"/>
        </w:rPr>
        <w:t>7.</w:t>
      </w:r>
      <w:r>
        <w:rPr>
          <w:b/>
          <w:sz w:val="22"/>
        </w:rPr>
        <w:tab/>
        <w:t>REGISTRUOTOJAS</w:t>
      </w:r>
    </w:p>
    <w:p w14:paraId="19EC4F08" w14:textId="77777777" w:rsidR="00CA2E41" w:rsidRDefault="00CA2E41" w:rsidP="00CA2E41">
      <w:pPr>
        <w:keepNext/>
        <w:rPr>
          <w:sz w:val="22"/>
        </w:rPr>
      </w:pPr>
    </w:p>
    <w:p w14:paraId="073B885B" w14:textId="77777777" w:rsidR="00FC3506" w:rsidRPr="00345618" w:rsidRDefault="00FC3506" w:rsidP="00FC3506">
      <w:pPr>
        <w:rPr>
          <w:sz w:val="22"/>
        </w:rPr>
      </w:pPr>
      <w:proofErr w:type="spellStart"/>
      <w:r w:rsidRPr="00345618">
        <w:rPr>
          <w:sz w:val="22"/>
        </w:rPr>
        <w:t>GlaxoSmithKline</w:t>
      </w:r>
      <w:proofErr w:type="spellEnd"/>
      <w:r w:rsidRPr="00345618">
        <w:rPr>
          <w:sz w:val="22"/>
        </w:rPr>
        <w:t xml:space="preserve"> </w:t>
      </w:r>
      <w:proofErr w:type="spellStart"/>
      <w:r w:rsidRPr="00345618">
        <w:rPr>
          <w:sz w:val="22"/>
        </w:rPr>
        <w:t>Biologicals</w:t>
      </w:r>
      <w:proofErr w:type="spellEnd"/>
      <w:r w:rsidRPr="00345618">
        <w:rPr>
          <w:sz w:val="22"/>
        </w:rPr>
        <w:t xml:space="preserve"> SA</w:t>
      </w:r>
    </w:p>
    <w:p w14:paraId="11EAC235" w14:textId="77777777" w:rsidR="00FC3506" w:rsidRPr="00345618" w:rsidRDefault="00FC3506" w:rsidP="00FC3506">
      <w:pPr>
        <w:rPr>
          <w:sz w:val="22"/>
        </w:rPr>
      </w:pPr>
      <w:proofErr w:type="spellStart"/>
      <w:r>
        <w:rPr>
          <w:sz w:val="22"/>
        </w:rPr>
        <w:t>Rue</w:t>
      </w:r>
      <w:proofErr w:type="spellEnd"/>
      <w:r>
        <w:rPr>
          <w:sz w:val="22"/>
        </w:rPr>
        <w:t xml:space="preserve"> de </w:t>
      </w:r>
      <w:proofErr w:type="spellStart"/>
      <w:r>
        <w:rPr>
          <w:sz w:val="22"/>
        </w:rPr>
        <w:t>l'Institut</w:t>
      </w:r>
      <w:proofErr w:type="spellEnd"/>
      <w:r>
        <w:rPr>
          <w:sz w:val="22"/>
        </w:rPr>
        <w:t xml:space="preserve"> 89</w:t>
      </w:r>
      <w:r w:rsidRPr="00345618">
        <w:rPr>
          <w:sz w:val="22"/>
        </w:rPr>
        <w:t xml:space="preserve"> </w:t>
      </w:r>
    </w:p>
    <w:p w14:paraId="7629391A" w14:textId="77777777" w:rsidR="00FC3506" w:rsidRPr="00345618" w:rsidRDefault="00FC3506" w:rsidP="00FC3506">
      <w:pPr>
        <w:rPr>
          <w:sz w:val="22"/>
        </w:rPr>
      </w:pPr>
      <w:r>
        <w:rPr>
          <w:sz w:val="22"/>
        </w:rPr>
        <w:t xml:space="preserve">B-1330 </w:t>
      </w:r>
      <w:proofErr w:type="spellStart"/>
      <w:r>
        <w:rPr>
          <w:sz w:val="22"/>
        </w:rPr>
        <w:t>Rixensart</w:t>
      </w:r>
      <w:proofErr w:type="spellEnd"/>
      <w:r w:rsidRPr="00345618">
        <w:rPr>
          <w:sz w:val="22"/>
        </w:rPr>
        <w:t xml:space="preserve"> </w:t>
      </w:r>
    </w:p>
    <w:p w14:paraId="26809016" w14:textId="77777777" w:rsidR="00FC3506" w:rsidRPr="00BF6429" w:rsidRDefault="00FC3506" w:rsidP="00FC3506">
      <w:pPr>
        <w:rPr>
          <w:sz w:val="22"/>
        </w:rPr>
      </w:pPr>
      <w:r w:rsidRPr="00345618">
        <w:rPr>
          <w:sz w:val="22"/>
        </w:rPr>
        <w:t>Belgija</w:t>
      </w:r>
    </w:p>
    <w:p w14:paraId="00752BCA" w14:textId="77777777" w:rsidR="00CA2E41" w:rsidRDefault="00CA2E41" w:rsidP="00CA2E41">
      <w:pPr>
        <w:rPr>
          <w:sz w:val="22"/>
        </w:rPr>
      </w:pPr>
    </w:p>
    <w:p w14:paraId="2A1D8EDE" w14:textId="77777777" w:rsidR="00CA2E41" w:rsidRDefault="00CA2E41" w:rsidP="00CA2E41">
      <w:pPr>
        <w:rPr>
          <w:sz w:val="22"/>
        </w:rPr>
      </w:pPr>
    </w:p>
    <w:p w14:paraId="4AFEB41D" w14:textId="77777777" w:rsidR="00CA2E41" w:rsidRDefault="00CA2E41" w:rsidP="00CA2E41">
      <w:pPr>
        <w:keepNext/>
        <w:rPr>
          <w:b/>
          <w:sz w:val="22"/>
        </w:rPr>
      </w:pPr>
      <w:r>
        <w:rPr>
          <w:b/>
          <w:sz w:val="22"/>
        </w:rPr>
        <w:t>8.</w:t>
      </w:r>
      <w:r>
        <w:rPr>
          <w:b/>
          <w:sz w:val="22"/>
        </w:rPr>
        <w:tab/>
        <w:t>REGISTRACIJOS PAŽYMĖJIMO</w:t>
      </w:r>
      <w:r>
        <w:rPr>
          <w:sz w:val="22"/>
        </w:rPr>
        <w:t xml:space="preserve"> </w:t>
      </w:r>
      <w:r>
        <w:rPr>
          <w:b/>
          <w:sz w:val="22"/>
        </w:rPr>
        <w:t>NUMERIS (-IAI)</w:t>
      </w:r>
    </w:p>
    <w:p w14:paraId="28509D3B" w14:textId="77777777" w:rsidR="00CA2E41" w:rsidRDefault="00CA2E41" w:rsidP="00CA2E41">
      <w:pPr>
        <w:keepNext/>
        <w:rPr>
          <w:sz w:val="22"/>
        </w:rPr>
      </w:pPr>
    </w:p>
    <w:tbl>
      <w:tblPr>
        <w:tblW w:w="0" w:type="auto"/>
        <w:tblLook w:val="04A0" w:firstRow="1" w:lastRow="0" w:firstColumn="1" w:lastColumn="0" w:noHBand="0" w:noVBand="1"/>
      </w:tblPr>
      <w:tblGrid>
        <w:gridCol w:w="4559"/>
        <w:gridCol w:w="4511"/>
      </w:tblGrid>
      <w:tr w:rsidR="00CA2E41" w14:paraId="6F31723A" w14:textId="77777777" w:rsidTr="00E30FAC">
        <w:tc>
          <w:tcPr>
            <w:tcW w:w="4643" w:type="dxa"/>
            <w:hideMark/>
          </w:tcPr>
          <w:p w14:paraId="37ACB6C0" w14:textId="77777777" w:rsidR="00CA2E41" w:rsidRDefault="00CA2E41" w:rsidP="00E30FAC">
            <w:pPr>
              <w:spacing w:line="256" w:lineRule="auto"/>
              <w:rPr>
                <w:sz w:val="22"/>
                <w:lang w:eastAsia="en-US"/>
              </w:rPr>
            </w:pPr>
            <w:r>
              <w:rPr>
                <w:sz w:val="22"/>
                <w:lang w:eastAsia="en-US"/>
              </w:rPr>
              <w:t>Užpildytas švirkštas su adata:</w:t>
            </w:r>
          </w:p>
          <w:p w14:paraId="77EBC72D" w14:textId="77777777" w:rsidR="00CA2E41" w:rsidRDefault="00CA2E41" w:rsidP="00E30FAC">
            <w:pPr>
              <w:spacing w:line="256" w:lineRule="auto"/>
              <w:rPr>
                <w:sz w:val="22"/>
                <w:lang w:eastAsia="en-US"/>
              </w:rPr>
            </w:pPr>
            <w:r>
              <w:rPr>
                <w:sz w:val="22"/>
                <w:lang w:eastAsia="en-US"/>
              </w:rPr>
              <w:t>LT/1/08/0971/001 – N1</w:t>
            </w:r>
          </w:p>
          <w:p w14:paraId="2B450AFA" w14:textId="77777777" w:rsidR="00CA2E41" w:rsidRDefault="00CA2E41" w:rsidP="00E30FAC">
            <w:pPr>
              <w:spacing w:line="256" w:lineRule="auto"/>
              <w:rPr>
                <w:sz w:val="22"/>
                <w:lang w:eastAsia="en-US"/>
              </w:rPr>
            </w:pPr>
            <w:r>
              <w:rPr>
                <w:sz w:val="22"/>
                <w:lang w:eastAsia="en-US"/>
              </w:rPr>
              <w:t>LT/1/08/0971/002 – N10</w:t>
            </w:r>
          </w:p>
        </w:tc>
        <w:tc>
          <w:tcPr>
            <w:tcW w:w="4643" w:type="dxa"/>
            <w:hideMark/>
          </w:tcPr>
          <w:p w14:paraId="346A5AFD" w14:textId="7269DC77" w:rsidR="00CA2E41" w:rsidRDefault="00CA2E41" w:rsidP="00E30FAC">
            <w:pPr>
              <w:spacing w:after="120" w:line="256" w:lineRule="auto"/>
              <w:rPr>
                <w:sz w:val="22"/>
                <w:lang w:eastAsia="en-US"/>
              </w:rPr>
            </w:pPr>
          </w:p>
        </w:tc>
      </w:tr>
      <w:tr w:rsidR="00CA2E41" w14:paraId="1CD49000" w14:textId="77777777" w:rsidTr="00E30FAC">
        <w:trPr>
          <w:gridAfter w:val="1"/>
          <w:wAfter w:w="4643" w:type="dxa"/>
        </w:trPr>
        <w:tc>
          <w:tcPr>
            <w:tcW w:w="4643" w:type="dxa"/>
            <w:hideMark/>
          </w:tcPr>
          <w:p w14:paraId="56F7FE80" w14:textId="77777777" w:rsidR="00CA2E41" w:rsidRDefault="00CA2E41" w:rsidP="00E30FAC">
            <w:pPr>
              <w:spacing w:line="256" w:lineRule="auto"/>
              <w:rPr>
                <w:sz w:val="22"/>
                <w:lang w:eastAsia="en-US"/>
              </w:rPr>
            </w:pPr>
            <w:r>
              <w:rPr>
                <w:sz w:val="22"/>
                <w:lang w:eastAsia="en-US"/>
              </w:rPr>
              <w:t>Užpildytas švirkštas:</w:t>
            </w:r>
          </w:p>
          <w:p w14:paraId="02EB4FD7" w14:textId="77777777" w:rsidR="00CA2E41" w:rsidRDefault="00CA2E41" w:rsidP="00E30FAC">
            <w:pPr>
              <w:spacing w:line="256" w:lineRule="auto"/>
              <w:rPr>
                <w:sz w:val="22"/>
                <w:lang w:eastAsia="en-US"/>
              </w:rPr>
            </w:pPr>
            <w:r>
              <w:rPr>
                <w:sz w:val="22"/>
                <w:lang w:eastAsia="en-US"/>
              </w:rPr>
              <w:t>LT/1/08/0971/005 – N1</w:t>
            </w:r>
          </w:p>
          <w:p w14:paraId="1862AEB2" w14:textId="77777777" w:rsidR="00CA2E41" w:rsidRDefault="00CA2E41" w:rsidP="00E30FAC">
            <w:pPr>
              <w:spacing w:line="256" w:lineRule="auto"/>
              <w:rPr>
                <w:sz w:val="22"/>
                <w:lang w:eastAsia="en-US"/>
              </w:rPr>
            </w:pPr>
            <w:r>
              <w:rPr>
                <w:sz w:val="22"/>
                <w:lang w:eastAsia="en-US"/>
              </w:rPr>
              <w:t>LT/1/08/0971/006 – N10</w:t>
            </w:r>
          </w:p>
        </w:tc>
      </w:tr>
    </w:tbl>
    <w:p w14:paraId="21A5165C" w14:textId="77777777" w:rsidR="00CA2E41" w:rsidRDefault="00CA2E41" w:rsidP="00CA2E41">
      <w:pPr>
        <w:rPr>
          <w:sz w:val="22"/>
        </w:rPr>
      </w:pPr>
    </w:p>
    <w:p w14:paraId="55579067" w14:textId="77777777" w:rsidR="00CA2E41" w:rsidRDefault="00CA2E41" w:rsidP="00CA2E41">
      <w:pPr>
        <w:rPr>
          <w:sz w:val="22"/>
        </w:rPr>
      </w:pPr>
    </w:p>
    <w:p w14:paraId="1B4B961D" w14:textId="77777777" w:rsidR="00CA2E41" w:rsidRDefault="00CA2E41" w:rsidP="00CA2E41">
      <w:pPr>
        <w:keepNext/>
        <w:keepLines/>
        <w:rPr>
          <w:b/>
          <w:sz w:val="22"/>
        </w:rPr>
      </w:pPr>
      <w:r>
        <w:rPr>
          <w:b/>
          <w:sz w:val="22"/>
        </w:rPr>
        <w:t>9.</w:t>
      </w:r>
      <w:r>
        <w:rPr>
          <w:b/>
          <w:sz w:val="22"/>
        </w:rPr>
        <w:tab/>
        <w:t>REGISTRAVIMO / PERREGISTRAVIMO DATA</w:t>
      </w:r>
    </w:p>
    <w:p w14:paraId="3DCA9015" w14:textId="77777777" w:rsidR="00CA2E41" w:rsidRDefault="00CA2E41" w:rsidP="00CA2E41">
      <w:pPr>
        <w:keepNext/>
        <w:keepLines/>
        <w:rPr>
          <w:sz w:val="22"/>
        </w:rPr>
      </w:pPr>
    </w:p>
    <w:p w14:paraId="1F063C4A" w14:textId="3CC2F9E8" w:rsidR="00CA2E41" w:rsidRDefault="00CA2E41" w:rsidP="00E30FAC">
      <w:pPr>
        <w:tabs>
          <w:tab w:val="clear" w:pos="567"/>
          <w:tab w:val="left" w:pos="1296"/>
        </w:tabs>
        <w:rPr>
          <w:sz w:val="22"/>
        </w:rPr>
      </w:pPr>
      <w:r>
        <w:rPr>
          <w:sz w:val="22"/>
        </w:rPr>
        <w:t>Registravimo data 2008</w:t>
      </w:r>
      <w:r w:rsidR="00794B63">
        <w:rPr>
          <w:sz w:val="22"/>
        </w:rPr>
        <w:t> </w:t>
      </w:r>
      <w:r>
        <w:rPr>
          <w:sz w:val="22"/>
        </w:rPr>
        <w:t>m. sausio 17</w:t>
      </w:r>
      <w:r w:rsidR="00794B63">
        <w:rPr>
          <w:sz w:val="22"/>
        </w:rPr>
        <w:t> </w:t>
      </w:r>
      <w:r>
        <w:rPr>
          <w:sz w:val="22"/>
        </w:rPr>
        <w:t>d.</w:t>
      </w:r>
    </w:p>
    <w:p w14:paraId="4D43A15F" w14:textId="7BADD311" w:rsidR="00CA2E41" w:rsidRDefault="00CA2E41" w:rsidP="00E30FAC">
      <w:pPr>
        <w:tabs>
          <w:tab w:val="clear" w:pos="567"/>
          <w:tab w:val="left" w:pos="1296"/>
        </w:tabs>
        <w:rPr>
          <w:sz w:val="22"/>
        </w:rPr>
      </w:pPr>
      <w:r>
        <w:rPr>
          <w:sz w:val="22"/>
        </w:rPr>
        <w:t>Paskutinio perregistravimo data 2009</w:t>
      </w:r>
      <w:r w:rsidR="00794B63">
        <w:rPr>
          <w:sz w:val="22"/>
        </w:rPr>
        <w:t> </w:t>
      </w:r>
      <w:r>
        <w:rPr>
          <w:sz w:val="22"/>
        </w:rPr>
        <w:t>m. vasario 26</w:t>
      </w:r>
      <w:r w:rsidR="00794B63">
        <w:rPr>
          <w:sz w:val="22"/>
        </w:rPr>
        <w:t> </w:t>
      </w:r>
      <w:r>
        <w:rPr>
          <w:sz w:val="22"/>
        </w:rPr>
        <w:t>d.</w:t>
      </w:r>
    </w:p>
    <w:p w14:paraId="3692A615" w14:textId="77777777" w:rsidR="00CA2E41" w:rsidRDefault="00CA2E41" w:rsidP="00CA2E41">
      <w:pPr>
        <w:rPr>
          <w:sz w:val="22"/>
        </w:rPr>
      </w:pPr>
    </w:p>
    <w:p w14:paraId="32FA5509" w14:textId="77777777" w:rsidR="00CA2E41" w:rsidRDefault="00CA2E41" w:rsidP="00CA2E41">
      <w:pPr>
        <w:rPr>
          <w:sz w:val="22"/>
        </w:rPr>
      </w:pPr>
    </w:p>
    <w:p w14:paraId="489D1934" w14:textId="77777777" w:rsidR="00CA2E41" w:rsidRDefault="00CA2E41" w:rsidP="00CA2E41">
      <w:pPr>
        <w:rPr>
          <w:b/>
          <w:sz w:val="22"/>
        </w:rPr>
      </w:pPr>
      <w:r>
        <w:rPr>
          <w:b/>
          <w:sz w:val="22"/>
        </w:rPr>
        <w:t>10.</w:t>
      </w:r>
      <w:r>
        <w:rPr>
          <w:b/>
          <w:sz w:val="22"/>
        </w:rPr>
        <w:tab/>
        <w:t>TEKSTO PERŽIŪROS DATA</w:t>
      </w:r>
    </w:p>
    <w:p w14:paraId="6E3047E3" w14:textId="77777777" w:rsidR="001E0E2B" w:rsidRPr="00402C81" w:rsidRDefault="001E0E2B" w:rsidP="00E30FAC"/>
    <w:p w14:paraId="218210C2" w14:textId="77777777" w:rsidR="00716313" w:rsidRDefault="00716313" w:rsidP="00F76B43">
      <w:pPr>
        <w:pStyle w:val="BTEMEASMCA"/>
      </w:pPr>
      <w:r>
        <w:t>2023 m. balandžio 26 d.</w:t>
      </w:r>
    </w:p>
    <w:p w14:paraId="7E09D914" w14:textId="5D47758D" w:rsidR="00191A08" w:rsidRDefault="00191A08" w:rsidP="00F76B43">
      <w:pPr>
        <w:pStyle w:val="BTEMEASMCA"/>
      </w:pPr>
    </w:p>
    <w:p w14:paraId="370F8647" w14:textId="77777777" w:rsidR="007A6645" w:rsidRDefault="007A6645" w:rsidP="00F76B43">
      <w:pPr>
        <w:pStyle w:val="BTEMEASMCA"/>
      </w:pPr>
    </w:p>
    <w:p w14:paraId="0FE232A7" w14:textId="17E13DE0" w:rsidR="00CA2E41" w:rsidRDefault="00CA2E41" w:rsidP="00F76B43">
      <w:pPr>
        <w:pStyle w:val="BTEMEASMCA"/>
      </w:pPr>
      <w:r>
        <w:t>Išsami informacija apie šį vaistinį preparatą pateikiama Valstybinės vaistų kontrolės tarnybos prie Lietuvos Respublikos sveikatos apsaugos ministerijos tinklalapyje</w:t>
      </w:r>
      <w:r>
        <w:rPr>
          <w:i/>
        </w:rPr>
        <w:t xml:space="preserve"> </w:t>
      </w:r>
      <w:hyperlink r:id="rId12" w:history="1">
        <w:r>
          <w:rPr>
            <w:rStyle w:val="Hipersaitas"/>
            <w:noProof w:val="0"/>
          </w:rPr>
          <w:t>http://www.vvkt.lt</w:t>
        </w:r>
      </w:hyperlink>
      <w:r>
        <w:br w:type="page"/>
      </w:r>
    </w:p>
    <w:p w14:paraId="76BF4C56" w14:textId="77777777" w:rsidR="00727A09" w:rsidRDefault="00727A09" w:rsidP="00727A09">
      <w:pPr>
        <w:rPr>
          <w:sz w:val="22"/>
        </w:rPr>
      </w:pPr>
    </w:p>
    <w:p w14:paraId="23E08358" w14:textId="77777777" w:rsidR="00727A09" w:rsidRDefault="00727A09" w:rsidP="00727A09">
      <w:pPr>
        <w:rPr>
          <w:sz w:val="22"/>
        </w:rPr>
      </w:pPr>
    </w:p>
    <w:p w14:paraId="771B836F" w14:textId="77777777" w:rsidR="00727A09" w:rsidRDefault="00727A09" w:rsidP="00727A09">
      <w:pPr>
        <w:rPr>
          <w:sz w:val="22"/>
        </w:rPr>
      </w:pPr>
    </w:p>
    <w:p w14:paraId="758E2990" w14:textId="77777777" w:rsidR="00727A09" w:rsidRDefault="00727A09" w:rsidP="00727A09">
      <w:pPr>
        <w:rPr>
          <w:sz w:val="22"/>
        </w:rPr>
      </w:pPr>
    </w:p>
    <w:p w14:paraId="69DD7D69" w14:textId="77777777" w:rsidR="00727A09" w:rsidRDefault="00727A09" w:rsidP="00727A09">
      <w:pPr>
        <w:rPr>
          <w:sz w:val="22"/>
        </w:rPr>
      </w:pPr>
    </w:p>
    <w:p w14:paraId="712107F9" w14:textId="77777777" w:rsidR="00727A09" w:rsidRDefault="00727A09" w:rsidP="00727A09">
      <w:pPr>
        <w:rPr>
          <w:sz w:val="22"/>
        </w:rPr>
      </w:pPr>
    </w:p>
    <w:p w14:paraId="1B3BCBB4" w14:textId="77777777" w:rsidR="00727A09" w:rsidRDefault="00727A09" w:rsidP="00727A09">
      <w:pPr>
        <w:rPr>
          <w:sz w:val="22"/>
        </w:rPr>
      </w:pPr>
    </w:p>
    <w:p w14:paraId="60026FC3" w14:textId="77777777" w:rsidR="00727A09" w:rsidRDefault="00727A09" w:rsidP="00727A09">
      <w:pPr>
        <w:rPr>
          <w:sz w:val="22"/>
        </w:rPr>
      </w:pPr>
    </w:p>
    <w:p w14:paraId="58866E98" w14:textId="77777777" w:rsidR="00727A09" w:rsidRDefault="00727A09" w:rsidP="00727A09">
      <w:pPr>
        <w:rPr>
          <w:sz w:val="22"/>
        </w:rPr>
      </w:pPr>
    </w:p>
    <w:p w14:paraId="384DA67E" w14:textId="77777777" w:rsidR="00727A09" w:rsidRDefault="00727A09" w:rsidP="00727A09">
      <w:pPr>
        <w:rPr>
          <w:sz w:val="22"/>
        </w:rPr>
      </w:pPr>
    </w:p>
    <w:p w14:paraId="15F9117C" w14:textId="77777777" w:rsidR="00727A09" w:rsidRDefault="00727A09" w:rsidP="00727A09">
      <w:pPr>
        <w:rPr>
          <w:sz w:val="22"/>
        </w:rPr>
      </w:pPr>
    </w:p>
    <w:p w14:paraId="0F207022" w14:textId="77777777" w:rsidR="00727A09" w:rsidRDefault="00727A09" w:rsidP="00727A09">
      <w:pPr>
        <w:rPr>
          <w:sz w:val="22"/>
        </w:rPr>
      </w:pPr>
    </w:p>
    <w:p w14:paraId="6A7A70A9" w14:textId="77777777" w:rsidR="00727A09" w:rsidRDefault="00727A09" w:rsidP="00727A09">
      <w:pPr>
        <w:pStyle w:val="Dokumentoinaostekstas"/>
        <w:rPr>
          <w:szCs w:val="22"/>
          <w:lang w:val="lt-LT"/>
        </w:rPr>
      </w:pPr>
    </w:p>
    <w:p w14:paraId="7640F8F4" w14:textId="77777777" w:rsidR="00727A09" w:rsidRDefault="00727A09" w:rsidP="00727A09">
      <w:pPr>
        <w:rPr>
          <w:sz w:val="22"/>
        </w:rPr>
      </w:pPr>
    </w:p>
    <w:p w14:paraId="359BA89E" w14:textId="77777777" w:rsidR="00727A09" w:rsidRDefault="00727A09" w:rsidP="00727A09">
      <w:pPr>
        <w:rPr>
          <w:sz w:val="22"/>
        </w:rPr>
      </w:pPr>
    </w:p>
    <w:p w14:paraId="2FA09888" w14:textId="77777777" w:rsidR="00727A09" w:rsidRDefault="00727A09" w:rsidP="00727A09">
      <w:pPr>
        <w:rPr>
          <w:sz w:val="22"/>
        </w:rPr>
      </w:pPr>
    </w:p>
    <w:p w14:paraId="3F0858CC" w14:textId="77777777" w:rsidR="00727A09" w:rsidRDefault="00727A09" w:rsidP="00727A09">
      <w:pPr>
        <w:rPr>
          <w:sz w:val="22"/>
        </w:rPr>
      </w:pPr>
    </w:p>
    <w:p w14:paraId="3E435736" w14:textId="77777777" w:rsidR="00727A09" w:rsidRDefault="00727A09" w:rsidP="00727A09">
      <w:pPr>
        <w:rPr>
          <w:sz w:val="22"/>
        </w:rPr>
      </w:pPr>
    </w:p>
    <w:p w14:paraId="387588EF" w14:textId="77777777" w:rsidR="00727A09" w:rsidRDefault="00727A09" w:rsidP="00727A09">
      <w:pPr>
        <w:rPr>
          <w:sz w:val="22"/>
        </w:rPr>
      </w:pPr>
    </w:p>
    <w:p w14:paraId="10131C42" w14:textId="77777777" w:rsidR="00727A09" w:rsidRDefault="00727A09" w:rsidP="00727A09">
      <w:pPr>
        <w:rPr>
          <w:sz w:val="22"/>
        </w:rPr>
      </w:pPr>
    </w:p>
    <w:p w14:paraId="482FC4E0" w14:textId="77777777" w:rsidR="00727A09" w:rsidRDefault="00727A09" w:rsidP="00727A09">
      <w:pPr>
        <w:rPr>
          <w:sz w:val="22"/>
        </w:rPr>
      </w:pPr>
    </w:p>
    <w:p w14:paraId="6BA0A85A" w14:textId="77777777" w:rsidR="00727A09" w:rsidRDefault="00727A09" w:rsidP="00727A09">
      <w:pPr>
        <w:rPr>
          <w:sz w:val="22"/>
        </w:rPr>
      </w:pPr>
    </w:p>
    <w:p w14:paraId="211EBE33" w14:textId="77777777" w:rsidR="005D6F5E" w:rsidRDefault="005D6F5E" w:rsidP="005D6F5E">
      <w:pPr>
        <w:jc w:val="center"/>
        <w:rPr>
          <w:b/>
          <w:sz w:val="22"/>
        </w:rPr>
      </w:pPr>
      <w:r>
        <w:rPr>
          <w:b/>
          <w:sz w:val="22"/>
        </w:rPr>
        <w:t>II PRIEDAS</w:t>
      </w:r>
    </w:p>
    <w:p w14:paraId="33737AC7" w14:textId="77777777" w:rsidR="005D6F5E" w:rsidRPr="00305A45" w:rsidRDefault="005D6F5E" w:rsidP="00305A45">
      <w:pPr>
        <w:rPr>
          <w:sz w:val="22"/>
        </w:rPr>
      </w:pPr>
    </w:p>
    <w:p w14:paraId="7039EC5F" w14:textId="77777777" w:rsidR="005D6F5E" w:rsidRDefault="005D6F5E" w:rsidP="005D6F5E">
      <w:pPr>
        <w:jc w:val="center"/>
        <w:rPr>
          <w:b/>
          <w:sz w:val="22"/>
        </w:rPr>
      </w:pPr>
      <w:r>
        <w:rPr>
          <w:b/>
          <w:sz w:val="22"/>
        </w:rPr>
        <w:t>REGISTRACIJOS SĄLYGOS</w:t>
      </w:r>
    </w:p>
    <w:p w14:paraId="792DEEAC" w14:textId="77777777" w:rsidR="005D6F5E" w:rsidRPr="00305A45" w:rsidRDefault="005D6F5E" w:rsidP="00305A45">
      <w:pPr>
        <w:rPr>
          <w:sz w:val="22"/>
        </w:rPr>
      </w:pPr>
    </w:p>
    <w:p w14:paraId="722A278E" w14:textId="77777777" w:rsidR="005D6F5E" w:rsidRDefault="005D6F5E" w:rsidP="005D6F5E">
      <w:pPr>
        <w:pStyle w:val="BTAnIIEMEASMCA"/>
        <w:rPr>
          <w:rFonts w:cs="Times New Roman"/>
          <w:lang w:val="lt-LT"/>
        </w:rPr>
      </w:pPr>
      <w:r>
        <w:rPr>
          <w:rFonts w:cs="Times New Roman"/>
          <w:lang w:val="lt-LT"/>
        </w:rPr>
        <w:t>A.</w:t>
      </w:r>
      <w:r>
        <w:rPr>
          <w:rFonts w:cs="Times New Roman"/>
          <w:lang w:val="lt-LT"/>
        </w:rPr>
        <w:tab/>
        <w:t>BIOLOGINĖS (-IŲ) VEIKLIOSIOS (-IŲJŲ) MEDŽIAGOS (-Ų) GAMINTOJAS (-AI) IR GAMINTOJAS (-AI), ATSAKINGAS (-I) UŽ SERIJŲ IŠLEIDIMĄ</w:t>
      </w:r>
    </w:p>
    <w:p w14:paraId="563C6227" w14:textId="77777777" w:rsidR="005D6F5E" w:rsidRDefault="005D6F5E" w:rsidP="00F76B43">
      <w:pPr>
        <w:pStyle w:val="BTEMEASMCA"/>
      </w:pPr>
    </w:p>
    <w:p w14:paraId="658E5DD7" w14:textId="77777777" w:rsidR="005D6F5E" w:rsidRDefault="005D6F5E" w:rsidP="005D6F5E">
      <w:pPr>
        <w:pStyle w:val="BTAnIIEMEASMCA"/>
        <w:rPr>
          <w:rFonts w:cs="Times New Roman"/>
          <w:lang w:val="lt-LT"/>
        </w:rPr>
      </w:pPr>
      <w:r>
        <w:rPr>
          <w:rFonts w:cs="Times New Roman"/>
          <w:lang w:val="lt-LT"/>
        </w:rPr>
        <w:t>B.</w:t>
      </w:r>
      <w:r>
        <w:rPr>
          <w:rFonts w:cs="Times New Roman"/>
          <w:lang w:val="lt-LT"/>
        </w:rPr>
        <w:tab/>
        <w:t>TIEKIMO IR VARTOJIMO SĄLYGOS AR APRIBOJIMAI</w:t>
      </w:r>
    </w:p>
    <w:p w14:paraId="21B2DB9F" w14:textId="77777777" w:rsidR="005D6F5E" w:rsidRDefault="005D6F5E" w:rsidP="00F76B43">
      <w:pPr>
        <w:pStyle w:val="BTEMEASMCA"/>
      </w:pPr>
    </w:p>
    <w:p w14:paraId="74986862" w14:textId="77777777" w:rsidR="00CA2E41" w:rsidRDefault="00CA2E41" w:rsidP="00CA2E41">
      <w:pPr>
        <w:ind w:left="567" w:hanging="567"/>
        <w:rPr>
          <w:b/>
          <w:sz w:val="22"/>
        </w:rPr>
      </w:pPr>
      <w:r>
        <w:rPr>
          <w:sz w:val="22"/>
        </w:rPr>
        <w:br w:type="page"/>
      </w:r>
      <w:r>
        <w:rPr>
          <w:b/>
          <w:sz w:val="22"/>
        </w:rPr>
        <w:lastRenderedPageBreak/>
        <w:t>A.</w:t>
      </w:r>
      <w:r>
        <w:rPr>
          <w:b/>
          <w:sz w:val="22"/>
        </w:rPr>
        <w:tab/>
        <w:t>BIOLOGINĖS (-IŲ) VEIKLIOSIOS (-IŲJŲ) MEDŽIAGOS (-Ų) GAMINTOJAS (-AI) IR GAMINTOJAS (-AI), ATSAKINGAS (-I) UŽ SERIJŲ IŠLEIDIMĄ</w:t>
      </w:r>
    </w:p>
    <w:p w14:paraId="15E97A34" w14:textId="77777777" w:rsidR="00CA2E41" w:rsidRDefault="00CA2E41" w:rsidP="00CA2E41">
      <w:pPr>
        <w:rPr>
          <w:sz w:val="22"/>
        </w:rPr>
      </w:pPr>
    </w:p>
    <w:p w14:paraId="3901E772" w14:textId="77777777" w:rsidR="00CA2E41" w:rsidRDefault="00CA2E41" w:rsidP="00F76B43">
      <w:pPr>
        <w:pStyle w:val="BTuEMEASMCA"/>
      </w:pPr>
      <w:r>
        <w:t>Biologinės (-ių) veikliosios (-iųjų) medžiagos (-ų) gamintojo (-ų) pavadinimas (-ai) ir adresas (-ai)</w:t>
      </w:r>
    </w:p>
    <w:p w14:paraId="1918CFFE" w14:textId="77777777" w:rsidR="00CA2E41" w:rsidRDefault="00CA2E41" w:rsidP="00F76B43">
      <w:pPr>
        <w:pStyle w:val="BTEMEASMCA"/>
      </w:pPr>
    </w:p>
    <w:p w14:paraId="67EFF300" w14:textId="77777777" w:rsidR="00CA2E41" w:rsidRDefault="00CA2E41" w:rsidP="00CA2E41">
      <w:pPr>
        <w:rPr>
          <w:sz w:val="22"/>
        </w:rPr>
      </w:pPr>
      <w:proofErr w:type="spellStart"/>
      <w:r>
        <w:rPr>
          <w:sz w:val="22"/>
        </w:rPr>
        <w:t>GlaxoSmithKline</w:t>
      </w:r>
      <w:proofErr w:type="spellEnd"/>
      <w:r>
        <w:rPr>
          <w:sz w:val="22"/>
        </w:rPr>
        <w:t xml:space="preserve"> </w:t>
      </w:r>
      <w:proofErr w:type="spellStart"/>
      <w:r>
        <w:rPr>
          <w:sz w:val="22"/>
        </w:rPr>
        <w:t>Biologicals</w:t>
      </w:r>
      <w:proofErr w:type="spellEnd"/>
      <w:r>
        <w:rPr>
          <w:sz w:val="22"/>
        </w:rPr>
        <w:t xml:space="preserve"> </w:t>
      </w:r>
      <w:proofErr w:type="spellStart"/>
      <w:r>
        <w:rPr>
          <w:sz w:val="22"/>
        </w:rPr>
        <w:t>s.a</w:t>
      </w:r>
      <w:proofErr w:type="spellEnd"/>
      <w:r>
        <w:rPr>
          <w:sz w:val="22"/>
        </w:rPr>
        <w:t>.</w:t>
      </w:r>
    </w:p>
    <w:p w14:paraId="7B4A3BE3" w14:textId="77777777" w:rsidR="00CA2E41" w:rsidRDefault="00CA2E41" w:rsidP="00CA2E41">
      <w:pPr>
        <w:rPr>
          <w:sz w:val="22"/>
        </w:rPr>
      </w:pPr>
      <w:proofErr w:type="spellStart"/>
      <w:r>
        <w:rPr>
          <w:sz w:val="22"/>
        </w:rPr>
        <w:t>rue</w:t>
      </w:r>
      <w:proofErr w:type="spellEnd"/>
      <w:r>
        <w:rPr>
          <w:sz w:val="22"/>
        </w:rPr>
        <w:t xml:space="preserve"> de </w:t>
      </w:r>
      <w:proofErr w:type="spellStart"/>
      <w:r>
        <w:rPr>
          <w:sz w:val="22"/>
        </w:rPr>
        <w:t>l'Institut</w:t>
      </w:r>
      <w:proofErr w:type="spellEnd"/>
      <w:r>
        <w:rPr>
          <w:sz w:val="22"/>
        </w:rPr>
        <w:t xml:space="preserve"> 89</w:t>
      </w:r>
    </w:p>
    <w:p w14:paraId="69E85B17" w14:textId="77777777" w:rsidR="00CA2E41" w:rsidRDefault="00CA2E41" w:rsidP="00CA2E41">
      <w:pPr>
        <w:rPr>
          <w:sz w:val="22"/>
        </w:rPr>
      </w:pPr>
      <w:r>
        <w:rPr>
          <w:sz w:val="22"/>
        </w:rPr>
        <w:t xml:space="preserve">1330 </w:t>
      </w:r>
      <w:proofErr w:type="spellStart"/>
      <w:r>
        <w:rPr>
          <w:sz w:val="22"/>
        </w:rPr>
        <w:t>Rixensart</w:t>
      </w:r>
      <w:proofErr w:type="spellEnd"/>
      <w:r>
        <w:rPr>
          <w:sz w:val="22"/>
        </w:rPr>
        <w:t>, Belgija</w:t>
      </w:r>
    </w:p>
    <w:p w14:paraId="17B57339" w14:textId="77777777" w:rsidR="00F779B9" w:rsidRDefault="00F779B9" w:rsidP="00CA2E41">
      <w:pPr>
        <w:rPr>
          <w:sz w:val="22"/>
        </w:rPr>
      </w:pPr>
    </w:p>
    <w:p w14:paraId="112640D7" w14:textId="3745AD23" w:rsidR="00F779B9" w:rsidRDefault="00F779B9" w:rsidP="00CA2E41">
      <w:pPr>
        <w:rPr>
          <w:sz w:val="22"/>
        </w:rPr>
      </w:pPr>
      <w:r>
        <w:rPr>
          <w:sz w:val="22"/>
        </w:rPr>
        <w:t>arba</w:t>
      </w:r>
    </w:p>
    <w:p w14:paraId="68E17E84" w14:textId="77777777" w:rsidR="00903248" w:rsidRDefault="00903248" w:rsidP="00CA2E41">
      <w:pPr>
        <w:rPr>
          <w:sz w:val="22"/>
        </w:rPr>
      </w:pPr>
    </w:p>
    <w:p w14:paraId="22BDF0DA" w14:textId="20D02219" w:rsidR="00903248" w:rsidRDefault="008B1541" w:rsidP="00CA2E41">
      <w:pPr>
        <w:rPr>
          <w:sz w:val="22"/>
        </w:rPr>
      </w:pPr>
      <w:proofErr w:type="spellStart"/>
      <w:r w:rsidRPr="008B1541">
        <w:rPr>
          <w:sz w:val="22"/>
        </w:rPr>
        <w:t>GlaxoSmithKline</w:t>
      </w:r>
      <w:proofErr w:type="spellEnd"/>
      <w:r w:rsidRPr="008B1541">
        <w:rPr>
          <w:sz w:val="22"/>
        </w:rPr>
        <w:t xml:space="preserve"> </w:t>
      </w:r>
      <w:proofErr w:type="spellStart"/>
      <w:r w:rsidRPr="008B1541">
        <w:rPr>
          <w:sz w:val="22"/>
        </w:rPr>
        <w:t>Biologicals</w:t>
      </w:r>
      <w:proofErr w:type="spellEnd"/>
      <w:r w:rsidRPr="008B1541">
        <w:rPr>
          <w:sz w:val="22"/>
        </w:rPr>
        <w:t xml:space="preserve"> </w:t>
      </w:r>
      <w:proofErr w:type="spellStart"/>
      <w:r w:rsidRPr="008B1541">
        <w:rPr>
          <w:sz w:val="22"/>
        </w:rPr>
        <w:t>Kft</w:t>
      </w:r>
      <w:proofErr w:type="spellEnd"/>
    </w:p>
    <w:p w14:paraId="1ABDF75C" w14:textId="2FBB9907" w:rsidR="008B1541" w:rsidRDefault="008B1541" w:rsidP="00CA2E41">
      <w:pPr>
        <w:rPr>
          <w:sz w:val="22"/>
        </w:rPr>
      </w:pPr>
      <w:proofErr w:type="spellStart"/>
      <w:r w:rsidRPr="008B1541">
        <w:rPr>
          <w:sz w:val="22"/>
        </w:rPr>
        <w:t>Homoki</w:t>
      </w:r>
      <w:proofErr w:type="spellEnd"/>
      <w:r w:rsidRPr="008B1541">
        <w:rPr>
          <w:sz w:val="22"/>
        </w:rPr>
        <w:t xml:space="preserve"> Nagy </w:t>
      </w:r>
      <w:proofErr w:type="spellStart"/>
      <w:r w:rsidRPr="008B1541">
        <w:rPr>
          <w:sz w:val="22"/>
        </w:rPr>
        <w:t>István</w:t>
      </w:r>
      <w:proofErr w:type="spellEnd"/>
      <w:r w:rsidRPr="008B1541">
        <w:rPr>
          <w:sz w:val="22"/>
        </w:rPr>
        <w:t xml:space="preserve"> </w:t>
      </w:r>
      <w:proofErr w:type="spellStart"/>
      <w:r w:rsidRPr="008B1541">
        <w:rPr>
          <w:sz w:val="22"/>
        </w:rPr>
        <w:t>utca</w:t>
      </w:r>
      <w:proofErr w:type="spellEnd"/>
      <w:r w:rsidRPr="008B1541">
        <w:rPr>
          <w:sz w:val="22"/>
        </w:rPr>
        <w:t xml:space="preserve"> 1</w:t>
      </w:r>
    </w:p>
    <w:p w14:paraId="0C5C1B2D" w14:textId="77777777" w:rsidR="00C47CFD" w:rsidRDefault="002B7726" w:rsidP="00CA2E41">
      <w:pPr>
        <w:rPr>
          <w:sz w:val="22"/>
        </w:rPr>
      </w:pPr>
      <w:r w:rsidRPr="002B7726">
        <w:rPr>
          <w:sz w:val="22"/>
        </w:rPr>
        <w:t xml:space="preserve">H-2100 </w:t>
      </w:r>
      <w:proofErr w:type="spellStart"/>
      <w:r w:rsidRPr="002B7726">
        <w:rPr>
          <w:sz w:val="22"/>
        </w:rPr>
        <w:t>Gödöllö</w:t>
      </w:r>
      <w:proofErr w:type="spellEnd"/>
      <w:r w:rsidRPr="002B7726">
        <w:rPr>
          <w:sz w:val="22"/>
        </w:rPr>
        <w:t>,</w:t>
      </w:r>
      <w:r>
        <w:rPr>
          <w:sz w:val="22"/>
        </w:rPr>
        <w:t xml:space="preserve"> </w:t>
      </w:r>
    </w:p>
    <w:p w14:paraId="18AE4EF9" w14:textId="512B7CB5" w:rsidR="008B1541" w:rsidRDefault="002B7726" w:rsidP="00CA2E41">
      <w:pPr>
        <w:rPr>
          <w:sz w:val="22"/>
        </w:rPr>
      </w:pPr>
      <w:r>
        <w:rPr>
          <w:sz w:val="22"/>
        </w:rPr>
        <w:t>Vengrija</w:t>
      </w:r>
    </w:p>
    <w:p w14:paraId="675F4A5C" w14:textId="77777777" w:rsidR="00A46CBD" w:rsidRDefault="00A46CBD" w:rsidP="00CA2E41">
      <w:pPr>
        <w:rPr>
          <w:sz w:val="22"/>
        </w:rPr>
      </w:pPr>
    </w:p>
    <w:p w14:paraId="11FB634A" w14:textId="77777777" w:rsidR="00CA2E41" w:rsidRDefault="00CA2E41" w:rsidP="00F76B43">
      <w:pPr>
        <w:pStyle w:val="BTEMEASMCA"/>
      </w:pPr>
    </w:p>
    <w:p w14:paraId="741CD0DE" w14:textId="77777777" w:rsidR="00CA2E41" w:rsidRDefault="00CA2E41" w:rsidP="00F76B43">
      <w:pPr>
        <w:pStyle w:val="BTuEMEASMCA"/>
      </w:pPr>
      <w:r>
        <w:t>Gamintojo (-ų), atsakingo (-ų) už serijų išleidimą, pavadinimas (-ai) ir adresas (-ai)</w:t>
      </w:r>
    </w:p>
    <w:p w14:paraId="1085BD54" w14:textId="77777777" w:rsidR="00CA2E41" w:rsidRDefault="00CA2E41" w:rsidP="00CA2E41">
      <w:pPr>
        <w:rPr>
          <w:sz w:val="22"/>
        </w:rPr>
      </w:pPr>
    </w:p>
    <w:p w14:paraId="75BCE98C" w14:textId="77777777" w:rsidR="00CA2E41" w:rsidRDefault="00CA2E41" w:rsidP="00CA2E41">
      <w:pPr>
        <w:rPr>
          <w:sz w:val="22"/>
        </w:rPr>
      </w:pPr>
      <w:proofErr w:type="spellStart"/>
      <w:r>
        <w:rPr>
          <w:sz w:val="22"/>
        </w:rPr>
        <w:t>GlaxoSmithKline</w:t>
      </w:r>
      <w:proofErr w:type="spellEnd"/>
      <w:r>
        <w:rPr>
          <w:sz w:val="22"/>
        </w:rPr>
        <w:t xml:space="preserve"> </w:t>
      </w:r>
      <w:proofErr w:type="spellStart"/>
      <w:r>
        <w:rPr>
          <w:sz w:val="22"/>
        </w:rPr>
        <w:t>Biologicals</w:t>
      </w:r>
      <w:proofErr w:type="spellEnd"/>
      <w:r>
        <w:rPr>
          <w:sz w:val="22"/>
        </w:rPr>
        <w:t xml:space="preserve"> </w:t>
      </w:r>
      <w:proofErr w:type="spellStart"/>
      <w:r>
        <w:rPr>
          <w:sz w:val="22"/>
        </w:rPr>
        <w:t>s.a</w:t>
      </w:r>
      <w:proofErr w:type="spellEnd"/>
      <w:r>
        <w:rPr>
          <w:sz w:val="22"/>
        </w:rPr>
        <w:t>.</w:t>
      </w:r>
    </w:p>
    <w:p w14:paraId="6B589C3D" w14:textId="77777777" w:rsidR="00CA2E41" w:rsidRDefault="00CA2E41" w:rsidP="00CA2E41">
      <w:pPr>
        <w:rPr>
          <w:sz w:val="22"/>
        </w:rPr>
      </w:pPr>
      <w:proofErr w:type="spellStart"/>
      <w:r>
        <w:rPr>
          <w:sz w:val="22"/>
        </w:rPr>
        <w:t>rue</w:t>
      </w:r>
      <w:proofErr w:type="spellEnd"/>
      <w:r>
        <w:rPr>
          <w:sz w:val="22"/>
        </w:rPr>
        <w:t xml:space="preserve"> de </w:t>
      </w:r>
      <w:proofErr w:type="spellStart"/>
      <w:r>
        <w:rPr>
          <w:sz w:val="22"/>
        </w:rPr>
        <w:t>l'Institut</w:t>
      </w:r>
      <w:proofErr w:type="spellEnd"/>
      <w:r>
        <w:rPr>
          <w:sz w:val="22"/>
        </w:rPr>
        <w:t xml:space="preserve"> 89</w:t>
      </w:r>
    </w:p>
    <w:p w14:paraId="416EBE15" w14:textId="77777777" w:rsidR="00CA2E41" w:rsidRDefault="00CA2E41" w:rsidP="00CA2E41">
      <w:pPr>
        <w:rPr>
          <w:sz w:val="22"/>
        </w:rPr>
      </w:pPr>
      <w:r>
        <w:rPr>
          <w:sz w:val="22"/>
        </w:rPr>
        <w:t xml:space="preserve">1330 </w:t>
      </w:r>
      <w:proofErr w:type="spellStart"/>
      <w:r>
        <w:rPr>
          <w:sz w:val="22"/>
        </w:rPr>
        <w:t>Rixensart</w:t>
      </w:r>
      <w:proofErr w:type="spellEnd"/>
      <w:r>
        <w:rPr>
          <w:sz w:val="22"/>
        </w:rPr>
        <w:t>, Belgija</w:t>
      </w:r>
    </w:p>
    <w:p w14:paraId="507EF116" w14:textId="77777777" w:rsidR="00CA2E41" w:rsidRDefault="00CA2E41" w:rsidP="00CA2E41">
      <w:pPr>
        <w:rPr>
          <w:sz w:val="22"/>
        </w:rPr>
      </w:pPr>
    </w:p>
    <w:p w14:paraId="30F3C172" w14:textId="77777777" w:rsidR="00CA2E41" w:rsidRDefault="00CA2E41" w:rsidP="00CA2E41">
      <w:pPr>
        <w:rPr>
          <w:sz w:val="22"/>
        </w:rPr>
      </w:pPr>
    </w:p>
    <w:p w14:paraId="1250EDD6" w14:textId="77777777" w:rsidR="00CA2E41" w:rsidRDefault="00CA2E41" w:rsidP="00CA2E41">
      <w:pPr>
        <w:rPr>
          <w:b/>
          <w:sz w:val="22"/>
        </w:rPr>
      </w:pPr>
      <w:r>
        <w:rPr>
          <w:b/>
          <w:sz w:val="22"/>
        </w:rPr>
        <w:t>B.</w:t>
      </w:r>
      <w:r>
        <w:rPr>
          <w:b/>
          <w:sz w:val="22"/>
        </w:rPr>
        <w:tab/>
        <w:t>TIEKIMO IR VARTOJIMO SĄLYGOS AR APRIBOJIMAI</w:t>
      </w:r>
    </w:p>
    <w:p w14:paraId="45C0DFCB" w14:textId="77777777" w:rsidR="00CA2E41" w:rsidRDefault="00CA2E41" w:rsidP="00CA2E41">
      <w:pPr>
        <w:rPr>
          <w:sz w:val="22"/>
        </w:rPr>
      </w:pPr>
    </w:p>
    <w:p w14:paraId="1356394E" w14:textId="77777777" w:rsidR="00CA2E41" w:rsidRDefault="00CA2E41" w:rsidP="00CA2E41">
      <w:pPr>
        <w:rPr>
          <w:sz w:val="22"/>
        </w:rPr>
      </w:pPr>
      <w:r>
        <w:rPr>
          <w:sz w:val="22"/>
        </w:rPr>
        <w:t>Receptinis vaistinis preparatas.</w:t>
      </w:r>
    </w:p>
    <w:p w14:paraId="6DE10E8B" w14:textId="77777777" w:rsidR="00CA2E41" w:rsidRDefault="00CA2E41" w:rsidP="00CA2E41">
      <w:pPr>
        <w:rPr>
          <w:sz w:val="22"/>
        </w:rPr>
      </w:pPr>
    </w:p>
    <w:p w14:paraId="6DF7E6F3" w14:textId="77777777" w:rsidR="00CA2E41" w:rsidRPr="00D622E8" w:rsidRDefault="00CA2E41" w:rsidP="00CA2E41">
      <w:pPr>
        <w:pStyle w:val="TTEMEASMCA"/>
        <w:rPr>
          <w:sz w:val="22"/>
          <w:szCs w:val="22"/>
          <w:lang w:val="lt-LT"/>
        </w:rPr>
      </w:pPr>
      <w:r w:rsidRPr="00D622E8">
        <w:rPr>
          <w:sz w:val="22"/>
          <w:lang w:val="sv-SE"/>
        </w:rPr>
        <w:br w:type="page"/>
      </w:r>
    </w:p>
    <w:p w14:paraId="5A63ED3D" w14:textId="77777777" w:rsidR="00CA2E41" w:rsidRPr="00D622E8" w:rsidRDefault="00CA2E41" w:rsidP="00CA2E41">
      <w:pPr>
        <w:pStyle w:val="TTEMEASMCA"/>
        <w:rPr>
          <w:b w:val="0"/>
          <w:sz w:val="22"/>
          <w:lang w:val="lt-LT"/>
        </w:rPr>
      </w:pPr>
    </w:p>
    <w:p w14:paraId="46912BD4" w14:textId="77777777" w:rsidR="00CA2E41" w:rsidRPr="00D622E8" w:rsidRDefault="00CA2E41" w:rsidP="00CA2E41">
      <w:pPr>
        <w:pStyle w:val="TTEMEASMCA"/>
        <w:rPr>
          <w:b w:val="0"/>
          <w:sz w:val="22"/>
          <w:lang w:val="lt-LT"/>
        </w:rPr>
      </w:pPr>
    </w:p>
    <w:p w14:paraId="4A4B48B8" w14:textId="77777777" w:rsidR="00CA2E41" w:rsidRPr="00D622E8" w:rsidRDefault="00CA2E41" w:rsidP="00CA2E41">
      <w:pPr>
        <w:pStyle w:val="TTEMEASMCA"/>
        <w:rPr>
          <w:b w:val="0"/>
          <w:sz w:val="22"/>
          <w:lang w:val="lt-LT"/>
        </w:rPr>
      </w:pPr>
    </w:p>
    <w:p w14:paraId="4531997A" w14:textId="77777777" w:rsidR="00CA2E41" w:rsidRPr="00D622E8" w:rsidRDefault="00CA2E41" w:rsidP="00CA2E41">
      <w:pPr>
        <w:pStyle w:val="TTEMEASMCA"/>
        <w:rPr>
          <w:b w:val="0"/>
          <w:sz w:val="22"/>
          <w:lang w:val="lt-LT"/>
        </w:rPr>
      </w:pPr>
    </w:p>
    <w:p w14:paraId="1AD9C6F9" w14:textId="77777777" w:rsidR="00CA2E41" w:rsidRPr="00D622E8" w:rsidRDefault="00CA2E41" w:rsidP="00CA2E41">
      <w:pPr>
        <w:pStyle w:val="TTEMEASMCA"/>
        <w:rPr>
          <w:b w:val="0"/>
          <w:sz w:val="22"/>
          <w:lang w:val="lt-LT"/>
        </w:rPr>
      </w:pPr>
    </w:p>
    <w:p w14:paraId="2FB2F648" w14:textId="77777777" w:rsidR="00CA2E41" w:rsidRPr="00D622E8" w:rsidRDefault="00CA2E41" w:rsidP="00CA2E41">
      <w:pPr>
        <w:pStyle w:val="TTEMEASMCA"/>
        <w:rPr>
          <w:b w:val="0"/>
          <w:sz w:val="22"/>
          <w:lang w:val="lt-LT"/>
        </w:rPr>
      </w:pPr>
    </w:p>
    <w:p w14:paraId="7F9EE7FE" w14:textId="77777777" w:rsidR="00CA2E41" w:rsidRPr="00D622E8" w:rsidRDefault="00CA2E41" w:rsidP="00CA2E41">
      <w:pPr>
        <w:pStyle w:val="TTEMEASMCA"/>
        <w:rPr>
          <w:b w:val="0"/>
          <w:sz w:val="22"/>
          <w:lang w:val="lt-LT"/>
        </w:rPr>
      </w:pPr>
    </w:p>
    <w:p w14:paraId="0E36F230" w14:textId="77777777" w:rsidR="00CA2E41" w:rsidRPr="00D622E8" w:rsidRDefault="00CA2E41" w:rsidP="00CA2E41">
      <w:pPr>
        <w:pStyle w:val="TTEMEASMCA"/>
        <w:rPr>
          <w:b w:val="0"/>
          <w:sz w:val="22"/>
          <w:lang w:val="lt-LT"/>
        </w:rPr>
      </w:pPr>
    </w:p>
    <w:p w14:paraId="6CF5D91A" w14:textId="77777777" w:rsidR="00CA2E41" w:rsidRPr="00F76B43" w:rsidRDefault="00CA2E41" w:rsidP="00305A45">
      <w:pPr>
        <w:pStyle w:val="BTEMEASMCA"/>
        <w:jc w:val="center"/>
        <w:rPr>
          <w:bCs/>
        </w:rPr>
      </w:pPr>
    </w:p>
    <w:p w14:paraId="2E96A718" w14:textId="77777777" w:rsidR="00CA2E41" w:rsidRPr="00F76B43" w:rsidRDefault="00CA2E41" w:rsidP="00305A45">
      <w:pPr>
        <w:pStyle w:val="BTEMEASMCA"/>
        <w:jc w:val="center"/>
        <w:rPr>
          <w:bCs/>
        </w:rPr>
      </w:pPr>
    </w:p>
    <w:p w14:paraId="649505E1" w14:textId="77777777" w:rsidR="00CA2E41" w:rsidRPr="00F76B43" w:rsidRDefault="00CA2E41" w:rsidP="00305A45">
      <w:pPr>
        <w:pStyle w:val="BTEMEASMCA"/>
        <w:jc w:val="center"/>
        <w:rPr>
          <w:bCs/>
        </w:rPr>
      </w:pPr>
    </w:p>
    <w:p w14:paraId="440F717D" w14:textId="77777777" w:rsidR="00CA2E41" w:rsidRPr="00D622E8" w:rsidRDefault="00CA2E41" w:rsidP="00CA2E41">
      <w:pPr>
        <w:pStyle w:val="TTEMEASMCA"/>
        <w:rPr>
          <w:b w:val="0"/>
          <w:sz w:val="22"/>
          <w:lang w:val="lt-LT"/>
        </w:rPr>
      </w:pPr>
      <w:bookmarkStart w:id="15" w:name="_Toc129243259"/>
      <w:bookmarkStart w:id="16" w:name="_Toc129243134"/>
    </w:p>
    <w:p w14:paraId="1F819FB4" w14:textId="77777777" w:rsidR="00CA2E41" w:rsidRPr="00D622E8" w:rsidRDefault="00CA2E41" w:rsidP="00CA2E41">
      <w:pPr>
        <w:pStyle w:val="TTEMEASMCA"/>
        <w:rPr>
          <w:b w:val="0"/>
          <w:sz w:val="22"/>
          <w:lang w:val="lt-LT"/>
        </w:rPr>
      </w:pPr>
    </w:p>
    <w:p w14:paraId="4AD88752" w14:textId="77777777" w:rsidR="00CA2E41" w:rsidRPr="00D622E8" w:rsidRDefault="00CA2E41" w:rsidP="00CA2E41">
      <w:pPr>
        <w:pStyle w:val="TTEMEASMCA"/>
        <w:rPr>
          <w:b w:val="0"/>
          <w:sz w:val="22"/>
          <w:lang w:val="lt-LT"/>
        </w:rPr>
      </w:pPr>
    </w:p>
    <w:p w14:paraId="6FCC20D7" w14:textId="77777777" w:rsidR="00CA2E41" w:rsidRPr="00D622E8" w:rsidRDefault="00CA2E41" w:rsidP="00CA2E41">
      <w:pPr>
        <w:pStyle w:val="TTEMEASMCA"/>
        <w:rPr>
          <w:b w:val="0"/>
          <w:sz w:val="22"/>
          <w:lang w:val="lt-LT"/>
        </w:rPr>
      </w:pPr>
    </w:p>
    <w:p w14:paraId="0514BFF6" w14:textId="77777777" w:rsidR="00CA2E41" w:rsidRPr="00D622E8" w:rsidRDefault="00CA2E41" w:rsidP="00CA2E41">
      <w:pPr>
        <w:pStyle w:val="TTEMEASMCA"/>
        <w:rPr>
          <w:b w:val="0"/>
          <w:sz w:val="22"/>
          <w:lang w:val="lt-LT"/>
        </w:rPr>
      </w:pPr>
    </w:p>
    <w:p w14:paraId="0814EA8E" w14:textId="77777777" w:rsidR="00CA2E41" w:rsidRPr="00D622E8" w:rsidRDefault="00CA2E41" w:rsidP="00CA2E41">
      <w:pPr>
        <w:pStyle w:val="TTEMEASMCA"/>
        <w:rPr>
          <w:b w:val="0"/>
          <w:sz w:val="22"/>
          <w:lang w:val="lt-LT"/>
        </w:rPr>
      </w:pPr>
    </w:p>
    <w:p w14:paraId="2577072E" w14:textId="77777777" w:rsidR="00CA2E41" w:rsidRPr="00D622E8" w:rsidRDefault="00CA2E41" w:rsidP="00CA2E41">
      <w:pPr>
        <w:pStyle w:val="TTEMEASMCA"/>
        <w:rPr>
          <w:b w:val="0"/>
          <w:sz w:val="22"/>
          <w:lang w:val="lt-LT"/>
        </w:rPr>
      </w:pPr>
    </w:p>
    <w:p w14:paraId="625B2F06" w14:textId="77777777" w:rsidR="00CA2E41" w:rsidRPr="00D622E8" w:rsidRDefault="00CA2E41" w:rsidP="00CA2E41">
      <w:pPr>
        <w:pStyle w:val="TTEMEASMCA"/>
        <w:rPr>
          <w:b w:val="0"/>
          <w:sz w:val="22"/>
          <w:lang w:val="lt-LT"/>
        </w:rPr>
      </w:pPr>
    </w:p>
    <w:p w14:paraId="5F27E5AD" w14:textId="77777777" w:rsidR="00CA2E41" w:rsidRPr="00D622E8" w:rsidRDefault="00CA2E41" w:rsidP="00CA2E41">
      <w:pPr>
        <w:pStyle w:val="TTEMEASMCA"/>
        <w:rPr>
          <w:b w:val="0"/>
          <w:sz w:val="22"/>
          <w:lang w:val="lt-LT"/>
        </w:rPr>
      </w:pPr>
    </w:p>
    <w:p w14:paraId="18A2F84A" w14:textId="77777777" w:rsidR="00CA2E41" w:rsidRPr="00D622E8" w:rsidRDefault="00CA2E41" w:rsidP="00CA2E41">
      <w:pPr>
        <w:pStyle w:val="TTEMEASMCA"/>
        <w:rPr>
          <w:b w:val="0"/>
          <w:sz w:val="22"/>
          <w:lang w:val="lt-LT"/>
        </w:rPr>
      </w:pPr>
    </w:p>
    <w:p w14:paraId="3F1BEB93" w14:textId="77777777" w:rsidR="00CA2E41" w:rsidRPr="00D622E8" w:rsidRDefault="00CA2E41" w:rsidP="00CA2E41">
      <w:pPr>
        <w:pStyle w:val="TTEMEASMCA"/>
        <w:rPr>
          <w:b w:val="0"/>
          <w:sz w:val="22"/>
          <w:lang w:val="lt-LT"/>
        </w:rPr>
      </w:pPr>
    </w:p>
    <w:p w14:paraId="3A438271" w14:textId="77777777" w:rsidR="00CA2E41" w:rsidRDefault="00CA2E41" w:rsidP="00CA2E41">
      <w:pPr>
        <w:pStyle w:val="TTEMEASMCA"/>
        <w:rPr>
          <w:sz w:val="22"/>
          <w:szCs w:val="22"/>
          <w:lang w:val="lt-LT"/>
        </w:rPr>
      </w:pPr>
      <w:r>
        <w:rPr>
          <w:sz w:val="22"/>
          <w:szCs w:val="22"/>
          <w:lang w:val="lt-LT"/>
        </w:rPr>
        <w:t>III PRIEDAS</w:t>
      </w:r>
    </w:p>
    <w:p w14:paraId="4AEFECEF" w14:textId="77777777" w:rsidR="00CA2E41" w:rsidRDefault="00CA2E41" w:rsidP="00F76B43">
      <w:pPr>
        <w:pStyle w:val="BTEMEASMCA"/>
      </w:pPr>
    </w:p>
    <w:p w14:paraId="520F1056" w14:textId="05B0FD34" w:rsidR="00CA2E41" w:rsidRPr="00D622E8" w:rsidRDefault="00CA2E41" w:rsidP="00CA2E41">
      <w:pPr>
        <w:pStyle w:val="TTEMEASMCA"/>
        <w:rPr>
          <w:sz w:val="22"/>
          <w:szCs w:val="22"/>
          <w:lang w:val="lt-LT"/>
        </w:rPr>
      </w:pPr>
      <w:bookmarkStart w:id="17" w:name="_Toc129243260"/>
      <w:bookmarkStart w:id="18" w:name="_Toc129243135"/>
      <w:bookmarkEnd w:id="15"/>
      <w:bookmarkEnd w:id="16"/>
      <w:r w:rsidRPr="00D622E8">
        <w:rPr>
          <w:sz w:val="22"/>
          <w:szCs w:val="22"/>
          <w:lang w:val="lt-LT"/>
        </w:rPr>
        <w:t>ŽENKLINIMAS IR PAKUOTĖS LAPELIS</w:t>
      </w:r>
      <w:bookmarkEnd w:id="17"/>
      <w:bookmarkEnd w:id="18"/>
    </w:p>
    <w:p w14:paraId="26F29A32" w14:textId="77777777" w:rsidR="00CA2E41" w:rsidRDefault="00CA2E41" w:rsidP="00F76B43">
      <w:pPr>
        <w:pStyle w:val="BTEMEASMCA"/>
        <w:rPr>
          <w:noProof w:val="0"/>
        </w:rPr>
      </w:pPr>
      <w:r>
        <w:br w:type="page"/>
      </w:r>
    </w:p>
    <w:p w14:paraId="441239AB" w14:textId="77777777" w:rsidR="00CA2E41" w:rsidRDefault="00CA2E41" w:rsidP="00F76B43">
      <w:pPr>
        <w:pStyle w:val="BTEMEASMCA"/>
      </w:pPr>
    </w:p>
    <w:p w14:paraId="0A3B363B" w14:textId="77777777" w:rsidR="00CA2E41" w:rsidRDefault="00CA2E41" w:rsidP="00F76B43">
      <w:pPr>
        <w:pStyle w:val="BTEMEASMCA"/>
      </w:pPr>
    </w:p>
    <w:p w14:paraId="1C9C387F" w14:textId="77777777" w:rsidR="00CA2E41" w:rsidRDefault="00CA2E41" w:rsidP="00F76B43">
      <w:pPr>
        <w:pStyle w:val="BTEMEASMCA"/>
      </w:pPr>
    </w:p>
    <w:p w14:paraId="3030296B" w14:textId="77777777" w:rsidR="00CA2E41" w:rsidRDefault="00CA2E41" w:rsidP="00F76B43">
      <w:pPr>
        <w:pStyle w:val="BTEMEASMCA"/>
      </w:pPr>
    </w:p>
    <w:p w14:paraId="42B1BA13" w14:textId="77777777" w:rsidR="00CA2E41" w:rsidRDefault="00CA2E41" w:rsidP="00F76B43">
      <w:pPr>
        <w:pStyle w:val="BTEMEASMCA"/>
      </w:pPr>
    </w:p>
    <w:p w14:paraId="373C3A54" w14:textId="77777777" w:rsidR="00CA2E41" w:rsidRDefault="00CA2E41" w:rsidP="00F76B43">
      <w:pPr>
        <w:pStyle w:val="BTEMEASMCA"/>
      </w:pPr>
    </w:p>
    <w:p w14:paraId="1C9670AD" w14:textId="77777777" w:rsidR="00CA2E41" w:rsidRDefault="00CA2E41" w:rsidP="00F76B43">
      <w:pPr>
        <w:pStyle w:val="BTEMEASMCA"/>
      </w:pPr>
    </w:p>
    <w:p w14:paraId="526D4D40" w14:textId="77777777" w:rsidR="00CA2E41" w:rsidRDefault="00CA2E41" w:rsidP="00F76B43">
      <w:pPr>
        <w:pStyle w:val="BTEMEASMCA"/>
      </w:pPr>
    </w:p>
    <w:p w14:paraId="46397720" w14:textId="77777777" w:rsidR="00CA2E41" w:rsidRDefault="00CA2E41" w:rsidP="00F76B43">
      <w:pPr>
        <w:pStyle w:val="BTEMEASMCA"/>
      </w:pPr>
    </w:p>
    <w:p w14:paraId="259BEF87" w14:textId="77777777" w:rsidR="00CA2E41" w:rsidRDefault="00CA2E41" w:rsidP="00F76B43">
      <w:pPr>
        <w:pStyle w:val="BTEMEASMCA"/>
      </w:pPr>
    </w:p>
    <w:p w14:paraId="6A40CCE8" w14:textId="77777777" w:rsidR="00CA2E41" w:rsidRDefault="00CA2E41" w:rsidP="00F76B43">
      <w:pPr>
        <w:pStyle w:val="BTEMEASMCA"/>
      </w:pPr>
    </w:p>
    <w:p w14:paraId="5301C954" w14:textId="77777777" w:rsidR="00CA2E41" w:rsidRDefault="00CA2E41" w:rsidP="00F76B43">
      <w:pPr>
        <w:pStyle w:val="BTEMEASMCA"/>
      </w:pPr>
    </w:p>
    <w:p w14:paraId="06958EAF" w14:textId="77777777" w:rsidR="00CA2E41" w:rsidRDefault="00CA2E41" w:rsidP="00F76B43">
      <w:pPr>
        <w:pStyle w:val="BTEMEASMCA"/>
      </w:pPr>
    </w:p>
    <w:p w14:paraId="328F8A05" w14:textId="77777777" w:rsidR="00CA2E41" w:rsidRDefault="00CA2E41" w:rsidP="00F76B43">
      <w:pPr>
        <w:pStyle w:val="BTEMEASMCA"/>
      </w:pPr>
    </w:p>
    <w:p w14:paraId="47AEAF5E" w14:textId="77777777" w:rsidR="00CA2E41" w:rsidRDefault="00CA2E41" w:rsidP="00F76B43">
      <w:pPr>
        <w:pStyle w:val="BTEMEASMCA"/>
      </w:pPr>
    </w:p>
    <w:p w14:paraId="138A82EA" w14:textId="77777777" w:rsidR="00CA2E41" w:rsidRDefault="00CA2E41" w:rsidP="00F76B43">
      <w:pPr>
        <w:pStyle w:val="BTEMEASMCA"/>
      </w:pPr>
    </w:p>
    <w:p w14:paraId="43CD15B6" w14:textId="77777777" w:rsidR="00CA2E41" w:rsidRDefault="00CA2E41" w:rsidP="00F76B43">
      <w:pPr>
        <w:pStyle w:val="BTEMEASMCA"/>
      </w:pPr>
    </w:p>
    <w:p w14:paraId="2DC6C4A1" w14:textId="77777777" w:rsidR="00CA2E41" w:rsidRDefault="00CA2E41" w:rsidP="00F76B43">
      <w:pPr>
        <w:pStyle w:val="BTEMEASMCA"/>
      </w:pPr>
    </w:p>
    <w:p w14:paraId="3D722257" w14:textId="77777777" w:rsidR="00CA2E41" w:rsidRDefault="00CA2E41" w:rsidP="00F76B43">
      <w:pPr>
        <w:pStyle w:val="BTEMEASMCA"/>
      </w:pPr>
    </w:p>
    <w:p w14:paraId="5E9C32E1" w14:textId="77777777" w:rsidR="00CA2E41" w:rsidRDefault="00CA2E41" w:rsidP="00F76B43">
      <w:pPr>
        <w:pStyle w:val="BTEMEASMCA"/>
      </w:pPr>
    </w:p>
    <w:p w14:paraId="2958C253" w14:textId="77777777" w:rsidR="00CA2E41" w:rsidRDefault="00CA2E41" w:rsidP="00F76B43">
      <w:pPr>
        <w:pStyle w:val="BTEMEASMCA"/>
      </w:pPr>
    </w:p>
    <w:p w14:paraId="4D23A2CC" w14:textId="77777777" w:rsidR="00CA2E41" w:rsidRDefault="00CA2E41" w:rsidP="00F76B43">
      <w:pPr>
        <w:pStyle w:val="BTEMEASMCA"/>
      </w:pPr>
    </w:p>
    <w:p w14:paraId="6B29523C" w14:textId="0013FC5C" w:rsidR="00CA2E41" w:rsidRPr="00D622E8" w:rsidRDefault="00CA2E41" w:rsidP="00CA2E41">
      <w:pPr>
        <w:pStyle w:val="TTEMEASMCA"/>
        <w:rPr>
          <w:sz w:val="22"/>
          <w:szCs w:val="22"/>
          <w:lang w:val="lt-LT"/>
        </w:rPr>
      </w:pPr>
      <w:bookmarkStart w:id="19" w:name="_Toc129243261"/>
      <w:bookmarkStart w:id="20" w:name="_Toc129243136"/>
      <w:r w:rsidRPr="00D622E8">
        <w:rPr>
          <w:sz w:val="22"/>
          <w:szCs w:val="22"/>
          <w:lang w:val="lt-LT"/>
        </w:rPr>
        <w:t>A. ŽENKLINIMAS</w:t>
      </w:r>
      <w:bookmarkEnd w:id="19"/>
      <w:bookmarkEnd w:id="20"/>
    </w:p>
    <w:p w14:paraId="2B44B7BE" w14:textId="77777777" w:rsidR="00CA2E41" w:rsidRDefault="00CA2E41" w:rsidP="00CA2E41">
      <w:pPr>
        <w:rPr>
          <w:b/>
          <w:sz w:val="22"/>
        </w:rPr>
      </w:pPr>
      <w:r>
        <w:rPr>
          <w:sz w:val="22"/>
        </w:rPr>
        <w:br w:type="page"/>
      </w:r>
    </w:p>
    <w:p w14:paraId="0649B5E4" w14:textId="19C509CD" w:rsidR="00CA2E41" w:rsidRDefault="00CA2E41" w:rsidP="00CA2E41">
      <w:pPr>
        <w:pStyle w:val="Antrat2"/>
        <w:pBdr>
          <w:top w:val="single" w:sz="4" w:space="1" w:color="auto"/>
          <w:left w:val="single" w:sz="4" w:space="4" w:color="auto"/>
          <w:bottom w:val="single" w:sz="4" w:space="1" w:color="auto"/>
          <w:right w:val="single" w:sz="4" w:space="4" w:color="auto"/>
        </w:pBdr>
        <w:rPr>
          <w:szCs w:val="22"/>
        </w:rPr>
      </w:pPr>
      <w:r>
        <w:rPr>
          <w:szCs w:val="22"/>
        </w:rPr>
        <w:lastRenderedPageBreak/>
        <w:t xml:space="preserve">INFORMACIJA ANT IŠORINĖS PAKUOTĖS </w:t>
      </w:r>
    </w:p>
    <w:p w14:paraId="54D39257" w14:textId="77777777" w:rsidR="00CA2E41" w:rsidRDefault="00CA2E41" w:rsidP="00CA2E41">
      <w:pPr>
        <w:pStyle w:val="Pagrindinistekstas"/>
        <w:pBdr>
          <w:top w:val="single" w:sz="4" w:space="1" w:color="auto"/>
          <w:left w:val="single" w:sz="4" w:space="4" w:color="auto"/>
          <w:bottom w:val="single" w:sz="4" w:space="1" w:color="auto"/>
          <w:right w:val="single" w:sz="4" w:space="4" w:color="auto"/>
        </w:pBdr>
        <w:spacing w:after="0"/>
        <w:rPr>
          <w:szCs w:val="22"/>
        </w:rPr>
      </w:pPr>
    </w:p>
    <w:p w14:paraId="53A1FB61" w14:textId="77777777" w:rsidR="00CA2E41" w:rsidRDefault="00CA2E41" w:rsidP="00CA2E41">
      <w:pPr>
        <w:pStyle w:val="Pagrindinistekstas"/>
        <w:pBdr>
          <w:top w:val="single" w:sz="4" w:space="1" w:color="auto"/>
          <w:left w:val="single" w:sz="4" w:space="4" w:color="auto"/>
          <w:bottom w:val="single" w:sz="4" w:space="1" w:color="auto"/>
          <w:right w:val="single" w:sz="4" w:space="4" w:color="auto"/>
        </w:pBdr>
        <w:spacing w:after="0"/>
        <w:rPr>
          <w:b/>
          <w:bCs/>
          <w:szCs w:val="22"/>
        </w:rPr>
      </w:pPr>
      <w:r>
        <w:rPr>
          <w:b/>
          <w:bCs/>
          <w:szCs w:val="22"/>
        </w:rPr>
        <w:t>KARTONO DĖŽUTĖ UŽPILDYTAM ŠVIRŠTUI</w:t>
      </w:r>
    </w:p>
    <w:p w14:paraId="0835A809" w14:textId="77777777" w:rsidR="00CA2E41" w:rsidRDefault="00CA2E41" w:rsidP="00CA2E41">
      <w:pPr>
        <w:pStyle w:val="Pagrindinistekstas"/>
        <w:spacing w:after="0"/>
        <w:rPr>
          <w:szCs w:val="22"/>
        </w:rPr>
      </w:pPr>
    </w:p>
    <w:p w14:paraId="0D7C150C" w14:textId="77777777" w:rsidR="00CA2E41" w:rsidRDefault="00CA2E41" w:rsidP="00CA2E41">
      <w:pPr>
        <w:pStyle w:val="Pagrindinistekstas"/>
        <w:spacing w:after="0"/>
        <w:rPr>
          <w:szCs w:val="22"/>
        </w:rPr>
      </w:pPr>
    </w:p>
    <w:p w14:paraId="6C40348A" w14:textId="77777777" w:rsidR="00CA2E41" w:rsidRDefault="00CA2E41" w:rsidP="00CA2E41">
      <w:pPr>
        <w:pBdr>
          <w:top w:val="single" w:sz="4" w:space="1" w:color="auto"/>
          <w:left w:val="single" w:sz="4" w:space="4" w:color="auto"/>
          <w:bottom w:val="single" w:sz="4" w:space="1" w:color="auto"/>
          <w:right w:val="single" w:sz="4" w:space="4" w:color="auto"/>
        </w:pBdr>
        <w:ind w:left="540" w:hanging="540"/>
        <w:rPr>
          <w:b/>
          <w:bCs/>
          <w:sz w:val="22"/>
        </w:rPr>
      </w:pPr>
      <w:r>
        <w:rPr>
          <w:b/>
          <w:bCs/>
          <w:sz w:val="22"/>
        </w:rPr>
        <w:t>1.</w:t>
      </w:r>
      <w:r>
        <w:rPr>
          <w:b/>
          <w:bCs/>
          <w:sz w:val="22"/>
        </w:rPr>
        <w:tab/>
        <w:t>VAISTINIO PREPARATO PAVADINIMAS</w:t>
      </w:r>
    </w:p>
    <w:p w14:paraId="762C8166" w14:textId="77777777" w:rsidR="00CA2E41" w:rsidRDefault="00CA2E41" w:rsidP="00CA2E41">
      <w:pPr>
        <w:pStyle w:val="Pagrindinistekstas"/>
        <w:spacing w:after="0"/>
        <w:rPr>
          <w:szCs w:val="22"/>
        </w:rPr>
      </w:pPr>
    </w:p>
    <w:p w14:paraId="246D1C38" w14:textId="77777777" w:rsidR="00CA2E41" w:rsidRDefault="00CA2E41" w:rsidP="00CA2E41">
      <w:pPr>
        <w:rPr>
          <w:sz w:val="22"/>
        </w:rPr>
      </w:pPr>
      <w:r>
        <w:rPr>
          <w:sz w:val="22"/>
        </w:rPr>
        <w:t>BOOSTRIX POLIO injekcinė suspensija užpildytame švirkšte</w:t>
      </w:r>
    </w:p>
    <w:p w14:paraId="08E0550F" w14:textId="77777777" w:rsidR="00CA2E41" w:rsidRDefault="00CA2E41" w:rsidP="00CA2E41">
      <w:pPr>
        <w:rPr>
          <w:sz w:val="22"/>
        </w:rPr>
      </w:pPr>
      <w:proofErr w:type="spellStart"/>
      <w:r>
        <w:rPr>
          <w:sz w:val="22"/>
        </w:rPr>
        <w:t>Vaccinum</w:t>
      </w:r>
      <w:proofErr w:type="spellEnd"/>
      <w:r>
        <w:rPr>
          <w:sz w:val="22"/>
        </w:rPr>
        <w:t xml:space="preserve"> </w:t>
      </w:r>
      <w:proofErr w:type="spellStart"/>
      <w:r>
        <w:rPr>
          <w:sz w:val="22"/>
        </w:rPr>
        <w:t>diphtheriae</w:t>
      </w:r>
      <w:proofErr w:type="spellEnd"/>
      <w:r>
        <w:rPr>
          <w:sz w:val="22"/>
        </w:rPr>
        <w:t xml:space="preserve">, tetani, </w:t>
      </w:r>
      <w:proofErr w:type="spellStart"/>
      <w:r>
        <w:rPr>
          <w:sz w:val="22"/>
        </w:rPr>
        <w:t>pertussis</w:t>
      </w:r>
      <w:proofErr w:type="spellEnd"/>
      <w:r>
        <w:rPr>
          <w:sz w:val="22"/>
        </w:rPr>
        <w:t xml:space="preserve"> </w:t>
      </w:r>
      <w:proofErr w:type="spellStart"/>
      <w:r>
        <w:rPr>
          <w:sz w:val="22"/>
        </w:rPr>
        <w:t>sine</w:t>
      </w:r>
      <w:proofErr w:type="spellEnd"/>
      <w:r>
        <w:rPr>
          <w:sz w:val="22"/>
        </w:rPr>
        <w:t xml:space="preserve"> </w:t>
      </w:r>
      <w:proofErr w:type="spellStart"/>
      <w:r>
        <w:rPr>
          <w:sz w:val="22"/>
        </w:rPr>
        <w:t>cellulis</w:t>
      </w:r>
      <w:proofErr w:type="spellEnd"/>
      <w:r>
        <w:rPr>
          <w:sz w:val="22"/>
        </w:rPr>
        <w:t xml:space="preserve"> </w:t>
      </w:r>
      <w:proofErr w:type="spellStart"/>
      <w:r>
        <w:rPr>
          <w:sz w:val="22"/>
        </w:rPr>
        <w:t>ex</w:t>
      </w:r>
      <w:proofErr w:type="spellEnd"/>
      <w:r>
        <w:rPr>
          <w:sz w:val="22"/>
        </w:rPr>
        <w:t xml:space="preserve"> </w:t>
      </w:r>
      <w:proofErr w:type="spellStart"/>
      <w:r>
        <w:rPr>
          <w:sz w:val="22"/>
        </w:rPr>
        <w:t>elementis</w:t>
      </w:r>
      <w:proofErr w:type="spellEnd"/>
      <w:r>
        <w:rPr>
          <w:sz w:val="22"/>
        </w:rPr>
        <w:t xml:space="preserve"> </w:t>
      </w:r>
      <w:proofErr w:type="spellStart"/>
      <w:r>
        <w:rPr>
          <w:sz w:val="22"/>
        </w:rPr>
        <w:t>praeparatum</w:t>
      </w:r>
      <w:proofErr w:type="spellEnd"/>
      <w:r>
        <w:rPr>
          <w:sz w:val="22"/>
        </w:rPr>
        <w:t xml:space="preserve"> et </w:t>
      </w:r>
      <w:proofErr w:type="spellStart"/>
      <w:r>
        <w:rPr>
          <w:sz w:val="22"/>
        </w:rPr>
        <w:t>poliomyelitidis</w:t>
      </w:r>
      <w:proofErr w:type="spellEnd"/>
      <w:r>
        <w:rPr>
          <w:sz w:val="22"/>
        </w:rPr>
        <w:t xml:space="preserve"> </w:t>
      </w:r>
      <w:proofErr w:type="spellStart"/>
      <w:r>
        <w:rPr>
          <w:sz w:val="22"/>
        </w:rPr>
        <w:t>inactivatum</w:t>
      </w:r>
      <w:proofErr w:type="spellEnd"/>
      <w:r>
        <w:rPr>
          <w:sz w:val="22"/>
        </w:rPr>
        <w:t xml:space="preserve"> </w:t>
      </w:r>
      <w:proofErr w:type="spellStart"/>
      <w:r>
        <w:rPr>
          <w:sz w:val="22"/>
        </w:rPr>
        <w:t>adsorbatum</w:t>
      </w:r>
      <w:proofErr w:type="spellEnd"/>
    </w:p>
    <w:p w14:paraId="212BC338" w14:textId="77777777" w:rsidR="00CA2E41" w:rsidRDefault="00CA2E41" w:rsidP="00CA2E41">
      <w:pPr>
        <w:pStyle w:val="Pagrindinistekstas"/>
        <w:spacing w:after="0"/>
        <w:rPr>
          <w:szCs w:val="22"/>
        </w:rPr>
      </w:pPr>
    </w:p>
    <w:p w14:paraId="26ECF99C" w14:textId="77777777" w:rsidR="00CA2E41" w:rsidRDefault="00CA2E41" w:rsidP="00CA2E41">
      <w:pPr>
        <w:pStyle w:val="Pagrindinistekstas"/>
        <w:spacing w:after="0"/>
        <w:rPr>
          <w:szCs w:val="22"/>
        </w:rPr>
      </w:pPr>
    </w:p>
    <w:p w14:paraId="6C30AD56" w14:textId="77777777" w:rsidR="00CA2E41" w:rsidRDefault="00CA2E41" w:rsidP="00CA2E41">
      <w:pPr>
        <w:pBdr>
          <w:top w:val="single" w:sz="4" w:space="1" w:color="auto"/>
          <w:left w:val="single" w:sz="4" w:space="4" w:color="auto"/>
          <w:bottom w:val="single" w:sz="4" w:space="1" w:color="auto"/>
          <w:right w:val="single" w:sz="4" w:space="4" w:color="auto"/>
        </w:pBdr>
        <w:ind w:left="540" w:hanging="540"/>
        <w:rPr>
          <w:b/>
          <w:bCs/>
          <w:sz w:val="22"/>
        </w:rPr>
      </w:pPr>
      <w:r>
        <w:rPr>
          <w:b/>
          <w:bCs/>
          <w:sz w:val="22"/>
        </w:rPr>
        <w:t>2.</w:t>
      </w:r>
      <w:r>
        <w:rPr>
          <w:b/>
          <w:bCs/>
          <w:sz w:val="22"/>
        </w:rPr>
        <w:tab/>
        <w:t xml:space="preserve">VEIKLIOJI MEDŽIAGA IR JOS KIEKIS </w:t>
      </w:r>
    </w:p>
    <w:p w14:paraId="2276AA04" w14:textId="77777777" w:rsidR="00CA2E41" w:rsidRDefault="00CA2E41" w:rsidP="00CA2E41">
      <w:pPr>
        <w:pStyle w:val="Pagrindinistekstas"/>
        <w:spacing w:after="0"/>
        <w:rPr>
          <w:szCs w:val="22"/>
        </w:rPr>
      </w:pPr>
    </w:p>
    <w:p w14:paraId="3D6512FA" w14:textId="77777777" w:rsidR="00CA2E41" w:rsidRDefault="00CA2E41" w:rsidP="00CA2E41">
      <w:pPr>
        <w:rPr>
          <w:sz w:val="22"/>
        </w:rPr>
      </w:pPr>
      <w:r>
        <w:rPr>
          <w:sz w:val="22"/>
        </w:rPr>
        <w:t>Vienoje 0,5 ml vakcinos dozėje yra:</w:t>
      </w:r>
    </w:p>
    <w:p w14:paraId="6995CB26" w14:textId="77777777" w:rsidR="00CA2E41" w:rsidRDefault="00CA2E41" w:rsidP="00CA2E41">
      <w:pPr>
        <w:rPr>
          <w:sz w:val="22"/>
        </w:rPr>
      </w:pPr>
    </w:p>
    <w:p w14:paraId="329F51D7" w14:textId="77777777" w:rsidR="00CA2E41" w:rsidRDefault="00CA2E41" w:rsidP="00CA2E41">
      <w:pPr>
        <w:jc w:val="both"/>
        <w:rPr>
          <w:sz w:val="22"/>
        </w:rPr>
      </w:pPr>
      <w:r>
        <w:rPr>
          <w:sz w:val="22"/>
        </w:rPr>
        <w:t>Difterijos anatoksino</w:t>
      </w:r>
      <w:r>
        <w:rPr>
          <w:sz w:val="22"/>
          <w:vertAlign w:val="superscript"/>
        </w:rPr>
        <w:t>1</w:t>
      </w:r>
      <w:r>
        <w:rPr>
          <w:sz w:val="22"/>
        </w:rPr>
        <w:tab/>
      </w:r>
      <w:r>
        <w:rPr>
          <w:sz w:val="22"/>
        </w:rPr>
        <w:tab/>
      </w:r>
      <w:r>
        <w:rPr>
          <w:sz w:val="22"/>
        </w:rPr>
        <w:tab/>
        <w:t>ne mažiau kaip 2 TV (2,5 </w:t>
      </w:r>
      <w:proofErr w:type="spellStart"/>
      <w:r>
        <w:rPr>
          <w:sz w:val="22"/>
        </w:rPr>
        <w:t>Lf</w:t>
      </w:r>
      <w:proofErr w:type="spellEnd"/>
      <w:r>
        <w:rPr>
          <w:sz w:val="22"/>
        </w:rPr>
        <w:t>)</w:t>
      </w:r>
    </w:p>
    <w:p w14:paraId="25136133" w14:textId="77777777" w:rsidR="00CA2E41" w:rsidRDefault="00CA2E41" w:rsidP="00CA2E41">
      <w:pPr>
        <w:jc w:val="both"/>
        <w:rPr>
          <w:sz w:val="22"/>
        </w:rPr>
      </w:pPr>
      <w:r>
        <w:rPr>
          <w:sz w:val="22"/>
        </w:rPr>
        <w:t>Stabligės anatoksino</w:t>
      </w:r>
      <w:r>
        <w:rPr>
          <w:sz w:val="22"/>
          <w:vertAlign w:val="superscript"/>
        </w:rPr>
        <w:t>1</w:t>
      </w:r>
      <w:r>
        <w:rPr>
          <w:sz w:val="22"/>
        </w:rPr>
        <w:t xml:space="preserve"> </w:t>
      </w:r>
      <w:r>
        <w:rPr>
          <w:sz w:val="22"/>
        </w:rPr>
        <w:tab/>
      </w:r>
      <w:r>
        <w:rPr>
          <w:sz w:val="22"/>
        </w:rPr>
        <w:tab/>
      </w:r>
      <w:r>
        <w:rPr>
          <w:sz w:val="22"/>
        </w:rPr>
        <w:tab/>
        <w:t>ne mažiau kaip 20 TV (5 </w:t>
      </w:r>
      <w:proofErr w:type="spellStart"/>
      <w:r>
        <w:rPr>
          <w:sz w:val="22"/>
        </w:rPr>
        <w:t>Lf</w:t>
      </w:r>
      <w:proofErr w:type="spellEnd"/>
      <w:r>
        <w:rPr>
          <w:sz w:val="22"/>
        </w:rPr>
        <w:t>)</w:t>
      </w:r>
    </w:p>
    <w:p w14:paraId="7384AEED" w14:textId="77777777" w:rsidR="00CA2E41" w:rsidRDefault="00CA2E41" w:rsidP="00CA2E41">
      <w:pPr>
        <w:jc w:val="both"/>
        <w:rPr>
          <w:sz w:val="22"/>
        </w:rPr>
      </w:pPr>
      <w:proofErr w:type="spellStart"/>
      <w:r>
        <w:rPr>
          <w:sz w:val="22"/>
        </w:rPr>
        <w:t>Bordetella</w:t>
      </w:r>
      <w:proofErr w:type="spellEnd"/>
      <w:r>
        <w:rPr>
          <w:sz w:val="22"/>
        </w:rPr>
        <w:t xml:space="preserve"> </w:t>
      </w:r>
      <w:proofErr w:type="spellStart"/>
      <w:r>
        <w:rPr>
          <w:sz w:val="22"/>
        </w:rPr>
        <w:t>pertussis</w:t>
      </w:r>
      <w:proofErr w:type="spellEnd"/>
      <w:r>
        <w:rPr>
          <w:sz w:val="22"/>
        </w:rPr>
        <w:t xml:space="preserve"> antigenų</w:t>
      </w:r>
    </w:p>
    <w:p w14:paraId="4437AC4A" w14:textId="77777777" w:rsidR="00CA2E41" w:rsidRDefault="00CA2E41" w:rsidP="00CA2E41">
      <w:pPr>
        <w:jc w:val="both"/>
        <w:rPr>
          <w:sz w:val="22"/>
        </w:rPr>
      </w:pPr>
      <w:r>
        <w:rPr>
          <w:sz w:val="22"/>
        </w:rPr>
        <w:t xml:space="preserve">     Kokliušo anatoksino</w:t>
      </w:r>
      <w:r>
        <w:rPr>
          <w:sz w:val="22"/>
          <w:vertAlign w:val="superscript"/>
        </w:rPr>
        <w:t>1</w:t>
      </w:r>
      <w:r>
        <w:rPr>
          <w:sz w:val="22"/>
        </w:rPr>
        <w:tab/>
      </w:r>
      <w:r>
        <w:rPr>
          <w:sz w:val="22"/>
        </w:rPr>
        <w:tab/>
      </w:r>
      <w:r>
        <w:rPr>
          <w:sz w:val="22"/>
        </w:rPr>
        <w:tab/>
      </w:r>
      <w:r>
        <w:rPr>
          <w:sz w:val="22"/>
        </w:rPr>
        <w:tab/>
        <w:t xml:space="preserve">8 </w:t>
      </w:r>
      <w:proofErr w:type="spellStart"/>
      <w:r>
        <w:rPr>
          <w:sz w:val="22"/>
        </w:rPr>
        <w:t>mikrogramai</w:t>
      </w:r>
      <w:proofErr w:type="spellEnd"/>
    </w:p>
    <w:p w14:paraId="26D965D5" w14:textId="77777777" w:rsidR="00CA2E41" w:rsidRDefault="00CA2E41" w:rsidP="00CA2E41">
      <w:pPr>
        <w:jc w:val="both"/>
        <w:rPr>
          <w:sz w:val="22"/>
        </w:rPr>
      </w:pPr>
      <w:r>
        <w:rPr>
          <w:sz w:val="22"/>
        </w:rPr>
        <w:t xml:space="preserve">     </w:t>
      </w:r>
      <w:proofErr w:type="spellStart"/>
      <w:r>
        <w:rPr>
          <w:sz w:val="22"/>
        </w:rPr>
        <w:t>Filamentinio</w:t>
      </w:r>
      <w:proofErr w:type="spellEnd"/>
      <w:r>
        <w:rPr>
          <w:sz w:val="22"/>
        </w:rPr>
        <w:t xml:space="preserve"> hemagliutinino</w:t>
      </w:r>
      <w:r>
        <w:rPr>
          <w:sz w:val="22"/>
          <w:vertAlign w:val="superscript"/>
        </w:rPr>
        <w:t>1</w:t>
      </w:r>
      <w:r>
        <w:rPr>
          <w:sz w:val="22"/>
          <w:vertAlign w:val="superscript"/>
        </w:rPr>
        <w:tab/>
      </w:r>
      <w:r>
        <w:rPr>
          <w:sz w:val="22"/>
          <w:vertAlign w:val="superscript"/>
        </w:rPr>
        <w:tab/>
      </w:r>
      <w:r>
        <w:rPr>
          <w:sz w:val="22"/>
          <w:vertAlign w:val="superscript"/>
        </w:rPr>
        <w:tab/>
      </w:r>
      <w:r>
        <w:rPr>
          <w:sz w:val="22"/>
        </w:rPr>
        <w:t xml:space="preserve">8 </w:t>
      </w:r>
      <w:proofErr w:type="spellStart"/>
      <w:r>
        <w:rPr>
          <w:sz w:val="22"/>
        </w:rPr>
        <w:t>mikrogramai</w:t>
      </w:r>
      <w:proofErr w:type="spellEnd"/>
    </w:p>
    <w:p w14:paraId="7D2452C6" w14:textId="77777777" w:rsidR="00CA2E41" w:rsidRDefault="00CA2E41" w:rsidP="00CA2E41">
      <w:pPr>
        <w:jc w:val="both"/>
        <w:rPr>
          <w:sz w:val="22"/>
        </w:rPr>
      </w:pPr>
      <w:r>
        <w:rPr>
          <w:sz w:val="22"/>
        </w:rPr>
        <w:t xml:space="preserve">     Pertaktino</w:t>
      </w:r>
      <w:r>
        <w:rPr>
          <w:sz w:val="22"/>
          <w:vertAlign w:val="superscript"/>
        </w:rPr>
        <w:t>1</w:t>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rPr>
        <w:t xml:space="preserve">2,5 </w:t>
      </w:r>
      <w:proofErr w:type="spellStart"/>
      <w:r>
        <w:rPr>
          <w:sz w:val="22"/>
        </w:rPr>
        <w:t>mikrogramai</w:t>
      </w:r>
      <w:proofErr w:type="spellEnd"/>
    </w:p>
    <w:p w14:paraId="7588712F" w14:textId="77777777" w:rsidR="00CA2E41" w:rsidRDefault="00CA2E41" w:rsidP="00CA2E41">
      <w:pPr>
        <w:jc w:val="both"/>
        <w:rPr>
          <w:sz w:val="22"/>
        </w:rPr>
      </w:pPr>
      <w:proofErr w:type="spellStart"/>
      <w:r>
        <w:rPr>
          <w:sz w:val="22"/>
        </w:rPr>
        <w:t>Inaktyvuotų</w:t>
      </w:r>
      <w:proofErr w:type="spellEnd"/>
      <w:r>
        <w:rPr>
          <w:sz w:val="22"/>
        </w:rPr>
        <w:t xml:space="preserve"> </w:t>
      </w:r>
      <w:proofErr w:type="spellStart"/>
      <w:r>
        <w:rPr>
          <w:sz w:val="22"/>
        </w:rPr>
        <w:t>poliovirusų</w:t>
      </w:r>
      <w:proofErr w:type="spellEnd"/>
    </w:p>
    <w:p w14:paraId="0E6B10A3" w14:textId="77777777" w:rsidR="00CA2E41" w:rsidRDefault="00CA2E41" w:rsidP="00CA2E41">
      <w:pPr>
        <w:jc w:val="both"/>
        <w:rPr>
          <w:sz w:val="22"/>
        </w:rPr>
      </w:pPr>
      <w:r>
        <w:rPr>
          <w:sz w:val="22"/>
        </w:rPr>
        <w:t>1-ojo tipo (</w:t>
      </w:r>
      <w:proofErr w:type="spellStart"/>
      <w:r>
        <w:rPr>
          <w:i/>
          <w:sz w:val="22"/>
        </w:rPr>
        <w:t>Mahoney</w:t>
      </w:r>
      <w:proofErr w:type="spellEnd"/>
      <w:r>
        <w:rPr>
          <w:sz w:val="22"/>
        </w:rPr>
        <w:t xml:space="preserve"> padermė)</w:t>
      </w:r>
      <w:r>
        <w:rPr>
          <w:sz w:val="22"/>
          <w:vertAlign w:val="superscript"/>
        </w:rPr>
        <w:t>2</w:t>
      </w:r>
      <w:r>
        <w:rPr>
          <w:sz w:val="22"/>
        </w:rPr>
        <w:tab/>
      </w:r>
      <w:r>
        <w:rPr>
          <w:sz w:val="22"/>
        </w:rPr>
        <w:tab/>
      </w:r>
      <w:r>
        <w:rPr>
          <w:sz w:val="22"/>
        </w:rPr>
        <w:tab/>
        <w:t>40 D antigeno vienetų</w:t>
      </w:r>
    </w:p>
    <w:p w14:paraId="3C69FABB" w14:textId="77777777" w:rsidR="00CA2E41" w:rsidRDefault="00CA2E41" w:rsidP="00CA2E41">
      <w:pPr>
        <w:jc w:val="both"/>
        <w:rPr>
          <w:sz w:val="22"/>
        </w:rPr>
      </w:pPr>
      <w:r>
        <w:rPr>
          <w:sz w:val="22"/>
        </w:rPr>
        <w:t>2-ojo tipo (MEF-1 padermė)</w:t>
      </w:r>
      <w:r>
        <w:rPr>
          <w:sz w:val="22"/>
          <w:vertAlign w:val="superscript"/>
        </w:rPr>
        <w:t>2</w:t>
      </w:r>
      <w:r>
        <w:rPr>
          <w:sz w:val="22"/>
        </w:rPr>
        <w:tab/>
      </w:r>
      <w:r>
        <w:rPr>
          <w:sz w:val="22"/>
        </w:rPr>
        <w:tab/>
      </w:r>
      <w:r>
        <w:rPr>
          <w:sz w:val="22"/>
        </w:rPr>
        <w:tab/>
      </w:r>
      <w:r>
        <w:rPr>
          <w:sz w:val="22"/>
        </w:rPr>
        <w:tab/>
        <w:t>8 D antigeno vienetai</w:t>
      </w:r>
    </w:p>
    <w:p w14:paraId="48C4B6A5" w14:textId="77777777" w:rsidR="00CA2E41" w:rsidRDefault="00CA2E41" w:rsidP="00CA2E41">
      <w:pPr>
        <w:jc w:val="both"/>
        <w:rPr>
          <w:sz w:val="22"/>
        </w:rPr>
      </w:pPr>
      <w:r>
        <w:rPr>
          <w:sz w:val="22"/>
        </w:rPr>
        <w:t>3-iojo tipo (</w:t>
      </w:r>
      <w:proofErr w:type="spellStart"/>
      <w:r>
        <w:rPr>
          <w:i/>
          <w:sz w:val="22"/>
        </w:rPr>
        <w:t>Saukett</w:t>
      </w:r>
      <w:proofErr w:type="spellEnd"/>
      <w:r>
        <w:rPr>
          <w:sz w:val="22"/>
        </w:rPr>
        <w:t xml:space="preserve"> padermė)</w:t>
      </w:r>
      <w:r>
        <w:rPr>
          <w:sz w:val="22"/>
          <w:vertAlign w:val="superscript"/>
        </w:rPr>
        <w:t>2</w:t>
      </w:r>
      <w:r>
        <w:rPr>
          <w:sz w:val="22"/>
        </w:rPr>
        <w:tab/>
      </w:r>
      <w:r>
        <w:rPr>
          <w:sz w:val="22"/>
        </w:rPr>
        <w:tab/>
      </w:r>
      <w:r>
        <w:rPr>
          <w:sz w:val="22"/>
        </w:rPr>
        <w:tab/>
        <w:t>32 D antigeno vienetai</w:t>
      </w:r>
    </w:p>
    <w:p w14:paraId="3D9FA232" w14:textId="77777777" w:rsidR="00CA2E41" w:rsidRDefault="00CA2E41" w:rsidP="00CA2E41">
      <w:pPr>
        <w:jc w:val="both"/>
        <w:rPr>
          <w:sz w:val="22"/>
        </w:rPr>
      </w:pPr>
    </w:p>
    <w:p w14:paraId="301E323B" w14:textId="77777777" w:rsidR="00CA2E41" w:rsidRDefault="00CA2E41" w:rsidP="00CA2E41">
      <w:pPr>
        <w:jc w:val="both"/>
        <w:rPr>
          <w:sz w:val="22"/>
        </w:rPr>
      </w:pPr>
      <w:r>
        <w:rPr>
          <w:sz w:val="22"/>
          <w:vertAlign w:val="superscript"/>
        </w:rPr>
        <w:t>1</w:t>
      </w:r>
      <w:r>
        <w:rPr>
          <w:sz w:val="22"/>
        </w:rPr>
        <w:t>adsorbuotas hidratuotu aliuminio hidroksidu</w:t>
      </w:r>
      <w:r>
        <w:rPr>
          <w:i/>
          <w:sz w:val="22"/>
        </w:rPr>
        <w:t xml:space="preserve"> (Al (OH)</w:t>
      </w:r>
      <w:r>
        <w:rPr>
          <w:i/>
          <w:sz w:val="22"/>
          <w:vertAlign w:val="subscript"/>
        </w:rPr>
        <w:t>3</w:t>
      </w:r>
      <w:r>
        <w:rPr>
          <w:i/>
          <w:sz w:val="22"/>
        </w:rPr>
        <w:t>)</w:t>
      </w:r>
      <w:r>
        <w:rPr>
          <w:sz w:val="22"/>
        </w:rPr>
        <w:t xml:space="preserve"> </w:t>
      </w:r>
      <w:r>
        <w:rPr>
          <w:sz w:val="22"/>
        </w:rPr>
        <w:tab/>
      </w:r>
      <w:r>
        <w:rPr>
          <w:sz w:val="22"/>
        </w:rPr>
        <w:tab/>
        <w:t>0,3 miligramo Al</w:t>
      </w:r>
      <w:r>
        <w:rPr>
          <w:sz w:val="22"/>
          <w:vertAlign w:val="superscript"/>
        </w:rPr>
        <w:t>3+</w:t>
      </w:r>
    </w:p>
    <w:p w14:paraId="1179C1A6" w14:textId="77777777" w:rsidR="00CA2E41" w:rsidRDefault="00CA2E41" w:rsidP="00CA2E41">
      <w:pPr>
        <w:jc w:val="both"/>
        <w:rPr>
          <w:sz w:val="22"/>
        </w:rPr>
      </w:pPr>
      <w:r>
        <w:rPr>
          <w:sz w:val="22"/>
        </w:rPr>
        <w:t xml:space="preserve">ir aliuminio fosfatu </w:t>
      </w:r>
      <w:r>
        <w:rPr>
          <w:i/>
          <w:sz w:val="22"/>
        </w:rPr>
        <w:t>(AlPO</w:t>
      </w:r>
      <w:r>
        <w:rPr>
          <w:i/>
          <w:sz w:val="22"/>
          <w:vertAlign w:val="subscript"/>
        </w:rPr>
        <w:t>4</w:t>
      </w:r>
      <w:r>
        <w:rPr>
          <w:i/>
          <w:sz w:val="22"/>
        </w:rPr>
        <w:t>)</w:t>
      </w:r>
      <w:r>
        <w:rPr>
          <w:sz w:val="22"/>
        </w:rPr>
        <w:tab/>
      </w:r>
      <w:r>
        <w:rPr>
          <w:sz w:val="22"/>
        </w:rPr>
        <w:tab/>
      </w:r>
      <w:r>
        <w:rPr>
          <w:sz w:val="22"/>
        </w:rPr>
        <w:tab/>
      </w:r>
      <w:r>
        <w:rPr>
          <w:sz w:val="22"/>
        </w:rPr>
        <w:tab/>
        <w:t>0,2 miligramo Al</w:t>
      </w:r>
      <w:r>
        <w:rPr>
          <w:sz w:val="22"/>
          <w:vertAlign w:val="superscript"/>
        </w:rPr>
        <w:t>3+</w:t>
      </w:r>
    </w:p>
    <w:p w14:paraId="0706CA56" w14:textId="77777777" w:rsidR="00CA2E41" w:rsidRDefault="00CA2E41" w:rsidP="00CA2E41">
      <w:pPr>
        <w:jc w:val="both"/>
        <w:rPr>
          <w:sz w:val="22"/>
        </w:rPr>
      </w:pPr>
      <w:r>
        <w:rPr>
          <w:sz w:val="22"/>
          <w:vertAlign w:val="superscript"/>
        </w:rPr>
        <w:t>2</w:t>
      </w:r>
      <w:r>
        <w:rPr>
          <w:sz w:val="22"/>
        </w:rPr>
        <w:t xml:space="preserve"> </w:t>
      </w:r>
      <w:proofErr w:type="spellStart"/>
      <w:r>
        <w:rPr>
          <w:sz w:val="22"/>
        </w:rPr>
        <w:t>kultyvuotų</w:t>
      </w:r>
      <w:proofErr w:type="spellEnd"/>
      <w:r>
        <w:rPr>
          <w:sz w:val="22"/>
        </w:rPr>
        <w:t xml:space="preserve"> VERO ląstelėse</w:t>
      </w:r>
    </w:p>
    <w:p w14:paraId="2A8CEE3B" w14:textId="77777777" w:rsidR="00CA2E41" w:rsidRDefault="00CA2E41" w:rsidP="00CA2E41">
      <w:pPr>
        <w:pStyle w:val="Pagrindinistekstas"/>
        <w:spacing w:after="0"/>
        <w:rPr>
          <w:szCs w:val="22"/>
        </w:rPr>
      </w:pPr>
    </w:p>
    <w:p w14:paraId="7B9C0E9E" w14:textId="77777777" w:rsidR="00CA2E41" w:rsidRDefault="00CA2E41" w:rsidP="00CA2E41">
      <w:pPr>
        <w:pStyle w:val="Pagrindinistekstas"/>
        <w:spacing w:after="0"/>
        <w:rPr>
          <w:szCs w:val="22"/>
        </w:rPr>
      </w:pPr>
    </w:p>
    <w:p w14:paraId="2CE9C4A7" w14:textId="77777777" w:rsidR="00CA2E41" w:rsidRDefault="00CA2E41" w:rsidP="00CA2E41">
      <w:pPr>
        <w:pBdr>
          <w:top w:val="single" w:sz="4" w:space="1" w:color="auto"/>
          <w:left w:val="single" w:sz="4" w:space="4" w:color="auto"/>
          <w:bottom w:val="single" w:sz="4" w:space="1" w:color="auto"/>
          <w:right w:val="single" w:sz="4" w:space="4" w:color="auto"/>
        </w:pBdr>
        <w:ind w:left="540" w:hanging="540"/>
        <w:rPr>
          <w:b/>
          <w:bCs/>
          <w:sz w:val="22"/>
        </w:rPr>
      </w:pPr>
      <w:r>
        <w:rPr>
          <w:b/>
          <w:bCs/>
          <w:sz w:val="22"/>
        </w:rPr>
        <w:t>3.</w:t>
      </w:r>
      <w:r>
        <w:rPr>
          <w:b/>
          <w:bCs/>
          <w:sz w:val="22"/>
        </w:rPr>
        <w:tab/>
        <w:t>PAGALBINIŲ MEDŽIAGŲ SĄRAŠAS</w:t>
      </w:r>
    </w:p>
    <w:p w14:paraId="1F29FAE2" w14:textId="77777777" w:rsidR="00CA2E41" w:rsidRDefault="00CA2E41" w:rsidP="00CA2E41">
      <w:pPr>
        <w:pStyle w:val="Pagrindinistekstas"/>
        <w:spacing w:after="0"/>
        <w:rPr>
          <w:szCs w:val="22"/>
        </w:rPr>
      </w:pPr>
    </w:p>
    <w:p w14:paraId="288A7D21" w14:textId="77777777" w:rsidR="00CA2E41" w:rsidRDefault="00CA2E41" w:rsidP="00CA2E41">
      <w:pPr>
        <w:rPr>
          <w:sz w:val="22"/>
        </w:rPr>
      </w:pPr>
      <w:r>
        <w:rPr>
          <w:sz w:val="22"/>
        </w:rPr>
        <w:t>Terpė 199 (sudėtyje yra aminorūgščių, mineralinių druskų, vitaminų ir kitų stabilizuojančių medžiagų), natrio chloridas, injekcinis vanduo</w:t>
      </w:r>
    </w:p>
    <w:p w14:paraId="63EF2A56" w14:textId="77777777" w:rsidR="00CA2E41" w:rsidRDefault="00CA2E41" w:rsidP="00CA2E41">
      <w:pPr>
        <w:pStyle w:val="Pagrindinistekstas"/>
        <w:spacing w:after="0"/>
        <w:rPr>
          <w:szCs w:val="22"/>
        </w:rPr>
      </w:pPr>
    </w:p>
    <w:p w14:paraId="69380CCA" w14:textId="77777777" w:rsidR="00CA2E41" w:rsidRDefault="00CA2E41" w:rsidP="00CA2E41">
      <w:pPr>
        <w:pStyle w:val="Pagrindinistekstas"/>
        <w:spacing w:after="0"/>
        <w:rPr>
          <w:szCs w:val="22"/>
        </w:rPr>
      </w:pPr>
    </w:p>
    <w:p w14:paraId="264FA2A3" w14:textId="77777777" w:rsidR="00CA2E41" w:rsidRDefault="00CA2E41" w:rsidP="00CA2E41">
      <w:pPr>
        <w:pBdr>
          <w:top w:val="single" w:sz="4" w:space="1" w:color="auto"/>
          <w:left w:val="single" w:sz="4" w:space="4" w:color="auto"/>
          <w:bottom w:val="single" w:sz="4" w:space="1" w:color="auto"/>
          <w:right w:val="single" w:sz="4" w:space="4" w:color="auto"/>
        </w:pBdr>
        <w:ind w:left="540" w:hanging="540"/>
        <w:rPr>
          <w:b/>
          <w:bCs/>
          <w:sz w:val="22"/>
        </w:rPr>
      </w:pPr>
      <w:r>
        <w:rPr>
          <w:b/>
          <w:bCs/>
          <w:sz w:val="22"/>
        </w:rPr>
        <w:t>4.</w:t>
      </w:r>
      <w:r>
        <w:rPr>
          <w:b/>
          <w:bCs/>
          <w:sz w:val="22"/>
        </w:rPr>
        <w:tab/>
        <w:t>FARMACINĖ FORMA IR KIEKIS PAKUOTĖJE</w:t>
      </w:r>
    </w:p>
    <w:p w14:paraId="581F075A" w14:textId="77777777" w:rsidR="00CA2E41" w:rsidRDefault="00CA2E41" w:rsidP="00CA2E41">
      <w:pPr>
        <w:rPr>
          <w:sz w:val="22"/>
        </w:rPr>
      </w:pPr>
    </w:p>
    <w:p w14:paraId="3969F41E" w14:textId="77777777" w:rsidR="00CA2E41" w:rsidRDefault="00CA2E41" w:rsidP="00CA2E41">
      <w:pPr>
        <w:rPr>
          <w:sz w:val="22"/>
        </w:rPr>
      </w:pPr>
      <w:r>
        <w:rPr>
          <w:sz w:val="22"/>
        </w:rPr>
        <w:t xml:space="preserve">Injekcinė suspensija </w:t>
      </w:r>
    </w:p>
    <w:p w14:paraId="30C6F65F" w14:textId="77777777" w:rsidR="00CA2E41" w:rsidRDefault="00CA2E41" w:rsidP="00CA2E41">
      <w:pPr>
        <w:rPr>
          <w:sz w:val="22"/>
        </w:rPr>
      </w:pPr>
      <w:r>
        <w:rPr>
          <w:sz w:val="22"/>
        </w:rPr>
        <w:t>1 užpildytas švirkštas</w:t>
      </w:r>
    </w:p>
    <w:p w14:paraId="5BE65B53" w14:textId="77777777" w:rsidR="00CA2E41" w:rsidRDefault="00CA2E41" w:rsidP="00CA2E41">
      <w:pPr>
        <w:rPr>
          <w:sz w:val="22"/>
        </w:rPr>
      </w:pPr>
      <w:r>
        <w:rPr>
          <w:sz w:val="22"/>
        </w:rPr>
        <w:t>1 dozė (0,5 ml)</w:t>
      </w:r>
    </w:p>
    <w:p w14:paraId="2F4A5D90" w14:textId="77777777" w:rsidR="00CA2E41" w:rsidRDefault="00CA2E41" w:rsidP="00CA2E41">
      <w:pPr>
        <w:rPr>
          <w:sz w:val="22"/>
        </w:rPr>
      </w:pPr>
    </w:p>
    <w:p w14:paraId="52F4320E" w14:textId="77777777" w:rsidR="00CA2E41" w:rsidRPr="00402C81" w:rsidRDefault="00CA2E41" w:rsidP="00CA2E41">
      <w:pPr>
        <w:rPr>
          <w:sz w:val="22"/>
          <w:highlight w:val="lightGray"/>
        </w:rPr>
      </w:pPr>
      <w:r w:rsidRPr="00402C81">
        <w:rPr>
          <w:sz w:val="22"/>
          <w:highlight w:val="lightGray"/>
        </w:rPr>
        <w:t>1 užpildytas švirkštas su 1 adata</w:t>
      </w:r>
    </w:p>
    <w:p w14:paraId="7D312DA1" w14:textId="77777777" w:rsidR="00CA2E41" w:rsidRPr="00402C81" w:rsidRDefault="00CA2E41" w:rsidP="00CA2E41">
      <w:pPr>
        <w:rPr>
          <w:sz w:val="22"/>
          <w:highlight w:val="lightGray"/>
        </w:rPr>
      </w:pPr>
      <w:r w:rsidRPr="00402C81">
        <w:rPr>
          <w:sz w:val="22"/>
          <w:highlight w:val="lightGray"/>
        </w:rPr>
        <w:t>1 dozė (0,5 ml)</w:t>
      </w:r>
    </w:p>
    <w:p w14:paraId="62B084EE" w14:textId="77777777" w:rsidR="00CA2E41" w:rsidRPr="00402C81" w:rsidRDefault="00CA2E41" w:rsidP="00CA2E41">
      <w:pPr>
        <w:rPr>
          <w:sz w:val="22"/>
          <w:highlight w:val="lightGray"/>
        </w:rPr>
      </w:pPr>
    </w:p>
    <w:p w14:paraId="28E879A7" w14:textId="77777777" w:rsidR="00CA2E41" w:rsidRPr="00402C81" w:rsidRDefault="00CA2E41" w:rsidP="00CA2E41">
      <w:pPr>
        <w:rPr>
          <w:sz w:val="22"/>
          <w:highlight w:val="lightGray"/>
        </w:rPr>
      </w:pPr>
      <w:r w:rsidRPr="00402C81">
        <w:rPr>
          <w:sz w:val="22"/>
          <w:highlight w:val="lightGray"/>
        </w:rPr>
        <w:t>10 užpildytų švirkštų</w:t>
      </w:r>
    </w:p>
    <w:p w14:paraId="798FB150" w14:textId="77777777" w:rsidR="00CA2E41" w:rsidRPr="00402C81" w:rsidRDefault="00CA2E41" w:rsidP="00CA2E41">
      <w:pPr>
        <w:rPr>
          <w:sz w:val="22"/>
          <w:highlight w:val="lightGray"/>
        </w:rPr>
      </w:pPr>
      <w:r w:rsidRPr="00402C81">
        <w:rPr>
          <w:sz w:val="22"/>
          <w:highlight w:val="lightGray"/>
        </w:rPr>
        <w:t>10 x 1 dozė (0,5 ml)</w:t>
      </w:r>
    </w:p>
    <w:p w14:paraId="18924C5E" w14:textId="77777777" w:rsidR="00CA2E41" w:rsidRPr="00402C81" w:rsidRDefault="00CA2E41" w:rsidP="00CA2E41">
      <w:pPr>
        <w:rPr>
          <w:sz w:val="22"/>
          <w:highlight w:val="lightGray"/>
        </w:rPr>
      </w:pPr>
    </w:p>
    <w:p w14:paraId="3F8860D4" w14:textId="77777777" w:rsidR="00CA2E41" w:rsidRPr="00402C81" w:rsidRDefault="00CA2E41" w:rsidP="00CA2E41">
      <w:pPr>
        <w:rPr>
          <w:sz w:val="22"/>
          <w:highlight w:val="lightGray"/>
        </w:rPr>
      </w:pPr>
      <w:r w:rsidRPr="00402C81">
        <w:rPr>
          <w:sz w:val="22"/>
          <w:highlight w:val="lightGray"/>
        </w:rPr>
        <w:t>10 užpildytų švirkštų su 10 adatų</w:t>
      </w:r>
    </w:p>
    <w:p w14:paraId="6DF78512" w14:textId="77777777" w:rsidR="00CA2E41" w:rsidRDefault="00CA2E41" w:rsidP="00CA2E41">
      <w:pPr>
        <w:rPr>
          <w:sz w:val="22"/>
        </w:rPr>
      </w:pPr>
      <w:r w:rsidRPr="00402C81">
        <w:rPr>
          <w:sz w:val="22"/>
          <w:highlight w:val="lightGray"/>
        </w:rPr>
        <w:t>10 x 1 dozė (0,5 ml)</w:t>
      </w:r>
    </w:p>
    <w:p w14:paraId="4BB8FE7F" w14:textId="77777777" w:rsidR="00CA2E41" w:rsidRDefault="00CA2E41" w:rsidP="00CA2E41">
      <w:pPr>
        <w:rPr>
          <w:sz w:val="22"/>
        </w:rPr>
      </w:pPr>
    </w:p>
    <w:p w14:paraId="13082AD3" w14:textId="77777777" w:rsidR="00CA2E41" w:rsidRDefault="00CA2E41" w:rsidP="00CA2E41">
      <w:pPr>
        <w:pStyle w:val="Pagrindinistekstas"/>
        <w:spacing w:after="0"/>
        <w:rPr>
          <w:szCs w:val="22"/>
        </w:rPr>
      </w:pPr>
    </w:p>
    <w:p w14:paraId="3B5FAE94" w14:textId="77777777" w:rsidR="00CA2E41" w:rsidRDefault="00CA2E41" w:rsidP="00CA2E41">
      <w:pPr>
        <w:keepNext/>
        <w:pBdr>
          <w:top w:val="single" w:sz="4" w:space="1" w:color="auto"/>
          <w:left w:val="single" w:sz="4" w:space="4" w:color="auto"/>
          <w:bottom w:val="single" w:sz="4" w:space="1" w:color="auto"/>
          <w:right w:val="single" w:sz="4" w:space="4" w:color="auto"/>
        </w:pBdr>
        <w:ind w:left="540" w:hanging="540"/>
        <w:rPr>
          <w:b/>
          <w:bCs/>
          <w:sz w:val="22"/>
        </w:rPr>
      </w:pPr>
      <w:r>
        <w:rPr>
          <w:b/>
          <w:bCs/>
          <w:sz w:val="22"/>
        </w:rPr>
        <w:lastRenderedPageBreak/>
        <w:t>5.</w:t>
      </w:r>
      <w:r>
        <w:rPr>
          <w:b/>
          <w:bCs/>
          <w:sz w:val="22"/>
        </w:rPr>
        <w:tab/>
        <w:t>VARTOJIMO METODAS IR BŪDAS (-AI)</w:t>
      </w:r>
    </w:p>
    <w:p w14:paraId="60B93A02" w14:textId="77777777" w:rsidR="00CA2E41" w:rsidRDefault="00CA2E41" w:rsidP="00CA2E41">
      <w:pPr>
        <w:pStyle w:val="Pagrindinistekstas"/>
        <w:keepNext/>
        <w:spacing w:after="0"/>
        <w:rPr>
          <w:szCs w:val="22"/>
        </w:rPr>
      </w:pPr>
    </w:p>
    <w:p w14:paraId="3CF33B30" w14:textId="77777777" w:rsidR="00CA2E41" w:rsidRDefault="00CA2E41" w:rsidP="00CA2E41">
      <w:pPr>
        <w:rPr>
          <w:sz w:val="22"/>
        </w:rPr>
      </w:pPr>
      <w:r>
        <w:rPr>
          <w:sz w:val="22"/>
        </w:rPr>
        <w:t>Prieš vartojimą perskaitykite pakuotės lapelį.</w:t>
      </w:r>
    </w:p>
    <w:p w14:paraId="5A327FD2" w14:textId="77777777" w:rsidR="00CA2E41" w:rsidRDefault="00CA2E41" w:rsidP="00CA2E41">
      <w:pPr>
        <w:rPr>
          <w:sz w:val="22"/>
        </w:rPr>
      </w:pPr>
      <w:r>
        <w:rPr>
          <w:sz w:val="22"/>
        </w:rPr>
        <w:t>Leisti į raumenis.</w:t>
      </w:r>
    </w:p>
    <w:p w14:paraId="5E5E7DE5" w14:textId="77777777" w:rsidR="00CA2E41" w:rsidRDefault="00CA2E41" w:rsidP="00CA2E41">
      <w:pPr>
        <w:rPr>
          <w:sz w:val="22"/>
        </w:rPr>
      </w:pPr>
      <w:r>
        <w:rPr>
          <w:sz w:val="22"/>
        </w:rPr>
        <w:t>Prieš vartojimą gerai sukratykite.</w:t>
      </w:r>
    </w:p>
    <w:p w14:paraId="6A109587" w14:textId="77777777" w:rsidR="00CA2E41" w:rsidRDefault="00CA2E41" w:rsidP="00CA2E41">
      <w:pPr>
        <w:pStyle w:val="Pagrindinistekstas"/>
        <w:spacing w:after="0"/>
        <w:rPr>
          <w:szCs w:val="22"/>
        </w:rPr>
      </w:pPr>
    </w:p>
    <w:p w14:paraId="194545FF" w14:textId="77777777" w:rsidR="00CA2E41" w:rsidRDefault="00CA2E41" w:rsidP="00CA2E41">
      <w:pPr>
        <w:pStyle w:val="Pagrindinistekstas"/>
        <w:spacing w:after="0"/>
        <w:rPr>
          <w:szCs w:val="22"/>
        </w:rPr>
      </w:pPr>
    </w:p>
    <w:p w14:paraId="119AF4F9" w14:textId="77777777" w:rsidR="00CA2E41" w:rsidRDefault="00CA2E41" w:rsidP="00CA2E41">
      <w:pPr>
        <w:pBdr>
          <w:top w:val="single" w:sz="4" w:space="1" w:color="auto"/>
          <w:left w:val="single" w:sz="4" w:space="4" w:color="auto"/>
          <w:bottom w:val="single" w:sz="4" w:space="1" w:color="auto"/>
          <w:right w:val="single" w:sz="4" w:space="4" w:color="auto"/>
        </w:pBdr>
        <w:ind w:left="540" w:hanging="540"/>
        <w:rPr>
          <w:b/>
          <w:bCs/>
          <w:sz w:val="22"/>
        </w:rPr>
      </w:pPr>
      <w:r>
        <w:rPr>
          <w:b/>
          <w:bCs/>
          <w:sz w:val="22"/>
        </w:rPr>
        <w:t>6.</w:t>
      </w:r>
      <w:r>
        <w:rPr>
          <w:b/>
          <w:bCs/>
          <w:sz w:val="22"/>
        </w:rPr>
        <w:tab/>
        <w:t xml:space="preserve">SPECIALUS ĮSPĖJIMAS, KAD VAISTINĮ PREPARATĄ BŪTINA LAIKYTI VAIKAMS </w:t>
      </w:r>
      <w:r>
        <w:rPr>
          <w:b/>
          <w:sz w:val="22"/>
        </w:rPr>
        <w:t xml:space="preserve">NEPASTEBIMOJE IR NEPASIEKIAMOJE </w:t>
      </w:r>
      <w:r>
        <w:rPr>
          <w:b/>
          <w:bCs/>
          <w:sz w:val="22"/>
        </w:rPr>
        <w:t>VIETOJE</w:t>
      </w:r>
    </w:p>
    <w:p w14:paraId="00B4A3D1" w14:textId="77777777" w:rsidR="00CA2E41" w:rsidRDefault="00CA2E41" w:rsidP="00CA2E41">
      <w:pPr>
        <w:pStyle w:val="Pagrindinistekstas"/>
        <w:spacing w:after="0"/>
        <w:rPr>
          <w:szCs w:val="22"/>
        </w:rPr>
      </w:pPr>
    </w:p>
    <w:p w14:paraId="2CFD349C" w14:textId="77777777" w:rsidR="00CA2E41" w:rsidRDefault="00CA2E41" w:rsidP="00CA2E41">
      <w:pPr>
        <w:pStyle w:val="Pagrindinistekstas"/>
        <w:spacing w:after="0"/>
        <w:rPr>
          <w:szCs w:val="22"/>
        </w:rPr>
      </w:pPr>
      <w:r>
        <w:rPr>
          <w:szCs w:val="22"/>
        </w:rPr>
        <w:t>Laikyti vaikams nepastebimoje ir nepasiekiamoje vietoje.</w:t>
      </w:r>
    </w:p>
    <w:p w14:paraId="08D81A8B" w14:textId="77777777" w:rsidR="00CA2E41" w:rsidRDefault="00CA2E41" w:rsidP="00CA2E41">
      <w:pPr>
        <w:pStyle w:val="Pagrindinistekstas"/>
        <w:spacing w:after="0"/>
        <w:rPr>
          <w:szCs w:val="22"/>
        </w:rPr>
      </w:pPr>
    </w:p>
    <w:p w14:paraId="657F0B9E" w14:textId="77777777" w:rsidR="00CA2E41" w:rsidRDefault="00CA2E41" w:rsidP="00CA2E41">
      <w:pPr>
        <w:pStyle w:val="Pagrindinistekstas"/>
        <w:spacing w:after="0"/>
        <w:rPr>
          <w:szCs w:val="22"/>
        </w:rPr>
      </w:pPr>
    </w:p>
    <w:p w14:paraId="55ED88AC" w14:textId="77777777" w:rsidR="00CA2E41" w:rsidRDefault="00CA2E41" w:rsidP="00CA2E41">
      <w:pPr>
        <w:pBdr>
          <w:top w:val="single" w:sz="4" w:space="1" w:color="auto"/>
          <w:left w:val="single" w:sz="4" w:space="4" w:color="auto"/>
          <w:bottom w:val="single" w:sz="4" w:space="1" w:color="auto"/>
          <w:right w:val="single" w:sz="4" w:space="4" w:color="auto"/>
        </w:pBdr>
        <w:ind w:left="540" w:hanging="540"/>
        <w:rPr>
          <w:b/>
          <w:bCs/>
          <w:sz w:val="22"/>
        </w:rPr>
      </w:pPr>
      <w:r>
        <w:rPr>
          <w:b/>
          <w:bCs/>
          <w:sz w:val="22"/>
        </w:rPr>
        <w:t>7.</w:t>
      </w:r>
      <w:r>
        <w:rPr>
          <w:b/>
          <w:bCs/>
          <w:sz w:val="22"/>
        </w:rPr>
        <w:tab/>
        <w:t>KITAS (-I) SPECIALUS (-ŪS) ĮSPĖJIMAS (-AI) (JEI REIKIA)</w:t>
      </w:r>
    </w:p>
    <w:p w14:paraId="14A10F98" w14:textId="77777777" w:rsidR="00CA2E41" w:rsidRDefault="00CA2E41" w:rsidP="00CA2E41">
      <w:pPr>
        <w:pStyle w:val="Pagrindinistekstas"/>
        <w:spacing w:after="0"/>
        <w:rPr>
          <w:szCs w:val="22"/>
        </w:rPr>
      </w:pPr>
    </w:p>
    <w:p w14:paraId="01DFFD49" w14:textId="77777777" w:rsidR="00CA2E41" w:rsidRDefault="00CA2E41" w:rsidP="00CA2E41">
      <w:pPr>
        <w:pStyle w:val="Pagrindinistekstas"/>
        <w:spacing w:after="0"/>
        <w:rPr>
          <w:szCs w:val="22"/>
        </w:rPr>
      </w:pPr>
    </w:p>
    <w:p w14:paraId="09047C71" w14:textId="77777777" w:rsidR="00CA2E41" w:rsidRDefault="00CA2E41" w:rsidP="00CA2E41">
      <w:pPr>
        <w:pBdr>
          <w:top w:val="single" w:sz="4" w:space="1" w:color="auto"/>
          <w:left w:val="single" w:sz="4" w:space="4" w:color="auto"/>
          <w:bottom w:val="single" w:sz="4" w:space="1" w:color="auto"/>
          <w:right w:val="single" w:sz="4" w:space="4" w:color="auto"/>
        </w:pBdr>
        <w:ind w:left="540" w:hanging="540"/>
        <w:rPr>
          <w:b/>
          <w:bCs/>
          <w:sz w:val="22"/>
        </w:rPr>
      </w:pPr>
      <w:r>
        <w:rPr>
          <w:b/>
          <w:bCs/>
          <w:sz w:val="22"/>
        </w:rPr>
        <w:t>8.</w:t>
      </w:r>
      <w:r>
        <w:rPr>
          <w:b/>
          <w:bCs/>
          <w:sz w:val="22"/>
        </w:rPr>
        <w:tab/>
        <w:t>TINKAMUMO LAIKAS</w:t>
      </w:r>
    </w:p>
    <w:p w14:paraId="0C26A0E5" w14:textId="77777777" w:rsidR="00CA2E41" w:rsidRDefault="00CA2E41" w:rsidP="00CA2E41">
      <w:pPr>
        <w:pStyle w:val="Pagrindinistekstas"/>
        <w:spacing w:after="0"/>
        <w:rPr>
          <w:szCs w:val="22"/>
        </w:rPr>
      </w:pPr>
    </w:p>
    <w:p w14:paraId="40F7313F" w14:textId="77777777" w:rsidR="00CA2E41" w:rsidRDefault="00CA2E41" w:rsidP="00CA2E41">
      <w:pPr>
        <w:pStyle w:val="Pagrindinistekstas"/>
        <w:spacing w:after="0"/>
        <w:rPr>
          <w:szCs w:val="22"/>
        </w:rPr>
      </w:pPr>
      <w:r>
        <w:rPr>
          <w:szCs w:val="22"/>
        </w:rPr>
        <w:t>Tinka iki {mm/MMMM}</w:t>
      </w:r>
    </w:p>
    <w:p w14:paraId="66291415" w14:textId="77777777" w:rsidR="00CA2E41" w:rsidRDefault="00CA2E41" w:rsidP="00CA2E41">
      <w:pPr>
        <w:pStyle w:val="Pagrindinistekstas"/>
        <w:spacing w:after="0"/>
        <w:rPr>
          <w:szCs w:val="22"/>
        </w:rPr>
      </w:pPr>
      <w:r>
        <w:rPr>
          <w:szCs w:val="22"/>
          <w:highlight w:val="lightGray"/>
        </w:rPr>
        <w:t>EXP {mm/MMMM}</w:t>
      </w:r>
    </w:p>
    <w:p w14:paraId="50F4468A" w14:textId="77777777" w:rsidR="00CA2E41" w:rsidRDefault="00CA2E41" w:rsidP="00CA2E41">
      <w:pPr>
        <w:pStyle w:val="Pagrindinistekstas"/>
        <w:spacing w:after="0"/>
        <w:rPr>
          <w:szCs w:val="22"/>
        </w:rPr>
      </w:pPr>
    </w:p>
    <w:p w14:paraId="4642FEF7" w14:textId="77777777" w:rsidR="00CA2E41" w:rsidRDefault="00CA2E41" w:rsidP="00CA2E41">
      <w:pPr>
        <w:pStyle w:val="Pagrindinistekstas"/>
        <w:spacing w:after="0"/>
        <w:rPr>
          <w:szCs w:val="22"/>
        </w:rPr>
      </w:pPr>
    </w:p>
    <w:p w14:paraId="133C139D" w14:textId="77777777" w:rsidR="00CA2E41" w:rsidRDefault="00CA2E41" w:rsidP="00CA2E41">
      <w:pPr>
        <w:pBdr>
          <w:top w:val="single" w:sz="4" w:space="1" w:color="auto"/>
          <w:left w:val="single" w:sz="4" w:space="4" w:color="auto"/>
          <w:bottom w:val="single" w:sz="4" w:space="1" w:color="auto"/>
          <w:right w:val="single" w:sz="4" w:space="4" w:color="auto"/>
        </w:pBdr>
        <w:ind w:left="540" w:hanging="540"/>
        <w:rPr>
          <w:b/>
          <w:bCs/>
          <w:sz w:val="22"/>
        </w:rPr>
      </w:pPr>
      <w:r>
        <w:rPr>
          <w:b/>
          <w:bCs/>
          <w:sz w:val="22"/>
        </w:rPr>
        <w:t>9.</w:t>
      </w:r>
      <w:r>
        <w:rPr>
          <w:b/>
          <w:bCs/>
          <w:sz w:val="22"/>
        </w:rPr>
        <w:tab/>
        <w:t>SPECIALIOS LAIKYMO SĄLYGOS</w:t>
      </w:r>
    </w:p>
    <w:p w14:paraId="02C92543" w14:textId="77777777" w:rsidR="00CA2E41" w:rsidRDefault="00CA2E41" w:rsidP="00CA2E41">
      <w:pPr>
        <w:pStyle w:val="Pagrindinistekstas"/>
        <w:spacing w:after="0"/>
        <w:rPr>
          <w:szCs w:val="22"/>
        </w:rPr>
      </w:pPr>
    </w:p>
    <w:p w14:paraId="79A729CB" w14:textId="77777777" w:rsidR="00CA2E41" w:rsidRDefault="00CA2E41" w:rsidP="00CA2E41">
      <w:pPr>
        <w:rPr>
          <w:sz w:val="22"/>
        </w:rPr>
      </w:pPr>
      <w:r>
        <w:rPr>
          <w:sz w:val="22"/>
        </w:rPr>
        <w:t xml:space="preserve">Laikyti šaldytuve. </w:t>
      </w:r>
    </w:p>
    <w:p w14:paraId="1CFB4244" w14:textId="77777777" w:rsidR="00CA2E41" w:rsidRDefault="00CA2E41" w:rsidP="00CA2E41">
      <w:pPr>
        <w:rPr>
          <w:sz w:val="22"/>
        </w:rPr>
      </w:pPr>
      <w:r>
        <w:rPr>
          <w:sz w:val="22"/>
        </w:rPr>
        <w:t>Negalima užšaldyti.</w:t>
      </w:r>
    </w:p>
    <w:p w14:paraId="6E29FC4C" w14:textId="77777777" w:rsidR="00CA2E41" w:rsidRDefault="00CA2E41" w:rsidP="00CA2E41">
      <w:pPr>
        <w:rPr>
          <w:sz w:val="22"/>
        </w:rPr>
      </w:pPr>
      <w:r>
        <w:rPr>
          <w:sz w:val="22"/>
        </w:rPr>
        <w:t>Laikyti gamintojo pakuotėje, kad preparatas būtų apsaugotas nuo šviesos.</w:t>
      </w:r>
    </w:p>
    <w:p w14:paraId="5BC0E864" w14:textId="77777777" w:rsidR="00CA2E41" w:rsidRDefault="00CA2E41" w:rsidP="00CA2E41">
      <w:pPr>
        <w:pStyle w:val="Pagrindinistekstas"/>
        <w:spacing w:after="0"/>
        <w:rPr>
          <w:szCs w:val="22"/>
        </w:rPr>
      </w:pPr>
    </w:p>
    <w:p w14:paraId="12A03D0A" w14:textId="77777777" w:rsidR="00CA2E41" w:rsidRDefault="00CA2E41" w:rsidP="00CA2E41">
      <w:pPr>
        <w:pStyle w:val="Pagrindinistekstas"/>
        <w:spacing w:after="0"/>
        <w:rPr>
          <w:szCs w:val="22"/>
        </w:rPr>
      </w:pPr>
    </w:p>
    <w:p w14:paraId="28527403" w14:textId="77777777" w:rsidR="00CA2E41" w:rsidRDefault="00CA2E41" w:rsidP="00CA2E41">
      <w:pPr>
        <w:pBdr>
          <w:top w:val="single" w:sz="4" w:space="1" w:color="auto"/>
          <w:left w:val="single" w:sz="4" w:space="4" w:color="auto"/>
          <w:bottom w:val="single" w:sz="4" w:space="1" w:color="auto"/>
          <w:right w:val="single" w:sz="4" w:space="4" w:color="auto"/>
        </w:pBdr>
        <w:ind w:left="540" w:hanging="540"/>
        <w:rPr>
          <w:b/>
          <w:bCs/>
          <w:sz w:val="22"/>
        </w:rPr>
      </w:pPr>
      <w:r>
        <w:rPr>
          <w:b/>
          <w:bCs/>
          <w:sz w:val="22"/>
        </w:rPr>
        <w:t>10.</w:t>
      </w:r>
      <w:r>
        <w:rPr>
          <w:b/>
          <w:bCs/>
          <w:sz w:val="22"/>
        </w:rPr>
        <w:tab/>
        <w:t>SPECIALIOS ATSARGUMO PRIEMONĖS DĖL NESUVARTOTO VAISTINIO PREPARATO AR JO ATLIEKŲ TVARKYMO (JEI REIKIA)</w:t>
      </w:r>
    </w:p>
    <w:p w14:paraId="7E396696" w14:textId="77777777" w:rsidR="00CA2E41" w:rsidRDefault="00CA2E41" w:rsidP="00CA2E41">
      <w:pPr>
        <w:pStyle w:val="Pagrindinistekstas"/>
        <w:spacing w:after="0"/>
        <w:rPr>
          <w:szCs w:val="22"/>
        </w:rPr>
      </w:pPr>
    </w:p>
    <w:p w14:paraId="7B217DFA" w14:textId="77777777" w:rsidR="00CA2E41" w:rsidRDefault="00CA2E41" w:rsidP="00CA2E41">
      <w:pPr>
        <w:rPr>
          <w:sz w:val="22"/>
        </w:rPr>
      </w:pPr>
      <w:r>
        <w:rPr>
          <w:sz w:val="22"/>
        </w:rPr>
        <w:t>Vaistinio preparato likučius ir atliekas reikia naikinti laikantis vietinių reikalavimų.</w:t>
      </w:r>
    </w:p>
    <w:p w14:paraId="4EEAD8D4" w14:textId="77777777" w:rsidR="00CA2E41" w:rsidRDefault="00CA2E41" w:rsidP="00CA2E41">
      <w:pPr>
        <w:pStyle w:val="Pagrindinistekstas"/>
        <w:spacing w:after="0"/>
        <w:rPr>
          <w:szCs w:val="22"/>
        </w:rPr>
      </w:pPr>
    </w:p>
    <w:p w14:paraId="228D2458" w14:textId="77777777" w:rsidR="00CA2E41" w:rsidRDefault="00CA2E41" w:rsidP="00CA2E41">
      <w:pPr>
        <w:pStyle w:val="Pagrindinistekstas"/>
        <w:spacing w:after="0"/>
        <w:rPr>
          <w:szCs w:val="22"/>
        </w:rPr>
      </w:pPr>
    </w:p>
    <w:p w14:paraId="1BB809F4" w14:textId="77777777" w:rsidR="00CA2E41" w:rsidRDefault="00CA2E41" w:rsidP="00CA2E41">
      <w:pPr>
        <w:pBdr>
          <w:top w:val="single" w:sz="4" w:space="1" w:color="auto"/>
          <w:left w:val="single" w:sz="4" w:space="4" w:color="auto"/>
          <w:bottom w:val="single" w:sz="4" w:space="1" w:color="auto"/>
          <w:right w:val="single" w:sz="4" w:space="4" w:color="auto"/>
        </w:pBdr>
        <w:ind w:left="540" w:hanging="540"/>
        <w:rPr>
          <w:b/>
          <w:bCs/>
          <w:sz w:val="22"/>
        </w:rPr>
      </w:pPr>
      <w:r>
        <w:rPr>
          <w:b/>
          <w:bCs/>
          <w:sz w:val="22"/>
        </w:rPr>
        <w:t>11.</w:t>
      </w:r>
      <w:r>
        <w:rPr>
          <w:b/>
          <w:bCs/>
          <w:sz w:val="22"/>
        </w:rPr>
        <w:tab/>
        <w:t>REGISTRUOTOJO PAVADINIMAS IR ADRESAS</w:t>
      </w:r>
    </w:p>
    <w:p w14:paraId="7E62A224" w14:textId="77777777" w:rsidR="00CA2E41" w:rsidRDefault="00CA2E41" w:rsidP="00CA2E41">
      <w:pPr>
        <w:pStyle w:val="Pagrindinistekstas"/>
        <w:spacing w:after="0"/>
        <w:rPr>
          <w:szCs w:val="22"/>
        </w:rPr>
      </w:pPr>
    </w:p>
    <w:p w14:paraId="28F32A61" w14:textId="77777777" w:rsidR="00CA2E41" w:rsidRDefault="00CA2E41" w:rsidP="00CA2E41">
      <w:pPr>
        <w:pStyle w:val="Pagrindinistekstas"/>
        <w:spacing w:after="0"/>
        <w:rPr>
          <w:szCs w:val="22"/>
        </w:rPr>
      </w:pPr>
      <w:r>
        <w:rPr>
          <w:szCs w:val="22"/>
        </w:rPr>
        <w:t>Registruotojas:</w:t>
      </w:r>
    </w:p>
    <w:p w14:paraId="0D891F61" w14:textId="77777777" w:rsidR="00FC3506" w:rsidRPr="00345618" w:rsidRDefault="00FC3506" w:rsidP="00FC3506">
      <w:pPr>
        <w:rPr>
          <w:sz w:val="22"/>
        </w:rPr>
      </w:pPr>
      <w:proofErr w:type="spellStart"/>
      <w:r w:rsidRPr="00345618">
        <w:rPr>
          <w:sz w:val="22"/>
        </w:rPr>
        <w:t>GlaxoSmithKline</w:t>
      </w:r>
      <w:proofErr w:type="spellEnd"/>
      <w:r w:rsidRPr="00345618">
        <w:rPr>
          <w:sz w:val="22"/>
        </w:rPr>
        <w:t xml:space="preserve"> </w:t>
      </w:r>
      <w:proofErr w:type="spellStart"/>
      <w:r w:rsidRPr="00345618">
        <w:rPr>
          <w:sz w:val="22"/>
        </w:rPr>
        <w:t>Biologicals</w:t>
      </w:r>
      <w:proofErr w:type="spellEnd"/>
      <w:r w:rsidRPr="00345618">
        <w:rPr>
          <w:sz w:val="22"/>
        </w:rPr>
        <w:t xml:space="preserve"> SA</w:t>
      </w:r>
    </w:p>
    <w:p w14:paraId="6085851B" w14:textId="77777777" w:rsidR="00FC3506" w:rsidRPr="00345618" w:rsidRDefault="00FC3506" w:rsidP="00FC3506">
      <w:pPr>
        <w:rPr>
          <w:sz w:val="22"/>
        </w:rPr>
      </w:pPr>
      <w:proofErr w:type="spellStart"/>
      <w:r>
        <w:rPr>
          <w:sz w:val="22"/>
        </w:rPr>
        <w:t>Rue</w:t>
      </w:r>
      <w:proofErr w:type="spellEnd"/>
      <w:r>
        <w:rPr>
          <w:sz w:val="22"/>
        </w:rPr>
        <w:t xml:space="preserve"> de </w:t>
      </w:r>
      <w:proofErr w:type="spellStart"/>
      <w:r>
        <w:rPr>
          <w:sz w:val="22"/>
        </w:rPr>
        <w:t>l'Institut</w:t>
      </w:r>
      <w:proofErr w:type="spellEnd"/>
      <w:r>
        <w:rPr>
          <w:sz w:val="22"/>
        </w:rPr>
        <w:t xml:space="preserve"> 89</w:t>
      </w:r>
      <w:r w:rsidRPr="00345618">
        <w:rPr>
          <w:sz w:val="22"/>
        </w:rPr>
        <w:t xml:space="preserve"> </w:t>
      </w:r>
    </w:p>
    <w:p w14:paraId="7D5057D6" w14:textId="77777777" w:rsidR="00FC3506" w:rsidRPr="00345618" w:rsidRDefault="00FC3506" w:rsidP="00FC3506">
      <w:pPr>
        <w:rPr>
          <w:sz w:val="22"/>
        </w:rPr>
      </w:pPr>
      <w:r>
        <w:rPr>
          <w:sz w:val="22"/>
        </w:rPr>
        <w:t xml:space="preserve">B-1330 </w:t>
      </w:r>
      <w:proofErr w:type="spellStart"/>
      <w:r>
        <w:rPr>
          <w:sz w:val="22"/>
        </w:rPr>
        <w:t>Rixensart</w:t>
      </w:r>
      <w:proofErr w:type="spellEnd"/>
      <w:r w:rsidRPr="00345618">
        <w:rPr>
          <w:sz w:val="22"/>
        </w:rPr>
        <w:t xml:space="preserve"> </w:t>
      </w:r>
    </w:p>
    <w:p w14:paraId="0E46B6B0" w14:textId="77777777" w:rsidR="00FC3506" w:rsidRPr="00BF6429" w:rsidRDefault="00FC3506" w:rsidP="00FC3506">
      <w:pPr>
        <w:rPr>
          <w:sz w:val="22"/>
        </w:rPr>
      </w:pPr>
      <w:r w:rsidRPr="00345618">
        <w:rPr>
          <w:sz w:val="22"/>
        </w:rPr>
        <w:t>Belgija</w:t>
      </w:r>
    </w:p>
    <w:p w14:paraId="4C8396C4" w14:textId="77777777" w:rsidR="00CA2E41" w:rsidRDefault="00CA2E41" w:rsidP="00CA2E41">
      <w:pPr>
        <w:rPr>
          <w:sz w:val="22"/>
        </w:rPr>
      </w:pPr>
    </w:p>
    <w:p w14:paraId="6F3BC37B" w14:textId="77777777" w:rsidR="00CA2E41" w:rsidRDefault="00CA2E41" w:rsidP="00CA2E41">
      <w:pPr>
        <w:pStyle w:val="Pagrindinistekstas"/>
        <w:spacing w:after="0"/>
        <w:rPr>
          <w:szCs w:val="22"/>
        </w:rPr>
      </w:pPr>
    </w:p>
    <w:p w14:paraId="62C728A9" w14:textId="77777777" w:rsidR="00CA2E41" w:rsidRDefault="00CA2E41" w:rsidP="00CA2E41">
      <w:pPr>
        <w:pBdr>
          <w:top w:val="single" w:sz="4" w:space="1" w:color="auto"/>
          <w:left w:val="single" w:sz="4" w:space="4" w:color="auto"/>
          <w:bottom w:val="single" w:sz="4" w:space="1" w:color="auto"/>
          <w:right w:val="single" w:sz="4" w:space="4" w:color="auto"/>
        </w:pBdr>
        <w:ind w:left="540" w:hanging="540"/>
        <w:rPr>
          <w:b/>
          <w:bCs/>
          <w:sz w:val="22"/>
        </w:rPr>
      </w:pPr>
      <w:r>
        <w:rPr>
          <w:b/>
          <w:bCs/>
          <w:sz w:val="22"/>
        </w:rPr>
        <w:t>12.</w:t>
      </w:r>
      <w:r>
        <w:rPr>
          <w:b/>
          <w:bCs/>
          <w:sz w:val="22"/>
        </w:rPr>
        <w:tab/>
      </w:r>
      <w:r>
        <w:rPr>
          <w:b/>
          <w:sz w:val="22"/>
        </w:rPr>
        <w:t>REGISTRACIJOS</w:t>
      </w:r>
      <w:r>
        <w:rPr>
          <w:b/>
          <w:bCs/>
          <w:sz w:val="22"/>
        </w:rPr>
        <w:t xml:space="preserve"> PAŽYMĖJIMO NUMERIS (-IAI)</w:t>
      </w:r>
    </w:p>
    <w:p w14:paraId="0D6FD9A7" w14:textId="77777777" w:rsidR="00CA2E41" w:rsidRDefault="00CA2E41" w:rsidP="00CA2E41">
      <w:pPr>
        <w:pStyle w:val="Pagrindinistekstas"/>
        <w:spacing w:after="0"/>
        <w:rPr>
          <w:szCs w:val="22"/>
        </w:rPr>
      </w:pPr>
    </w:p>
    <w:p w14:paraId="16FD919F" w14:textId="77777777" w:rsidR="00CA2E41" w:rsidRDefault="00CA2E41" w:rsidP="00CA2E41">
      <w:pPr>
        <w:rPr>
          <w:sz w:val="22"/>
        </w:rPr>
      </w:pPr>
      <w:r>
        <w:rPr>
          <w:sz w:val="22"/>
          <w:shd w:val="clear" w:color="auto" w:fill="F2F2F2"/>
        </w:rPr>
        <w:t>Užpildytas švirkštas</w:t>
      </w:r>
      <w:r>
        <w:rPr>
          <w:sz w:val="22"/>
        </w:rPr>
        <w:t xml:space="preserve"> </w:t>
      </w:r>
      <w:r>
        <w:rPr>
          <w:sz w:val="22"/>
          <w:shd w:val="clear" w:color="auto" w:fill="F2F2F2"/>
        </w:rPr>
        <w:t>su adata:</w:t>
      </w:r>
    </w:p>
    <w:p w14:paraId="18C82BD9" w14:textId="77777777" w:rsidR="00CA2E41" w:rsidRDefault="00CA2E41" w:rsidP="00CA2E41">
      <w:pPr>
        <w:rPr>
          <w:sz w:val="22"/>
        </w:rPr>
      </w:pPr>
      <w:r>
        <w:rPr>
          <w:sz w:val="22"/>
        </w:rPr>
        <w:t xml:space="preserve">LT/1/08/0971/001 </w:t>
      </w:r>
      <w:r>
        <w:rPr>
          <w:sz w:val="22"/>
          <w:shd w:val="clear" w:color="auto" w:fill="D9D9D9"/>
        </w:rPr>
        <w:t>– N1</w:t>
      </w:r>
    </w:p>
    <w:p w14:paraId="5246E851" w14:textId="77777777" w:rsidR="00CA2E41" w:rsidRDefault="00CA2E41" w:rsidP="00CA2E41">
      <w:pPr>
        <w:rPr>
          <w:sz w:val="22"/>
        </w:rPr>
      </w:pPr>
      <w:r>
        <w:rPr>
          <w:sz w:val="22"/>
        </w:rPr>
        <w:t xml:space="preserve">LT/1/08/0971/002 </w:t>
      </w:r>
      <w:r>
        <w:rPr>
          <w:sz w:val="22"/>
          <w:shd w:val="clear" w:color="auto" w:fill="D9D9D9"/>
        </w:rPr>
        <w:t>– N10</w:t>
      </w:r>
      <w:r>
        <w:rPr>
          <w:sz w:val="22"/>
        </w:rPr>
        <w:tab/>
      </w:r>
    </w:p>
    <w:p w14:paraId="054B4605" w14:textId="77777777" w:rsidR="00CA2E41" w:rsidRDefault="00CA2E41" w:rsidP="00CA2E41">
      <w:pPr>
        <w:rPr>
          <w:sz w:val="22"/>
        </w:rPr>
      </w:pPr>
    </w:p>
    <w:p w14:paraId="33C9D215" w14:textId="77777777" w:rsidR="00CA2E41" w:rsidRDefault="00CA2E41" w:rsidP="00CA2E41">
      <w:pPr>
        <w:rPr>
          <w:sz w:val="22"/>
          <w:shd w:val="clear" w:color="auto" w:fill="F2F2F2"/>
        </w:rPr>
      </w:pPr>
      <w:r>
        <w:rPr>
          <w:sz w:val="22"/>
          <w:shd w:val="clear" w:color="auto" w:fill="F2F2F2"/>
        </w:rPr>
        <w:t>Užpildytas švirkštas:</w:t>
      </w:r>
    </w:p>
    <w:p w14:paraId="608D462B" w14:textId="77777777" w:rsidR="00CA2E41" w:rsidRDefault="00CA2E41" w:rsidP="00CA2E41">
      <w:pPr>
        <w:rPr>
          <w:sz w:val="22"/>
        </w:rPr>
      </w:pPr>
      <w:r>
        <w:rPr>
          <w:sz w:val="22"/>
        </w:rPr>
        <w:t xml:space="preserve">LT/1/08/0971/005 </w:t>
      </w:r>
      <w:r>
        <w:rPr>
          <w:sz w:val="22"/>
          <w:shd w:val="clear" w:color="auto" w:fill="D9D9D9"/>
        </w:rPr>
        <w:t>– N1</w:t>
      </w:r>
    </w:p>
    <w:p w14:paraId="26C9D7F5" w14:textId="77777777" w:rsidR="00CA2E41" w:rsidRDefault="00CA2E41" w:rsidP="00CA2E41">
      <w:pPr>
        <w:rPr>
          <w:sz w:val="22"/>
        </w:rPr>
      </w:pPr>
      <w:r>
        <w:rPr>
          <w:sz w:val="22"/>
        </w:rPr>
        <w:t xml:space="preserve">LT/1/08/0971/006 </w:t>
      </w:r>
      <w:r>
        <w:rPr>
          <w:sz w:val="22"/>
          <w:shd w:val="clear" w:color="auto" w:fill="D9D9D9"/>
        </w:rPr>
        <w:t>– N10</w:t>
      </w:r>
    </w:p>
    <w:p w14:paraId="286EA0E8" w14:textId="77777777" w:rsidR="00CA2E41" w:rsidRDefault="00CA2E41" w:rsidP="00CA2E41">
      <w:pPr>
        <w:pStyle w:val="Pagrindinistekstas"/>
        <w:spacing w:after="0"/>
        <w:rPr>
          <w:szCs w:val="22"/>
        </w:rPr>
      </w:pPr>
    </w:p>
    <w:p w14:paraId="371FA206" w14:textId="77777777" w:rsidR="00CA2E41" w:rsidRDefault="00CA2E41" w:rsidP="00CA2E41">
      <w:pPr>
        <w:pStyle w:val="Pagrindinistekstas"/>
        <w:spacing w:after="0"/>
        <w:rPr>
          <w:szCs w:val="22"/>
        </w:rPr>
      </w:pPr>
    </w:p>
    <w:p w14:paraId="53978D6E" w14:textId="77777777" w:rsidR="00CA2E41" w:rsidRDefault="00CA2E41" w:rsidP="00CA2E41">
      <w:pPr>
        <w:keepNext/>
        <w:pBdr>
          <w:top w:val="single" w:sz="4" w:space="1" w:color="auto"/>
          <w:left w:val="single" w:sz="4" w:space="4" w:color="auto"/>
          <w:bottom w:val="single" w:sz="4" w:space="1" w:color="auto"/>
          <w:right w:val="single" w:sz="4" w:space="4" w:color="auto"/>
        </w:pBdr>
        <w:ind w:left="540" w:hanging="540"/>
        <w:rPr>
          <w:b/>
          <w:bCs/>
          <w:sz w:val="22"/>
        </w:rPr>
      </w:pPr>
      <w:r>
        <w:rPr>
          <w:b/>
          <w:bCs/>
          <w:sz w:val="22"/>
        </w:rPr>
        <w:lastRenderedPageBreak/>
        <w:t>13.</w:t>
      </w:r>
      <w:r>
        <w:rPr>
          <w:b/>
          <w:bCs/>
          <w:sz w:val="22"/>
        </w:rPr>
        <w:tab/>
        <w:t>SERIJOS NUMERIS</w:t>
      </w:r>
    </w:p>
    <w:p w14:paraId="78199936" w14:textId="77777777" w:rsidR="00CA2E41" w:rsidRDefault="00CA2E41" w:rsidP="00CA2E41">
      <w:pPr>
        <w:pStyle w:val="Pagrindinistekstas"/>
        <w:keepNext/>
        <w:spacing w:after="0"/>
        <w:rPr>
          <w:szCs w:val="22"/>
        </w:rPr>
      </w:pPr>
    </w:p>
    <w:p w14:paraId="0917AE2C" w14:textId="77777777" w:rsidR="00CA2E41" w:rsidRDefault="00CA2E41" w:rsidP="00CA2E41">
      <w:pPr>
        <w:pStyle w:val="Pagrindinistekstas"/>
        <w:spacing w:after="0"/>
        <w:rPr>
          <w:szCs w:val="22"/>
        </w:rPr>
      </w:pPr>
      <w:r>
        <w:rPr>
          <w:szCs w:val="22"/>
        </w:rPr>
        <w:t>Serija {numeris}</w:t>
      </w:r>
    </w:p>
    <w:p w14:paraId="6C8183B5" w14:textId="77777777" w:rsidR="00CA2E41" w:rsidRDefault="00CA2E41" w:rsidP="00CA2E41">
      <w:pPr>
        <w:pStyle w:val="Pagrindinistekstas"/>
        <w:spacing w:after="0"/>
        <w:rPr>
          <w:szCs w:val="22"/>
        </w:rPr>
      </w:pPr>
      <w:r>
        <w:rPr>
          <w:szCs w:val="22"/>
          <w:highlight w:val="lightGray"/>
        </w:rPr>
        <w:t>Lot {numeris}</w:t>
      </w:r>
    </w:p>
    <w:p w14:paraId="3FA699A9" w14:textId="77777777" w:rsidR="00CA2E41" w:rsidRDefault="00CA2E41" w:rsidP="00CA2E41">
      <w:pPr>
        <w:pStyle w:val="Pagrindinistekstas"/>
        <w:spacing w:after="0"/>
        <w:rPr>
          <w:szCs w:val="22"/>
        </w:rPr>
      </w:pPr>
    </w:p>
    <w:p w14:paraId="7561B93D" w14:textId="77777777" w:rsidR="00CA2E41" w:rsidRDefault="00CA2E41" w:rsidP="00CA2E41">
      <w:pPr>
        <w:pStyle w:val="Pagrindinistekstas"/>
        <w:spacing w:after="0"/>
        <w:rPr>
          <w:szCs w:val="22"/>
        </w:rPr>
      </w:pPr>
    </w:p>
    <w:p w14:paraId="410C58FD" w14:textId="77777777" w:rsidR="00CA2E41" w:rsidRDefault="00CA2E41" w:rsidP="00CA2E41">
      <w:pPr>
        <w:pBdr>
          <w:top w:val="single" w:sz="4" w:space="1" w:color="auto"/>
          <w:left w:val="single" w:sz="4" w:space="4" w:color="auto"/>
          <w:bottom w:val="single" w:sz="4" w:space="1" w:color="auto"/>
          <w:right w:val="single" w:sz="4" w:space="4" w:color="auto"/>
        </w:pBdr>
        <w:ind w:left="540" w:hanging="540"/>
        <w:rPr>
          <w:b/>
          <w:bCs/>
          <w:sz w:val="22"/>
        </w:rPr>
      </w:pPr>
      <w:r>
        <w:rPr>
          <w:b/>
          <w:bCs/>
          <w:sz w:val="22"/>
        </w:rPr>
        <w:t>14.</w:t>
      </w:r>
      <w:r>
        <w:rPr>
          <w:b/>
          <w:bCs/>
          <w:sz w:val="22"/>
        </w:rPr>
        <w:tab/>
        <w:t>PARDAVIMO (IŠDAVIMO) TVARKA</w:t>
      </w:r>
    </w:p>
    <w:p w14:paraId="11BEB742" w14:textId="77777777" w:rsidR="00CA2E41" w:rsidRDefault="00CA2E41" w:rsidP="00CA2E41">
      <w:pPr>
        <w:pStyle w:val="Pagrindinistekstas"/>
        <w:spacing w:after="0"/>
        <w:rPr>
          <w:szCs w:val="22"/>
        </w:rPr>
      </w:pPr>
    </w:p>
    <w:p w14:paraId="5C890E2E" w14:textId="77777777" w:rsidR="00CA2E41" w:rsidRDefault="00CA2E41" w:rsidP="00CA2E41">
      <w:pPr>
        <w:pStyle w:val="Pagrindinistekstas"/>
        <w:spacing w:after="0"/>
        <w:rPr>
          <w:szCs w:val="22"/>
        </w:rPr>
      </w:pPr>
      <w:r>
        <w:rPr>
          <w:szCs w:val="22"/>
        </w:rPr>
        <w:t>Receptinis vaistas.</w:t>
      </w:r>
    </w:p>
    <w:p w14:paraId="10F1E530" w14:textId="77777777" w:rsidR="00CA2E41" w:rsidRDefault="00CA2E41" w:rsidP="00CA2E41">
      <w:pPr>
        <w:pStyle w:val="Pagrindinistekstas"/>
        <w:spacing w:after="0"/>
        <w:rPr>
          <w:szCs w:val="22"/>
        </w:rPr>
      </w:pPr>
    </w:p>
    <w:p w14:paraId="2AF21A30" w14:textId="77777777" w:rsidR="00CA2E41" w:rsidRDefault="00CA2E41" w:rsidP="00CA2E41">
      <w:pPr>
        <w:pStyle w:val="Pagrindinistekstas"/>
        <w:spacing w:after="0"/>
        <w:rPr>
          <w:szCs w:val="22"/>
        </w:rPr>
      </w:pPr>
    </w:p>
    <w:p w14:paraId="24E35C4F" w14:textId="77777777" w:rsidR="00CA2E41" w:rsidRDefault="00CA2E41" w:rsidP="00CA2E41">
      <w:pPr>
        <w:pBdr>
          <w:top w:val="single" w:sz="4" w:space="1" w:color="auto"/>
          <w:left w:val="single" w:sz="4" w:space="4" w:color="auto"/>
          <w:bottom w:val="single" w:sz="4" w:space="1" w:color="auto"/>
          <w:right w:val="single" w:sz="4" w:space="4" w:color="auto"/>
        </w:pBdr>
        <w:ind w:left="540" w:hanging="540"/>
        <w:rPr>
          <w:b/>
          <w:bCs/>
          <w:sz w:val="22"/>
        </w:rPr>
      </w:pPr>
      <w:r>
        <w:rPr>
          <w:b/>
          <w:bCs/>
          <w:sz w:val="22"/>
        </w:rPr>
        <w:t>15.</w:t>
      </w:r>
      <w:r>
        <w:rPr>
          <w:b/>
          <w:bCs/>
          <w:sz w:val="22"/>
        </w:rPr>
        <w:tab/>
        <w:t>VARTOJIMO INSTRUKCIJA</w:t>
      </w:r>
    </w:p>
    <w:p w14:paraId="4159175E" w14:textId="77777777" w:rsidR="00CA2E41" w:rsidRDefault="00CA2E41" w:rsidP="00CA2E41">
      <w:pPr>
        <w:pStyle w:val="Pagrindinistekstas"/>
        <w:spacing w:after="0"/>
        <w:rPr>
          <w:szCs w:val="22"/>
        </w:rPr>
      </w:pPr>
    </w:p>
    <w:p w14:paraId="11E254BB" w14:textId="77777777" w:rsidR="00CA2E41" w:rsidRDefault="00CA2E41" w:rsidP="00CA2E41">
      <w:pPr>
        <w:pStyle w:val="Pagrindinistekstas"/>
        <w:spacing w:after="0"/>
        <w:rPr>
          <w:szCs w:val="22"/>
        </w:rPr>
      </w:pPr>
    </w:p>
    <w:p w14:paraId="32D94CC5" w14:textId="77777777" w:rsidR="00CA2E41" w:rsidRDefault="00CA2E41" w:rsidP="00CA2E41">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Pr>
          <w:b/>
          <w:szCs w:val="22"/>
        </w:rPr>
        <w:t>16.</w:t>
      </w:r>
      <w:r>
        <w:rPr>
          <w:b/>
          <w:szCs w:val="22"/>
        </w:rPr>
        <w:tab/>
        <w:t>INFORMACIJA BRAILIO RAŠTU</w:t>
      </w:r>
    </w:p>
    <w:p w14:paraId="5562FC4E" w14:textId="77777777" w:rsidR="00CA2E41" w:rsidRDefault="00CA2E41" w:rsidP="00CA2E41">
      <w:pPr>
        <w:pStyle w:val="Pagrindinistekstas"/>
        <w:rPr>
          <w:szCs w:val="22"/>
        </w:rPr>
      </w:pPr>
    </w:p>
    <w:p w14:paraId="517614E7" w14:textId="77777777" w:rsidR="00CA2E41" w:rsidRDefault="00CA2E41" w:rsidP="00CA2E41">
      <w:pPr>
        <w:rPr>
          <w:sz w:val="22"/>
        </w:rPr>
      </w:pPr>
      <w:r>
        <w:rPr>
          <w:sz w:val="22"/>
          <w:highlight w:val="lightGray"/>
        </w:rPr>
        <w:t>Priimtas pagrindimas informacijos Brailio raštu nepateikti.</w:t>
      </w:r>
    </w:p>
    <w:p w14:paraId="3A0CB038" w14:textId="77777777" w:rsidR="00CA2E41" w:rsidRDefault="00CA2E41" w:rsidP="00CA2E41">
      <w:pPr>
        <w:rPr>
          <w:sz w:val="22"/>
        </w:rPr>
      </w:pPr>
    </w:p>
    <w:p w14:paraId="13D12711" w14:textId="77777777" w:rsidR="00CA2E41" w:rsidRDefault="00CA2E41" w:rsidP="00CA2E41">
      <w:pPr>
        <w:spacing w:line="260" w:lineRule="exact"/>
        <w:rPr>
          <w:rFonts w:eastAsia="Times New Roman"/>
          <w:noProof/>
          <w:sz w:val="22"/>
          <w:shd w:val="clear" w:color="auto" w:fill="CCCCCC"/>
        </w:rPr>
      </w:pPr>
    </w:p>
    <w:p w14:paraId="59D47F08" w14:textId="3715AFAD" w:rsidR="00CA2E41" w:rsidRPr="00402C81" w:rsidRDefault="00CA2E41" w:rsidP="00CA2E41">
      <w:pPr>
        <w:keepNext/>
        <w:pBdr>
          <w:top w:val="single" w:sz="4" w:space="1" w:color="auto"/>
          <w:left w:val="single" w:sz="4" w:space="4" w:color="auto"/>
          <w:bottom w:val="single" w:sz="4" w:space="1" w:color="auto"/>
          <w:right w:val="single" w:sz="4" w:space="4" w:color="auto"/>
        </w:pBdr>
        <w:tabs>
          <w:tab w:val="left" w:pos="0"/>
        </w:tabs>
        <w:spacing w:line="260" w:lineRule="exact"/>
        <w:outlineLvl w:val="0"/>
        <w:rPr>
          <w:rFonts w:eastAsia="Times New Roman"/>
          <w:i/>
          <w:noProof/>
          <w:snapToGrid w:val="0"/>
          <w:sz w:val="22"/>
        </w:rPr>
      </w:pPr>
      <w:r w:rsidRPr="00402C81">
        <w:rPr>
          <w:rFonts w:eastAsia="Times New Roman"/>
          <w:b/>
          <w:noProof/>
          <w:snapToGrid w:val="0"/>
          <w:sz w:val="22"/>
        </w:rPr>
        <w:t>17.</w:t>
      </w:r>
      <w:r w:rsidRPr="00402C81">
        <w:rPr>
          <w:rFonts w:eastAsia="Times New Roman"/>
          <w:b/>
          <w:noProof/>
          <w:snapToGrid w:val="0"/>
          <w:sz w:val="22"/>
        </w:rPr>
        <w:tab/>
        <w:t>UNIKALUS IDENTIFIKATORIUS – 2D BRŪKŠNINIS KODAS</w:t>
      </w:r>
    </w:p>
    <w:p w14:paraId="481A372A" w14:textId="77777777" w:rsidR="00CA2E41" w:rsidRPr="00402C81" w:rsidRDefault="00CA2E41" w:rsidP="00CA2E41">
      <w:pPr>
        <w:spacing w:line="260" w:lineRule="exact"/>
        <w:rPr>
          <w:rFonts w:eastAsia="Times New Roman"/>
          <w:noProof/>
          <w:snapToGrid w:val="0"/>
          <w:sz w:val="22"/>
        </w:rPr>
      </w:pPr>
    </w:p>
    <w:p w14:paraId="30C31742" w14:textId="77777777" w:rsidR="00CA2E41" w:rsidRPr="00402C81" w:rsidRDefault="00CA2E41" w:rsidP="00CA2E41">
      <w:pPr>
        <w:spacing w:line="260" w:lineRule="exact"/>
        <w:rPr>
          <w:rFonts w:eastAsia="Times New Roman"/>
          <w:noProof/>
          <w:snapToGrid w:val="0"/>
          <w:sz w:val="22"/>
          <w:shd w:val="clear" w:color="auto" w:fill="CCCCCC"/>
        </w:rPr>
      </w:pPr>
      <w:r w:rsidRPr="00402C81">
        <w:rPr>
          <w:rFonts w:eastAsia="Times New Roman"/>
          <w:noProof/>
          <w:snapToGrid w:val="0"/>
          <w:sz w:val="22"/>
          <w:highlight w:val="lightGray"/>
        </w:rPr>
        <w:t>2D brūkšninis kodas su nurodytu unikaliu identifikatoriumi.</w:t>
      </w:r>
    </w:p>
    <w:p w14:paraId="47600004" w14:textId="77777777" w:rsidR="00CA2E41" w:rsidRPr="00402C81" w:rsidRDefault="00CA2E41" w:rsidP="00CA2E41">
      <w:pPr>
        <w:spacing w:line="260" w:lineRule="exact"/>
        <w:rPr>
          <w:rFonts w:eastAsia="Times New Roman"/>
          <w:noProof/>
          <w:snapToGrid w:val="0"/>
          <w:sz w:val="22"/>
        </w:rPr>
      </w:pPr>
    </w:p>
    <w:p w14:paraId="48ED6667" w14:textId="77777777" w:rsidR="00CA2E41" w:rsidRPr="00402C81" w:rsidRDefault="00CA2E41" w:rsidP="00CA2E41">
      <w:pPr>
        <w:spacing w:line="260" w:lineRule="exact"/>
        <w:rPr>
          <w:rFonts w:eastAsia="Times New Roman"/>
          <w:noProof/>
          <w:snapToGrid w:val="0"/>
          <w:sz w:val="22"/>
        </w:rPr>
      </w:pPr>
    </w:p>
    <w:p w14:paraId="567E6C29" w14:textId="56015BCD" w:rsidR="00CA2E41" w:rsidRPr="00402C81" w:rsidRDefault="00CA2E41" w:rsidP="00CA2E41">
      <w:pPr>
        <w:keepNext/>
        <w:pBdr>
          <w:top w:val="single" w:sz="4" w:space="1" w:color="auto"/>
          <w:left w:val="single" w:sz="4" w:space="4" w:color="auto"/>
          <w:bottom w:val="single" w:sz="4" w:space="1" w:color="auto"/>
          <w:right w:val="single" w:sz="4" w:space="4" w:color="auto"/>
        </w:pBdr>
        <w:tabs>
          <w:tab w:val="left" w:pos="0"/>
        </w:tabs>
        <w:spacing w:line="260" w:lineRule="exact"/>
        <w:outlineLvl w:val="0"/>
        <w:rPr>
          <w:rFonts w:eastAsia="Times New Roman"/>
          <w:i/>
          <w:noProof/>
          <w:snapToGrid w:val="0"/>
          <w:sz w:val="22"/>
          <w:lang w:val="pl-PL"/>
        </w:rPr>
      </w:pPr>
      <w:r w:rsidRPr="00402C81">
        <w:rPr>
          <w:rFonts w:eastAsia="Times New Roman"/>
          <w:b/>
          <w:noProof/>
          <w:snapToGrid w:val="0"/>
          <w:sz w:val="22"/>
          <w:lang w:val="pl-PL"/>
        </w:rPr>
        <w:t>18.</w:t>
      </w:r>
      <w:r w:rsidRPr="00402C81">
        <w:rPr>
          <w:rFonts w:eastAsia="Times New Roman"/>
          <w:b/>
          <w:noProof/>
          <w:snapToGrid w:val="0"/>
          <w:sz w:val="22"/>
          <w:lang w:val="pl-PL"/>
        </w:rPr>
        <w:tab/>
        <w:t>UNIKALUS IDENTIFIKATORIUS – ŽMONĖMS SUPRANTAMI DUOMENYS</w:t>
      </w:r>
    </w:p>
    <w:p w14:paraId="4B084C91" w14:textId="77777777" w:rsidR="00CA2E41" w:rsidRPr="00402C81" w:rsidRDefault="00CA2E41" w:rsidP="00CA2E41">
      <w:pPr>
        <w:spacing w:line="260" w:lineRule="exact"/>
        <w:rPr>
          <w:rFonts w:eastAsia="Times New Roman"/>
          <w:noProof/>
          <w:snapToGrid w:val="0"/>
          <w:sz w:val="22"/>
          <w:lang w:val="pl-PL"/>
        </w:rPr>
      </w:pPr>
    </w:p>
    <w:p w14:paraId="186E3131" w14:textId="3E9FE4DC" w:rsidR="00CA2E41" w:rsidRPr="00402C81" w:rsidRDefault="00CA2E41" w:rsidP="00CA2E41">
      <w:pPr>
        <w:spacing w:line="260" w:lineRule="exact"/>
        <w:rPr>
          <w:rFonts w:eastAsia="Times New Roman"/>
          <w:snapToGrid w:val="0"/>
          <w:sz w:val="22"/>
          <w:lang w:val="pl-PL"/>
        </w:rPr>
      </w:pPr>
      <w:r w:rsidRPr="00402C81">
        <w:rPr>
          <w:rFonts w:eastAsia="Times New Roman"/>
          <w:snapToGrid w:val="0"/>
          <w:sz w:val="22"/>
          <w:lang w:val="pl-PL"/>
        </w:rPr>
        <w:t xml:space="preserve">PC </w:t>
      </w:r>
    </w:p>
    <w:p w14:paraId="5661E876" w14:textId="171B9CEC" w:rsidR="00CA2E41" w:rsidRPr="00402C81" w:rsidRDefault="00CA2E41" w:rsidP="00CA2E41">
      <w:pPr>
        <w:spacing w:line="260" w:lineRule="exact"/>
        <w:rPr>
          <w:rFonts w:eastAsia="Times New Roman"/>
          <w:snapToGrid w:val="0"/>
          <w:sz w:val="22"/>
          <w:lang w:val="pl-PL"/>
        </w:rPr>
      </w:pPr>
      <w:r w:rsidRPr="00402C81">
        <w:rPr>
          <w:rFonts w:eastAsia="Times New Roman"/>
          <w:snapToGrid w:val="0"/>
          <w:sz w:val="22"/>
          <w:lang w:val="pl-PL"/>
        </w:rPr>
        <w:t xml:space="preserve">SN </w:t>
      </w:r>
    </w:p>
    <w:p w14:paraId="051FD189" w14:textId="195FCAC6" w:rsidR="00CA2E41" w:rsidRDefault="00CA2E41" w:rsidP="00CA2E41">
      <w:pPr>
        <w:tabs>
          <w:tab w:val="left" w:pos="540"/>
        </w:tabs>
        <w:rPr>
          <w:sz w:val="22"/>
        </w:rPr>
      </w:pPr>
      <w:r w:rsidRPr="00402C81">
        <w:rPr>
          <w:rFonts w:eastAsia="Times New Roman"/>
          <w:snapToGrid w:val="0"/>
          <w:sz w:val="22"/>
          <w:highlight w:val="lightGray"/>
          <w:lang w:val="pl-PL"/>
        </w:rPr>
        <w:t xml:space="preserve">NN </w:t>
      </w:r>
    </w:p>
    <w:p w14:paraId="30B62001" w14:textId="77777777" w:rsidR="00CA2E41" w:rsidRDefault="00CA2E41" w:rsidP="00CA2E41">
      <w:pPr>
        <w:tabs>
          <w:tab w:val="left" w:pos="540"/>
        </w:tabs>
      </w:pPr>
    </w:p>
    <w:p w14:paraId="55F698C9" w14:textId="77777777" w:rsidR="00CA2E41" w:rsidRDefault="00CA2E41" w:rsidP="00CA2E41">
      <w:pPr>
        <w:pStyle w:val="Pagrindinistekstas"/>
        <w:spacing w:after="0"/>
        <w:rPr>
          <w:szCs w:val="22"/>
        </w:rPr>
      </w:pPr>
      <w:r>
        <w:br w:type="page"/>
      </w:r>
    </w:p>
    <w:p w14:paraId="22CCC107" w14:textId="0D2BBAF1" w:rsidR="00CA2E41" w:rsidRDefault="00CA2E41" w:rsidP="00CA2E41">
      <w:pPr>
        <w:pStyle w:val="Antrat2"/>
        <w:pBdr>
          <w:top w:val="single" w:sz="4" w:space="1" w:color="auto"/>
          <w:left w:val="single" w:sz="4" w:space="4" w:color="auto"/>
          <w:bottom w:val="single" w:sz="4" w:space="1" w:color="auto"/>
          <w:right w:val="single" w:sz="4" w:space="4" w:color="auto"/>
        </w:pBdr>
        <w:rPr>
          <w:szCs w:val="22"/>
        </w:rPr>
      </w:pPr>
      <w:r>
        <w:rPr>
          <w:szCs w:val="22"/>
        </w:rPr>
        <w:lastRenderedPageBreak/>
        <w:t>MINIMALI INFORMACIJA ANT MAŽŲ VIDINIŲ PAKUOČIŲ</w:t>
      </w:r>
    </w:p>
    <w:p w14:paraId="2415EEEE" w14:textId="77777777" w:rsidR="00CA2E41" w:rsidRDefault="00CA2E41" w:rsidP="00CA2E41">
      <w:pPr>
        <w:pBdr>
          <w:top w:val="single" w:sz="4" w:space="1" w:color="auto"/>
          <w:left w:val="single" w:sz="4" w:space="4" w:color="auto"/>
          <w:bottom w:val="single" w:sz="4" w:space="1" w:color="auto"/>
          <w:right w:val="single" w:sz="4" w:space="4" w:color="auto"/>
        </w:pBdr>
        <w:rPr>
          <w:sz w:val="22"/>
        </w:rPr>
      </w:pPr>
    </w:p>
    <w:p w14:paraId="787BDB94" w14:textId="50F92E26" w:rsidR="00CA2E41" w:rsidRDefault="00CA2E41" w:rsidP="00CA2E41">
      <w:pPr>
        <w:pBdr>
          <w:top w:val="single" w:sz="4" w:space="1" w:color="auto"/>
          <w:left w:val="single" w:sz="4" w:space="4" w:color="auto"/>
          <w:bottom w:val="single" w:sz="4" w:space="1" w:color="auto"/>
          <w:right w:val="single" w:sz="4" w:space="4" w:color="auto"/>
        </w:pBdr>
        <w:rPr>
          <w:b/>
          <w:bCs/>
          <w:sz w:val="22"/>
        </w:rPr>
      </w:pPr>
      <w:r>
        <w:rPr>
          <w:b/>
          <w:bCs/>
          <w:sz w:val="22"/>
        </w:rPr>
        <w:t xml:space="preserve">UŽPILDYTAS ŠVIRKŠTAS </w:t>
      </w:r>
    </w:p>
    <w:p w14:paraId="42A3A2AB" w14:textId="77777777" w:rsidR="00CA2E41" w:rsidRDefault="00CA2E41" w:rsidP="00CA2E41">
      <w:pPr>
        <w:pStyle w:val="Antrat2"/>
        <w:rPr>
          <w:szCs w:val="22"/>
        </w:rPr>
      </w:pPr>
    </w:p>
    <w:p w14:paraId="1AA45529" w14:textId="77777777" w:rsidR="00CA2E41" w:rsidRDefault="00CA2E41" w:rsidP="00CA2E41">
      <w:pPr>
        <w:pStyle w:val="Pagrindinistekstas"/>
        <w:spacing w:after="0"/>
        <w:rPr>
          <w:szCs w:val="22"/>
        </w:rPr>
      </w:pPr>
    </w:p>
    <w:p w14:paraId="2D63D3F9" w14:textId="1FEFBB4C" w:rsidR="00CA2E41" w:rsidRDefault="00CA2E41" w:rsidP="00CA2E41">
      <w:pPr>
        <w:pStyle w:val="Antrat3"/>
        <w:rPr>
          <w:szCs w:val="22"/>
        </w:rPr>
      </w:pPr>
      <w:r>
        <w:rPr>
          <w:szCs w:val="22"/>
        </w:rPr>
        <w:t>1.</w:t>
      </w:r>
      <w:r>
        <w:rPr>
          <w:szCs w:val="22"/>
        </w:rPr>
        <w:tab/>
        <w:t>VAISTINIO PREPARATO PAVADINIMAS IR VARTOJIMO BŪDAS (-AI)</w:t>
      </w:r>
    </w:p>
    <w:p w14:paraId="69C7B545" w14:textId="77777777" w:rsidR="00CA2E41" w:rsidRDefault="00CA2E41" w:rsidP="00CA2E41">
      <w:pPr>
        <w:pStyle w:val="Pagrindinistekstas"/>
        <w:spacing w:after="0"/>
        <w:rPr>
          <w:szCs w:val="22"/>
        </w:rPr>
      </w:pPr>
    </w:p>
    <w:p w14:paraId="2D8212A7" w14:textId="77777777" w:rsidR="00CA2E41" w:rsidRDefault="00CA2E41" w:rsidP="00CA2E41">
      <w:pPr>
        <w:pStyle w:val="Pagrindinistekstas"/>
        <w:spacing w:after="0"/>
        <w:rPr>
          <w:szCs w:val="22"/>
        </w:rPr>
      </w:pPr>
      <w:r>
        <w:rPr>
          <w:szCs w:val="22"/>
        </w:rPr>
        <w:t xml:space="preserve">BOOSTRIX POLIO </w:t>
      </w:r>
    </w:p>
    <w:p w14:paraId="72124A6F" w14:textId="77777777" w:rsidR="00CA2E41" w:rsidRDefault="00CA2E41" w:rsidP="00CA2E41">
      <w:pPr>
        <w:pStyle w:val="Pagrindinistekstas"/>
        <w:spacing w:after="0"/>
        <w:rPr>
          <w:szCs w:val="22"/>
        </w:rPr>
      </w:pPr>
      <w:proofErr w:type="spellStart"/>
      <w:r>
        <w:rPr>
          <w:szCs w:val="22"/>
        </w:rPr>
        <w:t>dTpa</w:t>
      </w:r>
      <w:proofErr w:type="spellEnd"/>
      <w:r>
        <w:rPr>
          <w:szCs w:val="22"/>
        </w:rPr>
        <w:t xml:space="preserve"> IPV</w:t>
      </w:r>
    </w:p>
    <w:p w14:paraId="42BE8640" w14:textId="77777777" w:rsidR="00CA2E41" w:rsidRDefault="00CA2E41" w:rsidP="00CA2E41">
      <w:pPr>
        <w:pStyle w:val="Pagrindinistekstas"/>
        <w:spacing w:after="0"/>
        <w:rPr>
          <w:szCs w:val="22"/>
        </w:rPr>
      </w:pPr>
      <w:proofErr w:type="spellStart"/>
      <w:r>
        <w:rPr>
          <w:szCs w:val="22"/>
        </w:rPr>
        <w:t>i.m</w:t>
      </w:r>
      <w:proofErr w:type="spellEnd"/>
      <w:r>
        <w:rPr>
          <w:szCs w:val="22"/>
        </w:rPr>
        <w:t>.</w:t>
      </w:r>
    </w:p>
    <w:p w14:paraId="22311DE4" w14:textId="77777777" w:rsidR="00CA2E41" w:rsidRDefault="00CA2E41" w:rsidP="00CA2E41">
      <w:pPr>
        <w:pStyle w:val="Pagrindinistekstas"/>
        <w:spacing w:after="0"/>
        <w:rPr>
          <w:szCs w:val="22"/>
        </w:rPr>
      </w:pPr>
    </w:p>
    <w:p w14:paraId="51548919" w14:textId="77777777" w:rsidR="00CA2E41" w:rsidRDefault="00CA2E41" w:rsidP="00CA2E41">
      <w:pPr>
        <w:pStyle w:val="Pagrindinistekstas"/>
        <w:spacing w:after="0"/>
        <w:rPr>
          <w:szCs w:val="22"/>
        </w:rPr>
      </w:pPr>
    </w:p>
    <w:p w14:paraId="331C52AF" w14:textId="4AF10782" w:rsidR="00CA2E41" w:rsidRDefault="00CA2E41" w:rsidP="00CA2E41">
      <w:pPr>
        <w:pStyle w:val="Antrat3"/>
        <w:rPr>
          <w:szCs w:val="22"/>
        </w:rPr>
      </w:pPr>
      <w:r>
        <w:rPr>
          <w:szCs w:val="22"/>
        </w:rPr>
        <w:t>2.</w:t>
      </w:r>
      <w:r>
        <w:rPr>
          <w:szCs w:val="22"/>
        </w:rPr>
        <w:tab/>
        <w:t>VARTOJIMO METODAS</w:t>
      </w:r>
    </w:p>
    <w:p w14:paraId="609CCBCE" w14:textId="77777777" w:rsidR="00CA2E41" w:rsidRDefault="00CA2E41" w:rsidP="00CA2E41">
      <w:pPr>
        <w:pStyle w:val="Pagrindinistekstas"/>
        <w:spacing w:after="0"/>
        <w:rPr>
          <w:szCs w:val="22"/>
        </w:rPr>
      </w:pPr>
    </w:p>
    <w:p w14:paraId="7A437B91" w14:textId="77777777" w:rsidR="00CA2E41" w:rsidRDefault="00CA2E41" w:rsidP="00CA2E41">
      <w:pPr>
        <w:pStyle w:val="Pagrindinistekstas"/>
        <w:spacing w:after="0"/>
        <w:rPr>
          <w:szCs w:val="22"/>
        </w:rPr>
      </w:pPr>
    </w:p>
    <w:p w14:paraId="09E872CC" w14:textId="1BB9E936" w:rsidR="00CA2E41" w:rsidRDefault="00CA2E41" w:rsidP="00CA2E41">
      <w:pPr>
        <w:pStyle w:val="Antrat3"/>
        <w:rPr>
          <w:szCs w:val="22"/>
        </w:rPr>
      </w:pPr>
      <w:r>
        <w:rPr>
          <w:szCs w:val="22"/>
        </w:rPr>
        <w:t>3.</w:t>
      </w:r>
      <w:r>
        <w:rPr>
          <w:szCs w:val="22"/>
        </w:rPr>
        <w:tab/>
        <w:t>TINKAMUMO LAIKAS</w:t>
      </w:r>
    </w:p>
    <w:p w14:paraId="3588BF2C" w14:textId="77777777" w:rsidR="00CA2E41" w:rsidRDefault="00CA2E41" w:rsidP="00CA2E41">
      <w:pPr>
        <w:pStyle w:val="Pagrindinistekstas"/>
        <w:spacing w:after="0"/>
        <w:rPr>
          <w:szCs w:val="22"/>
        </w:rPr>
      </w:pPr>
    </w:p>
    <w:p w14:paraId="5A1AC443" w14:textId="77777777" w:rsidR="00CA2E41" w:rsidRDefault="00CA2E41" w:rsidP="00CA2E41">
      <w:pPr>
        <w:pStyle w:val="Pagrindinistekstas"/>
        <w:spacing w:after="0"/>
        <w:rPr>
          <w:szCs w:val="22"/>
        </w:rPr>
      </w:pPr>
      <w:r>
        <w:rPr>
          <w:szCs w:val="22"/>
        </w:rPr>
        <w:t>EXP (mm/MMMM}</w:t>
      </w:r>
    </w:p>
    <w:p w14:paraId="4FE830E8" w14:textId="77777777" w:rsidR="00CA2E41" w:rsidRDefault="00CA2E41" w:rsidP="00CA2E41">
      <w:pPr>
        <w:pStyle w:val="Pagrindinistekstas"/>
        <w:spacing w:after="0"/>
        <w:rPr>
          <w:szCs w:val="22"/>
        </w:rPr>
      </w:pPr>
    </w:p>
    <w:p w14:paraId="19A903B5" w14:textId="77777777" w:rsidR="00CA2E41" w:rsidRDefault="00CA2E41" w:rsidP="00CA2E41">
      <w:pPr>
        <w:pStyle w:val="Pagrindinistekstas"/>
        <w:spacing w:after="0"/>
        <w:rPr>
          <w:szCs w:val="22"/>
        </w:rPr>
      </w:pPr>
    </w:p>
    <w:p w14:paraId="03FFFEEA" w14:textId="46346E12" w:rsidR="00CA2E41" w:rsidRDefault="00CA2E41" w:rsidP="00CA2E41">
      <w:pPr>
        <w:pStyle w:val="Antrat3"/>
        <w:rPr>
          <w:szCs w:val="22"/>
        </w:rPr>
      </w:pPr>
      <w:r>
        <w:rPr>
          <w:szCs w:val="22"/>
        </w:rPr>
        <w:t>4.</w:t>
      </w:r>
      <w:r>
        <w:rPr>
          <w:szCs w:val="22"/>
        </w:rPr>
        <w:tab/>
        <w:t xml:space="preserve">SERIJOS NUMERIS </w:t>
      </w:r>
    </w:p>
    <w:p w14:paraId="0EE3076A" w14:textId="77777777" w:rsidR="00CA2E41" w:rsidRDefault="00CA2E41" w:rsidP="00CA2E41">
      <w:pPr>
        <w:pStyle w:val="Pagrindinistekstas"/>
        <w:spacing w:after="0"/>
        <w:rPr>
          <w:szCs w:val="22"/>
        </w:rPr>
      </w:pPr>
    </w:p>
    <w:p w14:paraId="36A02E06" w14:textId="77777777" w:rsidR="00CA2E41" w:rsidRDefault="00CA2E41" w:rsidP="00CA2E41">
      <w:pPr>
        <w:pStyle w:val="Pagrindinistekstas"/>
        <w:spacing w:after="0"/>
        <w:rPr>
          <w:szCs w:val="22"/>
        </w:rPr>
      </w:pPr>
      <w:r>
        <w:rPr>
          <w:szCs w:val="22"/>
        </w:rPr>
        <w:t>Lot {numeris}</w:t>
      </w:r>
    </w:p>
    <w:p w14:paraId="3A125EB7" w14:textId="77777777" w:rsidR="00CA2E41" w:rsidRDefault="00CA2E41" w:rsidP="00CA2E41">
      <w:pPr>
        <w:pStyle w:val="Pagrindinistekstas"/>
        <w:spacing w:after="0"/>
        <w:rPr>
          <w:szCs w:val="22"/>
        </w:rPr>
      </w:pPr>
    </w:p>
    <w:p w14:paraId="6DC877B5" w14:textId="77777777" w:rsidR="00CA2E41" w:rsidRDefault="00CA2E41" w:rsidP="00CA2E41">
      <w:pPr>
        <w:pStyle w:val="Pagrindinistekstas"/>
        <w:spacing w:after="0"/>
        <w:rPr>
          <w:szCs w:val="22"/>
        </w:rPr>
      </w:pPr>
    </w:p>
    <w:p w14:paraId="3EA543CE" w14:textId="77777777" w:rsidR="00CA2E41" w:rsidRDefault="00CA2E41" w:rsidP="00CA2E41">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Pr>
          <w:b/>
          <w:szCs w:val="22"/>
        </w:rPr>
        <w:t>5.</w:t>
      </w:r>
      <w:r>
        <w:rPr>
          <w:b/>
          <w:szCs w:val="22"/>
        </w:rPr>
        <w:tab/>
        <w:t>KIEKIS (MASĖ, TŪRIS ARBA VIENETAI)</w:t>
      </w:r>
    </w:p>
    <w:p w14:paraId="652702C9" w14:textId="77777777" w:rsidR="00CA2E41" w:rsidRDefault="00CA2E41" w:rsidP="00CA2E41">
      <w:pPr>
        <w:pStyle w:val="Pagrindinistekstas"/>
        <w:spacing w:after="0"/>
        <w:rPr>
          <w:szCs w:val="22"/>
        </w:rPr>
      </w:pPr>
    </w:p>
    <w:p w14:paraId="24A2C7C4" w14:textId="77777777" w:rsidR="00CA2E41" w:rsidRDefault="00CA2E41" w:rsidP="00CA2E41">
      <w:pPr>
        <w:pStyle w:val="Pagrindinistekstas"/>
        <w:spacing w:after="0"/>
        <w:rPr>
          <w:szCs w:val="22"/>
        </w:rPr>
      </w:pPr>
      <w:r>
        <w:rPr>
          <w:szCs w:val="22"/>
        </w:rPr>
        <w:t>1 dozė (0,5 ml)</w:t>
      </w:r>
    </w:p>
    <w:p w14:paraId="13D66F84" w14:textId="77777777" w:rsidR="00CA2E41" w:rsidRDefault="00CA2E41" w:rsidP="00CA2E41">
      <w:pPr>
        <w:pStyle w:val="Pagrindinistekstas"/>
        <w:spacing w:after="0"/>
        <w:rPr>
          <w:szCs w:val="22"/>
        </w:rPr>
      </w:pPr>
    </w:p>
    <w:p w14:paraId="2480CF1B" w14:textId="77777777" w:rsidR="00CA2E41" w:rsidRDefault="00CA2E41" w:rsidP="00CA2E41">
      <w:pPr>
        <w:pStyle w:val="Pagrindinistekstas"/>
        <w:spacing w:after="0"/>
        <w:rPr>
          <w:szCs w:val="22"/>
        </w:rPr>
      </w:pPr>
    </w:p>
    <w:p w14:paraId="7C960277" w14:textId="77777777" w:rsidR="00CA2E41" w:rsidRDefault="00CA2E41" w:rsidP="00CA2E41">
      <w:pPr>
        <w:pStyle w:val="Pagrindinistekstas"/>
        <w:pBdr>
          <w:top w:val="single" w:sz="4" w:space="1" w:color="auto"/>
          <w:left w:val="single" w:sz="4" w:space="4" w:color="auto"/>
          <w:bottom w:val="single" w:sz="4" w:space="1" w:color="auto"/>
          <w:right w:val="single" w:sz="4" w:space="4" w:color="auto"/>
        </w:pBdr>
        <w:spacing w:after="0"/>
        <w:ind w:left="540" w:hanging="540"/>
        <w:rPr>
          <w:b/>
          <w:szCs w:val="22"/>
        </w:rPr>
      </w:pPr>
      <w:r>
        <w:rPr>
          <w:b/>
          <w:szCs w:val="22"/>
        </w:rPr>
        <w:t>6.</w:t>
      </w:r>
      <w:r>
        <w:rPr>
          <w:b/>
          <w:szCs w:val="22"/>
        </w:rPr>
        <w:tab/>
        <w:t>KITA</w:t>
      </w:r>
    </w:p>
    <w:p w14:paraId="50F86A90" w14:textId="77777777" w:rsidR="00CA2E41" w:rsidRPr="00305A45" w:rsidRDefault="00CA2E41" w:rsidP="00305A45"/>
    <w:p w14:paraId="651D06C7" w14:textId="77777777" w:rsidR="00CA2E41" w:rsidRDefault="00CA2E41" w:rsidP="00CA2E41">
      <w:pPr>
        <w:rPr>
          <w:sz w:val="22"/>
        </w:rPr>
      </w:pPr>
    </w:p>
    <w:p w14:paraId="2599F2C9" w14:textId="77777777" w:rsidR="00CA2E41" w:rsidRDefault="00CA2E41" w:rsidP="00CA2E41">
      <w:pPr>
        <w:jc w:val="center"/>
        <w:rPr>
          <w:b/>
          <w:sz w:val="22"/>
        </w:rPr>
      </w:pPr>
      <w:r>
        <w:rPr>
          <w:b/>
          <w:sz w:val="22"/>
        </w:rPr>
        <w:br w:type="page"/>
      </w:r>
    </w:p>
    <w:p w14:paraId="1E03D17A" w14:textId="77777777" w:rsidR="00CA2E41" w:rsidRDefault="00CA2E41" w:rsidP="00CA2E41">
      <w:pPr>
        <w:jc w:val="center"/>
        <w:rPr>
          <w:b/>
          <w:sz w:val="22"/>
        </w:rPr>
      </w:pPr>
    </w:p>
    <w:p w14:paraId="1388019A" w14:textId="77777777" w:rsidR="00CA2E41" w:rsidRDefault="00CA2E41" w:rsidP="00CA2E41">
      <w:pPr>
        <w:jc w:val="center"/>
        <w:rPr>
          <w:b/>
          <w:sz w:val="22"/>
        </w:rPr>
      </w:pPr>
    </w:p>
    <w:p w14:paraId="63B220F9" w14:textId="77777777" w:rsidR="00CA2E41" w:rsidRDefault="00CA2E41" w:rsidP="00CA2E41">
      <w:pPr>
        <w:jc w:val="center"/>
        <w:rPr>
          <w:b/>
          <w:sz w:val="22"/>
        </w:rPr>
      </w:pPr>
    </w:p>
    <w:p w14:paraId="43A7DADB" w14:textId="77777777" w:rsidR="00CA2E41" w:rsidRDefault="00CA2E41" w:rsidP="00CA2E41">
      <w:pPr>
        <w:jc w:val="center"/>
        <w:rPr>
          <w:b/>
          <w:sz w:val="22"/>
        </w:rPr>
      </w:pPr>
    </w:p>
    <w:p w14:paraId="1983DAB4" w14:textId="77777777" w:rsidR="00CA2E41" w:rsidRDefault="00CA2E41" w:rsidP="00CA2E41">
      <w:pPr>
        <w:jc w:val="center"/>
        <w:rPr>
          <w:b/>
          <w:sz w:val="22"/>
        </w:rPr>
      </w:pPr>
    </w:p>
    <w:p w14:paraId="7269E861" w14:textId="77777777" w:rsidR="00CA2E41" w:rsidRDefault="00CA2E41" w:rsidP="00CA2E41">
      <w:pPr>
        <w:jc w:val="center"/>
        <w:rPr>
          <w:b/>
          <w:sz w:val="22"/>
        </w:rPr>
      </w:pPr>
    </w:p>
    <w:p w14:paraId="6404CBE5" w14:textId="77777777" w:rsidR="00CA2E41" w:rsidRDefault="00CA2E41" w:rsidP="00CA2E41">
      <w:pPr>
        <w:jc w:val="center"/>
        <w:rPr>
          <w:b/>
          <w:sz w:val="22"/>
        </w:rPr>
      </w:pPr>
    </w:p>
    <w:p w14:paraId="270EF75F" w14:textId="77777777" w:rsidR="00CA2E41" w:rsidRDefault="00CA2E41" w:rsidP="00CA2E41">
      <w:pPr>
        <w:jc w:val="center"/>
        <w:rPr>
          <w:b/>
          <w:sz w:val="22"/>
        </w:rPr>
      </w:pPr>
    </w:p>
    <w:p w14:paraId="0434AF90" w14:textId="77777777" w:rsidR="00CA2E41" w:rsidRDefault="00CA2E41" w:rsidP="00CA2E41">
      <w:pPr>
        <w:jc w:val="center"/>
        <w:rPr>
          <w:b/>
          <w:sz w:val="22"/>
        </w:rPr>
      </w:pPr>
    </w:p>
    <w:p w14:paraId="743FD5B1" w14:textId="77777777" w:rsidR="00CA2E41" w:rsidRDefault="00CA2E41" w:rsidP="00CA2E41">
      <w:pPr>
        <w:jc w:val="center"/>
        <w:rPr>
          <w:b/>
          <w:sz w:val="22"/>
        </w:rPr>
      </w:pPr>
    </w:p>
    <w:p w14:paraId="4FF5D1D9" w14:textId="77777777" w:rsidR="00CA2E41" w:rsidRDefault="00CA2E41" w:rsidP="00CA2E41">
      <w:pPr>
        <w:jc w:val="center"/>
        <w:rPr>
          <w:b/>
          <w:sz w:val="22"/>
        </w:rPr>
      </w:pPr>
    </w:p>
    <w:p w14:paraId="24805710" w14:textId="77777777" w:rsidR="00CA2E41" w:rsidRDefault="00CA2E41" w:rsidP="00CA2E41">
      <w:pPr>
        <w:jc w:val="center"/>
        <w:rPr>
          <w:b/>
          <w:sz w:val="22"/>
        </w:rPr>
      </w:pPr>
    </w:p>
    <w:p w14:paraId="6A98C37F" w14:textId="77777777" w:rsidR="00CA2E41" w:rsidRDefault="00CA2E41" w:rsidP="00CA2E41">
      <w:pPr>
        <w:jc w:val="center"/>
        <w:rPr>
          <w:b/>
          <w:sz w:val="22"/>
        </w:rPr>
      </w:pPr>
    </w:p>
    <w:p w14:paraId="0190D24E" w14:textId="77777777" w:rsidR="00CA2E41" w:rsidRDefault="00CA2E41" w:rsidP="00CA2E41">
      <w:pPr>
        <w:jc w:val="center"/>
        <w:rPr>
          <w:b/>
          <w:sz w:val="22"/>
        </w:rPr>
      </w:pPr>
    </w:p>
    <w:p w14:paraId="2BE0B4C8" w14:textId="77777777" w:rsidR="00CA2E41" w:rsidRDefault="00CA2E41" w:rsidP="00CA2E41">
      <w:pPr>
        <w:jc w:val="center"/>
        <w:rPr>
          <w:b/>
          <w:sz w:val="22"/>
        </w:rPr>
      </w:pPr>
    </w:p>
    <w:p w14:paraId="66842A35" w14:textId="77777777" w:rsidR="00CA2E41" w:rsidRDefault="00CA2E41" w:rsidP="00CA2E41">
      <w:pPr>
        <w:jc w:val="center"/>
        <w:rPr>
          <w:b/>
          <w:sz w:val="22"/>
        </w:rPr>
      </w:pPr>
    </w:p>
    <w:p w14:paraId="77541884" w14:textId="77777777" w:rsidR="00CA2E41" w:rsidRDefault="00CA2E41" w:rsidP="00CA2E41">
      <w:pPr>
        <w:jc w:val="center"/>
        <w:rPr>
          <w:b/>
          <w:sz w:val="22"/>
        </w:rPr>
      </w:pPr>
    </w:p>
    <w:p w14:paraId="703D7FA1" w14:textId="77777777" w:rsidR="00CA2E41" w:rsidRDefault="00CA2E41" w:rsidP="00CA2E41">
      <w:pPr>
        <w:jc w:val="center"/>
        <w:rPr>
          <w:b/>
          <w:sz w:val="22"/>
        </w:rPr>
      </w:pPr>
    </w:p>
    <w:p w14:paraId="0256311D" w14:textId="77777777" w:rsidR="00CA2E41" w:rsidRDefault="00CA2E41" w:rsidP="00CA2E41">
      <w:pPr>
        <w:jc w:val="center"/>
        <w:rPr>
          <w:b/>
          <w:sz w:val="22"/>
        </w:rPr>
      </w:pPr>
    </w:p>
    <w:p w14:paraId="3FA6CF1F" w14:textId="77777777" w:rsidR="00CA2E41" w:rsidRDefault="00CA2E41" w:rsidP="00CA2E41">
      <w:pPr>
        <w:jc w:val="center"/>
        <w:rPr>
          <w:b/>
          <w:sz w:val="22"/>
        </w:rPr>
      </w:pPr>
    </w:p>
    <w:p w14:paraId="7D64AAD5" w14:textId="77777777" w:rsidR="00CA2E41" w:rsidRDefault="00CA2E41" w:rsidP="00CA2E41">
      <w:pPr>
        <w:jc w:val="center"/>
        <w:rPr>
          <w:b/>
          <w:sz w:val="22"/>
        </w:rPr>
      </w:pPr>
    </w:p>
    <w:p w14:paraId="19FAA4AB" w14:textId="77777777" w:rsidR="00CA2E41" w:rsidRDefault="00CA2E41" w:rsidP="00CA2E41">
      <w:pPr>
        <w:jc w:val="center"/>
        <w:rPr>
          <w:b/>
          <w:sz w:val="22"/>
        </w:rPr>
      </w:pPr>
    </w:p>
    <w:p w14:paraId="3F8BEE31" w14:textId="77777777" w:rsidR="00CA2E41" w:rsidRDefault="00CA2E41" w:rsidP="00CA2E41">
      <w:pPr>
        <w:jc w:val="center"/>
        <w:rPr>
          <w:b/>
          <w:sz w:val="22"/>
        </w:rPr>
      </w:pPr>
      <w:r>
        <w:rPr>
          <w:b/>
          <w:sz w:val="22"/>
        </w:rPr>
        <w:t>B. PAKUOTĖS LAPELIS</w:t>
      </w:r>
    </w:p>
    <w:p w14:paraId="763D9EDF" w14:textId="77777777" w:rsidR="00CA2E41" w:rsidRDefault="00CA2E41" w:rsidP="00CA2E41">
      <w:pPr>
        <w:rPr>
          <w:sz w:val="22"/>
        </w:rPr>
      </w:pPr>
    </w:p>
    <w:p w14:paraId="3504BF62" w14:textId="77777777" w:rsidR="00CA2E41" w:rsidRDefault="00CA2E41" w:rsidP="00CA2E41">
      <w:pPr>
        <w:jc w:val="center"/>
        <w:rPr>
          <w:b/>
          <w:sz w:val="22"/>
        </w:rPr>
      </w:pPr>
      <w:r>
        <w:rPr>
          <w:sz w:val="22"/>
        </w:rPr>
        <w:br w:type="page"/>
      </w:r>
      <w:r>
        <w:rPr>
          <w:b/>
          <w:iCs/>
          <w:sz w:val="22"/>
        </w:rPr>
        <w:lastRenderedPageBreak/>
        <w:t>Pakuotės lapelis: informacija vartotojui</w:t>
      </w:r>
    </w:p>
    <w:p w14:paraId="122EDB83" w14:textId="77777777" w:rsidR="00CA2E41" w:rsidRDefault="00CA2E41" w:rsidP="00CA2E41">
      <w:pPr>
        <w:jc w:val="center"/>
        <w:rPr>
          <w:sz w:val="22"/>
        </w:rPr>
      </w:pPr>
    </w:p>
    <w:p w14:paraId="2AA7D9F4" w14:textId="77777777" w:rsidR="00CA2E41" w:rsidRDefault="00CA2E41" w:rsidP="00CA2E41">
      <w:pPr>
        <w:jc w:val="center"/>
        <w:rPr>
          <w:b/>
          <w:sz w:val="22"/>
        </w:rPr>
      </w:pPr>
      <w:r>
        <w:rPr>
          <w:b/>
          <w:sz w:val="22"/>
        </w:rPr>
        <w:t>BOOSTRIX POLIO injekcinė suspensija užpildytame švirkšte</w:t>
      </w:r>
    </w:p>
    <w:p w14:paraId="04612350" w14:textId="77777777" w:rsidR="00CA2E41" w:rsidRDefault="00CA2E41" w:rsidP="00CA2E41">
      <w:pPr>
        <w:jc w:val="center"/>
        <w:rPr>
          <w:sz w:val="22"/>
        </w:rPr>
      </w:pPr>
      <w:r>
        <w:rPr>
          <w:sz w:val="22"/>
        </w:rPr>
        <w:t xml:space="preserve">Vakcina nuo difterijos, stabligės, kokliušo (neląstelinė, </w:t>
      </w:r>
      <w:proofErr w:type="spellStart"/>
      <w:r>
        <w:rPr>
          <w:sz w:val="22"/>
        </w:rPr>
        <w:t>komponentinė</w:t>
      </w:r>
      <w:proofErr w:type="spellEnd"/>
      <w:r>
        <w:rPr>
          <w:sz w:val="22"/>
        </w:rPr>
        <w:t>) ir nuo poliomielito (</w:t>
      </w:r>
      <w:proofErr w:type="spellStart"/>
      <w:r>
        <w:rPr>
          <w:sz w:val="22"/>
        </w:rPr>
        <w:t>inaktyvuota</w:t>
      </w:r>
      <w:proofErr w:type="spellEnd"/>
      <w:r>
        <w:rPr>
          <w:sz w:val="22"/>
        </w:rPr>
        <w:t>), (</w:t>
      </w:r>
      <w:proofErr w:type="spellStart"/>
      <w:r>
        <w:rPr>
          <w:sz w:val="22"/>
        </w:rPr>
        <w:t>adsorbuota</w:t>
      </w:r>
      <w:proofErr w:type="spellEnd"/>
      <w:r>
        <w:rPr>
          <w:sz w:val="22"/>
        </w:rPr>
        <w:t>, sumažinto antigenų kiekio)</w:t>
      </w:r>
    </w:p>
    <w:p w14:paraId="1D9453FC" w14:textId="77777777" w:rsidR="00CA2E41" w:rsidRDefault="00CA2E41" w:rsidP="00CA2E41">
      <w:pPr>
        <w:rPr>
          <w:sz w:val="22"/>
        </w:rPr>
      </w:pPr>
    </w:p>
    <w:p w14:paraId="5E66AC8F" w14:textId="77777777" w:rsidR="00CA2E41" w:rsidRDefault="00CA2E41" w:rsidP="00CA2E41">
      <w:pPr>
        <w:rPr>
          <w:b/>
          <w:sz w:val="22"/>
        </w:rPr>
      </w:pPr>
      <w:r>
        <w:rPr>
          <w:b/>
          <w:sz w:val="22"/>
        </w:rPr>
        <w:t>Atidžiai perskaitykite visą šį lapelį, prieš pradėdami vartoti vakciną, nes jame pateikiama Jums svarbi informacija.</w:t>
      </w:r>
    </w:p>
    <w:p w14:paraId="23F6C4C4" w14:textId="77777777" w:rsidR="00CA2E41" w:rsidRDefault="00CA2E41" w:rsidP="00CA2E41">
      <w:pPr>
        <w:rPr>
          <w:sz w:val="22"/>
        </w:rPr>
      </w:pPr>
      <w:r>
        <w:rPr>
          <w:sz w:val="22"/>
        </w:rPr>
        <w:t>-</w:t>
      </w:r>
      <w:r>
        <w:rPr>
          <w:sz w:val="22"/>
        </w:rPr>
        <w:tab/>
        <w:t>Neišmeskite šio lapelio, nes vėl gali prireikti jį perskaityti.</w:t>
      </w:r>
    </w:p>
    <w:p w14:paraId="4CE74C5F" w14:textId="77777777" w:rsidR="00CA2E41" w:rsidRDefault="00CA2E41" w:rsidP="00CA2E41">
      <w:pPr>
        <w:rPr>
          <w:sz w:val="22"/>
        </w:rPr>
      </w:pPr>
      <w:r>
        <w:rPr>
          <w:sz w:val="22"/>
        </w:rPr>
        <w:t>-</w:t>
      </w:r>
      <w:r>
        <w:rPr>
          <w:sz w:val="22"/>
        </w:rPr>
        <w:tab/>
        <w:t>Jeigu kiltų daugiau klausimų, kreipkitės į gydytoją arba vaistininką.</w:t>
      </w:r>
    </w:p>
    <w:p w14:paraId="6069C90D" w14:textId="77777777" w:rsidR="00CA2E41" w:rsidRDefault="00CA2E41" w:rsidP="00CA2E41">
      <w:pPr>
        <w:rPr>
          <w:sz w:val="22"/>
        </w:rPr>
      </w:pPr>
      <w:r>
        <w:rPr>
          <w:sz w:val="22"/>
        </w:rPr>
        <w:t>-</w:t>
      </w:r>
      <w:r>
        <w:rPr>
          <w:sz w:val="22"/>
        </w:rPr>
        <w:tab/>
        <w:t xml:space="preserve">Ši vakcina skirta tik Jums arba Jūsų vaikui, todėl kitiems žmonėms jos duoti negalima. </w:t>
      </w:r>
    </w:p>
    <w:p w14:paraId="5552F12E" w14:textId="21C3D87C" w:rsidR="00CA2E41" w:rsidRDefault="00CA2E41" w:rsidP="00CA2E41">
      <w:pPr>
        <w:ind w:left="567" w:hanging="567"/>
        <w:rPr>
          <w:sz w:val="22"/>
        </w:rPr>
      </w:pPr>
      <w:r>
        <w:rPr>
          <w:sz w:val="22"/>
        </w:rPr>
        <w:t>-</w:t>
      </w:r>
      <w:r>
        <w:rPr>
          <w:sz w:val="22"/>
        </w:rPr>
        <w:tab/>
        <w:t>Jeigu Jums arba Jūsų vaikui pasireiškė šalutinis (net jeigu jis šiame lapelyje nenurodytas), kreipkitės į gydytoją arba vaistininką. Žr.</w:t>
      </w:r>
      <w:r w:rsidR="001843B3">
        <w:rPr>
          <w:sz w:val="22"/>
        </w:rPr>
        <w:t> </w:t>
      </w:r>
      <w:r>
        <w:rPr>
          <w:sz w:val="22"/>
        </w:rPr>
        <w:t>4</w:t>
      </w:r>
      <w:r w:rsidR="001843B3">
        <w:rPr>
          <w:sz w:val="22"/>
        </w:rPr>
        <w:t> </w:t>
      </w:r>
      <w:r>
        <w:rPr>
          <w:sz w:val="22"/>
        </w:rPr>
        <w:t>skyrių.</w:t>
      </w:r>
    </w:p>
    <w:p w14:paraId="69FB5C68" w14:textId="77777777" w:rsidR="00CA2E41" w:rsidRDefault="00CA2E41" w:rsidP="00CA2E41">
      <w:pPr>
        <w:rPr>
          <w:sz w:val="22"/>
        </w:rPr>
      </w:pPr>
    </w:p>
    <w:p w14:paraId="6B14F4CB" w14:textId="77777777" w:rsidR="00CA2E41" w:rsidRDefault="00CA2E41" w:rsidP="00CA2E41">
      <w:pPr>
        <w:rPr>
          <w:b/>
          <w:sz w:val="22"/>
        </w:rPr>
      </w:pPr>
      <w:r>
        <w:rPr>
          <w:b/>
          <w:sz w:val="22"/>
        </w:rPr>
        <w:t>Apie ką rašoma šiame lapelyje?</w:t>
      </w:r>
    </w:p>
    <w:p w14:paraId="1E0008FC" w14:textId="77777777" w:rsidR="00CA2E41" w:rsidRPr="00305A45" w:rsidRDefault="00CA2E41" w:rsidP="00CA2E41">
      <w:pPr>
        <w:rPr>
          <w:sz w:val="22"/>
        </w:rPr>
      </w:pPr>
    </w:p>
    <w:p w14:paraId="02655B21" w14:textId="77777777" w:rsidR="00CA2E41" w:rsidRDefault="00CA2E41" w:rsidP="00CA2E41">
      <w:pPr>
        <w:rPr>
          <w:sz w:val="22"/>
        </w:rPr>
      </w:pPr>
      <w:r>
        <w:rPr>
          <w:sz w:val="22"/>
        </w:rPr>
        <w:t>1.</w:t>
      </w:r>
      <w:r>
        <w:rPr>
          <w:sz w:val="22"/>
        </w:rPr>
        <w:tab/>
        <w:t>Kas yra BOOSTRIX POLIO ir kam jis vartojamas</w:t>
      </w:r>
    </w:p>
    <w:p w14:paraId="0565C195" w14:textId="77777777" w:rsidR="00CA2E41" w:rsidRDefault="00CA2E41" w:rsidP="00CA2E41">
      <w:pPr>
        <w:rPr>
          <w:sz w:val="22"/>
        </w:rPr>
      </w:pPr>
      <w:r>
        <w:rPr>
          <w:sz w:val="22"/>
        </w:rPr>
        <w:t>2.</w:t>
      </w:r>
      <w:r>
        <w:rPr>
          <w:sz w:val="22"/>
        </w:rPr>
        <w:tab/>
        <w:t>Kas žinotina prieš vartojant BOOSTRIX POLIO</w:t>
      </w:r>
    </w:p>
    <w:p w14:paraId="2BC01446" w14:textId="77777777" w:rsidR="00CA2E41" w:rsidRDefault="00CA2E41" w:rsidP="00CA2E41">
      <w:pPr>
        <w:rPr>
          <w:sz w:val="22"/>
        </w:rPr>
      </w:pPr>
      <w:r>
        <w:rPr>
          <w:sz w:val="22"/>
        </w:rPr>
        <w:t>3.</w:t>
      </w:r>
      <w:r>
        <w:rPr>
          <w:sz w:val="22"/>
        </w:rPr>
        <w:tab/>
        <w:t>Kaip vartoti BOOSTRIX POLIO</w:t>
      </w:r>
    </w:p>
    <w:p w14:paraId="02D6932C" w14:textId="77777777" w:rsidR="00CA2E41" w:rsidRDefault="00CA2E41" w:rsidP="00CA2E41">
      <w:pPr>
        <w:rPr>
          <w:sz w:val="22"/>
        </w:rPr>
      </w:pPr>
      <w:r>
        <w:rPr>
          <w:sz w:val="22"/>
        </w:rPr>
        <w:t>4.</w:t>
      </w:r>
      <w:r>
        <w:rPr>
          <w:sz w:val="22"/>
        </w:rPr>
        <w:tab/>
        <w:t>Galimas šalutinis poveikis</w:t>
      </w:r>
    </w:p>
    <w:p w14:paraId="7CD8A9BA" w14:textId="77777777" w:rsidR="00CA2E41" w:rsidRDefault="00CA2E41" w:rsidP="00CA2E41">
      <w:pPr>
        <w:rPr>
          <w:sz w:val="22"/>
        </w:rPr>
      </w:pPr>
      <w:r>
        <w:rPr>
          <w:sz w:val="22"/>
        </w:rPr>
        <w:t>5.</w:t>
      </w:r>
      <w:r>
        <w:rPr>
          <w:sz w:val="22"/>
        </w:rPr>
        <w:tab/>
        <w:t>Kaip laikyti BOOSTRIX POLIO</w:t>
      </w:r>
    </w:p>
    <w:p w14:paraId="1EF4499C" w14:textId="77777777" w:rsidR="00CA2E41" w:rsidRDefault="00CA2E41" w:rsidP="00CA2E41">
      <w:pPr>
        <w:rPr>
          <w:sz w:val="22"/>
        </w:rPr>
      </w:pPr>
      <w:r>
        <w:rPr>
          <w:sz w:val="22"/>
        </w:rPr>
        <w:t>6.</w:t>
      </w:r>
      <w:r>
        <w:rPr>
          <w:sz w:val="22"/>
        </w:rPr>
        <w:tab/>
        <w:t>Pakuotės turinys ir kita informacija</w:t>
      </w:r>
    </w:p>
    <w:p w14:paraId="1CB8B061" w14:textId="77777777" w:rsidR="00CA2E41" w:rsidRDefault="00CA2E41" w:rsidP="00CA2E41">
      <w:pPr>
        <w:rPr>
          <w:sz w:val="22"/>
        </w:rPr>
      </w:pPr>
    </w:p>
    <w:p w14:paraId="74533062" w14:textId="0B159594" w:rsidR="00CA2E41" w:rsidRPr="00305A45" w:rsidRDefault="00CA2E41" w:rsidP="00CA2E41">
      <w:pPr>
        <w:tabs>
          <w:tab w:val="clear" w:pos="567"/>
          <w:tab w:val="left" w:pos="3765"/>
        </w:tabs>
        <w:rPr>
          <w:sz w:val="22"/>
        </w:rPr>
      </w:pPr>
    </w:p>
    <w:p w14:paraId="367413D1" w14:textId="77777777" w:rsidR="00CA2E41" w:rsidRDefault="00CA2E41" w:rsidP="00CA2E41">
      <w:pPr>
        <w:rPr>
          <w:b/>
          <w:sz w:val="22"/>
        </w:rPr>
      </w:pPr>
      <w:r>
        <w:rPr>
          <w:b/>
          <w:sz w:val="22"/>
        </w:rPr>
        <w:t>1.</w:t>
      </w:r>
      <w:r>
        <w:rPr>
          <w:b/>
          <w:sz w:val="22"/>
        </w:rPr>
        <w:tab/>
        <w:t>Kas yra BOOSTRIX POLIO ir kam jis vartojamas</w:t>
      </w:r>
    </w:p>
    <w:p w14:paraId="1E290847" w14:textId="77777777" w:rsidR="00CA2E41" w:rsidRDefault="00CA2E41" w:rsidP="00CA2E41">
      <w:pPr>
        <w:rPr>
          <w:sz w:val="22"/>
        </w:rPr>
      </w:pPr>
    </w:p>
    <w:p w14:paraId="272F4CFC" w14:textId="77777777" w:rsidR="00CA2E41" w:rsidRDefault="00CA2E41" w:rsidP="00CA2E41">
      <w:pPr>
        <w:rPr>
          <w:sz w:val="22"/>
        </w:rPr>
      </w:pPr>
      <w:r>
        <w:rPr>
          <w:sz w:val="22"/>
        </w:rPr>
        <w:t>BOOSTRIX POLIO vakcina vartojama pakartotinam vakcinavimui vyresniems nei 3 metų vaikams, paaugliams ir suaugusiems žmonėms apsaugoti nuo 4 ligų: difterijos, stabligės, kokliušo ir poliomielito. Vakcina veikia skatindama organizmą patį apsiginti (gaminti antikūnus) nuo šių ligų.</w:t>
      </w:r>
    </w:p>
    <w:p w14:paraId="5CA91412" w14:textId="77777777" w:rsidR="00CA2E41" w:rsidRDefault="00CA2E41" w:rsidP="00CA2E41">
      <w:pPr>
        <w:rPr>
          <w:sz w:val="22"/>
        </w:rPr>
      </w:pPr>
    </w:p>
    <w:p w14:paraId="5D73DD0A" w14:textId="77777777" w:rsidR="00CA2E41" w:rsidRDefault="00CA2E41" w:rsidP="00CA2E41">
      <w:pPr>
        <w:numPr>
          <w:ilvl w:val="0"/>
          <w:numId w:val="10"/>
        </w:numPr>
        <w:ind w:left="567" w:hanging="567"/>
        <w:rPr>
          <w:sz w:val="22"/>
        </w:rPr>
      </w:pPr>
      <w:r>
        <w:rPr>
          <w:b/>
          <w:sz w:val="22"/>
        </w:rPr>
        <w:t>Difterija.</w:t>
      </w:r>
      <w:r>
        <w:rPr>
          <w:sz w:val="22"/>
        </w:rPr>
        <w:t xml:space="preserve"> Difterija dažniausiai pažeidžia kvėpavimo takus, kartais – odą. Paprastai uždegimo apimti kvėpavimo takai paburksta, dėl to tampa sunku kvėpuoti, kartais dūstama. Bakterijos taip pat išskiria toksiną (nuodą), kuris gali pažeisti nervus, sukelti širdies ligas ir net mirtį.</w:t>
      </w:r>
    </w:p>
    <w:p w14:paraId="40F3B50E" w14:textId="77777777" w:rsidR="00CA2E41" w:rsidRDefault="00CA2E41" w:rsidP="00CA2E41">
      <w:pPr>
        <w:ind w:left="567" w:hanging="567"/>
        <w:rPr>
          <w:sz w:val="22"/>
        </w:rPr>
      </w:pPr>
    </w:p>
    <w:p w14:paraId="6075AD8E" w14:textId="77777777" w:rsidR="00CA2E41" w:rsidRDefault="00CA2E41" w:rsidP="00CA2E41">
      <w:pPr>
        <w:numPr>
          <w:ilvl w:val="0"/>
          <w:numId w:val="10"/>
        </w:numPr>
        <w:ind w:left="567" w:hanging="567"/>
        <w:rPr>
          <w:sz w:val="22"/>
        </w:rPr>
      </w:pPr>
      <w:r>
        <w:rPr>
          <w:b/>
          <w:sz w:val="22"/>
        </w:rPr>
        <w:t xml:space="preserve">Stabligė. </w:t>
      </w:r>
      <w:r>
        <w:rPr>
          <w:sz w:val="22"/>
        </w:rPr>
        <w:t>Stabligės bakterija į organizmą patenka per odos įpjovimus, įdrėskimus ar žaizdas. Ypač palankūs infekcijai yra nudegimai, lūžiai, žaizdos, kurios yra gilios arba užterštos žemėmis, dulkėmis, arklių mėšlu ar medžio atplaišomis. Bakterijos išskiria toksiną (nuodą), kuris gali sukelti raumenų sustingimą, skausmingus raumenų spazmus, traukulius ir net mirtį. Raumenų spazmai gali būti tokie stiprūs, kad lūžta stuburo kaulai.</w:t>
      </w:r>
    </w:p>
    <w:p w14:paraId="1D9007C4" w14:textId="77777777" w:rsidR="00CA2E41" w:rsidRDefault="00CA2E41" w:rsidP="00CA2E41">
      <w:pPr>
        <w:ind w:left="567" w:hanging="567"/>
        <w:rPr>
          <w:sz w:val="22"/>
        </w:rPr>
      </w:pPr>
    </w:p>
    <w:p w14:paraId="3986A240" w14:textId="77777777" w:rsidR="00CA2E41" w:rsidRDefault="00CA2E41" w:rsidP="00CA2E41">
      <w:pPr>
        <w:numPr>
          <w:ilvl w:val="0"/>
          <w:numId w:val="10"/>
        </w:numPr>
        <w:ind w:left="567" w:hanging="567"/>
        <w:rPr>
          <w:sz w:val="22"/>
        </w:rPr>
      </w:pPr>
      <w:r>
        <w:rPr>
          <w:b/>
          <w:sz w:val="22"/>
        </w:rPr>
        <w:t>Kokliušas.</w:t>
      </w:r>
      <w:r>
        <w:rPr>
          <w:sz w:val="22"/>
        </w:rPr>
        <w:t xml:space="preserve"> Kokliušas – užkrečiama liga, pažeidžianti kvėpavimo takus ir sukelianti sunkius kosulio priepuolius. Kokliušui būdingas savotiškas kosulys su garsiais įkvėpimais. Kosulys gali tęstis 1–2 mėnesius ar ilgiau. Be to, kokliušas gali sukelti ausų infekcijas, bronchitą, galintį trukti ilgai, pneumoniją, traukulius, smegenų pažeidimą ir net mirtį.</w:t>
      </w:r>
    </w:p>
    <w:p w14:paraId="7D0B45FE" w14:textId="77777777" w:rsidR="00CA2E41" w:rsidRDefault="00CA2E41" w:rsidP="00CA2E41">
      <w:pPr>
        <w:ind w:left="567" w:hanging="567"/>
        <w:rPr>
          <w:sz w:val="22"/>
        </w:rPr>
      </w:pPr>
    </w:p>
    <w:p w14:paraId="34890BD3" w14:textId="77777777" w:rsidR="00CA2E41" w:rsidRDefault="00CA2E41" w:rsidP="00CA2E41">
      <w:pPr>
        <w:numPr>
          <w:ilvl w:val="0"/>
          <w:numId w:val="10"/>
        </w:numPr>
        <w:ind w:left="567" w:hanging="567"/>
        <w:rPr>
          <w:sz w:val="22"/>
        </w:rPr>
      </w:pPr>
      <w:r>
        <w:rPr>
          <w:b/>
          <w:sz w:val="22"/>
        </w:rPr>
        <w:t>Poliomielitas (polio</w:t>
      </w:r>
      <w:r>
        <w:rPr>
          <w:sz w:val="22"/>
        </w:rPr>
        <w:t>). Poliomielitas, kartais vadinamas tiesiog „polio“, yra virusinė infekcija, kurios poveikis gali būti įvairus. Dažnai liga būna nesunki, bet kai kuriems žmonėms ji gali sukelti nuolatinę negalią ar netgi mirtį. Pačios sunkiausios formos poliomielitas gali paralyžiuoti raumenis (raumenys negali judėti), įskaitant ir raumenis, reikalingus kvėpuojant ir vaikščiojant. Šios ligos pažeistos galūnės gali skausmingai deformuotis.</w:t>
      </w:r>
    </w:p>
    <w:p w14:paraId="08975C85" w14:textId="77777777" w:rsidR="00CA2E41" w:rsidRDefault="00CA2E41" w:rsidP="00CA2E41">
      <w:pPr>
        <w:rPr>
          <w:sz w:val="22"/>
        </w:rPr>
      </w:pPr>
    </w:p>
    <w:p w14:paraId="31C51D01" w14:textId="77777777" w:rsidR="00CA2E41" w:rsidRDefault="00CA2E41" w:rsidP="00CA2E41">
      <w:pPr>
        <w:rPr>
          <w:sz w:val="22"/>
        </w:rPr>
      </w:pPr>
      <w:r>
        <w:rPr>
          <w:sz w:val="22"/>
        </w:rPr>
        <w:t>Nė viena iš vakcinos sudedamųjų dalių nesukelia difterijos, stabligės, kokliušo ar poliomielito.</w:t>
      </w:r>
    </w:p>
    <w:p w14:paraId="71F67C29" w14:textId="77777777" w:rsidR="00CA2E41" w:rsidRDefault="00CA2E41" w:rsidP="00CA2E41">
      <w:pPr>
        <w:rPr>
          <w:sz w:val="22"/>
        </w:rPr>
      </w:pPr>
    </w:p>
    <w:p w14:paraId="18063811" w14:textId="77777777" w:rsidR="00CA2E41" w:rsidRDefault="00CA2E41" w:rsidP="00CA2E41">
      <w:pPr>
        <w:rPr>
          <w:sz w:val="22"/>
        </w:rPr>
      </w:pPr>
      <w:r>
        <w:rPr>
          <w:sz w:val="22"/>
        </w:rPr>
        <w:t>Paskiepijimas BOOSTRIX POLIO nėštumo metu padės apsaugoti Jūsų kūdikį nuo kokliušo pirmaisiais gyvenimo mėnesiais, kol jis ar ji nebus paskiepyti.</w:t>
      </w:r>
    </w:p>
    <w:p w14:paraId="41A1B1BA" w14:textId="77777777" w:rsidR="00CA2E41" w:rsidRDefault="00CA2E41" w:rsidP="00CA2E41">
      <w:pPr>
        <w:rPr>
          <w:sz w:val="22"/>
        </w:rPr>
      </w:pPr>
    </w:p>
    <w:p w14:paraId="732C0655" w14:textId="77777777" w:rsidR="00CA2E41" w:rsidRDefault="00CA2E41" w:rsidP="00CA2E41">
      <w:pPr>
        <w:keepNext/>
        <w:keepLines/>
        <w:rPr>
          <w:b/>
          <w:sz w:val="22"/>
        </w:rPr>
      </w:pPr>
      <w:r>
        <w:rPr>
          <w:b/>
          <w:sz w:val="22"/>
        </w:rPr>
        <w:lastRenderedPageBreak/>
        <w:t>2.</w:t>
      </w:r>
      <w:r>
        <w:rPr>
          <w:b/>
          <w:sz w:val="22"/>
        </w:rPr>
        <w:tab/>
        <w:t>Kas žinotina prieš vartojant BOOSTRIX POLIO</w:t>
      </w:r>
    </w:p>
    <w:p w14:paraId="7AFBDBF1" w14:textId="77777777" w:rsidR="00CA2E41" w:rsidRPr="00305A45" w:rsidRDefault="00CA2E41" w:rsidP="00CA2E41">
      <w:pPr>
        <w:keepNext/>
        <w:keepLines/>
        <w:rPr>
          <w:sz w:val="22"/>
        </w:rPr>
      </w:pPr>
    </w:p>
    <w:p w14:paraId="2B31B080" w14:textId="7154D25A" w:rsidR="00CA2E41" w:rsidRDefault="00CA2E41" w:rsidP="00CA2E41">
      <w:pPr>
        <w:keepNext/>
        <w:keepLines/>
        <w:rPr>
          <w:b/>
          <w:sz w:val="22"/>
        </w:rPr>
      </w:pPr>
      <w:r>
        <w:rPr>
          <w:b/>
          <w:sz w:val="22"/>
        </w:rPr>
        <w:t xml:space="preserve">BOOSTRIX POLIO vartoti </w:t>
      </w:r>
      <w:r w:rsidR="00E848EC">
        <w:rPr>
          <w:b/>
          <w:sz w:val="22"/>
        </w:rPr>
        <w:t>draudžiama</w:t>
      </w:r>
      <w:r>
        <w:rPr>
          <w:b/>
          <w:sz w:val="22"/>
        </w:rPr>
        <w:t>:</w:t>
      </w:r>
    </w:p>
    <w:p w14:paraId="2C4CF365" w14:textId="77777777" w:rsidR="00CA2E41" w:rsidRDefault="00CA2E41" w:rsidP="00CA2E41">
      <w:pPr>
        <w:keepNext/>
        <w:keepLines/>
        <w:rPr>
          <w:sz w:val="22"/>
        </w:rPr>
      </w:pPr>
    </w:p>
    <w:p w14:paraId="1F223BD1" w14:textId="2AF31610" w:rsidR="00CA2E41" w:rsidRDefault="00CA2E41" w:rsidP="00E30FAC">
      <w:pPr>
        <w:keepNext/>
        <w:keepLines/>
        <w:numPr>
          <w:ilvl w:val="0"/>
          <w:numId w:val="12"/>
        </w:numPr>
        <w:tabs>
          <w:tab w:val="num" w:pos="567"/>
        </w:tabs>
        <w:ind w:left="567" w:hanging="567"/>
        <w:rPr>
          <w:sz w:val="22"/>
        </w:rPr>
      </w:pPr>
      <w:r>
        <w:rPr>
          <w:sz w:val="22"/>
        </w:rPr>
        <w:t>jeigu Jums ar Jūsų vaikui anksčiau buvo kokia nors alerginė reakcija nuo BOOSTRIX POLIO ar nuo bet kurios sudedamosios vakcinos veikliosios medžiagos (jos išvardytos 6</w:t>
      </w:r>
      <w:r w:rsidR="001843B3">
        <w:rPr>
          <w:sz w:val="22"/>
        </w:rPr>
        <w:t> </w:t>
      </w:r>
      <w:r>
        <w:rPr>
          <w:sz w:val="22"/>
        </w:rPr>
        <w:t xml:space="preserve">skyriuje) ar nuo </w:t>
      </w:r>
      <w:proofErr w:type="spellStart"/>
      <w:r>
        <w:rPr>
          <w:sz w:val="22"/>
        </w:rPr>
        <w:t>neomicino</w:t>
      </w:r>
      <w:proofErr w:type="spellEnd"/>
      <w:r>
        <w:rPr>
          <w:sz w:val="22"/>
        </w:rPr>
        <w:t xml:space="preserve">, </w:t>
      </w:r>
      <w:proofErr w:type="spellStart"/>
      <w:r>
        <w:rPr>
          <w:sz w:val="22"/>
        </w:rPr>
        <w:t>polimiksino</w:t>
      </w:r>
      <w:proofErr w:type="spellEnd"/>
      <w:r>
        <w:rPr>
          <w:sz w:val="22"/>
        </w:rPr>
        <w:t xml:space="preserve"> (antibiotikai)</w:t>
      </w:r>
      <w:r w:rsidR="002A74EA">
        <w:rPr>
          <w:sz w:val="22"/>
        </w:rPr>
        <w:t xml:space="preserve">arba </w:t>
      </w:r>
      <w:proofErr w:type="spellStart"/>
      <w:r w:rsidR="002A74EA">
        <w:rPr>
          <w:sz w:val="22"/>
        </w:rPr>
        <w:t>formaldehido</w:t>
      </w:r>
      <w:proofErr w:type="spellEnd"/>
      <w:r>
        <w:rPr>
          <w:sz w:val="22"/>
        </w:rPr>
        <w:t>. Alerginės reakcijos požymiai gali būti niežtintis odos išbėrimas, dusulys ir veido ar liežuvio patinimas;</w:t>
      </w:r>
    </w:p>
    <w:p w14:paraId="7F5D7765" w14:textId="77777777" w:rsidR="00CA2E41" w:rsidRDefault="00CA2E41" w:rsidP="00E30FAC">
      <w:pPr>
        <w:numPr>
          <w:ilvl w:val="0"/>
          <w:numId w:val="12"/>
        </w:numPr>
        <w:tabs>
          <w:tab w:val="num" w:pos="567"/>
        </w:tabs>
        <w:ind w:left="567" w:hanging="567"/>
        <w:rPr>
          <w:sz w:val="22"/>
        </w:rPr>
      </w:pPr>
      <w:r>
        <w:rPr>
          <w:sz w:val="22"/>
        </w:rPr>
        <w:t>jeigu kuri nors vakcina nuo difterijos, stabligės, kokliušo ar poliomielito Jums arba Jūsų vaikui anksčiau sukėlė alerginę reakciją;</w:t>
      </w:r>
    </w:p>
    <w:p w14:paraId="3FBA5FEB" w14:textId="4AA23E7A" w:rsidR="00CA2E41" w:rsidRDefault="00CA2E41" w:rsidP="00E30FAC">
      <w:pPr>
        <w:numPr>
          <w:ilvl w:val="0"/>
          <w:numId w:val="12"/>
        </w:numPr>
        <w:tabs>
          <w:tab w:val="num" w:pos="567"/>
        </w:tabs>
        <w:ind w:left="567" w:hanging="567"/>
        <w:rPr>
          <w:sz w:val="22"/>
        </w:rPr>
      </w:pPr>
      <w:r>
        <w:rPr>
          <w:sz w:val="22"/>
        </w:rPr>
        <w:t>jeigu Jums arba Jūsų vaikui buvo nervų sistemos sutrikimų (</w:t>
      </w:r>
      <w:proofErr w:type="spellStart"/>
      <w:r>
        <w:rPr>
          <w:sz w:val="22"/>
        </w:rPr>
        <w:t>encefalopatija</w:t>
      </w:r>
      <w:proofErr w:type="spellEnd"/>
      <w:r>
        <w:rPr>
          <w:sz w:val="22"/>
        </w:rPr>
        <w:t>) per 7</w:t>
      </w:r>
      <w:r w:rsidR="001843B3">
        <w:rPr>
          <w:sz w:val="22"/>
        </w:rPr>
        <w:t> </w:t>
      </w:r>
      <w:r>
        <w:rPr>
          <w:sz w:val="22"/>
        </w:rPr>
        <w:t>dienas po ankstesnio skiepijimo vakcina nuo kokliušo;</w:t>
      </w:r>
    </w:p>
    <w:p w14:paraId="6BFE8885" w14:textId="77777777" w:rsidR="00CA2E41" w:rsidRDefault="00CA2E41" w:rsidP="00E30FAC">
      <w:pPr>
        <w:numPr>
          <w:ilvl w:val="0"/>
          <w:numId w:val="12"/>
        </w:numPr>
        <w:tabs>
          <w:tab w:val="num" w:pos="567"/>
        </w:tabs>
        <w:ind w:left="567" w:hanging="567"/>
        <w:rPr>
          <w:sz w:val="22"/>
        </w:rPr>
      </w:pPr>
      <w:r>
        <w:rPr>
          <w:sz w:val="22"/>
        </w:rPr>
        <w:t>jeigu Jums ar Jūsų vaikui buvo laikinai sumažėjęs trombocitų kiekis kraujyje (tai padidina kraujavimo ir kraujosruvų riziką) arba pasireiškė smegenų ar nervų sutrikimai po ankstesnio skiepijimo vakcina nuo difterijos ir/ar stabligės;</w:t>
      </w:r>
    </w:p>
    <w:p w14:paraId="1EC84177" w14:textId="77777777" w:rsidR="00CA2E41" w:rsidRDefault="00CA2E41" w:rsidP="00E30FAC">
      <w:pPr>
        <w:numPr>
          <w:ilvl w:val="0"/>
          <w:numId w:val="12"/>
        </w:numPr>
        <w:tabs>
          <w:tab w:val="num" w:pos="567"/>
        </w:tabs>
        <w:ind w:left="567" w:hanging="567"/>
        <w:rPr>
          <w:sz w:val="22"/>
        </w:rPr>
      </w:pPr>
      <w:r>
        <w:rPr>
          <w:sz w:val="22"/>
        </w:rPr>
        <w:t xml:space="preserve">jeigu Jūs arba Jūsų vaikas serga sunkia infekcine liga ir karščiuoja (daugiau kaip 38 °C). </w:t>
      </w:r>
    </w:p>
    <w:p w14:paraId="0384427C" w14:textId="77777777" w:rsidR="00CA2E41" w:rsidRDefault="00CA2E41" w:rsidP="00CA2E41">
      <w:pPr>
        <w:tabs>
          <w:tab w:val="num" w:pos="567"/>
        </w:tabs>
        <w:ind w:left="567"/>
        <w:rPr>
          <w:sz w:val="22"/>
        </w:rPr>
      </w:pPr>
      <w:r>
        <w:rPr>
          <w:sz w:val="22"/>
        </w:rPr>
        <w:t>Nedidelė infekcija, neturėtų būti problema, tačiau prieš skiepijimą pasitarkite su savo gydytoju.</w:t>
      </w:r>
    </w:p>
    <w:p w14:paraId="03F730C5" w14:textId="77777777" w:rsidR="00CA2E41" w:rsidRDefault="00CA2E41" w:rsidP="00CA2E41">
      <w:pPr>
        <w:rPr>
          <w:sz w:val="22"/>
        </w:rPr>
      </w:pPr>
    </w:p>
    <w:p w14:paraId="3D169F01" w14:textId="77777777" w:rsidR="00CA2E41" w:rsidRDefault="00CA2E41" w:rsidP="00CA2E41">
      <w:pPr>
        <w:rPr>
          <w:b/>
          <w:sz w:val="22"/>
        </w:rPr>
      </w:pPr>
      <w:r>
        <w:rPr>
          <w:b/>
          <w:sz w:val="22"/>
        </w:rPr>
        <w:t>Įspėjimai ir atsargumo priemonės</w:t>
      </w:r>
    </w:p>
    <w:p w14:paraId="27DEAE00" w14:textId="77777777" w:rsidR="00CA2E41" w:rsidRDefault="00CA2E41" w:rsidP="00E30FAC">
      <w:pPr>
        <w:numPr>
          <w:ilvl w:val="12"/>
          <w:numId w:val="0"/>
        </w:numPr>
        <w:tabs>
          <w:tab w:val="clear" w:pos="567"/>
          <w:tab w:val="left" w:pos="1296"/>
        </w:tabs>
        <w:ind w:right="-2"/>
        <w:rPr>
          <w:sz w:val="22"/>
        </w:rPr>
      </w:pPr>
    </w:p>
    <w:p w14:paraId="24C5F82A" w14:textId="77777777" w:rsidR="00CA2E41" w:rsidRDefault="00CA2E41" w:rsidP="00E30FAC">
      <w:pPr>
        <w:numPr>
          <w:ilvl w:val="12"/>
          <w:numId w:val="0"/>
        </w:numPr>
        <w:tabs>
          <w:tab w:val="clear" w:pos="567"/>
          <w:tab w:val="left" w:pos="1296"/>
        </w:tabs>
        <w:ind w:right="-2"/>
        <w:rPr>
          <w:b/>
          <w:bCs/>
          <w:sz w:val="22"/>
        </w:rPr>
      </w:pPr>
      <w:r>
        <w:rPr>
          <w:b/>
          <w:bCs/>
          <w:sz w:val="22"/>
        </w:rPr>
        <w:t>Pasitarkite su gydytoju arba vaistininku prieš pradėdami vartoti BOOSTRIX POLIO:</w:t>
      </w:r>
    </w:p>
    <w:p w14:paraId="59CE25A5" w14:textId="77777777" w:rsidR="00CA2E41" w:rsidRDefault="00CA2E41" w:rsidP="00E30FAC">
      <w:pPr>
        <w:tabs>
          <w:tab w:val="clear" w:pos="567"/>
          <w:tab w:val="left" w:pos="1296"/>
        </w:tabs>
        <w:rPr>
          <w:sz w:val="22"/>
        </w:rPr>
      </w:pPr>
    </w:p>
    <w:p w14:paraId="5487023B" w14:textId="77777777" w:rsidR="00CA2E41" w:rsidRDefault="00CA2E41" w:rsidP="00E30FAC">
      <w:pPr>
        <w:numPr>
          <w:ilvl w:val="0"/>
          <w:numId w:val="14"/>
        </w:numPr>
        <w:tabs>
          <w:tab w:val="num" w:pos="567"/>
        </w:tabs>
        <w:ind w:left="567" w:hanging="567"/>
        <w:rPr>
          <w:sz w:val="22"/>
        </w:rPr>
      </w:pPr>
      <w:r>
        <w:rPr>
          <w:sz w:val="22"/>
        </w:rPr>
        <w:t>jeigu po ankstesnių skiepų BOOSTRIX POLIO arba kita vakcina nuo kokliušo Jums arba Jūsų vaikui buvo kokių nors problemų, ypač jeigu:</w:t>
      </w:r>
    </w:p>
    <w:p w14:paraId="5A6D82B9" w14:textId="77777777" w:rsidR="00CA2E41" w:rsidRDefault="00CA2E41" w:rsidP="00CA2E41">
      <w:pPr>
        <w:tabs>
          <w:tab w:val="clear" w:pos="567"/>
          <w:tab w:val="num" w:pos="1134"/>
        </w:tabs>
        <w:ind w:left="1134" w:hanging="567"/>
        <w:rPr>
          <w:sz w:val="22"/>
        </w:rPr>
      </w:pPr>
      <w:r>
        <w:rPr>
          <w:sz w:val="22"/>
        </w:rPr>
        <w:t>♦</w:t>
      </w:r>
      <w:r>
        <w:rPr>
          <w:sz w:val="22"/>
        </w:rPr>
        <w:tab/>
        <w:t>pakilo aukšta temperatūra (daugiau kaip 40 °C) per 48 valandas po skiepų;</w:t>
      </w:r>
    </w:p>
    <w:p w14:paraId="363CE5A0" w14:textId="77777777" w:rsidR="00CA2E41" w:rsidRDefault="00CA2E41" w:rsidP="00CA2E41">
      <w:pPr>
        <w:tabs>
          <w:tab w:val="clear" w:pos="567"/>
          <w:tab w:val="num" w:pos="1134"/>
        </w:tabs>
        <w:ind w:left="1134" w:hanging="567"/>
        <w:rPr>
          <w:sz w:val="22"/>
        </w:rPr>
      </w:pPr>
      <w:r>
        <w:rPr>
          <w:sz w:val="22"/>
        </w:rPr>
        <w:t>♦</w:t>
      </w:r>
      <w:r>
        <w:rPr>
          <w:sz w:val="22"/>
        </w:rPr>
        <w:tab/>
        <w:t xml:space="preserve">ištiko </w:t>
      </w:r>
      <w:proofErr w:type="spellStart"/>
      <w:r>
        <w:rPr>
          <w:sz w:val="22"/>
        </w:rPr>
        <w:t>kolapsas</w:t>
      </w:r>
      <w:proofErr w:type="spellEnd"/>
      <w:r>
        <w:rPr>
          <w:sz w:val="22"/>
        </w:rPr>
        <w:t xml:space="preserve"> ar į šoką panaši būklė per 48 valandas po skiepų;</w:t>
      </w:r>
    </w:p>
    <w:p w14:paraId="5941EC9C" w14:textId="77777777" w:rsidR="00CA2E41" w:rsidRDefault="00CA2E41" w:rsidP="00CA2E41">
      <w:pPr>
        <w:tabs>
          <w:tab w:val="clear" w:pos="567"/>
          <w:tab w:val="num" w:pos="1134"/>
        </w:tabs>
        <w:ind w:left="1134" w:hanging="567"/>
        <w:rPr>
          <w:sz w:val="22"/>
        </w:rPr>
      </w:pPr>
      <w:r>
        <w:rPr>
          <w:sz w:val="22"/>
        </w:rPr>
        <w:t>♦</w:t>
      </w:r>
      <w:r>
        <w:rPr>
          <w:sz w:val="22"/>
        </w:rPr>
        <w:tab/>
        <w:t>3 valandas ar daugiau tęsėsi verksmas per 48 valandas po skiepų;</w:t>
      </w:r>
    </w:p>
    <w:p w14:paraId="511F136F" w14:textId="77777777" w:rsidR="00CA2E41" w:rsidRDefault="00CA2E41" w:rsidP="00CA2E41">
      <w:pPr>
        <w:tabs>
          <w:tab w:val="clear" w:pos="567"/>
          <w:tab w:val="num" w:pos="1134"/>
        </w:tabs>
        <w:ind w:left="1134" w:hanging="567"/>
        <w:rPr>
          <w:sz w:val="22"/>
        </w:rPr>
      </w:pPr>
      <w:r>
        <w:rPr>
          <w:sz w:val="22"/>
        </w:rPr>
        <w:t>♦</w:t>
      </w:r>
      <w:r>
        <w:rPr>
          <w:sz w:val="22"/>
        </w:rPr>
        <w:tab/>
        <w:t>įvyko traukulių priepuolis stipriai karščiuojant ar nekarščiuojant per 3 dienas po skiepų;</w:t>
      </w:r>
    </w:p>
    <w:p w14:paraId="30395F58" w14:textId="77777777" w:rsidR="00CA2E41" w:rsidRDefault="00CA2E41" w:rsidP="00CA2E41">
      <w:pPr>
        <w:numPr>
          <w:ilvl w:val="0"/>
          <w:numId w:val="16"/>
        </w:numPr>
        <w:tabs>
          <w:tab w:val="num" w:pos="567"/>
        </w:tabs>
        <w:ind w:left="567" w:hanging="567"/>
        <w:rPr>
          <w:sz w:val="22"/>
        </w:rPr>
      </w:pPr>
      <w:r>
        <w:rPr>
          <w:sz w:val="22"/>
        </w:rPr>
        <w:t>jeigu Jūsų vaikas serga tiksliai nenustatyta ar progresuojančia smegenų liga arba nepakankamai valdoma epilepsija. Paskiepyti reikia, kai liga bus suvaldyta;</w:t>
      </w:r>
    </w:p>
    <w:p w14:paraId="240B7A87" w14:textId="77777777" w:rsidR="00CA2E41" w:rsidRDefault="00CA2E41" w:rsidP="00CA2E41">
      <w:pPr>
        <w:numPr>
          <w:ilvl w:val="0"/>
          <w:numId w:val="16"/>
        </w:numPr>
        <w:tabs>
          <w:tab w:val="num" w:pos="567"/>
        </w:tabs>
        <w:ind w:left="567" w:hanging="567"/>
        <w:rPr>
          <w:sz w:val="22"/>
        </w:rPr>
      </w:pPr>
      <w:r>
        <w:rPr>
          <w:sz w:val="22"/>
        </w:rPr>
        <w:t>jeigu Jums arba Jūsų vaikui yra kraujavimo sutrikimų arba lengvai atsiranda kraujosruvų;</w:t>
      </w:r>
    </w:p>
    <w:p w14:paraId="6768526D" w14:textId="77777777" w:rsidR="00CA2E41" w:rsidRDefault="00CA2E41" w:rsidP="00CA2E41">
      <w:pPr>
        <w:numPr>
          <w:ilvl w:val="0"/>
          <w:numId w:val="16"/>
        </w:numPr>
        <w:tabs>
          <w:tab w:val="num" w:pos="567"/>
        </w:tabs>
        <w:ind w:left="567" w:hanging="567"/>
        <w:rPr>
          <w:sz w:val="22"/>
        </w:rPr>
      </w:pPr>
      <w:r>
        <w:rPr>
          <w:sz w:val="22"/>
        </w:rPr>
        <w:t>jeigu Jūs arba Jūsų vaikas yra linkęs į traukulius, atsirandančius karščiuojant, arba tokių traukulių yra buvę Jūsų šeimos nariams;</w:t>
      </w:r>
    </w:p>
    <w:p w14:paraId="282F0115" w14:textId="77777777" w:rsidR="00CA2E41" w:rsidRDefault="00CA2E41" w:rsidP="00CA2E41">
      <w:pPr>
        <w:numPr>
          <w:ilvl w:val="0"/>
          <w:numId w:val="16"/>
        </w:numPr>
        <w:tabs>
          <w:tab w:val="num" w:pos="567"/>
        </w:tabs>
        <w:ind w:left="567" w:hanging="567"/>
        <w:rPr>
          <w:sz w:val="22"/>
        </w:rPr>
      </w:pPr>
      <w:r>
        <w:rPr>
          <w:sz w:val="22"/>
        </w:rPr>
        <w:t>jeigu Jūs ar Jūsų vaikas turi bet kokios kilmės (įskaitant ŽIV infekciją) ilgalaikių imuninės sistemos sutrikimų. Tokiu atveju Jums ar Jūsų vaikui vis tiek galima vartoti BOOSTRIX POLIO, tačiau po vakcinavimo apsauga nuo infekcijų gali būti ne tokia gera kaip vaikams ar suaugusiems žmonėms, kurių imuninė sistema sveika.</w:t>
      </w:r>
    </w:p>
    <w:p w14:paraId="2E49422B" w14:textId="77777777" w:rsidR="00CA2E41" w:rsidRDefault="00CA2E41" w:rsidP="00E30FAC">
      <w:pPr>
        <w:tabs>
          <w:tab w:val="clear" w:pos="567"/>
          <w:tab w:val="left" w:pos="1296"/>
        </w:tabs>
        <w:rPr>
          <w:sz w:val="22"/>
        </w:rPr>
      </w:pPr>
    </w:p>
    <w:p w14:paraId="4B7C46A9" w14:textId="77777777" w:rsidR="00CA2E41" w:rsidRDefault="00CA2E41" w:rsidP="00E30FAC">
      <w:pPr>
        <w:tabs>
          <w:tab w:val="clear" w:pos="567"/>
          <w:tab w:val="left" w:pos="1296"/>
        </w:tabs>
        <w:rPr>
          <w:sz w:val="22"/>
        </w:rPr>
      </w:pPr>
      <w:r>
        <w:rPr>
          <w:sz w:val="22"/>
        </w:rPr>
        <w:t>Galimas apalpimas (dažniausiai paaugliams) po bet kokios injekcijos arba netgi prieš bet kokią injekciją adata. Todėl jeigu anksčiau leidžiant injekciją, Jūs buvote arba Jūsų vaikas buvo apalpęs, apie tai pasakykite gydytojui arba slaugytojai.</w:t>
      </w:r>
    </w:p>
    <w:p w14:paraId="79AF8F77" w14:textId="77777777" w:rsidR="00CA2E41" w:rsidRDefault="00CA2E41" w:rsidP="00E30FAC">
      <w:pPr>
        <w:tabs>
          <w:tab w:val="clear" w:pos="567"/>
          <w:tab w:val="left" w:pos="1296"/>
        </w:tabs>
        <w:rPr>
          <w:sz w:val="22"/>
        </w:rPr>
      </w:pPr>
    </w:p>
    <w:p w14:paraId="5F1FD2C5" w14:textId="77777777" w:rsidR="00CA2E41" w:rsidRDefault="00CA2E41" w:rsidP="00E30FAC">
      <w:pPr>
        <w:tabs>
          <w:tab w:val="clear" w:pos="567"/>
          <w:tab w:val="left" w:pos="1296"/>
        </w:tabs>
        <w:rPr>
          <w:sz w:val="22"/>
        </w:rPr>
      </w:pPr>
      <w:r>
        <w:rPr>
          <w:sz w:val="22"/>
        </w:rPr>
        <w:t>Kaip visos vakcinos BOOSTRIX POLIO negali suteikti visiškos apsaugos visiems vakcinuotiems žmonėms.</w:t>
      </w:r>
    </w:p>
    <w:p w14:paraId="62E5CA39" w14:textId="77777777" w:rsidR="00CA2E41" w:rsidRDefault="00CA2E41" w:rsidP="00CA2E41">
      <w:pPr>
        <w:rPr>
          <w:sz w:val="22"/>
        </w:rPr>
      </w:pPr>
    </w:p>
    <w:p w14:paraId="248BD3CF" w14:textId="77777777" w:rsidR="00CA2E41" w:rsidRDefault="00CA2E41" w:rsidP="00CA2E41">
      <w:pPr>
        <w:rPr>
          <w:b/>
          <w:sz w:val="22"/>
        </w:rPr>
      </w:pPr>
      <w:r>
        <w:rPr>
          <w:b/>
          <w:sz w:val="22"/>
        </w:rPr>
        <w:t>Kiti vaistai ir BOOSTRIX POLIO</w:t>
      </w:r>
    </w:p>
    <w:p w14:paraId="234983A5" w14:textId="77777777" w:rsidR="00CA2E41" w:rsidRPr="00305A45" w:rsidRDefault="00CA2E41" w:rsidP="00CA2E41">
      <w:pPr>
        <w:rPr>
          <w:sz w:val="22"/>
        </w:rPr>
      </w:pPr>
    </w:p>
    <w:p w14:paraId="564C0371" w14:textId="77777777" w:rsidR="00CA2E41" w:rsidRDefault="00CA2E41" w:rsidP="00CA2E41">
      <w:pPr>
        <w:rPr>
          <w:sz w:val="22"/>
        </w:rPr>
      </w:pPr>
      <w:r>
        <w:rPr>
          <w:sz w:val="22"/>
        </w:rPr>
        <w:t>Jeigu Jūs ar Jūsų vaikas vartojate (vartoja) arba neseniai vartojote (vartojo) kitų vaistų, o taip pat, jeigu neseniai buvote (buvo) skiepytas kita vakcina, pasakykite gydytojui arba vaistininkui.</w:t>
      </w:r>
    </w:p>
    <w:p w14:paraId="3D2CF03A" w14:textId="77777777" w:rsidR="00CA2E41" w:rsidRDefault="00CA2E41" w:rsidP="00CA2E41">
      <w:pPr>
        <w:rPr>
          <w:sz w:val="22"/>
        </w:rPr>
      </w:pPr>
    </w:p>
    <w:p w14:paraId="0008A350" w14:textId="77777777" w:rsidR="00CA2E41" w:rsidRDefault="00CA2E41" w:rsidP="00CA2E41">
      <w:pPr>
        <w:rPr>
          <w:sz w:val="22"/>
        </w:rPr>
      </w:pPr>
      <w:r>
        <w:rPr>
          <w:sz w:val="22"/>
        </w:rPr>
        <w:t>BOOSTRIX POLIO tuo pačiu metu galima suleisti kartu su kai kuriomis kitomis vakcinomis. Kiekvieno tipo vakciną reikia suleisti į skirtingą injekcijos vietą.</w:t>
      </w:r>
    </w:p>
    <w:p w14:paraId="666DD70D" w14:textId="77777777" w:rsidR="00CA2E41" w:rsidRDefault="00CA2E41" w:rsidP="00CA2E41">
      <w:pPr>
        <w:rPr>
          <w:sz w:val="22"/>
        </w:rPr>
      </w:pPr>
    </w:p>
    <w:p w14:paraId="1EE00743" w14:textId="77777777" w:rsidR="00CA2E41" w:rsidRDefault="00CA2E41" w:rsidP="00CA2E41">
      <w:pPr>
        <w:rPr>
          <w:sz w:val="22"/>
        </w:rPr>
      </w:pPr>
      <w:r>
        <w:rPr>
          <w:sz w:val="22"/>
        </w:rPr>
        <w:t>BOOSTRIX POLIO gali veikti silpniau, jeigu Jūs ar Jūsų vaikas vartoja vaistų, slopinančių Jūsų ar vaiko</w:t>
      </w:r>
      <w:r>
        <w:t xml:space="preserve"> </w:t>
      </w:r>
      <w:r>
        <w:rPr>
          <w:sz w:val="22"/>
        </w:rPr>
        <w:t>imuninės sistemos efektyvumą kovojant su infekcija.</w:t>
      </w:r>
    </w:p>
    <w:p w14:paraId="138347EB" w14:textId="77777777" w:rsidR="00CA2E41" w:rsidRDefault="00CA2E41" w:rsidP="00CA2E41">
      <w:pPr>
        <w:rPr>
          <w:sz w:val="22"/>
        </w:rPr>
      </w:pPr>
    </w:p>
    <w:p w14:paraId="2E6ACD27" w14:textId="77777777" w:rsidR="00CA2E41" w:rsidRDefault="00CA2E41" w:rsidP="00CA2E41">
      <w:pPr>
        <w:keepNext/>
        <w:rPr>
          <w:b/>
          <w:sz w:val="22"/>
        </w:rPr>
      </w:pPr>
      <w:r>
        <w:rPr>
          <w:b/>
          <w:sz w:val="22"/>
        </w:rPr>
        <w:lastRenderedPageBreak/>
        <w:t>Nėštumas ir žindymo laikotarpis</w:t>
      </w:r>
    </w:p>
    <w:p w14:paraId="524D0F48" w14:textId="77777777" w:rsidR="00CA2E41" w:rsidRDefault="00CA2E41" w:rsidP="00CA2E41">
      <w:pPr>
        <w:rPr>
          <w:sz w:val="22"/>
        </w:rPr>
      </w:pPr>
    </w:p>
    <w:p w14:paraId="71502D3F" w14:textId="77777777" w:rsidR="00CA2E41" w:rsidRDefault="00CA2E41" w:rsidP="00CA2E41">
      <w:pPr>
        <w:rPr>
          <w:sz w:val="22"/>
        </w:rPr>
      </w:pPr>
      <w:bookmarkStart w:id="21" w:name="_Hlk26033350"/>
      <w:r>
        <w:rPr>
          <w:sz w:val="22"/>
        </w:rPr>
        <w:t>Jeigu esate nėščia, žindote kūdikį, manote, kad galbūt esate nėščia arba planuojate pastoti, tai prieš suleidžiant šią vakciną, pasitarkite su savo gydytoju arba vaistininku.</w:t>
      </w:r>
    </w:p>
    <w:bookmarkEnd w:id="21"/>
    <w:p w14:paraId="2BE4BFE6" w14:textId="77777777" w:rsidR="00CA2E41" w:rsidRDefault="00CA2E41" w:rsidP="00CA2E41">
      <w:pPr>
        <w:rPr>
          <w:sz w:val="22"/>
        </w:rPr>
      </w:pPr>
    </w:p>
    <w:p w14:paraId="01A2B7B2" w14:textId="77777777" w:rsidR="00CA2E41" w:rsidRDefault="00CA2E41" w:rsidP="00CA2E41">
      <w:pPr>
        <w:rPr>
          <w:b/>
          <w:sz w:val="22"/>
        </w:rPr>
      </w:pPr>
      <w:r>
        <w:rPr>
          <w:sz w:val="22"/>
        </w:rPr>
        <w:t>Nežinoma ar BOOSTRIX POLIO išsiskiria su motinos pienu. Gydytojas su Jumis aptars galima riziką ir naudą skiepijantis BOOSTRIX POLIO žindymo laikotarpiu.</w:t>
      </w:r>
    </w:p>
    <w:p w14:paraId="5A6DD2AC" w14:textId="77777777" w:rsidR="00CA2E41" w:rsidRDefault="00CA2E41" w:rsidP="00CA2E41">
      <w:pPr>
        <w:rPr>
          <w:sz w:val="22"/>
        </w:rPr>
      </w:pPr>
    </w:p>
    <w:p w14:paraId="4237F45D" w14:textId="77777777" w:rsidR="00CA2E41" w:rsidRDefault="00CA2E41" w:rsidP="00CA2E41">
      <w:pPr>
        <w:rPr>
          <w:b/>
          <w:sz w:val="22"/>
        </w:rPr>
      </w:pPr>
      <w:r>
        <w:rPr>
          <w:b/>
          <w:sz w:val="22"/>
        </w:rPr>
        <w:t>Vairavimas ir mechanizmų valdymas</w:t>
      </w:r>
    </w:p>
    <w:p w14:paraId="77A67DF5" w14:textId="77777777" w:rsidR="00CA2E41" w:rsidRPr="00305A45" w:rsidRDefault="00CA2E41" w:rsidP="00CA2E41">
      <w:pPr>
        <w:rPr>
          <w:sz w:val="22"/>
        </w:rPr>
      </w:pPr>
    </w:p>
    <w:p w14:paraId="493B089B" w14:textId="77777777" w:rsidR="00CA2E41" w:rsidRDefault="00CA2E41" w:rsidP="00CA2E41">
      <w:pPr>
        <w:rPr>
          <w:sz w:val="22"/>
        </w:rPr>
      </w:pPr>
      <w:r>
        <w:rPr>
          <w:sz w:val="22"/>
        </w:rPr>
        <w:t>Nepanašu, kad vakcina turėtų kokį nors poveikį gebėjimui vairuoti ir valdyti mechanizmus.</w:t>
      </w:r>
    </w:p>
    <w:p w14:paraId="78C5EBA9" w14:textId="77777777" w:rsidR="00CA2E41" w:rsidRDefault="00CA2E41" w:rsidP="00CA2E41">
      <w:pPr>
        <w:rPr>
          <w:sz w:val="22"/>
        </w:rPr>
      </w:pPr>
    </w:p>
    <w:p w14:paraId="5BEEABED" w14:textId="77777777" w:rsidR="00CA2E41" w:rsidRDefault="00CA2E41" w:rsidP="00CA2E41">
      <w:pPr>
        <w:keepNext/>
        <w:rPr>
          <w:b/>
          <w:sz w:val="22"/>
        </w:rPr>
      </w:pPr>
      <w:r>
        <w:rPr>
          <w:b/>
          <w:sz w:val="22"/>
        </w:rPr>
        <w:t xml:space="preserve">BOOSTRIX POLIO sudėtyje yra </w:t>
      </w:r>
      <w:proofErr w:type="spellStart"/>
      <w:r>
        <w:rPr>
          <w:b/>
          <w:sz w:val="22"/>
        </w:rPr>
        <w:t>neomicino</w:t>
      </w:r>
      <w:proofErr w:type="spellEnd"/>
      <w:r>
        <w:rPr>
          <w:b/>
          <w:sz w:val="22"/>
        </w:rPr>
        <w:t xml:space="preserve"> ir </w:t>
      </w:r>
      <w:proofErr w:type="spellStart"/>
      <w:r>
        <w:rPr>
          <w:b/>
          <w:sz w:val="22"/>
        </w:rPr>
        <w:t>polimiksino</w:t>
      </w:r>
      <w:proofErr w:type="spellEnd"/>
    </w:p>
    <w:p w14:paraId="6E4694E9" w14:textId="77777777" w:rsidR="00CA2E41" w:rsidRPr="00305A45" w:rsidRDefault="00CA2E41" w:rsidP="00CA2E41">
      <w:pPr>
        <w:keepNext/>
        <w:rPr>
          <w:sz w:val="22"/>
        </w:rPr>
      </w:pPr>
    </w:p>
    <w:p w14:paraId="24CBAB7A" w14:textId="77777777" w:rsidR="00CA2E41" w:rsidRDefault="00CA2E41" w:rsidP="00CA2E41">
      <w:pPr>
        <w:rPr>
          <w:b/>
          <w:sz w:val="22"/>
        </w:rPr>
      </w:pPr>
      <w:r>
        <w:rPr>
          <w:sz w:val="22"/>
        </w:rPr>
        <w:t xml:space="preserve">Vakcinos sudėtyje yra </w:t>
      </w:r>
      <w:proofErr w:type="spellStart"/>
      <w:r>
        <w:rPr>
          <w:sz w:val="22"/>
        </w:rPr>
        <w:t>neomicino</w:t>
      </w:r>
      <w:proofErr w:type="spellEnd"/>
      <w:r>
        <w:rPr>
          <w:sz w:val="22"/>
        </w:rPr>
        <w:t xml:space="preserve">, </w:t>
      </w:r>
      <w:proofErr w:type="spellStart"/>
      <w:r>
        <w:rPr>
          <w:sz w:val="22"/>
        </w:rPr>
        <w:t>polimiksino</w:t>
      </w:r>
      <w:proofErr w:type="spellEnd"/>
      <w:r>
        <w:rPr>
          <w:sz w:val="22"/>
        </w:rPr>
        <w:t xml:space="preserve"> (antibiotikų). Pasakykite gydytojui, jei Jūs ar Jūsų vaikas alergiškas šioms medžiagoms.</w:t>
      </w:r>
    </w:p>
    <w:p w14:paraId="347E3279" w14:textId="77777777" w:rsidR="00CA2E41" w:rsidRDefault="00CA2E41" w:rsidP="00CA2E41">
      <w:pPr>
        <w:rPr>
          <w:sz w:val="22"/>
        </w:rPr>
      </w:pPr>
    </w:p>
    <w:p w14:paraId="68632CE9" w14:textId="20F9C029" w:rsidR="00CA2E41" w:rsidRDefault="00CA2E41" w:rsidP="00CA2E41">
      <w:pPr>
        <w:jc w:val="both"/>
        <w:rPr>
          <w:b/>
          <w:bCs/>
          <w:sz w:val="22"/>
        </w:rPr>
      </w:pPr>
      <w:bookmarkStart w:id="22" w:name="_Hlk55029374"/>
      <w:r>
        <w:rPr>
          <w:b/>
          <w:sz w:val="22"/>
        </w:rPr>
        <w:t>BOOSTRIX POLIO</w:t>
      </w:r>
      <w:r>
        <w:rPr>
          <w:b/>
          <w:bCs/>
          <w:sz w:val="22"/>
        </w:rPr>
        <w:t xml:space="preserve"> sudėtyje yra</w:t>
      </w:r>
      <w:r w:rsidR="0020000A">
        <w:rPr>
          <w:b/>
          <w:bCs/>
          <w:sz w:val="22"/>
        </w:rPr>
        <w:t xml:space="preserve"> </w:t>
      </w:r>
      <w:r w:rsidR="0020000A" w:rsidRPr="0020000A">
        <w:rPr>
          <w:b/>
          <w:bCs/>
          <w:sz w:val="22"/>
        </w:rPr>
        <w:t>para-</w:t>
      </w:r>
      <w:proofErr w:type="spellStart"/>
      <w:r w:rsidR="0020000A" w:rsidRPr="0020000A">
        <w:rPr>
          <w:b/>
          <w:bCs/>
          <w:sz w:val="22"/>
        </w:rPr>
        <w:t>aminobenzenkarboksirūgšti</w:t>
      </w:r>
      <w:r w:rsidR="0020000A">
        <w:rPr>
          <w:b/>
          <w:bCs/>
          <w:sz w:val="22"/>
        </w:rPr>
        <w:t>es</w:t>
      </w:r>
      <w:proofErr w:type="spellEnd"/>
      <w:r w:rsidR="0020000A" w:rsidRPr="0020000A">
        <w:rPr>
          <w:b/>
          <w:bCs/>
          <w:sz w:val="22"/>
        </w:rPr>
        <w:t xml:space="preserve">, </w:t>
      </w:r>
      <w:proofErr w:type="spellStart"/>
      <w:r w:rsidR="0020000A" w:rsidRPr="0020000A">
        <w:rPr>
          <w:b/>
          <w:bCs/>
          <w:sz w:val="22"/>
        </w:rPr>
        <w:t>fenilalanin</w:t>
      </w:r>
      <w:r w:rsidR="0020000A">
        <w:rPr>
          <w:b/>
          <w:bCs/>
          <w:sz w:val="22"/>
        </w:rPr>
        <w:t>o</w:t>
      </w:r>
      <w:proofErr w:type="spellEnd"/>
      <w:r w:rsidR="00077E1E">
        <w:rPr>
          <w:b/>
          <w:bCs/>
          <w:sz w:val="22"/>
        </w:rPr>
        <w:t>,</w:t>
      </w:r>
      <w:r>
        <w:rPr>
          <w:b/>
          <w:bCs/>
          <w:sz w:val="22"/>
        </w:rPr>
        <w:t xml:space="preserve"> natrio</w:t>
      </w:r>
      <w:r w:rsidR="00274E77">
        <w:rPr>
          <w:b/>
          <w:bCs/>
          <w:sz w:val="22"/>
        </w:rPr>
        <w:t xml:space="preserve"> ir kalio</w:t>
      </w:r>
    </w:p>
    <w:p w14:paraId="441BA2DF" w14:textId="77777777" w:rsidR="00FE4CC2" w:rsidRDefault="00FE4CC2" w:rsidP="00CA2E41">
      <w:pPr>
        <w:jc w:val="both"/>
        <w:rPr>
          <w:sz w:val="22"/>
        </w:rPr>
      </w:pPr>
    </w:p>
    <w:p w14:paraId="66AC408D" w14:textId="05BC8C96" w:rsidR="00FE4CC2" w:rsidRPr="00FE4CC2" w:rsidRDefault="00FA2F75" w:rsidP="00FE4CC2">
      <w:pPr>
        <w:jc w:val="both"/>
        <w:rPr>
          <w:sz w:val="22"/>
        </w:rPr>
      </w:pPr>
      <w:proofErr w:type="spellStart"/>
      <w:r w:rsidRPr="00FA2F75">
        <w:rPr>
          <w:sz w:val="22"/>
        </w:rPr>
        <w:t>Boostrix</w:t>
      </w:r>
      <w:proofErr w:type="spellEnd"/>
      <w:r w:rsidRPr="00FA2F75">
        <w:rPr>
          <w:sz w:val="22"/>
        </w:rPr>
        <w:t xml:space="preserve"> Polio </w:t>
      </w:r>
      <w:r w:rsidR="00FE4CC2" w:rsidRPr="00FE4CC2">
        <w:rPr>
          <w:sz w:val="22"/>
        </w:rPr>
        <w:t>sudėtyje yra para-</w:t>
      </w:r>
      <w:proofErr w:type="spellStart"/>
      <w:r w:rsidR="00FE4CC2" w:rsidRPr="00FE4CC2">
        <w:rPr>
          <w:sz w:val="22"/>
        </w:rPr>
        <w:t>aminobenzenkarboksirūgšties</w:t>
      </w:r>
      <w:proofErr w:type="spellEnd"/>
      <w:r w:rsidR="00FE4CC2" w:rsidRPr="00FE4CC2">
        <w:rPr>
          <w:sz w:val="22"/>
        </w:rPr>
        <w:t xml:space="preserve">. </w:t>
      </w:r>
      <w:r w:rsidR="00077E1E">
        <w:rPr>
          <w:sz w:val="22"/>
        </w:rPr>
        <w:t>Ji</w:t>
      </w:r>
      <w:r w:rsidR="00FE4CC2" w:rsidRPr="00FE4CC2">
        <w:rPr>
          <w:sz w:val="22"/>
        </w:rPr>
        <w:t xml:space="preserve"> gali sukelti alergin</w:t>
      </w:r>
      <w:r w:rsidR="00077E1E">
        <w:rPr>
          <w:sz w:val="22"/>
        </w:rPr>
        <w:t>ių</w:t>
      </w:r>
      <w:r w:rsidR="00FE4CC2" w:rsidRPr="00FE4CC2">
        <w:rPr>
          <w:sz w:val="22"/>
        </w:rPr>
        <w:t xml:space="preserve"> reakcij</w:t>
      </w:r>
      <w:r w:rsidR="00077E1E">
        <w:rPr>
          <w:sz w:val="22"/>
        </w:rPr>
        <w:t>ų, kurios gali būti uždelstos,</w:t>
      </w:r>
      <w:r w:rsidR="00FE4CC2" w:rsidRPr="00FE4CC2">
        <w:rPr>
          <w:sz w:val="22"/>
        </w:rPr>
        <w:t xml:space="preserve"> ir iš</w:t>
      </w:r>
      <w:r w:rsidR="00077E1E">
        <w:rPr>
          <w:sz w:val="22"/>
        </w:rPr>
        <w:t xml:space="preserve">imtiniais </w:t>
      </w:r>
      <w:r w:rsidR="00FE4CC2" w:rsidRPr="00FE4CC2">
        <w:rPr>
          <w:sz w:val="22"/>
        </w:rPr>
        <w:t xml:space="preserve"> atvejais bronchų spazmą.</w:t>
      </w:r>
    </w:p>
    <w:p w14:paraId="6B636AA4" w14:textId="2510EC7A" w:rsidR="00FE4CC2" w:rsidRDefault="00077E1E" w:rsidP="00FE4CC2">
      <w:pPr>
        <w:jc w:val="both"/>
        <w:rPr>
          <w:sz w:val="22"/>
        </w:rPr>
      </w:pPr>
      <w:r>
        <w:rPr>
          <w:sz w:val="22"/>
        </w:rPr>
        <w:t>Kiekvienoje š</w:t>
      </w:r>
      <w:r w:rsidR="001843B3" w:rsidRPr="00AE0FDD">
        <w:rPr>
          <w:sz w:val="22"/>
        </w:rPr>
        <w:t>io</w:t>
      </w:r>
      <w:r w:rsidR="00D6128F">
        <w:rPr>
          <w:sz w:val="22"/>
        </w:rPr>
        <w:t>s vakcinos</w:t>
      </w:r>
      <w:r w:rsidR="001843B3">
        <w:rPr>
          <w:sz w:val="22"/>
        </w:rPr>
        <w:t xml:space="preserve"> </w:t>
      </w:r>
      <w:r w:rsidR="00FA2F75">
        <w:rPr>
          <w:sz w:val="22"/>
        </w:rPr>
        <w:t xml:space="preserve">dozėje </w:t>
      </w:r>
      <w:r w:rsidR="00FE4CC2" w:rsidRPr="00FE4CC2">
        <w:rPr>
          <w:sz w:val="22"/>
        </w:rPr>
        <w:t>yra 0,0298</w:t>
      </w:r>
      <w:r w:rsidR="00FA2F75">
        <w:rPr>
          <w:sz w:val="22"/>
        </w:rPr>
        <w:t> </w:t>
      </w:r>
      <w:proofErr w:type="spellStart"/>
      <w:r w:rsidR="00FE4CC2" w:rsidRPr="00FE4CC2">
        <w:rPr>
          <w:sz w:val="22"/>
        </w:rPr>
        <w:t>mikrogramo</w:t>
      </w:r>
      <w:proofErr w:type="spellEnd"/>
      <w:r w:rsidR="00FE4CC2" w:rsidRPr="00FE4CC2">
        <w:rPr>
          <w:sz w:val="22"/>
        </w:rPr>
        <w:t xml:space="preserve"> </w:t>
      </w:r>
      <w:proofErr w:type="spellStart"/>
      <w:r w:rsidR="00FE4CC2" w:rsidRPr="00FE4CC2">
        <w:rPr>
          <w:sz w:val="22"/>
        </w:rPr>
        <w:t>fenilalanino</w:t>
      </w:r>
      <w:proofErr w:type="spellEnd"/>
      <w:r w:rsidR="00FE4CC2" w:rsidRPr="00FE4CC2">
        <w:rPr>
          <w:sz w:val="22"/>
        </w:rPr>
        <w:t xml:space="preserve">. </w:t>
      </w:r>
      <w:proofErr w:type="spellStart"/>
      <w:r w:rsidR="00FE4CC2" w:rsidRPr="00FE4CC2">
        <w:rPr>
          <w:sz w:val="22"/>
        </w:rPr>
        <w:t>Fenilalaninas</w:t>
      </w:r>
      <w:proofErr w:type="spellEnd"/>
      <w:r w:rsidR="00FE4CC2" w:rsidRPr="00FE4CC2">
        <w:rPr>
          <w:sz w:val="22"/>
        </w:rPr>
        <w:t xml:space="preserve"> gali būti kenksmingas sergantiems </w:t>
      </w:r>
      <w:proofErr w:type="spellStart"/>
      <w:r w:rsidR="00FE4CC2" w:rsidRPr="00FE4CC2">
        <w:rPr>
          <w:sz w:val="22"/>
        </w:rPr>
        <w:t>fenilketonurija</w:t>
      </w:r>
      <w:proofErr w:type="spellEnd"/>
      <w:r w:rsidR="00FE4CC2" w:rsidRPr="00FE4CC2">
        <w:rPr>
          <w:sz w:val="22"/>
        </w:rPr>
        <w:t xml:space="preserve"> (FKU), reta genetine liga, kuria sergant </w:t>
      </w:r>
      <w:proofErr w:type="spellStart"/>
      <w:r w:rsidR="00FE4CC2" w:rsidRPr="00FE4CC2">
        <w:rPr>
          <w:sz w:val="22"/>
        </w:rPr>
        <w:t>fenilalaninas</w:t>
      </w:r>
      <w:proofErr w:type="spellEnd"/>
      <w:r w:rsidR="00FE4CC2" w:rsidRPr="00FE4CC2">
        <w:rPr>
          <w:sz w:val="22"/>
        </w:rPr>
        <w:t xml:space="preserve"> kaupiasi organizme, nes organizmas negali jo tinkamai pašalinti.</w:t>
      </w:r>
    </w:p>
    <w:p w14:paraId="19EA21A9" w14:textId="154CCFDA" w:rsidR="00CA2E41" w:rsidRDefault="00CA2E41" w:rsidP="00CA2E41">
      <w:pPr>
        <w:rPr>
          <w:sz w:val="22"/>
        </w:rPr>
      </w:pPr>
      <w:r>
        <w:rPr>
          <w:sz w:val="22"/>
        </w:rPr>
        <w:t>Šio</w:t>
      </w:r>
      <w:r w:rsidR="003605A0">
        <w:rPr>
          <w:sz w:val="22"/>
        </w:rPr>
        <w:t>s vakcinos</w:t>
      </w:r>
      <w:r>
        <w:rPr>
          <w:sz w:val="22"/>
        </w:rPr>
        <w:t xml:space="preserve"> dozėje yra mažiau kaip 1 </w:t>
      </w:r>
      <w:proofErr w:type="spellStart"/>
      <w:r>
        <w:rPr>
          <w:sz w:val="22"/>
        </w:rPr>
        <w:t>mmol</w:t>
      </w:r>
      <w:proofErr w:type="spellEnd"/>
      <w:r>
        <w:rPr>
          <w:sz w:val="22"/>
        </w:rPr>
        <w:t xml:space="preserve"> (23 mg) natrio, t. y. jis beveik neturi reikšmės.</w:t>
      </w:r>
    </w:p>
    <w:bookmarkEnd w:id="22"/>
    <w:p w14:paraId="461A1BD9" w14:textId="16413EF4" w:rsidR="00CA2E41" w:rsidRDefault="00AE0FDD" w:rsidP="00CA2E41">
      <w:pPr>
        <w:rPr>
          <w:sz w:val="22"/>
        </w:rPr>
      </w:pPr>
      <w:r w:rsidRPr="00AE0FDD">
        <w:rPr>
          <w:sz w:val="22"/>
        </w:rPr>
        <w:t>Šio</w:t>
      </w:r>
      <w:r w:rsidR="003605A0">
        <w:rPr>
          <w:sz w:val="22"/>
        </w:rPr>
        <w:t>s vakcinos</w:t>
      </w:r>
      <w:r>
        <w:rPr>
          <w:sz w:val="22"/>
        </w:rPr>
        <w:t xml:space="preserve"> dozėje </w:t>
      </w:r>
      <w:r w:rsidRPr="00AE0FDD">
        <w:rPr>
          <w:sz w:val="22"/>
        </w:rPr>
        <w:t>yra mažiau kaip 1</w:t>
      </w:r>
      <w:r>
        <w:rPr>
          <w:sz w:val="22"/>
        </w:rPr>
        <w:t> </w:t>
      </w:r>
      <w:proofErr w:type="spellStart"/>
      <w:r w:rsidRPr="00AE0FDD">
        <w:rPr>
          <w:sz w:val="22"/>
        </w:rPr>
        <w:t>mmol</w:t>
      </w:r>
      <w:proofErr w:type="spellEnd"/>
      <w:r w:rsidRPr="00AE0FDD">
        <w:rPr>
          <w:sz w:val="22"/>
        </w:rPr>
        <w:t xml:space="preserve"> (39</w:t>
      </w:r>
      <w:r>
        <w:rPr>
          <w:sz w:val="22"/>
        </w:rPr>
        <w:t> </w:t>
      </w:r>
      <w:r w:rsidRPr="00AE0FDD">
        <w:rPr>
          <w:sz w:val="22"/>
        </w:rPr>
        <w:t>mg) kalio, t. y. jis beveik neturi reikšmės.</w:t>
      </w:r>
    </w:p>
    <w:p w14:paraId="52AB5221" w14:textId="77777777" w:rsidR="00FA2F75" w:rsidRDefault="00FA2F75" w:rsidP="00CA2E41">
      <w:pPr>
        <w:rPr>
          <w:sz w:val="22"/>
        </w:rPr>
      </w:pPr>
    </w:p>
    <w:p w14:paraId="72AB2A4C" w14:textId="77777777" w:rsidR="00CA2E41" w:rsidRDefault="00CA2E41" w:rsidP="00CA2E41">
      <w:pPr>
        <w:rPr>
          <w:sz w:val="22"/>
        </w:rPr>
      </w:pPr>
    </w:p>
    <w:p w14:paraId="2B8296FA" w14:textId="77777777" w:rsidR="00CA2E41" w:rsidRDefault="00CA2E41" w:rsidP="00CA2E41">
      <w:pPr>
        <w:rPr>
          <w:b/>
          <w:sz w:val="22"/>
        </w:rPr>
      </w:pPr>
      <w:r>
        <w:rPr>
          <w:b/>
          <w:sz w:val="22"/>
        </w:rPr>
        <w:t>3.</w:t>
      </w:r>
      <w:r>
        <w:rPr>
          <w:b/>
          <w:sz w:val="22"/>
        </w:rPr>
        <w:tab/>
        <w:t>Kaip vartoti BOOSTRIX POLIO</w:t>
      </w:r>
    </w:p>
    <w:p w14:paraId="4BE6C7EA" w14:textId="77777777" w:rsidR="00CA2E41" w:rsidRDefault="00CA2E41" w:rsidP="00CA2E41">
      <w:pPr>
        <w:rPr>
          <w:sz w:val="22"/>
        </w:rPr>
      </w:pPr>
    </w:p>
    <w:p w14:paraId="6F9046B4" w14:textId="77777777" w:rsidR="00CA2E41" w:rsidRDefault="00CA2E41" w:rsidP="00CA2E41">
      <w:pPr>
        <w:numPr>
          <w:ilvl w:val="0"/>
          <w:numId w:val="16"/>
        </w:numPr>
        <w:tabs>
          <w:tab w:val="num" w:pos="567"/>
        </w:tabs>
        <w:ind w:left="567" w:hanging="567"/>
        <w:rPr>
          <w:sz w:val="22"/>
        </w:rPr>
      </w:pPr>
      <w:r>
        <w:rPr>
          <w:sz w:val="22"/>
        </w:rPr>
        <w:t>BOOSTRIX POLIO vakcina yra švirkščiama į raumenis.</w:t>
      </w:r>
    </w:p>
    <w:p w14:paraId="0CF55A69" w14:textId="77777777" w:rsidR="00CA2E41" w:rsidRDefault="00CA2E41" w:rsidP="00CA2E41">
      <w:pPr>
        <w:numPr>
          <w:ilvl w:val="0"/>
          <w:numId w:val="16"/>
        </w:numPr>
        <w:tabs>
          <w:tab w:val="num" w:pos="567"/>
        </w:tabs>
        <w:ind w:left="567" w:hanging="567"/>
        <w:rPr>
          <w:sz w:val="22"/>
        </w:rPr>
      </w:pPr>
      <w:r>
        <w:rPr>
          <w:sz w:val="22"/>
        </w:rPr>
        <w:t>Vakcinos niekada negalima švirkšti į kraujagysles.</w:t>
      </w:r>
    </w:p>
    <w:p w14:paraId="3B9A1ABA" w14:textId="77777777" w:rsidR="00CA2E41" w:rsidRDefault="00CA2E41" w:rsidP="00CA2E41">
      <w:pPr>
        <w:numPr>
          <w:ilvl w:val="0"/>
          <w:numId w:val="16"/>
        </w:numPr>
        <w:tabs>
          <w:tab w:val="num" w:pos="567"/>
        </w:tabs>
        <w:ind w:left="567" w:hanging="567"/>
        <w:rPr>
          <w:sz w:val="22"/>
        </w:rPr>
      </w:pPr>
      <w:r>
        <w:rPr>
          <w:sz w:val="22"/>
        </w:rPr>
        <w:t>Jums arba Jūsų vaikui bus suleista viena BOOSTRIX POLIO injekcija.</w:t>
      </w:r>
    </w:p>
    <w:p w14:paraId="22002E55" w14:textId="77777777" w:rsidR="00CA2E41" w:rsidRDefault="00CA2E41" w:rsidP="00CA2E41">
      <w:pPr>
        <w:numPr>
          <w:ilvl w:val="0"/>
          <w:numId w:val="16"/>
        </w:numPr>
        <w:tabs>
          <w:tab w:val="num" w:pos="567"/>
        </w:tabs>
        <w:ind w:left="567" w:hanging="567"/>
        <w:rPr>
          <w:sz w:val="22"/>
        </w:rPr>
      </w:pPr>
      <w:r>
        <w:rPr>
          <w:sz w:val="22"/>
        </w:rPr>
        <w:t>Gydytojas išsiaiškins, ar Jūs arba Jūsų vaikas anksčiau buvo skiepytas vakcinomis nuo difterijos, stabligės, kokliušo ir (arba) poliomielito.</w:t>
      </w:r>
    </w:p>
    <w:p w14:paraId="7BFE47C5" w14:textId="77777777" w:rsidR="00CA2E41" w:rsidRDefault="00CA2E41" w:rsidP="00CA2E41">
      <w:pPr>
        <w:numPr>
          <w:ilvl w:val="0"/>
          <w:numId w:val="16"/>
        </w:numPr>
        <w:tabs>
          <w:tab w:val="num" w:pos="567"/>
        </w:tabs>
        <w:ind w:left="567" w:hanging="567"/>
        <w:rPr>
          <w:sz w:val="22"/>
        </w:rPr>
      </w:pPr>
      <w:r>
        <w:rPr>
          <w:sz w:val="22"/>
        </w:rPr>
        <w:t xml:space="preserve">BOOSTRIX POLIO gali būti vartojama, kai įtariama stabligės infekcija. Taip pat papildomos atsargumo priemonės, pvz., tinkamas žaizdos sutvarkymas ir(ar) stabligės </w:t>
      </w:r>
      <w:proofErr w:type="spellStart"/>
      <w:r>
        <w:rPr>
          <w:sz w:val="22"/>
        </w:rPr>
        <w:t>antitoksino</w:t>
      </w:r>
      <w:proofErr w:type="spellEnd"/>
      <w:r>
        <w:rPr>
          <w:sz w:val="22"/>
        </w:rPr>
        <w:t xml:space="preserve"> skyrimas, sumažina ligos pasireiškimo riziką. </w:t>
      </w:r>
    </w:p>
    <w:p w14:paraId="6514490D" w14:textId="77777777" w:rsidR="00CA2E41" w:rsidRDefault="00CA2E41" w:rsidP="00CA2E41">
      <w:pPr>
        <w:numPr>
          <w:ilvl w:val="0"/>
          <w:numId w:val="16"/>
        </w:numPr>
        <w:tabs>
          <w:tab w:val="num" w:pos="567"/>
        </w:tabs>
        <w:ind w:left="567" w:hanging="567"/>
        <w:rPr>
          <w:sz w:val="22"/>
        </w:rPr>
      </w:pPr>
      <w:r>
        <w:rPr>
          <w:sz w:val="22"/>
        </w:rPr>
        <w:t>Jūsų gydytojas patars Jums dėl kartotinio vakcinavimo.</w:t>
      </w:r>
    </w:p>
    <w:p w14:paraId="5643548F" w14:textId="77777777" w:rsidR="00CA2E41" w:rsidRDefault="00CA2E41" w:rsidP="00CA2E41">
      <w:pPr>
        <w:rPr>
          <w:sz w:val="22"/>
        </w:rPr>
      </w:pPr>
    </w:p>
    <w:p w14:paraId="700FCDCF" w14:textId="77777777" w:rsidR="00CA2E41" w:rsidRDefault="00CA2E41" w:rsidP="00CA2E41">
      <w:pPr>
        <w:rPr>
          <w:sz w:val="22"/>
        </w:rPr>
      </w:pPr>
    </w:p>
    <w:p w14:paraId="29577291" w14:textId="77777777" w:rsidR="00CA2E41" w:rsidRDefault="00CA2E41" w:rsidP="00CA2E41">
      <w:pPr>
        <w:rPr>
          <w:b/>
          <w:sz w:val="22"/>
        </w:rPr>
      </w:pPr>
      <w:r>
        <w:rPr>
          <w:b/>
          <w:sz w:val="22"/>
        </w:rPr>
        <w:t>4.</w:t>
      </w:r>
      <w:r>
        <w:rPr>
          <w:b/>
          <w:sz w:val="22"/>
        </w:rPr>
        <w:tab/>
        <w:t>Galimas šalutinis poveikis</w:t>
      </w:r>
    </w:p>
    <w:p w14:paraId="1AD2DB9A" w14:textId="77777777" w:rsidR="00CA2E41" w:rsidRDefault="00CA2E41" w:rsidP="00CA2E41">
      <w:pPr>
        <w:rPr>
          <w:sz w:val="22"/>
        </w:rPr>
      </w:pPr>
    </w:p>
    <w:p w14:paraId="263F5BE5" w14:textId="77777777" w:rsidR="00CA2E41" w:rsidRDefault="00CA2E41" w:rsidP="00CA2E41">
      <w:pPr>
        <w:rPr>
          <w:sz w:val="22"/>
        </w:rPr>
      </w:pPr>
      <w:r>
        <w:rPr>
          <w:bCs/>
          <w:sz w:val="22"/>
        </w:rPr>
        <w:t>Šis vaistas, k</w:t>
      </w:r>
      <w:r>
        <w:rPr>
          <w:sz w:val="22"/>
        </w:rPr>
        <w:t>aip ir visi kiti, gali sukelti šalutinį poveikį, nors jis pasireiškia ne visiems žmonėms.</w:t>
      </w:r>
    </w:p>
    <w:p w14:paraId="67B51577" w14:textId="77777777" w:rsidR="00CA2E41" w:rsidRDefault="00CA2E41" w:rsidP="00CA2E41">
      <w:pPr>
        <w:rPr>
          <w:sz w:val="22"/>
        </w:rPr>
      </w:pPr>
    </w:p>
    <w:p w14:paraId="290555B1" w14:textId="77777777" w:rsidR="00CA2E41" w:rsidRDefault="00CA2E41" w:rsidP="00CA2E41">
      <w:pPr>
        <w:rPr>
          <w:sz w:val="22"/>
        </w:rPr>
      </w:pPr>
      <w:r>
        <w:rPr>
          <w:sz w:val="22"/>
        </w:rPr>
        <w:t xml:space="preserve">Kaip ir skiepijant visomis injekcinėmis vakcinomis, retais atvejais gali kilti sunkių alerginių reakcijų (anafilaksinės arba </w:t>
      </w:r>
      <w:proofErr w:type="spellStart"/>
      <w:r>
        <w:rPr>
          <w:sz w:val="22"/>
        </w:rPr>
        <w:t>anafilaktoidinės</w:t>
      </w:r>
      <w:proofErr w:type="spellEnd"/>
      <w:r>
        <w:rPr>
          <w:sz w:val="22"/>
        </w:rPr>
        <w:t xml:space="preserve"> reakcijos) (ne dažniau kaip paskiepijus 1 iš 10 000 vakcinos dozių). Jos požymiai yra tokie:</w:t>
      </w:r>
    </w:p>
    <w:p w14:paraId="4CB52A83" w14:textId="77777777" w:rsidR="00CA2E41" w:rsidRDefault="00CA2E41" w:rsidP="00CA2E41">
      <w:pPr>
        <w:numPr>
          <w:ilvl w:val="0"/>
          <w:numId w:val="18"/>
        </w:numPr>
        <w:ind w:left="567" w:hanging="567"/>
        <w:rPr>
          <w:sz w:val="22"/>
        </w:rPr>
      </w:pPr>
      <w:r>
        <w:rPr>
          <w:sz w:val="22"/>
        </w:rPr>
        <w:t>išbėrimas, kuris gali būti niežtintis arba pūslelinis;</w:t>
      </w:r>
    </w:p>
    <w:p w14:paraId="5D2CBACE" w14:textId="77777777" w:rsidR="00CA2E41" w:rsidRDefault="00CA2E41" w:rsidP="00CA2E41">
      <w:pPr>
        <w:numPr>
          <w:ilvl w:val="0"/>
          <w:numId w:val="18"/>
        </w:numPr>
        <w:ind w:left="567" w:hanging="567"/>
        <w:rPr>
          <w:b/>
          <w:sz w:val="22"/>
        </w:rPr>
      </w:pPr>
      <w:r>
        <w:rPr>
          <w:b/>
          <w:sz w:val="22"/>
        </w:rPr>
        <w:t>akių ir veido tinimas;</w:t>
      </w:r>
    </w:p>
    <w:p w14:paraId="18075B29" w14:textId="77777777" w:rsidR="00CA2E41" w:rsidRDefault="00CA2E41" w:rsidP="00CA2E41">
      <w:pPr>
        <w:numPr>
          <w:ilvl w:val="0"/>
          <w:numId w:val="18"/>
        </w:numPr>
        <w:ind w:left="567" w:hanging="567"/>
        <w:rPr>
          <w:sz w:val="22"/>
        </w:rPr>
      </w:pPr>
      <w:r>
        <w:rPr>
          <w:b/>
          <w:sz w:val="22"/>
        </w:rPr>
        <w:t>sunkumas kvėpuojant ar ryjant</w:t>
      </w:r>
      <w:r>
        <w:rPr>
          <w:sz w:val="22"/>
        </w:rPr>
        <w:t>;</w:t>
      </w:r>
    </w:p>
    <w:p w14:paraId="6D410411" w14:textId="77777777" w:rsidR="00CA2E41" w:rsidRDefault="00CA2E41" w:rsidP="00CA2E41">
      <w:pPr>
        <w:numPr>
          <w:ilvl w:val="0"/>
          <w:numId w:val="18"/>
        </w:numPr>
        <w:ind w:left="567" w:hanging="567"/>
        <w:rPr>
          <w:sz w:val="22"/>
        </w:rPr>
      </w:pPr>
      <w:r>
        <w:rPr>
          <w:sz w:val="22"/>
        </w:rPr>
        <w:t xml:space="preserve">staigus kraujo spaudimo kritimas ir </w:t>
      </w:r>
      <w:r>
        <w:rPr>
          <w:b/>
          <w:sz w:val="22"/>
        </w:rPr>
        <w:t>sąmonės praradimas</w:t>
      </w:r>
      <w:r>
        <w:rPr>
          <w:sz w:val="22"/>
        </w:rPr>
        <w:t>.</w:t>
      </w:r>
    </w:p>
    <w:p w14:paraId="7245E7A6" w14:textId="77777777" w:rsidR="00CA2E41" w:rsidRDefault="00CA2E41" w:rsidP="00CA2E41">
      <w:pPr>
        <w:rPr>
          <w:sz w:val="22"/>
        </w:rPr>
      </w:pPr>
    </w:p>
    <w:p w14:paraId="7ED4C5A9" w14:textId="77777777" w:rsidR="00CA2E41" w:rsidRDefault="00CA2E41" w:rsidP="00CA2E41">
      <w:pPr>
        <w:rPr>
          <w:sz w:val="22"/>
        </w:rPr>
      </w:pPr>
      <w:r>
        <w:rPr>
          <w:sz w:val="22"/>
        </w:rPr>
        <w:t xml:space="preserve">Tokių reakcijų gali atsirasti dar neišėjus iš gydytojo kabineto. Bet kokiu atveju, </w:t>
      </w:r>
      <w:r>
        <w:rPr>
          <w:b/>
          <w:sz w:val="22"/>
        </w:rPr>
        <w:t>jeigu Jums arba Jūsų vaikui pasireiškė kuris nors iš šių simptomų, nedelsdami kreipkitės į gydytoją</w:t>
      </w:r>
      <w:r>
        <w:rPr>
          <w:sz w:val="22"/>
        </w:rPr>
        <w:t>.</w:t>
      </w:r>
    </w:p>
    <w:p w14:paraId="43AFD610" w14:textId="77777777" w:rsidR="00CA2E41" w:rsidRDefault="00CA2E41" w:rsidP="00CA2E41">
      <w:pPr>
        <w:rPr>
          <w:sz w:val="22"/>
        </w:rPr>
      </w:pPr>
    </w:p>
    <w:p w14:paraId="4BB3EC6B" w14:textId="77777777" w:rsidR="00CA2E41" w:rsidRDefault="00CA2E41" w:rsidP="00CA2E41">
      <w:pPr>
        <w:keepNext/>
        <w:rPr>
          <w:i/>
          <w:sz w:val="22"/>
        </w:rPr>
      </w:pPr>
      <w:r>
        <w:rPr>
          <w:i/>
          <w:sz w:val="22"/>
        </w:rPr>
        <w:lastRenderedPageBreak/>
        <w:t>Šalutinis poveikis, kuris klinikinių tyrimų metu pasireiškė nuo 4 iki 8 metų vaikams</w:t>
      </w:r>
    </w:p>
    <w:p w14:paraId="50819F16" w14:textId="77777777" w:rsidR="00CA2E41" w:rsidRDefault="00CA2E41" w:rsidP="00CA2E41">
      <w:pPr>
        <w:keepNext/>
        <w:rPr>
          <w:sz w:val="22"/>
          <w:u w:val="single"/>
        </w:rPr>
      </w:pPr>
    </w:p>
    <w:p w14:paraId="1533162C" w14:textId="1F7EA79E" w:rsidR="00CA2E41" w:rsidRDefault="00CA2E41" w:rsidP="00716313">
      <w:pPr>
        <w:keepNext/>
        <w:rPr>
          <w:sz w:val="22"/>
        </w:rPr>
      </w:pPr>
      <w:r>
        <w:rPr>
          <w:b/>
          <w:sz w:val="22"/>
        </w:rPr>
        <w:t xml:space="preserve">Labai dažni </w:t>
      </w:r>
      <w:r w:rsidR="00E535B9">
        <w:rPr>
          <w:b/>
          <w:bCs/>
          <w:sz w:val="22"/>
        </w:rPr>
        <w:t>šalutinio poveikio reiškiniai (gali pasireikšti ne rečiau kaip 1 iš 10 </w:t>
      </w:r>
      <w:bookmarkStart w:id="23" w:name="_Hlk100666185"/>
      <w:r w:rsidR="00F36EB4">
        <w:rPr>
          <w:b/>
          <w:bCs/>
          <w:sz w:val="22"/>
        </w:rPr>
        <w:t>skiepijimų vakcinos doze</w:t>
      </w:r>
      <w:bookmarkEnd w:id="23"/>
      <w:r w:rsidR="00E535B9">
        <w:rPr>
          <w:b/>
          <w:bCs/>
          <w:sz w:val="22"/>
        </w:rPr>
        <w:t>):</w:t>
      </w:r>
      <w:r w:rsidR="009C30F4">
        <w:rPr>
          <w:sz w:val="22"/>
        </w:rPr>
        <w:t xml:space="preserve"> </w:t>
      </w:r>
      <w:r w:rsidR="005611C3">
        <w:rPr>
          <w:sz w:val="22"/>
        </w:rPr>
        <w:t>i</w:t>
      </w:r>
      <w:r>
        <w:rPr>
          <w:sz w:val="22"/>
        </w:rPr>
        <w:t>njekcijos vietos skausmas, paraudimas ir patinimas</w:t>
      </w:r>
      <w:r w:rsidR="005611C3">
        <w:rPr>
          <w:sz w:val="22"/>
        </w:rPr>
        <w:t>,</w:t>
      </w:r>
      <w:r w:rsidR="009C30F4">
        <w:rPr>
          <w:sz w:val="22"/>
        </w:rPr>
        <w:t xml:space="preserve"> </w:t>
      </w:r>
      <w:r w:rsidR="005611C3">
        <w:rPr>
          <w:sz w:val="22"/>
        </w:rPr>
        <w:t>m</w:t>
      </w:r>
      <w:r>
        <w:rPr>
          <w:sz w:val="22"/>
        </w:rPr>
        <w:t>ieguistumas.</w:t>
      </w:r>
    </w:p>
    <w:p w14:paraId="63E65020" w14:textId="77777777" w:rsidR="00CA2E41" w:rsidRDefault="00CA2E41" w:rsidP="00CA2E41">
      <w:pPr>
        <w:rPr>
          <w:sz w:val="22"/>
        </w:rPr>
      </w:pPr>
    </w:p>
    <w:p w14:paraId="55F2BC3E" w14:textId="56B8F87D" w:rsidR="00CA2E41" w:rsidRDefault="00CA2E41" w:rsidP="00305A45">
      <w:pPr>
        <w:tabs>
          <w:tab w:val="clear" w:pos="567"/>
        </w:tabs>
        <w:rPr>
          <w:sz w:val="22"/>
        </w:rPr>
      </w:pPr>
      <w:r>
        <w:rPr>
          <w:b/>
          <w:bCs/>
          <w:sz w:val="22"/>
        </w:rPr>
        <w:t xml:space="preserve">Dažni </w:t>
      </w:r>
      <w:r w:rsidR="0070397A">
        <w:rPr>
          <w:b/>
          <w:bCs/>
          <w:sz w:val="22"/>
        </w:rPr>
        <w:t>šalutinio poveikio reiškiniai (gali pasireikšti rečiau kaip 1 iš 10 </w:t>
      </w:r>
      <w:r w:rsidR="00F36EB4" w:rsidRPr="00F36EB4">
        <w:rPr>
          <w:b/>
          <w:bCs/>
          <w:sz w:val="22"/>
        </w:rPr>
        <w:t>skiepijimų vakcinos doze</w:t>
      </w:r>
      <w:r w:rsidR="0070397A">
        <w:rPr>
          <w:b/>
          <w:bCs/>
          <w:sz w:val="22"/>
        </w:rPr>
        <w:t>):</w:t>
      </w:r>
      <w:r w:rsidR="009C30F4">
        <w:rPr>
          <w:sz w:val="22"/>
        </w:rPr>
        <w:t xml:space="preserve"> </w:t>
      </w:r>
      <w:r w:rsidR="005611C3">
        <w:rPr>
          <w:sz w:val="22"/>
        </w:rPr>
        <w:t>k</w:t>
      </w:r>
      <w:r>
        <w:rPr>
          <w:sz w:val="22"/>
        </w:rPr>
        <w:t>arščiavimas 37,5</w:t>
      </w:r>
      <w:r w:rsidR="00E535B9">
        <w:rPr>
          <w:sz w:val="22"/>
        </w:rPr>
        <w:t> </w:t>
      </w:r>
      <w:r>
        <w:rPr>
          <w:sz w:val="22"/>
        </w:rPr>
        <w:t>ºC ar daugiau (įskaitant karščiavimą virš 39 ºC)</w:t>
      </w:r>
      <w:r w:rsidR="005611C3">
        <w:rPr>
          <w:sz w:val="22"/>
        </w:rPr>
        <w:t>, k</w:t>
      </w:r>
      <w:r>
        <w:rPr>
          <w:sz w:val="22"/>
        </w:rPr>
        <w:t>raujavimas, niežėjimas ir sukietėjimas injekcijos vietoje</w:t>
      </w:r>
      <w:r w:rsidR="005611C3">
        <w:rPr>
          <w:sz w:val="22"/>
        </w:rPr>
        <w:t>, d</w:t>
      </w:r>
      <w:r>
        <w:rPr>
          <w:sz w:val="22"/>
        </w:rPr>
        <w:t>idelis galūnės, į kurią buvo švirkščiama vakcina, patinimas</w:t>
      </w:r>
      <w:r w:rsidR="005611C3">
        <w:rPr>
          <w:sz w:val="22"/>
        </w:rPr>
        <w:t>, a</w:t>
      </w:r>
      <w:r>
        <w:rPr>
          <w:sz w:val="22"/>
        </w:rPr>
        <w:t>petito praradimas</w:t>
      </w:r>
      <w:r w:rsidR="005611C3">
        <w:rPr>
          <w:sz w:val="22"/>
        </w:rPr>
        <w:t>, d</w:t>
      </w:r>
      <w:r>
        <w:rPr>
          <w:sz w:val="22"/>
        </w:rPr>
        <w:t>irglumas</w:t>
      </w:r>
      <w:r w:rsidR="005611C3">
        <w:rPr>
          <w:sz w:val="22"/>
        </w:rPr>
        <w:t>, g</w:t>
      </w:r>
      <w:r>
        <w:rPr>
          <w:sz w:val="22"/>
        </w:rPr>
        <w:t>alvos skausmas.</w:t>
      </w:r>
    </w:p>
    <w:p w14:paraId="5C2C6BA4" w14:textId="77777777" w:rsidR="00CA2E41" w:rsidRDefault="00CA2E41" w:rsidP="00CA2E41">
      <w:pPr>
        <w:rPr>
          <w:sz w:val="22"/>
        </w:rPr>
      </w:pPr>
    </w:p>
    <w:p w14:paraId="3944675D" w14:textId="68C328BD" w:rsidR="00CA2E41" w:rsidRPr="00305A45" w:rsidRDefault="00CA2E41" w:rsidP="00716313">
      <w:pPr>
        <w:rPr>
          <w:sz w:val="22"/>
        </w:rPr>
      </w:pPr>
      <w:r>
        <w:rPr>
          <w:b/>
          <w:sz w:val="22"/>
        </w:rPr>
        <w:t xml:space="preserve">Nedažni </w:t>
      </w:r>
      <w:r w:rsidR="00F43BF7">
        <w:rPr>
          <w:b/>
          <w:bCs/>
          <w:sz w:val="22"/>
        </w:rPr>
        <w:t>šalutinio poveikio reiškiniai (gali pasireikšti rečiau kaip 1 iš 100 </w:t>
      </w:r>
      <w:r w:rsidR="00F36EB4" w:rsidRPr="00F36EB4">
        <w:rPr>
          <w:b/>
          <w:bCs/>
          <w:sz w:val="22"/>
        </w:rPr>
        <w:t>skiepijimų vakcinos doze</w:t>
      </w:r>
      <w:r w:rsidR="00F43BF7">
        <w:rPr>
          <w:b/>
          <w:bCs/>
          <w:sz w:val="22"/>
        </w:rPr>
        <w:t>):</w:t>
      </w:r>
      <w:r w:rsidR="003308FC">
        <w:rPr>
          <w:sz w:val="22"/>
        </w:rPr>
        <w:t xml:space="preserve"> </w:t>
      </w:r>
      <w:r w:rsidR="009C30F4">
        <w:rPr>
          <w:sz w:val="22"/>
        </w:rPr>
        <w:t>v</w:t>
      </w:r>
      <w:r>
        <w:rPr>
          <w:sz w:val="22"/>
        </w:rPr>
        <w:t>iduriavimas, pykinimas, vėmimas</w:t>
      </w:r>
      <w:r w:rsidR="009C30F4">
        <w:rPr>
          <w:sz w:val="22"/>
        </w:rPr>
        <w:t>, p</w:t>
      </w:r>
      <w:r>
        <w:rPr>
          <w:sz w:val="22"/>
        </w:rPr>
        <w:t>ilvo skausmas</w:t>
      </w:r>
      <w:r w:rsidR="009C30F4">
        <w:rPr>
          <w:sz w:val="22"/>
        </w:rPr>
        <w:t>, k</w:t>
      </w:r>
      <w:r>
        <w:rPr>
          <w:sz w:val="22"/>
        </w:rPr>
        <w:t>aklo, pažasties arba kirkšnies limfmazgių patinimas (</w:t>
      </w:r>
      <w:proofErr w:type="spellStart"/>
      <w:r>
        <w:rPr>
          <w:sz w:val="22"/>
        </w:rPr>
        <w:t>limfadenopatija</w:t>
      </w:r>
      <w:proofErr w:type="spellEnd"/>
      <w:r>
        <w:rPr>
          <w:sz w:val="22"/>
        </w:rPr>
        <w:t>)</w:t>
      </w:r>
      <w:r w:rsidR="009C30F4">
        <w:rPr>
          <w:sz w:val="22"/>
        </w:rPr>
        <w:t>, m</w:t>
      </w:r>
      <w:r>
        <w:rPr>
          <w:sz w:val="22"/>
        </w:rPr>
        <w:t>iego sutrikimai</w:t>
      </w:r>
      <w:r w:rsidR="009C30F4">
        <w:rPr>
          <w:sz w:val="22"/>
        </w:rPr>
        <w:t>, a</w:t>
      </w:r>
      <w:r>
        <w:rPr>
          <w:sz w:val="22"/>
        </w:rPr>
        <w:t>patija</w:t>
      </w:r>
      <w:r w:rsidR="009C30F4">
        <w:rPr>
          <w:sz w:val="22"/>
        </w:rPr>
        <w:t xml:space="preserve">, </w:t>
      </w:r>
      <w:r w:rsidR="003308FC">
        <w:rPr>
          <w:sz w:val="22"/>
        </w:rPr>
        <w:t>g</w:t>
      </w:r>
      <w:r>
        <w:rPr>
          <w:sz w:val="22"/>
        </w:rPr>
        <w:t>erklės džiūvimas</w:t>
      </w:r>
      <w:r w:rsidR="009C30F4">
        <w:rPr>
          <w:sz w:val="22"/>
        </w:rPr>
        <w:t xml:space="preserve">, </w:t>
      </w:r>
      <w:r w:rsidR="003308FC">
        <w:rPr>
          <w:sz w:val="22"/>
        </w:rPr>
        <w:t>n</w:t>
      </w:r>
      <w:r>
        <w:rPr>
          <w:sz w:val="22"/>
        </w:rPr>
        <w:t>uovargis.</w:t>
      </w:r>
    </w:p>
    <w:p w14:paraId="103E2079" w14:textId="77777777" w:rsidR="00CA2E41" w:rsidRDefault="00CA2E41" w:rsidP="00CA2E41">
      <w:pPr>
        <w:rPr>
          <w:sz w:val="22"/>
        </w:rPr>
      </w:pPr>
    </w:p>
    <w:p w14:paraId="3A707296" w14:textId="77777777" w:rsidR="00CA2E41" w:rsidRDefault="00CA2E41" w:rsidP="00CA2E41">
      <w:pPr>
        <w:rPr>
          <w:i/>
          <w:sz w:val="22"/>
        </w:rPr>
      </w:pPr>
      <w:r>
        <w:rPr>
          <w:i/>
          <w:iCs/>
          <w:sz w:val="22"/>
        </w:rPr>
        <w:t>Vartojimas kartu su tymų, kiaulytės ir raudonukės (MMR) arba tymų, kiaulytės, raudonukės ir vėjaraupių (MMRV) vakcinomis 3</w:t>
      </w:r>
      <w:r>
        <w:rPr>
          <w:i/>
          <w:iCs/>
          <w:sz w:val="22"/>
        </w:rPr>
        <w:noBreakHyphen/>
        <w:t>6 metų vaikams</w:t>
      </w:r>
    </w:p>
    <w:p w14:paraId="06E8B9EA" w14:textId="77777777" w:rsidR="00CA2E41" w:rsidRDefault="00CA2E41" w:rsidP="00CA2E41">
      <w:pPr>
        <w:rPr>
          <w:sz w:val="22"/>
        </w:rPr>
      </w:pPr>
    </w:p>
    <w:p w14:paraId="2930FC2F" w14:textId="77777777" w:rsidR="00CA2E41" w:rsidRDefault="00CA2E41" w:rsidP="00CA2E41">
      <w:pPr>
        <w:rPr>
          <w:sz w:val="22"/>
        </w:rPr>
      </w:pPr>
      <w:r>
        <w:rPr>
          <w:sz w:val="22"/>
        </w:rPr>
        <w:t xml:space="preserve">Tyrimų, kurių metu BOOSTRIX POLIO buvo suleista kartu su </w:t>
      </w:r>
      <w:r>
        <w:rPr>
          <w:i/>
          <w:sz w:val="22"/>
        </w:rPr>
        <w:t>MMR</w:t>
      </w:r>
      <w:r>
        <w:rPr>
          <w:sz w:val="22"/>
        </w:rPr>
        <w:t xml:space="preserve"> arba </w:t>
      </w:r>
      <w:r>
        <w:rPr>
          <w:i/>
          <w:sz w:val="22"/>
        </w:rPr>
        <w:t>MMRV</w:t>
      </w:r>
      <w:r>
        <w:rPr>
          <w:sz w:val="22"/>
        </w:rPr>
        <w:t xml:space="preserve"> vakcina, duomenimis, buvo dažnai pranešta apie odos bėrimą ir viršutinių kvėpavimo takų infekcines ligas (įskaitant slogą ir gerklės skausmą). Apie karščiavimą, irzlumą, nuovargį, apetito netekimą ir virškinimo trakto sutrikimus (įskaitant viduriavimą ir vėmimą) buvo pranešta dažniau (labai dažnai), palyginti su tyrimais, kurių metu buvo vartota viena BOOSTRIX POLIO vakcina, duomenimis.</w:t>
      </w:r>
    </w:p>
    <w:p w14:paraId="57475710" w14:textId="77777777" w:rsidR="00CA2E41" w:rsidRDefault="00CA2E41" w:rsidP="00CA2E41">
      <w:pPr>
        <w:rPr>
          <w:sz w:val="22"/>
        </w:rPr>
      </w:pPr>
    </w:p>
    <w:p w14:paraId="66E3DF4C" w14:textId="028A65B3" w:rsidR="00CA2E41" w:rsidRDefault="00CA2E41" w:rsidP="00CA2E41">
      <w:pPr>
        <w:rPr>
          <w:i/>
          <w:sz w:val="22"/>
        </w:rPr>
      </w:pPr>
      <w:r>
        <w:rPr>
          <w:i/>
          <w:iCs/>
          <w:sz w:val="22"/>
        </w:rPr>
        <w:t>Šalutinis poveikis, kuris</w:t>
      </w:r>
      <w:r>
        <w:rPr>
          <w:i/>
          <w:sz w:val="22"/>
        </w:rPr>
        <w:t xml:space="preserve"> pasireiškė klinikinių tyrimų metu suaugusiems žmonėms, paaugliams ir vaikams nuo 10</w:t>
      </w:r>
      <w:r w:rsidR="00B3013D">
        <w:rPr>
          <w:i/>
          <w:sz w:val="22"/>
        </w:rPr>
        <w:t> </w:t>
      </w:r>
      <w:r>
        <w:rPr>
          <w:i/>
          <w:sz w:val="22"/>
        </w:rPr>
        <w:t>metų</w:t>
      </w:r>
      <w:r>
        <w:rPr>
          <w:i/>
          <w:iCs/>
          <w:sz w:val="22"/>
        </w:rPr>
        <w:t>.</w:t>
      </w:r>
    </w:p>
    <w:p w14:paraId="4EFA4252" w14:textId="77777777" w:rsidR="00CA2E41" w:rsidRDefault="00CA2E41" w:rsidP="00CA2E41">
      <w:pPr>
        <w:rPr>
          <w:sz w:val="22"/>
          <w:u w:val="single"/>
        </w:rPr>
      </w:pPr>
    </w:p>
    <w:p w14:paraId="002BF98E" w14:textId="15D4E043" w:rsidR="00CA2E41" w:rsidRDefault="00CA2E41" w:rsidP="00305A45">
      <w:pPr>
        <w:rPr>
          <w:sz w:val="22"/>
        </w:rPr>
      </w:pPr>
      <w:r>
        <w:rPr>
          <w:b/>
          <w:sz w:val="22"/>
        </w:rPr>
        <w:t xml:space="preserve">Labai dažni </w:t>
      </w:r>
      <w:r w:rsidR="008E5F91">
        <w:rPr>
          <w:b/>
          <w:bCs/>
          <w:sz w:val="22"/>
        </w:rPr>
        <w:t>šalutinio poveikio reiškiniai (gali pasireikšti ne rečiau kaip 1 iš 10 </w:t>
      </w:r>
      <w:r w:rsidR="00F36EB4" w:rsidRPr="00F36EB4">
        <w:rPr>
          <w:b/>
          <w:bCs/>
          <w:sz w:val="22"/>
        </w:rPr>
        <w:t>skiepijimų vakcinos doze</w:t>
      </w:r>
      <w:r w:rsidR="008E5F91">
        <w:rPr>
          <w:b/>
          <w:bCs/>
          <w:sz w:val="22"/>
        </w:rPr>
        <w:t>):</w:t>
      </w:r>
      <w:r w:rsidR="00B3013D">
        <w:rPr>
          <w:sz w:val="22"/>
        </w:rPr>
        <w:t xml:space="preserve"> i</w:t>
      </w:r>
      <w:r>
        <w:rPr>
          <w:sz w:val="22"/>
        </w:rPr>
        <w:t>njekcijos vietos skausmas, paraudimas ir patinimas</w:t>
      </w:r>
      <w:r w:rsidR="00B3013D">
        <w:rPr>
          <w:sz w:val="22"/>
        </w:rPr>
        <w:t>, n</w:t>
      </w:r>
      <w:r>
        <w:rPr>
          <w:sz w:val="22"/>
        </w:rPr>
        <w:t>uovargis</w:t>
      </w:r>
      <w:r w:rsidR="00B3013D">
        <w:rPr>
          <w:sz w:val="22"/>
        </w:rPr>
        <w:t>, g</w:t>
      </w:r>
      <w:r>
        <w:rPr>
          <w:sz w:val="22"/>
        </w:rPr>
        <w:t>alvos skausmas.</w:t>
      </w:r>
    </w:p>
    <w:p w14:paraId="32116FEA" w14:textId="77777777" w:rsidR="00CA2E41" w:rsidRDefault="00CA2E41" w:rsidP="00CA2E41">
      <w:pPr>
        <w:rPr>
          <w:sz w:val="22"/>
        </w:rPr>
      </w:pPr>
    </w:p>
    <w:p w14:paraId="3634F808" w14:textId="6C6BF9AC" w:rsidR="00CA2E41" w:rsidRDefault="00CA2E41" w:rsidP="00305A45">
      <w:pPr>
        <w:rPr>
          <w:sz w:val="22"/>
        </w:rPr>
      </w:pPr>
      <w:r>
        <w:rPr>
          <w:b/>
          <w:sz w:val="22"/>
        </w:rPr>
        <w:t xml:space="preserve">Dažni </w:t>
      </w:r>
      <w:r w:rsidR="008E5F91">
        <w:rPr>
          <w:b/>
          <w:bCs/>
          <w:sz w:val="22"/>
        </w:rPr>
        <w:t>šalutinio poveikio reiškiniai (gali pasireikšti rečiau kaip 1 iš 10 </w:t>
      </w:r>
      <w:r w:rsidR="00F36EB4" w:rsidRPr="00F36EB4">
        <w:rPr>
          <w:b/>
          <w:bCs/>
          <w:sz w:val="22"/>
        </w:rPr>
        <w:t>skiepijimų vakcinos doze</w:t>
      </w:r>
      <w:r w:rsidR="008E5F91">
        <w:rPr>
          <w:b/>
          <w:bCs/>
          <w:sz w:val="22"/>
        </w:rPr>
        <w:t>):</w:t>
      </w:r>
      <w:r w:rsidR="00B3013D">
        <w:rPr>
          <w:sz w:val="22"/>
        </w:rPr>
        <w:t xml:space="preserve"> k</w:t>
      </w:r>
      <w:r>
        <w:rPr>
          <w:sz w:val="22"/>
        </w:rPr>
        <w:t>arščiavimas (37,5 ºC ar daugiau)</w:t>
      </w:r>
      <w:r w:rsidR="00B3013D">
        <w:rPr>
          <w:sz w:val="22"/>
        </w:rPr>
        <w:t>, m</w:t>
      </w:r>
      <w:r>
        <w:rPr>
          <w:sz w:val="22"/>
        </w:rPr>
        <w:t>ėlynės, niežėjimas, sukietėjimas, kaitimas arba tirpimas injekcijos vietoje</w:t>
      </w:r>
      <w:r w:rsidR="00B3013D">
        <w:rPr>
          <w:sz w:val="22"/>
        </w:rPr>
        <w:t>, p</w:t>
      </w:r>
      <w:r>
        <w:rPr>
          <w:sz w:val="22"/>
        </w:rPr>
        <w:t>ilvo skausmas, pykinimas, vėmimas.</w:t>
      </w:r>
    </w:p>
    <w:p w14:paraId="291C14F0" w14:textId="77777777" w:rsidR="00CA2E41" w:rsidRDefault="00CA2E41" w:rsidP="00CA2E41">
      <w:pPr>
        <w:rPr>
          <w:sz w:val="22"/>
        </w:rPr>
      </w:pPr>
    </w:p>
    <w:p w14:paraId="11952FD1" w14:textId="3F078BC3" w:rsidR="00CA2E41" w:rsidRDefault="00CA2E41" w:rsidP="00305A45">
      <w:pPr>
        <w:rPr>
          <w:sz w:val="22"/>
        </w:rPr>
      </w:pPr>
      <w:r>
        <w:rPr>
          <w:b/>
          <w:sz w:val="22"/>
        </w:rPr>
        <w:t xml:space="preserve">Nedažni </w:t>
      </w:r>
      <w:r w:rsidR="008E5F91">
        <w:rPr>
          <w:b/>
          <w:bCs/>
          <w:sz w:val="22"/>
        </w:rPr>
        <w:t>šalutinio poveikio reiškiniai (gali pasireikšti rečiau kaip 1 iš 100 </w:t>
      </w:r>
      <w:r w:rsidR="00F36EB4" w:rsidRPr="00F36EB4">
        <w:rPr>
          <w:b/>
          <w:bCs/>
          <w:sz w:val="22"/>
        </w:rPr>
        <w:t>skiepijimų vakcinos doze</w:t>
      </w:r>
      <w:r w:rsidR="008E5F91">
        <w:rPr>
          <w:b/>
          <w:bCs/>
          <w:sz w:val="22"/>
        </w:rPr>
        <w:t>):</w:t>
      </w:r>
      <w:r w:rsidR="005445B3">
        <w:rPr>
          <w:sz w:val="22"/>
        </w:rPr>
        <w:t xml:space="preserve"> k</w:t>
      </w:r>
      <w:r>
        <w:rPr>
          <w:sz w:val="22"/>
        </w:rPr>
        <w:t>arščiavimas (daugiau nei 39</w:t>
      </w:r>
      <w:r w:rsidR="008E5F91">
        <w:rPr>
          <w:sz w:val="22"/>
        </w:rPr>
        <w:t> </w:t>
      </w:r>
      <w:r>
        <w:rPr>
          <w:sz w:val="22"/>
        </w:rPr>
        <w:t>ºC)</w:t>
      </w:r>
      <w:r w:rsidR="00B3013D">
        <w:rPr>
          <w:sz w:val="22"/>
        </w:rPr>
        <w:t xml:space="preserve">, </w:t>
      </w:r>
      <w:r w:rsidR="005445B3">
        <w:rPr>
          <w:sz w:val="22"/>
        </w:rPr>
        <w:t>d</w:t>
      </w:r>
      <w:r>
        <w:rPr>
          <w:sz w:val="22"/>
        </w:rPr>
        <w:t>idelis galūnės, į kurią buvo švirkščiama vakcina, patinimas</w:t>
      </w:r>
      <w:r w:rsidR="00B3013D">
        <w:rPr>
          <w:sz w:val="22"/>
        </w:rPr>
        <w:t xml:space="preserve">, </w:t>
      </w:r>
      <w:proofErr w:type="spellStart"/>
      <w:r w:rsidR="005445B3">
        <w:rPr>
          <w:sz w:val="22"/>
        </w:rPr>
        <w:t>š</w:t>
      </w:r>
      <w:r>
        <w:rPr>
          <w:sz w:val="22"/>
        </w:rPr>
        <w:t>altkrėtis</w:t>
      </w:r>
      <w:proofErr w:type="spellEnd"/>
      <w:r w:rsidR="00B3013D">
        <w:rPr>
          <w:sz w:val="22"/>
        </w:rPr>
        <w:t xml:space="preserve">, </w:t>
      </w:r>
      <w:r w:rsidR="005445B3">
        <w:rPr>
          <w:sz w:val="22"/>
        </w:rPr>
        <w:t>s</w:t>
      </w:r>
      <w:r>
        <w:rPr>
          <w:sz w:val="22"/>
        </w:rPr>
        <w:t>kausmas</w:t>
      </w:r>
      <w:r w:rsidR="00B3013D">
        <w:rPr>
          <w:sz w:val="22"/>
        </w:rPr>
        <w:t xml:space="preserve">, </w:t>
      </w:r>
      <w:r w:rsidR="005445B3">
        <w:rPr>
          <w:sz w:val="22"/>
        </w:rPr>
        <w:t>g</w:t>
      </w:r>
      <w:r>
        <w:rPr>
          <w:sz w:val="22"/>
        </w:rPr>
        <w:t>alvos svaigimas</w:t>
      </w:r>
      <w:r w:rsidR="00B3013D">
        <w:rPr>
          <w:sz w:val="22"/>
        </w:rPr>
        <w:t xml:space="preserve">, </w:t>
      </w:r>
      <w:r w:rsidR="005445B3">
        <w:rPr>
          <w:sz w:val="22"/>
        </w:rPr>
        <w:t>s</w:t>
      </w:r>
      <w:r>
        <w:rPr>
          <w:sz w:val="22"/>
        </w:rPr>
        <w:t>ąnarių skausmas, raumenų skausmai</w:t>
      </w:r>
      <w:r w:rsidR="00B3013D">
        <w:rPr>
          <w:sz w:val="22"/>
        </w:rPr>
        <w:t>, n</w:t>
      </w:r>
      <w:r>
        <w:rPr>
          <w:sz w:val="22"/>
        </w:rPr>
        <w:t>iežulys</w:t>
      </w:r>
      <w:r w:rsidR="00B3013D">
        <w:rPr>
          <w:sz w:val="22"/>
        </w:rPr>
        <w:t>, b</w:t>
      </w:r>
      <w:r>
        <w:rPr>
          <w:sz w:val="22"/>
        </w:rPr>
        <w:t>urnos pūslelinė</w:t>
      </w:r>
      <w:r w:rsidR="00B3013D">
        <w:rPr>
          <w:sz w:val="22"/>
        </w:rPr>
        <w:t>, k</w:t>
      </w:r>
      <w:r>
        <w:rPr>
          <w:sz w:val="22"/>
        </w:rPr>
        <w:t>aklo, pažasties arba kirkšnies limfmazgių patinimas (</w:t>
      </w:r>
      <w:proofErr w:type="spellStart"/>
      <w:r>
        <w:rPr>
          <w:sz w:val="22"/>
        </w:rPr>
        <w:t>limfadenopatija</w:t>
      </w:r>
      <w:proofErr w:type="spellEnd"/>
      <w:r>
        <w:rPr>
          <w:sz w:val="22"/>
        </w:rPr>
        <w:t>)</w:t>
      </w:r>
      <w:r w:rsidR="00B3013D">
        <w:rPr>
          <w:sz w:val="22"/>
        </w:rPr>
        <w:t>, a</w:t>
      </w:r>
      <w:r>
        <w:rPr>
          <w:sz w:val="22"/>
        </w:rPr>
        <w:t>petito sumažėjimas</w:t>
      </w:r>
      <w:r w:rsidR="00B3013D">
        <w:rPr>
          <w:sz w:val="22"/>
        </w:rPr>
        <w:t>, r</w:t>
      </w:r>
      <w:r>
        <w:rPr>
          <w:sz w:val="22"/>
        </w:rPr>
        <w:t>ankų ar kojų dilgčiojimas arba nutirpimas (</w:t>
      </w:r>
      <w:proofErr w:type="spellStart"/>
      <w:r>
        <w:rPr>
          <w:sz w:val="22"/>
        </w:rPr>
        <w:t>parestezija</w:t>
      </w:r>
      <w:proofErr w:type="spellEnd"/>
      <w:r>
        <w:rPr>
          <w:sz w:val="22"/>
        </w:rPr>
        <w:t>)</w:t>
      </w:r>
      <w:r w:rsidR="00B3013D">
        <w:rPr>
          <w:sz w:val="22"/>
        </w:rPr>
        <w:t>, m</w:t>
      </w:r>
      <w:r>
        <w:rPr>
          <w:sz w:val="22"/>
        </w:rPr>
        <w:t>ieguistumas</w:t>
      </w:r>
      <w:r w:rsidR="00B3013D">
        <w:rPr>
          <w:sz w:val="22"/>
        </w:rPr>
        <w:t>, a</w:t>
      </w:r>
      <w:r>
        <w:rPr>
          <w:sz w:val="22"/>
        </w:rPr>
        <w:t>stma.</w:t>
      </w:r>
    </w:p>
    <w:p w14:paraId="23581123" w14:textId="77777777" w:rsidR="00CA2E41" w:rsidRDefault="00CA2E41" w:rsidP="00CA2E41">
      <w:pPr>
        <w:rPr>
          <w:sz w:val="22"/>
        </w:rPr>
      </w:pPr>
    </w:p>
    <w:p w14:paraId="51E74B52" w14:textId="60E32EEB" w:rsidR="00CA2E41" w:rsidRDefault="00CA2E41" w:rsidP="00305A45">
      <w:pPr>
        <w:rPr>
          <w:sz w:val="22"/>
        </w:rPr>
      </w:pPr>
      <w:r>
        <w:rPr>
          <w:sz w:val="22"/>
        </w:rPr>
        <w:t xml:space="preserve">Toliau išvardytas šalutinis poveikis pasireiškė įprastai vartojant </w:t>
      </w:r>
      <w:r>
        <w:rPr>
          <w:bCs/>
          <w:sz w:val="22"/>
        </w:rPr>
        <w:t>BOOSTRIX POLIO ir nėra būdingas kuriai nors amžiaus grupei:</w:t>
      </w:r>
      <w:r w:rsidR="00614644">
        <w:rPr>
          <w:sz w:val="22"/>
        </w:rPr>
        <w:t xml:space="preserve"> ū</w:t>
      </w:r>
      <w:r>
        <w:rPr>
          <w:sz w:val="22"/>
        </w:rPr>
        <w:t>minis kraujagyslių funkcijos nepakankamumas arba sąmonės išnykimo periodai, arba sąmonės pritemimas</w:t>
      </w:r>
      <w:r w:rsidR="005445B3">
        <w:rPr>
          <w:sz w:val="22"/>
        </w:rPr>
        <w:t xml:space="preserve">, </w:t>
      </w:r>
      <w:r w:rsidR="00614644">
        <w:rPr>
          <w:sz w:val="22"/>
        </w:rPr>
        <w:t>v</w:t>
      </w:r>
      <w:r>
        <w:rPr>
          <w:sz w:val="22"/>
        </w:rPr>
        <w:t>eido, lūpų, burnos, liežuvio ar gerklės tinimas dėl kurio gali būti sunku nuryti ar kvėpuoti (</w:t>
      </w:r>
      <w:proofErr w:type="spellStart"/>
      <w:r>
        <w:rPr>
          <w:sz w:val="22"/>
        </w:rPr>
        <w:t>angioneurozinė</w:t>
      </w:r>
      <w:proofErr w:type="spellEnd"/>
      <w:r>
        <w:rPr>
          <w:sz w:val="22"/>
        </w:rPr>
        <w:t xml:space="preserve"> edema)</w:t>
      </w:r>
      <w:r w:rsidR="005445B3">
        <w:rPr>
          <w:sz w:val="22"/>
        </w:rPr>
        <w:t>, p</w:t>
      </w:r>
      <w:r>
        <w:rPr>
          <w:sz w:val="22"/>
        </w:rPr>
        <w:t>riepuoliai arba traukuliai (kartu su karščiavimu arba be karščiavimo)</w:t>
      </w:r>
      <w:r w:rsidR="005445B3">
        <w:rPr>
          <w:sz w:val="22"/>
        </w:rPr>
        <w:t>, d</w:t>
      </w:r>
      <w:r>
        <w:rPr>
          <w:sz w:val="22"/>
        </w:rPr>
        <w:t>ilgėlinė</w:t>
      </w:r>
      <w:r w:rsidR="005445B3">
        <w:rPr>
          <w:sz w:val="22"/>
        </w:rPr>
        <w:t>, n</w:t>
      </w:r>
      <w:r>
        <w:rPr>
          <w:sz w:val="22"/>
        </w:rPr>
        <w:t>eįprastas silpnumas (</w:t>
      </w:r>
      <w:proofErr w:type="spellStart"/>
      <w:r>
        <w:rPr>
          <w:sz w:val="22"/>
        </w:rPr>
        <w:t>astenija</w:t>
      </w:r>
      <w:proofErr w:type="spellEnd"/>
      <w:r>
        <w:rPr>
          <w:sz w:val="22"/>
        </w:rPr>
        <w:t>).</w:t>
      </w:r>
    </w:p>
    <w:p w14:paraId="31417151" w14:textId="77777777" w:rsidR="00CA2E41" w:rsidRDefault="00CA2E41" w:rsidP="00CA2E41">
      <w:pPr>
        <w:rPr>
          <w:sz w:val="22"/>
        </w:rPr>
      </w:pPr>
    </w:p>
    <w:p w14:paraId="36A4F2D0" w14:textId="77777777" w:rsidR="00CA2E41" w:rsidRDefault="00CA2E41" w:rsidP="00CA2E41">
      <w:pPr>
        <w:rPr>
          <w:sz w:val="22"/>
        </w:rPr>
      </w:pPr>
      <w:r>
        <w:rPr>
          <w:sz w:val="22"/>
        </w:rPr>
        <w:t xml:space="preserve">Be šio šalutinio poveikio, klinikinių </w:t>
      </w:r>
      <w:proofErr w:type="spellStart"/>
      <w:r>
        <w:rPr>
          <w:sz w:val="22"/>
        </w:rPr>
        <w:t>revakcinacijos</w:t>
      </w:r>
      <w:proofErr w:type="spellEnd"/>
      <w:r>
        <w:rPr>
          <w:sz w:val="22"/>
        </w:rPr>
        <w:t xml:space="preserve"> </w:t>
      </w:r>
      <w:proofErr w:type="spellStart"/>
      <w:r>
        <w:rPr>
          <w:sz w:val="22"/>
        </w:rPr>
        <w:t>Boostrix</w:t>
      </w:r>
      <w:proofErr w:type="spellEnd"/>
      <w:r>
        <w:rPr>
          <w:sz w:val="22"/>
        </w:rPr>
        <w:t xml:space="preserve"> vakcina (</w:t>
      </w:r>
      <w:proofErr w:type="spellStart"/>
      <w:r>
        <w:rPr>
          <w:sz w:val="22"/>
        </w:rPr>
        <w:t>GlaxoSmithKline</w:t>
      </w:r>
      <w:proofErr w:type="spellEnd"/>
      <w:r>
        <w:rPr>
          <w:sz w:val="22"/>
        </w:rPr>
        <w:t xml:space="preserve"> </w:t>
      </w:r>
      <w:proofErr w:type="spellStart"/>
      <w:r>
        <w:rPr>
          <w:sz w:val="22"/>
        </w:rPr>
        <w:t>Biologicals</w:t>
      </w:r>
      <w:proofErr w:type="spellEnd"/>
      <w:r>
        <w:rPr>
          <w:sz w:val="22"/>
        </w:rPr>
        <w:t xml:space="preserve"> vakcina nuo difterijos, stabligės ir kokliušo) tyrimų metu buvo pranešta apie toliau išvardytą šalutinį poveikį:</w:t>
      </w:r>
    </w:p>
    <w:p w14:paraId="7103ECDA" w14:textId="77777777" w:rsidR="00CA2E41" w:rsidRDefault="00CA2E41" w:rsidP="00CA2E41">
      <w:pPr>
        <w:rPr>
          <w:sz w:val="22"/>
        </w:rPr>
      </w:pPr>
    </w:p>
    <w:p w14:paraId="3EA2587D" w14:textId="77777777" w:rsidR="00CA2E41" w:rsidRDefault="00CA2E41" w:rsidP="00CA2E41">
      <w:pPr>
        <w:rPr>
          <w:i/>
          <w:sz w:val="22"/>
        </w:rPr>
      </w:pPr>
      <w:r>
        <w:rPr>
          <w:i/>
          <w:sz w:val="22"/>
        </w:rPr>
        <w:t>Šalutinis poveikis, kuris pasireiškė nuo 4 iki 8 metų vaikams</w:t>
      </w:r>
    </w:p>
    <w:p w14:paraId="75297F76" w14:textId="77777777" w:rsidR="00CA2E41" w:rsidRDefault="00CA2E41" w:rsidP="00CA2E41">
      <w:pPr>
        <w:rPr>
          <w:sz w:val="22"/>
        </w:rPr>
      </w:pPr>
    </w:p>
    <w:p w14:paraId="600767D5" w14:textId="64AA61E7" w:rsidR="00CA2E41" w:rsidRPr="00305A45" w:rsidRDefault="00CA2E41" w:rsidP="00716313">
      <w:pPr>
        <w:rPr>
          <w:sz w:val="22"/>
        </w:rPr>
      </w:pPr>
      <w:r>
        <w:rPr>
          <w:b/>
          <w:bCs/>
          <w:sz w:val="22"/>
        </w:rPr>
        <w:t xml:space="preserve">Nedažni </w:t>
      </w:r>
      <w:r w:rsidR="00464D63">
        <w:rPr>
          <w:b/>
          <w:bCs/>
          <w:sz w:val="22"/>
        </w:rPr>
        <w:t>šalutinio poveikio reiškiniai (gali pasireikšti rečiau kaip 1 iš 100 </w:t>
      </w:r>
      <w:r w:rsidR="00F36EB4" w:rsidRPr="00F36EB4">
        <w:rPr>
          <w:b/>
          <w:bCs/>
          <w:sz w:val="22"/>
        </w:rPr>
        <w:t>skiepijimų vakcinos doze</w:t>
      </w:r>
      <w:r w:rsidR="00464D63">
        <w:rPr>
          <w:b/>
          <w:bCs/>
          <w:sz w:val="22"/>
        </w:rPr>
        <w:t>):</w:t>
      </w:r>
      <w:r w:rsidR="00D438CF">
        <w:rPr>
          <w:sz w:val="22"/>
        </w:rPr>
        <w:t xml:space="preserve"> d</w:t>
      </w:r>
      <w:r>
        <w:rPr>
          <w:sz w:val="22"/>
        </w:rPr>
        <w:t>ėmesio sutrikimai</w:t>
      </w:r>
      <w:r w:rsidR="00D438CF">
        <w:rPr>
          <w:sz w:val="22"/>
        </w:rPr>
        <w:t>, i</w:t>
      </w:r>
      <w:r>
        <w:rPr>
          <w:sz w:val="22"/>
        </w:rPr>
        <w:t>šskyros iš akių, pasireiškiančios kartu su akių niežėjimu, apnašos ant vokų (junginės uždegimas)</w:t>
      </w:r>
      <w:r w:rsidR="00D438CF">
        <w:rPr>
          <w:sz w:val="22"/>
        </w:rPr>
        <w:t>, s</w:t>
      </w:r>
      <w:r>
        <w:rPr>
          <w:sz w:val="22"/>
        </w:rPr>
        <w:t>kausmas.</w:t>
      </w:r>
    </w:p>
    <w:p w14:paraId="172742E1" w14:textId="77777777" w:rsidR="00CA2E41" w:rsidRDefault="00CA2E41" w:rsidP="00CA2E41">
      <w:pPr>
        <w:rPr>
          <w:sz w:val="22"/>
        </w:rPr>
      </w:pPr>
    </w:p>
    <w:p w14:paraId="583D65D0" w14:textId="77777777" w:rsidR="00CA2E41" w:rsidRDefault="00CA2E41" w:rsidP="00CA2E41">
      <w:pPr>
        <w:rPr>
          <w:sz w:val="22"/>
        </w:rPr>
      </w:pPr>
      <w:r>
        <w:rPr>
          <w:i/>
          <w:iCs/>
          <w:sz w:val="22"/>
        </w:rPr>
        <w:t>Šalutinis poveikis, kuris pasireiškė suaugusiesiems, paaugliams ir 10 metų bei vyresniems vaikams</w:t>
      </w:r>
    </w:p>
    <w:p w14:paraId="4677BF9E" w14:textId="77777777" w:rsidR="00CA2E41" w:rsidRDefault="00CA2E41" w:rsidP="00CA2E41">
      <w:pPr>
        <w:rPr>
          <w:sz w:val="22"/>
        </w:rPr>
      </w:pPr>
    </w:p>
    <w:p w14:paraId="212AAF4C" w14:textId="6D529512" w:rsidR="00CA2E41" w:rsidRDefault="00CA2E41" w:rsidP="00305A45">
      <w:pPr>
        <w:rPr>
          <w:sz w:val="22"/>
        </w:rPr>
      </w:pPr>
      <w:r>
        <w:rPr>
          <w:b/>
          <w:bCs/>
          <w:sz w:val="22"/>
        </w:rPr>
        <w:lastRenderedPageBreak/>
        <w:t xml:space="preserve">Labai dažni </w:t>
      </w:r>
      <w:r w:rsidR="008E5F91">
        <w:rPr>
          <w:b/>
          <w:bCs/>
          <w:sz w:val="22"/>
        </w:rPr>
        <w:t>šalutinio poveikio reiškiniai (gali pasireikšti ne rečiau kaip 1 iš 10 </w:t>
      </w:r>
      <w:r w:rsidR="00F36EB4" w:rsidRPr="00F36EB4">
        <w:rPr>
          <w:b/>
          <w:bCs/>
          <w:sz w:val="22"/>
        </w:rPr>
        <w:t>skiepijimų vakcinos doze</w:t>
      </w:r>
      <w:r w:rsidR="008E5F91">
        <w:rPr>
          <w:b/>
          <w:bCs/>
          <w:sz w:val="22"/>
        </w:rPr>
        <w:t>):</w:t>
      </w:r>
      <w:r w:rsidR="00883AA5">
        <w:rPr>
          <w:sz w:val="22"/>
        </w:rPr>
        <w:t xml:space="preserve"> b</w:t>
      </w:r>
      <w:r>
        <w:rPr>
          <w:sz w:val="22"/>
        </w:rPr>
        <w:t>endrasis negalavimas.</w:t>
      </w:r>
    </w:p>
    <w:p w14:paraId="7D93CC8C" w14:textId="77777777" w:rsidR="00CA2E41" w:rsidRDefault="00CA2E41" w:rsidP="00CA2E41">
      <w:pPr>
        <w:rPr>
          <w:sz w:val="22"/>
        </w:rPr>
      </w:pPr>
    </w:p>
    <w:p w14:paraId="6E479C00" w14:textId="3A74D08D" w:rsidR="00CA2E41" w:rsidRDefault="00CA2E41" w:rsidP="00305A45">
      <w:pPr>
        <w:rPr>
          <w:sz w:val="22"/>
        </w:rPr>
      </w:pPr>
      <w:r>
        <w:rPr>
          <w:b/>
          <w:bCs/>
          <w:sz w:val="22"/>
        </w:rPr>
        <w:t xml:space="preserve">Dažni </w:t>
      </w:r>
      <w:r w:rsidR="008E5F91">
        <w:rPr>
          <w:b/>
          <w:bCs/>
          <w:sz w:val="22"/>
        </w:rPr>
        <w:t>šalutinio poveikio reiškiniai (gali pasireikšti rečiau kaip 1 iš 10 </w:t>
      </w:r>
      <w:r w:rsidR="00F36EB4" w:rsidRPr="00F36EB4">
        <w:rPr>
          <w:b/>
          <w:bCs/>
          <w:sz w:val="22"/>
        </w:rPr>
        <w:t>skiepijimų vakcinos doze</w:t>
      </w:r>
      <w:r w:rsidR="008E5F91">
        <w:rPr>
          <w:b/>
          <w:bCs/>
          <w:sz w:val="22"/>
        </w:rPr>
        <w:t>):</w:t>
      </w:r>
      <w:r w:rsidR="00883AA5">
        <w:rPr>
          <w:sz w:val="22"/>
        </w:rPr>
        <w:t xml:space="preserve"> s</w:t>
      </w:r>
      <w:r>
        <w:rPr>
          <w:sz w:val="22"/>
        </w:rPr>
        <w:t xml:space="preserve">ukietėjimas arba </w:t>
      </w:r>
      <w:proofErr w:type="spellStart"/>
      <w:r>
        <w:rPr>
          <w:sz w:val="22"/>
        </w:rPr>
        <w:t>abscesas</w:t>
      </w:r>
      <w:proofErr w:type="spellEnd"/>
      <w:r>
        <w:rPr>
          <w:sz w:val="22"/>
        </w:rPr>
        <w:t xml:space="preserve"> injekcijos vietoje.</w:t>
      </w:r>
    </w:p>
    <w:p w14:paraId="4C389B0B" w14:textId="77777777" w:rsidR="00CA2E41" w:rsidRDefault="00CA2E41" w:rsidP="00CA2E41">
      <w:pPr>
        <w:rPr>
          <w:sz w:val="22"/>
        </w:rPr>
      </w:pPr>
    </w:p>
    <w:p w14:paraId="0D0042B6" w14:textId="3277C5C4" w:rsidR="00CA2E41" w:rsidRDefault="00CA2E41" w:rsidP="00305A45">
      <w:pPr>
        <w:rPr>
          <w:sz w:val="22"/>
        </w:rPr>
      </w:pPr>
      <w:r>
        <w:rPr>
          <w:b/>
          <w:bCs/>
          <w:sz w:val="22"/>
        </w:rPr>
        <w:t xml:space="preserve">Nedažni </w:t>
      </w:r>
      <w:r w:rsidR="008E5F91">
        <w:rPr>
          <w:b/>
          <w:bCs/>
          <w:sz w:val="22"/>
        </w:rPr>
        <w:t>šalutinio poveikio reiškiniai (gali pasireikšti rečiau kaip 1 iš 100 </w:t>
      </w:r>
      <w:r w:rsidR="00F36EB4" w:rsidRPr="00F36EB4">
        <w:rPr>
          <w:b/>
          <w:bCs/>
          <w:sz w:val="22"/>
        </w:rPr>
        <w:t>skiepijimų vakcinos doze</w:t>
      </w:r>
      <w:r w:rsidR="008E5F91">
        <w:rPr>
          <w:b/>
          <w:bCs/>
          <w:sz w:val="22"/>
        </w:rPr>
        <w:t>):</w:t>
      </w:r>
      <w:r w:rsidR="00883AA5">
        <w:rPr>
          <w:sz w:val="22"/>
        </w:rPr>
        <w:t xml:space="preserve"> v</w:t>
      </w:r>
      <w:r>
        <w:rPr>
          <w:sz w:val="22"/>
        </w:rPr>
        <w:t>iršutinių kvėpavimo takų infekcinė liga</w:t>
      </w:r>
      <w:r w:rsidR="00883AA5">
        <w:rPr>
          <w:sz w:val="22"/>
        </w:rPr>
        <w:t>, g</w:t>
      </w:r>
      <w:r>
        <w:rPr>
          <w:sz w:val="22"/>
        </w:rPr>
        <w:t>erklės skausmas ir diskomfortas ryjant (</w:t>
      </w:r>
      <w:proofErr w:type="spellStart"/>
      <w:r>
        <w:rPr>
          <w:sz w:val="22"/>
        </w:rPr>
        <w:t>faringitas</w:t>
      </w:r>
      <w:proofErr w:type="spellEnd"/>
      <w:r>
        <w:rPr>
          <w:sz w:val="22"/>
        </w:rPr>
        <w:t>)</w:t>
      </w:r>
      <w:r w:rsidR="00883AA5">
        <w:rPr>
          <w:sz w:val="22"/>
        </w:rPr>
        <w:t>, a</w:t>
      </w:r>
      <w:r>
        <w:rPr>
          <w:sz w:val="22"/>
        </w:rPr>
        <w:t>palpimas</w:t>
      </w:r>
      <w:r w:rsidR="00883AA5">
        <w:rPr>
          <w:sz w:val="22"/>
        </w:rPr>
        <w:t>, k</w:t>
      </w:r>
      <w:r>
        <w:rPr>
          <w:sz w:val="22"/>
        </w:rPr>
        <w:t>osulys</w:t>
      </w:r>
      <w:r w:rsidR="00883AA5">
        <w:rPr>
          <w:sz w:val="22"/>
        </w:rPr>
        <w:t>, v</w:t>
      </w:r>
      <w:r>
        <w:rPr>
          <w:sz w:val="22"/>
        </w:rPr>
        <w:t>iduriavimas</w:t>
      </w:r>
      <w:r w:rsidR="00883AA5">
        <w:rPr>
          <w:sz w:val="22"/>
        </w:rPr>
        <w:t>, p</w:t>
      </w:r>
      <w:r>
        <w:rPr>
          <w:sz w:val="22"/>
        </w:rPr>
        <w:t>ernelyg stiprus prakaitavimas</w:t>
      </w:r>
      <w:r w:rsidR="00883AA5">
        <w:rPr>
          <w:sz w:val="22"/>
        </w:rPr>
        <w:t>, o</w:t>
      </w:r>
      <w:r>
        <w:rPr>
          <w:sz w:val="22"/>
        </w:rPr>
        <w:t>dos bėrimas</w:t>
      </w:r>
      <w:r w:rsidR="00883AA5">
        <w:rPr>
          <w:sz w:val="22"/>
        </w:rPr>
        <w:t>, s</w:t>
      </w:r>
      <w:r>
        <w:rPr>
          <w:sz w:val="22"/>
        </w:rPr>
        <w:t>ąnarių sąstingis, sąnarių ir raumenų sąstingis</w:t>
      </w:r>
      <w:r w:rsidR="00883AA5">
        <w:rPr>
          <w:sz w:val="22"/>
        </w:rPr>
        <w:t>, į</w:t>
      </w:r>
      <w:r>
        <w:rPr>
          <w:sz w:val="22"/>
        </w:rPr>
        <w:t xml:space="preserve"> gripą panašūs simptomai, pavyzdžiui: karščiavimas, gerklės skausmas, skystos išskyros iš nosies, kosulys ir </w:t>
      </w:r>
      <w:proofErr w:type="spellStart"/>
      <w:r>
        <w:rPr>
          <w:sz w:val="22"/>
        </w:rPr>
        <w:t>šaltkrėtis</w:t>
      </w:r>
      <w:proofErr w:type="spellEnd"/>
      <w:r>
        <w:rPr>
          <w:sz w:val="22"/>
        </w:rPr>
        <w:t>.</w:t>
      </w:r>
    </w:p>
    <w:p w14:paraId="5E0C0739" w14:textId="77777777" w:rsidR="00CA2E41" w:rsidRDefault="00CA2E41" w:rsidP="00CA2E41">
      <w:pPr>
        <w:rPr>
          <w:sz w:val="22"/>
        </w:rPr>
      </w:pPr>
    </w:p>
    <w:p w14:paraId="0E7DFE03" w14:textId="77777777" w:rsidR="00CA2E41" w:rsidRDefault="00CA2E41" w:rsidP="00CA2E41">
      <w:pPr>
        <w:rPr>
          <w:sz w:val="22"/>
        </w:rPr>
      </w:pPr>
      <w:r>
        <w:rPr>
          <w:sz w:val="22"/>
        </w:rPr>
        <w:t>Yra duomenų apie labai retus atvejus, kai po vakcinavimo nuo stabligės atsirado laikinas nervų uždegimas, sukeliantis skausmą, silpnumą ir galūnių paralyžių, dažnai apimantį krūtinę ir veidą (ne dažniau kaip po 1 iš 10 000 vakcinos dozių) (</w:t>
      </w:r>
      <w:proofErr w:type="spellStart"/>
      <w:r>
        <w:rPr>
          <w:i/>
          <w:sz w:val="22"/>
        </w:rPr>
        <w:t>Guillain-Barré</w:t>
      </w:r>
      <w:proofErr w:type="spellEnd"/>
      <w:r>
        <w:rPr>
          <w:i/>
          <w:sz w:val="22"/>
        </w:rPr>
        <w:t xml:space="preserve"> </w:t>
      </w:r>
      <w:r>
        <w:rPr>
          <w:sz w:val="22"/>
        </w:rPr>
        <w:t>sindromas).</w:t>
      </w:r>
    </w:p>
    <w:p w14:paraId="12866693" w14:textId="77777777" w:rsidR="00CA2E41" w:rsidRPr="00305A45" w:rsidRDefault="00CA2E41" w:rsidP="00CA2E41">
      <w:pPr>
        <w:rPr>
          <w:sz w:val="22"/>
        </w:rPr>
      </w:pPr>
    </w:p>
    <w:p w14:paraId="4919D2B2" w14:textId="77777777" w:rsidR="00CA2E41" w:rsidRDefault="00CA2E41" w:rsidP="00CA2E41">
      <w:pPr>
        <w:rPr>
          <w:b/>
          <w:sz w:val="22"/>
        </w:rPr>
      </w:pPr>
      <w:r>
        <w:rPr>
          <w:b/>
          <w:sz w:val="22"/>
        </w:rPr>
        <w:t>Pranešimas apie šalutinį poveikį</w:t>
      </w:r>
    </w:p>
    <w:p w14:paraId="7EB4C077" w14:textId="74DDC8A2" w:rsidR="00CA2E41" w:rsidRDefault="00CA2E41" w:rsidP="00CA2E41">
      <w:pPr>
        <w:rPr>
          <w:sz w:val="22"/>
        </w:rPr>
      </w:pPr>
      <w:r>
        <w:rPr>
          <w:sz w:val="22"/>
        </w:rPr>
        <w:t xml:space="preserve">Jeigu Jums arba Jūsų vaikui pasireiškė šalutinis poveikis, įskaitant šiame lapelyje nenurodytą, pasakykite gydytojui arba vaistininkui. </w:t>
      </w:r>
      <w:r w:rsidR="00322386">
        <w:rPr>
          <w:sz w:val="22"/>
        </w:rPr>
        <w:t>Pranešimą apie šalutinį poveikį galite pateikti šiais būdais: tiesiogiai užpildant formą internetu</w:t>
      </w:r>
      <w:r w:rsidR="00322386" w:rsidRPr="00B4222B">
        <w:rPr>
          <w:sz w:val="22"/>
        </w:rPr>
        <w:t xml:space="preserve"> Valstybinės vaistų kontrolės tarnybos prie Lietuvos Respublikos sveikatos apsaugos ministerijos </w:t>
      </w:r>
      <w:r w:rsidR="00322386">
        <w:rPr>
          <w:sz w:val="22"/>
        </w:rPr>
        <w:t xml:space="preserve">Vaistinių preparatų informacinėje sistemoje </w:t>
      </w:r>
      <w:r w:rsidR="00322386">
        <w:rPr>
          <w:color w:val="0000FF"/>
          <w:sz w:val="22"/>
          <w:u w:val="single"/>
        </w:rPr>
        <w:t>https://vapris.vvkt.lt/vvkt-web/public/nrv</w:t>
      </w:r>
      <w:r w:rsidR="00322386">
        <w:rPr>
          <w:sz w:val="22"/>
        </w:rPr>
        <w:t xml:space="preserve"> arba užpildant Paciento pranešimo apie įtariamą nepageidaujamą reakciją (ĮNR) formą, kuri skelbiama </w:t>
      </w:r>
      <w:r w:rsidR="00322386">
        <w:rPr>
          <w:color w:val="0000FF"/>
          <w:sz w:val="22"/>
          <w:u w:val="single"/>
        </w:rPr>
        <w:t>https</w:t>
      </w:r>
      <w:r w:rsidR="00322386" w:rsidRPr="00B4222B">
        <w:rPr>
          <w:color w:val="0000FF"/>
          <w:sz w:val="22"/>
          <w:u w:val="single"/>
        </w:rPr>
        <w:t>://www.vvkt.lt</w:t>
      </w:r>
      <w:r w:rsidR="00322386">
        <w:rPr>
          <w:color w:val="0000FF"/>
          <w:sz w:val="22"/>
          <w:u w:val="single"/>
        </w:rPr>
        <w:t>/index.php?4004286486</w:t>
      </w:r>
      <w:r w:rsidR="00322386">
        <w:rPr>
          <w:sz w:val="22"/>
        </w:rPr>
        <w:t xml:space="preserve">, ir atsiunčiant elektroniniu paštu (adresu </w:t>
      </w:r>
      <w:proofErr w:type="spellStart"/>
      <w:r w:rsidR="00322386">
        <w:rPr>
          <w:color w:val="0000FF"/>
          <w:sz w:val="22"/>
          <w:u w:val="single"/>
        </w:rPr>
        <w:t>NepageidaujamaR@vvkt.lt</w:t>
      </w:r>
      <w:proofErr w:type="spellEnd"/>
      <w:r w:rsidR="00322386">
        <w:rPr>
          <w:sz w:val="22"/>
        </w:rPr>
        <w:t xml:space="preserve">) </w:t>
      </w:r>
      <w:r w:rsidR="00322386" w:rsidRPr="00B4222B">
        <w:rPr>
          <w:sz w:val="22"/>
        </w:rPr>
        <w:t>arba</w:t>
      </w:r>
      <w:r w:rsidR="00322386">
        <w:rPr>
          <w:sz w:val="22"/>
        </w:rPr>
        <w:t xml:space="preserve"> nemokamu telefonu 8 800 73 568.</w:t>
      </w:r>
      <w:r w:rsidR="00322386" w:rsidRPr="00B4222B">
        <w:rPr>
          <w:sz w:val="22"/>
        </w:rPr>
        <w:t xml:space="preserve"> </w:t>
      </w:r>
      <w:r>
        <w:rPr>
          <w:sz w:val="22"/>
        </w:rPr>
        <w:t>Pranešdami apie šalutinį poveikį galite mums padėti gauti daugiau informacijos apie šio vaisto saugumą.</w:t>
      </w:r>
    </w:p>
    <w:p w14:paraId="77489235" w14:textId="77777777" w:rsidR="00CA2E41" w:rsidRDefault="00CA2E41" w:rsidP="00CA2E41">
      <w:pPr>
        <w:rPr>
          <w:sz w:val="22"/>
        </w:rPr>
      </w:pPr>
    </w:p>
    <w:p w14:paraId="361DFA8F" w14:textId="77777777" w:rsidR="00CA2E41" w:rsidRDefault="00CA2E41" w:rsidP="00CA2E41">
      <w:pPr>
        <w:rPr>
          <w:sz w:val="22"/>
        </w:rPr>
      </w:pPr>
    </w:p>
    <w:p w14:paraId="37220ACE" w14:textId="77777777" w:rsidR="00CA2E41" w:rsidRDefault="00CA2E41" w:rsidP="00CA2E41">
      <w:pPr>
        <w:keepNext/>
        <w:rPr>
          <w:b/>
          <w:sz w:val="22"/>
        </w:rPr>
      </w:pPr>
      <w:r>
        <w:rPr>
          <w:b/>
          <w:sz w:val="22"/>
        </w:rPr>
        <w:t>5.</w:t>
      </w:r>
      <w:r>
        <w:rPr>
          <w:b/>
          <w:sz w:val="22"/>
        </w:rPr>
        <w:tab/>
        <w:t>Kaip laikyti BOOSTRIX POLIO</w:t>
      </w:r>
    </w:p>
    <w:p w14:paraId="300545EC" w14:textId="77777777" w:rsidR="00CA2E41" w:rsidRDefault="00CA2E41" w:rsidP="00CA2E41">
      <w:pPr>
        <w:rPr>
          <w:sz w:val="22"/>
        </w:rPr>
      </w:pPr>
    </w:p>
    <w:p w14:paraId="55583457" w14:textId="77777777" w:rsidR="00CA2E41" w:rsidRDefault="00CA2E41" w:rsidP="00CA2E41">
      <w:pPr>
        <w:rPr>
          <w:sz w:val="22"/>
        </w:rPr>
      </w:pPr>
      <w:r>
        <w:rPr>
          <w:sz w:val="22"/>
        </w:rPr>
        <w:t>Šią vakciną laikykite vaikams nepastebimoje ir nepasiekiamoje vietoje.</w:t>
      </w:r>
    </w:p>
    <w:p w14:paraId="33DCE3FE" w14:textId="77777777" w:rsidR="00CA2E41" w:rsidRDefault="00CA2E41" w:rsidP="00CA2E41">
      <w:pPr>
        <w:rPr>
          <w:sz w:val="22"/>
        </w:rPr>
      </w:pPr>
    </w:p>
    <w:p w14:paraId="3C2360D0" w14:textId="77777777" w:rsidR="00CA2E41" w:rsidRDefault="00CA2E41" w:rsidP="00CA2E41">
      <w:pPr>
        <w:rPr>
          <w:sz w:val="22"/>
        </w:rPr>
      </w:pPr>
      <w:r>
        <w:rPr>
          <w:sz w:val="22"/>
        </w:rPr>
        <w:t>Ant dėžutės po „Tinka iki“ arba „EXP“ ar užpildyto švirkšto etiketės „EXP“ nurodytam tinkamumo laikui pasibaigus, šios vakcinos vartoti negalima. Vakcina tinka vartoti iki paskutinės nurodyto mėnesio dienos.</w:t>
      </w:r>
    </w:p>
    <w:p w14:paraId="3445E7BA" w14:textId="77777777" w:rsidR="00CA2E41" w:rsidRDefault="00CA2E41" w:rsidP="00CA2E41">
      <w:pPr>
        <w:rPr>
          <w:sz w:val="22"/>
        </w:rPr>
      </w:pPr>
    </w:p>
    <w:p w14:paraId="78D78E14" w14:textId="77777777" w:rsidR="00CA2E41" w:rsidRDefault="00CA2E41" w:rsidP="00CA2E41">
      <w:pPr>
        <w:rPr>
          <w:sz w:val="22"/>
        </w:rPr>
      </w:pPr>
      <w:r>
        <w:rPr>
          <w:sz w:val="22"/>
        </w:rPr>
        <w:t>Laikyti šaldytuve (2 </w:t>
      </w:r>
      <w:r>
        <w:rPr>
          <w:sz w:val="22"/>
        </w:rPr>
        <w:sym w:font="Symbol" w:char="F0B0"/>
      </w:r>
      <w:r>
        <w:rPr>
          <w:sz w:val="22"/>
        </w:rPr>
        <w:t>C – 8 </w:t>
      </w:r>
      <w:r>
        <w:rPr>
          <w:sz w:val="22"/>
        </w:rPr>
        <w:sym w:font="Symbol" w:char="F0B0"/>
      </w:r>
      <w:r>
        <w:rPr>
          <w:sz w:val="22"/>
        </w:rPr>
        <w:t>C).</w:t>
      </w:r>
    </w:p>
    <w:p w14:paraId="0072885C" w14:textId="77777777" w:rsidR="00CA2E41" w:rsidRDefault="00CA2E41" w:rsidP="00CA2E41">
      <w:pPr>
        <w:rPr>
          <w:sz w:val="22"/>
        </w:rPr>
      </w:pPr>
      <w:r>
        <w:rPr>
          <w:sz w:val="22"/>
        </w:rPr>
        <w:t>Negalima užšaldyti. Užšaldyta vakcina suyra.</w:t>
      </w:r>
    </w:p>
    <w:p w14:paraId="44E5E4E6" w14:textId="77777777" w:rsidR="00CA2E41" w:rsidRDefault="00CA2E41" w:rsidP="00CA2E41">
      <w:pPr>
        <w:rPr>
          <w:sz w:val="22"/>
        </w:rPr>
      </w:pPr>
      <w:r>
        <w:rPr>
          <w:sz w:val="22"/>
        </w:rPr>
        <w:t>Laikyti gamintojo pakuotėje, kad preparatas būtų apsaugotas nuo šviesos.</w:t>
      </w:r>
    </w:p>
    <w:p w14:paraId="428B1D3A" w14:textId="77777777" w:rsidR="00CA2E41" w:rsidRDefault="00CA2E41" w:rsidP="00CA2E41">
      <w:pPr>
        <w:rPr>
          <w:sz w:val="22"/>
        </w:rPr>
      </w:pPr>
    </w:p>
    <w:p w14:paraId="6DED1EEC" w14:textId="77777777" w:rsidR="00CA2E41" w:rsidRDefault="00CA2E41" w:rsidP="00CA2E41">
      <w:pPr>
        <w:rPr>
          <w:sz w:val="22"/>
        </w:rPr>
      </w:pPr>
      <w:r>
        <w:rPr>
          <w:sz w:val="22"/>
        </w:rPr>
        <w:t>Vaistų negalima išmesti į kanalizaciją arba su buitinėmis atliekomis. Kaip išmesti nereikalingus vaistus, klauskite vaistininko. Šios priemonės padės apsaugoti aplinką.</w:t>
      </w:r>
    </w:p>
    <w:p w14:paraId="3CC8304E" w14:textId="77777777" w:rsidR="00CA2E41" w:rsidRDefault="00CA2E41" w:rsidP="00CA2E41">
      <w:pPr>
        <w:rPr>
          <w:sz w:val="22"/>
        </w:rPr>
      </w:pPr>
    </w:p>
    <w:p w14:paraId="66F201D1" w14:textId="77777777" w:rsidR="00CA2E41" w:rsidRDefault="00CA2E41" w:rsidP="00CA2E41">
      <w:pPr>
        <w:rPr>
          <w:sz w:val="22"/>
        </w:rPr>
      </w:pPr>
    </w:p>
    <w:p w14:paraId="6D3C94D3" w14:textId="77777777" w:rsidR="00CA2E41" w:rsidRDefault="00CA2E41" w:rsidP="00CA2E41">
      <w:pPr>
        <w:rPr>
          <w:b/>
          <w:sz w:val="22"/>
        </w:rPr>
      </w:pPr>
      <w:r>
        <w:rPr>
          <w:b/>
          <w:sz w:val="22"/>
        </w:rPr>
        <w:t>6.</w:t>
      </w:r>
      <w:r>
        <w:rPr>
          <w:b/>
          <w:sz w:val="22"/>
        </w:rPr>
        <w:tab/>
        <w:t>Pakuotės turinys ir kita informacija</w:t>
      </w:r>
    </w:p>
    <w:p w14:paraId="4826640E" w14:textId="77777777" w:rsidR="00CA2E41" w:rsidRDefault="00CA2E41" w:rsidP="00CA2E41">
      <w:pPr>
        <w:rPr>
          <w:sz w:val="22"/>
        </w:rPr>
      </w:pPr>
    </w:p>
    <w:p w14:paraId="03D93B3D" w14:textId="77777777" w:rsidR="00CA2E41" w:rsidRDefault="00CA2E41" w:rsidP="00CA2E41">
      <w:pPr>
        <w:rPr>
          <w:b/>
          <w:sz w:val="22"/>
        </w:rPr>
      </w:pPr>
      <w:r>
        <w:rPr>
          <w:b/>
          <w:sz w:val="22"/>
        </w:rPr>
        <w:t>BOOSTRIX POLIO sudėtis</w:t>
      </w:r>
    </w:p>
    <w:p w14:paraId="3FC257F2" w14:textId="77777777" w:rsidR="00CA2E41" w:rsidRDefault="00CA2E41" w:rsidP="00CA2E41">
      <w:pPr>
        <w:rPr>
          <w:sz w:val="22"/>
        </w:rPr>
      </w:pPr>
    </w:p>
    <w:p w14:paraId="1DB4AF04" w14:textId="77777777" w:rsidR="00CA2E41" w:rsidRDefault="00CA2E41" w:rsidP="00CA2E41">
      <w:pPr>
        <w:rPr>
          <w:sz w:val="22"/>
        </w:rPr>
      </w:pPr>
      <w:r>
        <w:rPr>
          <w:sz w:val="22"/>
        </w:rPr>
        <w:t>-</w:t>
      </w:r>
      <w:r>
        <w:rPr>
          <w:sz w:val="22"/>
        </w:rPr>
        <w:tab/>
        <w:t>Vienoje 0,5 ml vakcinos dozėje yra:</w:t>
      </w:r>
    </w:p>
    <w:p w14:paraId="37AAE699" w14:textId="77777777" w:rsidR="00CA2E41" w:rsidRDefault="00CA2E41" w:rsidP="00CA2E41">
      <w:pPr>
        <w:rPr>
          <w:sz w:val="22"/>
        </w:rPr>
      </w:pPr>
    </w:p>
    <w:p w14:paraId="325D53A0" w14:textId="77777777" w:rsidR="00CA2E41" w:rsidRDefault="00CA2E41" w:rsidP="00CA2E41">
      <w:pPr>
        <w:rPr>
          <w:sz w:val="22"/>
        </w:rPr>
      </w:pPr>
      <w:r>
        <w:rPr>
          <w:sz w:val="22"/>
        </w:rPr>
        <w:t>Difterijos anatoksino</w:t>
      </w:r>
      <w:r>
        <w:rPr>
          <w:sz w:val="22"/>
          <w:vertAlign w:val="superscript"/>
        </w:rPr>
        <w:t>1</w:t>
      </w:r>
      <w:r>
        <w:rPr>
          <w:sz w:val="22"/>
        </w:rPr>
        <w:tab/>
      </w:r>
      <w:r>
        <w:rPr>
          <w:sz w:val="22"/>
        </w:rPr>
        <w:tab/>
      </w:r>
      <w:r>
        <w:rPr>
          <w:sz w:val="22"/>
        </w:rPr>
        <w:tab/>
        <w:t>ne mažiau kaip 2 TV (2,5 </w:t>
      </w:r>
      <w:proofErr w:type="spellStart"/>
      <w:r>
        <w:rPr>
          <w:sz w:val="22"/>
        </w:rPr>
        <w:t>Lf</w:t>
      </w:r>
      <w:proofErr w:type="spellEnd"/>
      <w:r>
        <w:rPr>
          <w:sz w:val="22"/>
        </w:rPr>
        <w:t>)</w:t>
      </w:r>
    </w:p>
    <w:p w14:paraId="415DE503" w14:textId="77777777" w:rsidR="00CA2E41" w:rsidRDefault="00CA2E41" w:rsidP="00CA2E41">
      <w:pPr>
        <w:rPr>
          <w:sz w:val="22"/>
        </w:rPr>
      </w:pPr>
      <w:r>
        <w:rPr>
          <w:sz w:val="22"/>
        </w:rPr>
        <w:t>Stabligės anatoksino</w:t>
      </w:r>
      <w:r>
        <w:rPr>
          <w:sz w:val="22"/>
          <w:vertAlign w:val="superscript"/>
        </w:rPr>
        <w:t>1</w:t>
      </w:r>
      <w:r>
        <w:rPr>
          <w:sz w:val="22"/>
        </w:rPr>
        <w:t xml:space="preserve"> </w:t>
      </w:r>
      <w:r>
        <w:rPr>
          <w:sz w:val="22"/>
        </w:rPr>
        <w:tab/>
      </w:r>
      <w:r>
        <w:rPr>
          <w:sz w:val="22"/>
        </w:rPr>
        <w:tab/>
      </w:r>
      <w:r>
        <w:rPr>
          <w:sz w:val="22"/>
        </w:rPr>
        <w:tab/>
        <w:t>ne mažiau kaip 20 TV (5 </w:t>
      </w:r>
      <w:proofErr w:type="spellStart"/>
      <w:r>
        <w:rPr>
          <w:sz w:val="22"/>
        </w:rPr>
        <w:t>Lf</w:t>
      </w:r>
      <w:proofErr w:type="spellEnd"/>
      <w:r>
        <w:rPr>
          <w:sz w:val="22"/>
        </w:rPr>
        <w:t>)</w:t>
      </w:r>
    </w:p>
    <w:p w14:paraId="4A276D4B" w14:textId="77777777" w:rsidR="00CA2E41" w:rsidRDefault="00CA2E41" w:rsidP="00CA2E41">
      <w:pPr>
        <w:rPr>
          <w:sz w:val="22"/>
        </w:rPr>
      </w:pPr>
      <w:proofErr w:type="spellStart"/>
      <w:r>
        <w:rPr>
          <w:sz w:val="22"/>
        </w:rPr>
        <w:t>Bordetella</w:t>
      </w:r>
      <w:proofErr w:type="spellEnd"/>
      <w:r>
        <w:rPr>
          <w:sz w:val="22"/>
        </w:rPr>
        <w:t xml:space="preserve"> </w:t>
      </w:r>
      <w:proofErr w:type="spellStart"/>
      <w:r>
        <w:rPr>
          <w:sz w:val="22"/>
        </w:rPr>
        <w:t>pertussis</w:t>
      </w:r>
      <w:proofErr w:type="spellEnd"/>
      <w:r>
        <w:rPr>
          <w:sz w:val="22"/>
        </w:rPr>
        <w:t xml:space="preserve"> antigenų</w:t>
      </w:r>
    </w:p>
    <w:p w14:paraId="6598C1D7" w14:textId="77777777" w:rsidR="00CA2E41" w:rsidRDefault="00CA2E41" w:rsidP="00CA2E41">
      <w:pPr>
        <w:rPr>
          <w:sz w:val="22"/>
        </w:rPr>
      </w:pPr>
      <w:r>
        <w:rPr>
          <w:sz w:val="22"/>
        </w:rPr>
        <w:t xml:space="preserve">     Kokliušo anatoksino</w:t>
      </w:r>
      <w:r>
        <w:rPr>
          <w:sz w:val="22"/>
          <w:vertAlign w:val="superscript"/>
        </w:rPr>
        <w:t>1</w:t>
      </w:r>
      <w:r>
        <w:rPr>
          <w:sz w:val="22"/>
        </w:rPr>
        <w:tab/>
      </w:r>
      <w:r>
        <w:rPr>
          <w:sz w:val="22"/>
        </w:rPr>
        <w:tab/>
      </w:r>
      <w:r>
        <w:rPr>
          <w:sz w:val="22"/>
        </w:rPr>
        <w:tab/>
      </w:r>
      <w:r>
        <w:rPr>
          <w:sz w:val="22"/>
        </w:rPr>
        <w:tab/>
        <w:t xml:space="preserve">8 </w:t>
      </w:r>
      <w:proofErr w:type="spellStart"/>
      <w:r>
        <w:rPr>
          <w:sz w:val="22"/>
        </w:rPr>
        <w:t>mikrogramai</w:t>
      </w:r>
      <w:proofErr w:type="spellEnd"/>
    </w:p>
    <w:p w14:paraId="30514F04" w14:textId="77777777" w:rsidR="00CA2E41" w:rsidRDefault="00CA2E41" w:rsidP="00CA2E41">
      <w:pPr>
        <w:rPr>
          <w:sz w:val="22"/>
        </w:rPr>
      </w:pPr>
      <w:r>
        <w:rPr>
          <w:sz w:val="22"/>
        </w:rPr>
        <w:t xml:space="preserve">     </w:t>
      </w:r>
      <w:proofErr w:type="spellStart"/>
      <w:r>
        <w:rPr>
          <w:sz w:val="22"/>
        </w:rPr>
        <w:t>Filamentinio</w:t>
      </w:r>
      <w:proofErr w:type="spellEnd"/>
      <w:r>
        <w:rPr>
          <w:sz w:val="22"/>
        </w:rPr>
        <w:t xml:space="preserve"> hemagliutinino</w:t>
      </w:r>
      <w:r>
        <w:rPr>
          <w:sz w:val="22"/>
          <w:vertAlign w:val="superscript"/>
        </w:rPr>
        <w:t>1</w:t>
      </w:r>
      <w:r>
        <w:rPr>
          <w:sz w:val="22"/>
          <w:vertAlign w:val="superscript"/>
        </w:rPr>
        <w:tab/>
      </w:r>
      <w:r>
        <w:rPr>
          <w:sz w:val="22"/>
          <w:vertAlign w:val="superscript"/>
        </w:rPr>
        <w:tab/>
      </w:r>
      <w:r>
        <w:rPr>
          <w:sz w:val="22"/>
          <w:vertAlign w:val="superscript"/>
        </w:rPr>
        <w:tab/>
      </w:r>
      <w:r>
        <w:rPr>
          <w:sz w:val="22"/>
        </w:rPr>
        <w:t xml:space="preserve">8 </w:t>
      </w:r>
      <w:proofErr w:type="spellStart"/>
      <w:r>
        <w:rPr>
          <w:sz w:val="22"/>
        </w:rPr>
        <w:t>mikrogramai</w:t>
      </w:r>
      <w:proofErr w:type="spellEnd"/>
    </w:p>
    <w:p w14:paraId="3A51143C" w14:textId="77777777" w:rsidR="00CA2E41" w:rsidRDefault="00CA2E41" w:rsidP="00CA2E41">
      <w:pPr>
        <w:rPr>
          <w:sz w:val="22"/>
        </w:rPr>
      </w:pPr>
      <w:r>
        <w:rPr>
          <w:sz w:val="22"/>
        </w:rPr>
        <w:t xml:space="preserve">     Pertaktino</w:t>
      </w:r>
      <w:r>
        <w:rPr>
          <w:sz w:val="22"/>
          <w:vertAlign w:val="superscript"/>
        </w:rPr>
        <w:t>1</w:t>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rPr>
        <w:t xml:space="preserve">2,5 </w:t>
      </w:r>
      <w:proofErr w:type="spellStart"/>
      <w:r>
        <w:rPr>
          <w:sz w:val="22"/>
        </w:rPr>
        <w:t>mikrogramai</w:t>
      </w:r>
      <w:proofErr w:type="spellEnd"/>
    </w:p>
    <w:p w14:paraId="53821C16" w14:textId="77777777" w:rsidR="00CA2E41" w:rsidRDefault="00CA2E41" w:rsidP="00CA2E41">
      <w:pPr>
        <w:rPr>
          <w:sz w:val="22"/>
        </w:rPr>
      </w:pPr>
      <w:proofErr w:type="spellStart"/>
      <w:r>
        <w:rPr>
          <w:sz w:val="22"/>
        </w:rPr>
        <w:t>Inaktyvuotų</w:t>
      </w:r>
      <w:proofErr w:type="spellEnd"/>
      <w:r>
        <w:rPr>
          <w:sz w:val="22"/>
        </w:rPr>
        <w:t xml:space="preserve"> </w:t>
      </w:r>
      <w:proofErr w:type="spellStart"/>
      <w:r>
        <w:rPr>
          <w:sz w:val="22"/>
        </w:rPr>
        <w:t>poliovirusų</w:t>
      </w:r>
      <w:proofErr w:type="spellEnd"/>
    </w:p>
    <w:p w14:paraId="417C4D1C" w14:textId="77777777" w:rsidR="00CA2E41" w:rsidRDefault="00CA2E41" w:rsidP="00E30FAC">
      <w:pPr>
        <w:tabs>
          <w:tab w:val="left" w:pos="284"/>
        </w:tabs>
        <w:rPr>
          <w:sz w:val="22"/>
        </w:rPr>
      </w:pPr>
      <w:r>
        <w:rPr>
          <w:sz w:val="22"/>
        </w:rPr>
        <w:tab/>
        <w:t>1-ojo tipo (</w:t>
      </w:r>
      <w:proofErr w:type="spellStart"/>
      <w:r>
        <w:rPr>
          <w:i/>
          <w:sz w:val="22"/>
        </w:rPr>
        <w:t>Mahoney</w:t>
      </w:r>
      <w:proofErr w:type="spellEnd"/>
      <w:r>
        <w:rPr>
          <w:sz w:val="22"/>
        </w:rPr>
        <w:t xml:space="preserve"> padermė)</w:t>
      </w:r>
      <w:r>
        <w:rPr>
          <w:sz w:val="22"/>
          <w:vertAlign w:val="superscript"/>
        </w:rPr>
        <w:t>2</w:t>
      </w:r>
      <w:r>
        <w:rPr>
          <w:sz w:val="22"/>
        </w:rPr>
        <w:tab/>
      </w:r>
      <w:r>
        <w:rPr>
          <w:sz w:val="22"/>
        </w:rPr>
        <w:tab/>
      </w:r>
      <w:r>
        <w:rPr>
          <w:sz w:val="22"/>
        </w:rPr>
        <w:tab/>
        <w:t>40 D antigeno vienetų</w:t>
      </w:r>
    </w:p>
    <w:p w14:paraId="58A71232" w14:textId="77777777" w:rsidR="00CA2E41" w:rsidRDefault="00CA2E41" w:rsidP="00E30FAC">
      <w:pPr>
        <w:tabs>
          <w:tab w:val="left" w:pos="284"/>
        </w:tabs>
        <w:ind w:left="284" w:hanging="284"/>
        <w:rPr>
          <w:sz w:val="22"/>
        </w:rPr>
      </w:pPr>
      <w:r>
        <w:rPr>
          <w:sz w:val="22"/>
        </w:rPr>
        <w:lastRenderedPageBreak/>
        <w:tab/>
        <w:t>2-ojo tipo (MEF-1 padermė)</w:t>
      </w:r>
      <w:r>
        <w:rPr>
          <w:sz w:val="22"/>
          <w:vertAlign w:val="superscript"/>
        </w:rPr>
        <w:t>2</w:t>
      </w:r>
      <w:r>
        <w:rPr>
          <w:sz w:val="22"/>
        </w:rPr>
        <w:tab/>
      </w:r>
      <w:r>
        <w:rPr>
          <w:sz w:val="22"/>
        </w:rPr>
        <w:tab/>
      </w:r>
      <w:r>
        <w:rPr>
          <w:sz w:val="22"/>
        </w:rPr>
        <w:tab/>
        <w:t>8 D antigeno vienetai</w:t>
      </w:r>
    </w:p>
    <w:p w14:paraId="1C71FF01" w14:textId="77777777" w:rsidR="00CA2E41" w:rsidRDefault="00CA2E41" w:rsidP="00E30FAC">
      <w:pPr>
        <w:tabs>
          <w:tab w:val="left" w:pos="284"/>
        </w:tabs>
        <w:rPr>
          <w:sz w:val="22"/>
        </w:rPr>
      </w:pPr>
      <w:r>
        <w:rPr>
          <w:sz w:val="22"/>
        </w:rPr>
        <w:tab/>
        <w:t>3-iojo tipo (</w:t>
      </w:r>
      <w:proofErr w:type="spellStart"/>
      <w:r>
        <w:rPr>
          <w:i/>
          <w:sz w:val="22"/>
        </w:rPr>
        <w:t>Saukett</w:t>
      </w:r>
      <w:proofErr w:type="spellEnd"/>
      <w:r>
        <w:rPr>
          <w:sz w:val="22"/>
        </w:rPr>
        <w:t xml:space="preserve"> padermė)</w:t>
      </w:r>
      <w:r>
        <w:rPr>
          <w:sz w:val="22"/>
          <w:vertAlign w:val="superscript"/>
        </w:rPr>
        <w:t>2</w:t>
      </w:r>
      <w:r>
        <w:rPr>
          <w:sz w:val="22"/>
        </w:rPr>
        <w:tab/>
      </w:r>
      <w:r>
        <w:rPr>
          <w:sz w:val="22"/>
        </w:rPr>
        <w:tab/>
      </w:r>
      <w:r>
        <w:rPr>
          <w:sz w:val="22"/>
        </w:rPr>
        <w:tab/>
        <w:t>32 D antigeno vienetai</w:t>
      </w:r>
    </w:p>
    <w:p w14:paraId="5C507FFC" w14:textId="77777777" w:rsidR="00CA2E41" w:rsidRDefault="00CA2E41" w:rsidP="00CA2E41">
      <w:pPr>
        <w:rPr>
          <w:sz w:val="22"/>
        </w:rPr>
      </w:pPr>
    </w:p>
    <w:p w14:paraId="174AD059" w14:textId="77777777" w:rsidR="00CA2E41" w:rsidRDefault="00CA2E41" w:rsidP="00CA2E41">
      <w:pPr>
        <w:rPr>
          <w:sz w:val="22"/>
          <w:vertAlign w:val="superscript"/>
        </w:rPr>
      </w:pPr>
      <w:r>
        <w:rPr>
          <w:sz w:val="22"/>
          <w:vertAlign w:val="superscript"/>
        </w:rPr>
        <w:t>1</w:t>
      </w:r>
      <w:r>
        <w:rPr>
          <w:sz w:val="22"/>
        </w:rPr>
        <w:t>Adsorbuotas hidratuotu aliuminio hidroksidu</w:t>
      </w:r>
      <w:r>
        <w:rPr>
          <w:i/>
          <w:sz w:val="22"/>
        </w:rPr>
        <w:t xml:space="preserve"> (Al (OH)</w:t>
      </w:r>
      <w:r>
        <w:rPr>
          <w:i/>
          <w:sz w:val="22"/>
          <w:vertAlign w:val="subscript"/>
        </w:rPr>
        <w:t>3</w:t>
      </w:r>
      <w:r>
        <w:rPr>
          <w:i/>
          <w:sz w:val="22"/>
        </w:rPr>
        <w:t>)</w:t>
      </w:r>
      <w:r>
        <w:rPr>
          <w:sz w:val="22"/>
        </w:rPr>
        <w:tab/>
      </w:r>
      <w:r>
        <w:rPr>
          <w:sz w:val="22"/>
        </w:rPr>
        <w:tab/>
        <w:t>0,3 miligramo Al</w:t>
      </w:r>
      <w:r>
        <w:rPr>
          <w:sz w:val="22"/>
          <w:vertAlign w:val="superscript"/>
        </w:rPr>
        <w:t>3+</w:t>
      </w:r>
    </w:p>
    <w:p w14:paraId="2C27AC18" w14:textId="77777777" w:rsidR="00CA2E41" w:rsidRDefault="00CA2E41" w:rsidP="00CA2E41">
      <w:pPr>
        <w:rPr>
          <w:sz w:val="22"/>
          <w:vertAlign w:val="superscript"/>
        </w:rPr>
      </w:pPr>
      <w:r>
        <w:rPr>
          <w:sz w:val="22"/>
        </w:rPr>
        <w:t xml:space="preserve">ir aliuminio fosfatu </w:t>
      </w:r>
      <w:r>
        <w:rPr>
          <w:i/>
          <w:sz w:val="22"/>
        </w:rPr>
        <w:t>(AlPO</w:t>
      </w:r>
      <w:r>
        <w:rPr>
          <w:i/>
          <w:sz w:val="22"/>
          <w:vertAlign w:val="subscript"/>
        </w:rPr>
        <w:t>4</w:t>
      </w:r>
      <w:r>
        <w:rPr>
          <w:i/>
          <w:sz w:val="22"/>
        </w:rPr>
        <w:t>)</w:t>
      </w:r>
      <w:r>
        <w:rPr>
          <w:sz w:val="22"/>
        </w:rPr>
        <w:tab/>
      </w:r>
      <w:r>
        <w:rPr>
          <w:sz w:val="22"/>
        </w:rPr>
        <w:tab/>
      </w:r>
      <w:r>
        <w:rPr>
          <w:sz w:val="22"/>
        </w:rPr>
        <w:tab/>
      </w:r>
      <w:r>
        <w:rPr>
          <w:sz w:val="22"/>
        </w:rPr>
        <w:tab/>
        <w:t>0,2 miligramo Al</w:t>
      </w:r>
      <w:r>
        <w:rPr>
          <w:sz w:val="22"/>
          <w:vertAlign w:val="superscript"/>
        </w:rPr>
        <w:t>3+</w:t>
      </w:r>
    </w:p>
    <w:p w14:paraId="0901CC52" w14:textId="77777777" w:rsidR="00CA2E41" w:rsidRDefault="00CA2E41" w:rsidP="00CA2E41">
      <w:pPr>
        <w:rPr>
          <w:sz w:val="22"/>
        </w:rPr>
      </w:pPr>
      <w:r>
        <w:rPr>
          <w:sz w:val="22"/>
          <w:vertAlign w:val="superscript"/>
        </w:rPr>
        <w:t>2</w:t>
      </w:r>
      <w:r>
        <w:rPr>
          <w:sz w:val="22"/>
        </w:rPr>
        <w:t xml:space="preserve"> kultivuotų VERO ląstelėse</w:t>
      </w:r>
    </w:p>
    <w:p w14:paraId="250810BA" w14:textId="77777777" w:rsidR="00CA2E41" w:rsidRDefault="00CA2E41" w:rsidP="00CA2E41">
      <w:pPr>
        <w:rPr>
          <w:sz w:val="22"/>
        </w:rPr>
      </w:pPr>
    </w:p>
    <w:p w14:paraId="4176661E" w14:textId="77777777" w:rsidR="00CA2E41" w:rsidRDefault="00CA2E41" w:rsidP="00CA2E41">
      <w:pPr>
        <w:rPr>
          <w:sz w:val="22"/>
        </w:rPr>
      </w:pPr>
      <w:r>
        <w:rPr>
          <w:sz w:val="22"/>
        </w:rPr>
        <w:t>Aliuminio hidroksidas ir aliuminio fosfatas yra pagalbinės vakcinos medžiagos. Jos įtraukiamos į tam tikrų vakcinų sudėtį siekiant paspartinti, pagerinti ir/ar pailginti apsauginį vakcinos poveikį.</w:t>
      </w:r>
    </w:p>
    <w:p w14:paraId="76386FBA" w14:textId="77777777" w:rsidR="00CA2E41" w:rsidRDefault="00CA2E41" w:rsidP="00CA2E41">
      <w:pPr>
        <w:rPr>
          <w:sz w:val="22"/>
        </w:rPr>
      </w:pPr>
    </w:p>
    <w:p w14:paraId="6E2322CF" w14:textId="4032E474" w:rsidR="00CA2E41" w:rsidRDefault="00CA2E41" w:rsidP="00CA2E41">
      <w:pPr>
        <w:ind w:left="540" w:hanging="540"/>
        <w:rPr>
          <w:sz w:val="22"/>
        </w:rPr>
      </w:pPr>
      <w:r>
        <w:rPr>
          <w:sz w:val="22"/>
        </w:rPr>
        <w:t>-</w:t>
      </w:r>
      <w:r>
        <w:rPr>
          <w:sz w:val="22"/>
        </w:rPr>
        <w:tab/>
        <w:t>Pagalbinės medžiagos yra terpė</w:t>
      </w:r>
      <w:r w:rsidR="00F77178">
        <w:rPr>
          <w:sz w:val="22"/>
        </w:rPr>
        <w:t> </w:t>
      </w:r>
      <w:r>
        <w:rPr>
          <w:sz w:val="22"/>
        </w:rPr>
        <w:t>199 (sudėtyje yra aminorūgščių</w:t>
      </w:r>
      <w:r w:rsidR="00F77178">
        <w:rPr>
          <w:sz w:val="22"/>
        </w:rPr>
        <w:t xml:space="preserve"> </w:t>
      </w:r>
      <w:r w:rsidR="00F36EB4">
        <w:rPr>
          <w:sz w:val="22"/>
        </w:rPr>
        <w:t>[</w:t>
      </w:r>
      <w:r w:rsidR="00F77178">
        <w:rPr>
          <w:sz w:val="22"/>
        </w:rPr>
        <w:t xml:space="preserve">įskaitant </w:t>
      </w:r>
      <w:proofErr w:type="spellStart"/>
      <w:r w:rsidR="00F77178">
        <w:rPr>
          <w:sz w:val="22"/>
        </w:rPr>
        <w:t>fenilalaniną</w:t>
      </w:r>
      <w:proofErr w:type="spellEnd"/>
      <w:r w:rsidR="00F36EB4">
        <w:rPr>
          <w:sz w:val="22"/>
        </w:rPr>
        <w:t>]</w:t>
      </w:r>
      <w:r>
        <w:rPr>
          <w:sz w:val="22"/>
        </w:rPr>
        <w:t>, mineralinių druskų</w:t>
      </w:r>
      <w:r w:rsidR="00F77178">
        <w:rPr>
          <w:sz w:val="22"/>
        </w:rPr>
        <w:t xml:space="preserve"> </w:t>
      </w:r>
      <w:r w:rsidR="00F36EB4">
        <w:rPr>
          <w:sz w:val="22"/>
        </w:rPr>
        <w:t>[</w:t>
      </w:r>
      <w:r w:rsidR="00F77178">
        <w:rPr>
          <w:sz w:val="22"/>
        </w:rPr>
        <w:t>įskaitant natrį ir kalį</w:t>
      </w:r>
      <w:r w:rsidR="00F36EB4">
        <w:rPr>
          <w:sz w:val="22"/>
        </w:rPr>
        <w:t>]</w:t>
      </w:r>
      <w:r>
        <w:rPr>
          <w:sz w:val="22"/>
        </w:rPr>
        <w:t>, vitaminų</w:t>
      </w:r>
      <w:r w:rsidR="004F3DFF">
        <w:rPr>
          <w:sz w:val="22"/>
        </w:rPr>
        <w:t xml:space="preserve"> </w:t>
      </w:r>
      <w:r w:rsidR="00F36EB4">
        <w:rPr>
          <w:sz w:val="22"/>
        </w:rPr>
        <w:t>[</w:t>
      </w:r>
      <w:r w:rsidR="004F3DFF">
        <w:rPr>
          <w:sz w:val="22"/>
        </w:rPr>
        <w:t xml:space="preserve">įskaitant </w:t>
      </w:r>
      <w:r w:rsidR="004F3DFF" w:rsidRPr="004F3DFF">
        <w:rPr>
          <w:sz w:val="22"/>
        </w:rPr>
        <w:t>para-</w:t>
      </w:r>
      <w:proofErr w:type="spellStart"/>
      <w:r w:rsidR="004F3DFF" w:rsidRPr="004F3DFF">
        <w:rPr>
          <w:sz w:val="22"/>
        </w:rPr>
        <w:t>aminobenzenkarboksirūgšt</w:t>
      </w:r>
      <w:r w:rsidR="004F3DFF">
        <w:rPr>
          <w:sz w:val="22"/>
        </w:rPr>
        <w:t>į</w:t>
      </w:r>
      <w:proofErr w:type="spellEnd"/>
      <w:r w:rsidR="00F36EB4">
        <w:rPr>
          <w:sz w:val="22"/>
        </w:rPr>
        <w:t>]</w:t>
      </w:r>
      <w:r w:rsidR="004F3DFF">
        <w:rPr>
          <w:sz w:val="22"/>
        </w:rPr>
        <w:t xml:space="preserve"> </w:t>
      </w:r>
      <w:r>
        <w:rPr>
          <w:sz w:val="22"/>
        </w:rPr>
        <w:t>ir kitų medžiagų), natrio chloridas ir injekcinis vanduo.</w:t>
      </w:r>
    </w:p>
    <w:p w14:paraId="54FB634C" w14:textId="77777777" w:rsidR="00CA2E41" w:rsidRDefault="00CA2E41" w:rsidP="00CA2E41">
      <w:pPr>
        <w:rPr>
          <w:sz w:val="22"/>
        </w:rPr>
      </w:pPr>
    </w:p>
    <w:p w14:paraId="4B1D3D70" w14:textId="77777777" w:rsidR="00CA2E41" w:rsidRDefault="00CA2E41" w:rsidP="00CA2E41">
      <w:pPr>
        <w:rPr>
          <w:b/>
          <w:sz w:val="22"/>
        </w:rPr>
      </w:pPr>
      <w:r>
        <w:rPr>
          <w:b/>
          <w:sz w:val="22"/>
        </w:rPr>
        <w:t>BOOSTRIX POLIO išvaizda ir kiekis pakuotėje</w:t>
      </w:r>
    </w:p>
    <w:p w14:paraId="3BCAE1EE" w14:textId="77777777" w:rsidR="00CA2E41" w:rsidRDefault="00CA2E41" w:rsidP="00CA2E41">
      <w:pPr>
        <w:rPr>
          <w:sz w:val="22"/>
        </w:rPr>
      </w:pPr>
    </w:p>
    <w:p w14:paraId="714A450B" w14:textId="77777777" w:rsidR="00CA2E41" w:rsidRDefault="00CA2E41" w:rsidP="00CA2E41">
      <w:pPr>
        <w:rPr>
          <w:sz w:val="22"/>
        </w:rPr>
      </w:pPr>
      <w:r>
        <w:rPr>
          <w:sz w:val="22"/>
        </w:rPr>
        <w:t>Injekcinė suspensija užpildytame švirkšte</w:t>
      </w:r>
    </w:p>
    <w:p w14:paraId="4947B22E" w14:textId="77777777" w:rsidR="00CA2E41" w:rsidRDefault="00CA2E41" w:rsidP="00CA2E41">
      <w:pPr>
        <w:rPr>
          <w:sz w:val="22"/>
        </w:rPr>
      </w:pPr>
    </w:p>
    <w:p w14:paraId="5E8B59DD" w14:textId="77777777" w:rsidR="00CA2E41" w:rsidRDefault="00CA2E41" w:rsidP="00CA2E41">
      <w:pPr>
        <w:rPr>
          <w:sz w:val="22"/>
        </w:rPr>
      </w:pPr>
      <w:r>
        <w:rPr>
          <w:sz w:val="22"/>
        </w:rPr>
        <w:t>BOOSTRIX POLIO yra baltas, šiek tiek į pieną panašus skystis, supiltas į švirkštą (0,5 ml).</w:t>
      </w:r>
    </w:p>
    <w:p w14:paraId="2303543F" w14:textId="77777777" w:rsidR="00CA2E41" w:rsidRDefault="00CA2E41" w:rsidP="00CA2E41">
      <w:pPr>
        <w:rPr>
          <w:sz w:val="22"/>
        </w:rPr>
      </w:pPr>
    </w:p>
    <w:p w14:paraId="51C3AA03" w14:textId="362ABC02" w:rsidR="00CA2E41" w:rsidRDefault="00CA2E41" w:rsidP="00CA2E41">
      <w:pPr>
        <w:rPr>
          <w:sz w:val="22"/>
        </w:rPr>
      </w:pPr>
      <w:r>
        <w:rPr>
          <w:sz w:val="22"/>
        </w:rPr>
        <w:t xml:space="preserve">BOOSTRIX POLIO </w:t>
      </w:r>
      <w:r w:rsidR="00C54921" w:rsidRPr="00C54921">
        <w:rPr>
          <w:sz w:val="22"/>
        </w:rPr>
        <w:t>tiekiamas pakuotėse, kuriose yra 1</w:t>
      </w:r>
      <w:r w:rsidR="00C54921">
        <w:rPr>
          <w:sz w:val="22"/>
        </w:rPr>
        <w:t> </w:t>
      </w:r>
      <w:r w:rsidR="00C54921" w:rsidRPr="00C54921">
        <w:rPr>
          <w:sz w:val="22"/>
        </w:rPr>
        <w:t>dozė iš anksto užpildytame švirkšte su atskiromis adatomis arba be jų, pakuočių dydžiai 1 ir 10</w:t>
      </w:r>
      <w:r w:rsidR="00C54921">
        <w:rPr>
          <w:sz w:val="22"/>
        </w:rPr>
        <w:t>.</w:t>
      </w:r>
    </w:p>
    <w:p w14:paraId="5A5E069C" w14:textId="77777777" w:rsidR="00CA2E41" w:rsidRDefault="00CA2E41" w:rsidP="00CA2E41">
      <w:pPr>
        <w:rPr>
          <w:sz w:val="22"/>
        </w:rPr>
      </w:pPr>
    </w:p>
    <w:p w14:paraId="6430807C" w14:textId="77777777" w:rsidR="00CA2E41" w:rsidRDefault="00CA2E41" w:rsidP="00CA2E41">
      <w:pPr>
        <w:rPr>
          <w:sz w:val="22"/>
        </w:rPr>
      </w:pPr>
      <w:r>
        <w:rPr>
          <w:sz w:val="22"/>
        </w:rPr>
        <w:t>Gali būti tiekiamos ne visų dydžių pakuotės.</w:t>
      </w:r>
    </w:p>
    <w:p w14:paraId="33BE11E1" w14:textId="77777777" w:rsidR="00CA2E41" w:rsidRDefault="00CA2E41" w:rsidP="00CA2E41">
      <w:pPr>
        <w:rPr>
          <w:sz w:val="22"/>
        </w:rPr>
      </w:pPr>
    </w:p>
    <w:p w14:paraId="1DC0AFBE" w14:textId="77777777" w:rsidR="00CA2E41" w:rsidRDefault="00CA2E41" w:rsidP="00CA2E41">
      <w:pPr>
        <w:keepNext/>
        <w:rPr>
          <w:b/>
          <w:sz w:val="22"/>
        </w:rPr>
      </w:pPr>
      <w:r>
        <w:rPr>
          <w:b/>
          <w:sz w:val="22"/>
        </w:rPr>
        <w:t xml:space="preserve">Registruotojas </w:t>
      </w:r>
    </w:p>
    <w:p w14:paraId="0422DF0C" w14:textId="77777777" w:rsidR="00CA2E41" w:rsidRDefault="00CA2E41" w:rsidP="00CA2E41">
      <w:pPr>
        <w:keepNext/>
        <w:rPr>
          <w:sz w:val="22"/>
        </w:rPr>
      </w:pPr>
    </w:p>
    <w:p w14:paraId="2C71EB9F" w14:textId="77777777" w:rsidR="00FC3506" w:rsidRPr="00345618" w:rsidRDefault="00FC3506" w:rsidP="00FC3506">
      <w:pPr>
        <w:rPr>
          <w:sz w:val="22"/>
        </w:rPr>
      </w:pPr>
      <w:proofErr w:type="spellStart"/>
      <w:r w:rsidRPr="00345618">
        <w:rPr>
          <w:sz w:val="22"/>
        </w:rPr>
        <w:t>GlaxoSmithKline</w:t>
      </w:r>
      <w:proofErr w:type="spellEnd"/>
      <w:r w:rsidRPr="00345618">
        <w:rPr>
          <w:sz w:val="22"/>
        </w:rPr>
        <w:t xml:space="preserve"> </w:t>
      </w:r>
      <w:proofErr w:type="spellStart"/>
      <w:r w:rsidRPr="00345618">
        <w:rPr>
          <w:sz w:val="22"/>
        </w:rPr>
        <w:t>Biologicals</w:t>
      </w:r>
      <w:proofErr w:type="spellEnd"/>
      <w:r w:rsidRPr="00345618">
        <w:rPr>
          <w:sz w:val="22"/>
        </w:rPr>
        <w:t xml:space="preserve"> SA</w:t>
      </w:r>
    </w:p>
    <w:p w14:paraId="2968EEA2" w14:textId="77777777" w:rsidR="00FC3506" w:rsidRPr="00345618" w:rsidRDefault="00FC3506" w:rsidP="00FC3506">
      <w:pPr>
        <w:rPr>
          <w:sz w:val="22"/>
        </w:rPr>
      </w:pPr>
      <w:proofErr w:type="spellStart"/>
      <w:r>
        <w:rPr>
          <w:sz w:val="22"/>
        </w:rPr>
        <w:t>Rue</w:t>
      </w:r>
      <w:proofErr w:type="spellEnd"/>
      <w:r>
        <w:rPr>
          <w:sz w:val="22"/>
        </w:rPr>
        <w:t xml:space="preserve"> de </w:t>
      </w:r>
      <w:proofErr w:type="spellStart"/>
      <w:r>
        <w:rPr>
          <w:sz w:val="22"/>
        </w:rPr>
        <w:t>l'Institut</w:t>
      </w:r>
      <w:proofErr w:type="spellEnd"/>
      <w:r>
        <w:rPr>
          <w:sz w:val="22"/>
        </w:rPr>
        <w:t xml:space="preserve"> 89</w:t>
      </w:r>
      <w:r w:rsidRPr="00345618">
        <w:rPr>
          <w:sz w:val="22"/>
        </w:rPr>
        <w:t xml:space="preserve"> </w:t>
      </w:r>
    </w:p>
    <w:p w14:paraId="39977559" w14:textId="77777777" w:rsidR="00FC3506" w:rsidRPr="00345618" w:rsidRDefault="00FC3506" w:rsidP="00FC3506">
      <w:pPr>
        <w:rPr>
          <w:sz w:val="22"/>
        </w:rPr>
      </w:pPr>
      <w:r>
        <w:rPr>
          <w:sz w:val="22"/>
        </w:rPr>
        <w:t xml:space="preserve">B-1330 </w:t>
      </w:r>
      <w:proofErr w:type="spellStart"/>
      <w:r>
        <w:rPr>
          <w:sz w:val="22"/>
        </w:rPr>
        <w:t>Rixensart</w:t>
      </w:r>
      <w:proofErr w:type="spellEnd"/>
      <w:r w:rsidRPr="00345618">
        <w:rPr>
          <w:sz w:val="22"/>
        </w:rPr>
        <w:t xml:space="preserve"> </w:t>
      </w:r>
    </w:p>
    <w:p w14:paraId="027DAF87" w14:textId="77777777" w:rsidR="00FC3506" w:rsidRPr="00BF6429" w:rsidRDefault="00FC3506" w:rsidP="00FC3506">
      <w:pPr>
        <w:rPr>
          <w:sz w:val="22"/>
        </w:rPr>
      </w:pPr>
      <w:r w:rsidRPr="00345618">
        <w:rPr>
          <w:sz w:val="22"/>
        </w:rPr>
        <w:t>Belgija</w:t>
      </w:r>
    </w:p>
    <w:p w14:paraId="6F5825FC" w14:textId="77777777" w:rsidR="00CA2E41" w:rsidRDefault="00CA2E41" w:rsidP="00CA2E41">
      <w:pPr>
        <w:rPr>
          <w:sz w:val="22"/>
        </w:rPr>
      </w:pPr>
    </w:p>
    <w:p w14:paraId="23B626AA" w14:textId="77777777" w:rsidR="00CA2E41" w:rsidRDefault="00CA2E41" w:rsidP="00CA2E41">
      <w:pPr>
        <w:rPr>
          <w:b/>
          <w:sz w:val="22"/>
        </w:rPr>
      </w:pPr>
      <w:r>
        <w:rPr>
          <w:b/>
          <w:sz w:val="22"/>
        </w:rPr>
        <w:t>Gamintojas</w:t>
      </w:r>
    </w:p>
    <w:p w14:paraId="1DF613D0" w14:textId="77777777" w:rsidR="00CA2E41" w:rsidRDefault="00CA2E41" w:rsidP="00CA2E41">
      <w:pPr>
        <w:rPr>
          <w:sz w:val="22"/>
        </w:rPr>
      </w:pPr>
    </w:p>
    <w:p w14:paraId="0462D40E" w14:textId="77777777" w:rsidR="00CA2E41" w:rsidRDefault="00CA2E41" w:rsidP="00CA2E41">
      <w:pPr>
        <w:rPr>
          <w:sz w:val="22"/>
        </w:rPr>
      </w:pPr>
      <w:proofErr w:type="spellStart"/>
      <w:r>
        <w:rPr>
          <w:sz w:val="22"/>
        </w:rPr>
        <w:t>GlaxoSmithKline</w:t>
      </w:r>
      <w:proofErr w:type="spellEnd"/>
      <w:r>
        <w:rPr>
          <w:sz w:val="22"/>
        </w:rPr>
        <w:t xml:space="preserve"> </w:t>
      </w:r>
      <w:proofErr w:type="spellStart"/>
      <w:r>
        <w:rPr>
          <w:sz w:val="22"/>
        </w:rPr>
        <w:t>Biologicals</w:t>
      </w:r>
      <w:proofErr w:type="spellEnd"/>
      <w:r>
        <w:rPr>
          <w:sz w:val="22"/>
        </w:rPr>
        <w:t xml:space="preserve"> </w:t>
      </w:r>
      <w:proofErr w:type="spellStart"/>
      <w:r>
        <w:rPr>
          <w:sz w:val="22"/>
        </w:rPr>
        <w:t>s.a</w:t>
      </w:r>
      <w:proofErr w:type="spellEnd"/>
      <w:r>
        <w:rPr>
          <w:sz w:val="22"/>
        </w:rPr>
        <w:t>.</w:t>
      </w:r>
    </w:p>
    <w:p w14:paraId="5E6DC71F" w14:textId="77777777" w:rsidR="00CA2E41" w:rsidRDefault="00CA2E41" w:rsidP="00CA2E41">
      <w:pPr>
        <w:rPr>
          <w:sz w:val="22"/>
        </w:rPr>
      </w:pPr>
      <w:proofErr w:type="spellStart"/>
      <w:r>
        <w:rPr>
          <w:sz w:val="22"/>
        </w:rPr>
        <w:t>rue</w:t>
      </w:r>
      <w:proofErr w:type="spellEnd"/>
      <w:r>
        <w:rPr>
          <w:sz w:val="22"/>
        </w:rPr>
        <w:t xml:space="preserve"> de </w:t>
      </w:r>
      <w:proofErr w:type="spellStart"/>
      <w:r>
        <w:rPr>
          <w:sz w:val="22"/>
        </w:rPr>
        <w:t>l'Institut</w:t>
      </w:r>
      <w:proofErr w:type="spellEnd"/>
      <w:r>
        <w:rPr>
          <w:sz w:val="22"/>
        </w:rPr>
        <w:t xml:space="preserve"> 89</w:t>
      </w:r>
    </w:p>
    <w:p w14:paraId="347CC648" w14:textId="77777777" w:rsidR="00CA2E41" w:rsidRDefault="00CA2E41" w:rsidP="00CA2E41">
      <w:pPr>
        <w:rPr>
          <w:sz w:val="22"/>
        </w:rPr>
      </w:pPr>
      <w:r>
        <w:rPr>
          <w:sz w:val="22"/>
        </w:rPr>
        <w:t xml:space="preserve">1330 </w:t>
      </w:r>
      <w:proofErr w:type="spellStart"/>
      <w:r>
        <w:rPr>
          <w:sz w:val="22"/>
        </w:rPr>
        <w:t>Rixensart</w:t>
      </w:r>
      <w:proofErr w:type="spellEnd"/>
      <w:r>
        <w:rPr>
          <w:sz w:val="22"/>
        </w:rPr>
        <w:t>, Belgija</w:t>
      </w:r>
    </w:p>
    <w:p w14:paraId="31CF7FB7" w14:textId="77777777" w:rsidR="00CA2E41" w:rsidRDefault="00CA2E41" w:rsidP="00CA2E41">
      <w:pPr>
        <w:rPr>
          <w:sz w:val="22"/>
        </w:rPr>
      </w:pPr>
    </w:p>
    <w:p w14:paraId="47823DF9" w14:textId="77777777" w:rsidR="00CA2E41" w:rsidRDefault="00CA2E41" w:rsidP="00CA2E41">
      <w:pPr>
        <w:rPr>
          <w:sz w:val="22"/>
        </w:rPr>
      </w:pPr>
    </w:p>
    <w:p w14:paraId="6A905039" w14:textId="737B93FF" w:rsidR="00CA2E41" w:rsidRDefault="00CA2E41" w:rsidP="00CA2E41">
      <w:pPr>
        <w:rPr>
          <w:b/>
          <w:sz w:val="22"/>
        </w:rPr>
      </w:pPr>
      <w:r>
        <w:rPr>
          <w:b/>
          <w:sz w:val="22"/>
        </w:rPr>
        <w:t>Šis vaist</w:t>
      </w:r>
      <w:r w:rsidR="006D6780">
        <w:rPr>
          <w:b/>
          <w:sz w:val="22"/>
        </w:rPr>
        <w:t xml:space="preserve">as </w:t>
      </w:r>
      <w:r w:rsidR="006D6780" w:rsidRPr="006D6780">
        <w:rPr>
          <w:b/>
          <w:sz w:val="22"/>
        </w:rPr>
        <w:t xml:space="preserve">Europos ekonominės erdvės </w:t>
      </w:r>
      <w:r>
        <w:rPr>
          <w:b/>
          <w:sz w:val="22"/>
        </w:rPr>
        <w:t>valstybėse narėse registruotas tokiais pavadinimais:</w:t>
      </w:r>
    </w:p>
    <w:p w14:paraId="3D628196" w14:textId="77777777" w:rsidR="00CA2E41" w:rsidRDefault="00CA2E41" w:rsidP="00CA2E41">
      <w:pPr>
        <w:rPr>
          <w:sz w:val="22"/>
        </w:rPr>
      </w:pPr>
    </w:p>
    <w:p w14:paraId="07121A08" w14:textId="77777777" w:rsidR="00CA2E41" w:rsidRDefault="00CA2E41" w:rsidP="00CA2E41">
      <w:pPr>
        <w:rPr>
          <w:sz w:val="22"/>
        </w:rPr>
      </w:pPr>
      <w:proofErr w:type="spellStart"/>
      <w:r>
        <w:rPr>
          <w:b/>
          <w:sz w:val="22"/>
        </w:rPr>
        <w:t>Boostrix</w:t>
      </w:r>
      <w:proofErr w:type="spellEnd"/>
      <w:r>
        <w:rPr>
          <w:b/>
          <w:sz w:val="22"/>
        </w:rPr>
        <w:t xml:space="preserve"> Polio: </w:t>
      </w:r>
      <w:r>
        <w:rPr>
          <w:sz w:val="22"/>
        </w:rPr>
        <w:t>Belgijos karalystė, Bulgarija, Čekijos Respublika, Danija, Vokietija, Graikija, Ispanija, Islandija, Latvija, Lietuva, Liuksemburgas, Vengrija, Nyderlandai, Norvegija, Austrija, Lenkija, Portugalija, Slovėnija, Slovakijos Respublika, Suomija, Švedija.</w:t>
      </w:r>
    </w:p>
    <w:p w14:paraId="5C7D63C5" w14:textId="77777777" w:rsidR="00CA2E41" w:rsidRDefault="00CA2E41" w:rsidP="00CA2E41">
      <w:pPr>
        <w:rPr>
          <w:sz w:val="22"/>
        </w:rPr>
      </w:pPr>
      <w:proofErr w:type="spellStart"/>
      <w:r>
        <w:rPr>
          <w:b/>
          <w:sz w:val="22"/>
        </w:rPr>
        <w:t>Boostrix</w:t>
      </w:r>
      <w:proofErr w:type="spellEnd"/>
      <w:r>
        <w:rPr>
          <w:b/>
          <w:sz w:val="22"/>
        </w:rPr>
        <w:t xml:space="preserve"> </w:t>
      </w:r>
      <w:proofErr w:type="spellStart"/>
      <w:r>
        <w:rPr>
          <w:b/>
          <w:sz w:val="22"/>
        </w:rPr>
        <w:t>Tetra</w:t>
      </w:r>
      <w:proofErr w:type="spellEnd"/>
      <w:r>
        <w:rPr>
          <w:sz w:val="22"/>
        </w:rPr>
        <w:t>: Prancūzija</w:t>
      </w:r>
    </w:p>
    <w:p w14:paraId="5169659D" w14:textId="77777777" w:rsidR="00CA2E41" w:rsidRDefault="00CA2E41" w:rsidP="00CA2E41">
      <w:pPr>
        <w:rPr>
          <w:sz w:val="22"/>
        </w:rPr>
      </w:pPr>
      <w:r>
        <w:rPr>
          <w:b/>
          <w:sz w:val="22"/>
        </w:rPr>
        <w:t>IPV-</w:t>
      </w:r>
      <w:proofErr w:type="spellStart"/>
      <w:r>
        <w:rPr>
          <w:b/>
          <w:sz w:val="22"/>
        </w:rPr>
        <w:t>Boostrix</w:t>
      </w:r>
      <w:proofErr w:type="spellEnd"/>
      <w:r>
        <w:rPr>
          <w:sz w:val="22"/>
        </w:rPr>
        <w:t>: Airija, Malta,</w:t>
      </w:r>
    </w:p>
    <w:p w14:paraId="536C2B33" w14:textId="77777777" w:rsidR="00CA2E41" w:rsidRDefault="00CA2E41" w:rsidP="00CA2E41">
      <w:pPr>
        <w:rPr>
          <w:sz w:val="22"/>
        </w:rPr>
      </w:pPr>
      <w:r>
        <w:rPr>
          <w:b/>
          <w:sz w:val="22"/>
        </w:rPr>
        <w:t xml:space="preserve">Polio </w:t>
      </w:r>
      <w:proofErr w:type="spellStart"/>
      <w:r>
        <w:rPr>
          <w:b/>
          <w:sz w:val="22"/>
        </w:rPr>
        <w:t>Boostrix</w:t>
      </w:r>
      <w:proofErr w:type="spellEnd"/>
      <w:r>
        <w:rPr>
          <w:sz w:val="22"/>
        </w:rPr>
        <w:t>: Italija</w:t>
      </w:r>
    </w:p>
    <w:p w14:paraId="77C22455" w14:textId="68869045" w:rsidR="00CA2E41" w:rsidRDefault="00CA2E41" w:rsidP="00CA2E41">
      <w:pPr>
        <w:rPr>
          <w:sz w:val="22"/>
        </w:rPr>
      </w:pPr>
      <w:proofErr w:type="spellStart"/>
      <w:r>
        <w:rPr>
          <w:b/>
          <w:bCs/>
          <w:sz w:val="22"/>
        </w:rPr>
        <w:t>Boostrix</w:t>
      </w:r>
      <w:proofErr w:type="spellEnd"/>
      <w:r>
        <w:rPr>
          <w:b/>
          <w:bCs/>
          <w:sz w:val="22"/>
        </w:rPr>
        <w:t>-IPV</w:t>
      </w:r>
      <w:r>
        <w:rPr>
          <w:sz w:val="22"/>
        </w:rPr>
        <w:t>: Rumunija</w:t>
      </w:r>
    </w:p>
    <w:p w14:paraId="6DF8C4CA" w14:textId="77777777" w:rsidR="00CA2E41" w:rsidRDefault="00CA2E41" w:rsidP="00CA2E41">
      <w:pPr>
        <w:rPr>
          <w:sz w:val="22"/>
        </w:rPr>
      </w:pPr>
    </w:p>
    <w:p w14:paraId="7BA27995" w14:textId="207B745E" w:rsidR="00CA2E41" w:rsidRDefault="00CA2E41" w:rsidP="00CA2E41">
      <w:pPr>
        <w:rPr>
          <w:b/>
          <w:sz w:val="22"/>
        </w:rPr>
      </w:pPr>
      <w:r>
        <w:rPr>
          <w:b/>
          <w:sz w:val="22"/>
        </w:rPr>
        <w:t>Šis pakuotės lapelis paskutinį kartą peržiūrėtas</w:t>
      </w:r>
      <w:r w:rsidR="00762101">
        <w:rPr>
          <w:b/>
          <w:sz w:val="22"/>
        </w:rPr>
        <w:t xml:space="preserve"> </w:t>
      </w:r>
      <w:r w:rsidR="00716313">
        <w:rPr>
          <w:b/>
          <w:sz w:val="22"/>
        </w:rPr>
        <w:t>2023-04-26.</w:t>
      </w:r>
    </w:p>
    <w:p w14:paraId="231F413E" w14:textId="77777777" w:rsidR="00CA2E41" w:rsidRDefault="00CA2E41" w:rsidP="00F76B43">
      <w:pPr>
        <w:pStyle w:val="BTEMEASMCA"/>
      </w:pPr>
    </w:p>
    <w:p w14:paraId="0116A199" w14:textId="77777777" w:rsidR="00CA2E41" w:rsidRDefault="00CA2E41" w:rsidP="00F76B43">
      <w:pPr>
        <w:pStyle w:val="BTEMEASMCA"/>
      </w:pPr>
      <w:r>
        <w:t>Kiti informacijos šaltiniai</w:t>
      </w:r>
    </w:p>
    <w:p w14:paraId="5C42154A" w14:textId="77777777" w:rsidR="00CA2E41" w:rsidRDefault="00CA2E41" w:rsidP="00F76B43">
      <w:pPr>
        <w:pStyle w:val="BTEMEASMCA"/>
      </w:pPr>
    </w:p>
    <w:p w14:paraId="6E37A640" w14:textId="77777777" w:rsidR="00CA2E41" w:rsidRDefault="00CA2E41" w:rsidP="00F76B43">
      <w:pPr>
        <w:pStyle w:val="BTEMEASMCA"/>
      </w:pPr>
      <w:r>
        <w:t>Išsami informacija apie šį vaistą pateikiama Valstybinės vaistų kontrolės tarnybos prie Lietuvos Respublikos sveikatos apsaugos ministerijos tinklalapyje</w:t>
      </w:r>
      <w:r w:rsidRPr="00322386">
        <w:rPr>
          <w:i/>
        </w:rPr>
        <w:t xml:space="preserve"> </w:t>
      </w:r>
      <w:hyperlink r:id="rId13" w:history="1">
        <w:r w:rsidRPr="00402C81">
          <w:rPr>
            <w:rStyle w:val="Hipersaitas"/>
            <w:noProof w:val="0"/>
          </w:rPr>
          <w:t>http://www.vvkt.lt</w:t>
        </w:r>
      </w:hyperlink>
    </w:p>
    <w:p w14:paraId="67F1DFE8" w14:textId="77777777" w:rsidR="00CA2E41" w:rsidRDefault="00CA2E41" w:rsidP="00CA2E41">
      <w:pPr>
        <w:rPr>
          <w:sz w:val="22"/>
        </w:rPr>
      </w:pPr>
    </w:p>
    <w:p w14:paraId="4527AE75" w14:textId="77777777" w:rsidR="00CA2E41" w:rsidRDefault="00CA2E41" w:rsidP="00CA2E41">
      <w:pPr>
        <w:rPr>
          <w:sz w:val="22"/>
        </w:rPr>
      </w:pP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r>
        <w:rPr>
          <w:sz w:val="22"/>
        </w:rPr>
        <w:sym w:font="Symbol" w:char="F02D"/>
      </w:r>
    </w:p>
    <w:p w14:paraId="1E5C9CEA" w14:textId="77777777" w:rsidR="00CA2E41" w:rsidRDefault="00CA2E41" w:rsidP="00CA2E41">
      <w:pPr>
        <w:rPr>
          <w:sz w:val="22"/>
        </w:rPr>
      </w:pPr>
    </w:p>
    <w:p w14:paraId="61FC91C0" w14:textId="77777777" w:rsidR="00CA2E41" w:rsidRDefault="00CA2E41" w:rsidP="00CA2E41">
      <w:pPr>
        <w:rPr>
          <w:sz w:val="22"/>
        </w:rPr>
      </w:pPr>
      <w:r>
        <w:rPr>
          <w:sz w:val="22"/>
        </w:rPr>
        <w:t>Toliau pateikta informacija skirta tik sveikatos priežiūros specialistams:</w:t>
      </w:r>
    </w:p>
    <w:p w14:paraId="31705D4D" w14:textId="77777777" w:rsidR="00CA2E41" w:rsidRDefault="00CA2E41" w:rsidP="00CA2E41">
      <w:pPr>
        <w:rPr>
          <w:sz w:val="22"/>
        </w:rPr>
      </w:pPr>
    </w:p>
    <w:p w14:paraId="3EB811B0" w14:textId="77777777" w:rsidR="00CA2E41" w:rsidRDefault="00CA2E41" w:rsidP="00CA2E41">
      <w:pPr>
        <w:rPr>
          <w:sz w:val="22"/>
        </w:rPr>
      </w:pPr>
      <w:r>
        <w:rPr>
          <w:sz w:val="22"/>
        </w:rPr>
        <w:t>Prieš vartojant, vakciną reikia palaikyti kambario temperatūroje ir gerai sukratyti, kad susidarytų homogeniška drumsta balta suspensija. Prieš leidžiant, vakciną reikia apžiūrėti, ar nėra kokių nors pašalinių dalelių ir (arba) nėra pakitusi fizinė išvaizda. Pastebėjus ką nors įtartino, vakcinos vartoti negalima.</w:t>
      </w:r>
    </w:p>
    <w:p w14:paraId="368B680D" w14:textId="77777777" w:rsidR="00CA2E41" w:rsidRDefault="00CA2E41" w:rsidP="00CA2E41">
      <w:pPr>
        <w:rPr>
          <w:sz w:val="22"/>
        </w:rPr>
      </w:pPr>
    </w:p>
    <w:p w14:paraId="015D9D63" w14:textId="77777777" w:rsidR="005B44B5" w:rsidRPr="00CB4386" w:rsidRDefault="005B44B5" w:rsidP="005B44B5">
      <w:pPr>
        <w:widowControl w:val="0"/>
        <w:rPr>
          <w:bCs/>
          <w:iCs/>
          <w:u w:val="single"/>
        </w:rPr>
      </w:pPr>
      <w:r w:rsidRPr="00DB590C">
        <w:rPr>
          <w:u w:val="single"/>
        </w:rPr>
        <w:t>U</w:t>
      </w:r>
      <w:r w:rsidRPr="00CB4386">
        <w:rPr>
          <w:bCs/>
          <w:iCs/>
          <w:u w:val="single"/>
        </w:rPr>
        <w:t>žpildyto švirkšto, naudojimo instrukcijos</w:t>
      </w:r>
    </w:p>
    <w:p w14:paraId="7F6B8EB1" w14:textId="77777777" w:rsidR="005B44B5" w:rsidRPr="00CB4386" w:rsidRDefault="005B44B5" w:rsidP="005B44B5">
      <w:pPr>
        <w:widowControl w:val="0"/>
        <w:spacing w:after="120"/>
      </w:pPr>
    </w:p>
    <w:tbl>
      <w:tblPr>
        <w:tblW w:w="0" w:type="auto"/>
        <w:jc w:val="center"/>
        <w:tblLook w:val="04A0" w:firstRow="1" w:lastRow="0" w:firstColumn="1" w:lastColumn="0" w:noHBand="0" w:noVBand="1"/>
      </w:tblPr>
      <w:tblGrid>
        <w:gridCol w:w="3618"/>
        <w:gridCol w:w="5238"/>
      </w:tblGrid>
      <w:tr w:rsidR="005B44B5" w:rsidRPr="00767748" w14:paraId="35E8891D" w14:textId="77777777" w:rsidTr="006E4344">
        <w:trPr>
          <w:jc w:val="center"/>
        </w:trPr>
        <w:tc>
          <w:tcPr>
            <w:tcW w:w="3618" w:type="dxa"/>
          </w:tcPr>
          <w:p w14:paraId="5C4E1130" w14:textId="69A02CE1" w:rsidR="005B44B5" w:rsidRPr="00895454" w:rsidRDefault="00CE01CC" w:rsidP="006E4344">
            <w:pPr>
              <w:widowControl w:val="0"/>
              <w:spacing w:after="120"/>
              <w:jc w:val="center"/>
              <w:rPr>
                <w:szCs w:val="24"/>
              </w:rPr>
            </w:pPr>
            <w:r>
              <w:rPr>
                <w:noProof/>
              </w:rPr>
              <mc:AlternateContent>
                <mc:Choice Requires="wps">
                  <w:drawing>
                    <wp:anchor distT="0" distB="0" distL="0" distR="0" simplePos="0" relativeHeight="251667456" behindDoc="0" locked="0" layoutInCell="1" allowOverlap="0" wp14:anchorId="5F08A975" wp14:editId="381AD1E3">
                      <wp:simplePos x="0" y="0"/>
                      <wp:positionH relativeFrom="column">
                        <wp:posOffset>496570</wp:posOffset>
                      </wp:positionH>
                      <wp:positionV relativeFrom="paragraph">
                        <wp:posOffset>1187450</wp:posOffset>
                      </wp:positionV>
                      <wp:extent cx="904875" cy="248920"/>
                      <wp:effectExtent l="0" t="0" r="0" b="0"/>
                      <wp:wrapNone/>
                      <wp:docPr id="5294475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248920"/>
                              </a:xfrm>
                              <a:prstGeom prst="rect">
                                <a:avLst/>
                              </a:prstGeom>
                              <a:noFill/>
                              <a:ln w="6350">
                                <a:noFill/>
                              </a:ln>
                            </wps:spPr>
                            <wps:txbx>
                              <w:txbxContent>
                                <w:p w14:paraId="63F8B684" w14:textId="77777777" w:rsidR="005B44B5" w:rsidRPr="00CF0077" w:rsidRDefault="005B44B5" w:rsidP="005B44B5">
                                  <w:r>
                                    <w:t>Vamzdelis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8A975" id="Text Box 14" o:spid="_x0000_s1031" type="#_x0000_t202" style="position:absolute;left:0;text-align:left;margin-left:39.1pt;margin-top:93.5pt;width:71.25pt;height:19.6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" o:allowoverlap="f" filled="f" stroked="f" strokeweight=".5pt">
                      <v:textbox>
                        <w:txbxContent>
                          <w:p w14:paraId="63F8B684" w14:textId="77777777" w:rsidR="005B44B5" w:rsidRPr="00CF0077" w:rsidRDefault="005B44B5" w:rsidP="005B44B5">
                            <w:r>
                              <w:t>Vamzdelis</w:t>
                            </w:r>
                          </w:p>
                        </w:txbxContent>
                      </v:textbox>
                    </v:shape>
                  </w:pict>
                </mc:Fallback>
              </mc:AlternateContent>
            </w:r>
            <w:r>
              <w:rPr>
                <w:noProof/>
              </w:rPr>
              <mc:AlternateContent>
                <mc:Choice Requires="wps">
                  <w:drawing>
                    <wp:anchor distT="0" distB="0" distL="0" distR="0" simplePos="0" relativeHeight="251669504" behindDoc="0" locked="0" layoutInCell="1" allowOverlap="0" wp14:anchorId="6A59E1DE" wp14:editId="60E1BD91">
                      <wp:simplePos x="0" y="0"/>
                      <wp:positionH relativeFrom="column">
                        <wp:posOffset>-74930</wp:posOffset>
                      </wp:positionH>
                      <wp:positionV relativeFrom="paragraph">
                        <wp:posOffset>901700</wp:posOffset>
                      </wp:positionV>
                      <wp:extent cx="904875" cy="238125"/>
                      <wp:effectExtent l="0" t="0" r="0" b="0"/>
                      <wp:wrapNone/>
                      <wp:docPr id="6069987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238125"/>
                              </a:xfrm>
                              <a:prstGeom prst="rect">
                                <a:avLst/>
                              </a:prstGeom>
                              <a:noFill/>
                              <a:ln w="6350">
                                <a:noFill/>
                              </a:ln>
                            </wps:spPr>
                            <wps:txbx>
                              <w:txbxContent>
                                <w:p w14:paraId="577ECE67" w14:textId="77777777" w:rsidR="005B44B5" w:rsidRPr="00CF0077" w:rsidRDefault="005B44B5" w:rsidP="005B44B5">
                                  <w: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9E1DE" id="Text Box 13" o:spid="_x0000_s1032" type="#_x0000_t202" style="position:absolute;left:0;text-align:left;margin-left:-5.9pt;margin-top:71pt;width:71.25pt;height:18.7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" o:allowoverlap="f" filled="f" stroked="f" strokeweight=".5pt">
                      <v:textbox>
                        <w:txbxContent>
                          <w:p w14:paraId="577ECE67" w14:textId="77777777" w:rsidR="005B44B5" w:rsidRPr="00CF0077" w:rsidRDefault="005B44B5" w:rsidP="005B44B5">
                            <w:r>
                              <w:t>Stūmoklis</w:t>
                            </w:r>
                          </w:p>
                        </w:txbxContent>
                      </v:textbox>
                    </v:shape>
                  </w:pict>
                </mc:Fallback>
              </mc:AlternateContent>
            </w:r>
            <w:r w:rsidR="005B44B5">
              <w:rPr>
                <w:noProof/>
              </w:rPr>
              <mc:AlternateContent>
                <mc:Choice Requires="wps">
                  <w:drawing>
                    <wp:anchor distT="0" distB="0" distL="0" distR="0" simplePos="0" relativeHeight="251666432" behindDoc="0" locked="0" layoutInCell="1" allowOverlap="0" wp14:anchorId="153ADEDD" wp14:editId="4D9B6FFA">
                      <wp:simplePos x="0" y="0"/>
                      <wp:positionH relativeFrom="column">
                        <wp:posOffset>213360</wp:posOffset>
                      </wp:positionH>
                      <wp:positionV relativeFrom="paragraph">
                        <wp:posOffset>217170</wp:posOffset>
                      </wp:positionV>
                      <wp:extent cx="1852930" cy="277495"/>
                      <wp:effectExtent l="0" t="0" r="0" b="0"/>
                      <wp:wrapNone/>
                      <wp:docPr id="6801843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77495"/>
                              </a:xfrm>
                              <a:prstGeom prst="rect">
                                <a:avLst/>
                              </a:prstGeom>
                              <a:noFill/>
                              <a:ln w="6350">
                                <a:noFill/>
                              </a:ln>
                            </wps:spPr>
                            <wps:txbx>
                              <w:txbxContent>
                                <w:p w14:paraId="36C12733" w14:textId="77777777" w:rsidR="005B44B5" w:rsidRPr="00CF0077" w:rsidRDefault="005B44B5" w:rsidP="005B44B5">
                                  <w:r w:rsidRPr="007557EE">
                                    <w:rPr>
                                      <w:i/>
                                      <w:iCs/>
                                    </w:rPr>
                                    <w:t>Luer Lock</w:t>
                                  </w:r>
                                  <w:r w:rsidRPr="003D3C41">
                                    <w:t xml:space="preserve"> </w:t>
                                  </w:r>
                                  <w: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ADEDD" id="Text Box 12" o:spid="_x0000_s1033" type="#_x0000_t202" style="position:absolute;left:0;text-align:left;margin-left:16.8pt;margin-top:17.1pt;width:145.9pt;height:21.8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" o:allowoverlap="f" filled="f" stroked="f" strokeweight=".5pt">
                      <v:textbox>
                        <w:txbxContent>
                          <w:p w14:paraId="36C12733" w14:textId="77777777" w:rsidR="005B44B5" w:rsidRPr="00CF0077" w:rsidRDefault="005B44B5" w:rsidP="005B44B5">
                            <w:proofErr w:type="spellStart"/>
                            <w:r w:rsidRPr="007557EE">
                              <w:rPr>
                                <w:i/>
                                <w:iCs/>
                              </w:rPr>
                              <w:t>Luer</w:t>
                            </w:r>
                            <w:proofErr w:type="spellEnd"/>
                            <w:r w:rsidRPr="007557EE">
                              <w:rPr>
                                <w:i/>
                                <w:iCs/>
                              </w:rPr>
                              <w:t xml:space="preserve"> </w:t>
                            </w:r>
                            <w:proofErr w:type="spellStart"/>
                            <w:r w:rsidRPr="007557EE">
                              <w:rPr>
                                <w:i/>
                                <w:iCs/>
                              </w:rPr>
                              <w:t>Lock</w:t>
                            </w:r>
                            <w:proofErr w:type="spellEnd"/>
                            <w:r w:rsidRPr="003D3C41">
                              <w:t xml:space="preserve"> </w:t>
                            </w:r>
                            <w:r>
                              <w:t>adapteris</w:t>
                            </w:r>
                          </w:p>
                        </w:txbxContent>
                      </v:textbox>
                    </v:shape>
                  </w:pict>
                </mc:Fallback>
              </mc:AlternateContent>
            </w:r>
            <w:r w:rsidR="005B44B5">
              <w:rPr>
                <w:noProof/>
              </w:rPr>
              <mc:AlternateContent>
                <mc:Choice Requires="wps">
                  <w:drawing>
                    <wp:anchor distT="0" distB="0" distL="0" distR="0" simplePos="0" relativeHeight="251668480" behindDoc="0" locked="0" layoutInCell="1" allowOverlap="0" wp14:anchorId="0E847644" wp14:editId="49D62067">
                      <wp:simplePos x="0" y="0"/>
                      <wp:positionH relativeFrom="column">
                        <wp:posOffset>1253490</wp:posOffset>
                      </wp:positionH>
                      <wp:positionV relativeFrom="paragraph">
                        <wp:posOffset>1176655</wp:posOffset>
                      </wp:positionV>
                      <wp:extent cx="809625" cy="277495"/>
                      <wp:effectExtent l="0" t="0" r="0" b="0"/>
                      <wp:wrapNone/>
                      <wp:docPr id="16337470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77495"/>
                              </a:xfrm>
                              <a:prstGeom prst="rect">
                                <a:avLst/>
                              </a:prstGeom>
                              <a:noFill/>
                              <a:ln w="6350">
                                <a:noFill/>
                              </a:ln>
                            </wps:spPr>
                            <wps:txbx>
                              <w:txbxContent>
                                <w:p w14:paraId="2B09AAF1" w14:textId="77777777" w:rsidR="005B44B5" w:rsidRPr="00CF0077" w:rsidRDefault="005B44B5" w:rsidP="005B44B5">
                                  <w: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47644" id="Text Box 11" o:spid="_x0000_s1034" type="#_x0000_t202" style="position:absolute;left:0;text-align:left;margin-left:98.7pt;margin-top:92.65pt;width:63.75pt;height:21.8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" o:allowoverlap="f" filled="f" stroked="f" strokeweight=".5pt">
                      <v:textbox>
                        <w:txbxContent>
                          <w:p w14:paraId="2B09AAF1" w14:textId="77777777" w:rsidR="005B44B5" w:rsidRPr="00CF0077" w:rsidRDefault="005B44B5" w:rsidP="005B44B5">
                            <w:r>
                              <w:t>Dangtelis</w:t>
                            </w:r>
                          </w:p>
                        </w:txbxContent>
                      </v:textbox>
                    </v:shape>
                  </w:pict>
                </mc:Fallback>
              </mc:AlternateContent>
            </w:r>
            <w:r w:rsidR="005B44B5" w:rsidRPr="00BE7AFC">
              <w:rPr>
                <w:noProof/>
              </w:rPr>
              <w:drawing>
                <wp:inline distT="0" distB="0" distL="0" distR="0" wp14:anchorId="143E462B" wp14:editId="34941919">
                  <wp:extent cx="1743075" cy="1762125"/>
                  <wp:effectExtent l="0" t="0" r="9525" b="9525"/>
                  <wp:docPr id="1921794984" name="Picture 9"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695132" descr="A picture containing antenna&#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3075" cy="1762125"/>
                          </a:xfrm>
                          <a:prstGeom prst="rect">
                            <a:avLst/>
                          </a:prstGeom>
                          <a:noFill/>
                          <a:ln>
                            <a:noFill/>
                          </a:ln>
                        </pic:spPr>
                      </pic:pic>
                    </a:graphicData>
                  </a:graphic>
                </wp:inline>
              </w:drawing>
            </w:r>
          </w:p>
        </w:tc>
        <w:tc>
          <w:tcPr>
            <w:tcW w:w="5238" w:type="dxa"/>
          </w:tcPr>
          <w:p w14:paraId="39F6519A" w14:textId="77777777" w:rsidR="005B44B5" w:rsidRDefault="005B44B5" w:rsidP="00EB4672">
            <w:pPr>
              <w:widowControl w:val="0"/>
              <w:rPr>
                <w:szCs w:val="24"/>
              </w:rPr>
            </w:pPr>
          </w:p>
          <w:p w14:paraId="39A561C1" w14:textId="77777777" w:rsidR="005B44B5" w:rsidRPr="00767748" w:rsidRDefault="005B44B5" w:rsidP="00EB4672">
            <w:pPr>
              <w:widowControl w:val="0"/>
              <w:rPr>
                <w:szCs w:val="24"/>
              </w:rPr>
            </w:pPr>
          </w:p>
          <w:p w14:paraId="18A3F6AB" w14:textId="77777777" w:rsidR="005B44B5" w:rsidRDefault="005B44B5" w:rsidP="00EB4672">
            <w:pPr>
              <w:widowControl w:val="0"/>
              <w:rPr>
                <w:szCs w:val="24"/>
              </w:rPr>
            </w:pPr>
            <w:r w:rsidRPr="00767748">
              <w:rPr>
                <w:szCs w:val="24"/>
              </w:rPr>
              <w:t>Laikykite švirkštą už vamzdelio, bet ne už stūmoklio.</w:t>
            </w:r>
          </w:p>
          <w:p w14:paraId="653AB185" w14:textId="77777777" w:rsidR="005B44B5" w:rsidRPr="00767748" w:rsidRDefault="005B44B5" w:rsidP="00EB4672">
            <w:pPr>
              <w:widowControl w:val="0"/>
              <w:rPr>
                <w:szCs w:val="24"/>
              </w:rPr>
            </w:pPr>
          </w:p>
          <w:p w14:paraId="17B92C63" w14:textId="77777777" w:rsidR="005B44B5" w:rsidRPr="00767748" w:rsidRDefault="005B44B5" w:rsidP="00EB4672">
            <w:pPr>
              <w:widowControl w:val="0"/>
              <w:rPr>
                <w:szCs w:val="24"/>
              </w:rPr>
            </w:pPr>
            <w:r w:rsidRPr="00767748">
              <w:rPr>
                <w:szCs w:val="24"/>
              </w:rPr>
              <w:t>Nusukite švirkšto dangtelį sukdami prieš laikrodžio rodyklę.</w:t>
            </w:r>
          </w:p>
        </w:tc>
      </w:tr>
      <w:tr w:rsidR="005B44B5" w14:paraId="4AA1A7EC" w14:textId="77777777" w:rsidTr="006E4344">
        <w:trPr>
          <w:jc w:val="center"/>
        </w:trPr>
        <w:tc>
          <w:tcPr>
            <w:tcW w:w="3618" w:type="dxa"/>
          </w:tcPr>
          <w:p w14:paraId="34E0EB63" w14:textId="0495FFA8" w:rsidR="005B44B5" w:rsidRPr="00895454" w:rsidRDefault="005B44B5" w:rsidP="006E4344">
            <w:pPr>
              <w:widowControl w:val="0"/>
              <w:spacing w:after="120"/>
              <w:jc w:val="center"/>
              <w:rPr>
                <w:szCs w:val="24"/>
              </w:rPr>
            </w:pPr>
            <w:r>
              <w:rPr>
                <w:noProof/>
              </w:rPr>
              <mc:AlternateContent>
                <mc:Choice Requires="wps">
                  <w:drawing>
                    <wp:anchor distT="0" distB="0" distL="0" distR="0" simplePos="0" relativeHeight="251665408" behindDoc="0" locked="0" layoutInCell="1" allowOverlap="0" wp14:anchorId="0AB9C81A" wp14:editId="0B37677B">
                      <wp:simplePos x="0" y="0"/>
                      <wp:positionH relativeFrom="column">
                        <wp:posOffset>772795</wp:posOffset>
                      </wp:positionH>
                      <wp:positionV relativeFrom="paragraph">
                        <wp:posOffset>211455</wp:posOffset>
                      </wp:positionV>
                      <wp:extent cx="1257300" cy="481330"/>
                      <wp:effectExtent l="0" t="0" r="0" b="0"/>
                      <wp:wrapNone/>
                      <wp:docPr id="16272852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481330"/>
                              </a:xfrm>
                              <a:prstGeom prst="rect">
                                <a:avLst/>
                              </a:prstGeom>
                              <a:noFill/>
                              <a:ln w="6350">
                                <a:noFill/>
                              </a:ln>
                            </wps:spPr>
                            <wps:txbx>
                              <w:txbxContent>
                                <w:p w14:paraId="2CEFAA1B" w14:textId="77777777" w:rsidR="005B44B5" w:rsidRPr="007557EE" w:rsidRDefault="005B44B5" w:rsidP="005B44B5">
                                  <w:r>
                                    <w:t xml:space="preserve">Adatos </w:t>
                                  </w:r>
                                  <w:r w:rsidRPr="003D3C41">
                                    <w:t>stebulė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9C81A" id="Text Box 10" o:spid="_x0000_s1035" type="#_x0000_t202" style="position:absolute;left:0;text-align:left;margin-left:60.85pt;margin-top:16.65pt;width:99pt;height:37.9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" o:allowoverlap="f" filled="f" stroked="f" strokeweight=".5pt">
                      <v:textbox>
                        <w:txbxContent>
                          <w:p w14:paraId="2CEFAA1B" w14:textId="77777777" w:rsidR="005B44B5" w:rsidRPr="007557EE" w:rsidRDefault="005B44B5" w:rsidP="005B44B5">
                            <w:r>
                              <w:t xml:space="preserve">Adatos </w:t>
                            </w:r>
                            <w:r w:rsidRPr="003D3C41">
                              <w:t>stebulė</w:t>
                            </w:r>
                          </w:p>
                        </w:txbxContent>
                      </v:textbox>
                    </v:shape>
                  </w:pict>
                </mc:Fallback>
              </mc:AlternateContent>
            </w:r>
            <w:r w:rsidRPr="00BE7AFC">
              <w:rPr>
                <w:noProof/>
              </w:rPr>
              <w:drawing>
                <wp:inline distT="0" distB="0" distL="0" distR="0" wp14:anchorId="3416A65B" wp14:editId="6014FB37">
                  <wp:extent cx="1828800" cy="1838325"/>
                  <wp:effectExtent l="0" t="0" r="0" b="9525"/>
                  <wp:docPr id="1678041309"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096535"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838325"/>
                          </a:xfrm>
                          <a:prstGeom prst="rect">
                            <a:avLst/>
                          </a:prstGeom>
                          <a:noFill/>
                          <a:ln>
                            <a:noFill/>
                          </a:ln>
                        </pic:spPr>
                      </pic:pic>
                    </a:graphicData>
                  </a:graphic>
                </wp:inline>
              </w:drawing>
            </w:r>
          </w:p>
        </w:tc>
        <w:tc>
          <w:tcPr>
            <w:tcW w:w="5238" w:type="dxa"/>
          </w:tcPr>
          <w:p w14:paraId="33B3043D" w14:textId="77777777" w:rsidR="005B44B5" w:rsidRDefault="005B44B5" w:rsidP="00EB4672">
            <w:pPr>
              <w:widowControl w:val="0"/>
              <w:rPr>
                <w:szCs w:val="24"/>
              </w:rPr>
            </w:pPr>
          </w:p>
          <w:p w14:paraId="75B678BD" w14:textId="77777777" w:rsidR="005B44B5" w:rsidRDefault="005B44B5" w:rsidP="00EB4672">
            <w:pPr>
              <w:widowControl w:val="0"/>
              <w:rPr>
                <w:szCs w:val="24"/>
              </w:rPr>
            </w:pPr>
            <w:r w:rsidRPr="00727324">
              <w:rPr>
                <w:szCs w:val="24"/>
              </w:rPr>
              <w:t xml:space="preserve">Norėdami pritvirtinti adatą, prijunkite stebulę prie </w:t>
            </w:r>
            <w:proofErr w:type="spellStart"/>
            <w:r w:rsidRPr="006E4344">
              <w:rPr>
                <w:i/>
                <w:iCs/>
                <w:szCs w:val="24"/>
              </w:rPr>
              <w:t>Luer</w:t>
            </w:r>
            <w:proofErr w:type="spellEnd"/>
            <w:r w:rsidRPr="006E4344">
              <w:rPr>
                <w:i/>
                <w:iCs/>
                <w:szCs w:val="24"/>
              </w:rPr>
              <w:t xml:space="preserve"> </w:t>
            </w:r>
            <w:proofErr w:type="spellStart"/>
            <w:r w:rsidRPr="006E4344">
              <w:rPr>
                <w:i/>
                <w:iCs/>
                <w:szCs w:val="24"/>
              </w:rPr>
              <w:t>Lock</w:t>
            </w:r>
            <w:proofErr w:type="spellEnd"/>
            <w:r w:rsidRPr="00727324">
              <w:rPr>
                <w:szCs w:val="24"/>
              </w:rPr>
              <w:t xml:space="preserve"> adapterio ir pasukite ketvirtį apsisukimo pagal laikrodžio rodyklę, kol pajusite, kad ji užsifiksuos.</w:t>
            </w:r>
          </w:p>
          <w:p w14:paraId="7442F008" w14:textId="77777777" w:rsidR="005B44B5" w:rsidRPr="00727324" w:rsidRDefault="005B44B5" w:rsidP="00EB4672">
            <w:pPr>
              <w:widowControl w:val="0"/>
              <w:rPr>
                <w:szCs w:val="24"/>
              </w:rPr>
            </w:pPr>
          </w:p>
          <w:p w14:paraId="46FF4909" w14:textId="77777777" w:rsidR="005B44B5" w:rsidRPr="00E650C2" w:rsidRDefault="005B44B5" w:rsidP="00EB4672">
            <w:pPr>
              <w:widowControl w:val="0"/>
            </w:pPr>
            <w:r w:rsidRPr="00727324">
              <w:rPr>
                <w:szCs w:val="24"/>
              </w:rPr>
              <w:t>Netraukite švirkšto stūmoklio iš vamzdelio. Jei taip atsitiktų, vakcinos neskirkite.</w:t>
            </w:r>
            <w:r w:rsidRPr="00727324">
              <w:rPr>
                <w:noProof/>
                <w:szCs w:val="24"/>
                <w:lang w:val="it-IT" w:eastAsia="it-IT"/>
              </w:rPr>
              <w:t xml:space="preserve"> </w:t>
            </w:r>
          </w:p>
        </w:tc>
      </w:tr>
    </w:tbl>
    <w:p w14:paraId="36B3F7C7" w14:textId="77777777" w:rsidR="005B44B5" w:rsidRDefault="005B44B5" w:rsidP="005B44B5"/>
    <w:p w14:paraId="67666A7D" w14:textId="4C837EF0" w:rsidR="005B44B5" w:rsidRDefault="005B44B5" w:rsidP="00CA2E41">
      <w:pPr>
        <w:rPr>
          <w:sz w:val="22"/>
        </w:rPr>
      </w:pPr>
      <w:r w:rsidRPr="006E4344">
        <w:rPr>
          <w:u w:val="single"/>
        </w:rPr>
        <w:t>Atliekų tvarkymas</w:t>
      </w:r>
    </w:p>
    <w:p w14:paraId="6E25CA88" w14:textId="77777777" w:rsidR="001E0E2B" w:rsidRDefault="00CA2E41" w:rsidP="00CA2E41">
      <w:pPr>
        <w:rPr>
          <w:sz w:val="22"/>
        </w:rPr>
      </w:pPr>
      <w:r>
        <w:rPr>
          <w:sz w:val="22"/>
        </w:rPr>
        <w:t>Nesuvartotą vaistinį preparatą arba atliekas reikia naikinti laikantis vietinių reikalavimų.</w:t>
      </w:r>
    </w:p>
    <w:p w14:paraId="6680B5C5" w14:textId="77777777" w:rsidR="00D135F4" w:rsidRDefault="00D135F4"/>
    <w:sectPr w:rsidR="00D135F4" w:rsidSect="00D04283">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BA94" w14:textId="77777777" w:rsidR="00C30154" w:rsidRDefault="00C30154" w:rsidP="003B6282">
      <w:r>
        <w:separator/>
      </w:r>
    </w:p>
  </w:endnote>
  <w:endnote w:type="continuationSeparator" w:id="0">
    <w:p w14:paraId="76810CBF" w14:textId="77777777" w:rsidR="00C30154" w:rsidRDefault="00C30154" w:rsidP="003B6282">
      <w:r>
        <w:continuationSeparator/>
      </w:r>
    </w:p>
  </w:endnote>
  <w:endnote w:type="continuationNotice" w:id="1">
    <w:p w14:paraId="6AB1B11E" w14:textId="77777777" w:rsidR="00C30154" w:rsidRDefault="00C30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
    <w:altName w:val="Sylfae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BB96" w14:textId="77777777" w:rsidR="00524349" w:rsidRDefault="005243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ED94" w14:textId="77777777" w:rsidR="00C30154" w:rsidRDefault="00C30154" w:rsidP="003B6282">
      <w:r>
        <w:separator/>
      </w:r>
    </w:p>
  </w:footnote>
  <w:footnote w:type="continuationSeparator" w:id="0">
    <w:p w14:paraId="40E872F9" w14:textId="77777777" w:rsidR="00C30154" w:rsidRDefault="00C30154" w:rsidP="003B6282">
      <w:r>
        <w:continuationSeparator/>
      </w:r>
    </w:p>
  </w:footnote>
  <w:footnote w:type="continuationNotice" w:id="1">
    <w:p w14:paraId="0DF9E7A4" w14:textId="77777777" w:rsidR="00C30154" w:rsidRDefault="00C30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7E7E" w14:textId="77777777" w:rsidR="00524349" w:rsidRDefault="005243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682186"/>
    <w:multiLevelType w:val="singleLevel"/>
    <w:tmpl w:val="71A42116"/>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 w15:restartNumberingAfterBreak="0">
    <w:nsid w:val="061328A0"/>
    <w:multiLevelType w:val="hybridMultilevel"/>
    <w:tmpl w:val="B15E14D6"/>
    <w:lvl w:ilvl="0" w:tplc="C30C5DE0">
      <w:start w:val="1"/>
      <w:numFmt w:val="decimal"/>
      <w:lvlText w:val="(%1)"/>
      <w:lvlJc w:val="left"/>
      <w:pPr>
        <w:ind w:left="720" w:hanging="360"/>
      </w:pPr>
      <w:rPr>
        <w:vertAlign w:val="superscrip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998473E"/>
    <w:multiLevelType w:val="hybridMultilevel"/>
    <w:tmpl w:val="D5F4AF9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81CFA"/>
    <w:multiLevelType w:val="hybridMultilevel"/>
    <w:tmpl w:val="30F80836"/>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9F5401"/>
    <w:multiLevelType w:val="hybridMultilevel"/>
    <w:tmpl w:val="06F43138"/>
    <w:lvl w:ilvl="0" w:tplc="3F981748">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57E91"/>
    <w:multiLevelType w:val="hybridMultilevel"/>
    <w:tmpl w:val="A262F7DA"/>
    <w:lvl w:ilvl="0" w:tplc="3F981748">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9F2CF9"/>
    <w:multiLevelType w:val="singleLevel"/>
    <w:tmpl w:val="71A42116"/>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8" w15:restartNumberingAfterBreak="0">
    <w:nsid w:val="3847342F"/>
    <w:multiLevelType w:val="hybridMultilevel"/>
    <w:tmpl w:val="64F6C5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8AC64A1"/>
    <w:multiLevelType w:val="hybridMultilevel"/>
    <w:tmpl w:val="70026226"/>
    <w:lvl w:ilvl="0" w:tplc="FFFFFFFF">
      <w:numFmt w:val="bullet"/>
      <w:lvlText w:val="-"/>
      <w:lvlJc w:val="left"/>
      <w:pPr>
        <w:ind w:left="720" w:hanging="360"/>
      </w:pPr>
      <w:rPr>
        <w:vertAlign w:val="superscrip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EF21956"/>
    <w:multiLevelType w:val="hybridMultilevel"/>
    <w:tmpl w:val="6C92B298"/>
    <w:lvl w:ilvl="0" w:tplc="3F981748">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956689"/>
    <w:multiLevelType w:val="hybridMultilevel"/>
    <w:tmpl w:val="E912FF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3401EC0"/>
    <w:multiLevelType w:val="singleLevel"/>
    <w:tmpl w:val="2C62F932"/>
    <w:lvl w:ilvl="0">
      <w:start w:val="1"/>
      <w:numFmt w:val="bullet"/>
      <w:pStyle w:val="tableref"/>
      <w:lvlText w:val=""/>
      <w:lvlJc w:val="left"/>
      <w:pPr>
        <w:tabs>
          <w:tab w:val="num" w:pos="864"/>
        </w:tabs>
        <w:ind w:left="864" w:hanging="432"/>
      </w:pPr>
      <w:rPr>
        <w:rFonts w:ascii="Symbol" w:hAnsi="Symbol" w:hint="default"/>
      </w:rPr>
    </w:lvl>
  </w:abstractNum>
  <w:abstractNum w:abstractNumId="13" w15:restartNumberingAfterBreak="0">
    <w:nsid w:val="4C1D4686"/>
    <w:multiLevelType w:val="hybridMultilevel"/>
    <w:tmpl w:val="38EE8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5CA5E81"/>
    <w:multiLevelType w:val="hybridMultilevel"/>
    <w:tmpl w:val="F140ABA8"/>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A4558CC"/>
    <w:multiLevelType w:val="hybridMultilevel"/>
    <w:tmpl w:val="F8821A24"/>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7F4843"/>
    <w:multiLevelType w:val="hybridMultilevel"/>
    <w:tmpl w:val="DB32B566"/>
    <w:lvl w:ilvl="0" w:tplc="1D3874C4">
      <w:start w:val="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320A5E"/>
    <w:multiLevelType w:val="hybridMultilevel"/>
    <w:tmpl w:val="931ACE12"/>
    <w:lvl w:ilvl="0" w:tplc="2B92FF30">
      <w:start w:val="1"/>
      <w:numFmt w:val="lowerLetter"/>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18" w15:restartNumberingAfterBreak="0">
    <w:nsid w:val="636C6CB9"/>
    <w:multiLevelType w:val="singleLevel"/>
    <w:tmpl w:val="71A42116"/>
    <w:lvl w:ilvl="0">
      <w:start w:val="1"/>
      <w:numFmt w:val="decimal"/>
      <w:lvlText w:val="%1."/>
      <w:legacy w:legacy="1" w:legacySpace="0" w:legacyIndent="360"/>
      <w:lvlJc w:val="left"/>
      <w:pPr>
        <w:ind w:left="391" w:hanging="360"/>
      </w:pPr>
      <w:rPr>
        <w:rFonts w:ascii="Times New Roman" w:hAnsi="Times New Roman" w:cs="Times New Roman" w:hint="default"/>
      </w:rPr>
    </w:lvl>
  </w:abstractNum>
  <w:abstractNum w:abstractNumId="19" w15:restartNumberingAfterBreak="0">
    <w:nsid w:val="68850819"/>
    <w:multiLevelType w:val="hybridMultilevel"/>
    <w:tmpl w:val="A7B20268"/>
    <w:lvl w:ilvl="0" w:tplc="3F981748">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EB4F0D"/>
    <w:multiLevelType w:val="singleLevel"/>
    <w:tmpl w:val="71A42116"/>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1" w15:restartNumberingAfterBreak="0">
    <w:nsid w:val="6F73524F"/>
    <w:multiLevelType w:val="hybridMultilevel"/>
    <w:tmpl w:val="120CC4E0"/>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706819BE"/>
    <w:multiLevelType w:val="hybridMultilevel"/>
    <w:tmpl w:val="0F605504"/>
    <w:lvl w:ilvl="0" w:tplc="3F981748">
      <w:start w:val="1"/>
      <w:numFmt w:val="bullet"/>
      <w:lvlText w:val=""/>
      <w:lvlJc w:val="left"/>
      <w:pPr>
        <w:tabs>
          <w:tab w:val="num" w:pos="1290"/>
        </w:tabs>
        <w:ind w:left="1290" w:hanging="360"/>
      </w:pPr>
      <w:rPr>
        <w:rFonts w:ascii="Symbol" w:hAnsi="Symbol" w:hint="default"/>
        <w:color w:val="auto"/>
      </w:rPr>
    </w:lvl>
    <w:lvl w:ilvl="1" w:tplc="04270003">
      <w:start w:val="1"/>
      <w:numFmt w:val="bullet"/>
      <w:lvlText w:val="o"/>
      <w:lvlJc w:val="left"/>
      <w:pPr>
        <w:tabs>
          <w:tab w:val="num" w:pos="2010"/>
        </w:tabs>
        <w:ind w:left="2010" w:hanging="360"/>
      </w:pPr>
      <w:rPr>
        <w:rFonts w:ascii="Courier New" w:hAnsi="Courier New" w:cs="Times New Roman" w:hint="default"/>
      </w:rPr>
    </w:lvl>
    <w:lvl w:ilvl="2" w:tplc="04270005">
      <w:start w:val="1"/>
      <w:numFmt w:val="bullet"/>
      <w:lvlText w:val=""/>
      <w:lvlJc w:val="left"/>
      <w:pPr>
        <w:tabs>
          <w:tab w:val="num" w:pos="2730"/>
        </w:tabs>
        <w:ind w:left="2730" w:hanging="360"/>
      </w:pPr>
      <w:rPr>
        <w:rFonts w:ascii="Wingdings" w:hAnsi="Wingdings" w:hint="default"/>
      </w:rPr>
    </w:lvl>
    <w:lvl w:ilvl="3" w:tplc="04270001">
      <w:start w:val="1"/>
      <w:numFmt w:val="bullet"/>
      <w:lvlText w:val=""/>
      <w:lvlJc w:val="left"/>
      <w:pPr>
        <w:tabs>
          <w:tab w:val="num" w:pos="3450"/>
        </w:tabs>
        <w:ind w:left="3450" w:hanging="360"/>
      </w:pPr>
      <w:rPr>
        <w:rFonts w:ascii="Symbol" w:hAnsi="Symbol" w:hint="default"/>
      </w:rPr>
    </w:lvl>
    <w:lvl w:ilvl="4" w:tplc="04270003">
      <w:start w:val="1"/>
      <w:numFmt w:val="bullet"/>
      <w:lvlText w:val="o"/>
      <w:lvlJc w:val="left"/>
      <w:pPr>
        <w:tabs>
          <w:tab w:val="num" w:pos="4170"/>
        </w:tabs>
        <w:ind w:left="4170" w:hanging="360"/>
      </w:pPr>
      <w:rPr>
        <w:rFonts w:ascii="Courier New" w:hAnsi="Courier New" w:cs="Times New Roman" w:hint="default"/>
      </w:rPr>
    </w:lvl>
    <w:lvl w:ilvl="5" w:tplc="04270005">
      <w:start w:val="1"/>
      <w:numFmt w:val="bullet"/>
      <w:lvlText w:val=""/>
      <w:lvlJc w:val="left"/>
      <w:pPr>
        <w:tabs>
          <w:tab w:val="num" w:pos="4890"/>
        </w:tabs>
        <w:ind w:left="4890" w:hanging="360"/>
      </w:pPr>
      <w:rPr>
        <w:rFonts w:ascii="Wingdings" w:hAnsi="Wingdings" w:hint="default"/>
      </w:rPr>
    </w:lvl>
    <w:lvl w:ilvl="6" w:tplc="04270001">
      <w:start w:val="1"/>
      <w:numFmt w:val="bullet"/>
      <w:lvlText w:val=""/>
      <w:lvlJc w:val="left"/>
      <w:pPr>
        <w:tabs>
          <w:tab w:val="num" w:pos="5610"/>
        </w:tabs>
        <w:ind w:left="5610" w:hanging="360"/>
      </w:pPr>
      <w:rPr>
        <w:rFonts w:ascii="Symbol" w:hAnsi="Symbol" w:hint="default"/>
      </w:rPr>
    </w:lvl>
    <w:lvl w:ilvl="7" w:tplc="04270003">
      <w:start w:val="1"/>
      <w:numFmt w:val="bullet"/>
      <w:lvlText w:val="o"/>
      <w:lvlJc w:val="left"/>
      <w:pPr>
        <w:tabs>
          <w:tab w:val="num" w:pos="6330"/>
        </w:tabs>
        <w:ind w:left="6330" w:hanging="360"/>
      </w:pPr>
      <w:rPr>
        <w:rFonts w:ascii="Courier New" w:hAnsi="Courier New" w:cs="Times New Roman" w:hint="default"/>
      </w:rPr>
    </w:lvl>
    <w:lvl w:ilvl="8" w:tplc="04270005">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752E2C75"/>
    <w:multiLevelType w:val="hybridMultilevel"/>
    <w:tmpl w:val="A252A90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FB1761"/>
    <w:multiLevelType w:val="hybridMultilevel"/>
    <w:tmpl w:val="2A0A0A64"/>
    <w:lvl w:ilvl="0" w:tplc="3F981748">
      <w:start w:val="1"/>
      <w:numFmt w:val="bullet"/>
      <w:lvlText w:val=""/>
      <w:lvlJc w:val="left"/>
      <w:pPr>
        <w:tabs>
          <w:tab w:val="num" w:pos="720"/>
        </w:tabs>
        <w:ind w:left="72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267662292">
    <w:abstractNumId w:val="12"/>
  </w:num>
  <w:num w:numId="2" w16cid:durableId="1383676012">
    <w:abstractNumId w:val="12"/>
  </w:num>
  <w:num w:numId="3" w16cid:durableId="1127047865">
    <w:abstractNumId w:val="13"/>
  </w:num>
  <w:num w:numId="4" w16cid:durableId="1282808093">
    <w:abstractNumId w:val="13"/>
  </w:num>
  <w:num w:numId="5" w16cid:durableId="1120536654">
    <w:abstractNumId w:val="2"/>
  </w:num>
  <w:num w:numId="6" w16cid:durableId="186217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6450554">
    <w:abstractNumId w:val="9"/>
  </w:num>
  <w:num w:numId="8" w16cid:durableId="15827549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4959496">
    <w:abstractNumId w:val="11"/>
  </w:num>
  <w:num w:numId="10" w16cid:durableId="867723103">
    <w:abstractNumId w:val="11"/>
  </w:num>
  <w:num w:numId="11" w16cid:durableId="33239274">
    <w:abstractNumId w:val="3"/>
  </w:num>
  <w:num w:numId="12" w16cid:durableId="1379359714">
    <w:abstractNumId w:val="3"/>
  </w:num>
  <w:num w:numId="13" w16cid:durableId="1799252960">
    <w:abstractNumId w:val="23"/>
  </w:num>
  <w:num w:numId="14" w16cid:durableId="1949317279">
    <w:abstractNumId w:val="23"/>
  </w:num>
  <w:num w:numId="15" w16cid:durableId="1288077262">
    <w:abstractNumId w:val="15"/>
  </w:num>
  <w:num w:numId="16" w16cid:durableId="208421031">
    <w:abstractNumId w:val="15"/>
  </w:num>
  <w:num w:numId="17" w16cid:durableId="1904292695">
    <w:abstractNumId w:val="4"/>
  </w:num>
  <w:num w:numId="18" w16cid:durableId="527303658">
    <w:abstractNumId w:val="4"/>
  </w:num>
  <w:num w:numId="19" w16cid:durableId="757408074">
    <w:abstractNumId w:val="24"/>
  </w:num>
  <w:num w:numId="20" w16cid:durableId="527185552">
    <w:abstractNumId w:val="24"/>
  </w:num>
  <w:num w:numId="21" w16cid:durableId="1415467726">
    <w:abstractNumId w:val="10"/>
  </w:num>
  <w:num w:numId="22" w16cid:durableId="1161194645">
    <w:abstractNumId w:val="10"/>
  </w:num>
  <w:num w:numId="23" w16cid:durableId="418215885">
    <w:abstractNumId w:val="22"/>
  </w:num>
  <w:num w:numId="24" w16cid:durableId="1434017178">
    <w:abstractNumId w:val="22"/>
  </w:num>
  <w:num w:numId="25" w16cid:durableId="377626078">
    <w:abstractNumId w:val="19"/>
  </w:num>
  <w:num w:numId="26" w16cid:durableId="148326643">
    <w:abstractNumId w:val="19"/>
  </w:num>
  <w:num w:numId="27" w16cid:durableId="1304195247">
    <w:abstractNumId w:val="6"/>
  </w:num>
  <w:num w:numId="28" w16cid:durableId="2785143">
    <w:abstractNumId w:val="6"/>
  </w:num>
  <w:num w:numId="29" w16cid:durableId="231307846">
    <w:abstractNumId w:val="5"/>
  </w:num>
  <w:num w:numId="30" w16cid:durableId="949360230">
    <w:abstractNumId w:val="5"/>
  </w:num>
  <w:num w:numId="31" w16cid:durableId="361712724">
    <w:abstractNumId w:val="8"/>
  </w:num>
  <w:num w:numId="32" w16cid:durableId="199166434">
    <w:abstractNumId w:val="8"/>
  </w:num>
  <w:num w:numId="33" w16cid:durableId="1242714500">
    <w:abstractNumId w:val="18"/>
  </w:num>
  <w:num w:numId="34" w16cid:durableId="36662635">
    <w:abstractNumId w:val="20"/>
  </w:num>
  <w:num w:numId="35" w16cid:durableId="1085300951">
    <w:abstractNumId w:val="1"/>
  </w:num>
  <w:num w:numId="36" w16cid:durableId="1273636283">
    <w:abstractNumId w:val="7"/>
  </w:num>
  <w:num w:numId="37" w16cid:durableId="910043305">
    <w:abstractNumId w:val="14"/>
  </w:num>
  <w:num w:numId="38" w16cid:durableId="856163409">
    <w:abstractNumId w:val="17"/>
  </w:num>
  <w:num w:numId="39" w16cid:durableId="1314144430">
    <w:abstractNumId w:val="21"/>
  </w:num>
  <w:num w:numId="40" w16cid:durableId="1015890031">
    <w:abstractNumId w:val="0"/>
    <w:lvlOverride w:ilvl="0">
      <w:lvl w:ilvl="0">
        <w:start w:val="1"/>
        <w:numFmt w:val="bullet"/>
        <w:lvlText w:val="-"/>
        <w:lvlJc w:val="left"/>
        <w:pPr>
          <w:ind w:left="360" w:hanging="360"/>
        </w:pPr>
      </w:lvl>
    </w:lvlOverride>
  </w:num>
  <w:num w:numId="41" w16cid:durableId="8178414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afdb66-ebd7-445a-b4bf-a2a584b13c9b" w:val=" "/>
    <w:docVar w:name="VAULT_ND_2f413c13-e66d-48af-ba42-a9f39f7337f6" w:val=" "/>
    <w:docVar w:name="VAULT_ND_3abc19e4-61f6-4d25-bc61-c20eb47e0e80" w:val=" "/>
    <w:docVar w:name="VAULT_ND_54603f68-e90a-4a41-a3e1-b7687d870395" w:val=" "/>
    <w:docVar w:name="VAULT_ND_befb573d-671f-4571-88b1-a240924e9a0d" w:val=" "/>
    <w:docVar w:name="VAULT_ND_e58fcafb-58d6-4e51-974f-9d7687f80765" w:val=" "/>
    <w:docVar w:name="VAULT_ND_e9c25d0f-0ef6-484b-8243-c61a08b74b82" w:val=" "/>
    <w:docVar w:name="VAULT_ND_e9de1606-67c0-4072-9c8e-96242aeb85e6" w:val=" "/>
    <w:docVar w:name="VAULT_ND_f816f350-2b27-4173-8837-ad897404efca" w:val=" "/>
    <w:docVar w:name="VAULT_ND_f82fe7dd-ff91-4c76-ba30-44dd8047013b" w:val=" "/>
    <w:docVar w:name="VAULT_ND_fe84da3a-9fac-461e-b045-2459b41e6536" w:val=" "/>
  </w:docVars>
  <w:rsids>
    <w:rsidRoot w:val="00CA2E41"/>
    <w:rsid w:val="00000340"/>
    <w:rsid w:val="00011E9D"/>
    <w:rsid w:val="000134A6"/>
    <w:rsid w:val="000528CD"/>
    <w:rsid w:val="00077E1E"/>
    <w:rsid w:val="00086317"/>
    <w:rsid w:val="00095228"/>
    <w:rsid w:val="000B2847"/>
    <w:rsid w:val="000C4048"/>
    <w:rsid w:val="000C68F4"/>
    <w:rsid w:val="000D53B5"/>
    <w:rsid w:val="000D6EDE"/>
    <w:rsid w:val="000F07B5"/>
    <w:rsid w:val="0011557C"/>
    <w:rsid w:val="00134E3B"/>
    <w:rsid w:val="00146424"/>
    <w:rsid w:val="001843B3"/>
    <w:rsid w:val="00191A08"/>
    <w:rsid w:val="00194C6E"/>
    <w:rsid w:val="001A310B"/>
    <w:rsid w:val="001B36A4"/>
    <w:rsid w:val="001C3A44"/>
    <w:rsid w:val="001E0E2B"/>
    <w:rsid w:val="001E2C88"/>
    <w:rsid w:val="001E59E0"/>
    <w:rsid w:val="001F7E1F"/>
    <w:rsid w:val="0020000A"/>
    <w:rsid w:val="00213A40"/>
    <w:rsid w:val="002267D2"/>
    <w:rsid w:val="00233082"/>
    <w:rsid w:val="002729D1"/>
    <w:rsid w:val="00274E77"/>
    <w:rsid w:val="00290674"/>
    <w:rsid w:val="0029080A"/>
    <w:rsid w:val="002927F6"/>
    <w:rsid w:val="002A74EA"/>
    <w:rsid w:val="002B7726"/>
    <w:rsid w:val="002C0DCF"/>
    <w:rsid w:val="002C595F"/>
    <w:rsid w:val="002C7C4E"/>
    <w:rsid w:val="002F4128"/>
    <w:rsid w:val="00305A45"/>
    <w:rsid w:val="00322386"/>
    <w:rsid w:val="003308FC"/>
    <w:rsid w:val="003547C6"/>
    <w:rsid w:val="003605A0"/>
    <w:rsid w:val="00370082"/>
    <w:rsid w:val="003724EE"/>
    <w:rsid w:val="003803F9"/>
    <w:rsid w:val="00385EC1"/>
    <w:rsid w:val="003B2880"/>
    <w:rsid w:val="003B6282"/>
    <w:rsid w:val="003D6EB8"/>
    <w:rsid w:val="003F050B"/>
    <w:rsid w:val="00402C81"/>
    <w:rsid w:val="00424B3A"/>
    <w:rsid w:val="0044348F"/>
    <w:rsid w:val="00464D63"/>
    <w:rsid w:val="004777BD"/>
    <w:rsid w:val="00493E7B"/>
    <w:rsid w:val="004B147B"/>
    <w:rsid w:val="004C00D4"/>
    <w:rsid w:val="004F3DFF"/>
    <w:rsid w:val="00507177"/>
    <w:rsid w:val="00524349"/>
    <w:rsid w:val="005445B3"/>
    <w:rsid w:val="005503ED"/>
    <w:rsid w:val="005611C3"/>
    <w:rsid w:val="00571402"/>
    <w:rsid w:val="005769D4"/>
    <w:rsid w:val="0058432D"/>
    <w:rsid w:val="00592E6F"/>
    <w:rsid w:val="005B44B5"/>
    <w:rsid w:val="005D067B"/>
    <w:rsid w:val="005D4B55"/>
    <w:rsid w:val="005D6F5E"/>
    <w:rsid w:val="005E0746"/>
    <w:rsid w:val="005F4571"/>
    <w:rsid w:val="005F75DA"/>
    <w:rsid w:val="00614644"/>
    <w:rsid w:val="00637C28"/>
    <w:rsid w:val="00646274"/>
    <w:rsid w:val="006618D9"/>
    <w:rsid w:val="00672DCD"/>
    <w:rsid w:val="00675C8D"/>
    <w:rsid w:val="006A77E1"/>
    <w:rsid w:val="006B11D5"/>
    <w:rsid w:val="006D6780"/>
    <w:rsid w:val="006F012E"/>
    <w:rsid w:val="0070397A"/>
    <w:rsid w:val="00716313"/>
    <w:rsid w:val="007229D1"/>
    <w:rsid w:val="00727A09"/>
    <w:rsid w:val="00745BD9"/>
    <w:rsid w:val="007548DB"/>
    <w:rsid w:val="00762101"/>
    <w:rsid w:val="00794B63"/>
    <w:rsid w:val="007A1F29"/>
    <w:rsid w:val="007A6645"/>
    <w:rsid w:val="007C6B51"/>
    <w:rsid w:val="007D773D"/>
    <w:rsid w:val="007E2707"/>
    <w:rsid w:val="007E6171"/>
    <w:rsid w:val="007F2539"/>
    <w:rsid w:val="00807B52"/>
    <w:rsid w:val="00807E70"/>
    <w:rsid w:val="008305C9"/>
    <w:rsid w:val="00855B42"/>
    <w:rsid w:val="00883AA5"/>
    <w:rsid w:val="00891CDD"/>
    <w:rsid w:val="00895C23"/>
    <w:rsid w:val="008B1541"/>
    <w:rsid w:val="008C5283"/>
    <w:rsid w:val="008E338B"/>
    <w:rsid w:val="008E5F91"/>
    <w:rsid w:val="008F0457"/>
    <w:rsid w:val="008F36C6"/>
    <w:rsid w:val="00903248"/>
    <w:rsid w:val="00903364"/>
    <w:rsid w:val="00904EC5"/>
    <w:rsid w:val="0090654B"/>
    <w:rsid w:val="00941A95"/>
    <w:rsid w:val="009537B4"/>
    <w:rsid w:val="0098180C"/>
    <w:rsid w:val="009876D4"/>
    <w:rsid w:val="009A1A84"/>
    <w:rsid w:val="009B785A"/>
    <w:rsid w:val="009C003D"/>
    <w:rsid w:val="009C30F4"/>
    <w:rsid w:val="009C3562"/>
    <w:rsid w:val="009E4B97"/>
    <w:rsid w:val="009F44A9"/>
    <w:rsid w:val="00A06D5E"/>
    <w:rsid w:val="00A113AF"/>
    <w:rsid w:val="00A1698C"/>
    <w:rsid w:val="00A46CBD"/>
    <w:rsid w:val="00A54020"/>
    <w:rsid w:val="00A561BD"/>
    <w:rsid w:val="00A86280"/>
    <w:rsid w:val="00AA03F6"/>
    <w:rsid w:val="00AA2948"/>
    <w:rsid w:val="00AA4AD0"/>
    <w:rsid w:val="00AB3472"/>
    <w:rsid w:val="00AD2B7C"/>
    <w:rsid w:val="00AE0FDD"/>
    <w:rsid w:val="00B2594F"/>
    <w:rsid w:val="00B3013D"/>
    <w:rsid w:val="00B74F0F"/>
    <w:rsid w:val="00B76EBF"/>
    <w:rsid w:val="00BA25CE"/>
    <w:rsid w:val="00BB4956"/>
    <w:rsid w:val="00BB6157"/>
    <w:rsid w:val="00BC29E8"/>
    <w:rsid w:val="00BC6313"/>
    <w:rsid w:val="00BD5B8D"/>
    <w:rsid w:val="00BD67ED"/>
    <w:rsid w:val="00BE3EEA"/>
    <w:rsid w:val="00C206B8"/>
    <w:rsid w:val="00C270E8"/>
    <w:rsid w:val="00C30154"/>
    <w:rsid w:val="00C41181"/>
    <w:rsid w:val="00C412B8"/>
    <w:rsid w:val="00C47A88"/>
    <w:rsid w:val="00C47CFD"/>
    <w:rsid w:val="00C54921"/>
    <w:rsid w:val="00C63497"/>
    <w:rsid w:val="00CA2E41"/>
    <w:rsid w:val="00CA7C7D"/>
    <w:rsid w:val="00CC6A2D"/>
    <w:rsid w:val="00CD0AD4"/>
    <w:rsid w:val="00CD326F"/>
    <w:rsid w:val="00CD4065"/>
    <w:rsid w:val="00CE01CC"/>
    <w:rsid w:val="00D01665"/>
    <w:rsid w:val="00D026C8"/>
    <w:rsid w:val="00D02B81"/>
    <w:rsid w:val="00D04283"/>
    <w:rsid w:val="00D0779A"/>
    <w:rsid w:val="00D135F4"/>
    <w:rsid w:val="00D438CF"/>
    <w:rsid w:val="00D475BE"/>
    <w:rsid w:val="00D6128F"/>
    <w:rsid w:val="00D622E8"/>
    <w:rsid w:val="00D91191"/>
    <w:rsid w:val="00D93C65"/>
    <w:rsid w:val="00DB339E"/>
    <w:rsid w:val="00DB3AA4"/>
    <w:rsid w:val="00DB4E51"/>
    <w:rsid w:val="00DB7FE0"/>
    <w:rsid w:val="00DF693F"/>
    <w:rsid w:val="00E30FAC"/>
    <w:rsid w:val="00E51328"/>
    <w:rsid w:val="00E535B9"/>
    <w:rsid w:val="00E56AEA"/>
    <w:rsid w:val="00E65AE0"/>
    <w:rsid w:val="00E848EC"/>
    <w:rsid w:val="00E8593C"/>
    <w:rsid w:val="00EA431B"/>
    <w:rsid w:val="00EB4672"/>
    <w:rsid w:val="00ED21F1"/>
    <w:rsid w:val="00ED671A"/>
    <w:rsid w:val="00EE231A"/>
    <w:rsid w:val="00EF29ED"/>
    <w:rsid w:val="00EF4698"/>
    <w:rsid w:val="00EF4EEF"/>
    <w:rsid w:val="00F059ED"/>
    <w:rsid w:val="00F146EB"/>
    <w:rsid w:val="00F1537A"/>
    <w:rsid w:val="00F22626"/>
    <w:rsid w:val="00F242EA"/>
    <w:rsid w:val="00F3132C"/>
    <w:rsid w:val="00F36EB4"/>
    <w:rsid w:val="00F37788"/>
    <w:rsid w:val="00F403F6"/>
    <w:rsid w:val="00F408F7"/>
    <w:rsid w:val="00F43BF7"/>
    <w:rsid w:val="00F4594D"/>
    <w:rsid w:val="00F52883"/>
    <w:rsid w:val="00F67333"/>
    <w:rsid w:val="00F76B43"/>
    <w:rsid w:val="00F77178"/>
    <w:rsid w:val="00F779B9"/>
    <w:rsid w:val="00F87321"/>
    <w:rsid w:val="00F90789"/>
    <w:rsid w:val="00FA2F75"/>
    <w:rsid w:val="00FB5855"/>
    <w:rsid w:val="00FC3506"/>
    <w:rsid w:val="00FD5316"/>
    <w:rsid w:val="00FE4CC2"/>
    <w:rsid w:val="00FE5424"/>
    <w:rsid w:val="00FE742B"/>
    <w:rsid w:val="00FF2CAA"/>
    <w:rsid w:val="00FF305A"/>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78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2E41"/>
    <w:pPr>
      <w:tabs>
        <w:tab w:val="left" w:pos="567"/>
      </w:tabs>
      <w:spacing w:after="0" w:line="240" w:lineRule="auto"/>
    </w:pPr>
    <w:rPr>
      <w:rFonts w:ascii="Times New Roman" w:eastAsia="Calibri" w:hAnsi="Times New Roman" w:cs="Times New Roman"/>
      <w:sz w:val="24"/>
      <w:lang w:eastAsia="lt-LT"/>
    </w:rPr>
  </w:style>
  <w:style w:type="paragraph" w:styleId="Antrat1">
    <w:name w:val="heading 1"/>
    <w:basedOn w:val="prastasis"/>
    <w:next w:val="prastasis"/>
    <w:link w:val="Antrat1Diagrama"/>
    <w:qFormat/>
    <w:rsid w:val="00CA2E4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nhideWhenUsed/>
    <w:qFormat/>
    <w:rsid w:val="00DB3AA4"/>
    <w:pPr>
      <w:keepNext/>
      <w:outlineLvl w:val="1"/>
    </w:pPr>
    <w:rPr>
      <w:b/>
      <w:sz w:val="22"/>
      <w:szCs w:val="20"/>
    </w:rPr>
  </w:style>
  <w:style w:type="paragraph" w:styleId="Antrat3">
    <w:name w:val="heading 3"/>
    <w:basedOn w:val="prastasis"/>
    <w:next w:val="prastasis"/>
    <w:link w:val="Antrat3Diagrama"/>
    <w:autoRedefine/>
    <w:unhideWhenUsed/>
    <w:qFormat/>
    <w:rsid w:val="00DB3AA4"/>
    <w:pPr>
      <w:keepNext/>
      <w:pBdr>
        <w:top w:val="single" w:sz="4" w:space="1" w:color="auto"/>
        <w:left w:val="single" w:sz="4" w:space="4" w:color="auto"/>
        <w:bottom w:val="single" w:sz="4" w:space="1" w:color="auto"/>
        <w:right w:val="single" w:sz="4" w:space="4" w:color="auto"/>
      </w:pBdr>
      <w:ind w:left="540" w:hanging="540"/>
      <w:outlineLvl w:val="2"/>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A2E41"/>
    <w:rPr>
      <w:rFonts w:ascii="Arial" w:eastAsia="Calibri" w:hAnsi="Arial" w:cs="Arial"/>
      <w:b/>
      <w:bCs/>
      <w:kern w:val="32"/>
      <w:sz w:val="32"/>
      <w:szCs w:val="32"/>
      <w:lang w:eastAsia="lt-LT"/>
    </w:rPr>
  </w:style>
  <w:style w:type="character" w:customStyle="1" w:styleId="Antrat2Diagrama">
    <w:name w:val="Antraštė 2 Diagrama"/>
    <w:basedOn w:val="Numatytasispastraiposriftas"/>
    <w:link w:val="Antrat2"/>
    <w:rsid w:val="00CA2E41"/>
    <w:rPr>
      <w:rFonts w:ascii="Times New Roman" w:eastAsia="Calibri" w:hAnsi="Times New Roman" w:cs="Times New Roman"/>
      <w:b/>
      <w:szCs w:val="20"/>
      <w:lang w:eastAsia="lt-LT"/>
    </w:rPr>
  </w:style>
  <w:style w:type="character" w:customStyle="1" w:styleId="Antrat3Diagrama">
    <w:name w:val="Antraštė 3 Diagrama"/>
    <w:basedOn w:val="Numatytasispastraiposriftas"/>
    <w:link w:val="Antrat3"/>
    <w:rsid w:val="00CA2E41"/>
    <w:rPr>
      <w:rFonts w:ascii="Times New Roman" w:eastAsia="Calibri" w:hAnsi="Times New Roman" w:cs="Times New Roman"/>
      <w:b/>
      <w:szCs w:val="20"/>
      <w:lang w:eastAsia="lt-LT"/>
    </w:rPr>
  </w:style>
  <w:style w:type="character" w:styleId="Hipersaitas">
    <w:name w:val="Hyperlink"/>
    <w:unhideWhenUsed/>
    <w:rsid w:val="00DB3AA4"/>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CA2E41"/>
    <w:rPr>
      <w:color w:val="954F72" w:themeColor="followedHyperlink"/>
      <w:u w:val="single"/>
    </w:rPr>
  </w:style>
  <w:style w:type="paragraph" w:customStyle="1" w:styleId="msonormal0">
    <w:name w:val="msonormal"/>
    <w:basedOn w:val="prastasis"/>
    <w:rsid w:val="00CA2E41"/>
    <w:pPr>
      <w:tabs>
        <w:tab w:val="clear" w:pos="567"/>
      </w:tabs>
      <w:spacing w:before="100" w:beforeAutospacing="1" w:after="100" w:afterAutospacing="1"/>
    </w:pPr>
    <w:rPr>
      <w:rFonts w:eastAsia="Times New Roman"/>
      <w:szCs w:val="24"/>
    </w:rPr>
  </w:style>
  <w:style w:type="paragraph" w:styleId="Komentarotekstas">
    <w:name w:val="annotation text"/>
    <w:basedOn w:val="prastasis"/>
    <w:link w:val="KomentarotekstasDiagrama"/>
    <w:unhideWhenUsed/>
    <w:rsid w:val="00DB3AA4"/>
    <w:rPr>
      <w:sz w:val="20"/>
      <w:szCs w:val="20"/>
    </w:rPr>
  </w:style>
  <w:style w:type="character" w:customStyle="1" w:styleId="KomentarotekstasDiagrama">
    <w:name w:val="Komentaro tekstas Diagrama"/>
    <w:basedOn w:val="Numatytasispastraiposriftas"/>
    <w:link w:val="Komentarotekstas"/>
    <w:rsid w:val="00CA2E41"/>
    <w:rPr>
      <w:rFonts w:ascii="Times New Roman" w:eastAsia="Calibri" w:hAnsi="Times New Roman" w:cs="Times New Roman"/>
      <w:sz w:val="20"/>
      <w:szCs w:val="20"/>
      <w:lang w:eastAsia="lt-LT"/>
    </w:rPr>
  </w:style>
  <w:style w:type="paragraph" w:styleId="Dokumentoinaostekstas">
    <w:name w:val="endnote text"/>
    <w:basedOn w:val="prastasis"/>
    <w:next w:val="prastasis"/>
    <w:link w:val="DokumentoinaostekstasDiagrama"/>
    <w:semiHidden/>
    <w:unhideWhenUsed/>
    <w:rsid w:val="00DB3AA4"/>
    <w:pPr>
      <w:widowControl w:val="0"/>
      <w:adjustRightInd w:val="0"/>
      <w:spacing w:line="360" w:lineRule="atLeast"/>
      <w:jc w:val="both"/>
    </w:pPr>
    <w:rPr>
      <w:sz w:val="22"/>
      <w:szCs w:val="20"/>
      <w:lang w:val="cs-CZ" w:eastAsia="en-US"/>
    </w:rPr>
  </w:style>
  <w:style w:type="character" w:customStyle="1" w:styleId="DokumentoinaostekstasDiagrama">
    <w:name w:val="Dokumento išnašos tekstas Diagrama"/>
    <w:basedOn w:val="Numatytasispastraiposriftas"/>
    <w:link w:val="Dokumentoinaostekstas"/>
    <w:semiHidden/>
    <w:rsid w:val="00CA2E41"/>
    <w:rPr>
      <w:rFonts w:ascii="Times New Roman" w:eastAsia="Calibri" w:hAnsi="Times New Roman" w:cs="Times New Roman"/>
      <w:szCs w:val="20"/>
      <w:lang w:val="cs-CZ"/>
    </w:rPr>
  </w:style>
  <w:style w:type="paragraph" w:styleId="Pagrindinistekstas">
    <w:name w:val="Body Text"/>
    <w:basedOn w:val="prastasis"/>
    <w:link w:val="PagrindinistekstasDiagrama"/>
    <w:unhideWhenUsed/>
    <w:rsid w:val="00DB3AA4"/>
    <w:pPr>
      <w:spacing w:after="120"/>
    </w:pPr>
    <w:rPr>
      <w:sz w:val="22"/>
      <w:szCs w:val="20"/>
    </w:rPr>
  </w:style>
  <w:style w:type="character" w:customStyle="1" w:styleId="PagrindinistekstasDiagrama">
    <w:name w:val="Pagrindinis tekstas Diagrama"/>
    <w:basedOn w:val="Numatytasispastraiposriftas"/>
    <w:link w:val="Pagrindinistekstas"/>
    <w:rsid w:val="00CA2E41"/>
    <w:rPr>
      <w:rFonts w:ascii="Times New Roman" w:eastAsia="Calibri" w:hAnsi="Times New Roman" w:cs="Times New Roman"/>
      <w:szCs w:val="20"/>
      <w:lang w:eastAsia="lt-LT"/>
    </w:rPr>
  </w:style>
  <w:style w:type="paragraph" w:styleId="Paprastasistekstas">
    <w:name w:val="Plain Text"/>
    <w:basedOn w:val="prastasis"/>
    <w:link w:val="PaprastasistekstasDiagrama"/>
    <w:uiPriority w:val="99"/>
    <w:unhideWhenUsed/>
    <w:rsid w:val="00DB3AA4"/>
    <w:pPr>
      <w:tabs>
        <w:tab w:val="clear" w:pos="567"/>
      </w:tabs>
    </w:pPr>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CA2E41"/>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nhideWhenUsed/>
    <w:rsid w:val="00DB3AA4"/>
    <w:rPr>
      <w:b/>
      <w:bCs/>
    </w:rPr>
  </w:style>
  <w:style w:type="character" w:customStyle="1" w:styleId="KomentarotemaDiagrama">
    <w:name w:val="Komentaro tema Diagrama"/>
    <w:basedOn w:val="KomentarotekstasDiagrama"/>
    <w:link w:val="Komentarotema"/>
    <w:rsid w:val="00CA2E41"/>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semiHidden/>
    <w:unhideWhenUsed/>
    <w:rsid w:val="00DB3A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A2E41"/>
    <w:rPr>
      <w:rFonts w:ascii="Tahoma" w:eastAsia="Calibri" w:hAnsi="Tahoma" w:cs="Tahoma"/>
      <w:sz w:val="16"/>
      <w:szCs w:val="16"/>
      <w:lang w:eastAsia="lt-LT"/>
    </w:rPr>
  </w:style>
  <w:style w:type="paragraph" w:styleId="Sraopastraipa">
    <w:name w:val="List Paragraph"/>
    <w:basedOn w:val="prastasis"/>
    <w:uiPriority w:val="34"/>
    <w:qFormat/>
    <w:rsid w:val="00CA2E41"/>
    <w:pPr>
      <w:ind w:left="720"/>
      <w:contextualSpacing/>
    </w:pPr>
  </w:style>
  <w:style w:type="paragraph" w:customStyle="1" w:styleId="Text">
    <w:name w:val="Text"/>
    <w:basedOn w:val="prastasis"/>
    <w:rsid w:val="00CA2E41"/>
    <w:pPr>
      <w:spacing w:line="312" w:lineRule="exact"/>
    </w:pPr>
    <w:rPr>
      <w:rFonts w:ascii="Times" w:hAnsi="Times"/>
      <w:szCs w:val="20"/>
      <w:lang w:val="en-GB" w:eastAsia="en-US"/>
    </w:rPr>
  </w:style>
  <w:style w:type="character" w:customStyle="1" w:styleId="BTEMEASMCAChar">
    <w:name w:val="BT EMEA_SMCA Char"/>
    <w:link w:val="BTEMEASMCA"/>
    <w:locked/>
    <w:rsid w:val="00F76B43"/>
    <w:rPr>
      <w:rFonts w:ascii="Times New Roman" w:hAnsi="Times New Roman" w:cs="Times New Roman"/>
      <w:noProof/>
    </w:rPr>
  </w:style>
  <w:style w:type="paragraph" w:customStyle="1" w:styleId="BTEMEASMCA">
    <w:name w:val="BT EMEA_SMCA"/>
    <w:basedOn w:val="prastasis"/>
    <w:link w:val="BTEMEASMCAChar"/>
    <w:autoRedefine/>
    <w:rsid w:val="00F76B43"/>
    <w:rPr>
      <w:rFonts w:eastAsiaTheme="minorHAnsi"/>
      <w:noProof/>
      <w:sz w:val="22"/>
      <w:lang w:eastAsia="en-US"/>
    </w:rPr>
  </w:style>
  <w:style w:type="paragraph" w:customStyle="1" w:styleId="BTAnIIEMEASMCA">
    <w:name w:val="BT(AnII) EMEA_SMCA"/>
    <w:basedOn w:val="Debesliotekstas"/>
    <w:autoRedefine/>
    <w:rsid w:val="00716313"/>
    <w:pPr>
      <w:tabs>
        <w:tab w:val="clear" w:pos="567"/>
      </w:tabs>
      <w:ind w:left="2700" w:hanging="900"/>
      <w:jc w:val="both"/>
    </w:pPr>
    <w:rPr>
      <w:rFonts w:ascii="Times New Roman" w:hAnsi="Times New Roman"/>
      <w:b/>
      <w:sz w:val="22"/>
      <w:szCs w:val="22"/>
      <w:lang w:val="en-GB" w:eastAsia="en-US"/>
    </w:rPr>
  </w:style>
  <w:style w:type="paragraph" w:customStyle="1" w:styleId="BTuEMEASMCA">
    <w:name w:val="BT(u) EMEA_SMCA"/>
    <w:basedOn w:val="BTEMEASMCA"/>
    <w:autoRedefine/>
    <w:rsid w:val="00CA2E41"/>
    <w:rPr>
      <w:u w:val="single"/>
    </w:rPr>
  </w:style>
  <w:style w:type="paragraph" w:customStyle="1" w:styleId="listindentbull">
    <w:name w:val="list:indent bull"/>
    <w:rsid w:val="00CA2E41"/>
    <w:pPr>
      <w:tabs>
        <w:tab w:val="left" w:pos="567"/>
      </w:tabs>
      <w:spacing w:after="0" w:line="240" w:lineRule="auto"/>
      <w:ind w:left="567" w:hanging="567"/>
    </w:pPr>
    <w:rPr>
      <w:rFonts w:ascii="Times New Roman" w:eastAsia="Calibri" w:hAnsi="Times New Roman" w:cs="Times New Roman"/>
      <w:sz w:val="24"/>
      <w:szCs w:val="20"/>
      <w:lang w:val="en-GB"/>
    </w:rPr>
  </w:style>
  <w:style w:type="character" w:customStyle="1" w:styleId="tablerefChar">
    <w:name w:val="table:ref Char"/>
    <w:link w:val="tableref"/>
    <w:locked/>
    <w:rsid w:val="00CA2E41"/>
    <w:rPr>
      <w:rFonts w:ascii="Arial Narrow" w:eastAsia="Times New Roman" w:hAnsi="Arial Narrow" w:cs="Times New Roman"/>
      <w:sz w:val="20"/>
      <w:szCs w:val="20"/>
      <w:lang w:val="en-GB" w:eastAsia="lt-LT"/>
    </w:rPr>
  </w:style>
  <w:style w:type="paragraph" w:customStyle="1" w:styleId="tableref">
    <w:name w:val="table:ref"/>
    <w:basedOn w:val="prastasis"/>
    <w:link w:val="tablerefChar"/>
    <w:rsid w:val="00CA2E41"/>
    <w:pPr>
      <w:numPr>
        <w:numId w:val="1"/>
      </w:numPr>
      <w:tabs>
        <w:tab w:val="clear" w:pos="567"/>
        <w:tab w:val="left" w:pos="360"/>
      </w:tabs>
      <w:ind w:left="360" w:hanging="360"/>
    </w:pPr>
    <w:rPr>
      <w:rFonts w:ascii="Arial Narrow" w:eastAsia="Times New Roman" w:hAnsi="Arial Narrow"/>
      <w:sz w:val="20"/>
      <w:szCs w:val="20"/>
      <w:lang w:val="en-GB"/>
    </w:rPr>
  </w:style>
  <w:style w:type="paragraph" w:customStyle="1" w:styleId="tabletext">
    <w:name w:val="table:text"/>
    <w:basedOn w:val="prastasis"/>
    <w:rsid w:val="00CA2E41"/>
    <w:pPr>
      <w:tabs>
        <w:tab w:val="clear" w:pos="567"/>
      </w:tabs>
      <w:spacing w:before="120" w:after="120"/>
    </w:pPr>
    <w:rPr>
      <w:rFonts w:ascii="Arial Narrow" w:hAnsi="Arial Narrow" w:cs="Arial Narrow"/>
      <w:szCs w:val="24"/>
      <w:lang w:val="en-GB" w:eastAsia="en-US"/>
    </w:rPr>
  </w:style>
  <w:style w:type="character" w:customStyle="1" w:styleId="TTEMEASMCAChar">
    <w:name w:val="TT EMEA_SMCA Char"/>
    <w:link w:val="TTEMEASMCA"/>
    <w:locked/>
    <w:rsid w:val="00CA2E41"/>
    <w:rPr>
      <w:rFonts w:ascii="Times New Roman" w:eastAsia="Times New Roman" w:hAnsi="Times New Roman" w:cs="Times New Roman"/>
      <w:b/>
      <w:caps/>
      <w:sz w:val="20"/>
      <w:szCs w:val="20"/>
      <w:lang w:val="en-US" w:eastAsia="lt-LT"/>
    </w:rPr>
  </w:style>
  <w:style w:type="paragraph" w:customStyle="1" w:styleId="TTEMEASMCA">
    <w:name w:val="TT EMEA_SMCA"/>
    <w:basedOn w:val="Antrat1"/>
    <w:link w:val="TTEMEASMCAChar"/>
    <w:autoRedefine/>
    <w:rsid w:val="00CA2E41"/>
    <w:pPr>
      <w:keepNext w:val="0"/>
      <w:spacing w:before="0" w:after="0"/>
      <w:ind w:left="567" w:hanging="567"/>
      <w:jc w:val="center"/>
    </w:pPr>
    <w:rPr>
      <w:rFonts w:ascii="Times New Roman" w:eastAsia="Times New Roman" w:hAnsi="Times New Roman" w:cs="Times New Roman"/>
      <w:bCs w:val="0"/>
      <w:caps/>
      <w:kern w:val="0"/>
      <w:sz w:val="20"/>
      <w:szCs w:val="20"/>
      <w:lang w:val="en-US"/>
    </w:rPr>
  </w:style>
  <w:style w:type="paragraph" w:customStyle="1" w:styleId="listssp">
    <w:name w:val="list:ssp"/>
    <w:basedOn w:val="prastasis"/>
    <w:rsid w:val="00DB3AA4"/>
    <w:pPr>
      <w:widowControl w:val="0"/>
      <w:tabs>
        <w:tab w:val="clear" w:pos="567"/>
      </w:tabs>
      <w:adjustRightInd w:val="0"/>
      <w:spacing w:line="360" w:lineRule="atLeast"/>
      <w:jc w:val="both"/>
    </w:pPr>
    <w:rPr>
      <w:szCs w:val="20"/>
      <w:lang w:val="en-GB" w:eastAsia="en-US"/>
    </w:rPr>
  </w:style>
  <w:style w:type="paragraph" w:customStyle="1" w:styleId="Default">
    <w:name w:val="Default"/>
    <w:rsid w:val="00CA2E41"/>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Pataisymai1">
    <w:name w:val="Pataisymai1"/>
    <w:uiPriority w:val="99"/>
    <w:semiHidden/>
    <w:rsid w:val="00DB3AA4"/>
    <w:pPr>
      <w:spacing w:after="0" w:line="240" w:lineRule="auto"/>
    </w:pPr>
    <w:rPr>
      <w:rFonts w:ascii="Times New Roman" w:eastAsia="Calibri" w:hAnsi="Times New Roman" w:cs="Times New Roman"/>
      <w:sz w:val="24"/>
      <w:lang w:eastAsia="lt-LT"/>
    </w:rPr>
  </w:style>
  <w:style w:type="character" w:customStyle="1" w:styleId="captiontableChar">
    <w:name w:val="caption:table Char"/>
    <w:link w:val="captiontable"/>
    <w:uiPriority w:val="99"/>
    <w:locked/>
    <w:rsid w:val="00CA2E41"/>
    <w:rPr>
      <w:rFonts w:ascii="Arial" w:eastAsia="Times New Roman" w:hAnsi="Arial" w:cs="Times New Roman"/>
      <w:b/>
      <w:szCs w:val="20"/>
      <w:lang w:val="en-GB"/>
    </w:rPr>
  </w:style>
  <w:style w:type="paragraph" w:customStyle="1" w:styleId="captiontable">
    <w:name w:val="caption:table"/>
    <w:basedOn w:val="prastasis"/>
    <w:next w:val="prastasis"/>
    <w:link w:val="captiontableChar"/>
    <w:uiPriority w:val="99"/>
    <w:qFormat/>
    <w:rsid w:val="00CA2E41"/>
    <w:pPr>
      <w:keepNext/>
      <w:tabs>
        <w:tab w:val="clear" w:pos="567"/>
      </w:tabs>
      <w:spacing w:after="240"/>
      <w:ind w:left="1440" w:hanging="1440"/>
    </w:pPr>
    <w:rPr>
      <w:rFonts w:ascii="Arial" w:eastAsia="Times New Roman" w:hAnsi="Arial"/>
      <w:b/>
      <w:sz w:val="22"/>
      <w:szCs w:val="20"/>
      <w:lang w:val="en-GB" w:eastAsia="en-US"/>
    </w:rPr>
  </w:style>
  <w:style w:type="character" w:customStyle="1" w:styleId="tabletextNSChar">
    <w:name w:val="table:textNS Char"/>
    <w:link w:val="tabletextNS"/>
    <w:locked/>
    <w:rsid w:val="00CA2E41"/>
    <w:rPr>
      <w:rFonts w:ascii="Arial Narrow" w:eastAsia="Times New Roman" w:hAnsi="Arial Narrow" w:cs="Times New Roman"/>
      <w:sz w:val="24"/>
      <w:szCs w:val="20"/>
      <w:lang w:val="en-GB"/>
    </w:rPr>
  </w:style>
  <w:style w:type="paragraph" w:customStyle="1" w:styleId="tabletextNS">
    <w:name w:val="table:textNS"/>
    <w:basedOn w:val="prastasis"/>
    <w:link w:val="tabletextNSChar"/>
    <w:qFormat/>
    <w:rsid w:val="00CA2E41"/>
    <w:pPr>
      <w:tabs>
        <w:tab w:val="clear" w:pos="567"/>
      </w:tabs>
    </w:pPr>
    <w:rPr>
      <w:rFonts w:ascii="Arial Narrow" w:eastAsia="Times New Roman" w:hAnsi="Arial Narrow"/>
      <w:szCs w:val="20"/>
      <w:lang w:val="en-GB" w:eastAsia="en-US"/>
    </w:rPr>
  </w:style>
  <w:style w:type="character" w:styleId="Komentaronuoroda">
    <w:name w:val="annotation reference"/>
    <w:unhideWhenUsed/>
    <w:rsid w:val="00DB3AA4"/>
    <w:rPr>
      <w:rFonts w:ascii="Times New Roman" w:hAnsi="Times New Roman" w:cs="Times New Roman" w:hint="default"/>
      <w:sz w:val="16"/>
      <w:szCs w:val="16"/>
    </w:rPr>
  </w:style>
  <w:style w:type="character" w:customStyle="1" w:styleId="CharChar2">
    <w:name w:val="Char Char2"/>
    <w:locked/>
    <w:rsid w:val="00CA2E41"/>
    <w:rPr>
      <w:rFonts w:ascii="Times New Roman" w:hAnsi="Times New Roman" w:cs="Times New Roman" w:hint="default"/>
      <w:sz w:val="22"/>
      <w:lang w:val="lt-LT" w:eastAsia="lt-LT" w:bidi="ar-SA"/>
    </w:rPr>
  </w:style>
  <w:style w:type="character" w:customStyle="1" w:styleId="CharChar1">
    <w:name w:val="Char Char1"/>
    <w:locked/>
    <w:rsid w:val="00CA2E41"/>
    <w:rPr>
      <w:rFonts w:ascii="Times New Roman" w:hAnsi="Times New Roman" w:cs="Times New Roman" w:hint="default"/>
      <w:lang w:val="lt-LT" w:eastAsia="lt-LT" w:bidi="ar-SA"/>
    </w:rPr>
  </w:style>
  <w:style w:type="character" w:customStyle="1" w:styleId="CharChar">
    <w:name w:val="Char Char"/>
    <w:locked/>
    <w:rsid w:val="00CA2E41"/>
    <w:rPr>
      <w:rFonts w:ascii="Times New Roman" w:hAnsi="Times New Roman" w:cs="Times New Roman" w:hint="default"/>
      <w:b/>
      <w:bCs/>
      <w:lang w:val="lt-LT" w:eastAsia="lt-LT" w:bidi="ar-SA"/>
    </w:rPr>
  </w:style>
  <w:style w:type="table" w:styleId="Lentelstinklelis">
    <w:name w:val="Table Grid"/>
    <w:basedOn w:val="prastojilentel"/>
    <w:uiPriority w:val="59"/>
    <w:rsid w:val="00CA2E41"/>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B3AA4"/>
    <w:pPr>
      <w:spacing w:after="0" w:line="240" w:lineRule="auto"/>
    </w:pPr>
    <w:rPr>
      <w:rFonts w:ascii="Times New Roman" w:eastAsia="Calibri" w:hAnsi="Times New Roman" w:cs="Times New Roman"/>
      <w:sz w:val="24"/>
      <w:lang w:eastAsia="lt-LT"/>
    </w:rPr>
  </w:style>
  <w:style w:type="paragraph" w:styleId="Antrats">
    <w:name w:val="header"/>
    <w:basedOn w:val="prastasis"/>
    <w:link w:val="AntratsDiagrama"/>
    <w:uiPriority w:val="99"/>
    <w:unhideWhenUsed/>
    <w:rsid w:val="003B6282"/>
    <w:pPr>
      <w:tabs>
        <w:tab w:val="clear" w:pos="567"/>
        <w:tab w:val="center" w:pos="4680"/>
        <w:tab w:val="right" w:pos="9360"/>
      </w:tabs>
    </w:pPr>
  </w:style>
  <w:style w:type="character" w:customStyle="1" w:styleId="AntratsDiagrama">
    <w:name w:val="Antraštės Diagrama"/>
    <w:basedOn w:val="Numatytasispastraiposriftas"/>
    <w:link w:val="Antrats"/>
    <w:uiPriority w:val="99"/>
    <w:rsid w:val="003B6282"/>
    <w:rPr>
      <w:rFonts w:ascii="Times New Roman" w:eastAsia="Calibri" w:hAnsi="Times New Roman" w:cs="Times New Roman"/>
      <w:sz w:val="24"/>
      <w:lang w:eastAsia="lt-LT"/>
    </w:rPr>
  </w:style>
  <w:style w:type="paragraph" w:styleId="Porat">
    <w:name w:val="footer"/>
    <w:basedOn w:val="prastasis"/>
    <w:link w:val="PoratDiagrama"/>
    <w:uiPriority w:val="99"/>
    <w:unhideWhenUsed/>
    <w:rsid w:val="003B6282"/>
    <w:pPr>
      <w:tabs>
        <w:tab w:val="clear" w:pos="567"/>
        <w:tab w:val="center" w:pos="4680"/>
        <w:tab w:val="right" w:pos="9360"/>
      </w:tabs>
    </w:pPr>
  </w:style>
  <w:style w:type="character" w:customStyle="1" w:styleId="PoratDiagrama">
    <w:name w:val="Poraštė Diagrama"/>
    <w:basedOn w:val="Numatytasispastraiposriftas"/>
    <w:link w:val="Porat"/>
    <w:uiPriority w:val="99"/>
    <w:rsid w:val="003B6282"/>
    <w:rPr>
      <w:rFonts w:ascii="Times New Roman" w:eastAsia="Calibri" w:hAnsi="Times New Roman" w:cs="Times New Roman"/>
      <w:sz w:val="24"/>
      <w:lang w:eastAsia="lt-LT"/>
    </w:rPr>
  </w:style>
  <w:style w:type="paragraph" w:styleId="Pavadinimas">
    <w:name w:val="Title"/>
    <w:basedOn w:val="prastasis"/>
    <w:next w:val="prastasis"/>
    <w:link w:val="PavadinimasDiagrama"/>
    <w:uiPriority w:val="10"/>
    <w:qFormat/>
    <w:rsid w:val="00D622E8"/>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22E8"/>
    <w:rPr>
      <w:rFonts w:asciiTheme="majorHAnsi" w:eastAsiaTheme="majorEastAsia" w:hAnsiTheme="majorHAnsi" w:cstheme="majorBidi"/>
      <w:spacing w:val="-10"/>
      <w:kern w:val="28"/>
      <w:sz w:val="56"/>
      <w:szCs w:val="5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5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19b81c-7741-43a1-a797-406b33cb84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8D01C7CEC0904FBF56947406E0046D" ma:contentTypeVersion="14" ma:contentTypeDescription="Create a new document." ma:contentTypeScope="" ma:versionID="8234c9a67b8bc0faf46a822ddb23bd56">
  <xsd:schema xmlns:xsd="http://www.w3.org/2001/XMLSchema" xmlns:xs="http://www.w3.org/2001/XMLSchema" xmlns:p="http://schemas.microsoft.com/office/2006/metadata/properties" xmlns:ns3="5d19b81c-7741-43a1-a797-406b33cb84ed" xmlns:ns4="a4d4eee5-62fc-4bf5-9f02-8ed772b84c43" targetNamespace="http://schemas.microsoft.com/office/2006/metadata/properties" ma:root="true" ma:fieldsID="ecd3212f56ca166d33ec9ecb73603187" ns3:_="" ns4:_="">
    <xsd:import namespace="5d19b81c-7741-43a1-a797-406b33cb84ed"/>
    <xsd:import namespace="a4d4eee5-62fc-4bf5-9f02-8ed772b84c4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4:SharedWithUsers" minOccurs="0"/>
                <xsd:element ref="ns4:SharedWithDetails" minOccurs="0"/>
                <xsd:element ref="ns4:SharingHintHash"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9b81c-7741-43a1-a797-406b33cb8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eee5-62fc-4bf5-9f02-8ed772b84c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60801-F895-4041-A20C-FC4496C90374}">
  <ds:schemaRefs>
    <ds:schemaRef ds:uri="http://schemas.microsoft.com/sharepoint/v3/contenttype/forms"/>
  </ds:schemaRefs>
</ds:datastoreItem>
</file>

<file path=customXml/itemProps2.xml><?xml version="1.0" encoding="utf-8"?>
<ds:datastoreItem xmlns:ds="http://schemas.openxmlformats.org/officeDocument/2006/customXml" ds:itemID="{4B197848-BFC8-43B1-ADE2-8C1BB3B8A691}">
  <ds:schemaRefs>
    <ds:schemaRef ds:uri="http://schemas.microsoft.com/office/2006/metadata/properties"/>
    <ds:schemaRef ds:uri="http://schemas.microsoft.com/office/infopath/2007/PartnerControls"/>
    <ds:schemaRef ds:uri="5d19b81c-7741-43a1-a797-406b33cb84ed"/>
  </ds:schemaRefs>
</ds:datastoreItem>
</file>

<file path=customXml/itemProps3.xml><?xml version="1.0" encoding="utf-8"?>
<ds:datastoreItem xmlns:ds="http://schemas.openxmlformats.org/officeDocument/2006/customXml" ds:itemID="{F08A3372-E6F1-46D8-AC82-408DCDE50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9b81c-7741-43a1-a797-406b33cb84ed"/>
    <ds:schemaRef ds:uri="a4d4eee5-62fc-4bf5-9f02-8ed772b84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35628</Words>
  <Characters>20309</Characters>
  <Application>Microsoft Office Word</Application>
  <DocSecurity>4</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2026-03-09T09:04:00Z</dcterms:created>
  <dcterms:modified xsi:type="dcterms:W3CDTF">2026-03-09T09:04:00Z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0x010100518D01C7CEC0904FBF56947406E0046D</vt:lpwstr>
  </property>
</Properties>
</file>