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04" w:rsidRDefault="00750304" w:rsidP="0075030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Pakuotės lapelis: informacija vartotojui</w:t>
      </w:r>
    </w:p>
    <w:p w:rsidR="00750304" w:rsidRDefault="00750304" w:rsidP="00750304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2 mg/125 mg tabletės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hidrochloridas ir </w:t>
      </w:r>
      <w:proofErr w:type="spellStart"/>
      <w:r>
        <w:rPr>
          <w:rFonts w:ascii="Times New Roman" w:hAnsi="Times New Roman"/>
        </w:rPr>
        <w:t>simetikonas</w:t>
      </w:r>
      <w:proofErr w:type="spellEnd"/>
    </w:p>
    <w:p w:rsidR="00750304" w:rsidRDefault="00750304" w:rsidP="00750304">
      <w:p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750304" w:rsidRDefault="00750304" w:rsidP="007503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:rsidR="00750304" w:rsidRDefault="00750304" w:rsidP="007503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norite sužinoti daugiau arba pasitarti, kreipkitės į vaistininką.</w:t>
      </w:r>
    </w:p>
    <w:p w:rsidR="00750304" w:rsidRDefault="00750304" w:rsidP="007503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750304" w:rsidRDefault="00750304" w:rsidP="007503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per 2 dienas Jūsų savijauta nepagerėjo arba net pablogėjo, kreipkitės į gydytoją.</w:t>
      </w:r>
    </w:p>
    <w:p w:rsidR="00750304" w:rsidRDefault="00750304" w:rsidP="00750304">
      <w:p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ir kam jis vartojamas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Galimas šalutinis poveikis </w:t>
      </w:r>
    </w:p>
    <w:p w:rsidR="00750304" w:rsidRDefault="00750304" w:rsidP="00750304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284" w:right="-2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vartojama ūminio viduriavimo, lydimo padidėjusio dujų kaupimosi virškinimo trakte, pilvo pūtimo ar spazmų, simptominiam gydymui.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per 2 dienas Jūsų savijauta nepagerėjo arba net pablogėjo, kreipkitės į gydytoją.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vartoti draudžiama: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>jeigu yra alergija veikliosioms medžiagoms arba bet kuriai pagalbinei šio vaisto medžiagai (jos išvardytos 6 skyriuje);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>vaikams ir paaugliams iki 12 metų;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>jeigu sergate ūmine dizenterija, kuriai yra būdingas karščiavimas ir kraujas išmatose;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sergate ūminiu opiniu kolitu (storosios žarnos uždegimu su </w:t>
      </w:r>
      <w:proofErr w:type="spellStart"/>
      <w:r>
        <w:rPr>
          <w:rFonts w:ascii="Times New Roman" w:hAnsi="Times New Roman"/>
        </w:rPr>
        <w:t>išopėjimais</w:t>
      </w:r>
      <w:proofErr w:type="spellEnd"/>
      <w:r>
        <w:rPr>
          <w:rFonts w:ascii="Times New Roman" w:hAnsi="Times New Roman"/>
        </w:rPr>
        <w:t>);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pradėjus viduriuoti vartojant antibiotikų ar nustojus jų vartoti (antibiotikų sukeltas </w:t>
      </w:r>
      <w:proofErr w:type="spellStart"/>
      <w:r>
        <w:rPr>
          <w:rFonts w:ascii="Times New Roman" w:hAnsi="Times New Roman"/>
        </w:rPr>
        <w:t>pseudomembraninis</w:t>
      </w:r>
      <w:proofErr w:type="spellEnd"/>
      <w:r>
        <w:rPr>
          <w:rFonts w:ascii="Times New Roman" w:hAnsi="Times New Roman"/>
        </w:rPr>
        <w:t xml:space="preserve"> kolitas).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sergate bakterinės kilmės </w:t>
      </w:r>
      <w:proofErr w:type="spellStart"/>
      <w:r>
        <w:rPr>
          <w:rFonts w:ascii="Times New Roman" w:hAnsi="Times New Roman"/>
        </w:rPr>
        <w:t>enterokolitu</w:t>
      </w:r>
      <w:proofErr w:type="spellEnd"/>
      <w:r>
        <w:rPr>
          <w:rFonts w:ascii="Times New Roman" w:hAnsi="Times New Roman"/>
        </w:rPr>
        <w:t xml:space="preserve">, sukeltu bakterijų, įskaitant </w:t>
      </w:r>
      <w:proofErr w:type="spellStart"/>
      <w:r>
        <w:rPr>
          <w:rFonts w:ascii="Times New Roman" w:hAnsi="Times New Roman"/>
          <w:i/>
        </w:rPr>
        <w:t>Shigella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Salmonella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Campylobacter</w:t>
      </w:r>
      <w:proofErr w:type="spellEnd"/>
      <w:r>
        <w:rPr>
          <w:rFonts w:ascii="Times New Roman" w:hAnsi="Times New Roman"/>
        </w:rPr>
        <w:t>;</w:t>
      </w:r>
    </w:p>
    <w:p w:rsidR="00750304" w:rsidRDefault="00750304" w:rsidP="00750304">
      <w:pPr>
        <w:numPr>
          <w:ilvl w:val="0"/>
          <w:numId w:val="1"/>
        </w:numPr>
        <w:tabs>
          <w:tab w:val="left" w:pos="567"/>
        </w:tabs>
        <w:spacing w:after="0" w:line="260" w:lineRule="exact"/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Jums draudžiama slopinti žarnų peristaltiką dėl galimos pavojingų pasekmių (žarnų nepraeinamumas, </w:t>
      </w:r>
      <w:proofErr w:type="spellStart"/>
      <w:r>
        <w:rPr>
          <w:rFonts w:ascii="Times New Roman" w:hAnsi="Times New Roman"/>
          <w:i/>
        </w:rPr>
        <w:t>megacolon</w:t>
      </w:r>
      <w:proofErr w:type="spellEnd"/>
      <w:r>
        <w:rPr>
          <w:rFonts w:ascii="Times New Roman" w:hAnsi="Times New Roman"/>
        </w:rPr>
        <w:t xml:space="preserve"> ar toksinė </w:t>
      </w:r>
      <w:proofErr w:type="spellStart"/>
      <w:r>
        <w:rPr>
          <w:rFonts w:ascii="Times New Roman" w:hAnsi="Times New Roman"/>
          <w:i/>
        </w:rPr>
        <w:t>megacolon</w:t>
      </w:r>
      <w:proofErr w:type="spellEnd"/>
      <w:r>
        <w:rPr>
          <w:rFonts w:ascii="Times New Roman" w:hAnsi="Times New Roman"/>
        </w:rPr>
        <w:t>) išsivystymo rizikos;</w:t>
      </w:r>
    </w:p>
    <w:p w:rsidR="00750304" w:rsidRDefault="00750304" w:rsidP="00750304">
      <w:p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>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ūminio viduriavimo metu per 48 valandas kliniškai nestebimas pagerėjimas,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vartojimą reikia nutraukti ir kreiptis į gydytoją.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Nors ir nėra duomenų apie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savybes pacientams, kurių kepenų funkcija sutrikusi, tokie pacientai turi atsargiai vartoti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>. Jeigu šiuo vaistu gydomi pacientai, kurių kepenų funkcija sutrikusi, gydytojas atidžiai stebės, ar neatsiranda toksinio poveikio centrinei nervų sistemai.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Jums yra sunkus kepenų funkcijos sutrikimas prieš vartodami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pasitarkite su gydytoju. 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Viduriavimo gydymas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yra tik simptominis. Kai tik galima nustatyti ligą sukėlusią priežastį, turi būti paskirtas specifinis gydymas, jeigu jo reikia.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Viduriuojantiems pacientams gali atsirasti skysčio ir elektrolitų trūkumas. Tokiais atvejais svarbiausia priemonė pakankamas skysčio vartojimas ir elektrolitų pakeičiamojo gydymo taikymas.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ŽIV sergantys pacientai, dėl viduriavimo vartojantys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>, gydymą juo turi nutraukti, vos tik pasireiškia pirmieji pilvo pūtimo požymiai, ir kreiptis į gydytoją.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Šio vaisto negalima vartoti kita nei numatyta paskirtimi (žr. 1 skyrių) ir vartoti didesnio nei rekomenduojama jo kiekio (žr. 3 skyrių). Gauta pranešimų apie sunkius širdies veiklos sutrikimus (jų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simptomai – pagreitėjęs arba nereguliarus širdies ritmas) pacientams, kurie išgėrė per daug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(veikliosios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medžiagos).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" w:hAnsi="Times New Roman"/>
          <w:b/>
        </w:rPr>
        <w:t>Aloper</w:t>
      </w:r>
      <w:proofErr w:type="spellEnd"/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750304" w:rsidRDefault="00750304" w:rsidP="007503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Būtinai pasakykite gydytojui, jei vartojate šių vaistų:</w:t>
      </w:r>
    </w:p>
    <w:p w:rsidR="00750304" w:rsidRDefault="00750304" w:rsidP="0075030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chinidino</w:t>
      </w:r>
      <w:proofErr w:type="spellEnd"/>
      <w:r>
        <w:rPr>
          <w:rFonts w:ascii="Times New Roman" w:hAnsi="Times New Roman"/>
        </w:rPr>
        <w:t xml:space="preserve"> (širdies ritmo sutrikimui gydyti);</w:t>
      </w:r>
    </w:p>
    <w:p w:rsidR="00750304" w:rsidRDefault="00750304" w:rsidP="0075030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ritonaviro</w:t>
      </w:r>
      <w:proofErr w:type="spellEnd"/>
      <w:r>
        <w:rPr>
          <w:rFonts w:ascii="Times New Roman" w:hAnsi="Times New Roman"/>
        </w:rPr>
        <w:t xml:space="preserve"> (vaisto nuo virusų, pvz., ŽIV);</w:t>
      </w:r>
    </w:p>
    <w:p w:rsidR="00750304" w:rsidRDefault="00750304" w:rsidP="0075030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itrakonazolo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ketokonazolo</w:t>
      </w:r>
      <w:proofErr w:type="spellEnd"/>
      <w:r>
        <w:rPr>
          <w:rFonts w:ascii="Times New Roman" w:hAnsi="Times New Roman"/>
        </w:rPr>
        <w:t xml:space="preserve"> (priešgrybelinių vaistų);</w:t>
      </w:r>
    </w:p>
    <w:p w:rsidR="00750304" w:rsidRDefault="00750304" w:rsidP="0075030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gemfibrozilio</w:t>
      </w:r>
      <w:proofErr w:type="spellEnd"/>
      <w:r>
        <w:rPr>
          <w:rFonts w:ascii="Times New Roman" w:hAnsi="Times New Roman"/>
        </w:rPr>
        <w:t xml:space="preserve"> (cholesterolio kiekiui mažinti);</w:t>
      </w:r>
    </w:p>
    <w:p w:rsidR="00750304" w:rsidRDefault="00750304" w:rsidP="0075030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geriamojo </w:t>
      </w:r>
      <w:proofErr w:type="spellStart"/>
      <w:r>
        <w:rPr>
          <w:rFonts w:ascii="Times New Roman" w:hAnsi="Times New Roman"/>
        </w:rPr>
        <w:t>desmopresino</w:t>
      </w:r>
      <w:proofErr w:type="spellEnd"/>
      <w:r>
        <w:rPr>
          <w:rFonts w:ascii="Times New Roman" w:hAnsi="Times New Roman"/>
        </w:rPr>
        <w:t xml:space="preserve"> (vaisto nuo pernelyg gausaus </w:t>
      </w:r>
      <w:proofErr w:type="spellStart"/>
      <w:r>
        <w:rPr>
          <w:rFonts w:ascii="Times New Roman" w:hAnsi="Times New Roman"/>
        </w:rPr>
        <w:t>šlapinimosi</w:t>
      </w:r>
      <w:proofErr w:type="spellEnd"/>
      <w:r>
        <w:rPr>
          <w:rFonts w:ascii="Times New Roman" w:hAnsi="Times New Roman"/>
        </w:rPr>
        <w:t>).</w:t>
      </w:r>
    </w:p>
    <w:p w:rsidR="00750304" w:rsidRDefault="00750304" w:rsidP="007503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Manoma, kad vaistai, pasižymintys panašiomis farmakologinėmis savybėmis, gali sustiprinti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poveikį, o vaistai, kurie greitina žarnyno peristaltiką, gali </w:t>
      </w:r>
      <w:proofErr w:type="spellStart"/>
      <w:r>
        <w:rPr>
          <w:rFonts w:ascii="Times New Roman" w:hAnsi="Times New Roman"/>
        </w:rPr>
        <w:t>susilpninti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poveikį.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Nėštumas ir žindymo laikotarpis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Nėštumas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Moterims nėštumo laikotarpiu, ypač pirmus tris mėnesius, gydytojas gali paskirti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tik nustatęs, kad nauda bus didesnė už galimą žalą.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Žindymo laikotarpis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Maži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kiekiai gali patekti į motinos pieną, todėl kūdikį krūtimi maitinančioms moterims vartoti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nerekomenduojama.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Viduriavimą gydant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įtakos gali turėti atsiradęs nuovargis, svaigulys arba mieguistumas, todėl reikalingas atsargumas vairuojant ar valdant mechanizmus.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Aloper</w:t>
      </w:r>
      <w:proofErr w:type="spellEnd"/>
      <w:r>
        <w:rPr>
          <w:rFonts w:ascii="Times New Roman" w:hAnsi="Times New Roman"/>
          <w:b/>
          <w:bCs/>
        </w:rPr>
        <w:t xml:space="preserve"> sudėtyje yra natrio.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Šio vaisto vienoje tabletėje yra mažiau kaip 1 </w:t>
      </w:r>
      <w:proofErr w:type="spellStart"/>
      <w:r>
        <w:rPr>
          <w:rFonts w:ascii="Times New Roman" w:hAnsi="Times New Roman"/>
        </w:rPr>
        <w:t>mmol</w:t>
      </w:r>
      <w:proofErr w:type="spellEnd"/>
      <w:r>
        <w:rPr>
          <w:rFonts w:ascii="Times New Roman" w:hAnsi="Times New Roman"/>
        </w:rPr>
        <w:t xml:space="preserve"> (23 mg) natrio, </w:t>
      </w:r>
      <w:proofErr w:type="spellStart"/>
      <w:r>
        <w:rPr>
          <w:rFonts w:ascii="Times New Roman" w:hAnsi="Times New Roman"/>
        </w:rPr>
        <w:t>t.y</w:t>
      </w:r>
      <w:proofErr w:type="spellEnd"/>
      <w:r>
        <w:rPr>
          <w:rFonts w:ascii="Times New Roman" w:hAnsi="Times New Roman"/>
        </w:rPr>
        <w:t>. jis beveik neturi reikšmės.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Aloper</w:t>
      </w:r>
      <w:proofErr w:type="spellEnd"/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Suaugusiesiems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Rekomenduojama dozė iš pradžių yra dvi tabletes, vėliau po kiekvieno tuštinimosi skystomis išmatomis - po vieną tabletę.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Paros dozė – ne daugiau kaip 4 tabletės.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Vartojimas vaikams ir paaugliams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Vyresniems kaip 12 metų paaugliams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Pradėjus ūmiai viduriuoti ir po kiekvieno tuštinimosi skystomis išmatomis, reikia gerti po vieną tabletę.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Paros dozė – ne daugiau kaip 4 tabletės.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Vaikai ir paaugliai iki 12 metų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 vaikams ir paaugliams iki 12 metų amžiaus vartoti negalima.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5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Senyvo amžiaus pacientams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Tokio amžiaus pacientams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dozės keisti nereikia.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5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Pacientai, kurių inkstų funkcija sutrikusi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Pacientams, kurių inkstų funkcija sutrikusi,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dozės koreguoti nereikia.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5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Pacientai, kurių kepenų funkcija sutrikusi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Pacientai, kurių kepenų funkcija sutrikusi,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turi vartoti atsargiai.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Tabletes reikia nuryti nesukramtytas užsigeriant stikline skysčio (pvz., vandens).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ūminio viduriavimo metu pradėjus gydyti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 sveikata nepagerėja per 48 valandas, reikia nustoti vartoti vaistą.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dozę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Vaisto perdozavus (įskaitant ir santykinį perdozavimą, t. y. jei kepenų funkcija yra nepakankama), gali pasireikšti centrinės nervų sistemos funkcijos slopinimas (paciento </w:t>
      </w:r>
      <w:proofErr w:type="spellStart"/>
      <w:r>
        <w:rPr>
          <w:rFonts w:ascii="Times New Roman" w:hAnsi="Times New Roman"/>
        </w:rPr>
        <w:t>nejudrumas</w:t>
      </w:r>
      <w:proofErr w:type="spellEnd"/>
      <w:r>
        <w:rPr>
          <w:rFonts w:ascii="Times New Roman" w:hAnsi="Times New Roman"/>
        </w:rPr>
        <w:t xml:space="preserve"> ir nekalbumas, koordinacijos sutrikimas, mieguistumas, akies vyzdžio susiaurėjimas, raumenų tonuso padidėjimas, kvėpavimo slopinimas), susilaikyti šlapimas, prasidėti žarnų nepraeinamumas.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Vaikų centrinę nervų sistemą vaistas veikia stipriau negu suaugusių žmonių.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pavartojote per daug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, nedelsdami kreipkitės patarimo į gydytoją arba ligoninę. Jums gali pasireikšti šie simptomai: padažnėjęs širdies plakimas, nereguliarus širdies ritmas, pakitęs širdies plakimas (šie simptomai gali turėtų sunkių, grėsmę gyvybei keliančių padarinių), raumenų 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stingulys, nekoordinuoti judesiai, mieguistumas, </w:t>
      </w:r>
      <w:proofErr w:type="spellStart"/>
      <w:r>
        <w:rPr>
          <w:rFonts w:ascii="Times New Roman" w:hAnsi="Times New Roman"/>
        </w:rPr>
        <w:t>šlapinimosi</w:t>
      </w:r>
      <w:proofErr w:type="spellEnd"/>
      <w:r>
        <w:rPr>
          <w:rFonts w:ascii="Times New Roman" w:hAnsi="Times New Roman"/>
        </w:rPr>
        <w:t xml:space="preserve"> sunkumai arba paviršutiniškas kvėpavimas.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Palyginti su suaugusiaisiais, vaikai stipriau reaguoja į didelį </w:t>
      </w:r>
      <w:proofErr w:type="spellStart"/>
      <w:r>
        <w:rPr>
          <w:rFonts w:ascii="Times New Roman" w:hAnsi="Times New Roman"/>
        </w:rPr>
        <w:t>Aloper</w:t>
      </w:r>
      <w:proofErr w:type="spellEnd"/>
      <w:r>
        <w:rPr>
          <w:rFonts w:ascii="Times New Roman" w:hAnsi="Times New Roman"/>
        </w:rPr>
        <w:t xml:space="preserve"> kiekį. Jeigu vaikas išgėrė per didelę vaisto dozę arba jam pasireiškė bent vienas iš pirmiau minėtų simptomų, nedelsdami kreipkitės į gydytoją.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Atsiradus perdozavimo požymių, būtina kreiptis į  gydytoją. 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Pamiršus pavartoti </w:t>
      </w:r>
      <w:proofErr w:type="spellStart"/>
      <w:r>
        <w:rPr>
          <w:rFonts w:ascii="Times New Roman" w:hAnsi="Times New Roman"/>
          <w:b/>
        </w:rPr>
        <w:t>Aloper</w:t>
      </w:r>
      <w:proofErr w:type="spellEnd"/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Negalima vartoti dvigubos dozės norint kompensuoti praleistą tabletę.</w:t>
      </w: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Nustojus vartoti </w:t>
      </w:r>
      <w:proofErr w:type="spellStart"/>
      <w:r>
        <w:rPr>
          <w:rFonts w:ascii="Times New Roman" w:hAnsi="Times New Roman"/>
          <w:b/>
        </w:rPr>
        <w:t>Aloper</w:t>
      </w:r>
      <w:proofErr w:type="spellEnd"/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Galimas šalutinis poveikis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Nedelsiant kreipkitės medicininės pagalbos, jeigu jums pasireiškė vienas iš šių požymių:</w:t>
      </w:r>
    </w:p>
    <w:p w:rsidR="00750304" w:rsidRDefault="00750304" w:rsidP="00750304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Šlapimo susilaikymas;</w:t>
      </w:r>
    </w:p>
    <w:p w:rsidR="00750304" w:rsidRDefault="00750304" w:rsidP="00750304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Pilvo skausmas;</w:t>
      </w:r>
    </w:p>
    <w:p w:rsidR="00750304" w:rsidRDefault="00750304" w:rsidP="00750304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Sunkus vidurių užkietėjimas</w:t>
      </w:r>
    </w:p>
    <w:p w:rsidR="00750304" w:rsidRDefault="00750304" w:rsidP="00750304">
      <w:pPr>
        <w:spacing w:after="0" w:line="240" w:lineRule="auto"/>
        <w:ind w:right="-29"/>
        <w:rPr>
          <w:rFonts w:ascii="Times New Roman" w:hAnsi="Times New Roman"/>
        </w:rPr>
      </w:pPr>
    </w:p>
    <w:p w:rsidR="00750304" w:rsidRDefault="00750304" w:rsidP="00750304">
      <w:pPr>
        <w:autoSpaceDE w:val="0"/>
        <w:spacing w:line="240" w:lineRule="auto"/>
        <w:contextualSpacing/>
        <w:rPr>
          <w:rFonts w:ascii="Times New Roman" w:hAnsi="Times New Roman"/>
        </w:rPr>
      </w:pPr>
    </w:p>
    <w:p w:rsidR="00750304" w:rsidRDefault="00750304" w:rsidP="00750304">
      <w:pPr>
        <w:autoSpaceDE w:val="0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Dažni šalutinio poveikio reiškiniai (gali pasireikšti rečiau kaip 1 iš 10 asmenų):</w:t>
      </w:r>
    </w:p>
    <w:p w:rsidR="00750304" w:rsidRDefault="00750304" w:rsidP="00750304">
      <w:pPr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galvos skausmas;</w:t>
      </w:r>
    </w:p>
    <w:p w:rsidR="00750304" w:rsidRDefault="00750304" w:rsidP="00750304">
      <w:pPr>
        <w:numPr>
          <w:ilvl w:val="0"/>
          <w:numId w:val="6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pykinimas;</w:t>
      </w:r>
    </w:p>
    <w:p w:rsidR="00750304" w:rsidRDefault="00750304" w:rsidP="00750304">
      <w:pPr>
        <w:numPr>
          <w:ilvl w:val="0"/>
          <w:numId w:val="6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skonio pokyčiai;</w:t>
      </w:r>
    </w:p>
    <w:p w:rsidR="00750304" w:rsidRDefault="00750304" w:rsidP="00750304">
      <w:pPr>
        <w:autoSpaceDE w:val="0"/>
        <w:spacing w:line="240" w:lineRule="auto"/>
        <w:contextualSpacing/>
        <w:rPr>
          <w:rFonts w:ascii="Times New Roman" w:hAnsi="Times New Roman"/>
        </w:rPr>
      </w:pPr>
    </w:p>
    <w:p w:rsidR="00750304" w:rsidRDefault="00750304" w:rsidP="00750304">
      <w:pPr>
        <w:autoSpaceDE w:val="0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Nedažni šalutinio poveikio reiškiniai (gali pasireikšti rečiau kaip 1 iš 100 asmenų)::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mieguistumas;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svaigulys;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pilvo skausmas;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pilvo pūtimas;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vidurių užkietėjimas;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vėmimas;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virškinimo sutrikimas;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burnos džiūvimas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išbėrimas;</w:t>
      </w:r>
    </w:p>
    <w:p w:rsidR="00750304" w:rsidRDefault="00750304" w:rsidP="00750304">
      <w:pPr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silpnumas.</w:t>
      </w:r>
    </w:p>
    <w:p w:rsidR="00750304" w:rsidRDefault="00750304" w:rsidP="00750304">
      <w:pPr>
        <w:autoSpaceDE w:val="0"/>
        <w:spacing w:line="240" w:lineRule="auto"/>
        <w:contextualSpacing/>
        <w:rPr>
          <w:rFonts w:ascii="Times New Roman" w:hAnsi="Times New Roman"/>
        </w:rPr>
      </w:pPr>
    </w:p>
    <w:p w:rsidR="00750304" w:rsidRDefault="00750304" w:rsidP="00750304">
      <w:pPr>
        <w:autoSpaceDE w:val="0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Reti šalutinio poveikio reiškiniai (gali pasireikšti rečiau kaip 1 iš 1 000 asmenų)::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padidėjusio jautrumo reakcijos, įskaitant </w:t>
      </w:r>
      <w:proofErr w:type="spellStart"/>
      <w:r>
        <w:rPr>
          <w:rFonts w:ascii="Times New Roman" w:hAnsi="Times New Roman"/>
        </w:rPr>
        <w:t>anafilaktinį</w:t>
      </w:r>
      <w:proofErr w:type="spellEnd"/>
      <w:r>
        <w:rPr>
          <w:rFonts w:ascii="Times New Roman" w:hAnsi="Times New Roman"/>
        </w:rPr>
        <w:t xml:space="preserve"> šoką;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sąmonės sutrikimai;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pusiausvyros sutrikimai;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arterinio kraujo spaudimo padidėjimas;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vyzdžių susiaurėjimas;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žarnų nepraeinamumas;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pūslinis</w:t>
      </w:r>
      <w:proofErr w:type="spellEnd"/>
      <w:r>
        <w:rPr>
          <w:rFonts w:ascii="Times New Roman" w:hAnsi="Times New Roman"/>
        </w:rPr>
        <w:t xml:space="preserve"> odos išbėrimas (įskaitant </w:t>
      </w:r>
      <w:proofErr w:type="spellStart"/>
      <w:r>
        <w:rPr>
          <w:rFonts w:ascii="Times New Roman" w:hAnsi="Times New Roman"/>
        </w:rPr>
        <w:t>Stivenso</w:t>
      </w:r>
      <w:proofErr w:type="spellEnd"/>
      <w:r>
        <w:rPr>
          <w:rFonts w:ascii="Times New Roman" w:hAnsi="Times New Roman"/>
        </w:rPr>
        <w:t xml:space="preserve"> ir Džonsono sindromą, toksinę epidermio </w:t>
      </w:r>
      <w:proofErr w:type="spellStart"/>
      <w:r>
        <w:rPr>
          <w:rFonts w:ascii="Times New Roman" w:hAnsi="Times New Roman"/>
        </w:rPr>
        <w:t>nekrolizę</w:t>
      </w:r>
      <w:proofErr w:type="spellEnd"/>
      <w:r>
        <w:rPr>
          <w:rFonts w:ascii="Times New Roman" w:hAnsi="Times New Roman"/>
        </w:rPr>
        <w:t xml:space="preserve"> ir daugiaformę </w:t>
      </w:r>
      <w:proofErr w:type="spellStart"/>
      <w:r>
        <w:rPr>
          <w:rFonts w:ascii="Times New Roman" w:hAnsi="Times New Roman"/>
        </w:rPr>
        <w:t>eritemą</w:t>
      </w:r>
      <w:proofErr w:type="spellEnd"/>
      <w:r>
        <w:rPr>
          <w:rFonts w:ascii="Times New Roman" w:hAnsi="Times New Roman"/>
        </w:rPr>
        <w:t>);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dilgėlinė;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niežulys;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šlapimo susilaikymas;</w:t>
      </w:r>
    </w:p>
    <w:p w:rsidR="00750304" w:rsidRDefault="00750304" w:rsidP="00750304">
      <w:pPr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nuovargis.</w:t>
      </w:r>
    </w:p>
    <w:p w:rsidR="00750304" w:rsidRDefault="00750304" w:rsidP="00750304">
      <w:p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Dažnis nežinomas (negali būti apskaičiuotas pagal turimus duomenis)</w:t>
      </w:r>
    </w:p>
    <w:p w:rsidR="00750304" w:rsidRDefault="00750304" w:rsidP="00750304">
      <w:pPr>
        <w:pStyle w:val="Sraopastraipa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Viršutinės pilvo dalies skausmas, į nugarą plintantis pilvo skausmas, pilvo skausmingumas prisilietus, karščiavimas, padažnėjęs pulsas, pykinimas, vėmimas, kurie gali būti kasos uždegimo (ūminio pankreatito) simptomai.</w:t>
      </w:r>
    </w:p>
    <w:p w:rsidR="00750304" w:rsidRDefault="00750304" w:rsidP="00750304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</w:p>
    <w:p w:rsidR="00750304" w:rsidRPr="003F21B7" w:rsidRDefault="00750304" w:rsidP="00750304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pasireiškė bent viena iš šių nepageidaujamų reakcijų, nebevartokite vaisto ir nedelsiant kreipkitės medicininės pagalbos.</w:t>
      </w:r>
    </w:p>
    <w:p w:rsidR="00750304" w:rsidRDefault="00750304" w:rsidP="00750304">
      <w:pPr>
        <w:autoSpaceDE w:val="0"/>
        <w:spacing w:after="0" w:line="240" w:lineRule="auto"/>
        <w:ind w:left="720"/>
        <w:contextualSpacing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Pranešimas apie šalutinį poveikį</w:t>
      </w:r>
    </w:p>
    <w:p w:rsidR="00750304" w:rsidRDefault="00750304" w:rsidP="0075030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>
          <w:rPr>
            <w:rStyle w:val="Hipersaitas"/>
            <w:rFonts w:ascii="Times New Roman" w:hAnsi="Times New Roman"/>
          </w:rPr>
          <w:t>https://vapris.vvkt.lt/vvkt-web/public/nrv</w:t>
        </w:r>
      </w:hyperlink>
      <w:r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hyperlink r:id="rId6" w:history="1">
        <w:r>
          <w:rPr>
            <w:rStyle w:val="Hipersaitas"/>
            <w:rFonts w:ascii="Times New Roman" w:hAnsi="Times New Roman"/>
          </w:rPr>
          <w:t>https://www.vvkt.lt/index.php?4004286486</w:t>
        </w:r>
      </w:hyperlink>
      <w:r>
        <w:rPr>
          <w:rFonts w:ascii="Times New Roman" w:hAnsi="Times New Roman"/>
        </w:rPr>
        <w:t xml:space="preserve">, ir atsiunčiant elektroniniu paštu (adresu </w:t>
      </w:r>
      <w:hyperlink r:id="rId7" w:history="1">
        <w:r>
          <w:rPr>
            <w:rStyle w:val="Hipersaitas"/>
            <w:rFonts w:ascii="Times New Roman" w:hAnsi="Times New Roman"/>
          </w:rPr>
          <w:t>NepageidaujamaR@vvkt.lt</w:t>
        </w:r>
      </w:hyperlink>
      <w:r>
        <w:rPr>
          <w:rFonts w:ascii="Times New Roman" w:hAnsi="Times New Roman"/>
        </w:rPr>
        <w:t>) arba nemokamu telefonu 8 800 73 568. Pranešdami apie šalutinį poveikį galite mums padėti gauti daugiau informacijos apie šio vaisto saugumą.</w:t>
      </w:r>
    </w:p>
    <w:p w:rsidR="00750304" w:rsidRDefault="00750304" w:rsidP="00750304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</w:rPr>
      </w:pPr>
    </w:p>
    <w:p w:rsidR="00750304" w:rsidRDefault="00750304" w:rsidP="00750304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Aloper</w:t>
      </w:r>
      <w:proofErr w:type="spellEnd"/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Šiam vaistui specialių laikymo sąlygų nereikia.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Pakuotės turinys ir kita informacija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sudėtis </w:t>
      </w:r>
    </w:p>
    <w:p w:rsidR="00750304" w:rsidRDefault="00750304" w:rsidP="0075030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Veikliosios medžiagos yra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hidrochloridas ir </w:t>
      </w:r>
      <w:proofErr w:type="spellStart"/>
      <w:r>
        <w:rPr>
          <w:rFonts w:ascii="Times New Roman" w:hAnsi="Times New Roman"/>
        </w:rPr>
        <w:t>simetikonas</w:t>
      </w:r>
      <w:proofErr w:type="spellEnd"/>
      <w:r>
        <w:rPr>
          <w:rFonts w:ascii="Times New Roman" w:hAnsi="Times New Roman"/>
        </w:rPr>
        <w:t xml:space="preserve">. Kiekvienoje tabletėje yra 2 mg </w:t>
      </w:r>
      <w:proofErr w:type="spellStart"/>
      <w:r>
        <w:rPr>
          <w:rFonts w:ascii="Times New Roman" w:hAnsi="Times New Roman"/>
        </w:rPr>
        <w:t>loperamido</w:t>
      </w:r>
      <w:proofErr w:type="spellEnd"/>
      <w:r>
        <w:rPr>
          <w:rFonts w:ascii="Times New Roman" w:hAnsi="Times New Roman"/>
        </w:rPr>
        <w:t xml:space="preserve"> hidrochlorido ir  </w:t>
      </w:r>
      <w:proofErr w:type="spellStart"/>
      <w:r>
        <w:rPr>
          <w:rFonts w:ascii="Times New Roman" w:hAnsi="Times New Roman"/>
        </w:rPr>
        <w:t>simetikono</w:t>
      </w:r>
      <w:proofErr w:type="spellEnd"/>
      <w:r>
        <w:rPr>
          <w:rFonts w:ascii="Times New Roman" w:hAnsi="Times New Roman"/>
        </w:rPr>
        <w:t xml:space="preserve">, apskaičiuoto kaip 125 mg </w:t>
      </w:r>
      <w:proofErr w:type="spellStart"/>
      <w:r>
        <w:rPr>
          <w:rFonts w:ascii="Times New Roman" w:hAnsi="Times New Roman"/>
        </w:rPr>
        <w:t>dimetikono</w:t>
      </w:r>
      <w:proofErr w:type="spellEnd"/>
      <w:r>
        <w:rPr>
          <w:rFonts w:ascii="Times New Roman" w:hAnsi="Times New Roman"/>
        </w:rPr>
        <w:t>.</w:t>
      </w:r>
    </w:p>
    <w:p w:rsidR="00750304" w:rsidRDefault="00750304" w:rsidP="0075030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Pagalbinės medžiagos yra </w:t>
      </w:r>
      <w:r>
        <w:rPr>
          <w:rFonts w:ascii="Times New Roman" w:hAnsi="Times New Roman"/>
          <w:i/>
          <w:color w:val="008000"/>
        </w:rPr>
        <w:t xml:space="preserve"> </w:t>
      </w:r>
      <w:proofErr w:type="spellStart"/>
      <w:r>
        <w:rPr>
          <w:rFonts w:ascii="Times New Roman" w:hAnsi="Times New Roman"/>
        </w:rPr>
        <w:t>mikrokristalinė</w:t>
      </w:r>
      <w:proofErr w:type="spellEnd"/>
      <w:r>
        <w:rPr>
          <w:rFonts w:ascii="Times New Roman" w:hAnsi="Times New Roman"/>
        </w:rPr>
        <w:t xml:space="preserve"> celiuliozė, </w:t>
      </w:r>
      <w:proofErr w:type="spellStart"/>
      <w:r>
        <w:rPr>
          <w:rFonts w:ascii="Times New Roman" w:hAnsi="Times New Roman"/>
        </w:rPr>
        <w:t>karboksimetilkrakmolo</w:t>
      </w:r>
      <w:proofErr w:type="spellEnd"/>
      <w:r>
        <w:rPr>
          <w:rFonts w:ascii="Times New Roman" w:hAnsi="Times New Roman"/>
        </w:rPr>
        <w:t xml:space="preserve"> A natrio druska, </w:t>
      </w:r>
      <w:proofErr w:type="spellStart"/>
      <w:r>
        <w:rPr>
          <w:rFonts w:ascii="Times New Roman" w:hAnsi="Times New Roman"/>
        </w:rPr>
        <w:t>hipromeliozė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povidonas</w:t>
      </w:r>
      <w:proofErr w:type="spellEnd"/>
      <w:r>
        <w:rPr>
          <w:rFonts w:ascii="Times New Roman" w:hAnsi="Times New Roman"/>
        </w:rPr>
        <w:t xml:space="preserve"> K30, bevandenis kalcio fosfatas, </w:t>
      </w:r>
      <w:proofErr w:type="spellStart"/>
      <w:r>
        <w:rPr>
          <w:rFonts w:ascii="Times New Roman" w:hAnsi="Times New Roman"/>
        </w:rPr>
        <w:t>manitolis</w:t>
      </w:r>
      <w:proofErr w:type="spellEnd"/>
      <w:r>
        <w:rPr>
          <w:rFonts w:ascii="Times New Roman" w:hAnsi="Times New Roman"/>
        </w:rPr>
        <w:t xml:space="preserve">, magnio </w:t>
      </w:r>
      <w:proofErr w:type="spellStart"/>
      <w:r>
        <w:rPr>
          <w:rFonts w:ascii="Times New Roman" w:hAnsi="Times New Roman"/>
        </w:rPr>
        <w:t>stearatas</w:t>
      </w:r>
      <w:proofErr w:type="spellEnd"/>
      <w:r>
        <w:rPr>
          <w:rFonts w:ascii="Times New Roman" w:hAnsi="Times New Roman"/>
        </w:rPr>
        <w:t>.</w:t>
      </w:r>
    </w:p>
    <w:p w:rsidR="00750304" w:rsidRDefault="00750304" w:rsidP="00750304">
      <w:p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Aloper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:rsidR="00750304" w:rsidRDefault="00750304" w:rsidP="00750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Baltos ar balkšvos spalvos, 8 – 17,4  mm ilgio ir 6,5 – 7 mm pločio kapsulės formos tabletės su vienoje pusėje įspaustu užrašu „LO-SI“ ir kitoje pusėje abipus vagelės „2“ ir „125“.</w:t>
      </w:r>
    </w:p>
    <w:p w:rsidR="00750304" w:rsidRDefault="00750304" w:rsidP="00750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Vagelė skirta tik tabletei perlaužti, kad būtų lengviau nuryti, bet ne jai padalyti į lygias dozes.</w:t>
      </w:r>
    </w:p>
    <w:p w:rsidR="00750304" w:rsidRDefault="00750304" w:rsidP="00750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PVC/ACLAR –aliuminio arba PVC/</w:t>
      </w:r>
      <w:proofErr w:type="spellStart"/>
      <w:r>
        <w:rPr>
          <w:rFonts w:ascii="Times New Roman" w:hAnsi="Times New Roman"/>
        </w:rPr>
        <w:t>PVdC</w:t>
      </w:r>
      <w:proofErr w:type="spellEnd"/>
      <w:r>
        <w:rPr>
          <w:rFonts w:ascii="Times New Roman" w:hAnsi="Times New Roman"/>
        </w:rPr>
        <w:t xml:space="preserve"> – aliuminio lizdinė plokštelė, kurioje yra 10 tablečių. </w:t>
      </w:r>
    </w:p>
    <w:p w:rsidR="00750304" w:rsidRDefault="00750304" w:rsidP="00750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Kartono dėžutėje yra viena lizdinė plokštelė.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Registruotojas ir gamintojas</w:t>
      </w:r>
    </w:p>
    <w:p w:rsidR="00750304" w:rsidRDefault="00750304" w:rsidP="00750304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Registruotojas</w:t>
      </w:r>
    </w:p>
    <w:p w:rsidR="00750304" w:rsidRDefault="00750304" w:rsidP="0075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:rsidR="00750304" w:rsidRDefault="00750304" w:rsidP="0075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>
        <w:rPr>
          <w:rFonts w:ascii="TimesNewRoman" w:hAnsi="TimesNewRoman"/>
        </w:rPr>
        <w:t>ā</w:t>
      </w:r>
      <w:r>
        <w:rPr>
          <w:rFonts w:ascii="Times New Roman" w:hAnsi="Times New Roman"/>
        </w:rPr>
        <w:t>r</w:t>
      </w:r>
      <w:r>
        <w:rPr>
          <w:rFonts w:ascii="TimesNewRoman" w:hAnsi="TimesNewRoman"/>
        </w:rPr>
        <w:t>ļ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</w:t>
      </w:r>
      <w:r>
        <w:rPr>
          <w:rFonts w:ascii="TimesNewRoman" w:hAnsi="TimesNewRoman"/>
        </w:rPr>
        <w:t>ņ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</w:t>
      </w:r>
      <w:r>
        <w:rPr>
          <w:rFonts w:ascii="TimesNewRoman" w:hAnsi="TimesNewRoman"/>
        </w:rPr>
        <w:t>ā</w:t>
      </w:r>
      <w:r>
        <w:rPr>
          <w:rFonts w:ascii="Times New Roman" w:hAnsi="Times New Roman"/>
        </w:rPr>
        <w:t>rupe</w:t>
      </w:r>
      <w:proofErr w:type="spellEnd"/>
    </w:p>
    <w:p w:rsidR="00750304" w:rsidRDefault="00750304" w:rsidP="0075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</w:t>
      </w:r>
      <w:r>
        <w:rPr>
          <w:rFonts w:ascii="TimesNewRoman" w:hAnsi="TimesNewRoman"/>
        </w:rPr>
        <w:t>ī</w:t>
      </w:r>
      <w:r>
        <w:rPr>
          <w:rFonts w:ascii="Times New Roman" w:hAnsi="Times New Roman"/>
        </w:rPr>
        <w:t>ga</w:t>
      </w:r>
      <w:proofErr w:type="spellEnd"/>
    </w:p>
    <w:p w:rsidR="00750304" w:rsidRDefault="00750304" w:rsidP="00750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Gamintojas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Laboratorios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Alcala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Farma</w:t>
      </w:r>
      <w:proofErr w:type="spellEnd"/>
      <w:r>
        <w:rPr>
          <w:rFonts w:ascii="Times New Roman" w:hAnsi="Times New Roman"/>
        </w:rPr>
        <w:t xml:space="preserve"> S.L.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Avenida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Madrid</w:t>
      </w:r>
      <w:proofErr w:type="spellEnd"/>
      <w:r>
        <w:rPr>
          <w:rFonts w:ascii="Times New Roman" w:hAnsi="Times New Roman"/>
        </w:rPr>
        <w:t>, 82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Alcala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Henares</w:t>
      </w:r>
      <w:proofErr w:type="spellEnd"/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28802 </w:t>
      </w:r>
      <w:proofErr w:type="spellStart"/>
      <w:r>
        <w:rPr>
          <w:rFonts w:ascii="Times New Roman" w:hAnsi="Times New Roman"/>
        </w:rPr>
        <w:t>Madrid</w:t>
      </w:r>
      <w:proofErr w:type="spellEnd"/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 2022-06-09.</w:t>
      </w:r>
    </w:p>
    <w:p w:rsidR="00750304" w:rsidRDefault="00750304" w:rsidP="007503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  <w:color w:val="008000"/>
        </w:rPr>
      </w:pPr>
    </w:p>
    <w:p w:rsidR="00750304" w:rsidRDefault="00750304" w:rsidP="0075030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Kiti informacijos šaltiniai</w:t>
      </w:r>
    </w:p>
    <w:p w:rsidR="00750304" w:rsidRDefault="00750304" w:rsidP="007503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</w:p>
    <w:p w:rsidR="00750304" w:rsidRDefault="00750304" w:rsidP="007503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8" w:history="1">
        <w:r>
          <w:rPr>
            <w:rStyle w:val="Hipersaitas"/>
            <w:rFonts w:ascii="Times New Roman" w:hAnsi="Times New Roman"/>
            <w:color w:val="0000FF"/>
          </w:rPr>
          <w:t>http://www.vvkt.lt/</w:t>
        </w:r>
      </w:hyperlink>
      <w:r>
        <w:rPr>
          <w:rFonts w:ascii="Times New Roman" w:hAnsi="Times New Roman"/>
        </w:rPr>
        <w:t>.</w:t>
      </w:r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7" w:usb1="08070000" w:usb2="00000010" w:usb3="00000000" w:csb0="0002000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5D3386A"/>
    <w:multiLevelType w:val="hybridMultilevel"/>
    <w:tmpl w:val="EF623B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0029"/>
    <w:multiLevelType w:val="hybridMultilevel"/>
    <w:tmpl w:val="9F4A67A6"/>
    <w:lvl w:ilvl="0" w:tplc="CEBC814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552"/>
    <w:multiLevelType w:val="hybridMultilevel"/>
    <w:tmpl w:val="370AD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C4A10"/>
    <w:multiLevelType w:val="hybridMultilevel"/>
    <w:tmpl w:val="1B9458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1233"/>
    <w:multiLevelType w:val="hybridMultilevel"/>
    <w:tmpl w:val="8A7883EA"/>
    <w:lvl w:ilvl="0" w:tplc="CAAE07F2">
      <w:start w:val="10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8025CE4"/>
    <w:multiLevelType w:val="hybridMultilevel"/>
    <w:tmpl w:val="BE927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B1BB7"/>
    <w:multiLevelType w:val="hybridMultilevel"/>
    <w:tmpl w:val="F886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2436"/>
    <w:multiLevelType w:val="hybridMultilevel"/>
    <w:tmpl w:val="A7608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04"/>
    <w:rsid w:val="00234094"/>
    <w:rsid w:val="002A211A"/>
    <w:rsid w:val="00750304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E9796-9695-45FB-8895-E83F822C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0304"/>
    <w:pPr>
      <w:spacing w:line="254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50304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5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7604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2022-06-28T06:49:00Z</dcterms:created>
  <dcterms:modified xsi:type="dcterms:W3CDTF">2022-06-28T06:49:00Z</dcterms:modified>
</cp:coreProperties>
</file>