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F3" w:rsidRDefault="000551F3" w:rsidP="000551F3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napToGrid w:val="0"/>
          <w:szCs w:val="24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iCs/>
          <w:snapToGrid w:val="0"/>
          <w:szCs w:val="28"/>
          <w:lang w:eastAsia="x-none"/>
        </w:rPr>
        <w:t>Pakuotės lapelis:</w:t>
      </w:r>
      <w:r>
        <w:rPr>
          <w:rFonts w:ascii="Times New Roman" w:eastAsiaTheme="minorEastAsia" w:hAnsi="Times New Roman" w:cs="Times New Roman"/>
          <w:b/>
          <w:snapToGrid w:val="0"/>
          <w:szCs w:val="24"/>
          <w:lang w:eastAsia="x-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napToGrid w:val="0"/>
          <w:szCs w:val="28"/>
          <w:lang w:eastAsia="x-none"/>
        </w:rPr>
        <w:t>informacija vartotojui</w:t>
      </w:r>
    </w:p>
    <w:p w:rsidR="000551F3" w:rsidRDefault="000551F3" w:rsidP="000551F3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tabs>
          <w:tab w:val="left" w:pos="567"/>
        </w:tabs>
        <w:spacing w:after="0" w:line="260" w:lineRule="exact"/>
        <w:jc w:val="center"/>
        <w:rPr>
          <w:rFonts w:ascii="Times New Roman" w:eastAsiaTheme="minorEastAsia" w:hAnsi="Times New Roman" w:cs="Times New Roman"/>
          <w:b/>
          <w:snapToGrid w:val="0"/>
          <w:szCs w:val="24"/>
        </w:rPr>
      </w:pPr>
      <w:r>
        <w:rPr>
          <w:rFonts w:ascii="Times New Roman" w:eastAsiaTheme="minorEastAsia" w:hAnsi="Times New Roman" w:cs="Times New Roman"/>
          <w:b/>
          <w:noProof/>
          <w:snapToGrid w:val="0"/>
          <w:szCs w:val="24"/>
        </w:rPr>
        <w:t>Aloper 2 mg/125 mg tabletės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loperamido hidrochloridas ir simetikonas</w:t>
      </w:r>
    </w:p>
    <w:p w:rsidR="000551F3" w:rsidRDefault="000551F3" w:rsidP="000551F3">
      <w:p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suppressAutoHyphens/>
        <w:spacing w:after="0" w:line="240" w:lineRule="auto"/>
        <w:ind w:left="142" w:hanging="14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b/>
          <w:noProof/>
          <w:snapToGrid w:val="0"/>
          <w:szCs w:val="24"/>
        </w:rPr>
        <w:t>Atidžiai perskaitykite visą šį lapelį, prieš pradėdami vartoti vaistą, nes jame pateikiama Jums svarbi informacija.</w:t>
      </w:r>
    </w:p>
    <w:p w:rsidR="000551F3" w:rsidRDefault="000551F3" w:rsidP="000551F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Neišmeskite šio lapelio, nes vėl gali prireikti jį perskaityti.</w:t>
      </w:r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</w:p>
    <w:p w:rsidR="000551F3" w:rsidRDefault="000551F3" w:rsidP="000551F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Jeigu kiltų daugiau klausimų, kreipkitės į gydytoją arba vaistininką.</w:t>
      </w:r>
    </w:p>
    <w:p w:rsidR="000551F3" w:rsidRDefault="000551F3" w:rsidP="000551F3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-</w:t>
      </w:r>
      <w:r>
        <w:rPr>
          <w:rFonts w:ascii="Times New Roman" w:eastAsiaTheme="minorEastAsia" w:hAnsi="Times New Roman" w:cs="Times New Roman"/>
          <w:snapToGrid w:val="0"/>
          <w:szCs w:val="24"/>
        </w:rPr>
        <w:tab/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Šis vaistas skirtas tik Jums, todėl kitiems žmonėms jo duoti negalima.</w:t>
      </w:r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Vaistas gali jiems pakenkti (net tiems, kurių ligos požymiai yra tokie patys kaip Jūsų).</w:t>
      </w:r>
    </w:p>
    <w:p w:rsidR="000551F3" w:rsidRDefault="000551F3" w:rsidP="000551F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Jeigu pasireiškė šalutinis poveikis (net jeigu jis šiame lapelyje nenurodytas), kreipkitės į gydytoją arba vaistininką. Žr. 4 skyrių.</w:t>
      </w:r>
    </w:p>
    <w:p w:rsidR="000551F3" w:rsidRDefault="000551F3" w:rsidP="000551F3">
      <w:p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Apie ką rašoma šiame lapelyje?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1.</w:t>
      </w:r>
      <w:r>
        <w:rPr>
          <w:rFonts w:ascii="Times New Roman" w:eastAsiaTheme="minorEastAsia" w:hAnsi="Times New Roman" w:cs="Times New Roman"/>
          <w:snapToGrid w:val="0"/>
          <w:szCs w:val="24"/>
        </w:rPr>
        <w:tab/>
      </w:r>
      <w:r>
        <w:rPr>
          <w:rFonts w:ascii="Times New Roman" w:eastAsiaTheme="minorEastAsia" w:hAnsi="Times New Roman" w:cs="Times New Roman"/>
          <w:snapToGrid w:val="0"/>
          <w:szCs w:val="20"/>
        </w:rPr>
        <w:t xml:space="preserve">Kas yra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ir kam jis vartojamas</w:t>
      </w:r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2.</w:t>
      </w:r>
      <w:r>
        <w:rPr>
          <w:rFonts w:ascii="Times New Roman" w:eastAsiaTheme="minorEastAsia" w:hAnsi="Times New Roman" w:cs="Times New Roman"/>
          <w:snapToGrid w:val="0"/>
          <w:szCs w:val="24"/>
        </w:rPr>
        <w:tab/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Kas žinotina prieš vartojant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 xml:space="preserve">  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3.</w:t>
      </w:r>
      <w:r>
        <w:rPr>
          <w:rFonts w:ascii="Times New Roman" w:eastAsiaTheme="minorEastAsia" w:hAnsi="Times New Roman" w:cs="Times New Roman"/>
          <w:snapToGrid w:val="0"/>
          <w:szCs w:val="24"/>
        </w:rPr>
        <w:tab/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Kaip vartoti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4.</w:t>
      </w:r>
      <w:r>
        <w:rPr>
          <w:rFonts w:ascii="Times New Roman" w:eastAsiaTheme="minorEastAsia" w:hAnsi="Times New Roman" w:cs="Times New Roman"/>
          <w:snapToGrid w:val="0"/>
          <w:szCs w:val="24"/>
        </w:rPr>
        <w:tab/>
      </w:r>
      <w:r>
        <w:rPr>
          <w:rFonts w:ascii="Times New Roman" w:eastAsiaTheme="minorEastAsia" w:hAnsi="Times New Roman" w:cs="Times New Roman"/>
          <w:snapToGrid w:val="0"/>
          <w:szCs w:val="20"/>
        </w:rPr>
        <w:t>Galimas šalutinis poveikis</w:t>
      </w:r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</w:p>
    <w:p w:rsidR="000551F3" w:rsidRDefault="000551F3" w:rsidP="000551F3">
      <w:pPr>
        <w:numPr>
          <w:ilvl w:val="12"/>
          <w:numId w:val="0"/>
        </w:numPr>
        <w:tabs>
          <w:tab w:val="left" w:pos="709"/>
        </w:tabs>
        <w:spacing w:after="0" w:line="240" w:lineRule="auto"/>
        <w:ind w:left="284"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5.</w:t>
      </w:r>
      <w:r>
        <w:rPr>
          <w:rFonts w:ascii="Times New Roman" w:eastAsiaTheme="minorEastAsia" w:hAnsi="Times New Roman" w:cs="Times New Roman"/>
          <w:snapToGrid w:val="0"/>
          <w:szCs w:val="24"/>
        </w:rPr>
        <w:tab/>
      </w:r>
      <w:r>
        <w:rPr>
          <w:rFonts w:ascii="Times New Roman" w:eastAsiaTheme="minorEastAsia" w:hAnsi="Times New Roman" w:cs="Times New Roman"/>
          <w:snapToGrid w:val="0"/>
          <w:szCs w:val="24"/>
        </w:rPr>
        <w:tab/>
      </w:r>
      <w:r>
        <w:rPr>
          <w:rFonts w:ascii="Times New Roman" w:eastAsiaTheme="minorEastAsia" w:hAnsi="Times New Roman" w:cs="Times New Roman"/>
          <w:snapToGrid w:val="0"/>
          <w:szCs w:val="20"/>
        </w:rPr>
        <w:t xml:space="preserve">Kaip laikyti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6.</w:t>
      </w:r>
      <w:r>
        <w:rPr>
          <w:rFonts w:ascii="Times New Roman" w:eastAsiaTheme="minorEastAsia" w:hAnsi="Times New Roman" w:cs="Times New Roman"/>
          <w:snapToGrid w:val="0"/>
          <w:szCs w:val="24"/>
        </w:rPr>
        <w:tab/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Pakuotės turinys ir kita informacija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1.</w:t>
      </w: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ab/>
        <w:t xml:space="preserve">Kas yra </w:t>
      </w: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Aloper</w:t>
      </w:r>
      <w:proofErr w:type="spellEnd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 ir kam jis vartojamas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tabs>
          <w:tab w:val="left" w:pos="567"/>
        </w:tabs>
        <w:spacing w:after="0" w:line="260" w:lineRule="exact"/>
        <w:rPr>
          <w:rFonts w:ascii="Times New Roman" w:eastAsiaTheme="minorEastAsia" w:hAnsi="Times New Roman" w:cs="Times New Roman"/>
          <w:snapToGrid w:val="0"/>
        </w:rPr>
      </w:pP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vartojama ūminio viduriavimo, lydimo padidėjusio dujų kaupimosi virškinimo trakte, pilvo pūtimo ar spazmų, simptominiam gydymui.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noProof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Jeigu per 2 dienas Jūsų savijauta nepagerėjo arba net pablogėjo, kreipkitės į gydytoją.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2.</w:t>
      </w: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ab/>
        <w:t xml:space="preserve">Kas žinotina prieš vartojant </w:t>
      </w: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Aloper</w:t>
      </w:r>
      <w:proofErr w:type="spellEnd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 </w:t>
      </w:r>
      <w:r>
        <w:rPr>
          <w:rFonts w:ascii="Times New Roman" w:eastAsiaTheme="minorEastAsia" w:hAnsi="Times New Roman" w:cs="Times New Roman"/>
          <w:b/>
          <w:snapToGrid w:val="0"/>
          <w:szCs w:val="24"/>
          <w:lang w:eastAsia="x-none"/>
        </w:rPr>
        <w:t xml:space="preserve"> 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Aloper</w:t>
      </w:r>
      <w:proofErr w:type="spellEnd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 vartoti draudžiama:</w:t>
      </w:r>
    </w:p>
    <w:p w:rsidR="000551F3" w:rsidRDefault="000551F3" w:rsidP="000551F3">
      <w:pPr>
        <w:numPr>
          <w:ilvl w:val="0"/>
          <w:numId w:val="1"/>
        </w:numPr>
        <w:tabs>
          <w:tab w:val="left" w:pos="993"/>
        </w:tabs>
        <w:spacing w:after="0" w:line="260" w:lineRule="exact"/>
        <w:ind w:hanging="11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jeigu yra alergija veikliosioms medžiagoms arba bet kuriai pagalbinei šio vaisto medžiagai </w:t>
      </w:r>
      <w:r>
        <w:rPr>
          <w:rFonts w:ascii="Times New Roman" w:hAnsi="Times New Roman"/>
        </w:rPr>
        <w:t>(jos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 išvardytos 6 skyriuje);</w:t>
      </w:r>
    </w:p>
    <w:p w:rsidR="000551F3" w:rsidRDefault="000551F3" w:rsidP="000551F3">
      <w:pPr>
        <w:numPr>
          <w:ilvl w:val="0"/>
          <w:numId w:val="1"/>
        </w:numPr>
        <w:tabs>
          <w:tab w:val="left" w:pos="993"/>
        </w:tabs>
        <w:spacing w:after="0" w:line="260" w:lineRule="exact"/>
        <w:ind w:hanging="11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vaikams ir paaugliams iki 12 metų;</w:t>
      </w:r>
    </w:p>
    <w:p w:rsidR="000551F3" w:rsidRDefault="000551F3" w:rsidP="000551F3">
      <w:pPr>
        <w:numPr>
          <w:ilvl w:val="0"/>
          <w:numId w:val="1"/>
        </w:numPr>
        <w:tabs>
          <w:tab w:val="left" w:pos="993"/>
        </w:tabs>
        <w:spacing w:after="0" w:line="260" w:lineRule="exact"/>
        <w:ind w:hanging="11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 xml:space="preserve">jeigu sergate </w:t>
      </w:r>
      <w:r>
        <w:rPr>
          <w:rFonts w:ascii="Times New Roman" w:hAnsi="Times New Roman"/>
        </w:rPr>
        <w:t xml:space="preserve">ūmine </w:t>
      </w:r>
      <w:r>
        <w:rPr>
          <w:rFonts w:ascii="Times New Roman" w:eastAsiaTheme="minorEastAsia" w:hAnsi="Times New Roman" w:cs="Times New Roman"/>
          <w:snapToGrid w:val="0"/>
          <w:szCs w:val="24"/>
        </w:rPr>
        <w:t xml:space="preserve">dizenterija, </w:t>
      </w:r>
      <w:r>
        <w:rPr>
          <w:rFonts w:ascii="Times New Roman" w:eastAsiaTheme="minorEastAsia" w:hAnsi="Times New Roman" w:cs="Times New Roman"/>
          <w:snapToGrid w:val="0"/>
          <w:szCs w:val="20"/>
        </w:rPr>
        <w:t>kuriai yra būdingas karščiavimas ir kraujas išmatose;</w:t>
      </w:r>
    </w:p>
    <w:p w:rsidR="000551F3" w:rsidRDefault="000551F3" w:rsidP="000551F3">
      <w:pPr>
        <w:numPr>
          <w:ilvl w:val="0"/>
          <w:numId w:val="1"/>
        </w:numPr>
        <w:tabs>
          <w:tab w:val="left" w:pos="993"/>
        </w:tabs>
        <w:spacing w:after="0" w:line="260" w:lineRule="exact"/>
        <w:ind w:hanging="11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 xml:space="preserve">jeigu sergate ūminiu opiniu kolitu (storosios žarnos uždegimu su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išopėjimais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>);</w:t>
      </w:r>
    </w:p>
    <w:p w:rsidR="000551F3" w:rsidRDefault="000551F3" w:rsidP="000551F3">
      <w:pPr>
        <w:numPr>
          <w:ilvl w:val="0"/>
          <w:numId w:val="1"/>
        </w:numPr>
        <w:tabs>
          <w:tab w:val="left" w:pos="993"/>
        </w:tabs>
        <w:spacing w:after="0" w:line="260" w:lineRule="exact"/>
        <w:ind w:hanging="11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pradėjus viduriuoti </w:t>
      </w:r>
      <w:r>
        <w:rPr>
          <w:rFonts w:ascii="Times New Roman" w:hAnsi="Times New Roman"/>
        </w:rPr>
        <w:t xml:space="preserve">vartojant antibiotikų ar nustojus jų vartoti </w:t>
      </w:r>
      <w:r>
        <w:rPr>
          <w:rFonts w:ascii="Times New Roman" w:eastAsiaTheme="minorEastAsia" w:hAnsi="Times New Roman" w:cs="Times New Roman"/>
          <w:snapToGrid w:val="0"/>
          <w:szCs w:val="20"/>
        </w:rPr>
        <w:t xml:space="preserve">(antibiotikų sukeltas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pseudomembraninis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kolitas).</w:t>
      </w:r>
    </w:p>
    <w:p w:rsidR="000551F3" w:rsidRDefault="000551F3" w:rsidP="000551F3">
      <w:pPr>
        <w:numPr>
          <w:ilvl w:val="0"/>
          <w:numId w:val="1"/>
        </w:numPr>
        <w:tabs>
          <w:tab w:val="left" w:pos="993"/>
        </w:tabs>
        <w:spacing w:after="0" w:line="260" w:lineRule="exact"/>
        <w:ind w:hanging="11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 xml:space="preserve">jeigu sergate </w:t>
      </w:r>
      <w:r>
        <w:rPr>
          <w:rFonts w:ascii="Times New Roman" w:eastAsiaTheme="minorEastAsia" w:hAnsi="Times New Roman" w:cs="Times New Roman"/>
          <w:snapToGrid w:val="0"/>
          <w:szCs w:val="20"/>
        </w:rPr>
        <w:t xml:space="preserve">bakterinės kilmės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enterokolitu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, sukeltu bakterijų, įskaitant </w:t>
      </w:r>
      <w:proofErr w:type="spellStart"/>
      <w:r>
        <w:rPr>
          <w:rFonts w:ascii="Times New Roman" w:eastAsiaTheme="minorEastAsia" w:hAnsi="Times New Roman" w:cs="Times New Roman"/>
          <w:i/>
          <w:iCs/>
          <w:snapToGrid w:val="0"/>
          <w:szCs w:val="20"/>
        </w:rPr>
        <w:t>Shigella</w:t>
      </w:r>
      <w:proofErr w:type="spellEnd"/>
      <w:r>
        <w:rPr>
          <w:rFonts w:ascii="Times New Roman" w:eastAsiaTheme="minorEastAsia" w:hAnsi="Times New Roman" w:cs="Times New Roman"/>
          <w:i/>
          <w:iCs/>
          <w:snapToGrid w:val="0"/>
          <w:szCs w:val="20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i/>
          <w:iCs/>
          <w:snapToGrid w:val="0"/>
          <w:szCs w:val="20"/>
        </w:rPr>
        <w:t>Salmonella</w:t>
      </w:r>
      <w:proofErr w:type="spellEnd"/>
      <w:r>
        <w:rPr>
          <w:rFonts w:ascii="Times New Roman" w:eastAsiaTheme="minorEastAsia" w:hAnsi="Times New Roman" w:cs="Times New Roman"/>
          <w:i/>
          <w:iCs/>
          <w:snapToGrid w:val="0"/>
          <w:szCs w:val="20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i/>
          <w:iCs/>
          <w:snapToGrid w:val="0"/>
          <w:szCs w:val="20"/>
        </w:rPr>
        <w:t>Campylobacter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>;</w:t>
      </w:r>
    </w:p>
    <w:p w:rsidR="000551F3" w:rsidRDefault="000551F3" w:rsidP="000551F3">
      <w:pPr>
        <w:numPr>
          <w:ilvl w:val="0"/>
          <w:numId w:val="1"/>
        </w:numPr>
        <w:tabs>
          <w:tab w:val="left" w:pos="993"/>
        </w:tabs>
        <w:spacing w:after="0" w:line="260" w:lineRule="exact"/>
        <w:ind w:hanging="11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 xml:space="preserve">jeigu Jums draudžiama slopinti žarnų peristaltiką dėl galimos pavojingų pasekmių (žarnų nepraeinamumas, </w:t>
      </w:r>
      <w:proofErr w:type="spellStart"/>
      <w:r>
        <w:rPr>
          <w:rFonts w:ascii="Times New Roman" w:eastAsiaTheme="minorEastAsia" w:hAnsi="Times New Roman" w:cs="Times New Roman"/>
          <w:i/>
          <w:snapToGrid w:val="0"/>
          <w:szCs w:val="20"/>
          <w:lang w:eastAsia="lt-LT"/>
        </w:rPr>
        <w:t>megacolon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 xml:space="preserve"> ar toksinė </w:t>
      </w:r>
      <w:proofErr w:type="spellStart"/>
      <w:r>
        <w:rPr>
          <w:rFonts w:ascii="Times New Roman" w:eastAsiaTheme="minorEastAsia" w:hAnsi="Times New Roman" w:cs="Times New Roman"/>
          <w:i/>
          <w:snapToGrid w:val="0"/>
          <w:szCs w:val="20"/>
          <w:lang w:eastAsia="lt-LT"/>
        </w:rPr>
        <w:t>megacolon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>) išsivystymo rizikos.</w:t>
      </w:r>
    </w:p>
    <w:p w:rsidR="000551F3" w:rsidRDefault="000551F3" w:rsidP="000551F3">
      <w:p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Įspėjimai ir atsargumo priemonės 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Pasitarkite su gydytoju arba vaistininku, prieš pradėdami vartoti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>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noProof/>
          <w:snapToGrid w:val="0"/>
          <w:szCs w:val="20"/>
        </w:rPr>
      </w:pPr>
      <w:r>
        <w:rPr>
          <w:rFonts w:ascii="Times New Roman" w:eastAsiaTheme="minorEastAsia" w:hAnsi="Times New Roman" w:cs="Times New Roman"/>
          <w:noProof/>
          <w:snapToGrid w:val="0"/>
          <w:szCs w:val="20"/>
        </w:rPr>
        <w:t xml:space="preserve">Jei ūminio viduriavimo metu, per 48 valandas kliniškai nestebimas pagerėjimas,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Aloper</w:t>
      </w:r>
      <w:proofErr w:type="spellEnd"/>
      <w:r>
        <w:rPr>
          <w:rFonts w:ascii="Times New Roman" w:eastAsiaTheme="minorEastAsia" w:hAnsi="Times New Roman" w:cs="Times New Roman"/>
          <w:noProof/>
          <w:snapToGrid w:val="0"/>
          <w:szCs w:val="20"/>
        </w:rPr>
        <w:t xml:space="preserve"> vartojimą reikia nutraukti ir kreiptis į gydytoją.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noProof/>
          <w:snapToGrid w:val="0"/>
          <w:szCs w:val="20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hAnsi="Times New Roman"/>
        </w:rPr>
        <w:lastRenderedPageBreak/>
        <w:t xml:space="preserve">Nors ir nėra duomenų apie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savybes pacientams, kurių kepenų funkcija sutrikusi, tokie pacientai turi atsargiai vartoti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eastAsiaTheme="minorEastAsia" w:hAnsi="Times New Roman" w:cs="Times New Roman"/>
          <w:snapToGrid w:val="0"/>
          <w:szCs w:val="20"/>
        </w:rPr>
        <w:t>Jeigu šiuo vaistu gydomi pacientai, kurių kepenų funkcija sutrikusi, gydytojas atidžiai stebės, ar neatsiranda toksinio poveikio centrinei nervų sistemai.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Jeigu Jums yra sunkus kepenų funkcijos sutrikimas prieš vartodami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pasitarkite su gydytoju.  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noProof/>
          <w:snapToGrid w:val="0"/>
          <w:szCs w:val="20"/>
        </w:rPr>
      </w:pPr>
      <w:r>
        <w:rPr>
          <w:rFonts w:ascii="Times New Roman" w:eastAsiaTheme="minorEastAsia" w:hAnsi="Times New Roman" w:cs="Times New Roman"/>
          <w:noProof/>
          <w:snapToGrid w:val="0"/>
          <w:szCs w:val="20"/>
        </w:rPr>
        <w:t>Viduriavimo gydymas Aloper yra tik simptominis. Kai tik galima nustatyti ligą sukėlusią priežastį, turi būti paskirtas specifinis gydymas, jeigu jo reikia.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noProof/>
          <w:snapToGrid w:val="0"/>
          <w:szCs w:val="20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Viduriuojantiems pacientams gali atsirasti skysčio ir elektrolitų trūkumas. Tokiais atvejais svarbiausia priemonė pakankamas skysčio vartojimas ir elektrolitų pakeičiamojo gydymo taikymas. 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bCs/>
          <w:noProof/>
          <w:snapToGrid w:val="0"/>
          <w:szCs w:val="20"/>
        </w:rPr>
      </w:pPr>
      <w:r>
        <w:rPr>
          <w:rFonts w:ascii="Times New Roman" w:hAnsi="Times New Roman"/>
        </w:rPr>
        <w:t xml:space="preserve">ŽIV sergantys pacientai, dėl viduriavimo vartojantys </w:t>
      </w:r>
      <w:proofErr w:type="spellStart"/>
      <w:r>
        <w:rPr>
          <w:rFonts w:ascii="Times New Roman" w:hAnsi="Times New Roman"/>
        </w:rPr>
        <w:t>loperamido</w:t>
      </w:r>
      <w:proofErr w:type="spellEnd"/>
      <w:r>
        <w:rPr>
          <w:rFonts w:ascii="Times New Roman" w:hAnsi="Times New Roman"/>
        </w:rPr>
        <w:t>, gydymą juo turi nutraukti, vos tik pasireiškia pirmieji pilvo pūtimo požymiai, ir kreiptis į gydytoją</w:t>
      </w:r>
      <w:r>
        <w:rPr>
          <w:rFonts w:ascii="Times New Roman" w:eastAsiaTheme="minorEastAsia" w:hAnsi="Times New Roman" w:cs="Times New Roman"/>
          <w:bCs/>
          <w:noProof/>
          <w:snapToGrid w:val="0"/>
          <w:szCs w:val="20"/>
        </w:rPr>
        <w:t>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Šio vaisto negalima vartoti kita nei numatyta paskirtimi (žr. 1 skyrių) ir vartoti didesnio nei rekomenduojama jo kiekio (žr. 3 skyrių). Gauta pranešimų apie sunkius širdies veiklos sutrikimus (jų 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simptomai – pagreitėjęs arba nereguliarus širdies ritmas) pacientams, kurie išgėrė per daug </w:t>
      </w:r>
      <w:proofErr w:type="spellStart"/>
      <w:r>
        <w:rPr>
          <w:rFonts w:ascii="Times New Roman" w:hAnsi="Times New Roman"/>
        </w:rPr>
        <w:t>loperamido</w:t>
      </w:r>
      <w:proofErr w:type="spellEnd"/>
      <w:r>
        <w:rPr>
          <w:rFonts w:ascii="Times New Roman" w:hAnsi="Times New Roman"/>
        </w:rPr>
        <w:t xml:space="preserve"> (veikliosios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medžiagos). </w:t>
      </w: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Kiti vaistai ir </w:t>
      </w: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Aloper</w:t>
      </w:r>
      <w:proofErr w:type="spellEnd"/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noProof/>
          <w:snapToGrid w:val="0"/>
          <w:szCs w:val="20"/>
        </w:rPr>
        <w:t>Jeigu vartojate ar neseniai vartojote kitų vaistų arba dėl to nesate tikri, apie tai pasakykite gydytojui arba vaistininkui.</w:t>
      </w:r>
    </w:p>
    <w:p w:rsidR="000551F3" w:rsidRDefault="000551F3" w:rsidP="000551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Būtinai pasakykite gydytojui, jei vartojate šių vaistų:</w:t>
      </w:r>
    </w:p>
    <w:p w:rsidR="000551F3" w:rsidRDefault="000551F3" w:rsidP="000551F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chinidino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(širdies ritmo sutrikimui gydyti);</w:t>
      </w:r>
    </w:p>
    <w:p w:rsidR="000551F3" w:rsidRDefault="000551F3" w:rsidP="000551F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ritonaviro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(vaisto nuo virusų, pvz., ŽIV);</w:t>
      </w:r>
    </w:p>
    <w:p w:rsidR="000551F3" w:rsidRDefault="000551F3" w:rsidP="000551F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itrakonazolo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ketokonazolo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(priešgrybelinių vaistų);</w:t>
      </w:r>
    </w:p>
    <w:p w:rsidR="000551F3" w:rsidRDefault="000551F3" w:rsidP="000551F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gemfibrozilio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(</w:t>
      </w:r>
      <w:r>
        <w:rPr>
          <w:rFonts w:ascii="Times New Roman" w:eastAsiaTheme="minorEastAsia" w:hAnsi="Times New Roman" w:cs="Times New Roman"/>
          <w:noProof/>
          <w:snapToGrid w:val="0"/>
          <w:szCs w:val="20"/>
        </w:rPr>
        <w:t>cholesterolio kiekiui mažinti)</w:t>
      </w:r>
      <w:r>
        <w:rPr>
          <w:rFonts w:ascii="Times New Roman" w:eastAsiaTheme="minorEastAsia" w:hAnsi="Times New Roman" w:cs="Times New Roman"/>
          <w:snapToGrid w:val="0"/>
          <w:szCs w:val="20"/>
        </w:rPr>
        <w:t>;</w:t>
      </w:r>
    </w:p>
    <w:p w:rsidR="000551F3" w:rsidRDefault="000551F3" w:rsidP="000551F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geriamojo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desmopresino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(vaisto nuo pernelyg gausaus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šlapinimosi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>).</w:t>
      </w:r>
    </w:p>
    <w:p w:rsidR="000551F3" w:rsidRDefault="000551F3" w:rsidP="000551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Manoma, kad vaistai, pasižymintys panašiomis farmakologinėmis savybėmis, gali sustiprinti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loperamido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poveikį, o vaistai, kurie greitina žarnyno peristaltiką, gali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susilpninti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loperamido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poveikį.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noProof/>
          <w:snapToGrid w:val="0"/>
          <w:szCs w:val="20"/>
        </w:rPr>
      </w:pPr>
      <w:r>
        <w:rPr>
          <w:rFonts w:ascii="Times New Roman" w:eastAsiaTheme="minorEastAsia" w:hAnsi="Times New Roman" w:cs="Times New Roman"/>
          <w:b/>
          <w:bCs/>
          <w:noProof/>
          <w:snapToGrid w:val="0"/>
          <w:szCs w:val="20"/>
        </w:rPr>
        <w:t>Nėštumas ir žindymo laikotarpis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noProof/>
          <w:snapToGrid w:val="0"/>
          <w:szCs w:val="20"/>
        </w:rPr>
        <w:t>Jeigu esate nėščia, žindote kūdikį, manote, kad galbūt esate nėščia, arba planuojate pastoti, tai prieš vartodama šį vaistą, pasitarkite su gydytoju arba vaistininku</w:t>
      </w: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>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u w:val="single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u w:val="single"/>
        </w:rPr>
      </w:pPr>
      <w:r>
        <w:rPr>
          <w:rFonts w:ascii="Times New Roman" w:eastAsiaTheme="minorEastAsia" w:hAnsi="Times New Roman" w:cs="Times New Roman"/>
          <w:snapToGrid w:val="0"/>
          <w:szCs w:val="20"/>
          <w:u w:val="single"/>
        </w:rPr>
        <w:t>Nėštumas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Moterims nėštumo laikotarpiu, ypač pirmus tris mėnesius, gydytojas gali paskirti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tik nustatęs, kad nauda bus didesnė už galimą žalą. 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u w:val="single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u w:val="single"/>
        </w:rPr>
      </w:pPr>
      <w:r>
        <w:rPr>
          <w:rFonts w:ascii="Times New Roman" w:eastAsiaTheme="minorEastAsia" w:hAnsi="Times New Roman" w:cs="Times New Roman"/>
          <w:snapToGrid w:val="0"/>
          <w:szCs w:val="20"/>
          <w:u w:val="single"/>
        </w:rPr>
        <w:t>Žindymo laikotarpis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noProof/>
          <w:snapToGrid w:val="0"/>
          <w:szCs w:val="20"/>
        </w:rPr>
        <w:t xml:space="preserve">Maži loperamido kiekiai gali patekti į motinos pieną, todėl kūdikį krūtimi maitinančioms moterims vartoti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Aloper</w:t>
      </w:r>
      <w:proofErr w:type="spellEnd"/>
      <w:r>
        <w:rPr>
          <w:rFonts w:ascii="Times New Roman" w:eastAsiaTheme="minorEastAsia" w:hAnsi="Times New Roman" w:cs="Times New Roman"/>
          <w:noProof/>
          <w:snapToGrid w:val="0"/>
          <w:szCs w:val="20"/>
        </w:rPr>
        <w:t xml:space="preserve"> nerekomenduojama.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Vairavimas ir mechanizmų valdymas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noProof/>
          <w:snapToGrid w:val="0"/>
          <w:szCs w:val="20"/>
        </w:rPr>
        <w:t xml:space="preserve">Viduriavimą gydant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įtakos gali turėti atsiradęs</w:t>
      </w:r>
      <w:r>
        <w:rPr>
          <w:rFonts w:ascii="Times New Roman" w:eastAsiaTheme="minorEastAsia" w:hAnsi="Times New Roman" w:cs="Times New Roman"/>
          <w:noProof/>
          <w:snapToGrid w:val="0"/>
          <w:szCs w:val="20"/>
        </w:rPr>
        <w:t xml:space="preserve"> nuovargis, svaigulys arba mieguistumas, todėl reikalingas atsargumas vairuojant ar valdant mechanizmus</w:t>
      </w:r>
      <w:r>
        <w:rPr>
          <w:rFonts w:ascii="Times New Roman" w:eastAsiaTheme="minorEastAsia" w:hAnsi="Times New Roman" w:cs="Times New Roman"/>
          <w:snapToGrid w:val="0"/>
          <w:szCs w:val="20"/>
        </w:rPr>
        <w:t>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b/>
          <w:bCs/>
          <w:snapToGrid w:val="0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4"/>
        </w:rPr>
        <w:t>Aloper</w:t>
      </w:r>
      <w:proofErr w:type="spellEnd"/>
      <w:r>
        <w:rPr>
          <w:rFonts w:ascii="Times New Roman" w:eastAsiaTheme="minorEastAsia" w:hAnsi="Times New Roman" w:cs="Times New Roman"/>
          <w:b/>
          <w:bCs/>
          <w:snapToGrid w:val="0"/>
          <w:szCs w:val="24"/>
        </w:rPr>
        <w:t xml:space="preserve"> sudėtyje yra natrio.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Šio vaisto vienoje tabletėje yra mažiau kaip 1 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mmol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 xml:space="preserve"> (23 mg) natrio,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t.y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>. jis beveik neturi reikšmės.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  <w:t>3.</w:t>
      </w:r>
      <w:r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  <w:tab/>
        <w:t xml:space="preserve">Kaip vartoti </w:t>
      </w: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  <w:t>Aloper</w:t>
      </w:r>
      <w:proofErr w:type="spellEnd"/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noProof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lastRenderedPageBreak/>
        <w:t>Visada vartokite šį vaistą tiksliai kaip nurodė gydytojas.</w:t>
      </w:r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Jeigu abejojate, kreipkitės į gydytoją arba vaistininką.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i/>
          <w:snapToGrid w:val="0"/>
          <w:szCs w:val="20"/>
          <w:lang w:eastAsia="lt-LT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i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i/>
          <w:snapToGrid w:val="0"/>
          <w:szCs w:val="20"/>
          <w:lang w:eastAsia="lt-LT"/>
        </w:rPr>
        <w:t>Suaugusiesiems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 xml:space="preserve">Rekomenduojama dozė iš pradžių yra dvi  tabletes, vėliau po kiekvieno tuštinimosi skystomis išmatomis - po vieną </w:t>
      </w:r>
      <w:r>
        <w:rPr>
          <w:rFonts w:ascii="Times New Roman" w:eastAsiaTheme="minorEastAsia" w:hAnsi="Times New Roman" w:cs="Times New Roman"/>
          <w:noProof/>
          <w:snapToGrid w:val="0"/>
          <w:szCs w:val="20"/>
        </w:rPr>
        <w:t xml:space="preserve"> </w:t>
      </w: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>tabletę.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>Paros dozė – ne daugiau kaip 4</w:t>
      </w:r>
      <w:r>
        <w:rPr>
          <w:rFonts w:ascii="Times New Roman" w:eastAsiaTheme="minorEastAsia" w:hAnsi="Times New Roman" w:cs="Times New Roman"/>
          <w:noProof/>
          <w:snapToGrid w:val="0"/>
          <w:szCs w:val="20"/>
        </w:rPr>
        <w:t xml:space="preserve"> </w:t>
      </w: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>tabletės.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b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b/>
          <w:snapToGrid w:val="0"/>
          <w:szCs w:val="20"/>
          <w:lang w:eastAsia="lt-LT"/>
        </w:rPr>
        <w:t>Vartojimas vaikams ir paaugliams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i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i/>
          <w:snapToGrid w:val="0"/>
          <w:szCs w:val="20"/>
          <w:lang w:eastAsia="lt-LT"/>
        </w:rPr>
        <w:t>Vyresniems kaip 12 metų paaugliams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 xml:space="preserve">Pradėjus ūmiai viduriuoti ir po kiekvieno tuštinimosi skystomis išmatomis, reikia gerti po vieną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Aloper</w:t>
      </w:r>
      <w:proofErr w:type="spellEnd"/>
      <w:r>
        <w:rPr>
          <w:rFonts w:ascii="Times New Roman" w:eastAsiaTheme="minorEastAsia" w:hAnsi="Times New Roman" w:cs="Times New Roman"/>
          <w:noProof/>
          <w:snapToGrid w:val="0"/>
          <w:szCs w:val="20"/>
        </w:rPr>
        <w:t xml:space="preserve"> tabletę.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 xml:space="preserve">Paros dozė – ne daugiau kaip 4 </w:t>
      </w:r>
      <w:r>
        <w:rPr>
          <w:rFonts w:ascii="Times New Roman" w:eastAsiaTheme="minorEastAsia" w:hAnsi="Times New Roman" w:cs="Times New Roman"/>
          <w:noProof/>
          <w:snapToGrid w:val="0"/>
          <w:szCs w:val="20"/>
        </w:rPr>
        <w:t xml:space="preserve"> </w:t>
      </w: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>tabletės.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i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i/>
          <w:snapToGrid w:val="0"/>
          <w:szCs w:val="20"/>
          <w:lang w:eastAsia="lt-LT"/>
        </w:rPr>
        <w:t>Vaikai ir paaugliai iki 12 metų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 xml:space="preserve">  vaikams ir paaugliams iki 12 metų amžiaus vartoti negalima.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</w:p>
    <w:p w:rsidR="000551F3" w:rsidRDefault="000551F3" w:rsidP="000551F3">
      <w:pPr>
        <w:keepNext/>
        <w:keepLines/>
        <w:tabs>
          <w:tab w:val="left" w:pos="567"/>
        </w:tabs>
        <w:spacing w:after="0" w:line="240" w:lineRule="auto"/>
        <w:outlineLvl w:val="5"/>
        <w:rPr>
          <w:rFonts w:ascii="Times New Roman" w:eastAsiaTheme="minorEastAsia" w:hAnsi="Times New Roman" w:cs="Times New Roman"/>
          <w:i/>
          <w:snapToGrid w:val="0"/>
          <w:szCs w:val="20"/>
          <w:u w:val="single"/>
        </w:rPr>
      </w:pPr>
      <w:r>
        <w:rPr>
          <w:rFonts w:ascii="Times New Roman" w:eastAsiaTheme="minorEastAsia" w:hAnsi="Times New Roman" w:cs="Times New Roman"/>
          <w:i/>
          <w:iCs/>
          <w:snapToGrid w:val="0"/>
          <w:szCs w:val="20"/>
          <w:u w:val="single"/>
        </w:rPr>
        <w:t>Senyvo amžiaus pacientams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Tokio amžiaus pacientams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dozės keisti nereikia. 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keepNext/>
        <w:keepLines/>
        <w:tabs>
          <w:tab w:val="left" w:pos="567"/>
        </w:tabs>
        <w:spacing w:after="0" w:line="240" w:lineRule="auto"/>
        <w:outlineLvl w:val="5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Pacientai, kurių inkstų funkcija sutrikusi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Pacientams, kurių inkstų funkcija sutrikusi,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dozės koreguoti nereikia.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0551F3" w:rsidRDefault="000551F3" w:rsidP="000551F3">
      <w:pPr>
        <w:keepNext/>
        <w:keepLines/>
        <w:tabs>
          <w:tab w:val="left" w:pos="567"/>
        </w:tabs>
        <w:spacing w:after="0" w:line="240" w:lineRule="auto"/>
        <w:outlineLvl w:val="5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Pacientai, kurių kepenų funkcija sutrikusi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  <w:r>
        <w:rPr>
          <w:rFonts w:ascii="Times New Roman" w:hAnsi="Times New Roman"/>
        </w:rPr>
        <w:t xml:space="preserve">Pacientai, kurių kepenų funkcija sutrikusi,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turi vartoti atsargiai</w:t>
      </w: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>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u w:val="single"/>
          <w:lang w:eastAsia="lt-LT"/>
        </w:rPr>
      </w:pPr>
      <w:r>
        <w:rPr>
          <w:rFonts w:ascii="Times New Roman" w:eastAsiaTheme="minorEastAsia" w:hAnsi="Times New Roman" w:cs="Times New Roman"/>
          <w:snapToGrid w:val="0"/>
          <w:szCs w:val="20"/>
          <w:u w:val="single"/>
          <w:lang w:eastAsia="lt-LT"/>
        </w:rPr>
        <w:t>Vartojimo metodas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>Tabletes reikia nuryti nesukramtytas užsigeriant stikline skysčio (pvz., vandens).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 xml:space="preserve">Jei ūminio viduriavimo metu pradėjus gydyti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Aloper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 xml:space="preserve">  sveikata nepagerėja per 48 valandas, reikia nustoti vartoti vaistą. 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Ką daryti pavartojus per didelę </w:t>
      </w: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Aloper</w:t>
      </w:r>
      <w:proofErr w:type="spellEnd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 dozę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Vaisto perdozavus (įskaitant ir santykinį perdozavimą, t. y. jei kepenų funkcija yra nepakankama), gali pasireikšti centrinės nervų sistemos funkcijos slopinimas </w:t>
      </w:r>
      <w:r>
        <w:rPr>
          <w:rFonts w:ascii="Times New Roman" w:hAnsi="Times New Roman"/>
        </w:rPr>
        <w:t xml:space="preserve">(paciento </w:t>
      </w:r>
      <w:proofErr w:type="spellStart"/>
      <w:r>
        <w:rPr>
          <w:rFonts w:ascii="Times New Roman" w:hAnsi="Times New Roman"/>
        </w:rPr>
        <w:t>nejudrumas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cs="Times New Roman"/>
          <w:snapToGrid w:val="0"/>
          <w:szCs w:val="20"/>
        </w:rPr>
        <w:t xml:space="preserve">ir nekalbumas, koordinacijos sutrikimas, mieguistumas, akies vyzdžio susiaurėjimas, raumenų tonuso padidėjimas, kvėpavimo slopinimas), susilaikyti šlapimas, prasidėti žarnų nepraeinamumas. 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  <w:lang w:eastAsia="lt-LT"/>
        </w:rPr>
      </w:pPr>
      <w:r>
        <w:rPr>
          <w:rFonts w:ascii="Times New Roman" w:eastAsiaTheme="minorEastAsia" w:hAnsi="Times New Roman" w:cs="Times New Roman"/>
          <w:snapToGrid w:val="0"/>
          <w:szCs w:val="20"/>
          <w:lang w:eastAsia="lt-LT"/>
        </w:rPr>
        <w:t>Vaikų centrinę nervų sistemą vaistas veikia stipriau negu suaugusių žmonių.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pavartojote per daug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, nedelsdami kreipkitės patarimo į gydytoją arba ligoninę. Jums gali pasireikšti šie simptomai: padažnėjęs širdies plakimas, nereguliarus širdies ritmas, pakitęs širdies plakimas (šie simptomai gali turėti sunkių, grėsmę gyvybei keliančių padarinių), raumenų 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stingulys, nekoordinuoti judesiai, mieguistumas, </w:t>
      </w:r>
      <w:proofErr w:type="spellStart"/>
      <w:r>
        <w:rPr>
          <w:rFonts w:ascii="Times New Roman" w:hAnsi="Times New Roman"/>
        </w:rPr>
        <w:t>šlapinimosi</w:t>
      </w:r>
      <w:proofErr w:type="spellEnd"/>
      <w:r>
        <w:rPr>
          <w:rFonts w:ascii="Times New Roman" w:hAnsi="Times New Roman"/>
        </w:rPr>
        <w:t xml:space="preserve"> sunkumai arba paviršutiniškas kvėpavimas. 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hAnsi="Times New Roman"/>
        </w:rPr>
        <w:t xml:space="preserve">Palyginti su suaugusiaisiais, vaikai stipriau reaguoja į didelį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kiekį. Jeigu vaikas išgėrė per didelę vaisto dozę arba jam pasireiškė bent vienas iš pirmiau minėtų simptomų, nedelsdami kreipkitės į gydytoją.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Atsiradus perdozavimo požymių, būtina kreiptis į  gydytoją. 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Pamiršus pavartoti </w:t>
      </w: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Aloper</w:t>
      </w:r>
      <w:proofErr w:type="spellEnd"/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Negalima vartoti dvigubos dozės norint kompensuoti praleistą tabletę.</w:t>
      </w: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Nustojus vartoti </w:t>
      </w: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Aloper</w:t>
      </w:r>
      <w:proofErr w:type="spellEnd"/>
    </w:p>
    <w:p w:rsidR="000551F3" w:rsidRDefault="000551F3" w:rsidP="000551F3">
      <w:pPr>
        <w:numPr>
          <w:ilvl w:val="12"/>
          <w:numId w:val="0"/>
        </w:numPr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Jeigu kiltų daugiau klausimų dėl šio vaisto vartojimo, kreipkitės į gydytoją arba vaistininką.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  <w:lastRenderedPageBreak/>
        <w:t>4.</w:t>
      </w:r>
      <w:r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  <w:tab/>
        <w:t>Galimas šalutinis poveikis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Theme="minorEastAsia" w:hAnsi="Times New Roman" w:cs="Times New Roman"/>
          <w:noProof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Šis vaistas, kaip ir visi kiti, gali sukelti šalutinį poveikį, nors jis pasireiškia ne visiems žmonėms.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Theme="minorEastAsia" w:hAnsi="Times New Roman" w:cs="Times New Roman"/>
          <w:noProof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Theme="minorEastAsia" w:hAnsi="Times New Roman" w:cs="Times New Roman"/>
          <w:noProof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Nedelsiant kreipkitės medicininės pagalbos, jeigu Jums pasireiškė vienas iš šių požymių:</w:t>
      </w:r>
    </w:p>
    <w:p w:rsidR="000551F3" w:rsidRDefault="000551F3" w:rsidP="000551F3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9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šlapimo susilaikymas;</w:t>
      </w:r>
    </w:p>
    <w:p w:rsidR="000551F3" w:rsidRDefault="000551F3" w:rsidP="000551F3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9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pilvo skausmas;</w:t>
      </w:r>
    </w:p>
    <w:p w:rsidR="000551F3" w:rsidRDefault="000551F3" w:rsidP="000551F3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9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sunkus vidurių užkietėjimas</w:t>
      </w:r>
    </w:p>
    <w:p w:rsidR="000551F3" w:rsidRDefault="000551F3" w:rsidP="000551F3">
      <w:pPr>
        <w:spacing w:after="0" w:line="240" w:lineRule="auto"/>
        <w:ind w:right="-29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autoSpaceDE w:val="0"/>
        <w:spacing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autoSpaceDE w:val="0"/>
        <w:spacing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Dažni šalutinio poveikio reiškiniai (gali pasireikšti rečiau kaip 1 iš 10 asmenų):</w:t>
      </w:r>
    </w:p>
    <w:p w:rsidR="000551F3" w:rsidRDefault="000551F3" w:rsidP="000551F3">
      <w:pPr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galvos skausmas;</w:t>
      </w:r>
    </w:p>
    <w:p w:rsidR="000551F3" w:rsidRDefault="000551F3" w:rsidP="000551F3">
      <w:pPr>
        <w:numPr>
          <w:ilvl w:val="0"/>
          <w:numId w:val="6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pykinimas;</w:t>
      </w:r>
    </w:p>
    <w:p w:rsidR="000551F3" w:rsidRDefault="000551F3" w:rsidP="000551F3">
      <w:pPr>
        <w:numPr>
          <w:ilvl w:val="0"/>
          <w:numId w:val="6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skonio </w:t>
      </w:r>
      <w:r>
        <w:rPr>
          <w:rFonts w:ascii="Times New Roman" w:hAnsi="Times New Roman"/>
        </w:rPr>
        <w:t>pokyčiai</w:t>
      </w:r>
      <w:r>
        <w:rPr>
          <w:rFonts w:ascii="Times New Roman" w:eastAsiaTheme="minorEastAsia" w:hAnsi="Times New Roman" w:cs="Times New Roman"/>
          <w:snapToGrid w:val="0"/>
          <w:szCs w:val="20"/>
        </w:rPr>
        <w:t>;</w:t>
      </w:r>
    </w:p>
    <w:p w:rsidR="000551F3" w:rsidRDefault="000551F3" w:rsidP="000551F3">
      <w:pPr>
        <w:autoSpaceDE w:val="0"/>
        <w:spacing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autoSpaceDE w:val="0"/>
        <w:spacing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Nedažni šalutinio poveikio reiškiniai (gali pasireikšti rečiau kaip 1 iš 100 asmenų):</w:t>
      </w:r>
    </w:p>
    <w:p w:rsidR="000551F3" w:rsidRDefault="000551F3" w:rsidP="000551F3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mieguistumas;</w:t>
      </w:r>
    </w:p>
    <w:p w:rsidR="000551F3" w:rsidRDefault="000551F3" w:rsidP="000551F3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svaigulys;</w:t>
      </w:r>
    </w:p>
    <w:p w:rsidR="000551F3" w:rsidRDefault="000551F3" w:rsidP="000551F3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pilvo skausmas;</w:t>
      </w:r>
    </w:p>
    <w:p w:rsidR="000551F3" w:rsidRDefault="000551F3" w:rsidP="000551F3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pilvo pūtimas;</w:t>
      </w:r>
    </w:p>
    <w:p w:rsidR="000551F3" w:rsidRDefault="000551F3" w:rsidP="000551F3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vidurių užkietėjimas;</w:t>
      </w:r>
    </w:p>
    <w:p w:rsidR="000551F3" w:rsidRDefault="000551F3" w:rsidP="000551F3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vėmimas;</w:t>
      </w:r>
    </w:p>
    <w:p w:rsidR="000551F3" w:rsidRDefault="000551F3" w:rsidP="000551F3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virškinimo sutrikimas;</w:t>
      </w:r>
    </w:p>
    <w:p w:rsidR="000551F3" w:rsidRDefault="000551F3" w:rsidP="000551F3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burnos džiūvimas</w:t>
      </w:r>
    </w:p>
    <w:p w:rsidR="000551F3" w:rsidRDefault="000551F3" w:rsidP="000551F3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išbėrimas;</w:t>
      </w:r>
    </w:p>
    <w:p w:rsidR="000551F3" w:rsidRDefault="000551F3" w:rsidP="000551F3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silpnumas.</w:t>
      </w:r>
    </w:p>
    <w:p w:rsidR="000551F3" w:rsidRDefault="000551F3" w:rsidP="000551F3">
      <w:pPr>
        <w:autoSpaceDE w:val="0"/>
        <w:spacing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autoSpaceDE w:val="0"/>
        <w:spacing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Reti šalutinio poveikio reiškiniai (gali pasireikšti rečiau kaip 1 iš 1 000 asmenų):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padidėjusio jautrumo reakcijos, įskaitant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anafilaktinį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šoką;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sąmonės sutrikimai;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pusiausvyros sutrikimai;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arterinio kraujo spaudimo padidėjimas;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vyzdžių susiaurėjimas;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žarnų nepraeinamumas;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pūslinis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odos išbėrimas (įskaitant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Stivenso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ir Džonsono sindromą, toksinę epidermio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nekrolizę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 xml:space="preserve"> ir daugiaformę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0"/>
        </w:rPr>
        <w:t>eritemą</w:t>
      </w:r>
      <w:proofErr w:type="spellEnd"/>
      <w:r>
        <w:rPr>
          <w:rFonts w:ascii="Times New Roman" w:eastAsiaTheme="minorEastAsia" w:hAnsi="Times New Roman" w:cs="Times New Roman"/>
          <w:snapToGrid w:val="0"/>
          <w:szCs w:val="20"/>
        </w:rPr>
        <w:t>);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dilgėlinė;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niežulys;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šlapimo susilaikymas;</w:t>
      </w:r>
    </w:p>
    <w:p w:rsidR="000551F3" w:rsidRDefault="000551F3" w:rsidP="000551F3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nuovargis.</w:t>
      </w:r>
    </w:p>
    <w:p w:rsidR="000551F3" w:rsidRDefault="000551F3" w:rsidP="000551F3">
      <w:pPr>
        <w:tabs>
          <w:tab w:val="left" w:pos="567"/>
        </w:tabs>
        <w:autoSpaceDE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tabs>
          <w:tab w:val="left" w:pos="567"/>
        </w:tabs>
        <w:autoSpaceDE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>Dažnis nežinomas (negali būti apskaičiuotas pagal turimus duomenis)</w:t>
      </w:r>
    </w:p>
    <w:p w:rsidR="000551F3" w:rsidRDefault="000551F3" w:rsidP="000551F3">
      <w:pPr>
        <w:tabs>
          <w:tab w:val="left" w:pos="567"/>
        </w:tabs>
        <w:autoSpaceDE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pStyle w:val="Sraopastraipa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 w:rsidRPr="006A603E">
        <w:rPr>
          <w:rFonts w:ascii="Times New Roman" w:eastAsiaTheme="minorEastAsia" w:hAnsi="Times New Roman" w:cs="Times New Roman"/>
          <w:snapToGrid w:val="0"/>
          <w:szCs w:val="20"/>
        </w:rPr>
        <w:t xml:space="preserve">Viršutinės pilvo dalies skausmas, </w:t>
      </w:r>
      <w:r w:rsidRPr="00F82FE7">
        <w:rPr>
          <w:rFonts w:ascii="Times New Roman" w:eastAsiaTheme="minorEastAsia" w:hAnsi="Times New Roman" w:cs="Times New Roman"/>
          <w:snapToGrid w:val="0"/>
          <w:szCs w:val="20"/>
        </w:rPr>
        <w:t>į nugarą plintantis pilvo skausmas</w:t>
      </w:r>
      <w:r w:rsidRPr="006A603E">
        <w:rPr>
          <w:rFonts w:ascii="Times New Roman" w:eastAsiaTheme="minorEastAsia" w:hAnsi="Times New Roman" w:cs="Times New Roman"/>
          <w:snapToGrid w:val="0"/>
          <w:szCs w:val="20"/>
        </w:rPr>
        <w:t xml:space="preserve">, pilvo skausmingumas prisilietus, karščiavimas, padažnėjęs pulsas, pykinimas, vėmimas, kurie gali būti kasos uždegimo (ūminio pankreatito) simptomai. </w:t>
      </w:r>
    </w:p>
    <w:p w:rsidR="000551F3" w:rsidRDefault="000551F3" w:rsidP="000551F3">
      <w:pPr>
        <w:tabs>
          <w:tab w:val="left" w:pos="567"/>
        </w:tabs>
        <w:autoSpaceDE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Pr="006A603E" w:rsidRDefault="000551F3" w:rsidP="000551F3">
      <w:pPr>
        <w:tabs>
          <w:tab w:val="left" w:pos="567"/>
        </w:tabs>
        <w:autoSpaceDE w:val="0"/>
        <w:spacing w:after="0" w:line="240" w:lineRule="auto"/>
        <w:rPr>
          <w:rFonts w:ascii="Times New Roman" w:eastAsiaTheme="minorEastAsia" w:hAnsi="Times New Roman" w:cs="Times New Roman"/>
          <w:snapToGrid w:val="0"/>
          <w:szCs w:val="20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Jeigu pasireiškė bent viena iš šių nepageidaujamų reakcijų, nebevartokite vaisto ir nedelsiant kreipkitės medicininės pagalbos. </w:t>
      </w:r>
    </w:p>
    <w:p w:rsidR="000551F3" w:rsidRDefault="000551F3" w:rsidP="000551F3">
      <w:pPr>
        <w:autoSpaceDE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napToGrid w:val="0"/>
          <w:szCs w:val="20"/>
        </w:rPr>
      </w:pPr>
    </w:p>
    <w:p w:rsidR="000551F3" w:rsidRDefault="000551F3" w:rsidP="000551F3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b/>
          <w:snapToGrid w:val="0"/>
          <w:szCs w:val="24"/>
        </w:rPr>
      </w:pPr>
      <w:r>
        <w:rPr>
          <w:rFonts w:ascii="Times New Roman" w:eastAsiaTheme="minorEastAsia" w:hAnsi="Times New Roman" w:cs="Times New Roman"/>
          <w:b/>
          <w:noProof/>
          <w:snapToGrid w:val="0"/>
          <w:szCs w:val="24"/>
        </w:rPr>
        <w:t>Pranešimas apie šalutinį poveikį</w:t>
      </w:r>
    </w:p>
    <w:p w:rsidR="000551F3" w:rsidRDefault="000551F3" w:rsidP="000551F3">
      <w:pPr>
        <w:tabs>
          <w:tab w:val="left" w:pos="567"/>
        </w:tabs>
        <w:spacing w:after="0" w:line="260" w:lineRule="exact"/>
        <w:rPr>
          <w:rFonts w:ascii="Times New Roman" w:eastAsiaTheme="minorEastAsia" w:hAnsi="Times New Roman" w:cs="Times New Roman"/>
          <w:noProof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lastRenderedPageBreak/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>
          <w:rPr>
            <w:rStyle w:val="Hipersaitas"/>
            <w:rFonts w:eastAsiaTheme="minorEastAsia"/>
            <w:noProof/>
            <w:snapToGrid w:val="0"/>
            <w:szCs w:val="24"/>
          </w:rPr>
          <w:t>https://vapris.vvkt.lt/vvkt-web/public/nrv</w:t>
        </w:r>
      </w:hyperlink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 arba užpildant Paciento pranešimo apie įtariamą nepageidaujamą reakciją (ĮNR) formą, kuri skelbiama </w:t>
      </w:r>
      <w:hyperlink r:id="rId6" w:history="1">
        <w:r>
          <w:rPr>
            <w:rStyle w:val="Hipersaitas"/>
            <w:rFonts w:eastAsiaTheme="minorEastAsia"/>
            <w:noProof/>
            <w:snapToGrid w:val="0"/>
            <w:szCs w:val="24"/>
          </w:rPr>
          <w:t>https://www.vvkt.lt/index.php?4004286486</w:t>
        </w:r>
      </w:hyperlink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, ir atsiunčiant elektroniniu paštu (adresu </w:t>
      </w:r>
      <w:hyperlink r:id="rId7" w:history="1">
        <w:r>
          <w:rPr>
            <w:rStyle w:val="Hipersaitas"/>
            <w:rFonts w:eastAsiaTheme="minorEastAsia"/>
            <w:noProof/>
            <w:snapToGrid w:val="0"/>
            <w:szCs w:val="24"/>
          </w:rPr>
          <w:t>NepageidaujamaR@vvkt.lt</w:t>
        </w:r>
      </w:hyperlink>
      <w:r>
        <w:rPr>
          <w:rFonts w:ascii="Times New Roman" w:eastAsiaTheme="minorEastAsia" w:hAnsi="Times New Roman" w:cs="Times New Roman"/>
          <w:noProof/>
          <w:snapToGrid w:val="0"/>
          <w:szCs w:val="24"/>
        </w:rPr>
        <w:t>) arba nemokamu telefonu 8 800 73 568. Pranešdami apie šalutinį poveikį galite mums padėti gauti daugiau informacijos apie šio vaisto saugumą.</w:t>
      </w:r>
    </w:p>
    <w:p w:rsidR="000551F3" w:rsidRDefault="000551F3" w:rsidP="000551F3">
      <w:pPr>
        <w:tabs>
          <w:tab w:val="left" w:pos="567"/>
        </w:tabs>
        <w:spacing w:after="0" w:line="260" w:lineRule="exact"/>
        <w:rPr>
          <w:rFonts w:ascii="Times New Roman" w:eastAsiaTheme="minorEastAsia" w:hAnsi="Times New Roman" w:cs="Times New Roman"/>
          <w:noProof/>
          <w:snapToGrid w:val="0"/>
          <w:szCs w:val="24"/>
        </w:rPr>
      </w:pPr>
    </w:p>
    <w:p w:rsidR="000551F3" w:rsidRDefault="000551F3" w:rsidP="000551F3">
      <w:pPr>
        <w:tabs>
          <w:tab w:val="left" w:pos="567"/>
        </w:tabs>
        <w:spacing w:after="0" w:line="260" w:lineRule="exact"/>
        <w:ind w:right="-449"/>
        <w:rPr>
          <w:rFonts w:ascii="Times New Roman" w:eastAsiaTheme="minorEastAsia" w:hAnsi="Times New Roman" w:cs="Times New Roman"/>
          <w:noProof/>
          <w:snapToGrid w:val="0"/>
          <w:szCs w:val="24"/>
        </w:rPr>
      </w:pPr>
    </w:p>
    <w:p w:rsidR="000551F3" w:rsidRDefault="000551F3" w:rsidP="000551F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  <w:t>5.</w:t>
      </w:r>
      <w:r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  <w:tab/>
        <w:t xml:space="preserve">Kaip laikyti </w:t>
      </w: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Aloper</w:t>
      </w:r>
      <w:proofErr w:type="spellEnd"/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noProof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Šį vaistą laikykite vaikams nepastebimoje ir nepasiekiamoje vietoje.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Šiam vaistui specialių laikymo sąlygų nereikia.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Ant dėžutės ir lizdinės plokštelės po „Tinka iki“ nurodytam tinkamumo laikui pasibaigus, šio vaisto vartoti negalima.</w:t>
      </w:r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Vaistas tinkamas vartoti iki paskutinės nurodyto mėnesio dienos.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i/>
          <w:snapToGrid w:val="0"/>
          <w:szCs w:val="20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Vaistų negalima išmesti į kanalizaciją arba su buitinėmis atliekomis.</w:t>
      </w:r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Kaip išmesti nereikalingus vaistus, klauskite vaistininko.</w:t>
      </w:r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Šios priemonės padės apsaugoti aplinką.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noProof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noProof/>
          <w:snapToGrid w:val="0"/>
          <w:szCs w:val="24"/>
        </w:rPr>
      </w:pPr>
    </w:p>
    <w:p w:rsidR="000551F3" w:rsidRDefault="000551F3" w:rsidP="000551F3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  <w:t>6.</w:t>
      </w:r>
      <w:r>
        <w:rPr>
          <w:rFonts w:ascii="Times New Roman" w:eastAsiaTheme="minorEastAsia" w:hAnsi="Times New Roman" w:cs="Times New Roman"/>
          <w:bCs/>
          <w:snapToGrid w:val="0"/>
          <w:szCs w:val="26"/>
          <w:lang w:eastAsia="x-none"/>
        </w:rPr>
        <w:tab/>
      </w:r>
      <w:r>
        <w:rPr>
          <w:rFonts w:ascii="Times New Roman" w:eastAsiaTheme="minorEastAsia" w:hAnsi="Times New Roman" w:cs="Times New Roman"/>
          <w:b/>
          <w:bCs/>
          <w:snapToGrid w:val="0"/>
          <w:szCs w:val="26"/>
          <w:lang w:eastAsia="x-none"/>
        </w:rPr>
        <w:t>Pakuotės turinys ir kita informacija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Aloper</w:t>
      </w:r>
      <w:proofErr w:type="spellEnd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 sudėtis </w:t>
      </w:r>
    </w:p>
    <w:p w:rsidR="000551F3" w:rsidRDefault="000551F3" w:rsidP="000551F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Veikliosios medžiagos yra loperamido hidrochloridas ir simetikonas. Kiekvienoje tabletėje yra 2 mg loperamido hidrochlorido ir  simetikono, apskaičiuoto kaip 125 mg dimetikono.</w:t>
      </w:r>
    </w:p>
    <w:p w:rsidR="000551F3" w:rsidRDefault="000551F3" w:rsidP="000551F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Pagalbinės medžiagos yra </w:t>
      </w:r>
      <w:r>
        <w:rPr>
          <w:rFonts w:ascii="Times New Roman" w:eastAsiaTheme="minorEastAsia" w:hAnsi="Times New Roman" w:cs="Times New Roman"/>
          <w:i/>
          <w:snapToGrid w:val="0"/>
          <w:color w:val="008000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m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ikrokristalinė</w:t>
      </w:r>
      <w:proofErr w:type="spellEnd"/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 celiuliozė, karboksimetilkrakmolo A natrio druska,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h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ipromeliozė</w:t>
      </w:r>
      <w:proofErr w:type="spellEnd"/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, povidonas K30, bevandenis </w:t>
      </w:r>
      <w:r>
        <w:rPr>
          <w:rFonts w:ascii="Times New Roman" w:eastAsiaTheme="minorEastAsia" w:hAnsi="Times New Roman" w:cs="Times New Roman"/>
          <w:snapToGrid w:val="0"/>
          <w:szCs w:val="24"/>
        </w:rPr>
        <w:t>k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alcio fosfatas,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m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anitolis</w:t>
      </w:r>
      <w:proofErr w:type="spellEnd"/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, </w:t>
      </w:r>
      <w:r>
        <w:rPr>
          <w:rFonts w:ascii="Times New Roman" w:eastAsiaTheme="minorEastAsia" w:hAnsi="Times New Roman" w:cs="Times New Roman"/>
          <w:snapToGrid w:val="0"/>
          <w:szCs w:val="24"/>
        </w:rPr>
        <w:t>m</w:t>
      </w: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agnio stearatas.</w:t>
      </w:r>
    </w:p>
    <w:p w:rsidR="000551F3" w:rsidRDefault="000551F3" w:rsidP="000551F3">
      <w:p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Aloper</w:t>
      </w:r>
      <w:proofErr w:type="spellEnd"/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 xml:space="preserve"> išvaizda ir kiekis pakuotėje</w:t>
      </w:r>
    </w:p>
    <w:p w:rsidR="000551F3" w:rsidRDefault="000551F3" w:rsidP="000551F3">
      <w:pPr>
        <w:spacing w:after="0" w:line="240" w:lineRule="auto"/>
        <w:rPr>
          <w:rFonts w:ascii="Times New Roman" w:eastAsiaTheme="minorEastAsia" w:hAnsi="Times New Roman" w:cs="Times New Roman"/>
          <w:noProof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Baltos ar balkšvos spalvos, 8 – 17,4  mm ilgio ir 6,5 – 7 mm pločio kapsulės formos tabletės su vienoje pusėje įspaustu užrašu „LO-SI“ ir kitoje pusėje abipus vagelės „2“ ir „125“.</w:t>
      </w:r>
    </w:p>
    <w:p w:rsidR="000551F3" w:rsidRDefault="000551F3" w:rsidP="000551F3">
      <w:pPr>
        <w:spacing w:after="0" w:line="240" w:lineRule="auto"/>
        <w:rPr>
          <w:rFonts w:ascii="Times New Roman" w:eastAsiaTheme="minorEastAsia" w:hAnsi="Times New Roman" w:cs="Times New Roman"/>
          <w:noProof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Vagelė skirta tik tabletei perlaužti, kad būtų lengviau nuryti, bet ne jai padalyti į lygias dozes.</w:t>
      </w:r>
    </w:p>
    <w:p w:rsidR="000551F3" w:rsidRDefault="000551F3" w:rsidP="000551F3">
      <w:pPr>
        <w:spacing w:after="0" w:line="240" w:lineRule="auto"/>
        <w:rPr>
          <w:rFonts w:ascii="Times New Roman" w:eastAsiaTheme="minorEastAsia" w:hAnsi="Times New Roman" w:cs="Times New Roman"/>
          <w:noProof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 xml:space="preserve">PVC/ACLAR –aliuminio arba PVC/PVdC – aliuminio lizdinė plokštelė, kurioje yra 10 tablečių. </w:t>
      </w:r>
    </w:p>
    <w:p w:rsidR="000551F3" w:rsidRDefault="000551F3" w:rsidP="000551F3">
      <w:pPr>
        <w:spacing w:after="0" w:line="240" w:lineRule="auto"/>
        <w:rPr>
          <w:rFonts w:ascii="Times New Roman" w:eastAsiaTheme="minorEastAsia" w:hAnsi="Times New Roman" w:cs="Times New Roman"/>
          <w:noProof/>
          <w:snapToGrid w:val="0"/>
          <w:szCs w:val="24"/>
        </w:rPr>
      </w:pPr>
      <w:r>
        <w:rPr>
          <w:rFonts w:ascii="Times New Roman" w:eastAsiaTheme="minorEastAsia" w:hAnsi="Times New Roman" w:cs="Times New Roman"/>
          <w:noProof/>
          <w:snapToGrid w:val="0"/>
          <w:szCs w:val="24"/>
        </w:rPr>
        <w:t>Kartono dėžutėje yra dvi lizdinės plokštelės.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Cs w:val="28"/>
          <w:lang w:eastAsia="x-none"/>
        </w:rPr>
        <w:t>Registruotojas ir gamintojas</w:t>
      </w:r>
    </w:p>
    <w:p w:rsidR="000551F3" w:rsidRDefault="000551F3" w:rsidP="000551F3">
      <w:pPr>
        <w:tabs>
          <w:tab w:val="left" w:pos="567"/>
        </w:tabs>
        <w:spacing w:after="0" w:line="260" w:lineRule="exact"/>
        <w:rPr>
          <w:rFonts w:ascii="Times New Roman" w:eastAsiaTheme="minorEastAsia" w:hAnsi="Times New Roman" w:cs="Times New Roman"/>
          <w:snapToGrid w:val="0"/>
          <w:szCs w:val="20"/>
          <w:lang w:eastAsia="x-none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  <w:u w:val="single"/>
        </w:rPr>
        <w:t>Registruotojas</w:t>
      </w:r>
    </w:p>
    <w:p w:rsidR="000551F3" w:rsidRDefault="000551F3" w:rsidP="000551F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>
        <w:rPr>
          <w:rFonts w:ascii="Times New Roman" w:eastAsiaTheme="minorEastAsia" w:hAnsi="Times New Roman" w:cs="Times New Roman"/>
          <w:lang w:eastAsia="lt-LT"/>
        </w:rPr>
        <w:t xml:space="preserve">SIA </w:t>
      </w:r>
      <w:proofErr w:type="spellStart"/>
      <w:r>
        <w:rPr>
          <w:rFonts w:ascii="Times New Roman" w:eastAsiaTheme="minorEastAsia" w:hAnsi="Times New Roman" w:cs="Times New Roman"/>
          <w:lang w:eastAsia="lt-LT"/>
        </w:rPr>
        <w:t>Ingen</w:t>
      </w:r>
      <w:proofErr w:type="spellEnd"/>
      <w:r>
        <w:rPr>
          <w:rFonts w:ascii="Times New Roman" w:eastAsiaTheme="minorEastAsia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eastAsia="lt-LT"/>
        </w:rPr>
        <w:t>Pharma</w:t>
      </w:r>
      <w:proofErr w:type="spellEnd"/>
    </w:p>
    <w:p w:rsidR="000551F3" w:rsidRDefault="000551F3" w:rsidP="000551F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proofErr w:type="spellStart"/>
      <w:r>
        <w:rPr>
          <w:rFonts w:ascii="Times New Roman" w:eastAsiaTheme="minorEastAsia" w:hAnsi="Times New Roman" w:cs="Times New Roman"/>
          <w:lang w:eastAsia="lt-LT"/>
        </w:rPr>
        <w:t>K</w:t>
      </w:r>
      <w:r>
        <w:rPr>
          <w:rFonts w:ascii="TimesNewRoman" w:eastAsia="Times New Roman" w:hAnsi="TimesNewRoman" w:cs="TimesNewRoman"/>
          <w:lang w:eastAsia="lt-LT"/>
        </w:rPr>
        <w:t>ā</w:t>
      </w:r>
      <w:r>
        <w:rPr>
          <w:rFonts w:ascii="Times New Roman" w:eastAsiaTheme="minorEastAsia" w:hAnsi="Times New Roman" w:cs="Times New Roman"/>
          <w:lang w:eastAsia="lt-LT"/>
        </w:rPr>
        <w:t>r</w:t>
      </w:r>
      <w:r>
        <w:rPr>
          <w:rFonts w:ascii="TimesNewRoman" w:eastAsia="Times New Roman" w:hAnsi="TimesNewRoman" w:cs="TimesNewRoman"/>
          <w:lang w:eastAsia="lt-LT"/>
        </w:rPr>
        <w:t>ļ</w:t>
      </w:r>
      <w:r>
        <w:rPr>
          <w:rFonts w:ascii="Times New Roman" w:eastAsiaTheme="minorEastAsia" w:hAnsi="Times New Roman" w:cs="Times New Roman"/>
          <w:lang w:eastAsia="lt-LT"/>
        </w:rPr>
        <w:t>a</w:t>
      </w:r>
      <w:proofErr w:type="spellEnd"/>
      <w:r>
        <w:rPr>
          <w:rFonts w:ascii="Times New Roman" w:eastAsiaTheme="minorEastAsia" w:hAnsi="Times New Roman" w:cs="Times New Roman"/>
          <w:lang w:eastAsia="lt-LT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eastAsia="lt-LT"/>
        </w:rPr>
        <w:t>Ulma</w:t>
      </w:r>
      <w:r>
        <w:rPr>
          <w:rFonts w:ascii="TimesNewRoman" w:eastAsia="Times New Roman" w:hAnsi="TimesNewRoman" w:cs="TimesNewRoman"/>
          <w:lang w:eastAsia="lt-LT"/>
        </w:rPr>
        <w:t>ņ</w:t>
      </w:r>
      <w:r>
        <w:rPr>
          <w:rFonts w:ascii="Times New Roman" w:eastAsiaTheme="minorEastAsia" w:hAnsi="Times New Roman" w:cs="Times New Roman"/>
          <w:lang w:eastAsia="lt-LT"/>
        </w:rPr>
        <w:t>a</w:t>
      </w:r>
      <w:proofErr w:type="spellEnd"/>
      <w:r>
        <w:rPr>
          <w:rFonts w:ascii="Times New Roman" w:eastAsiaTheme="minorEastAsia" w:hAnsi="Times New Roman" w:cs="Times New Roman"/>
          <w:lang w:eastAsia="lt-LT"/>
        </w:rPr>
        <w:t xml:space="preserve"> gatve 119, </w:t>
      </w:r>
      <w:proofErr w:type="spellStart"/>
      <w:r>
        <w:rPr>
          <w:rFonts w:ascii="Times New Roman" w:eastAsiaTheme="minorEastAsia" w:hAnsi="Times New Roman" w:cs="Times New Roman"/>
          <w:lang w:eastAsia="lt-LT"/>
        </w:rPr>
        <w:t>M</w:t>
      </w:r>
      <w:r>
        <w:rPr>
          <w:rFonts w:ascii="TimesNewRoman" w:eastAsia="Times New Roman" w:hAnsi="TimesNewRoman" w:cs="TimesNewRoman"/>
          <w:lang w:eastAsia="lt-LT"/>
        </w:rPr>
        <w:t>ā</w:t>
      </w:r>
      <w:r>
        <w:rPr>
          <w:rFonts w:ascii="Times New Roman" w:eastAsiaTheme="minorEastAsia" w:hAnsi="Times New Roman" w:cs="Times New Roman"/>
          <w:lang w:eastAsia="lt-LT"/>
        </w:rPr>
        <w:t>rupe</w:t>
      </w:r>
      <w:proofErr w:type="spellEnd"/>
    </w:p>
    <w:p w:rsidR="000551F3" w:rsidRDefault="000551F3" w:rsidP="000551F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lt-LT"/>
        </w:rPr>
      </w:pPr>
      <w:r>
        <w:rPr>
          <w:rFonts w:ascii="Times New Roman" w:eastAsiaTheme="minorEastAsia" w:hAnsi="Times New Roman" w:cs="Times New Roman"/>
          <w:lang w:eastAsia="lt-LT"/>
        </w:rPr>
        <w:t xml:space="preserve">LV-2167, </w:t>
      </w:r>
      <w:proofErr w:type="spellStart"/>
      <w:r>
        <w:rPr>
          <w:rFonts w:ascii="Times New Roman" w:eastAsiaTheme="minorEastAsia" w:hAnsi="Times New Roman" w:cs="Times New Roman"/>
          <w:lang w:eastAsia="lt-LT"/>
        </w:rPr>
        <w:t>R</w:t>
      </w:r>
      <w:r>
        <w:rPr>
          <w:rFonts w:ascii="TimesNewRoman" w:eastAsia="Times New Roman" w:hAnsi="TimesNewRoman" w:cs="TimesNewRoman"/>
          <w:lang w:eastAsia="lt-LT"/>
        </w:rPr>
        <w:t>ī</w:t>
      </w:r>
      <w:r>
        <w:rPr>
          <w:rFonts w:ascii="Times New Roman" w:eastAsiaTheme="minorEastAsia" w:hAnsi="Times New Roman" w:cs="Times New Roman"/>
          <w:lang w:eastAsia="lt-LT"/>
        </w:rPr>
        <w:t>ga</w:t>
      </w:r>
      <w:proofErr w:type="spellEnd"/>
    </w:p>
    <w:p w:rsidR="000551F3" w:rsidRDefault="000551F3" w:rsidP="000551F3">
      <w:pPr>
        <w:spacing w:after="0" w:line="240" w:lineRule="auto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lang w:eastAsia="lt-LT"/>
        </w:rPr>
        <w:t>Latvija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  <w:u w:val="single"/>
        </w:rPr>
      </w:pPr>
      <w:r>
        <w:rPr>
          <w:rFonts w:ascii="Times New Roman" w:eastAsiaTheme="minorEastAsia" w:hAnsi="Times New Roman" w:cs="Times New Roman"/>
          <w:snapToGrid w:val="0"/>
          <w:szCs w:val="24"/>
          <w:u w:val="single"/>
        </w:rPr>
        <w:t>Gamintojas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Laboratorios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Alcala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Farma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 xml:space="preserve"> S.L.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Avenida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Madrid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>, 82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Alcala</w:t>
      </w:r>
      <w:proofErr w:type="spellEnd"/>
      <w:r>
        <w:rPr>
          <w:rFonts w:ascii="Times New Roman" w:eastAsiaTheme="minorEastAsia" w:hAnsi="Times New Roman" w:cs="Times New Roman"/>
          <w:snapToGrid w:val="0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Henares</w:t>
      </w:r>
      <w:proofErr w:type="spellEnd"/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 xml:space="preserve">28802 </w:t>
      </w:r>
      <w:proofErr w:type="spellStart"/>
      <w:r>
        <w:rPr>
          <w:rFonts w:ascii="Times New Roman" w:eastAsiaTheme="minorEastAsia" w:hAnsi="Times New Roman" w:cs="Times New Roman"/>
          <w:snapToGrid w:val="0"/>
          <w:szCs w:val="24"/>
        </w:rPr>
        <w:t>Madrid</w:t>
      </w:r>
      <w:proofErr w:type="spellEnd"/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4"/>
        </w:rPr>
        <w:t>Ispanija</w:t>
      </w: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  <w:u w:val="single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b/>
          <w:snapToGrid w:val="0"/>
          <w:szCs w:val="20"/>
        </w:rPr>
      </w:pPr>
      <w:r>
        <w:rPr>
          <w:rFonts w:ascii="Times New Roman" w:eastAsiaTheme="minorEastAsia" w:hAnsi="Times New Roman" w:cs="Times New Roman"/>
          <w:b/>
          <w:snapToGrid w:val="0"/>
          <w:szCs w:val="20"/>
        </w:rPr>
        <w:t xml:space="preserve">Šis pakuotės lapelis paskutinį kartą peržiūrėtas 2022-06-09. </w:t>
      </w:r>
    </w:p>
    <w:p w:rsidR="000551F3" w:rsidRDefault="000551F3" w:rsidP="000551F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Theme="minorEastAsia" w:hAnsi="Times New Roman" w:cs="Times New Roman"/>
          <w:i/>
          <w:snapToGrid w:val="0"/>
          <w:color w:val="008000"/>
          <w:szCs w:val="24"/>
        </w:rPr>
      </w:pPr>
    </w:p>
    <w:p w:rsidR="000551F3" w:rsidRDefault="000551F3" w:rsidP="000551F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Theme="minorEastAsia" w:hAnsi="Times New Roman" w:cs="Times New Roman"/>
          <w:b/>
          <w:snapToGrid w:val="0"/>
          <w:szCs w:val="24"/>
        </w:rPr>
      </w:pPr>
      <w:r>
        <w:rPr>
          <w:rFonts w:ascii="Times New Roman" w:eastAsiaTheme="minorEastAsia" w:hAnsi="Times New Roman" w:cs="Times New Roman"/>
          <w:b/>
          <w:noProof/>
          <w:snapToGrid w:val="0"/>
          <w:szCs w:val="24"/>
        </w:rPr>
        <w:t>Kiti informacijos šaltiniai</w:t>
      </w:r>
    </w:p>
    <w:p w:rsidR="000551F3" w:rsidRDefault="000551F3" w:rsidP="000551F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Theme="minorEastAsia" w:hAnsi="Times New Roman" w:cs="Times New Roman"/>
          <w:i/>
          <w:snapToGrid w:val="0"/>
          <w:szCs w:val="24"/>
        </w:rPr>
      </w:pPr>
    </w:p>
    <w:p w:rsidR="000551F3" w:rsidRDefault="000551F3" w:rsidP="000551F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Theme="minorEastAsia" w:hAnsi="Times New Roman" w:cs="Times New Roman"/>
          <w:snapToGrid w:val="0"/>
          <w:szCs w:val="24"/>
        </w:rPr>
      </w:pPr>
      <w:r>
        <w:rPr>
          <w:rFonts w:ascii="Times New Roman" w:eastAsiaTheme="minorEastAsia" w:hAnsi="Times New Roman" w:cs="Times New Roman"/>
          <w:snapToGrid w:val="0"/>
          <w:szCs w:val="20"/>
        </w:rPr>
        <w:t xml:space="preserve">Išsami informacija apie šį </w:t>
      </w:r>
      <w:r>
        <w:rPr>
          <w:rFonts w:ascii="Times New Roman" w:eastAsiaTheme="minorEastAsia" w:hAnsi="Times New Roman" w:cs="Times New Roman"/>
          <w:snapToGrid w:val="0"/>
          <w:szCs w:val="24"/>
        </w:rPr>
        <w:t>vaistą</w:t>
      </w:r>
      <w:r>
        <w:rPr>
          <w:rFonts w:ascii="Times New Roman" w:eastAsiaTheme="minorEastAsia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>
        <w:rPr>
          <w:rFonts w:ascii="Times New Roman" w:eastAsiaTheme="minorEastAsia" w:hAnsi="Times New Roman" w:cs="Times New Roman"/>
          <w:i/>
          <w:snapToGrid w:val="0"/>
          <w:szCs w:val="24"/>
        </w:rPr>
        <w:t xml:space="preserve"> </w:t>
      </w:r>
      <w:hyperlink r:id="rId8" w:history="1">
        <w:r>
          <w:rPr>
            <w:rStyle w:val="Hipersaitas"/>
            <w:snapToGrid w:val="0"/>
          </w:rPr>
          <w:t>http://www.vvkt.lt/</w:t>
        </w:r>
      </w:hyperlink>
      <w:r>
        <w:rPr>
          <w:rFonts w:ascii="Times New Roman" w:eastAsiaTheme="minorEastAsia" w:hAnsi="Times New Roman" w:cs="Times New Roman"/>
          <w:snapToGrid w:val="0"/>
          <w:szCs w:val="20"/>
        </w:rPr>
        <w:t>.</w:t>
      </w:r>
    </w:p>
    <w:p w:rsidR="000551F3" w:rsidRDefault="000551F3" w:rsidP="000551F3">
      <w:pPr>
        <w:spacing w:after="0" w:line="240" w:lineRule="auto"/>
        <w:rPr>
          <w:rFonts w:ascii="Times New Roman" w:eastAsiaTheme="minorEastAsia" w:hAnsi="Times New Roman" w:cs="Times New Roman"/>
          <w:snapToGrid w:val="0"/>
          <w:color w:val="008000"/>
          <w:szCs w:val="20"/>
        </w:rPr>
      </w:pPr>
    </w:p>
    <w:p w:rsidR="000551F3" w:rsidRDefault="000551F3" w:rsidP="000551F3">
      <w:pPr>
        <w:spacing w:after="0" w:line="240" w:lineRule="auto"/>
        <w:rPr>
          <w:rFonts w:ascii="Times New Roman" w:eastAsiaTheme="minorEastAsia" w:hAnsi="Times New Roman" w:cs="Times New Roman"/>
          <w:snapToGrid w:val="0"/>
          <w:color w:val="008000"/>
          <w:szCs w:val="20"/>
        </w:rPr>
      </w:pPr>
    </w:p>
    <w:p w:rsidR="000551F3" w:rsidRDefault="000551F3" w:rsidP="000551F3"/>
    <w:p w:rsidR="000551F3" w:rsidRDefault="000551F3" w:rsidP="000551F3"/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87" w:usb1="08070000" w:usb2="00000010" w:usb3="00000000" w:csb0="0002000B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5D3386A"/>
    <w:multiLevelType w:val="hybridMultilevel"/>
    <w:tmpl w:val="EF623B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0029"/>
    <w:multiLevelType w:val="hybridMultilevel"/>
    <w:tmpl w:val="9F4A67A6"/>
    <w:lvl w:ilvl="0" w:tplc="CEBC814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275FE"/>
    <w:multiLevelType w:val="hybridMultilevel"/>
    <w:tmpl w:val="C0DE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34552"/>
    <w:multiLevelType w:val="hybridMultilevel"/>
    <w:tmpl w:val="370AD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C4A10"/>
    <w:multiLevelType w:val="hybridMultilevel"/>
    <w:tmpl w:val="1B9458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21233"/>
    <w:multiLevelType w:val="hybridMultilevel"/>
    <w:tmpl w:val="8A7883EA"/>
    <w:lvl w:ilvl="0" w:tplc="CAAE07F2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25CE4"/>
    <w:multiLevelType w:val="hybridMultilevel"/>
    <w:tmpl w:val="BE9277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42436"/>
    <w:multiLevelType w:val="hybridMultilevel"/>
    <w:tmpl w:val="A7608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F3"/>
    <w:rsid w:val="000551F3"/>
    <w:rsid w:val="00234094"/>
    <w:rsid w:val="002A211A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20AD7-37E9-4D55-B981-8FB2D1BD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51F3"/>
    <w:pPr>
      <w:spacing w:line="254" w:lineRule="auto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551F3"/>
    <w:rPr>
      <w:rFonts w:ascii="Times New Roman" w:hAnsi="Times New Roman" w:cs="Times New Roman" w:hint="default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5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7554</Words>
  <Characters>4306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2022-06-29T07:33:00Z</dcterms:created>
  <dcterms:modified xsi:type="dcterms:W3CDTF">2022-06-29T07:34:00Z</dcterms:modified>
</cp:coreProperties>
</file>