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78" w:rsidRPr="00862FC2" w:rsidRDefault="00CF2678" w:rsidP="00CF2678">
      <w:pPr>
        <w:tabs>
          <w:tab w:val="left" w:pos="720"/>
          <w:tab w:val="left" w:pos="9540"/>
        </w:tabs>
        <w:snapToGri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iCs/>
          <w:lang w:val="lt-LT"/>
        </w:rPr>
      </w:pPr>
      <w:r w:rsidRPr="00862FC2">
        <w:rPr>
          <w:rFonts w:ascii="Times New Roman" w:eastAsia="Times New Roman" w:hAnsi="Times New Roman" w:cs="Times New Roman"/>
          <w:b/>
          <w:lang w:val="lt-LT"/>
        </w:rPr>
        <w:t>Pakuotės lapelis:</w:t>
      </w:r>
      <w:r w:rsidRPr="00862FC2">
        <w:rPr>
          <w:rFonts w:ascii="Times New Roman" w:eastAsia="Times New Roman" w:hAnsi="Times New Roman" w:cs="Times New Roman"/>
          <w:b/>
          <w:bCs/>
          <w:iCs/>
          <w:lang w:val="lt-LT"/>
        </w:rPr>
        <w:t xml:space="preserve"> </w:t>
      </w:r>
      <w:r w:rsidRPr="00862FC2">
        <w:rPr>
          <w:rFonts w:ascii="Times New Roman" w:eastAsia="Times New Roman" w:hAnsi="Times New Roman" w:cs="Times New Roman"/>
          <w:b/>
          <w:lang w:val="lt-LT"/>
        </w:rPr>
        <w:t>informacija vartotojui</w:t>
      </w:r>
    </w:p>
    <w:p w:rsidR="00CF2678" w:rsidRPr="00862FC2" w:rsidRDefault="00CF2678" w:rsidP="00CF2678">
      <w:pPr>
        <w:numPr>
          <w:ilvl w:val="12"/>
          <w:numId w:val="0"/>
        </w:numPr>
        <w:shd w:val="clear" w:color="auto" w:fill="FFFFFF"/>
        <w:tabs>
          <w:tab w:val="left" w:pos="9360"/>
          <w:tab w:val="left" w:pos="9540"/>
        </w:tabs>
        <w:snapToGri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862FC2">
        <w:rPr>
          <w:rFonts w:ascii="Times New Roman" w:eastAsia="Times New Roman" w:hAnsi="Times New Roman" w:cs="Times New Roman"/>
          <w:b/>
          <w:noProof/>
          <w:lang w:val="lt-LT"/>
        </w:rPr>
        <w:t>Ambroxol Siromed 3 mg/ml sirupas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ambroksolio hidrochloridas</w:t>
      </w:r>
    </w:p>
    <w:p w:rsidR="00CF2678" w:rsidRPr="00862FC2" w:rsidRDefault="00CF2678" w:rsidP="00CF2678">
      <w:p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tabs>
          <w:tab w:val="left" w:pos="9360"/>
          <w:tab w:val="left" w:pos="9540"/>
        </w:tabs>
        <w:suppressAutoHyphens/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b/>
          <w:noProof/>
          <w:lang w:val="lt-LT"/>
        </w:rPr>
        <w:t>Atidžiai perskaitykite visą šį lapelį, prieš pradėdami vartoti šį vaistą, nes jame pateikiama Jums svarbi informacija.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72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 arba vaistininkas.</w:t>
      </w:r>
    </w:p>
    <w:p w:rsidR="00CF2678" w:rsidRPr="00862FC2" w:rsidRDefault="00CF2678" w:rsidP="00CF2678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napToGrid w:val="0"/>
        <w:spacing w:after="0" w:line="240" w:lineRule="auto"/>
        <w:ind w:left="0" w:right="278" w:firstLine="0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Neišmeskite šio lapelio, nes vėl gali prireikti jį perskaityti.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CF2678" w:rsidRPr="00862FC2" w:rsidRDefault="00CF2678" w:rsidP="00CF2678">
      <w:pPr>
        <w:numPr>
          <w:ilvl w:val="0"/>
          <w:numId w:val="1"/>
        </w:numPr>
        <w:tabs>
          <w:tab w:val="left" w:pos="540"/>
          <w:tab w:val="left" w:pos="567"/>
          <w:tab w:val="left" w:pos="9360"/>
          <w:tab w:val="left" w:pos="9540"/>
        </w:tabs>
        <w:snapToGrid w:val="0"/>
        <w:spacing w:after="0" w:line="240" w:lineRule="auto"/>
        <w:ind w:left="0" w:right="278" w:firstLine="0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Jeigu norite sužinoti daugiau arba pasitarti, kreipkitės į vaistininką.</w:t>
      </w:r>
    </w:p>
    <w:p w:rsidR="00CF2678" w:rsidRPr="00862FC2" w:rsidRDefault="00CF2678" w:rsidP="00CF2678">
      <w:pPr>
        <w:numPr>
          <w:ilvl w:val="0"/>
          <w:numId w:val="1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:rsidR="00CF2678" w:rsidRPr="00862FC2" w:rsidRDefault="00CF2678" w:rsidP="00CF2678">
      <w:pPr>
        <w:numPr>
          <w:ilvl w:val="0"/>
          <w:numId w:val="1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left="0" w:right="278" w:firstLine="0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Jeigu per 3 dienas Jūsų sveikata nepagerėjo arba net pablogėjo, kreipkitės į gydytoją.</w:t>
      </w:r>
    </w:p>
    <w:p w:rsidR="00CF2678" w:rsidRPr="00862FC2" w:rsidRDefault="00CF2678" w:rsidP="00CF2678">
      <w:p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Apie ką rašoma šiame lapelyje?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1.</w:t>
      </w:r>
      <w:r w:rsidRPr="00862FC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 ir kam jis vartojamas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2.</w:t>
      </w:r>
      <w:r w:rsidRPr="00862FC2">
        <w:rPr>
          <w:rFonts w:ascii="Times New Roman" w:eastAsia="Times New Roman" w:hAnsi="Times New Roman" w:cs="Times New Roman"/>
          <w:lang w:val="lt-LT"/>
        </w:rPr>
        <w:tab/>
      </w:r>
      <w:r w:rsidRPr="00862FC2">
        <w:rPr>
          <w:rFonts w:ascii="Times New Roman" w:eastAsia="Times New Roman" w:hAnsi="Times New Roman" w:cs="Times New Roman"/>
          <w:noProof/>
          <w:lang w:val="lt-LT"/>
        </w:rPr>
        <w:t xml:space="preserve">Kas žinotina prieš vartojant Ambroxol Siromed 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3.</w:t>
      </w:r>
      <w:r w:rsidRPr="00862FC2">
        <w:rPr>
          <w:rFonts w:ascii="Times New Roman" w:eastAsia="Times New Roman" w:hAnsi="Times New Roman" w:cs="Times New Roman"/>
          <w:lang w:val="lt-LT"/>
        </w:rPr>
        <w:tab/>
      </w:r>
      <w:r w:rsidRPr="00862FC2">
        <w:rPr>
          <w:rFonts w:ascii="Times New Roman" w:eastAsia="Times New Roman" w:hAnsi="Times New Roman" w:cs="Times New Roman"/>
          <w:noProof/>
          <w:lang w:val="lt-LT"/>
        </w:rPr>
        <w:t xml:space="preserve">Kaip vartoti Ambroxol Siromed 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4.</w:t>
      </w:r>
      <w:r w:rsidRPr="00862FC2">
        <w:rPr>
          <w:rFonts w:ascii="Times New Roman" w:eastAsia="Times New Roman" w:hAnsi="Times New Roman" w:cs="Times New Roman"/>
          <w:lang w:val="lt-LT"/>
        </w:rPr>
        <w:tab/>
        <w:t xml:space="preserve">Galimas šalutinis poveikis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-360"/>
          <w:tab w:val="left" w:pos="180"/>
          <w:tab w:val="left" w:pos="36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5.</w:t>
      </w:r>
      <w:r w:rsidRPr="00862FC2">
        <w:rPr>
          <w:rFonts w:ascii="Times New Roman" w:eastAsia="Times New Roman" w:hAnsi="Times New Roman" w:cs="Times New Roman"/>
          <w:lang w:val="lt-LT"/>
        </w:rPr>
        <w:tab/>
      </w:r>
      <w:r w:rsidRPr="00862FC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360"/>
          <w:tab w:val="left" w:pos="54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6.</w:t>
      </w:r>
      <w:r w:rsidRPr="00862FC2">
        <w:rPr>
          <w:rFonts w:ascii="Times New Roman" w:eastAsia="Times New Roman" w:hAnsi="Times New Roman" w:cs="Times New Roman"/>
          <w:lang w:val="lt-LT"/>
        </w:rPr>
        <w:tab/>
      </w:r>
      <w:r w:rsidRPr="00862FC2">
        <w:rPr>
          <w:rFonts w:ascii="Times New Roman" w:eastAsia="Times New Roman" w:hAnsi="Times New Roman" w:cs="Times New Roman"/>
          <w:noProof/>
          <w:lang w:val="lt-LT"/>
        </w:rPr>
        <w:t>Pakuotės turinys ir kita informacija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1.</w:t>
      </w: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ab/>
        <w:t xml:space="preserve">Kas yra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 ir kam jis vartojamas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before="100" w:after="0" w:line="240" w:lineRule="auto"/>
        <w:ind w:right="278"/>
        <w:rPr>
          <w:rFonts w:ascii="Times New Roman" w:eastAsia="Times New Roman" w:hAnsi="Times New Roman" w:cs="Times New Roman"/>
          <w:color w:val="000000"/>
          <w:lang w:val="lt-LT"/>
        </w:rPr>
      </w:pPr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Veiklioji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 medžiaga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ambroksolio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hidrochloridas didina kvėpavimo takų liaukų sekreciją, gerina atsikosėjimą ir lengvina kosulį.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before="100" w:after="0" w:line="240" w:lineRule="auto"/>
        <w:ind w:right="278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vartojamas kvėpavimo takų sekretui skystinti sergant ūminėmis arba lėtinėmis bronchų ar plaučių ligomis, kurių metu sutrinka gleivių sekrecija ir šalinimas iš kvėpavimo takų.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2.</w:t>
      </w: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ab/>
        <w:t xml:space="preserve">Kas žinotina prieš vartojant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r w:rsidRPr="00862FC2">
        <w:rPr>
          <w:rFonts w:ascii="Times New Roman" w:eastAsia="Times New Roman" w:hAnsi="Times New Roman" w:cs="Times New Roman"/>
          <w:b/>
          <w:lang w:val="lt-LT" w:eastAsia="x-none"/>
        </w:rPr>
        <w:t xml:space="preserve">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b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862FC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lang w:val="lt-LT"/>
        </w:rPr>
        <w:t>draudžiama</w:t>
      </w:r>
      <w:r w:rsidRPr="00862FC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:rsidR="00CF2678" w:rsidRPr="00862FC2" w:rsidRDefault="00CF2678" w:rsidP="00CF2678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left" w:pos="9360"/>
          <w:tab w:val="left" w:pos="9540"/>
        </w:tabs>
        <w:snapToGrid w:val="0"/>
        <w:spacing w:after="0" w:line="260" w:lineRule="exact"/>
        <w:ind w:left="426" w:right="278" w:hanging="426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 xml:space="preserve">jeigu yra alergija </w:t>
      </w:r>
      <w:r>
        <w:rPr>
          <w:rFonts w:ascii="Times New Roman" w:eastAsia="Times New Roman" w:hAnsi="Times New Roman" w:cs="Times New Roman"/>
          <w:lang w:val="lt-LT"/>
        </w:rPr>
        <w:t>veikliajai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(jos išvardytos 6 skyriuje).</w:t>
      </w:r>
    </w:p>
    <w:p w:rsidR="00CF2678" w:rsidRPr="00862FC2" w:rsidRDefault="00CF2678" w:rsidP="00CF2678">
      <w:p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Įspėjimai ir atsargumo priemonės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Pasitarkite su gydytoju arba vaistininku, prieš pradėdami vartoti Ambroxol Siromed :</w:t>
      </w:r>
    </w:p>
    <w:p w:rsidR="00CF2678" w:rsidRPr="00862FC2" w:rsidRDefault="00CF2678" w:rsidP="00CF2678">
      <w:pPr>
        <w:numPr>
          <w:ilvl w:val="0"/>
          <w:numId w:val="3"/>
        </w:numPr>
        <w:tabs>
          <w:tab w:val="left" w:pos="567"/>
          <w:tab w:val="left" w:pos="720"/>
          <w:tab w:val="left" w:pos="9360"/>
          <w:tab w:val="left" w:pos="9540"/>
        </w:tabs>
        <w:snapToGrid w:val="0"/>
        <w:spacing w:after="0" w:line="240" w:lineRule="auto"/>
        <w:ind w:left="709" w:right="278" w:hanging="349"/>
        <w:rPr>
          <w:rFonts w:ascii="Times New Roman" w:eastAsia="Times New Roman" w:hAnsi="Times New Roman" w:cs="Times New Roman"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jeigu Jums yra būklė, kai neįmanoma iškosėti skreplių (labai retai pasireškianti įgimta būklė – piktybinis </w:t>
      </w: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ciliarinis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sindromas);</w:t>
      </w:r>
    </w:p>
    <w:p w:rsidR="00CF2678" w:rsidRPr="00862FC2" w:rsidRDefault="00CF2678" w:rsidP="00CF2678">
      <w:pPr>
        <w:numPr>
          <w:ilvl w:val="0"/>
          <w:numId w:val="3"/>
        </w:numPr>
        <w:tabs>
          <w:tab w:val="left" w:pos="567"/>
          <w:tab w:val="left" w:pos="720"/>
          <w:tab w:val="left" w:pos="9360"/>
          <w:tab w:val="left" w:pos="9540"/>
        </w:tabs>
        <w:snapToGrid w:val="0"/>
        <w:spacing w:after="0" w:line="240" w:lineRule="auto"/>
        <w:ind w:left="0" w:right="278" w:firstLine="360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jeigu </w:t>
      </w:r>
      <w:r>
        <w:rPr>
          <w:rFonts w:ascii="Times New Roman" w:eastAsia="Times New Roman" w:hAnsi="Times New Roman" w:cs="Times New Roman"/>
          <w:snapToGrid w:val="0"/>
          <w:lang w:val="lt-LT"/>
        </w:rPr>
        <w:t xml:space="preserve">sutrikusi </w:t>
      </w:r>
      <w:r w:rsidRPr="00862FC2">
        <w:rPr>
          <w:rFonts w:ascii="Times New Roman" w:eastAsia="Times New Roman" w:hAnsi="Times New Roman" w:cs="Times New Roman"/>
          <w:snapToGrid w:val="0"/>
          <w:lang w:val="lt-LT"/>
        </w:rPr>
        <w:t>Jūs</w:t>
      </w:r>
      <w:r>
        <w:rPr>
          <w:rFonts w:ascii="Times New Roman" w:eastAsia="Times New Roman" w:hAnsi="Times New Roman" w:cs="Times New Roman"/>
          <w:snapToGrid w:val="0"/>
          <w:lang w:val="lt-LT"/>
        </w:rPr>
        <w:t>ų</w:t>
      </w:r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inkstų </w:t>
      </w:r>
      <w:r>
        <w:rPr>
          <w:rFonts w:ascii="Times New Roman" w:eastAsia="Times New Roman" w:hAnsi="Times New Roman" w:cs="Times New Roman"/>
          <w:snapToGrid w:val="0"/>
          <w:lang w:val="lt-LT"/>
        </w:rPr>
        <w:t>funkcija (</w:t>
      </w:r>
      <w:r w:rsidRPr="00862FC2">
        <w:rPr>
          <w:rFonts w:ascii="Times New Roman" w:eastAsia="Times New Roman" w:hAnsi="Times New Roman" w:cs="Times New Roman"/>
          <w:snapToGrid w:val="0"/>
          <w:lang w:val="lt-LT"/>
        </w:rPr>
        <w:t>veikl</w:t>
      </w:r>
      <w:r>
        <w:rPr>
          <w:rFonts w:ascii="Times New Roman" w:eastAsia="Times New Roman" w:hAnsi="Times New Roman" w:cs="Times New Roman"/>
          <w:snapToGrid w:val="0"/>
          <w:lang w:val="lt-LT"/>
        </w:rPr>
        <w:t>a)</w:t>
      </w:r>
      <w:r w:rsidRPr="00862FC2">
        <w:rPr>
          <w:rFonts w:ascii="Times New Roman" w:eastAsia="Times New Roman" w:hAnsi="Times New Roman" w:cs="Times New Roman"/>
          <w:snapToGrid w:val="0"/>
          <w:lang w:val="lt-LT"/>
        </w:rPr>
        <w:t>;</w:t>
      </w:r>
    </w:p>
    <w:p w:rsidR="00CF2678" w:rsidRPr="00862FC2" w:rsidRDefault="00CF2678" w:rsidP="00CF2678">
      <w:pPr>
        <w:numPr>
          <w:ilvl w:val="0"/>
          <w:numId w:val="3"/>
        </w:numPr>
        <w:tabs>
          <w:tab w:val="left" w:pos="567"/>
          <w:tab w:val="left" w:pos="720"/>
          <w:tab w:val="left" w:pos="9360"/>
          <w:tab w:val="left" w:pos="9540"/>
        </w:tabs>
        <w:snapToGrid w:val="0"/>
        <w:spacing w:after="0" w:line="240" w:lineRule="auto"/>
        <w:ind w:left="0" w:right="278" w:firstLine="360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jeigu </w:t>
      </w:r>
      <w:r>
        <w:rPr>
          <w:rFonts w:ascii="Times New Roman" w:eastAsia="Times New Roman" w:hAnsi="Times New Roman" w:cs="Times New Roman"/>
          <w:snapToGrid w:val="0"/>
          <w:lang w:val="lt-LT"/>
        </w:rPr>
        <w:t>sutrikusi</w:t>
      </w:r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Jūs</w:t>
      </w:r>
      <w:r>
        <w:rPr>
          <w:rFonts w:ascii="Times New Roman" w:eastAsia="Times New Roman" w:hAnsi="Times New Roman" w:cs="Times New Roman"/>
          <w:snapToGrid w:val="0"/>
          <w:lang w:val="lt-LT"/>
        </w:rPr>
        <w:t>ų</w:t>
      </w:r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kepenų </w:t>
      </w:r>
      <w:r>
        <w:rPr>
          <w:rFonts w:ascii="Times New Roman" w:eastAsia="Times New Roman" w:hAnsi="Times New Roman" w:cs="Times New Roman"/>
          <w:snapToGrid w:val="0"/>
          <w:lang w:val="lt-LT"/>
        </w:rPr>
        <w:t>funkcija</w:t>
      </w:r>
      <w:r w:rsidRPr="00862FC2">
        <w:rPr>
          <w:rFonts w:ascii="Times New Roman" w:eastAsia="Times New Roman" w:hAnsi="Times New Roman" w:cs="Times New Roman"/>
          <w:snapToGrid w:val="0"/>
          <w:lang w:val="lt-LT"/>
        </w:rPr>
        <w:t>;</w:t>
      </w:r>
    </w:p>
    <w:p w:rsidR="00CF2678" w:rsidRPr="00862FC2" w:rsidRDefault="00CF2678" w:rsidP="00CF2678">
      <w:pPr>
        <w:numPr>
          <w:ilvl w:val="0"/>
          <w:numId w:val="3"/>
        </w:numPr>
        <w:tabs>
          <w:tab w:val="left" w:pos="567"/>
          <w:tab w:val="left" w:pos="720"/>
          <w:tab w:val="left" w:pos="9360"/>
          <w:tab w:val="left" w:pos="9540"/>
        </w:tabs>
        <w:snapToGrid w:val="0"/>
        <w:spacing w:after="0" w:line="240" w:lineRule="auto"/>
        <w:ind w:left="0" w:right="278" w:firstLine="360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snapToGrid w:val="0"/>
          <w:lang w:val="lt-LT"/>
        </w:rPr>
        <w:t>jeigu Jūs esate nėščia arba žindote kūdikį (žr. skyrių „Nėštumas ir žindymo laikotarpis“);</w:t>
      </w:r>
    </w:p>
    <w:p w:rsidR="00CF2678" w:rsidRPr="00862FC2" w:rsidRDefault="00CF2678" w:rsidP="00CF2678">
      <w:pPr>
        <w:numPr>
          <w:ilvl w:val="0"/>
          <w:numId w:val="3"/>
        </w:numPr>
        <w:tabs>
          <w:tab w:val="left" w:pos="567"/>
          <w:tab w:val="left" w:pos="720"/>
          <w:tab w:val="left" w:pos="9360"/>
          <w:tab w:val="left" w:pos="9540"/>
        </w:tabs>
        <w:snapToGrid w:val="0"/>
        <w:spacing w:after="0" w:line="240" w:lineRule="auto"/>
        <w:ind w:left="709" w:right="278" w:hanging="349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snapToGrid w:val="0"/>
          <w:lang w:val="lt-LT"/>
        </w:rPr>
        <w:t>jeigu Jūs netoleruojate kokių nors angliavandenių (žr. skyrių „</w:t>
      </w: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 sudėtyje yra </w:t>
      </w: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sorbitolio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>“.)</w:t>
      </w:r>
    </w:p>
    <w:p w:rsidR="00CF2678" w:rsidRDefault="00CF2678" w:rsidP="00CF2678">
      <w:pPr>
        <w:tabs>
          <w:tab w:val="left" w:pos="9360"/>
          <w:tab w:val="left" w:pos="9540"/>
        </w:tabs>
        <w:spacing w:before="100" w:after="0" w:line="240" w:lineRule="auto"/>
        <w:ind w:right="278"/>
        <w:rPr>
          <w:rFonts w:ascii="Times New Roman" w:eastAsia="Times New Roman" w:hAnsi="Times New Roman" w:cs="Times New Roman"/>
          <w:i/>
          <w:iCs/>
          <w:color w:val="000000"/>
          <w:lang w:val="lt-LT"/>
        </w:rPr>
      </w:pPr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Buvo pranešimų apie labai retai pasireiškusias sunkias, kartais gyvybei pavojingas reakcijas į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ambroksolio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hidrochloridą, pvz.,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Stivenso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>-Džonsono (</w:t>
      </w:r>
      <w:proofErr w:type="spellStart"/>
      <w:r w:rsidRPr="00E37501">
        <w:rPr>
          <w:rFonts w:ascii="Times New Roman" w:eastAsia="Times New Roman" w:hAnsi="Times New Roman" w:cs="Times New Roman"/>
          <w:i/>
          <w:color w:val="000000"/>
          <w:lang w:val="lt-LT"/>
        </w:rPr>
        <w:t>Stevens-Johnson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) sindromą ir toksinę epidermio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nekrolizę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(sunkus odos pažeidimas, kai nukrenta didelių kūno paviršiaus plotų viršutinis odos </w:t>
      </w:r>
      <w:r w:rsidRPr="00862FC2">
        <w:rPr>
          <w:rFonts w:ascii="Times New Roman" w:eastAsia="Times New Roman" w:hAnsi="Times New Roman" w:cs="Times New Roman"/>
          <w:color w:val="000000"/>
          <w:lang w:val="lt-LT"/>
        </w:rPr>
        <w:lastRenderedPageBreak/>
        <w:t xml:space="preserve">sluoksnis). Jeigu atsiranda naujų odos ar gleivinės pažaidų, turite nedelsdami kreiptis į savo gydytoją. Saugumo </w:t>
      </w:r>
      <w:proofErr w:type="spellStart"/>
      <w:r w:rsidRPr="00862FC2">
        <w:rPr>
          <w:rFonts w:ascii="Times New Roman" w:eastAsia="Times New Roman" w:hAnsi="Times New Roman" w:cs="Times New Roman"/>
          <w:color w:val="000000"/>
          <w:lang w:val="lt-LT"/>
        </w:rPr>
        <w:t>sumetimais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color w:val="000000"/>
          <w:lang w:val="lt-LT"/>
        </w:rPr>
        <w:t xml:space="preserve"> vartojimą nutraukite.</w:t>
      </w:r>
      <w:r w:rsidRPr="00862FC2">
        <w:rPr>
          <w:rFonts w:ascii="Times New Roman" w:eastAsia="Times New Roman" w:hAnsi="Times New Roman" w:cs="Times New Roman"/>
          <w:i/>
          <w:iCs/>
          <w:color w:val="000000"/>
          <w:lang w:val="lt-LT"/>
        </w:rPr>
        <w:t xml:space="preserve"> </w:t>
      </w:r>
    </w:p>
    <w:p w:rsidR="00CF2678" w:rsidRDefault="00CF2678" w:rsidP="00CF2678">
      <w:pPr>
        <w:tabs>
          <w:tab w:val="left" w:pos="9360"/>
          <w:tab w:val="left" w:pos="9540"/>
        </w:tabs>
        <w:spacing w:before="100" w:after="0" w:line="240" w:lineRule="auto"/>
        <w:ind w:right="278"/>
        <w:rPr>
          <w:rFonts w:ascii="Times New Roman" w:hAnsi="Times New Roman"/>
          <w:b/>
          <w:lang w:val="lt-LT"/>
        </w:rPr>
      </w:pPr>
      <w:r w:rsidRPr="00612546">
        <w:rPr>
          <w:rFonts w:ascii="Times New Roman" w:hAnsi="Times New Roman"/>
          <w:b/>
          <w:lang w:val="lt-LT"/>
        </w:rPr>
        <w:t xml:space="preserve">Vaikams </w:t>
      </w:r>
      <w:r w:rsidRPr="00E37501">
        <w:rPr>
          <w:rFonts w:ascii="Times New Roman" w:hAnsi="Times New Roman"/>
          <w:b/>
          <w:lang w:val="lt-LT"/>
        </w:rPr>
        <w:t>ir paaugliams</w:t>
      </w:r>
    </w:p>
    <w:p w:rsidR="00CF2678" w:rsidRPr="00E37501" w:rsidRDefault="00CF2678" w:rsidP="00CF2678">
      <w:pPr>
        <w:tabs>
          <w:tab w:val="left" w:pos="567"/>
          <w:tab w:val="left" w:pos="720"/>
          <w:tab w:val="left" w:pos="9540"/>
        </w:tabs>
        <w:snapToGrid w:val="0"/>
        <w:spacing w:after="0" w:line="260" w:lineRule="exact"/>
        <w:ind w:right="98"/>
        <w:rPr>
          <w:rFonts w:ascii="Times New Roman" w:eastAsia="Times New Roman" w:hAnsi="Times New Roman" w:cs="Times New Roman"/>
          <w:b/>
          <w:color w:val="000000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sirupu 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gydomus jaunesnius kaip 2 metų vaikus turi nuolat stebėti </w:t>
      </w:r>
      <w:r>
        <w:rPr>
          <w:rFonts w:ascii="Times New Roman" w:eastAsia="Times New Roman" w:hAnsi="Times New Roman" w:cs="Times New Roman"/>
          <w:lang w:val="lt-LT"/>
        </w:rPr>
        <w:t>gydytojas</w:t>
      </w:r>
      <w:r w:rsidRPr="00862FC2">
        <w:rPr>
          <w:rFonts w:ascii="Times New Roman" w:eastAsia="Times New Roman" w:hAnsi="Times New Roman" w:cs="Times New Roman"/>
          <w:lang w:val="lt-LT"/>
        </w:rPr>
        <w:t>.</w:t>
      </w: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Kiti vaistai ir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 xml:space="preserve">Jeigu vartojate ar neseniai vartojote kitų vaistų arba dėl to nesate tikri, apie tai pasakykite gydytojui arba vaistininkui. </w:t>
      </w: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 xml:space="preserve">Kliniškai reikšmingos nepalankios sąveikos su kitais vaistais nepastebėta. </w:t>
      </w: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outlineLvl w:val="3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 xml:space="preserve">Kartu su kosulį slopinančiais </w:t>
      </w:r>
      <w:r>
        <w:rPr>
          <w:rFonts w:ascii="Times New Roman" w:eastAsia="Times New Roman" w:hAnsi="Times New Roman" w:cs="Times New Roman"/>
          <w:lang w:val="lt-LT"/>
        </w:rPr>
        <w:t>vaistais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vartoti nerekomenduojama.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vartojimas su maistu ir gėrimais</w:t>
      </w: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lang w:val="lt-LT" w:eastAsia="x-none"/>
        </w:rPr>
      </w:pPr>
      <w:proofErr w:type="spellStart"/>
      <w:r w:rsidRPr="00862FC2">
        <w:rPr>
          <w:rFonts w:ascii="Times New Roman" w:eastAsia="Times New Roman" w:hAnsi="Times New Roman" w:cs="Times New Roman"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 w:eastAsia="x-none"/>
        </w:rPr>
        <w:t xml:space="preserve"> sirup</w:t>
      </w:r>
      <w:r>
        <w:rPr>
          <w:rFonts w:ascii="Times New Roman" w:eastAsia="Times New Roman" w:hAnsi="Times New Roman" w:cs="Times New Roman"/>
          <w:lang w:val="lt-LT" w:eastAsia="x-none"/>
        </w:rPr>
        <w:t>o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galima gerti valgio metu arba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nevalgius</w:t>
      </w:r>
      <w:r>
        <w:rPr>
          <w:rFonts w:ascii="Times New Roman" w:eastAsia="Times New Roman" w:hAnsi="Times New Roman" w:cs="Times New Roman"/>
          <w:lang w:val="lt-LT"/>
        </w:rPr>
        <w:t>.</w:t>
      </w:r>
      <w:r>
        <w:rPr>
          <w:rFonts w:ascii="Times New Roman" w:eastAsia="Times New Roman" w:hAnsi="Times New Roman" w:cs="Times New Roman"/>
          <w:lang w:val="lt-LT" w:eastAsia="x-none"/>
        </w:rPr>
        <w:t>U</w:t>
      </w:r>
      <w:r w:rsidRPr="00862FC2">
        <w:rPr>
          <w:rFonts w:ascii="Times New Roman" w:eastAsia="Times New Roman" w:hAnsi="Times New Roman" w:cs="Times New Roman"/>
          <w:lang w:val="lt-LT" w:eastAsia="x-none"/>
        </w:rPr>
        <w:t>žsigerkite</w:t>
      </w:r>
      <w:proofErr w:type="spellEnd"/>
      <w:r w:rsidRPr="00862FC2">
        <w:rPr>
          <w:rFonts w:ascii="Times New Roman" w:eastAsia="Times New Roman" w:hAnsi="Times New Roman" w:cs="Times New Roman"/>
          <w:lang w:val="lt-LT" w:eastAsia="x-none"/>
        </w:rPr>
        <w:t xml:space="preserve"> skysčiu, kadangi vanduo skatina gleivių skystėjimą.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Nėštumas ir žindymo laikotarpis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 xml:space="preserve">Nėštumo metu, ypač pirmųjų trijų mėnesių laikotarpiu,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 vartoti nerekomenduojama. Žindymo metu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vartoti nerekomenduojama, kadangi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ambroksolio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hidrochloridas išsiskiria su motinos pienu.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Vairavimas ir mechanizmų valdymas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490610">
        <w:rPr>
          <w:rFonts w:ascii="Times New Roman" w:hAnsi="Times New Roman" w:cs="Times New Roman"/>
          <w:noProof/>
          <w:szCs w:val="24"/>
          <w:lang w:val="lt-LT"/>
        </w:rPr>
        <w:t>Ambroxol Siromed gebėjimo vairuoti ir valdyti mechanizmus neveikia arba veikia nereikšmingai</w:t>
      </w:r>
      <w:r>
        <w:rPr>
          <w:rFonts w:ascii="Times New Roman" w:hAnsi="Times New Roman" w:cs="Times New Roman"/>
          <w:noProof/>
          <w:szCs w:val="24"/>
          <w:lang w:val="lt-LT"/>
        </w:rPr>
        <w:t>.</w:t>
      </w:r>
      <w:r w:rsidRPr="00862FC2">
        <w:rPr>
          <w:rFonts w:ascii="Times New Roman" w:eastAsia="Times New Roman" w:hAnsi="Times New Roman" w:cs="Times New Roman"/>
          <w:noProof/>
          <w:lang w:val="lt-LT"/>
        </w:rPr>
        <w:t>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Poveikio gebėjimui vairuoti ir valdyti mechanizmus tyrimų neatlikta.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b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lang w:val="lt-LT"/>
        </w:rPr>
        <w:t xml:space="preserve"> sudėtyje yra </w:t>
      </w:r>
      <w:proofErr w:type="spellStart"/>
      <w:r w:rsidRPr="00862FC2">
        <w:rPr>
          <w:rFonts w:ascii="Times New Roman" w:eastAsia="Times New Roman" w:hAnsi="Times New Roman" w:cs="Times New Roman"/>
          <w:b/>
          <w:lang w:val="lt-LT"/>
        </w:rPr>
        <w:t>sorbitolio</w:t>
      </w:r>
      <w:proofErr w:type="spellEnd"/>
      <w:r w:rsidRPr="00597B25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propilenglikolio</w:t>
      </w:r>
      <w:proofErr w:type="spellEnd"/>
      <w:r>
        <w:rPr>
          <w:rFonts w:ascii="Times New Roman" w:eastAsia="Times New Roman" w:hAnsi="Times New Roman" w:cs="Times New Roman"/>
          <w:b/>
          <w:lang w:val="lt-LT"/>
        </w:rPr>
        <w:t xml:space="preserve">, natrio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benzoato</w:t>
      </w:r>
      <w:proofErr w:type="spellEnd"/>
      <w:r>
        <w:rPr>
          <w:rFonts w:ascii="Times New Roman" w:eastAsia="Times New Roman" w:hAnsi="Times New Roman" w:cs="Times New Roman"/>
          <w:b/>
          <w:lang w:val="lt-LT"/>
        </w:rPr>
        <w:t xml:space="preserve"> ir natrio</w:t>
      </w:r>
      <w:r w:rsidRPr="00617B22">
        <w:rPr>
          <w:rFonts w:ascii="Times New Roman" w:eastAsia="Times New Roman" w:hAnsi="Times New Roman" w:cs="Times New Roman"/>
          <w:lang w:val="lt-LT"/>
        </w:rPr>
        <w:t>.</w:t>
      </w:r>
    </w:p>
    <w:p w:rsidR="00CF2678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Kiekviename šio vaisto mililitre yra 250 mg </w:t>
      </w:r>
      <w:proofErr w:type="spellStart"/>
      <w:r>
        <w:rPr>
          <w:rFonts w:ascii="Times New Roman" w:eastAsia="Times New Roman" w:hAnsi="Times New Roman" w:cs="Times New Roman"/>
          <w:lang w:val="lt-LT"/>
        </w:rPr>
        <w:t>sorbitolio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tai atitinka 1,25 g/5 ml. </w:t>
      </w:r>
    </w:p>
    <w:p w:rsidR="00CF2678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proofErr w:type="spellStart"/>
      <w:r w:rsidRPr="00A6522B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A6522B">
        <w:rPr>
          <w:rFonts w:ascii="Times New Roman" w:eastAsia="Times New Roman" w:hAnsi="Times New Roman" w:cs="Times New Roman"/>
          <w:lang w:val="lt-LT"/>
        </w:rPr>
        <w:t xml:space="preserve"> yra fruktozės šaltinis. Jeigu gydytojas yra sakęs, kad Jūs (ar Jūsų vaikas) netoleruojate kokių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A6522B">
        <w:rPr>
          <w:rFonts w:ascii="Times New Roman" w:eastAsia="Times New Roman" w:hAnsi="Times New Roman" w:cs="Times New Roman"/>
          <w:lang w:val="lt-LT"/>
        </w:rPr>
        <w:t xml:space="preserve">nors angliavandenių, ar Jums nustatytas retas genetinis sutrikimas įgimtas fruktozės </w:t>
      </w:r>
      <w:proofErr w:type="spellStart"/>
      <w:r w:rsidRPr="00A6522B">
        <w:rPr>
          <w:rFonts w:ascii="Times New Roman" w:eastAsia="Times New Roman" w:hAnsi="Times New Roman" w:cs="Times New Roman"/>
          <w:lang w:val="lt-LT"/>
        </w:rPr>
        <w:t>netoleravimas</w:t>
      </w:r>
      <w:proofErr w:type="spellEnd"/>
      <w:r w:rsidRPr="00A6522B">
        <w:rPr>
          <w:rFonts w:ascii="Times New Roman" w:eastAsia="Times New Roman" w:hAnsi="Times New Roman" w:cs="Times New Roman"/>
          <w:lang w:val="lt-LT"/>
        </w:rPr>
        <w:t xml:space="preserve"> (ĮFN), kurio atveju organizmas negali suskaidyti fruktozės, prieš vartodami šio vaisto (ar prieš duodami jo Jūsų vaikui), pasakykite gydytojui.</w:t>
      </w:r>
    </w:p>
    <w:p w:rsidR="00CF2678" w:rsidRPr="00784AD9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proofErr w:type="spellStart"/>
      <w:r w:rsidRPr="000E0B27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0E0B27">
        <w:rPr>
          <w:rFonts w:ascii="Times New Roman" w:eastAsia="Times New Roman" w:hAnsi="Times New Roman" w:cs="Times New Roman"/>
          <w:lang w:val="lt-LT"/>
        </w:rPr>
        <w:t xml:space="preserve"> gali sukelti skrandžio ir žarnyno diskomfortą ir lengvą vidurius laisvinantį poveik</w:t>
      </w:r>
      <w:r>
        <w:rPr>
          <w:rFonts w:ascii="Times New Roman" w:eastAsia="Times New Roman" w:hAnsi="Times New Roman" w:cs="Times New Roman"/>
          <w:lang w:val="lt-LT"/>
        </w:rPr>
        <w:t>į.</w:t>
      </w:r>
    </w:p>
    <w:p w:rsidR="00CF2678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Kiekviename šio vaisto mililitre yra 30 mg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propilenglikolio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tai atitinka 150 mg/5 ml. </w:t>
      </w:r>
    </w:p>
    <w:p w:rsidR="00CF2678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Kiekviename šio vaisto mililitre yra 2 mg natrio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benzoato</w:t>
      </w:r>
      <w:proofErr w:type="spellEnd"/>
      <w:r>
        <w:rPr>
          <w:rFonts w:ascii="Times New Roman" w:eastAsia="Times New Roman" w:hAnsi="Times New Roman" w:cs="Times New Roman"/>
          <w:lang w:val="lt-LT"/>
        </w:rPr>
        <w:t>, tai atitinka 10 mg/5 ml.</w:t>
      </w:r>
    </w:p>
    <w:p w:rsidR="00CF2678" w:rsidRPr="005A39E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5A39E2">
        <w:rPr>
          <w:rFonts w:ascii="Times New Roman" w:eastAsia="Times New Roman" w:hAnsi="Times New Roman" w:cs="Times New Roman"/>
          <w:lang w:val="lt-LT"/>
        </w:rPr>
        <w:t xml:space="preserve">Šio vaisto mililitre yra mažiau kaip 1 </w:t>
      </w:r>
      <w:proofErr w:type="spellStart"/>
      <w:r w:rsidRPr="005A39E2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5A39E2">
        <w:rPr>
          <w:rFonts w:ascii="Times New Roman" w:eastAsia="Times New Roman" w:hAnsi="Times New Roman" w:cs="Times New Roman"/>
          <w:lang w:val="lt-LT"/>
        </w:rPr>
        <w:t xml:space="preserve"> (23 mg) natrio, t. y. jis beveik neturi reikšmės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CF2678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CF2678" w:rsidRPr="005A39E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E323C9" w:rsidRDefault="00CF2678" w:rsidP="00CF2678">
      <w:pPr>
        <w:keepNext/>
        <w:keepLines/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EA6C94">
        <w:rPr>
          <w:rFonts w:ascii="Times New Roman" w:eastAsia="Times New Roman" w:hAnsi="Times New Roman" w:cs="Times New Roman"/>
          <w:b/>
          <w:bCs/>
          <w:lang w:val="lt-LT" w:eastAsia="x-none"/>
        </w:rPr>
        <w:t>3.</w:t>
      </w:r>
      <w:r w:rsidRPr="00EA6C94">
        <w:rPr>
          <w:rFonts w:ascii="Times New Roman" w:eastAsia="Times New Roman" w:hAnsi="Times New Roman" w:cs="Times New Roman"/>
          <w:b/>
          <w:bCs/>
          <w:lang w:val="lt-LT" w:eastAsia="x-none"/>
        </w:rPr>
        <w:tab/>
        <w:t xml:space="preserve">Kaip vartoti </w:t>
      </w:r>
      <w:proofErr w:type="spellStart"/>
      <w:r w:rsidRPr="00EA6C94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EA6C94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EA6C94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EA6C94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 arba vaistininkas.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r w:rsidRPr="00862FC2">
        <w:rPr>
          <w:rFonts w:ascii="Times New Roman" w:eastAsia="Times New Roman" w:hAnsi="Times New Roman" w:cs="Times New Roman"/>
          <w:noProof/>
          <w:lang w:val="lt-LT"/>
        </w:rPr>
        <w:t>Jeigu abejojate, kreipkitės į gydytoją arba vaistininką.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 xml:space="preserve">Suaugusieji ir vyresni negu 12 metų pacientai: 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r</w:t>
      </w:r>
      <w:r w:rsidRPr="00862FC2">
        <w:rPr>
          <w:rFonts w:ascii="Times New Roman" w:eastAsia="Times New Roman" w:hAnsi="Times New Roman" w:cs="Times New Roman"/>
          <w:noProof/>
          <w:snapToGrid w:val="0"/>
          <w:lang w:val="lt-LT"/>
        </w:rPr>
        <w:t>eikia gerti po 2 matavimo šaukšt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us</w:t>
      </w:r>
      <w:r w:rsidRPr="00862FC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(atitinka 10 ml) sirupo 3 kartus per parą.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 xml:space="preserve">Vaikai nuo 6 iki 12 metų: 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r</w:t>
      </w:r>
      <w:r w:rsidRPr="00862FC2">
        <w:rPr>
          <w:rFonts w:ascii="Times New Roman" w:eastAsia="Times New Roman" w:hAnsi="Times New Roman" w:cs="Times New Roman"/>
          <w:noProof/>
          <w:snapToGrid w:val="0"/>
          <w:lang w:val="lt-LT"/>
        </w:rPr>
        <w:t>eikia gerti po 1 matavimo šaukšt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ą</w:t>
      </w:r>
      <w:r w:rsidRPr="00862FC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(atitinka 5 ml) sirupo 2-3 kartus per parą.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 xml:space="preserve">Vaikai nuo 2 iki 6 metų: 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r</w:t>
      </w:r>
      <w:r w:rsidRPr="00862FC2">
        <w:rPr>
          <w:rFonts w:ascii="Times New Roman" w:eastAsia="Times New Roman" w:hAnsi="Times New Roman" w:cs="Times New Roman"/>
          <w:noProof/>
          <w:snapToGrid w:val="0"/>
          <w:lang w:val="lt-LT"/>
        </w:rPr>
        <w:t>eikia gerti po pusę matavimo šaukšto (atitinka 2,5 ml) sirupo 3 kartus per parą.</w:t>
      </w:r>
    </w:p>
    <w:p w:rsidR="00CF2678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 xml:space="preserve">Jaunesni negu 2 metų vaikai: 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r</w:t>
      </w:r>
      <w:r w:rsidRPr="00862FC2">
        <w:rPr>
          <w:rFonts w:ascii="Times New Roman" w:eastAsia="Times New Roman" w:hAnsi="Times New Roman" w:cs="Times New Roman"/>
          <w:noProof/>
          <w:snapToGrid w:val="0"/>
          <w:lang w:val="lt-LT"/>
        </w:rPr>
        <w:t>eikia gerti po pusę matavimo šaukšto (atitinka 2,5 ml) sirupo 2 kartus per parą.</w:t>
      </w:r>
    </w:p>
    <w:p w:rsidR="00CF2678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:rsidR="00CF2678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E37501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>Pacientams, kurių inkstų funkcija sutrikusi</w:t>
      </w:r>
    </w:p>
    <w:p w:rsidR="00CF2678" w:rsidRPr="00E37501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E37501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Pacientams, sergantiems sunkiu inkstų nepakankamumu, gali kauptis ambroksolio metabolizmo kepenyse metu atsiradę junginiai, todėl palaikomąją dozę reikėtų atitinkamai mažinti ir (arba) vartoti rečiau. </w:t>
      </w:r>
    </w:p>
    <w:p w:rsidR="00CF2678" w:rsidRPr="00E37501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</w:p>
    <w:p w:rsidR="00CF2678" w:rsidRPr="000E0B27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  <w:r w:rsidRPr="00E37501">
        <w:rPr>
          <w:rFonts w:ascii="Times New Roman" w:eastAsia="Times New Roman" w:hAnsi="Times New Roman" w:cs="Times New Roman"/>
          <w:i/>
          <w:noProof/>
          <w:snapToGrid w:val="0"/>
          <w:lang w:val="lt-LT"/>
        </w:rPr>
        <w:t>Pacientams, kurių kepenų funkcija sutrikusi</w:t>
      </w:r>
    </w:p>
    <w:p w:rsidR="00CF2678" w:rsidRPr="00E37501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iCs/>
          <w:lang w:val="lt-LT"/>
        </w:rPr>
      </w:pPr>
      <w:r w:rsidRPr="00E37501">
        <w:rPr>
          <w:rFonts w:ascii="Times New Roman" w:eastAsia="Times New Roman" w:hAnsi="Times New Roman" w:cs="Times New Roman"/>
          <w:iCs/>
          <w:lang w:val="lt-LT"/>
        </w:rPr>
        <w:t xml:space="preserve">Pacientams, sergantiems sunkia kepenų liga, </w:t>
      </w:r>
      <w:proofErr w:type="spellStart"/>
      <w:r w:rsidRPr="00E37501">
        <w:rPr>
          <w:rFonts w:ascii="Times New Roman" w:eastAsia="Times New Roman" w:hAnsi="Times New Roman" w:cs="Times New Roman"/>
          <w:iCs/>
          <w:lang w:val="lt-LT"/>
        </w:rPr>
        <w:t>ambroksolio</w:t>
      </w:r>
      <w:proofErr w:type="spellEnd"/>
      <w:r w:rsidRPr="00E37501">
        <w:rPr>
          <w:rFonts w:ascii="Times New Roman" w:eastAsia="Times New Roman" w:hAnsi="Times New Roman" w:cs="Times New Roman"/>
          <w:iCs/>
          <w:lang w:val="lt-LT"/>
        </w:rPr>
        <w:t xml:space="preserve"> hidrochlorido reikia vartoti labai atsargiai, </w:t>
      </w:r>
      <w:proofErr w:type="spellStart"/>
      <w:r w:rsidRPr="00E37501">
        <w:rPr>
          <w:rFonts w:ascii="Times New Roman" w:eastAsia="Times New Roman" w:hAnsi="Times New Roman" w:cs="Times New Roman"/>
          <w:iCs/>
          <w:lang w:val="lt-LT"/>
        </w:rPr>
        <w:t>t.y</w:t>
      </w:r>
      <w:proofErr w:type="spellEnd"/>
      <w:r w:rsidRPr="00E37501">
        <w:rPr>
          <w:rFonts w:ascii="Times New Roman" w:eastAsia="Times New Roman" w:hAnsi="Times New Roman" w:cs="Times New Roman"/>
          <w:iCs/>
          <w:lang w:val="lt-LT"/>
        </w:rPr>
        <w:t>. gerti rečiau ir (arba) mažesnę dozę.</w:t>
      </w:r>
    </w:p>
    <w:p w:rsidR="00CF2678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Ką daryti pavartojus per didelę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dozę</w:t>
      </w: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 xml:space="preserve">Jeigu Jūs išgėrėte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 daugiau negu reikia, nedelsdami kreipkitės į savo gydytoją ar vaistininką. Apie specifinius perdozavimo simptomus žmogui iki šiol pranešimų negauta. Remiantis pranešimais apie atsitiktinį perdozavimą ir (arba) vartojimo klaidas, stebėti simptomai atitinka rekomenduojamos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 dozės sukeliamą žinomą šalutinį poveikį. Gali prireikti simptominio gydymo.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Pamiršus pavartoti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snapToGrid w:val="0"/>
          <w:lang w:val="lt-LT"/>
        </w:rPr>
        <w:t>Negalima vartoti dvigubos dozės norint kompensuoti praleistą dozę.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sirupą vartokite toliau taip, kaip paskirta. </w:t>
      </w: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Nustojus vartoti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snapToGrid w:val="0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snapToGrid w:val="0"/>
          <w:lang w:val="lt-LT"/>
        </w:rPr>
        <w:t xml:space="preserve">  reikia vartoti tik tada, kada reikia. Ligai palengvėjus, vartojimą reikia nutraukti. </w:t>
      </w: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</w:p>
    <w:p w:rsidR="00CF2678" w:rsidRPr="00862FC2" w:rsidRDefault="00CF2678" w:rsidP="00CF2678">
      <w:pPr>
        <w:tabs>
          <w:tab w:val="left" w:pos="9360"/>
          <w:tab w:val="left" w:pos="954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napToGrid w:val="0"/>
          <w:lang w:val="lt-LT"/>
        </w:rPr>
      </w:pPr>
      <w:r w:rsidRPr="00862FC2">
        <w:rPr>
          <w:rFonts w:ascii="Times New Roman" w:eastAsia="Times New Roman" w:hAnsi="Times New Roman" w:cs="Times New Roman"/>
          <w:snapToGrid w:val="0"/>
          <w:lang w:val="lt-LT"/>
        </w:rPr>
        <w:t>Jeigu kiltų daugiau klausimų dėl šio vaisto vartojimo, kreipkitės į gydytoją arba vaistininką.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keepLines/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4.</w:t>
      </w: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ab/>
        <w:t>Galimas šalutinis poveikis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Šis vaistas, kaip ir visi kiti, gali sukelti šalutinį poveikį, nors jis pasireiškia ne visiems žmonėms.</w:t>
      </w: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Cs/>
          <w:lang w:val="lt-LT" w:eastAsia="x-none"/>
        </w:rPr>
      </w:pP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Cs/>
          <w:lang w:val="lt-LT" w:eastAsia="x-none"/>
        </w:rPr>
        <w:t>Gali pasireikšti:</w:t>
      </w:r>
    </w:p>
    <w:p w:rsidR="00CF2678" w:rsidRDefault="00CF2678" w:rsidP="00CF2678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iCs/>
          <w:noProof/>
          <w:lang w:val="lt-LT"/>
        </w:rPr>
      </w:pPr>
      <w:r w:rsidRPr="006D15A4">
        <w:rPr>
          <w:rFonts w:ascii="Times New Roman" w:eastAsia="Times New Roman" w:hAnsi="Times New Roman" w:cs="Times New Roman"/>
          <w:b/>
          <w:bCs/>
          <w:iCs/>
          <w:noProof/>
          <w:lang w:val="lt-LT"/>
        </w:rPr>
        <w:t>Dažni šalutinio poveikio reiškiniai (gali pasireikšti rečiau kaip 1 iš 10 asmenų):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Skonio pojūčio pokytis.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Ryklės tirpulys.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Pykinimas.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Burnos ir liežuvio tirpulys.</w:t>
      </w:r>
    </w:p>
    <w:p w:rsidR="00CF2678" w:rsidRPr="00862FC2" w:rsidRDefault="00CF2678" w:rsidP="00CF2678">
      <w:p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lang w:val="lt-LT"/>
        </w:rPr>
      </w:pPr>
    </w:p>
    <w:p w:rsidR="00CF2678" w:rsidRPr="006D15A4" w:rsidRDefault="00CF2678" w:rsidP="00CF2678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iCs/>
          <w:noProof/>
          <w:lang w:val="lt-LT"/>
        </w:rPr>
      </w:pPr>
      <w:r w:rsidRPr="006D15A4">
        <w:rPr>
          <w:rFonts w:ascii="Times New Roman" w:eastAsia="Times New Roman" w:hAnsi="Times New Roman" w:cs="Times New Roman"/>
          <w:b/>
          <w:bCs/>
          <w:iCs/>
          <w:noProof/>
          <w:lang w:val="lt-LT"/>
        </w:rPr>
        <w:t>Nedažni šalutinio poveikio reiškiniai (gali pasireikšti rečiau kaip 1 iš 100 asmenų):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Viduriavimas.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Vėmimas.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Nevirškinimas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>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Burnos džiūvimas.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Pilvo skausmas.</w:t>
      </w:r>
    </w:p>
    <w:p w:rsidR="00CF2678" w:rsidRPr="00862FC2" w:rsidRDefault="00CF2678" w:rsidP="00CF2678">
      <w:p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left="567" w:right="278"/>
        <w:rPr>
          <w:rFonts w:ascii="Times New Roman" w:eastAsia="Times New Roman" w:hAnsi="Times New Roman" w:cs="Times New Roman"/>
          <w:i/>
          <w:noProof/>
          <w:lang w:val="lt-LT"/>
        </w:rPr>
      </w:pPr>
    </w:p>
    <w:p w:rsidR="00CF2678" w:rsidRPr="006D15A4" w:rsidRDefault="00CF2678" w:rsidP="00CF2678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iCs/>
          <w:noProof/>
          <w:lang w:val="lt-LT"/>
        </w:rPr>
      </w:pPr>
      <w:r w:rsidRPr="006D15A4">
        <w:rPr>
          <w:rFonts w:ascii="Times New Roman" w:eastAsia="Times New Roman" w:hAnsi="Times New Roman" w:cs="Times New Roman"/>
          <w:b/>
          <w:bCs/>
          <w:iCs/>
          <w:noProof/>
          <w:lang w:val="lt-LT"/>
        </w:rPr>
        <w:t>Reti šalutinio poveikio reiškiniai (gali pasireikšti rečiau kaip 1 iš 1 000 asmenų):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Išbėrimas.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Dilgėlinė.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Sekreto tekėjimas iš nosies.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Seilėtekis.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Rėmuo.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num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lastRenderedPageBreak/>
        <w:t>Šlapinimosi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sutrikimai.</w:t>
      </w:r>
    </w:p>
    <w:p w:rsidR="00CF2678" w:rsidRPr="00862FC2" w:rsidRDefault="00CF2678" w:rsidP="00CF2678">
      <w:p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left="360" w:right="278"/>
        <w:rPr>
          <w:rFonts w:ascii="Times New Roman" w:eastAsia="Times New Roman" w:hAnsi="Times New Roman" w:cs="Times New Roman"/>
          <w:i/>
          <w:noProof/>
          <w:lang w:val="lt-LT"/>
        </w:rPr>
      </w:pPr>
    </w:p>
    <w:p w:rsidR="00CF2678" w:rsidRPr="006D15A4" w:rsidRDefault="00CF2678" w:rsidP="00CF2678">
      <w:pPr>
        <w:numPr>
          <w:ilvl w:val="12"/>
          <w:numId w:val="0"/>
        </w:num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iCs/>
          <w:noProof/>
          <w:lang w:val="lt-LT"/>
        </w:rPr>
      </w:pPr>
      <w:r w:rsidRPr="006D15A4">
        <w:rPr>
          <w:rFonts w:ascii="Times New Roman" w:eastAsia="Times New Roman" w:hAnsi="Times New Roman" w:cs="Times New Roman"/>
          <w:b/>
          <w:bCs/>
          <w:iCs/>
          <w:noProof/>
          <w:lang w:val="lt-LT"/>
        </w:rPr>
        <w:t>Šalutinio poveikio reiškiniai, kurių</w:t>
      </w:r>
      <w:r>
        <w:rPr>
          <w:rFonts w:ascii="Times New Roman" w:eastAsia="Times New Roman" w:hAnsi="Times New Roman" w:cs="Times New Roman"/>
          <w:b/>
          <w:bCs/>
          <w:iCs/>
          <w:noProof/>
          <w:lang w:val="lt-LT"/>
        </w:rPr>
        <w:t xml:space="preserve"> </w:t>
      </w:r>
      <w:r w:rsidRPr="006D15A4">
        <w:rPr>
          <w:rFonts w:ascii="Times New Roman" w:eastAsia="Times New Roman" w:hAnsi="Times New Roman" w:cs="Times New Roman"/>
          <w:b/>
          <w:bCs/>
          <w:iCs/>
          <w:noProof/>
          <w:lang w:val="lt-LT"/>
        </w:rPr>
        <w:t>dažnis nežinomas (negali būti apskaičiuotas pagal turimus duomenis):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left" w:pos="567"/>
          <w:tab w:val="num" w:pos="900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Anafilaksinės reakcijos (greitai sunkėjančios, gyvybei pavojingos alerginės reakcijos), įskaitant anafilaksinį šoką (staigi, sunki ir kartais mirtina alerginė reakcija, kuriai būdingas kvėpavimo pasunkėjimas, kraujotakos nepakankamumas, staigus sutinimas, temperatūros padidėjimas, drebulys).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left" w:pos="567"/>
          <w:tab w:val="num" w:pos="900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edema (staigus odos arba gleivinės patinimas, kuris gali pasunkinti kvėpavimą).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left" w:pos="567"/>
          <w:tab w:val="num" w:pos="900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Jautrumo padidėjimas.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left" w:pos="567"/>
          <w:tab w:val="num" w:pos="900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Niežulys.</w:t>
      </w:r>
    </w:p>
    <w:p w:rsidR="00CF2678" w:rsidRPr="00862FC2" w:rsidRDefault="00CF2678" w:rsidP="00CF2678">
      <w:pPr>
        <w:numPr>
          <w:ilvl w:val="0"/>
          <w:numId w:val="4"/>
        </w:numPr>
        <w:tabs>
          <w:tab w:val="clear" w:pos="720"/>
          <w:tab w:val="left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Ryklės džiūvimas.</w:t>
      </w: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lang w:val="lt-LT"/>
        </w:rPr>
      </w:pP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lang w:val="lt-LT"/>
        </w:rPr>
      </w:pPr>
      <w:r w:rsidRPr="00862FC2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:rsidR="00CF2678" w:rsidRPr="00E323C9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862FC2">
        <w:rPr>
          <w:rFonts w:ascii="Times New Roman" w:eastAsia="Times New Roman" w:hAnsi="Times New Roman" w:cs="Times New Roman"/>
          <w:lang w:val="lt-LT"/>
        </w:rPr>
        <w:t>.</w:t>
      </w:r>
      <w:r w:rsidRPr="00862FC2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9D73DE">
        <w:rPr>
          <w:rFonts w:ascii="Times New Roman" w:eastAsia="Times New Roman" w:hAnsi="Times New Roman" w:cs="Times New Roman"/>
          <w:lang w:val="lt-LT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noProof/>
          <w:lang w:val="lt-LT"/>
        </w:rPr>
      </w:pP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noProof/>
          <w:lang w:val="lt-LT"/>
        </w:rPr>
      </w:pPr>
    </w:p>
    <w:p w:rsidR="00CF2678" w:rsidRPr="00862FC2" w:rsidRDefault="00CF2678" w:rsidP="00CF2678">
      <w:pPr>
        <w:keepNext/>
        <w:keepLines/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5.</w:t>
      </w: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ab/>
        <w:t xml:space="preserve">Kaip laikyti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Šį vaistą laikykite vaikams nepastebimoje ir nepasiekiamoje vietoje.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 xml:space="preserve">Ant 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buteliuko </w:t>
      </w:r>
      <w:r w:rsidRPr="00263B6C">
        <w:rPr>
          <w:rFonts w:ascii="Times New Roman" w:eastAsia="Times New Roman" w:hAnsi="Times New Roman" w:cs="Times New Roman"/>
          <w:noProof/>
          <w:lang w:val="lt-LT"/>
        </w:rPr>
        <w:t>etiketės ir dėžutės po „Tinka iki“ nurodytam tinkamumo laikui pasibaigus, šio vaisto vartoti negalima.</w:t>
      </w:r>
      <w:r w:rsidRPr="00263B6C">
        <w:rPr>
          <w:rFonts w:ascii="Times New Roman" w:eastAsia="Times New Roman" w:hAnsi="Times New Roman" w:cs="Times New Roman"/>
          <w:lang w:val="lt-LT"/>
        </w:rPr>
        <w:t xml:space="preserve"> </w:t>
      </w:r>
      <w:r w:rsidRPr="00862FC2">
        <w:rPr>
          <w:rFonts w:ascii="Times New Roman" w:eastAsia="Times New Roman" w:hAnsi="Times New Roman" w:cs="Times New Roman"/>
          <w:noProof/>
          <w:lang w:val="lt-LT"/>
        </w:rPr>
        <w:t xml:space="preserve">Vaistas tinkamas vartoti iki paskutinės nurodyto mėnesio dienos. </w:t>
      </w:r>
    </w:p>
    <w:p w:rsidR="00CF2678" w:rsidRPr="00245DCC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 xml:space="preserve">Po buteliuko pirmo atidarymo vaisto tinkamumo laikas 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yra </w:t>
      </w:r>
      <w:r w:rsidRPr="00245DCC">
        <w:rPr>
          <w:rFonts w:ascii="Times New Roman" w:eastAsia="Times New Roman" w:hAnsi="Times New Roman" w:cs="Times New Roman"/>
          <w:noProof/>
          <w:lang w:val="lt-LT"/>
        </w:rPr>
        <w:t>28 dienos.</w:t>
      </w:r>
    </w:p>
    <w:p w:rsidR="00CF2678" w:rsidRPr="00245DCC" w:rsidRDefault="00CF2678" w:rsidP="00CF2678">
      <w:pPr>
        <w:tabs>
          <w:tab w:val="left" w:pos="720"/>
        </w:tabs>
        <w:snapToGrid w:val="0"/>
        <w:spacing w:after="0" w:line="240" w:lineRule="auto"/>
        <w:ind w:right="10"/>
        <w:rPr>
          <w:rFonts w:ascii="Times New Roman" w:eastAsia="Times New Roman" w:hAnsi="Times New Roman" w:cs="Times New Roman"/>
          <w:lang w:val="lt-LT"/>
        </w:rPr>
      </w:pPr>
      <w:r w:rsidRPr="00245DCC">
        <w:rPr>
          <w:rFonts w:ascii="Times New Roman" w:eastAsia="Times New Roman" w:hAnsi="Times New Roman" w:cs="Times New Roman"/>
          <w:lang w:val="lt-LT" w:eastAsia="lt-LT"/>
        </w:rPr>
        <w:t>Šio vaisto laikymui specialių temperatūros sąlygų nereikalaujama</w:t>
      </w:r>
      <w:r w:rsidRPr="00245DCC">
        <w:rPr>
          <w:rFonts w:ascii="Times New Roman" w:eastAsia="Times New Roman" w:hAnsi="Times New Roman" w:cs="Times New Roman"/>
          <w:lang w:val="lt-LT"/>
        </w:rPr>
        <w:t xml:space="preserve">. Buteliuką laikyti išorinėje dėžutėje, kad </w:t>
      </w:r>
      <w:r>
        <w:rPr>
          <w:rFonts w:ascii="Times New Roman" w:eastAsia="Times New Roman" w:hAnsi="Times New Roman" w:cs="Times New Roman"/>
          <w:lang w:val="lt-LT"/>
        </w:rPr>
        <w:t>vaistas</w:t>
      </w:r>
      <w:r w:rsidRPr="00245DCC">
        <w:rPr>
          <w:rFonts w:ascii="Times New Roman" w:eastAsia="Times New Roman" w:hAnsi="Times New Roman" w:cs="Times New Roman"/>
          <w:lang w:val="lt-LT"/>
        </w:rPr>
        <w:t xml:space="preserve"> būtų apsaugotas nuo šviesos.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su buitinėmis atliekomis.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r w:rsidRPr="00862FC2">
        <w:rPr>
          <w:rFonts w:ascii="Times New Roman" w:eastAsia="Times New Roman" w:hAnsi="Times New Roman" w:cs="Times New Roman"/>
          <w:noProof/>
          <w:lang w:val="lt-LT"/>
        </w:rPr>
        <w:t>Kaip išmesti nereikalingus vaistus, klauskite vaistininko.</w:t>
      </w:r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r w:rsidRPr="00862FC2">
        <w:rPr>
          <w:rFonts w:ascii="Times New Roman" w:eastAsia="Times New Roman" w:hAnsi="Times New Roman" w:cs="Times New Roman"/>
          <w:noProof/>
          <w:lang w:val="lt-LT"/>
        </w:rPr>
        <w:t>Šios priemonės padės apsaugoti aplinką.</w:t>
      </w:r>
    </w:p>
    <w:p w:rsidR="00CF2678" w:rsidRPr="00862FC2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keepLines/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outlineLvl w:val="2"/>
        <w:rPr>
          <w:rFonts w:ascii="Times New Roman" w:eastAsia="Times New Roman" w:hAnsi="Times New Roman" w:cs="Times New Roman"/>
          <w:b/>
          <w:bCs/>
          <w:lang w:val="lt-LT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6.</w:t>
      </w:r>
      <w:r w:rsidRPr="00862FC2">
        <w:rPr>
          <w:rFonts w:ascii="Times New Roman" w:eastAsia="Times New Roman" w:hAnsi="Times New Roman" w:cs="Times New Roman"/>
          <w:bCs/>
          <w:lang w:val="lt-LT" w:eastAsia="x-none"/>
        </w:rPr>
        <w:tab/>
      </w:r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Pakuotės turinys ir kita informacija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sudėtis </w:t>
      </w:r>
    </w:p>
    <w:p w:rsidR="00CF2678" w:rsidRPr="00862FC2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 w:eastAsia="x-none"/>
        </w:rPr>
      </w:pPr>
    </w:p>
    <w:p w:rsidR="00CF2678" w:rsidRPr="00862FC2" w:rsidRDefault="00CF2678" w:rsidP="00CF2678">
      <w:pPr>
        <w:numPr>
          <w:ilvl w:val="0"/>
          <w:numId w:val="2"/>
        </w:numPr>
        <w:tabs>
          <w:tab w:val="left" w:pos="540"/>
          <w:tab w:val="left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 xml:space="preserve">Veiklioji medžiaga yra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ambroksolio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hidrochloridas. 1 ml sirupo yra 3 mg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ambroksolio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:rsidR="00CF2678" w:rsidRPr="00862FC2" w:rsidRDefault="00CF2678" w:rsidP="00CF2678">
      <w:pPr>
        <w:numPr>
          <w:ilvl w:val="0"/>
          <w:numId w:val="2"/>
        </w:numPr>
        <w:tabs>
          <w:tab w:val="left" w:pos="540"/>
          <w:tab w:val="left" w:pos="567"/>
          <w:tab w:val="left" w:pos="9360"/>
          <w:tab w:val="left" w:pos="9540"/>
        </w:tabs>
        <w:snapToGrid w:val="0"/>
        <w:spacing w:after="0" w:line="240" w:lineRule="auto"/>
        <w:ind w:left="567" w:right="278" w:hanging="567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Pagalbinės medžiagos yra</w:t>
      </w:r>
      <w:r w:rsidRPr="00862FC2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862FC2">
        <w:rPr>
          <w:rFonts w:ascii="Times New Roman" w:eastAsia="Times New Roman" w:hAnsi="Times New Roman" w:cs="Times New Roman"/>
          <w:noProof/>
          <w:lang w:val="lt-LT"/>
        </w:rPr>
        <w:t>sorbitolis (E420), glicerolis, propilenglikolis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 (E1520)</w:t>
      </w:r>
      <w:r w:rsidRPr="00245DCC">
        <w:rPr>
          <w:rFonts w:ascii="Times New Roman" w:eastAsia="Times New Roman" w:hAnsi="Times New Roman" w:cs="Times New Roman"/>
          <w:noProof/>
          <w:lang w:val="lt-LT"/>
        </w:rPr>
        <w:t>, hidroksietilceliuliozė, natrio benzoatas (E211), s</w:t>
      </w:r>
      <w:proofErr w:type="spellStart"/>
      <w:r w:rsidRPr="00E323C9">
        <w:rPr>
          <w:rFonts w:ascii="Times New Roman" w:eastAsia="Times New Roman" w:hAnsi="Times New Roman" w:cs="Times New Roman"/>
          <w:lang w:val="lt-LT"/>
        </w:rPr>
        <w:t>acharino</w:t>
      </w:r>
      <w:proofErr w:type="spellEnd"/>
      <w:r w:rsidRPr="00E323C9">
        <w:rPr>
          <w:rFonts w:ascii="Times New Roman" w:eastAsia="Times New Roman" w:hAnsi="Times New Roman" w:cs="Times New Roman"/>
          <w:lang w:val="lt-LT"/>
        </w:rPr>
        <w:t xml:space="preserve"> natrio druska</w:t>
      </w:r>
      <w:r w:rsidRPr="00E323C9">
        <w:rPr>
          <w:rFonts w:ascii="Times New Roman" w:eastAsia="Times New Roman" w:hAnsi="Times New Roman" w:cs="Times New Roman"/>
          <w:noProof/>
          <w:lang w:val="lt-LT"/>
        </w:rPr>
        <w:t>, c</w:t>
      </w:r>
      <w:r w:rsidRPr="00E323C9">
        <w:rPr>
          <w:rFonts w:ascii="Times New Roman" w:eastAsia="Times New Roman" w:hAnsi="Times New Roman" w:cs="Times New Roman"/>
          <w:lang w:val="lt-LT"/>
        </w:rPr>
        <w:t xml:space="preserve">itrinų rūgštis </w:t>
      </w:r>
      <w:proofErr w:type="spellStart"/>
      <w:r w:rsidRPr="00E323C9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  <w:r w:rsidRPr="00E323C9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E323C9">
        <w:rPr>
          <w:rFonts w:ascii="Times New Roman" w:eastAsia="Times New Roman" w:hAnsi="Times New Roman" w:cs="Times New Roman"/>
          <w:lang w:val="lt-LT"/>
        </w:rPr>
        <w:t>levomentolis</w:t>
      </w:r>
      <w:proofErr w:type="spellEnd"/>
      <w:r w:rsidRPr="00E323C9">
        <w:rPr>
          <w:rFonts w:ascii="Times New Roman" w:eastAsia="Times New Roman" w:hAnsi="Times New Roman" w:cs="Times New Roman"/>
          <w:lang w:val="lt-LT"/>
        </w:rPr>
        <w:t>, išgrynintas vanduo, bananų skonio kvapioji medžiaga ir vanilės s</w:t>
      </w:r>
      <w:r w:rsidRPr="00862FC2">
        <w:rPr>
          <w:rFonts w:ascii="Times New Roman" w:eastAsia="Times New Roman" w:hAnsi="Times New Roman" w:cs="Times New Roman"/>
          <w:lang w:val="lt-LT"/>
        </w:rPr>
        <w:t>konio kvapioji medžiaga.</w:t>
      </w:r>
    </w:p>
    <w:p w:rsidR="00CF2678" w:rsidRPr="00862FC2" w:rsidRDefault="00CF2678" w:rsidP="00CF2678">
      <w:p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lt-LT" w:eastAsia="x-none"/>
        </w:rPr>
      </w:pP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b/>
          <w:bCs/>
          <w:lang w:val="lt-LT" w:eastAsia="x-none"/>
        </w:rPr>
        <w:t xml:space="preserve">  išvaizda ir kiekis pakuotėje</w:t>
      </w:r>
    </w:p>
    <w:p w:rsidR="00CF2678" w:rsidRPr="00862FC2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 w:eastAsia="x-none"/>
        </w:rPr>
      </w:pPr>
    </w:p>
    <w:p w:rsidR="00CF2678" w:rsidRPr="00245DCC" w:rsidRDefault="00CF2678" w:rsidP="00CF2678">
      <w:pPr>
        <w:widowControl w:val="0"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lang w:val="lt-LT"/>
        </w:rPr>
      </w:pP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Ambroxol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62FC2">
        <w:rPr>
          <w:rFonts w:ascii="Times New Roman" w:eastAsia="Times New Roman" w:hAnsi="Times New Roman" w:cs="Times New Roman"/>
          <w:lang w:val="lt-LT"/>
        </w:rPr>
        <w:t>Siromed</w:t>
      </w:r>
      <w:proofErr w:type="spellEnd"/>
      <w:r w:rsidRPr="00862FC2">
        <w:rPr>
          <w:rFonts w:ascii="Times New Roman" w:eastAsia="Times New Roman" w:hAnsi="Times New Roman" w:cs="Times New Roman"/>
          <w:lang w:val="lt-LT"/>
        </w:rPr>
        <w:t xml:space="preserve"> sirupas yra skaidrus, bespalvis ar šviesiai gelsvas, klampus skystis</w:t>
      </w:r>
      <w:r>
        <w:rPr>
          <w:rFonts w:ascii="Times New Roman" w:eastAsia="Times New Roman" w:hAnsi="Times New Roman" w:cs="Times New Roman"/>
          <w:lang w:val="lt-LT"/>
        </w:rPr>
        <w:t>, turintis specifinį kvapą</w:t>
      </w:r>
      <w:r w:rsidRPr="00245DCC">
        <w:rPr>
          <w:rFonts w:ascii="Times New Roman" w:eastAsia="Times New Roman" w:hAnsi="Times New Roman" w:cs="Times New Roman"/>
          <w:lang w:val="lt-LT"/>
        </w:rPr>
        <w:t xml:space="preserve">. </w:t>
      </w:r>
    </w:p>
    <w:p w:rsidR="00CF2678" w:rsidRPr="00862FC2" w:rsidRDefault="00CF2678" w:rsidP="00CF2678">
      <w:p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lastRenderedPageBreak/>
        <w:t>Kartono dėžutėje yra rudos spalvos stiklinis arba plastikinis buteliukas su baltu užsukamu polietileno dangteliu su pirmojo atidarymo kontrole ir bespalvis polipropileno matavimo šaukštas paženklintas 2,5 ml ir 5 ml padalomis.</w:t>
      </w:r>
    </w:p>
    <w:p w:rsidR="00CF2678" w:rsidRPr="00862FC2" w:rsidRDefault="00CF2678" w:rsidP="00CF2678">
      <w:p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862FC2">
        <w:rPr>
          <w:rFonts w:ascii="Times New Roman" w:eastAsia="Times New Roman" w:hAnsi="Times New Roman" w:cs="Times New Roman"/>
          <w:noProof/>
          <w:lang w:val="lt-LT"/>
        </w:rPr>
        <w:t>Buteliuke yra 100 ml sirupo.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keepNext/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jc w:val="both"/>
        <w:outlineLvl w:val="3"/>
        <w:rPr>
          <w:rFonts w:ascii="Times New Roman" w:eastAsia="Times New Roman" w:hAnsi="Times New Roman" w:cs="Times New Roman"/>
          <w:b/>
          <w:bCs/>
          <w:lang w:val="fi-FI" w:eastAsia="x-none"/>
        </w:rPr>
      </w:pPr>
      <w:r w:rsidRPr="00862FC2">
        <w:rPr>
          <w:rFonts w:ascii="Times New Roman" w:eastAsia="Times New Roman" w:hAnsi="Times New Roman" w:cs="Times New Roman"/>
          <w:b/>
          <w:bCs/>
          <w:lang w:val="fi-FI" w:eastAsia="x-none"/>
        </w:rPr>
        <w:t>Registruotojas</w:t>
      </w:r>
      <w:r w:rsidRPr="00862FC2">
        <w:rPr>
          <w:rFonts w:ascii="Times New Roman" w:eastAsia="Times New Roman" w:hAnsi="Times New Roman" w:cs="Times New Roman"/>
          <w:b/>
          <w:bCs/>
          <w:color w:val="FFCC00"/>
          <w:lang w:val="fi-FI" w:eastAsia="x-none"/>
        </w:rPr>
        <w:t xml:space="preserve"> </w:t>
      </w:r>
      <w:r w:rsidRPr="00862FC2">
        <w:rPr>
          <w:rFonts w:ascii="Times New Roman" w:eastAsia="Times New Roman" w:hAnsi="Times New Roman" w:cs="Times New Roman"/>
          <w:b/>
          <w:bCs/>
          <w:highlight w:val="lightGray"/>
          <w:lang w:val="fi-FI" w:eastAsia="x-none"/>
        </w:rPr>
        <w:t>ir gamintojas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fi-FI"/>
        </w:rPr>
      </w:pPr>
    </w:p>
    <w:p w:rsidR="00CF2678" w:rsidRPr="00862FC2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fi-FI"/>
        </w:rPr>
      </w:pPr>
      <w:r w:rsidRPr="00862FC2">
        <w:rPr>
          <w:rFonts w:ascii="Times New Roman" w:eastAsia="Times New Roman" w:hAnsi="Times New Roman" w:cs="Times New Roman"/>
          <w:lang w:val="fi-FI"/>
        </w:rPr>
        <w:t>UAB „</w:t>
      </w:r>
      <w:r>
        <w:rPr>
          <w:rFonts w:ascii="Times New Roman" w:eastAsia="Times New Roman" w:hAnsi="Times New Roman" w:cs="Times New Roman"/>
          <w:lang w:val="fi-FI"/>
        </w:rPr>
        <w:t>Eletis</w:t>
      </w:r>
      <w:r w:rsidRPr="00862FC2">
        <w:rPr>
          <w:rFonts w:ascii="Times New Roman" w:eastAsia="Times New Roman" w:hAnsi="Times New Roman" w:cs="Times New Roman"/>
          <w:lang w:val="fi-FI"/>
        </w:rPr>
        <w:t xml:space="preserve"> Pharma“</w:t>
      </w:r>
    </w:p>
    <w:p w:rsidR="00CF2678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fi-FI"/>
        </w:rPr>
      </w:pPr>
      <w:r w:rsidRPr="00862FC2">
        <w:rPr>
          <w:rFonts w:ascii="Times New Roman" w:eastAsia="Times New Roman" w:hAnsi="Times New Roman" w:cs="Times New Roman"/>
          <w:lang w:val="fi-FI"/>
        </w:rPr>
        <w:t>Sukilėlių pr. 61-2</w:t>
      </w:r>
    </w:p>
    <w:p w:rsidR="00CF2678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fi-FI"/>
        </w:rPr>
      </w:pPr>
      <w:r w:rsidRPr="00245DCC">
        <w:rPr>
          <w:rFonts w:ascii="Times New Roman" w:eastAsia="Times New Roman" w:hAnsi="Times New Roman" w:cs="Times New Roman"/>
          <w:lang w:val="fi-FI"/>
        </w:rPr>
        <w:t>LT-49333</w:t>
      </w:r>
      <w:r>
        <w:rPr>
          <w:rFonts w:ascii="Times New Roman" w:eastAsia="Times New Roman" w:hAnsi="Times New Roman" w:cs="Times New Roman"/>
          <w:lang w:val="fi-FI"/>
        </w:rPr>
        <w:t xml:space="preserve"> </w:t>
      </w:r>
      <w:r w:rsidRPr="00245DCC">
        <w:rPr>
          <w:rFonts w:ascii="Times New Roman" w:eastAsia="Times New Roman" w:hAnsi="Times New Roman" w:cs="Times New Roman"/>
          <w:lang w:val="fi-FI"/>
        </w:rPr>
        <w:t>Kaunas</w:t>
      </w:r>
    </w:p>
    <w:p w:rsidR="00CF2678" w:rsidRPr="00245DCC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fi-FI"/>
        </w:rPr>
      </w:pPr>
      <w:r w:rsidRPr="00245DCC">
        <w:rPr>
          <w:rFonts w:ascii="Times New Roman" w:eastAsia="Times New Roman" w:hAnsi="Times New Roman" w:cs="Times New Roman"/>
          <w:lang w:val="fi-FI"/>
        </w:rPr>
        <w:t>Lietuva</w:t>
      </w:r>
    </w:p>
    <w:p w:rsidR="00CF2678" w:rsidRPr="00E323C9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fi-FI"/>
        </w:rPr>
      </w:pPr>
      <w:r w:rsidRPr="00E323C9">
        <w:rPr>
          <w:rFonts w:ascii="Times New Roman" w:eastAsia="Times New Roman" w:hAnsi="Times New Roman" w:cs="Times New Roman"/>
          <w:lang w:val="fi-FI"/>
        </w:rPr>
        <w:t>Tel.: +370 37 370054</w:t>
      </w:r>
    </w:p>
    <w:p w:rsidR="00CF2678" w:rsidRPr="00862FC2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fi-FI"/>
        </w:rPr>
      </w:pPr>
      <w:r w:rsidRPr="00862FC2">
        <w:rPr>
          <w:rFonts w:ascii="Times New Roman" w:eastAsia="Times New Roman" w:hAnsi="Times New Roman" w:cs="Times New Roman"/>
          <w:lang w:val="fi-FI"/>
        </w:rPr>
        <w:t>Faksas: +370 37 370067</w:t>
      </w:r>
    </w:p>
    <w:p w:rsidR="00CF2678" w:rsidRPr="00B503DC" w:rsidRDefault="00CF2678" w:rsidP="00CF267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</w:rPr>
      </w:pPr>
      <w:r w:rsidRPr="00B503DC">
        <w:rPr>
          <w:rFonts w:ascii="Times New Roman" w:eastAsia="Times New Roman" w:hAnsi="Times New Roman" w:cs="Times New Roman"/>
        </w:rPr>
        <w:t xml:space="preserve">El. pastas </w:t>
      </w:r>
      <w:hyperlink r:id="rId5" w:history="1">
        <w:r w:rsidRPr="0070527D">
          <w:rPr>
            <w:rStyle w:val="Hipersaitas"/>
            <w:rFonts w:ascii="Times New Roman" w:eastAsia="Times New Roman" w:hAnsi="Times New Roman" w:cs="Times New Roman"/>
          </w:rPr>
          <w:t>info@eletispharma.lt</w:t>
        </w:r>
      </w:hyperlink>
    </w:p>
    <w:p w:rsidR="00CF2678" w:rsidRPr="00B503DC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</w:rPr>
      </w:pPr>
    </w:p>
    <w:p w:rsidR="00CF2678" w:rsidRPr="00B503DC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B503DC">
        <w:rPr>
          <w:rFonts w:ascii="Times New Roman" w:eastAsia="Times New Roman" w:hAnsi="Times New Roman" w:cs="Times New Roman"/>
          <w:b/>
          <w:noProof/>
          <w:highlight w:val="lightGray"/>
        </w:rPr>
        <w:t>Gamintojas</w:t>
      </w:r>
    </w:p>
    <w:p w:rsidR="00CF2678" w:rsidRPr="00B503DC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noProof/>
          <w:highlight w:val="lightGray"/>
        </w:rPr>
      </w:pPr>
    </w:p>
    <w:p w:rsidR="00CF2678" w:rsidRPr="00B503DC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highlight w:val="lightGray"/>
        </w:rPr>
      </w:pPr>
      <w:r w:rsidRPr="00B503DC">
        <w:rPr>
          <w:rFonts w:ascii="Times New Roman" w:eastAsia="Times New Roman" w:hAnsi="Times New Roman" w:cs="Times New Roman"/>
          <w:noProof/>
          <w:highlight w:val="lightGray"/>
        </w:rPr>
        <w:t>UAB „</w:t>
      </w:r>
      <w:r>
        <w:rPr>
          <w:rFonts w:ascii="Times New Roman" w:eastAsia="Times New Roman" w:hAnsi="Times New Roman" w:cs="Times New Roman"/>
          <w:noProof/>
          <w:highlight w:val="lightGray"/>
        </w:rPr>
        <w:t>Eletis</w:t>
      </w:r>
      <w:r w:rsidRPr="00B503DC">
        <w:rPr>
          <w:rFonts w:ascii="Times New Roman" w:eastAsia="Times New Roman" w:hAnsi="Times New Roman" w:cs="Times New Roman"/>
          <w:noProof/>
          <w:highlight w:val="lightGray"/>
        </w:rPr>
        <w:t xml:space="preserve"> Medica“</w:t>
      </w:r>
    </w:p>
    <w:p w:rsidR="00CF2678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highlight w:val="lightGray"/>
          <w:lang w:val="fi-FI"/>
        </w:rPr>
      </w:pPr>
      <w:r w:rsidRPr="00862FC2">
        <w:rPr>
          <w:rFonts w:ascii="Times New Roman" w:eastAsia="Times New Roman" w:hAnsi="Times New Roman" w:cs="Times New Roman"/>
          <w:noProof/>
          <w:highlight w:val="lightGray"/>
          <w:lang w:val="fi-FI"/>
        </w:rPr>
        <w:t xml:space="preserve">Sukilėlių pr. 61-2 </w:t>
      </w:r>
    </w:p>
    <w:p w:rsidR="00CF2678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highlight w:val="lightGray"/>
          <w:lang w:val="fi-FI"/>
        </w:rPr>
      </w:pPr>
      <w:r w:rsidRPr="00245DCC">
        <w:rPr>
          <w:rFonts w:ascii="Times New Roman" w:eastAsia="Times New Roman" w:hAnsi="Times New Roman" w:cs="Times New Roman"/>
          <w:noProof/>
          <w:highlight w:val="lightGray"/>
          <w:lang w:val="fi-FI"/>
        </w:rPr>
        <w:t>LT-49333</w:t>
      </w:r>
      <w:r>
        <w:rPr>
          <w:rFonts w:ascii="Times New Roman" w:eastAsia="Times New Roman" w:hAnsi="Times New Roman" w:cs="Times New Roman"/>
          <w:noProof/>
          <w:highlight w:val="lightGray"/>
          <w:lang w:val="fi-FI"/>
        </w:rPr>
        <w:t xml:space="preserve"> </w:t>
      </w:r>
      <w:r w:rsidRPr="00245DCC">
        <w:rPr>
          <w:rFonts w:ascii="Times New Roman" w:eastAsia="Times New Roman" w:hAnsi="Times New Roman" w:cs="Times New Roman"/>
          <w:noProof/>
          <w:highlight w:val="lightGray"/>
          <w:lang w:val="fi-FI"/>
        </w:rPr>
        <w:t xml:space="preserve">Kaunas </w:t>
      </w:r>
    </w:p>
    <w:p w:rsidR="00CF2678" w:rsidRPr="00245DCC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highlight w:val="lightGray"/>
          <w:lang w:val="fi-FI"/>
        </w:rPr>
      </w:pPr>
      <w:r w:rsidRPr="00245DCC">
        <w:rPr>
          <w:rFonts w:ascii="Times New Roman" w:eastAsia="Times New Roman" w:hAnsi="Times New Roman" w:cs="Times New Roman"/>
          <w:noProof/>
          <w:highlight w:val="lightGray"/>
          <w:lang w:val="fi-FI"/>
        </w:rPr>
        <w:t>Lietuva</w:t>
      </w:r>
    </w:p>
    <w:p w:rsidR="00CF2678" w:rsidRPr="00E323C9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highlight w:val="lightGray"/>
          <w:lang w:val="fi-FI"/>
        </w:rPr>
      </w:pPr>
      <w:r w:rsidRPr="00245DCC">
        <w:rPr>
          <w:rFonts w:ascii="Times New Roman" w:eastAsia="Times New Roman" w:hAnsi="Times New Roman" w:cs="Times New Roman"/>
          <w:noProof/>
          <w:highlight w:val="lightGray"/>
          <w:lang w:val="fi-FI"/>
        </w:rPr>
        <w:t>Tel.: +37037370054</w:t>
      </w:r>
    </w:p>
    <w:p w:rsidR="00CF2678" w:rsidRPr="00862FC2" w:rsidRDefault="00CF2678" w:rsidP="00CF2678">
      <w:p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highlight w:val="lightGray"/>
          <w:lang w:val="fi-FI"/>
        </w:rPr>
      </w:pPr>
      <w:r w:rsidRPr="00862FC2">
        <w:rPr>
          <w:rFonts w:ascii="Times New Roman" w:eastAsia="Times New Roman" w:hAnsi="Times New Roman" w:cs="Times New Roman"/>
          <w:noProof/>
          <w:highlight w:val="lightGray"/>
          <w:lang w:val="fi-FI"/>
        </w:rPr>
        <w:t>Faksas.: +370 37370067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noProof/>
          <w:lang w:val="fi-FI"/>
        </w:rPr>
      </w:pPr>
      <w:hyperlink r:id="rId6" w:history="1">
        <w:r w:rsidRPr="0070527D">
          <w:rPr>
            <w:rStyle w:val="Hipersaitas"/>
            <w:rFonts w:ascii="Times New Roman" w:eastAsia="Times New Roman" w:hAnsi="Times New Roman" w:cs="Times New Roman"/>
            <w:noProof/>
            <w:highlight w:val="lightGray"/>
            <w:lang w:val="fi-FI"/>
          </w:rPr>
          <w:t>info@eletis.lt</w:t>
        </w:r>
      </w:hyperlink>
    </w:p>
    <w:p w:rsidR="00CF2678" w:rsidRPr="00EA6C94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60" w:lineRule="exact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lang w:val="lt-LT"/>
        </w:rPr>
      </w:pPr>
      <w:r w:rsidRPr="00862FC2">
        <w:rPr>
          <w:rFonts w:ascii="Times New Roman" w:eastAsia="Times New Roman" w:hAnsi="Times New Roman" w:cs="Times New Roman"/>
          <w:b/>
          <w:lang w:val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2025-03-04.</w:t>
      </w:r>
      <w:r w:rsidRPr="00862FC2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CF2678" w:rsidRPr="00862FC2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862FC2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CF2678" w:rsidRPr="00E964CC" w:rsidRDefault="00CF2678" w:rsidP="00CF2678">
      <w:pPr>
        <w:numPr>
          <w:ilvl w:val="12"/>
          <w:numId w:val="0"/>
        </w:numPr>
        <w:tabs>
          <w:tab w:val="left" w:pos="567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  <w:r w:rsidRPr="00862FC2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862FC2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7" w:history="1">
        <w:r w:rsidRPr="00862FC2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http://www.vvkt.lt/</w:t>
        </w:r>
      </w:hyperlink>
      <w:r>
        <w:rPr>
          <w:rFonts w:ascii="Times New Roman" w:eastAsia="SimSun" w:hAnsi="Times New Roman" w:cs="Times New Roman"/>
          <w:color w:val="0000FF"/>
          <w:u w:val="single"/>
          <w:lang w:val="lt-LT"/>
        </w:rPr>
        <w:t>lt/</w:t>
      </w:r>
      <w:r w:rsidRPr="00862FC2">
        <w:rPr>
          <w:rFonts w:ascii="Times New Roman" w:eastAsia="Times New Roman" w:hAnsi="Times New Roman" w:cs="Times New Roman"/>
          <w:lang w:val="lt-LT"/>
        </w:rPr>
        <w:t>.</w:t>
      </w:r>
    </w:p>
    <w:p w:rsidR="00CF2678" w:rsidRPr="00EA6C94" w:rsidRDefault="00CF2678" w:rsidP="00CF2678">
      <w:pPr>
        <w:tabs>
          <w:tab w:val="left" w:pos="720"/>
          <w:tab w:val="left" w:pos="9360"/>
          <w:tab w:val="left" w:pos="9540"/>
        </w:tabs>
        <w:snapToGrid w:val="0"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BB20556"/>
    <w:multiLevelType w:val="hybridMultilevel"/>
    <w:tmpl w:val="A8C4D196"/>
    <w:lvl w:ilvl="0" w:tplc="44726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302DE9"/>
    <w:multiLevelType w:val="hybridMultilevel"/>
    <w:tmpl w:val="E66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A7226"/>
    <w:multiLevelType w:val="hybridMultilevel"/>
    <w:tmpl w:val="155CC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78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CF2678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5387-04F1-4861-B456-894B084A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2678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F2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letis.lt" TargetMode="External"/><Relationship Id="rId5" Type="http://schemas.openxmlformats.org/officeDocument/2006/relationships/hyperlink" Target="mailto:info@eletispharm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6724</Words>
  <Characters>3834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        3.	Kaip vartoti Ambroxol Siromed </vt:lpstr>
      <vt:lpstr>        4.	Galimas šalutinis poveikis</vt:lpstr>
      <vt:lpstr>        5.	Kaip laikyti Ambroxol Siromed </vt:lpstr>
      <vt:lpstr>        6.	Pakuotės turinys ir kita informacija</vt:lpstr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2025-03-05T07:22:00Z</dcterms:created>
  <dcterms:modified xsi:type="dcterms:W3CDTF">2025-03-05T07:22:00Z</dcterms:modified>
</cp:coreProperties>
</file>