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9C984" w14:textId="77777777" w:rsidR="00DE2956" w:rsidRPr="007B75DC" w:rsidRDefault="00DE2956" w:rsidP="00DE2956">
      <w:pPr>
        <w:spacing w:after="0" w:line="240" w:lineRule="auto"/>
        <w:rPr>
          <w:rFonts w:ascii="Times New Roman" w:eastAsia="Times New Roman" w:hAnsi="Times New Roman" w:cs="Times New Roman"/>
          <w:szCs w:val="24"/>
        </w:rPr>
      </w:pPr>
    </w:p>
    <w:p w14:paraId="4B649EED"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6E31B8FF"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492F2BF"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4773047"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B83D1AF"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B1001C3"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02071DA"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7BC9422"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588BB152"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21E6FE2"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64B6E374"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5740B561"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687B2BB8"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584917BF"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720D56E"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1A884AD"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8F69EA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7831B3F9"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25D25DF5"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26B3548"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5E7C441" w14:textId="77777777" w:rsidR="00DE2956" w:rsidRPr="007B75DC" w:rsidRDefault="00DE2956" w:rsidP="00DE2956">
      <w:pPr>
        <w:keepNext/>
        <w:tabs>
          <w:tab w:val="left" w:pos="567"/>
        </w:tabs>
        <w:spacing w:after="0" w:line="240" w:lineRule="auto"/>
        <w:jc w:val="center"/>
        <w:outlineLvl w:val="1"/>
        <w:rPr>
          <w:rFonts w:ascii="Times New Roman" w:eastAsia="Times New Roman" w:hAnsi="Times New Roman" w:cs="Times New Roman"/>
          <w:b/>
        </w:rPr>
      </w:pPr>
    </w:p>
    <w:p w14:paraId="1760B4D4" w14:textId="77777777" w:rsidR="00DE2956" w:rsidRPr="007B75DC" w:rsidRDefault="00DE2956" w:rsidP="00DE2956">
      <w:pPr>
        <w:keepNext/>
        <w:tabs>
          <w:tab w:val="left" w:pos="567"/>
        </w:tabs>
        <w:spacing w:after="0" w:line="240" w:lineRule="auto"/>
        <w:jc w:val="center"/>
        <w:outlineLvl w:val="1"/>
        <w:rPr>
          <w:rFonts w:ascii="Times New Roman" w:eastAsia="Times New Roman" w:hAnsi="Times New Roman" w:cs="Times New Roman"/>
          <w:b/>
        </w:rPr>
      </w:pPr>
    </w:p>
    <w:p w14:paraId="7405D9DE" w14:textId="77777777" w:rsidR="00DE2956" w:rsidRPr="007B75DC" w:rsidRDefault="00DE2956" w:rsidP="00DE2956">
      <w:pPr>
        <w:keepNext/>
        <w:tabs>
          <w:tab w:val="left" w:pos="567"/>
        </w:tabs>
        <w:spacing w:after="0" w:line="240" w:lineRule="auto"/>
        <w:jc w:val="center"/>
        <w:outlineLvl w:val="1"/>
        <w:rPr>
          <w:rFonts w:ascii="Times New Roman" w:eastAsia="Times New Roman" w:hAnsi="Times New Roman" w:cs="Times New Roman"/>
          <w:b/>
        </w:rPr>
      </w:pPr>
      <w:r w:rsidRPr="007B75DC">
        <w:rPr>
          <w:rFonts w:ascii="Times New Roman" w:eastAsia="Times New Roman" w:hAnsi="Times New Roman" w:cs="Times New Roman"/>
          <w:b/>
        </w:rPr>
        <w:t>I PRIEDAS</w:t>
      </w:r>
    </w:p>
    <w:p w14:paraId="1F8403F9" w14:textId="77777777" w:rsidR="00DE2956" w:rsidRPr="007B75DC" w:rsidRDefault="00DE2956" w:rsidP="00DE2956">
      <w:pPr>
        <w:spacing w:after="0" w:line="240" w:lineRule="auto"/>
        <w:rPr>
          <w:rFonts w:ascii="Times New Roman" w:eastAsia="Times New Roman" w:hAnsi="Times New Roman" w:cs="Times New Roman"/>
          <w:szCs w:val="24"/>
        </w:rPr>
      </w:pPr>
    </w:p>
    <w:p w14:paraId="269937B5" w14:textId="77777777" w:rsidR="00DE2956" w:rsidRPr="007B75DC" w:rsidRDefault="00DE2956" w:rsidP="00DE2956">
      <w:pPr>
        <w:spacing w:after="0" w:line="240" w:lineRule="auto"/>
        <w:ind w:left="567" w:hanging="567"/>
        <w:jc w:val="center"/>
        <w:rPr>
          <w:rFonts w:ascii="Times New Roman" w:eastAsia="Times New Roman" w:hAnsi="Times New Roman" w:cs="Times New Roman"/>
          <w:szCs w:val="24"/>
        </w:rPr>
      </w:pPr>
      <w:r w:rsidRPr="007B75DC">
        <w:rPr>
          <w:rFonts w:ascii="Times New Roman" w:eastAsia="Times New Roman" w:hAnsi="Times New Roman" w:cs="Times New Roman"/>
          <w:b/>
          <w:bCs/>
          <w:szCs w:val="24"/>
        </w:rPr>
        <w:t>PREPARATO CHARAKTERISTIKŲ SANTRAUKA</w:t>
      </w:r>
    </w:p>
    <w:p w14:paraId="5EFAE2D5" w14:textId="77777777" w:rsidR="00DE2956" w:rsidRPr="007B75DC" w:rsidRDefault="00DE2956" w:rsidP="00DE2956">
      <w:pPr>
        <w:spacing w:after="0" w:line="240" w:lineRule="auto"/>
        <w:rPr>
          <w:rFonts w:ascii="Times New Roman" w:eastAsia="Times New Roman" w:hAnsi="Times New Roman" w:cs="Times New Roman"/>
          <w:szCs w:val="24"/>
        </w:rPr>
      </w:pPr>
    </w:p>
    <w:p w14:paraId="59DCFB8A" w14:textId="77777777" w:rsidR="00DE2956" w:rsidRPr="007B75DC" w:rsidRDefault="00DE2956" w:rsidP="00DE2956">
      <w:pPr>
        <w:spacing w:after="0" w:line="240" w:lineRule="auto"/>
        <w:rPr>
          <w:rFonts w:ascii="Times New Roman" w:eastAsia="Times New Roman" w:hAnsi="Times New Roman" w:cs="Times New Roman"/>
          <w:szCs w:val="24"/>
        </w:rPr>
      </w:pPr>
    </w:p>
    <w:p w14:paraId="0DAAC822"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br w:type="page"/>
      </w:r>
      <w:r w:rsidRPr="007B75DC">
        <w:rPr>
          <w:rFonts w:ascii="Times New Roman" w:eastAsia="Times New Roman" w:hAnsi="Times New Roman" w:cs="Times New Roman"/>
          <w:b/>
          <w:szCs w:val="24"/>
        </w:rPr>
        <w:lastRenderedPageBreak/>
        <w:t>1.</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VAISTINIO</w:t>
      </w:r>
      <w:r w:rsidRPr="007B75DC">
        <w:rPr>
          <w:rFonts w:ascii="Times New Roman" w:eastAsia="Times New Roman" w:hAnsi="Times New Roman" w:cs="Times New Roman"/>
          <w:b/>
          <w:szCs w:val="24"/>
        </w:rPr>
        <w:t xml:space="preserve"> PREPARATO PAVADINIMAS</w:t>
      </w:r>
    </w:p>
    <w:p w14:paraId="6BCC8283" w14:textId="77777777" w:rsidR="00DE2956" w:rsidRPr="007B75DC" w:rsidRDefault="00DE2956" w:rsidP="00DE2956">
      <w:pPr>
        <w:spacing w:after="0" w:line="240" w:lineRule="auto"/>
        <w:rPr>
          <w:rFonts w:ascii="Times New Roman" w:eastAsia="Times New Roman" w:hAnsi="Times New Roman" w:cs="Times New Roman"/>
          <w:szCs w:val="24"/>
        </w:rPr>
      </w:pPr>
    </w:p>
    <w:p w14:paraId="1FB7C45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100 mg plėvele dengtos tabletės</w:t>
      </w:r>
    </w:p>
    <w:p w14:paraId="67F4150B"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 xml:space="preserve">Imatinib </w:t>
      </w:r>
      <w:r w:rsidR="006F09BA" w:rsidRPr="007B75DC">
        <w:rPr>
          <w:rFonts w:ascii="Times New Roman" w:eastAsia="Times New Roman" w:hAnsi="Times New Roman" w:cs="Times New Roman"/>
          <w:szCs w:val="24"/>
          <w:highlight w:val="lightGray"/>
        </w:rPr>
        <w:t>Inteli</w:t>
      </w:r>
      <w:r w:rsidRPr="007B75DC">
        <w:rPr>
          <w:rFonts w:ascii="Times New Roman" w:eastAsia="Times New Roman" w:hAnsi="Times New Roman" w:cs="Times New Roman"/>
          <w:szCs w:val="24"/>
          <w:highlight w:val="lightGray"/>
        </w:rPr>
        <w:t xml:space="preserve"> 400 mg plėvele dengtos tabletės</w:t>
      </w:r>
    </w:p>
    <w:p w14:paraId="19D8463A"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90AE2E2"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51AEBA56" w14:textId="77777777" w:rsidR="00DE2956" w:rsidRPr="007B75DC" w:rsidRDefault="00DE2956" w:rsidP="00DE2956">
      <w:pPr>
        <w:spacing w:after="0" w:line="240" w:lineRule="auto"/>
        <w:ind w:left="567" w:hanging="567"/>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2.</w:t>
      </w:r>
      <w:r w:rsidRPr="007B75DC">
        <w:rPr>
          <w:rFonts w:ascii="Times New Roman" w:eastAsia="Times New Roman" w:hAnsi="Times New Roman" w:cs="Times New Roman"/>
          <w:b/>
          <w:caps/>
          <w:szCs w:val="24"/>
        </w:rPr>
        <w:tab/>
        <w:t>kokybinė ir kiekybinė sudėtis</w:t>
      </w:r>
    </w:p>
    <w:p w14:paraId="372F64F6" w14:textId="77777777" w:rsidR="00DE2956" w:rsidRPr="007B75DC" w:rsidRDefault="00DE2956" w:rsidP="00DE2956">
      <w:pPr>
        <w:spacing w:after="0" w:line="240" w:lineRule="auto"/>
        <w:rPr>
          <w:rFonts w:ascii="Times New Roman" w:eastAsia="Times New Roman" w:hAnsi="Times New Roman" w:cs="Times New Roman"/>
          <w:szCs w:val="24"/>
        </w:rPr>
      </w:pPr>
    </w:p>
    <w:p w14:paraId="3041048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Kiekvienoje plėvele dengtoje tabletėje yra 100 mg imatinibo (mesilato pavidalu).</w:t>
      </w:r>
      <w:r w:rsidRPr="007B75DC">
        <w:rPr>
          <w:rFonts w:ascii="Times New Roman" w:eastAsia="Times New Roman" w:hAnsi="Times New Roman" w:cs="Times New Roman"/>
          <w:szCs w:val="24"/>
        </w:rPr>
        <w:cr/>
      </w:r>
      <w:r w:rsidRPr="007B75DC">
        <w:rPr>
          <w:rFonts w:ascii="Times New Roman" w:eastAsia="Times New Roman" w:hAnsi="Times New Roman" w:cs="Times New Roman"/>
          <w:szCs w:val="24"/>
          <w:highlight w:val="lightGray"/>
        </w:rPr>
        <w:t>Kiekvienoje plėvele dengtoje tabletėje yra 400 mg imatinibo (mesilato pavidalu).</w:t>
      </w:r>
      <w:r w:rsidRPr="007B75DC">
        <w:rPr>
          <w:rFonts w:ascii="Times New Roman" w:eastAsia="Times New Roman" w:hAnsi="Times New Roman" w:cs="Times New Roman"/>
          <w:szCs w:val="24"/>
        </w:rPr>
        <w:cr/>
      </w:r>
    </w:p>
    <w:p w14:paraId="4957ED6F" w14:textId="794F7521"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Visos pagalbinės medžiagos išvardytos 6.1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skyriuje.</w:t>
      </w:r>
    </w:p>
    <w:p w14:paraId="4D3CAA38"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2B5AF997"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5C25E820" w14:textId="77777777" w:rsidR="00DE2956" w:rsidRPr="007B75DC" w:rsidRDefault="00DE2956" w:rsidP="00DE2956">
      <w:pPr>
        <w:spacing w:after="0" w:line="240" w:lineRule="auto"/>
        <w:ind w:left="567" w:hanging="567"/>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3.</w:t>
      </w:r>
      <w:r w:rsidRPr="007B75DC">
        <w:rPr>
          <w:rFonts w:ascii="Times New Roman" w:eastAsia="Times New Roman" w:hAnsi="Times New Roman" w:cs="Times New Roman"/>
          <w:b/>
          <w:caps/>
          <w:szCs w:val="24"/>
        </w:rPr>
        <w:tab/>
        <w:t>FARMACINĖ forma</w:t>
      </w:r>
    </w:p>
    <w:p w14:paraId="3546FE66" w14:textId="77777777" w:rsidR="00DE2956" w:rsidRPr="007B75DC" w:rsidRDefault="00DE2956" w:rsidP="00DE2956">
      <w:pPr>
        <w:spacing w:after="0" w:line="240" w:lineRule="auto"/>
        <w:rPr>
          <w:rFonts w:ascii="Times New Roman" w:eastAsia="Times New Roman" w:hAnsi="Times New Roman" w:cs="Times New Roman"/>
          <w:szCs w:val="24"/>
          <w:highlight w:val="yellow"/>
        </w:rPr>
      </w:pPr>
    </w:p>
    <w:p w14:paraId="7F9A62AC"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Plėvele dengta tabletė</w:t>
      </w:r>
      <w:r w:rsidRPr="007B75DC">
        <w:rPr>
          <w:rFonts w:ascii="Times New Roman" w:eastAsia="Times New Roman" w:hAnsi="Times New Roman" w:cs="Times New Roman"/>
          <w:szCs w:val="24"/>
        </w:rPr>
        <w:cr/>
      </w:r>
    </w:p>
    <w:p w14:paraId="60C85598"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 xml:space="preserve">Imatinib </w:t>
      </w:r>
      <w:r w:rsidR="006F09BA" w:rsidRPr="007B75DC">
        <w:rPr>
          <w:rFonts w:ascii="Times New Roman" w:eastAsia="Times New Roman" w:hAnsi="Times New Roman" w:cs="Times New Roman"/>
          <w:i/>
          <w:szCs w:val="24"/>
        </w:rPr>
        <w:t>Inteli</w:t>
      </w:r>
      <w:r w:rsidRPr="007B75DC">
        <w:rPr>
          <w:rFonts w:ascii="Times New Roman" w:eastAsia="Times New Roman" w:hAnsi="Times New Roman" w:cs="Times New Roman"/>
          <w:i/>
          <w:szCs w:val="24"/>
        </w:rPr>
        <w:t xml:space="preserve"> 100 mg plėvele dengtos tabletės</w:t>
      </w:r>
    </w:p>
    <w:p w14:paraId="0088A4D4"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rPr>
        <w:t>Tamsiai geltonos ar rusvai oranžinės, plėvele dengtos tabletės, apvalios (7,00 mm), abipus išgaubtos su nuožulniais kraštais, jų vienoje pusėje abipus vagelės įspausta „S“ ir„1“, o kita tablečių pusė yra lygi. Tabletę galima padalyti į lygias dozes.</w:t>
      </w:r>
    </w:p>
    <w:p w14:paraId="15280F1E"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p>
    <w:p w14:paraId="3CD8AAEC"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highlight w:val="lightGray"/>
        </w:rPr>
        <w:t xml:space="preserve">Imatinib </w:t>
      </w:r>
      <w:r w:rsidR="006F09BA" w:rsidRPr="007B75DC">
        <w:rPr>
          <w:rFonts w:ascii="Times New Roman" w:eastAsia="Times New Roman" w:hAnsi="Times New Roman" w:cs="Times New Roman"/>
          <w:i/>
          <w:szCs w:val="24"/>
          <w:highlight w:val="lightGray"/>
        </w:rPr>
        <w:t>Inteli</w:t>
      </w:r>
      <w:r w:rsidRPr="007B75DC">
        <w:rPr>
          <w:rFonts w:ascii="Times New Roman" w:eastAsia="Times New Roman" w:hAnsi="Times New Roman" w:cs="Times New Roman"/>
          <w:i/>
          <w:szCs w:val="24"/>
          <w:highlight w:val="lightGray"/>
        </w:rPr>
        <w:t xml:space="preserve"> 400</w:t>
      </w:r>
      <w:r w:rsidRPr="007B75DC">
        <w:rPr>
          <w:rFonts w:ascii="Times New Roman" w:eastAsia="Times New Roman" w:hAnsi="Times New Roman" w:cs="Times New Roman"/>
          <w:szCs w:val="24"/>
          <w:highlight w:val="lightGray"/>
        </w:rPr>
        <w:t> </w:t>
      </w:r>
      <w:r w:rsidRPr="007B75DC">
        <w:rPr>
          <w:rFonts w:ascii="Times New Roman" w:eastAsia="Times New Roman" w:hAnsi="Times New Roman" w:cs="Times New Roman"/>
          <w:i/>
          <w:szCs w:val="24"/>
          <w:highlight w:val="lightGray"/>
        </w:rPr>
        <w:t>mg plėvele dengtos tabletės</w:t>
      </w:r>
    </w:p>
    <w:p w14:paraId="5F21E77A" w14:textId="4ED5CA23"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Tamsiai geltonos ar rusvai oranžinės, plėvele dengtos tabletės, kapsulės formos (8,5 mm</w:t>
      </w:r>
      <w:r w:rsidR="00F11306">
        <w:rPr>
          <w:rFonts w:ascii="Times New Roman" w:eastAsia="Times New Roman" w:hAnsi="Times New Roman" w:cs="Times New Roman"/>
          <w:szCs w:val="24"/>
          <w:highlight w:val="lightGray"/>
        </w:rPr>
        <w:t> </w:t>
      </w:r>
      <w:r w:rsidRPr="007B75DC">
        <w:rPr>
          <w:rFonts w:ascii="Times New Roman" w:eastAsia="Times New Roman" w:hAnsi="Times New Roman" w:cs="Times New Roman"/>
          <w:szCs w:val="24"/>
          <w:highlight w:val="lightGray"/>
        </w:rPr>
        <w:t>x</w:t>
      </w:r>
      <w:r w:rsidR="00F11306">
        <w:rPr>
          <w:rFonts w:ascii="Times New Roman" w:eastAsia="Times New Roman" w:hAnsi="Times New Roman" w:cs="Times New Roman"/>
          <w:szCs w:val="24"/>
          <w:highlight w:val="lightGray"/>
        </w:rPr>
        <w:t> </w:t>
      </w:r>
      <w:r w:rsidRPr="007B75DC">
        <w:rPr>
          <w:rFonts w:ascii="Times New Roman" w:eastAsia="Times New Roman" w:hAnsi="Times New Roman" w:cs="Times New Roman"/>
          <w:szCs w:val="24"/>
          <w:highlight w:val="lightGray"/>
        </w:rPr>
        <w:t>16,00 mm), abipus išgaubtos su nuožulniais kraštais, jų vienoje pusėje abipus vagelės įspausta „S“ ir „2“, o kita tablečių pusė yra lygi. Tabletę galima padalyti į lygias dozes.</w:t>
      </w:r>
    </w:p>
    <w:p w14:paraId="32BA1D45" w14:textId="77777777" w:rsidR="00DE2956" w:rsidRPr="007B75DC" w:rsidRDefault="00DE2956" w:rsidP="00DE2956">
      <w:pPr>
        <w:spacing w:after="0" w:line="240" w:lineRule="auto"/>
        <w:rPr>
          <w:rFonts w:ascii="Times New Roman" w:eastAsia="Times New Roman" w:hAnsi="Times New Roman" w:cs="Times New Roman"/>
          <w:szCs w:val="24"/>
        </w:rPr>
      </w:pPr>
    </w:p>
    <w:p w14:paraId="2901B3C3"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15A158F" w14:textId="77777777" w:rsidR="00DE2956" w:rsidRPr="007B75DC" w:rsidRDefault="00DE2956" w:rsidP="00DE2956">
      <w:pPr>
        <w:spacing w:after="0" w:line="240" w:lineRule="auto"/>
        <w:ind w:left="567" w:hanging="567"/>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4.</w:t>
      </w:r>
      <w:r w:rsidRPr="007B75DC">
        <w:rPr>
          <w:rFonts w:ascii="Times New Roman" w:eastAsia="Times New Roman" w:hAnsi="Times New Roman" w:cs="Times New Roman"/>
          <w:b/>
          <w:caps/>
          <w:szCs w:val="24"/>
        </w:rPr>
        <w:tab/>
        <w:t>klinikinĖ informacija</w:t>
      </w:r>
    </w:p>
    <w:p w14:paraId="37F9E0FF"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8396C82"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4.1</w:t>
      </w:r>
      <w:r w:rsidRPr="007B75DC">
        <w:rPr>
          <w:rFonts w:ascii="Times New Roman" w:eastAsia="Times New Roman" w:hAnsi="Times New Roman" w:cs="Times New Roman"/>
          <w:b/>
          <w:szCs w:val="24"/>
        </w:rPr>
        <w:tab/>
        <w:t>Terapinės indikacijos</w:t>
      </w:r>
    </w:p>
    <w:p w14:paraId="1E0470D9"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2B6A0276"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skirtas gydyti:</w:t>
      </w:r>
    </w:p>
    <w:p w14:paraId="1CED233D" w14:textId="77777777" w:rsidR="00DE2956" w:rsidRPr="007B75DC" w:rsidRDefault="00355E7B"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suaugusiuosius ir </w:t>
      </w:r>
      <w:r w:rsidR="00DE2956" w:rsidRPr="007B75DC">
        <w:rPr>
          <w:rFonts w:ascii="Times New Roman" w:eastAsia="Times New Roman" w:hAnsi="Times New Roman" w:cs="Times New Roman"/>
          <w:szCs w:val="24"/>
        </w:rPr>
        <w:t xml:space="preserve">vaikus, kuriems naujai diagnozuota </w:t>
      </w:r>
      <w:r w:rsidR="00DE2956" w:rsidRPr="007B75DC">
        <w:rPr>
          <w:rFonts w:ascii="Times New Roman" w:eastAsia="Times New Roman" w:hAnsi="Times New Roman" w:cs="Times New Roman"/>
          <w:i/>
          <w:szCs w:val="24"/>
        </w:rPr>
        <w:t>Philadelphia</w:t>
      </w:r>
      <w:r w:rsidR="00DE2956" w:rsidRPr="007B75DC">
        <w:rPr>
          <w:rFonts w:ascii="Times New Roman" w:eastAsia="Times New Roman" w:hAnsi="Times New Roman" w:cs="Times New Roman"/>
          <w:szCs w:val="24"/>
        </w:rPr>
        <w:t xml:space="preserve"> chromosomai (bcr-abl) teigiama (Ph+) lėtinė </w:t>
      </w:r>
      <w:r w:rsidR="00DE2956" w:rsidRPr="007B75DC">
        <w:rPr>
          <w:rFonts w:ascii="Times New Roman" w:eastAsia="Times New Roman" w:hAnsi="Times New Roman" w:cs="Times New Roman"/>
        </w:rPr>
        <w:t>mieloidinė leukemija</w:t>
      </w:r>
      <w:r w:rsidR="00DE2956" w:rsidRPr="007B75DC">
        <w:rPr>
          <w:rFonts w:ascii="Times New Roman" w:eastAsia="Times New Roman" w:hAnsi="Times New Roman" w:cs="Times New Roman"/>
          <w:szCs w:val="24"/>
        </w:rPr>
        <w:t xml:space="preserve"> (LML) ir kuriems kaulų čiulpų transplantacija nėra pirmiausiai pasirenkamas gydymas;</w:t>
      </w:r>
    </w:p>
    <w:p w14:paraId="506DA1BE" w14:textId="77777777" w:rsidR="00DE2956" w:rsidRPr="007B75DC" w:rsidRDefault="00355E7B"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suaugusiuosius ir </w:t>
      </w:r>
      <w:r w:rsidR="00DE2956" w:rsidRPr="007B75DC">
        <w:rPr>
          <w:rFonts w:ascii="Times New Roman" w:eastAsia="Times New Roman" w:hAnsi="Times New Roman" w:cs="Times New Roman"/>
          <w:szCs w:val="24"/>
        </w:rPr>
        <w:t xml:space="preserve">vaikus, kuriems nustatyta Ph+ LML lėtinė fazė po </w:t>
      </w:r>
      <w:r w:rsidR="00DE2956" w:rsidRPr="007B75DC">
        <w:rPr>
          <w:rFonts w:ascii="Times New Roman" w:eastAsia="Times New Roman" w:hAnsi="Times New Roman" w:cs="Times New Roman"/>
          <w:spacing w:val="1"/>
        </w:rPr>
        <w:t>neveiksmingo</w:t>
      </w:r>
      <w:r w:rsidR="00DE2956" w:rsidRPr="007B75DC">
        <w:rPr>
          <w:rFonts w:ascii="Times New Roman" w:eastAsia="Times New Roman" w:hAnsi="Times New Roman" w:cs="Times New Roman"/>
        </w:rPr>
        <w:t xml:space="preserve"> </w:t>
      </w:r>
      <w:r w:rsidR="00DE2956" w:rsidRPr="007B75DC">
        <w:rPr>
          <w:rFonts w:ascii="Times New Roman" w:eastAsia="Times New Roman" w:hAnsi="Times New Roman" w:cs="Times New Roman"/>
          <w:szCs w:val="24"/>
        </w:rPr>
        <w:t>gydymo interferonu alfa arba akceleracijos fazė, ar blastinė krizė;</w:t>
      </w:r>
    </w:p>
    <w:p w14:paraId="18E2D3E9" w14:textId="77777777" w:rsidR="00DE2956" w:rsidRPr="007B75DC" w:rsidRDefault="00DE2956"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hAnsi="Times New Roman" w:cs="Times New Roman"/>
          <w:color w:val="000000"/>
        </w:rPr>
        <w:t xml:space="preserve">suaugusiuosius </w:t>
      </w:r>
      <w:r w:rsidRPr="007B75DC">
        <w:rPr>
          <w:rFonts w:ascii="Times New Roman" w:eastAsia="Times New Roman" w:hAnsi="Times New Roman" w:cs="Times New Roman"/>
          <w:szCs w:val="24"/>
        </w:rPr>
        <w:t xml:space="preserve">ir vaikus, kuriems naujai diagnozuota </w:t>
      </w:r>
      <w:r w:rsidRPr="007B75DC">
        <w:rPr>
          <w:rFonts w:ascii="Times New Roman" w:eastAsia="Times New Roman" w:hAnsi="Times New Roman" w:cs="Times New Roman"/>
          <w:i/>
          <w:szCs w:val="24"/>
        </w:rPr>
        <w:t>Philadelphia</w:t>
      </w:r>
      <w:r w:rsidRPr="007B75DC">
        <w:rPr>
          <w:rFonts w:ascii="Times New Roman" w:eastAsia="Times New Roman" w:hAnsi="Times New Roman" w:cs="Times New Roman"/>
          <w:szCs w:val="24"/>
        </w:rPr>
        <w:t xml:space="preserve"> chromosomai teigiama ūminė </w:t>
      </w:r>
      <w:r w:rsidRPr="007B75DC">
        <w:rPr>
          <w:rFonts w:ascii="Times New Roman" w:hAnsi="Times New Roman" w:cs="Times New Roman"/>
          <w:color w:val="000000"/>
        </w:rPr>
        <w:t>limfoblastinė leukemija</w:t>
      </w:r>
      <w:r w:rsidRPr="007B75DC">
        <w:rPr>
          <w:rFonts w:ascii="Times New Roman" w:eastAsia="Times New Roman" w:hAnsi="Times New Roman" w:cs="Times New Roman"/>
          <w:szCs w:val="24"/>
        </w:rPr>
        <w:t xml:space="preserve"> (Ph+ ŪLL), kartu skiriant chemoterapiją;</w:t>
      </w:r>
    </w:p>
    <w:p w14:paraId="50E85BF9" w14:textId="77777777" w:rsidR="00DE2956" w:rsidRPr="007B75DC" w:rsidRDefault="00DE2956"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suaugusiųjų recidyvavusią ar refrakterinę Ph+ŪLL (monoterapija);</w:t>
      </w:r>
    </w:p>
    <w:p w14:paraId="7D1D407C" w14:textId="77777777" w:rsidR="00DE2956" w:rsidRPr="007B75DC" w:rsidRDefault="00DE2956"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suaugusiųjų </w:t>
      </w:r>
      <w:r w:rsidRPr="007B75DC">
        <w:rPr>
          <w:rFonts w:ascii="Times New Roman" w:hAnsi="Times New Roman" w:cs="Times New Roman"/>
          <w:color w:val="000000"/>
        </w:rPr>
        <w:t>mielodisplazinį sindromą</w:t>
      </w:r>
      <w:r w:rsidRPr="007B75DC">
        <w:rPr>
          <w:rFonts w:ascii="Times New Roman" w:eastAsia="Times New Roman" w:hAnsi="Times New Roman" w:cs="Times New Roman"/>
          <w:szCs w:val="24"/>
        </w:rPr>
        <w:t xml:space="preserve"> ar mieloproliferacines ligas (MDS/MPL), susijusias su trombocitų kilmės augimo faktoriaus receptoriaus (angl. </w:t>
      </w:r>
      <w:r w:rsidRPr="007B75DC">
        <w:rPr>
          <w:rFonts w:ascii="Times New Roman" w:eastAsia="Times New Roman" w:hAnsi="Times New Roman" w:cs="Times New Roman"/>
          <w:i/>
          <w:szCs w:val="24"/>
        </w:rPr>
        <w:t>platelet-derived growth factor receptor</w:t>
      </w:r>
      <w:r w:rsidRPr="007B75DC">
        <w:rPr>
          <w:rFonts w:ascii="Times New Roman" w:eastAsia="Times New Roman" w:hAnsi="Times New Roman" w:cs="Times New Roman"/>
          <w:szCs w:val="24"/>
        </w:rPr>
        <w:t>, PDGFR) genų pakitimais;</w:t>
      </w:r>
    </w:p>
    <w:p w14:paraId="663FDDDD" w14:textId="77777777" w:rsidR="00DE2956" w:rsidRPr="007B75DC" w:rsidRDefault="00DE2956"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suaugusiųjų progresavusį hipereozinofilijos sindromą (HES) ar (arba) lėtinę eozinofilinę leukemiją (LEL) su FIP1L1-PDGFRα pokyčiu.</w:t>
      </w:r>
    </w:p>
    <w:p w14:paraId="3B2F5B33"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Imatinibo poveikis kaulų čiulpų transplantacijos rezultatams nenustatytas.</w:t>
      </w:r>
    </w:p>
    <w:p w14:paraId="22CA8D4B" w14:textId="77777777" w:rsidR="00DE2956" w:rsidRPr="007B75DC" w:rsidRDefault="00DE2956" w:rsidP="00DE2956">
      <w:pPr>
        <w:spacing w:after="0" w:line="240" w:lineRule="auto"/>
        <w:rPr>
          <w:rFonts w:ascii="Times New Roman" w:eastAsia="Times New Roman" w:hAnsi="Times New Roman" w:cs="Times New Roman"/>
          <w:szCs w:val="24"/>
        </w:rPr>
      </w:pPr>
    </w:p>
    <w:p w14:paraId="4F9B40F3"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skirtas:</w:t>
      </w:r>
    </w:p>
    <w:p w14:paraId="121787CA" w14:textId="77777777" w:rsidR="009E177C" w:rsidRPr="002604C2" w:rsidRDefault="009E177C" w:rsidP="009E177C">
      <w:pPr>
        <w:numPr>
          <w:ilvl w:val="0"/>
          <w:numId w:val="21"/>
        </w:numPr>
        <w:autoSpaceDE w:val="0"/>
        <w:autoSpaceDN w:val="0"/>
        <w:adjustRightInd w:val="0"/>
        <w:spacing w:after="38" w:line="240" w:lineRule="auto"/>
        <w:ind w:left="567" w:hanging="567"/>
        <w:rPr>
          <w:rFonts w:ascii="Times New Roman" w:hAnsi="Times New Roman" w:cs="Times New Roman"/>
          <w:color w:val="000000"/>
          <w:lang w:eastAsia="lt-LT"/>
        </w:rPr>
      </w:pPr>
      <w:r w:rsidRPr="002604C2">
        <w:rPr>
          <w:rFonts w:ascii="Times New Roman" w:hAnsi="Times New Roman" w:cs="Times New Roman"/>
          <w:color w:val="000000"/>
          <w:lang w:eastAsia="lt-LT"/>
        </w:rPr>
        <w:t>suaugusiesiems, kuriems yra Kit (CD</w:t>
      </w:r>
      <w:r>
        <w:rPr>
          <w:rFonts w:ascii="Times New Roman" w:hAnsi="Times New Roman" w:cs="Times New Roman"/>
          <w:color w:val="000000"/>
          <w:lang w:eastAsia="lt-LT"/>
        </w:rPr>
        <w:t> </w:t>
      </w:r>
      <w:r w:rsidRPr="002604C2">
        <w:rPr>
          <w:rFonts w:ascii="Times New Roman" w:hAnsi="Times New Roman" w:cs="Times New Roman"/>
          <w:color w:val="000000"/>
          <w:lang w:eastAsia="lt-LT"/>
        </w:rPr>
        <w:t>117) teigiamas nerezekuotinas ir (ar</w:t>
      </w:r>
      <w:r w:rsidR="00345C1F">
        <w:rPr>
          <w:rFonts w:ascii="Times New Roman" w:hAnsi="Times New Roman" w:cs="Times New Roman"/>
          <w:color w:val="000000"/>
          <w:lang w:eastAsia="lt-LT"/>
        </w:rPr>
        <w:t>ba</w:t>
      </w:r>
      <w:r w:rsidRPr="002604C2">
        <w:rPr>
          <w:rFonts w:ascii="Times New Roman" w:hAnsi="Times New Roman" w:cs="Times New Roman"/>
          <w:color w:val="000000"/>
          <w:lang w:eastAsia="lt-LT"/>
        </w:rPr>
        <w:t>) metastazavęs piktybinis virškinimo trakto stromos navikas (VTSN), gydyti</w:t>
      </w:r>
      <w:r>
        <w:rPr>
          <w:rFonts w:ascii="Times New Roman" w:hAnsi="Times New Roman" w:cs="Times New Roman"/>
          <w:color w:val="000000"/>
          <w:lang w:eastAsia="lt-LT"/>
        </w:rPr>
        <w:t>;</w:t>
      </w:r>
    </w:p>
    <w:p w14:paraId="2BC11E3C" w14:textId="77777777" w:rsidR="009E177C" w:rsidRPr="002604C2" w:rsidRDefault="009E177C" w:rsidP="009E177C">
      <w:pPr>
        <w:numPr>
          <w:ilvl w:val="0"/>
          <w:numId w:val="21"/>
        </w:numPr>
        <w:autoSpaceDE w:val="0"/>
        <w:autoSpaceDN w:val="0"/>
        <w:adjustRightInd w:val="0"/>
        <w:spacing w:after="0" w:line="240" w:lineRule="auto"/>
        <w:ind w:left="567" w:hanging="567"/>
        <w:rPr>
          <w:rFonts w:ascii="Times New Roman" w:hAnsi="Times New Roman" w:cs="Times New Roman"/>
          <w:color w:val="000000"/>
          <w:lang w:eastAsia="lt-LT"/>
        </w:rPr>
      </w:pPr>
      <w:r w:rsidRPr="002604C2">
        <w:rPr>
          <w:rFonts w:ascii="Times New Roman" w:hAnsi="Times New Roman" w:cs="Times New Roman"/>
          <w:color w:val="000000"/>
          <w:lang w:eastAsia="lt-LT"/>
        </w:rPr>
        <w:t>adjuvantiniam suaugusiųjų, kuriems po atliktos Kit (CD</w:t>
      </w:r>
      <w:r>
        <w:rPr>
          <w:rFonts w:ascii="Times New Roman" w:hAnsi="Times New Roman" w:cs="Times New Roman"/>
          <w:color w:val="000000"/>
          <w:lang w:eastAsia="lt-LT"/>
        </w:rPr>
        <w:t> </w:t>
      </w:r>
      <w:r w:rsidRPr="002604C2">
        <w:rPr>
          <w:rFonts w:ascii="Times New Roman" w:hAnsi="Times New Roman" w:cs="Times New Roman"/>
          <w:color w:val="000000"/>
          <w:lang w:eastAsia="lt-LT"/>
        </w:rPr>
        <w:t>117) teigiamo VTSN rezekcijos yra reikšmingai padidėjusi recidyvo rizika, gydymui. Pacientai, kuriems yra maža ar labai maža recidyvo rizika</w:t>
      </w:r>
      <w:r>
        <w:rPr>
          <w:rFonts w:ascii="Times New Roman" w:hAnsi="Times New Roman" w:cs="Times New Roman"/>
          <w:color w:val="000000"/>
          <w:lang w:eastAsia="lt-LT"/>
        </w:rPr>
        <w:t>,</w:t>
      </w:r>
      <w:r w:rsidRPr="002604C2">
        <w:rPr>
          <w:rFonts w:ascii="Times New Roman" w:hAnsi="Times New Roman" w:cs="Times New Roman"/>
          <w:color w:val="000000"/>
          <w:lang w:eastAsia="lt-LT"/>
        </w:rPr>
        <w:t xml:space="preserve"> neturėtų gauti adjuvantinio gydymo</w:t>
      </w:r>
      <w:r>
        <w:rPr>
          <w:rFonts w:ascii="Times New Roman" w:hAnsi="Times New Roman" w:cs="Times New Roman"/>
          <w:color w:val="000000"/>
          <w:lang w:eastAsia="lt-LT"/>
        </w:rPr>
        <w:t>;</w:t>
      </w:r>
    </w:p>
    <w:p w14:paraId="2AB1B313" w14:textId="77777777" w:rsidR="00DE2956" w:rsidRPr="007B75DC" w:rsidRDefault="00DE2956" w:rsidP="00534F79">
      <w:pPr>
        <w:numPr>
          <w:ilvl w:val="0"/>
          <w:numId w:val="21"/>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 xml:space="preserve">suaugusiesiems, kuriems yra nerezekuotina iškilioji dermatofibrosarkoma (angl. </w:t>
      </w:r>
      <w:r w:rsidRPr="007B75DC">
        <w:rPr>
          <w:rFonts w:ascii="Times New Roman" w:eastAsia="Times New Roman" w:hAnsi="Times New Roman" w:cs="Times New Roman"/>
          <w:i/>
          <w:szCs w:val="24"/>
        </w:rPr>
        <w:t>dermatofibrosarcoma protuberans</w:t>
      </w:r>
      <w:r w:rsidR="00345C1F">
        <w:rPr>
          <w:rFonts w:ascii="Times New Roman" w:eastAsia="Times New Roman" w:hAnsi="Times New Roman" w:cs="Times New Roman"/>
          <w:i/>
          <w:szCs w:val="24"/>
        </w:rPr>
        <w:t>,</w:t>
      </w:r>
      <w:r w:rsidRPr="007B75DC">
        <w:rPr>
          <w:rFonts w:ascii="Times New Roman" w:eastAsia="Times New Roman" w:hAnsi="Times New Roman" w:cs="Times New Roman"/>
          <w:szCs w:val="24"/>
        </w:rPr>
        <w:t xml:space="preserve"> DFSP) ar kuriems yra pasikartojanti ir (ar) metastazavusi DFSP ir kurių negalima operuoti.</w:t>
      </w:r>
    </w:p>
    <w:p w14:paraId="7E2F9A1E"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3387646" w14:textId="7AB8701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Suaugusiems pacientams ir vaikams imatinibo </w:t>
      </w:r>
      <w:r w:rsidRPr="007B75DC">
        <w:rPr>
          <w:rFonts w:ascii="Times New Roman" w:eastAsia="Times New Roman" w:hAnsi="Times New Roman" w:cs="Times New Roman"/>
          <w:lang w:eastAsia="zh-CN"/>
        </w:rPr>
        <w:t>veiksmingumas</w:t>
      </w:r>
      <w:r w:rsidRPr="007B75DC">
        <w:rPr>
          <w:rFonts w:ascii="Times New Roman" w:eastAsia="Times New Roman" w:hAnsi="Times New Roman" w:cs="Times New Roman"/>
          <w:szCs w:val="24"/>
        </w:rPr>
        <w:t xml:space="preserve"> </w:t>
      </w:r>
      <w:r w:rsidRPr="007B75DC">
        <w:rPr>
          <w:rFonts w:ascii="Times New Roman" w:hAnsi="Times New Roman" w:cs="Times New Roman"/>
          <w:color w:val="000000"/>
        </w:rPr>
        <w:t>pagrįstas bendru</w:t>
      </w:r>
      <w:r w:rsidRPr="007B75DC">
        <w:rPr>
          <w:rFonts w:ascii="Times New Roman" w:eastAsia="Times New Roman" w:hAnsi="Times New Roman" w:cs="Times New Roman"/>
          <w:szCs w:val="24"/>
        </w:rPr>
        <w:t xml:space="preserve"> hematologinio ir citologinio atsako dažniu ir gyvenimo trukme </w:t>
      </w:r>
      <w:r w:rsidRPr="007B75DC">
        <w:rPr>
          <w:rFonts w:ascii="Times New Roman" w:hAnsi="Times New Roman" w:cs="Times New Roman"/>
          <w:color w:val="000000"/>
        </w:rPr>
        <w:t>ligai neprogresuojant</w:t>
      </w:r>
      <w:r w:rsidRPr="007B75DC">
        <w:rPr>
          <w:rFonts w:ascii="Times New Roman" w:eastAsia="Times New Roman" w:hAnsi="Times New Roman" w:cs="Times New Roman"/>
          <w:szCs w:val="24"/>
        </w:rPr>
        <w:t xml:space="preserve">, sergant LML, hematologinio ir citogenetinio atsako dažniu, kai yra Ph+ ŪLL, MDS/MPL, hematologiniu atsako dažniu, </w:t>
      </w:r>
      <w:r w:rsidRPr="007B75DC">
        <w:rPr>
          <w:rFonts w:ascii="Times New Roman" w:eastAsia="Times New Roman" w:hAnsi="Times New Roman" w:cs="Times New Roman"/>
        </w:rPr>
        <w:t>sergant</w:t>
      </w:r>
      <w:r w:rsidRPr="007B75DC">
        <w:rPr>
          <w:rFonts w:ascii="Times New Roman" w:eastAsia="Times New Roman" w:hAnsi="Times New Roman" w:cs="Times New Roman"/>
          <w:szCs w:val="24"/>
        </w:rPr>
        <w:t xml:space="preserve"> HES/LEL, o taip pat </w:t>
      </w:r>
      <w:r w:rsidR="009E177C" w:rsidRPr="002731C6">
        <w:rPr>
          <w:rFonts w:ascii="Times New Roman" w:hAnsi="Times New Roman" w:cs="Times New Roman"/>
        </w:rPr>
        <w:t>objektyvia atsako dalimi</w:t>
      </w:r>
      <w:r w:rsidR="009E177C"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 xml:space="preserve">suaugusiųjų pacientų, sergančių nerezekuotinu ir (ar) metastazavusiu </w:t>
      </w:r>
      <w:r w:rsidR="009E177C" w:rsidRPr="002731C6">
        <w:rPr>
          <w:rFonts w:ascii="Times New Roman" w:eastAsia="Times New Roman" w:hAnsi="Times New Roman" w:cs="Times New Roman"/>
          <w:szCs w:val="24"/>
        </w:rPr>
        <w:t>VTSN ir</w:t>
      </w:r>
      <w:r w:rsidR="009E177C"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DFSP</w:t>
      </w:r>
      <w:r w:rsidR="009E177C" w:rsidRPr="002731C6">
        <w:rPr>
          <w:rFonts w:ascii="Times New Roman" w:hAnsi="Times New Roman" w:cs="Times New Roman"/>
        </w:rPr>
        <w:t>, tarpe ir išgyvenamumo be ligos recidyvo trukme, kai vaistinio preparato skiriama adjuvantiniam VTSN gydymui</w:t>
      </w:r>
      <w:r w:rsidRPr="007B75DC">
        <w:rPr>
          <w:rFonts w:ascii="Times New Roman" w:eastAsia="Times New Roman" w:hAnsi="Times New Roman" w:cs="Times New Roman"/>
          <w:szCs w:val="24"/>
        </w:rPr>
        <w:t xml:space="preserve">. </w:t>
      </w:r>
      <w:r w:rsidRPr="007B75DC">
        <w:rPr>
          <w:rFonts w:ascii="Times New Roman" w:hAnsi="Times New Roman" w:cs="Times New Roman"/>
          <w:color w:val="000000"/>
        </w:rPr>
        <w:t>Pacientų, sergančių MDS ar MPL, susijusių su PDGFR geno pakitimais, gydymo imatinibu patirtis yra labai maža (žr. 5.1</w:t>
      </w:r>
      <w:r w:rsidR="008A6BFD">
        <w:rPr>
          <w:rFonts w:ascii="Times New Roman" w:hAnsi="Times New Roman" w:cs="Times New Roman"/>
          <w:color w:val="000000"/>
        </w:rPr>
        <w:t> </w:t>
      </w:r>
      <w:r w:rsidRPr="007B75DC">
        <w:rPr>
          <w:rFonts w:ascii="Times New Roman" w:hAnsi="Times New Roman" w:cs="Times New Roman"/>
          <w:color w:val="000000"/>
        </w:rPr>
        <w:t xml:space="preserve">skyrių). </w:t>
      </w:r>
      <w:r w:rsidR="00355E7B" w:rsidRPr="007B75DC">
        <w:rPr>
          <w:rFonts w:ascii="Times New Roman" w:hAnsi="Times New Roman" w:cs="Times New Roman"/>
          <w:color w:val="000000"/>
        </w:rPr>
        <w:t xml:space="preserve">Nėra </w:t>
      </w:r>
      <w:r w:rsidR="00355E7B" w:rsidRPr="007B75DC">
        <w:rPr>
          <w:rFonts w:ascii="Times New Roman" w:eastAsia="Times New Roman" w:hAnsi="Times New Roman" w:cs="Times New Roman"/>
        </w:rPr>
        <w:t xml:space="preserve">kontroliuojamų </w:t>
      </w:r>
      <w:r w:rsidRPr="007B75DC">
        <w:rPr>
          <w:rFonts w:ascii="Times New Roman" w:eastAsia="Times New Roman" w:hAnsi="Times New Roman" w:cs="Times New Roman"/>
        </w:rPr>
        <w:t xml:space="preserve">tyrimų, </w:t>
      </w:r>
      <w:r w:rsidR="00355E7B" w:rsidRPr="007B75DC">
        <w:rPr>
          <w:rFonts w:ascii="Times New Roman" w:eastAsia="Times New Roman" w:hAnsi="Times New Roman" w:cs="Times New Roman"/>
        </w:rPr>
        <w:t>įrodančių</w:t>
      </w:r>
      <w:r w:rsidRPr="007B75DC">
        <w:rPr>
          <w:rFonts w:ascii="Times New Roman" w:eastAsia="Times New Roman" w:hAnsi="Times New Roman" w:cs="Times New Roman"/>
        </w:rPr>
        <w:t xml:space="preserve"> klinikinę naudą ar pailgėjusią gyvenimo trukmę</w:t>
      </w:r>
      <w:r w:rsidR="00355E7B" w:rsidRPr="007B75DC">
        <w:rPr>
          <w:rFonts w:ascii="Times New Roman" w:eastAsia="Times New Roman" w:hAnsi="Times New Roman" w:cs="Times New Roman"/>
        </w:rPr>
        <w:t>, kai yra kuri nors iš šių ligų, išskyrus naujai diagnozuotą lėtinę LML fazę</w:t>
      </w:r>
      <w:r w:rsidRPr="007B75DC">
        <w:rPr>
          <w:rFonts w:ascii="Times New Roman" w:eastAsia="Times New Roman" w:hAnsi="Times New Roman" w:cs="Times New Roman"/>
        </w:rPr>
        <w:t xml:space="preserve">. </w:t>
      </w:r>
      <w:r w:rsidRPr="007B75DC">
        <w:rPr>
          <w:rFonts w:ascii="Times New Roman" w:eastAsia="Times New Roman" w:hAnsi="Times New Roman" w:cs="Times New Roman"/>
          <w:szCs w:val="24"/>
        </w:rPr>
        <w:cr/>
      </w:r>
    </w:p>
    <w:p w14:paraId="281E1B32"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4.2</w:t>
      </w:r>
      <w:r w:rsidRPr="007B75DC">
        <w:rPr>
          <w:rFonts w:ascii="Times New Roman" w:eastAsia="Times New Roman" w:hAnsi="Times New Roman" w:cs="Times New Roman"/>
          <w:b/>
          <w:szCs w:val="24"/>
        </w:rPr>
        <w:tab/>
        <w:t>Dozavimas ir vartojimo metodas</w:t>
      </w:r>
    </w:p>
    <w:p w14:paraId="260616BF" w14:textId="77777777" w:rsidR="00DE2956" w:rsidRPr="007B75DC" w:rsidRDefault="00DE2956" w:rsidP="00DE2956">
      <w:pPr>
        <w:spacing w:after="0" w:line="240" w:lineRule="auto"/>
        <w:rPr>
          <w:rFonts w:ascii="Times New Roman" w:eastAsia="Times New Roman" w:hAnsi="Times New Roman" w:cs="Times New Roman"/>
          <w:b/>
          <w:szCs w:val="24"/>
        </w:rPr>
      </w:pPr>
    </w:p>
    <w:p w14:paraId="52A3761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Skirti vaistinį preparatą gali tik gydytojas, turintis patirties, kaip gydyti pacientus, sergančius piktybiniais hematologiniais navikais ar piktybine sarkoma.</w:t>
      </w:r>
    </w:p>
    <w:p w14:paraId="63F69FAE" w14:textId="77777777" w:rsidR="00DE2956" w:rsidRPr="007B75DC" w:rsidRDefault="00DE2956" w:rsidP="00DE2956">
      <w:pPr>
        <w:spacing w:after="0" w:line="240" w:lineRule="auto"/>
        <w:rPr>
          <w:rFonts w:ascii="Times New Roman" w:eastAsia="Times New Roman" w:hAnsi="Times New Roman" w:cs="Times New Roman"/>
          <w:b/>
          <w:szCs w:val="24"/>
        </w:rPr>
      </w:pPr>
    </w:p>
    <w:p w14:paraId="0758C70F" w14:textId="4A97B3D3"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Jeigu skiriama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ar didesnė dozė (žr. dozavimo rekomendacijas toliau), rekomenduojama vartoti išleidžiamas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tabletes.</w:t>
      </w:r>
    </w:p>
    <w:p w14:paraId="73D92CB0" w14:textId="77777777" w:rsidR="00DE2956" w:rsidRPr="007B75DC" w:rsidRDefault="00DE2956" w:rsidP="00DE2956">
      <w:pPr>
        <w:spacing w:after="0" w:line="240" w:lineRule="auto"/>
        <w:rPr>
          <w:rFonts w:ascii="Times New Roman" w:eastAsia="Times New Roman" w:hAnsi="Times New Roman" w:cs="Times New Roman"/>
          <w:b/>
          <w:szCs w:val="24"/>
        </w:rPr>
      </w:pPr>
    </w:p>
    <w:p w14:paraId="6D945C83" w14:textId="3D55BBF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Kitokiai negu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ar 800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dozei (žr. dozavimo rekomendacijas žemiau) išleidžiamos 100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dalijamos tabletės.</w:t>
      </w:r>
    </w:p>
    <w:p w14:paraId="6FAE021A" w14:textId="77777777" w:rsidR="00DE2956" w:rsidRPr="007B75DC" w:rsidRDefault="00DE2956" w:rsidP="00DE2956">
      <w:pPr>
        <w:spacing w:after="0" w:line="240" w:lineRule="auto"/>
        <w:rPr>
          <w:rFonts w:ascii="Times New Roman" w:eastAsia="Times New Roman" w:hAnsi="Times New Roman" w:cs="Times New Roman"/>
          <w:b/>
          <w:szCs w:val="24"/>
        </w:rPr>
      </w:pPr>
    </w:p>
    <w:p w14:paraId="01938AAC" w14:textId="697C034C"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Paskirta dozė geriama valgant ir užgeriant didele stikline vandens, kad būtų sumažinta virškinimo trakto dirginimo rizika.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ar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dozę </w:t>
      </w:r>
      <w:r w:rsidR="00345C1F">
        <w:rPr>
          <w:rFonts w:ascii="Times New Roman" w:eastAsia="Times New Roman" w:hAnsi="Times New Roman" w:cs="Times New Roman"/>
          <w:szCs w:val="24"/>
        </w:rPr>
        <w:t xml:space="preserve">reikia </w:t>
      </w:r>
      <w:r w:rsidRPr="007B75DC">
        <w:rPr>
          <w:rFonts w:ascii="Times New Roman" w:eastAsia="Times New Roman" w:hAnsi="Times New Roman" w:cs="Times New Roman"/>
          <w:szCs w:val="24"/>
        </w:rPr>
        <w:t>vartoti vieną kartą per parą, tuo tarpu 800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paros dozę reikėtų vartoti po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du kartus per parą, ryte ir vakare.</w:t>
      </w:r>
    </w:p>
    <w:p w14:paraId="143B9944" w14:textId="77777777" w:rsidR="00DE2956" w:rsidRPr="007B75DC" w:rsidRDefault="00DE2956" w:rsidP="00DE2956">
      <w:pPr>
        <w:spacing w:after="0" w:line="240" w:lineRule="auto"/>
        <w:rPr>
          <w:rFonts w:ascii="Times New Roman" w:eastAsia="Times New Roman" w:hAnsi="Times New Roman" w:cs="Times New Roman"/>
          <w:b/>
          <w:szCs w:val="24"/>
        </w:rPr>
      </w:pPr>
    </w:p>
    <w:p w14:paraId="4D7382B2" w14:textId="2C479BC1"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Pacientams, kurie negali nuryti plėvele dengtos tabletės, ją galima ištirpinti stiklinėje negazuoto vandens ar obuolių sulčių. Reikiamą tablečių skaičių įmesti į atitinkamą skysčio tūrį (maždaug į 50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ml</w:t>
      </w:r>
      <w:r w:rsidR="00553DC3">
        <w:rPr>
          <w:rFonts w:ascii="Times New Roman" w:eastAsia="Times New Roman" w:hAnsi="Times New Roman" w:cs="Times New Roman"/>
          <w:szCs w:val="24"/>
        </w:rPr>
        <w:t> </w:t>
      </w:r>
      <w:r w:rsidRPr="007B75DC">
        <w:rPr>
          <w:rFonts w:ascii="Times New Roman" w:eastAsia="Times New Roman" w:hAnsi="Times New Roman" w:cs="Times New Roman"/>
          <w:szCs w:val="24"/>
        </w:rPr>
        <w:t>– 100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tabletę, į 200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ml –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tabletę) ir pamaišyti šaukštu. Tabletei suirus, suspensiją išgerti nedelsiant.</w:t>
      </w:r>
    </w:p>
    <w:p w14:paraId="0A91898F" w14:textId="77777777" w:rsidR="00510948" w:rsidRPr="00510948" w:rsidRDefault="00510948" w:rsidP="00DE2956">
      <w:pPr>
        <w:spacing w:after="0" w:line="240" w:lineRule="auto"/>
        <w:rPr>
          <w:rFonts w:ascii="Times New Roman" w:eastAsia="Times New Roman" w:hAnsi="Times New Roman" w:cs="Times New Roman"/>
          <w:bCs/>
          <w:szCs w:val="24"/>
        </w:rPr>
      </w:pPr>
    </w:p>
    <w:p w14:paraId="6BEF6C4A"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suaugusiųjų LML</w:t>
      </w:r>
    </w:p>
    <w:p w14:paraId="5B1A4167" w14:textId="06C5FDF4" w:rsidR="003F4907" w:rsidRPr="007B75DC" w:rsidRDefault="003F4907" w:rsidP="003F4907">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Rekomenduojama </w:t>
      </w:r>
      <w:r w:rsidR="00777334">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777334">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suaugusiesiems pacientams, sergantiems LML lėtinėje fazėje, yra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Lėtinė LML fazė diagnozuojama tada, kai yra visi šie kriterijai: blastų kiekis kraujyje ir kaulų čiulpuose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bazofilų periferiniame kraujyje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20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trombocitų &gt;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9</w:t>
      </w:r>
      <w:r w:rsidRPr="007B75DC">
        <w:rPr>
          <w:rFonts w:ascii="Times New Roman" w:eastAsia="Times New Roman" w:hAnsi="Times New Roman" w:cs="Times New Roman"/>
          <w:szCs w:val="24"/>
        </w:rPr>
        <w:t xml:space="preserve">/l. </w:t>
      </w:r>
    </w:p>
    <w:p w14:paraId="194BE343" w14:textId="77777777" w:rsidR="003F4907" w:rsidRPr="007B75DC" w:rsidRDefault="003F4907" w:rsidP="003F4907">
      <w:pPr>
        <w:spacing w:after="0" w:line="240" w:lineRule="auto"/>
        <w:rPr>
          <w:rFonts w:ascii="Times New Roman" w:eastAsia="Times New Roman" w:hAnsi="Times New Roman" w:cs="Times New Roman"/>
          <w:szCs w:val="24"/>
        </w:rPr>
      </w:pPr>
    </w:p>
    <w:p w14:paraId="0F5A48D3" w14:textId="71DCC81E" w:rsidR="003F4907" w:rsidRPr="007B75DC" w:rsidRDefault="003F4907" w:rsidP="003F4907">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Rekomenduojama </w:t>
      </w:r>
      <w:r w:rsidR="00777334">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777334">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suaugusiesiems pacientams, kuriems yra akceleracijos fazė, yra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Akceleracijos fazė diagnozuojama, kai yra bet kuris iš šių požymių: blastų kiekis kraujyje ar kaulų čiulpuose ≥</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bet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blastų su promielocitais kiekis kraujyje ar kaulų čiulpuose ≥</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(blastų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bazofilų periferiniame kraujyje ≥</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20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trombocitų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9</w:t>
      </w:r>
      <w:r w:rsidRPr="007B75DC">
        <w:rPr>
          <w:rFonts w:ascii="Times New Roman" w:eastAsia="Times New Roman" w:hAnsi="Times New Roman" w:cs="Times New Roman"/>
          <w:szCs w:val="24"/>
        </w:rPr>
        <w:t>/l neatsižvelgiant į gydymą.</w:t>
      </w:r>
    </w:p>
    <w:p w14:paraId="15A88512" w14:textId="77777777" w:rsidR="003F4907" w:rsidRPr="007B75DC" w:rsidRDefault="003F4907" w:rsidP="003F4907">
      <w:pPr>
        <w:spacing w:after="0" w:line="240" w:lineRule="auto"/>
        <w:rPr>
          <w:rFonts w:ascii="Times New Roman" w:eastAsia="Times New Roman" w:hAnsi="Times New Roman" w:cs="Times New Roman"/>
          <w:szCs w:val="24"/>
        </w:rPr>
      </w:pPr>
    </w:p>
    <w:p w14:paraId="7D05C2C6" w14:textId="0F42D93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Rekomenduojama </w:t>
      </w:r>
      <w:r w:rsidR="00777334">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777334">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suaugusiesiems pacientams, kuriems yra blastinė krizė, yra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Blastinė krizė diagnozuojama, kai blastų kraujyje ar kaulų čiulpuose ≥</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ar yra kitokia negu hepatosplenomegalija ekstramedulinė liga.</w:t>
      </w:r>
    </w:p>
    <w:p w14:paraId="610E31D2" w14:textId="77777777" w:rsidR="00DE2956" w:rsidRPr="007B75DC" w:rsidRDefault="00DE2956" w:rsidP="00DE2956">
      <w:pPr>
        <w:spacing w:after="0" w:line="240" w:lineRule="auto"/>
        <w:rPr>
          <w:rFonts w:ascii="Times New Roman" w:eastAsia="Times New Roman" w:hAnsi="Times New Roman" w:cs="Times New Roman"/>
          <w:szCs w:val="24"/>
        </w:rPr>
      </w:pPr>
    </w:p>
    <w:p w14:paraId="789A23EC"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Gydymo trukmė. Klinikinių tyrimų metu imatinibas vartotas iki ligos progresavimo. Gydymo nutraukimo poveikis gavus visišką citogenetinį atsaką netirtas.</w:t>
      </w:r>
    </w:p>
    <w:p w14:paraId="4C60FE62" w14:textId="77777777" w:rsidR="00DE2956" w:rsidRPr="007B75DC" w:rsidRDefault="00DE2956" w:rsidP="00DE2956">
      <w:pPr>
        <w:spacing w:after="0" w:line="240" w:lineRule="auto"/>
        <w:rPr>
          <w:rFonts w:ascii="Times New Roman" w:eastAsia="Times New Roman" w:hAnsi="Times New Roman" w:cs="Times New Roman"/>
          <w:szCs w:val="24"/>
        </w:rPr>
      </w:pPr>
    </w:p>
    <w:p w14:paraId="400BD3F0" w14:textId="074A3B3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Dozę galima didinti nuo </w:t>
      </w:r>
      <w:r w:rsidR="003F4907" w:rsidRPr="007B75DC">
        <w:rPr>
          <w:rFonts w:ascii="Times New Roman" w:eastAsia="Times New Roman" w:hAnsi="Times New Roman" w:cs="Times New Roman"/>
          <w:szCs w:val="24"/>
        </w:rPr>
        <w:t>400</w:t>
      </w:r>
      <w:r w:rsidR="008A6BFD">
        <w:rPr>
          <w:rFonts w:ascii="Times New Roman" w:eastAsia="Times New Roman" w:hAnsi="Times New Roman" w:cs="Times New Roman"/>
          <w:szCs w:val="24"/>
        </w:rPr>
        <w:t> </w:t>
      </w:r>
      <w:r w:rsidR="003F4907" w:rsidRPr="007B75DC">
        <w:rPr>
          <w:rFonts w:ascii="Times New Roman" w:eastAsia="Times New Roman" w:hAnsi="Times New Roman" w:cs="Times New Roman"/>
          <w:szCs w:val="24"/>
        </w:rPr>
        <w:t>mg iki 600</w:t>
      </w:r>
      <w:r w:rsidR="008A6BFD">
        <w:rPr>
          <w:rFonts w:ascii="Times New Roman" w:eastAsia="Times New Roman" w:hAnsi="Times New Roman" w:cs="Times New Roman"/>
          <w:szCs w:val="24"/>
        </w:rPr>
        <w:t> </w:t>
      </w:r>
      <w:r w:rsidR="003F4907" w:rsidRPr="007B75DC">
        <w:rPr>
          <w:rFonts w:ascii="Times New Roman" w:eastAsia="Times New Roman" w:hAnsi="Times New Roman" w:cs="Times New Roman"/>
          <w:szCs w:val="24"/>
        </w:rPr>
        <w:t>mg ar 800</w:t>
      </w:r>
      <w:r w:rsidR="008A6BFD">
        <w:rPr>
          <w:rFonts w:ascii="Times New Roman" w:eastAsia="Times New Roman" w:hAnsi="Times New Roman" w:cs="Times New Roman"/>
          <w:szCs w:val="24"/>
        </w:rPr>
        <w:t> </w:t>
      </w:r>
      <w:r w:rsidR="003F4907" w:rsidRPr="007B75DC">
        <w:rPr>
          <w:rFonts w:ascii="Times New Roman" w:eastAsia="Times New Roman" w:hAnsi="Times New Roman" w:cs="Times New Roman"/>
          <w:szCs w:val="24"/>
        </w:rPr>
        <w:t xml:space="preserve">mg, kai yra lėtinė ligos fazė, ar nuo </w:t>
      </w:r>
      <w:r w:rsidRPr="007B75DC">
        <w:rPr>
          <w:rFonts w:ascii="Times New Roman" w:eastAsia="Times New Roman" w:hAnsi="Times New Roman" w:cs="Times New Roman"/>
          <w:szCs w:val="24"/>
        </w:rPr>
        <w:t>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iki didžiausios 800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dozės (po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kartus per parą), kai yra </w:t>
      </w:r>
      <w:r w:rsidR="003F4907" w:rsidRPr="007B75DC">
        <w:rPr>
          <w:rFonts w:ascii="Times New Roman" w:eastAsia="Times New Roman" w:hAnsi="Times New Roman" w:cs="Times New Roman"/>
          <w:szCs w:val="24"/>
        </w:rPr>
        <w:t xml:space="preserve">akceleracijos fazė ar </w:t>
      </w:r>
      <w:r w:rsidRPr="007B75DC">
        <w:rPr>
          <w:rFonts w:ascii="Times New Roman" w:eastAsia="Times New Roman" w:hAnsi="Times New Roman" w:cs="Times New Roman"/>
          <w:szCs w:val="24"/>
        </w:rPr>
        <w:t>blastinė krizė ir nėra sunkių nepageidaujamų vaist</w:t>
      </w:r>
      <w:r w:rsidR="003F4907" w:rsidRPr="007B75DC">
        <w:rPr>
          <w:rFonts w:ascii="Times New Roman" w:eastAsia="Times New Roman" w:hAnsi="Times New Roman" w:cs="Times New Roman"/>
          <w:szCs w:val="24"/>
        </w:rPr>
        <w:t>ini</w:t>
      </w:r>
      <w:r w:rsidRPr="007B75DC">
        <w:rPr>
          <w:rFonts w:ascii="Times New Roman" w:eastAsia="Times New Roman" w:hAnsi="Times New Roman" w:cs="Times New Roman"/>
          <w:szCs w:val="24"/>
        </w:rPr>
        <w:t xml:space="preserve">o </w:t>
      </w:r>
      <w:r w:rsidR="003F4907" w:rsidRPr="007B75DC">
        <w:rPr>
          <w:rFonts w:ascii="Times New Roman" w:eastAsia="Times New Roman" w:hAnsi="Times New Roman" w:cs="Times New Roman"/>
          <w:szCs w:val="24"/>
        </w:rPr>
        <w:t xml:space="preserve">preparato </w:t>
      </w:r>
      <w:r w:rsidRPr="007B75DC">
        <w:rPr>
          <w:rFonts w:ascii="Times New Roman" w:eastAsia="Times New Roman" w:hAnsi="Times New Roman" w:cs="Times New Roman"/>
          <w:szCs w:val="24"/>
        </w:rPr>
        <w:t xml:space="preserve">reakcijų ar sunkios su leukemija susijusios neutropenijos ar trombocitopemijos šiais atvejais: ligai progresuojant (bet kuriuo metu); po </w:t>
      </w:r>
      <w:r w:rsidR="00777334">
        <w:rPr>
          <w:rFonts w:ascii="Times New Roman" w:eastAsia="Times New Roman" w:hAnsi="Times New Roman" w:cs="Times New Roman"/>
          <w:szCs w:val="24"/>
        </w:rPr>
        <w:t xml:space="preserve">mažiausiai </w:t>
      </w:r>
      <w:r w:rsidRPr="007B75DC">
        <w:rPr>
          <w:rFonts w:ascii="Times New Roman" w:eastAsia="Times New Roman" w:hAnsi="Times New Roman" w:cs="Times New Roman"/>
          <w:szCs w:val="24"/>
        </w:rPr>
        <w:t>3</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gydymo negavus reikiamo hematologinio atsako; po 12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mėnesių gydymo negavus </w:t>
      </w:r>
      <w:r w:rsidRPr="007B75DC">
        <w:rPr>
          <w:rFonts w:ascii="Times New Roman" w:eastAsia="Times New Roman" w:hAnsi="Times New Roman" w:cs="Times New Roman"/>
          <w:szCs w:val="24"/>
        </w:rPr>
        <w:lastRenderedPageBreak/>
        <w:t>citogenetinio atsako; ar išnykus anksčiau pasiektam hematologiniam ir (ar) citogenetiniam atsakui. Pacientą, kuriam padidinama dozė, būtina atidžiai stebėti dėl galimų dažnesnių nepageidaujamų reakcijų, sukeliamų didesnių dozių.</w:t>
      </w:r>
    </w:p>
    <w:p w14:paraId="20CE6BF7" w14:textId="77777777" w:rsidR="00DE2956" w:rsidRPr="007B75DC" w:rsidRDefault="00DE2956" w:rsidP="00DE2956">
      <w:pPr>
        <w:spacing w:after="0" w:line="240" w:lineRule="auto"/>
        <w:rPr>
          <w:rFonts w:ascii="Times New Roman" w:eastAsia="Times New Roman" w:hAnsi="Times New Roman" w:cs="Times New Roman"/>
          <w:b/>
          <w:szCs w:val="24"/>
        </w:rPr>
      </w:pPr>
    </w:p>
    <w:p w14:paraId="2A10AB0A"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vaikų LML</w:t>
      </w:r>
    </w:p>
    <w:p w14:paraId="5C7E5CF9" w14:textId="34A3A18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Vaikams dozuojama pagal kūno paviršiaus plotą (mg/m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Kai yra lėtinė ir progresavusi LML fazė, vaikams rekomenduojama 340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paros dozė (bendros 800</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dozės viršyti negalima).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galima vartoti vieną kartą per parą arba paros dozę dalyti į dvi dozes – vieną vartoti rytą, kitą – vakare. Dabartinės dozavimo rekomendacijos vadovaujasi mažu vaikų skaičiumi (žr. 5.1 ir 5.2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skyrius). Kaip gydyti jaunesnius negu 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vaikus, patirties nėra.</w:t>
      </w:r>
    </w:p>
    <w:p w14:paraId="76C19B17" w14:textId="77777777" w:rsidR="00DE2956" w:rsidRPr="007B75DC" w:rsidRDefault="00DE2956" w:rsidP="00DE2956">
      <w:pPr>
        <w:spacing w:after="0" w:line="240" w:lineRule="auto"/>
        <w:rPr>
          <w:rFonts w:ascii="Times New Roman" w:eastAsia="Times New Roman" w:hAnsi="Times New Roman" w:cs="Times New Roman"/>
          <w:b/>
          <w:szCs w:val="24"/>
        </w:rPr>
      </w:pPr>
    </w:p>
    <w:p w14:paraId="7C67AB00" w14:textId="6F22C97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Jei nepasireiškė sunkaus nepageidaujamo poveikio ir sunkios ne su leukemija susijusios neutropenijos arba trombocitopenijos, dozė vaikams gali būti didinama nuo 340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iki 570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(bendros 800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dozės viršyti negalima) sekančiomis sąlygomis: ligos progresavimas (bet kuriuo metu); nepasiektas patenkinamas hematologinis atsakas po mažiausiai 3 gydymo mėnesių; nepasiektas citogenetinis atsakas po 12 gydymo mėnesių; anksčiau pasiekto hematologinio ir</w:t>
      </w:r>
      <w:r w:rsidR="008A6BFD">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8A6BFD">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arba citogenetinio atsako praradimas. Didinant dozę, pacientai turi būti atidžiai stebimi dėl padidėjusio nepageidaujamo poveikio pasireiškimo galimybės gydant didesnėmis dozėmis.</w:t>
      </w:r>
    </w:p>
    <w:p w14:paraId="301823B3" w14:textId="77777777" w:rsidR="00DE2956" w:rsidRPr="007B75DC" w:rsidRDefault="00DE2956" w:rsidP="00DE2956">
      <w:pPr>
        <w:spacing w:after="0" w:line="240" w:lineRule="auto"/>
        <w:rPr>
          <w:rFonts w:ascii="Times New Roman" w:eastAsia="Times New Roman" w:hAnsi="Times New Roman" w:cs="Times New Roman"/>
          <w:b/>
          <w:szCs w:val="24"/>
        </w:rPr>
      </w:pPr>
    </w:p>
    <w:p w14:paraId="291E57E1"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suaugusiųjų Ph+ ŪLL</w:t>
      </w:r>
    </w:p>
    <w:p w14:paraId="0C1E2204" w14:textId="2497EE71"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Ph+ ŪLL sergantiems suaugusiesiems pacientams rekomenduojama </w:t>
      </w:r>
      <w:r w:rsidR="00671406">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671406">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yra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Visų fazių metu gydymui turi vadovauti hematologai, turintys šios ligos gydymo patirties.</w:t>
      </w:r>
    </w:p>
    <w:p w14:paraId="7B0BADAB" w14:textId="77777777" w:rsidR="00DE2956" w:rsidRPr="007B75DC" w:rsidRDefault="00DE2956" w:rsidP="00DE2956">
      <w:pPr>
        <w:spacing w:after="0" w:line="240" w:lineRule="auto"/>
        <w:rPr>
          <w:rFonts w:ascii="Times New Roman" w:eastAsia="Times New Roman" w:hAnsi="Times New Roman" w:cs="Times New Roman"/>
          <w:b/>
          <w:szCs w:val="24"/>
        </w:rPr>
      </w:pPr>
    </w:p>
    <w:p w14:paraId="0A127E7F" w14:textId="549A3193"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Gydymo planas. Pagal turimus duomenis, imatinibo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dozė buvo efektyvi ir saugi kartu su chemoterapiniais preparatais pradinės, dozės didinimo ir palaikomosios chemoterapijos fazės metu (žr. 5.1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 suaugusiems pacientams, kuriems pirmą kartą diagnozuota Ph+ ŪLL. Gydymo imatinibu trukmė gali priklausyti nuo pasirinktos gydymo programos, bet dažniausiai ilgiau vartojant imatinib rezultatai buvo geresni.</w:t>
      </w:r>
    </w:p>
    <w:p w14:paraId="028B8DE8" w14:textId="77777777" w:rsidR="00DE2956" w:rsidRPr="007B75DC" w:rsidRDefault="00DE2956" w:rsidP="00DE2956">
      <w:pPr>
        <w:spacing w:after="0" w:line="240" w:lineRule="auto"/>
        <w:rPr>
          <w:rFonts w:ascii="Times New Roman" w:eastAsia="Times New Roman" w:hAnsi="Times New Roman" w:cs="Times New Roman"/>
          <w:szCs w:val="24"/>
        </w:rPr>
      </w:pPr>
    </w:p>
    <w:p w14:paraId="3ECFA07F" w14:textId="3A6CB1D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Suaugusiesiems pacientams, kuriems yra recidyvas ar gydymui atspari Ph+ ŪLL, gydymas vien tik imatinibu po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yra saugus, efektyvus ir gali būti skiriamas, kol liga pradės progresuoti.</w:t>
      </w:r>
    </w:p>
    <w:p w14:paraId="3E4D1037" w14:textId="77777777" w:rsidR="00DE2956" w:rsidRPr="007B75DC" w:rsidRDefault="00DE2956" w:rsidP="00DE2956">
      <w:pPr>
        <w:spacing w:after="0" w:line="240" w:lineRule="auto"/>
        <w:rPr>
          <w:rFonts w:ascii="Times New Roman" w:eastAsia="Times New Roman" w:hAnsi="Times New Roman" w:cs="Times New Roman"/>
          <w:b/>
          <w:szCs w:val="24"/>
        </w:rPr>
      </w:pPr>
    </w:p>
    <w:p w14:paraId="2D73E3ED"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vaikų Ph+ ŪLL</w:t>
      </w:r>
    </w:p>
    <w:p w14:paraId="51FBBBAF" w14:textId="5542FC4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Vaikams dozuojama pagal kūno paviršiaus plotą (mg/m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Kai yra Ph+ ŪLL, vaikams rekomenduojama 340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paros dozė (bendros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dozės viršyti negalima).</w:t>
      </w:r>
    </w:p>
    <w:p w14:paraId="415C1871" w14:textId="77777777" w:rsidR="00DE2956" w:rsidRPr="007B75DC" w:rsidRDefault="00DE2956" w:rsidP="00DE2956">
      <w:pPr>
        <w:spacing w:after="0" w:line="240" w:lineRule="auto"/>
        <w:rPr>
          <w:rFonts w:ascii="Times New Roman" w:eastAsia="Times New Roman" w:hAnsi="Times New Roman" w:cs="Times New Roman"/>
          <w:b/>
          <w:szCs w:val="24"/>
        </w:rPr>
      </w:pPr>
    </w:p>
    <w:p w14:paraId="05228829"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MDS/MPL</w:t>
      </w:r>
    </w:p>
    <w:p w14:paraId="18CE4FF5" w14:textId="05D61C9F"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MDS ar MPL sergantiems suaugusiems pacientams rekomenduojama </w:t>
      </w:r>
      <w:r w:rsidR="00671406">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671406">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yra 400</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w:t>
      </w:r>
    </w:p>
    <w:p w14:paraId="3DDE3349" w14:textId="77777777" w:rsidR="00DE2956" w:rsidRPr="007B75DC" w:rsidRDefault="00DE2956" w:rsidP="00DE2956">
      <w:pPr>
        <w:spacing w:after="0" w:line="240" w:lineRule="auto"/>
        <w:rPr>
          <w:rFonts w:ascii="Times New Roman" w:eastAsia="Times New Roman" w:hAnsi="Times New Roman" w:cs="Times New Roman"/>
          <w:szCs w:val="24"/>
        </w:rPr>
      </w:pPr>
    </w:p>
    <w:p w14:paraId="106243BA" w14:textId="5530F53F"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Gydymo trukmė</w:t>
      </w:r>
      <w:r w:rsidR="00671406">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Klinikinio tyrimo, tęsiamo iki šiol, metu gydymas imatinibu buvo tęsiamas iki ligos progresavimo (žr. 5.1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 Tyrimo metu gydymo vidutinė trukmė buvo 47</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mėnesiai (24</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dienos – 60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mėnesių).</w:t>
      </w:r>
    </w:p>
    <w:p w14:paraId="24CCDFA2" w14:textId="77777777" w:rsidR="00DE2956" w:rsidRPr="007B75DC" w:rsidRDefault="00DE2956" w:rsidP="00DE2956">
      <w:pPr>
        <w:spacing w:after="0" w:line="240" w:lineRule="auto"/>
        <w:rPr>
          <w:rFonts w:ascii="Times New Roman" w:eastAsia="Times New Roman" w:hAnsi="Times New Roman" w:cs="Times New Roman"/>
          <w:b/>
          <w:szCs w:val="24"/>
        </w:rPr>
      </w:pPr>
    </w:p>
    <w:p w14:paraId="62AC1201"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HES/LEL</w:t>
      </w:r>
    </w:p>
    <w:p w14:paraId="7E3BAD7D" w14:textId="523D5AC9"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Rekomenduojama </w:t>
      </w:r>
      <w:r w:rsidR="00671406">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671406">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suaugusiems pacientams, sergantiems HES/LEL, yra 100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w:t>
      </w:r>
    </w:p>
    <w:p w14:paraId="527BA1A6" w14:textId="77777777" w:rsidR="00DE2956" w:rsidRPr="007B75DC" w:rsidRDefault="00DE2956" w:rsidP="00DE2956">
      <w:pPr>
        <w:spacing w:after="0" w:line="240" w:lineRule="auto"/>
        <w:rPr>
          <w:rFonts w:ascii="Times New Roman" w:eastAsia="Times New Roman" w:hAnsi="Times New Roman" w:cs="Times New Roman"/>
          <w:szCs w:val="24"/>
        </w:rPr>
      </w:pPr>
    </w:p>
    <w:p w14:paraId="6BF54647" w14:textId="5FEC77EF"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Galima didinti dozę nuo 100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iki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jei nėra nepageidaujamų reakcijų ir jeigu įvertinimas rodo nepakankamą atsaką į gydymą.</w:t>
      </w:r>
    </w:p>
    <w:p w14:paraId="3B95FDFD" w14:textId="77777777" w:rsidR="00DE2956" w:rsidRPr="007B75DC" w:rsidRDefault="00DE2956" w:rsidP="00DE2956">
      <w:pPr>
        <w:spacing w:after="0" w:line="240" w:lineRule="auto"/>
        <w:rPr>
          <w:rFonts w:ascii="Times New Roman" w:eastAsia="Times New Roman" w:hAnsi="Times New Roman" w:cs="Times New Roman"/>
          <w:szCs w:val="24"/>
        </w:rPr>
      </w:pPr>
    </w:p>
    <w:p w14:paraId="043DB7D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Gydymą reikia tęsti tol, kol pacientui stebimas teigiamas poveikis.</w:t>
      </w:r>
    </w:p>
    <w:p w14:paraId="4EC28048" w14:textId="77777777" w:rsidR="009E177C" w:rsidRDefault="009E177C" w:rsidP="009E177C">
      <w:pPr>
        <w:spacing w:after="0" w:line="240" w:lineRule="auto"/>
        <w:rPr>
          <w:rFonts w:ascii="Times New Roman" w:eastAsia="Times New Roman" w:hAnsi="Times New Roman" w:cs="Times New Roman"/>
          <w:szCs w:val="24"/>
        </w:rPr>
      </w:pPr>
    </w:p>
    <w:p w14:paraId="16C02772" w14:textId="77777777" w:rsidR="009E177C" w:rsidRPr="008D3472" w:rsidRDefault="009E177C" w:rsidP="009E177C">
      <w:pPr>
        <w:autoSpaceDE w:val="0"/>
        <w:autoSpaceDN w:val="0"/>
        <w:adjustRightInd w:val="0"/>
        <w:spacing w:after="0" w:line="240" w:lineRule="auto"/>
        <w:rPr>
          <w:rFonts w:ascii="Times New Roman" w:hAnsi="Times New Roman" w:cs="Times New Roman"/>
          <w:color w:val="000000"/>
          <w:u w:val="single"/>
          <w:lang w:eastAsia="lt-LT"/>
        </w:rPr>
      </w:pPr>
      <w:r w:rsidRPr="008D3472">
        <w:rPr>
          <w:rFonts w:ascii="Times New Roman" w:hAnsi="Times New Roman" w:cs="Times New Roman"/>
          <w:color w:val="000000"/>
          <w:u w:val="single"/>
          <w:lang w:eastAsia="lt-LT"/>
        </w:rPr>
        <w:t>Dozavimas pacientams, kuriems yra VTSN</w:t>
      </w:r>
    </w:p>
    <w:p w14:paraId="64B5F95C" w14:textId="77777777" w:rsidR="009E177C" w:rsidRDefault="009E177C" w:rsidP="009E177C">
      <w:pPr>
        <w:autoSpaceDE w:val="0"/>
        <w:autoSpaceDN w:val="0"/>
        <w:adjustRightInd w:val="0"/>
        <w:spacing w:after="0" w:line="240" w:lineRule="auto"/>
        <w:rPr>
          <w:rFonts w:ascii="Times New Roman" w:hAnsi="Times New Roman" w:cs="Times New Roman"/>
          <w:color w:val="000000"/>
          <w:lang w:eastAsia="lt-LT"/>
        </w:rPr>
      </w:pPr>
      <w:r w:rsidRPr="00A1647C">
        <w:rPr>
          <w:rFonts w:ascii="Times New Roman" w:hAnsi="Times New Roman" w:cs="Times New Roman"/>
          <w:color w:val="000000"/>
          <w:lang w:eastAsia="lt-LT"/>
        </w:rPr>
        <w:t xml:space="preserve">Rekomenduojama </w:t>
      </w:r>
      <w:r>
        <w:rPr>
          <w:rFonts w:ascii="Times New Roman" w:hAnsi="Times New Roman" w:cs="Times New Roman"/>
          <w:color w:val="000000"/>
          <w:lang w:eastAsia="lt-LT"/>
        </w:rPr>
        <w:t>i</w:t>
      </w:r>
      <w:r w:rsidRPr="00DE2956">
        <w:rPr>
          <w:rFonts w:ascii="Times New Roman" w:eastAsia="Times New Roman" w:hAnsi="Times New Roman" w:cs="Times New Roman"/>
          <w:szCs w:val="24"/>
        </w:rPr>
        <w:t>matinib</w:t>
      </w:r>
      <w:r>
        <w:rPr>
          <w:rFonts w:ascii="Times New Roman" w:eastAsia="Times New Roman" w:hAnsi="Times New Roman" w:cs="Times New Roman"/>
          <w:szCs w:val="24"/>
        </w:rPr>
        <w:t>o</w:t>
      </w:r>
      <w:r w:rsidRPr="00A1647C">
        <w:rPr>
          <w:rFonts w:ascii="Times New Roman" w:hAnsi="Times New Roman" w:cs="Times New Roman"/>
          <w:color w:val="000000"/>
          <w:lang w:eastAsia="lt-LT"/>
        </w:rPr>
        <w:t xml:space="preserve"> dozė suaugusiems pacientams, kuriems yra nerezekuotinas ir (ar) metastazavęs piktybinis VTSN, yra 400</w:t>
      </w:r>
      <w:r>
        <w:rPr>
          <w:rFonts w:ascii="Times New Roman" w:hAnsi="Times New Roman" w:cs="Times New Roman"/>
          <w:color w:val="000000"/>
          <w:lang w:eastAsia="lt-LT"/>
        </w:rPr>
        <w:t> </w:t>
      </w:r>
      <w:r w:rsidRPr="00A1647C">
        <w:rPr>
          <w:rFonts w:ascii="Times New Roman" w:hAnsi="Times New Roman" w:cs="Times New Roman"/>
          <w:color w:val="000000"/>
          <w:lang w:eastAsia="lt-LT"/>
        </w:rPr>
        <w:t>mg per parą.</w:t>
      </w:r>
    </w:p>
    <w:p w14:paraId="342C1A0F" w14:textId="77777777" w:rsidR="009E177C" w:rsidRPr="00A1647C" w:rsidRDefault="009E177C" w:rsidP="009E177C">
      <w:pPr>
        <w:autoSpaceDE w:val="0"/>
        <w:autoSpaceDN w:val="0"/>
        <w:adjustRightInd w:val="0"/>
        <w:spacing w:after="0" w:line="240" w:lineRule="auto"/>
        <w:rPr>
          <w:rFonts w:ascii="Times New Roman" w:hAnsi="Times New Roman" w:cs="Times New Roman"/>
          <w:color w:val="000000"/>
          <w:lang w:eastAsia="lt-LT"/>
        </w:rPr>
      </w:pPr>
    </w:p>
    <w:p w14:paraId="1AF090E9" w14:textId="77777777" w:rsidR="009E177C" w:rsidRDefault="009E177C" w:rsidP="009E177C">
      <w:pPr>
        <w:autoSpaceDE w:val="0"/>
        <w:autoSpaceDN w:val="0"/>
        <w:adjustRightInd w:val="0"/>
        <w:spacing w:after="0" w:line="240" w:lineRule="auto"/>
        <w:rPr>
          <w:rFonts w:ascii="Times New Roman" w:hAnsi="Times New Roman" w:cs="Times New Roman"/>
          <w:color w:val="000000"/>
          <w:lang w:eastAsia="lt-LT"/>
        </w:rPr>
      </w:pPr>
      <w:r w:rsidRPr="00A1647C">
        <w:rPr>
          <w:rFonts w:ascii="Times New Roman" w:hAnsi="Times New Roman" w:cs="Times New Roman"/>
          <w:color w:val="000000"/>
          <w:lang w:eastAsia="lt-LT"/>
        </w:rPr>
        <w:lastRenderedPageBreak/>
        <w:t>Dar mažai duomenų apie nuo 400</w:t>
      </w:r>
      <w:r>
        <w:rPr>
          <w:rFonts w:ascii="Times New Roman" w:hAnsi="Times New Roman" w:cs="Times New Roman"/>
          <w:color w:val="000000"/>
          <w:lang w:eastAsia="lt-LT"/>
        </w:rPr>
        <w:t> </w:t>
      </w:r>
      <w:r w:rsidRPr="00A1647C">
        <w:rPr>
          <w:rFonts w:ascii="Times New Roman" w:hAnsi="Times New Roman" w:cs="Times New Roman"/>
          <w:color w:val="000000"/>
          <w:lang w:eastAsia="lt-LT"/>
        </w:rPr>
        <w:t>mg iki 600</w:t>
      </w:r>
      <w:r>
        <w:rPr>
          <w:rFonts w:ascii="Times New Roman" w:hAnsi="Times New Roman" w:cs="Times New Roman"/>
          <w:color w:val="000000"/>
          <w:lang w:eastAsia="lt-LT"/>
        </w:rPr>
        <w:t> </w:t>
      </w:r>
      <w:r w:rsidRPr="00A1647C">
        <w:rPr>
          <w:rFonts w:ascii="Times New Roman" w:hAnsi="Times New Roman" w:cs="Times New Roman"/>
          <w:color w:val="000000"/>
          <w:lang w:eastAsia="lt-LT"/>
        </w:rPr>
        <w:t>mg ar 800</w:t>
      </w:r>
      <w:r>
        <w:rPr>
          <w:rFonts w:ascii="Times New Roman" w:hAnsi="Times New Roman" w:cs="Times New Roman"/>
          <w:color w:val="000000"/>
          <w:lang w:eastAsia="lt-LT"/>
        </w:rPr>
        <w:t> </w:t>
      </w:r>
      <w:r w:rsidRPr="00A1647C">
        <w:rPr>
          <w:rFonts w:ascii="Times New Roman" w:hAnsi="Times New Roman" w:cs="Times New Roman"/>
          <w:color w:val="000000"/>
          <w:lang w:eastAsia="lt-LT"/>
        </w:rPr>
        <w:t>mg padidintos dozės poveikį pacientams, kuriems liga progresavo vartojant mažesnę dozę (žr. 5.1</w:t>
      </w:r>
      <w:r>
        <w:rPr>
          <w:rFonts w:ascii="Times New Roman" w:hAnsi="Times New Roman" w:cs="Times New Roman"/>
          <w:color w:val="000000"/>
          <w:lang w:eastAsia="lt-LT"/>
        </w:rPr>
        <w:t> </w:t>
      </w:r>
      <w:r w:rsidRPr="00A1647C">
        <w:rPr>
          <w:rFonts w:ascii="Times New Roman" w:hAnsi="Times New Roman" w:cs="Times New Roman"/>
          <w:color w:val="000000"/>
          <w:lang w:eastAsia="lt-LT"/>
        </w:rPr>
        <w:t>skyrių).</w:t>
      </w:r>
    </w:p>
    <w:p w14:paraId="19F3FDDC" w14:textId="77777777" w:rsidR="009E177C" w:rsidRPr="00A1647C" w:rsidRDefault="009E177C" w:rsidP="009E177C">
      <w:pPr>
        <w:autoSpaceDE w:val="0"/>
        <w:autoSpaceDN w:val="0"/>
        <w:adjustRightInd w:val="0"/>
        <w:spacing w:after="0" w:line="240" w:lineRule="auto"/>
        <w:rPr>
          <w:rFonts w:ascii="Times New Roman" w:hAnsi="Times New Roman" w:cs="Times New Roman"/>
          <w:color w:val="000000"/>
          <w:lang w:eastAsia="lt-LT"/>
        </w:rPr>
      </w:pPr>
    </w:p>
    <w:p w14:paraId="405E91C7" w14:textId="77777777" w:rsidR="009E177C" w:rsidRDefault="009E177C" w:rsidP="009E177C">
      <w:pPr>
        <w:autoSpaceDE w:val="0"/>
        <w:autoSpaceDN w:val="0"/>
        <w:adjustRightInd w:val="0"/>
        <w:spacing w:after="0" w:line="240" w:lineRule="auto"/>
        <w:rPr>
          <w:rFonts w:ascii="Times New Roman" w:hAnsi="Times New Roman" w:cs="Times New Roman"/>
          <w:color w:val="000000"/>
          <w:lang w:eastAsia="lt-LT"/>
        </w:rPr>
      </w:pPr>
      <w:r w:rsidRPr="00A1647C">
        <w:rPr>
          <w:rFonts w:ascii="Times New Roman" w:hAnsi="Times New Roman" w:cs="Times New Roman"/>
          <w:color w:val="000000"/>
          <w:lang w:eastAsia="lt-LT"/>
        </w:rPr>
        <w:t xml:space="preserve">Gydymo trukmė. Klinikinių tyrimų metu VTSN sergantys pacientai </w:t>
      </w:r>
      <w:r>
        <w:rPr>
          <w:rFonts w:ascii="Times New Roman" w:hAnsi="Times New Roman" w:cs="Times New Roman"/>
          <w:color w:val="000000"/>
          <w:lang w:eastAsia="lt-LT"/>
        </w:rPr>
        <w:t>i</w:t>
      </w:r>
      <w:r w:rsidRPr="00DE2956">
        <w:rPr>
          <w:rFonts w:ascii="Times New Roman" w:eastAsia="Times New Roman" w:hAnsi="Times New Roman" w:cs="Times New Roman"/>
          <w:szCs w:val="24"/>
        </w:rPr>
        <w:t>matinib</w:t>
      </w:r>
      <w:r>
        <w:rPr>
          <w:rFonts w:ascii="Times New Roman" w:eastAsia="Times New Roman" w:hAnsi="Times New Roman" w:cs="Times New Roman"/>
          <w:szCs w:val="24"/>
        </w:rPr>
        <w:t>u</w:t>
      </w:r>
      <w:r w:rsidRPr="00A1647C">
        <w:rPr>
          <w:rFonts w:ascii="Times New Roman" w:hAnsi="Times New Roman" w:cs="Times New Roman"/>
          <w:color w:val="000000"/>
          <w:lang w:eastAsia="lt-LT"/>
        </w:rPr>
        <w:t xml:space="preserve"> buvo gydomi iki ligos progresavimo. Analizės metu nustatyta, kad vidutinė gydymo trukmė buvo 7</w:t>
      </w:r>
      <w:r>
        <w:rPr>
          <w:rFonts w:ascii="Times New Roman" w:hAnsi="Times New Roman" w:cs="Times New Roman"/>
          <w:color w:val="000000"/>
          <w:lang w:eastAsia="lt-LT"/>
        </w:rPr>
        <w:t> </w:t>
      </w:r>
      <w:r w:rsidRPr="00A1647C">
        <w:rPr>
          <w:rFonts w:ascii="Times New Roman" w:hAnsi="Times New Roman" w:cs="Times New Roman"/>
          <w:color w:val="000000"/>
          <w:lang w:eastAsia="lt-LT"/>
        </w:rPr>
        <w:t>mėnesiai (nuo 7</w:t>
      </w:r>
      <w:r>
        <w:rPr>
          <w:rFonts w:ascii="Times New Roman" w:hAnsi="Times New Roman" w:cs="Times New Roman"/>
          <w:color w:val="000000"/>
          <w:lang w:eastAsia="lt-LT"/>
        </w:rPr>
        <w:t> </w:t>
      </w:r>
      <w:r w:rsidRPr="00A1647C">
        <w:rPr>
          <w:rFonts w:ascii="Times New Roman" w:hAnsi="Times New Roman" w:cs="Times New Roman"/>
          <w:color w:val="000000"/>
          <w:lang w:eastAsia="lt-LT"/>
        </w:rPr>
        <w:t>dienų iki 13</w:t>
      </w:r>
      <w:r>
        <w:rPr>
          <w:rFonts w:ascii="Times New Roman" w:hAnsi="Times New Roman" w:cs="Times New Roman"/>
          <w:color w:val="000000"/>
          <w:lang w:eastAsia="lt-LT"/>
        </w:rPr>
        <w:t> </w:t>
      </w:r>
      <w:r w:rsidRPr="00A1647C">
        <w:rPr>
          <w:rFonts w:ascii="Times New Roman" w:hAnsi="Times New Roman" w:cs="Times New Roman"/>
          <w:color w:val="000000"/>
          <w:lang w:eastAsia="lt-LT"/>
        </w:rPr>
        <w:t>mėnesių). Gydymo nutraukimo poveikis po gauto atsako netirtas.</w:t>
      </w:r>
    </w:p>
    <w:p w14:paraId="070B4342" w14:textId="77777777" w:rsidR="009E177C" w:rsidRPr="00A1647C" w:rsidRDefault="009E177C" w:rsidP="009E177C">
      <w:pPr>
        <w:autoSpaceDE w:val="0"/>
        <w:autoSpaceDN w:val="0"/>
        <w:adjustRightInd w:val="0"/>
        <w:spacing w:after="0" w:line="240" w:lineRule="auto"/>
        <w:rPr>
          <w:rFonts w:ascii="Times New Roman" w:hAnsi="Times New Roman" w:cs="Times New Roman"/>
          <w:color w:val="000000"/>
          <w:lang w:eastAsia="lt-LT"/>
        </w:rPr>
      </w:pPr>
    </w:p>
    <w:p w14:paraId="561FE4C9" w14:textId="77777777" w:rsidR="009E177C" w:rsidRDefault="009E177C" w:rsidP="009E177C">
      <w:pPr>
        <w:spacing w:after="0" w:line="240" w:lineRule="auto"/>
        <w:rPr>
          <w:rFonts w:ascii="Times New Roman" w:eastAsia="Times New Roman" w:hAnsi="Times New Roman" w:cs="Times New Roman"/>
          <w:szCs w:val="24"/>
        </w:rPr>
      </w:pPr>
      <w:r w:rsidRPr="00A1647C">
        <w:rPr>
          <w:rFonts w:ascii="Times New Roman" w:hAnsi="Times New Roman" w:cs="Times New Roman"/>
          <w:color w:val="000000"/>
          <w:lang w:eastAsia="lt-LT"/>
        </w:rPr>
        <w:t xml:space="preserve">Rekomenduojama </w:t>
      </w:r>
      <w:r>
        <w:rPr>
          <w:rFonts w:ascii="Times New Roman" w:hAnsi="Times New Roman" w:cs="Times New Roman"/>
          <w:color w:val="000000"/>
          <w:lang w:eastAsia="lt-LT"/>
        </w:rPr>
        <w:t>i</w:t>
      </w:r>
      <w:r w:rsidRPr="00DE2956">
        <w:rPr>
          <w:rFonts w:ascii="Times New Roman" w:eastAsia="Times New Roman" w:hAnsi="Times New Roman" w:cs="Times New Roman"/>
          <w:szCs w:val="24"/>
        </w:rPr>
        <w:t>matinib</w:t>
      </w:r>
      <w:r>
        <w:rPr>
          <w:rFonts w:ascii="Times New Roman" w:eastAsia="Times New Roman" w:hAnsi="Times New Roman" w:cs="Times New Roman"/>
          <w:szCs w:val="24"/>
        </w:rPr>
        <w:t>o</w:t>
      </w:r>
      <w:r w:rsidRPr="00A1647C">
        <w:rPr>
          <w:rFonts w:ascii="Times New Roman" w:hAnsi="Times New Roman" w:cs="Times New Roman"/>
          <w:color w:val="000000"/>
          <w:lang w:eastAsia="lt-LT"/>
        </w:rPr>
        <w:t xml:space="preserve"> dozė adjuvantiniam suaugusiųjų, kuriems atlikta VTSN rezekcija, gydymui yra 400</w:t>
      </w:r>
      <w:r>
        <w:rPr>
          <w:rFonts w:ascii="Times New Roman" w:hAnsi="Times New Roman" w:cs="Times New Roman"/>
          <w:color w:val="000000"/>
          <w:lang w:eastAsia="lt-LT"/>
        </w:rPr>
        <w:t> </w:t>
      </w:r>
      <w:r w:rsidRPr="00A1647C">
        <w:rPr>
          <w:rFonts w:ascii="Times New Roman" w:hAnsi="Times New Roman" w:cs="Times New Roman"/>
          <w:color w:val="000000"/>
          <w:lang w:eastAsia="lt-LT"/>
        </w:rPr>
        <w:t>mg per parą. Optimali gydymo trukmė kol kas nenustatyta. Klinikinių tyrimų duomenimis</w:t>
      </w:r>
      <w:r w:rsidR="00671406">
        <w:rPr>
          <w:rFonts w:ascii="Times New Roman" w:hAnsi="Times New Roman" w:cs="Times New Roman"/>
          <w:color w:val="000000"/>
          <w:lang w:eastAsia="lt-LT"/>
        </w:rPr>
        <w:t>,</w:t>
      </w:r>
      <w:r w:rsidRPr="00A1647C">
        <w:rPr>
          <w:rFonts w:ascii="Times New Roman" w:hAnsi="Times New Roman" w:cs="Times New Roman"/>
          <w:color w:val="000000"/>
          <w:lang w:eastAsia="lt-LT"/>
        </w:rPr>
        <w:t xml:space="preserve"> gydymo trukmė šiai indikacijai </w:t>
      </w:r>
      <w:r>
        <w:rPr>
          <w:rFonts w:ascii="Times New Roman" w:hAnsi="Times New Roman" w:cs="Times New Roman"/>
          <w:color w:val="000000"/>
          <w:lang w:eastAsia="lt-LT"/>
        </w:rPr>
        <w:t>buvo</w:t>
      </w:r>
      <w:r w:rsidRPr="00A1647C">
        <w:rPr>
          <w:rFonts w:ascii="Times New Roman" w:hAnsi="Times New Roman" w:cs="Times New Roman"/>
          <w:color w:val="000000"/>
          <w:lang w:eastAsia="lt-LT"/>
        </w:rPr>
        <w:t xml:space="preserve"> 36</w:t>
      </w:r>
      <w:r>
        <w:rPr>
          <w:rFonts w:ascii="Times New Roman" w:hAnsi="Times New Roman" w:cs="Times New Roman"/>
          <w:color w:val="000000"/>
          <w:lang w:eastAsia="lt-LT"/>
        </w:rPr>
        <w:t> </w:t>
      </w:r>
      <w:r w:rsidRPr="00A1647C">
        <w:rPr>
          <w:rFonts w:ascii="Times New Roman" w:hAnsi="Times New Roman" w:cs="Times New Roman"/>
          <w:color w:val="000000"/>
          <w:lang w:eastAsia="lt-LT"/>
        </w:rPr>
        <w:t>mėnesi</w:t>
      </w:r>
      <w:r>
        <w:rPr>
          <w:rFonts w:ascii="Times New Roman" w:hAnsi="Times New Roman" w:cs="Times New Roman"/>
          <w:color w:val="000000"/>
          <w:lang w:eastAsia="lt-LT"/>
        </w:rPr>
        <w:t>ai</w:t>
      </w:r>
      <w:r w:rsidRPr="00A1647C">
        <w:rPr>
          <w:rFonts w:ascii="Times New Roman" w:hAnsi="Times New Roman" w:cs="Times New Roman"/>
          <w:color w:val="000000"/>
          <w:lang w:eastAsia="lt-LT"/>
        </w:rPr>
        <w:t xml:space="preserve"> (žr. 5.1</w:t>
      </w:r>
      <w:r>
        <w:rPr>
          <w:rFonts w:ascii="Times New Roman" w:hAnsi="Times New Roman" w:cs="Times New Roman"/>
          <w:color w:val="000000"/>
          <w:lang w:eastAsia="lt-LT"/>
        </w:rPr>
        <w:t> </w:t>
      </w:r>
      <w:r w:rsidRPr="00A1647C">
        <w:rPr>
          <w:rFonts w:ascii="Times New Roman" w:hAnsi="Times New Roman" w:cs="Times New Roman"/>
          <w:color w:val="000000"/>
          <w:lang w:eastAsia="lt-LT"/>
        </w:rPr>
        <w:t>skyrių).</w:t>
      </w:r>
    </w:p>
    <w:p w14:paraId="2098DA7F" w14:textId="77777777" w:rsidR="00DE2956" w:rsidRPr="007B75DC" w:rsidRDefault="00DE2956" w:rsidP="00DE2956">
      <w:pPr>
        <w:spacing w:after="0" w:line="240" w:lineRule="auto"/>
        <w:rPr>
          <w:rFonts w:ascii="Times New Roman" w:eastAsia="Times New Roman" w:hAnsi="Times New Roman" w:cs="Times New Roman"/>
          <w:szCs w:val="24"/>
        </w:rPr>
      </w:pPr>
    </w:p>
    <w:p w14:paraId="23030E0F"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Dozavimas, kai yra DFSP</w:t>
      </w:r>
    </w:p>
    <w:p w14:paraId="473F19B5" w14:textId="0DC1FEF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DFSP sergantiems suaugusiems pacientams rekomenduojama </w:t>
      </w:r>
      <w:r w:rsidR="00671406">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671406">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dozė yra 800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w:t>
      </w:r>
    </w:p>
    <w:p w14:paraId="5ACA20CD" w14:textId="77777777" w:rsidR="00DE2956" w:rsidRPr="007B75DC" w:rsidRDefault="00DE2956" w:rsidP="00DE2956">
      <w:pPr>
        <w:spacing w:after="0" w:line="240" w:lineRule="auto"/>
        <w:rPr>
          <w:rFonts w:ascii="Times New Roman" w:eastAsia="Times New Roman" w:hAnsi="Times New Roman" w:cs="Times New Roman"/>
          <w:b/>
          <w:szCs w:val="24"/>
        </w:rPr>
      </w:pPr>
    </w:p>
    <w:p w14:paraId="17592F78"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Dozės korekcija dėl nepageidaujamo poveikio</w:t>
      </w:r>
    </w:p>
    <w:p w14:paraId="537EBDA6"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Nehematologinės nepageidaujamos reakcijos</w:t>
      </w:r>
    </w:p>
    <w:p w14:paraId="403E65D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Jeigu vartojant imatinibo atsiranda sunkių nehematologinių nepageidaujamų reakcijų, gydymą būtina nutraukti tol, kol šie reiškiniai išnyksta. Vėliau, jei reikia, gydymą galima atnaujinti atsižvelgiant į pradinį nepageidaujamų reiškinių sunkumą.</w:t>
      </w:r>
    </w:p>
    <w:p w14:paraId="34D5CF75" w14:textId="77777777" w:rsidR="00DE2956" w:rsidRPr="007B75DC" w:rsidRDefault="00DE2956" w:rsidP="00DE2956">
      <w:pPr>
        <w:spacing w:after="0" w:line="240" w:lineRule="auto"/>
        <w:rPr>
          <w:rFonts w:ascii="Times New Roman" w:eastAsia="Times New Roman" w:hAnsi="Times New Roman" w:cs="Times New Roman"/>
          <w:b/>
          <w:szCs w:val="24"/>
        </w:rPr>
      </w:pPr>
    </w:p>
    <w:p w14:paraId="098499FE" w14:textId="606D7C2D"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Jei bilirubino koncentracija &gt;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3</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kartus yra didesnė už nustatytą viršutinę normos ribą (NVNR) ar kepenų transaminazių koncentracija &gt;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kartus didesnė už NVNR, imatinibo nevartoti, kol bilirubino koncentracija sumažėja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1,5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karto už NVNR ir transaminazių koncentracija &lt;</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2,5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karto už NVNR. Gydymą galima tęsti sumažinta imatinibo paros doze. Suaugusiesiems dozę reikia sumažinti nuo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iki 300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arba nuo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iki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ar nuo 800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iki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o vaikams nuo 340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iki 260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w:t>
      </w:r>
    </w:p>
    <w:p w14:paraId="3F145A9F" w14:textId="77777777" w:rsidR="00DE2956" w:rsidRPr="007B75DC" w:rsidRDefault="00DE2956" w:rsidP="00DE2956">
      <w:pPr>
        <w:spacing w:after="0" w:line="240" w:lineRule="auto"/>
        <w:rPr>
          <w:rFonts w:ascii="Times New Roman" w:eastAsia="Times New Roman" w:hAnsi="Times New Roman" w:cs="Times New Roman"/>
          <w:b/>
          <w:szCs w:val="24"/>
        </w:rPr>
      </w:pPr>
    </w:p>
    <w:p w14:paraId="0AE56C31"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Hematologinės nepageidaujamos reakcijos</w:t>
      </w:r>
    </w:p>
    <w:p w14:paraId="1E7452E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Dozės mažinimo ir gydymo pertraukimo rekomendacijos, išryškėjus sunkiai neutropenijai ar trombocitopenijai, nurodytos lentelėje žemiau.</w:t>
      </w:r>
    </w:p>
    <w:p w14:paraId="6F9CCC6B" w14:textId="77777777" w:rsidR="00DE2956" w:rsidRPr="007B75DC" w:rsidRDefault="00DE2956" w:rsidP="00DE2956">
      <w:pPr>
        <w:spacing w:after="0" w:line="240" w:lineRule="auto"/>
        <w:rPr>
          <w:rFonts w:ascii="Times New Roman" w:eastAsia="Times New Roman" w:hAnsi="Times New Roman" w:cs="Times New Roman"/>
          <w:b/>
          <w:szCs w:val="24"/>
        </w:rPr>
      </w:pPr>
    </w:p>
    <w:p w14:paraId="6D5B0BAC"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Dozės korekcija, kai yra neutropenija ir trombocitopenija:</w:t>
      </w:r>
      <w:r w:rsidRPr="007B75DC">
        <w:rPr>
          <w:rFonts w:ascii="Times New Roman" w:eastAsia="Times New Roman" w:hAnsi="Times New Roman" w:cs="Times New Roman"/>
          <w:b/>
          <w:szCs w:val="24"/>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1975"/>
        <w:gridCol w:w="4775"/>
      </w:tblGrid>
      <w:tr w:rsidR="00DE2956" w:rsidRPr="007B75DC" w14:paraId="11923ECE" w14:textId="77777777" w:rsidTr="003F4907">
        <w:trPr>
          <w:trHeight w:val="698"/>
        </w:trPr>
        <w:tc>
          <w:tcPr>
            <w:tcW w:w="1275" w:type="pct"/>
            <w:tcBorders>
              <w:top w:val="single" w:sz="4" w:space="0" w:color="auto"/>
              <w:left w:val="single" w:sz="4" w:space="0" w:color="auto"/>
              <w:bottom w:val="single" w:sz="4" w:space="0" w:color="auto"/>
              <w:right w:val="single" w:sz="4" w:space="0" w:color="auto"/>
            </w:tcBorders>
            <w:hideMark/>
          </w:tcPr>
          <w:p w14:paraId="58DBA76A" w14:textId="77777777"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HES/LEL </w:t>
            </w:r>
          </w:p>
          <w:p w14:paraId="7DB276EE" w14:textId="77777777" w:rsidR="00DE2956" w:rsidRPr="007B75DC" w:rsidRDefault="00DE2956" w:rsidP="00DE2956">
            <w:pPr>
              <w:widowControl w:val="0"/>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(pradinė dozė 100 mg)</w:t>
            </w:r>
          </w:p>
        </w:tc>
        <w:tc>
          <w:tcPr>
            <w:tcW w:w="1090" w:type="pct"/>
            <w:tcBorders>
              <w:top w:val="single" w:sz="4" w:space="0" w:color="auto"/>
              <w:left w:val="single" w:sz="4" w:space="0" w:color="auto"/>
              <w:bottom w:val="single" w:sz="4" w:space="0" w:color="auto"/>
              <w:right w:val="single" w:sz="4" w:space="0" w:color="auto"/>
            </w:tcBorders>
            <w:hideMark/>
          </w:tcPr>
          <w:p w14:paraId="4289781B" w14:textId="431F7B64"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ANS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2ED17029" w14:textId="77777777"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ir (arba) </w:t>
            </w:r>
          </w:p>
          <w:p w14:paraId="33C8B242" w14:textId="078CEF8D"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trombocitų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tc>
        <w:tc>
          <w:tcPr>
            <w:tcW w:w="2635" w:type="pct"/>
            <w:tcBorders>
              <w:top w:val="single" w:sz="4" w:space="0" w:color="auto"/>
              <w:left w:val="single" w:sz="4" w:space="0" w:color="auto"/>
              <w:bottom w:val="single" w:sz="4" w:space="0" w:color="auto"/>
              <w:right w:val="single" w:sz="4" w:space="0" w:color="auto"/>
            </w:tcBorders>
            <w:hideMark/>
          </w:tcPr>
          <w:p w14:paraId="356B4DE4" w14:textId="22D79666" w:rsidR="00DE2956" w:rsidRPr="007B75DC" w:rsidRDefault="00DE2956" w:rsidP="00DE2956">
            <w:pPr>
              <w:widowControl w:val="0"/>
              <w:tabs>
                <w:tab w:val="left" w:pos="540"/>
              </w:tabs>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1. Imatinib</w:t>
            </w:r>
            <w:r w:rsidR="00190EE7">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vartojimą nutraukti, kol ANS bus ≥ 1,5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75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7097FB57" w14:textId="77777777" w:rsidR="00DE2956" w:rsidRPr="007B75DC" w:rsidRDefault="00DE2956" w:rsidP="00DE2956">
            <w:pPr>
              <w:widowControl w:val="0"/>
              <w:tabs>
                <w:tab w:val="left" w:pos="540"/>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2.Gydymą </w:t>
            </w:r>
            <w:r w:rsidR="00190EE7">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190EE7">
              <w:rPr>
                <w:rFonts w:ascii="Times New Roman" w:eastAsia="SimSun" w:hAnsi="Times New Roman" w:cs="Times New Roman"/>
                <w:lang w:eastAsia="zh-CN"/>
              </w:rPr>
              <w:t>u</w:t>
            </w:r>
            <w:r w:rsidRPr="007B75DC">
              <w:rPr>
                <w:rFonts w:ascii="Times New Roman" w:eastAsia="SimSun" w:hAnsi="Times New Roman" w:cs="Times New Roman"/>
                <w:lang w:eastAsia="zh-CN"/>
              </w:rPr>
              <w:t xml:space="preserve"> atnaujinti anksčiau vartota doze (t.</w:t>
            </w:r>
            <w:r w:rsidR="00190EE7">
              <w:rPr>
                <w:rFonts w:ascii="Times New Roman" w:eastAsia="SimSun" w:hAnsi="Times New Roman" w:cs="Times New Roman"/>
                <w:lang w:eastAsia="zh-CN"/>
              </w:rPr>
              <w:t xml:space="preserve"> </w:t>
            </w:r>
            <w:r w:rsidRPr="007B75DC">
              <w:rPr>
                <w:rFonts w:ascii="Times New Roman" w:eastAsia="SimSun" w:hAnsi="Times New Roman" w:cs="Times New Roman"/>
                <w:lang w:eastAsia="zh-CN"/>
              </w:rPr>
              <w:t>y. ta, kuri buvo vartota prieš pasireiškiant stipriai nepageidaujamai reakcijai).</w:t>
            </w:r>
          </w:p>
        </w:tc>
      </w:tr>
      <w:tr w:rsidR="00DE2956" w:rsidRPr="007B75DC" w14:paraId="1A9E7ABB" w14:textId="77777777" w:rsidTr="003F4907">
        <w:trPr>
          <w:trHeight w:val="698"/>
        </w:trPr>
        <w:tc>
          <w:tcPr>
            <w:tcW w:w="1275" w:type="pct"/>
            <w:tcBorders>
              <w:top w:val="single" w:sz="4" w:space="0" w:color="auto"/>
              <w:left w:val="single" w:sz="4" w:space="0" w:color="auto"/>
              <w:bottom w:val="single" w:sz="4" w:space="0" w:color="auto"/>
              <w:right w:val="single" w:sz="4" w:space="0" w:color="auto"/>
            </w:tcBorders>
            <w:hideMark/>
          </w:tcPr>
          <w:p w14:paraId="3280249A" w14:textId="77777777" w:rsidR="00DE2956" w:rsidRPr="007B75DC" w:rsidRDefault="003F4907" w:rsidP="00B93EC2">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Lėtinė LML, </w:t>
            </w:r>
            <w:r w:rsidR="00DE2956" w:rsidRPr="007B75DC">
              <w:rPr>
                <w:rFonts w:ascii="Times New Roman" w:eastAsia="SimSun" w:hAnsi="Times New Roman" w:cs="Times New Roman"/>
                <w:lang w:eastAsia="zh-CN"/>
              </w:rPr>
              <w:t xml:space="preserve">MDS/ MPL </w:t>
            </w:r>
            <w:r w:rsidR="009E177C" w:rsidRPr="0010448E">
              <w:rPr>
                <w:rFonts w:ascii="Times New Roman" w:eastAsia="SimSun" w:hAnsi="Times New Roman" w:cs="Times New Roman"/>
                <w:lang w:eastAsia="zh-CN"/>
              </w:rPr>
              <w:t>ir VTSN fazė</w:t>
            </w:r>
            <w:r w:rsidR="00DE2956" w:rsidRPr="007B75DC">
              <w:rPr>
                <w:rFonts w:ascii="Times New Roman" w:eastAsia="SimSun" w:hAnsi="Times New Roman" w:cs="Times New Roman"/>
                <w:lang w:eastAsia="zh-CN"/>
              </w:rPr>
              <w:t xml:space="preserve"> (pradinė dozė 400 mg) HES/LEL (400 mg dozė)</w:t>
            </w:r>
          </w:p>
        </w:tc>
        <w:tc>
          <w:tcPr>
            <w:tcW w:w="1090" w:type="pct"/>
            <w:tcBorders>
              <w:top w:val="single" w:sz="4" w:space="0" w:color="auto"/>
              <w:left w:val="single" w:sz="4" w:space="0" w:color="auto"/>
              <w:bottom w:val="single" w:sz="4" w:space="0" w:color="auto"/>
              <w:right w:val="single" w:sz="4" w:space="0" w:color="auto"/>
            </w:tcBorders>
            <w:hideMark/>
          </w:tcPr>
          <w:p w14:paraId="7908F186" w14:textId="0AD90587"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ANS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672689C1" w14:textId="77777777"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ir (ar) </w:t>
            </w:r>
          </w:p>
          <w:p w14:paraId="4C7F967E" w14:textId="468EBB8D" w:rsidR="00DE2956" w:rsidRPr="007B75DC" w:rsidRDefault="00DE2956" w:rsidP="00DE2956">
            <w:pPr>
              <w:widowControl w:val="0"/>
              <w:tabs>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trombocitų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tc>
        <w:tc>
          <w:tcPr>
            <w:tcW w:w="2635" w:type="pct"/>
            <w:tcBorders>
              <w:top w:val="single" w:sz="4" w:space="0" w:color="auto"/>
              <w:left w:val="single" w:sz="4" w:space="0" w:color="auto"/>
              <w:bottom w:val="single" w:sz="4" w:space="0" w:color="auto"/>
              <w:right w:val="single" w:sz="4" w:space="0" w:color="auto"/>
            </w:tcBorders>
            <w:hideMark/>
          </w:tcPr>
          <w:p w14:paraId="55BD3065" w14:textId="17B426FB" w:rsidR="00DE2956" w:rsidRPr="007B75DC" w:rsidRDefault="00DE2956" w:rsidP="00DE2956">
            <w:pPr>
              <w:widowControl w:val="0"/>
              <w:tabs>
                <w:tab w:val="left" w:pos="540"/>
              </w:tabs>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1. Imatinib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vartojimą nutraukti, kol ANS bus ≥ 1,5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75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55F67D9D" w14:textId="77777777" w:rsidR="00DE2956" w:rsidRPr="007B75DC" w:rsidRDefault="00DE2956" w:rsidP="00DE2956">
            <w:pPr>
              <w:widowControl w:val="0"/>
              <w:tabs>
                <w:tab w:val="left" w:pos="540"/>
              </w:tabs>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2. Gydymą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u</w:t>
            </w:r>
            <w:r w:rsidRPr="007B75DC">
              <w:rPr>
                <w:rFonts w:ascii="Times New Roman" w:eastAsia="SimSun" w:hAnsi="Times New Roman" w:cs="Times New Roman"/>
                <w:lang w:eastAsia="zh-CN"/>
              </w:rPr>
              <w:t xml:space="preserve"> atnaujinti anksčiau vartota doze (t.</w:t>
            </w:r>
            <w:r w:rsidR="00B93EC2">
              <w:rPr>
                <w:rFonts w:ascii="Times New Roman" w:eastAsia="SimSun" w:hAnsi="Times New Roman" w:cs="Times New Roman"/>
                <w:lang w:eastAsia="zh-CN"/>
              </w:rPr>
              <w:t xml:space="preserve"> </w:t>
            </w:r>
            <w:r w:rsidRPr="007B75DC">
              <w:rPr>
                <w:rFonts w:ascii="Times New Roman" w:eastAsia="SimSun" w:hAnsi="Times New Roman" w:cs="Times New Roman"/>
                <w:lang w:eastAsia="zh-CN"/>
              </w:rPr>
              <w:t xml:space="preserve">y. ta, kuri buvo vartota prieš pasireiškiant stipriai nepageidaujamai reakcijai). </w:t>
            </w:r>
          </w:p>
          <w:p w14:paraId="6C3DD197" w14:textId="44D39DF0" w:rsidR="00DE2956" w:rsidRPr="007B75DC" w:rsidRDefault="00DE2956" w:rsidP="00DE2956">
            <w:pPr>
              <w:widowControl w:val="0"/>
              <w:tabs>
                <w:tab w:val="left" w:pos="540"/>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3. Kartotinai sumažėjus ANS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kartoti nuo 1-ojo punkto ir gydymą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u</w:t>
            </w:r>
            <w:r w:rsidRPr="007B75DC">
              <w:rPr>
                <w:rFonts w:ascii="Times New Roman" w:eastAsia="SimSun" w:hAnsi="Times New Roman" w:cs="Times New Roman"/>
                <w:lang w:eastAsia="zh-CN"/>
              </w:rPr>
              <w:t xml:space="preserve"> atnaujinti sumažinta 300 mg doze.</w:t>
            </w:r>
          </w:p>
        </w:tc>
      </w:tr>
      <w:tr w:rsidR="00DE2956" w:rsidRPr="007B75DC" w14:paraId="0C06B00D" w14:textId="77777777" w:rsidTr="003F4907">
        <w:trPr>
          <w:trHeight w:val="698"/>
        </w:trPr>
        <w:tc>
          <w:tcPr>
            <w:tcW w:w="1275" w:type="pct"/>
            <w:tcBorders>
              <w:top w:val="single" w:sz="4" w:space="0" w:color="auto"/>
              <w:left w:val="single" w:sz="4" w:space="0" w:color="auto"/>
              <w:bottom w:val="single" w:sz="4" w:space="0" w:color="auto"/>
              <w:right w:val="single" w:sz="4" w:space="0" w:color="auto"/>
            </w:tcBorders>
            <w:hideMark/>
          </w:tcPr>
          <w:p w14:paraId="4CD70890" w14:textId="77777777" w:rsidR="00DE2956" w:rsidRPr="007B75DC" w:rsidRDefault="00DE2956" w:rsidP="00DE2956">
            <w:pPr>
              <w:widowControl w:val="0"/>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Vaikų lėtinė LML fazė</w:t>
            </w:r>
          </w:p>
          <w:p w14:paraId="707051BA" w14:textId="77777777"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t>(340 mg/m</w:t>
            </w:r>
            <w:r w:rsidRPr="007B75DC">
              <w:rPr>
                <w:rFonts w:ascii="Times New Roman" w:eastAsia="SimSun" w:hAnsi="Times New Roman" w:cs="Times New Roman"/>
                <w:vertAlign w:val="superscript"/>
                <w:lang w:eastAsia="zh-CN"/>
              </w:rPr>
              <w:t>2</w:t>
            </w:r>
            <w:r w:rsidRPr="007B75DC">
              <w:rPr>
                <w:rFonts w:ascii="Times New Roman" w:eastAsia="SimSun" w:hAnsi="Times New Roman" w:cs="Times New Roman"/>
                <w:lang w:eastAsia="zh-CN"/>
              </w:rPr>
              <w:t xml:space="preserve"> dozė)</w:t>
            </w:r>
          </w:p>
        </w:tc>
        <w:tc>
          <w:tcPr>
            <w:tcW w:w="1090" w:type="pct"/>
            <w:tcBorders>
              <w:top w:val="single" w:sz="4" w:space="0" w:color="auto"/>
              <w:left w:val="single" w:sz="4" w:space="0" w:color="auto"/>
              <w:bottom w:val="single" w:sz="4" w:space="0" w:color="auto"/>
              <w:right w:val="single" w:sz="4" w:space="0" w:color="auto"/>
            </w:tcBorders>
            <w:hideMark/>
          </w:tcPr>
          <w:p w14:paraId="1FFC4F79" w14:textId="251276DE" w:rsidR="00DE2956" w:rsidRPr="007B75DC" w:rsidRDefault="00DE2956" w:rsidP="00DE2956">
            <w:pPr>
              <w:widowControl w:val="0"/>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ANS &lt; 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p w14:paraId="2D819506" w14:textId="77777777" w:rsidR="00DE2956" w:rsidRPr="007B75DC" w:rsidRDefault="00DE2956" w:rsidP="00DE2956">
            <w:pPr>
              <w:widowControl w:val="0"/>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ir (ar)</w:t>
            </w:r>
          </w:p>
          <w:p w14:paraId="5F3EC645" w14:textId="198F5D7B"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t>trombocitų &lt; 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tc>
        <w:tc>
          <w:tcPr>
            <w:tcW w:w="2635" w:type="pct"/>
            <w:tcBorders>
              <w:top w:val="single" w:sz="4" w:space="0" w:color="auto"/>
              <w:left w:val="single" w:sz="4" w:space="0" w:color="auto"/>
              <w:bottom w:val="single" w:sz="4" w:space="0" w:color="auto"/>
              <w:right w:val="single" w:sz="4" w:space="0" w:color="auto"/>
            </w:tcBorders>
            <w:hideMark/>
          </w:tcPr>
          <w:p w14:paraId="06491CA9" w14:textId="2336BB34" w:rsidR="00DE2956" w:rsidRPr="007B75DC" w:rsidRDefault="00DE2956" w:rsidP="00DE2956">
            <w:pPr>
              <w:widowControl w:val="0"/>
              <w:tabs>
                <w:tab w:val="left" w:pos="540"/>
              </w:tabs>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1. Imatinib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vartojimą nutraukti, kol ANS bus ≥ 1,5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75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p w14:paraId="3DDD3FD5" w14:textId="77777777" w:rsidR="00DE2956" w:rsidRPr="007B75DC" w:rsidRDefault="00DE2956" w:rsidP="00DE2956">
            <w:pPr>
              <w:widowControl w:val="0"/>
              <w:tabs>
                <w:tab w:val="left" w:pos="540"/>
              </w:tabs>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2. Gydymą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u</w:t>
            </w:r>
            <w:r w:rsidRPr="007B75DC">
              <w:rPr>
                <w:rFonts w:ascii="Times New Roman" w:eastAsia="SimSun" w:hAnsi="Times New Roman" w:cs="Times New Roman"/>
                <w:lang w:eastAsia="zh-CN"/>
              </w:rPr>
              <w:t xml:space="preserve"> atnaujinti anksčiau vartota doze (t.</w:t>
            </w:r>
            <w:r w:rsidR="00B93EC2">
              <w:rPr>
                <w:rFonts w:ascii="Times New Roman" w:eastAsia="SimSun" w:hAnsi="Times New Roman" w:cs="Times New Roman"/>
                <w:lang w:eastAsia="zh-CN"/>
              </w:rPr>
              <w:t xml:space="preserve"> </w:t>
            </w:r>
            <w:r w:rsidRPr="007B75DC">
              <w:rPr>
                <w:rFonts w:ascii="Times New Roman" w:eastAsia="SimSun" w:hAnsi="Times New Roman" w:cs="Times New Roman"/>
                <w:lang w:eastAsia="zh-CN"/>
              </w:rPr>
              <w:t>y. ta, kuri buvo vartota prieš pasireiškiant stipriai nepageidaujamai reakcijai).</w:t>
            </w:r>
          </w:p>
          <w:p w14:paraId="6BE6B04F" w14:textId="28F1AEE6" w:rsidR="00DE2956" w:rsidRPr="007B75DC" w:rsidRDefault="00DE2956" w:rsidP="00DE2956">
            <w:pPr>
              <w:widowControl w:val="0"/>
              <w:tabs>
                <w:tab w:val="left" w:pos="500"/>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3. Kartotinai sumažėjus ANS &lt; 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&lt; 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kartoti nuo 1-ojo punkto ir gydymą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u</w:t>
            </w:r>
            <w:r w:rsidRPr="007B75DC">
              <w:rPr>
                <w:rFonts w:ascii="Times New Roman" w:eastAsia="SimSun" w:hAnsi="Times New Roman" w:cs="Times New Roman"/>
                <w:lang w:eastAsia="zh-CN"/>
              </w:rPr>
              <w:t xml:space="preserve"> atnaujinti sumažinta 260 mg/m</w:t>
            </w:r>
            <w:r w:rsidRPr="007B75DC">
              <w:rPr>
                <w:rFonts w:ascii="Times New Roman" w:eastAsia="SimSun" w:hAnsi="Times New Roman" w:cs="Times New Roman"/>
                <w:vertAlign w:val="superscript"/>
                <w:lang w:eastAsia="zh-CN"/>
              </w:rPr>
              <w:t xml:space="preserve">2 </w:t>
            </w:r>
            <w:r w:rsidRPr="007B75DC">
              <w:rPr>
                <w:rFonts w:ascii="Times New Roman" w:eastAsia="SimSun" w:hAnsi="Times New Roman" w:cs="Times New Roman"/>
                <w:lang w:eastAsia="zh-CN"/>
              </w:rPr>
              <w:t>doze.</w:t>
            </w:r>
          </w:p>
        </w:tc>
      </w:tr>
      <w:tr w:rsidR="00DE2956" w:rsidRPr="007B75DC" w14:paraId="29B84A86" w14:textId="77777777" w:rsidTr="003F4907">
        <w:trPr>
          <w:trHeight w:val="1433"/>
        </w:trPr>
        <w:tc>
          <w:tcPr>
            <w:tcW w:w="1275" w:type="pct"/>
            <w:tcBorders>
              <w:top w:val="single" w:sz="4" w:space="0" w:color="auto"/>
              <w:left w:val="single" w:sz="4" w:space="0" w:color="auto"/>
              <w:bottom w:val="single" w:sz="4" w:space="0" w:color="auto"/>
              <w:right w:val="single" w:sz="4" w:space="0" w:color="auto"/>
            </w:tcBorders>
            <w:hideMark/>
          </w:tcPr>
          <w:p w14:paraId="779CA52E" w14:textId="77777777" w:rsidR="00DE2956" w:rsidRPr="007B75DC" w:rsidRDefault="003F4907" w:rsidP="00B93EC2">
            <w:pPr>
              <w:tabs>
                <w:tab w:val="left" w:pos="567"/>
              </w:tabs>
              <w:snapToGrid w:val="0"/>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lastRenderedPageBreak/>
              <w:t>LML akceleracijos fazė</w:t>
            </w:r>
            <w:r w:rsidR="00DE2956" w:rsidRPr="007B75DC">
              <w:rPr>
                <w:rFonts w:ascii="Times New Roman" w:eastAsia="SimSun" w:hAnsi="Times New Roman" w:cs="Times New Roman"/>
                <w:lang w:eastAsia="zh-CN"/>
              </w:rPr>
              <w:t xml:space="preserve"> ir blastinė krizė ir Ph+ ŪLL (pradinė dozė 600 mg) </w:t>
            </w:r>
          </w:p>
        </w:tc>
        <w:tc>
          <w:tcPr>
            <w:tcW w:w="1090" w:type="pct"/>
            <w:tcBorders>
              <w:top w:val="single" w:sz="4" w:space="0" w:color="auto"/>
              <w:left w:val="single" w:sz="4" w:space="0" w:color="auto"/>
              <w:bottom w:val="single" w:sz="4" w:space="0" w:color="auto"/>
              <w:right w:val="single" w:sz="4" w:space="0" w:color="auto"/>
            </w:tcBorders>
            <w:hideMark/>
          </w:tcPr>
          <w:p w14:paraId="4F79DA55" w14:textId="64C6B3AA" w:rsidR="00DE2956" w:rsidRPr="007B75DC" w:rsidRDefault="00DE2956" w:rsidP="00DE2956">
            <w:pPr>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vertAlign w:val="superscript"/>
                <w:lang w:eastAsia="zh-CN"/>
              </w:rPr>
              <w:t>a</w:t>
            </w:r>
            <w:r w:rsidRPr="007B75DC">
              <w:rPr>
                <w:rFonts w:ascii="Times New Roman" w:eastAsia="SimSun" w:hAnsi="Times New Roman" w:cs="Times New Roman"/>
                <w:lang w:eastAsia="zh-CN"/>
              </w:rPr>
              <w:t>ANS &lt; 0,5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10B9DC34" w14:textId="77777777" w:rsidR="00DE2956" w:rsidRPr="007B75DC" w:rsidRDefault="00DE2956" w:rsidP="00DE2956">
            <w:pPr>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 xml:space="preserve">ir (ar) </w:t>
            </w:r>
          </w:p>
          <w:p w14:paraId="45416AE4" w14:textId="0C7398BE"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t>trombocitų &lt; 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tc>
        <w:tc>
          <w:tcPr>
            <w:tcW w:w="2635" w:type="pct"/>
            <w:tcBorders>
              <w:top w:val="single" w:sz="4" w:space="0" w:color="auto"/>
              <w:left w:val="single" w:sz="4" w:space="0" w:color="auto"/>
              <w:bottom w:val="single" w:sz="4" w:space="0" w:color="auto"/>
              <w:right w:val="single" w:sz="4" w:space="0" w:color="auto"/>
            </w:tcBorders>
            <w:hideMark/>
          </w:tcPr>
          <w:p w14:paraId="79AE88E9" w14:textId="77777777" w:rsidR="00DE2956" w:rsidRPr="007B75DC" w:rsidRDefault="00DE2956" w:rsidP="00DE2956">
            <w:pPr>
              <w:spacing w:after="0" w:line="240" w:lineRule="auto"/>
              <w:rPr>
                <w:rFonts w:ascii="Times New Roman" w:eastAsia="SimSun" w:hAnsi="Times New Roman" w:cs="Times New Roman"/>
                <w:lang w:eastAsia="en-GB"/>
              </w:rPr>
            </w:pPr>
            <w:r w:rsidRPr="007B75DC">
              <w:rPr>
                <w:rFonts w:ascii="Times New Roman" w:eastAsia="SimSun" w:hAnsi="Times New Roman" w:cs="Times New Roman"/>
                <w:lang w:eastAsia="zh-CN"/>
              </w:rPr>
              <w:t xml:space="preserve">1. Ištirti, ar citopenija nesusijusi su leukemija (kaulų čiulpų aspiratas ar biopsija). </w:t>
            </w:r>
          </w:p>
          <w:p w14:paraId="37C75BEA" w14:textId="77777777" w:rsidR="00DE2956" w:rsidRPr="007B75DC" w:rsidRDefault="00DE2956" w:rsidP="00DE2956">
            <w:pPr>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2. Jei citopenija nesusijusi su leukemija,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dozę sumažinti iki 400 mg. </w:t>
            </w:r>
          </w:p>
          <w:p w14:paraId="761DF0DA" w14:textId="49B76639" w:rsidR="00DE2956" w:rsidRPr="007B75DC" w:rsidRDefault="00DE2956" w:rsidP="00DE2956">
            <w:pPr>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3. Jei citopenija trunka 2</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savaites, dozę dar sumažinti iki 300 mg.</w:t>
            </w:r>
          </w:p>
          <w:p w14:paraId="75ADDB05" w14:textId="14078631" w:rsidR="00DE2956" w:rsidRPr="007B75DC" w:rsidRDefault="00DE2956" w:rsidP="00DE2956">
            <w:pPr>
              <w:widowControl w:val="0"/>
              <w:tabs>
                <w:tab w:val="left" w:pos="540"/>
                <w:tab w:val="left" w:pos="567"/>
              </w:tabs>
              <w:autoSpaceDE w:val="0"/>
              <w:autoSpaceDN w:val="0"/>
              <w:adjustRightInd w:val="0"/>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4. Jei citopenija trunka 4</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savaites ir yra nesusijusi su leukemija,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nevartoti tol, kol ANS bus ≥</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 20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paskui gydymą atnaujinti 300 mg doze. </w:t>
            </w:r>
          </w:p>
        </w:tc>
      </w:tr>
      <w:tr w:rsidR="00DE2956" w:rsidRPr="007B75DC" w14:paraId="4C4ECCE2" w14:textId="77777777" w:rsidTr="003F4907">
        <w:trPr>
          <w:trHeight w:val="1433"/>
        </w:trPr>
        <w:tc>
          <w:tcPr>
            <w:tcW w:w="1275" w:type="pct"/>
            <w:tcBorders>
              <w:top w:val="single" w:sz="4" w:space="0" w:color="auto"/>
              <w:left w:val="single" w:sz="4" w:space="0" w:color="auto"/>
              <w:bottom w:val="single" w:sz="4" w:space="0" w:color="auto"/>
              <w:right w:val="single" w:sz="4" w:space="0" w:color="auto"/>
            </w:tcBorders>
            <w:hideMark/>
          </w:tcPr>
          <w:p w14:paraId="1E0FCC53" w14:textId="77777777" w:rsidR="00DE2956" w:rsidRPr="007B75DC" w:rsidRDefault="00DE2956" w:rsidP="00DE2956">
            <w:pPr>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Vaikų LML akceleracijos fazė ir blastinė krizė </w:t>
            </w:r>
          </w:p>
          <w:p w14:paraId="5F1E573B" w14:textId="77777777" w:rsidR="00DE2956" w:rsidRPr="007B75DC" w:rsidRDefault="00DE2956" w:rsidP="00DE2956">
            <w:pPr>
              <w:snapToGrid w:val="0"/>
              <w:spacing w:after="0" w:line="240" w:lineRule="auto"/>
              <w:rPr>
                <w:rFonts w:ascii="Times New Roman" w:eastAsia="SimSun" w:hAnsi="Times New Roman" w:cs="Times New Roman"/>
                <w:lang w:eastAsia="en-GB"/>
              </w:rPr>
            </w:pPr>
            <w:r w:rsidRPr="007B75DC">
              <w:rPr>
                <w:rFonts w:ascii="Times New Roman" w:eastAsia="SimSun" w:hAnsi="Times New Roman" w:cs="Times New Roman"/>
                <w:lang w:eastAsia="zh-CN"/>
              </w:rPr>
              <w:t>(pradinė dozė 340 mg/m</w:t>
            </w:r>
            <w:r w:rsidRPr="007B75DC">
              <w:rPr>
                <w:rFonts w:ascii="Times New Roman" w:eastAsia="SimSun" w:hAnsi="Times New Roman" w:cs="Times New Roman"/>
                <w:vertAlign w:val="superscript"/>
                <w:lang w:eastAsia="zh-CN"/>
              </w:rPr>
              <w:t>2</w:t>
            </w:r>
            <w:r w:rsidRPr="007B75DC">
              <w:rPr>
                <w:rFonts w:ascii="Times New Roman" w:eastAsia="SimSun" w:hAnsi="Times New Roman" w:cs="Times New Roman"/>
                <w:lang w:eastAsia="zh-CN"/>
              </w:rPr>
              <w:t xml:space="preserve">) </w:t>
            </w:r>
          </w:p>
        </w:tc>
        <w:tc>
          <w:tcPr>
            <w:tcW w:w="1090" w:type="pct"/>
            <w:tcBorders>
              <w:top w:val="single" w:sz="4" w:space="0" w:color="auto"/>
              <w:left w:val="single" w:sz="4" w:space="0" w:color="auto"/>
              <w:bottom w:val="single" w:sz="4" w:space="0" w:color="auto"/>
              <w:right w:val="single" w:sz="4" w:space="0" w:color="auto"/>
            </w:tcBorders>
            <w:hideMark/>
          </w:tcPr>
          <w:p w14:paraId="2A054C6D" w14:textId="305FB1CB" w:rsidR="00DE2956" w:rsidRPr="007B75DC" w:rsidRDefault="00DE2956" w:rsidP="00DE2956">
            <w:pPr>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vertAlign w:val="superscript"/>
                <w:lang w:eastAsia="zh-CN"/>
              </w:rPr>
              <w:t>a</w:t>
            </w:r>
            <w:r w:rsidRPr="007B75DC">
              <w:rPr>
                <w:rFonts w:ascii="Times New Roman" w:eastAsia="SimSun" w:hAnsi="Times New Roman" w:cs="Times New Roman"/>
                <w:lang w:eastAsia="zh-CN"/>
              </w:rPr>
              <w:t>ANS &lt; 0,5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p w14:paraId="2851AAD8" w14:textId="77777777" w:rsidR="00DE2956" w:rsidRPr="007B75DC" w:rsidRDefault="00DE2956" w:rsidP="00DE2956">
            <w:pPr>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 xml:space="preserve">ir (ar) </w:t>
            </w:r>
          </w:p>
          <w:p w14:paraId="6013F19D" w14:textId="14392991"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t>trombocitų &lt; 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p>
        </w:tc>
        <w:tc>
          <w:tcPr>
            <w:tcW w:w="2635" w:type="pct"/>
            <w:tcBorders>
              <w:top w:val="single" w:sz="4" w:space="0" w:color="auto"/>
              <w:left w:val="single" w:sz="4" w:space="0" w:color="auto"/>
              <w:bottom w:val="single" w:sz="4" w:space="0" w:color="auto"/>
              <w:right w:val="single" w:sz="4" w:space="0" w:color="auto"/>
            </w:tcBorders>
            <w:hideMark/>
          </w:tcPr>
          <w:p w14:paraId="7829095F" w14:textId="77777777" w:rsidR="00DE2956" w:rsidRPr="007B75DC" w:rsidRDefault="00DE2956" w:rsidP="00DE2956">
            <w:pPr>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t>1. Ištirti, ar citopenija nesusijusi su leukemija (kaulų čiulpų aspiratas ar biopsija).</w:t>
            </w:r>
          </w:p>
          <w:p w14:paraId="59596C95" w14:textId="77777777" w:rsidR="00DE2956" w:rsidRPr="007B75DC" w:rsidRDefault="00DE2956" w:rsidP="00DE2956">
            <w:pPr>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2. Jei citopenija nesusijusi su leukemija,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dozę sumažinti iki 260 mg/m</w:t>
            </w:r>
            <w:r w:rsidRPr="007B75DC">
              <w:rPr>
                <w:rFonts w:ascii="Times New Roman" w:eastAsia="SimSun" w:hAnsi="Times New Roman" w:cs="Times New Roman"/>
                <w:vertAlign w:val="superscript"/>
                <w:lang w:eastAsia="zh-CN"/>
              </w:rPr>
              <w:t>2</w:t>
            </w:r>
            <w:r w:rsidRPr="007B75DC">
              <w:rPr>
                <w:rFonts w:ascii="Times New Roman" w:eastAsia="SimSun" w:hAnsi="Times New Roman" w:cs="Times New Roman"/>
                <w:lang w:eastAsia="zh-CN"/>
              </w:rPr>
              <w:t xml:space="preserve">. </w:t>
            </w:r>
          </w:p>
          <w:p w14:paraId="56A77FB2" w14:textId="6FFC570C" w:rsidR="00DE2956" w:rsidRPr="007B75DC" w:rsidRDefault="00DE2956" w:rsidP="00DE2956">
            <w:pPr>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3. Jei citopenija trunka 2</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savaites, dozę dar sumažinti iki 200 mg/m</w:t>
            </w:r>
            <w:r w:rsidRPr="007B75DC">
              <w:rPr>
                <w:rFonts w:ascii="Times New Roman" w:eastAsia="SimSun" w:hAnsi="Times New Roman" w:cs="Times New Roman"/>
                <w:vertAlign w:val="superscript"/>
                <w:lang w:eastAsia="zh-CN"/>
              </w:rPr>
              <w:t>2</w:t>
            </w:r>
            <w:r w:rsidRPr="007B75DC">
              <w:rPr>
                <w:rFonts w:ascii="Times New Roman" w:eastAsia="SimSun" w:hAnsi="Times New Roman" w:cs="Times New Roman"/>
                <w:lang w:eastAsia="zh-CN"/>
              </w:rPr>
              <w:t xml:space="preserve">. </w:t>
            </w:r>
          </w:p>
          <w:p w14:paraId="72DABB42" w14:textId="3EA44A1E" w:rsidR="00DE2956" w:rsidRPr="007B75DC" w:rsidRDefault="00DE2956" w:rsidP="00DE2956">
            <w:pPr>
              <w:tabs>
                <w:tab w:val="left" w:pos="567"/>
              </w:tabs>
              <w:snapToGrid w:val="0"/>
              <w:spacing w:after="0" w:line="240" w:lineRule="auto"/>
              <w:rPr>
                <w:rFonts w:ascii="Times New Roman" w:eastAsia="SimSun" w:hAnsi="Times New Roman" w:cs="Times New Roman"/>
                <w:lang w:eastAsia="en-GB"/>
              </w:rPr>
            </w:pPr>
            <w:r w:rsidRPr="007B75DC">
              <w:rPr>
                <w:rFonts w:ascii="Times New Roman" w:eastAsia="SimSun" w:hAnsi="Times New Roman" w:cs="Times New Roman"/>
                <w:lang w:eastAsia="zh-CN"/>
              </w:rPr>
              <w:t>4. Jei citopenija trunka 4</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savaites ir yra nesusijusi su leukemija,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nevartoti tol, kol bus ANS ≥1 x 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 20 x 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paskui gydymą atnaujinti 200 mg/m</w:t>
            </w:r>
            <w:r w:rsidRPr="007B75DC">
              <w:rPr>
                <w:rFonts w:ascii="Times New Roman" w:eastAsia="SimSun" w:hAnsi="Times New Roman" w:cs="Times New Roman"/>
                <w:vertAlign w:val="superscript"/>
                <w:lang w:eastAsia="zh-CN"/>
              </w:rPr>
              <w:t>2</w:t>
            </w:r>
            <w:r w:rsidRPr="007B75DC">
              <w:rPr>
                <w:rFonts w:ascii="Times New Roman" w:eastAsia="SimSun" w:hAnsi="Times New Roman" w:cs="Times New Roman"/>
                <w:lang w:eastAsia="zh-CN"/>
              </w:rPr>
              <w:t xml:space="preserve"> doze. </w:t>
            </w:r>
          </w:p>
        </w:tc>
      </w:tr>
      <w:tr w:rsidR="00DE2956" w:rsidRPr="007B75DC" w14:paraId="45B96FDF" w14:textId="77777777" w:rsidTr="003F4907">
        <w:trPr>
          <w:trHeight w:val="1433"/>
        </w:trPr>
        <w:tc>
          <w:tcPr>
            <w:tcW w:w="1275" w:type="pct"/>
            <w:tcBorders>
              <w:top w:val="single" w:sz="4" w:space="0" w:color="auto"/>
              <w:left w:val="single" w:sz="4" w:space="0" w:color="auto"/>
              <w:bottom w:val="single" w:sz="4" w:space="0" w:color="auto"/>
              <w:right w:val="single" w:sz="4" w:space="0" w:color="auto"/>
            </w:tcBorders>
            <w:hideMark/>
          </w:tcPr>
          <w:p w14:paraId="0616E853" w14:textId="77777777" w:rsidR="00DE2956" w:rsidRPr="007B75DC" w:rsidRDefault="00DE2956" w:rsidP="00DE2956">
            <w:pPr>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 xml:space="preserve">DFSP </w:t>
            </w:r>
          </w:p>
          <w:p w14:paraId="37DB730C" w14:textId="77777777" w:rsidR="00DE2956" w:rsidRPr="007B75DC" w:rsidRDefault="00DE2956" w:rsidP="00DE2956">
            <w:pPr>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(kai dozė – 800 mg)</w:t>
            </w:r>
          </w:p>
        </w:tc>
        <w:tc>
          <w:tcPr>
            <w:tcW w:w="1090" w:type="pct"/>
            <w:tcBorders>
              <w:top w:val="single" w:sz="4" w:space="0" w:color="auto"/>
              <w:left w:val="single" w:sz="4" w:space="0" w:color="auto"/>
              <w:bottom w:val="single" w:sz="4" w:space="0" w:color="auto"/>
              <w:right w:val="single" w:sz="4" w:space="0" w:color="auto"/>
            </w:tcBorders>
            <w:hideMark/>
          </w:tcPr>
          <w:p w14:paraId="78D9645B" w14:textId="68617581"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ANS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46EBDE76" w14:textId="77777777"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 xml:space="preserve">ir (ar) </w:t>
            </w:r>
          </w:p>
          <w:p w14:paraId="61C221D1" w14:textId="09C7AE7F"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trombocitų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w:t>
            </w:r>
            <w:r w:rsidRPr="007B75DC">
              <w:rPr>
                <w:rFonts w:ascii="Times New Roman" w:eastAsia="SimSun" w:hAnsi="Times New Roman" w:cs="Times New Roman"/>
                <w:vertAlign w:val="superscript"/>
                <w:lang w:eastAsia="zh-CN"/>
              </w:rPr>
              <w:t xml:space="preserve"> </w:t>
            </w:r>
          </w:p>
        </w:tc>
        <w:tc>
          <w:tcPr>
            <w:tcW w:w="2635" w:type="pct"/>
            <w:tcBorders>
              <w:top w:val="single" w:sz="4" w:space="0" w:color="auto"/>
              <w:left w:val="single" w:sz="4" w:space="0" w:color="auto"/>
              <w:bottom w:val="single" w:sz="4" w:space="0" w:color="auto"/>
              <w:right w:val="single" w:sz="4" w:space="0" w:color="auto"/>
            </w:tcBorders>
            <w:hideMark/>
          </w:tcPr>
          <w:p w14:paraId="6F983DAB" w14:textId="0C27FA48" w:rsidR="00DE2956" w:rsidRPr="007B75DC" w:rsidRDefault="00DE2956" w:rsidP="00DE2956">
            <w:pPr>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1. Imatinib</w:t>
            </w:r>
            <w:r w:rsidR="00B93EC2">
              <w:rPr>
                <w:rFonts w:ascii="Times New Roman" w:eastAsia="SimSun" w:hAnsi="Times New Roman" w:cs="Times New Roman"/>
                <w:lang w:eastAsia="zh-CN"/>
              </w:rPr>
              <w:t>o</w:t>
            </w:r>
            <w:r w:rsidRPr="007B75DC">
              <w:rPr>
                <w:rFonts w:ascii="Times New Roman" w:eastAsia="SimSun" w:hAnsi="Times New Roman" w:cs="Times New Roman"/>
                <w:lang w:eastAsia="zh-CN"/>
              </w:rPr>
              <w:t xml:space="preserve"> vartojimą nutraukti, kol ANS bus ≥</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trombocitų ≥</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75</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p>
          <w:p w14:paraId="3E82B4CB" w14:textId="77777777" w:rsidR="00DE2956" w:rsidRPr="007B75DC" w:rsidRDefault="00DE2956" w:rsidP="00DE2956">
            <w:pPr>
              <w:spacing w:after="0" w:line="240" w:lineRule="auto"/>
              <w:jc w:val="both"/>
              <w:rPr>
                <w:rFonts w:ascii="Times New Roman" w:eastAsia="SimSun" w:hAnsi="Times New Roman" w:cs="Times New Roman"/>
                <w:lang w:eastAsia="zh-CN"/>
              </w:rPr>
            </w:pPr>
            <w:r w:rsidRPr="007B75DC">
              <w:rPr>
                <w:rFonts w:ascii="Times New Roman" w:eastAsia="SimSun" w:hAnsi="Times New Roman" w:cs="Times New Roman"/>
                <w:lang w:eastAsia="zh-CN"/>
              </w:rPr>
              <w:t xml:space="preserve">2. Gydymą </w:t>
            </w:r>
            <w:r w:rsidR="00B93EC2">
              <w:rPr>
                <w:rFonts w:ascii="Times New Roman" w:eastAsia="SimSun" w:hAnsi="Times New Roman" w:cs="Times New Roman"/>
                <w:lang w:eastAsia="zh-CN"/>
              </w:rPr>
              <w:t>i</w:t>
            </w:r>
            <w:r w:rsidRPr="007B75DC">
              <w:rPr>
                <w:rFonts w:ascii="Times New Roman" w:eastAsia="SimSun" w:hAnsi="Times New Roman" w:cs="Times New Roman"/>
                <w:lang w:eastAsia="zh-CN"/>
              </w:rPr>
              <w:t>matinib</w:t>
            </w:r>
            <w:r w:rsidR="00B93EC2">
              <w:rPr>
                <w:rFonts w:ascii="Times New Roman" w:eastAsia="SimSun" w:hAnsi="Times New Roman" w:cs="Times New Roman"/>
                <w:lang w:eastAsia="zh-CN"/>
              </w:rPr>
              <w:t>u</w:t>
            </w:r>
            <w:r w:rsidRPr="007B75DC">
              <w:rPr>
                <w:rFonts w:ascii="Times New Roman" w:eastAsia="SimSun" w:hAnsi="Times New Roman" w:cs="Times New Roman"/>
                <w:lang w:eastAsia="zh-CN"/>
              </w:rPr>
              <w:t xml:space="preserve"> atnaujinti 600 mg doze. </w:t>
            </w:r>
          </w:p>
          <w:p w14:paraId="375EAA56" w14:textId="4CA1B712" w:rsidR="00DE2956" w:rsidRPr="007B75DC" w:rsidRDefault="00DE2956" w:rsidP="00DE2956">
            <w:pPr>
              <w:tabs>
                <w:tab w:val="left" w:pos="567"/>
              </w:tabs>
              <w:snapToGri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lang w:eastAsia="zh-CN"/>
              </w:rPr>
              <w:t>3. Kartotinai sumažėjus ANS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ir (ar) trombocitų &lt;</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50</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8A6BFD">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kartoti nuo 1-ojo punkto ir gydymą imatinibu atnaujinti sumažinta 400 mg doze.</w:t>
            </w:r>
          </w:p>
        </w:tc>
      </w:tr>
      <w:tr w:rsidR="00DE2956" w:rsidRPr="007B75DC" w14:paraId="3AE08600" w14:textId="77777777" w:rsidTr="003F4907">
        <w:trPr>
          <w:trHeight w:val="516"/>
        </w:trPr>
        <w:tc>
          <w:tcPr>
            <w:tcW w:w="5000" w:type="pct"/>
            <w:gridSpan w:val="3"/>
            <w:tcBorders>
              <w:top w:val="single" w:sz="4" w:space="0" w:color="auto"/>
              <w:left w:val="single" w:sz="4" w:space="0" w:color="auto"/>
              <w:bottom w:val="single" w:sz="4" w:space="0" w:color="auto"/>
              <w:right w:val="single" w:sz="4" w:space="0" w:color="auto"/>
            </w:tcBorders>
            <w:hideMark/>
          </w:tcPr>
          <w:p w14:paraId="7605948D" w14:textId="77777777" w:rsidR="00DE2956" w:rsidRPr="007B75DC" w:rsidRDefault="00DE2956" w:rsidP="00DE2956">
            <w:pPr>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lang w:eastAsia="zh-CN"/>
              </w:rPr>
              <w:t xml:space="preserve">ANS = absoliutus neutrofilų skaičius </w:t>
            </w:r>
          </w:p>
          <w:p w14:paraId="4F20DD8F" w14:textId="77777777" w:rsidR="00DE2956" w:rsidRPr="007B75DC" w:rsidRDefault="00DE2956" w:rsidP="00DE2956">
            <w:pPr>
              <w:tabs>
                <w:tab w:val="left" w:pos="567"/>
              </w:tabs>
              <w:snapToGrid w:val="0"/>
              <w:spacing w:after="0" w:line="240" w:lineRule="auto"/>
              <w:jc w:val="both"/>
              <w:rPr>
                <w:rFonts w:ascii="Times New Roman" w:eastAsia="SimSun" w:hAnsi="Times New Roman" w:cs="Times New Roman"/>
                <w:lang w:eastAsia="en-GB"/>
              </w:rPr>
            </w:pPr>
            <w:r w:rsidRPr="007B75DC">
              <w:rPr>
                <w:rFonts w:ascii="Times New Roman" w:eastAsia="SimSun" w:hAnsi="Times New Roman" w:cs="Times New Roman"/>
                <w:vertAlign w:val="superscript"/>
                <w:lang w:eastAsia="zh-CN"/>
              </w:rPr>
              <w:t>a</w:t>
            </w:r>
            <w:r w:rsidRPr="007B75DC">
              <w:rPr>
                <w:rFonts w:ascii="Times New Roman" w:eastAsia="SimSun" w:hAnsi="Times New Roman" w:cs="Times New Roman"/>
                <w:lang w:eastAsia="zh-CN"/>
              </w:rPr>
              <w:t xml:space="preserve"> atsiranda mažiausiai po 1 gydymo mėnesio </w:t>
            </w:r>
          </w:p>
        </w:tc>
      </w:tr>
    </w:tbl>
    <w:p w14:paraId="528179AD" w14:textId="77777777" w:rsidR="00DE2956" w:rsidRPr="007B75DC" w:rsidRDefault="00DE2956" w:rsidP="00DE2956">
      <w:pPr>
        <w:spacing w:after="0" w:line="240" w:lineRule="auto"/>
        <w:rPr>
          <w:rFonts w:ascii="Times New Roman" w:eastAsia="Times New Roman" w:hAnsi="Times New Roman" w:cs="Times New Roman"/>
          <w:szCs w:val="24"/>
        </w:rPr>
      </w:pPr>
    </w:p>
    <w:p w14:paraId="4C25CD38"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Ypatingos populiacijos</w:t>
      </w:r>
    </w:p>
    <w:p w14:paraId="613EC258" w14:textId="77777777" w:rsidR="00B93EC2" w:rsidRDefault="00B93EC2" w:rsidP="00DE2956">
      <w:pPr>
        <w:spacing w:after="0" w:line="240" w:lineRule="auto"/>
        <w:rPr>
          <w:rFonts w:ascii="Times New Roman" w:eastAsia="Times New Roman" w:hAnsi="Times New Roman" w:cs="Times New Roman"/>
          <w:i/>
          <w:szCs w:val="24"/>
        </w:rPr>
      </w:pPr>
    </w:p>
    <w:p w14:paraId="3FB2A47A" w14:textId="77777777" w:rsidR="00F0338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Vaikų populiacija</w:t>
      </w:r>
    </w:p>
    <w:p w14:paraId="435CB57C" w14:textId="249EE1C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Vartojimo vaikams, jaunesniems kaip 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ir sergantiems LML bei jaunesniems kaip 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ir sergantiems Ph+ ŪLL, patirties nėra (žr. 5.1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 Vartojimo patirtis vaikams, sergantiems MDS/MPL, DFSP</w:t>
      </w:r>
      <w:r w:rsidR="009E177C">
        <w:rPr>
          <w:rFonts w:ascii="Times New Roman" w:eastAsia="Times New Roman" w:hAnsi="Times New Roman" w:cs="Times New Roman"/>
          <w:szCs w:val="24"/>
        </w:rPr>
        <w:t>, VTSN</w:t>
      </w:r>
      <w:r w:rsidRPr="007B75DC">
        <w:rPr>
          <w:rFonts w:ascii="Times New Roman" w:eastAsia="Times New Roman" w:hAnsi="Times New Roman" w:cs="Times New Roman"/>
          <w:szCs w:val="24"/>
        </w:rPr>
        <w:t xml:space="preserve"> ir HES/LEL, labai ribota.</w:t>
      </w:r>
    </w:p>
    <w:p w14:paraId="56AB35BB" w14:textId="77777777" w:rsidR="00DE2956" w:rsidRPr="007B75DC" w:rsidRDefault="00DE2956" w:rsidP="00DE2956">
      <w:pPr>
        <w:spacing w:after="0" w:line="240" w:lineRule="auto"/>
        <w:rPr>
          <w:rFonts w:ascii="Times New Roman" w:eastAsia="Times New Roman" w:hAnsi="Times New Roman" w:cs="Times New Roman"/>
          <w:szCs w:val="24"/>
        </w:rPr>
      </w:pPr>
    </w:p>
    <w:p w14:paraId="01391F0E" w14:textId="3DE44D4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Klinikinių tyrimų metu imatinibo saugumas ir veiksmingumas jaunesniems kaip 18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vaikams, sergantiems MDS/MPL, DFSP</w:t>
      </w:r>
      <w:r w:rsidR="009E177C">
        <w:rPr>
          <w:rFonts w:ascii="Times New Roman" w:eastAsia="Times New Roman" w:hAnsi="Times New Roman" w:cs="Times New Roman"/>
          <w:szCs w:val="24"/>
        </w:rPr>
        <w:t>, VTSN</w:t>
      </w:r>
      <w:r w:rsidRPr="007B75DC">
        <w:rPr>
          <w:rFonts w:ascii="Times New Roman" w:eastAsia="Times New Roman" w:hAnsi="Times New Roman" w:cs="Times New Roman"/>
          <w:szCs w:val="24"/>
        </w:rPr>
        <w:t xml:space="preserve"> ir HES/LEL, neištirti. Turimi literatūros duomenys pateikiami 5.1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skyriuje, tačiau dozavimo rekomendacijų pateikti negalima.</w:t>
      </w:r>
    </w:p>
    <w:p w14:paraId="07690094" w14:textId="77777777" w:rsidR="00DE2956" w:rsidRPr="007B75DC" w:rsidRDefault="00DE2956" w:rsidP="00DE2956">
      <w:pPr>
        <w:spacing w:after="0" w:line="240" w:lineRule="auto"/>
        <w:rPr>
          <w:rFonts w:ascii="Times New Roman" w:eastAsia="Times New Roman" w:hAnsi="Times New Roman" w:cs="Times New Roman"/>
          <w:szCs w:val="24"/>
        </w:rPr>
      </w:pPr>
    </w:p>
    <w:p w14:paraId="6247F2D9" w14:textId="77777777" w:rsidR="00CD03FB"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Pacientams, kurių kepenų funkcija sutrikusi</w:t>
      </w:r>
    </w:p>
    <w:p w14:paraId="7D3C664D" w14:textId="7B907E0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Daugiausia imatinibo metabolizuojama kepenyse. Pacientams, kuriems yra lengvas, vidutinis ar sunkus kepenų funkcijos sutrikimas, skirti mažiausią rekomenduojamą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paros dozę. Dozę galima mažinti, jeigu netoleruojama (žr. 4.4, 4.8 ir 5.2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skyrius).</w:t>
      </w:r>
    </w:p>
    <w:p w14:paraId="112D9D0C" w14:textId="77777777" w:rsidR="00DE2956" w:rsidRPr="007B75DC" w:rsidRDefault="00DE2956" w:rsidP="00DE2956">
      <w:pPr>
        <w:spacing w:after="0" w:line="240" w:lineRule="auto"/>
        <w:rPr>
          <w:rFonts w:ascii="Times New Roman" w:eastAsia="Times New Roman" w:hAnsi="Times New Roman" w:cs="Times New Roman"/>
          <w:szCs w:val="24"/>
        </w:rPr>
      </w:pPr>
    </w:p>
    <w:p w14:paraId="1DEE9F9E" w14:textId="77777777" w:rsidR="00DE2956" w:rsidRPr="00534F79" w:rsidRDefault="00DE2956" w:rsidP="00DE2956">
      <w:pPr>
        <w:spacing w:after="0" w:line="240" w:lineRule="auto"/>
        <w:rPr>
          <w:rFonts w:ascii="Times New Roman" w:eastAsia="Times New Roman" w:hAnsi="Times New Roman" w:cs="Times New Roman"/>
          <w:b/>
          <w:bCs/>
          <w:szCs w:val="24"/>
        </w:rPr>
      </w:pPr>
      <w:r w:rsidRPr="00534F79">
        <w:rPr>
          <w:rFonts w:ascii="Times New Roman" w:eastAsia="Times New Roman" w:hAnsi="Times New Roman" w:cs="Times New Roman"/>
          <w:b/>
          <w:bCs/>
          <w:szCs w:val="24"/>
        </w:rPr>
        <w:t>Kepenų funkcijos sutrikimų klasifikacija:</w:t>
      </w:r>
    </w:p>
    <w:p w14:paraId="666E2419" w14:textId="77777777" w:rsidR="00DE2956" w:rsidRPr="007B75DC" w:rsidRDefault="00DE2956" w:rsidP="00DE2956">
      <w:pPr>
        <w:spacing w:after="0" w:line="240" w:lineRule="auto"/>
        <w:rPr>
          <w:rFonts w:ascii="Times New Roman" w:eastAsia="Times New Roman" w:hAnsi="Times New Roman" w:cs="Times New Roman"/>
          <w:b/>
          <w:szCs w:val="24"/>
        </w:rPr>
      </w:pPr>
    </w:p>
    <w:tbl>
      <w:tblPr>
        <w:tblW w:w="5000" w:type="pct"/>
        <w:tblCellMar>
          <w:left w:w="0" w:type="dxa"/>
          <w:right w:w="0" w:type="dxa"/>
        </w:tblCellMar>
        <w:tblLook w:val="04A0" w:firstRow="1" w:lastRow="0" w:firstColumn="1" w:lastColumn="0" w:noHBand="0" w:noVBand="1"/>
      </w:tblPr>
      <w:tblGrid>
        <w:gridCol w:w="2687"/>
        <w:gridCol w:w="6373"/>
      </w:tblGrid>
      <w:tr w:rsidR="00DE2956" w:rsidRPr="007B75DC" w14:paraId="7DDFDF94" w14:textId="77777777" w:rsidTr="00534F79">
        <w:trPr>
          <w:trHeight w:hRule="exact" w:val="565"/>
        </w:trPr>
        <w:tc>
          <w:tcPr>
            <w:tcW w:w="1483" w:type="pct"/>
            <w:tcBorders>
              <w:top w:val="single" w:sz="4" w:space="0" w:color="000000"/>
              <w:left w:val="single" w:sz="4" w:space="0" w:color="000000"/>
              <w:bottom w:val="single" w:sz="4" w:space="0" w:color="000000"/>
              <w:right w:val="single" w:sz="4" w:space="0" w:color="000000"/>
            </w:tcBorders>
            <w:hideMark/>
          </w:tcPr>
          <w:p w14:paraId="2A6BB9A9" w14:textId="77777777" w:rsidR="00DE2956" w:rsidRPr="00534F79"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b/>
                <w:bCs/>
                <w:lang w:eastAsia="zh-CN"/>
              </w:rPr>
            </w:pPr>
            <w:r w:rsidRPr="00534F79">
              <w:rPr>
                <w:rFonts w:ascii="Times New Roman" w:eastAsia="SimSun" w:hAnsi="Times New Roman" w:cs="Times New Roman"/>
                <w:b/>
                <w:bCs/>
                <w:lang w:eastAsia="zh-CN"/>
              </w:rPr>
              <w:t>Kepenų funkcijos sutrikimas</w:t>
            </w:r>
          </w:p>
        </w:tc>
        <w:tc>
          <w:tcPr>
            <w:tcW w:w="3517" w:type="pct"/>
            <w:tcBorders>
              <w:top w:val="single" w:sz="4" w:space="0" w:color="000000"/>
              <w:left w:val="single" w:sz="4" w:space="0" w:color="000000"/>
              <w:bottom w:val="single" w:sz="4" w:space="0" w:color="000000"/>
              <w:right w:val="single" w:sz="4" w:space="0" w:color="000000"/>
            </w:tcBorders>
            <w:hideMark/>
          </w:tcPr>
          <w:p w14:paraId="01BE556D" w14:textId="77777777" w:rsidR="00DE2956" w:rsidRPr="00534F79" w:rsidRDefault="00DE2956" w:rsidP="00DE2956">
            <w:pPr>
              <w:widowControl w:val="0"/>
              <w:autoSpaceDE w:val="0"/>
              <w:autoSpaceDN w:val="0"/>
              <w:adjustRightInd w:val="0"/>
              <w:spacing w:after="0" w:line="240" w:lineRule="auto"/>
              <w:ind w:left="61" w:right="69"/>
              <w:rPr>
                <w:rFonts w:ascii="Times New Roman" w:eastAsia="SimSun" w:hAnsi="Times New Roman" w:cs="Times New Roman"/>
                <w:b/>
                <w:bCs/>
                <w:lang w:eastAsia="zh-CN"/>
              </w:rPr>
            </w:pPr>
            <w:r w:rsidRPr="00534F79">
              <w:rPr>
                <w:rFonts w:ascii="Times New Roman" w:eastAsia="SimSun" w:hAnsi="Times New Roman" w:cs="Times New Roman"/>
                <w:b/>
                <w:bCs/>
                <w:lang w:eastAsia="zh-CN"/>
              </w:rPr>
              <w:t>Kepenų funkcijos tyrimai</w:t>
            </w:r>
          </w:p>
        </w:tc>
      </w:tr>
      <w:tr w:rsidR="00DE2956" w:rsidRPr="007B75DC" w14:paraId="1BF1ABE0" w14:textId="77777777" w:rsidTr="003F4907">
        <w:trPr>
          <w:trHeight w:hRule="exact" w:val="768"/>
        </w:trPr>
        <w:tc>
          <w:tcPr>
            <w:tcW w:w="1483" w:type="pct"/>
            <w:tcBorders>
              <w:top w:val="single" w:sz="4" w:space="0" w:color="000000"/>
              <w:left w:val="single" w:sz="4" w:space="0" w:color="000000"/>
              <w:bottom w:val="single" w:sz="4" w:space="0" w:color="000000"/>
              <w:right w:val="single" w:sz="4" w:space="0" w:color="000000"/>
            </w:tcBorders>
            <w:hideMark/>
          </w:tcPr>
          <w:p w14:paraId="10913EAF" w14:textId="77777777" w:rsidR="00DE2956" w:rsidRPr="007B75DC"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 xml:space="preserve">Lengvas </w:t>
            </w:r>
          </w:p>
        </w:tc>
        <w:tc>
          <w:tcPr>
            <w:tcW w:w="3517" w:type="pct"/>
            <w:tcBorders>
              <w:top w:val="single" w:sz="4" w:space="0" w:color="000000"/>
              <w:left w:val="single" w:sz="4" w:space="0" w:color="000000"/>
              <w:bottom w:val="single" w:sz="4" w:space="0" w:color="000000"/>
              <w:right w:val="single" w:sz="4" w:space="0" w:color="000000"/>
            </w:tcBorders>
            <w:hideMark/>
          </w:tcPr>
          <w:p w14:paraId="2F1E8B2E" w14:textId="7140CECD" w:rsidR="00DE2956" w:rsidRPr="007B75DC" w:rsidRDefault="00DE2956" w:rsidP="00DE2956">
            <w:pPr>
              <w:widowControl w:val="0"/>
              <w:autoSpaceDE w:val="0"/>
              <w:autoSpaceDN w:val="0"/>
              <w:adjustRightIn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Bendras bilirubinas: = 1,5</w:t>
            </w:r>
            <w:r w:rsidR="00F11306">
              <w:rPr>
                <w:rFonts w:ascii="Times New Roman" w:eastAsia="SimSun" w:hAnsi="Times New Roman" w:cs="Times New Roman"/>
                <w:lang w:eastAsia="zh-CN"/>
              </w:rPr>
              <w:t> </w:t>
            </w:r>
            <w:r w:rsidRPr="007B75DC">
              <w:rPr>
                <w:rFonts w:ascii="Times New Roman" w:eastAsia="SimSun" w:hAnsi="Times New Roman" w:cs="Times New Roman"/>
                <w:lang w:eastAsia="zh-CN"/>
              </w:rPr>
              <w:t>VNR</w:t>
            </w:r>
          </w:p>
          <w:p w14:paraId="41CE21C0" w14:textId="77777777" w:rsidR="00DE2956" w:rsidRPr="007B75DC"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AST: &gt; VNR (gali būti normali ar &lt; VNR, jei bendras bilirubinas &gt; VNR)</w:t>
            </w:r>
          </w:p>
        </w:tc>
      </w:tr>
      <w:tr w:rsidR="00DE2956" w:rsidRPr="007B75DC" w14:paraId="7521863F" w14:textId="77777777" w:rsidTr="003F4907">
        <w:trPr>
          <w:trHeight w:hRule="exact" w:val="516"/>
        </w:trPr>
        <w:tc>
          <w:tcPr>
            <w:tcW w:w="1483" w:type="pct"/>
            <w:tcBorders>
              <w:top w:val="single" w:sz="4" w:space="0" w:color="000000"/>
              <w:left w:val="single" w:sz="4" w:space="0" w:color="000000"/>
              <w:bottom w:val="single" w:sz="4" w:space="0" w:color="000000"/>
              <w:right w:val="single" w:sz="4" w:space="0" w:color="000000"/>
            </w:tcBorders>
            <w:hideMark/>
          </w:tcPr>
          <w:p w14:paraId="215B8426" w14:textId="77777777" w:rsidR="00DE2956" w:rsidRPr="007B75DC"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Vidutinis</w:t>
            </w:r>
          </w:p>
        </w:tc>
        <w:tc>
          <w:tcPr>
            <w:tcW w:w="3517" w:type="pct"/>
            <w:tcBorders>
              <w:top w:val="single" w:sz="4" w:space="0" w:color="000000"/>
              <w:left w:val="single" w:sz="4" w:space="0" w:color="000000"/>
              <w:bottom w:val="single" w:sz="4" w:space="0" w:color="000000"/>
              <w:right w:val="single" w:sz="4" w:space="0" w:color="000000"/>
            </w:tcBorders>
            <w:hideMark/>
          </w:tcPr>
          <w:p w14:paraId="4EE95C21" w14:textId="5E4A8814" w:rsidR="00DE2956" w:rsidRPr="007B75DC" w:rsidRDefault="00DE2956" w:rsidP="00DE2956">
            <w:pPr>
              <w:widowControl w:val="0"/>
              <w:autoSpaceDE w:val="0"/>
              <w:autoSpaceDN w:val="0"/>
              <w:adjustRightIn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Bendras bilirubinas: &gt; 1,5–3,0</w:t>
            </w:r>
            <w:r w:rsidR="00F11306">
              <w:rPr>
                <w:rFonts w:ascii="Times New Roman" w:eastAsia="SimSun" w:hAnsi="Times New Roman" w:cs="Times New Roman"/>
                <w:lang w:eastAsia="zh-CN"/>
              </w:rPr>
              <w:t> </w:t>
            </w:r>
            <w:r w:rsidRPr="007B75DC">
              <w:rPr>
                <w:rFonts w:ascii="Times New Roman" w:eastAsia="SimSun" w:hAnsi="Times New Roman" w:cs="Times New Roman"/>
                <w:lang w:eastAsia="zh-CN"/>
              </w:rPr>
              <w:t>VNR</w:t>
            </w:r>
          </w:p>
          <w:p w14:paraId="69802BE9" w14:textId="77777777" w:rsidR="00DE2956" w:rsidRPr="007B75DC"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AST: bet kokia</w:t>
            </w:r>
          </w:p>
        </w:tc>
      </w:tr>
      <w:tr w:rsidR="00DE2956" w:rsidRPr="007B75DC" w14:paraId="5D309A13" w14:textId="77777777" w:rsidTr="003F4907">
        <w:trPr>
          <w:trHeight w:hRule="exact" w:val="516"/>
        </w:trPr>
        <w:tc>
          <w:tcPr>
            <w:tcW w:w="1483" w:type="pct"/>
            <w:tcBorders>
              <w:top w:val="single" w:sz="4" w:space="0" w:color="000000"/>
              <w:left w:val="single" w:sz="4" w:space="0" w:color="000000"/>
              <w:bottom w:val="single" w:sz="4" w:space="0" w:color="000000"/>
              <w:right w:val="single" w:sz="4" w:space="0" w:color="000000"/>
            </w:tcBorders>
            <w:hideMark/>
          </w:tcPr>
          <w:p w14:paraId="222821B7" w14:textId="77777777" w:rsidR="00DE2956" w:rsidRPr="007B75DC"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lastRenderedPageBreak/>
              <w:t>Sunkus</w:t>
            </w:r>
          </w:p>
        </w:tc>
        <w:tc>
          <w:tcPr>
            <w:tcW w:w="3517" w:type="pct"/>
            <w:tcBorders>
              <w:top w:val="single" w:sz="4" w:space="0" w:color="000000"/>
              <w:left w:val="single" w:sz="4" w:space="0" w:color="000000"/>
              <w:bottom w:val="single" w:sz="4" w:space="0" w:color="000000"/>
              <w:right w:val="single" w:sz="4" w:space="0" w:color="000000"/>
            </w:tcBorders>
            <w:hideMark/>
          </w:tcPr>
          <w:p w14:paraId="78A222A6" w14:textId="6C535FF9" w:rsidR="00DE2956" w:rsidRPr="007B75DC" w:rsidRDefault="00DE2956" w:rsidP="00DE2956">
            <w:pPr>
              <w:widowControl w:val="0"/>
              <w:autoSpaceDE w:val="0"/>
              <w:autoSpaceDN w:val="0"/>
              <w:adjustRightIn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Bendras bilirubinas: &gt; 3–10</w:t>
            </w:r>
            <w:r w:rsidR="00F11306">
              <w:rPr>
                <w:rFonts w:ascii="Times New Roman" w:eastAsia="SimSun" w:hAnsi="Times New Roman" w:cs="Times New Roman"/>
                <w:lang w:eastAsia="zh-CN"/>
              </w:rPr>
              <w:t> </w:t>
            </w:r>
            <w:r w:rsidRPr="007B75DC">
              <w:rPr>
                <w:rFonts w:ascii="Times New Roman" w:eastAsia="SimSun" w:hAnsi="Times New Roman" w:cs="Times New Roman"/>
                <w:lang w:eastAsia="zh-CN"/>
              </w:rPr>
              <w:t>VNR</w:t>
            </w:r>
          </w:p>
          <w:p w14:paraId="7F182AD8" w14:textId="77777777" w:rsidR="00DE2956" w:rsidRPr="007B75DC" w:rsidRDefault="00DE2956" w:rsidP="00DE2956">
            <w:pPr>
              <w:widowControl w:val="0"/>
              <w:autoSpaceDE w:val="0"/>
              <w:autoSpaceDN w:val="0"/>
              <w:adjustRightInd w:val="0"/>
              <w:snapToGrid w:val="0"/>
              <w:spacing w:after="0" w:line="240" w:lineRule="auto"/>
              <w:ind w:left="61" w:right="69"/>
              <w:rPr>
                <w:rFonts w:ascii="Times New Roman" w:eastAsia="SimSun" w:hAnsi="Times New Roman" w:cs="Times New Roman"/>
                <w:lang w:eastAsia="zh-CN"/>
              </w:rPr>
            </w:pPr>
            <w:r w:rsidRPr="007B75DC">
              <w:rPr>
                <w:rFonts w:ascii="Times New Roman" w:eastAsia="SimSun" w:hAnsi="Times New Roman" w:cs="Times New Roman"/>
                <w:lang w:eastAsia="zh-CN"/>
              </w:rPr>
              <w:t>AST: bet kokia</w:t>
            </w:r>
          </w:p>
        </w:tc>
      </w:tr>
    </w:tbl>
    <w:p w14:paraId="2C93C39D"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VNR = viršutinė normos riba institucijoje</w:t>
      </w:r>
    </w:p>
    <w:p w14:paraId="3BC4296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AST = aspartataminotransferazė</w:t>
      </w:r>
    </w:p>
    <w:p w14:paraId="6F759701" w14:textId="77777777" w:rsidR="00DE2956" w:rsidRPr="007B75DC" w:rsidRDefault="00DE2956" w:rsidP="00DE2956">
      <w:pPr>
        <w:spacing w:after="0" w:line="240" w:lineRule="auto"/>
        <w:rPr>
          <w:rFonts w:ascii="Times New Roman" w:eastAsia="Times New Roman" w:hAnsi="Times New Roman" w:cs="Times New Roman"/>
          <w:szCs w:val="24"/>
        </w:rPr>
      </w:pPr>
    </w:p>
    <w:p w14:paraId="0D2EF6DB" w14:textId="77777777" w:rsidR="00CD03FB"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Pacientams, kurių inkstų funkcija sutrikusi</w:t>
      </w:r>
    </w:p>
    <w:p w14:paraId="5DC0DBD7" w14:textId="6DBB052C"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Pacientams, kuriems yra inkstų funkcijos sutrikimas ar atliekamos dializės, iš pradžių turi būti skiriama mažiausia rekomenduojama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paros dozė. Tačiau rekomenduojama imtis atsargumo priemonių. Netoleruojamą dozę galima mažinti</w:t>
      </w:r>
      <w:r w:rsidR="00E42F3E">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Jei dozė yra neveiksminga – didinti (žr. 4.4 ir 5.2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skyrius).</w:t>
      </w:r>
    </w:p>
    <w:p w14:paraId="4ABEAE5B" w14:textId="77777777" w:rsidR="00DE2956" w:rsidRPr="007B75DC" w:rsidRDefault="00DE2956" w:rsidP="00DE2956">
      <w:pPr>
        <w:spacing w:after="0" w:line="240" w:lineRule="auto"/>
        <w:rPr>
          <w:rFonts w:ascii="Times New Roman" w:eastAsia="Times New Roman" w:hAnsi="Times New Roman" w:cs="Times New Roman"/>
          <w:szCs w:val="24"/>
        </w:rPr>
      </w:pPr>
    </w:p>
    <w:p w14:paraId="1033BE71" w14:textId="77777777" w:rsidR="00CD03FB"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Senyviems pacientams</w:t>
      </w:r>
    </w:p>
    <w:p w14:paraId="2C1D9F50" w14:textId="4FC5C2B3"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Senyvų žmonių imatinibo farmakokinetika nebuvo specialiai tirta. Klinikinių tyrimų, kuriuose dalyvavo daugiau kaip 20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65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ir vyresnių pacientų, metu reikšmingų, su amžiumi susijusių farmakokinetikos pokyčių nestebėta. Specifinės dozavimo rekomendacijos senyviems žmonėms yra nebūtinos.</w:t>
      </w:r>
      <w:r w:rsidRPr="007B75DC">
        <w:rPr>
          <w:rFonts w:ascii="Times New Roman" w:eastAsia="Times New Roman" w:hAnsi="Times New Roman" w:cs="Times New Roman"/>
          <w:szCs w:val="24"/>
        </w:rPr>
        <w:cr/>
      </w:r>
    </w:p>
    <w:p w14:paraId="077584A0" w14:textId="77777777" w:rsidR="00DE2956" w:rsidRPr="007B75DC" w:rsidRDefault="00D4702F" w:rsidP="00D470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4.3</w:t>
      </w:r>
      <w:r w:rsidRPr="007B75DC">
        <w:rPr>
          <w:rFonts w:ascii="Times New Roman" w:eastAsia="Times New Roman" w:hAnsi="Times New Roman" w:cs="Times New Roman"/>
          <w:b/>
          <w:szCs w:val="24"/>
        </w:rPr>
        <w:tab/>
      </w:r>
      <w:r w:rsidR="00DE2956" w:rsidRPr="007B75DC">
        <w:rPr>
          <w:rFonts w:ascii="Times New Roman" w:eastAsia="Times New Roman" w:hAnsi="Times New Roman" w:cs="Times New Roman"/>
          <w:b/>
          <w:szCs w:val="24"/>
        </w:rPr>
        <w:t>Kontraindikacijos</w:t>
      </w:r>
    </w:p>
    <w:p w14:paraId="426DA952"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405754D" w14:textId="70CB1C99"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Padidėjęs jautrumas veikliajai arba bet kuriai 6.1</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skyriuje nurodytai pagalbinei medžiagai.</w:t>
      </w:r>
    </w:p>
    <w:p w14:paraId="6071BB86"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633F87F" w14:textId="77777777" w:rsidR="00DE2956" w:rsidRPr="007B75DC" w:rsidRDefault="00DE2956" w:rsidP="00D470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4.4</w:t>
      </w:r>
      <w:r w:rsidRPr="007B75DC">
        <w:rPr>
          <w:rFonts w:ascii="Times New Roman" w:eastAsia="Times New Roman" w:hAnsi="Times New Roman" w:cs="Times New Roman"/>
          <w:b/>
          <w:szCs w:val="24"/>
        </w:rPr>
        <w:tab/>
        <w:t>Specialūs įspėjimai ir atsargumo priemonės</w:t>
      </w:r>
    </w:p>
    <w:p w14:paraId="12D0DA6F" w14:textId="77777777" w:rsidR="00DE2956" w:rsidRPr="007B75DC" w:rsidRDefault="00DE2956" w:rsidP="00DE2956">
      <w:pPr>
        <w:spacing w:after="0" w:line="240" w:lineRule="auto"/>
        <w:rPr>
          <w:rFonts w:ascii="Times New Roman" w:eastAsia="Times New Roman" w:hAnsi="Times New Roman" w:cs="Times New Roman"/>
          <w:b/>
          <w:szCs w:val="24"/>
        </w:rPr>
      </w:pPr>
    </w:p>
    <w:p w14:paraId="715893F0" w14:textId="32FB4C3C"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Kai imatinibo vartojama kartu su kitais vaistiniais preparatais, yra vaist</w:t>
      </w:r>
      <w:r w:rsidR="009E177C">
        <w:rPr>
          <w:rFonts w:ascii="Times New Roman" w:eastAsia="Times New Roman" w:hAnsi="Times New Roman" w:cs="Times New Roman"/>
          <w:szCs w:val="24"/>
        </w:rPr>
        <w:t>inių preparat</w:t>
      </w:r>
      <w:r w:rsidRPr="007B75DC">
        <w:rPr>
          <w:rFonts w:ascii="Times New Roman" w:eastAsia="Times New Roman" w:hAnsi="Times New Roman" w:cs="Times New Roman"/>
          <w:szCs w:val="24"/>
        </w:rPr>
        <w:t>ų sąveikos galimybė. Būtina laikytis atsargumo priemonių, kai imatinibo vartojama kartu su proteazės inhibitoriais, priešgrybeliniais azolo dariniais, tam tikrais makrolidais (žr. 4.5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 CYP3A4 substratais, kurių yra siaura terapinė platuma (pvz., ciklosporinas, pimozidas, takrolimuzas, sirolimuzas, ergotaminas, diergotaminas, fentanilis, alfetanilis, terfenadinas, bortezomibas, docetakselis, chinidinas) ar varfarinu ir kitais kumarino junginiais (žr. 4.5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p>
    <w:p w14:paraId="6E304031" w14:textId="77777777" w:rsidR="00DE2956" w:rsidRPr="007B75DC" w:rsidRDefault="00DE2956" w:rsidP="00DE2956">
      <w:pPr>
        <w:spacing w:after="0" w:line="240" w:lineRule="auto"/>
        <w:rPr>
          <w:rFonts w:ascii="Times New Roman" w:eastAsia="Times New Roman" w:hAnsi="Times New Roman" w:cs="Times New Roman"/>
          <w:szCs w:val="24"/>
        </w:rPr>
      </w:pPr>
    </w:p>
    <w:p w14:paraId="4C1B881E" w14:textId="6DA86206"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Imatinibą vartojant kartu su vaistiniais preparatais, indukuojančiais CYP3A4 (pvz., deksametazonu, fenitoinu, karbamazepinu, rifampicinu, fenobarbitaliu ar </w:t>
      </w:r>
      <w:r w:rsidRPr="007B75DC">
        <w:rPr>
          <w:rFonts w:ascii="Times New Roman" w:eastAsia="Times New Roman" w:hAnsi="Times New Roman" w:cs="Times New Roman"/>
          <w:i/>
          <w:szCs w:val="24"/>
        </w:rPr>
        <w:t>Hypericum perforatum</w:t>
      </w:r>
      <w:r w:rsidRPr="007B75DC">
        <w:rPr>
          <w:rFonts w:ascii="Times New Roman" w:eastAsia="Times New Roman" w:hAnsi="Times New Roman" w:cs="Times New Roman"/>
          <w:szCs w:val="24"/>
        </w:rPr>
        <w:t>, t.</w:t>
      </w:r>
      <w:r w:rsidR="00E42F3E">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y. jonažole), gali reikšmingai sumažėti imatinibo ekspozicija ir padidėti nesėkmingo gydymo tikimybė. Todėl reikia vengti imatinibą vartoti kartu su stipriais CYP3A4 induktoriais (žr. 4.5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p>
    <w:p w14:paraId="5741CB87" w14:textId="77777777" w:rsidR="00DE2956" w:rsidRPr="007B75DC" w:rsidRDefault="00DE2956" w:rsidP="00DE2956">
      <w:pPr>
        <w:spacing w:after="0" w:line="240" w:lineRule="auto"/>
        <w:rPr>
          <w:rFonts w:ascii="Times New Roman" w:eastAsia="Times New Roman" w:hAnsi="Times New Roman" w:cs="Times New Roman"/>
          <w:szCs w:val="24"/>
        </w:rPr>
      </w:pPr>
    </w:p>
    <w:p w14:paraId="1229D1B6"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Hipotiroidizmas</w:t>
      </w:r>
    </w:p>
    <w:p w14:paraId="695EFA86" w14:textId="6FC5844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Pastebėta klinikinių hipotireozės atvejų pacientams, kuriems pašalinta skydliaukė ir kuriems gydymo imatinibu metu buvo taikomas pakeičiamasis gydymas levotiroksinu (žr. 4.5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 Būtina stebėti tokių pacientų skydliaukės veiklą skatinančio hormono (TSH) koncentraciją.</w:t>
      </w:r>
    </w:p>
    <w:p w14:paraId="7BBDC47D" w14:textId="77777777" w:rsidR="00DE2956" w:rsidRPr="007B75DC" w:rsidRDefault="00DE2956" w:rsidP="00DE2956">
      <w:pPr>
        <w:spacing w:after="0" w:line="240" w:lineRule="auto"/>
        <w:rPr>
          <w:rFonts w:ascii="Times New Roman" w:eastAsia="Times New Roman" w:hAnsi="Times New Roman" w:cs="Times New Roman"/>
          <w:szCs w:val="24"/>
        </w:rPr>
      </w:pPr>
    </w:p>
    <w:p w14:paraId="3A27D922"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Toksinis poveikis kepenims</w:t>
      </w:r>
    </w:p>
    <w:p w14:paraId="25C1D295" w14:textId="011D161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Imatinibas daugiausia metabolizuojamas kepenyse ir tik 13</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jo išsiskiria pro inkstus. Pacientams, kuriems yra kepenų funkcijos sutrikimas (lengvas, vidutinis ar sunkus) būtina atidžiai stebėti periferinio kraujo vaizdą ir kepenų fermentų aktyvumą (žr. 4.2, 4.8 ir 5.2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skyrius). Reikia pažymėti, kad pacientams, kuriems diagnozuotas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gali būti metastazių kepenyse, kurios gali sąlygoti kepenų nepakankamumą</w:t>
      </w:r>
      <w:r w:rsidR="00E42F3E">
        <w:rPr>
          <w:rFonts w:ascii="Times New Roman" w:eastAsia="Times New Roman" w:hAnsi="Times New Roman" w:cs="Times New Roman"/>
          <w:szCs w:val="24"/>
        </w:rPr>
        <w:t>.</w:t>
      </w:r>
    </w:p>
    <w:p w14:paraId="17B860D1" w14:textId="77777777" w:rsidR="00DE2956" w:rsidRPr="007B75DC" w:rsidRDefault="00DE2956" w:rsidP="00DE2956">
      <w:pPr>
        <w:spacing w:after="0" w:line="240" w:lineRule="auto"/>
        <w:rPr>
          <w:rFonts w:ascii="Times New Roman" w:eastAsia="Times New Roman" w:hAnsi="Times New Roman" w:cs="Times New Roman"/>
          <w:b/>
          <w:szCs w:val="24"/>
        </w:rPr>
      </w:pPr>
    </w:p>
    <w:p w14:paraId="1766FEBB" w14:textId="53E4E1D2"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skyrius).</w:t>
      </w:r>
    </w:p>
    <w:p w14:paraId="65470660" w14:textId="77777777" w:rsidR="00DE2956" w:rsidRPr="007B75DC" w:rsidRDefault="00DE2956" w:rsidP="00DE2956">
      <w:pPr>
        <w:spacing w:after="0" w:line="240" w:lineRule="auto"/>
        <w:rPr>
          <w:rFonts w:ascii="Times New Roman" w:eastAsia="Times New Roman" w:hAnsi="Times New Roman" w:cs="Times New Roman"/>
          <w:szCs w:val="24"/>
        </w:rPr>
      </w:pPr>
    </w:p>
    <w:p w14:paraId="70CC84C9"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Skysčių susilaikymas</w:t>
      </w:r>
    </w:p>
    <w:p w14:paraId="710F1325" w14:textId="0EB805F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Maždaug 2,5</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imatinibo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w:t>
      </w:r>
      <w:r w:rsidRPr="007B75DC">
        <w:rPr>
          <w:rFonts w:ascii="Times New Roman" w:eastAsia="Times New Roman" w:hAnsi="Times New Roman" w:cs="Times New Roman"/>
          <w:szCs w:val="24"/>
        </w:rPr>
        <w:lastRenderedPageBreak/>
        <w:t>šių reiškinių dažniau buvo senyviems žmonėms ir sergantiems širdies ligomis pacientams. Todėl vaist</w:t>
      </w:r>
      <w:r w:rsidR="009E177C">
        <w:rPr>
          <w:rFonts w:ascii="Times New Roman" w:eastAsia="Times New Roman" w:hAnsi="Times New Roman" w:cs="Times New Roman"/>
          <w:szCs w:val="24"/>
        </w:rPr>
        <w:t>inį preparat</w:t>
      </w:r>
      <w:r w:rsidRPr="007B75DC">
        <w:rPr>
          <w:rFonts w:ascii="Times New Roman" w:eastAsia="Times New Roman" w:hAnsi="Times New Roman" w:cs="Times New Roman"/>
          <w:szCs w:val="24"/>
        </w:rPr>
        <w:t xml:space="preserve">ą </w:t>
      </w:r>
      <w:r w:rsidR="00E42F3E">
        <w:rPr>
          <w:rFonts w:ascii="Times New Roman" w:eastAsia="Times New Roman" w:hAnsi="Times New Roman" w:cs="Times New Roman"/>
          <w:szCs w:val="24"/>
        </w:rPr>
        <w:t xml:space="preserve">reikia </w:t>
      </w:r>
      <w:r w:rsidRPr="007B75DC">
        <w:rPr>
          <w:rFonts w:ascii="Times New Roman" w:eastAsia="Times New Roman" w:hAnsi="Times New Roman" w:cs="Times New Roman"/>
          <w:szCs w:val="24"/>
        </w:rPr>
        <w:t>atsargiai skirti pacientams, kurių sutrikusi širdies funkcija.</w:t>
      </w:r>
    </w:p>
    <w:p w14:paraId="6A5E63A8" w14:textId="77777777" w:rsidR="00DE2956" w:rsidRPr="007B75DC" w:rsidRDefault="00DE2956" w:rsidP="00DE2956">
      <w:pPr>
        <w:spacing w:after="0" w:line="240" w:lineRule="auto"/>
        <w:rPr>
          <w:rFonts w:ascii="Times New Roman" w:eastAsia="Times New Roman" w:hAnsi="Times New Roman" w:cs="Times New Roman"/>
          <w:szCs w:val="24"/>
        </w:rPr>
      </w:pPr>
    </w:p>
    <w:p w14:paraId="42220F8E"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Pacientai, sergantys širdies ligomis</w:t>
      </w:r>
    </w:p>
    <w:p w14:paraId="2FBB872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Pacientai su širdies ligomis, širdies nepakankamumo rizikos faktoriais ar sirgę inkstų nepakankamumu turi būti atidžiai stebimi, o bet kuris pacientas su širdies ar inkstų nepakankamumo požymiais arba simptomais turi būti įvertintas ir gydomas.</w:t>
      </w:r>
    </w:p>
    <w:p w14:paraId="483D2229" w14:textId="77777777" w:rsidR="00DE2956" w:rsidRPr="007B75DC" w:rsidRDefault="00DE2956" w:rsidP="00DE2956">
      <w:pPr>
        <w:spacing w:after="0" w:line="240" w:lineRule="auto"/>
        <w:rPr>
          <w:rFonts w:ascii="Times New Roman" w:eastAsia="Times New Roman" w:hAnsi="Times New Roman" w:cs="Times New Roman"/>
          <w:szCs w:val="24"/>
        </w:rPr>
      </w:pPr>
    </w:p>
    <w:p w14:paraId="6C5458CE"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Hipereozinofiliniu sindromu (HES) sergantiems pacientams su slapta HES ląstelių infiltracija miokarde, registruoti pavieniai kardiogeninio šoko ar kairiojo skilvelio disfunkcijos atvejai, siejami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HES/LEL, turi būti atidžiai įvertintas gydymo imatinibu naudos ir rizikos santykis.</w:t>
      </w:r>
    </w:p>
    <w:p w14:paraId="7ADFD5D6" w14:textId="77777777" w:rsidR="00DE2956" w:rsidRPr="007B75DC" w:rsidRDefault="00DE2956" w:rsidP="00DE2956">
      <w:pPr>
        <w:spacing w:after="0" w:line="240" w:lineRule="auto"/>
        <w:rPr>
          <w:rFonts w:ascii="Times New Roman" w:eastAsia="Times New Roman" w:hAnsi="Times New Roman" w:cs="Times New Roman"/>
          <w:szCs w:val="24"/>
        </w:rPr>
      </w:pPr>
    </w:p>
    <w:p w14:paraId="781B6E72" w14:textId="2A4C2056"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Sergant mielodisplazinėmis ar mieloproliferacinėmis ligomis su PDGFR genų pakitimais gali būti padidėjęs eozinofilų kiekis. Prieš skiriant imatinibą pacientams, sergantiems HES ar LEL ir pacientams, sergantiems MDS/MDL, kuriems yra padidėjęs eozinofilų kiekis, reikalinga kardiologo konsultacija, taip pat reikia atlikti echokardiogramą ir nustatyti troponino koncentraciją kraujo serume. Jei bent vieno šių tyrimų rezultatai neatitinka normos, pirmąsias vieną ar dvi gydymo savaites, stebint kardiologui, kartu su imatinibu profilaktiškai galima skirti sisteminio veikimo steroidų (1</w:t>
      </w:r>
      <w:r w:rsidR="008A6BFD">
        <w:rPr>
          <w:rFonts w:ascii="Times New Roman" w:eastAsia="Times New Roman" w:hAnsi="Times New Roman" w:cs="Times New Roman"/>
          <w:szCs w:val="24"/>
        </w:rPr>
        <w:t>–</w:t>
      </w:r>
      <w:r w:rsidRPr="007B75DC">
        <w:rPr>
          <w:rFonts w:ascii="Times New Roman" w:eastAsia="Times New Roman" w:hAnsi="Times New Roman" w:cs="Times New Roman"/>
          <w:szCs w:val="24"/>
        </w:rPr>
        <w:t>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mg/kg dozę).</w:t>
      </w:r>
      <w:r w:rsidRPr="007B75DC">
        <w:rPr>
          <w:rFonts w:ascii="Times New Roman" w:eastAsia="Times New Roman" w:hAnsi="Times New Roman" w:cs="Times New Roman"/>
          <w:szCs w:val="24"/>
        </w:rPr>
        <w:cr/>
      </w:r>
    </w:p>
    <w:p w14:paraId="4F69076B"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Kraujavimas iš virškinimo trakto</w:t>
      </w:r>
    </w:p>
    <w:p w14:paraId="0B4E8564" w14:textId="45815FC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Atlikto klinikinio tyrimo duomenimis, jame dalyvavusiems pacientams, kuriems buvo nerezekuotinas ir (ar) metastazavęs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pasitaikė ir virškinimo trakto bei vidunavikinių kraujavimų (žr.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skyrių). Turimi duomenys neatskleidė predisponuojančių veiksnių (pvz., naviko dydžio, naviko lokalizacijos, krešėjimo sutrikimų), dėl kurių padidėtų pacientų, sergančių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xml:space="preserve">, bet kokio kraujavimo rizika. Padidėjęs kraujagyslinis tinklas bei polinkis į kraujavimą iš dalies yra prigimtiniai ir būdingi klinikinei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xml:space="preserve"> eigai, todėl visiems pacientams būtina taikyti įprastines priemones ir procedūras kraujavimui stebėti ir gydyti.</w:t>
      </w:r>
    </w:p>
    <w:p w14:paraId="5E6007EC" w14:textId="77777777" w:rsidR="00DE2956" w:rsidRPr="007B75DC" w:rsidRDefault="00DE2956" w:rsidP="00DE2956">
      <w:pPr>
        <w:spacing w:after="0" w:line="240" w:lineRule="auto"/>
        <w:rPr>
          <w:rFonts w:ascii="Times New Roman" w:eastAsia="Times New Roman" w:hAnsi="Times New Roman" w:cs="Times New Roman"/>
          <w:szCs w:val="24"/>
        </w:rPr>
      </w:pPr>
    </w:p>
    <w:p w14:paraId="251CC439" w14:textId="0F443BA6"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Be to, vaistiniam preparatui patekus į rinką, buvo gauta pranešimų apie prievarčio kraujagyslių išsiplėtimą (angl. </w:t>
      </w:r>
      <w:r w:rsidRPr="007B75DC">
        <w:rPr>
          <w:rFonts w:ascii="Times New Roman" w:eastAsia="Times New Roman" w:hAnsi="Times New Roman" w:cs="Times New Roman"/>
          <w:i/>
          <w:szCs w:val="24"/>
        </w:rPr>
        <w:t>gastric antral vascular ectasia</w:t>
      </w:r>
      <w:r w:rsidRPr="007B75DC">
        <w:rPr>
          <w:rFonts w:ascii="Times New Roman" w:eastAsia="Times New Roman" w:hAnsi="Times New Roman" w:cs="Times New Roman"/>
          <w:szCs w:val="24"/>
        </w:rPr>
        <w:t xml:space="preserve"> [GAVE])</w:t>
      </w:r>
      <w:r w:rsidR="007161DE">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retą kraujavimo iš virškinimo </w:t>
      </w:r>
      <w:r w:rsidR="007161DE">
        <w:rPr>
          <w:rFonts w:ascii="Times New Roman" w:eastAsia="Times New Roman" w:hAnsi="Times New Roman" w:cs="Times New Roman"/>
          <w:szCs w:val="24"/>
        </w:rPr>
        <w:t xml:space="preserve">trakto </w:t>
      </w:r>
      <w:r w:rsidRPr="007B75DC">
        <w:rPr>
          <w:rFonts w:ascii="Times New Roman" w:eastAsia="Times New Roman" w:hAnsi="Times New Roman" w:cs="Times New Roman"/>
          <w:szCs w:val="24"/>
        </w:rPr>
        <w:t>priežastį pacientams, sergantiems LML, ŪLL ir kitomis ligomis (žr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 Jei reikia, turi būti apsvarstytas gydymo imatinibu nutraukimas.</w:t>
      </w:r>
    </w:p>
    <w:p w14:paraId="5BA0903A" w14:textId="77777777" w:rsidR="00DE2956" w:rsidRPr="007B75DC" w:rsidRDefault="00DE2956" w:rsidP="00DE2956">
      <w:pPr>
        <w:spacing w:after="0" w:line="240" w:lineRule="auto"/>
        <w:rPr>
          <w:rFonts w:ascii="Times New Roman" w:eastAsia="Times New Roman" w:hAnsi="Times New Roman" w:cs="Times New Roman"/>
          <w:szCs w:val="24"/>
        </w:rPr>
      </w:pPr>
    </w:p>
    <w:p w14:paraId="39C9F2E3"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Auglio irimo sindromas</w:t>
      </w:r>
    </w:p>
    <w:p w14:paraId="1377C4EF" w14:textId="47B1076D"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Dėl galimų auglio irimo sindromo (AIS) atvejų, pradedant vartoti imatinibą pirmiausia rekomenduojamas kliniškai reikšmingos dehidracijos lygio atstatymas ir didelio šlapimo rūgšties kiekio gydymas (žr.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p>
    <w:p w14:paraId="74CACFD3" w14:textId="77777777" w:rsidR="00DE2956" w:rsidRPr="007B75DC" w:rsidRDefault="00DE2956" w:rsidP="00DE2956">
      <w:pPr>
        <w:spacing w:after="0" w:line="240" w:lineRule="auto"/>
        <w:rPr>
          <w:rFonts w:ascii="Times New Roman" w:eastAsia="Times New Roman" w:hAnsi="Times New Roman" w:cs="Times New Roman"/>
          <w:b/>
          <w:szCs w:val="24"/>
        </w:rPr>
      </w:pPr>
    </w:p>
    <w:p w14:paraId="2393CB0A"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Hepatito B reaktyvacija</w:t>
      </w:r>
    </w:p>
    <w:p w14:paraId="77E0FBF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14:paraId="0D305CC7" w14:textId="77777777" w:rsidR="00DE2956" w:rsidRPr="007B75DC" w:rsidRDefault="00DE2956" w:rsidP="00DE2956">
      <w:pPr>
        <w:spacing w:after="0" w:line="240" w:lineRule="auto"/>
        <w:rPr>
          <w:rFonts w:ascii="Times New Roman" w:eastAsia="Times New Roman" w:hAnsi="Times New Roman" w:cs="Times New Roman"/>
          <w:szCs w:val="24"/>
        </w:rPr>
      </w:pPr>
    </w:p>
    <w:p w14:paraId="1363EA94" w14:textId="6D76BC4F"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Prieš pradedant gydymą imatinibu,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imatinib</w:t>
      </w:r>
      <w:r w:rsidR="00D24E78">
        <w:rPr>
          <w:rFonts w:ascii="Times New Roman" w:eastAsia="Times New Roman" w:hAnsi="Times New Roman" w:cs="Times New Roman"/>
          <w:szCs w:val="24"/>
        </w:rPr>
        <w:t>u</w:t>
      </w:r>
      <w:r w:rsidRPr="007B75DC">
        <w:rPr>
          <w:rFonts w:ascii="Times New Roman" w:eastAsia="Times New Roman" w:hAnsi="Times New Roman" w:cs="Times New Roman"/>
          <w:szCs w:val="24"/>
        </w:rPr>
        <w:t>, nepasireiškia aktyvios HBV infekcijos požymiai ir simptomai (žr.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r w:rsidRPr="007B75DC">
        <w:rPr>
          <w:rFonts w:ascii="Times New Roman" w:eastAsia="Times New Roman" w:hAnsi="Times New Roman" w:cs="Times New Roman"/>
          <w:szCs w:val="24"/>
        </w:rPr>
        <w:cr/>
      </w:r>
    </w:p>
    <w:p w14:paraId="7B2AF0A6" w14:textId="77777777" w:rsidR="003F4907" w:rsidRPr="00534F79" w:rsidRDefault="003F4907" w:rsidP="00534F79">
      <w:pPr>
        <w:keepNext/>
        <w:spacing w:after="0" w:line="240" w:lineRule="auto"/>
        <w:rPr>
          <w:rFonts w:ascii="Times New Roman" w:eastAsia="Times New Roman" w:hAnsi="Times New Roman" w:cs="Times New Roman"/>
          <w:szCs w:val="24"/>
        </w:rPr>
      </w:pPr>
      <w:r w:rsidRPr="00534F79">
        <w:rPr>
          <w:rFonts w:ascii="Times New Roman" w:eastAsia="Times New Roman" w:hAnsi="Times New Roman" w:cs="Times New Roman"/>
          <w:bCs/>
          <w:szCs w:val="24"/>
          <w:u w:val="single"/>
        </w:rPr>
        <w:lastRenderedPageBreak/>
        <w:t>Fototoksiškumas</w:t>
      </w:r>
    </w:p>
    <w:p w14:paraId="395F1C0C" w14:textId="77777777" w:rsidR="003F4907" w:rsidRPr="007B75DC" w:rsidRDefault="003F4907" w:rsidP="00534F79">
      <w:pPr>
        <w:keepNext/>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Reikia vengti tiesioginių saulės spindulių ekspozicijos arba ją sumažinti iki minimumo dėl fototoksinio poveikio rizikos, susijusios su gydymu imatinibu. Pacientams reikia nurodyti naudoti apsauginius drabužius ir vaistinį preparatą nuo saulės nudegimo, kurio aukštas apsaugos faktorius (SPF).</w:t>
      </w:r>
    </w:p>
    <w:p w14:paraId="10C3C90F" w14:textId="77777777" w:rsidR="003F4907" w:rsidRPr="007B75DC" w:rsidRDefault="003F4907" w:rsidP="003F4907">
      <w:pPr>
        <w:spacing w:after="0" w:line="240" w:lineRule="auto"/>
        <w:rPr>
          <w:rFonts w:ascii="Times New Roman" w:eastAsia="Times New Roman" w:hAnsi="Times New Roman" w:cs="Times New Roman"/>
          <w:b/>
          <w:szCs w:val="24"/>
        </w:rPr>
      </w:pPr>
    </w:p>
    <w:p w14:paraId="42050FFA" w14:textId="77777777" w:rsidR="003F4907" w:rsidRPr="00534F79" w:rsidRDefault="003F4907" w:rsidP="003F4907">
      <w:pPr>
        <w:spacing w:after="0" w:line="240" w:lineRule="auto"/>
        <w:rPr>
          <w:rFonts w:ascii="Times New Roman" w:eastAsia="Times New Roman" w:hAnsi="Times New Roman" w:cs="Times New Roman"/>
          <w:szCs w:val="24"/>
        </w:rPr>
      </w:pPr>
      <w:r w:rsidRPr="00534F79">
        <w:rPr>
          <w:rFonts w:ascii="Times New Roman" w:eastAsia="Times New Roman" w:hAnsi="Times New Roman" w:cs="Times New Roman"/>
          <w:bCs/>
          <w:szCs w:val="24"/>
          <w:u w:val="single"/>
        </w:rPr>
        <w:t>Trombinė mikroangiopatija</w:t>
      </w:r>
    </w:p>
    <w:p w14:paraId="5742C741" w14:textId="7F23091F" w:rsidR="003F4907" w:rsidRPr="007B75DC" w:rsidRDefault="003F4907" w:rsidP="003F4907">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BCR-ABL tirozinkinazės inhibitorių (TKI) vartojimas buvo susijęs su trombinės mikroangiopatijos (TMA) pasireiškimu, įskaitant pranešimus apie atskirus jos atvejus vartojant </w:t>
      </w:r>
      <w:r w:rsidR="00D24E78">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D24E78">
        <w:rPr>
          <w:rFonts w:ascii="Times New Roman" w:eastAsia="Times New Roman" w:hAnsi="Times New Roman" w:cs="Times New Roman"/>
          <w:szCs w:val="24"/>
        </w:rPr>
        <w:t>ą</w:t>
      </w:r>
      <w:r w:rsidRPr="007B75DC">
        <w:rPr>
          <w:rFonts w:ascii="Times New Roman" w:eastAsia="Times New Roman" w:hAnsi="Times New Roman" w:cs="Times New Roman"/>
          <w:szCs w:val="24"/>
        </w:rPr>
        <w:t xml:space="preserve"> (žr.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skyrių). Jeigu </w:t>
      </w:r>
      <w:r w:rsidR="00D24E78">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D24E78">
        <w:rPr>
          <w:rFonts w:ascii="Times New Roman" w:eastAsia="Times New Roman" w:hAnsi="Times New Roman" w:cs="Times New Roman"/>
          <w:szCs w:val="24"/>
        </w:rPr>
        <w:t>ą</w:t>
      </w:r>
      <w:r w:rsidRPr="007B75DC">
        <w:rPr>
          <w:rFonts w:ascii="Times New Roman" w:eastAsia="Times New Roman" w:hAnsi="Times New Roman" w:cs="Times New Roman"/>
          <w:szCs w:val="24"/>
        </w:rPr>
        <w:t xml:space="preserve"> vartojančiam pacientui nustatoma laboratorinių ar klinikinių duomenų, susijusių su TMA požymiais, gydymą reikia nutraukti, o paciento būklę išsamiai ištirti dėl TMA tikimybės, įskaitant ADAMTS13 aktyvumo vertinimą ir anti-ADAMTS13 antikūnų nustatymą. Jeigu nustatomas padidėjęs anti-ADAMTS13 antikūnų kiekis kartu su sumažėjusiu ADAMTS13 aktyvumu, gydymo </w:t>
      </w:r>
      <w:r w:rsidR="00D24E78">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D24E78">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atnaujinti negalima.</w:t>
      </w:r>
    </w:p>
    <w:p w14:paraId="37E2F5DC" w14:textId="77777777" w:rsidR="003F4907" w:rsidRPr="007B75DC" w:rsidRDefault="003F4907" w:rsidP="003F4907">
      <w:pPr>
        <w:spacing w:after="0" w:line="240" w:lineRule="auto"/>
        <w:rPr>
          <w:rFonts w:ascii="Times New Roman" w:eastAsia="Times New Roman" w:hAnsi="Times New Roman" w:cs="Times New Roman"/>
          <w:b/>
          <w:szCs w:val="24"/>
        </w:rPr>
      </w:pPr>
    </w:p>
    <w:p w14:paraId="18FECC52"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Laboratoriniai tyrimai</w:t>
      </w:r>
    </w:p>
    <w:p w14:paraId="01F11FA3" w14:textId="7E21F626"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skyriuje.</w:t>
      </w:r>
    </w:p>
    <w:p w14:paraId="1A576C63" w14:textId="77777777" w:rsidR="00DE2956" w:rsidRPr="007B75DC" w:rsidRDefault="00DE2956" w:rsidP="00DE2956">
      <w:pPr>
        <w:spacing w:after="0" w:line="240" w:lineRule="auto"/>
        <w:rPr>
          <w:rFonts w:ascii="Times New Roman" w:eastAsia="Times New Roman" w:hAnsi="Times New Roman" w:cs="Times New Roman"/>
          <w:szCs w:val="24"/>
        </w:rPr>
      </w:pPr>
    </w:p>
    <w:p w14:paraId="26E5BFF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Būtina reguliariai tirti imatinibą vartojančių pacientų kepenų funkciją (transaminazių, bilirubino, šarminės fosfatazės koncentraciją).</w:t>
      </w:r>
    </w:p>
    <w:p w14:paraId="5702922A" w14:textId="77777777" w:rsidR="00DE2956" w:rsidRPr="007B75DC" w:rsidRDefault="00DE2956" w:rsidP="00DE2956">
      <w:pPr>
        <w:spacing w:after="0" w:line="240" w:lineRule="auto"/>
        <w:rPr>
          <w:rFonts w:ascii="Times New Roman" w:eastAsia="Times New Roman" w:hAnsi="Times New Roman" w:cs="Times New Roman"/>
          <w:szCs w:val="24"/>
        </w:rPr>
      </w:pPr>
    </w:p>
    <w:p w14:paraId="18AE45E1" w14:textId="77ED14CD"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Atrodo, kad pacientų, kurių inkstų funkcija susilpnėjusi, imatinibo ekspozicija kraujo plazmoje yra didesnė nei pacientų, kurių inkstų funkcija normali. Tikriausiai tai lemia imatinibą surišančio baltymo alfarūgščiojo glikoproteino (AGP) kiekis kraujo plazmoje, kuris yra didesnis pacientams, kurių inkstų funkcija sutrikusi. Pacientams, sergantiems inkstų nepakankamumu, turi būti skiriama mažiausia pradinė dozė. Pacientus, sergančius sunkiu inkstų nepakankamumu, reikia gydyti ypač atsargiai. Dozė gali būti mažinama, jei blogai toleruojama (žr. 4.2 ir 5.2</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skyrius).</w:t>
      </w:r>
    </w:p>
    <w:p w14:paraId="70BB7C70"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t>
      </w:r>
      <w:r w:rsidRPr="007B75DC">
        <w:rPr>
          <w:rFonts w:ascii="Times New Roman" w:eastAsia="Times New Roman" w:hAnsi="Times New Roman" w:cs="Times New Roman"/>
          <w:szCs w:val="24"/>
        </w:rPr>
        <w:cr/>
      </w:r>
    </w:p>
    <w:p w14:paraId="63A1BB43"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Vaikų populiacija</w:t>
      </w:r>
    </w:p>
    <w:p w14:paraId="4E99ECCE" w14:textId="10E2F165"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Gauta pranešimų apie </w:t>
      </w:r>
      <w:r w:rsidR="003F4907" w:rsidRPr="007B75DC">
        <w:rPr>
          <w:rFonts w:ascii="Times New Roman" w:eastAsia="Times New Roman" w:hAnsi="Times New Roman" w:cs="Times New Roman"/>
          <w:szCs w:val="24"/>
        </w:rPr>
        <w:t>augimo sulėtėjimą jaunesniems kaip 12</w:t>
      </w:r>
      <w:r w:rsidR="008A6BFD">
        <w:rPr>
          <w:rFonts w:ascii="Times New Roman" w:eastAsia="Times New Roman" w:hAnsi="Times New Roman" w:cs="Times New Roman"/>
          <w:szCs w:val="24"/>
        </w:rPr>
        <w:t> </w:t>
      </w:r>
      <w:r w:rsidR="003F4907" w:rsidRPr="007B75DC">
        <w:rPr>
          <w:rFonts w:ascii="Times New Roman" w:eastAsia="Times New Roman" w:hAnsi="Times New Roman" w:cs="Times New Roman"/>
          <w:szCs w:val="24"/>
        </w:rPr>
        <w:t xml:space="preserve">metų </w:t>
      </w:r>
      <w:r w:rsidRPr="007B75DC">
        <w:rPr>
          <w:rFonts w:ascii="Times New Roman" w:eastAsia="Times New Roman" w:hAnsi="Times New Roman" w:cs="Times New Roman"/>
          <w:szCs w:val="24"/>
        </w:rPr>
        <w:t>vaikams, vartojusiems imatinibą</w:t>
      </w:r>
      <w:r w:rsidR="00D24E7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w:t>
      </w:r>
      <w:r w:rsidR="003F4907" w:rsidRPr="007B75DC">
        <w:rPr>
          <w:rFonts w:ascii="Times New Roman" w:eastAsia="Times New Roman" w:hAnsi="Times New Roman" w:cs="Times New Roman"/>
          <w:szCs w:val="24"/>
        </w:rPr>
        <w:t xml:space="preserve">LML sergančių </w:t>
      </w:r>
      <w:r w:rsidRPr="007B75DC">
        <w:rPr>
          <w:rFonts w:ascii="Times New Roman" w:eastAsia="Times New Roman" w:hAnsi="Times New Roman" w:cs="Times New Roman"/>
          <w:szCs w:val="24"/>
        </w:rPr>
        <w:t xml:space="preserve">vaikų </w:t>
      </w:r>
      <w:r w:rsidR="003F4907" w:rsidRPr="007B75DC">
        <w:rPr>
          <w:rFonts w:ascii="Times New Roman" w:eastAsia="Times New Roman" w:hAnsi="Times New Roman" w:cs="Times New Roman"/>
          <w:szCs w:val="24"/>
        </w:rPr>
        <w:t xml:space="preserve">populiacijoje, atlikto stebėjimo tyrimo duomenimis, buvo pastebėta statistiškai reikšmingos (bet neaiškios klinikinės reikšmės) ūgio standartinio nuokrypio balų medianos sumažėjimas po 12 ir 24 gydymo mėnesių dviejuose mažuose pogrupiuose, nepriklausomai nuo lytinio brendimo ar lyties. Rekomenduojama </w:t>
      </w:r>
      <w:r w:rsidRPr="007B75DC">
        <w:rPr>
          <w:rFonts w:ascii="Times New Roman" w:eastAsia="Times New Roman" w:hAnsi="Times New Roman" w:cs="Times New Roman"/>
          <w:szCs w:val="24"/>
        </w:rPr>
        <w:t>atidžiai stebėti vaikų augimą gydant imatinibu (žr. 4.8</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r w:rsidRPr="007B75DC">
        <w:rPr>
          <w:rFonts w:ascii="Times New Roman" w:eastAsia="Times New Roman" w:hAnsi="Times New Roman" w:cs="Times New Roman"/>
          <w:szCs w:val="24"/>
        </w:rPr>
        <w:cr/>
      </w:r>
    </w:p>
    <w:p w14:paraId="021E7128" w14:textId="77777777" w:rsidR="00DE2956" w:rsidRPr="007B75DC" w:rsidRDefault="00DE2956" w:rsidP="00D470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4.5</w:t>
      </w:r>
      <w:r w:rsidRPr="007B75DC">
        <w:rPr>
          <w:rFonts w:ascii="Times New Roman" w:eastAsia="Times New Roman" w:hAnsi="Times New Roman" w:cs="Times New Roman"/>
          <w:b/>
          <w:szCs w:val="24"/>
        </w:rPr>
        <w:tab/>
        <w:t>Sąveika su kitais vaistiniais preparatais ir kitokia sąveika</w:t>
      </w:r>
    </w:p>
    <w:p w14:paraId="64E7C899" w14:textId="77777777" w:rsidR="00DE2956" w:rsidRPr="007B75DC" w:rsidRDefault="00DE2956" w:rsidP="00DE2956">
      <w:pPr>
        <w:spacing w:after="0" w:line="240" w:lineRule="auto"/>
        <w:rPr>
          <w:rFonts w:ascii="Times New Roman" w:eastAsia="Times New Roman" w:hAnsi="Times New Roman" w:cs="Times New Roman"/>
          <w:b/>
          <w:szCs w:val="24"/>
        </w:rPr>
      </w:pPr>
    </w:p>
    <w:p w14:paraId="2B0770D9"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 xml:space="preserve">Veikliosios medžiagos, kurios gali </w:t>
      </w:r>
      <w:r w:rsidRPr="00534F79">
        <w:rPr>
          <w:rFonts w:ascii="Times New Roman" w:eastAsia="Times New Roman" w:hAnsi="Times New Roman" w:cs="Times New Roman"/>
          <w:b/>
          <w:bCs/>
          <w:szCs w:val="24"/>
          <w:u w:val="single"/>
        </w:rPr>
        <w:t>didinti</w:t>
      </w:r>
      <w:r w:rsidRPr="007B75DC">
        <w:rPr>
          <w:rFonts w:ascii="Times New Roman" w:eastAsia="Times New Roman" w:hAnsi="Times New Roman" w:cs="Times New Roman"/>
          <w:szCs w:val="24"/>
          <w:u w:val="single"/>
        </w:rPr>
        <w:t xml:space="preserve"> imatinibo koncentraciją kraujo plazmoje:</w:t>
      </w:r>
    </w:p>
    <w:p w14:paraId="57810873" w14:textId="026F208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Medžiagos, kurios slopina citochromo P450 izofermento CYP3A4 aktyvumą (pvz., proteazės inhibitoriai, tokie kaip indinaviras, lopinaviras</w:t>
      </w:r>
      <w:r w:rsidR="008A6BFD">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8A6BFD">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ritonaviras, ritonaviras, sakvinaviras, telapreviras, nelfinaviras, bocepreviras; priešgrybeliniai azolo dariniai, įskaitant ketokonazolą, itrakonazolą, posakonazolą, vorikonazolą; tam tikri makrolidai, tokie kaip eritromicinas, klaritromicinas ir telitromicinas), gali slopinti imatinibo metabolizmą ir padidinti jo koncentraciją. Nustatyta reikšmingai padidėjusi imatinibo ekspozicija (vidutinė imatinibo C</w:t>
      </w:r>
      <w:r w:rsidRPr="007B75DC">
        <w:rPr>
          <w:rFonts w:ascii="Times New Roman" w:eastAsia="Times New Roman" w:hAnsi="Times New Roman" w:cs="Times New Roman"/>
          <w:szCs w:val="24"/>
          <w:vertAlign w:val="subscript"/>
        </w:rPr>
        <w:t>max</w:t>
      </w:r>
      <w:r w:rsidRPr="007B75DC">
        <w:rPr>
          <w:rFonts w:ascii="Times New Roman" w:eastAsia="Times New Roman" w:hAnsi="Times New Roman" w:cs="Times New Roman"/>
          <w:szCs w:val="24"/>
        </w:rPr>
        <w:t xml:space="preserve"> ir AUC padidėjo atitinkamai 26</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ir 40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 sveikiems savanoriams, kurie kartu vartojo vienkartinę ketokonazolio (CYP3A4 inhibitoriaus) dozę. Būtina laikytis atsargumo priemonių, kai imatinibo skiriama kartu su CYP3A4 šeimos inhibitoriais.</w:t>
      </w:r>
    </w:p>
    <w:p w14:paraId="0C2E18E5" w14:textId="77777777" w:rsidR="00DE2956" w:rsidRPr="007B75DC" w:rsidRDefault="00DE2956" w:rsidP="00DE2956">
      <w:pPr>
        <w:spacing w:after="0" w:line="240" w:lineRule="auto"/>
        <w:rPr>
          <w:rFonts w:ascii="Times New Roman" w:eastAsia="Times New Roman" w:hAnsi="Times New Roman" w:cs="Times New Roman"/>
          <w:szCs w:val="24"/>
        </w:rPr>
      </w:pPr>
    </w:p>
    <w:p w14:paraId="5F7DB8FE" w14:textId="77777777" w:rsidR="00DE2956" w:rsidRPr="007B75DC" w:rsidRDefault="00DE2956" w:rsidP="00534F79">
      <w:pPr>
        <w:keepNext/>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lastRenderedPageBreak/>
        <w:t xml:space="preserve">Veikliosios medžiagos, kurios gali </w:t>
      </w:r>
      <w:r w:rsidRPr="00534F79">
        <w:rPr>
          <w:rFonts w:ascii="Times New Roman" w:eastAsia="Times New Roman" w:hAnsi="Times New Roman" w:cs="Times New Roman"/>
          <w:b/>
          <w:bCs/>
          <w:szCs w:val="24"/>
          <w:u w:val="single"/>
        </w:rPr>
        <w:t>mažinti</w:t>
      </w:r>
      <w:r w:rsidRPr="007B75DC">
        <w:rPr>
          <w:rFonts w:ascii="Times New Roman" w:eastAsia="Times New Roman" w:hAnsi="Times New Roman" w:cs="Times New Roman"/>
          <w:szCs w:val="24"/>
          <w:u w:val="single"/>
        </w:rPr>
        <w:t xml:space="preserve"> imatinibo koncentraciją kraujo plazmoje:</w:t>
      </w:r>
    </w:p>
    <w:p w14:paraId="752EE421" w14:textId="20FFC39B" w:rsidR="00DE2956" w:rsidRPr="007B75DC" w:rsidRDefault="00DE2956" w:rsidP="00534F79">
      <w:pPr>
        <w:keepNext/>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Medžiagos, kurios indukuoja CYP3A4 aktyvumą (pvz., deksametazonas, fenitoinas, karbamazepinas, rifampicinas, fenobarbitalis, fosfenitoinas, primidonas ar </w:t>
      </w:r>
      <w:r w:rsidRPr="007B75DC">
        <w:rPr>
          <w:rFonts w:ascii="Times New Roman" w:eastAsia="Times New Roman" w:hAnsi="Times New Roman" w:cs="Times New Roman"/>
          <w:i/>
          <w:szCs w:val="24"/>
        </w:rPr>
        <w:t>Hypericum perforatum</w:t>
      </w:r>
      <w:r w:rsidRPr="007B75DC">
        <w:rPr>
          <w:rFonts w:ascii="Times New Roman" w:eastAsia="Times New Roman" w:hAnsi="Times New Roman" w:cs="Times New Roman"/>
          <w:szCs w:val="24"/>
        </w:rPr>
        <w:t>, t.</w:t>
      </w:r>
      <w:r w:rsidR="00D24E7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y. jonažolė), gali reikšmingai sumažinti imatinibo ekspoziciją ir padidinti nesėkmingo gydymo tikimybę. Po iš pradžių skirto gydymo daugkartinėmis rifampicino 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dozėmis, suvartojus vienkartinę 400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 imatinibo dozę, imatinibo C</w:t>
      </w:r>
      <w:r w:rsidRPr="007B75DC">
        <w:rPr>
          <w:rFonts w:ascii="Times New Roman" w:eastAsia="Times New Roman" w:hAnsi="Times New Roman" w:cs="Times New Roman"/>
          <w:szCs w:val="24"/>
          <w:vertAlign w:val="subscript"/>
        </w:rPr>
        <w:t>max</w:t>
      </w:r>
      <w:r w:rsidRPr="007B75DC">
        <w:rPr>
          <w:rFonts w:ascii="Times New Roman" w:eastAsia="Times New Roman" w:hAnsi="Times New Roman" w:cs="Times New Roman"/>
          <w:szCs w:val="24"/>
        </w:rPr>
        <w:t xml:space="preserve"> ir AUC</w:t>
      </w:r>
      <w:r w:rsidRPr="007B75DC">
        <w:rPr>
          <w:rFonts w:ascii="Times New Roman" w:eastAsia="Times New Roman" w:hAnsi="Times New Roman" w:cs="Times New Roman"/>
          <w:szCs w:val="24"/>
          <w:vertAlign w:val="subscript"/>
        </w:rPr>
        <w:t>(0-∞)</w:t>
      </w:r>
      <w:r w:rsidRPr="007B75DC">
        <w:rPr>
          <w:rFonts w:ascii="Times New Roman" w:eastAsia="Times New Roman" w:hAnsi="Times New Roman" w:cs="Times New Roman"/>
          <w:szCs w:val="24"/>
        </w:rPr>
        <w:t xml:space="preserve"> sumažėjo atitinkamai 54</w:t>
      </w:r>
      <w:r w:rsidR="00D24E78">
        <w:rPr>
          <w:rFonts w:ascii="Times New Roman" w:eastAsia="Times New Roman" w:hAnsi="Times New Roman" w:cs="Times New Roman"/>
          <w:szCs w:val="24"/>
        </w:rPr>
        <w:t> </w:t>
      </w:r>
      <w:r w:rsidRPr="007B75DC">
        <w:rPr>
          <w:rFonts w:ascii="Times New Roman" w:eastAsia="Times New Roman" w:hAnsi="Times New Roman" w:cs="Times New Roman"/>
          <w:szCs w:val="24"/>
        </w:rPr>
        <w:t>% ir 74</w:t>
      </w:r>
      <w:r w:rsidR="00D24E78">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atitinkamais duomenimis be rifampicino vartojimo. Panašūs rezultatai pastebėti imatinibo skyrus piktybinėmis gliomomis sergantiems pacientams, vartojusiems fermentus indukuojančius vaist</w:t>
      </w:r>
      <w:r w:rsidR="009E177C">
        <w:rPr>
          <w:rFonts w:ascii="Times New Roman" w:eastAsia="Times New Roman" w:hAnsi="Times New Roman" w:cs="Times New Roman"/>
          <w:szCs w:val="24"/>
        </w:rPr>
        <w:t>inius preparat</w:t>
      </w:r>
      <w:r w:rsidRPr="007B75DC">
        <w:rPr>
          <w:rFonts w:ascii="Times New Roman" w:eastAsia="Times New Roman" w:hAnsi="Times New Roman" w:cs="Times New Roman"/>
          <w:szCs w:val="24"/>
        </w:rPr>
        <w:t>us nuo epilepsijos (FIVNE), pavyzdžiui, karbamazepiną, oksakarbazepiną ir fenitoiną. Lyginant su FIVNE nevartojusiais pacientais, vartojant FIVNE, plotas po imatinibo koncentracijos kraujo plazmoje kreive AUC sumažėjo 73</w:t>
      </w:r>
      <w:r w:rsidR="00D24E78">
        <w:rPr>
          <w:rFonts w:ascii="Times New Roman" w:eastAsia="Times New Roman" w:hAnsi="Times New Roman" w:cs="Times New Roman"/>
          <w:szCs w:val="24"/>
        </w:rPr>
        <w:t> </w:t>
      </w:r>
      <w:r w:rsidRPr="007B75DC">
        <w:rPr>
          <w:rFonts w:ascii="Times New Roman" w:eastAsia="Times New Roman" w:hAnsi="Times New Roman" w:cs="Times New Roman"/>
          <w:szCs w:val="24"/>
        </w:rPr>
        <w:t>%. Reikia vengti imatinibą vartoti kartu su rifampicinu ar kitais stipriais CYP3A4 induktoriais.</w:t>
      </w:r>
    </w:p>
    <w:p w14:paraId="22F2A97F" w14:textId="77777777" w:rsidR="00DE2956" w:rsidRPr="007B75DC" w:rsidRDefault="00DE2956" w:rsidP="00DE2956">
      <w:pPr>
        <w:spacing w:after="0" w:line="240" w:lineRule="auto"/>
        <w:rPr>
          <w:rFonts w:ascii="Times New Roman" w:eastAsia="Times New Roman" w:hAnsi="Times New Roman" w:cs="Times New Roman"/>
          <w:b/>
          <w:szCs w:val="24"/>
        </w:rPr>
      </w:pPr>
    </w:p>
    <w:p w14:paraId="525D2901"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Veikliosios medžiagos, kurių koncentraciją kraujo plazmoje gali keisti imatinibas </w:t>
      </w:r>
    </w:p>
    <w:p w14:paraId="5AFAEA39" w14:textId="0669567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Imatinibas padidina simvastatino (CYP3A4 substrato) C</w:t>
      </w:r>
      <w:r w:rsidRPr="007B75DC">
        <w:rPr>
          <w:rFonts w:ascii="Times New Roman" w:eastAsia="Times New Roman" w:hAnsi="Times New Roman" w:cs="Times New Roman"/>
          <w:szCs w:val="24"/>
          <w:vertAlign w:val="subscript"/>
        </w:rPr>
        <w:t>max</w:t>
      </w:r>
      <w:r w:rsidRPr="007B75DC">
        <w:rPr>
          <w:rFonts w:ascii="Times New Roman" w:eastAsia="Times New Roman" w:hAnsi="Times New Roman" w:cs="Times New Roman"/>
          <w:szCs w:val="24"/>
        </w:rPr>
        <w:t xml:space="preserve"> ir AUC atitinkamai 2</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kartus ir 3,5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karto. Tai rodo, kad imatinibas slopina CYP3A4. Todėl </w:t>
      </w:r>
      <w:r w:rsidR="00D24E78">
        <w:rPr>
          <w:rFonts w:ascii="Times New Roman" w:eastAsia="Times New Roman" w:hAnsi="Times New Roman" w:cs="Times New Roman"/>
          <w:szCs w:val="24"/>
        </w:rPr>
        <w:t>rekomenduojama</w:t>
      </w:r>
      <w:r w:rsidR="00D24E78"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laikytis atsargumo priemonių, kai imatinibo vartojama kartu su CYP3A4 substratais, kurių yra siaura terapinė platuma (pvz., ciklosporinu, pimozidu, takrolimuzu, sirolimuzu, ergotaminu, diergotaminu, fentaniliu, alfetaniliu, terfenadinu, bortezomibu, docetakseliu ir chinidinu). Imatinibas gali padidinti kitų CYP3A4 metabolizuojamų vaist</w:t>
      </w:r>
      <w:r w:rsidR="009E177C">
        <w:rPr>
          <w:rFonts w:ascii="Times New Roman" w:eastAsia="Times New Roman" w:hAnsi="Times New Roman" w:cs="Times New Roman"/>
          <w:szCs w:val="24"/>
        </w:rPr>
        <w:t>inių preparat</w:t>
      </w:r>
      <w:r w:rsidRPr="007B75DC">
        <w:rPr>
          <w:rFonts w:ascii="Times New Roman" w:eastAsia="Times New Roman" w:hAnsi="Times New Roman" w:cs="Times New Roman"/>
          <w:szCs w:val="24"/>
        </w:rPr>
        <w:t>ų (pvz., triazolo grupės benzodiazepinų, dihidropiridino grupės kalcio kanalų blokatorių, tam tikrų HMG-KoA reduktazės inhibitorių, t.</w:t>
      </w:r>
      <w:r w:rsidR="00D24E7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y. statinų, ir kt.) koncentraciją kraujo plazmoje.</w:t>
      </w:r>
    </w:p>
    <w:p w14:paraId="66F864E5" w14:textId="77777777" w:rsidR="00DE2956" w:rsidRPr="007B75DC" w:rsidRDefault="00DE2956" w:rsidP="00DE2956">
      <w:pPr>
        <w:spacing w:after="0" w:line="240" w:lineRule="auto"/>
        <w:rPr>
          <w:rFonts w:ascii="Times New Roman" w:eastAsia="Times New Roman" w:hAnsi="Times New Roman" w:cs="Times New Roman"/>
          <w:szCs w:val="24"/>
        </w:rPr>
      </w:pPr>
    </w:p>
    <w:p w14:paraId="62439D60"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Dėl žinomos padidėjusios kraujavimo rizikos, siejamos su imatinibo vartojimu (t.</w:t>
      </w:r>
      <w:r w:rsidR="002218D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y., hemoragijos), pacientams, kuriuos reikia gydyti antikoaguliantais, vietoj kumarino darinių, tokių kaip varfarinas, reikėtų skirti mažos molekulinės masės ar standartinio heparino.</w:t>
      </w:r>
    </w:p>
    <w:p w14:paraId="56F95333" w14:textId="77777777" w:rsidR="00DE2956" w:rsidRPr="007B75DC" w:rsidRDefault="00DE2956" w:rsidP="00DE2956">
      <w:pPr>
        <w:spacing w:after="0" w:line="240" w:lineRule="auto"/>
        <w:rPr>
          <w:rFonts w:ascii="Times New Roman" w:eastAsia="Times New Roman" w:hAnsi="Times New Roman" w:cs="Times New Roman"/>
          <w:szCs w:val="24"/>
        </w:rPr>
      </w:pPr>
    </w:p>
    <w:p w14:paraId="35F9B7E0" w14:textId="7B5E91D4"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imatinibas slopina citochromo P450 izofermento CYP2D6 aktyvumą, kai jo koncentracija yra panaši į tą, kuri veikia CYP3A4 aktyvumą. Imatinibas, vartojant jį 400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 dozėje du kartus per parą, slopina metaprololio metabolizmą CYP2D6 fermentų sistemoje, kai metaprololio C</w:t>
      </w:r>
      <w:r w:rsidRPr="007B75DC">
        <w:rPr>
          <w:rFonts w:ascii="Times New Roman" w:eastAsia="Times New Roman" w:hAnsi="Times New Roman" w:cs="Times New Roman"/>
          <w:szCs w:val="24"/>
          <w:vertAlign w:val="subscript"/>
        </w:rPr>
        <w:t>max</w:t>
      </w:r>
      <w:r w:rsidRPr="007B75DC">
        <w:rPr>
          <w:rFonts w:ascii="Times New Roman" w:eastAsia="Times New Roman" w:hAnsi="Times New Roman" w:cs="Times New Roman"/>
          <w:szCs w:val="24"/>
        </w:rPr>
        <w:t xml:space="preserve"> ir AUC padidėjo maždaug 23</w:t>
      </w:r>
      <w:r w:rsidR="00D24E78">
        <w:rPr>
          <w:rFonts w:ascii="Times New Roman" w:eastAsia="Times New Roman" w:hAnsi="Times New Roman" w:cs="Times New Roman"/>
          <w:szCs w:val="24"/>
        </w:rPr>
        <w:t> </w:t>
      </w:r>
      <w:r w:rsidRPr="007B75DC">
        <w:rPr>
          <w:rFonts w:ascii="Times New Roman" w:eastAsia="Times New Roman" w:hAnsi="Times New Roman" w:cs="Times New Roman"/>
          <w:szCs w:val="24"/>
        </w:rPr>
        <w:t>% (90</w:t>
      </w:r>
      <w:r w:rsidR="00D24E78">
        <w:rPr>
          <w:rFonts w:ascii="Times New Roman" w:eastAsia="Times New Roman" w:hAnsi="Times New Roman" w:cs="Times New Roman"/>
          <w:szCs w:val="24"/>
        </w:rPr>
        <w:t> </w:t>
      </w:r>
      <w:r w:rsidRPr="007B75DC">
        <w:rPr>
          <w:rFonts w:ascii="Times New Roman" w:eastAsia="Times New Roman" w:hAnsi="Times New Roman" w:cs="Times New Roman"/>
          <w:szCs w:val="24"/>
        </w:rPr>
        <w:t>% PI [1,16</w:t>
      </w:r>
      <w:r w:rsidR="003D184D">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1,30]). Kai imatinibas yra vartojamas kartu su CYP2D6 substratais, dozės koreguoti nereikėtų, tačiau </w:t>
      </w:r>
      <w:r w:rsidR="002218D5">
        <w:rPr>
          <w:rFonts w:ascii="Times New Roman" w:eastAsia="Times New Roman" w:hAnsi="Times New Roman" w:cs="Times New Roman"/>
          <w:szCs w:val="24"/>
        </w:rPr>
        <w:t>patariama</w:t>
      </w:r>
      <w:r w:rsidR="002218D5"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 xml:space="preserve">laikytis atsargumo priemonių, kai skiriami siaurio terapeutinio lango CYP2D6 substratai, tokie kaip metoprololis. Metoprololiu gydomus pacientus </w:t>
      </w:r>
      <w:r w:rsidR="002218D5">
        <w:rPr>
          <w:rFonts w:ascii="Times New Roman" w:eastAsia="Times New Roman" w:hAnsi="Times New Roman" w:cs="Times New Roman"/>
          <w:szCs w:val="24"/>
        </w:rPr>
        <w:t>reikia</w:t>
      </w:r>
      <w:r w:rsidR="002218D5"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atidžiai stebėti.</w:t>
      </w:r>
    </w:p>
    <w:p w14:paraId="480FD8E0" w14:textId="77777777" w:rsidR="00DE2956" w:rsidRPr="007B75DC" w:rsidRDefault="00DE2956" w:rsidP="00DE2956">
      <w:pPr>
        <w:spacing w:after="0" w:line="240" w:lineRule="auto"/>
        <w:rPr>
          <w:rFonts w:ascii="Times New Roman" w:eastAsia="Times New Roman" w:hAnsi="Times New Roman" w:cs="Times New Roman"/>
          <w:szCs w:val="24"/>
        </w:rPr>
      </w:pPr>
    </w:p>
    <w:p w14:paraId="22FFF4AD" w14:textId="3E0B00D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imatinibas slopina paracetamolio O-gliukuroninimą, kai Ki vertė yra 58,5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mikromol/l. Po vartojimo imatinibo 400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 ir paracetamolio 1000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i/>
          <w:szCs w:val="24"/>
        </w:rPr>
        <w:t>in vivo</w:t>
      </w:r>
      <w:r w:rsidRPr="007B75DC">
        <w:rPr>
          <w:rFonts w:ascii="Times New Roman" w:eastAsia="Times New Roman" w:hAnsi="Times New Roman" w:cs="Times New Roman"/>
          <w:szCs w:val="24"/>
        </w:rPr>
        <w:t xml:space="preserve"> tokio slopinimo nenustatyta. Dėl didesnių imatinibo ir paracetamolio dozių vartojimo tyrimų neatlikta.</w:t>
      </w:r>
    </w:p>
    <w:p w14:paraId="505A4885" w14:textId="77777777" w:rsidR="00DE2956" w:rsidRPr="007B75DC" w:rsidRDefault="00DE2956" w:rsidP="00DE2956">
      <w:pPr>
        <w:spacing w:after="0" w:line="240" w:lineRule="auto"/>
        <w:rPr>
          <w:rFonts w:ascii="Times New Roman" w:eastAsia="Times New Roman" w:hAnsi="Times New Roman" w:cs="Times New Roman"/>
          <w:szCs w:val="24"/>
        </w:rPr>
      </w:pPr>
    </w:p>
    <w:p w14:paraId="329CEE9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Todėl reikia atsargiai vartoti dideles imatinibo dozes kartu su paracetamoliu.</w:t>
      </w:r>
      <w:r w:rsidRPr="007B75DC">
        <w:rPr>
          <w:rFonts w:ascii="Times New Roman" w:eastAsia="Times New Roman" w:hAnsi="Times New Roman" w:cs="Times New Roman"/>
          <w:szCs w:val="24"/>
        </w:rPr>
        <w:cr/>
      </w:r>
    </w:p>
    <w:p w14:paraId="4979A2EB" w14:textId="472AF046"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Pacientams, gydomiems levotiroksinu po skydliaukės pašalinimo ir kartu skiriant imatinibo, gali sumažėti levotiroksino kiekis kraujo plazmoje (žr. 4.4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 todėl rekomenduojamos atsargumo priemonės. Vis dėlto stebėtos sąveikos mechanizmas iki šiol nežinomas.</w:t>
      </w:r>
    </w:p>
    <w:p w14:paraId="5A6BF493" w14:textId="77777777" w:rsidR="00DE2956" w:rsidRPr="007B75DC" w:rsidRDefault="00DE2956" w:rsidP="00DE2956">
      <w:pPr>
        <w:spacing w:after="0" w:line="240" w:lineRule="auto"/>
        <w:rPr>
          <w:rFonts w:ascii="Times New Roman" w:eastAsia="Times New Roman" w:hAnsi="Times New Roman" w:cs="Times New Roman"/>
          <w:szCs w:val="24"/>
        </w:rPr>
      </w:pPr>
    </w:p>
    <w:p w14:paraId="7A92981F" w14:textId="0AE1309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Yra klinikinės patirties kartu vartojant imatinibą ir chemoterapiją pacientų, sergančiųjų Ph+ ŪLL, tarpe (žr. 5.1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 bet vaisto-vaisto sąveikos tarp imatinibo ir chemoterapijos kontrolės nėra gerai aprašytos. Imatinibo sukeliamų nepageidaujamų reiškinių, pvz., hepatotoksiškumo, kaulų čiulpų supresijos arba kitų, gali daugėti ir pranešta, kad kartu vartojant L-asparaginazės, gali padidėti hepatotoksiškumas (žr. 4.8</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 Todėl, kartu su imatinibu vartojant kitų vaistinių preparatų, reikia specialių atsargumo priemonių.</w:t>
      </w:r>
    </w:p>
    <w:p w14:paraId="64E2CC9A" w14:textId="77777777" w:rsidR="00DE2956" w:rsidRPr="007B75DC" w:rsidRDefault="00DE2956" w:rsidP="00DE2956">
      <w:pPr>
        <w:spacing w:after="0" w:line="240" w:lineRule="auto"/>
        <w:rPr>
          <w:rFonts w:ascii="Times New Roman" w:eastAsia="Times New Roman" w:hAnsi="Times New Roman" w:cs="Times New Roman"/>
          <w:b/>
          <w:szCs w:val="24"/>
        </w:rPr>
      </w:pPr>
    </w:p>
    <w:p w14:paraId="6BD02D26" w14:textId="77777777" w:rsidR="00DE2956" w:rsidRPr="007B75DC" w:rsidRDefault="00DE2956" w:rsidP="00D470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4.6</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rPr>
        <w:t xml:space="preserve">Vaisingumas, </w:t>
      </w:r>
      <w:r w:rsidRPr="007B75DC">
        <w:rPr>
          <w:rFonts w:ascii="Times New Roman" w:eastAsia="Times New Roman" w:hAnsi="Times New Roman" w:cs="Times New Roman"/>
          <w:b/>
          <w:bCs/>
          <w:szCs w:val="24"/>
        </w:rPr>
        <w:t>nėštumo ir žindymo laikotarpis</w:t>
      </w:r>
      <w:r w:rsidRPr="007B75DC">
        <w:rPr>
          <w:rFonts w:ascii="Times New Roman" w:eastAsia="Times New Roman" w:hAnsi="Times New Roman" w:cs="Times New Roman"/>
          <w:szCs w:val="24"/>
        </w:rPr>
        <w:t xml:space="preserve"> </w:t>
      </w:r>
    </w:p>
    <w:p w14:paraId="2C60F8A7" w14:textId="77777777" w:rsidR="00DE2956" w:rsidRPr="007B75DC" w:rsidRDefault="00DE2956" w:rsidP="00DE2956">
      <w:pPr>
        <w:spacing w:after="0" w:line="240" w:lineRule="auto"/>
        <w:rPr>
          <w:rFonts w:ascii="Times New Roman" w:eastAsia="Times New Roman" w:hAnsi="Times New Roman" w:cs="Times New Roman"/>
          <w:szCs w:val="24"/>
        </w:rPr>
      </w:pPr>
    </w:p>
    <w:p w14:paraId="1F2FDD3C"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Vaisingos moterys</w:t>
      </w:r>
    </w:p>
    <w:p w14:paraId="0A4713FA" w14:textId="7C11756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Vaisingo amžiaus moterims reikia patarti, kad gydymo metu </w:t>
      </w:r>
      <w:r w:rsidR="00EB532F" w:rsidRPr="007B75DC">
        <w:rPr>
          <w:rFonts w:ascii="Times New Roman" w:eastAsia="Times New Roman" w:hAnsi="Times New Roman" w:cs="Times New Roman"/>
          <w:szCs w:val="24"/>
        </w:rPr>
        <w:t>ir mažiausiai 15</w:t>
      </w:r>
      <w:r w:rsidR="003D184D">
        <w:rPr>
          <w:rFonts w:ascii="Times New Roman" w:eastAsia="Times New Roman" w:hAnsi="Times New Roman" w:cs="Times New Roman"/>
          <w:szCs w:val="24"/>
        </w:rPr>
        <w:t> </w:t>
      </w:r>
      <w:r w:rsidR="00EB532F" w:rsidRPr="007B75DC">
        <w:rPr>
          <w:rFonts w:ascii="Times New Roman" w:eastAsia="Times New Roman" w:hAnsi="Times New Roman" w:cs="Times New Roman"/>
          <w:szCs w:val="24"/>
        </w:rPr>
        <w:t xml:space="preserve">dienų po gydymo </w:t>
      </w:r>
      <w:r w:rsidR="002218D5">
        <w:rPr>
          <w:rFonts w:ascii="Times New Roman" w:eastAsia="Times New Roman" w:hAnsi="Times New Roman" w:cs="Times New Roman"/>
          <w:szCs w:val="24"/>
        </w:rPr>
        <w:t>i</w:t>
      </w:r>
      <w:r w:rsidR="00EB532F" w:rsidRPr="007B75DC">
        <w:rPr>
          <w:rFonts w:ascii="Times New Roman" w:eastAsia="Times New Roman" w:hAnsi="Times New Roman" w:cs="Times New Roman"/>
          <w:szCs w:val="24"/>
        </w:rPr>
        <w:t>matinib</w:t>
      </w:r>
      <w:r w:rsidR="002218D5">
        <w:rPr>
          <w:rFonts w:ascii="Times New Roman" w:eastAsia="Times New Roman" w:hAnsi="Times New Roman" w:cs="Times New Roman"/>
          <w:szCs w:val="24"/>
        </w:rPr>
        <w:t>u</w:t>
      </w:r>
      <w:r w:rsidR="00EB532F" w:rsidRPr="007B75DC">
        <w:rPr>
          <w:rFonts w:ascii="Times New Roman" w:eastAsia="Times New Roman" w:hAnsi="Times New Roman" w:cs="Times New Roman"/>
          <w:szCs w:val="24"/>
        </w:rPr>
        <w:t xml:space="preserve"> nutraukimo </w:t>
      </w:r>
      <w:r w:rsidRPr="007B75DC">
        <w:rPr>
          <w:rFonts w:ascii="Times New Roman" w:eastAsia="Times New Roman" w:hAnsi="Times New Roman" w:cs="Times New Roman"/>
          <w:szCs w:val="24"/>
        </w:rPr>
        <w:t>jos turi naudoti veiksmingą kontracepcijos metodą.</w:t>
      </w:r>
    </w:p>
    <w:p w14:paraId="63D614BE" w14:textId="77777777" w:rsidR="00DE2956" w:rsidRPr="007B75DC" w:rsidRDefault="00DE2956" w:rsidP="00DE2956">
      <w:pPr>
        <w:spacing w:after="0" w:line="240" w:lineRule="auto"/>
        <w:rPr>
          <w:rFonts w:ascii="Times New Roman" w:eastAsia="Times New Roman" w:hAnsi="Times New Roman" w:cs="Times New Roman"/>
          <w:szCs w:val="24"/>
          <w:u w:val="single"/>
        </w:rPr>
      </w:pPr>
    </w:p>
    <w:p w14:paraId="26E69C56"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Nėštumas</w:t>
      </w:r>
    </w:p>
    <w:p w14:paraId="78084483" w14:textId="44D2EAB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Duomenų apie imatinibo vartojimą nėštumo metu nepakanka. </w:t>
      </w:r>
      <w:r w:rsidR="00EB532F" w:rsidRPr="007B75DC">
        <w:rPr>
          <w:rFonts w:ascii="Times New Roman" w:eastAsia="Times New Roman" w:hAnsi="Times New Roman" w:cs="Times New Roman"/>
          <w:szCs w:val="24"/>
        </w:rPr>
        <w:t xml:space="preserve">Vaistiniam preparatui patekus į rinką gauta pranešimų apie </w:t>
      </w:r>
      <w:r w:rsidR="002218D5">
        <w:rPr>
          <w:rFonts w:ascii="Times New Roman" w:eastAsia="Times New Roman" w:hAnsi="Times New Roman" w:cs="Times New Roman"/>
          <w:szCs w:val="24"/>
        </w:rPr>
        <w:t>i</w:t>
      </w:r>
      <w:r w:rsidR="00EB532F" w:rsidRPr="007B75DC">
        <w:rPr>
          <w:rFonts w:ascii="Times New Roman" w:eastAsia="Times New Roman" w:hAnsi="Times New Roman" w:cs="Times New Roman"/>
          <w:szCs w:val="24"/>
        </w:rPr>
        <w:t>matinib</w:t>
      </w:r>
      <w:r w:rsidR="002218D5">
        <w:rPr>
          <w:rFonts w:ascii="Times New Roman" w:eastAsia="Times New Roman" w:hAnsi="Times New Roman" w:cs="Times New Roman"/>
          <w:szCs w:val="24"/>
        </w:rPr>
        <w:t>ą</w:t>
      </w:r>
      <w:r w:rsidR="00EB532F" w:rsidRPr="007B75DC">
        <w:rPr>
          <w:rFonts w:ascii="Times New Roman" w:eastAsia="Times New Roman" w:hAnsi="Times New Roman" w:cs="Times New Roman"/>
          <w:szCs w:val="24"/>
        </w:rPr>
        <w:t xml:space="preserve"> vartojusioms moterims pasireiškusius spontaninių abortų atvejus ir įgimtas kūdikių anomalijas. </w:t>
      </w:r>
      <w:r w:rsidRPr="007B75DC">
        <w:rPr>
          <w:rFonts w:ascii="Times New Roman" w:eastAsia="Times New Roman" w:hAnsi="Times New Roman" w:cs="Times New Roman"/>
          <w:szCs w:val="24"/>
        </w:rPr>
        <w:t>Tačiau su gyvūnais atlikti tyrimai parodė toksinį poveikį reprodukcijai (žr. 5.3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 todėl galimas pavojus vaisiui nežinomas. Imatinibo nėštumo metu vartoti negalima, išskyrus neabejotinai būtinus atvejus. Nėščiąją, kuriai skiriama imatinibo, reikia informuoti apie galimą riziką vaisiui.</w:t>
      </w:r>
    </w:p>
    <w:p w14:paraId="70395B69" w14:textId="77777777" w:rsidR="00DE2956" w:rsidRPr="007B75DC" w:rsidRDefault="00DE2956" w:rsidP="00DE2956">
      <w:pPr>
        <w:spacing w:after="0" w:line="240" w:lineRule="auto"/>
        <w:rPr>
          <w:rFonts w:ascii="Times New Roman" w:eastAsia="Times New Roman" w:hAnsi="Times New Roman" w:cs="Times New Roman"/>
          <w:szCs w:val="24"/>
          <w:u w:val="single"/>
        </w:rPr>
      </w:pPr>
    </w:p>
    <w:p w14:paraId="6374B4DE"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Žindymas</w:t>
      </w:r>
    </w:p>
    <w:p w14:paraId="0F4B8DE1" w14:textId="6A83E5D1"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w:t>
      </w:r>
      <w:r w:rsidR="009E177C">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metabolito. Atsižvelgiant į suminę imatinibo ir jo metabolito koncentraciją bei didžiausią kūdikio suvartojamą pieno kiekį per parą, tikėtina, kad bendroji ekspozicija galėtų būti nedidelė (~10</w:t>
      </w:r>
      <w:r w:rsidR="002218D5">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terapinės dozės). Tačiau, kadangi nedidelės imatinibo dozės poveikis kūdikiui nežinomas, </w:t>
      </w:r>
      <w:r w:rsidR="00EB532F" w:rsidRPr="007B75DC">
        <w:rPr>
          <w:rFonts w:ascii="Times New Roman" w:eastAsia="Times New Roman" w:hAnsi="Times New Roman" w:cs="Times New Roman"/>
          <w:szCs w:val="24"/>
        </w:rPr>
        <w:t>gydymo metu ir mažiausiai 15</w:t>
      </w:r>
      <w:r w:rsidR="003D184D">
        <w:rPr>
          <w:rFonts w:ascii="Times New Roman" w:eastAsia="Times New Roman" w:hAnsi="Times New Roman" w:cs="Times New Roman"/>
          <w:szCs w:val="24"/>
        </w:rPr>
        <w:t> </w:t>
      </w:r>
      <w:r w:rsidR="00EB532F" w:rsidRPr="007B75DC">
        <w:rPr>
          <w:rFonts w:ascii="Times New Roman" w:eastAsia="Times New Roman" w:hAnsi="Times New Roman" w:cs="Times New Roman"/>
          <w:szCs w:val="24"/>
        </w:rPr>
        <w:t xml:space="preserve">dienų po gydymo </w:t>
      </w:r>
      <w:r w:rsidRPr="007B75DC">
        <w:rPr>
          <w:rFonts w:ascii="Times New Roman" w:eastAsia="Times New Roman" w:hAnsi="Times New Roman" w:cs="Times New Roman"/>
          <w:szCs w:val="24"/>
        </w:rPr>
        <w:t>imatinib</w:t>
      </w:r>
      <w:r w:rsidR="002218D5">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w:t>
      </w:r>
      <w:r w:rsidR="00EB532F" w:rsidRPr="007B75DC">
        <w:rPr>
          <w:rFonts w:ascii="Times New Roman" w:eastAsia="Times New Roman" w:hAnsi="Times New Roman" w:cs="Times New Roman"/>
          <w:szCs w:val="24"/>
        </w:rPr>
        <w:t xml:space="preserve">nutraukimo </w:t>
      </w:r>
      <w:r w:rsidRPr="007B75DC">
        <w:rPr>
          <w:rFonts w:ascii="Times New Roman" w:eastAsia="Times New Roman" w:hAnsi="Times New Roman" w:cs="Times New Roman"/>
          <w:szCs w:val="24"/>
        </w:rPr>
        <w:t>moterims žindyti negalima.</w:t>
      </w:r>
    </w:p>
    <w:p w14:paraId="608EB36C" w14:textId="77777777" w:rsidR="00DE2956" w:rsidRPr="007B75DC" w:rsidRDefault="00DE2956" w:rsidP="00DE2956">
      <w:pPr>
        <w:spacing w:after="0" w:line="240" w:lineRule="auto"/>
        <w:rPr>
          <w:rFonts w:ascii="Times New Roman" w:eastAsia="Times New Roman" w:hAnsi="Times New Roman" w:cs="Times New Roman"/>
          <w:szCs w:val="24"/>
          <w:u w:val="single"/>
        </w:rPr>
      </w:pPr>
    </w:p>
    <w:p w14:paraId="5D862966"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Vaisingumas</w:t>
      </w:r>
    </w:p>
    <w:p w14:paraId="7EEF0EDC" w14:textId="6114739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Ikiklinikinių tyrimų metu, žiurkių patinų ir patelių vaisingumas nepakito</w:t>
      </w:r>
      <w:r w:rsidR="002218D5">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w:t>
      </w:r>
      <w:r w:rsidR="00EB532F" w:rsidRPr="007B75DC">
        <w:rPr>
          <w:rFonts w:ascii="Times New Roman" w:eastAsia="Times New Roman" w:hAnsi="Times New Roman" w:cs="Times New Roman"/>
          <w:szCs w:val="24"/>
        </w:rPr>
        <w:t xml:space="preserve">nors poveikis reprodukciniams parametrams buvo pastebėtas </w:t>
      </w:r>
      <w:r w:rsidRPr="007B75DC">
        <w:rPr>
          <w:rFonts w:ascii="Times New Roman" w:eastAsia="Times New Roman" w:hAnsi="Times New Roman" w:cs="Times New Roman"/>
          <w:szCs w:val="24"/>
        </w:rPr>
        <w:t>(žr. 5.3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 Nebuvo atlikta tyrimų, imatinibo skiriant pacientams, taigi vaistinio preparato poveikis vaisingumui ir gametogenezei nebuvo neištirtas. Dėl gydymo imatinibu poveikio vaisingumui, pacientams reikėtų pasitarti su gydytoju.</w:t>
      </w:r>
      <w:r w:rsidRPr="007B75DC">
        <w:rPr>
          <w:rFonts w:ascii="Times New Roman" w:eastAsia="Times New Roman" w:hAnsi="Times New Roman" w:cs="Times New Roman"/>
          <w:szCs w:val="24"/>
        </w:rPr>
        <w:cr/>
      </w:r>
    </w:p>
    <w:p w14:paraId="341A01D6" w14:textId="77777777" w:rsidR="00DE2956" w:rsidRPr="007B75DC" w:rsidRDefault="00DE2956" w:rsidP="00D470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4.7</w:t>
      </w:r>
      <w:r w:rsidRPr="007B75DC">
        <w:rPr>
          <w:rFonts w:ascii="Times New Roman" w:eastAsia="Times New Roman" w:hAnsi="Times New Roman" w:cs="Times New Roman"/>
          <w:b/>
          <w:szCs w:val="24"/>
        </w:rPr>
        <w:tab/>
        <w:t>Poveikis gebėjimui vairuoti ir valdyti mechanizmus</w:t>
      </w:r>
    </w:p>
    <w:p w14:paraId="64C54894" w14:textId="77777777" w:rsidR="00DE2956" w:rsidRPr="007B75DC" w:rsidRDefault="00DE2956" w:rsidP="00DE2956">
      <w:pPr>
        <w:spacing w:after="0" w:line="240" w:lineRule="auto"/>
        <w:rPr>
          <w:rFonts w:ascii="Times New Roman" w:eastAsia="Times New Roman" w:hAnsi="Times New Roman" w:cs="Times New Roman"/>
          <w:szCs w:val="24"/>
        </w:rPr>
      </w:pPr>
    </w:p>
    <w:p w14:paraId="7F7E4DCC"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Pacientams reikia nurodyti, kad vartojant imatinibą gali būti nepageidaujamų reiškinių, pvz., svaigulys, neryškus matymas ar mieguistumas. Todėl vairuojant ar valdant mechanizmus būtina laikytis atsargumo priemonių.</w:t>
      </w:r>
      <w:r w:rsidRPr="007B75DC">
        <w:rPr>
          <w:rFonts w:ascii="Times New Roman" w:eastAsia="Times New Roman" w:hAnsi="Times New Roman" w:cs="Times New Roman"/>
          <w:szCs w:val="24"/>
        </w:rPr>
        <w:cr/>
      </w:r>
    </w:p>
    <w:p w14:paraId="2B7B8ADD" w14:textId="77777777" w:rsidR="00DE2956" w:rsidRPr="007B75DC" w:rsidRDefault="00DE2956" w:rsidP="00D470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4.8</w:t>
      </w:r>
      <w:r w:rsidRPr="007B75DC">
        <w:rPr>
          <w:rFonts w:ascii="Times New Roman" w:eastAsia="Times New Roman" w:hAnsi="Times New Roman" w:cs="Times New Roman"/>
          <w:b/>
          <w:szCs w:val="24"/>
        </w:rPr>
        <w:tab/>
        <w:t>Nepageidaujamas poveikis</w:t>
      </w:r>
    </w:p>
    <w:p w14:paraId="3D8B0E96" w14:textId="77777777" w:rsidR="00DE2956" w:rsidRPr="007B75DC" w:rsidRDefault="00DE2956" w:rsidP="00DE2956">
      <w:pPr>
        <w:spacing w:after="0" w:line="240" w:lineRule="auto"/>
        <w:rPr>
          <w:rFonts w:ascii="Times New Roman" w:eastAsia="Times New Roman" w:hAnsi="Times New Roman" w:cs="Times New Roman"/>
          <w:szCs w:val="24"/>
        </w:rPr>
      </w:pPr>
    </w:p>
    <w:p w14:paraId="1ABB633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Pacientams, sergantiems </w:t>
      </w:r>
      <w:r w:rsidR="00287648">
        <w:rPr>
          <w:rFonts w:ascii="Times New Roman" w:eastAsia="Times New Roman" w:hAnsi="Times New Roman" w:cs="Times New Roman"/>
          <w:szCs w:val="24"/>
        </w:rPr>
        <w:t xml:space="preserve">pažengusios stadijos </w:t>
      </w:r>
      <w:r w:rsidRPr="007B75DC">
        <w:rPr>
          <w:rFonts w:ascii="Times New Roman" w:eastAsia="Times New Roman" w:hAnsi="Times New Roman" w:cs="Times New Roman"/>
          <w:szCs w:val="24"/>
        </w:rPr>
        <w:t>piktybiniais navikais, gali būti kitų sveikatos būklių, dėl kurių sunkiau nustatyti nepageidaujamų reiškinių priežastis dėl įvairių simptomų, susijusių su esančia liga, jos progresavimu ir dėl kitų kartu vartojamų vaistinių preparatų.</w:t>
      </w:r>
    </w:p>
    <w:p w14:paraId="21D9FCD7" w14:textId="77777777" w:rsidR="00DE2956" w:rsidRPr="007B75DC" w:rsidRDefault="00DE2956" w:rsidP="00DE2956">
      <w:pPr>
        <w:spacing w:after="0" w:line="240" w:lineRule="auto"/>
        <w:rPr>
          <w:rFonts w:ascii="Times New Roman" w:eastAsia="Times New Roman" w:hAnsi="Times New Roman" w:cs="Times New Roman"/>
          <w:szCs w:val="24"/>
        </w:rPr>
      </w:pPr>
    </w:p>
    <w:p w14:paraId="42C57F00" w14:textId="68A4556E"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Klinikinių LML tyrimų metu dėl nepageidaujamų su vaist</w:t>
      </w:r>
      <w:r w:rsidR="009E177C">
        <w:rPr>
          <w:rFonts w:ascii="Times New Roman" w:eastAsia="Times New Roman" w:hAnsi="Times New Roman" w:cs="Times New Roman"/>
          <w:szCs w:val="24"/>
        </w:rPr>
        <w:t>iniu preparat</w:t>
      </w:r>
      <w:r w:rsidRPr="007B75DC">
        <w:rPr>
          <w:rFonts w:ascii="Times New Roman" w:eastAsia="Times New Roman" w:hAnsi="Times New Roman" w:cs="Times New Roman"/>
          <w:szCs w:val="24"/>
        </w:rPr>
        <w:t>u susijusių reakcijų vaist</w:t>
      </w:r>
      <w:r w:rsidR="009E177C">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vartojimą teko nutraukti 2,4</w:t>
      </w:r>
      <w:r w:rsidR="0028764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kuriems buvo naujai diagnozuota liga, 4</w:t>
      </w:r>
      <w:r w:rsidR="0028764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kuriems buvo vėlyvoji lėtinė ligos fazė po nesėkmingo gydymo interferonu, 4</w:t>
      </w:r>
      <w:r w:rsidR="00287648">
        <w:rPr>
          <w:rFonts w:ascii="Times New Roman" w:eastAsia="Times New Roman" w:hAnsi="Times New Roman" w:cs="Times New Roman"/>
          <w:szCs w:val="24"/>
        </w:rPr>
        <w:t> </w:t>
      </w:r>
      <w:r w:rsidRPr="007B75DC">
        <w:rPr>
          <w:rFonts w:ascii="Times New Roman" w:eastAsia="Times New Roman" w:hAnsi="Times New Roman" w:cs="Times New Roman"/>
          <w:szCs w:val="24"/>
        </w:rPr>
        <w:t>% – kuriems buvo akceleracijos fazė po nesėkmingo gydymo interferonu ir 5</w:t>
      </w:r>
      <w:r w:rsidR="0028764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 kuriems buvo blastinė krizė po nesėkmingo gydymo interferonu.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xml:space="preserve"> tyrimų metu dėl vaist</w:t>
      </w:r>
      <w:r w:rsidR="009E177C">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sukeltų nepageidaujamų reakcijų vaist</w:t>
      </w:r>
      <w:r w:rsidR="009E177C">
        <w:rPr>
          <w:rFonts w:ascii="Times New Roman" w:eastAsia="Times New Roman" w:hAnsi="Times New Roman" w:cs="Times New Roman"/>
          <w:szCs w:val="24"/>
        </w:rPr>
        <w:t>inį preparat</w:t>
      </w:r>
      <w:r w:rsidRPr="007B75DC">
        <w:rPr>
          <w:rFonts w:ascii="Times New Roman" w:eastAsia="Times New Roman" w:hAnsi="Times New Roman" w:cs="Times New Roman"/>
          <w:szCs w:val="24"/>
        </w:rPr>
        <w:t>ą teko nutraukti 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w:t>
      </w:r>
    </w:p>
    <w:p w14:paraId="2DA5F400" w14:textId="77777777" w:rsidR="00DE2956" w:rsidRPr="007B75DC" w:rsidRDefault="00DE2956" w:rsidP="00DE2956">
      <w:pPr>
        <w:spacing w:after="0" w:line="240" w:lineRule="auto"/>
        <w:rPr>
          <w:rFonts w:ascii="Times New Roman" w:eastAsia="Times New Roman" w:hAnsi="Times New Roman" w:cs="Times New Roman"/>
          <w:szCs w:val="24"/>
        </w:rPr>
      </w:pPr>
    </w:p>
    <w:p w14:paraId="528E6509" w14:textId="4CE94B0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Visomis minėtomis ligomis sergantiems pacientams nepageidaujamos reakcijos buvo panašios, išskyrus dvi išimtis. Sergant LML, dažniau</w:t>
      </w:r>
      <w:r w:rsidR="00287648">
        <w:rPr>
          <w:rFonts w:ascii="Times New Roman" w:eastAsia="Times New Roman" w:hAnsi="Times New Roman" w:cs="Times New Roman"/>
          <w:szCs w:val="24"/>
        </w:rPr>
        <w:t xml:space="preserve"> nei VTSN,</w:t>
      </w:r>
      <w:r w:rsidRPr="007B75DC">
        <w:rPr>
          <w:rFonts w:ascii="Times New Roman" w:eastAsia="Times New Roman" w:hAnsi="Times New Roman" w:cs="Times New Roman"/>
          <w:szCs w:val="24"/>
        </w:rPr>
        <w:t xml:space="preserve"> stebėta mielosupresija, galinti priklausyti nuo esančios ligos. Klinikinio tyrimo duomenimis, iš jame dalyvavusių pacientų, kuriems buvo nerezekuotinas ir (ar) metastazavęs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7 (5</w:t>
      </w:r>
      <w:r w:rsidR="00287648">
        <w:rPr>
          <w:rFonts w:ascii="Times New Roman" w:eastAsia="Times New Roman" w:hAnsi="Times New Roman" w:cs="Times New Roman"/>
          <w:szCs w:val="24"/>
        </w:rPr>
        <w:t> </w:t>
      </w:r>
      <w:r w:rsidRPr="007B75DC">
        <w:rPr>
          <w:rFonts w:ascii="Times New Roman" w:eastAsia="Times New Roman" w:hAnsi="Times New Roman" w:cs="Times New Roman"/>
          <w:szCs w:val="24"/>
        </w:rPr>
        <w:t>%) pacientams buvo: CTC 3/4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kraujavimas iš virškinimo trakto (3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pacientams), vidunavikinis kraujavimas (3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pacientams) ar abu požymiai (1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pacientui). Virškinimo trakte gali kraujuoti iš naviko (žr. 4.4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 Retkarčiais kraujavimas iš virškinimo trakto ar naviko gali būti mirtinas. Dažniausi (≥</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00287648">
        <w:rPr>
          <w:rFonts w:ascii="Times New Roman" w:eastAsia="Times New Roman" w:hAnsi="Times New Roman" w:cs="Times New Roman"/>
          <w:szCs w:val="24"/>
        </w:rPr>
        <w:t> </w:t>
      </w:r>
      <w:r w:rsidRPr="007B75DC">
        <w:rPr>
          <w:rFonts w:ascii="Times New Roman" w:eastAsia="Times New Roman" w:hAnsi="Times New Roman" w:cs="Times New Roman"/>
          <w:szCs w:val="24"/>
        </w:rPr>
        <w:t>%) su vaist</w:t>
      </w:r>
      <w:r w:rsidR="009E177C">
        <w:rPr>
          <w:rFonts w:ascii="Times New Roman" w:eastAsia="Times New Roman" w:hAnsi="Times New Roman" w:cs="Times New Roman"/>
          <w:szCs w:val="24"/>
        </w:rPr>
        <w:t>iniu preparat</w:t>
      </w:r>
      <w:r w:rsidRPr="007B75DC">
        <w:rPr>
          <w:rFonts w:ascii="Times New Roman" w:eastAsia="Times New Roman" w:hAnsi="Times New Roman" w:cs="Times New Roman"/>
          <w:szCs w:val="24"/>
        </w:rPr>
        <w:t>u susiję nepageidaujami reiškiniai abiem ligomis sergantiems pacientams buvo nestiprus pykinimas, vėmimas, viduriavimas, pilvo skausmas, nuovargis, mialgija, raumenų mėšlungis ir bėrimas. Visų tyrimų metu dažnai stebėta paviršinių edemų, dažniausiai – apie akis ar kojų. Tačiau retai šios edemos būna sunkios, jas galima koreguoti diuretikais, kitomis pagalbinėmis priemonėmis ar sumažinus imatinibo dozę.</w:t>
      </w:r>
    </w:p>
    <w:p w14:paraId="3BC6FD96" w14:textId="77777777" w:rsidR="00DE2956" w:rsidRPr="007B75DC" w:rsidRDefault="00DE2956" w:rsidP="00DE2956">
      <w:pPr>
        <w:spacing w:after="0" w:line="240" w:lineRule="auto"/>
        <w:rPr>
          <w:rFonts w:ascii="Times New Roman" w:eastAsia="Times New Roman" w:hAnsi="Times New Roman" w:cs="Times New Roman"/>
          <w:szCs w:val="24"/>
        </w:rPr>
      </w:pPr>
    </w:p>
    <w:p w14:paraId="5BFB2BD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Ph+ ŪLL sergantiems pacientams, vartojusiems imatinibą kartu su didelėmis chemoterapinių preparatų dozėmis, stebėtas laikinas toksinis poveikis kepenims, pasireiškęs transaminazių aktyvumo padidėjimu ir hiperbilirubinemija. Atsižvelgiant į ribotus saugumo duomenis, iki šiol vaikams pasireiškusių nepageidaujamų reiškinių pobūdis atitinka žinomus saugumo savybių duomenis Ph+ ŪLL sergantiems suaugusiesiems. Duomenys apie saugumo savybes Ph+ ŪLL sergantiems vaikams yra labai riboti, vis dėlto naujų nerimą keliančių saugumo duomenų nustatyta nebuvo.</w:t>
      </w:r>
    </w:p>
    <w:p w14:paraId="4DCEF5AF" w14:textId="77777777" w:rsidR="00DE2956" w:rsidRPr="007B75DC" w:rsidRDefault="00DE2956" w:rsidP="00DE2956">
      <w:pPr>
        <w:spacing w:after="0" w:line="240" w:lineRule="auto"/>
        <w:rPr>
          <w:rFonts w:ascii="Times New Roman" w:eastAsia="Times New Roman" w:hAnsi="Times New Roman" w:cs="Times New Roman"/>
          <w:szCs w:val="24"/>
        </w:rPr>
      </w:pPr>
    </w:p>
    <w:p w14:paraId="17B4151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Įvairios nepageidaujamos reakcijos, pvz., skystis pleuros ertmėje, ascitas, plaučių edema ar greitai didėjantis kūno svoris su paviršine edema ar be jos, gali būti bendrai vadinamos </w:t>
      </w:r>
      <w:r w:rsidR="009E177C">
        <w:rPr>
          <w:rFonts w:ascii="Times New Roman" w:eastAsia="Times New Roman" w:hAnsi="Times New Roman" w:cs="Times New Roman"/>
          <w:szCs w:val="24"/>
        </w:rPr>
        <w:t>„</w:t>
      </w:r>
      <w:r w:rsidRPr="007B75DC">
        <w:rPr>
          <w:rFonts w:ascii="Times New Roman" w:eastAsia="Times New Roman" w:hAnsi="Times New Roman" w:cs="Times New Roman"/>
          <w:szCs w:val="24"/>
        </w:rPr>
        <w:t>skysčių susilaikymu</w:t>
      </w:r>
      <w:r w:rsidR="009E177C">
        <w:rPr>
          <w:rFonts w:ascii="Times New Roman" w:eastAsia="Times New Roman" w:hAnsi="Times New Roman" w:cs="Times New Roman"/>
          <w:szCs w:val="24"/>
        </w:rPr>
        <w:t>“</w:t>
      </w:r>
      <w:r w:rsidRPr="007B75DC">
        <w:rPr>
          <w:rFonts w:ascii="Times New Roman" w:eastAsia="Times New Roman" w:hAnsi="Times New Roman" w:cs="Times New Roman"/>
          <w:szCs w:val="24"/>
        </w:rPr>
        <w:t>.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7299D703" w14:textId="77777777" w:rsidR="00DE2956" w:rsidRPr="007B75DC" w:rsidRDefault="00DE2956" w:rsidP="00DE2956">
      <w:pPr>
        <w:spacing w:after="0" w:line="240" w:lineRule="auto"/>
        <w:rPr>
          <w:rFonts w:ascii="Times New Roman" w:eastAsia="Times New Roman" w:hAnsi="Times New Roman" w:cs="Times New Roman"/>
          <w:szCs w:val="24"/>
        </w:rPr>
      </w:pPr>
    </w:p>
    <w:p w14:paraId="12DA8F1F"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Nepageidaujamos reakcijos</w:t>
      </w:r>
    </w:p>
    <w:p w14:paraId="65B143A5" w14:textId="77777777" w:rsidR="00DE2956" w:rsidRPr="00434050"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Nepageidaujamos reakcijos, pasireiškusios dažniau negu pavieniais atvejais, išvardytos žemiau pagal organų sistem</w:t>
      </w:r>
      <w:r w:rsidR="00287648">
        <w:rPr>
          <w:rFonts w:ascii="Times New Roman" w:eastAsia="Times New Roman" w:hAnsi="Times New Roman" w:cs="Times New Roman"/>
          <w:szCs w:val="24"/>
        </w:rPr>
        <w:t>ų klases</w:t>
      </w:r>
      <w:r w:rsidRPr="007B75DC">
        <w:rPr>
          <w:rFonts w:ascii="Times New Roman" w:eastAsia="Times New Roman" w:hAnsi="Times New Roman" w:cs="Times New Roman"/>
          <w:szCs w:val="24"/>
        </w:rPr>
        <w:t xml:space="preserve"> ir dažnį.</w:t>
      </w:r>
      <w:r w:rsidRPr="00434050">
        <w:rPr>
          <w:rFonts w:ascii="Times New Roman" w:eastAsia="Times New Roman" w:hAnsi="Times New Roman" w:cs="Times New Roman"/>
          <w:szCs w:val="24"/>
        </w:rPr>
        <w:t xml:space="preserve"> </w:t>
      </w:r>
      <w:r w:rsidR="00434050" w:rsidRPr="00434050">
        <w:rPr>
          <w:rFonts w:ascii="Times New Roman" w:hAnsi="Times New Roman"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C7CF14C" w14:textId="77777777" w:rsidR="00DE2956" w:rsidRPr="007B75DC" w:rsidRDefault="00DE2956" w:rsidP="00DE2956">
      <w:pPr>
        <w:spacing w:after="0" w:line="240" w:lineRule="auto"/>
        <w:rPr>
          <w:rFonts w:ascii="Times New Roman" w:eastAsia="Times New Roman" w:hAnsi="Times New Roman" w:cs="Times New Roman"/>
          <w:szCs w:val="24"/>
        </w:rPr>
      </w:pPr>
    </w:p>
    <w:p w14:paraId="4041E114"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Kiekvienoje dažnio grupėje nepageidaujamas poveikis pateikiamas pagal pasireiškimo dažnumą. Dažniausiai pasireiškusieji pateikti pirmiausiai.</w:t>
      </w:r>
    </w:p>
    <w:p w14:paraId="3A648865" w14:textId="2CF0440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lentelėje išvardintos nepageidaujamos reakcijos ir jų pasireiškimo dažnumas.</w:t>
      </w:r>
    </w:p>
    <w:p w14:paraId="3DD15326" w14:textId="77777777" w:rsidR="00DE2956" w:rsidRPr="007B75DC" w:rsidRDefault="00DE2956" w:rsidP="00DE2956">
      <w:pPr>
        <w:spacing w:after="0" w:line="240" w:lineRule="auto"/>
        <w:rPr>
          <w:rFonts w:ascii="Times New Roman" w:eastAsia="Times New Roman" w:hAnsi="Times New Roman" w:cs="Times New Roman"/>
          <w:szCs w:val="24"/>
        </w:rPr>
      </w:pPr>
    </w:p>
    <w:p w14:paraId="226FA515" w14:textId="186E9D62"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1</w:t>
      </w:r>
      <w:r w:rsidR="003D184D">
        <w:rPr>
          <w:rFonts w:ascii="Times New Roman" w:eastAsia="Times New Roman" w:hAnsi="Times New Roman" w:cs="Times New Roman"/>
          <w:b/>
          <w:szCs w:val="24"/>
        </w:rPr>
        <w:t> </w:t>
      </w:r>
      <w:r w:rsidRPr="007B75DC">
        <w:rPr>
          <w:rFonts w:ascii="Times New Roman" w:eastAsia="Times New Roman" w:hAnsi="Times New Roman" w:cs="Times New Roman"/>
          <w:b/>
          <w:szCs w:val="24"/>
        </w:rPr>
        <w:t>lentelė</w:t>
      </w:r>
      <w:r w:rsidR="00287648">
        <w:rPr>
          <w:rFonts w:ascii="Times New Roman" w:eastAsia="Times New Roman" w:hAnsi="Times New Roman" w:cs="Times New Roman"/>
          <w:b/>
          <w:szCs w:val="24"/>
        </w:rPr>
        <w:t>.</w:t>
      </w:r>
      <w:r w:rsidRPr="007B75DC">
        <w:rPr>
          <w:rFonts w:ascii="Times New Roman" w:eastAsia="Times New Roman" w:hAnsi="Times New Roman" w:cs="Times New Roman"/>
          <w:b/>
          <w:szCs w:val="24"/>
        </w:rPr>
        <w:t xml:space="preserve"> Nepageidaujamų reakcijų santrauka</w:t>
      </w:r>
      <w:r w:rsidRPr="007B75DC">
        <w:rPr>
          <w:rFonts w:ascii="Times New Roman" w:eastAsia="Times New Roman" w:hAnsi="Times New Roman" w:cs="Times New Roman"/>
          <w:b/>
          <w:szCs w:val="24"/>
        </w:rPr>
        <w:cr/>
      </w:r>
    </w:p>
    <w:tbl>
      <w:tblPr>
        <w:tblW w:w="5000" w:type="pct"/>
        <w:tblCellMar>
          <w:left w:w="0" w:type="dxa"/>
          <w:right w:w="0" w:type="dxa"/>
        </w:tblCellMar>
        <w:tblLook w:val="04A0" w:firstRow="1" w:lastRow="0" w:firstColumn="1" w:lastColumn="0" w:noHBand="0" w:noVBand="1"/>
      </w:tblPr>
      <w:tblGrid>
        <w:gridCol w:w="2258"/>
        <w:gridCol w:w="6802"/>
      </w:tblGrid>
      <w:tr w:rsidR="00DE2956" w:rsidRPr="007B75DC" w14:paraId="60BDC337"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301CED0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Infekcijos ir infestacijos</w:t>
            </w:r>
          </w:p>
        </w:tc>
      </w:tr>
      <w:tr w:rsidR="00DE2956" w:rsidRPr="007B75DC" w14:paraId="66CE35D7" w14:textId="77777777" w:rsidTr="003F4907">
        <w:trPr>
          <w:trHeight w:hRule="exact" w:val="790"/>
        </w:trPr>
        <w:tc>
          <w:tcPr>
            <w:tcW w:w="1246" w:type="pct"/>
            <w:tcBorders>
              <w:top w:val="single" w:sz="4" w:space="0" w:color="000000"/>
              <w:left w:val="single" w:sz="4" w:space="0" w:color="000000"/>
              <w:bottom w:val="single" w:sz="4" w:space="0" w:color="000000"/>
              <w:right w:val="single" w:sz="4" w:space="0" w:color="000000"/>
            </w:tcBorders>
            <w:hideMark/>
          </w:tcPr>
          <w:p w14:paraId="6AF6EC1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1DCD449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iCs/>
                <w:lang w:eastAsia="zh-CN"/>
              </w:rPr>
              <w:t>Juostinė pūslelinė</w:t>
            </w:r>
            <w:r w:rsidRPr="007B75DC">
              <w:rPr>
                <w:rFonts w:ascii="Times New Roman" w:eastAsia="SimSun" w:hAnsi="Times New Roman" w:cs="Times New Roman"/>
                <w:lang w:eastAsia="zh-CN"/>
              </w:rPr>
              <w:t>, paprastoji pūslelinė, nosiaryklės uždegimas, pneumonija</w:t>
            </w:r>
            <w:r w:rsidRPr="007B75DC">
              <w:rPr>
                <w:rFonts w:ascii="Times New Roman" w:eastAsia="SimSun" w:hAnsi="Times New Roman" w:cs="Times New Roman"/>
                <w:vertAlign w:val="superscript"/>
                <w:lang w:eastAsia="zh-CN"/>
              </w:rPr>
              <w:t>1</w:t>
            </w:r>
            <w:r w:rsidRPr="007B75DC">
              <w:rPr>
                <w:rFonts w:ascii="Times New Roman" w:eastAsia="SimSun" w:hAnsi="Times New Roman" w:cs="Times New Roman"/>
                <w:lang w:eastAsia="zh-CN"/>
              </w:rPr>
              <w:t>, sinusitas, puriojo ląstelyno uždegimas, viršutinių kvėpavimo takų infekcija, gripas, šlapimo takų infekcija, gastroenteritas, sepsis</w:t>
            </w:r>
          </w:p>
        </w:tc>
      </w:tr>
      <w:tr w:rsidR="00DE2956" w:rsidRPr="007B75DC" w14:paraId="384C7D31"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0FF46E2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2F3250A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Grybelinė infekcija</w:t>
            </w:r>
          </w:p>
        </w:tc>
      </w:tr>
      <w:tr w:rsidR="00DE2956" w:rsidRPr="007B75DC" w14:paraId="0AF35616"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tcPr>
          <w:p w14:paraId="696BA3E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tcPr>
          <w:p w14:paraId="617CC73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Hepatito B reaktyvacija*</w:t>
            </w:r>
          </w:p>
        </w:tc>
      </w:tr>
      <w:tr w:rsidR="00DE2956" w:rsidRPr="007B75DC" w14:paraId="38CDDC58"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343A39F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Gerybiniai, piktybiniai ir nepatikslinti navikai (tarp jų cistos ir polipai)</w:t>
            </w:r>
          </w:p>
        </w:tc>
      </w:tr>
      <w:tr w:rsidR="00DE2956" w:rsidRPr="007B75DC" w14:paraId="26143B53"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4C8AF73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0A3B756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Naviko lizės sindromas</w:t>
            </w:r>
          </w:p>
        </w:tc>
      </w:tr>
      <w:tr w:rsidR="00DE2956" w:rsidRPr="007B75DC" w14:paraId="47CE8103"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7134B47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0DFD41B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Naviko kraujosruva/naviko nekrozė*</w:t>
            </w:r>
          </w:p>
        </w:tc>
      </w:tr>
      <w:tr w:rsidR="00DE2956" w:rsidRPr="007B75DC" w14:paraId="0067E1B6"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58383C2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b/>
                <w:lang w:eastAsia="zh-CN"/>
              </w:rPr>
            </w:pPr>
            <w:r w:rsidRPr="007B75DC">
              <w:rPr>
                <w:rFonts w:ascii="Times New Roman" w:eastAsia="SimSun" w:hAnsi="Times New Roman" w:cs="Times New Roman"/>
                <w:b/>
                <w:lang w:eastAsia="zh-CN"/>
              </w:rPr>
              <w:t>Imuninės sistemos sutrikimai</w:t>
            </w:r>
          </w:p>
        </w:tc>
      </w:tr>
      <w:tr w:rsidR="00DE2956" w:rsidRPr="007B75DC" w14:paraId="0E79C90F"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2C4AB22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48A21E8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Anafilaksinis šokas*</w:t>
            </w:r>
          </w:p>
        </w:tc>
      </w:tr>
      <w:tr w:rsidR="00DE2956" w:rsidRPr="007B75DC" w14:paraId="65885107"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7122F7C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Kraujo ir limfinės sistemos sutrikimai</w:t>
            </w:r>
          </w:p>
        </w:tc>
      </w:tr>
      <w:tr w:rsidR="00DE2956" w:rsidRPr="007B75DC" w14:paraId="2E7F6373"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9995B2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4B4B9AD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Neutropenija, trombocitopenija, anemija</w:t>
            </w:r>
          </w:p>
        </w:tc>
      </w:tr>
      <w:tr w:rsidR="00DE2956" w:rsidRPr="007B75DC" w14:paraId="41B14D00"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6817019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55A54E1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Pancitopenija, febrilinė neutropenija</w:t>
            </w:r>
          </w:p>
        </w:tc>
      </w:tr>
      <w:tr w:rsidR="00DE2956" w:rsidRPr="007B75DC" w14:paraId="46A24008" w14:textId="77777777" w:rsidTr="003F4907">
        <w:trPr>
          <w:trHeight w:hRule="exact" w:val="531"/>
        </w:trPr>
        <w:tc>
          <w:tcPr>
            <w:tcW w:w="1246" w:type="pct"/>
            <w:tcBorders>
              <w:top w:val="single" w:sz="4" w:space="0" w:color="000000"/>
              <w:left w:val="single" w:sz="4" w:space="0" w:color="000000"/>
              <w:bottom w:val="single" w:sz="4" w:space="0" w:color="000000"/>
              <w:right w:val="single" w:sz="4" w:space="0" w:color="000000"/>
            </w:tcBorders>
            <w:hideMark/>
          </w:tcPr>
          <w:p w14:paraId="49E3DCE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459D827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Trombocitopenija, limfocitopenija, kaulų čiulpų slopinimas, eozinofilija, limfadenopatija</w:t>
            </w:r>
          </w:p>
        </w:tc>
      </w:tr>
      <w:tr w:rsidR="00DE2956" w:rsidRPr="007B75DC" w14:paraId="5EC50F82"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597F4CF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03B8ACA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Hemolizinė anemija</w:t>
            </w:r>
            <w:r w:rsidR="00EB532F" w:rsidRPr="007B75DC">
              <w:rPr>
                <w:rFonts w:ascii="Times New Roman" w:eastAsia="SimSun" w:hAnsi="Times New Roman" w:cs="Times New Roman"/>
                <w:lang w:eastAsia="zh-CN"/>
              </w:rPr>
              <w:t>, trombinė mikroangiopatija</w:t>
            </w:r>
          </w:p>
        </w:tc>
      </w:tr>
      <w:tr w:rsidR="00DE2956" w:rsidRPr="007B75DC" w14:paraId="5C6555BD"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48F0E3F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Metabolizmo ir mitybos sutrikimai</w:t>
            </w:r>
          </w:p>
        </w:tc>
      </w:tr>
      <w:tr w:rsidR="00DE2956" w:rsidRPr="007B75DC" w14:paraId="51BF70D8"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6970E8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5C15F75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Anoreksija</w:t>
            </w:r>
          </w:p>
        </w:tc>
      </w:tr>
      <w:tr w:rsidR="00DE2956" w:rsidRPr="007B75DC" w14:paraId="77B51D31" w14:textId="77777777" w:rsidTr="003F4907">
        <w:trPr>
          <w:trHeight w:hRule="exact" w:val="790"/>
        </w:trPr>
        <w:tc>
          <w:tcPr>
            <w:tcW w:w="1246" w:type="pct"/>
            <w:tcBorders>
              <w:top w:val="single" w:sz="4" w:space="0" w:color="000000"/>
              <w:left w:val="single" w:sz="4" w:space="0" w:color="000000"/>
              <w:bottom w:val="single" w:sz="4" w:space="0" w:color="000000"/>
              <w:right w:val="single" w:sz="4" w:space="0" w:color="000000"/>
            </w:tcBorders>
            <w:hideMark/>
          </w:tcPr>
          <w:p w14:paraId="3858E1F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44E09B5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Hipokalemija, padidėjęs apetitas, hipofosfatemija, sumažėjęs apetitas, dehidracija, podagra, hiperurikemija, hiperkalcemija, hiperglikemija, hiponatremija</w:t>
            </w:r>
          </w:p>
        </w:tc>
      </w:tr>
      <w:tr w:rsidR="00DE2956" w:rsidRPr="007B75DC" w14:paraId="3D05B30A"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7A2DDBE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4C5A3DE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Hiperkalemija, hipomagnezemija</w:t>
            </w:r>
          </w:p>
        </w:tc>
      </w:tr>
      <w:tr w:rsidR="00DE2956" w:rsidRPr="007B75DC" w14:paraId="3CC9EC84"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1EB2649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Psichikos sutrikimai</w:t>
            </w:r>
          </w:p>
        </w:tc>
      </w:tr>
      <w:tr w:rsidR="00DE2956" w:rsidRPr="007B75DC" w14:paraId="04F405C8"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298360D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3027E11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Nemiga</w:t>
            </w:r>
          </w:p>
        </w:tc>
      </w:tr>
      <w:tr w:rsidR="00DE2956" w:rsidRPr="007B75DC" w14:paraId="2835951B"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208E80E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15F30C8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Depresija, sumažėjęs lytinis potraukis, nerimas</w:t>
            </w:r>
          </w:p>
        </w:tc>
      </w:tr>
      <w:tr w:rsidR="00DE2956" w:rsidRPr="007B75DC" w14:paraId="783FD6CD"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2AA5E76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39AB35E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 xml:space="preserve">Sumišimo būsena </w:t>
            </w:r>
          </w:p>
        </w:tc>
      </w:tr>
      <w:tr w:rsidR="00DE2956" w:rsidRPr="007B75DC" w14:paraId="2A4DB56D"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4420684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lastRenderedPageBreak/>
              <w:t>Nervų sistemos sutrikimai</w:t>
            </w:r>
          </w:p>
        </w:tc>
      </w:tr>
      <w:tr w:rsidR="00DE2956" w:rsidRPr="007B75DC" w14:paraId="3D5F964B"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0235E89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6927F7F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Galvos skausmas</w:t>
            </w:r>
            <w:r w:rsidRPr="007B75DC">
              <w:rPr>
                <w:rFonts w:ascii="Times New Roman" w:eastAsia="SimSun" w:hAnsi="Times New Roman" w:cs="Times New Roman"/>
                <w:vertAlign w:val="superscript"/>
                <w:lang w:eastAsia="zh-CN"/>
              </w:rPr>
              <w:t>2</w:t>
            </w:r>
          </w:p>
        </w:tc>
      </w:tr>
      <w:tr w:rsidR="00DE2956" w:rsidRPr="007B75DC" w14:paraId="6E7D57F2"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17159F8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3394CCB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Svaigulys, parestezija, sutrikęs skonio jutimas, hipestezija</w:t>
            </w:r>
          </w:p>
        </w:tc>
      </w:tr>
      <w:tr w:rsidR="00DE2956" w:rsidRPr="007B75DC" w14:paraId="5050563D" w14:textId="77777777" w:rsidTr="003F4907">
        <w:trPr>
          <w:trHeight w:hRule="exact" w:val="779"/>
        </w:trPr>
        <w:tc>
          <w:tcPr>
            <w:tcW w:w="1246" w:type="pct"/>
            <w:tcBorders>
              <w:top w:val="single" w:sz="4" w:space="0" w:color="000000"/>
              <w:left w:val="single" w:sz="4" w:space="0" w:color="000000"/>
              <w:bottom w:val="single" w:sz="4" w:space="0" w:color="000000"/>
              <w:right w:val="single" w:sz="4" w:space="0" w:color="000000"/>
            </w:tcBorders>
            <w:hideMark/>
          </w:tcPr>
          <w:p w14:paraId="59A3E13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7F03D00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Migrena, mieguistumas, apalpimas (sinkopė), periferinė neuropatija, atminties sutrikimai, išialgija, neramių kojų sindromas, tremoras, smegenų kraujosruvos</w:t>
            </w:r>
          </w:p>
        </w:tc>
      </w:tr>
      <w:tr w:rsidR="00DE2956" w:rsidRPr="007B75DC" w14:paraId="44AC884F"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350936E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3D8C267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Padidėjęs intrakranijinis spaudimas, traukuliai, regos nervo uždegimas</w:t>
            </w:r>
          </w:p>
        </w:tc>
      </w:tr>
      <w:tr w:rsidR="00DE2956" w:rsidRPr="007B75DC" w14:paraId="4BCEBB5E"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29F619D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6149159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Smegenų edema*</w:t>
            </w:r>
          </w:p>
        </w:tc>
      </w:tr>
      <w:tr w:rsidR="00DE2956" w:rsidRPr="007B75DC" w14:paraId="1D0C2AA3"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54F6D9B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Akių sutrikimai</w:t>
            </w:r>
          </w:p>
        </w:tc>
      </w:tr>
      <w:tr w:rsidR="00DE2956" w:rsidRPr="007B75DC" w14:paraId="17BD4292" w14:textId="77777777" w:rsidTr="003F4907">
        <w:trPr>
          <w:trHeight w:hRule="exact" w:val="528"/>
        </w:trPr>
        <w:tc>
          <w:tcPr>
            <w:tcW w:w="1246" w:type="pct"/>
            <w:tcBorders>
              <w:top w:val="single" w:sz="4" w:space="0" w:color="000000"/>
              <w:left w:val="single" w:sz="4" w:space="0" w:color="000000"/>
              <w:bottom w:val="single" w:sz="4" w:space="0" w:color="000000"/>
              <w:right w:val="single" w:sz="4" w:space="0" w:color="000000"/>
            </w:tcBorders>
            <w:hideMark/>
          </w:tcPr>
          <w:p w14:paraId="76CC762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1CDE505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Akių vokų edema, padidėjęs ašarojimas, junginės kraujosruvos, konjunktyvitas, akių sausmė, neryškus matymas</w:t>
            </w:r>
          </w:p>
        </w:tc>
      </w:tr>
      <w:tr w:rsidR="00DE2956" w:rsidRPr="007B75DC" w14:paraId="04CFE2F4" w14:textId="77777777" w:rsidTr="003F4907">
        <w:trPr>
          <w:trHeight w:hRule="exact" w:val="530"/>
        </w:trPr>
        <w:tc>
          <w:tcPr>
            <w:tcW w:w="1246" w:type="pct"/>
            <w:tcBorders>
              <w:top w:val="single" w:sz="4" w:space="0" w:color="000000"/>
              <w:left w:val="single" w:sz="4" w:space="0" w:color="000000"/>
              <w:bottom w:val="single" w:sz="4" w:space="0" w:color="000000"/>
              <w:right w:val="single" w:sz="4" w:space="0" w:color="000000"/>
            </w:tcBorders>
            <w:hideMark/>
          </w:tcPr>
          <w:p w14:paraId="52AFA58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376DA7E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Akių dirginimas, akių skausmas, akiduobės edema, odenos kraujosruvos, tinklainės kraujosruvos, blefaritas, geltonosios dėmės edema</w:t>
            </w:r>
          </w:p>
        </w:tc>
      </w:tr>
      <w:tr w:rsidR="00DE2956" w:rsidRPr="007B75DC" w14:paraId="0AE6117D"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642526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29610AB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Katarakta, glaukoma, regos nervo disko edema</w:t>
            </w:r>
          </w:p>
        </w:tc>
      </w:tr>
      <w:tr w:rsidR="00DE2956" w:rsidRPr="007B75DC" w14:paraId="4DFE595F"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739A28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391DF9A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Stiklakūnio kraujosruva*</w:t>
            </w:r>
          </w:p>
        </w:tc>
      </w:tr>
      <w:tr w:rsidR="00DE2956" w:rsidRPr="007B75DC" w14:paraId="67DFC7DC"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31B7811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Ausų ir labirintų sutrikimai</w:t>
            </w:r>
          </w:p>
        </w:tc>
      </w:tr>
      <w:tr w:rsidR="00DE2956" w:rsidRPr="007B75DC" w14:paraId="0DB82230"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0F033CD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0A417F2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Svaigimas (</w:t>
            </w:r>
            <w:r w:rsidRPr="007B75DC">
              <w:rPr>
                <w:rFonts w:ascii="Times New Roman" w:eastAsia="SimSun" w:hAnsi="Times New Roman" w:cs="Times New Roman"/>
                <w:i/>
                <w:lang w:eastAsia="zh-CN"/>
              </w:rPr>
              <w:t>vertigo</w:t>
            </w:r>
            <w:r w:rsidRPr="007B75DC">
              <w:rPr>
                <w:rFonts w:ascii="Times New Roman" w:eastAsia="SimSun" w:hAnsi="Times New Roman" w:cs="Times New Roman"/>
                <w:lang w:eastAsia="zh-CN"/>
              </w:rPr>
              <w:t>), ūžesys (</w:t>
            </w:r>
            <w:r w:rsidRPr="007B75DC">
              <w:rPr>
                <w:rFonts w:ascii="Times New Roman" w:eastAsia="SimSun" w:hAnsi="Times New Roman" w:cs="Times New Roman"/>
                <w:i/>
                <w:lang w:eastAsia="zh-CN"/>
              </w:rPr>
              <w:t>tinnitus</w:t>
            </w:r>
            <w:r w:rsidRPr="007B75DC">
              <w:rPr>
                <w:rFonts w:ascii="Times New Roman" w:eastAsia="SimSun" w:hAnsi="Times New Roman" w:cs="Times New Roman"/>
                <w:lang w:eastAsia="zh-CN"/>
              </w:rPr>
              <w:t>), apkurtimas</w:t>
            </w:r>
          </w:p>
        </w:tc>
      </w:tr>
      <w:tr w:rsidR="00DE2956" w:rsidRPr="007B75DC" w14:paraId="793950D3"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6C043A3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Širdies sutrikimai</w:t>
            </w:r>
          </w:p>
        </w:tc>
      </w:tr>
      <w:tr w:rsidR="00DE2956" w:rsidRPr="007B75DC" w14:paraId="14101B41" w14:textId="77777777" w:rsidTr="003F4907">
        <w:trPr>
          <w:trHeight w:hRule="exact" w:val="531"/>
        </w:trPr>
        <w:tc>
          <w:tcPr>
            <w:tcW w:w="1246" w:type="pct"/>
            <w:tcBorders>
              <w:top w:val="single" w:sz="4" w:space="0" w:color="000000"/>
              <w:left w:val="single" w:sz="4" w:space="0" w:color="000000"/>
              <w:bottom w:val="single" w:sz="4" w:space="0" w:color="000000"/>
              <w:right w:val="single" w:sz="4" w:space="0" w:color="000000"/>
            </w:tcBorders>
            <w:hideMark/>
          </w:tcPr>
          <w:p w14:paraId="26DEA59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4682695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Stiprus ir greitas širdies plakimas, tachikardija, stazinis širdies nepakankamumas</w:t>
            </w:r>
            <w:r w:rsidRPr="007B75DC">
              <w:rPr>
                <w:rFonts w:ascii="Times New Roman" w:eastAsia="SimSun" w:hAnsi="Times New Roman" w:cs="Times New Roman"/>
                <w:vertAlign w:val="superscript"/>
                <w:lang w:eastAsia="zh-CN"/>
              </w:rPr>
              <w:t>3</w:t>
            </w:r>
            <w:r w:rsidRPr="007B75DC">
              <w:rPr>
                <w:rFonts w:ascii="Times New Roman" w:eastAsia="SimSun" w:hAnsi="Times New Roman" w:cs="Times New Roman"/>
                <w:lang w:eastAsia="zh-CN"/>
              </w:rPr>
              <w:t>, plaučių edema</w:t>
            </w:r>
          </w:p>
        </w:tc>
      </w:tr>
      <w:tr w:rsidR="00DE2956" w:rsidRPr="007B75DC" w14:paraId="6BC43B62" w14:textId="77777777" w:rsidTr="003F4907">
        <w:trPr>
          <w:trHeight w:hRule="exact" w:val="629"/>
        </w:trPr>
        <w:tc>
          <w:tcPr>
            <w:tcW w:w="1246" w:type="pct"/>
            <w:tcBorders>
              <w:top w:val="single" w:sz="4" w:space="0" w:color="000000"/>
              <w:left w:val="single" w:sz="4" w:space="0" w:color="000000"/>
              <w:bottom w:val="single" w:sz="4" w:space="0" w:color="000000"/>
              <w:right w:val="single" w:sz="4" w:space="0" w:color="000000"/>
            </w:tcBorders>
            <w:hideMark/>
          </w:tcPr>
          <w:p w14:paraId="48F24EA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tcPr>
          <w:p w14:paraId="12BF2AF1" w14:textId="77777777" w:rsidR="00DE2956" w:rsidRPr="007B75DC" w:rsidRDefault="00DE2956" w:rsidP="00DE2956">
            <w:pPr>
              <w:widowControl w:val="0"/>
              <w:autoSpaceDE w:val="0"/>
              <w:autoSpaceDN w:val="0"/>
              <w:adjustRightIn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 xml:space="preserve">Aritmija, prieširdžių virpėjimas, širdies sustojimas, miokardo infarktas, krūtinės angina, skystis perikarde </w:t>
            </w:r>
          </w:p>
          <w:p w14:paraId="4ADF18B9"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p>
        </w:tc>
      </w:tr>
      <w:tr w:rsidR="00DE2956" w:rsidRPr="007B75DC" w14:paraId="053D7855" w14:textId="77777777" w:rsidTr="003F4907">
        <w:trPr>
          <w:trHeight w:hRule="exact" w:val="306"/>
        </w:trPr>
        <w:tc>
          <w:tcPr>
            <w:tcW w:w="1246" w:type="pct"/>
            <w:tcBorders>
              <w:top w:val="single" w:sz="4" w:space="0" w:color="000000"/>
              <w:left w:val="single" w:sz="4" w:space="0" w:color="000000"/>
              <w:bottom w:val="single" w:sz="4" w:space="0" w:color="000000"/>
              <w:right w:val="single" w:sz="4" w:space="0" w:color="000000"/>
            </w:tcBorders>
            <w:hideMark/>
          </w:tcPr>
          <w:p w14:paraId="6227180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10D2E23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Perikarditas*, širdies tamponada*</w:t>
            </w:r>
          </w:p>
        </w:tc>
      </w:tr>
      <w:tr w:rsidR="00DE2956" w:rsidRPr="007B75DC" w14:paraId="3F29EFDF"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223DFD4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Kraujagyslių sutrikimai</w:t>
            </w:r>
            <w:r w:rsidRPr="007B75DC">
              <w:rPr>
                <w:rFonts w:ascii="Times New Roman" w:eastAsia="SimSun" w:hAnsi="Times New Roman" w:cs="Times New Roman"/>
                <w:b/>
                <w:bCs/>
                <w:vertAlign w:val="superscript"/>
                <w:lang w:eastAsia="zh-CN"/>
              </w:rPr>
              <w:t>4</w:t>
            </w:r>
          </w:p>
        </w:tc>
      </w:tr>
      <w:tr w:rsidR="00DE2956" w:rsidRPr="007B75DC" w14:paraId="76393B60"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46E4138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36CD1F5E"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Trumpalaikis veido ir kaklo paraudimas, hemoragija</w:t>
            </w:r>
          </w:p>
        </w:tc>
      </w:tr>
      <w:tr w:rsidR="00DE2956" w:rsidRPr="007B75DC" w14:paraId="2910B8FF" w14:textId="77777777" w:rsidTr="003F4907">
        <w:trPr>
          <w:trHeight w:hRule="exact" w:val="559"/>
        </w:trPr>
        <w:tc>
          <w:tcPr>
            <w:tcW w:w="1246" w:type="pct"/>
            <w:tcBorders>
              <w:top w:val="single" w:sz="4" w:space="0" w:color="000000"/>
              <w:left w:val="single" w:sz="4" w:space="0" w:color="000000"/>
              <w:bottom w:val="single" w:sz="4" w:space="0" w:color="000000"/>
              <w:right w:val="single" w:sz="4" w:space="0" w:color="000000"/>
            </w:tcBorders>
            <w:hideMark/>
          </w:tcPr>
          <w:p w14:paraId="0CA7D71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1DF3B26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Hipertenzija, hematoma, subdurinė hematoma, periferinis šalimas, hipotenzija, Reino (</w:t>
            </w:r>
            <w:r w:rsidRPr="007B75DC">
              <w:rPr>
                <w:rFonts w:ascii="Times New Roman" w:eastAsia="SimSun" w:hAnsi="Times New Roman" w:cs="Times New Roman"/>
                <w:i/>
                <w:lang w:eastAsia="zh-CN"/>
              </w:rPr>
              <w:t>Raynaud</w:t>
            </w:r>
            <w:r w:rsidRPr="007B75DC">
              <w:rPr>
                <w:rFonts w:ascii="Times New Roman" w:eastAsia="SimSun" w:hAnsi="Times New Roman" w:cs="Times New Roman"/>
                <w:lang w:eastAsia="zh-CN"/>
              </w:rPr>
              <w:t>) fenomenas</w:t>
            </w:r>
          </w:p>
        </w:tc>
      </w:tr>
      <w:tr w:rsidR="00DE2956" w:rsidRPr="007B75DC" w14:paraId="309D52FE" w14:textId="77777777" w:rsidTr="003F4907">
        <w:trPr>
          <w:trHeight w:hRule="exact" w:val="311"/>
        </w:trPr>
        <w:tc>
          <w:tcPr>
            <w:tcW w:w="1246" w:type="pct"/>
            <w:tcBorders>
              <w:top w:val="single" w:sz="4" w:space="0" w:color="000000"/>
              <w:left w:val="single" w:sz="4" w:space="0" w:color="000000"/>
              <w:bottom w:val="single" w:sz="4" w:space="0" w:color="000000"/>
              <w:right w:val="single" w:sz="4" w:space="0" w:color="000000"/>
            </w:tcBorders>
            <w:hideMark/>
          </w:tcPr>
          <w:p w14:paraId="0195C75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6A0DDB2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Trombozė/embolija*</w:t>
            </w:r>
          </w:p>
        </w:tc>
      </w:tr>
      <w:tr w:rsidR="00DE2956" w:rsidRPr="007B75DC" w14:paraId="0884236C"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1E85A7D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Kvėpavimo sistemos, krūtinės ląstos ir tarpuplaučio sutrikimai</w:t>
            </w:r>
          </w:p>
        </w:tc>
      </w:tr>
      <w:tr w:rsidR="00DE2956" w:rsidRPr="007B75DC" w14:paraId="620A0CDB"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504F8A9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168406E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Dusulys, kraujavimas iš nosies, kosulys</w:t>
            </w:r>
          </w:p>
        </w:tc>
      </w:tr>
      <w:tr w:rsidR="00DE2956" w:rsidRPr="007B75DC" w14:paraId="3AF21F65"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69C233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1EFF15C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Skystis pleuros ertmėje</w:t>
            </w:r>
            <w:r w:rsidRPr="007B75DC">
              <w:rPr>
                <w:rFonts w:ascii="Times New Roman" w:eastAsia="SimSun" w:hAnsi="Times New Roman" w:cs="Times New Roman"/>
                <w:vertAlign w:val="superscript"/>
                <w:lang w:eastAsia="zh-CN"/>
              </w:rPr>
              <w:t>5</w:t>
            </w:r>
            <w:r w:rsidRPr="007B75DC">
              <w:rPr>
                <w:rFonts w:ascii="Times New Roman" w:eastAsia="SimSun" w:hAnsi="Times New Roman" w:cs="Times New Roman"/>
                <w:lang w:eastAsia="zh-CN"/>
              </w:rPr>
              <w:t>, ryklės ir gerklų skausmas, faringitas</w:t>
            </w:r>
          </w:p>
        </w:tc>
      </w:tr>
      <w:tr w:rsidR="00DE2956" w:rsidRPr="007B75DC" w14:paraId="4628DA40" w14:textId="77777777" w:rsidTr="003F4907">
        <w:trPr>
          <w:trHeight w:hRule="exact" w:val="639"/>
        </w:trPr>
        <w:tc>
          <w:tcPr>
            <w:tcW w:w="1246" w:type="pct"/>
            <w:tcBorders>
              <w:top w:val="single" w:sz="4" w:space="0" w:color="000000"/>
              <w:left w:val="single" w:sz="4" w:space="0" w:color="000000"/>
              <w:bottom w:val="single" w:sz="4" w:space="0" w:color="000000"/>
              <w:right w:val="single" w:sz="4" w:space="0" w:color="000000"/>
            </w:tcBorders>
            <w:hideMark/>
          </w:tcPr>
          <w:p w14:paraId="75AB4BD1"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tcPr>
          <w:p w14:paraId="478880DE" w14:textId="77777777" w:rsidR="00DE2956" w:rsidRPr="007B75DC" w:rsidRDefault="00DE2956" w:rsidP="00DE2956">
            <w:pPr>
              <w:widowControl w:val="0"/>
              <w:autoSpaceDE w:val="0"/>
              <w:autoSpaceDN w:val="0"/>
              <w:adjustRightIn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 xml:space="preserve">Pleuritinis skausmas, plaučių fibrozė, plaučių hipertenzija, kraujavimas iš plaučių </w:t>
            </w:r>
          </w:p>
          <w:p w14:paraId="5AC4ACD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p>
        </w:tc>
      </w:tr>
      <w:tr w:rsidR="00DE2956" w:rsidRPr="007B75DC" w14:paraId="155F8499" w14:textId="77777777" w:rsidTr="003F4907">
        <w:trPr>
          <w:trHeight w:hRule="exact" w:val="284"/>
        </w:trPr>
        <w:tc>
          <w:tcPr>
            <w:tcW w:w="1246" w:type="pct"/>
            <w:tcBorders>
              <w:top w:val="single" w:sz="4" w:space="0" w:color="000000"/>
              <w:left w:val="single" w:sz="4" w:space="0" w:color="000000"/>
              <w:bottom w:val="single" w:sz="4" w:space="0" w:color="000000"/>
              <w:right w:val="single" w:sz="4" w:space="0" w:color="000000"/>
            </w:tcBorders>
            <w:hideMark/>
          </w:tcPr>
          <w:p w14:paraId="2849B10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2E1922F9"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Ūminis kvėpavimo nepakankamumas</w:t>
            </w:r>
            <w:r w:rsidRPr="007B75DC">
              <w:rPr>
                <w:rFonts w:ascii="Times New Roman" w:eastAsia="SimSun" w:hAnsi="Times New Roman" w:cs="Times New Roman"/>
                <w:vertAlign w:val="superscript"/>
                <w:lang w:eastAsia="zh-CN"/>
              </w:rPr>
              <w:t>1</w:t>
            </w:r>
            <w:r w:rsidR="005E1A72">
              <w:rPr>
                <w:rFonts w:ascii="Times New Roman" w:eastAsia="SimSun" w:hAnsi="Times New Roman" w:cs="Times New Roman"/>
                <w:vertAlign w:val="superscript"/>
                <w:lang w:eastAsia="zh-CN"/>
              </w:rPr>
              <w:t>1</w:t>
            </w:r>
            <w:r w:rsidRPr="007B75DC">
              <w:rPr>
                <w:rFonts w:ascii="Times New Roman" w:eastAsia="SimSun" w:hAnsi="Times New Roman" w:cs="Times New Roman"/>
                <w:lang w:eastAsia="zh-CN"/>
              </w:rPr>
              <w:t>*, intersticinė plaučių liga*</w:t>
            </w:r>
          </w:p>
        </w:tc>
      </w:tr>
      <w:tr w:rsidR="00DE2956" w:rsidRPr="007B75DC" w14:paraId="0C4D301D"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0C6EA8C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Virškinimo trakto sutrikimai</w:t>
            </w:r>
          </w:p>
        </w:tc>
      </w:tr>
      <w:tr w:rsidR="00DE2956" w:rsidRPr="007B75DC" w14:paraId="25324AFE"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083B71E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6B8D423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Pykinimas, viduriavimas, vėmimas, dispepsija, pilvo skausmas</w:t>
            </w:r>
            <w:r w:rsidRPr="007B75DC">
              <w:rPr>
                <w:rFonts w:ascii="Times New Roman" w:eastAsia="SimSun" w:hAnsi="Times New Roman" w:cs="Times New Roman"/>
                <w:vertAlign w:val="superscript"/>
                <w:lang w:eastAsia="zh-CN"/>
              </w:rPr>
              <w:t>6</w:t>
            </w:r>
          </w:p>
        </w:tc>
      </w:tr>
      <w:tr w:rsidR="00DE2956" w:rsidRPr="007B75DC" w14:paraId="67298331" w14:textId="77777777" w:rsidTr="003F4907">
        <w:trPr>
          <w:trHeight w:hRule="exact" w:val="530"/>
        </w:trPr>
        <w:tc>
          <w:tcPr>
            <w:tcW w:w="1246" w:type="pct"/>
            <w:tcBorders>
              <w:top w:val="single" w:sz="4" w:space="0" w:color="000000"/>
              <w:left w:val="single" w:sz="4" w:space="0" w:color="000000"/>
              <w:bottom w:val="single" w:sz="4" w:space="0" w:color="000000"/>
              <w:right w:val="single" w:sz="4" w:space="0" w:color="000000"/>
            </w:tcBorders>
            <w:hideMark/>
          </w:tcPr>
          <w:p w14:paraId="1573B47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12DDEF1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Dujų susikaupimas žarnyne, pilvo pūtimas, gastroezofaginio refliukso liga, vidurių užkietėjimas, burnos džiūvimas, gastritas</w:t>
            </w:r>
          </w:p>
        </w:tc>
      </w:tr>
      <w:tr w:rsidR="00DE2956" w:rsidRPr="007B75DC" w14:paraId="7DF0A16A" w14:textId="77777777" w:rsidTr="003F4907">
        <w:trPr>
          <w:trHeight w:hRule="exact" w:val="918"/>
        </w:trPr>
        <w:tc>
          <w:tcPr>
            <w:tcW w:w="1246" w:type="pct"/>
            <w:tcBorders>
              <w:top w:val="single" w:sz="4" w:space="0" w:color="000000"/>
              <w:left w:val="single" w:sz="4" w:space="0" w:color="000000"/>
              <w:bottom w:val="single" w:sz="4" w:space="0" w:color="000000"/>
              <w:right w:val="single" w:sz="4" w:space="0" w:color="000000"/>
            </w:tcBorders>
            <w:hideMark/>
          </w:tcPr>
          <w:p w14:paraId="3E9AE01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5693C4C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Stomatitas, burnos išopėjimas, kraujavimas iš virškinimo trakto</w:t>
            </w:r>
            <w:r w:rsidRPr="007B75DC">
              <w:rPr>
                <w:rFonts w:ascii="Times New Roman" w:eastAsia="SimSun" w:hAnsi="Times New Roman" w:cs="Times New Roman"/>
                <w:vertAlign w:val="superscript"/>
                <w:lang w:eastAsia="zh-CN"/>
              </w:rPr>
              <w:t>7</w:t>
            </w:r>
            <w:r w:rsidRPr="007B75DC">
              <w:rPr>
                <w:rFonts w:ascii="Times New Roman" w:eastAsia="SimSun" w:hAnsi="Times New Roman" w:cs="Times New Roman"/>
                <w:lang w:eastAsia="zh-CN"/>
              </w:rPr>
              <w:t xml:space="preserve">, raugulys, melena, ezofagitas, ascitas, skrandžio opa, hematemezė, lūpos uždegimas, disfagija, pankreatitas </w:t>
            </w:r>
          </w:p>
        </w:tc>
      </w:tr>
      <w:tr w:rsidR="00DE2956" w:rsidRPr="007B75DC" w14:paraId="0682D26C"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136D564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64936B2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Kolitas, žarnų nepraeinamumas, uždegiminė žarnų liga</w:t>
            </w:r>
          </w:p>
        </w:tc>
      </w:tr>
      <w:tr w:rsidR="00DE2956" w:rsidRPr="007B75DC" w14:paraId="53E721A7" w14:textId="77777777" w:rsidTr="00534F79">
        <w:trPr>
          <w:trHeight w:hRule="exact" w:val="870"/>
        </w:trPr>
        <w:tc>
          <w:tcPr>
            <w:tcW w:w="1246" w:type="pct"/>
            <w:tcBorders>
              <w:top w:val="single" w:sz="4" w:space="0" w:color="000000"/>
              <w:left w:val="single" w:sz="4" w:space="0" w:color="000000"/>
              <w:bottom w:val="single" w:sz="4" w:space="0" w:color="000000"/>
              <w:right w:val="single" w:sz="4" w:space="0" w:color="000000"/>
            </w:tcBorders>
            <w:hideMark/>
          </w:tcPr>
          <w:p w14:paraId="63CF3A7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2003FBF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Žarnų nepraeinamumas/žarnų obstrukcija*, virškinimo trakto perforacija*, divertikulitas*, prievarčio kraujagyslių išsiplėtimas (</w:t>
            </w:r>
            <w:r w:rsidR="00815DC6">
              <w:rPr>
                <w:rFonts w:ascii="Times New Roman" w:eastAsia="SimSun" w:hAnsi="Times New Roman" w:cs="Times New Roman"/>
                <w:lang w:eastAsia="zh-CN"/>
              </w:rPr>
              <w:t xml:space="preserve">angl. </w:t>
            </w:r>
            <w:r w:rsidR="00815DC6" w:rsidRPr="00534F79">
              <w:rPr>
                <w:rFonts w:ascii="Times New Roman" w:eastAsia="Times New Roman" w:hAnsi="Times New Roman"/>
                <w:i/>
                <w:iCs/>
                <w:color w:val="000000"/>
                <w:lang w:eastAsia="en-IN"/>
              </w:rPr>
              <w:t>gastric antral vascular ectasia</w:t>
            </w:r>
            <w:r w:rsidR="00815DC6">
              <w:rPr>
                <w:rFonts w:ascii="Times New Roman" w:eastAsia="Times New Roman" w:hAnsi="Times New Roman"/>
                <w:color w:val="000000"/>
                <w:lang w:eastAsia="en-IN"/>
              </w:rPr>
              <w:t>,</w:t>
            </w:r>
            <w:r w:rsidR="00815DC6" w:rsidRPr="007B75DC">
              <w:rPr>
                <w:rFonts w:ascii="Times New Roman" w:eastAsia="SimSun" w:hAnsi="Times New Roman" w:cs="Times New Roman"/>
                <w:lang w:eastAsia="zh-CN"/>
              </w:rPr>
              <w:t xml:space="preserve"> </w:t>
            </w:r>
            <w:r w:rsidRPr="007B75DC">
              <w:rPr>
                <w:rFonts w:ascii="Times New Roman" w:eastAsia="SimSun" w:hAnsi="Times New Roman" w:cs="Times New Roman"/>
                <w:lang w:eastAsia="zh-CN"/>
              </w:rPr>
              <w:t>GAVE)*</w:t>
            </w:r>
          </w:p>
        </w:tc>
      </w:tr>
      <w:tr w:rsidR="00DE2956" w:rsidRPr="007B75DC" w14:paraId="3CCFD52E"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6502F07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Kepenų, tulžies pūslės ir latakų sutrikimai</w:t>
            </w:r>
          </w:p>
        </w:tc>
      </w:tr>
      <w:tr w:rsidR="00DE2956" w:rsidRPr="007B75DC" w14:paraId="6CFF4C2F"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0C321849"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78DA627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Padidėjęs kepenų fermentų aktyvumas</w:t>
            </w:r>
          </w:p>
        </w:tc>
      </w:tr>
      <w:tr w:rsidR="00DE2956" w:rsidRPr="007B75DC" w14:paraId="47083C7C" w14:textId="77777777" w:rsidTr="003F4907">
        <w:trPr>
          <w:trHeight w:hRule="exact" w:val="272"/>
        </w:trPr>
        <w:tc>
          <w:tcPr>
            <w:tcW w:w="1246" w:type="pct"/>
            <w:tcBorders>
              <w:top w:val="single" w:sz="4" w:space="0" w:color="000000"/>
              <w:left w:val="single" w:sz="4" w:space="0" w:color="000000"/>
              <w:bottom w:val="single" w:sz="4" w:space="0" w:color="000000"/>
              <w:right w:val="single" w:sz="4" w:space="0" w:color="000000"/>
            </w:tcBorders>
            <w:hideMark/>
          </w:tcPr>
          <w:p w14:paraId="191A9DB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Nedažnos</w:t>
            </w:r>
          </w:p>
        </w:tc>
        <w:tc>
          <w:tcPr>
            <w:tcW w:w="3754" w:type="pct"/>
            <w:tcBorders>
              <w:top w:val="single" w:sz="4" w:space="0" w:color="000000"/>
              <w:left w:val="single" w:sz="4" w:space="0" w:color="000000"/>
              <w:bottom w:val="single" w:sz="4" w:space="0" w:color="000000"/>
              <w:right w:val="single" w:sz="4" w:space="0" w:color="000000"/>
            </w:tcBorders>
            <w:hideMark/>
          </w:tcPr>
          <w:p w14:paraId="2D20311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Hiperbilirubinemija, hepatitas, gelta</w:t>
            </w:r>
          </w:p>
        </w:tc>
      </w:tr>
      <w:tr w:rsidR="00DE2956" w:rsidRPr="007B75DC" w14:paraId="3AA25915"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220547E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3FA511A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Kepenų nepakankamumas</w:t>
            </w:r>
            <w:r w:rsidRPr="007B75DC">
              <w:rPr>
                <w:rFonts w:ascii="Times New Roman" w:eastAsia="SimSun" w:hAnsi="Times New Roman" w:cs="Times New Roman"/>
                <w:vertAlign w:val="superscript"/>
                <w:lang w:eastAsia="zh-CN"/>
              </w:rPr>
              <w:t>8</w:t>
            </w:r>
            <w:r w:rsidRPr="007B75DC">
              <w:rPr>
                <w:rFonts w:ascii="Times New Roman" w:eastAsia="SimSun" w:hAnsi="Times New Roman" w:cs="Times New Roman"/>
                <w:lang w:eastAsia="zh-CN"/>
              </w:rPr>
              <w:t>, kepenų nekrozė</w:t>
            </w:r>
          </w:p>
        </w:tc>
      </w:tr>
      <w:tr w:rsidR="00DE2956" w:rsidRPr="007B75DC" w14:paraId="187D193B"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01403D5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Odos ir poodinio audinio sutrikimai</w:t>
            </w:r>
          </w:p>
        </w:tc>
      </w:tr>
      <w:tr w:rsidR="00DE2956" w:rsidRPr="007B75DC" w14:paraId="146AD3CC"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123DA6E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6237DEC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Edema apie akis, dermatitas ar egzema, ar bėrimas</w:t>
            </w:r>
          </w:p>
        </w:tc>
      </w:tr>
      <w:tr w:rsidR="00DE2956" w:rsidRPr="007B75DC" w14:paraId="6AAA5834" w14:textId="77777777" w:rsidTr="003F4907">
        <w:trPr>
          <w:trHeight w:hRule="exact" w:val="530"/>
        </w:trPr>
        <w:tc>
          <w:tcPr>
            <w:tcW w:w="1246" w:type="pct"/>
            <w:tcBorders>
              <w:top w:val="single" w:sz="4" w:space="0" w:color="000000"/>
              <w:left w:val="single" w:sz="4" w:space="0" w:color="000000"/>
              <w:bottom w:val="single" w:sz="4" w:space="0" w:color="000000"/>
              <w:right w:val="single" w:sz="4" w:space="0" w:color="000000"/>
            </w:tcBorders>
            <w:hideMark/>
          </w:tcPr>
          <w:p w14:paraId="614C043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lastRenderedPageBreak/>
              <w:t>Dažnas</w:t>
            </w:r>
          </w:p>
        </w:tc>
        <w:tc>
          <w:tcPr>
            <w:tcW w:w="3754" w:type="pct"/>
            <w:tcBorders>
              <w:top w:val="single" w:sz="4" w:space="0" w:color="000000"/>
              <w:left w:val="single" w:sz="4" w:space="0" w:color="000000"/>
              <w:bottom w:val="single" w:sz="4" w:space="0" w:color="000000"/>
              <w:right w:val="single" w:sz="4" w:space="0" w:color="000000"/>
            </w:tcBorders>
            <w:hideMark/>
          </w:tcPr>
          <w:p w14:paraId="3C497F6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Niežėjimas, veido edema, sausa oda, eritema, alopecija, naktinis prakaitavimas, fotosensibilizacijos reakcija</w:t>
            </w:r>
          </w:p>
        </w:tc>
      </w:tr>
      <w:tr w:rsidR="00DE2956" w:rsidRPr="007B75DC" w14:paraId="2C2C7767" w14:textId="77777777" w:rsidTr="00807E4C">
        <w:trPr>
          <w:trHeight w:hRule="exact" w:val="1400"/>
        </w:trPr>
        <w:tc>
          <w:tcPr>
            <w:tcW w:w="1246" w:type="pct"/>
            <w:tcBorders>
              <w:top w:val="single" w:sz="4" w:space="0" w:color="000000"/>
              <w:left w:val="single" w:sz="4" w:space="0" w:color="000000"/>
              <w:bottom w:val="single" w:sz="4" w:space="0" w:color="000000"/>
              <w:right w:val="single" w:sz="4" w:space="0" w:color="000000"/>
            </w:tcBorders>
            <w:hideMark/>
          </w:tcPr>
          <w:p w14:paraId="2406BA6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3129D06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Pustulinis išbėrimas, sumušimas, padidėjęs prakaitavimas, dilgėlinė, ekchimozė, padidėjęs polinkis į kraujosruvas, sumažėjęs plaukuotumas, odos hipopigmentacija, eksfoliacinis dermatitas, nagų lūžinėjimas, folikulitas, petechijos, psoriazė, purpura, odos hiperpigmentacija, pūslinis išbėrimas</w:t>
            </w:r>
            <w:r w:rsidR="00CD03FB" w:rsidRPr="007B75DC">
              <w:rPr>
                <w:rFonts w:ascii="Times New Roman" w:eastAsia="SimSun" w:hAnsi="Times New Roman" w:cs="Times New Roman"/>
                <w:lang w:eastAsia="zh-CN"/>
              </w:rPr>
              <w:t>, panikulitas</w:t>
            </w:r>
            <w:r w:rsidR="00CD03FB" w:rsidRPr="007B75DC">
              <w:rPr>
                <w:rFonts w:ascii="Times New Roman" w:eastAsia="SimSun" w:hAnsi="Times New Roman" w:cs="Times New Roman"/>
                <w:vertAlign w:val="superscript"/>
                <w:lang w:eastAsia="zh-CN"/>
              </w:rPr>
              <w:t>12</w:t>
            </w:r>
          </w:p>
        </w:tc>
      </w:tr>
      <w:tr w:rsidR="00DE2956" w:rsidRPr="007B75DC" w14:paraId="12DDE114" w14:textId="77777777" w:rsidTr="00807E4C">
        <w:trPr>
          <w:trHeight w:hRule="exact" w:val="1405"/>
        </w:trPr>
        <w:tc>
          <w:tcPr>
            <w:tcW w:w="1246" w:type="pct"/>
            <w:tcBorders>
              <w:top w:val="single" w:sz="4" w:space="0" w:color="000000"/>
              <w:left w:val="single" w:sz="4" w:space="0" w:color="000000"/>
              <w:bottom w:val="single" w:sz="4" w:space="0" w:color="000000"/>
              <w:right w:val="single" w:sz="4" w:space="0" w:color="000000"/>
            </w:tcBorders>
            <w:hideMark/>
          </w:tcPr>
          <w:p w14:paraId="40ED738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7076A67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Ūminė febrilinė neutrofilinė dermatozė (Svyto (</w:t>
            </w:r>
            <w:r w:rsidRPr="007B75DC">
              <w:rPr>
                <w:rFonts w:ascii="Times New Roman" w:eastAsia="SimSun" w:hAnsi="Times New Roman" w:cs="Times New Roman"/>
                <w:i/>
                <w:lang w:eastAsia="zh-CN"/>
              </w:rPr>
              <w:t>Sweet</w:t>
            </w:r>
            <w:r w:rsidRPr="007B75DC">
              <w:rPr>
                <w:rFonts w:ascii="Times New Roman" w:eastAsia="SimSun" w:hAnsi="Times New Roman" w:cs="Times New Roman"/>
                <w:lang w:eastAsia="zh-CN"/>
              </w:rPr>
              <w:t>)</w:t>
            </w:r>
            <w:r w:rsidRPr="007B75DC">
              <w:rPr>
                <w:rFonts w:ascii="Times New Roman" w:eastAsia="SimSun" w:hAnsi="Times New Roman" w:cs="Times New Roman"/>
                <w:i/>
                <w:lang w:eastAsia="zh-CN"/>
              </w:rPr>
              <w:t xml:space="preserve"> </w:t>
            </w:r>
            <w:r w:rsidRPr="007B75DC">
              <w:rPr>
                <w:rFonts w:ascii="Times New Roman" w:eastAsia="SimSun" w:hAnsi="Times New Roman" w:cs="Times New Roman"/>
                <w:lang w:eastAsia="zh-CN"/>
              </w:rPr>
              <w:t>sindromas), nagų spalvos pakitimas, angioneurozinė edema, pūslelinis bėrimas, daugiaformė raudonė (eritema), leukocitoklastinis vaskulitas, Stivenso-Džonsono (</w:t>
            </w:r>
            <w:r w:rsidRPr="007B75DC">
              <w:rPr>
                <w:rFonts w:ascii="Times New Roman" w:eastAsia="SimSun" w:hAnsi="Times New Roman" w:cs="Times New Roman"/>
                <w:i/>
                <w:lang w:eastAsia="zh-CN"/>
              </w:rPr>
              <w:t>Stevens-Johnson</w:t>
            </w:r>
            <w:r w:rsidRPr="007B75DC">
              <w:rPr>
                <w:rFonts w:ascii="Times New Roman" w:eastAsia="SimSun" w:hAnsi="Times New Roman" w:cs="Times New Roman"/>
                <w:lang w:eastAsia="zh-CN"/>
              </w:rPr>
              <w:t>) sindromas, ūminė generalizuota egzanteminė pustuliozė (ŪGEP)</w:t>
            </w:r>
            <w:r w:rsidR="00500088" w:rsidRPr="007B75DC">
              <w:rPr>
                <w:rFonts w:ascii="Times New Roman" w:eastAsia="SimSun" w:hAnsi="Times New Roman" w:cs="Times New Roman"/>
                <w:lang w:eastAsia="zh-CN"/>
              </w:rPr>
              <w:t>, pūslinė</w:t>
            </w:r>
            <w:r w:rsidR="00B76B77" w:rsidRPr="007B75DC">
              <w:rPr>
                <w:rFonts w:ascii="Times New Roman" w:eastAsia="SimSun" w:hAnsi="Times New Roman" w:cs="Times New Roman"/>
                <w:lang w:eastAsia="zh-CN"/>
              </w:rPr>
              <w:t xml:space="preserve"> (</w:t>
            </w:r>
            <w:r w:rsidR="00B76B77" w:rsidRPr="007B75DC">
              <w:rPr>
                <w:rFonts w:ascii="Times New Roman" w:eastAsia="SimSun" w:hAnsi="Times New Roman" w:cs="Times New Roman"/>
                <w:i/>
                <w:iCs/>
                <w:lang w:eastAsia="zh-CN"/>
              </w:rPr>
              <w:t>pemphigus</w:t>
            </w:r>
            <w:r w:rsidR="00B76B77" w:rsidRPr="007B75DC">
              <w:rPr>
                <w:rFonts w:ascii="Times New Roman" w:eastAsia="SimSun" w:hAnsi="Times New Roman" w:cs="Times New Roman"/>
                <w:lang w:eastAsia="zh-CN"/>
              </w:rPr>
              <w:t>)</w:t>
            </w:r>
            <w:r w:rsidR="00500088" w:rsidRPr="007B75DC">
              <w:rPr>
                <w:rFonts w:ascii="Times New Roman" w:eastAsia="SimSun" w:hAnsi="Times New Roman" w:cs="Times New Roman"/>
                <w:lang w:eastAsia="zh-CN"/>
              </w:rPr>
              <w:t>*</w:t>
            </w:r>
          </w:p>
        </w:tc>
      </w:tr>
      <w:tr w:rsidR="00DE2956" w:rsidRPr="007B75DC" w14:paraId="58B469C0" w14:textId="77777777" w:rsidTr="003F4907">
        <w:trPr>
          <w:trHeight w:hRule="exact" w:val="1031"/>
        </w:trPr>
        <w:tc>
          <w:tcPr>
            <w:tcW w:w="1246" w:type="pct"/>
            <w:tcBorders>
              <w:top w:val="single" w:sz="4" w:space="0" w:color="000000"/>
              <w:left w:val="single" w:sz="4" w:space="0" w:color="000000"/>
              <w:bottom w:val="single" w:sz="4" w:space="0" w:color="000000"/>
              <w:right w:val="single" w:sz="4" w:space="0" w:color="000000"/>
            </w:tcBorders>
            <w:hideMark/>
          </w:tcPr>
          <w:p w14:paraId="651083D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459DFB09"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Delnų ir padų eritrodizestezijos sindromas*, lichenoidinė keratozė*, plokščioji kerpligė*, toksinė epidermio nekrolizė *, medikamentinis išbėrimas su eozinofilija ir sisteminiais simptomais (DRESS)*</w:t>
            </w:r>
            <w:r w:rsidR="00EB532F" w:rsidRPr="007B75DC">
              <w:rPr>
                <w:rFonts w:ascii="Times New Roman" w:eastAsia="SimSun" w:hAnsi="Times New Roman" w:cs="Times New Roman"/>
                <w:lang w:eastAsia="zh-CN"/>
              </w:rPr>
              <w:t>, pseudoporfirija*</w:t>
            </w:r>
          </w:p>
        </w:tc>
      </w:tr>
      <w:tr w:rsidR="00DE2956" w:rsidRPr="007B75DC" w14:paraId="56D671B4" w14:textId="77777777" w:rsidTr="003F4907">
        <w:trPr>
          <w:trHeight w:val="272"/>
        </w:trPr>
        <w:tc>
          <w:tcPr>
            <w:tcW w:w="5000" w:type="pct"/>
            <w:gridSpan w:val="2"/>
            <w:tcBorders>
              <w:top w:val="single" w:sz="4" w:space="0" w:color="000000"/>
              <w:left w:val="single" w:sz="4" w:space="0" w:color="000000"/>
              <w:bottom w:val="single" w:sz="4" w:space="0" w:color="000000"/>
              <w:right w:val="single" w:sz="4" w:space="0" w:color="000000"/>
            </w:tcBorders>
            <w:hideMark/>
          </w:tcPr>
          <w:p w14:paraId="1C49D0A8"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Skeleto, raumenų ir jungiamojo audinio sutrikimai</w:t>
            </w:r>
          </w:p>
        </w:tc>
      </w:tr>
      <w:tr w:rsidR="00DE2956" w:rsidRPr="007B75DC" w14:paraId="182E0176" w14:textId="77777777" w:rsidTr="003F4907">
        <w:trPr>
          <w:trHeight w:hRule="exact" w:val="528"/>
        </w:trPr>
        <w:tc>
          <w:tcPr>
            <w:tcW w:w="1246" w:type="pct"/>
            <w:tcBorders>
              <w:top w:val="single" w:sz="4" w:space="0" w:color="000000"/>
              <w:left w:val="single" w:sz="4" w:space="0" w:color="000000"/>
              <w:bottom w:val="single" w:sz="4" w:space="0" w:color="000000"/>
              <w:right w:val="single" w:sz="4" w:space="0" w:color="000000"/>
            </w:tcBorders>
            <w:hideMark/>
          </w:tcPr>
          <w:p w14:paraId="7BD4FAD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34A77B32" w14:textId="77777777" w:rsidR="00DE2956" w:rsidRPr="007B75DC" w:rsidRDefault="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Raumenų spazmas ir mėšlungis, skeleto ir raumenų skausmas, taip pat mialgija</w:t>
            </w:r>
            <w:r w:rsidR="00EB532F"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artralgija, kaulų skausmas</w:t>
            </w:r>
            <w:r w:rsidR="00EB532F" w:rsidRPr="007B75DC">
              <w:rPr>
                <w:rFonts w:ascii="Times New Roman" w:eastAsia="SimSun" w:hAnsi="Times New Roman" w:cs="Times New Roman"/>
                <w:vertAlign w:val="superscript"/>
                <w:lang w:eastAsia="zh-CN"/>
              </w:rPr>
              <w:t>10</w:t>
            </w:r>
          </w:p>
        </w:tc>
      </w:tr>
      <w:tr w:rsidR="00DE2956" w:rsidRPr="007B75DC" w14:paraId="224FF79E"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7FACC9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2B882DC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Sąnarių tinimas</w:t>
            </w:r>
          </w:p>
        </w:tc>
      </w:tr>
      <w:tr w:rsidR="00DE2956" w:rsidRPr="007B75DC" w14:paraId="4987FBEA"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70DB2C35"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233BD5D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Sąnarių ir raumenų sąstingis</w:t>
            </w:r>
            <w:r w:rsidR="005D3515" w:rsidRPr="007B75DC">
              <w:rPr>
                <w:rFonts w:ascii="Times New Roman" w:eastAsia="SimSun" w:hAnsi="Times New Roman" w:cs="Times New Roman"/>
                <w:lang w:eastAsia="zh-CN"/>
              </w:rPr>
              <w:t>, osteonekrozė*</w:t>
            </w:r>
          </w:p>
        </w:tc>
      </w:tr>
      <w:tr w:rsidR="00DE2956" w:rsidRPr="007B75DC" w14:paraId="3A023CFC"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00D8132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7C64970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Raumenų silpnumas, artritas, rabdomiolizė ar miopatija</w:t>
            </w:r>
          </w:p>
        </w:tc>
      </w:tr>
      <w:tr w:rsidR="00DE2956" w:rsidRPr="007B75DC" w14:paraId="2DB3AF64" w14:textId="77777777" w:rsidTr="003F4907">
        <w:trPr>
          <w:trHeight w:hRule="exact" w:val="495"/>
        </w:trPr>
        <w:tc>
          <w:tcPr>
            <w:tcW w:w="1246" w:type="pct"/>
            <w:tcBorders>
              <w:top w:val="single" w:sz="4" w:space="0" w:color="000000"/>
              <w:left w:val="single" w:sz="4" w:space="0" w:color="000000"/>
              <w:bottom w:val="single" w:sz="4" w:space="0" w:color="000000"/>
              <w:right w:val="single" w:sz="4" w:space="0" w:color="000000"/>
            </w:tcBorders>
            <w:hideMark/>
          </w:tcPr>
          <w:p w14:paraId="02EA6E5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76978419" w14:textId="77777777" w:rsidR="00DE2956" w:rsidRPr="007B75DC" w:rsidRDefault="005D3515"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V</w:t>
            </w:r>
            <w:r w:rsidR="00DE2956" w:rsidRPr="007B75DC">
              <w:rPr>
                <w:rFonts w:ascii="Times New Roman" w:eastAsia="SimSun" w:hAnsi="Times New Roman" w:cs="Times New Roman"/>
                <w:lang w:eastAsia="zh-CN"/>
              </w:rPr>
              <w:t>aikų augimo sulėtėjimas*</w:t>
            </w:r>
          </w:p>
        </w:tc>
      </w:tr>
      <w:tr w:rsidR="00DE2956" w:rsidRPr="007B75DC" w14:paraId="30E52C2D" w14:textId="77777777" w:rsidTr="003F4907">
        <w:trPr>
          <w:trHeight w:val="2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615C66E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Inkstų ir šlapimo takų sutrikimai</w:t>
            </w:r>
          </w:p>
        </w:tc>
      </w:tr>
      <w:tr w:rsidR="00DE2956" w:rsidRPr="007B75DC" w14:paraId="471D3ABC" w14:textId="77777777" w:rsidTr="003F4907">
        <w:trPr>
          <w:trHeight w:hRule="exact" w:val="530"/>
        </w:trPr>
        <w:tc>
          <w:tcPr>
            <w:tcW w:w="1246" w:type="pct"/>
            <w:tcBorders>
              <w:top w:val="single" w:sz="4" w:space="0" w:color="000000"/>
              <w:left w:val="single" w:sz="4" w:space="0" w:color="000000"/>
              <w:bottom w:val="single" w:sz="4" w:space="0" w:color="000000"/>
              <w:right w:val="single" w:sz="4" w:space="0" w:color="000000"/>
            </w:tcBorders>
            <w:hideMark/>
          </w:tcPr>
          <w:p w14:paraId="62DC75EA"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3EA47B5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Inkstų skausmas, hematurija, ūminis inkstų nepakankamumas, padažnėjęs šlapinimasis</w:t>
            </w:r>
          </w:p>
        </w:tc>
      </w:tr>
      <w:tr w:rsidR="00DE2956" w:rsidRPr="007B75DC" w14:paraId="07A2CF3E" w14:textId="77777777" w:rsidTr="003F4907">
        <w:trPr>
          <w:trHeight w:hRule="exact" w:val="316"/>
        </w:trPr>
        <w:tc>
          <w:tcPr>
            <w:tcW w:w="1246" w:type="pct"/>
            <w:tcBorders>
              <w:top w:val="single" w:sz="4" w:space="0" w:color="000000"/>
              <w:left w:val="single" w:sz="4" w:space="0" w:color="000000"/>
              <w:bottom w:val="single" w:sz="4" w:space="0" w:color="000000"/>
              <w:right w:val="single" w:sz="4" w:space="0" w:color="000000"/>
            </w:tcBorders>
            <w:hideMark/>
          </w:tcPr>
          <w:p w14:paraId="47630E9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iCs/>
                <w:lang w:eastAsia="zh-CN"/>
              </w:rPr>
            </w:pPr>
            <w:r w:rsidRPr="007B75DC">
              <w:rPr>
                <w:rFonts w:ascii="Times New Roman" w:eastAsia="SimSun" w:hAnsi="Times New Roman" w:cs="Times New Roman"/>
                <w:i/>
                <w:iCs/>
                <w:lang w:eastAsia="zh-CN"/>
              </w:rPr>
              <w:t>Dažnis nežinomas</w:t>
            </w:r>
          </w:p>
        </w:tc>
        <w:tc>
          <w:tcPr>
            <w:tcW w:w="3754" w:type="pct"/>
            <w:tcBorders>
              <w:top w:val="single" w:sz="4" w:space="0" w:color="000000"/>
              <w:left w:val="single" w:sz="4" w:space="0" w:color="000000"/>
              <w:bottom w:val="single" w:sz="4" w:space="0" w:color="000000"/>
              <w:right w:val="single" w:sz="4" w:space="0" w:color="000000"/>
            </w:tcBorders>
            <w:hideMark/>
          </w:tcPr>
          <w:p w14:paraId="3E34B8D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Lėtinis inkstų nepakankamumas</w:t>
            </w:r>
          </w:p>
        </w:tc>
      </w:tr>
      <w:tr w:rsidR="00DE2956" w:rsidRPr="007B75DC" w14:paraId="5B064069"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0BF54289"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Lytinės sistemos ir krūties sutrikimai</w:t>
            </w:r>
          </w:p>
        </w:tc>
      </w:tr>
      <w:tr w:rsidR="00DE2956" w:rsidRPr="007B75DC" w14:paraId="393D2C0B" w14:textId="77777777" w:rsidTr="003F4907">
        <w:trPr>
          <w:trHeight w:hRule="exact" w:val="790"/>
        </w:trPr>
        <w:tc>
          <w:tcPr>
            <w:tcW w:w="1246" w:type="pct"/>
            <w:tcBorders>
              <w:top w:val="single" w:sz="4" w:space="0" w:color="000000"/>
              <w:left w:val="single" w:sz="4" w:space="0" w:color="000000"/>
              <w:bottom w:val="single" w:sz="4" w:space="0" w:color="000000"/>
              <w:right w:val="single" w:sz="4" w:space="0" w:color="000000"/>
            </w:tcBorders>
            <w:hideMark/>
          </w:tcPr>
          <w:p w14:paraId="19E1D04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0700800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Ginekomastija, erekcijos sutrikimas, menoragija, menstruacijų ciklo sutrikimas, lytinė disfunkcija, spenelio skausmas, krūtų padidėjimas, kapšelio edema</w:t>
            </w:r>
          </w:p>
        </w:tc>
      </w:tr>
      <w:tr w:rsidR="00DE2956" w:rsidRPr="007B75DC" w14:paraId="1B80427D"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7ACF7A1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048C756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Geltonkūnio hemoragija ar hemoraginė kiaušidžių cista</w:t>
            </w:r>
          </w:p>
        </w:tc>
      </w:tr>
      <w:tr w:rsidR="00DE2956" w:rsidRPr="007B75DC" w14:paraId="2A1E92D0" w14:textId="77777777" w:rsidTr="003F4907">
        <w:trPr>
          <w:trHeight w:val="272"/>
        </w:trPr>
        <w:tc>
          <w:tcPr>
            <w:tcW w:w="5000" w:type="pct"/>
            <w:gridSpan w:val="2"/>
            <w:tcBorders>
              <w:top w:val="single" w:sz="4" w:space="0" w:color="000000"/>
              <w:left w:val="single" w:sz="4" w:space="0" w:color="000000"/>
              <w:bottom w:val="single" w:sz="4" w:space="0" w:color="000000"/>
              <w:right w:val="single" w:sz="4" w:space="0" w:color="000000"/>
            </w:tcBorders>
            <w:hideMark/>
          </w:tcPr>
          <w:p w14:paraId="228381F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Bendrieji sutrikimai ir vartojimo vietos pažeidimai</w:t>
            </w:r>
          </w:p>
        </w:tc>
      </w:tr>
      <w:tr w:rsidR="00DE2956" w:rsidRPr="007B75DC" w14:paraId="2F2A19B6"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71F30F79"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14A593F7"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Skysčių susilaikymas ir edema, nuovargis</w:t>
            </w:r>
          </w:p>
        </w:tc>
      </w:tr>
      <w:tr w:rsidR="00DE2956" w:rsidRPr="007B75DC" w14:paraId="45656E8B"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7D2930A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303D940C"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Silpnumas, karščiavimas, odos vandenė, tremoras, sąstingis</w:t>
            </w:r>
          </w:p>
        </w:tc>
      </w:tr>
      <w:tr w:rsidR="00DE2956" w:rsidRPr="007B75DC" w14:paraId="1773525C"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5F4EB0B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68DD9393"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Skausmas krūtinėje, bloga savijauta</w:t>
            </w:r>
          </w:p>
        </w:tc>
      </w:tr>
      <w:tr w:rsidR="00DE2956" w:rsidRPr="007B75DC" w14:paraId="1F11E2CC" w14:textId="77777777" w:rsidTr="003F4907">
        <w:trPr>
          <w:trHeight w:val="271"/>
        </w:trPr>
        <w:tc>
          <w:tcPr>
            <w:tcW w:w="5000" w:type="pct"/>
            <w:gridSpan w:val="2"/>
            <w:tcBorders>
              <w:top w:val="single" w:sz="4" w:space="0" w:color="000000"/>
              <w:left w:val="single" w:sz="4" w:space="0" w:color="000000"/>
              <w:bottom w:val="single" w:sz="4" w:space="0" w:color="000000"/>
              <w:right w:val="single" w:sz="4" w:space="0" w:color="000000"/>
            </w:tcBorders>
            <w:hideMark/>
          </w:tcPr>
          <w:p w14:paraId="3E2B52BD"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b/>
                <w:bCs/>
                <w:lang w:eastAsia="zh-CN"/>
              </w:rPr>
              <w:t>Tyrimai</w:t>
            </w:r>
          </w:p>
        </w:tc>
      </w:tr>
      <w:tr w:rsidR="00DE2956" w:rsidRPr="007B75DC" w14:paraId="4234A6C6" w14:textId="77777777" w:rsidTr="003F4907">
        <w:trPr>
          <w:trHeight w:hRule="exact" w:val="269"/>
        </w:trPr>
        <w:tc>
          <w:tcPr>
            <w:tcW w:w="1246" w:type="pct"/>
            <w:tcBorders>
              <w:top w:val="single" w:sz="4" w:space="0" w:color="000000"/>
              <w:left w:val="single" w:sz="4" w:space="0" w:color="000000"/>
              <w:bottom w:val="single" w:sz="4" w:space="0" w:color="000000"/>
              <w:right w:val="single" w:sz="4" w:space="0" w:color="000000"/>
            </w:tcBorders>
            <w:hideMark/>
          </w:tcPr>
          <w:p w14:paraId="0C366030"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Labai dažnas</w:t>
            </w:r>
          </w:p>
        </w:tc>
        <w:tc>
          <w:tcPr>
            <w:tcW w:w="3754" w:type="pct"/>
            <w:tcBorders>
              <w:top w:val="single" w:sz="4" w:space="0" w:color="000000"/>
              <w:left w:val="single" w:sz="4" w:space="0" w:color="000000"/>
              <w:bottom w:val="single" w:sz="4" w:space="0" w:color="000000"/>
              <w:right w:val="single" w:sz="4" w:space="0" w:color="000000"/>
            </w:tcBorders>
            <w:hideMark/>
          </w:tcPr>
          <w:p w14:paraId="1D14CE22"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Padidėjęs kūno svoris</w:t>
            </w:r>
          </w:p>
        </w:tc>
      </w:tr>
      <w:tr w:rsidR="00DE2956" w:rsidRPr="007B75DC" w14:paraId="6B0AB232"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78EECB26"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Dažnas</w:t>
            </w:r>
          </w:p>
        </w:tc>
        <w:tc>
          <w:tcPr>
            <w:tcW w:w="3754" w:type="pct"/>
            <w:tcBorders>
              <w:top w:val="single" w:sz="4" w:space="0" w:color="000000"/>
              <w:left w:val="single" w:sz="4" w:space="0" w:color="000000"/>
              <w:bottom w:val="single" w:sz="4" w:space="0" w:color="000000"/>
              <w:right w:val="single" w:sz="4" w:space="0" w:color="000000"/>
            </w:tcBorders>
            <w:hideMark/>
          </w:tcPr>
          <w:p w14:paraId="7BF46D1B"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Sumažėjęs kūno svoris</w:t>
            </w:r>
          </w:p>
        </w:tc>
      </w:tr>
      <w:tr w:rsidR="00DE2956" w:rsidRPr="007B75DC" w14:paraId="16863A1C" w14:textId="77777777" w:rsidTr="003F4907">
        <w:trPr>
          <w:trHeight w:hRule="exact" w:val="790"/>
        </w:trPr>
        <w:tc>
          <w:tcPr>
            <w:tcW w:w="1246" w:type="pct"/>
            <w:tcBorders>
              <w:top w:val="single" w:sz="4" w:space="0" w:color="000000"/>
              <w:left w:val="single" w:sz="4" w:space="0" w:color="000000"/>
              <w:bottom w:val="single" w:sz="4" w:space="0" w:color="000000"/>
              <w:right w:val="single" w:sz="4" w:space="0" w:color="000000"/>
            </w:tcBorders>
            <w:hideMark/>
          </w:tcPr>
          <w:p w14:paraId="14631F1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Nedažnas</w:t>
            </w:r>
          </w:p>
        </w:tc>
        <w:tc>
          <w:tcPr>
            <w:tcW w:w="3754" w:type="pct"/>
            <w:tcBorders>
              <w:top w:val="single" w:sz="4" w:space="0" w:color="000000"/>
              <w:left w:val="single" w:sz="4" w:space="0" w:color="000000"/>
              <w:bottom w:val="single" w:sz="4" w:space="0" w:color="000000"/>
              <w:right w:val="single" w:sz="4" w:space="0" w:color="000000"/>
            </w:tcBorders>
            <w:hideMark/>
          </w:tcPr>
          <w:p w14:paraId="39ABFFE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Padidėjusi kreatinino koncentracija kraujyje, padidėjęs kreatinfosfokinazės aktyvumas kraujyje, padidėjęs laktatdehidrogenazės aktyvumas kraujyje, padidėjęs šarminės fosfatazės aktyvumas kraujyje</w:t>
            </w:r>
          </w:p>
        </w:tc>
      </w:tr>
      <w:tr w:rsidR="00DE2956" w:rsidRPr="007B75DC" w14:paraId="51C9CAFF" w14:textId="77777777" w:rsidTr="003F4907">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14:paraId="3670062F"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i/>
                <w:lang w:eastAsia="zh-CN"/>
              </w:rPr>
            </w:pPr>
            <w:r w:rsidRPr="007B75DC">
              <w:rPr>
                <w:rFonts w:ascii="Times New Roman" w:eastAsia="SimSun" w:hAnsi="Times New Roman" w:cs="Times New Roman"/>
                <w:i/>
                <w:iCs/>
                <w:lang w:eastAsia="zh-CN"/>
              </w:rPr>
              <w:t>Retas</w:t>
            </w:r>
          </w:p>
        </w:tc>
        <w:tc>
          <w:tcPr>
            <w:tcW w:w="3754" w:type="pct"/>
            <w:tcBorders>
              <w:top w:val="single" w:sz="4" w:space="0" w:color="000000"/>
              <w:left w:val="single" w:sz="4" w:space="0" w:color="000000"/>
              <w:bottom w:val="single" w:sz="4" w:space="0" w:color="000000"/>
              <w:right w:val="single" w:sz="4" w:space="0" w:color="000000"/>
            </w:tcBorders>
            <w:hideMark/>
          </w:tcPr>
          <w:p w14:paraId="02AA13E4" w14:textId="77777777" w:rsidR="00DE2956" w:rsidRPr="007B75DC" w:rsidRDefault="00DE2956" w:rsidP="00DE2956">
            <w:pPr>
              <w:widowControl w:val="0"/>
              <w:autoSpaceDE w:val="0"/>
              <w:autoSpaceDN w:val="0"/>
              <w:adjustRightInd w:val="0"/>
              <w:snapToGrid w:val="0"/>
              <w:spacing w:after="0" w:line="240" w:lineRule="auto"/>
              <w:ind w:left="103" w:right="74"/>
              <w:rPr>
                <w:rFonts w:ascii="Times New Roman" w:eastAsia="SimSun" w:hAnsi="Times New Roman" w:cs="Times New Roman"/>
                <w:lang w:eastAsia="zh-CN"/>
              </w:rPr>
            </w:pPr>
            <w:r w:rsidRPr="007B75DC">
              <w:rPr>
                <w:rFonts w:ascii="Times New Roman" w:eastAsia="SimSun" w:hAnsi="Times New Roman" w:cs="Times New Roman"/>
                <w:lang w:eastAsia="zh-CN"/>
              </w:rPr>
              <w:t>Padidėjęs amilazės aktyvumas kraujyje</w:t>
            </w:r>
          </w:p>
        </w:tc>
      </w:tr>
    </w:tbl>
    <w:p w14:paraId="457D892E" w14:textId="77777777" w:rsidR="00DE2956"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Šių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14:paraId="7C0493CE" w14:textId="77777777" w:rsidR="00372919" w:rsidRPr="007B75DC" w:rsidRDefault="00372919" w:rsidP="00DE2956">
      <w:pPr>
        <w:spacing w:after="0" w:line="240" w:lineRule="auto"/>
        <w:rPr>
          <w:rFonts w:ascii="Times New Roman" w:eastAsia="Times New Roman" w:hAnsi="Times New Roman" w:cs="Times New Roman"/>
          <w:szCs w:val="24"/>
        </w:rPr>
      </w:pPr>
    </w:p>
    <w:p w14:paraId="56A74DD4" w14:textId="77777777" w:rsidR="00DE2956" w:rsidRPr="007B75DC" w:rsidRDefault="00DE2956" w:rsidP="00534F79">
      <w:pPr>
        <w:numPr>
          <w:ilvl w:val="0"/>
          <w:numId w:val="2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Pneumonija dažniausiai registruota pacientams, kuriems buvo transformuota LML, ir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w:t>
      </w:r>
    </w:p>
    <w:p w14:paraId="6B61B1ED" w14:textId="77777777" w:rsidR="00DE2956" w:rsidRPr="007B75DC" w:rsidRDefault="00DE2956" w:rsidP="00534F79">
      <w:pPr>
        <w:numPr>
          <w:ilvl w:val="0"/>
          <w:numId w:val="2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Galvos skausmas dažniausiai pasireiškė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w:t>
      </w:r>
    </w:p>
    <w:p w14:paraId="1DF3D13A" w14:textId="77777777" w:rsidR="00DE2956" w:rsidRPr="007B75DC" w:rsidRDefault="00DE2956" w:rsidP="00534F79">
      <w:pPr>
        <w:numPr>
          <w:ilvl w:val="0"/>
          <w:numId w:val="2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 xml:space="preserve">Vertinant pagal pacientų metus (angl. </w:t>
      </w:r>
      <w:r w:rsidRPr="007B75DC">
        <w:rPr>
          <w:rFonts w:ascii="Times New Roman" w:eastAsia="Times New Roman" w:hAnsi="Times New Roman" w:cs="Times New Roman"/>
          <w:i/>
          <w:szCs w:val="24"/>
        </w:rPr>
        <w:t>patient-years</w:t>
      </w:r>
      <w:r w:rsidRPr="007B75DC">
        <w:rPr>
          <w:rFonts w:ascii="Times New Roman" w:eastAsia="Times New Roman" w:hAnsi="Times New Roman" w:cs="Times New Roman"/>
          <w:szCs w:val="24"/>
        </w:rPr>
        <w:t>), kardiologiniai reiškiniai, įskaitant stazinį širdies nepakankamumą, dažniau stebėti pacientams, kuriems buvo transformuota LML, nei pacientams, sergantiems lėtine LML.</w:t>
      </w:r>
    </w:p>
    <w:p w14:paraId="2DAE68ED" w14:textId="77777777" w:rsidR="00DE2956" w:rsidRPr="007B75DC" w:rsidRDefault="00DE2956" w:rsidP="00534F79">
      <w:pPr>
        <w:numPr>
          <w:ilvl w:val="0"/>
          <w:numId w:val="2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Veido ir kaklo paraudimas dažniausiai pasireiškė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xml:space="preserve">, o kraujavimas (hematoma, hemoragija) –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ir pacientams, kuriems buvo transformuota LML (LML-AF ir LML-BK).</w:t>
      </w:r>
    </w:p>
    <w:p w14:paraId="16FC112F" w14:textId="77777777" w:rsidR="00DE2956" w:rsidRPr="007B75DC" w:rsidRDefault="00DE2956" w:rsidP="00534F79">
      <w:pPr>
        <w:numPr>
          <w:ilvl w:val="0"/>
          <w:numId w:val="2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Skystis pleuros ertmėje dažniau registruotas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ir pacientams, kuriems buvo transformuota LML (LML-AF ir LML-BK), nei pacientams, sergantiems lėtine LML.</w:t>
      </w:r>
    </w:p>
    <w:p w14:paraId="5F2BFDAE" w14:textId="77777777" w:rsidR="00DE2956" w:rsidRPr="007B75DC" w:rsidRDefault="00DE2956" w:rsidP="00534F79">
      <w:pPr>
        <w:numPr>
          <w:ilvl w:val="0"/>
          <w:numId w:val="2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+7 Pilvo skausmas ir kraujavimas iš virškinimo trakto dažniausiai stebėtas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w:t>
      </w:r>
    </w:p>
    <w:p w14:paraId="35AFF299" w14:textId="77777777" w:rsidR="00DE2956" w:rsidRPr="007B75DC" w:rsidRDefault="00DE2956" w:rsidP="00534F79">
      <w:pPr>
        <w:numPr>
          <w:ilvl w:val="0"/>
          <w:numId w:val="2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Registruoti keli mirtini kepenų nepakankamumo ir kepenų nekrozės atvejai.</w:t>
      </w:r>
    </w:p>
    <w:p w14:paraId="39FAB11F" w14:textId="77777777" w:rsidR="00F72F9C" w:rsidRPr="007B75DC" w:rsidRDefault="00F72F9C" w:rsidP="00534F79">
      <w:pPr>
        <w:numPr>
          <w:ilvl w:val="0"/>
          <w:numId w:val="2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Po </w:t>
      </w:r>
      <w:r w:rsidR="00C15893">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C15893">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registracijos, gauta pranešimų apie skeleto ir raumenų skausmo atvejus pacientams, kurie pastebėti gydymo imatinibu metu arba po jo vartojimo nutraukimo.</w:t>
      </w:r>
    </w:p>
    <w:p w14:paraId="6169CE6C" w14:textId="77777777" w:rsidR="00DE2956" w:rsidRPr="007B75DC" w:rsidRDefault="00DE2956" w:rsidP="00534F79">
      <w:pPr>
        <w:numPr>
          <w:ilvl w:val="0"/>
          <w:numId w:val="2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Skeleto ir raumenų skausmas bei susiję reiškiniai dažniau stebėti pacientams, sergantiems LML, nei pacientams, kuriems buvo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w:t>
      </w:r>
    </w:p>
    <w:p w14:paraId="3320EF1C" w14:textId="77777777" w:rsidR="00437A20" w:rsidRPr="007B75DC" w:rsidRDefault="00DE2956" w:rsidP="00534F79">
      <w:pPr>
        <w:numPr>
          <w:ilvl w:val="0"/>
          <w:numId w:val="2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Buvo pranešta apie mirties atvejus pacientams, kuriems yra progresavusi liga, sunkių infekcijų, sunki neutropenija ir kitų sunkių gretutinių ligų.</w:t>
      </w:r>
    </w:p>
    <w:p w14:paraId="1181D1E7" w14:textId="77777777" w:rsidR="005D3515" w:rsidRPr="007B75DC" w:rsidRDefault="005D3515" w:rsidP="00534F79">
      <w:pPr>
        <w:numPr>
          <w:ilvl w:val="0"/>
          <w:numId w:val="23"/>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Įskaitant mazginę eritemą</w:t>
      </w:r>
      <w:r w:rsidR="007A2D46">
        <w:rPr>
          <w:rFonts w:ascii="Times New Roman" w:eastAsia="Times New Roman" w:hAnsi="Times New Roman" w:cs="Times New Roman"/>
          <w:szCs w:val="24"/>
        </w:rPr>
        <w:t>.</w:t>
      </w:r>
    </w:p>
    <w:p w14:paraId="3C5E3E65" w14:textId="77777777" w:rsidR="005D3515" w:rsidRPr="007B75DC" w:rsidRDefault="005D3515" w:rsidP="00534F79">
      <w:pPr>
        <w:pStyle w:val="Sraopastraipa"/>
        <w:spacing w:after="0" w:line="240" w:lineRule="auto"/>
        <w:ind w:left="714"/>
        <w:rPr>
          <w:rFonts w:ascii="Times New Roman" w:eastAsia="Times New Roman" w:hAnsi="Times New Roman" w:cs="Times New Roman"/>
          <w:b/>
          <w:szCs w:val="24"/>
        </w:rPr>
      </w:pPr>
    </w:p>
    <w:p w14:paraId="068C7A5E"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Pakitę laboratoriniai testai</w:t>
      </w:r>
    </w:p>
    <w:p w14:paraId="563F1B2C" w14:textId="77777777" w:rsidR="00C15893" w:rsidRDefault="00C15893" w:rsidP="00DE2956">
      <w:pPr>
        <w:spacing w:after="0" w:line="240" w:lineRule="auto"/>
        <w:rPr>
          <w:rFonts w:ascii="Times New Roman" w:eastAsia="Times New Roman" w:hAnsi="Times New Roman" w:cs="Times New Roman"/>
          <w:i/>
          <w:szCs w:val="24"/>
        </w:rPr>
      </w:pPr>
    </w:p>
    <w:p w14:paraId="4E025B92"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Hematologija</w:t>
      </w:r>
    </w:p>
    <w:p w14:paraId="4B7FE228" w14:textId="2DB6896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Visų tyrimų metu LML sergantiems pacientams stebėta citopenija, ypač neutropenija ir trombocitopenija, dažniau vartojant dideles ≥</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750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 dozes (I</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tyrimas). Tačiau citopenijos aiškiai priklauso nuo ligos stadijos, III</w:t>
      </w:r>
      <w:r w:rsidR="003D184D">
        <w:rPr>
          <w:rFonts w:ascii="Times New Roman" w:eastAsia="Times New Roman" w:hAnsi="Times New Roman" w:cs="Times New Roman"/>
          <w:szCs w:val="24"/>
        </w:rPr>
        <w:t>–</w:t>
      </w:r>
      <w:r w:rsidRPr="007B75DC">
        <w:rPr>
          <w:rFonts w:ascii="Times New Roman" w:eastAsia="Times New Roman" w:hAnsi="Times New Roman" w:cs="Times New Roman"/>
          <w:szCs w:val="24"/>
        </w:rPr>
        <w:t>IV</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neutropenija (ANS &lt;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9</w:t>
      </w:r>
      <w:r w:rsidRPr="007B75DC">
        <w:rPr>
          <w:rFonts w:ascii="Times New Roman" w:eastAsia="Times New Roman" w:hAnsi="Times New Roman" w:cs="Times New Roman"/>
          <w:szCs w:val="24"/>
        </w:rPr>
        <w:t>/l) ir trombocitopenija (trombocitų &lt;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50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9</w:t>
      </w:r>
      <w:r w:rsidRPr="007B75DC">
        <w:rPr>
          <w:rFonts w:ascii="Times New Roman" w:eastAsia="Times New Roman" w:hAnsi="Times New Roman" w:cs="Times New Roman"/>
          <w:szCs w:val="24"/>
        </w:rPr>
        <w:t>/l) buvo 4–6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kartus dažniau nustatyta pacientams, kuriems buvo blastinė krizė ar akceleracijos fazė (neutropenija ir trombocitopenija atitinkamai 59–64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ir 44–63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pacientais, kuriems buvo naujai diagnozuota lėtinė LML fazė (16,7</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neutropenija ir 8,9</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trombocitopenija). Naujai diagnozuotos lėtinės LML fazės metu IV</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neutropenija (ANS &lt;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0,5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9</w:t>
      </w:r>
      <w:r w:rsidRPr="007B75DC">
        <w:rPr>
          <w:rFonts w:ascii="Times New Roman" w:eastAsia="Times New Roman" w:hAnsi="Times New Roman" w:cs="Times New Roman"/>
          <w:szCs w:val="24"/>
        </w:rPr>
        <w:t>/l) ir trombocitopenija (trombocitų &lt;</w:t>
      </w:r>
      <w:r w:rsidR="003D184D">
        <w:rPr>
          <w:rFonts w:ascii="Times New Roman" w:eastAsia="Times New Roman" w:hAnsi="Times New Roman" w:cs="Times New Roman"/>
          <w:szCs w:val="24"/>
        </w:rPr>
        <w:t> </w:t>
      </w:r>
      <w:r w:rsidR="00C15893">
        <w:rPr>
          <w:rFonts w:ascii="Times New Roman" w:eastAsia="Times New Roman" w:hAnsi="Times New Roman" w:cs="Times New Roman"/>
          <w:szCs w:val="24"/>
        </w:rPr>
        <w:t>1</w:t>
      </w:r>
      <w:r w:rsidRPr="007B75DC">
        <w:rPr>
          <w:rFonts w:ascii="Times New Roman" w:eastAsia="Times New Roman" w:hAnsi="Times New Roman" w:cs="Times New Roman"/>
          <w:szCs w:val="24"/>
        </w:rPr>
        <w:t>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9</w:t>
      </w:r>
      <w:r w:rsidRPr="007B75DC">
        <w:rPr>
          <w:rFonts w:ascii="Times New Roman" w:eastAsia="Times New Roman" w:hAnsi="Times New Roman" w:cs="Times New Roman"/>
          <w:szCs w:val="24"/>
        </w:rPr>
        <w:t>/l) stebėta atitinkamai 3,6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ir &lt;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 pacientų. Vidurinė neutropenijos ir trombocitopenijos epizodų trukmė paprastai yra atitinkamai 2–3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savaitės ir 3–4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savaitės. Šiuos reiškinius dažniausiai galima kontroliuoti sumažinus imatinibo dozę ar laikinai jį nutraukus, tačiau retai tenka gydymą visiškai nutraukti. Vaikų, sergančių LML, tarpe dažniausiai stebėtas nepageidaujamas poveikis buvo III</w:t>
      </w:r>
      <w:r w:rsidR="003D184D">
        <w:rPr>
          <w:rFonts w:ascii="Times New Roman" w:eastAsia="Times New Roman" w:hAnsi="Times New Roman" w:cs="Times New Roman"/>
          <w:szCs w:val="24"/>
        </w:rPr>
        <w:t>–</w:t>
      </w:r>
      <w:r w:rsidRPr="007B75DC">
        <w:rPr>
          <w:rFonts w:ascii="Times New Roman" w:eastAsia="Times New Roman" w:hAnsi="Times New Roman" w:cs="Times New Roman"/>
          <w:szCs w:val="24"/>
        </w:rPr>
        <w:t>IV</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citopenijos, įskaitant neutropeniją, trombocitopeniją ir anemiją. Paprastai jos pasireiškė per pirmus gydymo mėnesius.</w:t>
      </w:r>
    </w:p>
    <w:p w14:paraId="0413E483" w14:textId="77777777" w:rsidR="00DE2956" w:rsidRPr="007B75DC" w:rsidRDefault="00DE2956" w:rsidP="00DE2956">
      <w:pPr>
        <w:spacing w:after="0" w:line="240" w:lineRule="auto"/>
        <w:rPr>
          <w:rFonts w:ascii="Times New Roman" w:eastAsia="Times New Roman" w:hAnsi="Times New Roman" w:cs="Times New Roman"/>
          <w:szCs w:val="24"/>
        </w:rPr>
      </w:pPr>
    </w:p>
    <w:p w14:paraId="0A32301D" w14:textId="6809E82C"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Atlikto klinikinio tyrimo duomenimis, jame dalyvavusiems pacientams, kuriems buvo nerezekuotinas ir (ar) metastazavęs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III–IV</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anemija pasitaikė atitinkamai 5,4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ir 0,7</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Ji gali būti susijusi su virškinimo trakto ir vidunavikiniu kraujavimu, bent jau kai kuriems pacientams. III–IV</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neutropenija stebėta atitinkamai 7,5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ir 2,7</w:t>
      </w:r>
      <w:r w:rsidR="00C15893">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o III</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trombocitopenija – 0,7</w:t>
      </w:r>
      <w:r w:rsidR="00C15893">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Nė vienam pacientui nepasireiškė IV</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trombocitopenija. Leukocitų (baltųjų kraujo kūnelių, BKK) ir neutrofilų daugiausia sumažėjo per pirmąsias šešias gydymo savaites, paskui jų kiekis santykinai nekito.</w:t>
      </w:r>
    </w:p>
    <w:p w14:paraId="426C76B1" w14:textId="77777777" w:rsidR="00DE2956" w:rsidRPr="007B75DC" w:rsidRDefault="00DE2956" w:rsidP="00DE2956">
      <w:pPr>
        <w:spacing w:after="0" w:line="240" w:lineRule="auto"/>
        <w:rPr>
          <w:rFonts w:ascii="Times New Roman" w:eastAsia="Times New Roman" w:hAnsi="Times New Roman" w:cs="Times New Roman"/>
          <w:szCs w:val="24"/>
        </w:rPr>
      </w:pPr>
    </w:p>
    <w:p w14:paraId="561239F1"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Biochemija</w:t>
      </w:r>
    </w:p>
    <w:p w14:paraId="1445C3FF" w14:textId="703217B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LML sergantiems pacientams stebėta labai padidėjusi transaminazių (&lt;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5</w:t>
      </w:r>
      <w:r w:rsidR="00C15893">
        <w:rPr>
          <w:rFonts w:ascii="Times New Roman" w:eastAsia="Times New Roman" w:hAnsi="Times New Roman" w:cs="Times New Roman"/>
          <w:szCs w:val="24"/>
        </w:rPr>
        <w:t> </w:t>
      </w:r>
      <w:r w:rsidRPr="007B75DC">
        <w:rPr>
          <w:rFonts w:ascii="Times New Roman" w:eastAsia="Times New Roman" w:hAnsi="Times New Roman" w:cs="Times New Roman"/>
          <w:szCs w:val="24"/>
        </w:rPr>
        <w:t>%) ar bilirubino (&lt;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w:t>
      </w:r>
      <w:r w:rsidR="00C15893">
        <w:rPr>
          <w:rFonts w:ascii="Times New Roman" w:eastAsia="Times New Roman" w:hAnsi="Times New Roman" w:cs="Times New Roman"/>
          <w:szCs w:val="24"/>
        </w:rPr>
        <w:t> </w:t>
      </w:r>
      <w:r w:rsidRPr="007B75DC">
        <w:rPr>
          <w:rFonts w:ascii="Times New Roman" w:eastAsia="Times New Roman" w:hAnsi="Times New Roman" w:cs="Times New Roman"/>
          <w:szCs w:val="24"/>
        </w:rPr>
        <w:t>%) koncentracija, kuri paprastai sumažėdavo sumažinus dozę ar laikinai nutraukus gydymą (šių epizodų trukmės mediana buvo maždaug viena savaitė). Dėl pakitusių kepenų funkcijos laboratorinių rodiklių gydymą visiškai reikėjo nutraukti mažiau kaip 1</w:t>
      </w:r>
      <w:r w:rsidR="009E177C">
        <w:rPr>
          <w:rFonts w:ascii="Times New Roman" w:eastAsia="Times New Roman" w:hAnsi="Times New Roman" w:cs="Times New Roman"/>
          <w:szCs w:val="24"/>
        </w:rPr>
        <w:t> </w:t>
      </w:r>
      <w:r w:rsidRPr="007B75DC">
        <w:rPr>
          <w:rFonts w:ascii="Times New Roman" w:eastAsia="Times New Roman" w:hAnsi="Times New Roman" w:cs="Times New Roman"/>
          <w:szCs w:val="24"/>
        </w:rPr>
        <w:t>% LML sirgusių pacientų. 6,8</w:t>
      </w:r>
      <w:r w:rsidR="00C15893">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w:t>
      </w:r>
      <w:r w:rsidR="009E177C">
        <w:rPr>
          <w:rFonts w:ascii="Times New Roman" w:eastAsia="Times New Roman" w:hAnsi="Times New Roman" w:cs="Times New Roman"/>
          <w:szCs w:val="24"/>
        </w:rPr>
        <w:t>VTSN</w:t>
      </w:r>
      <w:r w:rsidRPr="007B75DC">
        <w:rPr>
          <w:rFonts w:ascii="Times New Roman" w:eastAsia="Times New Roman" w:hAnsi="Times New Roman" w:cs="Times New Roman"/>
          <w:szCs w:val="24"/>
        </w:rPr>
        <w:t xml:space="preserve"> sergančių pacientų (tyrimas B2222) buvo stebėtas 3 ar 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ALT (alanino aminotransferazių) koncentracijos padidėjimas ir 4,8</w:t>
      </w:r>
      <w:r w:rsidR="00C15893">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w:t>
      </w:r>
      <w:r w:rsidR="009E177C">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3 ar 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laipsnio AST (aspartataminotransferazių) padidėjimas. Bilirubino koncentracija didėjo mažiau kaip 3</w:t>
      </w:r>
      <w:r w:rsidR="009E177C">
        <w:rPr>
          <w:rFonts w:ascii="Times New Roman" w:eastAsia="Times New Roman" w:hAnsi="Times New Roman" w:cs="Times New Roman"/>
          <w:szCs w:val="24"/>
        </w:rPr>
        <w:t> </w:t>
      </w:r>
      <w:r w:rsidRPr="007B75DC">
        <w:rPr>
          <w:rFonts w:ascii="Times New Roman" w:eastAsia="Times New Roman" w:hAnsi="Times New Roman" w:cs="Times New Roman"/>
          <w:szCs w:val="24"/>
        </w:rPr>
        <w:t>%.</w:t>
      </w:r>
    </w:p>
    <w:p w14:paraId="537CC143" w14:textId="77777777" w:rsidR="00DE2956" w:rsidRPr="007B75DC" w:rsidRDefault="00DE2956" w:rsidP="00DE2956">
      <w:pPr>
        <w:spacing w:after="0" w:line="240" w:lineRule="auto"/>
        <w:rPr>
          <w:rFonts w:ascii="Times New Roman" w:eastAsia="Times New Roman" w:hAnsi="Times New Roman" w:cs="Times New Roman"/>
          <w:szCs w:val="24"/>
        </w:rPr>
      </w:pPr>
    </w:p>
    <w:p w14:paraId="740F06F2"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Pasitaikė citolizinio bei cholestazinio hepatito ir kepenų nepakankamumo atvejų, kai kurie iš jų baigėsi mirtimi (vienam pacientui – vartojusiam didelę paracetamolio dozę).</w:t>
      </w:r>
      <w:r w:rsidRPr="007B75DC">
        <w:rPr>
          <w:rFonts w:ascii="Times New Roman" w:eastAsia="Times New Roman" w:hAnsi="Times New Roman" w:cs="Times New Roman"/>
          <w:szCs w:val="24"/>
        </w:rPr>
        <w:cr/>
      </w:r>
    </w:p>
    <w:p w14:paraId="7F8A696C"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lastRenderedPageBreak/>
        <w:t>Atrinktų nepageidaujamų reakcijų apibūdinimas</w:t>
      </w:r>
    </w:p>
    <w:p w14:paraId="7BFB49A5" w14:textId="77777777" w:rsidR="00DE2956" w:rsidRPr="007B75DC" w:rsidRDefault="00DE2956" w:rsidP="00DE2956">
      <w:pPr>
        <w:spacing w:after="0" w:line="240" w:lineRule="auto"/>
        <w:rPr>
          <w:rFonts w:ascii="Times New Roman" w:eastAsia="Times New Roman" w:hAnsi="Times New Roman" w:cs="Times New Roman"/>
          <w:i/>
          <w:szCs w:val="24"/>
          <w:u w:val="single"/>
        </w:rPr>
      </w:pPr>
      <w:r w:rsidRPr="007B75DC">
        <w:rPr>
          <w:rFonts w:ascii="Times New Roman" w:eastAsia="Times New Roman" w:hAnsi="Times New Roman" w:cs="Times New Roman"/>
          <w:i/>
          <w:szCs w:val="24"/>
          <w:u w:val="single"/>
        </w:rPr>
        <w:t>Hepatito B reaktyvacija</w:t>
      </w:r>
    </w:p>
    <w:p w14:paraId="7245310E" w14:textId="4CC46899"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Pranešta</w:t>
      </w:r>
      <w:r w:rsidR="00C15893">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kad hepatito B reaktyvacijos atvejai buvo susiję su BCR-ABL tirozinkinazės inhibitorių (TKI) vartojimu. Kai kuriais atvejais tai sukėlė ūminį kepenų nepakankamumą arba žaibinį hepatitą, dėl kurio pacientui teko persodinti kepenis arba pacientas mirė (žr. 4.4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r w:rsidRPr="007B75DC">
        <w:rPr>
          <w:rFonts w:ascii="Times New Roman" w:eastAsia="Times New Roman" w:hAnsi="Times New Roman" w:cs="Times New Roman"/>
          <w:szCs w:val="24"/>
        </w:rPr>
        <w:cr/>
      </w:r>
    </w:p>
    <w:p w14:paraId="6377D880" w14:textId="77777777" w:rsidR="00DE2956" w:rsidRPr="007B75DC" w:rsidRDefault="00DE2956" w:rsidP="00DE2956">
      <w:pPr>
        <w:autoSpaceDE w:val="0"/>
        <w:autoSpaceDN w:val="0"/>
        <w:adjustRightInd w:val="0"/>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Pranešimas apie įtariamas nepageidaujamas reakcijas</w:t>
      </w:r>
    </w:p>
    <w:p w14:paraId="4DE1A75B" w14:textId="1A0DC4C5" w:rsidR="004F0987" w:rsidRPr="00E47A2C" w:rsidRDefault="004F0987" w:rsidP="00845AA7">
      <w:pPr>
        <w:spacing w:after="0" w:line="240" w:lineRule="auto"/>
        <w:jc w:val="both"/>
        <w:rPr>
          <w:rFonts w:ascii="Times New Roman" w:hAnsi="Times New Roman" w:cs="Times New Roman"/>
          <w:lang w:eastAsia="lt-LT"/>
        </w:rPr>
      </w:pPr>
      <w:r w:rsidRPr="00E47A2C">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47A2C">
        <w:rPr>
          <w:rFonts w:ascii="Times New Roman" w:hAnsi="Times New Roman" w:cs="Times New Roman"/>
          <w:color w:val="0000EE"/>
          <w:u w:val="single"/>
          <w:lang w:eastAsia="lt-LT"/>
        </w:rPr>
        <w:t>https://vvkt.lrv.lt/lt/</w:t>
      </w:r>
      <w:r w:rsidRPr="00E47A2C">
        <w:rPr>
          <w:rFonts w:ascii="Times New Roman" w:hAnsi="Times New Roman" w:cs="Times New Roman"/>
          <w:lang w:eastAsia="lt-LT"/>
        </w:rPr>
        <w:t xml:space="preserve"> nurodytais būdais.</w:t>
      </w:r>
    </w:p>
    <w:p w14:paraId="7499C2F6" w14:textId="77777777" w:rsidR="00DE2956" w:rsidRPr="007B75DC" w:rsidRDefault="00DE2956" w:rsidP="00C646A2">
      <w:pPr>
        <w:spacing w:after="0" w:line="240" w:lineRule="auto"/>
        <w:rPr>
          <w:rFonts w:ascii="Times New Roman" w:eastAsia="Times New Roman" w:hAnsi="Times New Roman" w:cs="Times New Roman"/>
          <w:szCs w:val="24"/>
        </w:rPr>
      </w:pPr>
    </w:p>
    <w:p w14:paraId="49D94FA0" w14:textId="77777777" w:rsidR="00DE2956" w:rsidRPr="007B75DC" w:rsidRDefault="00DE2956" w:rsidP="00B21044">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4.9</w:t>
      </w:r>
      <w:r w:rsidRPr="007B75DC">
        <w:rPr>
          <w:rFonts w:ascii="Times New Roman" w:eastAsia="Times New Roman" w:hAnsi="Times New Roman" w:cs="Times New Roman"/>
          <w:b/>
          <w:szCs w:val="24"/>
        </w:rPr>
        <w:tab/>
        <w:t>Perdozavimas</w:t>
      </w:r>
    </w:p>
    <w:p w14:paraId="30D09B7F" w14:textId="77777777" w:rsidR="00DE2956" w:rsidRPr="007B75DC" w:rsidRDefault="00DE2956" w:rsidP="00DE2956">
      <w:pPr>
        <w:spacing w:after="0" w:line="240" w:lineRule="auto"/>
        <w:rPr>
          <w:rFonts w:ascii="Times New Roman" w:eastAsia="Times New Roman" w:hAnsi="Times New Roman" w:cs="Times New Roman"/>
          <w:szCs w:val="24"/>
        </w:rPr>
      </w:pPr>
    </w:p>
    <w:p w14:paraId="4DEA1FF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Didesnės dozės nei rekomenduojama terapinė dozė vartojimo patirties yra nedaug. Pavienių pranešimų metu ir literatūros šaltiniuose registruoti pavieniai imatinibo perdozavimo atvejai. Perdozavusį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 xml:space="preserve">o pacientą reikia stebėti ir taikyti atitinkamas simptominio gydymo priemones. Paprastai praneštais atvejais pacientų būklė </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pagerėjo</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arba jie </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pasveiko</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 Perdozavus skirtingų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dozių, pranešta apie pasireiškusius toliau išvardytus reiškinius.</w:t>
      </w:r>
    </w:p>
    <w:p w14:paraId="29D935DA" w14:textId="77777777" w:rsidR="00DE2956" w:rsidRPr="007B75DC" w:rsidRDefault="00DE2956" w:rsidP="00DE2956">
      <w:pPr>
        <w:spacing w:after="0" w:line="240" w:lineRule="auto"/>
        <w:rPr>
          <w:rFonts w:ascii="Times New Roman" w:eastAsia="Times New Roman" w:hAnsi="Times New Roman" w:cs="Times New Roman"/>
          <w:szCs w:val="24"/>
        </w:rPr>
      </w:pPr>
    </w:p>
    <w:p w14:paraId="0CF3ADFC"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Suaugusiųjų populiacija</w:t>
      </w:r>
    </w:p>
    <w:p w14:paraId="7B666274" w14:textId="274D60C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Išgėrus 1200</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1600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dozę (vartojimo trukmė buvo nuo 1 iki 10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dienų), pasireiškė pykinimas, vėmimas, viduriavimas, bėrimas, eritema, edema, patinimas, nuovargis, raumenų spazmai, trombocitopenija, pancitopenija, pilvo skausmas, galvos skausmas, sumažėjęs apetitas.</w:t>
      </w:r>
    </w:p>
    <w:p w14:paraId="21DBE80A" w14:textId="77777777" w:rsidR="00B21044" w:rsidRPr="007B75DC" w:rsidRDefault="00B21044" w:rsidP="00DE2956">
      <w:pPr>
        <w:spacing w:after="0" w:line="240" w:lineRule="auto"/>
        <w:rPr>
          <w:rFonts w:ascii="Times New Roman" w:eastAsia="Times New Roman" w:hAnsi="Times New Roman" w:cs="Times New Roman"/>
          <w:szCs w:val="24"/>
        </w:rPr>
      </w:pPr>
    </w:p>
    <w:p w14:paraId="0C6190B1" w14:textId="44775C7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Išgėrus 1800</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3200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dozę (daugiausia po 3200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6</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dienas), pasireiškė silpnumas, raumenų skausmas, padidėjusi kreatinfosfokinazės koncentracija, padidėjusi bilirubino koncentracija, virškinimo trakto skausmas.</w:t>
      </w:r>
    </w:p>
    <w:p w14:paraId="15F88D9A" w14:textId="77777777" w:rsidR="00B21044" w:rsidRPr="007B75DC" w:rsidRDefault="00B21044" w:rsidP="00DE2956">
      <w:pPr>
        <w:spacing w:after="0" w:line="240" w:lineRule="auto"/>
        <w:rPr>
          <w:rFonts w:ascii="Times New Roman" w:eastAsia="Times New Roman" w:hAnsi="Times New Roman" w:cs="Times New Roman"/>
          <w:szCs w:val="24"/>
        </w:rPr>
      </w:pPr>
    </w:p>
    <w:p w14:paraId="7B5D025E" w14:textId="3223BA2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Išgėrus 6400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(vienkartinę dozę): literatūros šaltiniuose pranešta apie vieną tokį atvejį, kai vienam pacientui pasireiškė pykinimas, vėmimas, pilvo skausmas, karščiavimas, veido patinimas, sumažėjęs neutrofilų skaičius kraujyje, padidėjusi transaminazių koncentracija.</w:t>
      </w:r>
    </w:p>
    <w:p w14:paraId="3A30BD8B" w14:textId="77777777" w:rsidR="00B21044" w:rsidRPr="007B75DC" w:rsidRDefault="00B21044" w:rsidP="00DE2956">
      <w:pPr>
        <w:spacing w:after="0" w:line="240" w:lineRule="auto"/>
        <w:rPr>
          <w:rFonts w:ascii="Times New Roman" w:eastAsia="Times New Roman" w:hAnsi="Times New Roman" w:cs="Times New Roman"/>
          <w:szCs w:val="24"/>
        </w:rPr>
      </w:pPr>
    </w:p>
    <w:p w14:paraId="7AE45ED3" w14:textId="1FA8E0A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Išgėrus 8</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10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g (vienkartinę dozę), pranešta apie pasireiškusį vėmimą ir virškinimo trakto skausmą.</w:t>
      </w:r>
    </w:p>
    <w:p w14:paraId="2616C2FC" w14:textId="77777777" w:rsidR="00DE2956" w:rsidRPr="007B75DC" w:rsidRDefault="00DE2956" w:rsidP="00DE2956">
      <w:pPr>
        <w:spacing w:after="0" w:line="240" w:lineRule="auto"/>
        <w:rPr>
          <w:rFonts w:ascii="Times New Roman" w:eastAsia="Times New Roman" w:hAnsi="Times New Roman" w:cs="Times New Roman"/>
          <w:szCs w:val="24"/>
        </w:rPr>
      </w:pPr>
    </w:p>
    <w:p w14:paraId="5242FA9D"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Vaikų populiacija</w:t>
      </w:r>
    </w:p>
    <w:p w14:paraId="6E95344C" w14:textId="7006170A"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Vienam 3</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berniukui, kuris išgėrė vienkartinę 400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dozę, pasireiškė vėmimas, viduriavimas ir anoreksija, o kitam 3</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metų berniukui, kuris išgėrė vienkartinę 980</w:t>
      </w:r>
      <w:r w:rsidR="008A6BFD">
        <w:rPr>
          <w:rFonts w:ascii="Times New Roman" w:eastAsia="Times New Roman" w:hAnsi="Times New Roman" w:cs="Times New Roman"/>
          <w:szCs w:val="24"/>
        </w:rPr>
        <w:t> </w:t>
      </w:r>
      <w:r w:rsidRPr="007B75DC">
        <w:rPr>
          <w:rFonts w:ascii="Times New Roman" w:eastAsia="Times New Roman" w:hAnsi="Times New Roman" w:cs="Times New Roman"/>
          <w:szCs w:val="24"/>
        </w:rPr>
        <w:t>mg dozę, sumažėjo leukocitų skaičius kraujyje ir pasireiškė viduriavimas.</w:t>
      </w:r>
    </w:p>
    <w:p w14:paraId="6D042A96" w14:textId="77777777" w:rsidR="00DE2956" w:rsidRPr="007B75DC" w:rsidRDefault="00DE2956" w:rsidP="00DE2956">
      <w:pPr>
        <w:spacing w:after="0" w:line="240" w:lineRule="auto"/>
        <w:rPr>
          <w:rFonts w:ascii="Times New Roman" w:eastAsia="Times New Roman" w:hAnsi="Times New Roman" w:cs="Times New Roman"/>
          <w:szCs w:val="24"/>
        </w:rPr>
      </w:pPr>
    </w:p>
    <w:p w14:paraId="53E2BAB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Pacientą, perdozavusį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reikia stebėti ir taikyti atitinkamas pagalbinio gydymo priemones.</w:t>
      </w:r>
      <w:r w:rsidRPr="007B75DC">
        <w:rPr>
          <w:rFonts w:ascii="Times New Roman" w:eastAsia="Times New Roman" w:hAnsi="Times New Roman" w:cs="Times New Roman"/>
          <w:szCs w:val="24"/>
        </w:rPr>
        <w:cr/>
      </w:r>
    </w:p>
    <w:p w14:paraId="3C230DC6"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27D43D59" w14:textId="77777777" w:rsidR="00DE2956" w:rsidRPr="007B75DC" w:rsidRDefault="00DE2956" w:rsidP="00DE2956">
      <w:pPr>
        <w:spacing w:after="0" w:line="240" w:lineRule="auto"/>
        <w:ind w:left="567" w:hanging="567"/>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5.</w:t>
      </w:r>
      <w:r w:rsidRPr="007B75DC">
        <w:rPr>
          <w:rFonts w:ascii="Times New Roman" w:eastAsia="Times New Roman" w:hAnsi="Times New Roman" w:cs="Times New Roman"/>
          <w:b/>
          <w:caps/>
          <w:szCs w:val="24"/>
        </w:rPr>
        <w:tab/>
      </w:r>
      <w:r w:rsidRPr="007B75DC">
        <w:rPr>
          <w:rFonts w:ascii="Times New Roman" w:eastAsia="Times New Roman" w:hAnsi="Times New Roman" w:cs="Times New Roman"/>
          <w:b/>
          <w:szCs w:val="24"/>
        </w:rPr>
        <w:t xml:space="preserve">FARMAKOLOGINĖS </w:t>
      </w:r>
      <w:r w:rsidRPr="007B75DC">
        <w:rPr>
          <w:rFonts w:ascii="Times New Roman" w:eastAsia="Times New Roman" w:hAnsi="Times New Roman" w:cs="Times New Roman"/>
          <w:b/>
          <w:caps/>
          <w:szCs w:val="24"/>
        </w:rPr>
        <w:t>savybės</w:t>
      </w:r>
    </w:p>
    <w:p w14:paraId="14423FB3"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C926AA0"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5.1</w:t>
      </w:r>
      <w:r w:rsidRPr="007B75DC">
        <w:rPr>
          <w:rFonts w:ascii="Times New Roman" w:eastAsia="Times New Roman" w:hAnsi="Times New Roman" w:cs="Times New Roman"/>
          <w:b/>
          <w:szCs w:val="24"/>
        </w:rPr>
        <w:tab/>
        <w:t xml:space="preserve">Farmakodinaminės savybės </w:t>
      </w:r>
    </w:p>
    <w:p w14:paraId="28116999"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F0CD48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Farmakoterapinė grupė –</w:t>
      </w:r>
      <w:r w:rsidR="00A95E32" w:rsidRPr="007B75DC">
        <w:t xml:space="preserve"> </w:t>
      </w:r>
      <w:r w:rsidR="00A95E32" w:rsidRPr="007B75DC">
        <w:rPr>
          <w:rFonts w:ascii="Times New Roman" w:eastAsia="Times New Roman" w:hAnsi="Times New Roman" w:cs="Times New Roman"/>
          <w:szCs w:val="24"/>
        </w:rPr>
        <w:t>antineoplastiniai vaistiniai preparatai, BCR-ABL t</w:t>
      </w:r>
      <w:r w:rsidR="00F72F9C" w:rsidRPr="007B75DC">
        <w:rPr>
          <w:rFonts w:ascii="Times New Roman" w:eastAsia="Times New Roman" w:hAnsi="Times New Roman" w:cs="Times New Roman"/>
          <w:szCs w:val="24"/>
        </w:rPr>
        <w:t xml:space="preserve">irozino </w:t>
      </w:r>
      <w:r w:rsidRPr="007B75DC">
        <w:rPr>
          <w:rFonts w:ascii="Times New Roman" w:eastAsia="Times New Roman" w:hAnsi="Times New Roman" w:cs="Times New Roman"/>
          <w:szCs w:val="24"/>
        </w:rPr>
        <w:t>kinazės inhibitori</w:t>
      </w:r>
      <w:r w:rsidR="00A95E32" w:rsidRPr="007B75DC">
        <w:rPr>
          <w:rFonts w:ascii="Times New Roman" w:eastAsia="Times New Roman" w:hAnsi="Times New Roman" w:cs="Times New Roman"/>
          <w:szCs w:val="24"/>
        </w:rPr>
        <w:t>ai</w:t>
      </w:r>
      <w:r w:rsidRPr="007B75DC">
        <w:rPr>
          <w:rFonts w:ascii="Times New Roman" w:eastAsia="Times New Roman" w:hAnsi="Times New Roman" w:cs="Times New Roman"/>
          <w:szCs w:val="24"/>
        </w:rPr>
        <w:t xml:space="preserve">, ATC kodas – </w:t>
      </w:r>
      <w:r w:rsidR="00A95E32" w:rsidRPr="007B75DC">
        <w:rPr>
          <w:rFonts w:ascii="Times New Roman" w:eastAsia="Times New Roman" w:hAnsi="Times New Roman" w:cs="Times New Roman"/>
          <w:szCs w:val="24"/>
        </w:rPr>
        <w:t>L01EA01</w:t>
      </w:r>
      <w:r w:rsidRPr="007B75DC">
        <w:rPr>
          <w:rFonts w:ascii="Times New Roman" w:eastAsia="Times New Roman" w:hAnsi="Times New Roman" w:cs="Times New Roman"/>
          <w:szCs w:val="24"/>
        </w:rPr>
        <w:t>.</w:t>
      </w:r>
      <w:r w:rsidRPr="007B75DC">
        <w:rPr>
          <w:rFonts w:ascii="Times New Roman" w:eastAsia="Times New Roman" w:hAnsi="Times New Roman" w:cs="Times New Roman"/>
          <w:szCs w:val="24"/>
        </w:rPr>
        <w:cr/>
      </w:r>
    </w:p>
    <w:p w14:paraId="6A41C629" w14:textId="77777777" w:rsidR="00DE2956" w:rsidRPr="007B75DC" w:rsidRDefault="00DE2956" w:rsidP="00534F79">
      <w:pPr>
        <w:keepNext/>
        <w:keepLines/>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lastRenderedPageBreak/>
        <w:t>Veikimo mechanizmas</w:t>
      </w:r>
    </w:p>
    <w:p w14:paraId="785BF68C" w14:textId="77777777" w:rsidR="00DE2956" w:rsidRPr="007B75DC" w:rsidRDefault="00DE2956" w:rsidP="00534F79">
      <w:pPr>
        <w:keepNext/>
        <w:keepLines/>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534F79">
        <w:rPr>
          <w:rFonts w:ascii="Times New Roman" w:eastAsia="Times New Roman" w:hAnsi="Times New Roman" w:cs="Times New Roman"/>
          <w:i/>
          <w:iCs/>
          <w:szCs w:val="24"/>
        </w:rPr>
        <w:t>stem cell factor</w:t>
      </w:r>
      <w:r w:rsidR="00094D7F">
        <w:rPr>
          <w:rFonts w:ascii="Times New Roman" w:eastAsia="Times New Roman" w:hAnsi="Times New Roman" w:cs="Times New Roman"/>
          <w:i/>
          <w:iCs/>
          <w:szCs w:val="24"/>
        </w:rPr>
        <w:t>,</w:t>
      </w:r>
      <w:r w:rsidRPr="007B75DC">
        <w:rPr>
          <w:rFonts w:ascii="Times New Roman" w:eastAsia="Times New Roman" w:hAnsi="Times New Roman" w:cs="Times New Roman"/>
          <w:szCs w:val="24"/>
        </w:rPr>
        <w:t xml:space="preserve"> SCF) receptorių, diskoidino domeno receptorius (DDR1 ir DDR2), kolonijas stimuliuojančio faktoriaus receptorių (angl. </w:t>
      </w:r>
      <w:r w:rsidRPr="007B75DC">
        <w:rPr>
          <w:rFonts w:ascii="Times New Roman" w:eastAsia="Times New Roman" w:hAnsi="Times New Roman" w:cs="Times New Roman"/>
          <w:i/>
          <w:szCs w:val="24"/>
        </w:rPr>
        <w:t>Colony stimulating factor receptor</w:t>
      </w:r>
      <w:r w:rsidR="00094D7F">
        <w:rPr>
          <w:rFonts w:ascii="Times New Roman" w:eastAsia="Times New Roman" w:hAnsi="Times New Roman" w:cs="Times New Roman"/>
          <w:i/>
          <w:szCs w:val="24"/>
        </w:rPr>
        <w:t>,</w:t>
      </w:r>
      <w:r w:rsidRPr="007B75DC">
        <w:rPr>
          <w:rFonts w:ascii="Times New Roman" w:eastAsia="Times New Roman" w:hAnsi="Times New Roman" w:cs="Times New Roman"/>
          <w:i/>
          <w:szCs w:val="24"/>
        </w:rPr>
        <w:t xml:space="preserve"> </w:t>
      </w:r>
      <w:r w:rsidRPr="007B75DC">
        <w:rPr>
          <w:rFonts w:ascii="Times New Roman" w:eastAsia="Times New Roman" w:hAnsi="Times New Roman" w:cs="Times New Roman"/>
          <w:szCs w:val="24"/>
        </w:rPr>
        <w:t xml:space="preserve">CSF-1R) bei trombocituose esančius augimo faktoriaus receptorius alfa ir beta (angl. </w:t>
      </w:r>
      <w:r w:rsidRPr="007B75DC">
        <w:rPr>
          <w:rFonts w:ascii="Times New Roman" w:eastAsia="Times New Roman" w:hAnsi="Times New Roman" w:cs="Times New Roman"/>
          <w:i/>
          <w:szCs w:val="24"/>
        </w:rPr>
        <w:t>platelet-derived growth factor receptors</w:t>
      </w:r>
      <w:r w:rsidR="00094D7F">
        <w:rPr>
          <w:rFonts w:ascii="Times New Roman" w:eastAsia="Times New Roman" w:hAnsi="Times New Roman" w:cs="Times New Roman"/>
          <w:i/>
          <w:szCs w:val="24"/>
        </w:rPr>
        <w:t>,</w:t>
      </w:r>
      <w:r w:rsidRPr="007B75DC">
        <w:rPr>
          <w:rFonts w:ascii="Times New Roman" w:eastAsia="Times New Roman" w:hAnsi="Times New Roman" w:cs="Times New Roman"/>
          <w:szCs w:val="24"/>
        </w:rPr>
        <w:t xml:space="preserve"> PDGFR-alpha, PDGFR-beta). Imatinibas taip pat gali slopinti ląstelių procesus, kuriuos skatina šių receptorių kinazių aktyvinimas.</w:t>
      </w:r>
    </w:p>
    <w:p w14:paraId="7B0E4906" w14:textId="77777777" w:rsidR="00DE2956" w:rsidRPr="007B75DC" w:rsidRDefault="00DE2956" w:rsidP="00DE2956">
      <w:pPr>
        <w:spacing w:after="0" w:line="240" w:lineRule="auto"/>
        <w:rPr>
          <w:rFonts w:ascii="Times New Roman" w:eastAsia="Times New Roman" w:hAnsi="Times New Roman" w:cs="Times New Roman"/>
          <w:szCs w:val="24"/>
          <w:u w:val="single"/>
        </w:rPr>
      </w:pPr>
    </w:p>
    <w:p w14:paraId="6E14683C"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Farmakodinaminis poveikis</w:t>
      </w:r>
    </w:p>
    <w:p w14:paraId="1FEFA5C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Imatinibas yra proteintirozinkinazės inhibitorius, kuris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ląstelės lygmenyje ir </w:t>
      </w:r>
      <w:r w:rsidRPr="007B75DC">
        <w:rPr>
          <w:rFonts w:ascii="Times New Roman" w:eastAsia="Times New Roman" w:hAnsi="Times New Roman" w:cs="Times New Roman"/>
          <w:i/>
          <w:szCs w:val="24"/>
        </w:rPr>
        <w:t>in vivo</w:t>
      </w:r>
      <w:r w:rsidRPr="007B75DC">
        <w:rPr>
          <w:rFonts w:ascii="Times New Roman" w:eastAsia="Times New Roman" w:hAnsi="Times New Roman" w:cs="Times New Roman"/>
          <w:szCs w:val="24"/>
        </w:rPr>
        <w:t xml:space="preserve"> stipriai slopina Bcr-Abl tirozinkinazę. Junginys selektyviai slopina proliferaciją ir indukuoja apoptozę BcrAbl teigiamose ląstelių eilėse, taip pat šviežiose leukeminėse ląstelėse, gautose iš </w:t>
      </w:r>
      <w:r w:rsidRPr="007B75DC">
        <w:rPr>
          <w:rFonts w:ascii="Times New Roman" w:eastAsia="Times New Roman" w:hAnsi="Times New Roman" w:cs="Times New Roman"/>
          <w:i/>
          <w:szCs w:val="24"/>
        </w:rPr>
        <w:t>Philadelphia</w:t>
      </w:r>
      <w:r w:rsidRPr="007B75DC">
        <w:rPr>
          <w:rFonts w:ascii="Times New Roman" w:eastAsia="Times New Roman" w:hAnsi="Times New Roman" w:cs="Times New Roman"/>
          <w:szCs w:val="24"/>
        </w:rPr>
        <w:t xml:space="preserve"> chromosomai teigiamų LML ir ūmine limfoblastine leukemija (ŪLL) sergančių pacientų.</w:t>
      </w:r>
    </w:p>
    <w:p w14:paraId="47B7B75B" w14:textId="77777777" w:rsidR="00DE2956" w:rsidRPr="007B75DC" w:rsidRDefault="00DE2956" w:rsidP="00DE2956">
      <w:pPr>
        <w:spacing w:after="0" w:line="240" w:lineRule="auto"/>
        <w:rPr>
          <w:rFonts w:ascii="Times New Roman" w:eastAsia="Times New Roman" w:hAnsi="Times New Roman" w:cs="Times New Roman"/>
          <w:szCs w:val="24"/>
        </w:rPr>
      </w:pPr>
    </w:p>
    <w:p w14:paraId="6E0205C2"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In vivo</w:t>
      </w:r>
      <w:r w:rsidRPr="007B75DC">
        <w:rPr>
          <w:rFonts w:ascii="Times New Roman" w:eastAsia="Times New Roman" w:hAnsi="Times New Roman" w:cs="Times New Roman"/>
          <w:szCs w:val="24"/>
        </w:rPr>
        <w:t xml:space="preserve"> gyvūnų modelyje su Bcr-Abl teigiamomis naviko ląstelėmis junginiui (monoterapijoje) būdingas antinavikinis aktyvumas.</w:t>
      </w:r>
    </w:p>
    <w:p w14:paraId="5EA3CC4D" w14:textId="77777777" w:rsidR="00DE2956" w:rsidRPr="007B75DC" w:rsidRDefault="00DE2956" w:rsidP="00DE2956">
      <w:pPr>
        <w:spacing w:after="0" w:line="240" w:lineRule="auto"/>
        <w:rPr>
          <w:rFonts w:ascii="Times New Roman" w:eastAsia="Times New Roman" w:hAnsi="Times New Roman" w:cs="Times New Roman"/>
          <w:szCs w:val="24"/>
        </w:rPr>
      </w:pPr>
    </w:p>
    <w:p w14:paraId="4CE1844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Imatinibas taip pat yra trombocitų kilmės augimo faktoriaus (angl. </w:t>
      </w:r>
      <w:r w:rsidRPr="007B75DC">
        <w:rPr>
          <w:rFonts w:ascii="Times New Roman" w:eastAsia="Times New Roman" w:hAnsi="Times New Roman" w:cs="Times New Roman"/>
          <w:i/>
          <w:szCs w:val="24"/>
        </w:rPr>
        <w:t>platelet-derived growth factor</w:t>
      </w:r>
      <w:r w:rsidRPr="007B75DC">
        <w:rPr>
          <w:rFonts w:ascii="Times New Roman" w:eastAsia="Times New Roman" w:hAnsi="Times New Roman" w:cs="Times New Roman"/>
          <w:szCs w:val="24"/>
        </w:rPr>
        <w:t xml:space="preserve">, PDGF) tirozinkinazių receptorių, PDGF-R, kamieninių ląstelių faktoriaus (angl. </w:t>
      </w:r>
      <w:r w:rsidRPr="007B75DC">
        <w:rPr>
          <w:rFonts w:ascii="Times New Roman" w:eastAsia="Times New Roman" w:hAnsi="Times New Roman" w:cs="Times New Roman"/>
          <w:i/>
          <w:szCs w:val="24"/>
        </w:rPr>
        <w:t>stem cell factor</w:t>
      </w:r>
      <w:r w:rsidRPr="007B75DC">
        <w:rPr>
          <w:rFonts w:ascii="Times New Roman" w:eastAsia="Times New Roman" w:hAnsi="Times New Roman" w:cs="Times New Roman"/>
          <w:szCs w:val="24"/>
        </w:rPr>
        <w:t xml:space="preserve">, SCF), c-Kit inhibitorius. Jis slopina PDGF ir SCF medijuojamus ląstelių procesus. </w:t>
      </w:r>
      <w:r w:rsidR="008E79D1" w:rsidRPr="00CB41FF">
        <w:rPr>
          <w:rFonts w:ascii="Times New Roman" w:hAnsi="Times New Roman" w:cs="Times New Roman"/>
          <w:i/>
          <w:iCs/>
        </w:rPr>
        <w:t xml:space="preserve">In vitro </w:t>
      </w:r>
      <w:r w:rsidR="008E79D1" w:rsidRPr="00CB41FF">
        <w:rPr>
          <w:rFonts w:ascii="Times New Roman" w:hAnsi="Times New Roman" w:cs="Times New Roman"/>
        </w:rPr>
        <w:t xml:space="preserve">imatinibas slopina proliferaciją ir indukuoja virškinimo trakto stromos naviko (VTSN) ląstelių, kurios ekspresuoja aktyvintą </w:t>
      </w:r>
      <w:r w:rsidR="008E79D1" w:rsidRPr="00CB41FF">
        <w:rPr>
          <w:rFonts w:ascii="Times New Roman" w:hAnsi="Times New Roman" w:cs="Times New Roman"/>
          <w:i/>
          <w:iCs/>
        </w:rPr>
        <w:t xml:space="preserve">kit </w:t>
      </w:r>
      <w:r w:rsidR="008E79D1" w:rsidRPr="00CB41FF">
        <w:rPr>
          <w:rFonts w:ascii="Times New Roman" w:hAnsi="Times New Roman" w:cs="Times New Roman"/>
        </w:rPr>
        <w:t xml:space="preserve">mutaciją, apoptozę. </w:t>
      </w:r>
      <w:r w:rsidRPr="007B75DC">
        <w:rPr>
          <w:rFonts w:ascii="Times New Roman" w:eastAsia="Times New Roman" w:hAnsi="Times New Roman" w:cs="Times New Roman"/>
          <w:szCs w:val="24"/>
        </w:rPr>
        <w:t>MDS/MPL, HES/LEL ir DFSP patogenezėje svarbus PDGF receptorių ar Abl baltymo tirozino kinazės aktyvav</w:t>
      </w:r>
      <w:r w:rsidR="00094D7F">
        <w:rPr>
          <w:rFonts w:ascii="Times New Roman" w:eastAsia="Times New Roman" w:hAnsi="Times New Roman" w:cs="Times New Roman"/>
          <w:szCs w:val="24"/>
        </w:rPr>
        <w:t>i</w:t>
      </w:r>
      <w:r w:rsidRPr="007B75DC">
        <w:rPr>
          <w:rFonts w:ascii="Times New Roman" w:eastAsia="Times New Roman" w:hAnsi="Times New Roman" w:cs="Times New Roman"/>
          <w:szCs w:val="24"/>
        </w:rPr>
        <w:t>mas, kurį gali skatinti jungimasis su įvairiais baltymais ar PDGF gamyba. Imatinibas slopina sutrikusio PDGFR ir Abl kinazės aktyvumo sukeltą signalo perdavimą ir ląstelių dauginimąsi.</w:t>
      </w:r>
      <w:r w:rsidRPr="007B75DC">
        <w:rPr>
          <w:rFonts w:ascii="Times New Roman" w:eastAsia="Times New Roman" w:hAnsi="Times New Roman" w:cs="Times New Roman"/>
          <w:szCs w:val="24"/>
        </w:rPr>
        <w:cr/>
      </w:r>
    </w:p>
    <w:p w14:paraId="029D987B"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Klinikiniai lėtinės mieloleukemijos tyrimai</w:t>
      </w:r>
    </w:p>
    <w:p w14:paraId="72EF48A0"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Imatinibo veiksmingumas nustatomas bendra hematologinio ir citogenetinio atsako dalimi ir gyvenimo trukme be ligos progresavimo. </w:t>
      </w:r>
      <w:r w:rsidR="00B21044" w:rsidRPr="007B75DC">
        <w:rPr>
          <w:rFonts w:ascii="Times New Roman" w:eastAsia="Times New Roman" w:hAnsi="Times New Roman" w:cs="Times New Roman"/>
          <w:szCs w:val="24"/>
        </w:rPr>
        <w:t xml:space="preserve">Išskyrus su naujai diagnozuota lėtine LML faze susijusį tyrimą, kontroliuotų </w:t>
      </w:r>
      <w:r w:rsidRPr="007B75DC">
        <w:rPr>
          <w:rFonts w:ascii="Times New Roman" w:eastAsia="Times New Roman" w:hAnsi="Times New Roman" w:cs="Times New Roman"/>
          <w:szCs w:val="24"/>
        </w:rPr>
        <w:t>klinikinių tyrimų, įrodančių klinikinę naudą, t.</w:t>
      </w:r>
      <w:r w:rsidR="00094D7F">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y., nuo ligos priklausomų požymių išnykimą ar pailgėjusią gyvenimo trukmę, neatlikta.</w:t>
      </w:r>
    </w:p>
    <w:p w14:paraId="60C206D4" w14:textId="77777777" w:rsidR="00DE2956" w:rsidRPr="007B75DC" w:rsidRDefault="00DE2956" w:rsidP="00DE2956">
      <w:pPr>
        <w:spacing w:after="0" w:line="240" w:lineRule="auto"/>
        <w:rPr>
          <w:rFonts w:ascii="Times New Roman" w:eastAsia="Times New Roman" w:hAnsi="Times New Roman" w:cs="Times New Roman"/>
          <w:szCs w:val="24"/>
        </w:rPr>
      </w:pPr>
    </w:p>
    <w:p w14:paraId="0E8CE8BB" w14:textId="34AED4E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Atlikt</w:t>
      </w:r>
      <w:r w:rsidR="003B15B3" w:rsidRPr="007B75DC">
        <w:rPr>
          <w:rFonts w:ascii="Times New Roman" w:eastAsia="Times New Roman" w:hAnsi="Times New Roman" w:cs="Times New Roman"/>
          <w:szCs w:val="24"/>
        </w:rPr>
        <w:t>i trys</w:t>
      </w:r>
      <w:r w:rsidRPr="007B75DC">
        <w:rPr>
          <w:rFonts w:ascii="Times New Roman" w:eastAsia="Times New Roman" w:hAnsi="Times New Roman" w:cs="Times New Roman"/>
          <w:szCs w:val="24"/>
        </w:rPr>
        <w:t xml:space="preserve"> dideli tarptautini</w:t>
      </w:r>
      <w:r w:rsidR="003B15B3" w:rsidRPr="007B75DC">
        <w:rPr>
          <w:rFonts w:ascii="Times New Roman" w:eastAsia="Times New Roman" w:hAnsi="Times New Roman" w:cs="Times New Roman"/>
          <w:szCs w:val="24"/>
        </w:rPr>
        <w:t>ai</w:t>
      </w:r>
      <w:r w:rsidRPr="007B75DC">
        <w:rPr>
          <w:rFonts w:ascii="Times New Roman" w:eastAsia="Times New Roman" w:hAnsi="Times New Roman" w:cs="Times New Roman"/>
          <w:szCs w:val="24"/>
        </w:rPr>
        <w:t>, atvir</w:t>
      </w:r>
      <w:r w:rsidR="003B15B3" w:rsidRPr="007B75DC">
        <w:rPr>
          <w:rFonts w:ascii="Times New Roman" w:eastAsia="Times New Roman" w:hAnsi="Times New Roman" w:cs="Times New Roman"/>
          <w:szCs w:val="24"/>
        </w:rPr>
        <w:t>i</w:t>
      </w:r>
      <w:r w:rsidRPr="007B75DC">
        <w:rPr>
          <w:rFonts w:ascii="Times New Roman" w:eastAsia="Times New Roman" w:hAnsi="Times New Roman" w:cs="Times New Roman"/>
          <w:szCs w:val="24"/>
        </w:rPr>
        <w:t xml:space="preserve">, </w:t>
      </w:r>
      <w:r w:rsidR="003B15B3" w:rsidRPr="007B75DC">
        <w:rPr>
          <w:rFonts w:ascii="Times New Roman" w:eastAsia="Times New Roman" w:hAnsi="Times New Roman" w:cs="Times New Roman"/>
          <w:szCs w:val="24"/>
        </w:rPr>
        <w:t xml:space="preserve">nekontroliuoti </w:t>
      </w:r>
      <w:r w:rsidRPr="007B75DC">
        <w:rPr>
          <w:rFonts w:ascii="Times New Roman" w:eastAsia="Times New Roman" w:hAnsi="Times New Roman" w:cs="Times New Roman"/>
          <w:szCs w:val="24"/>
        </w:rPr>
        <w:t>II</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tyrima</w:t>
      </w:r>
      <w:r w:rsidR="003B15B3" w:rsidRPr="007B75DC">
        <w:rPr>
          <w:rFonts w:ascii="Times New Roman" w:eastAsia="Times New Roman" w:hAnsi="Times New Roman" w:cs="Times New Roman"/>
          <w:szCs w:val="24"/>
        </w:rPr>
        <w:t>i</w:t>
      </w:r>
      <w:r w:rsidRPr="007B75DC">
        <w:rPr>
          <w:rFonts w:ascii="Times New Roman" w:eastAsia="Times New Roman" w:hAnsi="Times New Roman" w:cs="Times New Roman"/>
          <w:szCs w:val="24"/>
        </w:rPr>
        <w:t xml:space="preserve"> pacientams, kuriems buvo </w:t>
      </w:r>
      <w:r w:rsidRPr="007B75DC">
        <w:rPr>
          <w:rFonts w:ascii="Times New Roman" w:eastAsia="Times New Roman" w:hAnsi="Times New Roman" w:cs="Times New Roman"/>
          <w:i/>
          <w:szCs w:val="24"/>
        </w:rPr>
        <w:t>Philadelphia</w:t>
      </w:r>
      <w:r w:rsidRPr="007B75DC">
        <w:rPr>
          <w:rFonts w:ascii="Times New Roman" w:eastAsia="Times New Roman" w:hAnsi="Times New Roman" w:cs="Times New Roman"/>
          <w:szCs w:val="24"/>
        </w:rPr>
        <w:t xml:space="preserve"> chromosomai teigiamos (Ph+) LML </w:t>
      </w:r>
      <w:r w:rsidR="00F72F9C" w:rsidRPr="007B75DC">
        <w:rPr>
          <w:rFonts w:ascii="Times New Roman" w:eastAsia="Times New Roman" w:hAnsi="Times New Roman" w:cs="Times New Roman"/>
          <w:szCs w:val="24"/>
        </w:rPr>
        <w:t>progresavusi, blastinė ar akceleracijos fazė, kitos Ph+ leukemijos ar LML lėtinė fazė, bet neefektyvus ankstesnis gydymas interferonu alfa (IFN). Vienas didelis, atviras, daugiacentris, tarptautinis randomizuotas III fazės tyrimas atliktas pacientams, kuriems buvo naujai diagnozuota Ph+ LML</w:t>
      </w:r>
      <w:r w:rsidRPr="007B75DC">
        <w:rPr>
          <w:rFonts w:ascii="Times New Roman" w:eastAsia="Times New Roman" w:hAnsi="Times New Roman" w:cs="Times New Roman"/>
          <w:szCs w:val="24"/>
        </w:rPr>
        <w:t xml:space="preserve">. Be to, vaikai buvo gydomi dviejų I fazės tyrimų ir vieno II fazės tyrimo metu. </w:t>
      </w:r>
    </w:p>
    <w:p w14:paraId="4EC90F1F" w14:textId="77777777" w:rsidR="00DE2956" w:rsidRPr="007B75DC" w:rsidRDefault="00DE2956" w:rsidP="00DE2956">
      <w:pPr>
        <w:spacing w:after="0" w:line="240" w:lineRule="auto"/>
        <w:rPr>
          <w:rFonts w:ascii="Times New Roman" w:eastAsia="Times New Roman" w:hAnsi="Times New Roman" w:cs="Times New Roman"/>
          <w:szCs w:val="24"/>
        </w:rPr>
      </w:pPr>
    </w:p>
    <w:p w14:paraId="1255F327" w14:textId="473E9B42"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38</w:t>
      </w:r>
      <w:r w:rsidR="000D70B0">
        <w:rPr>
          <w:rFonts w:ascii="Times New Roman" w:eastAsia="Times New Roman" w:hAnsi="Times New Roman" w:cs="Times New Roman"/>
          <w:szCs w:val="24"/>
        </w:rPr>
        <w:t>–</w:t>
      </w:r>
      <w:r w:rsidR="00F72F9C" w:rsidRPr="007B75DC">
        <w:rPr>
          <w:rFonts w:ascii="Times New Roman" w:eastAsia="Times New Roman" w:hAnsi="Times New Roman" w:cs="Times New Roman"/>
          <w:szCs w:val="24"/>
        </w:rPr>
        <w:t>40</w:t>
      </w:r>
      <w:r w:rsidR="000D70B0">
        <w:rPr>
          <w:rFonts w:ascii="Times New Roman" w:eastAsia="Times New Roman" w:hAnsi="Times New Roman" w:cs="Times New Roman"/>
          <w:szCs w:val="24"/>
        </w:rPr>
        <w:t> </w:t>
      </w:r>
      <w:r w:rsidR="00F72F9C" w:rsidRPr="007B75DC">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visuose tyrimuose dalyvavusių pacientų buvo ≥</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60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metų ir </w:t>
      </w:r>
      <w:r w:rsidR="00F72F9C" w:rsidRPr="007B75DC">
        <w:rPr>
          <w:rFonts w:ascii="Times New Roman" w:eastAsia="Times New Roman" w:hAnsi="Times New Roman" w:cs="Times New Roman"/>
          <w:szCs w:val="24"/>
        </w:rPr>
        <w:t>10</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12</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 ≥</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70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metų.</w:t>
      </w:r>
    </w:p>
    <w:p w14:paraId="065DDF4F" w14:textId="77777777" w:rsidR="00DE2956" w:rsidRPr="007B75DC" w:rsidRDefault="00DE2956" w:rsidP="00DE2956">
      <w:pPr>
        <w:spacing w:after="0" w:line="240" w:lineRule="auto"/>
        <w:rPr>
          <w:rFonts w:ascii="Times New Roman" w:eastAsia="Times New Roman" w:hAnsi="Times New Roman" w:cs="Times New Roman"/>
          <w:szCs w:val="24"/>
        </w:rPr>
      </w:pPr>
    </w:p>
    <w:p w14:paraId="5A4C9FC2" w14:textId="77777777" w:rsidR="006B1C6F" w:rsidRPr="00534F79" w:rsidRDefault="00F72F9C" w:rsidP="00F72F9C">
      <w:pPr>
        <w:spacing w:after="0" w:line="240" w:lineRule="auto"/>
        <w:rPr>
          <w:rFonts w:ascii="Times New Roman" w:eastAsia="Times New Roman" w:hAnsi="Times New Roman" w:cs="Times New Roman"/>
          <w:i/>
          <w:iCs/>
          <w:szCs w:val="24"/>
        </w:rPr>
      </w:pPr>
      <w:r w:rsidRPr="00534F79">
        <w:rPr>
          <w:rFonts w:ascii="Times New Roman" w:eastAsia="Times New Roman" w:hAnsi="Times New Roman" w:cs="Times New Roman"/>
          <w:i/>
          <w:iCs/>
          <w:szCs w:val="24"/>
        </w:rPr>
        <w:t>Naujai diagnozuota lėtinė fazė</w:t>
      </w:r>
    </w:p>
    <w:p w14:paraId="4899A8F2" w14:textId="6DBD1E37"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Šio III</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fazės tyrimo suaugusiųjų tarpe metu buvo lygintas gydymas vienu </w:t>
      </w:r>
      <w:r w:rsidR="00094D7F">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094D7F">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ir gydymas interferonu alfa (IFN) su citarabinu (Ara-C). Pacientams, kuriems negauta atsako (po 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gydymo nebuvo visiško hematologinio atsako (VHA), po 24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padidėjo BKK, nebuvo ryškaus citogenetinio atsako (MCyR)), atsakas išnyko (išnyko VHA ar MCyR) ar visiškai netoleravo gydymo, buvo leista keisti gydymą į alternatyvų (kitos grupės). Imatinib</w:t>
      </w:r>
      <w:r w:rsidR="00F37427">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grupės pacientai vartojo po 400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 vaistinio preparato per parą. IFN grupės tiriamieji buvo gydomi po 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milijonus TV/m</w:t>
      </w:r>
      <w:r w:rsidRPr="00534F79">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IFN per parą į poodį kartu su poodiniu Ara-C po 20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534F79">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10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dienų per mėnesį.</w:t>
      </w:r>
    </w:p>
    <w:p w14:paraId="49F33317" w14:textId="77777777" w:rsidR="00F72F9C" w:rsidRPr="007B75DC" w:rsidRDefault="00F72F9C" w:rsidP="00F72F9C">
      <w:pPr>
        <w:spacing w:after="0" w:line="240" w:lineRule="auto"/>
        <w:rPr>
          <w:rFonts w:ascii="Times New Roman" w:eastAsia="Times New Roman" w:hAnsi="Times New Roman" w:cs="Times New Roman"/>
          <w:szCs w:val="24"/>
        </w:rPr>
      </w:pPr>
    </w:p>
    <w:p w14:paraId="11FBD7C5" w14:textId="33B34849"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Iš viso atsitiktinai atrinkti 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106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po 553 kiekvienoje grupėje. Pradinės abiejų grupių pacientų savybės buvo labai panašios. Vidurinis amžius buvo 51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metai (ribos – 18–70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metų), 21,9</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60</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metų. Iš jų buvo 59</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vyrų ir 41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moterų; 89,9</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baltosios rasės ir 4,7</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juodaodžių. Praėjus septyneriems metams po paskutinio paciento įtraukimo į tyrimą, pirmos eilės gydymo trukmės mediana buvo 82</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mėnesiai </w:t>
      </w:r>
      <w:r w:rsidR="00F37427">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F37427">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grupėje ir </w:t>
      </w:r>
      <w:r w:rsidR="00F37427">
        <w:rPr>
          <w:rFonts w:ascii="Times New Roman" w:eastAsia="Times New Roman" w:hAnsi="Times New Roman" w:cs="Times New Roman"/>
          <w:szCs w:val="24"/>
        </w:rPr>
        <w:t xml:space="preserve">atitinkamai </w:t>
      </w:r>
      <w:r w:rsidRPr="007B75DC">
        <w:rPr>
          <w:rFonts w:ascii="Times New Roman" w:eastAsia="Times New Roman" w:hAnsi="Times New Roman" w:cs="Times New Roman"/>
          <w:szCs w:val="24"/>
        </w:rPr>
        <w:t>8</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mėnesiai IFN grupėje. Antros eilės gydymo </w:t>
      </w:r>
      <w:r w:rsidR="00F37427">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F37427">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trukmės mediana buvo 64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mėnesiai. Pacientų, gavusių pirmos eilės gydymą </w:t>
      </w:r>
      <w:r w:rsidR="00F37427">
        <w:rPr>
          <w:rFonts w:ascii="Times New Roman" w:eastAsia="Times New Roman" w:hAnsi="Times New Roman" w:cs="Times New Roman"/>
          <w:szCs w:val="24"/>
        </w:rPr>
        <w:lastRenderedPageBreak/>
        <w:t>i</w:t>
      </w:r>
      <w:r w:rsidRPr="007B75DC">
        <w:rPr>
          <w:rFonts w:ascii="Times New Roman" w:eastAsia="Times New Roman" w:hAnsi="Times New Roman" w:cs="Times New Roman"/>
          <w:szCs w:val="24"/>
        </w:rPr>
        <w:t>matinib</w:t>
      </w:r>
      <w:r w:rsidR="00F37427">
        <w:rPr>
          <w:rFonts w:ascii="Times New Roman" w:eastAsia="Times New Roman" w:hAnsi="Times New Roman" w:cs="Times New Roman"/>
          <w:szCs w:val="24"/>
        </w:rPr>
        <w:t>u</w:t>
      </w:r>
      <w:r w:rsidRPr="007B75DC">
        <w:rPr>
          <w:rFonts w:ascii="Times New Roman" w:eastAsia="Times New Roman" w:hAnsi="Times New Roman" w:cs="Times New Roman"/>
          <w:szCs w:val="24"/>
        </w:rPr>
        <w:t>, vidutinė paros dozė buvo 406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76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mg. Pagrindinis veiksmingumą atspindintis tyrimo rezultatas yra gyvenimo trukmė be ligos progresavimo. Progresavimas apibūdinamas bet kuriuo iš šių reiškinių: progresavimas iki akceleracijos fazės ar blastinės krizės, mirtis, išnykę VHA ar MCyR, arba pacientams, kuriems negaunama VHA, didėjantis leukocitų skaičius nepaisant tinkamo gydymo. Svarbiausi antriniai rezultatai yra didysis citogenetinis atsakas, hematologinis atsakas, molekulinis atsakas (minimalios liekamosios ligos vertinimas), laikas iki akceleracijos fazės ar blastinės krizės ir gyvenimo trukmė. Atsako duomenys pateikti 2</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lentelėje.</w:t>
      </w:r>
    </w:p>
    <w:p w14:paraId="05914EF3" w14:textId="77777777" w:rsidR="00F72F9C" w:rsidRPr="007B75DC" w:rsidRDefault="00F72F9C" w:rsidP="00F72F9C">
      <w:pPr>
        <w:spacing w:after="0" w:line="240" w:lineRule="auto"/>
        <w:rPr>
          <w:rFonts w:ascii="Times New Roman" w:eastAsia="Times New Roman" w:hAnsi="Times New Roman" w:cs="Times New Roman"/>
          <w:szCs w:val="24"/>
        </w:rPr>
      </w:pPr>
    </w:p>
    <w:p w14:paraId="328E8477" w14:textId="248FDD26" w:rsidR="00F72F9C" w:rsidRPr="007B75DC" w:rsidRDefault="00F72F9C" w:rsidP="00F72F9C">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2</w:t>
      </w:r>
      <w:r w:rsidR="003D184D">
        <w:rPr>
          <w:rFonts w:ascii="Times New Roman" w:eastAsia="Times New Roman" w:hAnsi="Times New Roman" w:cs="Times New Roman"/>
          <w:b/>
          <w:szCs w:val="24"/>
        </w:rPr>
        <w:t> </w:t>
      </w:r>
      <w:r w:rsidRPr="007B75DC">
        <w:rPr>
          <w:rFonts w:ascii="Times New Roman" w:eastAsia="Times New Roman" w:hAnsi="Times New Roman" w:cs="Times New Roman"/>
          <w:b/>
          <w:szCs w:val="24"/>
        </w:rPr>
        <w:t>lentelė</w:t>
      </w:r>
      <w:r w:rsidR="0013691C">
        <w:rPr>
          <w:rFonts w:ascii="Times New Roman" w:eastAsia="Times New Roman" w:hAnsi="Times New Roman" w:cs="Times New Roman"/>
          <w:b/>
          <w:szCs w:val="24"/>
        </w:rPr>
        <w:t>.</w:t>
      </w:r>
      <w:r w:rsidRPr="007B75DC">
        <w:rPr>
          <w:rFonts w:ascii="Times New Roman" w:eastAsia="Times New Roman" w:hAnsi="Times New Roman" w:cs="Times New Roman"/>
          <w:b/>
          <w:szCs w:val="24"/>
        </w:rPr>
        <w:t xml:space="preserve"> Atsakas, gautas naujai diagnozuotos LML tyrimo metu (84</w:t>
      </w:r>
      <w:r w:rsidR="003D184D">
        <w:rPr>
          <w:rFonts w:ascii="Times New Roman" w:eastAsia="Times New Roman" w:hAnsi="Times New Roman" w:cs="Times New Roman"/>
          <w:b/>
          <w:szCs w:val="24"/>
        </w:rPr>
        <w:t> </w:t>
      </w:r>
      <w:r w:rsidRPr="007B75DC">
        <w:rPr>
          <w:rFonts w:ascii="Times New Roman" w:eastAsia="Times New Roman" w:hAnsi="Times New Roman" w:cs="Times New Roman"/>
          <w:b/>
          <w:szCs w:val="24"/>
        </w:rPr>
        <w:t>mėnesių duomenys)</w:t>
      </w:r>
    </w:p>
    <w:p w14:paraId="207C87F3" w14:textId="77777777" w:rsidR="00F72F9C" w:rsidRPr="007B75DC" w:rsidRDefault="0080189F" w:rsidP="00F72F9C">
      <w:pPr>
        <w:spacing w:after="0" w:line="240" w:lineRule="auto"/>
        <w:rPr>
          <w:rFonts w:ascii="Times New Roman" w:eastAsia="Times New Roman" w:hAnsi="Times New Roman" w:cs="Times New Roman"/>
          <w:szCs w:val="24"/>
        </w:rPr>
      </w:pPr>
      <w:r>
        <w:rPr>
          <w:rFonts w:ascii="Times New Roman" w:hAnsi="Times New Roman" w:cs="Times New Roman"/>
          <w:b/>
          <w:bCs/>
          <w:noProof/>
          <w:color w:val="000000"/>
          <w:lang w:eastAsia="lt-LT"/>
        </w:rPr>
        <mc:AlternateContent>
          <mc:Choice Requires="wps">
            <w:drawing>
              <wp:anchor distT="0" distB="0" distL="114300" distR="114300" simplePos="0" relativeHeight="251658240" behindDoc="0" locked="0" layoutInCell="1" allowOverlap="1" wp14:anchorId="596CDA17" wp14:editId="3FF792CD">
                <wp:simplePos x="0" y="0"/>
                <wp:positionH relativeFrom="column">
                  <wp:posOffset>3858895</wp:posOffset>
                </wp:positionH>
                <wp:positionV relativeFrom="paragraph">
                  <wp:posOffset>162560</wp:posOffset>
                </wp:positionV>
                <wp:extent cx="0" cy="2346325"/>
                <wp:effectExtent l="6350" t="13970" r="12700"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6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750489" id="_x0000_t32" coordsize="21600,21600" o:spt="32" o:oned="t" path="m,l21600,21600e" filled="f">
                <v:path arrowok="t" fillok="f" o:connecttype="none"/>
                <o:lock v:ext="edit" shapetype="t"/>
              </v:shapetype>
              <v:shape id="AutoShape 3" o:spid="_x0000_s1026" type="#_x0000_t32" style="position:absolute;margin-left:303.85pt;margin-top:12.8pt;width:0;height:1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"/>
            </w:pict>
          </mc:Fallback>
        </mc:AlternateContent>
      </w:r>
      <w:r>
        <w:rPr>
          <w:rFonts w:ascii="Times New Roman" w:hAnsi="Times New Roman" w:cs="Times New Roman"/>
          <w:b/>
          <w:bCs/>
          <w:noProof/>
          <w:color w:val="000000"/>
          <w:lang w:eastAsia="lt-LT"/>
        </w:rPr>
        <mc:AlternateContent>
          <mc:Choice Requires="wps">
            <w:drawing>
              <wp:anchor distT="0" distB="0" distL="114300" distR="114300" simplePos="0" relativeHeight="251657216" behindDoc="0" locked="0" layoutInCell="1" allowOverlap="1" wp14:anchorId="17C79246" wp14:editId="5E434C10">
                <wp:simplePos x="0" y="0"/>
                <wp:positionH relativeFrom="column">
                  <wp:posOffset>2155825</wp:posOffset>
                </wp:positionH>
                <wp:positionV relativeFrom="paragraph">
                  <wp:posOffset>158750</wp:posOffset>
                </wp:positionV>
                <wp:extent cx="0" cy="2346325"/>
                <wp:effectExtent l="8255" t="10160" r="10795" b="57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6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FAD3E" id="AutoShape 2" o:spid="_x0000_s1026" type="#_x0000_t32" style="position:absolute;margin-left:169.75pt;margin-top:12.5pt;width:0;height:1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"/>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2613"/>
        <w:gridCol w:w="14"/>
        <w:gridCol w:w="3008"/>
      </w:tblGrid>
      <w:tr w:rsidR="00F37427" w:rsidRPr="007B75DC" w14:paraId="7E0F90BD" w14:textId="77777777" w:rsidTr="00534F79">
        <w:trPr>
          <w:cantSplit/>
          <w:trHeight w:val="577"/>
        </w:trPr>
        <w:tc>
          <w:tcPr>
            <w:tcW w:w="1890" w:type="pct"/>
            <w:tcBorders>
              <w:top w:val="single" w:sz="4" w:space="0" w:color="auto"/>
              <w:left w:val="single" w:sz="4" w:space="0" w:color="auto"/>
              <w:right w:val="single" w:sz="4" w:space="0" w:color="auto"/>
            </w:tcBorders>
            <w:vAlign w:val="center"/>
          </w:tcPr>
          <w:p w14:paraId="64782A06" w14:textId="77777777" w:rsidR="00F37427" w:rsidRPr="007B75DC" w:rsidRDefault="00F37427" w:rsidP="00534F79">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b/>
                <w:bCs/>
                <w:color w:val="000000"/>
              </w:rPr>
              <w:t>(Geriausio atsako dažnis)</w:t>
            </w:r>
          </w:p>
        </w:tc>
        <w:tc>
          <w:tcPr>
            <w:tcW w:w="1450" w:type="pct"/>
            <w:gridSpan w:val="2"/>
            <w:tcBorders>
              <w:top w:val="single" w:sz="4" w:space="0" w:color="auto"/>
              <w:left w:val="single" w:sz="4" w:space="0" w:color="auto"/>
              <w:bottom w:val="single" w:sz="4" w:space="0" w:color="auto"/>
              <w:right w:val="single" w:sz="4" w:space="0" w:color="auto"/>
            </w:tcBorders>
          </w:tcPr>
          <w:p w14:paraId="70F12395" w14:textId="77777777" w:rsidR="00F37427" w:rsidRPr="00F37427" w:rsidRDefault="00F37427" w:rsidP="00F37427">
            <w:pPr>
              <w:autoSpaceDE w:val="0"/>
              <w:autoSpaceDN w:val="0"/>
              <w:adjustRightInd w:val="0"/>
              <w:spacing w:after="0" w:line="240" w:lineRule="auto"/>
              <w:jc w:val="center"/>
              <w:rPr>
                <w:rFonts w:ascii="Times New Roman" w:hAnsi="Times New Roman" w:cs="Times New Roman"/>
                <w:b/>
                <w:bCs/>
                <w:color w:val="000000"/>
              </w:rPr>
            </w:pPr>
            <w:r w:rsidRPr="00F37427">
              <w:rPr>
                <w:rFonts w:ascii="Times New Roman" w:hAnsi="Times New Roman" w:cs="Times New Roman"/>
                <w:b/>
                <w:bCs/>
                <w:color w:val="000000"/>
              </w:rPr>
              <w:t>Imatinibas</w:t>
            </w:r>
          </w:p>
          <w:p w14:paraId="6DEF118C" w14:textId="3E23D372" w:rsidR="00F37427" w:rsidRPr="00534F79" w:rsidRDefault="00F37427" w:rsidP="00534F79">
            <w:pPr>
              <w:autoSpaceDE w:val="0"/>
              <w:autoSpaceDN w:val="0"/>
              <w:adjustRightInd w:val="0"/>
              <w:spacing w:after="0" w:line="240" w:lineRule="auto"/>
              <w:jc w:val="center"/>
              <w:rPr>
                <w:rFonts w:ascii="Times New Roman" w:hAnsi="Times New Roman" w:cs="Times New Roman"/>
                <w:b/>
                <w:bCs/>
                <w:color w:val="000000"/>
              </w:rPr>
            </w:pPr>
            <w:r w:rsidRPr="00534F79">
              <w:rPr>
                <w:rFonts w:ascii="Times New Roman" w:hAnsi="Times New Roman" w:cs="Times New Roman"/>
                <w:b/>
                <w:bCs/>
                <w:color w:val="000000"/>
              </w:rPr>
              <w:t>n</w:t>
            </w:r>
            <w:r w:rsidR="00F11306">
              <w:rPr>
                <w:rFonts w:ascii="Times New Roman" w:hAnsi="Times New Roman" w:cs="Times New Roman"/>
                <w:b/>
                <w:bCs/>
                <w:color w:val="000000"/>
              </w:rPr>
              <w:t> </w:t>
            </w:r>
            <w:r w:rsidRPr="00534F79">
              <w:rPr>
                <w:rFonts w:ascii="Times New Roman" w:hAnsi="Times New Roman" w:cs="Times New Roman"/>
                <w:b/>
                <w:bCs/>
                <w:color w:val="000000"/>
              </w:rPr>
              <w:t>=</w:t>
            </w:r>
            <w:r w:rsidR="00F11306">
              <w:rPr>
                <w:rFonts w:ascii="Times New Roman" w:hAnsi="Times New Roman" w:cs="Times New Roman"/>
                <w:b/>
                <w:bCs/>
                <w:color w:val="000000"/>
              </w:rPr>
              <w:t> </w:t>
            </w:r>
            <w:r w:rsidRPr="00534F79">
              <w:rPr>
                <w:rFonts w:ascii="Times New Roman" w:hAnsi="Times New Roman" w:cs="Times New Roman"/>
                <w:b/>
                <w:bCs/>
                <w:color w:val="000000"/>
              </w:rPr>
              <w:t>553</w:t>
            </w:r>
          </w:p>
        </w:tc>
        <w:tc>
          <w:tcPr>
            <w:tcW w:w="1660" w:type="pct"/>
            <w:tcBorders>
              <w:top w:val="single" w:sz="4" w:space="0" w:color="auto"/>
              <w:left w:val="single" w:sz="4" w:space="0" w:color="auto"/>
              <w:bottom w:val="single" w:sz="4" w:space="0" w:color="auto"/>
              <w:right w:val="single" w:sz="4" w:space="0" w:color="auto"/>
            </w:tcBorders>
            <w:hideMark/>
          </w:tcPr>
          <w:p w14:paraId="078122F8" w14:textId="77777777" w:rsidR="00F37427" w:rsidRPr="00F37427" w:rsidRDefault="00F37427" w:rsidP="00F37427">
            <w:pPr>
              <w:autoSpaceDE w:val="0"/>
              <w:autoSpaceDN w:val="0"/>
              <w:adjustRightInd w:val="0"/>
              <w:spacing w:after="0" w:line="240" w:lineRule="auto"/>
              <w:jc w:val="center"/>
              <w:rPr>
                <w:rFonts w:ascii="Times New Roman" w:hAnsi="Times New Roman" w:cs="Times New Roman"/>
                <w:b/>
                <w:bCs/>
                <w:color w:val="000000"/>
              </w:rPr>
            </w:pPr>
            <w:r w:rsidRPr="00F37427">
              <w:rPr>
                <w:rFonts w:ascii="Times New Roman" w:hAnsi="Times New Roman" w:cs="Times New Roman"/>
                <w:b/>
                <w:bCs/>
                <w:color w:val="000000"/>
              </w:rPr>
              <w:t>IFN+Ara-C</w:t>
            </w:r>
          </w:p>
          <w:p w14:paraId="0027485C" w14:textId="7F7391AE" w:rsidR="00F37427" w:rsidRPr="00534F79" w:rsidRDefault="00F37427" w:rsidP="00534F79">
            <w:pPr>
              <w:autoSpaceDE w:val="0"/>
              <w:autoSpaceDN w:val="0"/>
              <w:adjustRightInd w:val="0"/>
              <w:spacing w:after="0" w:line="240" w:lineRule="auto"/>
              <w:jc w:val="center"/>
              <w:rPr>
                <w:rFonts w:ascii="Times New Roman" w:hAnsi="Times New Roman" w:cs="Times New Roman"/>
                <w:b/>
                <w:bCs/>
                <w:color w:val="000000"/>
              </w:rPr>
            </w:pPr>
            <w:r w:rsidRPr="00534F79">
              <w:rPr>
                <w:rFonts w:ascii="Times New Roman" w:hAnsi="Times New Roman" w:cs="Times New Roman"/>
                <w:b/>
                <w:bCs/>
                <w:color w:val="000000"/>
              </w:rPr>
              <w:t>n</w:t>
            </w:r>
            <w:r w:rsidR="00F11306">
              <w:rPr>
                <w:rFonts w:ascii="Times New Roman" w:hAnsi="Times New Roman" w:cs="Times New Roman"/>
                <w:b/>
                <w:bCs/>
                <w:color w:val="000000"/>
              </w:rPr>
              <w:t> </w:t>
            </w:r>
            <w:r w:rsidRPr="00534F79">
              <w:rPr>
                <w:rFonts w:ascii="Times New Roman" w:hAnsi="Times New Roman" w:cs="Times New Roman"/>
                <w:b/>
                <w:bCs/>
                <w:color w:val="000000"/>
              </w:rPr>
              <w:t>=</w:t>
            </w:r>
            <w:r w:rsidR="00F11306">
              <w:rPr>
                <w:rFonts w:ascii="Times New Roman" w:hAnsi="Times New Roman" w:cs="Times New Roman"/>
                <w:b/>
                <w:bCs/>
                <w:color w:val="000000"/>
              </w:rPr>
              <w:t> </w:t>
            </w:r>
            <w:r w:rsidRPr="00534F79">
              <w:rPr>
                <w:rFonts w:ascii="Times New Roman" w:hAnsi="Times New Roman" w:cs="Times New Roman"/>
                <w:b/>
                <w:bCs/>
                <w:color w:val="000000"/>
              </w:rPr>
              <w:t>553</w:t>
            </w:r>
          </w:p>
        </w:tc>
      </w:tr>
      <w:tr w:rsidR="00F37427" w:rsidRPr="007B75DC" w14:paraId="02779D56" w14:textId="77777777" w:rsidTr="0013691C">
        <w:trPr>
          <w:trHeight w:val="98"/>
        </w:trPr>
        <w:tc>
          <w:tcPr>
            <w:tcW w:w="5000" w:type="pct"/>
            <w:gridSpan w:val="4"/>
            <w:tcBorders>
              <w:top w:val="single" w:sz="4" w:space="0" w:color="auto"/>
              <w:left w:val="single" w:sz="4" w:space="0" w:color="auto"/>
              <w:bottom w:val="nil"/>
              <w:right w:val="single" w:sz="4" w:space="0" w:color="auto"/>
            </w:tcBorders>
            <w:hideMark/>
          </w:tcPr>
          <w:p w14:paraId="3630A005" w14:textId="77777777" w:rsidR="00F37427" w:rsidRPr="007B75DC" w:rsidRDefault="00F37427"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b/>
                <w:bCs/>
                <w:color w:val="000000"/>
              </w:rPr>
              <w:t xml:space="preserve">Hematologinis atsakas </w:t>
            </w:r>
          </w:p>
        </w:tc>
      </w:tr>
      <w:tr w:rsidR="00025B65" w:rsidRPr="007B75DC" w14:paraId="59CA3189" w14:textId="77777777" w:rsidTr="00D14A02">
        <w:trPr>
          <w:trHeight w:val="506"/>
        </w:trPr>
        <w:tc>
          <w:tcPr>
            <w:tcW w:w="1890" w:type="pct"/>
            <w:tcBorders>
              <w:top w:val="nil"/>
              <w:left w:val="single" w:sz="4" w:space="0" w:color="auto"/>
              <w:right w:val="single" w:sz="4" w:space="0" w:color="auto"/>
            </w:tcBorders>
            <w:hideMark/>
          </w:tcPr>
          <w:p w14:paraId="41DBA497" w14:textId="77777777" w:rsidR="00025B65" w:rsidRPr="007B75DC" w:rsidRDefault="00025B65"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 xml:space="preserve">VHA dalis n (%) </w:t>
            </w:r>
          </w:p>
          <w:p w14:paraId="2245FF1D" w14:textId="0FA8B52D" w:rsidR="00025B65" w:rsidRPr="007B75DC" w:rsidRDefault="00025B65"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[95</w:t>
            </w:r>
            <w:r w:rsidR="003D184D">
              <w:rPr>
                <w:rFonts w:ascii="Times New Roman" w:hAnsi="Times New Roman" w:cs="Times New Roman"/>
                <w:color w:val="000000"/>
              </w:rPr>
              <w:t> </w:t>
            </w:r>
            <w:r w:rsidRPr="007B75DC">
              <w:rPr>
                <w:rFonts w:ascii="Times New Roman" w:hAnsi="Times New Roman" w:cs="Times New Roman"/>
                <w:color w:val="000000"/>
              </w:rPr>
              <w:t xml:space="preserve">% PI] </w:t>
            </w:r>
          </w:p>
        </w:tc>
        <w:tc>
          <w:tcPr>
            <w:tcW w:w="1442" w:type="pct"/>
            <w:tcBorders>
              <w:top w:val="nil"/>
              <w:left w:val="single" w:sz="4" w:space="0" w:color="auto"/>
              <w:right w:val="single" w:sz="4" w:space="0" w:color="auto"/>
            </w:tcBorders>
            <w:vAlign w:val="center"/>
            <w:hideMark/>
          </w:tcPr>
          <w:p w14:paraId="7258C63C" w14:textId="563B47A7"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534 (96,6</w:t>
            </w:r>
            <w:r w:rsidR="003D184D">
              <w:rPr>
                <w:rFonts w:ascii="Times New Roman" w:hAnsi="Times New Roman" w:cs="Times New Roman"/>
                <w:color w:val="000000"/>
              </w:rPr>
              <w:t> </w:t>
            </w:r>
            <w:r w:rsidRPr="007B75DC">
              <w:rPr>
                <w:rFonts w:ascii="Times New Roman" w:hAnsi="Times New Roman" w:cs="Times New Roman"/>
                <w:color w:val="000000"/>
              </w:rPr>
              <w:t>%)*</w:t>
            </w:r>
          </w:p>
          <w:p w14:paraId="52B9EFAB" w14:textId="09B93926"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[94,7</w:t>
            </w:r>
            <w:r w:rsidR="003D184D">
              <w:rPr>
                <w:rFonts w:ascii="Times New Roman" w:hAnsi="Times New Roman" w:cs="Times New Roman"/>
                <w:color w:val="000000"/>
              </w:rPr>
              <w:t> </w:t>
            </w:r>
            <w:r w:rsidRPr="007B75DC">
              <w:rPr>
                <w:rFonts w:ascii="Times New Roman" w:hAnsi="Times New Roman" w:cs="Times New Roman"/>
                <w:color w:val="000000"/>
              </w:rPr>
              <w:t>%, 97,9</w:t>
            </w:r>
            <w:r w:rsidR="003D184D">
              <w:rPr>
                <w:rFonts w:ascii="Times New Roman" w:hAnsi="Times New Roman" w:cs="Times New Roman"/>
                <w:color w:val="000000"/>
              </w:rPr>
              <w:t> </w:t>
            </w:r>
            <w:r w:rsidRPr="007B75DC">
              <w:rPr>
                <w:rFonts w:ascii="Times New Roman" w:hAnsi="Times New Roman" w:cs="Times New Roman"/>
                <w:color w:val="000000"/>
              </w:rPr>
              <w:t>%]</w:t>
            </w:r>
          </w:p>
        </w:tc>
        <w:tc>
          <w:tcPr>
            <w:tcW w:w="1668" w:type="pct"/>
            <w:gridSpan w:val="2"/>
            <w:tcBorders>
              <w:top w:val="nil"/>
              <w:left w:val="single" w:sz="4" w:space="0" w:color="auto"/>
              <w:right w:val="single" w:sz="4" w:space="0" w:color="auto"/>
            </w:tcBorders>
            <w:vAlign w:val="center"/>
            <w:hideMark/>
          </w:tcPr>
          <w:p w14:paraId="422C6756" w14:textId="21D22A18"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313 (56,6</w:t>
            </w:r>
            <w:r w:rsidR="003D184D">
              <w:rPr>
                <w:rFonts w:ascii="Times New Roman" w:hAnsi="Times New Roman" w:cs="Times New Roman"/>
                <w:color w:val="000000"/>
              </w:rPr>
              <w:t> </w:t>
            </w:r>
            <w:r w:rsidRPr="007B75DC">
              <w:rPr>
                <w:rFonts w:ascii="Times New Roman" w:hAnsi="Times New Roman" w:cs="Times New Roman"/>
                <w:color w:val="000000"/>
              </w:rPr>
              <w:t>%)*</w:t>
            </w:r>
          </w:p>
          <w:p w14:paraId="3C851D84" w14:textId="68F39E55"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[52,4</w:t>
            </w:r>
            <w:r w:rsidR="003D184D">
              <w:rPr>
                <w:rFonts w:ascii="Times New Roman" w:hAnsi="Times New Roman" w:cs="Times New Roman"/>
                <w:color w:val="000000"/>
              </w:rPr>
              <w:t> </w:t>
            </w:r>
            <w:r w:rsidRPr="007B75DC">
              <w:rPr>
                <w:rFonts w:ascii="Times New Roman" w:hAnsi="Times New Roman" w:cs="Times New Roman"/>
                <w:color w:val="000000"/>
              </w:rPr>
              <w:t>%, 60,8</w:t>
            </w:r>
            <w:r w:rsidR="003D184D">
              <w:rPr>
                <w:rFonts w:ascii="Times New Roman" w:hAnsi="Times New Roman" w:cs="Times New Roman"/>
                <w:color w:val="000000"/>
              </w:rPr>
              <w:t> </w:t>
            </w:r>
            <w:r w:rsidRPr="007B75DC">
              <w:rPr>
                <w:rFonts w:ascii="Times New Roman" w:hAnsi="Times New Roman" w:cs="Times New Roman"/>
                <w:color w:val="000000"/>
              </w:rPr>
              <w:t>%]</w:t>
            </w:r>
          </w:p>
        </w:tc>
      </w:tr>
      <w:tr w:rsidR="00F37427" w:rsidRPr="007B75DC" w14:paraId="405E3F6C" w14:textId="77777777" w:rsidTr="0013691C">
        <w:trPr>
          <w:trHeight w:val="98"/>
        </w:trPr>
        <w:tc>
          <w:tcPr>
            <w:tcW w:w="5000" w:type="pct"/>
            <w:gridSpan w:val="4"/>
            <w:tcBorders>
              <w:top w:val="single" w:sz="4" w:space="0" w:color="auto"/>
              <w:left w:val="single" w:sz="4" w:space="0" w:color="auto"/>
              <w:bottom w:val="nil"/>
              <w:right w:val="single" w:sz="4" w:space="0" w:color="auto"/>
            </w:tcBorders>
            <w:hideMark/>
          </w:tcPr>
          <w:p w14:paraId="3CDB33C7" w14:textId="77777777" w:rsidR="00F37427" w:rsidRPr="007B75DC" w:rsidRDefault="00F37427"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b/>
                <w:bCs/>
                <w:color w:val="000000"/>
              </w:rPr>
              <w:t xml:space="preserve">Citogenetinis atsakas </w:t>
            </w:r>
          </w:p>
        </w:tc>
      </w:tr>
      <w:tr w:rsidR="00025B65" w:rsidRPr="007B75DC" w14:paraId="2B345B73" w14:textId="77777777" w:rsidTr="00025B65">
        <w:trPr>
          <w:trHeight w:val="1042"/>
        </w:trPr>
        <w:tc>
          <w:tcPr>
            <w:tcW w:w="1890" w:type="pct"/>
            <w:tcBorders>
              <w:top w:val="nil"/>
              <w:left w:val="single" w:sz="4" w:space="0" w:color="auto"/>
              <w:right w:val="single" w:sz="4" w:space="0" w:color="auto"/>
            </w:tcBorders>
            <w:hideMark/>
          </w:tcPr>
          <w:p w14:paraId="7AB3DBD0" w14:textId="77777777" w:rsidR="00025B65" w:rsidRPr="007B75DC" w:rsidRDefault="00025B65"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 xml:space="preserve">Didysis atsakas n (%) </w:t>
            </w:r>
          </w:p>
          <w:p w14:paraId="6104A2A3" w14:textId="650E19CA" w:rsidR="00025B65" w:rsidRPr="007B75DC" w:rsidRDefault="00025B65"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[95</w:t>
            </w:r>
            <w:r w:rsidR="003D184D">
              <w:rPr>
                <w:rFonts w:ascii="Times New Roman" w:hAnsi="Times New Roman" w:cs="Times New Roman"/>
                <w:color w:val="000000"/>
              </w:rPr>
              <w:t> </w:t>
            </w:r>
            <w:r w:rsidRPr="007B75DC">
              <w:rPr>
                <w:rFonts w:ascii="Times New Roman" w:hAnsi="Times New Roman" w:cs="Times New Roman"/>
                <w:color w:val="000000"/>
              </w:rPr>
              <w:t xml:space="preserve">% PI] </w:t>
            </w:r>
          </w:p>
          <w:p w14:paraId="09E02C99" w14:textId="77777777" w:rsidR="00025B65" w:rsidRPr="007B75DC" w:rsidRDefault="00025B65"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 xml:space="preserve">Visiškas CyR n (%) </w:t>
            </w:r>
          </w:p>
          <w:p w14:paraId="781B93D7" w14:textId="77777777" w:rsidR="00025B65" w:rsidRPr="00025B65" w:rsidRDefault="00025B65" w:rsidP="00F37427">
            <w:pPr>
              <w:autoSpaceDE w:val="0"/>
              <w:autoSpaceDN w:val="0"/>
              <w:adjustRightInd w:val="0"/>
              <w:spacing w:after="0" w:line="240" w:lineRule="auto"/>
              <w:rPr>
                <w:rFonts w:ascii="Times New Roman" w:hAnsi="Times New Roman" w:cs="Times New Roman"/>
                <w:color w:val="000000"/>
              </w:rPr>
            </w:pPr>
            <w:r w:rsidRPr="00534F79">
              <w:rPr>
                <w:rFonts w:ascii="Times New Roman" w:hAnsi="Times New Roman" w:cs="Times New Roman"/>
                <w:color w:val="000000"/>
              </w:rPr>
              <w:t xml:space="preserve">Dalinis CyR n (%) </w:t>
            </w:r>
          </w:p>
        </w:tc>
        <w:tc>
          <w:tcPr>
            <w:tcW w:w="1442" w:type="pct"/>
            <w:tcBorders>
              <w:top w:val="nil"/>
              <w:left w:val="single" w:sz="4" w:space="0" w:color="auto"/>
              <w:right w:val="single" w:sz="4" w:space="0" w:color="auto"/>
            </w:tcBorders>
            <w:vAlign w:val="center"/>
            <w:hideMark/>
          </w:tcPr>
          <w:p w14:paraId="55038A07" w14:textId="69003E56"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490 (88,6</w:t>
            </w:r>
            <w:r w:rsidR="003D184D">
              <w:rPr>
                <w:rFonts w:ascii="Times New Roman" w:hAnsi="Times New Roman" w:cs="Times New Roman"/>
                <w:color w:val="000000"/>
              </w:rPr>
              <w:t> </w:t>
            </w:r>
            <w:r w:rsidRPr="007B75DC">
              <w:rPr>
                <w:rFonts w:ascii="Times New Roman" w:hAnsi="Times New Roman" w:cs="Times New Roman"/>
                <w:color w:val="000000"/>
              </w:rPr>
              <w:t>%)*</w:t>
            </w:r>
          </w:p>
          <w:p w14:paraId="03D3102E" w14:textId="283479DE"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[85,7</w:t>
            </w:r>
            <w:r w:rsidR="003D184D">
              <w:rPr>
                <w:rFonts w:ascii="Times New Roman" w:hAnsi="Times New Roman" w:cs="Times New Roman"/>
                <w:color w:val="000000"/>
              </w:rPr>
              <w:t> </w:t>
            </w:r>
            <w:r w:rsidRPr="007B75DC">
              <w:rPr>
                <w:rFonts w:ascii="Times New Roman" w:hAnsi="Times New Roman" w:cs="Times New Roman"/>
                <w:color w:val="000000"/>
              </w:rPr>
              <w:t>%, 91,1</w:t>
            </w:r>
            <w:r w:rsidR="003D184D">
              <w:rPr>
                <w:rFonts w:ascii="Times New Roman" w:hAnsi="Times New Roman" w:cs="Times New Roman"/>
                <w:color w:val="000000"/>
              </w:rPr>
              <w:t> </w:t>
            </w:r>
            <w:r w:rsidRPr="007B75DC">
              <w:rPr>
                <w:rFonts w:ascii="Times New Roman" w:hAnsi="Times New Roman" w:cs="Times New Roman"/>
                <w:color w:val="000000"/>
              </w:rPr>
              <w:t>%]</w:t>
            </w:r>
          </w:p>
          <w:p w14:paraId="53205BD3" w14:textId="00341417"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456 (82,5</w:t>
            </w:r>
            <w:r w:rsidR="003D184D">
              <w:rPr>
                <w:rFonts w:ascii="Times New Roman" w:hAnsi="Times New Roman" w:cs="Times New Roman"/>
                <w:color w:val="000000"/>
              </w:rPr>
              <w:t> </w:t>
            </w:r>
            <w:r w:rsidRPr="007B75DC">
              <w:rPr>
                <w:rFonts w:ascii="Times New Roman" w:hAnsi="Times New Roman" w:cs="Times New Roman"/>
                <w:color w:val="000000"/>
              </w:rPr>
              <w:t>%)*</w:t>
            </w:r>
          </w:p>
          <w:p w14:paraId="1B6F8073" w14:textId="68F3730C"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34 (6,1</w:t>
            </w:r>
            <w:r w:rsidR="003D184D">
              <w:rPr>
                <w:rFonts w:ascii="Times New Roman" w:hAnsi="Times New Roman" w:cs="Times New Roman"/>
                <w:color w:val="000000"/>
              </w:rPr>
              <w:t> </w:t>
            </w:r>
            <w:r w:rsidRPr="007B75DC">
              <w:rPr>
                <w:rFonts w:ascii="Times New Roman" w:hAnsi="Times New Roman" w:cs="Times New Roman"/>
                <w:color w:val="000000"/>
              </w:rPr>
              <w:t>%)</w:t>
            </w:r>
          </w:p>
        </w:tc>
        <w:tc>
          <w:tcPr>
            <w:tcW w:w="1668" w:type="pct"/>
            <w:gridSpan w:val="2"/>
            <w:tcBorders>
              <w:top w:val="nil"/>
              <w:left w:val="single" w:sz="4" w:space="0" w:color="auto"/>
              <w:right w:val="single" w:sz="4" w:space="0" w:color="auto"/>
            </w:tcBorders>
            <w:vAlign w:val="center"/>
            <w:hideMark/>
          </w:tcPr>
          <w:p w14:paraId="1F9F8A9B" w14:textId="5E917225"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129 (23,3</w:t>
            </w:r>
            <w:r w:rsidR="003D184D">
              <w:rPr>
                <w:rFonts w:ascii="Times New Roman" w:hAnsi="Times New Roman" w:cs="Times New Roman"/>
                <w:color w:val="000000"/>
              </w:rPr>
              <w:t> </w:t>
            </w:r>
            <w:r w:rsidRPr="007B75DC">
              <w:rPr>
                <w:rFonts w:ascii="Times New Roman" w:hAnsi="Times New Roman" w:cs="Times New Roman"/>
                <w:color w:val="000000"/>
              </w:rPr>
              <w:t>%)*</w:t>
            </w:r>
          </w:p>
          <w:p w14:paraId="46951315" w14:textId="5BFE24DE"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[19,9</w:t>
            </w:r>
            <w:r w:rsidR="003D184D">
              <w:rPr>
                <w:rFonts w:ascii="Times New Roman" w:hAnsi="Times New Roman" w:cs="Times New Roman"/>
                <w:color w:val="000000"/>
              </w:rPr>
              <w:t> </w:t>
            </w:r>
            <w:r w:rsidRPr="007B75DC">
              <w:rPr>
                <w:rFonts w:ascii="Times New Roman" w:hAnsi="Times New Roman" w:cs="Times New Roman"/>
                <w:color w:val="000000"/>
              </w:rPr>
              <w:t>%, 27,1</w:t>
            </w:r>
            <w:r w:rsidR="003D184D">
              <w:rPr>
                <w:rFonts w:ascii="Times New Roman" w:hAnsi="Times New Roman" w:cs="Times New Roman"/>
                <w:color w:val="000000"/>
              </w:rPr>
              <w:t> </w:t>
            </w:r>
            <w:r w:rsidRPr="007B75DC">
              <w:rPr>
                <w:rFonts w:ascii="Times New Roman" w:hAnsi="Times New Roman" w:cs="Times New Roman"/>
                <w:color w:val="000000"/>
              </w:rPr>
              <w:t>%]</w:t>
            </w:r>
          </w:p>
          <w:p w14:paraId="6009DE00" w14:textId="3FD94DFD"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64 (11,6</w:t>
            </w:r>
            <w:r w:rsidR="003D184D">
              <w:rPr>
                <w:rFonts w:ascii="Times New Roman" w:hAnsi="Times New Roman" w:cs="Times New Roman"/>
                <w:color w:val="000000"/>
              </w:rPr>
              <w:t> </w:t>
            </w:r>
            <w:r w:rsidRPr="007B75DC">
              <w:rPr>
                <w:rFonts w:ascii="Times New Roman" w:hAnsi="Times New Roman" w:cs="Times New Roman"/>
                <w:color w:val="000000"/>
              </w:rPr>
              <w:t>%)*</w:t>
            </w:r>
          </w:p>
          <w:p w14:paraId="759689E0" w14:textId="0E91A79F" w:rsidR="00025B65" w:rsidRPr="007B75DC" w:rsidRDefault="00025B65"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65 (11,8</w:t>
            </w:r>
            <w:r w:rsidR="003D184D">
              <w:rPr>
                <w:rFonts w:ascii="Times New Roman" w:hAnsi="Times New Roman" w:cs="Times New Roman"/>
                <w:color w:val="000000"/>
              </w:rPr>
              <w:t> </w:t>
            </w:r>
            <w:r w:rsidRPr="007B75DC">
              <w:rPr>
                <w:rFonts w:ascii="Times New Roman" w:hAnsi="Times New Roman" w:cs="Times New Roman"/>
                <w:color w:val="000000"/>
              </w:rPr>
              <w:t>%)</w:t>
            </w:r>
          </w:p>
        </w:tc>
      </w:tr>
      <w:tr w:rsidR="00F37427" w:rsidRPr="007B75DC" w14:paraId="6224ADF8" w14:textId="77777777" w:rsidTr="0013691C">
        <w:trPr>
          <w:trHeight w:val="100"/>
        </w:trPr>
        <w:tc>
          <w:tcPr>
            <w:tcW w:w="5000" w:type="pct"/>
            <w:gridSpan w:val="4"/>
            <w:tcBorders>
              <w:top w:val="single" w:sz="4" w:space="0" w:color="auto"/>
              <w:left w:val="single" w:sz="4" w:space="0" w:color="auto"/>
              <w:bottom w:val="nil"/>
              <w:right w:val="single" w:sz="4" w:space="0" w:color="auto"/>
            </w:tcBorders>
            <w:hideMark/>
          </w:tcPr>
          <w:p w14:paraId="12A51509" w14:textId="77777777" w:rsidR="00F37427" w:rsidRPr="007B75DC" w:rsidRDefault="00F37427"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b/>
                <w:bCs/>
                <w:color w:val="000000"/>
              </w:rPr>
              <w:t xml:space="preserve">Molekulinis atsakas** </w:t>
            </w:r>
          </w:p>
        </w:tc>
      </w:tr>
      <w:tr w:rsidR="0013691C" w:rsidRPr="007B75DC" w14:paraId="04E3503D" w14:textId="77777777" w:rsidTr="00D14A02">
        <w:trPr>
          <w:trHeight w:val="759"/>
        </w:trPr>
        <w:tc>
          <w:tcPr>
            <w:tcW w:w="1890" w:type="pct"/>
            <w:tcBorders>
              <w:top w:val="nil"/>
              <w:left w:val="single" w:sz="4" w:space="0" w:color="auto"/>
              <w:right w:val="single" w:sz="4" w:space="0" w:color="auto"/>
            </w:tcBorders>
            <w:hideMark/>
          </w:tcPr>
          <w:p w14:paraId="3432E9AC" w14:textId="04D847E5" w:rsidR="0013691C" w:rsidRPr="007B75DC" w:rsidRDefault="0013691C"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Didysis atsakas po 12</w:t>
            </w:r>
            <w:r w:rsidR="003D184D">
              <w:rPr>
                <w:rFonts w:ascii="Times New Roman" w:hAnsi="Times New Roman" w:cs="Times New Roman"/>
                <w:color w:val="000000"/>
              </w:rPr>
              <w:t> </w:t>
            </w:r>
            <w:r w:rsidRPr="007B75DC">
              <w:rPr>
                <w:rFonts w:ascii="Times New Roman" w:hAnsi="Times New Roman" w:cs="Times New Roman"/>
                <w:color w:val="000000"/>
              </w:rPr>
              <w:t xml:space="preserve">mėnesių (%) </w:t>
            </w:r>
          </w:p>
          <w:p w14:paraId="203B3883" w14:textId="784ADA74" w:rsidR="0013691C" w:rsidRPr="007B75DC" w:rsidRDefault="0013691C"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Didysis atsakas po 24</w:t>
            </w:r>
            <w:r w:rsidR="003D184D">
              <w:rPr>
                <w:rFonts w:ascii="Times New Roman" w:hAnsi="Times New Roman" w:cs="Times New Roman"/>
                <w:color w:val="000000"/>
              </w:rPr>
              <w:t> </w:t>
            </w:r>
            <w:r w:rsidRPr="007B75DC">
              <w:rPr>
                <w:rFonts w:ascii="Times New Roman" w:hAnsi="Times New Roman" w:cs="Times New Roman"/>
                <w:color w:val="000000"/>
              </w:rPr>
              <w:t xml:space="preserve">mėnesių (%) </w:t>
            </w:r>
          </w:p>
          <w:p w14:paraId="1AF3C8F1" w14:textId="6AAB922B" w:rsidR="0013691C" w:rsidRPr="007B75DC" w:rsidRDefault="0013691C" w:rsidP="00F37427">
            <w:pPr>
              <w:autoSpaceDE w:val="0"/>
              <w:autoSpaceDN w:val="0"/>
              <w:adjustRightInd w:val="0"/>
              <w:spacing w:after="0" w:line="240" w:lineRule="auto"/>
              <w:rPr>
                <w:rFonts w:ascii="Times New Roman" w:hAnsi="Times New Roman" w:cs="Times New Roman"/>
                <w:color w:val="000000"/>
              </w:rPr>
            </w:pPr>
            <w:r w:rsidRPr="007B75DC">
              <w:rPr>
                <w:rFonts w:ascii="Times New Roman" w:hAnsi="Times New Roman" w:cs="Times New Roman"/>
                <w:color w:val="000000"/>
              </w:rPr>
              <w:t>Didysis atsakas po 84</w:t>
            </w:r>
            <w:r w:rsidR="003D184D">
              <w:rPr>
                <w:rFonts w:ascii="Times New Roman" w:hAnsi="Times New Roman" w:cs="Times New Roman"/>
                <w:color w:val="000000"/>
              </w:rPr>
              <w:t> </w:t>
            </w:r>
            <w:r w:rsidRPr="007B75DC">
              <w:rPr>
                <w:rFonts w:ascii="Times New Roman" w:hAnsi="Times New Roman" w:cs="Times New Roman"/>
                <w:color w:val="000000"/>
              </w:rPr>
              <w:t xml:space="preserve">mėnesių (%) </w:t>
            </w:r>
          </w:p>
        </w:tc>
        <w:tc>
          <w:tcPr>
            <w:tcW w:w="1442" w:type="pct"/>
            <w:tcBorders>
              <w:top w:val="nil"/>
              <w:left w:val="single" w:sz="4" w:space="0" w:color="auto"/>
              <w:right w:val="single" w:sz="4" w:space="0" w:color="auto"/>
            </w:tcBorders>
            <w:vAlign w:val="center"/>
            <w:hideMark/>
          </w:tcPr>
          <w:p w14:paraId="157086BE" w14:textId="5313698A" w:rsidR="0013691C" w:rsidRPr="007B75DC" w:rsidRDefault="0013691C"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153/305 = 50,2</w:t>
            </w:r>
            <w:r w:rsidR="003D184D">
              <w:rPr>
                <w:rFonts w:ascii="Times New Roman" w:hAnsi="Times New Roman" w:cs="Times New Roman"/>
                <w:color w:val="000000"/>
              </w:rPr>
              <w:t> </w:t>
            </w:r>
            <w:r w:rsidRPr="007B75DC">
              <w:rPr>
                <w:rFonts w:ascii="Times New Roman" w:hAnsi="Times New Roman" w:cs="Times New Roman"/>
                <w:color w:val="000000"/>
              </w:rPr>
              <w:t>%</w:t>
            </w:r>
          </w:p>
          <w:p w14:paraId="18EDDB8D" w14:textId="2AC4BEE2" w:rsidR="0013691C" w:rsidRPr="007B75DC" w:rsidRDefault="0013691C"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73/104 = 70,2</w:t>
            </w:r>
            <w:r w:rsidR="003D184D">
              <w:rPr>
                <w:rFonts w:ascii="Times New Roman" w:hAnsi="Times New Roman" w:cs="Times New Roman"/>
                <w:color w:val="000000"/>
              </w:rPr>
              <w:t> </w:t>
            </w:r>
            <w:r w:rsidRPr="007B75DC">
              <w:rPr>
                <w:rFonts w:ascii="Times New Roman" w:hAnsi="Times New Roman" w:cs="Times New Roman"/>
                <w:color w:val="000000"/>
              </w:rPr>
              <w:t>%</w:t>
            </w:r>
          </w:p>
          <w:p w14:paraId="780C705C" w14:textId="58DB9F38" w:rsidR="0013691C" w:rsidRPr="007B75DC" w:rsidRDefault="0013691C"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102/116 = 87,9</w:t>
            </w:r>
            <w:r w:rsidR="003D184D">
              <w:rPr>
                <w:rFonts w:ascii="Times New Roman" w:hAnsi="Times New Roman" w:cs="Times New Roman"/>
                <w:color w:val="000000"/>
              </w:rPr>
              <w:t> </w:t>
            </w:r>
            <w:r w:rsidRPr="007B75DC">
              <w:rPr>
                <w:rFonts w:ascii="Times New Roman" w:hAnsi="Times New Roman" w:cs="Times New Roman"/>
                <w:color w:val="000000"/>
              </w:rPr>
              <w:t>%</w:t>
            </w:r>
          </w:p>
        </w:tc>
        <w:tc>
          <w:tcPr>
            <w:tcW w:w="1668" w:type="pct"/>
            <w:gridSpan w:val="2"/>
            <w:tcBorders>
              <w:top w:val="nil"/>
              <w:left w:val="single" w:sz="4" w:space="0" w:color="auto"/>
              <w:right w:val="single" w:sz="4" w:space="0" w:color="auto"/>
            </w:tcBorders>
            <w:vAlign w:val="center"/>
            <w:hideMark/>
          </w:tcPr>
          <w:p w14:paraId="103F65D9" w14:textId="7C780D3E" w:rsidR="0013691C" w:rsidRPr="007B75DC" w:rsidRDefault="0013691C"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8/83 = 9,6</w:t>
            </w:r>
            <w:r w:rsidR="003D184D">
              <w:rPr>
                <w:rFonts w:ascii="Times New Roman" w:hAnsi="Times New Roman" w:cs="Times New Roman"/>
                <w:color w:val="000000"/>
              </w:rPr>
              <w:t> </w:t>
            </w:r>
            <w:r w:rsidRPr="007B75DC">
              <w:rPr>
                <w:rFonts w:ascii="Times New Roman" w:hAnsi="Times New Roman" w:cs="Times New Roman"/>
                <w:color w:val="000000"/>
              </w:rPr>
              <w:t>%</w:t>
            </w:r>
          </w:p>
          <w:p w14:paraId="6B32E303" w14:textId="24A104ED" w:rsidR="0013691C" w:rsidRPr="007B75DC" w:rsidRDefault="0013691C"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3/12 = 25</w:t>
            </w:r>
            <w:r w:rsidR="003D184D">
              <w:rPr>
                <w:rFonts w:ascii="Times New Roman" w:hAnsi="Times New Roman" w:cs="Times New Roman"/>
                <w:color w:val="000000"/>
              </w:rPr>
              <w:t> </w:t>
            </w:r>
            <w:r w:rsidRPr="007B75DC">
              <w:rPr>
                <w:rFonts w:ascii="Times New Roman" w:hAnsi="Times New Roman" w:cs="Times New Roman"/>
                <w:color w:val="000000"/>
              </w:rPr>
              <w:t>%</w:t>
            </w:r>
          </w:p>
          <w:p w14:paraId="1A3BD83D" w14:textId="5046C63F" w:rsidR="0013691C" w:rsidRPr="007B75DC" w:rsidRDefault="0013691C" w:rsidP="00F37427">
            <w:pPr>
              <w:autoSpaceDE w:val="0"/>
              <w:autoSpaceDN w:val="0"/>
              <w:adjustRightInd w:val="0"/>
              <w:spacing w:after="0" w:line="240" w:lineRule="auto"/>
              <w:jc w:val="center"/>
              <w:rPr>
                <w:rFonts w:ascii="Times New Roman" w:hAnsi="Times New Roman" w:cs="Times New Roman"/>
                <w:color w:val="000000"/>
              </w:rPr>
            </w:pPr>
            <w:r w:rsidRPr="007B75DC">
              <w:rPr>
                <w:rFonts w:ascii="Times New Roman" w:hAnsi="Times New Roman" w:cs="Times New Roman"/>
                <w:color w:val="000000"/>
              </w:rPr>
              <w:t>3/4 = 75</w:t>
            </w:r>
            <w:r w:rsidR="003D184D">
              <w:rPr>
                <w:rFonts w:ascii="Times New Roman" w:hAnsi="Times New Roman" w:cs="Times New Roman"/>
                <w:color w:val="000000"/>
              </w:rPr>
              <w:t> </w:t>
            </w:r>
            <w:r w:rsidRPr="007B75DC">
              <w:rPr>
                <w:rFonts w:ascii="Times New Roman" w:hAnsi="Times New Roman" w:cs="Times New Roman"/>
                <w:color w:val="000000"/>
              </w:rPr>
              <w:t>%</w:t>
            </w:r>
          </w:p>
        </w:tc>
      </w:tr>
      <w:tr w:rsidR="00F37427" w:rsidRPr="007B75DC" w14:paraId="2B266A2A" w14:textId="77777777" w:rsidTr="00146B23">
        <w:trPr>
          <w:trHeight w:val="1247"/>
        </w:trPr>
        <w:tc>
          <w:tcPr>
            <w:tcW w:w="5000" w:type="pct"/>
            <w:gridSpan w:val="4"/>
            <w:tcBorders>
              <w:top w:val="single" w:sz="4" w:space="0" w:color="auto"/>
              <w:left w:val="single" w:sz="4" w:space="0" w:color="auto"/>
              <w:bottom w:val="single" w:sz="4" w:space="0" w:color="auto"/>
              <w:right w:val="single" w:sz="4" w:space="0" w:color="auto"/>
            </w:tcBorders>
            <w:hideMark/>
          </w:tcPr>
          <w:p w14:paraId="1F89F0DB" w14:textId="46304A09" w:rsidR="00F37427" w:rsidRPr="007B75DC" w:rsidRDefault="00F37427" w:rsidP="00F37427">
            <w:pPr>
              <w:autoSpaceDE w:val="0"/>
              <w:autoSpaceDN w:val="0"/>
              <w:adjustRightInd w:val="0"/>
              <w:spacing w:after="0" w:line="240" w:lineRule="auto"/>
              <w:rPr>
                <w:rFonts w:ascii="Times New Roman" w:hAnsi="Times New Roman" w:cs="Times New Roman"/>
                <w:color w:val="000000"/>
                <w:sz w:val="20"/>
              </w:rPr>
            </w:pPr>
            <w:r w:rsidRPr="007B75DC">
              <w:rPr>
                <w:rFonts w:ascii="Times New Roman" w:hAnsi="Times New Roman" w:cs="Times New Roman"/>
                <w:color w:val="000000"/>
                <w:sz w:val="20"/>
              </w:rPr>
              <w:t>* p</w:t>
            </w:r>
            <w:r w:rsidR="003D184D">
              <w:rPr>
                <w:rFonts w:ascii="Times New Roman" w:hAnsi="Times New Roman" w:cs="Times New Roman"/>
                <w:color w:val="000000"/>
                <w:sz w:val="20"/>
              </w:rPr>
              <w:t> </w:t>
            </w:r>
            <w:r w:rsidRPr="007B75DC">
              <w:rPr>
                <w:rFonts w:ascii="Times New Roman" w:hAnsi="Times New Roman" w:cs="Times New Roman"/>
                <w:color w:val="000000"/>
                <w:sz w:val="20"/>
              </w:rPr>
              <w:t>&lt;</w:t>
            </w:r>
            <w:r w:rsidR="003D184D">
              <w:rPr>
                <w:rFonts w:ascii="Times New Roman" w:hAnsi="Times New Roman" w:cs="Times New Roman"/>
                <w:color w:val="000000"/>
                <w:sz w:val="20"/>
              </w:rPr>
              <w:t> </w:t>
            </w:r>
            <w:r w:rsidRPr="007B75DC">
              <w:rPr>
                <w:rFonts w:ascii="Times New Roman" w:hAnsi="Times New Roman" w:cs="Times New Roman"/>
                <w:color w:val="000000"/>
                <w:sz w:val="20"/>
              </w:rPr>
              <w:t xml:space="preserve">0,001, </w:t>
            </w:r>
            <w:r w:rsidRPr="007B75DC">
              <w:rPr>
                <w:rFonts w:ascii="Times New Roman" w:hAnsi="Times New Roman" w:cs="Times New Roman"/>
                <w:i/>
                <w:iCs/>
                <w:color w:val="000000"/>
                <w:sz w:val="20"/>
              </w:rPr>
              <w:t xml:space="preserve">Fischer </w:t>
            </w:r>
            <w:r w:rsidRPr="007B75DC">
              <w:rPr>
                <w:rFonts w:ascii="Times New Roman" w:hAnsi="Times New Roman" w:cs="Times New Roman"/>
                <w:color w:val="000000"/>
                <w:sz w:val="20"/>
              </w:rPr>
              <w:t xml:space="preserve">tikslus testas </w:t>
            </w:r>
          </w:p>
          <w:p w14:paraId="09E9B9FC" w14:textId="77777777" w:rsidR="00F37427" w:rsidRPr="007B75DC" w:rsidRDefault="00F37427" w:rsidP="00F37427">
            <w:pPr>
              <w:autoSpaceDE w:val="0"/>
              <w:autoSpaceDN w:val="0"/>
              <w:adjustRightInd w:val="0"/>
              <w:spacing w:after="0" w:line="240" w:lineRule="auto"/>
              <w:rPr>
                <w:rFonts w:ascii="Times New Roman" w:hAnsi="Times New Roman" w:cs="Times New Roman"/>
                <w:color w:val="000000"/>
                <w:sz w:val="20"/>
              </w:rPr>
            </w:pPr>
            <w:r w:rsidRPr="007B75DC">
              <w:rPr>
                <w:rFonts w:ascii="Times New Roman" w:hAnsi="Times New Roman" w:cs="Times New Roman"/>
                <w:color w:val="000000"/>
                <w:sz w:val="20"/>
              </w:rPr>
              <w:t xml:space="preserve">** procentinė molekulinio atsako dalis paremta turimomis imtimis </w:t>
            </w:r>
          </w:p>
          <w:p w14:paraId="6690A367" w14:textId="01E1F5A9" w:rsidR="00F37427" w:rsidRPr="007B75DC" w:rsidRDefault="00F37427" w:rsidP="00F37427">
            <w:pPr>
              <w:autoSpaceDE w:val="0"/>
              <w:autoSpaceDN w:val="0"/>
              <w:adjustRightInd w:val="0"/>
              <w:spacing w:after="0" w:line="240" w:lineRule="auto"/>
              <w:rPr>
                <w:rFonts w:ascii="Times New Roman" w:hAnsi="Times New Roman" w:cs="Times New Roman"/>
                <w:color w:val="000000"/>
                <w:sz w:val="20"/>
              </w:rPr>
            </w:pPr>
            <w:r w:rsidRPr="007B75DC">
              <w:rPr>
                <w:rFonts w:ascii="Times New Roman" w:hAnsi="Times New Roman" w:cs="Times New Roman"/>
                <w:b/>
                <w:bCs/>
                <w:color w:val="000000"/>
                <w:sz w:val="20"/>
              </w:rPr>
              <w:t xml:space="preserve">Hematologinio atsako kriterijai (bet koks atsakas turi būti patvirtintas po </w:t>
            </w:r>
            <w:r w:rsidRPr="007B75DC">
              <w:rPr>
                <w:rFonts w:ascii="Times New Roman" w:hAnsi="Times New Roman" w:cs="Times New Roman"/>
                <w:color w:val="000000"/>
                <w:sz w:val="20"/>
              </w:rPr>
              <w:t>≥</w:t>
            </w:r>
            <w:r w:rsidR="003D184D">
              <w:rPr>
                <w:rFonts w:ascii="Times New Roman" w:hAnsi="Times New Roman" w:cs="Times New Roman"/>
                <w:color w:val="000000"/>
                <w:sz w:val="20"/>
              </w:rPr>
              <w:t> </w:t>
            </w:r>
            <w:r w:rsidRPr="007B75DC">
              <w:rPr>
                <w:rFonts w:ascii="Times New Roman" w:hAnsi="Times New Roman" w:cs="Times New Roman"/>
                <w:b/>
                <w:bCs/>
                <w:color w:val="000000"/>
                <w:sz w:val="20"/>
              </w:rPr>
              <w:t>4</w:t>
            </w:r>
            <w:r w:rsidR="003D184D">
              <w:rPr>
                <w:rFonts w:ascii="Times New Roman" w:hAnsi="Times New Roman" w:cs="Times New Roman"/>
                <w:b/>
                <w:bCs/>
                <w:color w:val="000000"/>
                <w:sz w:val="20"/>
              </w:rPr>
              <w:t> </w:t>
            </w:r>
            <w:r w:rsidRPr="007B75DC">
              <w:rPr>
                <w:rFonts w:ascii="Times New Roman" w:hAnsi="Times New Roman" w:cs="Times New Roman"/>
                <w:b/>
                <w:bCs/>
                <w:color w:val="000000"/>
                <w:sz w:val="20"/>
              </w:rPr>
              <w:t xml:space="preserve">savaičių): </w:t>
            </w:r>
          </w:p>
          <w:p w14:paraId="55D9A2B9" w14:textId="67D54B10" w:rsidR="00F37427" w:rsidRPr="007B75DC" w:rsidRDefault="00F37427" w:rsidP="00F37427">
            <w:pPr>
              <w:autoSpaceDE w:val="0"/>
              <w:autoSpaceDN w:val="0"/>
              <w:adjustRightInd w:val="0"/>
              <w:spacing w:after="0" w:line="240" w:lineRule="auto"/>
              <w:rPr>
                <w:rFonts w:ascii="Times New Roman" w:hAnsi="Times New Roman" w:cs="Times New Roman"/>
                <w:color w:val="000000"/>
                <w:sz w:val="20"/>
              </w:rPr>
            </w:pPr>
            <w:r w:rsidRPr="007B75DC">
              <w:rPr>
                <w:rFonts w:ascii="Times New Roman" w:hAnsi="Times New Roman" w:cs="Times New Roman"/>
                <w:color w:val="000000"/>
                <w:sz w:val="20"/>
              </w:rPr>
              <w:t>BKK&lt;</w:t>
            </w:r>
            <w:r w:rsidR="003D184D">
              <w:rPr>
                <w:rFonts w:ascii="Times New Roman" w:hAnsi="Times New Roman" w:cs="Times New Roman"/>
                <w:color w:val="000000"/>
                <w:sz w:val="20"/>
              </w:rPr>
              <w:t> </w:t>
            </w:r>
            <w:r w:rsidRPr="007B75DC">
              <w:rPr>
                <w:rFonts w:ascii="Times New Roman" w:hAnsi="Times New Roman" w:cs="Times New Roman"/>
                <w:color w:val="000000"/>
                <w:sz w:val="20"/>
              </w:rPr>
              <w:t>10</w:t>
            </w:r>
            <w:r w:rsidR="003D184D">
              <w:rPr>
                <w:rFonts w:ascii="Times New Roman" w:hAnsi="Times New Roman" w:cs="Times New Roman"/>
                <w:color w:val="000000"/>
                <w:sz w:val="20"/>
              </w:rPr>
              <w:t> </w:t>
            </w:r>
            <w:r w:rsidRPr="007B75DC">
              <w:rPr>
                <w:rFonts w:ascii="Times New Roman" w:hAnsi="Times New Roman" w:cs="Times New Roman"/>
                <w:color w:val="000000"/>
                <w:sz w:val="20"/>
              </w:rPr>
              <w:t>x</w:t>
            </w:r>
            <w:r w:rsidR="003D184D">
              <w:rPr>
                <w:rFonts w:ascii="Times New Roman" w:hAnsi="Times New Roman" w:cs="Times New Roman"/>
                <w:color w:val="000000"/>
                <w:sz w:val="20"/>
              </w:rPr>
              <w:t> </w:t>
            </w:r>
            <w:r w:rsidRPr="007B75DC">
              <w:rPr>
                <w:rFonts w:ascii="Times New Roman" w:hAnsi="Times New Roman" w:cs="Times New Roman"/>
                <w:color w:val="000000"/>
                <w:sz w:val="20"/>
              </w:rPr>
              <w:t>10</w:t>
            </w:r>
            <w:r w:rsidRPr="007B75DC">
              <w:rPr>
                <w:rFonts w:ascii="Times New Roman" w:hAnsi="Times New Roman" w:cs="Times New Roman"/>
                <w:color w:val="000000"/>
                <w:sz w:val="20"/>
                <w:vertAlign w:val="superscript"/>
              </w:rPr>
              <w:t>9</w:t>
            </w:r>
            <w:r w:rsidRPr="007B75DC">
              <w:rPr>
                <w:rFonts w:ascii="Times New Roman" w:hAnsi="Times New Roman" w:cs="Times New Roman"/>
                <w:color w:val="000000"/>
                <w:sz w:val="20"/>
              </w:rPr>
              <w:t>/l, trombocitų &lt;</w:t>
            </w:r>
            <w:r w:rsidR="003D184D">
              <w:rPr>
                <w:rFonts w:ascii="Times New Roman" w:hAnsi="Times New Roman" w:cs="Times New Roman"/>
                <w:color w:val="000000"/>
                <w:sz w:val="20"/>
              </w:rPr>
              <w:t> </w:t>
            </w:r>
            <w:r w:rsidRPr="007B75DC">
              <w:rPr>
                <w:rFonts w:ascii="Times New Roman" w:hAnsi="Times New Roman" w:cs="Times New Roman"/>
                <w:color w:val="000000"/>
                <w:sz w:val="20"/>
              </w:rPr>
              <w:t>450</w:t>
            </w:r>
            <w:r w:rsidR="003D184D">
              <w:rPr>
                <w:rFonts w:ascii="Times New Roman" w:hAnsi="Times New Roman" w:cs="Times New Roman"/>
                <w:color w:val="000000"/>
                <w:sz w:val="20"/>
              </w:rPr>
              <w:t> </w:t>
            </w:r>
            <w:r w:rsidRPr="007B75DC">
              <w:rPr>
                <w:rFonts w:ascii="Times New Roman" w:hAnsi="Times New Roman" w:cs="Times New Roman"/>
                <w:color w:val="000000"/>
                <w:sz w:val="20"/>
              </w:rPr>
              <w:t>x</w:t>
            </w:r>
            <w:r w:rsidR="003D184D">
              <w:rPr>
                <w:rFonts w:ascii="Times New Roman" w:hAnsi="Times New Roman" w:cs="Times New Roman"/>
                <w:color w:val="000000"/>
                <w:sz w:val="20"/>
              </w:rPr>
              <w:t> </w:t>
            </w:r>
            <w:r w:rsidRPr="007B75DC">
              <w:rPr>
                <w:rFonts w:ascii="Times New Roman" w:hAnsi="Times New Roman" w:cs="Times New Roman"/>
                <w:color w:val="000000"/>
                <w:sz w:val="20"/>
              </w:rPr>
              <w:t>10</w:t>
            </w:r>
            <w:r w:rsidRPr="007B75DC">
              <w:rPr>
                <w:rFonts w:ascii="Times New Roman" w:hAnsi="Times New Roman" w:cs="Times New Roman"/>
                <w:color w:val="000000"/>
                <w:sz w:val="20"/>
                <w:vertAlign w:val="superscript"/>
              </w:rPr>
              <w:t>9</w:t>
            </w:r>
            <w:r w:rsidRPr="007B75DC">
              <w:rPr>
                <w:rFonts w:ascii="Times New Roman" w:hAnsi="Times New Roman" w:cs="Times New Roman"/>
                <w:color w:val="000000"/>
                <w:sz w:val="20"/>
              </w:rPr>
              <w:t>/l, mielocitų+metamielocitų &lt;</w:t>
            </w:r>
            <w:r w:rsidR="003D184D">
              <w:rPr>
                <w:rFonts w:ascii="Times New Roman" w:hAnsi="Times New Roman" w:cs="Times New Roman"/>
                <w:color w:val="000000"/>
                <w:sz w:val="20"/>
              </w:rPr>
              <w:t> </w:t>
            </w:r>
            <w:r w:rsidRPr="007B75DC">
              <w:rPr>
                <w:rFonts w:ascii="Times New Roman" w:hAnsi="Times New Roman" w:cs="Times New Roman"/>
                <w:color w:val="000000"/>
                <w:sz w:val="20"/>
              </w:rPr>
              <w:t>5</w:t>
            </w:r>
            <w:r w:rsidR="003D184D">
              <w:rPr>
                <w:rFonts w:ascii="Times New Roman" w:hAnsi="Times New Roman" w:cs="Times New Roman"/>
                <w:color w:val="000000"/>
                <w:sz w:val="20"/>
              </w:rPr>
              <w:t> </w:t>
            </w:r>
            <w:r w:rsidRPr="007B75DC">
              <w:rPr>
                <w:rFonts w:ascii="Times New Roman" w:hAnsi="Times New Roman" w:cs="Times New Roman"/>
                <w:color w:val="000000"/>
                <w:sz w:val="20"/>
              </w:rPr>
              <w:t>% kraujyje, kraujyje nėra blastų ir promielocitų, bazofilų &lt;</w:t>
            </w:r>
            <w:r w:rsidR="003D184D">
              <w:rPr>
                <w:rFonts w:ascii="Times New Roman" w:hAnsi="Times New Roman" w:cs="Times New Roman"/>
                <w:color w:val="000000"/>
                <w:sz w:val="20"/>
              </w:rPr>
              <w:t> </w:t>
            </w:r>
            <w:r w:rsidRPr="007B75DC">
              <w:rPr>
                <w:rFonts w:ascii="Times New Roman" w:hAnsi="Times New Roman" w:cs="Times New Roman"/>
                <w:color w:val="000000"/>
                <w:sz w:val="20"/>
              </w:rPr>
              <w:t>20</w:t>
            </w:r>
            <w:r w:rsidR="003D184D">
              <w:rPr>
                <w:rFonts w:ascii="Times New Roman" w:hAnsi="Times New Roman" w:cs="Times New Roman"/>
                <w:color w:val="000000"/>
                <w:sz w:val="20"/>
              </w:rPr>
              <w:t> </w:t>
            </w:r>
            <w:r w:rsidRPr="007B75DC">
              <w:rPr>
                <w:rFonts w:ascii="Times New Roman" w:hAnsi="Times New Roman" w:cs="Times New Roman"/>
                <w:color w:val="000000"/>
                <w:sz w:val="20"/>
              </w:rPr>
              <w:t xml:space="preserve">%, nėra ekstramedulinių židinių. </w:t>
            </w:r>
          </w:p>
          <w:p w14:paraId="19447A29" w14:textId="72277191" w:rsidR="00F37427" w:rsidRPr="007B75DC" w:rsidRDefault="00F37427" w:rsidP="00F37427">
            <w:pPr>
              <w:autoSpaceDE w:val="0"/>
              <w:autoSpaceDN w:val="0"/>
              <w:adjustRightInd w:val="0"/>
              <w:spacing w:after="0" w:line="240" w:lineRule="auto"/>
              <w:rPr>
                <w:rFonts w:ascii="Times New Roman" w:hAnsi="Times New Roman" w:cs="Times New Roman"/>
                <w:color w:val="000000"/>
                <w:sz w:val="20"/>
              </w:rPr>
            </w:pPr>
            <w:r w:rsidRPr="007B75DC">
              <w:rPr>
                <w:rFonts w:ascii="Times New Roman" w:hAnsi="Times New Roman" w:cs="Times New Roman"/>
                <w:b/>
                <w:bCs/>
                <w:color w:val="000000"/>
                <w:sz w:val="20"/>
              </w:rPr>
              <w:t xml:space="preserve">Citogenetinio atsako kriterijai: </w:t>
            </w:r>
            <w:r w:rsidRPr="007B75DC">
              <w:rPr>
                <w:rFonts w:ascii="Times New Roman" w:hAnsi="Times New Roman" w:cs="Times New Roman"/>
                <w:color w:val="000000"/>
                <w:sz w:val="20"/>
              </w:rPr>
              <w:t>visiškas (0</w:t>
            </w:r>
            <w:r w:rsidR="003D184D">
              <w:rPr>
                <w:rFonts w:ascii="Times New Roman" w:hAnsi="Times New Roman" w:cs="Times New Roman"/>
                <w:color w:val="000000"/>
                <w:sz w:val="20"/>
              </w:rPr>
              <w:t> </w:t>
            </w:r>
            <w:r w:rsidRPr="007B75DC">
              <w:rPr>
                <w:rFonts w:ascii="Times New Roman" w:hAnsi="Times New Roman" w:cs="Times New Roman"/>
                <w:color w:val="000000"/>
                <w:sz w:val="20"/>
              </w:rPr>
              <w:t>% Ph+ metafazės), dalinis (1–35</w:t>
            </w:r>
            <w:r w:rsidR="003D184D">
              <w:rPr>
                <w:rFonts w:ascii="Times New Roman" w:hAnsi="Times New Roman" w:cs="Times New Roman"/>
                <w:color w:val="000000"/>
                <w:sz w:val="20"/>
              </w:rPr>
              <w:t> </w:t>
            </w:r>
            <w:r w:rsidRPr="007B75DC">
              <w:rPr>
                <w:rFonts w:ascii="Times New Roman" w:hAnsi="Times New Roman" w:cs="Times New Roman"/>
                <w:color w:val="000000"/>
                <w:sz w:val="20"/>
              </w:rPr>
              <w:t>%), mažas (36–65</w:t>
            </w:r>
            <w:r w:rsidR="003D184D">
              <w:rPr>
                <w:rFonts w:ascii="Times New Roman" w:hAnsi="Times New Roman" w:cs="Times New Roman"/>
                <w:color w:val="000000"/>
                <w:sz w:val="20"/>
              </w:rPr>
              <w:t> </w:t>
            </w:r>
            <w:r w:rsidRPr="007B75DC">
              <w:rPr>
                <w:rFonts w:ascii="Times New Roman" w:hAnsi="Times New Roman" w:cs="Times New Roman"/>
                <w:color w:val="000000"/>
                <w:sz w:val="20"/>
              </w:rPr>
              <w:t>%) ar mažiausias (66–95</w:t>
            </w:r>
            <w:r w:rsidR="003D184D">
              <w:rPr>
                <w:rFonts w:ascii="Times New Roman" w:hAnsi="Times New Roman" w:cs="Times New Roman"/>
                <w:color w:val="000000"/>
                <w:sz w:val="20"/>
              </w:rPr>
              <w:t> </w:t>
            </w:r>
            <w:r w:rsidRPr="007B75DC">
              <w:rPr>
                <w:rFonts w:ascii="Times New Roman" w:hAnsi="Times New Roman" w:cs="Times New Roman"/>
                <w:color w:val="000000"/>
                <w:sz w:val="20"/>
              </w:rPr>
              <w:t>%). Didysis atsakas (0–35</w:t>
            </w:r>
            <w:r w:rsidR="003D184D">
              <w:rPr>
                <w:rFonts w:ascii="Times New Roman" w:hAnsi="Times New Roman" w:cs="Times New Roman"/>
                <w:color w:val="000000"/>
                <w:sz w:val="20"/>
              </w:rPr>
              <w:t> </w:t>
            </w:r>
            <w:r w:rsidRPr="007B75DC">
              <w:rPr>
                <w:rFonts w:ascii="Times New Roman" w:hAnsi="Times New Roman" w:cs="Times New Roman"/>
                <w:color w:val="000000"/>
                <w:sz w:val="20"/>
              </w:rPr>
              <w:t xml:space="preserve">%) apima visišką ir dalinį atsaką. </w:t>
            </w:r>
          </w:p>
          <w:p w14:paraId="730F4065" w14:textId="297CDA90" w:rsidR="00F37427" w:rsidRPr="007B75DC" w:rsidRDefault="00F37427" w:rsidP="00F37427">
            <w:pPr>
              <w:autoSpaceDE w:val="0"/>
              <w:autoSpaceDN w:val="0"/>
              <w:adjustRightInd w:val="0"/>
              <w:spacing w:after="0" w:line="240" w:lineRule="auto"/>
              <w:rPr>
                <w:rFonts w:ascii="Times New Roman" w:hAnsi="Times New Roman" w:cs="Times New Roman"/>
                <w:color w:val="000000"/>
                <w:sz w:val="20"/>
              </w:rPr>
            </w:pPr>
            <w:r w:rsidRPr="007B75DC">
              <w:rPr>
                <w:rFonts w:ascii="Times New Roman" w:hAnsi="Times New Roman" w:cs="Times New Roman"/>
                <w:b/>
                <w:bCs/>
                <w:color w:val="000000"/>
                <w:sz w:val="20"/>
              </w:rPr>
              <w:t>Didžiojo molekulinio atsako kriterijai</w:t>
            </w:r>
            <w:r w:rsidRPr="007B75DC">
              <w:rPr>
                <w:rFonts w:ascii="Times New Roman" w:hAnsi="Times New Roman" w:cs="Times New Roman"/>
                <w:color w:val="000000"/>
                <w:sz w:val="20"/>
              </w:rPr>
              <w:t>: periferiniame kraujyje Bcr-Abl transkriptų kiekio sumažėjimas ≥</w:t>
            </w:r>
            <w:r w:rsidR="003D184D">
              <w:rPr>
                <w:rFonts w:ascii="Times New Roman" w:hAnsi="Times New Roman" w:cs="Times New Roman"/>
                <w:color w:val="000000"/>
                <w:sz w:val="20"/>
              </w:rPr>
              <w:t> </w:t>
            </w:r>
            <w:r w:rsidRPr="007B75DC">
              <w:rPr>
                <w:rFonts w:ascii="Times New Roman" w:hAnsi="Times New Roman" w:cs="Times New Roman"/>
                <w:color w:val="000000"/>
                <w:sz w:val="20"/>
              </w:rPr>
              <w:t>3</w:t>
            </w:r>
            <w:r w:rsidR="003D184D">
              <w:rPr>
                <w:rFonts w:ascii="Times New Roman" w:hAnsi="Times New Roman" w:cs="Times New Roman"/>
                <w:color w:val="000000"/>
                <w:sz w:val="20"/>
              </w:rPr>
              <w:t> </w:t>
            </w:r>
            <w:r w:rsidRPr="007B75DC">
              <w:rPr>
                <w:rFonts w:ascii="Times New Roman" w:hAnsi="Times New Roman" w:cs="Times New Roman"/>
                <w:color w:val="000000"/>
                <w:sz w:val="20"/>
              </w:rPr>
              <w:t xml:space="preserve">logaritmais (matuojama realaus laiko kiekybiniu atvirkštinės transkriptazės PGR tyrimu), lyginant su standartizuota pradine reikšme. </w:t>
            </w:r>
          </w:p>
        </w:tc>
      </w:tr>
    </w:tbl>
    <w:p w14:paraId="7BC39051" w14:textId="77777777" w:rsidR="00F72F9C" w:rsidRPr="007B75DC" w:rsidRDefault="00F72F9C" w:rsidP="00F72F9C">
      <w:pPr>
        <w:spacing w:after="0" w:line="240" w:lineRule="auto"/>
        <w:rPr>
          <w:rFonts w:ascii="Times New Roman" w:eastAsia="Times New Roman" w:hAnsi="Times New Roman" w:cs="Times New Roman"/>
          <w:szCs w:val="24"/>
        </w:rPr>
      </w:pPr>
    </w:p>
    <w:p w14:paraId="18846312" w14:textId="1FCD732F"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Skyrus pirmos eilės gydymą, visiško hematologinio atsako, didžiojo citogenetinio atsako ir visiško citogenetinio atsako dalis nustatyta naudojant Kaplan-Meier metodą, atsako nebuvimo atvejus cenzūruojant pagal paskutinės apžiūros duomenis. Naudojant šį metodą nustatyti nuo 12 iki 84 gydymo mėnesiais suminiai atsako į pirmos eilės gydymą </w:t>
      </w:r>
      <w:r w:rsidR="00025B65">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025B65">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dažniai: VHA nuo 96,4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iki 98,4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ir CCyR nuo 69,5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iki 87,2</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atitinkamai. </w:t>
      </w:r>
    </w:p>
    <w:p w14:paraId="29D975E5" w14:textId="77777777" w:rsidR="00F72F9C" w:rsidRPr="007B75DC" w:rsidRDefault="00F72F9C" w:rsidP="00F72F9C">
      <w:pPr>
        <w:spacing w:after="0" w:line="240" w:lineRule="auto"/>
        <w:rPr>
          <w:rFonts w:ascii="Times New Roman" w:eastAsia="Times New Roman" w:hAnsi="Times New Roman" w:cs="Times New Roman"/>
          <w:szCs w:val="24"/>
        </w:rPr>
      </w:pPr>
    </w:p>
    <w:p w14:paraId="168C8931" w14:textId="2C3DA7D3"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Per 7</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metų stebėjimo laikotarpį </w:t>
      </w:r>
      <w:r w:rsidR="00025B65">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025B65">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grupėje nustatyti 93 (16,8</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ligos progresavimo reiškiniai: 37 (6,7</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ligos progresavimo iki akceleracijos fazės ar blastinės krizės atvejai, 31 (5,6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MCyR išnykimo atvejai, 15 (2,7</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VHA išnykimo arba BKK skaičiaus padidėjimo atvejų ir 10 (1,8</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su LML nesusijusios mirties atvejų. Tuo tarpu IFN+Ara-C grupėje nustatyti 165 (29,8</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reiškiniai, iš kurių 130 kilo pirmos eilės gydymo IFN+Ara-C metu. </w:t>
      </w:r>
    </w:p>
    <w:p w14:paraId="2877DCB7" w14:textId="77777777" w:rsidR="00F72F9C" w:rsidRPr="007B75DC" w:rsidRDefault="00F72F9C" w:rsidP="00F72F9C">
      <w:pPr>
        <w:spacing w:after="0" w:line="240" w:lineRule="auto"/>
        <w:rPr>
          <w:rFonts w:ascii="Times New Roman" w:eastAsia="Times New Roman" w:hAnsi="Times New Roman" w:cs="Times New Roman"/>
          <w:szCs w:val="24"/>
        </w:rPr>
      </w:pPr>
    </w:p>
    <w:p w14:paraId="195B3000" w14:textId="54A325E5"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Nustatyta pacientų dalis, kuriems liga neprogresavo iki akceleracijos fazės ar blastinės krizės praėjus 84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mėnesiams, buvo reikšmingai didesnė </w:t>
      </w:r>
      <w:r w:rsidR="00025B65">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025B65">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grupėje, lyginant su IFN grupe (92,5</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85,1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p</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0,001). Gydymo laikui ilgėjant, kasmet nustatomas ligos progresavimo iki akceleracijos fazės arba blastų krizės dažnis mažėjo ir buvo mažesnis kaip 1</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kasmet ketvirtaisiais ir penktaisiais metais. Praėjus 84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mėnesiams, išgyvenusiųjų be ligos progresavimo dalis buvo tokia: 81,2</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w:t>
      </w:r>
      <w:r w:rsidR="00025B65">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025B65">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grupėje ir 60,6</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kontrolinėje grupėje (p</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&lt;</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0,001). </w:t>
      </w:r>
      <w:r w:rsidR="00A45999">
        <w:rPr>
          <w:rFonts w:ascii="Times New Roman" w:eastAsia="Times New Roman" w:hAnsi="Times New Roman" w:cs="Times New Roman"/>
          <w:szCs w:val="24"/>
        </w:rPr>
        <w:t>Kasmet</w:t>
      </w:r>
      <w:r w:rsidR="0028083B">
        <w:rPr>
          <w:rFonts w:ascii="Times New Roman" w:eastAsia="Times New Roman" w:hAnsi="Times New Roman" w:cs="Times New Roman"/>
          <w:szCs w:val="24"/>
        </w:rPr>
        <w:t xml:space="preserve"> l</w:t>
      </w:r>
      <w:r w:rsidRPr="007B75DC">
        <w:rPr>
          <w:rFonts w:ascii="Times New Roman" w:eastAsia="Times New Roman" w:hAnsi="Times New Roman" w:cs="Times New Roman"/>
          <w:szCs w:val="24"/>
        </w:rPr>
        <w:t xml:space="preserve">igos bet kokio progresavimo dažnis </w:t>
      </w:r>
      <w:r w:rsidR="00025B65">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025B65">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grupėje taip pat mažėjo visą laiką.</w:t>
      </w:r>
    </w:p>
    <w:p w14:paraId="5A4D2978" w14:textId="77777777" w:rsidR="00F72F9C" w:rsidRPr="007B75DC" w:rsidRDefault="00F72F9C" w:rsidP="00F72F9C">
      <w:pPr>
        <w:spacing w:after="0" w:line="240" w:lineRule="auto"/>
        <w:rPr>
          <w:rFonts w:ascii="Times New Roman" w:eastAsia="Times New Roman" w:hAnsi="Times New Roman" w:cs="Times New Roman"/>
          <w:szCs w:val="24"/>
        </w:rPr>
      </w:pPr>
    </w:p>
    <w:p w14:paraId="5D3CC6A5" w14:textId="59E5F41D"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Iš viso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ir IFN-Ara-C grupėse mirė atitinkamai 71 (12,8</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ir 85 (15,4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pacientai. Praėjus 84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mėnesiams, nustatytas toks bendrasis išgyvenamumas: 86,4</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(83, 90)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grupėje ir 83,3</w:t>
      </w:r>
      <w:r w:rsidR="003D184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lastRenderedPageBreak/>
        <w:t>(80, 87) IFN+Ara-C grupėje,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0,073, logaritminio rango kriterijus). Šį </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laiko iki reiškinio</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tyrimo tikslą smarkiai veikė didelis gydymo IFN+Ara-C keitimo gydymu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dažnis. Toliau tiriant naujai diagnozuotos lėtinės LML fazės gydymo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poveikį gyvenimo trukmei, atlikta aukščiau minėtų duomenų apie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vartojimą ir kito III</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tyrimo, kuriame naudojamas tokia pat tvarka skiriamas IFN-Ara-C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325), pirminių duomenų retrospektyvioji analizė. Atlikus šią retrospektyviąją analizę, įrodytas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pranašumas, lyginant su IFN-Ara-C, bendrojo išgyvenamumo atžvilgiu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0,001); per 42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mirė 47 (8,5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Imatinib vartoję pacientai ir 63 (19,4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IFN+Ara-C vartoję pacientai. </w:t>
      </w:r>
    </w:p>
    <w:p w14:paraId="7F9D90EA" w14:textId="77777777" w:rsidR="00F72F9C" w:rsidRPr="007B75DC" w:rsidRDefault="00F72F9C" w:rsidP="00F72F9C">
      <w:pPr>
        <w:spacing w:after="0" w:line="240" w:lineRule="auto"/>
        <w:rPr>
          <w:rFonts w:ascii="Times New Roman" w:eastAsia="Times New Roman" w:hAnsi="Times New Roman" w:cs="Times New Roman"/>
          <w:szCs w:val="24"/>
        </w:rPr>
      </w:pPr>
    </w:p>
    <w:p w14:paraId="5ACD4D34" w14:textId="090564B7"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Nustatyta, kad citogenetinio ir molekulinio atsako laipsnis turi akivaizdų poveikį ilgalaikiams gydymo </w:t>
      </w:r>
      <w:r w:rsidR="0028083B">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28083B">
        <w:rPr>
          <w:rFonts w:ascii="Times New Roman" w:eastAsia="Times New Roman" w:hAnsi="Times New Roman" w:cs="Times New Roman"/>
          <w:szCs w:val="24"/>
        </w:rPr>
        <w:t>u</w:t>
      </w:r>
      <w:r w:rsidRPr="007B75DC">
        <w:rPr>
          <w:rFonts w:ascii="Times New Roman" w:eastAsia="Times New Roman" w:hAnsi="Times New Roman" w:cs="Times New Roman"/>
          <w:szCs w:val="24"/>
        </w:rPr>
        <w:t xml:space="preserve"> rezultatams. Nors nustatyta, kad 96</w:t>
      </w:r>
      <w:r w:rsidR="0028083B">
        <w:rPr>
          <w:rFonts w:ascii="Times New Roman" w:eastAsia="Times New Roman" w:hAnsi="Times New Roman" w:cs="Times New Roman"/>
          <w:szCs w:val="24"/>
        </w:rPr>
        <w:t> </w:t>
      </w:r>
      <w:r w:rsidRPr="007B75DC">
        <w:rPr>
          <w:rFonts w:ascii="Times New Roman" w:eastAsia="Times New Roman" w:hAnsi="Times New Roman" w:cs="Times New Roman"/>
          <w:szCs w:val="24"/>
        </w:rPr>
        <w:t>% (93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kuriems po 12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buvo stebimas CCyR (PCyR), liga neprogresavo iki akceleracijos fazės ar blastinės krizės praėjus 84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mėnesiams, tik 81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kuriems po 12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nebuvo stebima MCyR, liga neprogresavo iki išplitusios LML praėjus 84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mėnesiams (bendrasis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0,001, tarp CCyR ir PCyR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0,25). Pacientams su Bcr-Abl transkriptų sumažėjimu mažiausiai 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logaritmais per 12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tikimybė išlikti be ligos progresijos iki akceleracijos fazės/blastinės krizės buvo 99</w:t>
      </w:r>
      <w:r w:rsidR="0028083B">
        <w:rPr>
          <w:rFonts w:ascii="Times New Roman" w:eastAsia="Times New Roman" w:hAnsi="Times New Roman" w:cs="Times New Roman"/>
          <w:szCs w:val="24"/>
        </w:rPr>
        <w:t> </w:t>
      </w:r>
      <w:r w:rsidRPr="007B75DC">
        <w:rPr>
          <w:rFonts w:ascii="Times New Roman" w:eastAsia="Times New Roman" w:hAnsi="Times New Roman" w:cs="Times New Roman"/>
          <w:szCs w:val="24"/>
        </w:rPr>
        <w:t>% per 84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Panašūs rezultatai gauti, remiantis per 18</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mėnesių laikotarpį gautų duomenų analize. </w:t>
      </w:r>
    </w:p>
    <w:p w14:paraId="1117A8D2" w14:textId="77777777" w:rsidR="00F72F9C" w:rsidRPr="007B75DC" w:rsidRDefault="00F72F9C" w:rsidP="00F72F9C">
      <w:pPr>
        <w:spacing w:after="0" w:line="240" w:lineRule="auto"/>
        <w:rPr>
          <w:rFonts w:ascii="Times New Roman" w:eastAsia="Times New Roman" w:hAnsi="Times New Roman" w:cs="Times New Roman"/>
          <w:szCs w:val="24"/>
        </w:rPr>
      </w:pPr>
    </w:p>
    <w:p w14:paraId="53B44D77" w14:textId="033FC30B"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Šio tyrimo metu dozę buvo galima didinti nuo 400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iki 600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po to nuo 600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iki 800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Per 42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stebėjimo laikotarpį 11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buvo registruotas citogenetinio atsako netekimas (per 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savaites). Iš šių 11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pacientams dozė buvo padidinta iki 800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per parą, iš jų dviem buvo vėl gautas citogenetinis atsakas (vienam – dalinis ir kitam </w:t>
      </w:r>
      <w:r w:rsidR="00A216B5">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visiškas, vėliau pastarajam buvo gautas ir molekulinis atsakas), tuo tarpu iš 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kuriems dozė nebuvo didinta, tik vienam vėl buvo gautas visiškas citogenetinis atsakas. Kai kurių nepageidaujamų reakcijų procentas buvo didesnis tarp 40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kuriems dozė buvo padidinta iki 800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lyginant su pacientų populiacija iki dozės didinimo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551). Dažnesnės buvo šios nepageidaujamos reakcijos: kraujavimas į virškinimo traktą, konjunktyvitas bei transaminazių ar bilirubino koncentracijos padidėjimas. Kitos nepageidaujamos reakcijos registruotos tuo pačiu dažniu ar rečiau. </w:t>
      </w:r>
    </w:p>
    <w:p w14:paraId="470CAB84" w14:textId="77777777" w:rsidR="00F72F9C" w:rsidRPr="007B75DC" w:rsidRDefault="00F72F9C" w:rsidP="00F72F9C">
      <w:pPr>
        <w:spacing w:after="0" w:line="240" w:lineRule="auto"/>
        <w:rPr>
          <w:rFonts w:ascii="Times New Roman" w:eastAsia="Times New Roman" w:hAnsi="Times New Roman" w:cs="Times New Roman"/>
          <w:szCs w:val="24"/>
        </w:rPr>
      </w:pPr>
    </w:p>
    <w:p w14:paraId="4C1CC643" w14:textId="77777777" w:rsidR="0029460D" w:rsidRPr="00534F79" w:rsidRDefault="00F72F9C" w:rsidP="00F72F9C">
      <w:pPr>
        <w:spacing w:after="0" w:line="240" w:lineRule="auto"/>
        <w:rPr>
          <w:rFonts w:ascii="Times New Roman" w:eastAsia="Times New Roman" w:hAnsi="Times New Roman" w:cs="Times New Roman"/>
          <w:i/>
          <w:iCs/>
          <w:szCs w:val="24"/>
        </w:rPr>
      </w:pPr>
      <w:r w:rsidRPr="00534F79">
        <w:rPr>
          <w:rFonts w:ascii="Times New Roman" w:eastAsia="Times New Roman" w:hAnsi="Times New Roman" w:cs="Times New Roman"/>
          <w:i/>
          <w:iCs/>
          <w:szCs w:val="24"/>
        </w:rPr>
        <w:t>Lėtinė fazė, nesėkmingas gydymas interferonu</w:t>
      </w:r>
    </w:p>
    <w:p w14:paraId="06EED3FB" w14:textId="58A19A8B"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532 suaugusieji pacientai buvo gydomi pradine 400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 Jie buvo suskirstyti į tris pagrindines kategorijas: hematologinės nesėkmės (29</w:t>
      </w:r>
      <w:r w:rsidR="00B93B58">
        <w:t> </w:t>
      </w:r>
      <w:r w:rsidRPr="007B75DC">
        <w:rPr>
          <w:rFonts w:ascii="Times New Roman" w:eastAsia="Times New Roman" w:hAnsi="Times New Roman" w:cs="Times New Roman"/>
          <w:szCs w:val="24"/>
        </w:rPr>
        <w:t>%), citogenetinės nesėkmės (35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ar interferono netoleravimo (36</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Prieš tai pacientai buvo gydyti interferono doze ≥</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25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x</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10</w:t>
      </w:r>
      <w:r w:rsidRPr="007B75DC">
        <w:rPr>
          <w:rFonts w:ascii="Times New Roman" w:eastAsia="Times New Roman" w:hAnsi="Times New Roman" w:cs="Times New Roman"/>
          <w:szCs w:val="24"/>
          <w:vertAlign w:val="superscript"/>
        </w:rPr>
        <w:t>6</w:t>
      </w:r>
      <w:r w:rsidRPr="007B75DC">
        <w:rPr>
          <w:rFonts w:ascii="Times New Roman" w:eastAsia="Times New Roman" w:hAnsi="Times New Roman" w:cs="Times New Roman"/>
          <w:szCs w:val="24"/>
        </w:rPr>
        <w:t xml:space="preserve"> TV per savaitę (vidurinė gydymo trukmė 14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visiems jiems buvo vėlyvoji lėtinė ligos fazė, vidutinė ligos trukmė nuo diagnozės patvirtinimo – 32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mėnesiai. Svarbiausias tyrimo efektyvumo kintamasis buvo didžiojo citogenetinio atsako (visiško ir dalinio astako, 0–35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Ph+ metafazių kaulų čiulpuose) dažnis. </w:t>
      </w:r>
    </w:p>
    <w:p w14:paraId="1346FD48" w14:textId="77777777" w:rsidR="00F72F9C" w:rsidRPr="007B75DC" w:rsidRDefault="00F72F9C" w:rsidP="00F72F9C">
      <w:pPr>
        <w:spacing w:after="0" w:line="240" w:lineRule="auto"/>
        <w:rPr>
          <w:rFonts w:ascii="Times New Roman" w:eastAsia="Times New Roman" w:hAnsi="Times New Roman" w:cs="Times New Roman"/>
          <w:szCs w:val="24"/>
        </w:rPr>
      </w:pPr>
    </w:p>
    <w:p w14:paraId="256F765E" w14:textId="15685186"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Šio tyrimo metu 65</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gautas didysis citogenetinis atsakas: visiškas – 53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(patvirtintas 43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lentelė). Visiškas hematologinis atsakas gautas 95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pacientų. </w:t>
      </w:r>
    </w:p>
    <w:p w14:paraId="401CCB5E" w14:textId="77777777" w:rsidR="00F72F9C" w:rsidRPr="007B75DC" w:rsidRDefault="00F72F9C" w:rsidP="00F72F9C">
      <w:pPr>
        <w:spacing w:after="0" w:line="240" w:lineRule="auto"/>
        <w:rPr>
          <w:rFonts w:ascii="Times New Roman" w:eastAsia="Times New Roman" w:hAnsi="Times New Roman" w:cs="Times New Roman"/>
          <w:szCs w:val="24"/>
        </w:rPr>
      </w:pPr>
    </w:p>
    <w:p w14:paraId="2BB2991C" w14:textId="77777777" w:rsidR="007C3B36" w:rsidRPr="00534F79" w:rsidRDefault="00F72F9C" w:rsidP="00F72F9C">
      <w:pPr>
        <w:spacing w:after="0" w:line="240" w:lineRule="auto"/>
        <w:rPr>
          <w:rFonts w:ascii="Times New Roman" w:eastAsia="Times New Roman" w:hAnsi="Times New Roman" w:cs="Times New Roman"/>
          <w:i/>
          <w:iCs/>
          <w:szCs w:val="24"/>
        </w:rPr>
      </w:pPr>
      <w:r w:rsidRPr="00534F79">
        <w:rPr>
          <w:rFonts w:ascii="Times New Roman" w:eastAsia="Times New Roman" w:hAnsi="Times New Roman" w:cs="Times New Roman"/>
          <w:i/>
          <w:iCs/>
          <w:szCs w:val="24"/>
        </w:rPr>
        <w:t>Akceleracijos fazė</w:t>
      </w:r>
    </w:p>
    <w:p w14:paraId="7DA89757" w14:textId="609154CA"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Tyrime dalyvavo 235 suaugusieji pacientai, kuriems buvo ligos akceleracijos fazė. Pirmieji 77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buvo pradėti gydyti 400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 paskui protokolas buvo papildytas, ir kitiems 158</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pacientams leista vartoti pradinę 600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dozę. </w:t>
      </w:r>
    </w:p>
    <w:p w14:paraId="47C2F272" w14:textId="77777777" w:rsidR="00F72F9C" w:rsidRPr="007B75DC" w:rsidRDefault="00F72F9C" w:rsidP="00F72F9C">
      <w:pPr>
        <w:spacing w:after="0" w:line="240" w:lineRule="auto"/>
        <w:rPr>
          <w:rFonts w:ascii="Times New Roman" w:eastAsia="Times New Roman" w:hAnsi="Times New Roman" w:cs="Times New Roman"/>
          <w:szCs w:val="24"/>
        </w:rPr>
      </w:pPr>
    </w:p>
    <w:p w14:paraId="1CDBD369" w14:textId="51187CDC" w:rsidR="00F72F9C" w:rsidRPr="007B75DC" w:rsidRDefault="00F72F9C" w:rsidP="00F72F9C">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Svarbiausias veiksmingumo kintamasis buvo hematologinio atsako, apibūdinamo visišku hematologiniu atsaku, išnykusiais leukemijos požymiais (t. y. išnykusiais blastais iš kaulų čiulpų ir kraujo, bet nevisiškai atsigavusiam periferiniam kraujui kaip esant visiškam atsakui) ar grįžimu į lėtinę LML fazę, dažnis. Visiškas hematologinis atsakas patvirtintas 71,5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lentelė). Svarbu tai, kad 27,7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tiriamųjų gautas didysis citogenetinis atsakas, kuris visiškas buvo 20,4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(patvirtintas 16</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Pacientams, gydytiems 600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 nustatyta išgyvenamumo be ligos progresavimo ir bendro išgyvenamumo mediana buvo atitinkamai 22,9 ir 42,5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w:t>
      </w:r>
    </w:p>
    <w:p w14:paraId="384A2E60" w14:textId="77777777" w:rsidR="00F72F9C" w:rsidRPr="007B75DC" w:rsidRDefault="00F72F9C" w:rsidP="00F72F9C">
      <w:pPr>
        <w:spacing w:after="0" w:line="240" w:lineRule="auto"/>
        <w:rPr>
          <w:rFonts w:ascii="Times New Roman" w:eastAsia="Times New Roman" w:hAnsi="Times New Roman" w:cs="Times New Roman"/>
          <w:szCs w:val="24"/>
        </w:rPr>
      </w:pPr>
    </w:p>
    <w:p w14:paraId="10E1DA71" w14:textId="77777777" w:rsidR="003D15E3"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Mieloblastinė krizė</w:t>
      </w:r>
    </w:p>
    <w:p w14:paraId="4385D20E" w14:textId="128E60C1"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Tyrime dalyvavo 260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kuriems buvo mieloblastinė krizė. 95 (37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pacientai anksčiau gavo chemoterapiją dėl akceleracijos fazės ar blastinės krizės (</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anksčiau gydyti pacientai</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 ir 165 (63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lastRenderedPageBreak/>
        <w:t>negydyti (</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negydyti pacientai</w:t>
      </w:r>
      <w:r w:rsidR="008E79D1">
        <w:rPr>
          <w:rFonts w:ascii="Times New Roman" w:eastAsia="Times New Roman" w:hAnsi="Times New Roman" w:cs="Times New Roman"/>
          <w:szCs w:val="24"/>
        </w:rPr>
        <w:t>“</w:t>
      </w:r>
      <w:r w:rsidRPr="007B75DC">
        <w:rPr>
          <w:rFonts w:ascii="Times New Roman" w:eastAsia="Times New Roman" w:hAnsi="Times New Roman" w:cs="Times New Roman"/>
          <w:szCs w:val="24"/>
        </w:rPr>
        <w:t>). Pirmieji 37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pradėti gydyti 400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 Paskui protokolas buvo papildytas, kad galima būtų skirti didesnę dozę, taigi kiti 223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buvo pradėti gydyti 600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w:t>
      </w:r>
    </w:p>
    <w:p w14:paraId="7FD834FB" w14:textId="77777777" w:rsidR="00DE2956" w:rsidRPr="007B75DC" w:rsidRDefault="00DE2956" w:rsidP="00DE2956">
      <w:pPr>
        <w:spacing w:after="0" w:line="240" w:lineRule="auto"/>
        <w:rPr>
          <w:rFonts w:ascii="Times New Roman" w:eastAsia="Times New Roman" w:hAnsi="Times New Roman" w:cs="Times New Roman"/>
          <w:szCs w:val="24"/>
        </w:rPr>
      </w:pPr>
    </w:p>
    <w:p w14:paraId="24756F7B" w14:textId="2BFDBC3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Svarbiausias veiksmingumo kintamasis buvo hematologinio atsako, apibūdinamo visišku hematologiniu atsaku, </w:t>
      </w:r>
      <w:r w:rsidR="00F72F9C" w:rsidRPr="007B75DC">
        <w:rPr>
          <w:rFonts w:ascii="Times New Roman" w:eastAsia="Times New Roman" w:hAnsi="Times New Roman" w:cs="Times New Roman"/>
          <w:szCs w:val="24"/>
        </w:rPr>
        <w:t xml:space="preserve">išnykusia leukemija ar grįžimu į lėtinę LML fazę, vertinant pagal tuos pačius kriterijus kaip ir akceleracijos fazės tyrimo metu </w:t>
      </w:r>
      <w:r w:rsidRPr="007B75DC">
        <w:rPr>
          <w:rFonts w:ascii="Times New Roman" w:eastAsia="Times New Roman" w:hAnsi="Times New Roman" w:cs="Times New Roman"/>
          <w:szCs w:val="24"/>
        </w:rPr>
        <w:t>dažnis. Šio tyrimo metu hematologinis atsakas gautas 31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(36</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 anksčiau negydytiems ir 22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 anksčiau gydytiems). Atsako dažnis taip pat buvo didesnis pacientams, gydytiems 600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 (33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gydytais 400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 doze (16</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0,0220). Nustatyta vidutinė anksčiau negydytų ir anksčiau gydytų pacientų išgyvenamumo trukmė buvo atitinkamai 7,7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 ir 4,7</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w:t>
      </w:r>
    </w:p>
    <w:p w14:paraId="4842838C" w14:textId="77777777" w:rsidR="00DE2956" w:rsidRPr="007B75DC" w:rsidRDefault="00DE2956" w:rsidP="00DE2956">
      <w:pPr>
        <w:spacing w:after="0" w:line="240" w:lineRule="auto"/>
        <w:rPr>
          <w:rFonts w:ascii="Times New Roman" w:eastAsia="Times New Roman" w:hAnsi="Times New Roman" w:cs="Times New Roman"/>
          <w:szCs w:val="24"/>
        </w:rPr>
      </w:pPr>
    </w:p>
    <w:p w14:paraId="3ABD5EBD" w14:textId="0A9729F3"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Limfoblastinė krizė</w:t>
      </w:r>
      <w:r w:rsidRPr="007B75DC">
        <w:rPr>
          <w:rFonts w:ascii="Times New Roman" w:eastAsia="Times New Roman" w:hAnsi="Times New Roman" w:cs="Times New Roman"/>
          <w:szCs w:val="24"/>
        </w:rPr>
        <w:t>. Nedaug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10) pacientų buvo įtraukta į I</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tyrimą. Hematologinio atsako dažnis buvo 70</w:t>
      </w:r>
      <w:r w:rsidR="00A216B5">
        <w:rPr>
          <w:rFonts w:ascii="Times New Roman" w:eastAsia="Times New Roman" w:hAnsi="Times New Roman" w:cs="Times New Roman"/>
          <w:szCs w:val="24"/>
        </w:rPr>
        <w:t> </w:t>
      </w:r>
      <w:r w:rsidRPr="007B75DC">
        <w:rPr>
          <w:rFonts w:ascii="Times New Roman" w:eastAsia="Times New Roman" w:hAnsi="Times New Roman" w:cs="Times New Roman"/>
          <w:szCs w:val="24"/>
        </w:rPr>
        <w:t>%, jo trukmė – 2–3</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mėnesiai.</w:t>
      </w:r>
    </w:p>
    <w:p w14:paraId="0DE83A13" w14:textId="77777777" w:rsidR="00DE2956" w:rsidRPr="007B75DC" w:rsidRDefault="00DE2956" w:rsidP="00DE2956">
      <w:pPr>
        <w:spacing w:after="0" w:line="240" w:lineRule="auto"/>
        <w:rPr>
          <w:rFonts w:ascii="Times New Roman" w:eastAsia="Times New Roman" w:hAnsi="Times New Roman" w:cs="Times New Roman"/>
          <w:b/>
          <w:szCs w:val="24"/>
        </w:rPr>
      </w:pPr>
    </w:p>
    <w:p w14:paraId="2108B456" w14:textId="6431079F" w:rsidR="00DE2956" w:rsidRPr="007B75DC" w:rsidRDefault="00F72F9C"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3</w:t>
      </w:r>
      <w:r w:rsidR="00B93B58">
        <w:rPr>
          <w:rFonts w:ascii="Times New Roman" w:eastAsia="Times New Roman" w:hAnsi="Times New Roman" w:cs="Times New Roman"/>
          <w:b/>
          <w:szCs w:val="24"/>
        </w:rPr>
        <w:t> </w:t>
      </w:r>
      <w:r w:rsidR="00DE2956" w:rsidRPr="007B75DC">
        <w:rPr>
          <w:rFonts w:ascii="Times New Roman" w:eastAsia="Times New Roman" w:hAnsi="Times New Roman" w:cs="Times New Roman"/>
          <w:b/>
          <w:szCs w:val="24"/>
        </w:rPr>
        <w:t>lentelė</w:t>
      </w:r>
      <w:r w:rsidR="00A216B5">
        <w:rPr>
          <w:rFonts w:ascii="Times New Roman" w:eastAsia="Times New Roman" w:hAnsi="Times New Roman" w:cs="Times New Roman"/>
          <w:b/>
          <w:szCs w:val="24"/>
        </w:rPr>
        <w:t>.</w:t>
      </w:r>
      <w:r w:rsidR="00DE2956" w:rsidRPr="007B75DC">
        <w:rPr>
          <w:rFonts w:ascii="Times New Roman" w:eastAsia="Times New Roman" w:hAnsi="Times New Roman" w:cs="Times New Roman"/>
          <w:b/>
          <w:szCs w:val="24"/>
        </w:rPr>
        <w:t xml:space="preserve"> LML tyrimų suaugusiųjų tarpe atsakas</w:t>
      </w:r>
    </w:p>
    <w:p w14:paraId="65FAFB04" w14:textId="77777777" w:rsidR="00DE2956" w:rsidRPr="007B75DC" w:rsidRDefault="00DE2956" w:rsidP="00DE2956">
      <w:pPr>
        <w:spacing w:after="0" w:line="240" w:lineRule="auto"/>
        <w:rPr>
          <w:rFonts w:ascii="Times New Roman" w:eastAsia="Times New Roman" w:hAnsi="Times New Roman" w:cs="Times New Roman"/>
          <w:b/>
          <w:szCs w:val="24"/>
        </w:rPr>
      </w:pPr>
    </w:p>
    <w:tbl>
      <w:tblPr>
        <w:tblW w:w="5000"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2"/>
        <w:gridCol w:w="1886"/>
        <w:gridCol w:w="1886"/>
        <w:gridCol w:w="1886"/>
      </w:tblGrid>
      <w:tr w:rsidR="00F72F9C" w:rsidRPr="007B75DC" w14:paraId="755CEEFF" w14:textId="77777777" w:rsidTr="00146B23">
        <w:trPr>
          <w:trHeight w:val="284"/>
        </w:trPr>
        <w:tc>
          <w:tcPr>
            <w:tcW w:w="1877" w:type="pct"/>
          </w:tcPr>
          <w:p w14:paraId="687CB5FF" w14:textId="77777777"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p>
          <w:p w14:paraId="135EE6E9" w14:textId="77777777" w:rsidR="00F72F9C" w:rsidRPr="007B75DC" w:rsidRDefault="00F72F9C" w:rsidP="00DE2956">
            <w:pPr>
              <w:widowControl w:val="0"/>
              <w:tabs>
                <w:tab w:val="left" w:pos="567"/>
              </w:tabs>
              <w:autoSpaceDE w:val="0"/>
              <w:autoSpaceDN w:val="0"/>
              <w:adjustRightInd w:val="0"/>
              <w:snapToGrid w:val="0"/>
              <w:spacing w:after="0" w:line="240" w:lineRule="auto"/>
              <w:jc w:val="center"/>
              <w:rPr>
                <w:rFonts w:ascii="Times New Roman" w:eastAsia="SimSun" w:hAnsi="Times New Roman" w:cs="Times New Roman"/>
                <w:lang w:eastAsia="zh-CN"/>
              </w:rPr>
            </w:pPr>
          </w:p>
        </w:tc>
        <w:tc>
          <w:tcPr>
            <w:tcW w:w="1041" w:type="pct"/>
          </w:tcPr>
          <w:p w14:paraId="3ACD2201" w14:textId="77777777"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 xml:space="preserve">Tyrimas 0110 </w:t>
            </w:r>
          </w:p>
          <w:p w14:paraId="6A9E6464" w14:textId="47FE4F61"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37</w:t>
            </w:r>
            <w:r w:rsidR="00B93B58">
              <w:rPr>
                <w:rFonts w:ascii="Times New Roman" w:eastAsia="SimSun" w:hAnsi="Times New Roman" w:cs="Times New Roman"/>
                <w:bCs/>
                <w:lang w:eastAsia="zh-CN"/>
              </w:rPr>
              <w:t> </w:t>
            </w:r>
            <w:r w:rsidRPr="00534F79">
              <w:rPr>
                <w:rFonts w:ascii="Times New Roman" w:eastAsia="SimSun" w:hAnsi="Times New Roman" w:cs="Times New Roman"/>
                <w:bCs/>
                <w:lang w:eastAsia="zh-CN"/>
              </w:rPr>
              <w:t xml:space="preserve">mėnesių duomenys </w:t>
            </w:r>
          </w:p>
          <w:p w14:paraId="597E3CF9" w14:textId="77777777"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 xml:space="preserve">Lėtinė fazė, nesėkmingas gydymas IFN </w:t>
            </w:r>
          </w:p>
          <w:p w14:paraId="5AF604D5" w14:textId="0238164E"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(n</w:t>
            </w:r>
            <w:r w:rsidR="00F11306">
              <w:rPr>
                <w:rFonts w:ascii="Times New Roman" w:eastAsia="SimSun" w:hAnsi="Times New Roman" w:cs="Times New Roman"/>
                <w:bCs/>
                <w:lang w:eastAsia="zh-CN"/>
              </w:rPr>
              <w:t> </w:t>
            </w:r>
            <w:r w:rsidRPr="00534F79">
              <w:rPr>
                <w:rFonts w:ascii="Times New Roman" w:eastAsia="SimSun" w:hAnsi="Times New Roman" w:cs="Times New Roman"/>
                <w:bCs/>
                <w:lang w:eastAsia="zh-CN"/>
              </w:rPr>
              <w:t>=</w:t>
            </w:r>
            <w:r w:rsidR="00F11306">
              <w:rPr>
                <w:rFonts w:ascii="Times New Roman" w:eastAsia="SimSun" w:hAnsi="Times New Roman" w:cs="Times New Roman"/>
                <w:bCs/>
                <w:lang w:eastAsia="zh-CN"/>
              </w:rPr>
              <w:t> </w:t>
            </w:r>
            <w:r w:rsidRPr="00534F79">
              <w:rPr>
                <w:rFonts w:ascii="Times New Roman" w:eastAsia="SimSun" w:hAnsi="Times New Roman" w:cs="Times New Roman"/>
                <w:bCs/>
                <w:lang w:eastAsia="zh-CN"/>
              </w:rPr>
              <w:t>532)</w:t>
            </w:r>
          </w:p>
        </w:tc>
        <w:tc>
          <w:tcPr>
            <w:tcW w:w="1041" w:type="pct"/>
          </w:tcPr>
          <w:p w14:paraId="2B243A32" w14:textId="77777777"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Tyrimas 0109</w:t>
            </w:r>
          </w:p>
          <w:p w14:paraId="27D94956" w14:textId="3CBC6E8D"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40,5</w:t>
            </w:r>
            <w:r w:rsidR="00B93B58">
              <w:rPr>
                <w:rFonts w:ascii="Times New Roman" w:eastAsia="SimSun" w:hAnsi="Times New Roman" w:cs="Times New Roman"/>
                <w:bCs/>
                <w:lang w:eastAsia="zh-CN"/>
              </w:rPr>
              <w:t> </w:t>
            </w:r>
            <w:r w:rsidRPr="00534F79">
              <w:rPr>
                <w:rFonts w:ascii="Times New Roman" w:eastAsia="SimSun" w:hAnsi="Times New Roman" w:cs="Times New Roman"/>
                <w:bCs/>
                <w:lang w:eastAsia="zh-CN"/>
              </w:rPr>
              <w:t>mėnesių duomenys</w:t>
            </w:r>
          </w:p>
          <w:p w14:paraId="55DF326C" w14:textId="77777777"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Akceleracijos fazė</w:t>
            </w:r>
          </w:p>
          <w:p w14:paraId="6E9E2C54" w14:textId="23E9E441" w:rsidR="00F72F9C" w:rsidRPr="00534F79" w:rsidRDefault="00F72F9C" w:rsidP="00F72F9C">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(n</w:t>
            </w:r>
            <w:r w:rsidR="00F11306">
              <w:rPr>
                <w:rFonts w:ascii="Times New Roman" w:eastAsia="SimSun" w:hAnsi="Times New Roman" w:cs="Times New Roman"/>
                <w:bCs/>
                <w:lang w:eastAsia="zh-CN"/>
              </w:rPr>
              <w:t> </w:t>
            </w:r>
            <w:r w:rsidRPr="00534F79">
              <w:rPr>
                <w:rFonts w:ascii="Times New Roman" w:eastAsia="SimSun" w:hAnsi="Times New Roman" w:cs="Times New Roman"/>
                <w:bCs/>
                <w:lang w:eastAsia="zh-CN"/>
              </w:rPr>
              <w:t>=</w:t>
            </w:r>
            <w:r w:rsidR="00F11306">
              <w:rPr>
                <w:rFonts w:ascii="Times New Roman" w:eastAsia="SimSun" w:hAnsi="Times New Roman" w:cs="Times New Roman"/>
                <w:bCs/>
                <w:lang w:eastAsia="zh-CN"/>
              </w:rPr>
              <w:t> </w:t>
            </w:r>
            <w:r w:rsidRPr="00534F79">
              <w:rPr>
                <w:rFonts w:ascii="Times New Roman" w:eastAsia="SimSun" w:hAnsi="Times New Roman" w:cs="Times New Roman"/>
                <w:bCs/>
                <w:lang w:eastAsia="zh-CN"/>
              </w:rPr>
              <w:t>235)</w:t>
            </w:r>
          </w:p>
        </w:tc>
        <w:tc>
          <w:tcPr>
            <w:tcW w:w="1042" w:type="pct"/>
            <w:hideMark/>
          </w:tcPr>
          <w:p w14:paraId="45177D37" w14:textId="77777777" w:rsidR="00F72F9C" w:rsidRPr="00534F79" w:rsidRDefault="00F72F9C" w:rsidP="00DE2956">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Tyrimas 0102</w:t>
            </w:r>
          </w:p>
          <w:p w14:paraId="312B73A2" w14:textId="5EE6519A" w:rsidR="00F72F9C" w:rsidRPr="00534F79" w:rsidRDefault="00F72F9C" w:rsidP="00DE2956">
            <w:pPr>
              <w:widowControl w:val="0"/>
              <w:autoSpaceDE w:val="0"/>
              <w:autoSpaceDN w:val="0"/>
              <w:adjustRightIn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38</w:t>
            </w:r>
            <w:r w:rsidR="00B93B58">
              <w:rPr>
                <w:rFonts w:ascii="Times New Roman" w:eastAsia="SimSun" w:hAnsi="Times New Roman" w:cs="Times New Roman"/>
                <w:bCs/>
                <w:lang w:eastAsia="zh-CN"/>
              </w:rPr>
              <w:t> </w:t>
            </w:r>
            <w:r w:rsidRPr="00534F79">
              <w:rPr>
                <w:rFonts w:ascii="Times New Roman" w:eastAsia="SimSun" w:hAnsi="Times New Roman" w:cs="Times New Roman"/>
                <w:bCs/>
                <w:lang w:eastAsia="zh-CN"/>
              </w:rPr>
              <w:t xml:space="preserve">mėnesių duomenys Mieloblastinė krizė </w:t>
            </w:r>
          </w:p>
          <w:p w14:paraId="6AFFE0B8" w14:textId="4363DEE9" w:rsidR="00F72F9C" w:rsidRPr="00A216B5" w:rsidRDefault="00F72F9C" w:rsidP="00DE2956">
            <w:pPr>
              <w:widowControl w:val="0"/>
              <w:tabs>
                <w:tab w:val="left" w:pos="567"/>
              </w:tabs>
              <w:autoSpaceDE w:val="0"/>
              <w:autoSpaceDN w:val="0"/>
              <w:adjustRightInd w:val="0"/>
              <w:snapToGrid w:val="0"/>
              <w:spacing w:after="0" w:line="240" w:lineRule="auto"/>
              <w:jc w:val="center"/>
              <w:rPr>
                <w:rFonts w:ascii="Times New Roman" w:eastAsia="SimSun" w:hAnsi="Times New Roman" w:cs="Times New Roman"/>
                <w:bCs/>
                <w:lang w:eastAsia="zh-CN"/>
              </w:rPr>
            </w:pPr>
            <w:r w:rsidRPr="00534F79">
              <w:rPr>
                <w:rFonts w:ascii="Times New Roman" w:eastAsia="SimSun" w:hAnsi="Times New Roman" w:cs="Times New Roman"/>
                <w:bCs/>
                <w:lang w:eastAsia="zh-CN"/>
              </w:rPr>
              <w:t>(n</w:t>
            </w:r>
            <w:r w:rsidR="00F11306">
              <w:rPr>
                <w:rFonts w:ascii="Times New Roman" w:eastAsia="SimSun" w:hAnsi="Times New Roman" w:cs="Times New Roman"/>
                <w:bCs/>
                <w:lang w:eastAsia="zh-CN"/>
              </w:rPr>
              <w:t> </w:t>
            </w:r>
            <w:r w:rsidRPr="00534F79">
              <w:rPr>
                <w:rFonts w:ascii="Times New Roman" w:eastAsia="SimSun" w:hAnsi="Times New Roman" w:cs="Times New Roman"/>
                <w:bCs/>
                <w:lang w:eastAsia="zh-CN"/>
              </w:rPr>
              <w:t>=</w:t>
            </w:r>
            <w:r w:rsidR="00F11306">
              <w:rPr>
                <w:rFonts w:ascii="Times New Roman" w:eastAsia="SimSun" w:hAnsi="Times New Roman" w:cs="Times New Roman"/>
                <w:bCs/>
                <w:lang w:eastAsia="zh-CN"/>
              </w:rPr>
              <w:t> </w:t>
            </w:r>
            <w:r w:rsidRPr="00534F79">
              <w:rPr>
                <w:rFonts w:ascii="Times New Roman" w:eastAsia="SimSun" w:hAnsi="Times New Roman" w:cs="Times New Roman"/>
                <w:bCs/>
                <w:lang w:eastAsia="zh-CN"/>
              </w:rPr>
              <w:t>260)</w:t>
            </w:r>
          </w:p>
        </w:tc>
      </w:tr>
      <w:tr w:rsidR="00F72F9C" w:rsidRPr="007B75DC" w14:paraId="5DF3B9A5" w14:textId="77777777" w:rsidTr="00146B23">
        <w:trPr>
          <w:trHeight w:val="284"/>
        </w:trPr>
        <w:tc>
          <w:tcPr>
            <w:tcW w:w="1877" w:type="pct"/>
          </w:tcPr>
          <w:p w14:paraId="0949AC18" w14:textId="77777777" w:rsidR="00F72F9C" w:rsidRPr="007B75DC" w:rsidRDefault="00F72F9C" w:rsidP="00DE2956">
            <w:pPr>
              <w:widowControl w:val="0"/>
              <w:tabs>
                <w:tab w:val="left" w:pos="567"/>
              </w:tabs>
              <w:autoSpaceDE w:val="0"/>
              <w:autoSpaceDN w:val="0"/>
              <w:adjustRightInd w:val="0"/>
              <w:snapToGrid w:val="0"/>
              <w:spacing w:after="0" w:line="240" w:lineRule="auto"/>
              <w:jc w:val="center"/>
              <w:rPr>
                <w:rFonts w:ascii="Times New Roman" w:eastAsia="SimSun" w:hAnsi="Times New Roman" w:cs="Times New Roman"/>
                <w:lang w:eastAsia="zh-CN"/>
              </w:rPr>
            </w:pPr>
          </w:p>
        </w:tc>
        <w:tc>
          <w:tcPr>
            <w:tcW w:w="3123" w:type="pct"/>
            <w:gridSpan w:val="3"/>
          </w:tcPr>
          <w:p w14:paraId="6A5BC725" w14:textId="77777777" w:rsidR="00F72F9C" w:rsidRPr="007B75DC" w:rsidRDefault="00F72F9C" w:rsidP="00DE2956">
            <w:pPr>
              <w:widowControl w:val="0"/>
              <w:tabs>
                <w:tab w:val="left" w:pos="567"/>
              </w:tabs>
              <w:autoSpaceDE w:val="0"/>
              <w:autoSpaceDN w:val="0"/>
              <w:adjustRightInd w:val="0"/>
              <w:snapToGri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Pacientų procentinė dalis (PI 95</w:t>
            </w:r>
            <w:r w:rsidR="000D70B0">
              <w:rPr>
                <w:rFonts w:ascii="Times New Roman" w:eastAsia="SimSun" w:hAnsi="Times New Roman" w:cs="Times New Roman"/>
                <w:lang w:eastAsia="zh-CN"/>
              </w:rPr>
              <w:t> </w:t>
            </w:r>
            <w:r w:rsidRPr="007B75DC">
              <w:rPr>
                <w:rFonts w:ascii="Times New Roman" w:eastAsia="SimSun" w:hAnsi="Times New Roman" w:cs="Times New Roman"/>
                <w:lang w:eastAsia="zh-CN"/>
              </w:rPr>
              <w:t>%)</w:t>
            </w:r>
          </w:p>
        </w:tc>
      </w:tr>
      <w:tr w:rsidR="00F72F9C" w:rsidRPr="007B75DC" w14:paraId="23E90442" w14:textId="77777777" w:rsidTr="00146B23">
        <w:trPr>
          <w:trHeight w:val="284"/>
        </w:trPr>
        <w:tc>
          <w:tcPr>
            <w:tcW w:w="1877" w:type="pct"/>
            <w:hideMark/>
          </w:tcPr>
          <w:p w14:paraId="6A25DBA9" w14:textId="77777777" w:rsidR="00F72F9C" w:rsidRPr="007B75DC" w:rsidRDefault="00F72F9C" w:rsidP="00DE2956">
            <w:pPr>
              <w:widowControl w:val="0"/>
              <w:autoSpaceDE w:val="0"/>
              <w:autoSpaceDN w:val="0"/>
              <w:adjustRightInd w:val="0"/>
              <w:spacing w:after="0" w:line="240" w:lineRule="auto"/>
              <w:ind w:left="103"/>
              <w:rPr>
                <w:rFonts w:ascii="Times New Roman" w:eastAsia="SimSun" w:hAnsi="Times New Roman" w:cs="Times New Roman"/>
                <w:lang w:eastAsia="zh-CN"/>
              </w:rPr>
            </w:pPr>
            <w:r w:rsidRPr="007B75DC">
              <w:rPr>
                <w:rFonts w:ascii="Times New Roman" w:eastAsia="SimSun" w:hAnsi="Times New Roman" w:cs="Times New Roman"/>
                <w:lang w:eastAsia="zh-CN"/>
              </w:rPr>
              <w:t>Hematologinis atsakas</w:t>
            </w:r>
            <w:r w:rsidRPr="007B75DC">
              <w:rPr>
                <w:rFonts w:ascii="Times New Roman" w:eastAsia="SimSun" w:hAnsi="Times New Roman" w:cs="Times New Roman"/>
                <w:vertAlign w:val="superscript"/>
                <w:lang w:eastAsia="zh-CN"/>
              </w:rPr>
              <w:t>1</w:t>
            </w:r>
          </w:p>
          <w:p w14:paraId="4968D1BD" w14:textId="77777777" w:rsidR="00F72F9C" w:rsidRPr="007B75DC" w:rsidRDefault="00F72F9C" w:rsidP="00DE2956">
            <w:pPr>
              <w:widowControl w:val="0"/>
              <w:autoSpaceDE w:val="0"/>
              <w:autoSpaceDN w:val="0"/>
              <w:adjustRightInd w:val="0"/>
              <w:spacing w:after="0" w:line="240" w:lineRule="auto"/>
              <w:ind w:left="439"/>
              <w:rPr>
                <w:rFonts w:ascii="Times New Roman" w:eastAsia="SimSun" w:hAnsi="Times New Roman" w:cs="Times New Roman"/>
                <w:lang w:eastAsia="zh-CN"/>
              </w:rPr>
            </w:pPr>
            <w:r w:rsidRPr="007B75DC">
              <w:rPr>
                <w:rFonts w:ascii="Times New Roman" w:eastAsia="SimSun" w:hAnsi="Times New Roman" w:cs="Times New Roman"/>
                <w:lang w:eastAsia="zh-CN"/>
              </w:rPr>
              <w:t>Visiškas hematologinis atsakas (VHA)</w:t>
            </w:r>
          </w:p>
          <w:p w14:paraId="5543165A" w14:textId="77777777" w:rsidR="00F72F9C" w:rsidRPr="007B75DC" w:rsidRDefault="00F72F9C" w:rsidP="00DE2956">
            <w:pPr>
              <w:widowControl w:val="0"/>
              <w:autoSpaceDE w:val="0"/>
              <w:autoSpaceDN w:val="0"/>
              <w:adjustRightInd w:val="0"/>
              <w:spacing w:after="0" w:line="240" w:lineRule="auto"/>
              <w:ind w:left="439"/>
              <w:rPr>
                <w:rFonts w:ascii="Times New Roman" w:eastAsia="SimSun" w:hAnsi="Times New Roman" w:cs="Times New Roman"/>
                <w:lang w:eastAsia="zh-CN"/>
              </w:rPr>
            </w:pPr>
            <w:r w:rsidRPr="007B75DC">
              <w:rPr>
                <w:rFonts w:ascii="Times New Roman" w:eastAsia="SimSun" w:hAnsi="Times New Roman" w:cs="Times New Roman"/>
                <w:lang w:eastAsia="zh-CN"/>
              </w:rPr>
              <w:t>Išnykusi leukemija (NEL)</w:t>
            </w:r>
          </w:p>
          <w:p w14:paraId="09BD5A9B" w14:textId="77777777" w:rsidR="00F72F9C" w:rsidRPr="007B75DC" w:rsidRDefault="00F72F9C" w:rsidP="00DE2956">
            <w:pPr>
              <w:widowControl w:val="0"/>
              <w:tabs>
                <w:tab w:val="left" w:pos="567"/>
              </w:tabs>
              <w:autoSpaceDE w:val="0"/>
              <w:autoSpaceDN w:val="0"/>
              <w:adjustRightInd w:val="0"/>
              <w:snapToGrid w:val="0"/>
              <w:spacing w:after="0" w:line="240" w:lineRule="auto"/>
              <w:ind w:left="439"/>
              <w:rPr>
                <w:rFonts w:ascii="Times New Roman" w:eastAsia="SimSun" w:hAnsi="Times New Roman" w:cs="Times New Roman"/>
                <w:lang w:eastAsia="zh-CN"/>
              </w:rPr>
            </w:pPr>
            <w:r w:rsidRPr="007B75DC">
              <w:rPr>
                <w:rFonts w:ascii="Times New Roman" w:eastAsia="SimSun" w:hAnsi="Times New Roman" w:cs="Times New Roman"/>
                <w:lang w:eastAsia="zh-CN"/>
              </w:rPr>
              <w:t>Grįžimas į lėtinę fazę (GLF)</w:t>
            </w:r>
          </w:p>
        </w:tc>
        <w:tc>
          <w:tcPr>
            <w:tcW w:w="1041" w:type="pct"/>
          </w:tcPr>
          <w:p w14:paraId="4049B2F7" w14:textId="696B7618"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95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(92,3–96,3) </w:t>
            </w:r>
          </w:p>
          <w:p w14:paraId="66639295" w14:textId="5A9E74AC"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95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w:t>
            </w:r>
          </w:p>
          <w:p w14:paraId="14FB4AB4" w14:textId="77777777"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p>
          <w:p w14:paraId="076D9670" w14:textId="77777777"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 xml:space="preserve">Nepateikiama </w:t>
            </w:r>
          </w:p>
          <w:p w14:paraId="1230FF43" w14:textId="77777777"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Nepateikiama</w:t>
            </w:r>
          </w:p>
        </w:tc>
        <w:tc>
          <w:tcPr>
            <w:tcW w:w="1041" w:type="pct"/>
          </w:tcPr>
          <w:p w14:paraId="7CBD6622" w14:textId="0BEED14A"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71</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(65,3–77,2) </w:t>
            </w:r>
          </w:p>
          <w:p w14:paraId="09041A6B" w14:textId="63DFBF73"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42</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w:t>
            </w:r>
          </w:p>
          <w:p w14:paraId="7D763C48" w14:textId="77777777"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p>
          <w:p w14:paraId="3BF385F3" w14:textId="19C08821"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12</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w:t>
            </w:r>
          </w:p>
          <w:p w14:paraId="0866956B" w14:textId="0A331C4E"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17</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w:t>
            </w:r>
          </w:p>
        </w:tc>
        <w:tc>
          <w:tcPr>
            <w:tcW w:w="1042" w:type="pct"/>
            <w:hideMark/>
          </w:tcPr>
          <w:p w14:paraId="627EF10D" w14:textId="77777777"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31</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 (25,2–36,8)</w:t>
            </w:r>
          </w:p>
          <w:p w14:paraId="3AF26EFE" w14:textId="77777777"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8</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w:t>
            </w:r>
          </w:p>
          <w:p w14:paraId="0198D600" w14:textId="77777777"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p>
          <w:p w14:paraId="5F567BAA" w14:textId="77777777"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5</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w:t>
            </w:r>
          </w:p>
          <w:p w14:paraId="13D31568" w14:textId="77777777" w:rsidR="00F72F9C" w:rsidRPr="007B75DC" w:rsidRDefault="00F72F9C" w:rsidP="00DE2956">
            <w:pPr>
              <w:widowControl w:val="0"/>
              <w:tabs>
                <w:tab w:val="left" w:pos="567"/>
              </w:tabs>
              <w:autoSpaceDE w:val="0"/>
              <w:autoSpaceDN w:val="0"/>
              <w:adjustRightInd w:val="0"/>
              <w:snapToGri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18</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w:t>
            </w:r>
          </w:p>
        </w:tc>
      </w:tr>
      <w:tr w:rsidR="00F72F9C" w:rsidRPr="007B75DC" w14:paraId="56988ABB" w14:textId="77777777" w:rsidTr="00146B23">
        <w:trPr>
          <w:trHeight w:val="284"/>
        </w:trPr>
        <w:tc>
          <w:tcPr>
            <w:tcW w:w="1877" w:type="pct"/>
          </w:tcPr>
          <w:p w14:paraId="3D552AC6" w14:textId="77777777" w:rsidR="00F72F9C" w:rsidRPr="007B75DC" w:rsidRDefault="00F72F9C" w:rsidP="00DE2956">
            <w:pPr>
              <w:widowControl w:val="0"/>
              <w:autoSpaceDE w:val="0"/>
              <w:autoSpaceDN w:val="0"/>
              <w:adjustRightInd w:val="0"/>
              <w:spacing w:after="0" w:line="240" w:lineRule="auto"/>
              <w:ind w:left="103"/>
              <w:rPr>
                <w:rFonts w:ascii="Times New Roman" w:eastAsia="SimSun" w:hAnsi="Times New Roman" w:cs="Times New Roman"/>
                <w:lang w:eastAsia="zh-CN"/>
              </w:rPr>
            </w:pPr>
            <w:r w:rsidRPr="007B75DC">
              <w:rPr>
                <w:rFonts w:ascii="Times New Roman" w:eastAsia="SimSun" w:hAnsi="Times New Roman" w:cs="Times New Roman"/>
                <w:lang w:eastAsia="zh-CN"/>
              </w:rPr>
              <w:t>Didysis citogenetinis atsakas</w:t>
            </w:r>
            <w:r w:rsidRPr="007B75DC">
              <w:rPr>
                <w:rFonts w:ascii="Times New Roman" w:eastAsia="SimSun" w:hAnsi="Times New Roman" w:cs="Times New Roman"/>
                <w:vertAlign w:val="superscript"/>
                <w:lang w:eastAsia="zh-CN"/>
              </w:rPr>
              <w:t>2</w:t>
            </w:r>
          </w:p>
          <w:p w14:paraId="0756BCC2" w14:textId="77777777" w:rsidR="00F72F9C" w:rsidRPr="007B75DC" w:rsidRDefault="00F72F9C" w:rsidP="00DE2956">
            <w:pPr>
              <w:widowControl w:val="0"/>
              <w:autoSpaceDE w:val="0"/>
              <w:autoSpaceDN w:val="0"/>
              <w:adjustRightInd w:val="0"/>
              <w:spacing w:after="0" w:line="240" w:lineRule="auto"/>
              <w:ind w:left="572"/>
              <w:rPr>
                <w:rFonts w:ascii="Times New Roman" w:eastAsia="SimSun" w:hAnsi="Times New Roman" w:cs="Times New Roman"/>
                <w:lang w:eastAsia="zh-CN"/>
              </w:rPr>
            </w:pPr>
            <w:r w:rsidRPr="007B75DC">
              <w:rPr>
                <w:rFonts w:ascii="Times New Roman" w:eastAsia="SimSun" w:hAnsi="Times New Roman" w:cs="Times New Roman"/>
                <w:lang w:eastAsia="zh-CN"/>
              </w:rPr>
              <w:t>Visiškas</w:t>
            </w:r>
          </w:p>
          <w:p w14:paraId="25941540" w14:textId="20698130" w:rsidR="00F72F9C" w:rsidRPr="007B75DC" w:rsidRDefault="00F72F9C" w:rsidP="00DE2956">
            <w:pPr>
              <w:widowControl w:val="0"/>
              <w:autoSpaceDE w:val="0"/>
              <w:autoSpaceDN w:val="0"/>
              <w:adjustRightInd w:val="0"/>
              <w:spacing w:after="0" w:line="240" w:lineRule="auto"/>
              <w:ind w:left="572"/>
              <w:rPr>
                <w:rFonts w:ascii="Times New Roman" w:eastAsia="SimSun" w:hAnsi="Times New Roman" w:cs="Times New Roman"/>
                <w:lang w:eastAsia="zh-CN"/>
              </w:rPr>
            </w:pPr>
            <w:r w:rsidRPr="007B75DC">
              <w:rPr>
                <w:rFonts w:ascii="Times New Roman" w:eastAsia="SimSun" w:hAnsi="Times New Roman" w:cs="Times New Roman"/>
                <w:lang w:eastAsia="zh-CN"/>
              </w:rPr>
              <w:t>(Patvirtintas</w:t>
            </w:r>
            <w:r w:rsidRPr="007B75DC">
              <w:rPr>
                <w:rFonts w:ascii="Times New Roman" w:eastAsia="SimSun" w:hAnsi="Times New Roman" w:cs="Times New Roman"/>
                <w:vertAlign w:val="superscript"/>
                <w:lang w:eastAsia="zh-CN"/>
              </w:rPr>
              <w:t>3</w:t>
            </w:r>
            <w:r w:rsidRPr="007B75DC">
              <w:rPr>
                <w:rFonts w:ascii="Times New Roman" w:eastAsia="SimSun" w:hAnsi="Times New Roman" w:cs="Times New Roman"/>
                <w:lang w:eastAsia="zh-CN"/>
              </w:rPr>
              <w:t>) [95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PI]</w:t>
            </w:r>
          </w:p>
          <w:p w14:paraId="3D00099F" w14:textId="77777777" w:rsidR="00F72F9C" w:rsidRPr="007B75DC" w:rsidRDefault="00F72F9C" w:rsidP="00DE2956">
            <w:pPr>
              <w:widowControl w:val="0"/>
              <w:autoSpaceDE w:val="0"/>
              <w:autoSpaceDN w:val="0"/>
              <w:adjustRightInd w:val="0"/>
              <w:spacing w:after="0" w:line="240" w:lineRule="auto"/>
              <w:ind w:left="572"/>
              <w:rPr>
                <w:rFonts w:ascii="Times New Roman" w:eastAsia="SimSun" w:hAnsi="Times New Roman" w:cs="Times New Roman"/>
                <w:lang w:eastAsia="zh-CN"/>
              </w:rPr>
            </w:pPr>
            <w:r w:rsidRPr="007B75DC">
              <w:rPr>
                <w:rFonts w:ascii="Times New Roman" w:eastAsia="SimSun" w:hAnsi="Times New Roman" w:cs="Times New Roman"/>
                <w:lang w:eastAsia="zh-CN"/>
              </w:rPr>
              <w:t>Dalinis</w:t>
            </w:r>
          </w:p>
        </w:tc>
        <w:tc>
          <w:tcPr>
            <w:tcW w:w="1041" w:type="pct"/>
          </w:tcPr>
          <w:p w14:paraId="457DFCA4" w14:textId="65D1864B"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65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(61,2–69,5) </w:t>
            </w:r>
          </w:p>
          <w:p w14:paraId="0D51FE4A" w14:textId="3219E0A9"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53</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w:t>
            </w:r>
          </w:p>
          <w:p w14:paraId="1D952724" w14:textId="25CC7F13"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(43</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[38,6–47,2] </w:t>
            </w:r>
          </w:p>
          <w:p w14:paraId="7E0B43C6" w14:textId="3133C0EA"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12</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w:t>
            </w:r>
          </w:p>
        </w:tc>
        <w:tc>
          <w:tcPr>
            <w:tcW w:w="1041" w:type="pct"/>
          </w:tcPr>
          <w:p w14:paraId="11340FDF" w14:textId="297C8FA6"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28</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(22,0–33,9) </w:t>
            </w:r>
          </w:p>
          <w:p w14:paraId="1551AB1E" w14:textId="2A9FA773"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20</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w:t>
            </w:r>
          </w:p>
          <w:p w14:paraId="791E4DD9" w14:textId="49E7BFF1"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(16</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xml:space="preserve">%) [11,3–21,0] </w:t>
            </w:r>
          </w:p>
          <w:p w14:paraId="1A9D87A1" w14:textId="5ABB603C" w:rsidR="00F72F9C" w:rsidRPr="007B75DC" w:rsidRDefault="00F72F9C" w:rsidP="00F72F9C">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7</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w:t>
            </w:r>
          </w:p>
        </w:tc>
        <w:tc>
          <w:tcPr>
            <w:tcW w:w="1042" w:type="pct"/>
            <w:hideMark/>
          </w:tcPr>
          <w:p w14:paraId="2868E077" w14:textId="3B9CE957"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15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(11,2–20,4)</w:t>
            </w:r>
          </w:p>
          <w:p w14:paraId="5A77F8D1" w14:textId="74A31D9E"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7</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w:t>
            </w:r>
          </w:p>
          <w:p w14:paraId="47913D9F" w14:textId="4FC14BFE" w:rsidR="00F72F9C" w:rsidRPr="007B75DC" w:rsidRDefault="00F72F9C" w:rsidP="00DE2956">
            <w:pPr>
              <w:widowControl w:val="0"/>
              <w:autoSpaceDE w:val="0"/>
              <w:autoSpaceDN w:val="0"/>
              <w:adjustRightIn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(2</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[0,6–4,4]</w:t>
            </w:r>
          </w:p>
          <w:p w14:paraId="29F5D27B" w14:textId="77777777" w:rsidR="00F72F9C" w:rsidRPr="007B75DC" w:rsidRDefault="00F72F9C" w:rsidP="00DE2956">
            <w:pPr>
              <w:widowControl w:val="0"/>
              <w:tabs>
                <w:tab w:val="left" w:pos="567"/>
              </w:tabs>
              <w:autoSpaceDE w:val="0"/>
              <w:autoSpaceDN w:val="0"/>
              <w:adjustRightInd w:val="0"/>
              <w:snapToGrid w:val="0"/>
              <w:spacing w:after="0" w:line="240" w:lineRule="auto"/>
              <w:jc w:val="center"/>
              <w:rPr>
                <w:rFonts w:ascii="Times New Roman" w:eastAsia="SimSun" w:hAnsi="Times New Roman" w:cs="Times New Roman"/>
                <w:lang w:eastAsia="zh-CN"/>
              </w:rPr>
            </w:pPr>
            <w:r w:rsidRPr="007B75DC">
              <w:rPr>
                <w:rFonts w:ascii="Times New Roman" w:eastAsia="SimSun" w:hAnsi="Times New Roman" w:cs="Times New Roman"/>
                <w:lang w:eastAsia="zh-CN"/>
              </w:rPr>
              <w:t>8</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w:t>
            </w:r>
          </w:p>
        </w:tc>
      </w:tr>
      <w:tr w:rsidR="00F72F9C" w:rsidRPr="007B75DC" w14:paraId="093815E8" w14:textId="77777777" w:rsidTr="00146B23">
        <w:trPr>
          <w:trHeight w:val="2822"/>
        </w:trPr>
        <w:tc>
          <w:tcPr>
            <w:tcW w:w="5000" w:type="pct"/>
            <w:gridSpan w:val="4"/>
          </w:tcPr>
          <w:p w14:paraId="350EFDCD" w14:textId="6167B5E9" w:rsidR="00F72F9C" w:rsidRPr="007B75DC" w:rsidRDefault="00F72F9C" w:rsidP="00DE2956">
            <w:pPr>
              <w:widowControl w:val="0"/>
              <w:autoSpaceDE w:val="0"/>
              <w:autoSpaceDN w:val="0"/>
              <w:adjustRightInd w:val="0"/>
              <w:spacing w:after="0" w:line="240" w:lineRule="auto"/>
              <w:rPr>
                <w:rFonts w:ascii="Times New Roman" w:eastAsia="SimSun" w:hAnsi="Times New Roman" w:cs="Times New Roman"/>
                <w:lang w:eastAsia="zh-CN"/>
              </w:rPr>
            </w:pPr>
            <w:r w:rsidRPr="007B75DC">
              <w:rPr>
                <w:rFonts w:ascii="Times New Roman" w:eastAsia="SimSun" w:hAnsi="Times New Roman" w:cs="Times New Roman"/>
                <w:bCs/>
                <w:vertAlign w:val="superscript"/>
                <w:lang w:eastAsia="zh-CN"/>
              </w:rPr>
              <w:t xml:space="preserve">1 </w:t>
            </w:r>
            <w:r w:rsidRPr="007B75DC">
              <w:rPr>
                <w:rFonts w:ascii="Times New Roman" w:eastAsia="SimSun" w:hAnsi="Times New Roman" w:cs="Times New Roman"/>
                <w:b/>
                <w:bCs/>
                <w:lang w:eastAsia="zh-CN"/>
              </w:rPr>
              <w:t xml:space="preserve">Hematologinio atsako kriterijai (visi atsakai turi būti patvirtinti po </w:t>
            </w:r>
            <w:r w:rsidRPr="007B75DC">
              <w:rPr>
                <w:rFonts w:ascii="Times New Roman" w:hAnsi="Times New Roman" w:cs="Times New Roman"/>
                <w:u w:val="single"/>
                <w:lang w:eastAsia="zh-CN"/>
              </w:rPr>
              <w:t>&gt; </w:t>
            </w:r>
            <w:r w:rsidRPr="007B75DC">
              <w:rPr>
                <w:rFonts w:ascii="Times New Roman" w:eastAsia="SimSun" w:hAnsi="Times New Roman" w:cs="Times New Roman"/>
                <w:b/>
                <w:bCs/>
                <w:lang w:eastAsia="zh-CN"/>
              </w:rPr>
              <w:t>4</w:t>
            </w:r>
            <w:r w:rsidR="00B93B58">
              <w:rPr>
                <w:rFonts w:ascii="Times New Roman" w:eastAsia="SimSun" w:hAnsi="Times New Roman" w:cs="Times New Roman"/>
                <w:b/>
                <w:bCs/>
                <w:lang w:eastAsia="zh-CN"/>
              </w:rPr>
              <w:t> </w:t>
            </w:r>
            <w:r w:rsidRPr="007B75DC">
              <w:rPr>
                <w:rFonts w:ascii="Times New Roman" w:eastAsia="SimSun" w:hAnsi="Times New Roman" w:cs="Times New Roman"/>
                <w:b/>
                <w:bCs/>
                <w:lang w:eastAsia="zh-CN"/>
              </w:rPr>
              <w:t>savaičių):</w:t>
            </w:r>
          </w:p>
          <w:p w14:paraId="1B2B8175" w14:textId="34F06D2A" w:rsidR="00F72F9C" w:rsidRPr="007B75DC" w:rsidRDefault="00F72F9C" w:rsidP="00DE2956">
            <w:pPr>
              <w:widowControl w:val="0"/>
              <w:autoSpaceDE w:val="0"/>
              <w:autoSpaceDN w:val="0"/>
              <w:adjustRightInd w:val="0"/>
              <w:spacing w:after="0" w:line="240" w:lineRule="auto"/>
              <w:ind w:left="624" w:hanging="567"/>
              <w:rPr>
                <w:rFonts w:ascii="Times New Roman" w:eastAsia="SimSun" w:hAnsi="Times New Roman" w:cs="Times New Roman"/>
                <w:lang w:eastAsia="zh-CN"/>
              </w:rPr>
            </w:pPr>
            <w:r w:rsidRPr="007B75DC">
              <w:rPr>
                <w:rFonts w:ascii="Times New Roman" w:eastAsia="SimSun" w:hAnsi="Times New Roman" w:cs="Times New Roman"/>
                <w:lang w:eastAsia="zh-CN"/>
              </w:rPr>
              <w:t>VHA:</w:t>
            </w:r>
            <w:r w:rsidRPr="007B75DC">
              <w:rPr>
                <w:rFonts w:ascii="Times New Roman" w:eastAsia="SimSun" w:hAnsi="Times New Roman" w:cs="Times New Roman"/>
                <w:lang w:eastAsia="zh-CN"/>
              </w:rPr>
              <w:tab/>
              <w:t xml:space="preserve"> Tyrim</w:t>
            </w:r>
            <w:r w:rsidR="00B21044" w:rsidRPr="007B75DC">
              <w:rPr>
                <w:rFonts w:ascii="Times New Roman" w:eastAsia="SimSun" w:hAnsi="Times New Roman" w:cs="Times New Roman"/>
                <w:lang w:eastAsia="zh-CN"/>
              </w:rPr>
              <w:t>as</w:t>
            </w:r>
            <w:r w:rsidRPr="007B75DC">
              <w:rPr>
                <w:rFonts w:ascii="Times New Roman" w:eastAsia="SimSun" w:hAnsi="Times New Roman" w:cs="Times New Roman"/>
                <w:lang w:eastAsia="zh-CN"/>
              </w:rPr>
              <w:t xml:space="preserve"> </w:t>
            </w:r>
            <w:r w:rsidR="00B21044" w:rsidRPr="007B75DC">
              <w:rPr>
                <w:rFonts w:ascii="Times New Roman" w:eastAsia="SimSun" w:hAnsi="Times New Roman" w:cs="Times New Roman"/>
                <w:lang w:eastAsia="zh-CN"/>
              </w:rPr>
              <w:t>0110 [BKK &lt;</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10</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x</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10</w:t>
            </w:r>
            <w:r w:rsidR="00B21044" w:rsidRPr="007B75DC">
              <w:rPr>
                <w:rFonts w:ascii="Times New Roman" w:eastAsia="SimSun" w:hAnsi="Times New Roman" w:cs="Times New Roman"/>
                <w:vertAlign w:val="superscript"/>
                <w:lang w:eastAsia="zh-CN"/>
              </w:rPr>
              <w:t>9</w:t>
            </w:r>
            <w:r w:rsidR="00B21044" w:rsidRPr="007B75DC">
              <w:rPr>
                <w:rFonts w:ascii="Times New Roman" w:eastAsia="SimSun" w:hAnsi="Times New Roman" w:cs="Times New Roman"/>
                <w:lang w:eastAsia="zh-CN"/>
              </w:rPr>
              <w:t>/l, trombocitų &lt;</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450</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x</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10</w:t>
            </w:r>
            <w:r w:rsidR="00B21044" w:rsidRPr="007B75DC">
              <w:rPr>
                <w:rFonts w:ascii="Times New Roman" w:eastAsia="SimSun" w:hAnsi="Times New Roman" w:cs="Times New Roman"/>
                <w:vertAlign w:val="superscript"/>
                <w:lang w:eastAsia="zh-CN"/>
              </w:rPr>
              <w:t>9</w:t>
            </w:r>
            <w:r w:rsidR="00B21044" w:rsidRPr="007B75DC">
              <w:rPr>
                <w:rFonts w:ascii="Times New Roman" w:eastAsia="SimSun" w:hAnsi="Times New Roman" w:cs="Times New Roman"/>
                <w:lang w:eastAsia="zh-CN"/>
              </w:rPr>
              <w:t>/l, mielocitų+metamielocitų &lt;</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5</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 kraujyje, nėra blastų ir promielocitų kraujyje, bazofilų &lt;</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20</w:t>
            </w:r>
            <w:r w:rsidR="00B93B58">
              <w:rPr>
                <w:rFonts w:ascii="Times New Roman" w:eastAsia="SimSun" w:hAnsi="Times New Roman" w:cs="Times New Roman"/>
                <w:lang w:eastAsia="zh-CN"/>
              </w:rPr>
              <w:t> </w:t>
            </w:r>
            <w:r w:rsidR="00B21044" w:rsidRPr="007B75DC">
              <w:rPr>
                <w:rFonts w:ascii="Times New Roman" w:eastAsia="SimSun" w:hAnsi="Times New Roman" w:cs="Times New Roman"/>
                <w:lang w:eastAsia="zh-CN"/>
              </w:rPr>
              <w:t xml:space="preserve">%, nėra ekstramedulinių židinių] ir tyrimuose </w:t>
            </w:r>
            <w:r w:rsidRPr="007B75DC">
              <w:rPr>
                <w:rFonts w:ascii="Times New Roman" w:eastAsia="SimSun" w:hAnsi="Times New Roman" w:cs="Times New Roman"/>
                <w:lang w:eastAsia="zh-CN"/>
              </w:rPr>
              <w:t>0102</w:t>
            </w:r>
            <w:r w:rsidR="00B21044" w:rsidRPr="007B75DC">
              <w:rPr>
                <w:rFonts w:ascii="Times New Roman" w:eastAsia="SimSun" w:hAnsi="Times New Roman" w:cs="Times New Roman"/>
                <w:lang w:eastAsia="zh-CN"/>
              </w:rPr>
              <w:t xml:space="preserve"> bei 0109</w:t>
            </w:r>
            <w:r w:rsidRPr="007B75DC">
              <w:rPr>
                <w:rFonts w:ascii="Times New Roman" w:eastAsia="SimSun" w:hAnsi="Times New Roman" w:cs="Times New Roman"/>
                <w:lang w:eastAsia="zh-CN"/>
              </w:rPr>
              <w:t xml:space="preserve"> [ANS ≥</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1,5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trombocitų ≥</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100</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/l, nėra blastų kraujyje, blastų &lt;</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5 % kaulų čiulpuose, nėra ekstramedulinės ligos</w:t>
            </w:r>
            <w:r w:rsidR="00A216B5">
              <w:rPr>
                <w:rFonts w:ascii="Times New Roman" w:eastAsia="SimSun" w:hAnsi="Times New Roman" w:cs="Times New Roman"/>
                <w:lang w:eastAsia="zh-CN"/>
              </w:rPr>
              <w:t>]</w:t>
            </w:r>
          </w:p>
          <w:p w14:paraId="6F123321" w14:textId="7CFE4897" w:rsidR="00F72F9C" w:rsidRPr="007B75DC" w:rsidRDefault="00F72F9C" w:rsidP="00DE2956">
            <w:pPr>
              <w:widowControl w:val="0"/>
              <w:tabs>
                <w:tab w:val="left" w:pos="820"/>
              </w:tabs>
              <w:autoSpaceDE w:val="0"/>
              <w:autoSpaceDN w:val="0"/>
              <w:adjustRightInd w:val="0"/>
              <w:spacing w:after="0" w:line="240" w:lineRule="auto"/>
              <w:ind w:left="57"/>
              <w:rPr>
                <w:rFonts w:ascii="Times New Roman" w:eastAsia="SimSun" w:hAnsi="Times New Roman" w:cs="Times New Roman"/>
                <w:lang w:eastAsia="zh-CN"/>
              </w:rPr>
            </w:pPr>
            <w:r w:rsidRPr="007B75DC">
              <w:rPr>
                <w:rFonts w:ascii="Times New Roman" w:eastAsia="SimSun" w:hAnsi="Times New Roman" w:cs="Times New Roman"/>
                <w:lang w:eastAsia="zh-CN"/>
              </w:rPr>
              <w:t xml:space="preserve">NEL: Tokie pat kriterijai kaip VHA, bet ANS </w:t>
            </w:r>
            <w:r w:rsidRPr="007B75DC">
              <w:rPr>
                <w:rFonts w:ascii="Times New Roman" w:hAnsi="Times New Roman" w:cs="Times New Roman"/>
                <w:u w:val="single"/>
                <w:lang w:eastAsia="zh-CN"/>
              </w:rPr>
              <w:t>&gt;</w:t>
            </w:r>
            <w:r w:rsidRPr="007B75DC">
              <w:rPr>
                <w:rFonts w:ascii="Times New Roman" w:eastAsia="SimSun" w:hAnsi="Times New Roman" w:cs="Times New Roman"/>
                <w:lang w:eastAsia="zh-CN"/>
              </w:rPr>
              <w:t> 1</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ir trombocitų </w:t>
            </w:r>
            <w:r w:rsidRPr="007B75DC">
              <w:rPr>
                <w:rFonts w:ascii="Times New Roman" w:hAnsi="Times New Roman" w:cs="Times New Roman"/>
                <w:u w:val="single"/>
                <w:lang w:eastAsia="zh-CN"/>
              </w:rPr>
              <w:t>&gt; </w:t>
            </w:r>
            <w:r w:rsidRPr="007B75DC">
              <w:rPr>
                <w:rFonts w:ascii="Times New Roman" w:eastAsia="SimSun" w:hAnsi="Times New Roman" w:cs="Times New Roman"/>
                <w:lang w:eastAsia="zh-CN"/>
              </w:rPr>
              <w:t>20</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x</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10</w:t>
            </w:r>
            <w:r w:rsidRPr="007B75DC">
              <w:rPr>
                <w:rFonts w:ascii="Times New Roman" w:eastAsia="SimSun" w:hAnsi="Times New Roman" w:cs="Times New Roman"/>
                <w:vertAlign w:val="superscript"/>
                <w:lang w:eastAsia="zh-CN"/>
              </w:rPr>
              <w:t>9</w:t>
            </w:r>
            <w:r w:rsidRPr="007B75DC">
              <w:rPr>
                <w:rFonts w:ascii="Times New Roman" w:eastAsia="SimSun" w:hAnsi="Times New Roman" w:cs="Times New Roman"/>
                <w:lang w:eastAsia="zh-CN"/>
              </w:rPr>
              <w:t xml:space="preserve">/l </w:t>
            </w:r>
            <w:r w:rsidR="00A216B5">
              <w:rPr>
                <w:rFonts w:ascii="Times New Roman" w:eastAsia="SimSun" w:hAnsi="Times New Roman" w:cs="Times New Roman"/>
                <w:lang w:eastAsia="zh-CN"/>
              </w:rPr>
              <w:t xml:space="preserve">(tik </w:t>
            </w:r>
            <w:r w:rsidR="00A216B5" w:rsidRPr="004210B2">
              <w:rPr>
                <w:rFonts w:ascii="Times New Roman" w:eastAsia="Times New Roman" w:hAnsi="Times New Roman"/>
                <w:color w:val="000000"/>
                <w:lang w:eastAsia="en-IN"/>
              </w:rPr>
              <w:t xml:space="preserve">0102 </w:t>
            </w:r>
            <w:r w:rsidR="00A216B5">
              <w:rPr>
                <w:rFonts w:ascii="Times New Roman" w:eastAsia="Times New Roman" w:hAnsi="Times New Roman"/>
                <w:color w:val="000000"/>
                <w:lang w:eastAsia="en-IN"/>
              </w:rPr>
              <w:t>ir</w:t>
            </w:r>
            <w:r w:rsidR="00A216B5" w:rsidRPr="004210B2">
              <w:rPr>
                <w:rFonts w:ascii="Times New Roman" w:eastAsia="Times New Roman" w:hAnsi="Times New Roman"/>
                <w:color w:val="000000"/>
                <w:lang w:eastAsia="en-IN"/>
              </w:rPr>
              <w:t xml:space="preserve"> 0109)</w:t>
            </w:r>
          </w:p>
          <w:p w14:paraId="284059B9" w14:textId="097B1547" w:rsidR="00F72F9C" w:rsidRPr="007B75DC" w:rsidRDefault="00F72F9C" w:rsidP="00DE2956">
            <w:pPr>
              <w:widowControl w:val="0"/>
              <w:tabs>
                <w:tab w:val="left" w:pos="820"/>
              </w:tabs>
              <w:autoSpaceDE w:val="0"/>
              <w:autoSpaceDN w:val="0"/>
              <w:adjustRightInd w:val="0"/>
              <w:spacing w:after="0" w:line="240" w:lineRule="auto"/>
              <w:ind w:left="57"/>
              <w:rPr>
                <w:rFonts w:ascii="Times New Roman" w:eastAsia="SimSun" w:hAnsi="Times New Roman" w:cs="Times New Roman"/>
                <w:lang w:eastAsia="zh-CN"/>
              </w:rPr>
            </w:pPr>
            <w:r w:rsidRPr="007B75DC">
              <w:rPr>
                <w:rFonts w:ascii="Times New Roman" w:eastAsia="SimSun" w:hAnsi="Times New Roman" w:cs="Times New Roman"/>
                <w:lang w:eastAsia="zh-CN"/>
              </w:rPr>
              <w:t>GLF: &lt; 15</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blastų KČ ir PK, &lt; 30</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blastų+promielocitų KČ ir PK, &lt; 20</w:t>
            </w:r>
            <w:r w:rsidR="00B93B58">
              <w:rPr>
                <w:rFonts w:ascii="Times New Roman" w:eastAsia="SimSun" w:hAnsi="Times New Roman" w:cs="Times New Roman"/>
                <w:lang w:eastAsia="zh-CN"/>
              </w:rPr>
              <w:t> </w:t>
            </w:r>
            <w:r w:rsidRPr="007B75DC">
              <w:rPr>
                <w:rFonts w:ascii="Times New Roman" w:eastAsia="SimSun" w:hAnsi="Times New Roman" w:cs="Times New Roman"/>
                <w:lang w:eastAsia="zh-CN"/>
              </w:rPr>
              <w:t>% bazofilų PK, nėra kitos, išskyrus blužnies ir kepenų, ekstramedulinės ligos</w:t>
            </w:r>
            <w:r w:rsidR="00FC6931" w:rsidRPr="007B75DC">
              <w:rPr>
                <w:rFonts w:ascii="Times New Roman" w:eastAsia="SimSun" w:hAnsi="Times New Roman" w:cs="Times New Roman"/>
                <w:lang w:eastAsia="zh-CN"/>
              </w:rPr>
              <w:t xml:space="preserve"> (tik 0102 ir 0109)</w:t>
            </w:r>
            <w:r w:rsidRPr="007B75DC">
              <w:rPr>
                <w:rFonts w:ascii="Times New Roman" w:eastAsia="SimSun" w:hAnsi="Times New Roman" w:cs="Times New Roman"/>
                <w:lang w:eastAsia="zh-CN"/>
              </w:rPr>
              <w:t>.</w:t>
            </w:r>
          </w:p>
          <w:p w14:paraId="47BED4DD" w14:textId="77777777" w:rsidR="00F72F9C" w:rsidRPr="007B75DC" w:rsidRDefault="00F72F9C" w:rsidP="00DE2956">
            <w:pPr>
              <w:widowControl w:val="0"/>
              <w:tabs>
                <w:tab w:val="left" w:pos="820"/>
              </w:tabs>
              <w:autoSpaceDE w:val="0"/>
              <w:autoSpaceDN w:val="0"/>
              <w:adjustRightInd w:val="0"/>
              <w:spacing w:after="0" w:line="240" w:lineRule="auto"/>
              <w:ind w:left="57"/>
              <w:rPr>
                <w:rFonts w:ascii="Times New Roman" w:eastAsia="SimSun" w:hAnsi="Times New Roman" w:cs="Times New Roman"/>
                <w:lang w:eastAsia="zh-CN"/>
              </w:rPr>
            </w:pPr>
            <w:r w:rsidRPr="007B75DC">
              <w:rPr>
                <w:rFonts w:ascii="Times New Roman" w:eastAsia="SimSun" w:hAnsi="Times New Roman" w:cs="Times New Roman"/>
                <w:lang w:eastAsia="zh-CN"/>
              </w:rPr>
              <w:t xml:space="preserve">KČ = kaulų čiulpai, PK = periferinis kraujas </w:t>
            </w:r>
          </w:p>
          <w:p w14:paraId="7EF90723" w14:textId="77777777" w:rsidR="00F72F9C" w:rsidRPr="007B75DC" w:rsidRDefault="00F72F9C" w:rsidP="00DE2956">
            <w:pPr>
              <w:widowControl w:val="0"/>
              <w:autoSpaceDE w:val="0"/>
              <w:autoSpaceDN w:val="0"/>
              <w:adjustRightInd w:val="0"/>
              <w:spacing w:after="0" w:line="240" w:lineRule="auto"/>
              <w:ind w:left="57"/>
              <w:rPr>
                <w:rFonts w:ascii="Times New Roman" w:eastAsia="SimSun" w:hAnsi="Times New Roman" w:cs="Times New Roman"/>
                <w:lang w:eastAsia="zh-CN"/>
              </w:rPr>
            </w:pPr>
            <w:r w:rsidRPr="007B75DC">
              <w:rPr>
                <w:rFonts w:ascii="Times New Roman" w:eastAsia="SimSun" w:hAnsi="Times New Roman" w:cs="Times New Roman"/>
                <w:bCs/>
                <w:vertAlign w:val="superscript"/>
                <w:lang w:eastAsia="zh-CN"/>
              </w:rPr>
              <w:t xml:space="preserve">2 </w:t>
            </w:r>
            <w:r w:rsidRPr="007B75DC">
              <w:rPr>
                <w:rFonts w:ascii="Times New Roman" w:eastAsia="SimSun" w:hAnsi="Times New Roman" w:cs="Times New Roman"/>
                <w:b/>
                <w:bCs/>
                <w:lang w:eastAsia="zh-CN"/>
              </w:rPr>
              <w:t>Citogenetinio atsako kriterijai:</w:t>
            </w:r>
          </w:p>
          <w:p w14:paraId="3293B649" w14:textId="77777777" w:rsidR="00F72F9C" w:rsidRPr="007B75DC" w:rsidRDefault="00F72F9C" w:rsidP="00DE2956">
            <w:pPr>
              <w:widowControl w:val="0"/>
              <w:autoSpaceDE w:val="0"/>
              <w:autoSpaceDN w:val="0"/>
              <w:adjustRightInd w:val="0"/>
              <w:spacing w:after="0" w:line="240" w:lineRule="auto"/>
              <w:ind w:left="57"/>
              <w:rPr>
                <w:rFonts w:ascii="Times New Roman" w:eastAsia="SimSun" w:hAnsi="Times New Roman" w:cs="Times New Roman"/>
                <w:lang w:eastAsia="zh-CN"/>
              </w:rPr>
            </w:pPr>
            <w:r w:rsidRPr="007B75DC">
              <w:rPr>
                <w:rFonts w:ascii="Times New Roman" w:eastAsia="SimSun" w:hAnsi="Times New Roman" w:cs="Times New Roman"/>
                <w:lang w:eastAsia="zh-CN"/>
              </w:rPr>
              <w:t>Pagrindinį atsaką sudaro visiškas ir dalinis atsakas: visiškas (0</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 Ph+ metafazių), dalinis (1–35</w:t>
            </w:r>
            <w:r w:rsidR="00A216B5">
              <w:rPr>
                <w:rFonts w:ascii="Times New Roman" w:eastAsia="SimSun" w:hAnsi="Times New Roman" w:cs="Times New Roman"/>
                <w:lang w:eastAsia="zh-CN"/>
              </w:rPr>
              <w:t> </w:t>
            </w:r>
            <w:r w:rsidRPr="007B75DC">
              <w:rPr>
                <w:rFonts w:ascii="Times New Roman" w:eastAsia="SimSun" w:hAnsi="Times New Roman" w:cs="Times New Roman"/>
                <w:lang w:eastAsia="zh-CN"/>
              </w:rPr>
              <w:t>%).</w:t>
            </w:r>
          </w:p>
          <w:p w14:paraId="67C4F000" w14:textId="77777777" w:rsidR="00F72F9C" w:rsidRPr="007B75DC" w:rsidRDefault="00F72F9C" w:rsidP="00DE2956">
            <w:pPr>
              <w:widowControl w:val="0"/>
              <w:tabs>
                <w:tab w:val="left" w:pos="567"/>
              </w:tabs>
              <w:autoSpaceDE w:val="0"/>
              <w:autoSpaceDN w:val="0"/>
              <w:adjustRightInd w:val="0"/>
              <w:snapToGrid w:val="0"/>
              <w:spacing w:after="0" w:line="240" w:lineRule="auto"/>
              <w:ind w:left="57"/>
              <w:rPr>
                <w:rFonts w:ascii="Times New Roman" w:eastAsia="SimSun" w:hAnsi="Times New Roman" w:cs="Times New Roman"/>
                <w:lang w:eastAsia="zh-CN"/>
              </w:rPr>
            </w:pPr>
            <w:r w:rsidRPr="007B75DC">
              <w:rPr>
                <w:rFonts w:ascii="Times New Roman" w:eastAsia="SimSun" w:hAnsi="Times New Roman" w:cs="Times New Roman"/>
                <w:vertAlign w:val="superscript"/>
                <w:lang w:eastAsia="zh-CN"/>
              </w:rPr>
              <w:t xml:space="preserve">3 </w:t>
            </w:r>
            <w:r w:rsidRPr="007B75DC">
              <w:rPr>
                <w:rFonts w:ascii="Times New Roman" w:eastAsia="SimSun" w:hAnsi="Times New Roman" w:cs="Times New Roman"/>
                <w:lang w:eastAsia="zh-CN"/>
              </w:rPr>
              <w:t>Visiškas citogenetinis atsakas patvirtinamas antrą kartą citogenetiškai vertinant kaulų čiulpus praėjus mažiausiai vienam mėnesiui po pirminio kaulų čiulpų tyrimo.</w:t>
            </w:r>
          </w:p>
        </w:tc>
      </w:tr>
    </w:tbl>
    <w:p w14:paraId="47AD19F5" w14:textId="77777777" w:rsidR="00DE2956" w:rsidRPr="007B75DC" w:rsidRDefault="00DE2956" w:rsidP="00DE2956">
      <w:pPr>
        <w:spacing w:after="0" w:line="240" w:lineRule="auto"/>
        <w:rPr>
          <w:rFonts w:ascii="Times New Roman" w:eastAsia="Times New Roman" w:hAnsi="Times New Roman" w:cs="Times New Roman"/>
          <w:b/>
          <w:szCs w:val="24"/>
        </w:rPr>
      </w:pPr>
    </w:p>
    <w:p w14:paraId="56C99A14" w14:textId="77777777" w:rsidR="003D15E3" w:rsidRPr="00534F79" w:rsidRDefault="00DE2956" w:rsidP="00DE2956">
      <w:pPr>
        <w:spacing w:after="0" w:line="240" w:lineRule="auto"/>
        <w:rPr>
          <w:rFonts w:ascii="Times New Roman" w:eastAsia="Times New Roman" w:hAnsi="Times New Roman" w:cs="Times New Roman"/>
          <w:szCs w:val="24"/>
          <w:u w:val="single"/>
        </w:rPr>
      </w:pPr>
      <w:r w:rsidRPr="00534F79">
        <w:rPr>
          <w:rFonts w:ascii="Times New Roman" w:eastAsia="Times New Roman" w:hAnsi="Times New Roman" w:cs="Times New Roman"/>
          <w:szCs w:val="24"/>
          <w:u w:val="single"/>
        </w:rPr>
        <w:t>Vaikų populiacija</w:t>
      </w:r>
    </w:p>
    <w:p w14:paraId="0F28D573" w14:textId="79A01684"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Iš viso 26 jaunesni kaip 18</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metų vaikai, kuriems buvo lėtinė LML fazė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11) ar LML blastinė krizė, ar Ph+ ūminė leukemiija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15), buvo įtraukti į dozės didinimo I</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tyrimą. Tai buvo intensyviai gydyti vaikai: 46</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 buvo transplantuoti kaulų čiulpai, 73</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 buvo gavę kelių vaist</w:t>
      </w:r>
      <w:r w:rsidR="008E79D1">
        <w:rPr>
          <w:rFonts w:ascii="Times New Roman" w:eastAsia="Times New Roman" w:hAnsi="Times New Roman" w:cs="Times New Roman"/>
          <w:szCs w:val="24"/>
        </w:rPr>
        <w:t>inių preparat</w:t>
      </w:r>
      <w:r w:rsidRPr="007B75DC">
        <w:rPr>
          <w:rFonts w:ascii="Times New Roman" w:eastAsia="Times New Roman" w:hAnsi="Times New Roman" w:cs="Times New Roman"/>
          <w:szCs w:val="24"/>
        </w:rPr>
        <w:t>ų chemoterapiją. Pacientams buvo skirta imatinibo po 260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5), 340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9), 440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7), 570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(n</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5). Iš 9</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kuriems buvo lėtinė LML fazė ir prieinami citogenetiniai rodikliai, 4 (44</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ir 3 (33</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buvo gautas atitinkamai visiškas ir dalinis citogenetinis atsakas, MCyR dažnis 77</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w:t>
      </w:r>
    </w:p>
    <w:p w14:paraId="2C914AA3" w14:textId="77777777" w:rsidR="00DE2956" w:rsidRPr="007B75DC" w:rsidRDefault="00DE2956" w:rsidP="00DE2956">
      <w:pPr>
        <w:spacing w:after="0" w:line="240" w:lineRule="auto"/>
        <w:rPr>
          <w:rFonts w:ascii="Times New Roman" w:eastAsia="Times New Roman" w:hAnsi="Times New Roman" w:cs="Times New Roman"/>
          <w:szCs w:val="24"/>
        </w:rPr>
      </w:pPr>
    </w:p>
    <w:p w14:paraId="5CE908FC" w14:textId="4AE04BB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II</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fazės atvirame, daugiacentriame, vienos grupės tyrime dalyvavo 51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vaikas, sergantis naujai diagnozuota ir negydyta lėtinės fazės LML. Pacientai buvo gydomi imatinibo 340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doze be pertraukų, nes nebuvo dozės ribojančio nepageidaujamo poveikio. Gydymas imatinibu sukėlė greitą atsaką vaikų, sergančių naujai diagnozuota LML su 78</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VHA, tarpe po 8 gydymo savaičių. Aukštas VHA lygis yra susijęs su išsivysčiusiu 65</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visišku citogenetiniu atsaku (CCyR), kuris lygintinas su duomenimis suagusiųjų tarpe. Be to, buvo stebimas 16</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dalinis citogenetinis atsakas (PCyR), kai MCyR dažnis – 81</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Daugumai pacientų, pasiekusių CCyR, tarp 3 ir 10</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mėnesių išsivystė CCyR su atsako trukmės mediana, remiantis </w:t>
      </w:r>
      <w:r w:rsidRPr="007B75DC">
        <w:rPr>
          <w:rFonts w:ascii="Times New Roman" w:eastAsia="Times New Roman" w:hAnsi="Times New Roman" w:cs="Times New Roman"/>
          <w:i/>
          <w:szCs w:val="24"/>
        </w:rPr>
        <w:t>Kaplan-Meier</w:t>
      </w:r>
      <w:r w:rsidRPr="007B75DC">
        <w:rPr>
          <w:rFonts w:ascii="Times New Roman" w:eastAsia="Times New Roman" w:hAnsi="Times New Roman" w:cs="Times New Roman"/>
          <w:szCs w:val="24"/>
        </w:rPr>
        <w:t xml:space="preserve"> 5,6</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išgyvenamumo rodikliu.</w:t>
      </w:r>
    </w:p>
    <w:p w14:paraId="730A871B" w14:textId="77777777" w:rsidR="00DE2956" w:rsidRPr="007B75DC" w:rsidRDefault="00DE2956" w:rsidP="00DE2956">
      <w:pPr>
        <w:spacing w:after="0" w:line="240" w:lineRule="auto"/>
        <w:rPr>
          <w:rFonts w:ascii="Times New Roman" w:eastAsia="Times New Roman" w:hAnsi="Times New Roman" w:cs="Times New Roman"/>
          <w:szCs w:val="24"/>
        </w:rPr>
      </w:pPr>
    </w:p>
    <w:p w14:paraId="75EE15A9" w14:textId="19C57D3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Europos vaistų agentūra atleido nuo įsipareigojimo pateikti imatinib</w:t>
      </w:r>
      <w:r w:rsidR="00C04DC9">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tyrimų su visais vaikų populiacijos pogrupiais duomenis, sergantiesiems </w:t>
      </w:r>
      <w:r w:rsidRPr="007B75DC">
        <w:rPr>
          <w:rFonts w:ascii="Times New Roman" w:eastAsia="Times New Roman" w:hAnsi="Times New Roman" w:cs="Times New Roman"/>
          <w:i/>
          <w:szCs w:val="24"/>
        </w:rPr>
        <w:t>Philadelphia</w:t>
      </w:r>
      <w:r w:rsidRPr="007B75DC">
        <w:rPr>
          <w:rFonts w:ascii="Times New Roman" w:eastAsia="Times New Roman" w:hAnsi="Times New Roman" w:cs="Times New Roman"/>
          <w:szCs w:val="24"/>
        </w:rPr>
        <w:t xml:space="preserve"> chromosomai (bcr-abl translokacija) teigiama lėtine mieloleukemija (vartojimo vaikams informacija pateikiama 4.2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skyriuje).</w:t>
      </w:r>
    </w:p>
    <w:p w14:paraId="49C1E22A" w14:textId="77777777" w:rsidR="00DE2956" w:rsidRPr="007B75DC" w:rsidRDefault="00DE2956" w:rsidP="00DE2956">
      <w:pPr>
        <w:spacing w:after="0" w:line="240" w:lineRule="auto"/>
        <w:rPr>
          <w:rFonts w:ascii="Times New Roman" w:eastAsia="Times New Roman" w:hAnsi="Times New Roman" w:cs="Times New Roman"/>
          <w:b/>
          <w:szCs w:val="24"/>
        </w:rPr>
      </w:pPr>
    </w:p>
    <w:p w14:paraId="2E0E4325"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Klinikiniai Ph+ ŪLL tyrimai</w:t>
      </w:r>
    </w:p>
    <w:p w14:paraId="7432ACC4" w14:textId="77777777" w:rsidR="003D15E3" w:rsidRPr="007B75DC" w:rsidRDefault="003D15E3" w:rsidP="00DE2956">
      <w:pPr>
        <w:spacing w:after="0" w:line="240" w:lineRule="auto"/>
        <w:rPr>
          <w:rFonts w:ascii="Times New Roman" w:eastAsia="Times New Roman" w:hAnsi="Times New Roman" w:cs="Times New Roman"/>
          <w:szCs w:val="24"/>
        </w:rPr>
      </w:pPr>
    </w:p>
    <w:p w14:paraId="571AE299" w14:textId="77777777" w:rsidR="003D15E3"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Pirmą kartą diagnozuota Ph+ ŪLL</w:t>
      </w:r>
    </w:p>
    <w:p w14:paraId="3D73EA1D" w14:textId="4F5E2B0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Kontroliuojamo (ADE10) tyrimo metu, kuriame imatinibas buvo lygintas su pradine chemoterapija penkiasdešimt penkiems 55</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metų ir vyresniems pacientams, kuriems diagnozė nustatyta pirmą kartą, vartojant vieną imatinibą buvo gautas reikšmingai didesnis pilno hematologinio atsako dažnis lyginant su chemoterapiją gavusiaisias (96,3</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50</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0,0001). Kai pacientams, kuriems nebuvo gautas atsakas ar gautas silpnas atsakas, buvo paskirtas pagalbinis gydymas imatinibu, pilnas hematologinis atsakas buvo gautas 9</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pacientams (81,8</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iš 11. Šis klinikinis efektas buvo susijęs su didesniu bcr-abl transkriptų sumažėjimu po 2 gydymo savaičių imatinibą vartojusių pacientų grupėje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0,02) lyginant su chemoterapiją gavusiaisias. Po pradinio gydymo visi pacientai gavo imatinibą bei papildomą chemoterapiją (žr. 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lentelę), po 8</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0,01) ir laiko be ligos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0,02) rezultatai.</w:t>
      </w:r>
    </w:p>
    <w:p w14:paraId="22E92EE8" w14:textId="77777777" w:rsidR="00DE2956" w:rsidRPr="007B75DC" w:rsidRDefault="00DE2956" w:rsidP="00DE2956">
      <w:pPr>
        <w:spacing w:after="0" w:line="240" w:lineRule="auto"/>
        <w:rPr>
          <w:rFonts w:ascii="Times New Roman" w:eastAsia="Times New Roman" w:hAnsi="Times New Roman" w:cs="Times New Roman"/>
          <w:szCs w:val="24"/>
        </w:rPr>
      </w:pPr>
    </w:p>
    <w:p w14:paraId="66B941FC" w14:textId="2B8E164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Keturių nekontroliuojamų tyrimų (AAU02, ADE04, AJP01 ir AUS01), kuriuose dalyvavo 211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kuriems pirmą kartą diagnozuota Ph+ ŪLL, rezultatai atitinka aukščiau paminėto tyrimo rezultatus. Skiriant imatinibą kartu su pradine chemoterapija (žr. 4</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lentelę) pilno hematologinio atsako dažnis buvo 93</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(147 iš 158</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kuriuos buvo galima vertinti), o didžiojo citogenetinio atsako dažnis buvo 90</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(19 iš 21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paciento, kuriuos buvo galima įvertinti). Pilno molekulinio atsako dažnis buvo 48</w:t>
      </w:r>
      <w:r w:rsidR="00C04DC9">
        <w:rPr>
          <w:rFonts w:ascii="Times New Roman" w:eastAsia="Times New Roman" w:hAnsi="Times New Roman" w:cs="Times New Roman"/>
          <w:szCs w:val="24"/>
        </w:rPr>
        <w:t> </w:t>
      </w:r>
      <w:r w:rsidRPr="007B75DC">
        <w:rPr>
          <w:rFonts w:ascii="Times New Roman" w:eastAsia="Times New Roman" w:hAnsi="Times New Roman" w:cs="Times New Roman"/>
          <w:szCs w:val="24"/>
        </w:rPr>
        <w:t>% (49 iš 102</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kuriuos buvo galima vertinti). Laikas be ligos (DSF) ir gyvenimo trukmė (OS) pastoviai viršijo 1</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metus ir buvo aukštesni kaip anksčiau nustatyti (DFS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0,001; OS p</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&lt;</w:t>
      </w:r>
      <w:r w:rsidR="00B93B58">
        <w:rPr>
          <w:rFonts w:ascii="Times New Roman" w:eastAsia="Times New Roman" w:hAnsi="Times New Roman" w:cs="Times New Roman"/>
          <w:szCs w:val="24"/>
        </w:rPr>
        <w:t> </w:t>
      </w:r>
      <w:r w:rsidRPr="007B75DC">
        <w:rPr>
          <w:rFonts w:ascii="Times New Roman" w:eastAsia="Times New Roman" w:hAnsi="Times New Roman" w:cs="Times New Roman"/>
          <w:szCs w:val="24"/>
        </w:rPr>
        <w:t>0,0001) dvejuose tyrimuose (AJP01 ir AUS01).</w:t>
      </w:r>
    </w:p>
    <w:p w14:paraId="6C255A3A" w14:textId="77777777" w:rsidR="00DE2956" w:rsidRPr="007B75DC" w:rsidRDefault="00DE2956" w:rsidP="00DE2956">
      <w:pPr>
        <w:spacing w:after="0" w:line="240" w:lineRule="auto"/>
        <w:rPr>
          <w:rFonts w:ascii="Times New Roman" w:eastAsia="Times New Roman" w:hAnsi="Times New Roman" w:cs="Times New Roman"/>
          <w:b/>
          <w:szCs w:val="24"/>
        </w:rPr>
      </w:pPr>
    </w:p>
    <w:p w14:paraId="700362AC" w14:textId="04FA0248" w:rsidR="00DE2956" w:rsidRPr="007B75DC" w:rsidRDefault="00F72F9C"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4</w:t>
      </w:r>
      <w:r w:rsidR="00B93B58">
        <w:rPr>
          <w:rFonts w:ascii="Times New Roman" w:eastAsia="Times New Roman" w:hAnsi="Times New Roman" w:cs="Times New Roman"/>
          <w:b/>
          <w:szCs w:val="24"/>
        </w:rPr>
        <w:t> </w:t>
      </w:r>
      <w:r w:rsidR="00DE2956" w:rsidRPr="007B75DC">
        <w:rPr>
          <w:rFonts w:ascii="Times New Roman" w:eastAsia="Times New Roman" w:hAnsi="Times New Roman" w:cs="Times New Roman"/>
          <w:b/>
          <w:szCs w:val="24"/>
        </w:rPr>
        <w:t>lentelė</w:t>
      </w:r>
      <w:r w:rsidR="00C04DC9">
        <w:rPr>
          <w:rFonts w:ascii="Times New Roman" w:eastAsia="Times New Roman" w:hAnsi="Times New Roman" w:cs="Times New Roman"/>
          <w:b/>
          <w:szCs w:val="24"/>
        </w:rPr>
        <w:t>.</w:t>
      </w:r>
      <w:r w:rsidR="00DE2956" w:rsidRPr="007B75DC">
        <w:rPr>
          <w:rFonts w:ascii="Times New Roman" w:eastAsia="Times New Roman" w:hAnsi="Times New Roman" w:cs="Times New Roman"/>
          <w:b/>
          <w:szCs w:val="24"/>
        </w:rPr>
        <w:t xml:space="preserve"> Chemoterapijos gydymas, taikomas kartu su imatinibu</w:t>
      </w:r>
    </w:p>
    <w:p w14:paraId="4CED4736" w14:textId="77777777" w:rsidR="00DE2956" w:rsidRPr="007B75DC" w:rsidRDefault="00DE2956" w:rsidP="00DE2956">
      <w:pPr>
        <w:spacing w:after="0" w:line="240" w:lineRule="auto"/>
        <w:rPr>
          <w:rFonts w:ascii="Times New Roman" w:eastAsia="Times New Roman" w:hAnsi="Times New Roman" w:cs="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65"/>
      </w:tblGrid>
      <w:tr w:rsidR="00DE2956" w:rsidRPr="007B75DC" w14:paraId="1A65A41C" w14:textId="77777777" w:rsidTr="003F4907">
        <w:tc>
          <w:tcPr>
            <w:tcW w:w="5000" w:type="pct"/>
            <w:gridSpan w:val="2"/>
            <w:shd w:val="clear" w:color="auto" w:fill="auto"/>
          </w:tcPr>
          <w:p w14:paraId="45D1BDA8"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hAnsi="Times New Roman" w:cs="Times New Roman"/>
                <w:b/>
                <w:bCs/>
              </w:rPr>
              <w:t>ADE10 tyrimas</w:t>
            </w:r>
          </w:p>
        </w:tc>
      </w:tr>
      <w:tr w:rsidR="00DE2956" w:rsidRPr="007B75DC" w14:paraId="3C828225" w14:textId="77777777" w:rsidTr="003F4907">
        <w:tc>
          <w:tcPr>
            <w:tcW w:w="1432" w:type="pct"/>
            <w:shd w:val="clear" w:color="auto" w:fill="auto"/>
          </w:tcPr>
          <w:p w14:paraId="485583FD"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Prefazė</w:t>
            </w:r>
          </w:p>
        </w:tc>
        <w:tc>
          <w:tcPr>
            <w:tcW w:w="3568" w:type="pct"/>
            <w:shd w:val="clear" w:color="auto" w:fill="auto"/>
          </w:tcPr>
          <w:p w14:paraId="13B55522" w14:textId="6A208697"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Gerti DEX 10 mg/m</w:t>
            </w:r>
            <w:r w:rsidRPr="007B75DC">
              <w:rPr>
                <w:rFonts w:ascii="Times New Roman" w:hAnsi="Times New Roman" w:cs="Times New Roman"/>
                <w:vertAlign w:val="superscript"/>
              </w:rPr>
              <w:t>2</w:t>
            </w:r>
            <w:r w:rsidRPr="007B75DC">
              <w:rPr>
                <w:rFonts w:ascii="Times New Roman" w:hAnsi="Times New Roman" w:cs="Times New Roman"/>
              </w:rPr>
              <w:t>, 1</w:t>
            </w:r>
            <w:r w:rsidR="00B93B58">
              <w:rPr>
                <w:rFonts w:ascii="Times New Roman" w:hAnsi="Times New Roman" w:cs="Times New Roman"/>
              </w:rPr>
              <w:t>–</w:t>
            </w:r>
            <w:r w:rsidRPr="007B75DC">
              <w:rPr>
                <w:rFonts w:ascii="Times New Roman" w:hAnsi="Times New Roman" w:cs="Times New Roman"/>
              </w:rPr>
              <w:t>5</w:t>
            </w:r>
            <w:r w:rsidR="00B93B58">
              <w:rPr>
                <w:rFonts w:ascii="Times New Roman" w:hAnsi="Times New Roman" w:cs="Times New Roman"/>
              </w:rPr>
              <w:t> </w:t>
            </w:r>
            <w:r w:rsidRPr="007B75DC">
              <w:rPr>
                <w:rFonts w:ascii="Times New Roman" w:hAnsi="Times New Roman" w:cs="Times New Roman"/>
              </w:rPr>
              <w:t xml:space="preserve">dienas; </w:t>
            </w:r>
          </w:p>
          <w:p w14:paraId="2E8FB31F" w14:textId="7CD83222"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CP 200 mg/m</w:t>
            </w:r>
            <w:r w:rsidRPr="007B75DC">
              <w:rPr>
                <w:rFonts w:ascii="Times New Roman" w:hAnsi="Times New Roman" w:cs="Times New Roman"/>
                <w:vertAlign w:val="superscript"/>
              </w:rPr>
              <w:t>2</w:t>
            </w:r>
            <w:r w:rsidRPr="007B75DC">
              <w:rPr>
                <w:rFonts w:ascii="Times New Roman" w:hAnsi="Times New Roman" w:cs="Times New Roman"/>
              </w:rPr>
              <w:t xml:space="preserve"> i.v., 3, 4, 5</w:t>
            </w:r>
            <w:r w:rsidR="00B93B58">
              <w:rPr>
                <w:rFonts w:ascii="Times New Roman" w:hAnsi="Times New Roman" w:cs="Times New Roman"/>
              </w:rPr>
              <w:t> </w:t>
            </w:r>
            <w:r w:rsidRPr="007B75DC">
              <w:rPr>
                <w:rFonts w:ascii="Times New Roman" w:hAnsi="Times New Roman" w:cs="Times New Roman"/>
              </w:rPr>
              <w:t xml:space="preserve">dieną; </w:t>
            </w:r>
          </w:p>
          <w:p w14:paraId="59D787D3" w14:textId="0D08360B"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MTX 12 mg intratekaliai, 1</w:t>
            </w:r>
            <w:r w:rsidR="00B93B58">
              <w:rPr>
                <w:rFonts w:ascii="Times New Roman" w:hAnsi="Times New Roman" w:cs="Times New Roman"/>
              </w:rPr>
              <w:t> </w:t>
            </w:r>
            <w:r w:rsidRPr="007B75DC">
              <w:rPr>
                <w:rFonts w:ascii="Times New Roman" w:hAnsi="Times New Roman" w:cs="Times New Roman"/>
              </w:rPr>
              <w:t>dieną.</w:t>
            </w:r>
          </w:p>
        </w:tc>
      </w:tr>
      <w:tr w:rsidR="00DE2956" w:rsidRPr="007B75DC" w14:paraId="43BF877F" w14:textId="77777777" w:rsidTr="003F4907">
        <w:tc>
          <w:tcPr>
            <w:tcW w:w="1432" w:type="pct"/>
            <w:shd w:val="clear" w:color="auto" w:fill="auto"/>
          </w:tcPr>
          <w:p w14:paraId="75C78CC5"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Remisijos sukėlimas</w:t>
            </w:r>
          </w:p>
        </w:tc>
        <w:tc>
          <w:tcPr>
            <w:tcW w:w="3568" w:type="pct"/>
            <w:shd w:val="clear" w:color="auto" w:fill="auto"/>
          </w:tcPr>
          <w:p w14:paraId="03705EC7" w14:textId="2CAD4802"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Gerti DEX 10 mg/m</w:t>
            </w:r>
            <w:r w:rsidRPr="007B75DC">
              <w:rPr>
                <w:rFonts w:ascii="Times New Roman" w:hAnsi="Times New Roman" w:cs="Times New Roman"/>
                <w:vertAlign w:val="superscript"/>
              </w:rPr>
              <w:t>2</w:t>
            </w:r>
            <w:r w:rsidRPr="007B75DC">
              <w:rPr>
                <w:rFonts w:ascii="Times New Roman" w:hAnsi="Times New Roman" w:cs="Times New Roman"/>
              </w:rPr>
              <w:t>, 6</w:t>
            </w:r>
            <w:r w:rsidR="00B93B58">
              <w:rPr>
                <w:rFonts w:ascii="Times New Roman" w:hAnsi="Times New Roman" w:cs="Times New Roman"/>
              </w:rPr>
              <w:t>–</w:t>
            </w:r>
            <w:r w:rsidRPr="007B75DC">
              <w:rPr>
                <w:rFonts w:ascii="Times New Roman" w:hAnsi="Times New Roman" w:cs="Times New Roman"/>
              </w:rPr>
              <w:t>7</w:t>
            </w:r>
            <w:r w:rsidR="00B93B58">
              <w:rPr>
                <w:rFonts w:ascii="Times New Roman" w:hAnsi="Times New Roman" w:cs="Times New Roman"/>
              </w:rPr>
              <w:t> </w:t>
            </w:r>
            <w:r w:rsidRPr="007B75DC">
              <w:rPr>
                <w:rFonts w:ascii="Times New Roman" w:hAnsi="Times New Roman" w:cs="Times New Roman"/>
              </w:rPr>
              <w:t>dieną, 13</w:t>
            </w:r>
            <w:r w:rsidR="00B93B58">
              <w:rPr>
                <w:rFonts w:ascii="Times New Roman" w:hAnsi="Times New Roman" w:cs="Times New Roman"/>
              </w:rPr>
              <w:t>–</w:t>
            </w:r>
            <w:r w:rsidRPr="007B75DC">
              <w:rPr>
                <w:rFonts w:ascii="Times New Roman" w:hAnsi="Times New Roman" w:cs="Times New Roman"/>
              </w:rPr>
              <w:t>16</w:t>
            </w:r>
            <w:r w:rsidR="00B93B58">
              <w:rPr>
                <w:rFonts w:ascii="Times New Roman" w:hAnsi="Times New Roman" w:cs="Times New Roman"/>
              </w:rPr>
              <w:t> </w:t>
            </w:r>
            <w:r w:rsidRPr="007B75DC">
              <w:rPr>
                <w:rFonts w:ascii="Times New Roman" w:hAnsi="Times New Roman" w:cs="Times New Roman"/>
              </w:rPr>
              <w:t xml:space="preserve">dieną; </w:t>
            </w:r>
          </w:p>
          <w:p w14:paraId="08F0997D" w14:textId="0EB03518"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VCR 1 mg i.v., 7, 14</w:t>
            </w:r>
            <w:r w:rsidR="00B93B58">
              <w:rPr>
                <w:rFonts w:ascii="Times New Roman" w:hAnsi="Times New Roman" w:cs="Times New Roman"/>
              </w:rPr>
              <w:t> </w:t>
            </w:r>
            <w:r w:rsidRPr="007B75DC">
              <w:rPr>
                <w:rFonts w:ascii="Times New Roman" w:hAnsi="Times New Roman" w:cs="Times New Roman"/>
              </w:rPr>
              <w:t xml:space="preserve">dieną; </w:t>
            </w:r>
          </w:p>
          <w:p w14:paraId="113D15CC" w14:textId="05EDA6E6"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IDA 8 mg/m</w:t>
            </w:r>
            <w:r w:rsidRPr="007B75DC">
              <w:rPr>
                <w:rFonts w:ascii="Times New Roman" w:hAnsi="Times New Roman" w:cs="Times New Roman"/>
                <w:vertAlign w:val="superscript"/>
              </w:rPr>
              <w:t>2</w:t>
            </w:r>
            <w:r w:rsidRPr="007B75DC">
              <w:rPr>
                <w:rFonts w:ascii="Times New Roman" w:hAnsi="Times New Roman" w:cs="Times New Roman"/>
              </w:rPr>
              <w:t xml:space="preserve"> i.v. (0,5</w:t>
            </w:r>
            <w:r w:rsidR="00B93B58">
              <w:rPr>
                <w:rFonts w:ascii="Times New Roman" w:hAnsi="Times New Roman" w:cs="Times New Roman"/>
              </w:rPr>
              <w:t> </w:t>
            </w:r>
            <w:r w:rsidRPr="007B75DC">
              <w:rPr>
                <w:rFonts w:ascii="Times New Roman" w:hAnsi="Times New Roman" w:cs="Times New Roman"/>
              </w:rPr>
              <w:t>valandos), 7, 8, 14, 15</w:t>
            </w:r>
            <w:r w:rsidR="00B93B58">
              <w:rPr>
                <w:rFonts w:ascii="Times New Roman" w:hAnsi="Times New Roman" w:cs="Times New Roman"/>
              </w:rPr>
              <w:t> </w:t>
            </w:r>
            <w:r w:rsidRPr="007B75DC">
              <w:rPr>
                <w:rFonts w:ascii="Times New Roman" w:hAnsi="Times New Roman" w:cs="Times New Roman"/>
              </w:rPr>
              <w:t xml:space="preserve">dieną; </w:t>
            </w:r>
          </w:p>
          <w:p w14:paraId="6F79EE3A" w14:textId="72E2C09E"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CP 500 mg/m</w:t>
            </w:r>
            <w:r w:rsidRPr="007B75DC">
              <w:rPr>
                <w:rFonts w:ascii="Times New Roman" w:hAnsi="Times New Roman" w:cs="Times New Roman"/>
                <w:vertAlign w:val="superscript"/>
              </w:rPr>
              <w:t>2</w:t>
            </w:r>
            <w:r w:rsidRPr="007B75DC">
              <w:rPr>
                <w:rFonts w:ascii="Times New Roman" w:hAnsi="Times New Roman" w:cs="Times New Roman"/>
              </w:rPr>
              <w:t xml:space="preserve"> i.v.(1</w:t>
            </w:r>
            <w:r w:rsidR="00B93B58">
              <w:rPr>
                <w:rFonts w:ascii="Times New Roman" w:hAnsi="Times New Roman" w:cs="Times New Roman"/>
              </w:rPr>
              <w:t> </w:t>
            </w:r>
            <w:r w:rsidRPr="007B75DC">
              <w:rPr>
                <w:rFonts w:ascii="Times New Roman" w:hAnsi="Times New Roman" w:cs="Times New Roman"/>
              </w:rPr>
              <w:t>valanda) 1</w:t>
            </w:r>
            <w:r w:rsidR="00B93B58">
              <w:rPr>
                <w:rFonts w:ascii="Times New Roman" w:hAnsi="Times New Roman" w:cs="Times New Roman"/>
              </w:rPr>
              <w:t> </w:t>
            </w:r>
            <w:r w:rsidRPr="007B75DC">
              <w:rPr>
                <w:rFonts w:ascii="Times New Roman" w:hAnsi="Times New Roman" w:cs="Times New Roman"/>
              </w:rPr>
              <w:t xml:space="preserve">dieną; </w:t>
            </w:r>
          </w:p>
          <w:p w14:paraId="33B50CF9" w14:textId="47597430"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Ara-C 60 mg/m</w:t>
            </w:r>
            <w:r w:rsidRPr="007B75DC">
              <w:rPr>
                <w:rFonts w:ascii="Times New Roman" w:hAnsi="Times New Roman" w:cs="Times New Roman"/>
                <w:vertAlign w:val="superscript"/>
              </w:rPr>
              <w:t>2</w:t>
            </w:r>
            <w:r w:rsidRPr="007B75DC">
              <w:rPr>
                <w:rFonts w:ascii="Times New Roman" w:hAnsi="Times New Roman" w:cs="Times New Roman"/>
              </w:rPr>
              <w:t xml:space="preserve"> i.v., 22</w:t>
            </w:r>
            <w:r w:rsidR="00B93B58">
              <w:rPr>
                <w:rFonts w:ascii="Times New Roman" w:hAnsi="Times New Roman" w:cs="Times New Roman"/>
              </w:rPr>
              <w:t>–</w:t>
            </w:r>
            <w:r w:rsidRPr="007B75DC">
              <w:rPr>
                <w:rFonts w:ascii="Times New Roman" w:hAnsi="Times New Roman" w:cs="Times New Roman"/>
              </w:rPr>
              <w:t>25, 29</w:t>
            </w:r>
            <w:r w:rsidR="00B93B58">
              <w:rPr>
                <w:rFonts w:ascii="Times New Roman" w:hAnsi="Times New Roman" w:cs="Times New Roman"/>
              </w:rPr>
              <w:t>–</w:t>
            </w:r>
            <w:r w:rsidRPr="007B75DC">
              <w:rPr>
                <w:rFonts w:ascii="Times New Roman" w:hAnsi="Times New Roman" w:cs="Times New Roman"/>
              </w:rPr>
              <w:t>32</w:t>
            </w:r>
            <w:r w:rsidR="00B93B58">
              <w:rPr>
                <w:rFonts w:ascii="Times New Roman" w:hAnsi="Times New Roman" w:cs="Times New Roman"/>
              </w:rPr>
              <w:t> </w:t>
            </w:r>
            <w:r w:rsidRPr="007B75DC">
              <w:rPr>
                <w:rFonts w:ascii="Times New Roman" w:hAnsi="Times New Roman" w:cs="Times New Roman"/>
              </w:rPr>
              <w:t>dienas.</w:t>
            </w:r>
          </w:p>
        </w:tc>
      </w:tr>
      <w:tr w:rsidR="00DE2956" w:rsidRPr="007B75DC" w14:paraId="7846FCA6" w14:textId="77777777" w:rsidTr="003F4907">
        <w:tc>
          <w:tcPr>
            <w:tcW w:w="1432" w:type="pct"/>
            <w:shd w:val="clear" w:color="auto" w:fill="auto"/>
          </w:tcPr>
          <w:p w14:paraId="25BDE137"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Konsoliduojantis gydymas I, III, V</w:t>
            </w:r>
          </w:p>
        </w:tc>
        <w:tc>
          <w:tcPr>
            <w:tcW w:w="3568" w:type="pct"/>
            <w:shd w:val="clear" w:color="auto" w:fill="auto"/>
          </w:tcPr>
          <w:p w14:paraId="0075B8CD" w14:textId="0796A052"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MTX 500 mg/m</w:t>
            </w:r>
            <w:r w:rsidRPr="007B75DC">
              <w:rPr>
                <w:rFonts w:ascii="Times New Roman" w:hAnsi="Times New Roman" w:cs="Times New Roman"/>
                <w:vertAlign w:val="superscript"/>
              </w:rPr>
              <w:t>2</w:t>
            </w:r>
            <w:r w:rsidRPr="007B75DC">
              <w:rPr>
                <w:rFonts w:ascii="Times New Roman" w:hAnsi="Times New Roman" w:cs="Times New Roman"/>
              </w:rPr>
              <w:t xml:space="preserve"> i.v. (24</w:t>
            </w:r>
            <w:r w:rsidR="00B93B58">
              <w:rPr>
                <w:rFonts w:ascii="Times New Roman" w:hAnsi="Times New Roman" w:cs="Times New Roman"/>
              </w:rPr>
              <w:t> </w:t>
            </w:r>
            <w:r w:rsidRPr="007B75DC">
              <w:rPr>
                <w:rFonts w:ascii="Times New Roman" w:hAnsi="Times New Roman" w:cs="Times New Roman"/>
              </w:rPr>
              <w:t>valandos), 1, 15</w:t>
            </w:r>
            <w:r w:rsidR="00B93B58">
              <w:rPr>
                <w:rFonts w:ascii="Times New Roman" w:hAnsi="Times New Roman" w:cs="Times New Roman"/>
              </w:rPr>
              <w:t> </w:t>
            </w:r>
            <w:r w:rsidRPr="007B75DC">
              <w:rPr>
                <w:rFonts w:ascii="Times New Roman" w:hAnsi="Times New Roman" w:cs="Times New Roman"/>
              </w:rPr>
              <w:t xml:space="preserve">dieną; </w:t>
            </w:r>
          </w:p>
          <w:p w14:paraId="3F3F3E54" w14:textId="33615CC3"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gerti 6-MP 25 mg/m</w:t>
            </w:r>
            <w:r w:rsidRPr="007B75DC">
              <w:rPr>
                <w:rFonts w:ascii="Times New Roman" w:hAnsi="Times New Roman" w:cs="Times New Roman"/>
                <w:vertAlign w:val="superscript"/>
              </w:rPr>
              <w:t>2</w:t>
            </w:r>
            <w:r w:rsidRPr="007B75DC">
              <w:rPr>
                <w:rFonts w:ascii="Times New Roman" w:hAnsi="Times New Roman" w:cs="Times New Roman"/>
              </w:rPr>
              <w:t>, 1</w:t>
            </w:r>
            <w:r w:rsidR="00B93B58">
              <w:rPr>
                <w:rFonts w:ascii="Times New Roman" w:hAnsi="Times New Roman" w:cs="Times New Roman"/>
              </w:rPr>
              <w:t>–</w:t>
            </w:r>
            <w:r w:rsidRPr="007B75DC">
              <w:rPr>
                <w:rFonts w:ascii="Times New Roman" w:hAnsi="Times New Roman" w:cs="Times New Roman"/>
              </w:rPr>
              <w:t>20</w:t>
            </w:r>
            <w:r w:rsidR="00B93B58">
              <w:rPr>
                <w:rFonts w:ascii="Times New Roman" w:hAnsi="Times New Roman" w:cs="Times New Roman"/>
              </w:rPr>
              <w:t> </w:t>
            </w:r>
            <w:r w:rsidRPr="007B75DC">
              <w:rPr>
                <w:rFonts w:ascii="Times New Roman" w:hAnsi="Times New Roman" w:cs="Times New Roman"/>
              </w:rPr>
              <w:t>dieną.</w:t>
            </w:r>
          </w:p>
        </w:tc>
      </w:tr>
      <w:tr w:rsidR="00DE2956" w:rsidRPr="007B75DC" w14:paraId="73EB100C" w14:textId="77777777" w:rsidTr="003F4907">
        <w:tc>
          <w:tcPr>
            <w:tcW w:w="1432" w:type="pct"/>
            <w:shd w:val="clear" w:color="auto" w:fill="auto"/>
          </w:tcPr>
          <w:p w14:paraId="56575354"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Konsoliduojantis gydymas II, IV</w:t>
            </w:r>
          </w:p>
        </w:tc>
        <w:tc>
          <w:tcPr>
            <w:tcW w:w="3568" w:type="pct"/>
            <w:shd w:val="clear" w:color="auto" w:fill="auto"/>
          </w:tcPr>
          <w:p w14:paraId="6F24B46D" w14:textId="49129FE9"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Ara-C 75 mg/m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B93B58">
              <w:rPr>
                <w:rFonts w:ascii="Times New Roman" w:hAnsi="Times New Roman" w:cs="Times New Roman"/>
              </w:rPr>
              <w:t> </w:t>
            </w:r>
            <w:r w:rsidRPr="007B75DC">
              <w:rPr>
                <w:rFonts w:ascii="Times New Roman" w:hAnsi="Times New Roman" w:cs="Times New Roman"/>
              </w:rPr>
              <w:t>valanda), 1</w:t>
            </w:r>
            <w:r w:rsidR="00B93B58">
              <w:rPr>
                <w:rFonts w:ascii="Times New Roman" w:hAnsi="Times New Roman" w:cs="Times New Roman"/>
              </w:rPr>
              <w:t>–</w:t>
            </w:r>
            <w:r w:rsidRPr="007B75DC">
              <w:rPr>
                <w:rFonts w:ascii="Times New Roman" w:hAnsi="Times New Roman" w:cs="Times New Roman"/>
              </w:rPr>
              <w:t>5</w:t>
            </w:r>
            <w:r w:rsidR="00B93B58">
              <w:rPr>
                <w:rFonts w:ascii="Times New Roman" w:hAnsi="Times New Roman" w:cs="Times New Roman"/>
              </w:rPr>
              <w:t> </w:t>
            </w:r>
            <w:r w:rsidRPr="007B75DC">
              <w:rPr>
                <w:rFonts w:ascii="Times New Roman" w:hAnsi="Times New Roman" w:cs="Times New Roman"/>
              </w:rPr>
              <w:t xml:space="preserve">dienas; </w:t>
            </w:r>
          </w:p>
          <w:p w14:paraId="6E2A9D8D" w14:textId="6DCAE44B"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VM26 60 mg/m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B93B58">
              <w:rPr>
                <w:rFonts w:ascii="Times New Roman" w:hAnsi="Times New Roman" w:cs="Times New Roman"/>
              </w:rPr>
              <w:t> </w:t>
            </w:r>
            <w:r w:rsidRPr="007B75DC">
              <w:rPr>
                <w:rFonts w:ascii="Times New Roman" w:hAnsi="Times New Roman" w:cs="Times New Roman"/>
              </w:rPr>
              <w:t>valanda), 1</w:t>
            </w:r>
            <w:r w:rsidR="00B93B58">
              <w:rPr>
                <w:rFonts w:ascii="Times New Roman" w:hAnsi="Times New Roman" w:cs="Times New Roman"/>
              </w:rPr>
              <w:t>–</w:t>
            </w:r>
            <w:r w:rsidRPr="007B75DC">
              <w:rPr>
                <w:rFonts w:ascii="Times New Roman" w:hAnsi="Times New Roman" w:cs="Times New Roman"/>
              </w:rPr>
              <w:t>5</w:t>
            </w:r>
            <w:r w:rsidR="00B93B58">
              <w:rPr>
                <w:rFonts w:ascii="Times New Roman" w:hAnsi="Times New Roman" w:cs="Times New Roman"/>
              </w:rPr>
              <w:t> </w:t>
            </w:r>
            <w:r w:rsidRPr="007B75DC">
              <w:rPr>
                <w:rFonts w:ascii="Times New Roman" w:hAnsi="Times New Roman" w:cs="Times New Roman"/>
              </w:rPr>
              <w:t>dienas.</w:t>
            </w:r>
          </w:p>
        </w:tc>
      </w:tr>
      <w:tr w:rsidR="00DE2956" w:rsidRPr="007B75DC" w14:paraId="1F4F9BE4" w14:textId="77777777" w:rsidTr="003F4907">
        <w:tc>
          <w:tcPr>
            <w:tcW w:w="5000" w:type="pct"/>
            <w:gridSpan w:val="2"/>
            <w:shd w:val="clear" w:color="auto" w:fill="auto"/>
          </w:tcPr>
          <w:p w14:paraId="1BD396DF"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AAU02 tyrimas</w:t>
            </w:r>
          </w:p>
        </w:tc>
      </w:tr>
      <w:tr w:rsidR="00DE2956" w:rsidRPr="007B75DC" w14:paraId="5172590E" w14:textId="77777777" w:rsidTr="003F4907">
        <w:tc>
          <w:tcPr>
            <w:tcW w:w="1432" w:type="pct"/>
            <w:shd w:val="clear" w:color="auto" w:fill="auto"/>
          </w:tcPr>
          <w:p w14:paraId="4C1C3A1E"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Pradinis gydymas (</w:t>
            </w:r>
            <w:r w:rsidRPr="007B75DC">
              <w:rPr>
                <w:rFonts w:ascii="Times New Roman" w:hAnsi="Times New Roman" w:cs="Times New Roman"/>
                <w:i/>
              </w:rPr>
              <w:t>de novo</w:t>
            </w:r>
            <w:r w:rsidRPr="007B75DC">
              <w:rPr>
                <w:rFonts w:ascii="Times New Roman" w:hAnsi="Times New Roman" w:cs="Times New Roman"/>
              </w:rPr>
              <w:t xml:space="preserve"> Ph+ ŪLL)</w:t>
            </w:r>
          </w:p>
        </w:tc>
        <w:tc>
          <w:tcPr>
            <w:tcW w:w="3568" w:type="pct"/>
            <w:shd w:val="clear" w:color="auto" w:fill="auto"/>
          </w:tcPr>
          <w:p w14:paraId="71EE64E4" w14:textId="4EE0FF08"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Daunorubicinas 30 mg/m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AF7515">
              <w:rPr>
                <w:rFonts w:ascii="Times New Roman" w:hAnsi="Times New Roman" w:cs="Times New Roman"/>
              </w:rPr>
              <w:t>–</w:t>
            </w: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dienas, 15</w:t>
            </w:r>
            <w:r w:rsidR="00AF7515">
              <w:rPr>
                <w:rFonts w:ascii="Times New Roman" w:hAnsi="Times New Roman" w:cs="Times New Roman"/>
              </w:rPr>
              <w:t>–</w:t>
            </w:r>
            <w:r w:rsidRPr="007B75DC">
              <w:rPr>
                <w:rFonts w:ascii="Times New Roman" w:hAnsi="Times New Roman" w:cs="Times New Roman"/>
              </w:rPr>
              <w:t>16</w:t>
            </w:r>
            <w:r w:rsidR="00AF7515">
              <w:rPr>
                <w:rFonts w:ascii="Times New Roman" w:hAnsi="Times New Roman" w:cs="Times New Roman"/>
              </w:rPr>
              <w:t> </w:t>
            </w:r>
            <w:r w:rsidRPr="007B75DC">
              <w:rPr>
                <w:rFonts w:ascii="Times New Roman" w:hAnsi="Times New Roman" w:cs="Times New Roman"/>
              </w:rPr>
              <w:t xml:space="preserve">dienas; </w:t>
            </w:r>
          </w:p>
          <w:p w14:paraId="61A1706B" w14:textId="28A4A4BC"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VCR bendra dozė 2 mg i.v., 1, 8, 15, 22</w:t>
            </w:r>
            <w:r w:rsidR="00AF7515">
              <w:rPr>
                <w:rFonts w:ascii="Times New Roman" w:hAnsi="Times New Roman" w:cs="Times New Roman"/>
              </w:rPr>
              <w:t> </w:t>
            </w:r>
            <w:r w:rsidRPr="007B75DC">
              <w:rPr>
                <w:rFonts w:ascii="Times New Roman" w:hAnsi="Times New Roman" w:cs="Times New Roman"/>
              </w:rPr>
              <w:t xml:space="preserve">dieną; </w:t>
            </w:r>
          </w:p>
          <w:p w14:paraId="0962A0CD" w14:textId="4F507712"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lastRenderedPageBreak/>
              <w:t>CP 750 mg/m</w:t>
            </w:r>
            <w:r w:rsidRPr="007B75DC">
              <w:rPr>
                <w:rFonts w:ascii="Times New Roman" w:hAnsi="Times New Roman" w:cs="Times New Roman"/>
                <w:vertAlign w:val="superscript"/>
              </w:rPr>
              <w:t>2</w:t>
            </w:r>
            <w:r w:rsidRPr="007B75DC">
              <w:rPr>
                <w:rFonts w:ascii="Times New Roman" w:hAnsi="Times New Roman" w:cs="Times New Roman"/>
              </w:rPr>
              <w:t xml:space="preserve"> i.v., 1, 8</w:t>
            </w:r>
            <w:r w:rsidR="00AF7515">
              <w:rPr>
                <w:rFonts w:ascii="Times New Roman" w:hAnsi="Times New Roman" w:cs="Times New Roman"/>
              </w:rPr>
              <w:t> </w:t>
            </w:r>
            <w:r w:rsidRPr="007B75DC">
              <w:rPr>
                <w:rFonts w:ascii="Times New Roman" w:hAnsi="Times New Roman" w:cs="Times New Roman"/>
              </w:rPr>
              <w:t xml:space="preserve">dieną; </w:t>
            </w:r>
          </w:p>
          <w:p w14:paraId="27BF897A" w14:textId="0281F765"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Gerti prednizoloną 60 mg/m</w:t>
            </w:r>
            <w:r w:rsidRPr="007B75DC">
              <w:rPr>
                <w:rFonts w:ascii="Times New Roman" w:hAnsi="Times New Roman" w:cs="Times New Roman"/>
                <w:vertAlign w:val="superscript"/>
              </w:rPr>
              <w:t>2</w:t>
            </w:r>
            <w:r w:rsidRPr="007B75DC">
              <w:rPr>
                <w:rFonts w:ascii="Times New Roman" w:hAnsi="Times New Roman" w:cs="Times New Roman"/>
              </w:rPr>
              <w:t>, 1</w:t>
            </w:r>
            <w:r w:rsidR="00AF7515">
              <w:rPr>
                <w:rFonts w:ascii="Times New Roman" w:hAnsi="Times New Roman" w:cs="Times New Roman"/>
              </w:rPr>
              <w:t>–</w:t>
            </w:r>
            <w:r w:rsidRPr="007B75DC">
              <w:rPr>
                <w:rFonts w:ascii="Times New Roman" w:hAnsi="Times New Roman" w:cs="Times New Roman"/>
              </w:rPr>
              <w:t>7, 15</w:t>
            </w:r>
            <w:r w:rsidR="00AF7515">
              <w:rPr>
                <w:rFonts w:ascii="Times New Roman" w:hAnsi="Times New Roman" w:cs="Times New Roman"/>
              </w:rPr>
              <w:t>–</w:t>
            </w:r>
            <w:r w:rsidRPr="007B75DC">
              <w:rPr>
                <w:rFonts w:ascii="Times New Roman" w:hAnsi="Times New Roman" w:cs="Times New Roman"/>
              </w:rPr>
              <w:t>21</w:t>
            </w:r>
            <w:r w:rsidR="00AF7515">
              <w:rPr>
                <w:rFonts w:ascii="Times New Roman" w:hAnsi="Times New Roman" w:cs="Times New Roman"/>
              </w:rPr>
              <w:t> </w:t>
            </w:r>
            <w:r w:rsidRPr="007B75DC">
              <w:rPr>
                <w:rFonts w:ascii="Times New Roman" w:hAnsi="Times New Roman" w:cs="Times New Roman"/>
              </w:rPr>
              <w:t xml:space="preserve">dienas; </w:t>
            </w:r>
          </w:p>
          <w:p w14:paraId="7A09DF37" w14:textId="48040B32"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Gerti IDA 9 mg/m</w:t>
            </w:r>
            <w:r w:rsidRPr="007B75DC">
              <w:rPr>
                <w:rFonts w:ascii="Times New Roman" w:hAnsi="Times New Roman" w:cs="Times New Roman"/>
                <w:vertAlign w:val="superscript"/>
              </w:rPr>
              <w:t>2</w:t>
            </w:r>
            <w:r w:rsidRPr="007B75DC">
              <w:rPr>
                <w:rFonts w:ascii="Times New Roman" w:hAnsi="Times New Roman" w:cs="Times New Roman"/>
              </w:rPr>
              <w:t>, 1</w:t>
            </w:r>
            <w:r w:rsidR="00AF7515">
              <w:rPr>
                <w:rFonts w:ascii="Times New Roman" w:hAnsi="Times New Roman" w:cs="Times New Roman"/>
              </w:rPr>
              <w:t>–</w:t>
            </w:r>
            <w:r w:rsidRPr="007B75DC">
              <w:rPr>
                <w:rFonts w:ascii="Times New Roman" w:hAnsi="Times New Roman" w:cs="Times New Roman"/>
              </w:rPr>
              <w:t>28</w:t>
            </w:r>
            <w:r w:rsidR="00AF7515">
              <w:rPr>
                <w:rFonts w:ascii="Times New Roman" w:hAnsi="Times New Roman" w:cs="Times New Roman"/>
              </w:rPr>
              <w:t> </w:t>
            </w:r>
            <w:r w:rsidRPr="007B75DC">
              <w:rPr>
                <w:rFonts w:ascii="Times New Roman" w:hAnsi="Times New Roman" w:cs="Times New Roman"/>
              </w:rPr>
              <w:t xml:space="preserve">dienas; </w:t>
            </w:r>
          </w:p>
          <w:p w14:paraId="67C52F46" w14:textId="5E2E5461"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MTX 15 mg intratekaliai, 1, 8, 15, 22</w:t>
            </w:r>
            <w:r w:rsidR="00AF7515">
              <w:rPr>
                <w:rFonts w:ascii="Times New Roman" w:hAnsi="Times New Roman" w:cs="Times New Roman"/>
              </w:rPr>
              <w:t> </w:t>
            </w:r>
            <w:r w:rsidRPr="007B75DC">
              <w:rPr>
                <w:rFonts w:ascii="Times New Roman" w:hAnsi="Times New Roman" w:cs="Times New Roman"/>
              </w:rPr>
              <w:t xml:space="preserve">dieną; </w:t>
            </w:r>
          </w:p>
          <w:p w14:paraId="12B378A8" w14:textId="3267F790"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Ara-C 40 mg intratekaliai, 1, 8, 15, 22</w:t>
            </w:r>
            <w:r w:rsidR="00AF7515">
              <w:rPr>
                <w:rFonts w:ascii="Times New Roman" w:hAnsi="Times New Roman" w:cs="Times New Roman"/>
              </w:rPr>
              <w:t> </w:t>
            </w:r>
            <w:r w:rsidRPr="007B75DC">
              <w:rPr>
                <w:rFonts w:ascii="Times New Roman" w:hAnsi="Times New Roman" w:cs="Times New Roman"/>
              </w:rPr>
              <w:t xml:space="preserve">dieną; </w:t>
            </w:r>
          </w:p>
          <w:p w14:paraId="0A2891E9" w14:textId="59911F7C"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Metilprednizolonas 40 mg intratekaliai, 1, 8, 15, 22</w:t>
            </w:r>
            <w:r w:rsidR="00AF7515">
              <w:rPr>
                <w:rFonts w:ascii="Times New Roman" w:hAnsi="Times New Roman" w:cs="Times New Roman"/>
              </w:rPr>
              <w:t> </w:t>
            </w:r>
            <w:r w:rsidRPr="007B75DC">
              <w:rPr>
                <w:rFonts w:ascii="Times New Roman" w:hAnsi="Times New Roman" w:cs="Times New Roman"/>
              </w:rPr>
              <w:t>dieną.</w:t>
            </w:r>
          </w:p>
        </w:tc>
      </w:tr>
      <w:tr w:rsidR="00DE2956" w:rsidRPr="007B75DC" w14:paraId="01C3DEA8" w14:textId="77777777" w:rsidTr="003F4907">
        <w:tc>
          <w:tcPr>
            <w:tcW w:w="1432" w:type="pct"/>
            <w:shd w:val="clear" w:color="auto" w:fill="auto"/>
          </w:tcPr>
          <w:p w14:paraId="2ACF5DE1"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lastRenderedPageBreak/>
              <w:t>Konsoliduojantis gydymas (</w:t>
            </w:r>
            <w:r w:rsidRPr="00534F79">
              <w:rPr>
                <w:rFonts w:ascii="Times New Roman" w:hAnsi="Times New Roman" w:cs="Times New Roman"/>
                <w:i/>
                <w:iCs/>
              </w:rPr>
              <w:t>de novo</w:t>
            </w:r>
            <w:r w:rsidRPr="007B75DC">
              <w:rPr>
                <w:rFonts w:ascii="Times New Roman" w:hAnsi="Times New Roman" w:cs="Times New Roman"/>
              </w:rPr>
              <w:t xml:space="preserve"> Ph+ ŪLL)</w:t>
            </w:r>
          </w:p>
        </w:tc>
        <w:tc>
          <w:tcPr>
            <w:tcW w:w="3568" w:type="pct"/>
            <w:shd w:val="clear" w:color="auto" w:fill="auto"/>
          </w:tcPr>
          <w:p w14:paraId="70515AE0" w14:textId="13DA1735"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Ara-C 1</w:t>
            </w:r>
            <w:r w:rsidR="00015A30">
              <w:rPr>
                <w:rFonts w:ascii="Times New Roman" w:hAnsi="Times New Roman" w:cs="Times New Roman"/>
              </w:rPr>
              <w:t> </w:t>
            </w:r>
            <w:r w:rsidRPr="007B75DC">
              <w:rPr>
                <w:rFonts w:ascii="Times New Roman" w:hAnsi="Times New Roman" w:cs="Times New Roman"/>
              </w:rPr>
              <w:t>000 mg/m</w:t>
            </w:r>
            <w:r w:rsidRPr="007B75DC">
              <w:rPr>
                <w:rFonts w:ascii="Times New Roman" w:hAnsi="Times New Roman" w:cs="Times New Roman"/>
                <w:vertAlign w:val="superscript"/>
              </w:rPr>
              <w:t>2</w:t>
            </w:r>
            <w:r w:rsidRPr="007B75DC">
              <w:rPr>
                <w:rFonts w:ascii="Times New Roman" w:hAnsi="Times New Roman" w:cs="Times New Roman"/>
              </w:rPr>
              <w:t xml:space="preserve"> /12 h i.v.(3</w:t>
            </w:r>
            <w:r w:rsidR="00AF7515">
              <w:rPr>
                <w:rFonts w:ascii="Times New Roman" w:hAnsi="Times New Roman" w:cs="Times New Roman"/>
              </w:rPr>
              <w:t> </w:t>
            </w:r>
            <w:r w:rsidRPr="007B75DC">
              <w:rPr>
                <w:rFonts w:ascii="Times New Roman" w:hAnsi="Times New Roman" w:cs="Times New Roman"/>
              </w:rPr>
              <w:t>valandos), 1</w:t>
            </w:r>
            <w:r w:rsidR="00AF7515">
              <w:rPr>
                <w:rFonts w:ascii="Times New Roman" w:hAnsi="Times New Roman" w:cs="Times New Roman"/>
              </w:rPr>
              <w:t>–</w:t>
            </w:r>
            <w:r w:rsidRPr="007B75DC">
              <w:rPr>
                <w:rFonts w:ascii="Times New Roman" w:hAnsi="Times New Roman" w:cs="Times New Roman"/>
              </w:rPr>
              <w:t>4</w:t>
            </w:r>
            <w:r w:rsidR="00AF7515">
              <w:rPr>
                <w:rFonts w:ascii="Times New Roman" w:hAnsi="Times New Roman" w:cs="Times New Roman"/>
              </w:rPr>
              <w:t> </w:t>
            </w:r>
            <w:r w:rsidRPr="007B75DC">
              <w:rPr>
                <w:rFonts w:ascii="Times New Roman" w:hAnsi="Times New Roman" w:cs="Times New Roman"/>
              </w:rPr>
              <w:t xml:space="preserve">dienas; </w:t>
            </w:r>
          </w:p>
          <w:p w14:paraId="7C1830EB" w14:textId="46F1FB2E"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Mitoksantronas 10 mg/m</w:t>
            </w:r>
            <w:r w:rsidRPr="007B75DC">
              <w:rPr>
                <w:rFonts w:ascii="Times New Roman" w:hAnsi="Times New Roman" w:cs="Times New Roman"/>
                <w:vertAlign w:val="superscript"/>
              </w:rPr>
              <w:t>2</w:t>
            </w:r>
            <w:r w:rsidRPr="007B75DC">
              <w:rPr>
                <w:rFonts w:ascii="Times New Roman" w:hAnsi="Times New Roman" w:cs="Times New Roman"/>
              </w:rPr>
              <w:t xml:space="preserve"> i.v. 3</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 xml:space="preserve">dienas; </w:t>
            </w:r>
          </w:p>
          <w:p w14:paraId="471996CA" w14:textId="4C3DE921"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MTX 15 mg intratekaliai, 1</w:t>
            </w:r>
            <w:r w:rsidR="00AF7515">
              <w:rPr>
                <w:rFonts w:ascii="Times New Roman" w:hAnsi="Times New Roman" w:cs="Times New Roman"/>
              </w:rPr>
              <w:t> </w:t>
            </w:r>
            <w:r w:rsidRPr="007B75DC">
              <w:rPr>
                <w:rFonts w:ascii="Times New Roman" w:hAnsi="Times New Roman" w:cs="Times New Roman"/>
              </w:rPr>
              <w:t xml:space="preserve">dieną; </w:t>
            </w:r>
          </w:p>
          <w:p w14:paraId="3BBAA11E" w14:textId="7E257385"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Metilprednizolonas 40 mg intratekaliai, 1</w:t>
            </w:r>
            <w:r w:rsidR="00AF7515">
              <w:rPr>
                <w:rFonts w:ascii="Times New Roman" w:hAnsi="Times New Roman" w:cs="Times New Roman"/>
              </w:rPr>
              <w:t> </w:t>
            </w:r>
            <w:r w:rsidRPr="007B75DC">
              <w:rPr>
                <w:rFonts w:ascii="Times New Roman" w:hAnsi="Times New Roman" w:cs="Times New Roman"/>
              </w:rPr>
              <w:t>dieną.</w:t>
            </w:r>
          </w:p>
        </w:tc>
      </w:tr>
      <w:tr w:rsidR="00DE2956" w:rsidRPr="007B75DC" w14:paraId="39222043" w14:textId="77777777" w:rsidTr="003F4907">
        <w:tc>
          <w:tcPr>
            <w:tcW w:w="5000" w:type="pct"/>
            <w:gridSpan w:val="2"/>
            <w:shd w:val="clear" w:color="auto" w:fill="auto"/>
          </w:tcPr>
          <w:p w14:paraId="524195F1"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ADE04 tyrimas</w:t>
            </w:r>
          </w:p>
        </w:tc>
      </w:tr>
      <w:tr w:rsidR="00DE2956" w:rsidRPr="007B75DC" w14:paraId="56E81AEE" w14:textId="77777777" w:rsidTr="003F4907">
        <w:tc>
          <w:tcPr>
            <w:tcW w:w="1432" w:type="pct"/>
            <w:shd w:val="clear" w:color="auto" w:fill="auto"/>
          </w:tcPr>
          <w:p w14:paraId="6D3C6F6C"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Prefazė</w:t>
            </w:r>
          </w:p>
        </w:tc>
        <w:tc>
          <w:tcPr>
            <w:tcW w:w="3568" w:type="pct"/>
            <w:shd w:val="clear" w:color="auto" w:fill="auto"/>
          </w:tcPr>
          <w:p w14:paraId="428B6E35" w14:textId="59998B8A"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Gerti DEX 10 mg/m</w:t>
            </w:r>
            <w:r w:rsidRPr="007B75DC">
              <w:rPr>
                <w:rFonts w:ascii="Times New Roman" w:hAnsi="Times New Roman" w:cs="Times New Roman"/>
                <w:vertAlign w:val="superscript"/>
              </w:rPr>
              <w:t>2</w:t>
            </w:r>
            <w:r w:rsidRPr="007B75DC">
              <w:rPr>
                <w:rFonts w:ascii="Times New Roman" w:hAnsi="Times New Roman" w:cs="Times New Roman"/>
              </w:rPr>
              <w:t>,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 xml:space="preserve">dienas; </w:t>
            </w:r>
          </w:p>
          <w:p w14:paraId="7A0FB759" w14:textId="5CF8B4B6"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CP 200 mg/m</w:t>
            </w:r>
            <w:r w:rsidRPr="007B75DC">
              <w:rPr>
                <w:rFonts w:ascii="Times New Roman" w:hAnsi="Times New Roman" w:cs="Times New Roman"/>
                <w:vertAlign w:val="superscript"/>
              </w:rPr>
              <w:t>2</w:t>
            </w:r>
            <w:r w:rsidRPr="007B75DC">
              <w:rPr>
                <w:rFonts w:ascii="Times New Roman" w:hAnsi="Times New Roman" w:cs="Times New Roman"/>
              </w:rPr>
              <w:t xml:space="preserve"> i.v., 3</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 xml:space="preserve">dienas; </w:t>
            </w:r>
          </w:p>
          <w:p w14:paraId="47F9D834" w14:textId="4C398C59"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MTX 15 mg intratekaliai, 1</w:t>
            </w:r>
            <w:r w:rsidR="00AF7515">
              <w:rPr>
                <w:rFonts w:ascii="Times New Roman" w:hAnsi="Times New Roman" w:cs="Times New Roman"/>
              </w:rPr>
              <w:t> </w:t>
            </w:r>
            <w:r w:rsidRPr="007B75DC">
              <w:rPr>
                <w:rFonts w:ascii="Times New Roman" w:hAnsi="Times New Roman" w:cs="Times New Roman"/>
              </w:rPr>
              <w:t>dieną.</w:t>
            </w:r>
          </w:p>
        </w:tc>
      </w:tr>
      <w:tr w:rsidR="00DE2956" w:rsidRPr="007B75DC" w14:paraId="7FDB9C5F" w14:textId="77777777" w:rsidTr="003F4907">
        <w:tc>
          <w:tcPr>
            <w:tcW w:w="1432" w:type="pct"/>
            <w:shd w:val="clear" w:color="auto" w:fill="auto"/>
          </w:tcPr>
          <w:p w14:paraId="215E06B6"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Pradinis gydymas I</w:t>
            </w:r>
          </w:p>
        </w:tc>
        <w:tc>
          <w:tcPr>
            <w:tcW w:w="3568" w:type="pct"/>
            <w:shd w:val="clear" w:color="auto" w:fill="auto"/>
          </w:tcPr>
          <w:p w14:paraId="2F343D53" w14:textId="21025CFE"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Gerti DEX 10 mg/m</w:t>
            </w:r>
            <w:r w:rsidRPr="007B75DC">
              <w:rPr>
                <w:rFonts w:ascii="Times New Roman" w:hAnsi="Times New Roman" w:cs="Times New Roman"/>
                <w:vertAlign w:val="superscript"/>
              </w:rPr>
              <w:t>2</w:t>
            </w:r>
            <w:r w:rsidRPr="007B75DC">
              <w:rPr>
                <w:rFonts w:ascii="Times New Roman" w:hAnsi="Times New Roman" w:cs="Times New Roman"/>
              </w:rPr>
              <w:t>,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 xml:space="preserve">dienas; </w:t>
            </w:r>
          </w:p>
          <w:p w14:paraId="02215E64" w14:textId="72B64E18"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VCR 2 mg i.v., 6, 13, 20</w:t>
            </w:r>
            <w:r w:rsidR="00AF7515">
              <w:rPr>
                <w:rFonts w:ascii="Times New Roman" w:hAnsi="Times New Roman" w:cs="Times New Roman"/>
              </w:rPr>
              <w:t> </w:t>
            </w:r>
            <w:r w:rsidRPr="007B75DC">
              <w:rPr>
                <w:rFonts w:ascii="Times New Roman" w:hAnsi="Times New Roman" w:cs="Times New Roman"/>
              </w:rPr>
              <w:t xml:space="preserve">dieną; </w:t>
            </w:r>
          </w:p>
          <w:p w14:paraId="552ECF82" w14:textId="7C07EC56"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Daunorubicinas 45 mg/m</w:t>
            </w:r>
            <w:r w:rsidRPr="007B75DC">
              <w:rPr>
                <w:rFonts w:ascii="Times New Roman" w:hAnsi="Times New Roman" w:cs="Times New Roman"/>
                <w:vertAlign w:val="superscript"/>
              </w:rPr>
              <w:t>2</w:t>
            </w:r>
            <w:r w:rsidRPr="007B75DC">
              <w:rPr>
                <w:rFonts w:ascii="Times New Roman" w:hAnsi="Times New Roman" w:cs="Times New Roman"/>
              </w:rPr>
              <w:t xml:space="preserve"> i.v., 6</w:t>
            </w:r>
            <w:r w:rsidR="00AF7515">
              <w:rPr>
                <w:rFonts w:ascii="Times New Roman" w:hAnsi="Times New Roman" w:cs="Times New Roman"/>
              </w:rPr>
              <w:t>–</w:t>
            </w:r>
            <w:r w:rsidRPr="007B75DC">
              <w:rPr>
                <w:rFonts w:ascii="Times New Roman" w:hAnsi="Times New Roman" w:cs="Times New Roman"/>
              </w:rPr>
              <w:t>7, 13</w:t>
            </w:r>
            <w:r w:rsidR="00AF7515">
              <w:rPr>
                <w:rFonts w:ascii="Times New Roman" w:hAnsi="Times New Roman" w:cs="Times New Roman"/>
              </w:rPr>
              <w:t>–</w:t>
            </w:r>
            <w:r w:rsidRPr="007B75DC">
              <w:rPr>
                <w:rFonts w:ascii="Times New Roman" w:hAnsi="Times New Roman" w:cs="Times New Roman"/>
              </w:rPr>
              <w:t>14</w:t>
            </w:r>
            <w:r w:rsidR="00AF7515">
              <w:rPr>
                <w:rFonts w:ascii="Times New Roman" w:hAnsi="Times New Roman" w:cs="Times New Roman"/>
              </w:rPr>
              <w:t> </w:t>
            </w:r>
            <w:r w:rsidRPr="007B75DC">
              <w:rPr>
                <w:rFonts w:ascii="Times New Roman" w:hAnsi="Times New Roman" w:cs="Times New Roman"/>
              </w:rPr>
              <w:t>dieną.</w:t>
            </w:r>
          </w:p>
        </w:tc>
      </w:tr>
      <w:tr w:rsidR="00DE2956" w:rsidRPr="007B75DC" w14:paraId="573682AB" w14:textId="77777777" w:rsidTr="003F4907">
        <w:tc>
          <w:tcPr>
            <w:tcW w:w="1432" w:type="pct"/>
            <w:shd w:val="clear" w:color="auto" w:fill="auto"/>
          </w:tcPr>
          <w:p w14:paraId="270AD9CE"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Pradinis gydymas II</w:t>
            </w:r>
          </w:p>
        </w:tc>
        <w:tc>
          <w:tcPr>
            <w:tcW w:w="3568" w:type="pct"/>
            <w:shd w:val="clear" w:color="auto" w:fill="auto"/>
          </w:tcPr>
          <w:p w14:paraId="66527FE3" w14:textId="73A167CA"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CP 1</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AF7515">
              <w:rPr>
                <w:rFonts w:ascii="Times New Roman" w:hAnsi="Times New Roman" w:cs="Times New Roman"/>
              </w:rPr>
              <w:t> </w:t>
            </w:r>
            <w:r w:rsidRPr="007B75DC">
              <w:rPr>
                <w:rFonts w:ascii="Times New Roman" w:hAnsi="Times New Roman" w:cs="Times New Roman"/>
              </w:rPr>
              <w:t>valanda), 26, 46</w:t>
            </w:r>
            <w:r w:rsidR="00AF7515">
              <w:rPr>
                <w:rFonts w:ascii="Times New Roman" w:hAnsi="Times New Roman" w:cs="Times New Roman"/>
              </w:rPr>
              <w:t> </w:t>
            </w:r>
            <w:r w:rsidRPr="007B75DC">
              <w:rPr>
                <w:rFonts w:ascii="Times New Roman" w:hAnsi="Times New Roman" w:cs="Times New Roman"/>
              </w:rPr>
              <w:t xml:space="preserve">dieną; </w:t>
            </w:r>
          </w:p>
          <w:p w14:paraId="06010F52" w14:textId="76A2BC6D"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Ara-C 75 mg/m 2 i.v. (1</w:t>
            </w:r>
            <w:r w:rsidR="00AF7515">
              <w:rPr>
                <w:rFonts w:ascii="Times New Roman" w:hAnsi="Times New Roman" w:cs="Times New Roman"/>
              </w:rPr>
              <w:t> </w:t>
            </w:r>
            <w:r w:rsidRPr="007B75DC">
              <w:rPr>
                <w:rFonts w:ascii="Times New Roman" w:hAnsi="Times New Roman" w:cs="Times New Roman"/>
              </w:rPr>
              <w:t>valanda), 28</w:t>
            </w:r>
            <w:r w:rsidR="00AF7515">
              <w:rPr>
                <w:rFonts w:ascii="Times New Roman" w:hAnsi="Times New Roman" w:cs="Times New Roman"/>
              </w:rPr>
              <w:t>–</w:t>
            </w:r>
            <w:r w:rsidRPr="007B75DC">
              <w:rPr>
                <w:rFonts w:ascii="Times New Roman" w:hAnsi="Times New Roman" w:cs="Times New Roman"/>
              </w:rPr>
              <w:t>31, 35</w:t>
            </w:r>
            <w:r w:rsidR="00AF7515">
              <w:rPr>
                <w:rFonts w:ascii="Times New Roman" w:hAnsi="Times New Roman" w:cs="Times New Roman"/>
              </w:rPr>
              <w:t>–</w:t>
            </w:r>
            <w:r w:rsidRPr="007B75DC">
              <w:rPr>
                <w:rFonts w:ascii="Times New Roman" w:hAnsi="Times New Roman" w:cs="Times New Roman"/>
              </w:rPr>
              <w:t>38, 42</w:t>
            </w:r>
            <w:r w:rsidR="00AF7515">
              <w:rPr>
                <w:rFonts w:ascii="Times New Roman" w:hAnsi="Times New Roman" w:cs="Times New Roman"/>
              </w:rPr>
              <w:t>–</w:t>
            </w:r>
            <w:r w:rsidRPr="007B75DC">
              <w:rPr>
                <w:rFonts w:ascii="Times New Roman" w:hAnsi="Times New Roman" w:cs="Times New Roman"/>
              </w:rPr>
              <w:t>45</w:t>
            </w:r>
            <w:r w:rsidR="00AF7515">
              <w:rPr>
                <w:rFonts w:ascii="Times New Roman" w:hAnsi="Times New Roman" w:cs="Times New Roman"/>
              </w:rPr>
              <w:t> </w:t>
            </w:r>
            <w:r w:rsidRPr="007B75DC">
              <w:rPr>
                <w:rFonts w:ascii="Times New Roman" w:hAnsi="Times New Roman" w:cs="Times New Roman"/>
              </w:rPr>
              <w:t xml:space="preserve">dienas; </w:t>
            </w:r>
          </w:p>
          <w:p w14:paraId="71B566D2" w14:textId="5A0F34BE"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Gerti 6-MP 60 mg/m</w:t>
            </w:r>
            <w:r w:rsidRPr="007B75DC">
              <w:rPr>
                <w:rFonts w:ascii="Times New Roman" w:hAnsi="Times New Roman" w:cs="Times New Roman"/>
                <w:vertAlign w:val="superscript"/>
              </w:rPr>
              <w:t>2</w:t>
            </w:r>
            <w:r w:rsidRPr="007B75DC">
              <w:rPr>
                <w:rFonts w:ascii="Times New Roman" w:hAnsi="Times New Roman" w:cs="Times New Roman"/>
              </w:rPr>
              <w:t>, 26</w:t>
            </w:r>
            <w:r w:rsidR="00AF7515">
              <w:rPr>
                <w:rFonts w:ascii="Times New Roman" w:hAnsi="Times New Roman" w:cs="Times New Roman"/>
              </w:rPr>
              <w:t>–</w:t>
            </w:r>
            <w:r w:rsidRPr="007B75DC">
              <w:rPr>
                <w:rFonts w:ascii="Times New Roman" w:hAnsi="Times New Roman" w:cs="Times New Roman"/>
              </w:rPr>
              <w:t>46</w:t>
            </w:r>
            <w:r w:rsidR="00AF7515">
              <w:rPr>
                <w:rFonts w:ascii="Times New Roman" w:hAnsi="Times New Roman" w:cs="Times New Roman"/>
              </w:rPr>
              <w:t> </w:t>
            </w:r>
            <w:r w:rsidRPr="007B75DC">
              <w:rPr>
                <w:rFonts w:ascii="Times New Roman" w:hAnsi="Times New Roman" w:cs="Times New Roman"/>
              </w:rPr>
              <w:t>dienas.</w:t>
            </w:r>
          </w:p>
        </w:tc>
      </w:tr>
      <w:tr w:rsidR="00DE2956" w:rsidRPr="007B75DC" w14:paraId="4DCAA4AA" w14:textId="77777777" w:rsidTr="003F4907">
        <w:tc>
          <w:tcPr>
            <w:tcW w:w="1432" w:type="pct"/>
            <w:shd w:val="clear" w:color="auto" w:fill="auto"/>
          </w:tcPr>
          <w:p w14:paraId="613FC80A"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Konsoliduojantis gydymas</w:t>
            </w:r>
          </w:p>
        </w:tc>
        <w:tc>
          <w:tcPr>
            <w:tcW w:w="3568" w:type="pct"/>
            <w:shd w:val="clear" w:color="auto" w:fill="auto"/>
          </w:tcPr>
          <w:p w14:paraId="66EA1361" w14:textId="5696AF1F"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Gerti DEX 10 mg/m</w:t>
            </w:r>
            <w:r w:rsidRPr="007B75DC">
              <w:rPr>
                <w:rFonts w:ascii="Times New Roman" w:hAnsi="Times New Roman" w:cs="Times New Roman"/>
                <w:vertAlign w:val="superscript"/>
              </w:rPr>
              <w:t>2</w:t>
            </w:r>
            <w:r w:rsidRPr="007B75DC">
              <w:rPr>
                <w:rFonts w:ascii="Times New Roman" w:hAnsi="Times New Roman" w:cs="Times New Roman"/>
              </w:rPr>
              <w:t>,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 xml:space="preserve">dienas; </w:t>
            </w:r>
          </w:p>
          <w:p w14:paraId="3CF651B8" w14:textId="6DC91060"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Vindezinas 3 mg/m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AF7515">
              <w:rPr>
                <w:rFonts w:ascii="Times New Roman" w:hAnsi="Times New Roman" w:cs="Times New Roman"/>
              </w:rPr>
              <w:t> </w:t>
            </w:r>
            <w:r w:rsidRPr="007B75DC">
              <w:rPr>
                <w:rFonts w:ascii="Times New Roman" w:hAnsi="Times New Roman" w:cs="Times New Roman"/>
              </w:rPr>
              <w:t xml:space="preserve">dieną; </w:t>
            </w:r>
          </w:p>
          <w:p w14:paraId="50A9E5BF" w14:textId="68D49150"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MTX 1,5</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(24</w:t>
            </w:r>
            <w:r w:rsidR="00AF7515">
              <w:rPr>
                <w:rFonts w:ascii="Times New Roman" w:hAnsi="Times New Roman" w:cs="Times New Roman"/>
              </w:rPr>
              <w:t> </w:t>
            </w:r>
            <w:r w:rsidRPr="007B75DC">
              <w:rPr>
                <w:rFonts w:ascii="Times New Roman" w:hAnsi="Times New Roman" w:cs="Times New Roman"/>
              </w:rPr>
              <w:t>valandos), 1</w:t>
            </w:r>
            <w:r w:rsidR="00AF7515">
              <w:rPr>
                <w:rFonts w:ascii="Times New Roman" w:hAnsi="Times New Roman" w:cs="Times New Roman"/>
              </w:rPr>
              <w:t> </w:t>
            </w:r>
            <w:r w:rsidRPr="007B75DC">
              <w:rPr>
                <w:rFonts w:ascii="Times New Roman" w:hAnsi="Times New Roman" w:cs="Times New Roman"/>
              </w:rPr>
              <w:t xml:space="preserve">dieną; </w:t>
            </w:r>
          </w:p>
          <w:p w14:paraId="20DFAB6D" w14:textId="13951C6F"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Etopozidas 250 mg/m</w:t>
            </w:r>
            <w:r w:rsidRPr="007B75DC">
              <w:rPr>
                <w:rFonts w:ascii="Times New Roman" w:hAnsi="Times New Roman" w:cs="Times New Roman"/>
                <w:vertAlign w:val="superscript"/>
              </w:rPr>
              <w:t>2</w:t>
            </w:r>
            <w:r w:rsidRPr="007B75DC">
              <w:rPr>
                <w:rFonts w:ascii="Times New Roman" w:hAnsi="Times New Roman" w:cs="Times New Roman"/>
              </w:rPr>
              <w:t xml:space="preserve"> i.v. (1 valanda) 4</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 xml:space="preserve">dienas; </w:t>
            </w:r>
          </w:p>
          <w:p w14:paraId="3FC042AC" w14:textId="62F9E95C" w:rsidR="00DE2956" w:rsidRPr="007B75DC" w:rsidRDefault="00DE2956" w:rsidP="00DE2956">
            <w:pPr>
              <w:autoSpaceDE w:val="0"/>
              <w:autoSpaceDN w:val="0"/>
              <w:adjustRightInd w:val="0"/>
              <w:snapToGrid w:val="0"/>
              <w:spacing w:after="0" w:line="240" w:lineRule="auto"/>
              <w:ind w:left="34" w:hanging="34"/>
              <w:rPr>
                <w:rFonts w:ascii="Times New Roman" w:hAnsi="Times New Roman" w:cs="Times New Roman"/>
              </w:rPr>
            </w:pPr>
            <w:r w:rsidRPr="007B75DC">
              <w:rPr>
                <w:rFonts w:ascii="Times New Roman" w:hAnsi="Times New Roman" w:cs="Times New Roman"/>
              </w:rPr>
              <w:t>Ara-C 2x 2</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(3</w:t>
            </w:r>
            <w:r w:rsidR="00AF7515">
              <w:rPr>
                <w:rFonts w:ascii="Times New Roman" w:hAnsi="Times New Roman" w:cs="Times New Roman"/>
              </w:rPr>
              <w:t> </w:t>
            </w:r>
            <w:r w:rsidRPr="007B75DC">
              <w:rPr>
                <w:rFonts w:ascii="Times New Roman" w:hAnsi="Times New Roman" w:cs="Times New Roman"/>
              </w:rPr>
              <w:t>valandos, 12</w:t>
            </w:r>
            <w:r w:rsidR="00AF7515">
              <w:rPr>
                <w:rFonts w:ascii="Times New Roman" w:hAnsi="Times New Roman" w:cs="Times New Roman"/>
              </w:rPr>
              <w:t> </w:t>
            </w:r>
            <w:r w:rsidRPr="007B75DC">
              <w:rPr>
                <w:rFonts w:ascii="Times New Roman" w:hAnsi="Times New Roman" w:cs="Times New Roman"/>
              </w:rPr>
              <w:t>valandų), 5</w:t>
            </w:r>
            <w:r w:rsidR="00AF7515">
              <w:rPr>
                <w:rFonts w:ascii="Times New Roman" w:hAnsi="Times New Roman" w:cs="Times New Roman"/>
              </w:rPr>
              <w:t> </w:t>
            </w:r>
            <w:r w:rsidRPr="007B75DC">
              <w:rPr>
                <w:rFonts w:ascii="Times New Roman" w:hAnsi="Times New Roman" w:cs="Times New Roman"/>
              </w:rPr>
              <w:t>dieną.</w:t>
            </w:r>
          </w:p>
        </w:tc>
      </w:tr>
      <w:tr w:rsidR="00DE2956" w:rsidRPr="007B75DC" w14:paraId="32B913F4" w14:textId="77777777" w:rsidTr="003F4907">
        <w:tc>
          <w:tcPr>
            <w:tcW w:w="5000" w:type="pct"/>
            <w:gridSpan w:val="2"/>
            <w:shd w:val="clear" w:color="auto" w:fill="auto"/>
          </w:tcPr>
          <w:p w14:paraId="721BE1F9"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AJP01 tyrimas</w:t>
            </w:r>
          </w:p>
        </w:tc>
      </w:tr>
      <w:tr w:rsidR="00DE2956" w:rsidRPr="007B75DC" w14:paraId="2FA31AAF" w14:textId="77777777" w:rsidTr="003F4907">
        <w:tc>
          <w:tcPr>
            <w:tcW w:w="1432" w:type="pct"/>
            <w:shd w:val="clear" w:color="auto" w:fill="auto"/>
          </w:tcPr>
          <w:p w14:paraId="013F5348"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Pradinis gydymas</w:t>
            </w:r>
          </w:p>
        </w:tc>
        <w:tc>
          <w:tcPr>
            <w:tcW w:w="3568" w:type="pct"/>
            <w:shd w:val="clear" w:color="auto" w:fill="auto"/>
          </w:tcPr>
          <w:p w14:paraId="756AAA40" w14:textId="047B42CC"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CP 1,2</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(3</w:t>
            </w:r>
            <w:r w:rsidR="00AF7515">
              <w:rPr>
                <w:rFonts w:ascii="Times New Roman" w:hAnsi="Times New Roman" w:cs="Times New Roman"/>
              </w:rPr>
              <w:t> </w:t>
            </w:r>
            <w:r w:rsidRPr="007B75DC">
              <w:rPr>
                <w:rFonts w:ascii="Times New Roman" w:hAnsi="Times New Roman" w:cs="Times New Roman"/>
              </w:rPr>
              <w:t>valandos), 1</w:t>
            </w:r>
            <w:r w:rsidR="00AF7515">
              <w:rPr>
                <w:rFonts w:ascii="Times New Roman" w:hAnsi="Times New Roman" w:cs="Times New Roman"/>
              </w:rPr>
              <w:t> </w:t>
            </w:r>
            <w:r w:rsidRPr="007B75DC">
              <w:rPr>
                <w:rFonts w:ascii="Times New Roman" w:hAnsi="Times New Roman" w:cs="Times New Roman"/>
              </w:rPr>
              <w:t xml:space="preserve">dieną; </w:t>
            </w:r>
          </w:p>
          <w:p w14:paraId="181242D4" w14:textId="6738100E"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Daunorubicinas 60 mg/m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AF7515">
              <w:rPr>
                <w:rFonts w:ascii="Times New Roman" w:hAnsi="Times New Roman" w:cs="Times New Roman"/>
              </w:rPr>
              <w:t> </w:t>
            </w:r>
            <w:r w:rsidRPr="007B75DC">
              <w:rPr>
                <w:rFonts w:ascii="Times New Roman" w:hAnsi="Times New Roman" w:cs="Times New Roman"/>
              </w:rPr>
              <w:t>valanda), 1</w:t>
            </w:r>
            <w:r w:rsidR="00AF7515">
              <w:rPr>
                <w:rFonts w:ascii="Times New Roman" w:hAnsi="Times New Roman" w:cs="Times New Roman"/>
              </w:rPr>
              <w:t>–</w:t>
            </w: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 xml:space="preserve">dienas; </w:t>
            </w:r>
          </w:p>
          <w:p w14:paraId="0F9A7B7C" w14:textId="6CCCDF05"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Vinkristinas 1,3 mg/m</w:t>
            </w:r>
            <w:r w:rsidRPr="007B75DC">
              <w:rPr>
                <w:rFonts w:ascii="Times New Roman" w:hAnsi="Times New Roman" w:cs="Times New Roman"/>
                <w:vertAlign w:val="superscript"/>
              </w:rPr>
              <w:t>2</w:t>
            </w:r>
            <w:r w:rsidRPr="007B75DC">
              <w:rPr>
                <w:rFonts w:ascii="Times New Roman" w:hAnsi="Times New Roman" w:cs="Times New Roman"/>
              </w:rPr>
              <w:t xml:space="preserve"> i.v., 1, 8, 15, 21</w:t>
            </w:r>
            <w:r w:rsidR="00AF7515">
              <w:rPr>
                <w:rFonts w:ascii="Times New Roman" w:hAnsi="Times New Roman" w:cs="Times New Roman"/>
              </w:rPr>
              <w:t> </w:t>
            </w:r>
            <w:r w:rsidRPr="007B75DC">
              <w:rPr>
                <w:rFonts w:ascii="Times New Roman" w:hAnsi="Times New Roman" w:cs="Times New Roman"/>
              </w:rPr>
              <w:t xml:space="preserve">dieną; </w:t>
            </w:r>
          </w:p>
          <w:p w14:paraId="34800DED"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Gerti prednizoloną 60 mg/m</w:t>
            </w:r>
            <w:r w:rsidRPr="007B75DC">
              <w:rPr>
                <w:rFonts w:ascii="Times New Roman" w:hAnsi="Times New Roman" w:cs="Times New Roman"/>
                <w:vertAlign w:val="superscript"/>
              </w:rPr>
              <w:t>2</w:t>
            </w:r>
            <w:r w:rsidRPr="007B75DC">
              <w:rPr>
                <w:rFonts w:ascii="Times New Roman" w:hAnsi="Times New Roman" w:cs="Times New Roman"/>
              </w:rPr>
              <w:t xml:space="preserve"> /per parą.</w:t>
            </w:r>
          </w:p>
        </w:tc>
      </w:tr>
      <w:tr w:rsidR="00DE2956" w:rsidRPr="007B75DC" w14:paraId="7AFFD86C" w14:textId="77777777" w:rsidTr="003F4907">
        <w:tc>
          <w:tcPr>
            <w:tcW w:w="1432" w:type="pct"/>
            <w:shd w:val="clear" w:color="auto" w:fill="auto"/>
          </w:tcPr>
          <w:p w14:paraId="1F438065"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Konsoliduojantis gydymas</w:t>
            </w:r>
          </w:p>
        </w:tc>
        <w:tc>
          <w:tcPr>
            <w:tcW w:w="3568" w:type="pct"/>
            <w:shd w:val="clear" w:color="auto" w:fill="auto"/>
          </w:tcPr>
          <w:p w14:paraId="7BA16DD7" w14:textId="1EBFDEEB"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Pakaitinis chemoterapijos kursas: aukštos dozės chemoterapija su MTX 1</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(24</w:t>
            </w:r>
            <w:r w:rsidR="00AF7515">
              <w:rPr>
                <w:rFonts w:ascii="Times New Roman" w:hAnsi="Times New Roman" w:cs="Times New Roman"/>
              </w:rPr>
              <w:t> </w:t>
            </w:r>
            <w:r w:rsidRPr="007B75DC">
              <w:rPr>
                <w:rFonts w:ascii="Times New Roman" w:hAnsi="Times New Roman" w:cs="Times New Roman"/>
              </w:rPr>
              <w:t>valandos), 1</w:t>
            </w:r>
            <w:r w:rsidR="00AF7515">
              <w:rPr>
                <w:rFonts w:ascii="Times New Roman" w:hAnsi="Times New Roman" w:cs="Times New Roman"/>
              </w:rPr>
              <w:t> </w:t>
            </w:r>
            <w:r w:rsidRPr="007B75DC">
              <w:rPr>
                <w:rFonts w:ascii="Times New Roman" w:hAnsi="Times New Roman" w:cs="Times New Roman"/>
              </w:rPr>
              <w:t>dieną, ir Ara-C 2 g/m</w:t>
            </w:r>
            <w:r w:rsidRPr="007B75DC">
              <w:rPr>
                <w:rFonts w:ascii="Times New Roman" w:hAnsi="Times New Roman" w:cs="Times New Roman"/>
                <w:vertAlign w:val="superscript"/>
              </w:rPr>
              <w:t>2</w:t>
            </w:r>
            <w:r w:rsidRPr="007B75DC">
              <w:rPr>
                <w:rFonts w:ascii="Times New Roman" w:hAnsi="Times New Roman" w:cs="Times New Roman"/>
              </w:rPr>
              <w:t xml:space="preserve"> i.v. (12</w:t>
            </w:r>
            <w:r w:rsidR="00AF7515">
              <w:rPr>
                <w:rFonts w:ascii="Times New Roman" w:hAnsi="Times New Roman" w:cs="Times New Roman"/>
              </w:rPr>
              <w:t> </w:t>
            </w:r>
            <w:r w:rsidRPr="007B75DC">
              <w:rPr>
                <w:rFonts w:ascii="Times New Roman" w:hAnsi="Times New Roman" w:cs="Times New Roman"/>
              </w:rPr>
              <w:t>valandų), 2</w:t>
            </w:r>
            <w:r w:rsidR="00AF7515">
              <w:rPr>
                <w:rFonts w:ascii="Times New Roman" w:hAnsi="Times New Roman" w:cs="Times New Roman"/>
              </w:rPr>
              <w:t>–</w:t>
            </w: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dieną, 4</w:t>
            </w:r>
            <w:r w:rsidR="00AF7515">
              <w:rPr>
                <w:rFonts w:ascii="Times New Roman" w:hAnsi="Times New Roman" w:cs="Times New Roman"/>
              </w:rPr>
              <w:t> </w:t>
            </w:r>
            <w:r w:rsidRPr="007B75DC">
              <w:rPr>
                <w:rFonts w:ascii="Times New Roman" w:hAnsi="Times New Roman" w:cs="Times New Roman"/>
              </w:rPr>
              <w:t>kursus.</w:t>
            </w:r>
          </w:p>
        </w:tc>
      </w:tr>
      <w:tr w:rsidR="00DE2956" w:rsidRPr="007B75DC" w14:paraId="1C53EF8C" w14:textId="77777777" w:rsidTr="003F4907">
        <w:tc>
          <w:tcPr>
            <w:tcW w:w="1432" w:type="pct"/>
            <w:shd w:val="clear" w:color="auto" w:fill="auto"/>
          </w:tcPr>
          <w:p w14:paraId="441EA93C"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Palaikomasis gydymas</w:t>
            </w:r>
          </w:p>
        </w:tc>
        <w:tc>
          <w:tcPr>
            <w:tcW w:w="3568" w:type="pct"/>
            <w:shd w:val="clear" w:color="auto" w:fill="auto"/>
          </w:tcPr>
          <w:p w14:paraId="674F4254" w14:textId="0ACD6D9B" w:rsidR="00DE2956" w:rsidRPr="007B75DC" w:rsidRDefault="00DE2956" w:rsidP="00DE2956">
            <w:pPr>
              <w:autoSpaceDE w:val="0"/>
              <w:autoSpaceDN w:val="0"/>
              <w:adjustRightInd w:val="0"/>
              <w:spacing w:after="0" w:line="240" w:lineRule="auto"/>
              <w:ind w:left="34" w:hanging="34"/>
              <w:rPr>
                <w:rFonts w:ascii="Times New Roman" w:hAnsi="Times New Roman" w:cs="Times New Roman"/>
              </w:rPr>
            </w:pPr>
            <w:r w:rsidRPr="007B75DC">
              <w:rPr>
                <w:rFonts w:ascii="Times New Roman" w:hAnsi="Times New Roman" w:cs="Times New Roman"/>
              </w:rPr>
              <w:t>VCR 1,3</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1</w:t>
            </w:r>
            <w:r w:rsidR="00AF7515">
              <w:rPr>
                <w:rFonts w:ascii="Times New Roman" w:hAnsi="Times New Roman" w:cs="Times New Roman"/>
              </w:rPr>
              <w:t> </w:t>
            </w:r>
            <w:r w:rsidRPr="007B75DC">
              <w:rPr>
                <w:rFonts w:ascii="Times New Roman" w:hAnsi="Times New Roman" w:cs="Times New Roman"/>
              </w:rPr>
              <w:t xml:space="preserve">dieną; </w:t>
            </w:r>
          </w:p>
          <w:p w14:paraId="66B0810E" w14:textId="4291710E"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Gerti prednizoloną 60 mg/m</w:t>
            </w:r>
            <w:r w:rsidRPr="007B75DC">
              <w:rPr>
                <w:rFonts w:ascii="Times New Roman" w:hAnsi="Times New Roman" w:cs="Times New Roman"/>
                <w:vertAlign w:val="superscript"/>
              </w:rPr>
              <w:t>2</w:t>
            </w:r>
            <w:r w:rsidRPr="007B75DC">
              <w:rPr>
                <w:rFonts w:ascii="Times New Roman" w:hAnsi="Times New Roman" w:cs="Times New Roman"/>
              </w:rPr>
              <w:t>,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dienas.</w:t>
            </w:r>
          </w:p>
        </w:tc>
      </w:tr>
      <w:tr w:rsidR="00DE2956" w:rsidRPr="007B75DC" w14:paraId="7F0A54D0" w14:textId="77777777" w:rsidTr="003F4907">
        <w:tc>
          <w:tcPr>
            <w:tcW w:w="5000" w:type="pct"/>
            <w:gridSpan w:val="2"/>
            <w:shd w:val="clear" w:color="auto" w:fill="auto"/>
          </w:tcPr>
          <w:p w14:paraId="5B199231"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AUS01 tyrimas</w:t>
            </w:r>
          </w:p>
        </w:tc>
      </w:tr>
      <w:tr w:rsidR="00DE2956" w:rsidRPr="007B75DC" w14:paraId="28FCDDC5" w14:textId="77777777" w:rsidTr="003F4907">
        <w:tc>
          <w:tcPr>
            <w:tcW w:w="1432" w:type="pct"/>
            <w:shd w:val="clear" w:color="auto" w:fill="auto"/>
          </w:tcPr>
          <w:p w14:paraId="4A64A8CC" w14:textId="77777777" w:rsidR="00DE2956" w:rsidRPr="007B75DC" w:rsidRDefault="00DE2956" w:rsidP="00DE2956">
            <w:pPr>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Pradinis</w:t>
            </w:r>
            <w:r w:rsidR="00701F5A">
              <w:rPr>
                <w:rFonts w:ascii="Times New Roman" w:hAnsi="Times New Roman" w:cs="Times New Roman"/>
              </w:rPr>
              <w:t>-</w:t>
            </w:r>
            <w:r w:rsidRPr="007B75DC">
              <w:rPr>
                <w:rFonts w:ascii="Times New Roman" w:hAnsi="Times New Roman" w:cs="Times New Roman"/>
              </w:rPr>
              <w:t>konsoliduojantis gydymas</w:t>
            </w:r>
          </w:p>
        </w:tc>
        <w:tc>
          <w:tcPr>
            <w:tcW w:w="3568" w:type="pct"/>
            <w:shd w:val="clear" w:color="auto" w:fill="auto"/>
          </w:tcPr>
          <w:p w14:paraId="12AC700E" w14:textId="76C33C5E"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Hiper-CVAD gydymas: CP 300 mg/m</w:t>
            </w:r>
            <w:r w:rsidRPr="007B75DC">
              <w:rPr>
                <w:rFonts w:ascii="Times New Roman" w:hAnsi="Times New Roman" w:cs="Times New Roman"/>
                <w:vertAlign w:val="superscript"/>
              </w:rPr>
              <w:t>2</w:t>
            </w:r>
            <w:r w:rsidRPr="007B75DC">
              <w:rPr>
                <w:rFonts w:ascii="Times New Roman" w:hAnsi="Times New Roman" w:cs="Times New Roman"/>
              </w:rPr>
              <w:t xml:space="preserve"> i.v. (3</w:t>
            </w:r>
            <w:r w:rsidR="00AF7515">
              <w:rPr>
                <w:rFonts w:ascii="Times New Roman" w:hAnsi="Times New Roman" w:cs="Times New Roman"/>
              </w:rPr>
              <w:t> </w:t>
            </w:r>
            <w:r w:rsidRPr="007B75DC">
              <w:rPr>
                <w:rFonts w:ascii="Times New Roman" w:hAnsi="Times New Roman" w:cs="Times New Roman"/>
              </w:rPr>
              <w:t>valandos, 12</w:t>
            </w:r>
            <w:r w:rsidR="00AF7515">
              <w:rPr>
                <w:rFonts w:ascii="Times New Roman" w:hAnsi="Times New Roman" w:cs="Times New Roman"/>
              </w:rPr>
              <w:t> </w:t>
            </w:r>
            <w:r w:rsidRPr="007B75DC">
              <w:rPr>
                <w:rFonts w:ascii="Times New Roman" w:hAnsi="Times New Roman" w:cs="Times New Roman"/>
              </w:rPr>
              <w:t>valandų), 1</w:t>
            </w:r>
            <w:r w:rsidR="00AF7515">
              <w:rPr>
                <w:rFonts w:ascii="Times New Roman" w:hAnsi="Times New Roman" w:cs="Times New Roman"/>
              </w:rPr>
              <w:t>–</w:t>
            </w: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 xml:space="preserve">dienas; </w:t>
            </w:r>
          </w:p>
          <w:p w14:paraId="7C5389AC" w14:textId="3AEFEBF1"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Vinkristinas 2 mg i.v., 4, 11</w:t>
            </w:r>
            <w:r w:rsidR="00AF7515">
              <w:rPr>
                <w:rFonts w:ascii="Times New Roman" w:hAnsi="Times New Roman" w:cs="Times New Roman"/>
              </w:rPr>
              <w:t> </w:t>
            </w:r>
            <w:r w:rsidRPr="007B75DC">
              <w:rPr>
                <w:rFonts w:ascii="Times New Roman" w:hAnsi="Times New Roman" w:cs="Times New Roman"/>
              </w:rPr>
              <w:t xml:space="preserve">dieną; </w:t>
            </w:r>
          </w:p>
          <w:p w14:paraId="2BD57B5B" w14:textId="7CA78969" w:rsidR="00DE2956" w:rsidRPr="007B75DC" w:rsidRDefault="00DE2956" w:rsidP="00DE2956">
            <w:pPr>
              <w:autoSpaceDE w:val="0"/>
              <w:autoSpaceDN w:val="0"/>
              <w:adjustRightInd w:val="0"/>
              <w:spacing w:after="0" w:line="240" w:lineRule="auto"/>
              <w:ind w:left="34"/>
              <w:rPr>
                <w:rFonts w:ascii="Times New Roman" w:hAnsi="Times New Roman" w:cs="Times New Roman"/>
              </w:rPr>
            </w:pPr>
            <w:r w:rsidRPr="007B75DC">
              <w:rPr>
                <w:rFonts w:ascii="Times New Roman" w:hAnsi="Times New Roman" w:cs="Times New Roman"/>
              </w:rPr>
              <w:t>Doksorubicinas 50 mg/m</w:t>
            </w:r>
            <w:r w:rsidRPr="007B75DC">
              <w:rPr>
                <w:rFonts w:ascii="Times New Roman" w:hAnsi="Times New Roman" w:cs="Times New Roman"/>
                <w:vertAlign w:val="superscript"/>
              </w:rPr>
              <w:t>2</w:t>
            </w:r>
            <w:r w:rsidRPr="007B75DC">
              <w:rPr>
                <w:rFonts w:ascii="Times New Roman" w:hAnsi="Times New Roman" w:cs="Times New Roman"/>
              </w:rPr>
              <w:t xml:space="preserve"> i.v. (24</w:t>
            </w:r>
            <w:r w:rsidR="00AF7515">
              <w:rPr>
                <w:rFonts w:ascii="Times New Roman" w:hAnsi="Times New Roman" w:cs="Times New Roman"/>
              </w:rPr>
              <w:t> </w:t>
            </w:r>
            <w:r w:rsidRPr="007B75DC">
              <w:rPr>
                <w:rFonts w:ascii="Times New Roman" w:hAnsi="Times New Roman" w:cs="Times New Roman"/>
              </w:rPr>
              <w:t>valandos), 4</w:t>
            </w:r>
            <w:r w:rsidR="00AF7515">
              <w:rPr>
                <w:rFonts w:ascii="Times New Roman" w:hAnsi="Times New Roman" w:cs="Times New Roman"/>
              </w:rPr>
              <w:t> </w:t>
            </w:r>
            <w:r w:rsidRPr="007B75DC">
              <w:rPr>
                <w:rFonts w:ascii="Times New Roman" w:hAnsi="Times New Roman" w:cs="Times New Roman"/>
              </w:rPr>
              <w:t xml:space="preserve">dieną; </w:t>
            </w:r>
          </w:p>
          <w:p w14:paraId="37EA0CE1" w14:textId="519C3D13" w:rsidR="00DE2956" w:rsidRPr="007B75DC" w:rsidRDefault="00DE2956" w:rsidP="00DE2956">
            <w:pPr>
              <w:autoSpaceDE w:val="0"/>
              <w:autoSpaceDN w:val="0"/>
              <w:adjustRightInd w:val="0"/>
              <w:snapToGrid w:val="0"/>
              <w:spacing w:after="0" w:line="240" w:lineRule="auto"/>
              <w:ind w:left="34"/>
              <w:rPr>
                <w:rFonts w:ascii="Times New Roman" w:hAnsi="Times New Roman" w:cs="Times New Roman"/>
              </w:rPr>
            </w:pPr>
            <w:r w:rsidRPr="007B75DC">
              <w:rPr>
                <w:rFonts w:ascii="Times New Roman" w:hAnsi="Times New Roman" w:cs="Times New Roman"/>
              </w:rPr>
              <w:t>DEX 40 mg/per parą 1</w:t>
            </w:r>
            <w:r w:rsidR="00AF7515">
              <w:rPr>
                <w:rFonts w:ascii="Times New Roman" w:hAnsi="Times New Roman" w:cs="Times New Roman"/>
              </w:rPr>
              <w:t>–</w:t>
            </w:r>
            <w:r w:rsidRPr="007B75DC">
              <w:rPr>
                <w:rFonts w:ascii="Times New Roman" w:hAnsi="Times New Roman" w:cs="Times New Roman"/>
              </w:rPr>
              <w:t>4</w:t>
            </w:r>
            <w:r w:rsidR="00AF7515">
              <w:rPr>
                <w:rFonts w:ascii="Times New Roman" w:hAnsi="Times New Roman" w:cs="Times New Roman"/>
              </w:rPr>
              <w:t> </w:t>
            </w:r>
            <w:r w:rsidRPr="007B75DC">
              <w:rPr>
                <w:rFonts w:ascii="Times New Roman" w:hAnsi="Times New Roman" w:cs="Times New Roman"/>
              </w:rPr>
              <w:t>dienas ir 11</w:t>
            </w:r>
            <w:r w:rsidR="00AF7515">
              <w:rPr>
                <w:rFonts w:ascii="Times New Roman" w:hAnsi="Times New Roman" w:cs="Times New Roman"/>
              </w:rPr>
              <w:t>–</w:t>
            </w:r>
            <w:r w:rsidRPr="007B75DC">
              <w:rPr>
                <w:rFonts w:ascii="Times New Roman" w:hAnsi="Times New Roman" w:cs="Times New Roman"/>
              </w:rPr>
              <w:t>14</w:t>
            </w:r>
            <w:r w:rsidR="00AF7515">
              <w:rPr>
                <w:rFonts w:ascii="Times New Roman" w:hAnsi="Times New Roman" w:cs="Times New Roman"/>
              </w:rPr>
              <w:t> </w:t>
            </w:r>
            <w:r w:rsidRPr="007B75DC">
              <w:rPr>
                <w:rFonts w:ascii="Times New Roman" w:hAnsi="Times New Roman" w:cs="Times New Roman"/>
              </w:rPr>
              <w:t>dienas, keičiamas MTX 1 g/m</w:t>
            </w:r>
            <w:r w:rsidRPr="007B75DC">
              <w:rPr>
                <w:rFonts w:ascii="Times New Roman" w:hAnsi="Times New Roman" w:cs="Times New Roman"/>
                <w:vertAlign w:val="superscript"/>
              </w:rPr>
              <w:t>2</w:t>
            </w:r>
            <w:r w:rsidRPr="007B75DC">
              <w:rPr>
                <w:rFonts w:ascii="Times New Roman" w:hAnsi="Times New Roman" w:cs="Times New Roman"/>
              </w:rPr>
              <w:t xml:space="preserve"> i.v. (24</w:t>
            </w:r>
            <w:r w:rsidR="00AF7515">
              <w:rPr>
                <w:rFonts w:ascii="Times New Roman" w:hAnsi="Times New Roman" w:cs="Times New Roman"/>
              </w:rPr>
              <w:t> </w:t>
            </w:r>
            <w:r w:rsidRPr="007B75DC">
              <w:rPr>
                <w:rFonts w:ascii="Times New Roman" w:hAnsi="Times New Roman" w:cs="Times New Roman"/>
              </w:rPr>
              <w:t>valandos), 1</w:t>
            </w:r>
            <w:r w:rsidR="00AF7515">
              <w:rPr>
                <w:rFonts w:ascii="Times New Roman" w:hAnsi="Times New Roman" w:cs="Times New Roman"/>
              </w:rPr>
              <w:t> </w:t>
            </w:r>
            <w:r w:rsidRPr="007B75DC">
              <w:rPr>
                <w:rFonts w:ascii="Times New Roman" w:hAnsi="Times New Roman" w:cs="Times New Roman"/>
              </w:rPr>
              <w:t>dieną, Ara-C 1</w:t>
            </w:r>
            <w:r w:rsidR="00AF7515">
              <w:rPr>
                <w:rFonts w:ascii="Times New Roman" w:hAnsi="Times New Roman" w:cs="Times New Roman"/>
              </w:rPr>
              <w:t> </w:t>
            </w:r>
            <w:r w:rsidRPr="007B75DC">
              <w:rPr>
                <w:rFonts w:ascii="Times New Roman" w:hAnsi="Times New Roman" w:cs="Times New Roman"/>
              </w:rPr>
              <w:t>g/m</w:t>
            </w:r>
            <w:r w:rsidRPr="007B75DC">
              <w:rPr>
                <w:rFonts w:ascii="Times New Roman" w:hAnsi="Times New Roman" w:cs="Times New Roman"/>
                <w:vertAlign w:val="superscript"/>
              </w:rPr>
              <w:t>2</w:t>
            </w:r>
            <w:r w:rsidRPr="007B75DC">
              <w:rPr>
                <w:rFonts w:ascii="Times New Roman" w:hAnsi="Times New Roman" w:cs="Times New Roman"/>
              </w:rPr>
              <w:t xml:space="preserve"> i.v. (2</w:t>
            </w:r>
            <w:r w:rsidR="00AF7515">
              <w:rPr>
                <w:rFonts w:ascii="Times New Roman" w:hAnsi="Times New Roman" w:cs="Times New Roman"/>
              </w:rPr>
              <w:t> </w:t>
            </w:r>
            <w:r w:rsidRPr="007B75DC">
              <w:rPr>
                <w:rFonts w:ascii="Times New Roman" w:hAnsi="Times New Roman" w:cs="Times New Roman"/>
              </w:rPr>
              <w:t>valandos, 12</w:t>
            </w:r>
            <w:r w:rsidR="00AF7515">
              <w:rPr>
                <w:rFonts w:ascii="Times New Roman" w:hAnsi="Times New Roman" w:cs="Times New Roman"/>
              </w:rPr>
              <w:t> </w:t>
            </w:r>
            <w:r w:rsidRPr="007B75DC">
              <w:rPr>
                <w:rFonts w:ascii="Times New Roman" w:hAnsi="Times New Roman" w:cs="Times New Roman"/>
              </w:rPr>
              <w:t>valandų), 2</w:t>
            </w:r>
            <w:r w:rsidR="00AF7515">
              <w:rPr>
                <w:rFonts w:ascii="Times New Roman" w:hAnsi="Times New Roman" w:cs="Times New Roman"/>
              </w:rPr>
              <w:t>–</w:t>
            </w: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dieną (iš viso 8</w:t>
            </w:r>
            <w:r w:rsidR="00AF7515">
              <w:rPr>
                <w:rFonts w:ascii="Times New Roman" w:hAnsi="Times New Roman" w:cs="Times New Roman"/>
              </w:rPr>
              <w:t> </w:t>
            </w:r>
            <w:r w:rsidRPr="007B75DC">
              <w:rPr>
                <w:rFonts w:ascii="Times New Roman" w:hAnsi="Times New Roman" w:cs="Times New Roman"/>
              </w:rPr>
              <w:t>kursai).</w:t>
            </w:r>
          </w:p>
        </w:tc>
      </w:tr>
      <w:tr w:rsidR="00DE2956" w:rsidRPr="007B75DC" w14:paraId="45CF64B5" w14:textId="77777777" w:rsidTr="003F4907">
        <w:tc>
          <w:tcPr>
            <w:tcW w:w="1432" w:type="pct"/>
            <w:shd w:val="clear" w:color="auto" w:fill="auto"/>
          </w:tcPr>
          <w:p w14:paraId="07D493BB" w14:textId="77777777" w:rsidR="00DE2956" w:rsidRPr="007B75DC" w:rsidRDefault="00DE2956" w:rsidP="00DE2956">
            <w:pPr>
              <w:autoSpaceDE w:val="0"/>
              <w:autoSpaceDN w:val="0"/>
              <w:adjustRightInd w:val="0"/>
              <w:snapToGrid w:val="0"/>
              <w:spacing w:after="0" w:line="240" w:lineRule="auto"/>
              <w:ind w:left="426" w:hanging="426"/>
              <w:rPr>
                <w:rFonts w:ascii="Times New Roman" w:hAnsi="Times New Roman" w:cs="Times New Roman"/>
              </w:rPr>
            </w:pPr>
            <w:r w:rsidRPr="007B75DC">
              <w:rPr>
                <w:rFonts w:ascii="Times New Roman" w:hAnsi="Times New Roman" w:cs="Times New Roman"/>
              </w:rPr>
              <w:t>Palaikomasis gydymas</w:t>
            </w:r>
          </w:p>
        </w:tc>
        <w:tc>
          <w:tcPr>
            <w:tcW w:w="3568" w:type="pct"/>
            <w:shd w:val="clear" w:color="auto" w:fill="auto"/>
          </w:tcPr>
          <w:p w14:paraId="01341327" w14:textId="30632355" w:rsidR="00DE2956" w:rsidRPr="007B75DC" w:rsidRDefault="00DE2956" w:rsidP="00DE2956">
            <w:pPr>
              <w:autoSpaceDE w:val="0"/>
              <w:autoSpaceDN w:val="0"/>
              <w:adjustRightInd w:val="0"/>
              <w:snapToGrid w:val="0"/>
              <w:spacing w:after="0" w:line="240" w:lineRule="auto"/>
              <w:ind w:left="34"/>
              <w:rPr>
                <w:rFonts w:ascii="Times New Roman" w:hAnsi="Times New Roman" w:cs="Times New Roman"/>
              </w:rPr>
            </w:pPr>
            <w:r w:rsidRPr="007B75DC">
              <w:rPr>
                <w:rFonts w:ascii="Times New Roman" w:hAnsi="Times New Roman" w:cs="Times New Roman"/>
              </w:rPr>
              <w:t>VCR 2 mg i.v. kas mėnesį 13</w:t>
            </w:r>
            <w:r w:rsidR="00AF7515">
              <w:rPr>
                <w:rFonts w:ascii="Times New Roman" w:hAnsi="Times New Roman" w:cs="Times New Roman"/>
              </w:rPr>
              <w:t> </w:t>
            </w:r>
            <w:r w:rsidRPr="007B75DC">
              <w:rPr>
                <w:rFonts w:ascii="Times New Roman" w:hAnsi="Times New Roman" w:cs="Times New Roman"/>
              </w:rPr>
              <w:t>mėnesių; gerti prednizoloną po 200 mg, 5</w:t>
            </w:r>
            <w:r w:rsidR="00AF7515">
              <w:rPr>
                <w:rFonts w:ascii="Times New Roman" w:hAnsi="Times New Roman" w:cs="Times New Roman"/>
              </w:rPr>
              <w:t> </w:t>
            </w:r>
            <w:r w:rsidRPr="007B75DC">
              <w:rPr>
                <w:rFonts w:ascii="Times New Roman" w:hAnsi="Times New Roman" w:cs="Times New Roman"/>
              </w:rPr>
              <w:t>dienas per mėnesį 13</w:t>
            </w:r>
            <w:r w:rsidR="00AF7515">
              <w:rPr>
                <w:rFonts w:ascii="Times New Roman" w:hAnsi="Times New Roman" w:cs="Times New Roman"/>
              </w:rPr>
              <w:t> </w:t>
            </w:r>
            <w:r w:rsidRPr="007B75DC">
              <w:rPr>
                <w:rFonts w:ascii="Times New Roman" w:hAnsi="Times New Roman" w:cs="Times New Roman"/>
              </w:rPr>
              <w:t>mėnesių.</w:t>
            </w:r>
          </w:p>
        </w:tc>
      </w:tr>
      <w:tr w:rsidR="00DE2956" w:rsidRPr="007B75DC" w14:paraId="704B7D39" w14:textId="77777777" w:rsidTr="003F4907">
        <w:tc>
          <w:tcPr>
            <w:tcW w:w="5000" w:type="pct"/>
            <w:gridSpan w:val="2"/>
            <w:shd w:val="clear" w:color="auto" w:fill="auto"/>
          </w:tcPr>
          <w:p w14:paraId="40574DAB" w14:textId="77777777" w:rsidR="00DE2956" w:rsidRPr="007B75DC" w:rsidRDefault="00DE2956" w:rsidP="00DE2956">
            <w:pPr>
              <w:autoSpaceDE w:val="0"/>
              <w:autoSpaceDN w:val="0"/>
              <w:adjustRightInd w:val="0"/>
              <w:snapToGrid w:val="0"/>
              <w:spacing w:after="0" w:line="240" w:lineRule="auto"/>
              <w:ind w:left="34"/>
              <w:rPr>
                <w:rFonts w:ascii="Times New Roman" w:hAnsi="Times New Roman" w:cs="Times New Roman"/>
              </w:rPr>
            </w:pPr>
            <w:r w:rsidRPr="007B75DC">
              <w:rPr>
                <w:rFonts w:ascii="Times New Roman" w:hAnsi="Times New Roman" w:cs="Times New Roman"/>
              </w:rPr>
              <w:t>Visi gydymo režimai taikomi vartojant steroidų CNS ligų profilaktikai.</w:t>
            </w:r>
          </w:p>
        </w:tc>
      </w:tr>
      <w:tr w:rsidR="00DE2956" w:rsidRPr="007B75DC" w14:paraId="4C2A191E" w14:textId="77777777" w:rsidTr="003F4907">
        <w:tc>
          <w:tcPr>
            <w:tcW w:w="5000" w:type="pct"/>
            <w:gridSpan w:val="2"/>
            <w:shd w:val="clear" w:color="auto" w:fill="auto"/>
          </w:tcPr>
          <w:p w14:paraId="1B0FE753" w14:textId="77777777" w:rsidR="00DE2956" w:rsidRPr="007B75DC" w:rsidRDefault="00DE2956" w:rsidP="00DE2956">
            <w:pPr>
              <w:autoSpaceDE w:val="0"/>
              <w:autoSpaceDN w:val="0"/>
              <w:adjustRightInd w:val="0"/>
              <w:snapToGrid w:val="0"/>
              <w:spacing w:after="0" w:line="240" w:lineRule="auto"/>
              <w:ind w:left="34"/>
              <w:rPr>
                <w:rFonts w:ascii="Times New Roman" w:hAnsi="Times New Roman" w:cs="Times New Roman"/>
              </w:rPr>
            </w:pPr>
            <w:r w:rsidRPr="007B75DC">
              <w:rPr>
                <w:rFonts w:ascii="Times New Roman" w:hAnsi="Times New Roman" w:cs="Times New Roman"/>
              </w:rPr>
              <w:t>Ara-C: citozino arabinozidas; CP: ciklofosfamidas; DEX: deksametazonas; MTX: metotreksatas; 6-MP: 6-merkaptopurinas; VM26: tenipozidas; VCR: vinkristinas; IDA: idarubicinas; i.v.: vartoti į veną.</w:t>
            </w:r>
          </w:p>
        </w:tc>
      </w:tr>
    </w:tbl>
    <w:p w14:paraId="0612760F" w14:textId="77777777" w:rsidR="00DE2956" w:rsidRPr="007B75DC" w:rsidRDefault="00DE2956" w:rsidP="00DE2956">
      <w:pPr>
        <w:spacing w:after="0" w:line="240" w:lineRule="auto"/>
        <w:rPr>
          <w:rFonts w:ascii="Times New Roman" w:eastAsia="Times New Roman" w:hAnsi="Times New Roman" w:cs="Times New Roman"/>
          <w:b/>
          <w:szCs w:val="24"/>
        </w:rPr>
      </w:pPr>
    </w:p>
    <w:p w14:paraId="0D47CEFB" w14:textId="77777777" w:rsidR="003D15E3" w:rsidRPr="00534F79" w:rsidRDefault="00DE2956" w:rsidP="00DE2956">
      <w:pPr>
        <w:spacing w:after="0" w:line="240" w:lineRule="auto"/>
        <w:rPr>
          <w:rFonts w:ascii="Times New Roman" w:eastAsia="Times New Roman" w:hAnsi="Times New Roman" w:cs="Times New Roman"/>
          <w:iCs/>
          <w:szCs w:val="24"/>
          <w:u w:val="single"/>
        </w:rPr>
      </w:pPr>
      <w:r w:rsidRPr="00534F79">
        <w:rPr>
          <w:rFonts w:ascii="Times New Roman" w:eastAsia="Times New Roman" w:hAnsi="Times New Roman" w:cs="Times New Roman"/>
          <w:iCs/>
          <w:szCs w:val="24"/>
          <w:u w:val="single"/>
        </w:rPr>
        <w:t>Vaikų populiacija</w:t>
      </w:r>
    </w:p>
    <w:p w14:paraId="16DC2923" w14:textId="2E312B9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Į atvirąjį, daugiacentrį, nuoseklių kohortų, ne atsitiktinių imčių, III</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fazės klinikinį tyrimą I2301 buvo įtraukta iš viso 93</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vaikai, paaugliai ir jauni suaugę pacientai (nuo 1 iki 22</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metų), kurie sirgo Ph+ ŪLL. Šio tyrimo metu pacientams po indukcinio gydymo buvo skiriamas imatinibas (po 340</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kartu su intensyvia chemoterapija. 1</w:t>
      </w:r>
      <w:r w:rsidR="00AF7515">
        <w:rPr>
          <w:rFonts w:ascii="Times New Roman" w:eastAsia="Times New Roman" w:hAnsi="Times New Roman" w:cs="Times New Roman"/>
          <w:szCs w:val="24"/>
        </w:rPr>
        <w:t>–</w:t>
      </w:r>
      <w:r w:rsidRPr="007B75DC">
        <w:rPr>
          <w:rFonts w:ascii="Times New Roman" w:eastAsia="Times New Roman" w:hAnsi="Times New Roman" w:cs="Times New Roman"/>
          <w:szCs w:val="24"/>
        </w:rPr>
        <w:t>5</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kohortų pacientams imatinibas buvo skiriamas netolygiai, skirtingose kohortose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 xml:space="preserve">o buvo skiriama didėjančia trukme ir gydymas buvo </w:t>
      </w:r>
      <w:r w:rsidRPr="007B75DC">
        <w:rPr>
          <w:rFonts w:ascii="Times New Roman" w:eastAsia="Times New Roman" w:hAnsi="Times New Roman" w:cs="Times New Roman"/>
          <w:szCs w:val="24"/>
        </w:rPr>
        <w:lastRenderedPageBreak/>
        <w:t>pradedamas anksčiau arba vėliau; 1-osios kohortos pacientams buvo skiriamas mažiausio intensyvumo gydymas, o 5-osios kohortos pacientams buvo skiriamas intensyviausias gydymas imatinibu (ilgiausia vartojimo trukmė dienomis ir tęstinis imatinibo dozavimas kasdien pirmųjų chemoterapijos kursų metu). Skiriant tęstinį gydymą imatinibu kasdien nuo pat chemoterapijos kursų pradžios, 5-osios kohortos pacientų (n</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50) 4</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metų trukmės išgyvenamumo be recidyvų (angl. </w:t>
      </w:r>
      <w:r w:rsidRPr="007B75DC">
        <w:rPr>
          <w:rFonts w:ascii="Times New Roman" w:eastAsia="Times New Roman" w:hAnsi="Times New Roman" w:cs="Times New Roman"/>
          <w:i/>
          <w:szCs w:val="24"/>
        </w:rPr>
        <w:t>event-free survival</w:t>
      </w:r>
      <w:r w:rsidRPr="007B75DC">
        <w:rPr>
          <w:rFonts w:ascii="Times New Roman" w:eastAsia="Times New Roman" w:hAnsi="Times New Roman" w:cs="Times New Roman"/>
          <w:szCs w:val="24"/>
        </w:rPr>
        <w:t xml:space="preserve"> – EFS) rodiklis pagerėjo, lyginant su istoriniais duomenimis (n</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120), kai pastaruoju atveju pacientams buvo skiriama standartinė chemoterapija be imatinibo (atitinkamai 69,6</w:t>
      </w:r>
      <w:r w:rsidR="00701F5A">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31,6</w:t>
      </w:r>
      <w:r w:rsidR="00701F5A">
        <w:rPr>
          <w:rFonts w:ascii="Times New Roman" w:eastAsia="Times New Roman" w:hAnsi="Times New Roman" w:cs="Times New Roman"/>
          <w:szCs w:val="24"/>
        </w:rPr>
        <w:t> </w:t>
      </w:r>
      <w:r w:rsidRPr="007B75DC">
        <w:rPr>
          <w:rFonts w:ascii="Times New Roman" w:eastAsia="Times New Roman" w:hAnsi="Times New Roman" w:cs="Times New Roman"/>
          <w:szCs w:val="24"/>
        </w:rPr>
        <w:t>%). Tikėtinas 4</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metų trukmės bendrojo išgyvenamumo rodiklis 5-osios kohortos pacientams buvo 83,6</w:t>
      </w:r>
      <w:r w:rsidR="00AF7515">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44,8</w:t>
      </w:r>
      <w:r w:rsidR="00701F5A">
        <w:rPr>
          <w:rFonts w:ascii="Times New Roman" w:eastAsia="Times New Roman" w:hAnsi="Times New Roman" w:cs="Times New Roman"/>
          <w:szCs w:val="24"/>
        </w:rPr>
        <w:t> </w:t>
      </w:r>
      <w:r w:rsidRPr="007B75DC">
        <w:rPr>
          <w:rFonts w:ascii="Times New Roman" w:eastAsia="Times New Roman" w:hAnsi="Times New Roman" w:cs="Times New Roman"/>
          <w:szCs w:val="24"/>
        </w:rPr>
        <w:t>% istoriniais duomenimis. 20 iš 50 (40</w:t>
      </w:r>
      <w:r w:rsidR="00701F5A">
        <w:rPr>
          <w:rFonts w:ascii="Times New Roman" w:eastAsia="Times New Roman" w:hAnsi="Times New Roman" w:cs="Times New Roman"/>
          <w:szCs w:val="24"/>
        </w:rPr>
        <w:t> </w:t>
      </w:r>
      <w:r w:rsidRPr="007B75DC">
        <w:rPr>
          <w:rFonts w:ascii="Times New Roman" w:eastAsia="Times New Roman" w:hAnsi="Times New Roman" w:cs="Times New Roman"/>
          <w:szCs w:val="24"/>
        </w:rPr>
        <w:t>%) 5-osios kohortos pacientų buvo atlikta hematopoetinių kamieninių ląstelių transplantacija.</w:t>
      </w:r>
    </w:p>
    <w:p w14:paraId="1722CECD" w14:textId="77777777" w:rsidR="00DE2956" w:rsidRPr="007B75DC" w:rsidRDefault="00DE2956" w:rsidP="00DE2956">
      <w:pPr>
        <w:spacing w:after="0" w:line="240" w:lineRule="auto"/>
        <w:rPr>
          <w:rFonts w:ascii="Times New Roman" w:eastAsia="Times New Roman" w:hAnsi="Times New Roman" w:cs="Times New Roman"/>
          <w:b/>
          <w:szCs w:val="24"/>
        </w:rPr>
      </w:pPr>
    </w:p>
    <w:p w14:paraId="2D6452F5" w14:textId="2F629780" w:rsidR="00DE2956" w:rsidRPr="007B75DC" w:rsidRDefault="00F72F9C"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5</w:t>
      </w:r>
      <w:r w:rsidR="00AF7515">
        <w:rPr>
          <w:rFonts w:ascii="Times New Roman" w:eastAsia="Times New Roman" w:hAnsi="Times New Roman" w:cs="Times New Roman"/>
          <w:b/>
          <w:szCs w:val="24"/>
        </w:rPr>
        <w:t> </w:t>
      </w:r>
      <w:r w:rsidR="00DE2956" w:rsidRPr="007B75DC">
        <w:rPr>
          <w:rFonts w:ascii="Times New Roman" w:eastAsia="Times New Roman" w:hAnsi="Times New Roman" w:cs="Times New Roman"/>
          <w:b/>
          <w:szCs w:val="24"/>
        </w:rPr>
        <w:t>lentelė</w:t>
      </w:r>
      <w:r w:rsidR="00701F5A">
        <w:rPr>
          <w:rFonts w:ascii="Times New Roman" w:eastAsia="Times New Roman" w:hAnsi="Times New Roman" w:cs="Times New Roman"/>
          <w:b/>
          <w:szCs w:val="24"/>
        </w:rPr>
        <w:t>.</w:t>
      </w:r>
      <w:r w:rsidR="00DE2956" w:rsidRPr="007B75DC">
        <w:rPr>
          <w:rFonts w:ascii="Times New Roman" w:eastAsia="Times New Roman" w:hAnsi="Times New Roman" w:cs="Times New Roman"/>
          <w:b/>
          <w:szCs w:val="24"/>
        </w:rPr>
        <w:t xml:space="preserve"> Chemoterapijos gydymas, skirtas kartu su imatinibu I2301 tyrimo metu</w:t>
      </w:r>
      <w:r w:rsidR="00DE2956" w:rsidRPr="007B75DC">
        <w:rPr>
          <w:rFonts w:ascii="Times New Roman" w:eastAsia="Times New Roman" w:hAnsi="Times New Roman" w:cs="Times New Roman"/>
          <w:b/>
          <w:szCs w:val="24"/>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121"/>
      </w:tblGrid>
      <w:tr w:rsidR="00DE2956" w:rsidRPr="007B75DC" w14:paraId="11D22066" w14:textId="77777777" w:rsidTr="003F4907">
        <w:trPr>
          <w:trHeight w:val="770"/>
        </w:trPr>
        <w:tc>
          <w:tcPr>
            <w:tcW w:w="1622" w:type="pct"/>
            <w:tcBorders>
              <w:top w:val="single" w:sz="4" w:space="0" w:color="auto"/>
              <w:left w:val="single" w:sz="4" w:space="0" w:color="auto"/>
              <w:bottom w:val="single" w:sz="4" w:space="0" w:color="auto"/>
              <w:right w:val="single" w:sz="4" w:space="0" w:color="auto"/>
            </w:tcBorders>
            <w:hideMark/>
          </w:tcPr>
          <w:p w14:paraId="7CCF5B97" w14:textId="77777777" w:rsidR="00613EFF"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Konsoliduojančio gydymo blokas 1</w:t>
            </w:r>
          </w:p>
          <w:p w14:paraId="39F9A0D9" w14:textId="745ADA32"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savaitės)</w:t>
            </w:r>
          </w:p>
        </w:tc>
        <w:tc>
          <w:tcPr>
            <w:tcW w:w="3378" w:type="pct"/>
            <w:tcBorders>
              <w:top w:val="single" w:sz="4" w:space="0" w:color="auto"/>
              <w:left w:val="single" w:sz="4" w:space="0" w:color="auto"/>
              <w:bottom w:val="single" w:sz="4" w:space="0" w:color="auto"/>
              <w:right w:val="single" w:sz="4" w:space="0" w:color="auto"/>
            </w:tcBorders>
            <w:hideMark/>
          </w:tcPr>
          <w:p w14:paraId="389C7B60" w14:textId="0E62D086"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VP-16 (100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dienos</w:t>
            </w:r>
          </w:p>
          <w:p w14:paraId="6635E3D8" w14:textId="45B946B5"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Ifosfamidas (1,8 g/m</w:t>
            </w:r>
            <w:r w:rsidRPr="007B75DC">
              <w:rPr>
                <w:rFonts w:ascii="Times New Roman" w:hAnsi="Times New Roman" w:cs="Times New Roman"/>
                <w:vertAlign w:val="superscript"/>
              </w:rPr>
              <w:t>2</w:t>
            </w:r>
            <w:r w:rsidRPr="007B75DC">
              <w:rPr>
                <w:rFonts w:ascii="Times New Roman" w:hAnsi="Times New Roman" w:cs="Times New Roman"/>
              </w:rPr>
              <w:t xml:space="preserve"> per parą, IV):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dienos</w:t>
            </w:r>
          </w:p>
          <w:p w14:paraId="3C72CABB" w14:textId="34DAADD1"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MESNA (po 360 mg/m</w:t>
            </w:r>
            <w:r w:rsidRPr="007B75DC">
              <w:rPr>
                <w:rFonts w:ascii="Times New Roman" w:hAnsi="Times New Roman" w:cs="Times New Roman"/>
                <w:vertAlign w:val="superscript"/>
              </w:rPr>
              <w:t>2</w:t>
            </w:r>
            <w:r w:rsidRPr="007B75DC">
              <w:rPr>
                <w:rFonts w:ascii="Times New Roman" w:hAnsi="Times New Roman" w:cs="Times New Roman"/>
              </w:rPr>
              <w:t xml:space="preserve"> dozę q3h, 8</w:t>
            </w:r>
            <w:r w:rsidR="00AF7515">
              <w:rPr>
                <w:rFonts w:ascii="Times New Roman" w:hAnsi="Times New Roman" w:cs="Times New Roman"/>
              </w:rPr>
              <w:t> </w:t>
            </w:r>
            <w:r w:rsidRPr="007B75DC">
              <w:rPr>
                <w:rFonts w:ascii="Times New Roman" w:hAnsi="Times New Roman" w:cs="Times New Roman"/>
              </w:rPr>
              <w:t>dozės per parą, IV):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dienos</w:t>
            </w:r>
          </w:p>
          <w:p w14:paraId="1AD84C0A" w14:textId="224BF6AE"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G-CSF (5 μg/kg, SC): 6</w:t>
            </w:r>
            <w:r w:rsidR="00AF7515">
              <w:rPr>
                <w:rFonts w:ascii="Times New Roman" w:hAnsi="Times New Roman" w:cs="Times New Roman"/>
              </w:rPr>
              <w:t>–</w:t>
            </w:r>
            <w:r w:rsidRPr="007B75DC">
              <w:rPr>
                <w:rFonts w:ascii="Times New Roman" w:hAnsi="Times New Roman" w:cs="Times New Roman"/>
              </w:rPr>
              <w:t>15</w:t>
            </w:r>
            <w:r w:rsidR="00AF7515">
              <w:rPr>
                <w:rFonts w:ascii="Times New Roman" w:hAnsi="Times New Roman" w:cs="Times New Roman"/>
              </w:rPr>
              <w:t> </w:t>
            </w:r>
            <w:r w:rsidRPr="007B75DC">
              <w:rPr>
                <w:rFonts w:ascii="Times New Roman" w:hAnsi="Times New Roman" w:cs="Times New Roman"/>
              </w:rPr>
              <w:t>dienos arba kol ANS bus &gt;</w:t>
            </w:r>
            <w:r w:rsidR="00AF7515">
              <w:rPr>
                <w:rFonts w:ascii="Times New Roman" w:hAnsi="Times New Roman" w:cs="Times New Roman"/>
              </w:rPr>
              <w:t> </w:t>
            </w:r>
            <w:r w:rsidRPr="007B75DC">
              <w:rPr>
                <w:rFonts w:ascii="Times New Roman" w:hAnsi="Times New Roman" w:cs="Times New Roman"/>
              </w:rPr>
              <w:t>1500 nuo žemiausios reikšmės</w:t>
            </w:r>
          </w:p>
          <w:p w14:paraId="76E9E8E1"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IT Metotreksatas (dozė priklausomai nuo amžiaus): TIK 1-ąją dieną</w:t>
            </w:r>
          </w:p>
          <w:p w14:paraId="06980A5C" w14:textId="5743335F"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Trigubas IT gydymas (dozė priklausomai nuo amžiaus): 8, 15</w:t>
            </w:r>
            <w:r w:rsidR="00AF7515">
              <w:rPr>
                <w:rFonts w:ascii="Times New Roman" w:hAnsi="Times New Roman" w:cs="Times New Roman"/>
              </w:rPr>
              <w:t> </w:t>
            </w:r>
            <w:r w:rsidRPr="007B75DC">
              <w:rPr>
                <w:rFonts w:ascii="Times New Roman" w:hAnsi="Times New Roman" w:cs="Times New Roman"/>
              </w:rPr>
              <w:t>dienos</w:t>
            </w:r>
          </w:p>
        </w:tc>
      </w:tr>
      <w:tr w:rsidR="00DE2956" w:rsidRPr="007B75DC" w14:paraId="6C7A3707" w14:textId="77777777" w:rsidTr="003F4907">
        <w:trPr>
          <w:trHeight w:val="770"/>
        </w:trPr>
        <w:tc>
          <w:tcPr>
            <w:tcW w:w="1622" w:type="pct"/>
            <w:tcBorders>
              <w:top w:val="single" w:sz="4" w:space="0" w:color="auto"/>
              <w:left w:val="single" w:sz="4" w:space="0" w:color="auto"/>
              <w:bottom w:val="single" w:sz="4" w:space="0" w:color="auto"/>
              <w:right w:val="single" w:sz="4" w:space="0" w:color="auto"/>
            </w:tcBorders>
            <w:hideMark/>
          </w:tcPr>
          <w:p w14:paraId="4531ACA4" w14:textId="77777777" w:rsidR="00613EFF"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Konsoliduojančio gydymo blokas 2</w:t>
            </w:r>
          </w:p>
          <w:p w14:paraId="1DB8E347" w14:textId="4816AC43"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savaitės)</w:t>
            </w:r>
          </w:p>
        </w:tc>
        <w:tc>
          <w:tcPr>
            <w:tcW w:w="3378" w:type="pct"/>
            <w:tcBorders>
              <w:top w:val="single" w:sz="4" w:space="0" w:color="auto"/>
              <w:left w:val="single" w:sz="4" w:space="0" w:color="auto"/>
              <w:bottom w:val="single" w:sz="4" w:space="0" w:color="auto"/>
              <w:right w:val="single" w:sz="4" w:space="0" w:color="auto"/>
            </w:tcBorders>
            <w:hideMark/>
          </w:tcPr>
          <w:p w14:paraId="58F3CA25" w14:textId="28DB5DA2"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Metotreksatas (5 g/m</w:t>
            </w:r>
            <w:r w:rsidRPr="007B75DC">
              <w:rPr>
                <w:rFonts w:ascii="Times New Roman" w:hAnsi="Times New Roman" w:cs="Times New Roman"/>
                <w:vertAlign w:val="superscript"/>
              </w:rPr>
              <w:t>2</w:t>
            </w:r>
            <w:r w:rsidRPr="007B75DC">
              <w:rPr>
                <w:rFonts w:ascii="Times New Roman" w:hAnsi="Times New Roman" w:cs="Times New Roman"/>
              </w:rPr>
              <w:t xml:space="preserve"> per 24</w:t>
            </w:r>
            <w:r w:rsidR="00AF7515">
              <w:rPr>
                <w:rFonts w:ascii="Times New Roman" w:hAnsi="Times New Roman" w:cs="Times New Roman"/>
              </w:rPr>
              <w:t> </w:t>
            </w:r>
            <w:r w:rsidRPr="007B75DC">
              <w:rPr>
                <w:rFonts w:ascii="Times New Roman" w:hAnsi="Times New Roman" w:cs="Times New Roman"/>
              </w:rPr>
              <w:t xml:space="preserve">valandas, IV): 1-ąją dieną </w:t>
            </w:r>
          </w:p>
          <w:p w14:paraId="1B9EE5DB" w14:textId="630CF6B5"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Leukovorinas (75 mg/m</w:t>
            </w:r>
            <w:r w:rsidRPr="007B75DC">
              <w:rPr>
                <w:rFonts w:ascii="Times New Roman" w:hAnsi="Times New Roman" w:cs="Times New Roman"/>
                <w:vertAlign w:val="superscript"/>
              </w:rPr>
              <w:t>2</w:t>
            </w:r>
            <w:r w:rsidRPr="007B75DC">
              <w:rPr>
                <w:rFonts w:ascii="Times New Roman" w:hAnsi="Times New Roman" w:cs="Times New Roman"/>
              </w:rPr>
              <w:t xml:space="preserve"> po 36</w:t>
            </w:r>
            <w:r w:rsidR="00AF7515">
              <w:rPr>
                <w:rFonts w:ascii="Times New Roman" w:hAnsi="Times New Roman" w:cs="Times New Roman"/>
              </w:rPr>
              <w:t> </w:t>
            </w:r>
            <w:r w:rsidRPr="007B75DC">
              <w:rPr>
                <w:rFonts w:ascii="Times New Roman" w:hAnsi="Times New Roman" w:cs="Times New Roman"/>
              </w:rPr>
              <w:t>valandų, IV; 15 mg/m</w:t>
            </w:r>
            <w:r w:rsidRPr="007B75DC">
              <w:rPr>
                <w:rFonts w:ascii="Times New Roman" w:hAnsi="Times New Roman" w:cs="Times New Roman"/>
                <w:vertAlign w:val="superscript"/>
              </w:rPr>
              <w:t>2</w:t>
            </w:r>
            <w:r w:rsidRPr="007B75DC">
              <w:rPr>
                <w:rFonts w:ascii="Times New Roman" w:hAnsi="Times New Roman" w:cs="Times New Roman"/>
              </w:rPr>
              <w:t xml:space="preserve"> IV ar PO q6h x 6</w:t>
            </w:r>
            <w:r w:rsidR="00AF7515">
              <w:rPr>
                <w:rFonts w:ascii="Times New Roman" w:hAnsi="Times New Roman" w:cs="Times New Roman"/>
              </w:rPr>
              <w:t> </w:t>
            </w:r>
            <w:r w:rsidRPr="007B75DC">
              <w:rPr>
                <w:rFonts w:ascii="Times New Roman" w:hAnsi="Times New Roman" w:cs="Times New Roman"/>
              </w:rPr>
              <w:t xml:space="preserve">dozės) iii: 2-ąją ir 3-iąją dienomis </w:t>
            </w:r>
          </w:p>
          <w:p w14:paraId="39E4B210"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 xml:space="preserve">Trigubas IT gydymas (dozė priklausomai nuo amžiaus): 1-ąją dieną </w:t>
            </w:r>
          </w:p>
          <w:p w14:paraId="158FEFCC"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ARA-C (3 g/m</w:t>
            </w:r>
            <w:r w:rsidRPr="007B75DC">
              <w:rPr>
                <w:rFonts w:ascii="Times New Roman" w:hAnsi="Times New Roman" w:cs="Times New Roman"/>
                <w:vertAlign w:val="superscript"/>
              </w:rPr>
              <w:t>2</w:t>
            </w:r>
            <w:r w:rsidRPr="007B75DC">
              <w:rPr>
                <w:rFonts w:ascii="Times New Roman" w:hAnsi="Times New Roman" w:cs="Times New Roman"/>
              </w:rPr>
              <w:t xml:space="preserve"> dozė q12h x 4, IV): 2-ąją ir 3-iąją dienomis </w:t>
            </w:r>
          </w:p>
          <w:p w14:paraId="4DEF32BC" w14:textId="6CFA43EB"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G-CSF (5</w:t>
            </w:r>
            <w:r w:rsidR="00AF7515">
              <w:rPr>
                <w:rFonts w:ascii="Times New Roman" w:hAnsi="Times New Roman" w:cs="Times New Roman"/>
              </w:rPr>
              <w:t> </w:t>
            </w:r>
            <w:r w:rsidRPr="007B75DC">
              <w:rPr>
                <w:rFonts w:ascii="Times New Roman" w:hAnsi="Times New Roman" w:cs="Times New Roman"/>
              </w:rPr>
              <w:t>μg/kg, SC): 4</w:t>
            </w:r>
            <w:r w:rsidR="00AF7515">
              <w:rPr>
                <w:rFonts w:ascii="Times New Roman" w:hAnsi="Times New Roman" w:cs="Times New Roman"/>
              </w:rPr>
              <w:t>–</w:t>
            </w:r>
            <w:r w:rsidRPr="007B75DC">
              <w:rPr>
                <w:rFonts w:ascii="Times New Roman" w:hAnsi="Times New Roman" w:cs="Times New Roman"/>
              </w:rPr>
              <w:t>13</w:t>
            </w:r>
            <w:r w:rsidR="00AF7515">
              <w:rPr>
                <w:rFonts w:ascii="Times New Roman" w:hAnsi="Times New Roman" w:cs="Times New Roman"/>
              </w:rPr>
              <w:t> </w:t>
            </w:r>
            <w:r w:rsidRPr="007B75DC">
              <w:rPr>
                <w:rFonts w:ascii="Times New Roman" w:hAnsi="Times New Roman" w:cs="Times New Roman"/>
              </w:rPr>
              <w:t>dienos arba kol ANS bus &gt;</w:t>
            </w:r>
            <w:r w:rsidR="00AF7515">
              <w:rPr>
                <w:rFonts w:ascii="Times New Roman" w:hAnsi="Times New Roman" w:cs="Times New Roman"/>
              </w:rPr>
              <w:t> </w:t>
            </w:r>
            <w:r w:rsidRPr="007B75DC">
              <w:rPr>
                <w:rFonts w:ascii="Times New Roman" w:hAnsi="Times New Roman" w:cs="Times New Roman"/>
              </w:rPr>
              <w:t>1500 nuo žemiausios reikšmės</w:t>
            </w:r>
          </w:p>
        </w:tc>
      </w:tr>
      <w:tr w:rsidR="00DE2956" w:rsidRPr="007B75DC" w14:paraId="3AD33966" w14:textId="77777777" w:rsidTr="003F4907">
        <w:trPr>
          <w:trHeight w:val="900"/>
        </w:trPr>
        <w:tc>
          <w:tcPr>
            <w:tcW w:w="1622" w:type="pct"/>
            <w:tcBorders>
              <w:top w:val="single" w:sz="4" w:space="0" w:color="auto"/>
              <w:left w:val="single" w:sz="4" w:space="0" w:color="auto"/>
              <w:bottom w:val="single" w:sz="4" w:space="0" w:color="auto"/>
              <w:right w:val="single" w:sz="4" w:space="0" w:color="auto"/>
            </w:tcBorders>
            <w:hideMark/>
          </w:tcPr>
          <w:p w14:paraId="279DF47E" w14:textId="77777777" w:rsidR="00613EFF"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Reindukcinio gydymo blokas 1</w:t>
            </w:r>
          </w:p>
          <w:p w14:paraId="71B93D71" w14:textId="580C7A0B"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savaitės)</w:t>
            </w:r>
          </w:p>
        </w:tc>
        <w:tc>
          <w:tcPr>
            <w:tcW w:w="3378" w:type="pct"/>
            <w:tcBorders>
              <w:top w:val="single" w:sz="4" w:space="0" w:color="auto"/>
              <w:left w:val="single" w:sz="4" w:space="0" w:color="auto"/>
              <w:bottom w:val="single" w:sz="4" w:space="0" w:color="auto"/>
              <w:right w:val="single" w:sz="4" w:space="0" w:color="auto"/>
            </w:tcBorders>
            <w:hideMark/>
          </w:tcPr>
          <w:p w14:paraId="6A7716AD" w14:textId="71B2D295"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VCR (1,5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1, 8 ir 15</w:t>
            </w:r>
            <w:r w:rsidR="00AF7515">
              <w:rPr>
                <w:rFonts w:ascii="Times New Roman" w:hAnsi="Times New Roman" w:cs="Times New Roman"/>
              </w:rPr>
              <w:t> </w:t>
            </w:r>
            <w:r w:rsidRPr="007B75DC">
              <w:rPr>
                <w:rFonts w:ascii="Times New Roman" w:hAnsi="Times New Roman" w:cs="Times New Roman"/>
              </w:rPr>
              <w:t xml:space="preserve">dienos </w:t>
            </w:r>
          </w:p>
          <w:p w14:paraId="75ADEA26"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DAUN (45 mg/m</w:t>
            </w:r>
            <w:r w:rsidRPr="007B75DC">
              <w:rPr>
                <w:rFonts w:ascii="Times New Roman" w:hAnsi="Times New Roman" w:cs="Times New Roman"/>
                <w:vertAlign w:val="superscript"/>
              </w:rPr>
              <w:t>2</w:t>
            </w:r>
            <w:r w:rsidRPr="007B75DC">
              <w:rPr>
                <w:rFonts w:ascii="Times New Roman" w:hAnsi="Times New Roman" w:cs="Times New Roman"/>
              </w:rPr>
              <w:t xml:space="preserve"> per parą boliusu, IV): 1-ąją ir 2-ąją dienomis </w:t>
            </w:r>
          </w:p>
          <w:p w14:paraId="2BFCA4F3" w14:textId="74458F1E"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CPM (250 mg/m</w:t>
            </w:r>
            <w:r w:rsidRPr="007B75DC">
              <w:rPr>
                <w:rFonts w:ascii="Times New Roman" w:hAnsi="Times New Roman" w:cs="Times New Roman"/>
                <w:vertAlign w:val="superscript"/>
              </w:rPr>
              <w:t>2</w:t>
            </w:r>
            <w:r w:rsidRPr="007B75DC">
              <w:rPr>
                <w:rFonts w:ascii="Times New Roman" w:hAnsi="Times New Roman" w:cs="Times New Roman"/>
              </w:rPr>
              <w:t xml:space="preserve"> dozė q12h x 4</w:t>
            </w:r>
            <w:r w:rsidR="00AF7515">
              <w:rPr>
                <w:rFonts w:ascii="Times New Roman" w:hAnsi="Times New Roman" w:cs="Times New Roman"/>
              </w:rPr>
              <w:t> </w:t>
            </w:r>
            <w:r w:rsidRPr="007B75DC">
              <w:rPr>
                <w:rFonts w:ascii="Times New Roman" w:hAnsi="Times New Roman" w:cs="Times New Roman"/>
              </w:rPr>
              <w:t xml:space="preserve">dozės, IV): 3-iąją ir 4-ąją dienomis </w:t>
            </w:r>
          </w:p>
          <w:p w14:paraId="1650BC8C" w14:textId="2B906ECE"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PEG-ASP (2500</w:t>
            </w:r>
            <w:r w:rsidR="00AF7515">
              <w:rPr>
                <w:rFonts w:ascii="Times New Roman" w:hAnsi="Times New Roman" w:cs="Times New Roman"/>
              </w:rPr>
              <w:t> </w:t>
            </w:r>
            <w:r w:rsidRPr="007B75DC">
              <w:rPr>
                <w:rFonts w:ascii="Times New Roman" w:hAnsi="Times New Roman" w:cs="Times New Roman"/>
              </w:rPr>
              <w:t>TV/m</w:t>
            </w:r>
            <w:r w:rsidRPr="007B75DC">
              <w:rPr>
                <w:rFonts w:ascii="Times New Roman" w:hAnsi="Times New Roman" w:cs="Times New Roman"/>
                <w:vertAlign w:val="superscript"/>
              </w:rPr>
              <w:t>2</w:t>
            </w:r>
            <w:r w:rsidRPr="007B75DC">
              <w:rPr>
                <w:rFonts w:ascii="Times New Roman" w:hAnsi="Times New Roman" w:cs="Times New Roman"/>
              </w:rPr>
              <w:t xml:space="preserve">, IM): 4-ąją dieną </w:t>
            </w:r>
          </w:p>
          <w:p w14:paraId="325DF82A" w14:textId="6F1137E4"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G-CSF (5</w:t>
            </w:r>
            <w:r w:rsidR="00AF7515">
              <w:rPr>
                <w:rFonts w:ascii="Times New Roman" w:hAnsi="Times New Roman" w:cs="Times New Roman"/>
              </w:rPr>
              <w:t> </w:t>
            </w:r>
            <w:r w:rsidRPr="007B75DC">
              <w:rPr>
                <w:rFonts w:ascii="Times New Roman" w:hAnsi="Times New Roman" w:cs="Times New Roman"/>
              </w:rPr>
              <w:t>μg/kg, SC): 5</w:t>
            </w:r>
            <w:r w:rsidR="00AF7515">
              <w:rPr>
                <w:rFonts w:ascii="Times New Roman" w:hAnsi="Times New Roman" w:cs="Times New Roman"/>
              </w:rPr>
              <w:t>–</w:t>
            </w:r>
            <w:r w:rsidRPr="007B75DC">
              <w:rPr>
                <w:rFonts w:ascii="Times New Roman" w:hAnsi="Times New Roman" w:cs="Times New Roman"/>
              </w:rPr>
              <w:t>14</w:t>
            </w:r>
            <w:r w:rsidR="00AF7515">
              <w:rPr>
                <w:rFonts w:ascii="Times New Roman" w:hAnsi="Times New Roman" w:cs="Times New Roman"/>
              </w:rPr>
              <w:t> </w:t>
            </w:r>
            <w:r w:rsidRPr="007B75DC">
              <w:rPr>
                <w:rFonts w:ascii="Times New Roman" w:hAnsi="Times New Roman" w:cs="Times New Roman"/>
              </w:rPr>
              <w:t>dienos arba kol ANS bus &gt;</w:t>
            </w:r>
            <w:r w:rsidR="00AF7515">
              <w:rPr>
                <w:rFonts w:ascii="Times New Roman" w:hAnsi="Times New Roman" w:cs="Times New Roman"/>
              </w:rPr>
              <w:t> </w:t>
            </w:r>
            <w:r w:rsidRPr="007B75DC">
              <w:rPr>
                <w:rFonts w:ascii="Times New Roman" w:hAnsi="Times New Roman" w:cs="Times New Roman"/>
              </w:rPr>
              <w:t xml:space="preserve">1500 nuo žemiausios reikšmės </w:t>
            </w:r>
          </w:p>
          <w:p w14:paraId="5A062AAA"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 xml:space="preserve">Trigubas IT gydymas (dozė priklausomai nuo amžiaus): 1-ąją ir 15-ąją dienomis </w:t>
            </w:r>
          </w:p>
          <w:p w14:paraId="399F9992" w14:textId="0E91257E"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DEX (6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w:t>
            </w:r>
            <w:r w:rsidR="00AF7515">
              <w:rPr>
                <w:rFonts w:ascii="Times New Roman" w:hAnsi="Times New Roman" w:cs="Times New Roman"/>
              </w:rPr>
              <w:t>–</w:t>
            </w:r>
            <w:r w:rsidRPr="007B75DC">
              <w:rPr>
                <w:rFonts w:ascii="Times New Roman" w:hAnsi="Times New Roman" w:cs="Times New Roman"/>
              </w:rPr>
              <w:t>7</w:t>
            </w:r>
            <w:r w:rsidR="00AF7515">
              <w:rPr>
                <w:rFonts w:ascii="Times New Roman" w:hAnsi="Times New Roman" w:cs="Times New Roman"/>
              </w:rPr>
              <w:t> </w:t>
            </w:r>
            <w:r w:rsidRPr="007B75DC">
              <w:rPr>
                <w:rFonts w:ascii="Times New Roman" w:hAnsi="Times New Roman" w:cs="Times New Roman"/>
              </w:rPr>
              <w:t>dienos ir 15</w:t>
            </w:r>
            <w:r w:rsidR="00AF7515">
              <w:rPr>
                <w:rFonts w:ascii="Times New Roman" w:hAnsi="Times New Roman" w:cs="Times New Roman"/>
              </w:rPr>
              <w:t>–</w:t>
            </w:r>
            <w:r w:rsidRPr="007B75DC">
              <w:rPr>
                <w:rFonts w:ascii="Times New Roman" w:hAnsi="Times New Roman" w:cs="Times New Roman"/>
              </w:rPr>
              <w:t>21</w:t>
            </w:r>
            <w:r w:rsidR="00AF7515">
              <w:rPr>
                <w:rFonts w:ascii="Times New Roman" w:hAnsi="Times New Roman" w:cs="Times New Roman"/>
              </w:rPr>
              <w:t> </w:t>
            </w:r>
            <w:r w:rsidRPr="007B75DC">
              <w:rPr>
                <w:rFonts w:ascii="Times New Roman" w:hAnsi="Times New Roman" w:cs="Times New Roman"/>
              </w:rPr>
              <w:t>dienos</w:t>
            </w:r>
          </w:p>
        </w:tc>
      </w:tr>
      <w:tr w:rsidR="00DE2956" w:rsidRPr="007B75DC" w14:paraId="3056EDD1" w14:textId="77777777" w:rsidTr="003F4907">
        <w:trPr>
          <w:trHeight w:val="900"/>
        </w:trPr>
        <w:tc>
          <w:tcPr>
            <w:tcW w:w="1622" w:type="pct"/>
            <w:tcBorders>
              <w:top w:val="single" w:sz="4" w:space="0" w:color="auto"/>
              <w:left w:val="single" w:sz="4" w:space="0" w:color="auto"/>
              <w:bottom w:val="single" w:sz="4" w:space="0" w:color="auto"/>
              <w:right w:val="single" w:sz="4" w:space="0" w:color="auto"/>
            </w:tcBorders>
            <w:hideMark/>
          </w:tcPr>
          <w:p w14:paraId="544DE335" w14:textId="77777777" w:rsidR="00613EFF"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Intensyvinimo blokas 1</w:t>
            </w:r>
          </w:p>
          <w:p w14:paraId="4B124A56" w14:textId="715804BF"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(9</w:t>
            </w:r>
            <w:r w:rsidR="00AF7515">
              <w:rPr>
                <w:rFonts w:ascii="Times New Roman" w:hAnsi="Times New Roman" w:cs="Times New Roman"/>
              </w:rPr>
              <w:t> </w:t>
            </w:r>
            <w:r w:rsidRPr="007B75DC">
              <w:rPr>
                <w:rFonts w:ascii="Times New Roman" w:hAnsi="Times New Roman" w:cs="Times New Roman"/>
              </w:rPr>
              <w:t>savaitės)</w:t>
            </w:r>
          </w:p>
        </w:tc>
        <w:tc>
          <w:tcPr>
            <w:tcW w:w="3378" w:type="pct"/>
            <w:tcBorders>
              <w:top w:val="single" w:sz="4" w:space="0" w:color="auto"/>
              <w:left w:val="single" w:sz="4" w:space="0" w:color="auto"/>
              <w:bottom w:val="single" w:sz="4" w:space="0" w:color="auto"/>
              <w:right w:val="single" w:sz="4" w:space="0" w:color="auto"/>
            </w:tcBorders>
            <w:hideMark/>
          </w:tcPr>
          <w:p w14:paraId="17BA962B" w14:textId="58BB1982"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Metotreksatas (5 g/m</w:t>
            </w:r>
            <w:r w:rsidRPr="007B75DC">
              <w:rPr>
                <w:rFonts w:ascii="Times New Roman" w:hAnsi="Times New Roman" w:cs="Times New Roman"/>
                <w:vertAlign w:val="superscript"/>
              </w:rPr>
              <w:t>2</w:t>
            </w:r>
            <w:r w:rsidRPr="007B75DC">
              <w:rPr>
                <w:rFonts w:ascii="Times New Roman" w:hAnsi="Times New Roman" w:cs="Times New Roman"/>
              </w:rPr>
              <w:t xml:space="preserve"> per 24</w:t>
            </w:r>
            <w:r w:rsidR="00AF7515">
              <w:rPr>
                <w:rFonts w:ascii="Times New Roman" w:hAnsi="Times New Roman" w:cs="Times New Roman"/>
              </w:rPr>
              <w:t> </w:t>
            </w:r>
            <w:r w:rsidRPr="007B75DC">
              <w:rPr>
                <w:rFonts w:ascii="Times New Roman" w:hAnsi="Times New Roman" w:cs="Times New Roman"/>
              </w:rPr>
              <w:t xml:space="preserve">valandas, IV): 1-ąją ir 15-ąją dienomis </w:t>
            </w:r>
          </w:p>
          <w:p w14:paraId="6C1FA9B0" w14:textId="53B12959"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Leukovorinas (75 mg/m</w:t>
            </w:r>
            <w:r w:rsidRPr="007B75DC">
              <w:rPr>
                <w:rFonts w:ascii="Times New Roman" w:hAnsi="Times New Roman" w:cs="Times New Roman"/>
                <w:vertAlign w:val="superscript"/>
              </w:rPr>
              <w:t>2</w:t>
            </w:r>
            <w:r w:rsidRPr="007B75DC">
              <w:rPr>
                <w:rFonts w:ascii="Times New Roman" w:hAnsi="Times New Roman" w:cs="Times New Roman"/>
              </w:rPr>
              <w:t xml:space="preserve"> po 36</w:t>
            </w:r>
            <w:r w:rsidR="00AF7515">
              <w:rPr>
                <w:rFonts w:ascii="Times New Roman" w:hAnsi="Times New Roman" w:cs="Times New Roman"/>
              </w:rPr>
              <w:t> </w:t>
            </w:r>
            <w:r w:rsidRPr="007B75DC">
              <w:rPr>
                <w:rFonts w:ascii="Times New Roman" w:hAnsi="Times New Roman" w:cs="Times New Roman"/>
              </w:rPr>
              <w:t>valandų, IV; 15 mg/m</w:t>
            </w:r>
            <w:r w:rsidRPr="007B75DC">
              <w:rPr>
                <w:rFonts w:ascii="Times New Roman" w:hAnsi="Times New Roman" w:cs="Times New Roman"/>
                <w:vertAlign w:val="superscript"/>
              </w:rPr>
              <w:t>2</w:t>
            </w:r>
            <w:r w:rsidRPr="007B75DC">
              <w:rPr>
                <w:rFonts w:ascii="Times New Roman" w:hAnsi="Times New Roman" w:cs="Times New Roman"/>
              </w:rPr>
              <w:t xml:space="preserve"> IV ar PO q6h x 6</w:t>
            </w:r>
            <w:r w:rsidR="00AF7515">
              <w:rPr>
                <w:rFonts w:ascii="Times New Roman" w:hAnsi="Times New Roman" w:cs="Times New Roman"/>
              </w:rPr>
              <w:t> </w:t>
            </w:r>
            <w:r w:rsidRPr="007B75DC">
              <w:rPr>
                <w:rFonts w:ascii="Times New Roman" w:hAnsi="Times New Roman" w:cs="Times New Roman"/>
              </w:rPr>
              <w:t>dozės) iii: 2, 3, 16 ir 17</w:t>
            </w:r>
            <w:r w:rsidR="00AF7515">
              <w:rPr>
                <w:rFonts w:ascii="Times New Roman" w:hAnsi="Times New Roman" w:cs="Times New Roman"/>
              </w:rPr>
              <w:t> </w:t>
            </w:r>
            <w:r w:rsidRPr="007B75DC">
              <w:rPr>
                <w:rFonts w:ascii="Times New Roman" w:hAnsi="Times New Roman" w:cs="Times New Roman"/>
              </w:rPr>
              <w:t xml:space="preserve">dienomis </w:t>
            </w:r>
          </w:p>
          <w:p w14:paraId="15BDBC60"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 xml:space="preserve">Trigubas IT gydymas (dozė priklausomai nuo amžiaus): 1-ąją ir 22-ąją dienomis </w:t>
            </w:r>
          </w:p>
          <w:p w14:paraId="2AF07708" w14:textId="71625024"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VP-16 (100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22</w:t>
            </w:r>
            <w:r w:rsidR="00AF7515">
              <w:rPr>
                <w:rFonts w:ascii="Times New Roman" w:hAnsi="Times New Roman" w:cs="Times New Roman"/>
              </w:rPr>
              <w:t>–</w:t>
            </w:r>
            <w:r w:rsidRPr="007B75DC">
              <w:rPr>
                <w:rFonts w:ascii="Times New Roman" w:hAnsi="Times New Roman" w:cs="Times New Roman"/>
              </w:rPr>
              <w:t>26</w:t>
            </w:r>
            <w:r w:rsidR="00AF7515">
              <w:rPr>
                <w:rFonts w:ascii="Times New Roman" w:hAnsi="Times New Roman" w:cs="Times New Roman"/>
              </w:rPr>
              <w:t> </w:t>
            </w:r>
            <w:r w:rsidRPr="007B75DC">
              <w:rPr>
                <w:rFonts w:ascii="Times New Roman" w:hAnsi="Times New Roman" w:cs="Times New Roman"/>
              </w:rPr>
              <w:t xml:space="preserve">dienos </w:t>
            </w:r>
          </w:p>
          <w:p w14:paraId="661344AC" w14:textId="76D43F2C"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CPM (300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22</w:t>
            </w:r>
            <w:r w:rsidR="00AF7515">
              <w:rPr>
                <w:rFonts w:ascii="Times New Roman" w:hAnsi="Times New Roman" w:cs="Times New Roman"/>
              </w:rPr>
              <w:t>–</w:t>
            </w:r>
            <w:r w:rsidRPr="007B75DC">
              <w:rPr>
                <w:rFonts w:ascii="Times New Roman" w:hAnsi="Times New Roman" w:cs="Times New Roman"/>
              </w:rPr>
              <w:t>26</w:t>
            </w:r>
            <w:r w:rsidR="00AF7515">
              <w:rPr>
                <w:rFonts w:ascii="Times New Roman" w:hAnsi="Times New Roman" w:cs="Times New Roman"/>
              </w:rPr>
              <w:t> </w:t>
            </w:r>
            <w:r w:rsidRPr="007B75DC">
              <w:rPr>
                <w:rFonts w:ascii="Times New Roman" w:hAnsi="Times New Roman" w:cs="Times New Roman"/>
              </w:rPr>
              <w:t xml:space="preserve">dienos </w:t>
            </w:r>
          </w:p>
          <w:p w14:paraId="0C3E615D" w14:textId="5AF0467D"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MESNA (150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22</w:t>
            </w:r>
            <w:r w:rsidR="00AF7515">
              <w:rPr>
                <w:rFonts w:ascii="Times New Roman" w:hAnsi="Times New Roman" w:cs="Times New Roman"/>
              </w:rPr>
              <w:t>–</w:t>
            </w:r>
            <w:r w:rsidRPr="007B75DC">
              <w:rPr>
                <w:rFonts w:ascii="Times New Roman" w:hAnsi="Times New Roman" w:cs="Times New Roman"/>
              </w:rPr>
              <w:t>26</w:t>
            </w:r>
            <w:r w:rsidR="00AF7515">
              <w:rPr>
                <w:rFonts w:ascii="Times New Roman" w:hAnsi="Times New Roman" w:cs="Times New Roman"/>
              </w:rPr>
              <w:t> </w:t>
            </w:r>
            <w:r w:rsidRPr="007B75DC">
              <w:rPr>
                <w:rFonts w:ascii="Times New Roman" w:hAnsi="Times New Roman" w:cs="Times New Roman"/>
              </w:rPr>
              <w:t xml:space="preserve">dienos </w:t>
            </w:r>
          </w:p>
          <w:p w14:paraId="5029EF52" w14:textId="0568B7AC"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G-CSF (5</w:t>
            </w:r>
            <w:r w:rsidR="00AF7515">
              <w:rPr>
                <w:rFonts w:ascii="Times New Roman" w:hAnsi="Times New Roman" w:cs="Times New Roman"/>
              </w:rPr>
              <w:t> </w:t>
            </w:r>
            <w:r w:rsidRPr="007B75DC">
              <w:rPr>
                <w:rFonts w:ascii="Times New Roman" w:hAnsi="Times New Roman" w:cs="Times New Roman"/>
              </w:rPr>
              <w:t>μg/kg, SC): 27</w:t>
            </w:r>
            <w:r w:rsidR="00AF7515">
              <w:rPr>
                <w:rFonts w:ascii="Times New Roman" w:hAnsi="Times New Roman" w:cs="Times New Roman"/>
              </w:rPr>
              <w:t>–</w:t>
            </w:r>
            <w:r w:rsidRPr="007B75DC">
              <w:rPr>
                <w:rFonts w:ascii="Times New Roman" w:hAnsi="Times New Roman" w:cs="Times New Roman"/>
              </w:rPr>
              <w:t>36</w:t>
            </w:r>
            <w:r w:rsidR="00AF7515">
              <w:rPr>
                <w:rFonts w:ascii="Times New Roman" w:hAnsi="Times New Roman" w:cs="Times New Roman"/>
              </w:rPr>
              <w:t> </w:t>
            </w:r>
            <w:r w:rsidRPr="007B75DC">
              <w:rPr>
                <w:rFonts w:ascii="Times New Roman" w:hAnsi="Times New Roman" w:cs="Times New Roman"/>
              </w:rPr>
              <w:t>dienos arba kol ANS bus &gt;</w:t>
            </w:r>
            <w:r w:rsidR="00AF7515">
              <w:rPr>
                <w:rFonts w:ascii="Times New Roman" w:hAnsi="Times New Roman" w:cs="Times New Roman"/>
              </w:rPr>
              <w:t> </w:t>
            </w:r>
            <w:r w:rsidRPr="007B75DC">
              <w:rPr>
                <w:rFonts w:ascii="Times New Roman" w:hAnsi="Times New Roman" w:cs="Times New Roman"/>
              </w:rPr>
              <w:t xml:space="preserve">1500 nuo žemiausios reikšmės </w:t>
            </w:r>
          </w:p>
          <w:p w14:paraId="73CF0204" w14:textId="1D5AE3CE"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ARA-C (3 g/m</w:t>
            </w:r>
            <w:r w:rsidRPr="007B75DC">
              <w:rPr>
                <w:rFonts w:ascii="Times New Roman" w:hAnsi="Times New Roman" w:cs="Times New Roman"/>
                <w:vertAlign w:val="superscript"/>
              </w:rPr>
              <w:t>2</w:t>
            </w:r>
            <w:r w:rsidRPr="007B75DC">
              <w:rPr>
                <w:rFonts w:ascii="Times New Roman" w:hAnsi="Times New Roman" w:cs="Times New Roman"/>
              </w:rPr>
              <w:t>, q12h, IV): 43, 44</w:t>
            </w:r>
            <w:r w:rsidR="00AF7515">
              <w:rPr>
                <w:rFonts w:ascii="Times New Roman" w:hAnsi="Times New Roman" w:cs="Times New Roman"/>
              </w:rPr>
              <w:t> </w:t>
            </w:r>
            <w:r w:rsidRPr="007B75DC">
              <w:rPr>
                <w:rFonts w:ascii="Times New Roman" w:hAnsi="Times New Roman" w:cs="Times New Roman"/>
              </w:rPr>
              <w:t xml:space="preserve">dienomis </w:t>
            </w:r>
          </w:p>
          <w:p w14:paraId="678D3C80" w14:textId="42E210A8"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L-ASP (6000</w:t>
            </w:r>
            <w:r w:rsidR="00AF7515">
              <w:rPr>
                <w:rFonts w:ascii="Times New Roman" w:hAnsi="Times New Roman" w:cs="Times New Roman"/>
              </w:rPr>
              <w:t> </w:t>
            </w:r>
            <w:r w:rsidRPr="007B75DC">
              <w:rPr>
                <w:rFonts w:ascii="Times New Roman" w:hAnsi="Times New Roman" w:cs="Times New Roman"/>
              </w:rPr>
              <w:t>TV/m</w:t>
            </w:r>
            <w:r w:rsidRPr="007B75DC">
              <w:rPr>
                <w:rFonts w:ascii="Times New Roman" w:hAnsi="Times New Roman" w:cs="Times New Roman"/>
                <w:vertAlign w:val="superscript"/>
              </w:rPr>
              <w:t>2</w:t>
            </w:r>
            <w:r w:rsidRPr="007B75DC">
              <w:rPr>
                <w:rFonts w:ascii="Times New Roman" w:hAnsi="Times New Roman" w:cs="Times New Roman"/>
              </w:rPr>
              <w:t>, IM): 44-ąją dieną</w:t>
            </w:r>
          </w:p>
        </w:tc>
      </w:tr>
      <w:tr w:rsidR="00DE2956" w:rsidRPr="007B75DC" w14:paraId="73F57DCF" w14:textId="77777777" w:rsidTr="003F4907">
        <w:trPr>
          <w:trHeight w:val="900"/>
        </w:trPr>
        <w:tc>
          <w:tcPr>
            <w:tcW w:w="1622" w:type="pct"/>
            <w:tcBorders>
              <w:top w:val="single" w:sz="4" w:space="0" w:color="auto"/>
              <w:left w:val="single" w:sz="4" w:space="0" w:color="auto"/>
              <w:bottom w:val="single" w:sz="4" w:space="0" w:color="auto"/>
              <w:right w:val="single" w:sz="4" w:space="0" w:color="auto"/>
            </w:tcBorders>
            <w:hideMark/>
          </w:tcPr>
          <w:p w14:paraId="11EE334F" w14:textId="77777777" w:rsidR="00613EFF"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lastRenderedPageBreak/>
              <w:t>Reindukcinio gydymo blokas 2</w:t>
            </w:r>
          </w:p>
          <w:p w14:paraId="7A332301" w14:textId="75A5C70F"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(3</w:t>
            </w:r>
            <w:r w:rsidR="00AF7515">
              <w:rPr>
                <w:rFonts w:ascii="Times New Roman" w:hAnsi="Times New Roman" w:cs="Times New Roman"/>
              </w:rPr>
              <w:t> </w:t>
            </w:r>
            <w:r w:rsidRPr="007B75DC">
              <w:rPr>
                <w:rFonts w:ascii="Times New Roman" w:hAnsi="Times New Roman" w:cs="Times New Roman"/>
              </w:rPr>
              <w:t>savaitės)</w:t>
            </w:r>
          </w:p>
        </w:tc>
        <w:tc>
          <w:tcPr>
            <w:tcW w:w="3378" w:type="pct"/>
            <w:tcBorders>
              <w:top w:val="single" w:sz="4" w:space="0" w:color="auto"/>
              <w:left w:val="single" w:sz="4" w:space="0" w:color="auto"/>
              <w:bottom w:val="single" w:sz="4" w:space="0" w:color="auto"/>
              <w:right w:val="single" w:sz="4" w:space="0" w:color="auto"/>
            </w:tcBorders>
            <w:hideMark/>
          </w:tcPr>
          <w:p w14:paraId="16D2DE3E" w14:textId="73D275F8"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VCR (1,5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1, 8 ir 15</w:t>
            </w:r>
            <w:r w:rsidR="00AF7515">
              <w:rPr>
                <w:rFonts w:ascii="Times New Roman" w:hAnsi="Times New Roman" w:cs="Times New Roman"/>
              </w:rPr>
              <w:t> </w:t>
            </w:r>
            <w:r w:rsidRPr="007B75DC">
              <w:rPr>
                <w:rFonts w:ascii="Times New Roman" w:hAnsi="Times New Roman" w:cs="Times New Roman"/>
              </w:rPr>
              <w:t xml:space="preserve">dienomis </w:t>
            </w:r>
          </w:p>
          <w:p w14:paraId="32A4B42F"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DAUN (45 mg/m</w:t>
            </w:r>
            <w:r w:rsidRPr="007B75DC">
              <w:rPr>
                <w:rFonts w:ascii="Times New Roman" w:hAnsi="Times New Roman" w:cs="Times New Roman"/>
                <w:vertAlign w:val="superscript"/>
              </w:rPr>
              <w:t>2</w:t>
            </w:r>
            <w:r w:rsidRPr="007B75DC">
              <w:rPr>
                <w:rFonts w:ascii="Times New Roman" w:hAnsi="Times New Roman" w:cs="Times New Roman"/>
              </w:rPr>
              <w:t xml:space="preserve"> per parą boliusu, IV): 1-ąją ir 2-ąją dienomis </w:t>
            </w:r>
          </w:p>
          <w:p w14:paraId="73A149BC" w14:textId="6C049E1B"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CPM (250 mg/m</w:t>
            </w:r>
            <w:r w:rsidRPr="007B75DC">
              <w:rPr>
                <w:rFonts w:ascii="Times New Roman" w:hAnsi="Times New Roman" w:cs="Times New Roman"/>
                <w:vertAlign w:val="superscript"/>
              </w:rPr>
              <w:t>2</w:t>
            </w:r>
            <w:r w:rsidRPr="007B75DC">
              <w:rPr>
                <w:rFonts w:ascii="Times New Roman" w:hAnsi="Times New Roman" w:cs="Times New Roman"/>
              </w:rPr>
              <w:t xml:space="preserve"> dozė q12h x 4</w:t>
            </w:r>
            <w:r w:rsidR="00603DB8">
              <w:rPr>
                <w:rFonts w:ascii="Times New Roman" w:hAnsi="Times New Roman" w:cs="Times New Roman"/>
              </w:rPr>
              <w:t> </w:t>
            </w:r>
            <w:r w:rsidRPr="007B75DC">
              <w:rPr>
                <w:rFonts w:ascii="Times New Roman" w:hAnsi="Times New Roman" w:cs="Times New Roman"/>
              </w:rPr>
              <w:t xml:space="preserve">dozės, IV): 3-iąją ir 4-ąją dienomis </w:t>
            </w:r>
          </w:p>
          <w:p w14:paraId="0D96A943" w14:textId="08326B1F"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PEG-ASP (2500</w:t>
            </w:r>
            <w:r w:rsidR="00603DB8">
              <w:rPr>
                <w:rFonts w:ascii="Times New Roman" w:hAnsi="Times New Roman" w:cs="Times New Roman"/>
              </w:rPr>
              <w:t> </w:t>
            </w:r>
            <w:r w:rsidRPr="007B75DC">
              <w:rPr>
                <w:rFonts w:ascii="Times New Roman" w:hAnsi="Times New Roman" w:cs="Times New Roman"/>
              </w:rPr>
              <w:t>TV/m</w:t>
            </w:r>
            <w:r w:rsidRPr="007B75DC">
              <w:rPr>
                <w:rFonts w:ascii="Times New Roman" w:hAnsi="Times New Roman" w:cs="Times New Roman"/>
                <w:vertAlign w:val="superscript"/>
              </w:rPr>
              <w:t>2</w:t>
            </w:r>
            <w:r w:rsidRPr="007B75DC">
              <w:rPr>
                <w:rFonts w:ascii="Times New Roman" w:hAnsi="Times New Roman" w:cs="Times New Roman"/>
              </w:rPr>
              <w:t xml:space="preserve">, IM): 4-ąją dieną </w:t>
            </w:r>
          </w:p>
          <w:p w14:paraId="67E81B78" w14:textId="48C1826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G-CSF (5</w:t>
            </w:r>
            <w:r w:rsidR="00603DB8">
              <w:rPr>
                <w:rFonts w:ascii="Times New Roman" w:hAnsi="Times New Roman" w:cs="Times New Roman"/>
              </w:rPr>
              <w:t> </w:t>
            </w:r>
            <w:r w:rsidRPr="007B75DC">
              <w:rPr>
                <w:rFonts w:ascii="Times New Roman" w:hAnsi="Times New Roman" w:cs="Times New Roman"/>
              </w:rPr>
              <w:t>μg/kg, SC): 5</w:t>
            </w:r>
            <w:r w:rsidR="00603DB8">
              <w:rPr>
                <w:rFonts w:ascii="Times New Roman" w:hAnsi="Times New Roman" w:cs="Times New Roman"/>
              </w:rPr>
              <w:t>–</w:t>
            </w:r>
            <w:r w:rsidRPr="007B75DC">
              <w:rPr>
                <w:rFonts w:ascii="Times New Roman" w:hAnsi="Times New Roman" w:cs="Times New Roman"/>
              </w:rPr>
              <w:t>14</w:t>
            </w:r>
            <w:r w:rsidR="00603DB8">
              <w:rPr>
                <w:rFonts w:ascii="Times New Roman" w:hAnsi="Times New Roman" w:cs="Times New Roman"/>
              </w:rPr>
              <w:t> </w:t>
            </w:r>
            <w:r w:rsidRPr="007B75DC">
              <w:rPr>
                <w:rFonts w:ascii="Times New Roman" w:hAnsi="Times New Roman" w:cs="Times New Roman"/>
              </w:rPr>
              <w:t>dienos arba kol ANS bus &gt;</w:t>
            </w:r>
            <w:r w:rsidR="00603DB8">
              <w:rPr>
                <w:rFonts w:ascii="Times New Roman" w:hAnsi="Times New Roman" w:cs="Times New Roman"/>
              </w:rPr>
              <w:t> </w:t>
            </w:r>
            <w:r w:rsidRPr="007B75DC">
              <w:rPr>
                <w:rFonts w:ascii="Times New Roman" w:hAnsi="Times New Roman" w:cs="Times New Roman"/>
              </w:rPr>
              <w:t xml:space="preserve">1500 nuo žemiausios reikšmės </w:t>
            </w:r>
          </w:p>
          <w:p w14:paraId="4E72CA45"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 xml:space="preserve">Trigubas IT gydymas (dozė priklausomai nuo amžiaus): 1-ąją ir 15-ąją dienomis </w:t>
            </w:r>
          </w:p>
          <w:p w14:paraId="24C6A6B0" w14:textId="284B06DC"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DEX (6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w:t>
            </w:r>
            <w:r w:rsidR="00603DB8">
              <w:rPr>
                <w:rFonts w:ascii="Times New Roman" w:hAnsi="Times New Roman" w:cs="Times New Roman"/>
              </w:rPr>
              <w:t>–</w:t>
            </w:r>
            <w:r w:rsidRPr="007B75DC">
              <w:rPr>
                <w:rFonts w:ascii="Times New Roman" w:hAnsi="Times New Roman" w:cs="Times New Roman"/>
              </w:rPr>
              <w:t>7</w:t>
            </w:r>
            <w:r w:rsidR="00603DB8">
              <w:rPr>
                <w:rFonts w:ascii="Times New Roman" w:hAnsi="Times New Roman" w:cs="Times New Roman"/>
              </w:rPr>
              <w:t> </w:t>
            </w:r>
            <w:r w:rsidRPr="007B75DC">
              <w:rPr>
                <w:rFonts w:ascii="Times New Roman" w:hAnsi="Times New Roman" w:cs="Times New Roman"/>
              </w:rPr>
              <w:t>dienos ir 15</w:t>
            </w:r>
            <w:r w:rsidR="00603DB8">
              <w:rPr>
                <w:rFonts w:ascii="Times New Roman" w:hAnsi="Times New Roman" w:cs="Times New Roman"/>
              </w:rPr>
              <w:t>–</w:t>
            </w:r>
            <w:r w:rsidRPr="007B75DC">
              <w:rPr>
                <w:rFonts w:ascii="Times New Roman" w:hAnsi="Times New Roman" w:cs="Times New Roman"/>
              </w:rPr>
              <w:t>21</w:t>
            </w:r>
            <w:r w:rsidR="00603DB8">
              <w:rPr>
                <w:rFonts w:ascii="Times New Roman" w:hAnsi="Times New Roman" w:cs="Times New Roman"/>
              </w:rPr>
              <w:t> </w:t>
            </w:r>
            <w:r w:rsidRPr="007B75DC">
              <w:rPr>
                <w:rFonts w:ascii="Times New Roman" w:hAnsi="Times New Roman" w:cs="Times New Roman"/>
              </w:rPr>
              <w:t>dienos</w:t>
            </w:r>
          </w:p>
        </w:tc>
      </w:tr>
      <w:tr w:rsidR="00DE2956" w:rsidRPr="007B75DC" w14:paraId="64CD28E2" w14:textId="77777777" w:rsidTr="003F4907">
        <w:trPr>
          <w:trHeight w:val="900"/>
        </w:trPr>
        <w:tc>
          <w:tcPr>
            <w:tcW w:w="1622" w:type="pct"/>
            <w:tcBorders>
              <w:top w:val="single" w:sz="4" w:space="0" w:color="auto"/>
              <w:left w:val="single" w:sz="4" w:space="0" w:color="auto"/>
              <w:bottom w:val="single" w:sz="4" w:space="0" w:color="auto"/>
              <w:right w:val="single" w:sz="4" w:space="0" w:color="auto"/>
            </w:tcBorders>
            <w:hideMark/>
          </w:tcPr>
          <w:p w14:paraId="2BE8602B" w14:textId="77777777"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 xml:space="preserve">Intensyvinimo blokas 2 </w:t>
            </w:r>
          </w:p>
          <w:p w14:paraId="0CBE0FBD" w14:textId="6152E9BB"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(9</w:t>
            </w:r>
            <w:r w:rsidR="00AF7515">
              <w:rPr>
                <w:rFonts w:ascii="Times New Roman" w:hAnsi="Times New Roman" w:cs="Times New Roman"/>
              </w:rPr>
              <w:t> </w:t>
            </w:r>
            <w:r w:rsidRPr="007B75DC">
              <w:rPr>
                <w:rFonts w:ascii="Times New Roman" w:hAnsi="Times New Roman" w:cs="Times New Roman"/>
              </w:rPr>
              <w:t>savaitės)</w:t>
            </w:r>
          </w:p>
        </w:tc>
        <w:tc>
          <w:tcPr>
            <w:tcW w:w="3378" w:type="pct"/>
            <w:tcBorders>
              <w:top w:val="single" w:sz="4" w:space="0" w:color="auto"/>
              <w:left w:val="single" w:sz="4" w:space="0" w:color="auto"/>
              <w:bottom w:val="single" w:sz="4" w:space="0" w:color="auto"/>
              <w:right w:val="single" w:sz="4" w:space="0" w:color="auto"/>
            </w:tcBorders>
            <w:hideMark/>
          </w:tcPr>
          <w:p w14:paraId="726E8F63"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Metotreksatas (5 g/m</w:t>
            </w:r>
            <w:r w:rsidRPr="007B75DC">
              <w:rPr>
                <w:rFonts w:ascii="Times New Roman" w:hAnsi="Times New Roman" w:cs="Times New Roman"/>
                <w:vertAlign w:val="superscript"/>
              </w:rPr>
              <w:t>2</w:t>
            </w:r>
            <w:r w:rsidRPr="007B75DC">
              <w:rPr>
                <w:rFonts w:ascii="Times New Roman" w:hAnsi="Times New Roman" w:cs="Times New Roman"/>
              </w:rPr>
              <w:t xml:space="preserve"> per 24 valandas, IV): 1-ąją ir 15-ąją dienomis </w:t>
            </w:r>
          </w:p>
          <w:p w14:paraId="167FBEFB" w14:textId="0371B821"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Leukovorinas (75 mg/m</w:t>
            </w:r>
            <w:r w:rsidRPr="007B75DC">
              <w:rPr>
                <w:rFonts w:ascii="Times New Roman" w:hAnsi="Times New Roman" w:cs="Times New Roman"/>
                <w:vertAlign w:val="superscript"/>
              </w:rPr>
              <w:t>2</w:t>
            </w:r>
            <w:r w:rsidRPr="007B75DC">
              <w:rPr>
                <w:rFonts w:ascii="Times New Roman" w:hAnsi="Times New Roman" w:cs="Times New Roman"/>
              </w:rPr>
              <w:t xml:space="preserve"> po 36 valandų, IV; 15 mg/m</w:t>
            </w:r>
            <w:r w:rsidRPr="007B75DC">
              <w:rPr>
                <w:rFonts w:ascii="Times New Roman" w:hAnsi="Times New Roman" w:cs="Times New Roman"/>
                <w:vertAlign w:val="superscript"/>
              </w:rPr>
              <w:t>2</w:t>
            </w:r>
            <w:r w:rsidRPr="007B75DC">
              <w:rPr>
                <w:rFonts w:ascii="Times New Roman" w:hAnsi="Times New Roman" w:cs="Times New Roman"/>
              </w:rPr>
              <w:t xml:space="preserve"> IV ar PO q6h x 6</w:t>
            </w:r>
            <w:r w:rsidR="00603DB8">
              <w:rPr>
                <w:rFonts w:ascii="Times New Roman" w:hAnsi="Times New Roman" w:cs="Times New Roman"/>
              </w:rPr>
              <w:t> </w:t>
            </w:r>
            <w:r w:rsidRPr="007B75DC">
              <w:rPr>
                <w:rFonts w:ascii="Times New Roman" w:hAnsi="Times New Roman" w:cs="Times New Roman"/>
              </w:rPr>
              <w:t>dozės) iii: 2, 3, 16 ir 17</w:t>
            </w:r>
            <w:r w:rsidR="00603DB8">
              <w:rPr>
                <w:rFonts w:ascii="Times New Roman" w:hAnsi="Times New Roman" w:cs="Times New Roman"/>
              </w:rPr>
              <w:t> </w:t>
            </w:r>
            <w:r w:rsidRPr="007B75DC">
              <w:rPr>
                <w:rFonts w:ascii="Times New Roman" w:hAnsi="Times New Roman" w:cs="Times New Roman"/>
              </w:rPr>
              <w:t xml:space="preserve">dienomis </w:t>
            </w:r>
          </w:p>
          <w:p w14:paraId="3DCE59F5"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 xml:space="preserve">Trigubas IT gydymas (dozė priklausomai nuo amžiaus): 1-ąją ir 22-ąją dienomis </w:t>
            </w:r>
          </w:p>
          <w:p w14:paraId="305DDD61" w14:textId="7F273B69"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VP-16 (100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22</w:t>
            </w:r>
            <w:r w:rsidR="00603DB8">
              <w:rPr>
                <w:rFonts w:ascii="Times New Roman" w:hAnsi="Times New Roman" w:cs="Times New Roman"/>
              </w:rPr>
              <w:t>–</w:t>
            </w:r>
            <w:r w:rsidRPr="007B75DC">
              <w:rPr>
                <w:rFonts w:ascii="Times New Roman" w:hAnsi="Times New Roman" w:cs="Times New Roman"/>
              </w:rPr>
              <w:t>26</w:t>
            </w:r>
            <w:r w:rsidR="00603DB8">
              <w:rPr>
                <w:rFonts w:ascii="Times New Roman" w:hAnsi="Times New Roman" w:cs="Times New Roman"/>
              </w:rPr>
              <w:t> </w:t>
            </w:r>
            <w:r w:rsidRPr="007B75DC">
              <w:rPr>
                <w:rFonts w:ascii="Times New Roman" w:hAnsi="Times New Roman" w:cs="Times New Roman"/>
              </w:rPr>
              <w:t xml:space="preserve">dienos </w:t>
            </w:r>
          </w:p>
          <w:p w14:paraId="1C028FC2" w14:textId="0736C4E2"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CPM (300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22</w:t>
            </w:r>
            <w:r w:rsidR="00603DB8">
              <w:rPr>
                <w:rFonts w:ascii="Times New Roman" w:hAnsi="Times New Roman" w:cs="Times New Roman"/>
              </w:rPr>
              <w:t>–</w:t>
            </w:r>
            <w:r w:rsidRPr="007B75DC">
              <w:rPr>
                <w:rFonts w:ascii="Times New Roman" w:hAnsi="Times New Roman" w:cs="Times New Roman"/>
              </w:rPr>
              <w:t>26</w:t>
            </w:r>
            <w:r w:rsidR="00603DB8">
              <w:rPr>
                <w:rFonts w:ascii="Times New Roman" w:hAnsi="Times New Roman" w:cs="Times New Roman"/>
              </w:rPr>
              <w:t> </w:t>
            </w:r>
            <w:r w:rsidRPr="007B75DC">
              <w:rPr>
                <w:rFonts w:ascii="Times New Roman" w:hAnsi="Times New Roman" w:cs="Times New Roman"/>
              </w:rPr>
              <w:t xml:space="preserve">dienos </w:t>
            </w:r>
          </w:p>
          <w:p w14:paraId="2951BDD3" w14:textId="38253D80"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MESNA (150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22</w:t>
            </w:r>
            <w:r w:rsidR="00603DB8">
              <w:rPr>
                <w:rFonts w:ascii="Times New Roman" w:hAnsi="Times New Roman" w:cs="Times New Roman"/>
              </w:rPr>
              <w:t>–</w:t>
            </w:r>
            <w:r w:rsidRPr="007B75DC">
              <w:rPr>
                <w:rFonts w:ascii="Times New Roman" w:hAnsi="Times New Roman" w:cs="Times New Roman"/>
              </w:rPr>
              <w:t>26</w:t>
            </w:r>
            <w:r w:rsidR="00603DB8">
              <w:rPr>
                <w:rFonts w:ascii="Times New Roman" w:hAnsi="Times New Roman" w:cs="Times New Roman"/>
              </w:rPr>
              <w:t> </w:t>
            </w:r>
            <w:r w:rsidRPr="007B75DC">
              <w:rPr>
                <w:rFonts w:ascii="Times New Roman" w:hAnsi="Times New Roman" w:cs="Times New Roman"/>
              </w:rPr>
              <w:t xml:space="preserve">dienos </w:t>
            </w:r>
          </w:p>
          <w:p w14:paraId="3FEC11E8" w14:textId="383A2978"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G-CSF (5</w:t>
            </w:r>
            <w:r w:rsidR="00603DB8">
              <w:rPr>
                <w:rFonts w:ascii="Times New Roman" w:hAnsi="Times New Roman" w:cs="Times New Roman"/>
              </w:rPr>
              <w:t> </w:t>
            </w:r>
            <w:r w:rsidRPr="007B75DC">
              <w:rPr>
                <w:rFonts w:ascii="Times New Roman" w:hAnsi="Times New Roman" w:cs="Times New Roman"/>
              </w:rPr>
              <w:t>μg/kg, SC): 27</w:t>
            </w:r>
            <w:r w:rsidR="00603DB8">
              <w:rPr>
                <w:rFonts w:ascii="Times New Roman" w:hAnsi="Times New Roman" w:cs="Times New Roman"/>
              </w:rPr>
              <w:t>–</w:t>
            </w:r>
            <w:r w:rsidRPr="007B75DC">
              <w:rPr>
                <w:rFonts w:ascii="Times New Roman" w:hAnsi="Times New Roman" w:cs="Times New Roman"/>
              </w:rPr>
              <w:t>36</w:t>
            </w:r>
            <w:r w:rsidR="00603DB8">
              <w:rPr>
                <w:rFonts w:ascii="Times New Roman" w:hAnsi="Times New Roman" w:cs="Times New Roman"/>
              </w:rPr>
              <w:t> </w:t>
            </w:r>
            <w:r w:rsidRPr="007B75DC">
              <w:rPr>
                <w:rFonts w:ascii="Times New Roman" w:hAnsi="Times New Roman" w:cs="Times New Roman"/>
              </w:rPr>
              <w:t>dienos arba kol ANS bus &gt;</w:t>
            </w:r>
            <w:r w:rsidR="00603DB8">
              <w:rPr>
                <w:rFonts w:ascii="Times New Roman" w:hAnsi="Times New Roman" w:cs="Times New Roman"/>
              </w:rPr>
              <w:t> </w:t>
            </w:r>
            <w:r w:rsidRPr="007B75DC">
              <w:rPr>
                <w:rFonts w:ascii="Times New Roman" w:hAnsi="Times New Roman" w:cs="Times New Roman"/>
              </w:rPr>
              <w:t xml:space="preserve">1500 nuo žemiausios reikšmės </w:t>
            </w:r>
          </w:p>
          <w:p w14:paraId="5E77CB58" w14:textId="2A55C41A"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ARA-C (3 g/m</w:t>
            </w:r>
            <w:r w:rsidRPr="007B75DC">
              <w:rPr>
                <w:rFonts w:ascii="Times New Roman" w:hAnsi="Times New Roman" w:cs="Times New Roman"/>
                <w:vertAlign w:val="superscript"/>
              </w:rPr>
              <w:t>2</w:t>
            </w:r>
            <w:r w:rsidRPr="007B75DC">
              <w:rPr>
                <w:rFonts w:ascii="Times New Roman" w:hAnsi="Times New Roman" w:cs="Times New Roman"/>
              </w:rPr>
              <w:t>, q12h, IV): 43, 44</w:t>
            </w:r>
            <w:r w:rsidR="00603DB8">
              <w:rPr>
                <w:rFonts w:ascii="Times New Roman" w:hAnsi="Times New Roman" w:cs="Times New Roman"/>
              </w:rPr>
              <w:t> </w:t>
            </w:r>
            <w:r w:rsidRPr="007B75DC">
              <w:rPr>
                <w:rFonts w:ascii="Times New Roman" w:hAnsi="Times New Roman" w:cs="Times New Roman"/>
              </w:rPr>
              <w:t xml:space="preserve">dienomis </w:t>
            </w:r>
          </w:p>
          <w:p w14:paraId="34C0D58C" w14:textId="3750D550"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L-ASP (6000</w:t>
            </w:r>
            <w:r w:rsidR="00603DB8">
              <w:rPr>
                <w:rFonts w:ascii="Times New Roman" w:hAnsi="Times New Roman" w:cs="Times New Roman"/>
              </w:rPr>
              <w:t> </w:t>
            </w:r>
            <w:r w:rsidRPr="007B75DC">
              <w:rPr>
                <w:rFonts w:ascii="Times New Roman" w:hAnsi="Times New Roman" w:cs="Times New Roman"/>
              </w:rPr>
              <w:t>TV/m</w:t>
            </w:r>
            <w:r w:rsidRPr="007B75DC">
              <w:rPr>
                <w:rFonts w:ascii="Times New Roman" w:hAnsi="Times New Roman" w:cs="Times New Roman"/>
                <w:vertAlign w:val="superscript"/>
              </w:rPr>
              <w:t>2</w:t>
            </w:r>
            <w:r w:rsidRPr="007B75DC">
              <w:rPr>
                <w:rFonts w:ascii="Times New Roman" w:hAnsi="Times New Roman" w:cs="Times New Roman"/>
              </w:rPr>
              <w:t>, IM): 44-ąją dieną</w:t>
            </w:r>
          </w:p>
        </w:tc>
      </w:tr>
      <w:tr w:rsidR="00DE2956" w:rsidRPr="007B75DC" w14:paraId="4FEB8983" w14:textId="77777777" w:rsidTr="003F4907">
        <w:trPr>
          <w:trHeight w:val="340"/>
        </w:trPr>
        <w:tc>
          <w:tcPr>
            <w:tcW w:w="1622" w:type="pct"/>
            <w:tcBorders>
              <w:top w:val="single" w:sz="4" w:space="0" w:color="auto"/>
              <w:left w:val="single" w:sz="4" w:space="0" w:color="auto"/>
              <w:bottom w:val="single" w:sz="4" w:space="0" w:color="auto"/>
              <w:right w:val="single" w:sz="4" w:space="0" w:color="auto"/>
            </w:tcBorders>
            <w:hideMark/>
          </w:tcPr>
          <w:p w14:paraId="2DA65BD1" w14:textId="33143CEC" w:rsidR="00513580"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Palaikomasis gydymas (8</w:t>
            </w:r>
            <w:r w:rsidR="00AF7515">
              <w:rPr>
                <w:rFonts w:ascii="Times New Roman" w:hAnsi="Times New Roman" w:cs="Times New Roman"/>
              </w:rPr>
              <w:t> </w:t>
            </w:r>
            <w:r w:rsidRPr="007B75DC">
              <w:rPr>
                <w:rFonts w:ascii="Times New Roman" w:hAnsi="Times New Roman" w:cs="Times New Roman"/>
              </w:rPr>
              <w:t>savaičių trukmės ciklai)</w:t>
            </w:r>
          </w:p>
          <w:p w14:paraId="621D221D" w14:textId="2A7201ED"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1–4</w:t>
            </w:r>
            <w:r w:rsidR="00AF7515">
              <w:rPr>
                <w:rFonts w:ascii="Times New Roman" w:hAnsi="Times New Roman" w:cs="Times New Roman"/>
              </w:rPr>
              <w:t> </w:t>
            </w:r>
            <w:r w:rsidRPr="007B75DC">
              <w:rPr>
                <w:rFonts w:ascii="Times New Roman" w:hAnsi="Times New Roman" w:cs="Times New Roman"/>
              </w:rPr>
              <w:t>ciklai</w:t>
            </w:r>
          </w:p>
        </w:tc>
        <w:tc>
          <w:tcPr>
            <w:tcW w:w="3378" w:type="pct"/>
            <w:tcBorders>
              <w:top w:val="single" w:sz="4" w:space="0" w:color="auto"/>
              <w:left w:val="single" w:sz="4" w:space="0" w:color="auto"/>
              <w:bottom w:val="single" w:sz="4" w:space="0" w:color="auto"/>
              <w:right w:val="single" w:sz="4" w:space="0" w:color="auto"/>
            </w:tcBorders>
            <w:hideMark/>
          </w:tcPr>
          <w:p w14:paraId="12B28D6D" w14:textId="72C0B2EB"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MTX (5 g/m</w:t>
            </w:r>
            <w:r w:rsidRPr="007B75DC">
              <w:rPr>
                <w:rFonts w:ascii="Times New Roman" w:hAnsi="Times New Roman" w:cs="Times New Roman"/>
                <w:vertAlign w:val="superscript"/>
              </w:rPr>
              <w:t>2</w:t>
            </w:r>
            <w:r w:rsidRPr="007B75DC">
              <w:rPr>
                <w:rFonts w:ascii="Times New Roman" w:hAnsi="Times New Roman" w:cs="Times New Roman"/>
              </w:rPr>
              <w:t xml:space="preserve"> per 24</w:t>
            </w:r>
            <w:r w:rsidR="00603DB8">
              <w:rPr>
                <w:rFonts w:ascii="Times New Roman" w:hAnsi="Times New Roman" w:cs="Times New Roman"/>
              </w:rPr>
              <w:t> </w:t>
            </w:r>
            <w:r w:rsidRPr="007B75DC">
              <w:rPr>
                <w:rFonts w:ascii="Times New Roman" w:hAnsi="Times New Roman" w:cs="Times New Roman"/>
              </w:rPr>
              <w:t xml:space="preserve">valandas, IV): 1-ąją dieną </w:t>
            </w:r>
          </w:p>
          <w:p w14:paraId="66E84EBC" w14:textId="659CC8B2"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Leukovorinas (75 mg/m</w:t>
            </w:r>
            <w:r w:rsidRPr="007B75DC">
              <w:rPr>
                <w:rFonts w:ascii="Times New Roman" w:hAnsi="Times New Roman" w:cs="Times New Roman"/>
                <w:vertAlign w:val="superscript"/>
              </w:rPr>
              <w:t>2</w:t>
            </w:r>
            <w:r w:rsidRPr="007B75DC">
              <w:rPr>
                <w:rFonts w:ascii="Times New Roman" w:hAnsi="Times New Roman" w:cs="Times New Roman"/>
              </w:rPr>
              <w:t xml:space="preserve"> po 36</w:t>
            </w:r>
            <w:r w:rsidR="00603DB8">
              <w:rPr>
                <w:rFonts w:ascii="Times New Roman" w:hAnsi="Times New Roman" w:cs="Times New Roman"/>
              </w:rPr>
              <w:t> </w:t>
            </w:r>
            <w:r w:rsidRPr="007B75DC">
              <w:rPr>
                <w:rFonts w:ascii="Times New Roman" w:hAnsi="Times New Roman" w:cs="Times New Roman"/>
              </w:rPr>
              <w:t>valandų, IV; 15 mg/m</w:t>
            </w:r>
            <w:r w:rsidRPr="007B75DC">
              <w:rPr>
                <w:rFonts w:ascii="Times New Roman" w:hAnsi="Times New Roman" w:cs="Times New Roman"/>
                <w:vertAlign w:val="superscript"/>
              </w:rPr>
              <w:t>2</w:t>
            </w:r>
            <w:r w:rsidRPr="007B75DC">
              <w:rPr>
                <w:rFonts w:ascii="Times New Roman" w:hAnsi="Times New Roman" w:cs="Times New Roman"/>
              </w:rPr>
              <w:t xml:space="preserve"> IV ar PO q6h x 6 dozės) iii: 2-ąją ir 3-iąją dienomis </w:t>
            </w:r>
          </w:p>
          <w:p w14:paraId="79216EB7" w14:textId="4ACC4116"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Trigubas IT gydymas (dozė priklausomai nuo amžiaus): 1, 29</w:t>
            </w:r>
            <w:r w:rsidR="00603DB8">
              <w:rPr>
                <w:rFonts w:ascii="Times New Roman" w:hAnsi="Times New Roman" w:cs="Times New Roman"/>
              </w:rPr>
              <w:t> </w:t>
            </w:r>
            <w:r w:rsidRPr="007B75DC">
              <w:rPr>
                <w:rFonts w:ascii="Times New Roman" w:hAnsi="Times New Roman" w:cs="Times New Roman"/>
              </w:rPr>
              <w:t xml:space="preserve">dienomis </w:t>
            </w:r>
          </w:p>
          <w:p w14:paraId="12A15C51" w14:textId="18E9BC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VCR (1,5 mg/m</w:t>
            </w:r>
            <w:r w:rsidRPr="007B75DC">
              <w:rPr>
                <w:rFonts w:ascii="Times New Roman" w:hAnsi="Times New Roman" w:cs="Times New Roman"/>
                <w:vertAlign w:val="superscript"/>
              </w:rPr>
              <w:t>2</w:t>
            </w:r>
            <w:r w:rsidRPr="007B75DC">
              <w:rPr>
                <w:rFonts w:ascii="Times New Roman" w:hAnsi="Times New Roman" w:cs="Times New Roman"/>
              </w:rPr>
              <w:t>, IV): 1, 29</w:t>
            </w:r>
            <w:r w:rsidR="00603DB8">
              <w:rPr>
                <w:rFonts w:ascii="Times New Roman" w:hAnsi="Times New Roman" w:cs="Times New Roman"/>
              </w:rPr>
              <w:t> </w:t>
            </w:r>
            <w:r w:rsidRPr="007B75DC">
              <w:rPr>
                <w:rFonts w:ascii="Times New Roman" w:hAnsi="Times New Roman" w:cs="Times New Roman"/>
              </w:rPr>
              <w:t xml:space="preserve">dienomis </w:t>
            </w:r>
          </w:p>
          <w:p w14:paraId="535F5063" w14:textId="0E488F3B"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DEX (6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w:t>
            </w:r>
            <w:r w:rsidR="00603DB8">
              <w:rPr>
                <w:rFonts w:ascii="Times New Roman" w:hAnsi="Times New Roman" w:cs="Times New Roman"/>
              </w:rPr>
              <w:t>–</w:t>
            </w:r>
            <w:r w:rsidRPr="007B75DC">
              <w:rPr>
                <w:rFonts w:ascii="Times New Roman" w:hAnsi="Times New Roman" w:cs="Times New Roman"/>
              </w:rPr>
              <w:t>5</w:t>
            </w:r>
            <w:r w:rsidR="00603DB8">
              <w:rPr>
                <w:rFonts w:ascii="Times New Roman" w:hAnsi="Times New Roman" w:cs="Times New Roman"/>
              </w:rPr>
              <w:t> </w:t>
            </w:r>
            <w:r w:rsidRPr="007B75DC">
              <w:rPr>
                <w:rFonts w:ascii="Times New Roman" w:hAnsi="Times New Roman" w:cs="Times New Roman"/>
              </w:rPr>
              <w:t>dienos; 29</w:t>
            </w:r>
            <w:r w:rsidR="00603DB8">
              <w:rPr>
                <w:rFonts w:ascii="Times New Roman" w:hAnsi="Times New Roman" w:cs="Times New Roman"/>
              </w:rPr>
              <w:t>–</w:t>
            </w:r>
            <w:r w:rsidRPr="007B75DC">
              <w:rPr>
                <w:rFonts w:ascii="Times New Roman" w:hAnsi="Times New Roman" w:cs="Times New Roman"/>
              </w:rPr>
              <w:t>33</w:t>
            </w:r>
            <w:r w:rsidR="00603DB8">
              <w:rPr>
                <w:rFonts w:ascii="Times New Roman" w:hAnsi="Times New Roman" w:cs="Times New Roman"/>
              </w:rPr>
              <w:t> </w:t>
            </w:r>
            <w:r w:rsidRPr="007B75DC">
              <w:rPr>
                <w:rFonts w:ascii="Times New Roman" w:hAnsi="Times New Roman" w:cs="Times New Roman"/>
              </w:rPr>
              <w:t xml:space="preserve">dienos </w:t>
            </w:r>
          </w:p>
          <w:p w14:paraId="0A9BD251" w14:textId="1FBF11A9"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6-MP (75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8</w:t>
            </w:r>
            <w:r w:rsidR="00603DB8">
              <w:rPr>
                <w:rFonts w:ascii="Times New Roman" w:hAnsi="Times New Roman" w:cs="Times New Roman"/>
              </w:rPr>
              <w:t>–</w:t>
            </w:r>
            <w:r w:rsidRPr="007B75DC">
              <w:rPr>
                <w:rFonts w:ascii="Times New Roman" w:hAnsi="Times New Roman" w:cs="Times New Roman"/>
              </w:rPr>
              <w:t>28</w:t>
            </w:r>
            <w:r w:rsidR="00603DB8">
              <w:rPr>
                <w:rFonts w:ascii="Times New Roman" w:hAnsi="Times New Roman" w:cs="Times New Roman"/>
              </w:rPr>
              <w:t> </w:t>
            </w:r>
            <w:r w:rsidRPr="007B75DC">
              <w:rPr>
                <w:rFonts w:ascii="Times New Roman" w:hAnsi="Times New Roman" w:cs="Times New Roman"/>
              </w:rPr>
              <w:t xml:space="preserve">dienos </w:t>
            </w:r>
          </w:p>
          <w:p w14:paraId="16E01391" w14:textId="00154D33"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Metotreksatas (20 mg/m</w:t>
            </w:r>
            <w:r w:rsidRPr="007B75DC">
              <w:rPr>
                <w:rFonts w:ascii="Times New Roman" w:hAnsi="Times New Roman" w:cs="Times New Roman"/>
                <w:vertAlign w:val="superscript"/>
              </w:rPr>
              <w:t>2</w:t>
            </w:r>
            <w:r w:rsidRPr="007B75DC">
              <w:rPr>
                <w:rFonts w:ascii="Times New Roman" w:hAnsi="Times New Roman" w:cs="Times New Roman"/>
              </w:rPr>
              <w:t xml:space="preserve"> per savaitę, PO): 8, 15, 22</w:t>
            </w:r>
            <w:r w:rsidR="00603DB8">
              <w:rPr>
                <w:rFonts w:ascii="Times New Roman" w:hAnsi="Times New Roman" w:cs="Times New Roman"/>
              </w:rPr>
              <w:t> </w:t>
            </w:r>
            <w:r w:rsidRPr="007B75DC">
              <w:rPr>
                <w:rFonts w:ascii="Times New Roman" w:hAnsi="Times New Roman" w:cs="Times New Roman"/>
              </w:rPr>
              <w:t xml:space="preserve">dienomis </w:t>
            </w:r>
          </w:p>
          <w:p w14:paraId="2D5B669C" w14:textId="351EB903"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VP-16 (100 mg/m</w:t>
            </w:r>
            <w:r w:rsidRPr="007B75DC">
              <w:rPr>
                <w:rFonts w:ascii="Times New Roman" w:hAnsi="Times New Roman" w:cs="Times New Roman"/>
                <w:vertAlign w:val="superscript"/>
              </w:rPr>
              <w:t>2</w:t>
            </w:r>
            <w:r w:rsidRPr="007B75DC">
              <w:rPr>
                <w:rFonts w:ascii="Times New Roman" w:hAnsi="Times New Roman" w:cs="Times New Roman"/>
              </w:rPr>
              <w:t>, IV): 29</w:t>
            </w:r>
            <w:r w:rsidR="00603DB8">
              <w:rPr>
                <w:rFonts w:ascii="Times New Roman" w:hAnsi="Times New Roman" w:cs="Times New Roman"/>
              </w:rPr>
              <w:t>–</w:t>
            </w:r>
            <w:r w:rsidRPr="007B75DC">
              <w:rPr>
                <w:rFonts w:ascii="Times New Roman" w:hAnsi="Times New Roman" w:cs="Times New Roman"/>
              </w:rPr>
              <w:t>33</w:t>
            </w:r>
            <w:r w:rsidR="00603DB8">
              <w:rPr>
                <w:rFonts w:ascii="Times New Roman" w:hAnsi="Times New Roman" w:cs="Times New Roman"/>
              </w:rPr>
              <w:t> </w:t>
            </w:r>
            <w:r w:rsidRPr="007B75DC">
              <w:rPr>
                <w:rFonts w:ascii="Times New Roman" w:hAnsi="Times New Roman" w:cs="Times New Roman"/>
              </w:rPr>
              <w:t xml:space="preserve">dienos </w:t>
            </w:r>
          </w:p>
          <w:p w14:paraId="267C4CB5" w14:textId="4F49E3F0"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CPM (300 mg/m</w:t>
            </w:r>
            <w:r w:rsidRPr="007B75DC">
              <w:rPr>
                <w:rFonts w:ascii="Times New Roman" w:hAnsi="Times New Roman" w:cs="Times New Roman"/>
                <w:vertAlign w:val="superscript"/>
              </w:rPr>
              <w:t>2</w:t>
            </w:r>
            <w:r w:rsidRPr="007B75DC">
              <w:rPr>
                <w:rFonts w:ascii="Times New Roman" w:hAnsi="Times New Roman" w:cs="Times New Roman"/>
              </w:rPr>
              <w:t>, IV): 29</w:t>
            </w:r>
            <w:r w:rsidR="00603DB8">
              <w:rPr>
                <w:rFonts w:ascii="Times New Roman" w:hAnsi="Times New Roman" w:cs="Times New Roman"/>
              </w:rPr>
              <w:t>–</w:t>
            </w:r>
            <w:r w:rsidRPr="007B75DC">
              <w:rPr>
                <w:rFonts w:ascii="Times New Roman" w:hAnsi="Times New Roman" w:cs="Times New Roman"/>
              </w:rPr>
              <w:t>33</w:t>
            </w:r>
            <w:r w:rsidR="00603DB8">
              <w:rPr>
                <w:rFonts w:ascii="Times New Roman" w:hAnsi="Times New Roman" w:cs="Times New Roman"/>
              </w:rPr>
              <w:t> </w:t>
            </w:r>
            <w:r w:rsidRPr="007B75DC">
              <w:rPr>
                <w:rFonts w:ascii="Times New Roman" w:hAnsi="Times New Roman" w:cs="Times New Roman"/>
              </w:rPr>
              <w:t xml:space="preserve">dienos </w:t>
            </w:r>
          </w:p>
          <w:p w14:paraId="09979406" w14:textId="688EE200"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MESNA IV 29</w:t>
            </w:r>
            <w:r w:rsidR="00603DB8">
              <w:rPr>
                <w:rFonts w:ascii="Times New Roman" w:hAnsi="Times New Roman" w:cs="Times New Roman"/>
              </w:rPr>
              <w:t>–</w:t>
            </w:r>
            <w:r w:rsidRPr="007B75DC">
              <w:rPr>
                <w:rFonts w:ascii="Times New Roman" w:hAnsi="Times New Roman" w:cs="Times New Roman"/>
              </w:rPr>
              <w:t>33</w:t>
            </w:r>
            <w:r w:rsidR="00603DB8">
              <w:rPr>
                <w:rFonts w:ascii="Times New Roman" w:hAnsi="Times New Roman" w:cs="Times New Roman"/>
              </w:rPr>
              <w:t> </w:t>
            </w:r>
            <w:r w:rsidRPr="007B75DC">
              <w:rPr>
                <w:rFonts w:ascii="Times New Roman" w:hAnsi="Times New Roman" w:cs="Times New Roman"/>
              </w:rPr>
              <w:t xml:space="preserve">dienos </w:t>
            </w:r>
          </w:p>
          <w:p w14:paraId="17165C9C" w14:textId="77AF7CBA"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G-CSF (5</w:t>
            </w:r>
            <w:r w:rsidR="00603DB8">
              <w:rPr>
                <w:rFonts w:ascii="Times New Roman" w:hAnsi="Times New Roman" w:cs="Times New Roman"/>
              </w:rPr>
              <w:t> </w:t>
            </w:r>
            <w:r w:rsidRPr="007B75DC">
              <w:rPr>
                <w:rFonts w:ascii="Times New Roman" w:hAnsi="Times New Roman" w:cs="Times New Roman"/>
              </w:rPr>
              <w:t>μg/kg, SC): 34</w:t>
            </w:r>
            <w:r w:rsidR="00603DB8">
              <w:rPr>
                <w:rFonts w:ascii="Times New Roman" w:hAnsi="Times New Roman" w:cs="Times New Roman"/>
              </w:rPr>
              <w:t>–</w:t>
            </w:r>
            <w:r w:rsidRPr="007B75DC">
              <w:rPr>
                <w:rFonts w:ascii="Times New Roman" w:hAnsi="Times New Roman" w:cs="Times New Roman"/>
              </w:rPr>
              <w:t>43</w:t>
            </w:r>
            <w:r w:rsidR="00603DB8">
              <w:rPr>
                <w:rFonts w:ascii="Times New Roman" w:hAnsi="Times New Roman" w:cs="Times New Roman"/>
              </w:rPr>
              <w:t> </w:t>
            </w:r>
            <w:r w:rsidRPr="007B75DC">
              <w:rPr>
                <w:rFonts w:ascii="Times New Roman" w:hAnsi="Times New Roman" w:cs="Times New Roman"/>
              </w:rPr>
              <w:t>dienos</w:t>
            </w:r>
          </w:p>
        </w:tc>
      </w:tr>
      <w:tr w:rsidR="00DE2956" w:rsidRPr="007B75DC" w14:paraId="13816245" w14:textId="77777777" w:rsidTr="003F4907">
        <w:trPr>
          <w:trHeight w:val="900"/>
        </w:trPr>
        <w:tc>
          <w:tcPr>
            <w:tcW w:w="1622" w:type="pct"/>
            <w:tcBorders>
              <w:top w:val="single" w:sz="4" w:space="0" w:color="auto"/>
              <w:left w:val="single" w:sz="4" w:space="0" w:color="auto"/>
              <w:bottom w:val="single" w:sz="4" w:space="0" w:color="auto"/>
              <w:right w:val="single" w:sz="4" w:space="0" w:color="auto"/>
            </w:tcBorders>
            <w:hideMark/>
          </w:tcPr>
          <w:p w14:paraId="1A075350" w14:textId="2250F54A" w:rsidR="00513580"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Palaikomasis gydymas (8</w:t>
            </w:r>
            <w:r w:rsidR="00AF7515">
              <w:rPr>
                <w:rFonts w:ascii="Times New Roman" w:hAnsi="Times New Roman" w:cs="Times New Roman"/>
              </w:rPr>
              <w:t> </w:t>
            </w:r>
            <w:r w:rsidRPr="007B75DC">
              <w:rPr>
                <w:rFonts w:ascii="Times New Roman" w:hAnsi="Times New Roman" w:cs="Times New Roman"/>
              </w:rPr>
              <w:t>savaičių trukmės ciklai)</w:t>
            </w:r>
          </w:p>
          <w:p w14:paraId="2613ED0B" w14:textId="77777777"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5-asis ciklas</w:t>
            </w:r>
          </w:p>
        </w:tc>
        <w:tc>
          <w:tcPr>
            <w:tcW w:w="3378" w:type="pct"/>
            <w:tcBorders>
              <w:top w:val="single" w:sz="4" w:space="0" w:color="auto"/>
              <w:left w:val="single" w:sz="4" w:space="0" w:color="auto"/>
              <w:bottom w:val="single" w:sz="4" w:space="0" w:color="auto"/>
              <w:right w:val="single" w:sz="4" w:space="0" w:color="auto"/>
            </w:tcBorders>
            <w:hideMark/>
          </w:tcPr>
          <w:p w14:paraId="657995B0"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 xml:space="preserve">Kaukolės švitinimas (tik 5-asis blokas) </w:t>
            </w:r>
          </w:p>
          <w:p w14:paraId="047060DA" w14:textId="16DEEC54"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12 Gy per 8</w:t>
            </w:r>
            <w:r w:rsidR="00AF7515">
              <w:rPr>
                <w:rFonts w:ascii="Times New Roman" w:hAnsi="Times New Roman" w:cs="Times New Roman"/>
              </w:rPr>
              <w:t> </w:t>
            </w:r>
            <w:r w:rsidRPr="007B75DC">
              <w:rPr>
                <w:rFonts w:ascii="Times New Roman" w:hAnsi="Times New Roman" w:cs="Times New Roman"/>
              </w:rPr>
              <w:t xml:space="preserve">frakcijas visiems pacientams, kuriems nustatyta CNS1 ir CNS2 diagnozė </w:t>
            </w:r>
          </w:p>
          <w:p w14:paraId="66402B7D" w14:textId="011D2132"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18 Gy per 10</w:t>
            </w:r>
            <w:r w:rsidR="00AF7515">
              <w:rPr>
                <w:rFonts w:ascii="Times New Roman" w:hAnsi="Times New Roman" w:cs="Times New Roman"/>
              </w:rPr>
              <w:t> </w:t>
            </w:r>
            <w:r w:rsidRPr="007B75DC">
              <w:rPr>
                <w:rFonts w:ascii="Times New Roman" w:hAnsi="Times New Roman" w:cs="Times New Roman"/>
              </w:rPr>
              <w:t xml:space="preserve">frakcijų pacientams, kuriems nustatyta CNS3 diagnozė </w:t>
            </w:r>
          </w:p>
          <w:p w14:paraId="46D13F43" w14:textId="77777777"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VCR (1,5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1, 29 dienomis </w:t>
            </w:r>
          </w:p>
          <w:p w14:paraId="6474D9E9" w14:textId="2CF8943A"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DEX (6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dienos; 29</w:t>
            </w:r>
            <w:r w:rsidR="00AF7515">
              <w:rPr>
                <w:rFonts w:ascii="Times New Roman" w:hAnsi="Times New Roman" w:cs="Times New Roman"/>
              </w:rPr>
              <w:t>–</w:t>
            </w:r>
            <w:r w:rsidRPr="007B75DC">
              <w:rPr>
                <w:rFonts w:ascii="Times New Roman" w:hAnsi="Times New Roman" w:cs="Times New Roman"/>
              </w:rPr>
              <w:t>33</w:t>
            </w:r>
            <w:r w:rsidR="00AF7515">
              <w:rPr>
                <w:rFonts w:ascii="Times New Roman" w:hAnsi="Times New Roman" w:cs="Times New Roman"/>
              </w:rPr>
              <w:t> </w:t>
            </w:r>
            <w:r w:rsidRPr="007B75DC">
              <w:rPr>
                <w:rFonts w:ascii="Times New Roman" w:hAnsi="Times New Roman" w:cs="Times New Roman"/>
              </w:rPr>
              <w:t xml:space="preserve">dienos </w:t>
            </w:r>
          </w:p>
          <w:p w14:paraId="71D8A10C" w14:textId="60856524"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6-MP (75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11</w:t>
            </w:r>
            <w:r w:rsidR="00AF7515">
              <w:rPr>
                <w:rFonts w:ascii="Times New Roman" w:hAnsi="Times New Roman" w:cs="Times New Roman"/>
              </w:rPr>
              <w:t>–</w:t>
            </w:r>
            <w:r w:rsidRPr="007B75DC">
              <w:rPr>
                <w:rFonts w:ascii="Times New Roman" w:hAnsi="Times New Roman" w:cs="Times New Roman"/>
              </w:rPr>
              <w:t>56</w:t>
            </w:r>
            <w:r w:rsidR="00AF7515">
              <w:rPr>
                <w:rFonts w:ascii="Times New Roman" w:hAnsi="Times New Roman" w:cs="Times New Roman"/>
              </w:rPr>
              <w:t> </w:t>
            </w:r>
            <w:r w:rsidRPr="007B75DC">
              <w:rPr>
                <w:rFonts w:ascii="Times New Roman" w:hAnsi="Times New Roman" w:cs="Times New Roman"/>
              </w:rPr>
              <w:t xml:space="preserve">dienos (neskirti 6-MP 6-10-ąją dienomis, kai taikomas kaukolės švitinimas, pradedant nuo pirmosios 5-ojo ciklo dienos. Pradėti skirti 6-MP pirmąją dieną po kaukolės švitinimo pabaigos.) </w:t>
            </w:r>
          </w:p>
          <w:p w14:paraId="1EA74EA9" w14:textId="7885F7C8"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Metotreksatas (20 mg/m</w:t>
            </w:r>
            <w:r w:rsidRPr="007B75DC">
              <w:rPr>
                <w:rFonts w:ascii="Times New Roman" w:hAnsi="Times New Roman" w:cs="Times New Roman"/>
                <w:vertAlign w:val="superscript"/>
              </w:rPr>
              <w:t>2</w:t>
            </w:r>
            <w:r w:rsidRPr="007B75DC">
              <w:rPr>
                <w:rFonts w:ascii="Times New Roman" w:hAnsi="Times New Roman" w:cs="Times New Roman"/>
              </w:rPr>
              <w:t xml:space="preserve"> per savaitę, PO): 8, 15, 22, 29, 36, 43, 50</w:t>
            </w:r>
            <w:r w:rsidR="00AF7515">
              <w:rPr>
                <w:rFonts w:ascii="Times New Roman" w:hAnsi="Times New Roman" w:cs="Times New Roman"/>
              </w:rPr>
              <w:t> </w:t>
            </w:r>
            <w:r w:rsidRPr="007B75DC">
              <w:rPr>
                <w:rFonts w:ascii="Times New Roman" w:hAnsi="Times New Roman" w:cs="Times New Roman"/>
              </w:rPr>
              <w:t>dienomis</w:t>
            </w:r>
          </w:p>
        </w:tc>
      </w:tr>
      <w:tr w:rsidR="00DE2956" w:rsidRPr="007B75DC" w14:paraId="221E3F2A" w14:textId="77777777" w:rsidTr="003F4907">
        <w:trPr>
          <w:trHeight w:val="900"/>
        </w:trPr>
        <w:tc>
          <w:tcPr>
            <w:tcW w:w="1622" w:type="pct"/>
            <w:tcBorders>
              <w:top w:val="single" w:sz="4" w:space="0" w:color="auto"/>
              <w:left w:val="single" w:sz="4" w:space="0" w:color="auto"/>
              <w:bottom w:val="single" w:sz="4" w:space="0" w:color="auto"/>
              <w:right w:val="single" w:sz="4" w:space="0" w:color="auto"/>
            </w:tcBorders>
            <w:hideMark/>
          </w:tcPr>
          <w:p w14:paraId="65A39F5F" w14:textId="467FAE77" w:rsidR="00513580"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Palaikomasis gydymas (8</w:t>
            </w:r>
            <w:r w:rsidR="00AF7515">
              <w:rPr>
                <w:rFonts w:ascii="Times New Roman" w:hAnsi="Times New Roman" w:cs="Times New Roman"/>
              </w:rPr>
              <w:t> </w:t>
            </w:r>
            <w:r w:rsidRPr="007B75DC">
              <w:rPr>
                <w:rFonts w:ascii="Times New Roman" w:hAnsi="Times New Roman" w:cs="Times New Roman"/>
              </w:rPr>
              <w:t>savaičių trukmės ciklai)</w:t>
            </w:r>
          </w:p>
          <w:p w14:paraId="5125E317" w14:textId="713B4859"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6</w:t>
            </w:r>
            <w:r w:rsidR="00AF7515">
              <w:rPr>
                <w:rFonts w:ascii="Times New Roman" w:hAnsi="Times New Roman" w:cs="Times New Roman"/>
              </w:rPr>
              <w:t>–</w:t>
            </w:r>
            <w:r w:rsidRPr="007B75DC">
              <w:rPr>
                <w:rFonts w:ascii="Times New Roman" w:hAnsi="Times New Roman" w:cs="Times New Roman"/>
              </w:rPr>
              <w:t>12</w:t>
            </w:r>
            <w:r w:rsidR="00AF7515">
              <w:rPr>
                <w:rFonts w:ascii="Times New Roman" w:hAnsi="Times New Roman" w:cs="Times New Roman"/>
              </w:rPr>
              <w:t> </w:t>
            </w:r>
            <w:r w:rsidRPr="007B75DC">
              <w:rPr>
                <w:rFonts w:ascii="Times New Roman" w:hAnsi="Times New Roman" w:cs="Times New Roman"/>
              </w:rPr>
              <w:t>ciklai</w:t>
            </w:r>
          </w:p>
        </w:tc>
        <w:tc>
          <w:tcPr>
            <w:tcW w:w="3378" w:type="pct"/>
            <w:tcBorders>
              <w:top w:val="single" w:sz="4" w:space="0" w:color="auto"/>
              <w:left w:val="single" w:sz="4" w:space="0" w:color="auto"/>
              <w:bottom w:val="single" w:sz="4" w:space="0" w:color="auto"/>
              <w:right w:val="single" w:sz="4" w:space="0" w:color="auto"/>
            </w:tcBorders>
            <w:hideMark/>
          </w:tcPr>
          <w:p w14:paraId="3585D28E" w14:textId="0A537A31"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VCR (1,5 mg/m</w:t>
            </w:r>
            <w:r w:rsidRPr="007B75DC">
              <w:rPr>
                <w:rFonts w:ascii="Times New Roman" w:hAnsi="Times New Roman" w:cs="Times New Roman"/>
                <w:vertAlign w:val="superscript"/>
              </w:rPr>
              <w:t>2</w:t>
            </w:r>
            <w:r w:rsidRPr="007B75DC">
              <w:rPr>
                <w:rFonts w:ascii="Times New Roman" w:hAnsi="Times New Roman" w:cs="Times New Roman"/>
              </w:rPr>
              <w:t xml:space="preserve"> per parą, IV): 1, 29</w:t>
            </w:r>
            <w:r w:rsidR="00AF7515">
              <w:rPr>
                <w:rFonts w:ascii="Times New Roman" w:hAnsi="Times New Roman" w:cs="Times New Roman"/>
              </w:rPr>
              <w:t> </w:t>
            </w:r>
            <w:r w:rsidRPr="007B75DC">
              <w:rPr>
                <w:rFonts w:ascii="Times New Roman" w:hAnsi="Times New Roman" w:cs="Times New Roman"/>
              </w:rPr>
              <w:t xml:space="preserve">dienomis </w:t>
            </w:r>
          </w:p>
          <w:p w14:paraId="69EB6C52" w14:textId="16E34059"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DEX (6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w:t>
            </w:r>
            <w:r w:rsidR="00AF7515">
              <w:rPr>
                <w:rFonts w:ascii="Times New Roman" w:hAnsi="Times New Roman" w:cs="Times New Roman"/>
              </w:rPr>
              <w:t>–</w:t>
            </w:r>
            <w:r w:rsidRPr="007B75DC">
              <w:rPr>
                <w:rFonts w:ascii="Times New Roman" w:hAnsi="Times New Roman" w:cs="Times New Roman"/>
              </w:rPr>
              <w:t>5</w:t>
            </w:r>
            <w:r w:rsidR="00AF7515">
              <w:rPr>
                <w:rFonts w:ascii="Times New Roman" w:hAnsi="Times New Roman" w:cs="Times New Roman"/>
              </w:rPr>
              <w:t> </w:t>
            </w:r>
            <w:r w:rsidRPr="007B75DC">
              <w:rPr>
                <w:rFonts w:ascii="Times New Roman" w:hAnsi="Times New Roman" w:cs="Times New Roman"/>
              </w:rPr>
              <w:t>dienos; 29</w:t>
            </w:r>
            <w:r w:rsidR="00AF7515">
              <w:rPr>
                <w:rFonts w:ascii="Times New Roman" w:hAnsi="Times New Roman" w:cs="Times New Roman"/>
              </w:rPr>
              <w:t>–</w:t>
            </w:r>
            <w:r w:rsidRPr="007B75DC">
              <w:rPr>
                <w:rFonts w:ascii="Times New Roman" w:hAnsi="Times New Roman" w:cs="Times New Roman"/>
              </w:rPr>
              <w:t>33</w:t>
            </w:r>
            <w:r w:rsidR="00AF7515">
              <w:rPr>
                <w:rFonts w:ascii="Times New Roman" w:hAnsi="Times New Roman" w:cs="Times New Roman"/>
              </w:rPr>
              <w:t> </w:t>
            </w:r>
            <w:r w:rsidRPr="007B75DC">
              <w:rPr>
                <w:rFonts w:ascii="Times New Roman" w:hAnsi="Times New Roman" w:cs="Times New Roman"/>
              </w:rPr>
              <w:t>dienos</w:t>
            </w:r>
          </w:p>
          <w:p w14:paraId="07A784B9" w14:textId="53A96D92" w:rsidR="00DE2956" w:rsidRPr="007B75DC" w:rsidRDefault="00DE2956" w:rsidP="00DE2956">
            <w:pPr>
              <w:tabs>
                <w:tab w:val="left" w:pos="720"/>
              </w:tabs>
              <w:autoSpaceDE w:val="0"/>
              <w:autoSpaceDN w:val="0"/>
              <w:adjustRightInd w:val="0"/>
              <w:spacing w:after="0" w:line="240" w:lineRule="auto"/>
              <w:rPr>
                <w:rFonts w:ascii="Times New Roman" w:hAnsi="Times New Roman" w:cs="Times New Roman"/>
              </w:rPr>
            </w:pPr>
            <w:r w:rsidRPr="007B75DC">
              <w:rPr>
                <w:rFonts w:ascii="Times New Roman" w:hAnsi="Times New Roman" w:cs="Times New Roman"/>
              </w:rPr>
              <w:t>6-MP (75 mg/m</w:t>
            </w:r>
            <w:r w:rsidRPr="007B75DC">
              <w:rPr>
                <w:rFonts w:ascii="Times New Roman" w:hAnsi="Times New Roman" w:cs="Times New Roman"/>
                <w:vertAlign w:val="superscript"/>
              </w:rPr>
              <w:t>2</w:t>
            </w:r>
            <w:r w:rsidRPr="007B75DC">
              <w:rPr>
                <w:rFonts w:ascii="Times New Roman" w:hAnsi="Times New Roman" w:cs="Times New Roman"/>
              </w:rPr>
              <w:t xml:space="preserve"> per parą, PO): 1</w:t>
            </w:r>
            <w:r w:rsidR="00AF7515">
              <w:rPr>
                <w:rFonts w:ascii="Times New Roman" w:hAnsi="Times New Roman" w:cs="Times New Roman"/>
              </w:rPr>
              <w:t>–</w:t>
            </w:r>
            <w:r w:rsidRPr="007B75DC">
              <w:rPr>
                <w:rFonts w:ascii="Times New Roman" w:hAnsi="Times New Roman" w:cs="Times New Roman"/>
              </w:rPr>
              <w:t>56</w:t>
            </w:r>
            <w:r w:rsidR="00AF7515">
              <w:rPr>
                <w:rFonts w:ascii="Times New Roman" w:hAnsi="Times New Roman" w:cs="Times New Roman"/>
              </w:rPr>
              <w:t> </w:t>
            </w:r>
            <w:r w:rsidRPr="007B75DC">
              <w:rPr>
                <w:rFonts w:ascii="Times New Roman" w:hAnsi="Times New Roman" w:cs="Times New Roman"/>
              </w:rPr>
              <w:t xml:space="preserve">dienos </w:t>
            </w:r>
          </w:p>
          <w:p w14:paraId="409B5525" w14:textId="25DD6843" w:rsidR="00DE2956" w:rsidRPr="007B75DC" w:rsidRDefault="00DE2956" w:rsidP="00DE2956">
            <w:pPr>
              <w:tabs>
                <w:tab w:val="left" w:pos="720"/>
              </w:tabs>
              <w:autoSpaceDE w:val="0"/>
              <w:autoSpaceDN w:val="0"/>
              <w:adjustRightInd w:val="0"/>
              <w:snapToGrid w:val="0"/>
              <w:spacing w:after="0" w:line="240" w:lineRule="auto"/>
              <w:rPr>
                <w:rFonts w:ascii="Times New Roman" w:hAnsi="Times New Roman" w:cs="Times New Roman"/>
              </w:rPr>
            </w:pPr>
            <w:r w:rsidRPr="007B75DC">
              <w:rPr>
                <w:rFonts w:ascii="Times New Roman" w:hAnsi="Times New Roman" w:cs="Times New Roman"/>
              </w:rPr>
              <w:t>Metotreksatas (20 mg/m</w:t>
            </w:r>
            <w:r w:rsidRPr="007B75DC">
              <w:rPr>
                <w:rFonts w:ascii="Times New Roman" w:hAnsi="Times New Roman" w:cs="Times New Roman"/>
                <w:vertAlign w:val="superscript"/>
              </w:rPr>
              <w:t>2</w:t>
            </w:r>
            <w:r w:rsidRPr="007B75DC">
              <w:rPr>
                <w:rFonts w:ascii="Times New Roman" w:hAnsi="Times New Roman" w:cs="Times New Roman"/>
              </w:rPr>
              <w:t xml:space="preserve"> per savaitę, PO): 1, 8, 15, 22, 29, 36, 43, 50</w:t>
            </w:r>
            <w:r w:rsidR="00AF7515">
              <w:rPr>
                <w:rFonts w:ascii="Times New Roman" w:hAnsi="Times New Roman" w:cs="Times New Roman"/>
              </w:rPr>
              <w:t> </w:t>
            </w:r>
            <w:r w:rsidRPr="007B75DC">
              <w:rPr>
                <w:rFonts w:ascii="Times New Roman" w:hAnsi="Times New Roman" w:cs="Times New Roman"/>
              </w:rPr>
              <w:t>dienomis</w:t>
            </w:r>
          </w:p>
        </w:tc>
      </w:tr>
    </w:tbl>
    <w:p w14:paraId="7D69F61C" w14:textId="2C8FDE26" w:rsidR="00DE2956" w:rsidRPr="007B75DC" w:rsidRDefault="00DE2956" w:rsidP="00DE2956">
      <w:pPr>
        <w:spacing w:after="0" w:line="240" w:lineRule="auto"/>
        <w:rPr>
          <w:rFonts w:ascii="Times New Roman" w:eastAsia="Times New Roman" w:hAnsi="Times New Roman" w:cs="Times New Roman"/>
          <w:sz w:val="20"/>
          <w:szCs w:val="24"/>
        </w:rPr>
      </w:pPr>
      <w:r w:rsidRPr="007B75DC">
        <w:rPr>
          <w:rFonts w:ascii="Times New Roman" w:eastAsia="Times New Roman" w:hAnsi="Times New Roman" w:cs="Times New Roman"/>
          <w:sz w:val="20"/>
          <w:szCs w:val="24"/>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w:t>
      </w:r>
      <w:r w:rsidRPr="007B75DC">
        <w:rPr>
          <w:rFonts w:ascii="Times New Roman" w:eastAsia="Times New Roman" w:hAnsi="Times New Roman" w:cs="Times New Roman"/>
          <w:sz w:val="20"/>
          <w:szCs w:val="24"/>
        </w:rPr>
        <w:lastRenderedPageBreak/>
        <w:t>MP = 6-merkaptopurinas, E.Coli L-ASP = L-asparaginazė, PEG-ASP = PEG asparaginazė, MESNA= 2-merkaptoetano natrio sulfonatas, iii= arba kol MTX koncentracija bus &lt;</w:t>
      </w:r>
      <w:r w:rsidR="00603DB8">
        <w:rPr>
          <w:rFonts w:ascii="Times New Roman" w:eastAsia="Times New Roman" w:hAnsi="Times New Roman" w:cs="Times New Roman"/>
          <w:sz w:val="20"/>
          <w:szCs w:val="24"/>
        </w:rPr>
        <w:t> </w:t>
      </w:r>
      <w:r w:rsidRPr="007B75DC">
        <w:rPr>
          <w:rFonts w:ascii="Times New Roman" w:eastAsia="Times New Roman" w:hAnsi="Times New Roman" w:cs="Times New Roman"/>
          <w:sz w:val="20"/>
          <w:szCs w:val="24"/>
        </w:rPr>
        <w:t>0,1</w:t>
      </w:r>
      <w:r w:rsidR="00603DB8">
        <w:rPr>
          <w:rFonts w:ascii="Times New Roman" w:eastAsia="Times New Roman" w:hAnsi="Times New Roman" w:cs="Times New Roman"/>
          <w:sz w:val="20"/>
          <w:szCs w:val="24"/>
        </w:rPr>
        <w:t> </w:t>
      </w:r>
      <w:r w:rsidRPr="007B75DC">
        <w:rPr>
          <w:rFonts w:ascii="Times New Roman" w:eastAsia="Times New Roman" w:hAnsi="Times New Roman" w:cs="Times New Roman"/>
          <w:sz w:val="20"/>
          <w:szCs w:val="24"/>
        </w:rPr>
        <w:t>µM, q6h = kas 6</w:t>
      </w:r>
      <w:r w:rsidR="00603DB8">
        <w:rPr>
          <w:rFonts w:ascii="Times New Roman" w:eastAsia="Times New Roman" w:hAnsi="Times New Roman" w:cs="Times New Roman"/>
          <w:sz w:val="20"/>
          <w:szCs w:val="24"/>
        </w:rPr>
        <w:t> </w:t>
      </w:r>
      <w:r w:rsidRPr="007B75DC">
        <w:rPr>
          <w:rFonts w:ascii="Times New Roman" w:eastAsia="Times New Roman" w:hAnsi="Times New Roman" w:cs="Times New Roman"/>
          <w:sz w:val="20"/>
          <w:szCs w:val="24"/>
        </w:rPr>
        <w:t>valandas, Gy= Grėjus.</w:t>
      </w:r>
    </w:p>
    <w:p w14:paraId="651397CA" w14:textId="77777777" w:rsidR="00DE2956" w:rsidRPr="007B75DC" w:rsidRDefault="00DE2956" w:rsidP="00DE2956">
      <w:pPr>
        <w:spacing w:after="0" w:line="240" w:lineRule="auto"/>
        <w:rPr>
          <w:rFonts w:ascii="Times New Roman" w:eastAsia="Times New Roman" w:hAnsi="Times New Roman" w:cs="Times New Roman"/>
          <w:szCs w:val="24"/>
        </w:rPr>
      </w:pPr>
    </w:p>
    <w:p w14:paraId="3BB317E5" w14:textId="7C2238F2"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Atliktas AIT07 tyrimas – daugiacentris, atviras, atsitiktinių imčių, II/III</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tyrimas, į kurį buvo įtraukti 128</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(nuo 1 iki &lt;</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18</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pacientams buvo skiriamas gydymas imatinibu kartu su chemoterapija. Šio tyrimo metu gauti saugumo duomenys, atrodo, atitinka imatinibo saugumo savybes skiriant Ph+ ŪLL sergantiems pacientams.</w:t>
      </w:r>
    </w:p>
    <w:p w14:paraId="60A87B2A" w14:textId="77777777" w:rsidR="00DE2956" w:rsidRPr="007B75DC" w:rsidRDefault="00DE2956" w:rsidP="00DE2956">
      <w:pPr>
        <w:spacing w:after="0" w:line="240" w:lineRule="auto"/>
        <w:rPr>
          <w:rFonts w:ascii="Times New Roman" w:eastAsia="Times New Roman" w:hAnsi="Times New Roman" w:cs="Times New Roman"/>
          <w:szCs w:val="24"/>
        </w:rPr>
      </w:pPr>
    </w:p>
    <w:p w14:paraId="3A89E555" w14:textId="5D0FBC7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Recidyvavusi ar refrakterinė Ph+ ŪLL: 53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pacientams iš 411, kuriuos buvo galima vertinti dėl atsako, sergantiems recidyvuojančia ar refrakterine Ph+ ŪLL, vartojusiems vien tik imatinibą, hematologinio atsako dažnis buvo 30</w:t>
      </w:r>
      <w:r w:rsidR="00513580">
        <w:rPr>
          <w:rFonts w:ascii="Times New Roman" w:eastAsia="Times New Roman" w:hAnsi="Times New Roman" w:cs="Times New Roman"/>
          <w:szCs w:val="24"/>
        </w:rPr>
        <w:t> </w:t>
      </w:r>
      <w:r w:rsidRPr="007B75DC">
        <w:rPr>
          <w:rFonts w:ascii="Times New Roman" w:eastAsia="Times New Roman" w:hAnsi="Times New Roman" w:cs="Times New Roman"/>
          <w:szCs w:val="24"/>
        </w:rPr>
        <w:t>% (pilno – 9</w:t>
      </w:r>
      <w:r w:rsidR="00513580">
        <w:rPr>
          <w:rFonts w:ascii="Times New Roman" w:eastAsia="Times New Roman" w:hAnsi="Times New Roman" w:cs="Times New Roman"/>
          <w:szCs w:val="24"/>
        </w:rPr>
        <w:t> </w:t>
      </w:r>
      <w:r w:rsidRPr="007B75DC">
        <w:rPr>
          <w:rFonts w:ascii="Times New Roman" w:eastAsia="Times New Roman" w:hAnsi="Times New Roman" w:cs="Times New Roman"/>
          <w:szCs w:val="24"/>
        </w:rPr>
        <w:t>%), o didžiojo citogenetinio atsako dažnis buvo 23</w:t>
      </w:r>
      <w:r w:rsidR="00513580">
        <w:rPr>
          <w:rFonts w:ascii="Times New Roman" w:eastAsia="Times New Roman" w:hAnsi="Times New Roman" w:cs="Times New Roman"/>
          <w:szCs w:val="24"/>
        </w:rPr>
        <w:t> </w:t>
      </w:r>
      <w:r w:rsidRPr="007B75DC">
        <w:rPr>
          <w:rFonts w:ascii="Times New Roman" w:eastAsia="Times New Roman" w:hAnsi="Times New Roman" w:cs="Times New Roman"/>
          <w:szCs w:val="24"/>
        </w:rPr>
        <w:t>% (</w:t>
      </w:r>
      <w:r w:rsidR="00513580">
        <w:rPr>
          <w:rFonts w:ascii="Times New Roman" w:eastAsia="Times New Roman" w:hAnsi="Times New Roman" w:cs="Times New Roman"/>
          <w:szCs w:val="24"/>
        </w:rPr>
        <w:t>r</w:t>
      </w:r>
      <w:r w:rsidRPr="007B75DC">
        <w:rPr>
          <w:rFonts w:ascii="Times New Roman" w:eastAsia="Times New Roman" w:hAnsi="Times New Roman" w:cs="Times New Roman"/>
          <w:szCs w:val="24"/>
        </w:rPr>
        <w:t>eikia pažymėti, kad 353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iš 411 dalyvavo išplėstinėje gydymo programoje ir nebuvo renkami pirminiai jų atsako duomenys.) Laiko iki progresavimo mediana bendrojoje 411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kuriems buvo recidyvavusi ar refrakterinė Ph+ ŪLL, populiacijoje buvo nuo 2,6 iki 3,1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o 401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paciento, kuriuos buvo galima įvertinti, gyvenimo trukmės mediana buvo nuo 4,9 iki 9</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Duomenys buvo panašūs, kai analizė buvo pakartota įtraukiant tik 55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amžiaus ar vyresnius pacientus.</w:t>
      </w:r>
    </w:p>
    <w:p w14:paraId="572FB702" w14:textId="77777777" w:rsidR="00DE2956" w:rsidRPr="007B75DC" w:rsidRDefault="00DE2956" w:rsidP="00DE2956">
      <w:pPr>
        <w:spacing w:after="0" w:line="240" w:lineRule="auto"/>
        <w:rPr>
          <w:rFonts w:ascii="Times New Roman" w:eastAsia="Times New Roman" w:hAnsi="Times New Roman" w:cs="Times New Roman"/>
          <w:b/>
          <w:szCs w:val="24"/>
        </w:rPr>
      </w:pPr>
    </w:p>
    <w:p w14:paraId="5C8CAC5B"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Klinikiniai MDS ir MPL tyrimai</w:t>
      </w:r>
    </w:p>
    <w:p w14:paraId="1BBCF6BA" w14:textId="4D54D75F" w:rsidR="00F11B04"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Šių ligų gydymo imatinibu patirtis yra labai ribota ir remiasi hematologinio ir citogenetinio atsako dažniais. Kontroliuotų klinikinių tyrimų, rodančių klinikinį pranašumą arba padidėjusį išgyvenamumą, neatlikta. Viename atvirame, daugiacentriame, II</w:t>
      </w:r>
      <w:r w:rsidR="00603DB8">
        <w:t> </w:t>
      </w:r>
      <w:r w:rsidRPr="007B75DC">
        <w:rPr>
          <w:rFonts w:ascii="Times New Roman" w:eastAsia="Times New Roman" w:hAnsi="Times New Roman" w:cs="Times New Roman"/>
          <w:szCs w:val="24"/>
        </w:rPr>
        <w:t>fazės klinikiniame tyrime (tyrimas B2225) buvo tiriamas imatinibo efektyvumas įvairioms pacientų, sergančių gyvybei pavojingomis ligomis, susijusiomis su Abl, Kit ar PDGFR baltymų tirozinkinazėmis, grupėms. Tyrime dalyvavo 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sergantys MDS/MPL, kurie buvo gydomi imatinibo 400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metų. </w:t>
      </w:r>
    </w:p>
    <w:p w14:paraId="3B5204FA" w14:textId="77777777" w:rsidR="00F11B04" w:rsidRPr="007B75DC" w:rsidRDefault="00F11B04" w:rsidP="00DE2956">
      <w:pPr>
        <w:spacing w:after="0" w:line="240" w:lineRule="auto"/>
        <w:rPr>
          <w:rFonts w:ascii="Times New Roman" w:eastAsia="Times New Roman" w:hAnsi="Times New Roman" w:cs="Times New Roman"/>
          <w:szCs w:val="24"/>
        </w:rPr>
      </w:pPr>
    </w:p>
    <w:p w14:paraId="5495C8A1" w14:textId="23038696" w:rsidR="00F11B04" w:rsidRPr="007B75DC" w:rsidRDefault="00F11B04"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Duomenų stebėjimo registro (L2401 tyrimo) pildymo metu buvo renkami ilgalaikio </w:t>
      </w:r>
      <w:r w:rsidR="00F756FF">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F756FF">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saugumo ir veiksmingumo duomenys pacientams, kuriems nustatyta mieloproliferacinių navikų ir PDGFR- β geno pakitimų bei kuriems buvo skiriamas gydymas </w:t>
      </w:r>
      <w:r w:rsidR="00F756FF">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F756FF">
        <w:rPr>
          <w:rFonts w:ascii="Times New Roman" w:eastAsia="Times New Roman" w:hAnsi="Times New Roman" w:cs="Times New Roman"/>
          <w:szCs w:val="24"/>
        </w:rPr>
        <w:t>u</w:t>
      </w:r>
      <w:r w:rsidRPr="007B75DC">
        <w:rPr>
          <w:rFonts w:ascii="Times New Roman" w:eastAsia="Times New Roman" w:hAnsi="Times New Roman" w:cs="Times New Roman"/>
          <w:szCs w:val="24"/>
        </w:rPr>
        <w:t>. Į šį registrą buvo įtraukti 23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pacientai, ir jiems skirtos </w:t>
      </w:r>
      <w:r w:rsidR="00F756FF">
        <w:rPr>
          <w:rFonts w:ascii="Times New Roman" w:eastAsia="Times New Roman" w:hAnsi="Times New Roman" w:cs="Times New Roman"/>
          <w:szCs w:val="24"/>
        </w:rPr>
        <w:t>i</w:t>
      </w:r>
      <w:r w:rsidRPr="007B75DC">
        <w:rPr>
          <w:rFonts w:ascii="Times New Roman" w:eastAsia="Times New Roman" w:hAnsi="Times New Roman" w:cs="Times New Roman"/>
          <w:szCs w:val="24"/>
        </w:rPr>
        <w:t>matinib</w:t>
      </w:r>
      <w:r w:rsidR="00F756FF">
        <w:rPr>
          <w:rFonts w:ascii="Times New Roman" w:eastAsia="Times New Roman" w:hAnsi="Times New Roman" w:cs="Times New Roman"/>
          <w:szCs w:val="24"/>
        </w:rPr>
        <w:t>o</w:t>
      </w:r>
      <w:r w:rsidRPr="007B75DC">
        <w:rPr>
          <w:rFonts w:ascii="Times New Roman" w:eastAsia="Times New Roman" w:hAnsi="Times New Roman" w:cs="Times New Roman"/>
          <w:szCs w:val="24"/>
        </w:rPr>
        <w:t xml:space="preserve"> paros dozės mediana buvo 264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(svyravo nuo 100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iki 400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o gydymo trukmės mediana buvo 7,2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(svyravo nuo 0,1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iki 12,7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CCyR atsakas pasiektas 9 iš 23 (39,1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o molekulinis atsakas – 11 iš 23 (47,8</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pacientų. Kai atsako dažnis buvo apskaičiuotas tiems pacientams, kuriems buvo žinomas bent vienas pagrįstas įvertinimas, VHA, CCyR ir molekulinio atsakų dažniai, atitinkamai, buvo 20 iš 22 (90,9</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9 iš 9 (100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ir 11 iš 17 (64,7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w:t>
      </w:r>
    </w:p>
    <w:p w14:paraId="113EB237" w14:textId="77777777" w:rsidR="00F11B04" w:rsidRPr="007B75DC" w:rsidRDefault="00F11B04" w:rsidP="00DE2956">
      <w:pPr>
        <w:spacing w:after="0" w:line="240" w:lineRule="auto"/>
        <w:rPr>
          <w:rFonts w:ascii="Times New Roman" w:eastAsia="Times New Roman" w:hAnsi="Times New Roman" w:cs="Times New Roman"/>
          <w:szCs w:val="24"/>
        </w:rPr>
      </w:pPr>
    </w:p>
    <w:p w14:paraId="2D47A6C6" w14:textId="0758829B"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Be to, kiti 24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sergantys MDS/MPL, buvo aprašyti 13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straipsnių. 21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pacientas buvo gydomas imatinibo 400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doze, kiti 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gavo mažesnes dozes. Vienuolikai pacientų buvo nustatyti PDGF genų pakitimai, 9 iš jų pasiekė VHA ir 1 DHA. Šių pacientų amžius svyravo nuo 2 iki 79</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Remiantis atnaujinta informacija apie 6 iš 11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nesename straipsnyje, paaiškėjo, jog jiems visiems citogenetinė remisija išliko (trukmė 32</w:t>
      </w:r>
      <w:r w:rsidR="00603DB8">
        <w:rPr>
          <w:rFonts w:ascii="Times New Roman" w:eastAsia="Times New Roman" w:hAnsi="Times New Roman" w:cs="Times New Roman"/>
          <w:szCs w:val="24"/>
        </w:rPr>
        <w:t>–</w:t>
      </w:r>
      <w:r w:rsidRPr="007B75DC">
        <w:rPr>
          <w:rFonts w:ascii="Times New Roman" w:eastAsia="Times New Roman" w:hAnsi="Times New Roman" w:cs="Times New Roman"/>
          <w:szCs w:val="24"/>
        </w:rPr>
        <w:t>38</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mėnesiai). Tame pačiame straipsnyje aprašomi 12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sergančių MDS/MPL su PDGFR genų pakitimais (5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iš B2225 tyrimo) ilgalaikio stebėjimo duomenys. Šie pacientai gavo imatinibo vidutiniškai 47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(ribos 24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dienos – 60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6 iš šių pacientų dabar stebimi ilgiau kaip 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metus. Vienuolika pacientų pasiekė greitą VHA; dešimčiai visiškai išnyko citogenetiniai pokyčiai ir patikrinus RT-PGR, sumažėjo arba išnyko susijungusių transkriptų. Hematologinis ir citogenetinis atsakai buvo atitinkamai pastovūs vidutiniškai 49</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(ribos 19</w:t>
      </w:r>
      <w:r w:rsidR="00603DB8">
        <w:rPr>
          <w:rFonts w:ascii="Times New Roman" w:eastAsia="Times New Roman" w:hAnsi="Times New Roman" w:cs="Times New Roman"/>
          <w:szCs w:val="24"/>
        </w:rPr>
        <w:t>–</w:t>
      </w:r>
      <w:r w:rsidRPr="007B75DC">
        <w:rPr>
          <w:rFonts w:ascii="Times New Roman" w:eastAsia="Times New Roman" w:hAnsi="Times New Roman" w:cs="Times New Roman"/>
          <w:szCs w:val="24"/>
        </w:rPr>
        <w:t>60) ir 47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(ribos 16</w:t>
      </w:r>
      <w:r w:rsidR="00603DB8">
        <w:rPr>
          <w:rFonts w:ascii="Times New Roman" w:eastAsia="Times New Roman" w:hAnsi="Times New Roman" w:cs="Times New Roman"/>
          <w:szCs w:val="24"/>
        </w:rPr>
        <w:t>–</w:t>
      </w:r>
      <w:r w:rsidRPr="007B75DC">
        <w:rPr>
          <w:rFonts w:ascii="Times New Roman" w:eastAsia="Times New Roman" w:hAnsi="Times New Roman" w:cs="Times New Roman"/>
          <w:szCs w:val="24"/>
        </w:rPr>
        <w:t>59). Patvirtinus diagnozę, bendras išgyvenamumas yra 65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mėnesiai (ribos 25</w:t>
      </w:r>
      <w:r w:rsidR="00603DB8">
        <w:rPr>
          <w:rFonts w:ascii="Times New Roman" w:eastAsia="Times New Roman" w:hAnsi="Times New Roman" w:cs="Times New Roman"/>
          <w:szCs w:val="24"/>
        </w:rPr>
        <w:t>–</w:t>
      </w:r>
      <w:r w:rsidRPr="007B75DC">
        <w:rPr>
          <w:rFonts w:ascii="Times New Roman" w:eastAsia="Times New Roman" w:hAnsi="Times New Roman" w:cs="Times New Roman"/>
          <w:szCs w:val="24"/>
        </w:rPr>
        <w:t>234). Imatinibo paskyrimas pacientams be genetinių translokacijų bendrai pagerėjimo nesukėlė.</w:t>
      </w:r>
    </w:p>
    <w:p w14:paraId="30D5B5A6" w14:textId="77777777" w:rsidR="00DE2956" w:rsidRPr="007B75DC" w:rsidRDefault="00DE2956" w:rsidP="00DE2956">
      <w:pPr>
        <w:spacing w:after="0" w:line="240" w:lineRule="auto"/>
        <w:rPr>
          <w:rFonts w:ascii="Times New Roman" w:eastAsia="Times New Roman" w:hAnsi="Times New Roman" w:cs="Times New Roman"/>
          <w:szCs w:val="24"/>
        </w:rPr>
      </w:pPr>
    </w:p>
    <w:p w14:paraId="11A6723B" w14:textId="639B121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Kontroliuojamųjų klinikinių tyrimų su MDS ir MPL sergančiais vaikais neatlikta. 4 literatūros šaltiniuose aprašyti 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sirgę su PDGFR genų pakitimais susijusiomis MDS/MPL. Šių pacientų amžius svyravo nuo 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iki 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jiems buvo skiriama 50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imatinibo dozė arba nuo 92,5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iki 340</w:t>
      </w:r>
      <w:r w:rsidR="00603DB8">
        <w:rPr>
          <w:rFonts w:ascii="Times New Roman" w:eastAsia="Times New Roman" w:hAnsi="Times New Roman" w:cs="Times New Roman"/>
          <w:sz w:val="20"/>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kūno paviršiaus ploto per parą dozė. Visiems pacientams pasiektas visiškas hematologinis atsakas, citogenetinis atsakas ir (arba) klinikinis atsakas.</w:t>
      </w:r>
      <w:r w:rsidRPr="007B75DC">
        <w:rPr>
          <w:rFonts w:ascii="Times New Roman" w:eastAsia="Times New Roman" w:hAnsi="Times New Roman" w:cs="Times New Roman"/>
          <w:szCs w:val="24"/>
        </w:rPr>
        <w:cr/>
      </w:r>
    </w:p>
    <w:p w14:paraId="3978FB81"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Klinikiniai HES/LEL tyrimai</w:t>
      </w:r>
    </w:p>
    <w:p w14:paraId="715554EF" w14:textId="4E27DA19"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Viename atvirame, daugiacentriame, II</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fazės klinikiniame tyrime (tyrimas B2225) buvo tiriamas imatinibo efektyvumas įvairioms pacientų, sergančių gyvybei pavojingomis ligomis, susijusiomis su Abl, Kit ar PDGFR baltymų tirozinkinazėmis, grupėms. Šio tyrimo metu 14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sergantys HES/LEL, buvo gydomi imatinibo 100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 1 000 mg dozėmis per parą. Kiti 162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sergantys HES/LEL, aprašyti 35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atvejų pranešimuose ir atvejų serijose gavo 75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 800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imatinibo per parą. 117 iš bendros 176</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populiacijos buvo nustatyti citogenetiniai pokyčiai. 61 iš 117 šių pacientų nustatyta FIP1L1-PDGFRα lydima kinazė. Be to, keturiems HES sergantiems pacientams buvo nustatyta teigiama FIP1L1-PDGFRα lydima kinazė kituose 3 aprašytuose atvejuose. Visi 65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su teigiama FIP1L1-PDGFRα lydima kinaze pasiekė pastovų VHA mėnesiams (nuo 1+ iki 44+ mėnesių, tikrinta pranešimo metu). Kaip pranešama naujame straipsnyje, 21 iš šių 65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pacientų taip pat pasiekė pilną molekulinę remisiją vidutiniškai stebint 28</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(13</w:t>
      </w:r>
      <w:r w:rsidR="00603DB8">
        <w:rPr>
          <w:rFonts w:ascii="Times New Roman" w:eastAsia="Times New Roman" w:hAnsi="Times New Roman" w:cs="Times New Roman"/>
          <w:szCs w:val="24"/>
        </w:rPr>
        <w:t>–</w:t>
      </w:r>
      <w:r w:rsidRPr="007B75DC">
        <w:rPr>
          <w:rFonts w:ascii="Times New Roman" w:eastAsia="Times New Roman" w:hAnsi="Times New Roman" w:cs="Times New Roman"/>
          <w:szCs w:val="24"/>
        </w:rPr>
        <w:t>67</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mėnesius). Šių pacientų amžius svyravo nuo 25 iki 72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Tyrėjų atvejų pranešimuose papildomai buvo pranešta apie simptomų ir kitus organų funkcijų sutrikimų pagerėjimus. Pagerėjimai buvo nustatyti širdies, nervų, odos</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poodinio audinio, kvėpavimo</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krūtinės</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tarpuplaučio, griaučių</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raumenų</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jungiamojo audinio</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603DB8">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kraujagyslių ir virškinimo trakto organų sistemose.</w:t>
      </w:r>
    </w:p>
    <w:p w14:paraId="71A84331" w14:textId="77777777" w:rsidR="00DE2956" w:rsidRPr="007B75DC" w:rsidRDefault="00DE2956" w:rsidP="00DE2956">
      <w:pPr>
        <w:spacing w:after="0" w:line="240" w:lineRule="auto"/>
        <w:rPr>
          <w:rFonts w:ascii="Times New Roman" w:eastAsia="Times New Roman" w:hAnsi="Times New Roman" w:cs="Times New Roman"/>
          <w:szCs w:val="24"/>
        </w:rPr>
      </w:pPr>
    </w:p>
    <w:p w14:paraId="5F269E11" w14:textId="0E55D65A" w:rsidR="008E79D1" w:rsidRDefault="00DE2956" w:rsidP="008E79D1">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Kontroliuojamųjų klinikinių tyrimų su HES/LEL sergančiais vaikais neatlikta. 3 literatūros šaltiniuose aprašyti 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sirgę su PDGFR genų pakitimais susijusiais HES ir LEL. Šių pacientų amžius svyravo nuo 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iki 16</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jiems buvo skiriama 300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kūno paviršiaus ploto per parą arba nuo 200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iki 400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imatinibo dozė. Visiems pacientams pasiektas visiškas hematologinis atsakas, visiškas citogenetinis atsakas ir (arba) visiškas molekulinis atsakas.</w:t>
      </w:r>
      <w:r w:rsidRPr="007B75DC">
        <w:rPr>
          <w:rFonts w:ascii="Times New Roman" w:eastAsia="Times New Roman" w:hAnsi="Times New Roman" w:cs="Times New Roman"/>
          <w:szCs w:val="24"/>
        </w:rPr>
        <w:cr/>
      </w:r>
    </w:p>
    <w:p w14:paraId="678AE856" w14:textId="77777777" w:rsidR="008E79D1" w:rsidRPr="008D3472" w:rsidRDefault="008E79D1" w:rsidP="008E79D1">
      <w:pPr>
        <w:autoSpaceDE w:val="0"/>
        <w:autoSpaceDN w:val="0"/>
        <w:adjustRightInd w:val="0"/>
        <w:spacing w:after="0" w:line="240" w:lineRule="auto"/>
        <w:rPr>
          <w:rFonts w:ascii="Times New Roman" w:hAnsi="Times New Roman" w:cs="Times New Roman"/>
          <w:color w:val="000000"/>
          <w:u w:val="single"/>
          <w:lang w:eastAsia="lt-LT"/>
        </w:rPr>
      </w:pPr>
      <w:r w:rsidRPr="008D3472">
        <w:rPr>
          <w:rFonts w:ascii="Times New Roman" w:hAnsi="Times New Roman" w:cs="Times New Roman"/>
          <w:color w:val="000000"/>
          <w:u w:val="single"/>
          <w:lang w:eastAsia="lt-LT"/>
        </w:rPr>
        <w:t>Klinikiniai pacientų, kuriems buvo nerezekuotinas ir (ar) metastazavęs VTSN, tyrimai</w:t>
      </w:r>
    </w:p>
    <w:p w14:paraId="5700163D" w14:textId="77777777" w:rsidR="008E79D1" w:rsidRDefault="008E79D1" w:rsidP="008E79D1">
      <w:pPr>
        <w:spacing w:after="0" w:line="240" w:lineRule="auto"/>
        <w:rPr>
          <w:rFonts w:ascii="Times New Roman" w:hAnsi="Times New Roman" w:cs="Times New Roman"/>
          <w:color w:val="000000"/>
          <w:lang w:eastAsia="lt-LT"/>
        </w:rPr>
      </w:pPr>
      <w:r w:rsidRPr="00CB41FF">
        <w:rPr>
          <w:rFonts w:ascii="Times New Roman" w:hAnsi="Times New Roman" w:cs="Times New Roman"/>
          <w:color w:val="000000"/>
          <w:lang w:eastAsia="lt-LT"/>
        </w:rPr>
        <w:t>Vienas II</w:t>
      </w:r>
      <w:r>
        <w:rPr>
          <w:rFonts w:ascii="Times New Roman" w:hAnsi="Times New Roman" w:cs="Times New Roman"/>
          <w:color w:val="000000"/>
          <w:lang w:eastAsia="lt-LT"/>
        </w:rPr>
        <w:t> </w:t>
      </w:r>
      <w:r w:rsidRPr="00CB41FF">
        <w:rPr>
          <w:rFonts w:ascii="Times New Roman" w:hAnsi="Times New Roman" w:cs="Times New Roman"/>
          <w:color w:val="000000"/>
          <w:lang w:eastAsia="lt-LT"/>
        </w:rPr>
        <w:t>fazės atviras, randomizuotas, nekontroliuojamas tarptautinis tyrimas buvo atliktas su pacientais, kuriems buvo nerezekuotinas ar metastazavęs piktybinis virškinimo trakto stromos navikas (VTSN). Šiame tyrime dalyvavo 147</w:t>
      </w:r>
      <w:r>
        <w:rPr>
          <w:rFonts w:ascii="Times New Roman" w:hAnsi="Times New Roman" w:cs="Times New Roman"/>
          <w:color w:val="000000"/>
          <w:lang w:eastAsia="lt-LT"/>
        </w:rPr>
        <w:t> </w:t>
      </w:r>
      <w:r w:rsidRPr="00CB41FF">
        <w:rPr>
          <w:rFonts w:ascii="Times New Roman" w:hAnsi="Times New Roman" w:cs="Times New Roman"/>
          <w:color w:val="000000"/>
          <w:lang w:eastAsia="lt-LT"/>
        </w:rPr>
        <w:t>pacientai, kurie buvo atsitiktinai suskirstyti gerti po 400</w:t>
      </w:r>
      <w:r>
        <w:rPr>
          <w:rFonts w:ascii="Times New Roman" w:hAnsi="Times New Roman" w:cs="Times New Roman"/>
          <w:color w:val="000000"/>
          <w:lang w:eastAsia="lt-LT"/>
        </w:rPr>
        <w:t> </w:t>
      </w:r>
      <w:r w:rsidRPr="00CB41FF">
        <w:rPr>
          <w:rFonts w:ascii="Times New Roman" w:hAnsi="Times New Roman" w:cs="Times New Roman"/>
          <w:color w:val="000000"/>
          <w:lang w:eastAsia="lt-LT"/>
        </w:rPr>
        <w:t>mg arba po 600</w:t>
      </w:r>
      <w:r>
        <w:rPr>
          <w:rFonts w:ascii="Times New Roman" w:hAnsi="Times New Roman" w:cs="Times New Roman"/>
          <w:color w:val="000000"/>
          <w:lang w:eastAsia="lt-LT"/>
        </w:rPr>
        <w:t> </w:t>
      </w:r>
      <w:r w:rsidRPr="00CB41FF">
        <w:rPr>
          <w:rFonts w:ascii="Times New Roman" w:hAnsi="Times New Roman" w:cs="Times New Roman"/>
          <w:color w:val="000000"/>
          <w:lang w:eastAsia="lt-LT"/>
        </w:rPr>
        <w:t>mg vieną kartą per parą iki 36</w:t>
      </w:r>
      <w:r>
        <w:rPr>
          <w:rFonts w:ascii="Times New Roman" w:hAnsi="Times New Roman" w:cs="Times New Roman"/>
          <w:color w:val="000000"/>
          <w:lang w:eastAsia="lt-LT"/>
        </w:rPr>
        <w:t> </w:t>
      </w:r>
      <w:r w:rsidRPr="00CB41FF">
        <w:rPr>
          <w:rFonts w:ascii="Times New Roman" w:hAnsi="Times New Roman" w:cs="Times New Roman"/>
          <w:color w:val="000000"/>
          <w:lang w:eastAsia="lt-LT"/>
        </w:rPr>
        <w:t>mėn. Šių pacientų amžius buvo nuo 18 iki 83</w:t>
      </w:r>
      <w:r>
        <w:rPr>
          <w:rFonts w:ascii="Times New Roman" w:hAnsi="Times New Roman" w:cs="Times New Roman"/>
          <w:color w:val="000000"/>
          <w:lang w:eastAsia="lt-LT"/>
        </w:rPr>
        <w:t> </w:t>
      </w:r>
      <w:r w:rsidRPr="00CB41FF">
        <w:rPr>
          <w:rFonts w:ascii="Times New Roman" w:hAnsi="Times New Roman" w:cs="Times New Roman"/>
          <w:color w:val="000000"/>
          <w:lang w:eastAsia="lt-LT"/>
        </w:rPr>
        <w:t>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w:t>
      </w:r>
    </w:p>
    <w:p w14:paraId="39620AB0" w14:textId="77777777" w:rsidR="008E79D1" w:rsidRPr="00F16A91" w:rsidRDefault="008E79D1" w:rsidP="008E79D1">
      <w:pPr>
        <w:spacing w:after="0" w:line="240" w:lineRule="auto"/>
        <w:rPr>
          <w:rFonts w:ascii="Times New Roman" w:hAnsi="Times New Roman" w:cs="Times New Roman"/>
        </w:rPr>
      </w:pPr>
      <w:r w:rsidRPr="00F16A91">
        <w:rPr>
          <w:rFonts w:ascii="Times New Roman" w:hAnsi="Times New Roman" w:cs="Times New Roman"/>
        </w:rPr>
        <w:t xml:space="preserve">Svarbiausias veiksmingumo įrodymas – objektyvus atsako dažnis. Buvo reikalaujama naviką išmatuoti bent vienoje vietoje. Atsakas apibūdintas pagal </w:t>
      </w:r>
      <w:r w:rsidRPr="00F16A91">
        <w:rPr>
          <w:rFonts w:ascii="Times New Roman" w:hAnsi="Times New Roman" w:cs="Times New Roman"/>
          <w:i/>
          <w:iCs/>
        </w:rPr>
        <w:t xml:space="preserve">Southwestern Oncology Group (SWOG) </w:t>
      </w:r>
      <w:r w:rsidRPr="00F16A91">
        <w:rPr>
          <w:rFonts w:ascii="Times New Roman" w:hAnsi="Times New Roman" w:cs="Times New Roman"/>
        </w:rPr>
        <w:t>kriterijus. Duomenys pateikti 6 lentelėje.</w:t>
      </w:r>
    </w:p>
    <w:p w14:paraId="0140C454" w14:textId="77777777" w:rsidR="008E79D1" w:rsidRPr="00F16A91" w:rsidRDefault="008E79D1" w:rsidP="008E79D1">
      <w:pPr>
        <w:spacing w:after="0" w:line="240" w:lineRule="auto"/>
        <w:rPr>
          <w:rFonts w:ascii="Times New Roman" w:hAnsi="Times New Roman" w:cs="Times New Roman"/>
        </w:rPr>
      </w:pPr>
    </w:p>
    <w:p w14:paraId="2CB87B72" w14:textId="77777777" w:rsidR="008E79D1" w:rsidRPr="00F16A91" w:rsidRDefault="008E79D1" w:rsidP="008E79D1">
      <w:pPr>
        <w:spacing w:after="0" w:line="240" w:lineRule="auto"/>
        <w:rPr>
          <w:rFonts w:ascii="Times New Roman" w:eastAsia="Times New Roman" w:hAnsi="Times New Roman" w:cs="Times New Roman"/>
          <w:szCs w:val="24"/>
        </w:rPr>
      </w:pPr>
      <w:r w:rsidRPr="00F16A91">
        <w:rPr>
          <w:rFonts w:ascii="Times New Roman" w:hAnsi="Times New Roman" w:cs="Times New Roman"/>
          <w:b/>
          <w:bCs/>
        </w:rPr>
        <w:t>6 lentelė</w:t>
      </w:r>
      <w:r>
        <w:rPr>
          <w:rFonts w:ascii="Times New Roman" w:hAnsi="Times New Roman" w:cs="Times New Roman"/>
          <w:b/>
          <w:bCs/>
        </w:rPr>
        <w:t>.</w:t>
      </w:r>
      <w:r w:rsidRPr="00F16A91">
        <w:rPr>
          <w:rFonts w:ascii="Times New Roman" w:hAnsi="Times New Roman" w:cs="Times New Roman"/>
          <w:b/>
          <w:bCs/>
        </w:rPr>
        <w:t xml:space="preserve"> Geriausias naviko atsakas STIB2222 (VTSN) tyrimo metu</w:t>
      </w:r>
    </w:p>
    <w:p w14:paraId="3C648F58" w14:textId="77777777" w:rsidR="008E79D1" w:rsidRDefault="008E79D1" w:rsidP="008E79D1">
      <w:pPr>
        <w:spacing w:after="0" w:line="240" w:lineRule="auto"/>
        <w:rPr>
          <w:rFonts w:ascii="Times New Roman" w:eastAsia="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8"/>
      </w:tblGrid>
      <w:tr w:rsidR="008E79D1" w14:paraId="0C0E4FD3" w14:textId="77777777" w:rsidTr="00D14A02">
        <w:tc>
          <w:tcPr>
            <w:tcW w:w="4643" w:type="dxa"/>
            <w:tcBorders>
              <w:top w:val="single" w:sz="4" w:space="0" w:color="auto"/>
              <w:left w:val="nil"/>
              <w:bottom w:val="nil"/>
              <w:right w:val="nil"/>
            </w:tcBorders>
            <w:shd w:val="clear" w:color="auto" w:fill="auto"/>
          </w:tcPr>
          <w:p w14:paraId="78DBFA85" w14:textId="77777777" w:rsidR="008E79D1" w:rsidRDefault="008E79D1" w:rsidP="00D14A02">
            <w:pPr>
              <w:spacing w:after="0" w:line="240" w:lineRule="auto"/>
              <w:rPr>
                <w:rFonts w:ascii="Times New Roman" w:eastAsia="Times New Roman" w:hAnsi="Times New Roman" w:cs="Times New Roman"/>
                <w:szCs w:val="24"/>
              </w:rPr>
            </w:pPr>
          </w:p>
        </w:tc>
        <w:tc>
          <w:tcPr>
            <w:tcW w:w="4643" w:type="dxa"/>
            <w:tcBorders>
              <w:top w:val="single" w:sz="4" w:space="0" w:color="auto"/>
              <w:left w:val="nil"/>
              <w:bottom w:val="nil"/>
              <w:right w:val="nil"/>
            </w:tcBorders>
            <w:shd w:val="clear" w:color="auto" w:fill="auto"/>
          </w:tcPr>
          <w:p w14:paraId="2A26B6DB" w14:textId="0E0CE0C3" w:rsidR="008E79D1" w:rsidRPr="00E47A2C" w:rsidRDefault="008E79D1" w:rsidP="00D14A02">
            <w:pPr>
              <w:pStyle w:val="Default"/>
              <w:jc w:val="center"/>
              <w:rPr>
                <w:sz w:val="22"/>
                <w:szCs w:val="22"/>
                <w:lang w:val="pt-PT"/>
              </w:rPr>
            </w:pPr>
            <w:r w:rsidRPr="00E47A2C">
              <w:rPr>
                <w:sz w:val="22"/>
                <w:szCs w:val="22"/>
                <w:lang w:val="pt-PT"/>
              </w:rPr>
              <w:t>Visos dozės (n</w:t>
            </w:r>
            <w:r w:rsidR="00F11306">
              <w:rPr>
                <w:sz w:val="22"/>
                <w:szCs w:val="22"/>
                <w:lang w:val="pt-PT"/>
              </w:rPr>
              <w:t> </w:t>
            </w:r>
            <w:r w:rsidRPr="00E47A2C">
              <w:rPr>
                <w:sz w:val="22"/>
                <w:szCs w:val="22"/>
                <w:lang w:val="pt-PT"/>
              </w:rPr>
              <w:t>=</w:t>
            </w:r>
            <w:r w:rsidR="00F11306">
              <w:rPr>
                <w:sz w:val="22"/>
                <w:szCs w:val="22"/>
                <w:lang w:val="pt-PT"/>
              </w:rPr>
              <w:t> </w:t>
            </w:r>
            <w:r w:rsidRPr="00E47A2C">
              <w:rPr>
                <w:sz w:val="22"/>
                <w:szCs w:val="22"/>
                <w:lang w:val="pt-PT"/>
              </w:rPr>
              <w:t>147)</w:t>
            </w:r>
          </w:p>
          <w:p w14:paraId="2A41B0D3" w14:textId="1F1756CF" w:rsidR="008E79D1" w:rsidRPr="00E47A2C" w:rsidRDefault="008E79D1" w:rsidP="00D14A02">
            <w:pPr>
              <w:pStyle w:val="Default"/>
              <w:jc w:val="center"/>
              <w:rPr>
                <w:sz w:val="22"/>
                <w:szCs w:val="22"/>
                <w:lang w:val="pt-PT"/>
              </w:rPr>
            </w:pPr>
            <w:r w:rsidRPr="00E47A2C">
              <w:rPr>
                <w:sz w:val="22"/>
                <w:szCs w:val="22"/>
                <w:lang w:val="pt-PT"/>
              </w:rPr>
              <w:t>400 mg (n</w:t>
            </w:r>
            <w:r w:rsidR="00F11306">
              <w:rPr>
                <w:sz w:val="22"/>
                <w:szCs w:val="22"/>
                <w:lang w:val="pt-PT"/>
              </w:rPr>
              <w:t> </w:t>
            </w:r>
            <w:r w:rsidRPr="00E47A2C">
              <w:rPr>
                <w:sz w:val="22"/>
                <w:szCs w:val="22"/>
                <w:lang w:val="pt-PT"/>
              </w:rPr>
              <w:t>=</w:t>
            </w:r>
            <w:r w:rsidR="00F11306">
              <w:rPr>
                <w:sz w:val="22"/>
                <w:szCs w:val="22"/>
                <w:lang w:val="pt-PT"/>
              </w:rPr>
              <w:t> </w:t>
            </w:r>
            <w:r w:rsidRPr="00E47A2C">
              <w:rPr>
                <w:sz w:val="22"/>
                <w:szCs w:val="22"/>
                <w:lang w:val="pt-PT"/>
              </w:rPr>
              <w:t>73)</w:t>
            </w:r>
          </w:p>
          <w:p w14:paraId="35294A25" w14:textId="5D69FEFE" w:rsidR="008E79D1" w:rsidRDefault="008E79D1" w:rsidP="00D14A0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rPr>
              <w:t>600 mg (n</w:t>
            </w:r>
            <w:r w:rsidR="00F11306">
              <w:rPr>
                <w:rFonts w:ascii="Times New Roman" w:eastAsia="Times New Roman" w:hAnsi="Times New Roman" w:cs="Times New Roman"/>
              </w:rPr>
              <w:t> </w:t>
            </w:r>
            <w:r>
              <w:rPr>
                <w:rFonts w:ascii="Times New Roman" w:eastAsia="Times New Roman" w:hAnsi="Times New Roman" w:cs="Times New Roman"/>
              </w:rPr>
              <w:t>=</w:t>
            </w:r>
            <w:r w:rsidR="00F11306">
              <w:rPr>
                <w:rFonts w:ascii="Times New Roman" w:eastAsia="Times New Roman" w:hAnsi="Times New Roman" w:cs="Times New Roman"/>
              </w:rPr>
              <w:t> </w:t>
            </w:r>
            <w:r>
              <w:rPr>
                <w:rFonts w:ascii="Times New Roman" w:eastAsia="Times New Roman" w:hAnsi="Times New Roman" w:cs="Times New Roman"/>
              </w:rPr>
              <w:t>74)</w:t>
            </w:r>
          </w:p>
        </w:tc>
      </w:tr>
      <w:tr w:rsidR="008E79D1" w14:paraId="5278971F" w14:textId="77777777" w:rsidTr="00D14A02">
        <w:tc>
          <w:tcPr>
            <w:tcW w:w="4643" w:type="dxa"/>
            <w:tcBorders>
              <w:top w:val="nil"/>
              <w:left w:val="nil"/>
              <w:bottom w:val="single" w:sz="4" w:space="0" w:color="auto"/>
              <w:right w:val="nil"/>
            </w:tcBorders>
            <w:shd w:val="clear" w:color="auto" w:fill="auto"/>
          </w:tcPr>
          <w:p w14:paraId="1C191816" w14:textId="77777777" w:rsidR="008E79D1" w:rsidRDefault="008E79D1" w:rsidP="00D14A02">
            <w:pPr>
              <w:pStyle w:val="Default"/>
            </w:pPr>
            <w:r>
              <w:rPr>
                <w:sz w:val="22"/>
                <w:szCs w:val="22"/>
              </w:rPr>
              <w:t>Geriausias atsakas</w:t>
            </w:r>
          </w:p>
        </w:tc>
        <w:tc>
          <w:tcPr>
            <w:tcW w:w="4643" w:type="dxa"/>
            <w:tcBorders>
              <w:top w:val="nil"/>
              <w:left w:val="nil"/>
              <w:bottom w:val="single" w:sz="4" w:space="0" w:color="auto"/>
              <w:right w:val="nil"/>
            </w:tcBorders>
            <w:shd w:val="clear" w:color="auto" w:fill="auto"/>
          </w:tcPr>
          <w:p w14:paraId="09BDD3F2" w14:textId="77777777" w:rsidR="008E79D1" w:rsidRDefault="008E79D1" w:rsidP="00D14A02">
            <w:pPr>
              <w:pStyle w:val="Default"/>
              <w:jc w:val="center"/>
            </w:pPr>
            <w:r>
              <w:rPr>
                <w:sz w:val="22"/>
                <w:szCs w:val="22"/>
              </w:rPr>
              <w:t>n (%)</w:t>
            </w:r>
          </w:p>
        </w:tc>
      </w:tr>
      <w:tr w:rsidR="008E79D1" w14:paraId="2AC80FE3" w14:textId="77777777" w:rsidTr="00D14A02">
        <w:tc>
          <w:tcPr>
            <w:tcW w:w="4643" w:type="dxa"/>
            <w:tcBorders>
              <w:top w:val="single" w:sz="4" w:space="0" w:color="auto"/>
              <w:left w:val="nil"/>
              <w:bottom w:val="nil"/>
              <w:right w:val="nil"/>
            </w:tcBorders>
            <w:shd w:val="clear" w:color="auto" w:fill="auto"/>
          </w:tcPr>
          <w:p w14:paraId="774A608B" w14:textId="77777777" w:rsidR="008E79D1" w:rsidRDefault="008E79D1" w:rsidP="00D14A02">
            <w:pPr>
              <w:pStyle w:val="Default"/>
            </w:pPr>
            <w:r>
              <w:rPr>
                <w:sz w:val="22"/>
                <w:szCs w:val="22"/>
              </w:rPr>
              <w:t>Visiškas atsakas</w:t>
            </w:r>
          </w:p>
        </w:tc>
        <w:tc>
          <w:tcPr>
            <w:tcW w:w="4643" w:type="dxa"/>
            <w:tcBorders>
              <w:top w:val="single" w:sz="4" w:space="0" w:color="auto"/>
              <w:left w:val="nil"/>
              <w:bottom w:val="nil"/>
              <w:right w:val="nil"/>
            </w:tcBorders>
            <w:shd w:val="clear" w:color="auto" w:fill="auto"/>
          </w:tcPr>
          <w:p w14:paraId="7B669DFE" w14:textId="77777777" w:rsidR="008E79D1" w:rsidRDefault="008E79D1" w:rsidP="00D14A02">
            <w:pPr>
              <w:pStyle w:val="Default"/>
              <w:jc w:val="center"/>
            </w:pPr>
            <w:r>
              <w:rPr>
                <w:sz w:val="22"/>
                <w:szCs w:val="22"/>
              </w:rPr>
              <w:t>1 (0,7)</w:t>
            </w:r>
          </w:p>
        </w:tc>
      </w:tr>
      <w:tr w:rsidR="008E79D1" w14:paraId="7FA95AEA" w14:textId="77777777" w:rsidTr="00D14A02">
        <w:tc>
          <w:tcPr>
            <w:tcW w:w="4643" w:type="dxa"/>
            <w:tcBorders>
              <w:top w:val="nil"/>
              <w:left w:val="nil"/>
              <w:bottom w:val="nil"/>
              <w:right w:val="nil"/>
            </w:tcBorders>
            <w:shd w:val="clear" w:color="auto" w:fill="auto"/>
          </w:tcPr>
          <w:p w14:paraId="58163F9F" w14:textId="77777777" w:rsidR="008E79D1" w:rsidRDefault="008E79D1" w:rsidP="00D14A02">
            <w:pPr>
              <w:pStyle w:val="Default"/>
            </w:pPr>
            <w:r>
              <w:rPr>
                <w:sz w:val="22"/>
                <w:szCs w:val="22"/>
              </w:rPr>
              <w:t>Dalinis atsakas</w:t>
            </w:r>
          </w:p>
        </w:tc>
        <w:tc>
          <w:tcPr>
            <w:tcW w:w="4643" w:type="dxa"/>
            <w:tcBorders>
              <w:top w:val="nil"/>
              <w:left w:val="nil"/>
              <w:bottom w:val="nil"/>
              <w:right w:val="nil"/>
            </w:tcBorders>
            <w:shd w:val="clear" w:color="auto" w:fill="auto"/>
          </w:tcPr>
          <w:p w14:paraId="68938D87" w14:textId="77777777" w:rsidR="008E79D1" w:rsidRDefault="008E79D1" w:rsidP="00D14A02">
            <w:pPr>
              <w:pStyle w:val="Default"/>
              <w:jc w:val="center"/>
            </w:pPr>
            <w:r>
              <w:rPr>
                <w:sz w:val="22"/>
                <w:szCs w:val="22"/>
              </w:rPr>
              <w:t>98 (66,7)</w:t>
            </w:r>
          </w:p>
        </w:tc>
      </w:tr>
      <w:tr w:rsidR="008E79D1" w14:paraId="2078D44C" w14:textId="77777777" w:rsidTr="00D14A02">
        <w:tc>
          <w:tcPr>
            <w:tcW w:w="4643" w:type="dxa"/>
            <w:tcBorders>
              <w:top w:val="nil"/>
              <w:left w:val="nil"/>
              <w:bottom w:val="nil"/>
              <w:right w:val="nil"/>
            </w:tcBorders>
            <w:shd w:val="clear" w:color="auto" w:fill="auto"/>
          </w:tcPr>
          <w:p w14:paraId="1F11D246" w14:textId="77777777" w:rsidR="008E79D1" w:rsidRDefault="008E79D1" w:rsidP="00D14A02">
            <w:pPr>
              <w:pStyle w:val="Default"/>
            </w:pPr>
            <w:r>
              <w:rPr>
                <w:sz w:val="22"/>
                <w:szCs w:val="22"/>
              </w:rPr>
              <w:t>Stabili liga</w:t>
            </w:r>
          </w:p>
        </w:tc>
        <w:tc>
          <w:tcPr>
            <w:tcW w:w="4643" w:type="dxa"/>
            <w:tcBorders>
              <w:top w:val="nil"/>
              <w:left w:val="nil"/>
              <w:bottom w:val="nil"/>
              <w:right w:val="nil"/>
            </w:tcBorders>
            <w:shd w:val="clear" w:color="auto" w:fill="auto"/>
          </w:tcPr>
          <w:p w14:paraId="09BC864C" w14:textId="77777777" w:rsidR="008E79D1" w:rsidRDefault="008E79D1" w:rsidP="00D14A02">
            <w:pPr>
              <w:pStyle w:val="Default"/>
              <w:jc w:val="center"/>
            </w:pPr>
            <w:r>
              <w:rPr>
                <w:sz w:val="22"/>
                <w:szCs w:val="22"/>
              </w:rPr>
              <w:t>23 (15,6)</w:t>
            </w:r>
          </w:p>
        </w:tc>
      </w:tr>
      <w:tr w:rsidR="008E79D1" w14:paraId="6927DE30" w14:textId="77777777" w:rsidTr="00D14A02">
        <w:tc>
          <w:tcPr>
            <w:tcW w:w="4643" w:type="dxa"/>
            <w:tcBorders>
              <w:top w:val="nil"/>
              <w:left w:val="nil"/>
              <w:bottom w:val="nil"/>
              <w:right w:val="nil"/>
            </w:tcBorders>
            <w:shd w:val="clear" w:color="auto" w:fill="auto"/>
          </w:tcPr>
          <w:p w14:paraId="56753469" w14:textId="77777777" w:rsidR="008E79D1" w:rsidRDefault="008E79D1" w:rsidP="00D14A02">
            <w:pPr>
              <w:pStyle w:val="Default"/>
            </w:pPr>
            <w:r>
              <w:rPr>
                <w:sz w:val="22"/>
                <w:szCs w:val="22"/>
              </w:rPr>
              <w:t>Progresuojanti liga</w:t>
            </w:r>
          </w:p>
        </w:tc>
        <w:tc>
          <w:tcPr>
            <w:tcW w:w="4643" w:type="dxa"/>
            <w:tcBorders>
              <w:top w:val="nil"/>
              <w:left w:val="nil"/>
              <w:bottom w:val="nil"/>
              <w:right w:val="nil"/>
            </w:tcBorders>
            <w:shd w:val="clear" w:color="auto" w:fill="auto"/>
          </w:tcPr>
          <w:p w14:paraId="696880F3" w14:textId="77777777" w:rsidR="008E79D1" w:rsidRDefault="008E79D1" w:rsidP="00D14A02">
            <w:pPr>
              <w:pStyle w:val="Default"/>
              <w:jc w:val="center"/>
            </w:pPr>
            <w:r>
              <w:rPr>
                <w:sz w:val="22"/>
                <w:szCs w:val="22"/>
              </w:rPr>
              <w:t>18 (12,2)</w:t>
            </w:r>
          </w:p>
        </w:tc>
      </w:tr>
      <w:tr w:rsidR="008E79D1" w14:paraId="7DA286BF" w14:textId="77777777" w:rsidTr="00D14A02">
        <w:tc>
          <w:tcPr>
            <w:tcW w:w="4643" w:type="dxa"/>
            <w:tcBorders>
              <w:top w:val="nil"/>
              <w:left w:val="nil"/>
              <w:bottom w:val="nil"/>
              <w:right w:val="nil"/>
            </w:tcBorders>
            <w:shd w:val="clear" w:color="auto" w:fill="auto"/>
          </w:tcPr>
          <w:p w14:paraId="3983D791" w14:textId="77777777" w:rsidR="008E79D1" w:rsidRDefault="008E79D1" w:rsidP="00D14A02">
            <w:pPr>
              <w:pStyle w:val="Default"/>
            </w:pPr>
            <w:r>
              <w:rPr>
                <w:sz w:val="22"/>
                <w:szCs w:val="22"/>
              </w:rPr>
              <w:t>Neįvertinama</w:t>
            </w:r>
          </w:p>
        </w:tc>
        <w:tc>
          <w:tcPr>
            <w:tcW w:w="4643" w:type="dxa"/>
            <w:tcBorders>
              <w:top w:val="nil"/>
              <w:left w:val="nil"/>
              <w:bottom w:val="nil"/>
              <w:right w:val="nil"/>
            </w:tcBorders>
            <w:shd w:val="clear" w:color="auto" w:fill="auto"/>
          </w:tcPr>
          <w:p w14:paraId="11F1A062" w14:textId="77777777" w:rsidR="008E79D1" w:rsidRDefault="008E79D1" w:rsidP="00D14A02">
            <w:pPr>
              <w:pStyle w:val="Default"/>
              <w:jc w:val="center"/>
            </w:pPr>
            <w:r>
              <w:rPr>
                <w:sz w:val="22"/>
                <w:szCs w:val="22"/>
              </w:rPr>
              <w:t>5 (3,4)</w:t>
            </w:r>
          </w:p>
        </w:tc>
      </w:tr>
      <w:tr w:rsidR="008E79D1" w14:paraId="5BDBA4CC" w14:textId="77777777" w:rsidTr="00D14A02">
        <w:tc>
          <w:tcPr>
            <w:tcW w:w="4643" w:type="dxa"/>
            <w:tcBorders>
              <w:top w:val="nil"/>
              <w:left w:val="nil"/>
              <w:bottom w:val="single" w:sz="4" w:space="0" w:color="auto"/>
              <w:right w:val="nil"/>
            </w:tcBorders>
            <w:shd w:val="clear" w:color="auto" w:fill="auto"/>
          </w:tcPr>
          <w:p w14:paraId="5F184199" w14:textId="77777777" w:rsidR="008E79D1" w:rsidRDefault="008E79D1" w:rsidP="00D14A02">
            <w:pPr>
              <w:pStyle w:val="Default"/>
            </w:pPr>
            <w:r>
              <w:rPr>
                <w:sz w:val="22"/>
                <w:szCs w:val="22"/>
              </w:rPr>
              <w:t>Nežinoma</w:t>
            </w:r>
          </w:p>
        </w:tc>
        <w:tc>
          <w:tcPr>
            <w:tcW w:w="4643" w:type="dxa"/>
            <w:tcBorders>
              <w:top w:val="nil"/>
              <w:left w:val="nil"/>
              <w:bottom w:val="single" w:sz="4" w:space="0" w:color="auto"/>
              <w:right w:val="nil"/>
            </w:tcBorders>
            <w:shd w:val="clear" w:color="auto" w:fill="auto"/>
          </w:tcPr>
          <w:p w14:paraId="4099804B" w14:textId="77777777" w:rsidR="008E79D1" w:rsidRDefault="008E79D1" w:rsidP="00D14A02">
            <w:pPr>
              <w:pStyle w:val="Default"/>
              <w:jc w:val="center"/>
            </w:pPr>
            <w:r>
              <w:rPr>
                <w:sz w:val="22"/>
                <w:szCs w:val="22"/>
              </w:rPr>
              <w:t>2 (1,4)</w:t>
            </w:r>
          </w:p>
        </w:tc>
      </w:tr>
    </w:tbl>
    <w:p w14:paraId="144E0100" w14:textId="77777777" w:rsidR="008E79D1" w:rsidRDefault="008E79D1" w:rsidP="008E79D1">
      <w:pPr>
        <w:spacing w:after="0" w:line="240" w:lineRule="auto"/>
        <w:rPr>
          <w:rFonts w:ascii="Times New Roman" w:eastAsia="Times New Roman" w:hAnsi="Times New Roman" w:cs="Times New Roman"/>
          <w:szCs w:val="24"/>
        </w:rPr>
      </w:pPr>
    </w:p>
    <w:p w14:paraId="0F891D24"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F16A91">
        <w:rPr>
          <w:rFonts w:ascii="Times New Roman" w:hAnsi="Times New Roman" w:cs="Times New Roman"/>
          <w:color w:val="000000"/>
          <w:lang w:eastAsia="lt-LT"/>
        </w:rPr>
        <w:t xml:space="preserve">Dviejų dozių grupių atsako dažnis nesiskyrė. Preliminariais duomenimis, reikšmingam skaičiui pacientų, kurių liga buvo stabili, ilgiau gydant buvo gautas dalinis atsakas (stebėjimo periodo mediana </w:t>
      </w:r>
      <w:r w:rsidRPr="00F16A91">
        <w:rPr>
          <w:rFonts w:ascii="Times New Roman" w:hAnsi="Times New Roman" w:cs="Times New Roman"/>
          <w:color w:val="000000"/>
          <w:lang w:eastAsia="lt-LT"/>
        </w:rPr>
        <w:lastRenderedPageBreak/>
        <w:t>31</w:t>
      </w:r>
      <w:r>
        <w:rPr>
          <w:rFonts w:ascii="Times New Roman" w:hAnsi="Times New Roman" w:cs="Times New Roman"/>
          <w:color w:val="000000"/>
          <w:lang w:eastAsia="lt-LT"/>
        </w:rPr>
        <w:t> </w:t>
      </w:r>
      <w:r w:rsidRPr="00F16A91">
        <w:rPr>
          <w:rFonts w:ascii="Times New Roman" w:hAnsi="Times New Roman" w:cs="Times New Roman"/>
          <w:color w:val="000000"/>
          <w:lang w:eastAsia="lt-LT"/>
        </w:rPr>
        <w:t>mėnesių). Atsako trukmės mediana buvo 13</w:t>
      </w:r>
      <w:r>
        <w:rPr>
          <w:rFonts w:ascii="Times New Roman" w:hAnsi="Times New Roman" w:cs="Times New Roman"/>
          <w:color w:val="000000"/>
          <w:lang w:eastAsia="lt-LT"/>
        </w:rPr>
        <w:t> </w:t>
      </w:r>
      <w:r w:rsidRPr="00F16A91">
        <w:rPr>
          <w:rFonts w:ascii="Times New Roman" w:hAnsi="Times New Roman" w:cs="Times New Roman"/>
          <w:color w:val="000000"/>
          <w:lang w:eastAsia="lt-LT"/>
        </w:rPr>
        <w:t>savaičių (95</w:t>
      </w:r>
      <w:r>
        <w:rPr>
          <w:rFonts w:ascii="Times New Roman" w:hAnsi="Times New Roman" w:cs="Times New Roman"/>
          <w:color w:val="000000"/>
          <w:lang w:eastAsia="lt-LT"/>
        </w:rPr>
        <w:t> </w:t>
      </w:r>
      <w:r w:rsidRPr="00F16A91">
        <w:rPr>
          <w:rFonts w:ascii="Times New Roman" w:hAnsi="Times New Roman" w:cs="Times New Roman"/>
          <w:color w:val="000000"/>
          <w:lang w:eastAsia="lt-LT"/>
        </w:rPr>
        <w:t>% PI 12–23). Periodo iki gydymo nesekmės pacientams, kuriems buvo gautas atsakas, mediana buvo 122 savaitės (95</w:t>
      </w:r>
      <w:r>
        <w:rPr>
          <w:rFonts w:ascii="Times New Roman" w:hAnsi="Times New Roman" w:cs="Times New Roman"/>
          <w:color w:val="000000"/>
          <w:lang w:eastAsia="lt-LT"/>
        </w:rPr>
        <w:t> </w:t>
      </w:r>
      <w:r w:rsidRPr="00F16A91">
        <w:rPr>
          <w:rFonts w:ascii="Times New Roman" w:hAnsi="Times New Roman" w:cs="Times New Roman"/>
          <w:color w:val="000000"/>
          <w:lang w:eastAsia="lt-LT"/>
        </w:rPr>
        <w:t>% PI 106–147), o bendroje tyrimo populiacijoje ji buvo 84</w:t>
      </w:r>
      <w:r>
        <w:rPr>
          <w:rFonts w:ascii="Times New Roman" w:hAnsi="Times New Roman" w:cs="Times New Roman"/>
          <w:color w:val="000000"/>
          <w:lang w:eastAsia="lt-LT"/>
        </w:rPr>
        <w:t> </w:t>
      </w:r>
      <w:r w:rsidRPr="00F16A91">
        <w:rPr>
          <w:rFonts w:ascii="Times New Roman" w:hAnsi="Times New Roman" w:cs="Times New Roman"/>
          <w:color w:val="000000"/>
          <w:lang w:eastAsia="lt-LT"/>
        </w:rPr>
        <w:t>savaitės (95</w:t>
      </w:r>
      <w:r>
        <w:rPr>
          <w:rFonts w:ascii="Times New Roman" w:hAnsi="Times New Roman" w:cs="Times New Roman"/>
          <w:color w:val="000000"/>
          <w:lang w:eastAsia="lt-LT"/>
        </w:rPr>
        <w:t> </w:t>
      </w:r>
      <w:r w:rsidRPr="00F16A91">
        <w:rPr>
          <w:rFonts w:ascii="Times New Roman" w:hAnsi="Times New Roman" w:cs="Times New Roman"/>
          <w:color w:val="000000"/>
          <w:lang w:eastAsia="lt-LT"/>
        </w:rPr>
        <w:t>% PI 71–109). Bendrojo išgyvenamumo mediana nebuvo gauta. Kaplan-Meier išgyvenamumo po 36</w:t>
      </w:r>
      <w:r>
        <w:rPr>
          <w:rFonts w:ascii="Times New Roman" w:hAnsi="Times New Roman" w:cs="Times New Roman"/>
          <w:color w:val="000000"/>
          <w:lang w:eastAsia="lt-LT"/>
        </w:rPr>
        <w:t> </w:t>
      </w:r>
      <w:r w:rsidRPr="00F16A91">
        <w:rPr>
          <w:rFonts w:ascii="Times New Roman" w:hAnsi="Times New Roman" w:cs="Times New Roman"/>
          <w:color w:val="000000"/>
          <w:lang w:eastAsia="lt-LT"/>
        </w:rPr>
        <w:t>mėnesių stebėjimo periodo rodiklis buvo 68</w:t>
      </w:r>
      <w:r>
        <w:rPr>
          <w:rFonts w:ascii="Times New Roman" w:hAnsi="Times New Roman" w:cs="Times New Roman"/>
          <w:color w:val="000000"/>
          <w:lang w:eastAsia="lt-LT"/>
        </w:rPr>
        <w:t> </w:t>
      </w:r>
      <w:r w:rsidRPr="00F16A91">
        <w:rPr>
          <w:rFonts w:ascii="Times New Roman" w:hAnsi="Times New Roman" w:cs="Times New Roman"/>
          <w:color w:val="000000"/>
          <w:lang w:eastAsia="lt-LT"/>
        </w:rPr>
        <w:t>%.</w:t>
      </w:r>
    </w:p>
    <w:p w14:paraId="1A2FB424" w14:textId="77777777" w:rsidR="008E79D1" w:rsidRPr="00F16A91"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331E7630" w14:textId="46682E2A" w:rsidR="008E79D1" w:rsidRDefault="008E79D1" w:rsidP="008E79D1">
      <w:pPr>
        <w:spacing w:after="0" w:line="240" w:lineRule="auto"/>
        <w:rPr>
          <w:rFonts w:ascii="Times New Roman" w:eastAsia="Times New Roman" w:hAnsi="Times New Roman" w:cs="Times New Roman"/>
          <w:szCs w:val="24"/>
        </w:rPr>
      </w:pPr>
      <w:r w:rsidRPr="00F16A91">
        <w:rPr>
          <w:rFonts w:ascii="Times New Roman" w:hAnsi="Times New Roman" w:cs="Times New Roman"/>
          <w:color w:val="000000"/>
          <w:lang w:eastAsia="lt-LT"/>
        </w:rPr>
        <w:t xml:space="preserve">Dviejų klinikinių tyrimų metu (tyrimas B2222 ir tarpgrupinis tyrimas S0033) </w:t>
      </w:r>
      <w:r w:rsidR="00F756FF">
        <w:rPr>
          <w:rFonts w:ascii="Times New Roman" w:hAnsi="Times New Roman" w:cs="Times New Roman"/>
          <w:color w:val="000000"/>
          <w:lang w:eastAsia="lt-LT"/>
        </w:rPr>
        <w:t>i</w:t>
      </w:r>
      <w:r>
        <w:rPr>
          <w:rFonts w:ascii="Times New Roman" w:hAnsi="Times New Roman" w:cs="Times New Roman"/>
          <w:color w:val="000000"/>
          <w:lang w:eastAsia="lt-LT"/>
        </w:rPr>
        <w:t>matinibo</w:t>
      </w:r>
      <w:r w:rsidRPr="00F16A91">
        <w:rPr>
          <w:rFonts w:ascii="Times New Roman" w:hAnsi="Times New Roman" w:cs="Times New Roman"/>
          <w:color w:val="000000"/>
          <w:lang w:eastAsia="lt-LT"/>
        </w:rPr>
        <w:t xml:space="preserve"> paros dozė puvo padidinta iki 800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pacientams, kurių liga progresavo vartojant mažesnes 400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ar 600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paros dozes. Iki 800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paros dozė buvo padidinta iš viso 103</w:t>
      </w:r>
      <w:r>
        <w:rPr>
          <w:rFonts w:ascii="Times New Roman" w:hAnsi="Times New Roman" w:cs="Times New Roman"/>
          <w:color w:val="000000"/>
          <w:lang w:eastAsia="lt-LT"/>
        </w:rPr>
        <w:t> </w:t>
      </w:r>
      <w:r w:rsidRPr="00F16A91">
        <w:rPr>
          <w:rFonts w:ascii="Times New Roman" w:hAnsi="Times New Roman" w:cs="Times New Roman"/>
          <w:color w:val="000000"/>
          <w:lang w:eastAsia="lt-LT"/>
        </w:rPr>
        <w:t>pacientams; 6</w:t>
      </w:r>
      <w:r w:rsidR="00603DB8">
        <w:rPr>
          <w:rFonts w:ascii="Times New Roman" w:hAnsi="Times New Roman" w:cs="Times New Roman"/>
          <w:color w:val="000000"/>
          <w:lang w:eastAsia="lt-LT"/>
        </w:rPr>
        <w:t> </w:t>
      </w:r>
      <w:r w:rsidRPr="00F16A91">
        <w:rPr>
          <w:rFonts w:ascii="Times New Roman" w:hAnsi="Times New Roman" w:cs="Times New Roman"/>
          <w:color w:val="000000"/>
          <w:lang w:eastAsia="lt-LT"/>
        </w:rPr>
        <w:t>pacientams buvo gautas dalinis atsakas, 21</w:t>
      </w:r>
      <w:r>
        <w:rPr>
          <w:rFonts w:ascii="Times New Roman" w:hAnsi="Times New Roman" w:cs="Times New Roman"/>
          <w:color w:val="000000"/>
          <w:lang w:eastAsia="lt-LT"/>
        </w:rPr>
        <w:t> </w:t>
      </w:r>
      <w:r w:rsidRPr="00F16A91">
        <w:rPr>
          <w:rFonts w:ascii="Times New Roman" w:hAnsi="Times New Roman" w:cs="Times New Roman"/>
          <w:color w:val="000000"/>
          <w:lang w:eastAsia="lt-LT"/>
        </w:rPr>
        <w:t>pacientui po dozės padidinimo liga stabilizavosi, bendroji klinikinė nauda buvo 26</w:t>
      </w:r>
      <w:r>
        <w:rPr>
          <w:rFonts w:ascii="Times New Roman" w:hAnsi="Times New Roman" w:cs="Times New Roman"/>
          <w:color w:val="000000"/>
          <w:lang w:eastAsia="lt-LT"/>
        </w:rPr>
        <w:t> </w:t>
      </w:r>
      <w:r w:rsidRPr="00F16A91">
        <w:rPr>
          <w:rFonts w:ascii="Times New Roman" w:hAnsi="Times New Roman" w:cs="Times New Roman"/>
          <w:color w:val="000000"/>
          <w:lang w:eastAsia="lt-LT"/>
        </w:rPr>
        <w:t>%. Remiantis turimais saugumo duomenimis, dozės didinimas nuo mažesnių 400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ar 600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dozių per parą iki 800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 xml:space="preserve">mg per parą </w:t>
      </w:r>
      <w:r>
        <w:rPr>
          <w:rFonts w:ascii="Times New Roman" w:hAnsi="Times New Roman" w:cs="Times New Roman"/>
          <w:color w:val="000000"/>
          <w:lang w:eastAsia="lt-LT"/>
        </w:rPr>
        <w:t>imatinibo</w:t>
      </w:r>
      <w:r w:rsidRPr="00F16A91">
        <w:rPr>
          <w:rFonts w:ascii="Times New Roman" w:hAnsi="Times New Roman" w:cs="Times New Roman"/>
          <w:color w:val="000000"/>
          <w:lang w:eastAsia="lt-LT"/>
        </w:rPr>
        <w:t xml:space="preserve"> saugumo rodiklių, atrodo</w:t>
      </w:r>
      <w:r>
        <w:rPr>
          <w:rFonts w:ascii="Times New Roman" w:hAnsi="Times New Roman" w:cs="Times New Roman"/>
          <w:color w:val="000000"/>
          <w:lang w:eastAsia="lt-LT"/>
        </w:rPr>
        <w:t>,</w:t>
      </w:r>
      <w:r w:rsidRPr="00F16A91">
        <w:rPr>
          <w:rFonts w:ascii="Times New Roman" w:hAnsi="Times New Roman" w:cs="Times New Roman"/>
          <w:color w:val="000000"/>
          <w:lang w:eastAsia="lt-LT"/>
        </w:rPr>
        <w:t xml:space="preserve"> nepaveikė.</w:t>
      </w:r>
    </w:p>
    <w:p w14:paraId="32A8D040" w14:textId="77777777" w:rsidR="008E79D1" w:rsidRDefault="008E79D1" w:rsidP="008E79D1">
      <w:pPr>
        <w:spacing w:after="0" w:line="240" w:lineRule="auto"/>
        <w:rPr>
          <w:rFonts w:ascii="Times New Roman" w:eastAsia="Times New Roman" w:hAnsi="Times New Roman" w:cs="Times New Roman"/>
          <w:szCs w:val="24"/>
        </w:rPr>
      </w:pPr>
    </w:p>
    <w:p w14:paraId="114A05AA" w14:textId="77777777" w:rsidR="008E79D1" w:rsidRPr="008D3472" w:rsidRDefault="008E79D1" w:rsidP="008E79D1">
      <w:pPr>
        <w:spacing w:after="0" w:line="240" w:lineRule="auto"/>
        <w:rPr>
          <w:rFonts w:ascii="Times New Roman" w:eastAsia="Times New Roman" w:hAnsi="Times New Roman" w:cs="Times New Roman"/>
          <w:szCs w:val="24"/>
          <w:u w:val="single"/>
        </w:rPr>
      </w:pPr>
      <w:r w:rsidRPr="008D3472">
        <w:rPr>
          <w:rFonts w:ascii="Times New Roman" w:hAnsi="Times New Roman" w:cs="Times New Roman"/>
          <w:u w:val="single"/>
        </w:rPr>
        <w:t>Klinikiniai adjuvantinio VTSN gydymo tyrimai</w:t>
      </w:r>
    </w:p>
    <w:p w14:paraId="5FC7F923"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F16A91">
        <w:rPr>
          <w:rFonts w:ascii="Times New Roman" w:hAnsi="Times New Roman" w:cs="Times New Roman"/>
          <w:color w:val="000000"/>
          <w:lang w:eastAsia="lt-LT"/>
        </w:rPr>
        <w:t xml:space="preserve">Pagalbiniam VTSN gydymui naudojamas </w:t>
      </w:r>
      <w:r>
        <w:rPr>
          <w:rFonts w:ascii="Times New Roman" w:hAnsi="Times New Roman" w:cs="Times New Roman"/>
          <w:color w:val="000000"/>
          <w:lang w:eastAsia="lt-LT"/>
        </w:rPr>
        <w:t>imatinibas</w:t>
      </w:r>
      <w:r w:rsidRPr="00F16A91">
        <w:rPr>
          <w:rFonts w:ascii="Times New Roman" w:hAnsi="Times New Roman" w:cs="Times New Roman"/>
          <w:color w:val="000000"/>
          <w:lang w:eastAsia="lt-LT"/>
        </w:rPr>
        <w:t xml:space="preserve"> buvo tirtas daugiacentrio, dvigubai aklo, ilgalaikio gydymo, placebu kontroliuojamo III</w:t>
      </w:r>
      <w:r>
        <w:rPr>
          <w:rFonts w:ascii="Times New Roman" w:hAnsi="Times New Roman" w:cs="Times New Roman"/>
          <w:color w:val="000000"/>
          <w:lang w:eastAsia="lt-LT"/>
        </w:rPr>
        <w:t> </w:t>
      </w:r>
      <w:r w:rsidRPr="00F16A91">
        <w:rPr>
          <w:rFonts w:ascii="Times New Roman" w:hAnsi="Times New Roman" w:cs="Times New Roman"/>
          <w:color w:val="000000"/>
          <w:lang w:eastAsia="lt-LT"/>
        </w:rPr>
        <w:t>fazės klinikinio tyrimo (Z9001), kuriame dalyvavo 773</w:t>
      </w:r>
      <w:r>
        <w:rPr>
          <w:rFonts w:ascii="Times New Roman" w:hAnsi="Times New Roman" w:cs="Times New Roman"/>
          <w:color w:val="000000"/>
          <w:lang w:eastAsia="lt-LT"/>
        </w:rPr>
        <w:t> </w:t>
      </w:r>
      <w:r w:rsidRPr="00F16A91">
        <w:rPr>
          <w:rFonts w:ascii="Times New Roman" w:hAnsi="Times New Roman" w:cs="Times New Roman"/>
          <w:color w:val="000000"/>
          <w:lang w:eastAsia="lt-LT"/>
        </w:rPr>
        <w:t>pacientai, metu. Šie pacientai buvo 18–91</w:t>
      </w:r>
      <w:r>
        <w:rPr>
          <w:rFonts w:ascii="Times New Roman" w:hAnsi="Times New Roman" w:cs="Times New Roman"/>
          <w:color w:val="000000"/>
          <w:lang w:eastAsia="lt-LT"/>
        </w:rPr>
        <w:t> </w:t>
      </w:r>
      <w:r w:rsidRPr="00F16A91">
        <w:rPr>
          <w:rFonts w:ascii="Times New Roman" w:hAnsi="Times New Roman" w:cs="Times New Roman"/>
          <w:color w:val="000000"/>
          <w:lang w:eastAsia="lt-LT"/>
        </w:rPr>
        <w:t>metų amžiaus. Į tyrimą buvo įtraukti pacientai, kuriems histologiškai buvo patvirtinta pirminio VTSN su imunocheminiu būdu nustatyta Kit baltymo ekspresija diagnozė ir kurių naviko didžiausias matmuo buvo ≥</w:t>
      </w:r>
      <w:r>
        <w:rPr>
          <w:rFonts w:ascii="Times New Roman" w:hAnsi="Times New Roman" w:cs="Times New Roman"/>
          <w:color w:val="000000"/>
          <w:lang w:eastAsia="lt-LT"/>
        </w:rPr>
        <w:t> </w:t>
      </w:r>
      <w:r w:rsidRPr="00F16A91">
        <w:rPr>
          <w:rFonts w:ascii="Times New Roman" w:hAnsi="Times New Roman" w:cs="Times New Roman"/>
          <w:color w:val="000000"/>
          <w:lang w:eastAsia="lt-LT"/>
        </w:rPr>
        <w:t>3</w:t>
      </w:r>
      <w:r>
        <w:rPr>
          <w:rFonts w:ascii="Times New Roman" w:hAnsi="Times New Roman" w:cs="Times New Roman"/>
          <w:color w:val="000000"/>
          <w:lang w:eastAsia="lt-LT"/>
        </w:rPr>
        <w:t> </w:t>
      </w:r>
      <w:r w:rsidRPr="00F16A91">
        <w:rPr>
          <w:rFonts w:ascii="Times New Roman" w:hAnsi="Times New Roman" w:cs="Times New Roman"/>
          <w:color w:val="000000"/>
          <w:lang w:eastAsia="lt-LT"/>
        </w:rPr>
        <w:t>cm bei kuriems prieš 14</w:t>
      </w:r>
      <w:r>
        <w:rPr>
          <w:rFonts w:ascii="Times New Roman" w:hAnsi="Times New Roman" w:cs="Times New Roman"/>
          <w:color w:val="000000"/>
          <w:lang w:eastAsia="lt-LT"/>
        </w:rPr>
        <w:t>–</w:t>
      </w:r>
      <w:r w:rsidRPr="00F16A91">
        <w:rPr>
          <w:rFonts w:ascii="Times New Roman" w:hAnsi="Times New Roman" w:cs="Times New Roman"/>
          <w:color w:val="000000"/>
          <w:lang w:eastAsia="lt-LT"/>
        </w:rPr>
        <w:t>70</w:t>
      </w:r>
      <w:r>
        <w:rPr>
          <w:rFonts w:ascii="Times New Roman" w:hAnsi="Times New Roman" w:cs="Times New Roman"/>
          <w:color w:val="000000"/>
          <w:lang w:eastAsia="lt-LT"/>
        </w:rPr>
        <w:t> </w:t>
      </w:r>
      <w:r w:rsidRPr="00F16A91">
        <w:rPr>
          <w:rFonts w:ascii="Times New Roman" w:hAnsi="Times New Roman" w:cs="Times New Roman"/>
          <w:color w:val="000000"/>
          <w:lang w:eastAsia="lt-LT"/>
        </w:rPr>
        <w:t xml:space="preserve">dienų iki įtraukimo į tyrimą buvo atlikta radikali pirminio VTSN rezekcija. Po pirminio VTSN rezekcijos pacientai atsitiktiniu būdu buvo suskirstyti į dvi gydymo grupes: </w:t>
      </w:r>
      <w:r>
        <w:rPr>
          <w:rFonts w:ascii="Times New Roman" w:hAnsi="Times New Roman" w:cs="Times New Roman"/>
          <w:color w:val="000000"/>
          <w:lang w:eastAsia="lt-LT"/>
        </w:rPr>
        <w:t>imatinibo</w:t>
      </w:r>
      <w:r w:rsidRPr="00F16A91">
        <w:rPr>
          <w:rFonts w:ascii="Times New Roman" w:hAnsi="Times New Roman" w:cs="Times New Roman"/>
          <w:color w:val="000000"/>
          <w:lang w:eastAsia="lt-LT"/>
        </w:rPr>
        <w:t xml:space="preserve"> 400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mg per parą arba placebo grupes (gydymas buvo skiriamas vienerius metus).</w:t>
      </w:r>
    </w:p>
    <w:p w14:paraId="15AD9E44" w14:textId="77777777" w:rsidR="008E79D1" w:rsidRPr="00F16A91"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409D556B"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F16A91">
        <w:rPr>
          <w:rFonts w:ascii="Times New Roman" w:hAnsi="Times New Roman" w:cs="Times New Roman"/>
          <w:color w:val="000000"/>
          <w:lang w:eastAsia="lt-LT"/>
        </w:rPr>
        <w:t xml:space="preserve">Pirminė vertinamoji klinikinio tyrimo baigtis buvo išgyvenamumas be ligos recidyvo (angl. </w:t>
      </w:r>
      <w:r w:rsidRPr="008D3472">
        <w:rPr>
          <w:rFonts w:ascii="Times New Roman" w:hAnsi="Times New Roman" w:cs="Times New Roman"/>
          <w:i/>
          <w:iCs/>
          <w:color w:val="000000"/>
          <w:lang w:eastAsia="lt-LT"/>
        </w:rPr>
        <w:t>recurrence-free survival</w:t>
      </w:r>
      <w:r>
        <w:rPr>
          <w:rFonts w:ascii="Times New Roman" w:hAnsi="Times New Roman" w:cs="Times New Roman"/>
          <w:i/>
          <w:iCs/>
          <w:color w:val="000000"/>
          <w:lang w:eastAsia="lt-LT"/>
        </w:rPr>
        <w:t>,</w:t>
      </w:r>
      <w:r w:rsidRPr="00F16A91">
        <w:rPr>
          <w:rFonts w:ascii="Times New Roman" w:hAnsi="Times New Roman" w:cs="Times New Roman"/>
          <w:color w:val="000000"/>
          <w:lang w:eastAsia="lt-LT"/>
        </w:rPr>
        <w:t xml:space="preserve"> RFS), nustatomas kaip laikas nuo randomizacijos dienos iki recidyvo pasireiškimo dienos arba mirties dėl bet kokios priežasties.</w:t>
      </w:r>
    </w:p>
    <w:p w14:paraId="6EE2C4FB" w14:textId="77777777" w:rsidR="008E79D1" w:rsidRPr="00F16A91"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0CABCC98" w14:textId="25BFDD92" w:rsidR="008E79D1" w:rsidRDefault="008E79D1" w:rsidP="008E79D1">
      <w:pPr>
        <w:spacing w:after="0" w:line="240" w:lineRule="auto"/>
        <w:rPr>
          <w:rFonts w:ascii="Times New Roman" w:eastAsia="Times New Roman" w:hAnsi="Times New Roman" w:cs="Times New Roman"/>
          <w:szCs w:val="24"/>
        </w:rPr>
      </w:pPr>
      <w:r>
        <w:rPr>
          <w:rFonts w:ascii="Times New Roman" w:hAnsi="Times New Roman" w:cs="Times New Roman"/>
          <w:color w:val="000000"/>
          <w:lang w:eastAsia="lt-LT"/>
        </w:rPr>
        <w:t>Imatinibas</w:t>
      </w:r>
      <w:r w:rsidRPr="00F16A91">
        <w:rPr>
          <w:rFonts w:ascii="Times New Roman" w:hAnsi="Times New Roman" w:cs="Times New Roman"/>
          <w:color w:val="000000"/>
          <w:lang w:eastAsia="lt-LT"/>
        </w:rPr>
        <w:t xml:space="preserve"> reikšmingai pailgino RFS rodiklį; 75</w:t>
      </w:r>
      <w:r>
        <w:rPr>
          <w:rFonts w:ascii="Times New Roman" w:hAnsi="Times New Roman" w:cs="Times New Roman"/>
          <w:color w:val="000000"/>
          <w:lang w:eastAsia="lt-LT"/>
        </w:rPr>
        <w:t> </w:t>
      </w:r>
      <w:r w:rsidRPr="00F16A91">
        <w:rPr>
          <w:rFonts w:ascii="Times New Roman" w:hAnsi="Times New Roman" w:cs="Times New Roman"/>
          <w:color w:val="000000"/>
          <w:lang w:eastAsia="lt-LT"/>
        </w:rPr>
        <w:t>% pacientų, kuriems nepasireiškė ligos recidyvas 38</w:t>
      </w:r>
      <w:r>
        <w:rPr>
          <w:rFonts w:ascii="Times New Roman" w:hAnsi="Times New Roman" w:cs="Times New Roman"/>
          <w:color w:val="000000"/>
          <w:lang w:eastAsia="lt-LT"/>
        </w:rPr>
        <w:t> </w:t>
      </w:r>
      <w:r w:rsidRPr="00F16A91">
        <w:rPr>
          <w:rFonts w:ascii="Times New Roman" w:hAnsi="Times New Roman" w:cs="Times New Roman"/>
          <w:color w:val="000000"/>
          <w:lang w:eastAsia="lt-LT"/>
        </w:rPr>
        <w:t>mėnesius, lyginant su 20</w:t>
      </w:r>
      <w:r>
        <w:rPr>
          <w:rFonts w:ascii="Times New Roman" w:hAnsi="Times New Roman" w:cs="Times New Roman"/>
          <w:color w:val="000000"/>
          <w:lang w:eastAsia="lt-LT"/>
        </w:rPr>
        <w:t> </w:t>
      </w:r>
      <w:r w:rsidRPr="00F16A91">
        <w:rPr>
          <w:rFonts w:ascii="Times New Roman" w:hAnsi="Times New Roman" w:cs="Times New Roman"/>
          <w:color w:val="000000"/>
          <w:lang w:eastAsia="lt-LT"/>
        </w:rPr>
        <w:t>mėnesių laikotarpiu placebo grupėje (95</w:t>
      </w:r>
      <w:r>
        <w:rPr>
          <w:rFonts w:ascii="Times New Roman" w:hAnsi="Times New Roman" w:cs="Times New Roman"/>
          <w:color w:val="000000"/>
          <w:lang w:eastAsia="lt-LT"/>
        </w:rPr>
        <w:t> </w:t>
      </w:r>
      <w:r w:rsidRPr="00F16A91">
        <w:rPr>
          <w:rFonts w:ascii="Times New Roman" w:hAnsi="Times New Roman" w:cs="Times New Roman"/>
          <w:color w:val="000000"/>
          <w:lang w:eastAsia="lt-LT"/>
        </w:rPr>
        <w:t xml:space="preserve">% PI, [30 </w:t>
      </w:r>
      <w:r>
        <w:rPr>
          <w:rFonts w:ascii="Times New Roman" w:hAnsi="Times New Roman" w:cs="Times New Roman"/>
          <w:color w:val="000000"/>
          <w:lang w:eastAsia="lt-LT"/>
        </w:rPr>
        <w:t>–</w:t>
      </w:r>
      <w:r w:rsidRPr="00F16A91">
        <w:rPr>
          <w:rFonts w:ascii="Times New Roman" w:hAnsi="Times New Roman" w:cs="Times New Roman"/>
          <w:color w:val="000000"/>
          <w:lang w:eastAsia="lt-LT"/>
        </w:rPr>
        <w:t xml:space="preserve"> nevertintinas]; [14 </w:t>
      </w:r>
      <w:r>
        <w:rPr>
          <w:rFonts w:ascii="Times New Roman" w:hAnsi="Times New Roman" w:cs="Times New Roman"/>
          <w:color w:val="000000"/>
          <w:lang w:eastAsia="lt-LT"/>
        </w:rPr>
        <w:t>–</w:t>
      </w:r>
      <w:r w:rsidRPr="00F16A91">
        <w:rPr>
          <w:rFonts w:ascii="Times New Roman" w:hAnsi="Times New Roman" w:cs="Times New Roman"/>
          <w:color w:val="000000"/>
          <w:lang w:eastAsia="lt-LT"/>
        </w:rPr>
        <w:t xml:space="preserve"> nevertintinas], atitinkamai); (rizikos santykis = 0,398 [0,259</w:t>
      </w:r>
      <w:r w:rsidR="00603DB8">
        <w:rPr>
          <w:rFonts w:ascii="Times New Roman" w:hAnsi="Times New Roman" w:cs="Times New Roman"/>
          <w:color w:val="000000"/>
          <w:lang w:eastAsia="lt-LT"/>
        </w:rPr>
        <w:t>–</w:t>
      </w:r>
      <w:r w:rsidRPr="00F16A91">
        <w:rPr>
          <w:rFonts w:ascii="Times New Roman" w:hAnsi="Times New Roman" w:cs="Times New Roman"/>
          <w:color w:val="000000"/>
          <w:lang w:eastAsia="lt-LT"/>
        </w:rPr>
        <w:t>0,610], p</w:t>
      </w:r>
      <w:r>
        <w:rPr>
          <w:rFonts w:ascii="Times New Roman" w:hAnsi="Times New Roman" w:cs="Times New Roman"/>
          <w:color w:val="000000"/>
          <w:lang w:eastAsia="lt-LT"/>
        </w:rPr>
        <w:t> </w:t>
      </w:r>
      <w:r w:rsidRPr="00F16A91">
        <w:rPr>
          <w:rFonts w:ascii="Times New Roman" w:hAnsi="Times New Roman" w:cs="Times New Roman"/>
          <w:color w:val="000000"/>
          <w:lang w:eastAsia="lt-LT"/>
        </w:rPr>
        <w:t>&lt;</w:t>
      </w:r>
      <w:r>
        <w:rPr>
          <w:rFonts w:ascii="Times New Roman" w:hAnsi="Times New Roman" w:cs="Times New Roman"/>
          <w:color w:val="000000"/>
          <w:lang w:eastAsia="lt-LT"/>
        </w:rPr>
        <w:t> </w:t>
      </w:r>
      <w:r w:rsidRPr="00F16A91">
        <w:rPr>
          <w:rFonts w:ascii="Times New Roman" w:hAnsi="Times New Roman" w:cs="Times New Roman"/>
          <w:color w:val="000000"/>
          <w:lang w:eastAsia="lt-LT"/>
        </w:rPr>
        <w:t xml:space="preserve">0,0001). Vertinant po vienerių gydymo metų, bendrojo RFS rodiklis </w:t>
      </w:r>
      <w:r>
        <w:rPr>
          <w:rFonts w:ascii="Times New Roman" w:hAnsi="Times New Roman" w:cs="Times New Roman"/>
          <w:color w:val="000000"/>
          <w:lang w:eastAsia="lt-LT"/>
        </w:rPr>
        <w:t>imatinibo</w:t>
      </w:r>
      <w:r w:rsidRPr="00F16A91">
        <w:rPr>
          <w:rFonts w:ascii="Times New Roman" w:hAnsi="Times New Roman" w:cs="Times New Roman"/>
          <w:color w:val="000000"/>
          <w:lang w:eastAsia="lt-LT"/>
        </w:rPr>
        <w:t xml:space="preserve"> grupėje buvo reikšmingai geresnis lyginant su placebo grupe (atitinkamai 97,7</w:t>
      </w:r>
      <w:r>
        <w:rPr>
          <w:rFonts w:ascii="Times New Roman" w:hAnsi="Times New Roman" w:cs="Times New Roman"/>
          <w:color w:val="000000"/>
          <w:lang w:eastAsia="lt-LT"/>
        </w:rPr>
        <w:t> </w:t>
      </w:r>
      <w:r w:rsidRPr="00F16A91">
        <w:rPr>
          <w:rFonts w:ascii="Times New Roman" w:hAnsi="Times New Roman" w:cs="Times New Roman"/>
          <w:color w:val="000000"/>
          <w:lang w:eastAsia="lt-LT"/>
        </w:rPr>
        <w:t>% ir 82,3</w:t>
      </w:r>
      <w:r>
        <w:rPr>
          <w:rFonts w:ascii="Times New Roman" w:hAnsi="Times New Roman" w:cs="Times New Roman"/>
          <w:color w:val="000000"/>
          <w:lang w:eastAsia="lt-LT"/>
        </w:rPr>
        <w:t> </w:t>
      </w:r>
      <w:r w:rsidRPr="00F16A91">
        <w:rPr>
          <w:rFonts w:ascii="Times New Roman" w:hAnsi="Times New Roman" w:cs="Times New Roman"/>
          <w:color w:val="000000"/>
          <w:lang w:eastAsia="lt-LT"/>
        </w:rPr>
        <w:t>%; p</w:t>
      </w:r>
      <w:r>
        <w:rPr>
          <w:rFonts w:ascii="Times New Roman" w:hAnsi="Times New Roman" w:cs="Times New Roman"/>
          <w:color w:val="000000"/>
          <w:lang w:eastAsia="lt-LT"/>
        </w:rPr>
        <w:t> </w:t>
      </w:r>
      <w:r w:rsidRPr="00F16A91">
        <w:rPr>
          <w:rFonts w:ascii="Times New Roman" w:hAnsi="Times New Roman" w:cs="Times New Roman"/>
          <w:color w:val="000000"/>
          <w:lang w:eastAsia="lt-LT"/>
        </w:rPr>
        <w:t>&lt;</w:t>
      </w:r>
      <w:r>
        <w:rPr>
          <w:rFonts w:ascii="Times New Roman" w:hAnsi="Times New Roman" w:cs="Times New Roman"/>
          <w:color w:val="000000"/>
          <w:lang w:eastAsia="lt-LT"/>
        </w:rPr>
        <w:t> </w:t>
      </w:r>
      <w:r w:rsidRPr="00F16A91">
        <w:rPr>
          <w:rFonts w:ascii="Times New Roman" w:hAnsi="Times New Roman" w:cs="Times New Roman"/>
          <w:color w:val="000000"/>
          <w:lang w:eastAsia="lt-LT"/>
        </w:rPr>
        <w:t>0,0001). Taigi, ligos recidyvo atsiradimo rizika buvo sumažinta apytiksliai 89</w:t>
      </w:r>
      <w:r>
        <w:rPr>
          <w:rFonts w:ascii="Times New Roman" w:hAnsi="Times New Roman" w:cs="Times New Roman"/>
          <w:color w:val="000000"/>
          <w:lang w:eastAsia="lt-LT"/>
        </w:rPr>
        <w:t> </w:t>
      </w:r>
      <w:r w:rsidRPr="00F16A91">
        <w:rPr>
          <w:rFonts w:ascii="Times New Roman" w:hAnsi="Times New Roman" w:cs="Times New Roman"/>
          <w:color w:val="000000"/>
          <w:lang w:eastAsia="lt-LT"/>
        </w:rPr>
        <w:t>%, lyginant su placebu (rizikos santykis = 0,113 [0,049</w:t>
      </w:r>
      <w:r>
        <w:rPr>
          <w:rFonts w:ascii="Times New Roman" w:hAnsi="Times New Roman" w:cs="Times New Roman"/>
          <w:color w:val="000000"/>
          <w:lang w:eastAsia="lt-LT"/>
        </w:rPr>
        <w:t>–</w:t>
      </w:r>
      <w:r w:rsidRPr="00F16A91">
        <w:rPr>
          <w:rFonts w:ascii="Times New Roman" w:hAnsi="Times New Roman" w:cs="Times New Roman"/>
          <w:color w:val="000000"/>
          <w:lang w:eastAsia="lt-LT"/>
        </w:rPr>
        <w:t>0,264]).</w:t>
      </w:r>
    </w:p>
    <w:p w14:paraId="35D49CFD" w14:textId="77777777" w:rsidR="008E79D1" w:rsidRDefault="008E79D1" w:rsidP="008E79D1">
      <w:pPr>
        <w:spacing w:after="0" w:line="240" w:lineRule="auto"/>
        <w:rPr>
          <w:rFonts w:ascii="Times New Roman" w:eastAsia="Times New Roman" w:hAnsi="Times New Roman" w:cs="Times New Roman"/>
          <w:szCs w:val="24"/>
        </w:rPr>
      </w:pPr>
    </w:p>
    <w:p w14:paraId="38977179" w14:textId="77777777" w:rsidR="008E79D1" w:rsidRPr="00FA2692" w:rsidRDefault="008E79D1" w:rsidP="008E79D1">
      <w:pPr>
        <w:spacing w:after="0" w:line="240" w:lineRule="auto"/>
        <w:rPr>
          <w:rFonts w:ascii="Times New Roman" w:eastAsia="Times New Roman" w:hAnsi="Times New Roman" w:cs="Times New Roman"/>
          <w:szCs w:val="24"/>
        </w:rPr>
      </w:pPr>
      <w:r w:rsidRPr="00FA2692">
        <w:rPr>
          <w:rFonts w:ascii="Times New Roman" w:hAnsi="Times New Roman" w:cs="Times New Roman"/>
        </w:rPr>
        <w:t>Pacientams po pirminio VTSN operacinio gydymo ligos recidyvo rizika buvo įvertinta retrospektyviai, remiantis toliau nurodytais prognostiniais veiksniais: naviko dydžiu, mitozės indeksu ir naviko lokalizacija. Mitozės indekso duomenys surinkti 556</w:t>
      </w:r>
      <w:r>
        <w:rPr>
          <w:rFonts w:ascii="Times New Roman" w:hAnsi="Times New Roman" w:cs="Times New Roman"/>
        </w:rPr>
        <w:t> </w:t>
      </w:r>
      <w:r w:rsidRPr="00FA2692">
        <w:rPr>
          <w:rFonts w:ascii="Times New Roman" w:hAnsi="Times New Roman" w:cs="Times New Roman"/>
        </w:rPr>
        <w:t xml:space="preserve">pacientams iš 713 atrinktos gydymui (angl. </w:t>
      </w:r>
      <w:r w:rsidRPr="00FA2692">
        <w:rPr>
          <w:rFonts w:ascii="Times New Roman" w:hAnsi="Times New Roman" w:cs="Times New Roman"/>
          <w:i/>
          <w:iCs/>
        </w:rPr>
        <w:t>intention-to-treat</w:t>
      </w:r>
      <w:r>
        <w:rPr>
          <w:rFonts w:ascii="Times New Roman" w:hAnsi="Times New Roman" w:cs="Times New Roman"/>
          <w:i/>
          <w:iCs/>
        </w:rPr>
        <w:t>,</w:t>
      </w:r>
      <w:r w:rsidRPr="00FA2692">
        <w:rPr>
          <w:rFonts w:ascii="Times New Roman" w:hAnsi="Times New Roman" w:cs="Times New Roman"/>
        </w:rPr>
        <w:t xml:space="preserve"> ITT) populiacijos asmenų. Remiantis Jungtinių valstijų sveikatos nacionalinio instituto (</w:t>
      </w:r>
      <w:r w:rsidRPr="008D3472">
        <w:rPr>
          <w:rFonts w:ascii="Times New Roman" w:hAnsi="Times New Roman" w:cs="Times New Roman"/>
          <w:i/>
          <w:iCs/>
        </w:rPr>
        <w:t>United States National Institutes of Health</w:t>
      </w:r>
      <w:r>
        <w:rPr>
          <w:rFonts w:ascii="Times New Roman" w:hAnsi="Times New Roman" w:cs="Times New Roman"/>
          <w:i/>
          <w:iCs/>
        </w:rPr>
        <w:t xml:space="preserve">, </w:t>
      </w:r>
      <w:r w:rsidRPr="00FA2692">
        <w:rPr>
          <w:rFonts w:ascii="Times New Roman" w:hAnsi="Times New Roman" w:cs="Times New Roman"/>
        </w:rPr>
        <w:t>NIH) ir Ginkluotųjų pajėgų patologijos instituto (</w:t>
      </w:r>
      <w:r w:rsidRPr="008D3472">
        <w:rPr>
          <w:rFonts w:ascii="Times New Roman" w:hAnsi="Times New Roman" w:cs="Times New Roman"/>
          <w:i/>
          <w:iCs/>
        </w:rPr>
        <w:t>Armed Forces Institute of Pathology</w:t>
      </w:r>
      <w:r>
        <w:rPr>
          <w:rFonts w:ascii="Times New Roman" w:hAnsi="Times New Roman" w:cs="Times New Roman"/>
          <w:i/>
          <w:iCs/>
        </w:rPr>
        <w:t>,</w:t>
      </w:r>
      <w:r w:rsidRPr="00FA2692">
        <w:rPr>
          <w:rFonts w:ascii="Times New Roman" w:hAnsi="Times New Roman" w:cs="Times New Roman"/>
        </w:rPr>
        <w:t xml:space="preserve"> AFIP) sudaryta rizikos klasifikacija, pacientų pogrupių analizės rezultatai pateikti 7</w:t>
      </w:r>
      <w:r>
        <w:rPr>
          <w:rFonts w:ascii="Times New Roman" w:hAnsi="Times New Roman" w:cs="Times New Roman"/>
        </w:rPr>
        <w:t> </w:t>
      </w:r>
      <w:r w:rsidRPr="00FA2692">
        <w:rPr>
          <w:rFonts w:ascii="Times New Roman" w:hAnsi="Times New Roman" w:cs="Times New Roman"/>
        </w:rPr>
        <w:t>lentelėje. Žemos ir labai žemos rizikos grupėje vaistinio preparato naudos nepastebėta. Bendram išgyvenamumui naudos nepastebėta.</w:t>
      </w:r>
    </w:p>
    <w:p w14:paraId="24E90773" w14:textId="77777777" w:rsidR="008E79D1" w:rsidRDefault="008E79D1" w:rsidP="008E79D1">
      <w:pPr>
        <w:spacing w:after="0" w:line="240" w:lineRule="auto"/>
        <w:rPr>
          <w:rFonts w:ascii="Times New Roman" w:eastAsia="Times New Roman" w:hAnsi="Times New Roman" w:cs="Times New Roman"/>
          <w:szCs w:val="24"/>
        </w:rPr>
      </w:pPr>
    </w:p>
    <w:p w14:paraId="1ACF8E1D" w14:textId="77777777" w:rsidR="008E79D1" w:rsidRPr="00A26369" w:rsidRDefault="008E79D1" w:rsidP="008E79D1">
      <w:pPr>
        <w:spacing w:after="0" w:line="240" w:lineRule="auto"/>
        <w:rPr>
          <w:rFonts w:ascii="Times New Roman" w:eastAsia="Times New Roman" w:hAnsi="Times New Roman" w:cs="Times New Roman"/>
          <w:szCs w:val="24"/>
        </w:rPr>
      </w:pPr>
      <w:r w:rsidRPr="00A26369">
        <w:rPr>
          <w:rFonts w:ascii="Times New Roman" w:hAnsi="Times New Roman" w:cs="Times New Roman"/>
          <w:b/>
          <w:bCs/>
        </w:rPr>
        <w:t>7 lentelė</w:t>
      </w:r>
      <w:r>
        <w:rPr>
          <w:rFonts w:ascii="Times New Roman" w:hAnsi="Times New Roman" w:cs="Times New Roman"/>
          <w:b/>
          <w:bCs/>
        </w:rPr>
        <w:t>.</w:t>
      </w:r>
      <w:r w:rsidRPr="00A26369">
        <w:rPr>
          <w:rFonts w:ascii="Times New Roman" w:hAnsi="Times New Roman" w:cs="Times New Roman"/>
          <w:b/>
          <w:bCs/>
        </w:rPr>
        <w:t xml:space="preserve"> Z9001 klinikinio tyrimo RFS analizės pagal NIH ir AFIP rizikos klasifikacijas santrauka</w:t>
      </w:r>
    </w:p>
    <w:p w14:paraId="278B9F04" w14:textId="77777777" w:rsidR="008E79D1" w:rsidRDefault="008E79D1" w:rsidP="008E79D1">
      <w:pPr>
        <w:spacing w:after="0" w:line="240" w:lineRule="auto"/>
        <w:rPr>
          <w:rFonts w:ascii="Times New Roman" w:eastAsia="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253"/>
        <w:gridCol w:w="1035"/>
        <w:gridCol w:w="1611"/>
        <w:gridCol w:w="1483"/>
        <w:gridCol w:w="1330"/>
        <w:gridCol w:w="1276"/>
      </w:tblGrid>
      <w:tr w:rsidR="008E79D1" w14:paraId="71705FBA" w14:textId="77777777" w:rsidTr="00D14A02">
        <w:tc>
          <w:tcPr>
            <w:tcW w:w="1072" w:type="dxa"/>
            <w:vMerge w:val="restart"/>
            <w:shd w:val="clear" w:color="auto" w:fill="auto"/>
          </w:tcPr>
          <w:p w14:paraId="326023F0" w14:textId="77777777" w:rsidR="008E79D1" w:rsidRDefault="008E79D1" w:rsidP="00D14A02">
            <w:pPr>
              <w:pStyle w:val="Default"/>
            </w:pPr>
            <w:r>
              <w:rPr>
                <w:b/>
                <w:bCs/>
                <w:sz w:val="22"/>
                <w:szCs w:val="22"/>
              </w:rPr>
              <w:t>Rizikos kriterijai</w:t>
            </w:r>
          </w:p>
        </w:tc>
        <w:tc>
          <w:tcPr>
            <w:tcW w:w="1297" w:type="dxa"/>
            <w:vMerge w:val="restart"/>
            <w:tcBorders>
              <w:bottom w:val="nil"/>
            </w:tcBorders>
            <w:shd w:val="clear" w:color="auto" w:fill="auto"/>
          </w:tcPr>
          <w:p w14:paraId="2D4F6C9B" w14:textId="77777777" w:rsidR="008E79D1" w:rsidRDefault="008E79D1" w:rsidP="00D14A02">
            <w:pPr>
              <w:pStyle w:val="Default"/>
            </w:pPr>
            <w:r>
              <w:rPr>
                <w:b/>
                <w:bCs/>
                <w:sz w:val="22"/>
                <w:szCs w:val="22"/>
              </w:rPr>
              <w:t>Rizikos lygis</w:t>
            </w:r>
          </w:p>
        </w:tc>
        <w:tc>
          <w:tcPr>
            <w:tcW w:w="1035" w:type="dxa"/>
            <w:vMerge w:val="restart"/>
            <w:tcBorders>
              <w:bottom w:val="nil"/>
            </w:tcBorders>
            <w:shd w:val="clear" w:color="auto" w:fill="auto"/>
          </w:tcPr>
          <w:p w14:paraId="5B06358C" w14:textId="77777777" w:rsidR="008E79D1" w:rsidRDefault="008E79D1" w:rsidP="00D14A02">
            <w:pPr>
              <w:pStyle w:val="Default"/>
              <w:jc w:val="center"/>
            </w:pPr>
            <w:r>
              <w:rPr>
                <w:b/>
                <w:bCs/>
                <w:sz w:val="22"/>
                <w:szCs w:val="22"/>
              </w:rPr>
              <w:t>Pacientų skaičius %</w:t>
            </w:r>
          </w:p>
        </w:tc>
        <w:tc>
          <w:tcPr>
            <w:tcW w:w="1687" w:type="dxa"/>
            <w:vMerge w:val="restart"/>
            <w:shd w:val="clear" w:color="auto" w:fill="auto"/>
          </w:tcPr>
          <w:p w14:paraId="18412164" w14:textId="77777777" w:rsidR="008E79D1" w:rsidRDefault="008E79D1" w:rsidP="00D14A02">
            <w:pPr>
              <w:pStyle w:val="Default"/>
              <w:jc w:val="center"/>
            </w:pPr>
            <w:r>
              <w:rPr>
                <w:b/>
                <w:bCs/>
                <w:sz w:val="22"/>
                <w:szCs w:val="22"/>
              </w:rPr>
              <w:t>Atvejų skaičius / Pacientų skaičius</w:t>
            </w:r>
          </w:p>
        </w:tc>
        <w:tc>
          <w:tcPr>
            <w:tcW w:w="1538" w:type="dxa"/>
            <w:vMerge w:val="restart"/>
            <w:shd w:val="clear" w:color="auto" w:fill="auto"/>
          </w:tcPr>
          <w:p w14:paraId="15AAB187" w14:textId="77777777" w:rsidR="008E79D1" w:rsidRDefault="008E79D1" w:rsidP="00D14A02">
            <w:pPr>
              <w:pStyle w:val="Default"/>
              <w:jc w:val="center"/>
            </w:pPr>
            <w:r>
              <w:rPr>
                <w:b/>
                <w:bCs/>
                <w:sz w:val="22"/>
                <w:szCs w:val="22"/>
              </w:rPr>
              <w:t>Bendrasis rizikos santykis (95 % PI)*</w:t>
            </w:r>
          </w:p>
        </w:tc>
        <w:tc>
          <w:tcPr>
            <w:tcW w:w="2657" w:type="dxa"/>
            <w:gridSpan w:val="2"/>
            <w:shd w:val="clear" w:color="auto" w:fill="auto"/>
          </w:tcPr>
          <w:p w14:paraId="5069445C" w14:textId="77777777" w:rsidR="008E79D1" w:rsidRDefault="008E79D1" w:rsidP="00D14A02">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rPr>
              <w:t>RFS dažnis (%)</w:t>
            </w:r>
          </w:p>
        </w:tc>
      </w:tr>
      <w:tr w:rsidR="008E79D1" w14:paraId="0DBA7726" w14:textId="77777777" w:rsidTr="00D14A02">
        <w:tc>
          <w:tcPr>
            <w:tcW w:w="1072" w:type="dxa"/>
            <w:vMerge/>
            <w:shd w:val="clear" w:color="auto" w:fill="auto"/>
          </w:tcPr>
          <w:p w14:paraId="7F154865" w14:textId="77777777" w:rsidR="008E79D1" w:rsidRDefault="008E79D1" w:rsidP="00D14A02">
            <w:pPr>
              <w:spacing w:after="0" w:line="240" w:lineRule="auto"/>
              <w:rPr>
                <w:rFonts w:ascii="Times New Roman" w:eastAsia="Times New Roman" w:hAnsi="Times New Roman" w:cs="Times New Roman"/>
                <w:szCs w:val="24"/>
              </w:rPr>
            </w:pPr>
          </w:p>
        </w:tc>
        <w:tc>
          <w:tcPr>
            <w:tcW w:w="1297" w:type="dxa"/>
            <w:vMerge/>
            <w:tcBorders>
              <w:bottom w:val="nil"/>
            </w:tcBorders>
            <w:shd w:val="clear" w:color="auto" w:fill="auto"/>
          </w:tcPr>
          <w:p w14:paraId="6E874532" w14:textId="77777777" w:rsidR="008E79D1" w:rsidRDefault="008E79D1" w:rsidP="00D14A02">
            <w:pPr>
              <w:spacing w:after="0" w:line="240" w:lineRule="auto"/>
              <w:rPr>
                <w:rFonts w:ascii="Times New Roman" w:eastAsia="Times New Roman" w:hAnsi="Times New Roman" w:cs="Times New Roman"/>
                <w:szCs w:val="24"/>
              </w:rPr>
            </w:pPr>
          </w:p>
        </w:tc>
        <w:tc>
          <w:tcPr>
            <w:tcW w:w="1035" w:type="dxa"/>
            <w:vMerge/>
            <w:tcBorders>
              <w:bottom w:val="nil"/>
            </w:tcBorders>
            <w:shd w:val="clear" w:color="auto" w:fill="auto"/>
          </w:tcPr>
          <w:p w14:paraId="56768EC4" w14:textId="77777777" w:rsidR="008E79D1" w:rsidRDefault="008E79D1" w:rsidP="00D14A02">
            <w:pPr>
              <w:spacing w:after="0" w:line="240" w:lineRule="auto"/>
              <w:rPr>
                <w:rFonts w:ascii="Times New Roman" w:eastAsia="Times New Roman" w:hAnsi="Times New Roman" w:cs="Times New Roman"/>
                <w:szCs w:val="24"/>
              </w:rPr>
            </w:pPr>
          </w:p>
        </w:tc>
        <w:tc>
          <w:tcPr>
            <w:tcW w:w="1687" w:type="dxa"/>
            <w:vMerge/>
            <w:shd w:val="clear" w:color="auto" w:fill="auto"/>
          </w:tcPr>
          <w:p w14:paraId="1D4FDBEF" w14:textId="77777777" w:rsidR="008E79D1" w:rsidRDefault="008E79D1" w:rsidP="00D14A02">
            <w:pPr>
              <w:pStyle w:val="Default"/>
              <w:jc w:val="center"/>
            </w:pPr>
          </w:p>
        </w:tc>
        <w:tc>
          <w:tcPr>
            <w:tcW w:w="1538" w:type="dxa"/>
            <w:vMerge/>
            <w:shd w:val="clear" w:color="auto" w:fill="auto"/>
          </w:tcPr>
          <w:p w14:paraId="1BB5146D" w14:textId="77777777" w:rsidR="008E79D1" w:rsidRDefault="008E79D1" w:rsidP="00D14A02">
            <w:pPr>
              <w:spacing w:after="0" w:line="240" w:lineRule="auto"/>
              <w:jc w:val="center"/>
              <w:rPr>
                <w:rFonts w:ascii="Times New Roman" w:eastAsia="Times New Roman" w:hAnsi="Times New Roman" w:cs="Times New Roman"/>
                <w:szCs w:val="24"/>
              </w:rPr>
            </w:pPr>
          </w:p>
        </w:tc>
        <w:tc>
          <w:tcPr>
            <w:tcW w:w="1360" w:type="dxa"/>
            <w:shd w:val="clear" w:color="auto" w:fill="auto"/>
          </w:tcPr>
          <w:p w14:paraId="0CDD60B5" w14:textId="77777777" w:rsidR="008E79D1" w:rsidRDefault="008E79D1" w:rsidP="00D14A02">
            <w:pPr>
              <w:pStyle w:val="Default"/>
              <w:jc w:val="center"/>
            </w:pPr>
            <w:r>
              <w:rPr>
                <w:b/>
                <w:bCs/>
                <w:sz w:val="22"/>
                <w:szCs w:val="22"/>
              </w:rPr>
              <w:t>12 mėn.</w:t>
            </w:r>
          </w:p>
        </w:tc>
        <w:tc>
          <w:tcPr>
            <w:tcW w:w="1297" w:type="dxa"/>
            <w:shd w:val="clear" w:color="auto" w:fill="auto"/>
          </w:tcPr>
          <w:p w14:paraId="23D3C1B1" w14:textId="77777777" w:rsidR="008E79D1" w:rsidRDefault="008E79D1" w:rsidP="00D14A02">
            <w:pPr>
              <w:pStyle w:val="Default"/>
              <w:jc w:val="center"/>
            </w:pPr>
            <w:r>
              <w:rPr>
                <w:b/>
                <w:bCs/>
                <w:sz w:val="22"/>
                <w:szCs w:val="22"/>
              </w:rPr>
              <w:t>24 mėn.</w:t>
            </w:r>
          </w:p>
        </w:tc>
      </w:tr>
      <w:tr w:rsidR="008E79D1" w14:paraId="2A66083E" w14:textId="77777777" w:rsidTr="00D14A02">
        <w:tc>
          <w:tcPr>
            <w:tcW w:w="1072" w:type="dxa"/>
            <w:vMerge/>
            <w:shd w:val="clear" w:color="auto" w:fill="auto"/>
          </w:tcPr>
          <w:p w14:paraId="4579AA19" w14:textId="77777777" w:rsidR="008E79D1" w:rsidRDefault="008E79D1" w:rsidP="00D14A02">
            <w:pPr>
              <w:spacing w:after="0" w:line="240" w:lineRule="auto"/>
              <w:rPr>
                <w:rFonts w:ascii="Times New Roman" w:eastAsia="Times New Roman" w:hAnsi="Times New Roman" w:cs="Times New Roman"/>
                <w:szCs w:val="24"/>
              </w:rPr>
            </w:pPr>
          </w:p>
        </w:tc>
        <w:tc>
          <w:tcPr>
            <w:tcW w:w="1297" w:type="dxa"/>
            <w:vMerge/>
            <w:tcBorders>
              <w:bottom w:val="single" w:sz="4" w:space="0" w:color="auto"/>
            </w:tcBorders>
            <w:shd w:val="clear" w:color="auto" w:fill="auto"/>
          </w:tcPr>
          <w:p w14:paraId="677F4AE2" w14:textId="77777777" w:rsidR="008E79D1" w:rsidRDefault="008E79D1" w:rsidP="00D14A02">
            <w:pPr>
              <w:spacing w:after="0" w:line="240" w:lineRule="auto"/>
              <w:rPr>
                <w:rFonts w:ascii="Times New Roman" w:eastAsia="Times New Roman" w:hAnsi="Times New Roman" w:cs="Times New Roman"/>
                <w:szCs w:val="24"/>
              </w:rPr>
            </w:pPr>
          </w:p>
        </w:tc>
        <w:tc>
          <w:tcPr>
            <w:tcW w:w="1035" w:type="dxa"/>
            <w:vMerge/>
            <w:tcBorders>
              <w:bottom w:val="single" w:sz="4" w:space="0" w:color="auto"/>
            </w:tcBorders>
            <w:shd w:val="clear" w:color="auto" w:fill="auto"/>
          </w:tcPr>
          <w:p w14:paraId="1968BD16" w14:textId="77777777" w:rsidR="008E79D1" w:rsidRDefault="008E79D1" w:rsidP="00D14A02">
            <w:pPr>
              <w:spacing w:after="0" w:line="240" w:lineRule="auto"/>
              <w:rPr>
                <w:rFonts w:ascii="Times New Roman" w:eastAsia="Times New Roman" w:hAnsi="Times New Roman" w:cs="Times New Roman"/>
                <w:szCs w:val="24"/>
              </w:rPr>
            </w:pPr>
          </w:p>
        </w:tc>
        <w:tc>
          <w:tcPr>
            <w:tcW w:w="1687" w:type="dxa"/>
            <w:tcBorders>
              <w:bottom w:val="single" w:sz="4" w:space="0" w:color="auto"/>
            </w:tcBorders>
            <w:shd w:val="clear" w:color="auto" w:fill="auto"/>
          </w:tcPr>
          <w:p w14:paraId="622AA791" w14:textId="77777777" w:rsidR="008E79D1" w:rsidRDefault="008E79D1" w:rsidP="00D14A02">
            <w:pPr>
              <w:pStyle w:val="Default"/>
              <w:jc w:val="center"/>
            </w:pPr>
            <w:r>
              <w:rPr>
                <w:b/>
                <w:bCs/>
                <w:sz w:val="22"/>
                <w:szCs w:val="22"/>
              </w:rPr>
              <w:t>Imatinibą lyginant su placebu</w:t>
            </w:r>
          </w:p>
        </w:tc>
        <w:tc>
          <w:tcPr>
            <w:tcW w:w="1538" w:type="dxa"/>
            <w:vMerge/>
            <w:tcBorders>
              <w:bottom w:val="single" w:sz="4" w:space="0" w:color="auto"/>
            </w:tcBorders>
            <w:shd w:val="clear" w:color="auto" w:fill="auto"/>
          </w:tcPr>
          <w:p w14:paraId="196B56D2" w14:textId="77777777" w:rsidR="008E79D1" w:rsidRDefault="008E79D1" w:rsidP="00D14A02">
            <w:pPr>
              <w:spacing w:after="0" w:line="240" w:lineRule="auto"/>
              <w:jc w:val="center"/>
              <w:rPr>
                <w:rFonts w:ascii="Times New Roman" w:eastAsia="Times New Roman" w:hAnsi="Times New Roman" w:cs="Times New Roman"/>
                <w:szCs w:val="24"/>
              </w:rPr>
            </w:pPr>
          </w:p>
        </w:tc>
        <w:tc>
          <w:tcPr>
            <w:tcW w:w="1360" w:type="dxa"/>
            <w:tcBorders>
              <w:bottom w:val="single" w:sz="4" w:space="0" w:color="auto"/>
            </w:tcBorders>
            <w:shd w:val="clear" w:color="auto" w:fill="auto"/>
          </w:tcPr>
          <w:p w14:paraId="45EE7468" w14:textId="77777777" w:rsidR="008E79D1" w:rsidRDefault="008E79D1" w:rsidP="00D14A02">
            <w:pPr>
              <w:pStyle w:val="Default"/>
              <w:jc w:val="center"/>
            </w:pPr>
            <w:r>
              <w:rPr>
                <w:b/>
                <w:bCs/>
                <w:sz w:val="22"/>
                <w:szCs w:val="22"/>
              </w:rPr>
              <w:t>Imatinibą lyginant su placebu</w:t>
            </w:r>
          </w:p>
        </w:tc>
        <w:tc>
          <w:tcPr>
            <w:tcW w:w="1297" w:type="dxa"/>
            <w:tcBorders>
              <w:bottom w:val="single" w:sz="4" w:space="0" w:color="auto"/>
            </w:tcBorders>
            <w:shd w:val="clear" w:color="auto" w:fill="auto"/>
          </w:tcPr>
          <w:p w14:paraId="67F48382" w14:textId="77777777" w:rsidR="008E79D1" w:rsidRDefault="008E79D1" w:rsidP="00D14A02">
            <w:pPr>
              <w:pStyle w:val="Default"/>
              <w:jc w:val="center"/>
            </w:pPr>
            <w:r>
              <w:rPr>
                <w:b/>
                <w:bCs/>
                <w:sz w:val="22"/>
                <w:szCs w:val="22"/>
              </w:rPr>
              <w:t>Imatinibą lyginant su placebu</w:t>
            </w:r>
          </w:p>
        </w:tc>
      </w:tr>
      <w:tr w:rsidR="008E79D1" w14:paraId="1FE59551" w14:textId="77777777" w:rsidTr="00D14A02">
        <w:tc>
          <w:tcPr>
            <w:tcW w:w="1072" w:type="dxa"/>
            <w:vMerge w:val="restart"/>
            <w:tcBorders>
              <w:right w:val="single" w:sz="4" w:space="0" w:color="auto"/>
            </w:tcBorders>
            <w:shd w:val="clear" w:color="auto" w:fill="auto"/>
          </w:tcPr>
          <w:p w14:paraId="2756E939" w14:textId="77777777" w:rsidR="008E79D1" w:rsidRDefault="008E79D1" w:rsidP="00D14A02">
            <w:pPr>
              <w:pStyle w:val="Default"/>
            </w:pPr>
            <w:r>
              <w:rPr>
                <w:sz w:val="22"/>
                <w:szCs w:val="22"/>
              </w:rPr>
              <w:t>NIH</w:t>
            </w:r>
          </w:p>
        </w:tc>
        <w:tc>
          <w:tcPr>
            <w:tcW w:w="1297" w:type="dxa"/>
            <w:tcBorders>
              <w:top w:val="single" w:sz="4" w:space="0" w:color="auto"/>
              <w:left w:val="single" w:sz="4" w:space="0" w:color="auto"/>
              <w:bottom w:val="nil"/>
              <w:right w:val="single" w:sz="4" w:space="0" w:color="auto"/>
            </w:tcBorders>
            <w:shd w:val="clear" w:color="auto" w:fill="auto"/>
          </w:tcPr>
          <w:p w14:paraId="4C3DFA1C" w14:textId="77777777" w:rsidR="008E79D1" w:rsidRDefault="008E79D1" w:rsidP="00D14A02">
            <w:pPr>
              <w:pStyle w:val="Default"/>
            </w:pPr>
            <w:r>
              <w:rPr>
                <w:sz w:val="22"/>
                <w:szCs w:val="22"/>
              </w:rPr>
              <w:t>Maža</w:t>
            </w:r>
          </w:p>
        </w:tc>
        <w:tc>
          <w:tcPr>
            <w:tcW w:w="1035" w:type="dxa"/>
            <w:tcBorders>
              <w:top w:val="single" w:sz="4" w:space="0" w:color="auto"/>
              <w:left w:val="single" w:sz="4" w:space="0" w:color="auto"/>
              <w:bottom w:val="nil"/>
              <w:right w:val="single" w:sz="4" w:space="0" w:color="auto"/>
            </w:tcBorders>
            <w:shd w:val="clear" w:color="auto" w:fill="auto"/>
          </w:tcPr>
          <w:p w14:paraId="00B0EC2D" w14:textId="77777777" w:rsidR="008E79D1" w:rsidRDefault="008E79D1" w:rsidP="00D14A02">
            <w:pPr>
              <w:pStyle w:val="Default"/>
              <w:jc w:val="center"/>
            </w:pPr>
            <w:r>
              <w:rPr>
                <w:sz w:val="22"/>
                <w:szCs w:val="22"/>
              </w:rPr>
              <w:t>29,5</w:t>
            </w:r>
          </w:p>
        </w:tc>
        <w:tc>
          <w:tcPr>
            <w:tcW w:w="1687" w:type="dxa"/>
            <w:tcBorders>
              <w:top w:val="single" w:sz="4" w:space="0" w:color="auto"/>
              <w:left w:val="single" w:sz="4" w:space="0" w:color="auto"/>
              <w:bottom w:val="nil"/>
              <w:right w:val="single" w:sz="4" w:space="0" w:color="auto"/>
            </w:tcBorders>
            <w:shd w:val="clear" w:color="auto" w:fill="auto"/>
          </w:tcPr>
          <w:p w14:paraId="1E613252" w14:textId="77777777" w:rsidR="008E79D1" w:rsidRDefault="008E79D1" w:rsidP="00D14A02">
            <w:pPr>
              <w:pStyle w:val="Default"/>
            </w:pPr>
            <w:r>
              <w:rPr>
                <w:sz w:val="22"/>
                <w:szCs w:val="22"/>
              </w:rPr>
              <w:t>0/86 ir 2/90</w:t>
            </w:r>
          </w:p>
        </w:tc>
        <w:tc>
          <w:tcPr>
            <w:tcW w:w="1538" w:type="dxa"/>
            <w:tcBorders>
              <w:top w:val="single" w:sz="4" w:space="0" w:color="auto"/>
              <w:left w:val="single" w:sz="4" w:space="0" w:color="auto"/>
              <w:bottom w:val="nil"/>
              <w:right w:val="single" w:sz="4" w:space="0" w:color="auto"/>
            </w:tcBorders>
            <w:shd w:val="clear" w:color="auto" w:fill="auto"/>
          </w:tcPr>
          <w:p w14:paraId="11D44192" w14:textId="77777777" w:rsidR="008E79D1" w:rsidRDefault="008E79D1" w:rsidP="00D14A02">
            <w:pPr>
              <w:pStyle w:val="Default"/>
            </w:pPr>
            <w:r>
              <w:rPr>
                <w:sz w:val="22"/>
                <w:szCs w:val="22"/>
              </w:rPr>
              <w:t>N.R.</w:t>
            </w:r>
          </w:p>
        </w:tc>
        <w:tc>
          <w:tcPr>
            <w:tcW w:w="1360" w:type="dxa"/>
            <w:tcBorders>
              <w:top w:val="single" w:sz="4" w:space="0" w:color="auto"/>
              <w:left w:val="single" w:sz="4" w:space="0" w:color="auto"/>
              <w:bottom w:val="nil"/>
              <w:right w:val="single" w:sz="4" w:space="0" w:color="auto"/>
            </w:tcBorders>
            <w:shd w:val="clear" w:color="auto" w:fill="auto"/>
          </w:tcPr>
          <w:p w14:paraId="16E42B7C" w14:textId="77777777" w:rsidR="008E79D1" w:rsidRDefault="008E79D1" w:rsidP="00D14A02">
            <w:pPr>
              <w:pStyle w:val="Default"/>
            </w:pPr>
            <w:r>
              <w:rPr>
                <w:sz w:val="22"/>
                <w:szCs w:val="22"/>
              </w:rPr>
              <w:t>100 ir 98,7</w:t>
            </w:r>
          </w:p>
        </w:tc>
        <w:tc>
          <w:tcPr>
            <w:tcW w:w="1297" w:type="dxa"/>
            <w:tcBorders>
              <w:top w:val="single" w:sz="4" w:space="0" w:color="auto"/>
              <w:left w:val="single" w:sz="4" w:space="0" w:color="auto"/>
              <w:bottom w:val="nil"/>
              <w:right w:val="single" w:sz="4" w:space="0" w:color="auto"/>
            </w:tcBorders>
            <w:shd w:val="clear" w:color="auto" w:fill="auto"/>
          </w:tcPr>
          <w:p w14:paraId="4A650109" w14:textId="77777777" w:rsidR="008E79D1" w:rsidRDefault="008E79D1" w:rsidP="00D14A02">
            <w:pPr>
              <w:pStyle w:val="Default"/>
            </w:pPr>
            <w:r>
              <w:rPr>
                <w:sz w:val="22"/>
                <w:szCs w:val="22"/>
              </w:rPr>
              <w:t>100 ir 95,5</w:t>
            </w:r>
          </w:p>
        </w:tc>
      </w:tr>
      <w:tr w:rsidR="008E79D1" w14:paraId="2F7E3F72" w14:textId="77777777" w:rsidTr="00D14A02">
        <w:tc>
          <w:tcPr>
            <w:tcW w:w="1072" w:type="dxa"/>
            <w:vMerge/>
            <w:tcBorders>
              <w:right w:val="single" w:sz="4" w:space="0" w:color="auto"/>
            </w:tcBorders>
            <w:shd w:val="clear" w:color="auto" w:fill="auto"/>
          </w:tcPr>
          <w:p w14:paraId="459E1AE5" w14:textId="77777777" w:rsidR="008E79D1" w:rsidRDefault="008E79D1" w:rsidP="00D14A02">
            <w:pPr>
              <w:spacing w:after="0" w:line="240" w:lineRule="auto"/>
              <w:rPr>
                <w:rFonts w:ascii="Times New Roman" w:eastAsia="Times New Roman" w:hAnsi="Times New Roman" w:cs="Times New Roman"/>
                <w:szCs w:val="24"/>
              </w:rPr>
            </w:pPr>
          </w:p>
        </w:tc>
        <w:tc>
          <w:tcPr>
            <w:tcW w:w="1297" w:type="dxa"/>
            <w:tcBorders>
              <w:top w:val="nil"/>
              <w:left w:val="single" w:sz="4" w:space="0" w:color="auto"/>
              <w:bottom w:val="nil"/>
              <w:right w:val="single" w:sz="4" w:space="0" w:color="auto"/>
            </w:tcBorders>
            <w:shd w:val="clear" w:color="auto" w:fill="auto"/>
          </w:tcPr>
          <w:p w14:paraId="5D7A8E31" w14:textId="77777777" w:rsidR="008E79D1" w:rsidRDefault="008E79D1" w:rsidP="00D14A02">
            <w:pPr>
              <w:pStyle w:val="Default"/>
            </w:pPr>
            <w:r>
              <w:rPr>
                <w:sz w:val="22"/>
                <w:szCs w:val="22"/>
              </w:rPr>
              <w:t>Vidutinė</w:t>
            </w:r>
          </w:p>
        </w:tc>
        <w:tc>
          <w:tcPr>
            <w:tcW w:w="1035" w:type="dxa"/>
            <w:tcBorders>
              <w:top w:val="nil"/>
              <w:left w:val="single" w:sz="4" w:space="0" w:color="auto"/>
              <w:bottom w:val="nil"/>
              <w:right w:val="single" w:sz="4" w:space="0" w:color="auto"/>
            </w:tcBorders>
            <w:shd w:val="clear" w:color="auto" w:fill="auto"/>
          </w:tcPr>
          <w:p w14:paraId="41ADE72F" w14:textId="77777777" w:rsidR="008E79D1" w:rsidRDefault="008E79D1" w:rsidP="00D14A02">
            <w:pPr>
              <w:pStyle w:val="Default"/>
              <w:jc w:val="center"/>
            </w:pPr>
            <w:r>
              <w:rPr>
                <w:sz w:val="22"/>
                <w:szCs w:val="22"/>
              </w:rPr>
              <w:t>25,7</w:t>
            </w:r>
          </w:p>
        </w:tc>
        <w:tc>
          <w:tcPr>
            <w:tcW w:w="1687" w:type="dxa"/>
            <w:tcBorders>
              <w:top w:val="nil"/>
              <w:left w:val="single" w:sz="4" w:space="0" w:color="auto"/>
              <w:bottom w:val="nil"/>
              <w:right w:val="single" w:sz="4" w:space="0" w:color="auto"/>
            </w:tcBorders>
            <w:shd w:val="clear" w:color="auto" w:fill="auto"/>
          </w:tcPr>
          <w:p w14:paraId="478AD9CE" w14:textId="77777777" w:rsidR="008E79D1" w:rsidRDefault="008E79D1" w:rsidP="00D14A02">
            <w:pPr>
              <w:pStyle w:val="Default"/>
            </w:pPr>
            <w:r>
              <w:rPr>
                <w:sz w:val="22"/>
                <w:szCs w:val="22"/>
              </w:rPr>
              <w:t>4/75 ir 6/78</w:t>
            </w:r>
          </w:p>
        </w:tc>
        <w:tc>
          <w:tcPr>
            <w:tcW w:w="1538" w:type="dxa"/>
            <w:tcBorders>
              <w:top w:val="nil"/>
              <w:left w:val="single" w:sz="4" w:space="0" w:color="auto"/>
              <w:bottom w:val="nil"/>
              <w:right w:val="single" w:sz="4" w:space="0" w:color="auto"/>
            </w:tcBorders>
            <w:shd w:val="clear" w:color="auto" w:fill="auto"/>
          </w:tcPr>
          <w:p w14:paraId="34D2849C" w14:textId="77777777" w:rsidR="008E79D1" w:rsidRDefault="008E79D1" w:rsidP="00D14A02">
            <w:pPr>
              <w:pStyle w:val="Default"/>
            </w:pPr>
            <w:r>
              <w:rPr>
                <w:sz w:val="22"/>
                <w:szCs w:val="22"/>
              </w:rPr>
              <w:t>0,59 (0,17; 2,10)</w:t>
            </w:r>
          </w:p>
        </w:tc>
        <w:tc>
          <w:tcPr>
            <w:tcW w:w="1360" w:type="dxa"/>
            <w:tcBorders>
              <w:top w:val="nil"/>
              <w:left w:val="single" w:sz="4" w:space="0" w:color="auto"/>
              <w:bottom w:val="nil"/>
              <w:right w:val="single" w:sz="4" w:space="0" w:color="auto"/>
            </w:tcBorders>
            <w:shd w:val="clear" w:color="auto" w:fill="auto"/>
          </w:tcPr>
          <w:p w14:paraId="0B36272C" w14:textId="77777777" w:rsidR="008E79D1" w:rsidRDefault="008E79D1" w:rsidP="00D14A02">
            <w:pPr>
              <w:pStyle w:val="Default"/>
            </w:pPr>
            <w:r>
              <w:rPr>
                <w:sz w:val="22"/>
                <w:szCs w:val="22"/>
              </w:rPr>
              <w:t>100 ir 94,8</w:t>
            </w:r>
          </w:p>
        </w:tc>
        <w:tc>
          <w:tcPr>
            <w:tcW w:w="1297" w:type="dxa"/>
            <w:tcBorders>
              <w:top w:val="nil"/>
              <w:left w:val="single" w:sz="4" w:space="0" w:color="auto"/>
              <w:bottom w:val="nil"/>
              <w:right w:val="single" w:sz="4" w:space="0" w:color="auto"/>
            </w:tcBorders>
            <w:shd w:val="clear" w:color="auto" w:fill="auto"/>
          </w:tcPr>
          <w:p w14:paraId="378975F0" w14:textId="77777777" w:rsidR="008E79D1" w:rsidRDefault="008E79D1" w:rsidP="00D14A02">
            <w:pPr>
              <w:pStyle w:val="Default"/>
            </w:pPr>
            <w:r>
              <w:rPr>
                <w:sz w:val="22"/>
                <w:szCs w:val="22"/>
              </w:rPr>
              <w:t>97,8 ir 89,5</w:t>
            </w:r>
          </w:p>
        </w:tc>
      </w:tr>
      <w:tr w:rsidR="008E79D1" w14:paraId="252584D6" w14:textId="77777777" w:rsidTr="00D14A02">
        <w:tc>
          <w:tcPr>
            <w:tcW w:w="1072" w:type="dxa"/>
            <w:vMerge/>
            <w:tcBorders>
              <w:right w:val="single" w:sz="4" w:space="0" w:color="auto"/>
            </w:tcBorders>
            <w:shd w:val="clear" w:color="auto" w:fill="auto"/>
          </w:tcPr>
          <w:p w14:paraId="1954C84A" w14:textId="77777777" w:rsidR="008E79D1" w:rsidRDefault="008E79D1" w:rsidP="00D14A02">
            <w:pPr>
              <w:spacing w:after="0" w:line="240" w:lineRule="auto"/>
              <w:rPr>
                <w:rFonts w:ascii="Times New Roman" w:eastAsia="Times New Roman" w:hAnsi="Times New Roman" w:cs="Times New Roman"/>
                <w:szCs w:val="24"/>
              </w:rPr>
            </w:pPr>
          </w:p>
        </w:tc>
        <w:tc>
          <w:tcPr>
            <w:tcW w:w="1297" w:type="dxa"/>
            <w:tcBorders>
              <w:top w:val="nil"/>
              <w:left w:val="single" w:sz="4" w:space="0" w:color="auto"/>
              <w:bottom w:val="single" w:sz="4" w:space="0" w:color="auto"/>
              <w:right w:val="single" w:sz="4" w:space="0" w:color="auto"/>
            </w:tcBorders>
            <w:shd w:val="clear" w:color="auto" w:fill="auto"/>
          </w:tcPr>
          <w:p w14:paraId="64948A7C" w14:textId="77777777" w:rsidR="008E79D1" w:rsidRDefault="008E79D1" w:rsidP="00D14A02">
            <w:pPr>
              <w:pStyle w:val="Default"/>
            </w:pPr>
            <w:r>
              <w:rPr>
                <w:sz w:val="22"/>
                <w:szCs w:val="22"/>
              </w:rPr>
              <w:t>Didelė</w:t>
            </w:r>
          </w:p>
        </w:tc>
        <w:tc>
          <w:tcPr>
            <w:tcW w:w="1035" w:type="dxa"/>
            <w:tcBorders>
              <w:top w:val="nil"/>
              <w:left w:val="single" w:sz="4" w:space="0" w:color="auto"/>
              <w:bottom w:val="single" w:sz="4" w:space="0" w:color="auto"/>
              <w:right w:val="single" w:sz="4" w:space="0" w:color="auto"/>
            </w:tcBorders>
            <w:shd w:val="clear" w:color="auto" w:fill="auto"/>
          </w:tcPr>
          <w:p w14:paraId="31919B74" w14:textId="77777777" w:rsidR="008E79D1" w:rsidRDefault="008E79D1" w:rsidP="00D14A02">
            <w:pPr>
              <w:pStyle w:val="Default"/>
              <w:jc w:val="center"/>
            </w:pPr>
            <w:r>
              <w:rPr>
                <w:sz w:val="22"/>
                <w:szCs w:val="22"/>
              </w:rPr>
              <w:t>44,8</w:t>
            </w:r>
          </w:p>
        </w:tc>
        <w:tc>
          <w:tcPr>
            <w:tcW w:w="1687" w:type="dxa"/>
            <w:tcBorders>
              <w:top w:val="nil"/>
              <w:left w:val="single" w:sz="4" w:space="0" w:color="auto"/>
              <w:bottom w:val="single" w:sz="4" w:space="0" w:color="auto"/>
              <w:right w:val="single" w:sz="4" w:space="0" w:color="auto"/>
            </w:tcBorders>
            <w:shd w:val="clear" w:color="auto" w:fill="auto"/>
          </w:tcPr>
          <w:p w14:paraId="3A0573E7" w14:textId="77777777" w:rsidR="008E79D1" w:rsidRDefault="008E79D1" w:rsidP="00D14A02">
            <w:pPr>
              <w:pStyle w:val="Default"/>
            </w:pPr>
            <w:r>
              <w:rPr>
                <w:sz w:val="22"/>
                <w:szCs w:val="22"/>
              </w:rPr>
              <w:t>21/140 ir 51/127</w:t>
            </w:r>
          </w:p>
        </w:tc>
        <w:tc>
          <w:tcPr>
            <w:tcW w:w="1538" w:type="dxa"/>
            <w:tcBorders>
              <w:top w:val="nil"/>
              <w:left w:val="single" w:sz="4" w:space="0" w:color="auto"/>
              <w:bottom w:val="single" w:sz="4" w:space="0" w:color="auto"/>
              <w:right w:val="single" w:sz="4" w:space="0" w:color="auto"/>
            </w:tcBorders>
            <w:shd w:val="clear" w:color="auto" w:fill="auto"/>
          </w:tcPr>
          <w:p w14:paraId="7E3C38AF" w14:textId="77777777" w:rsidR="008E79D1" w:rsidRDefault="008E79D1" w:rsidP="00D14A02">
            <w:pPr>
              <w:pStyle w:val="Default"/>
            </w:pPr>
            <w:r>
              <w:rPr>
                <w:sz w:val="22"/>
                <w:szCs w:val="22"/>
              </w:rPr>
              <w:t>0,29 (0,18; 0,49)</w:t>
            </w:r>
          </w:p>
        </w:tc>
        <w:tc>
          <w:tcPr>
            <w:tcW w:w="1360" w:type="dxa"/>
            <w:tcBorders>
              <w:top w:val="nil"/>
              <w:left w:val="single" w:sz="4" w:space="0" w:color="auto"/>
              <w:bottom w:val="single" w:sz="4" w:space="0" w:color="auto"/>
              <w:right w:val="single" w:sz="4" w:space="0" w:color="auto"/>
            </w:tcBorders>
            <w:shd w:val="clear" w:color="auto" w:fill="auto"/>
          </w:tcPr>
          <w:p w14:paraId="6757949F" w14:textId="77777777" w:rsidR="008E79D1" w:rsidRDefault="008E79D1" w:rsidP="00D14A02">
            <w:pPr>
              <w:pStyle w:val="Default"/>
            </w:pPr>
            <w:r>
              <w:rPr>
                <w:sz w:val="22"/>
                <w:szCs w:val="22"/>
              </w:rPr>
              <w:t>94,8 ir 64,0</w:t>
            </w:r>
          </w:p>
        </w:tc>
        <w:tc>
          <w:tcPr>
            <w:tcW w:w="1297" w:type="dxa"/>
            <w:tcBorders>
              <w:top w:val="nil"/>
              <w:left w:val="single" w:sz="4" w:space="0" w:color="auto"/>
              <w:bottom w:val="single" w:sz="4" w:space="0" w:color="auto"/>
              <w:right w:val="single" w:sz="4" w:space="0" w:color="auto"/>
            </w:tcBorders>
            <w:shd w:val="clear" w:color="auto" w:fill="auto"/>
          </w:tcPr>
          <w:p w14:paraId="25ED8C21" w14:textId="77777777" w:rsidR="008E79D1" w:rsidRDefault="008E79D1" w:rsidP="00D14A02">
            <w:pPr>
              <w:pStyle w:val="Default"/>
            </w:pPr>
            <w:r>
              <w:rPr>
                <w:sz w:val="22"/>
                <w:szCs w:val="22"/>
              </w:rPr>
              <w:t>80,7 ir 46,6</w:t>
            </w:r>
          </w:p>
        </w:tc>
      </w:tr>
      <w:tr w:rsidR="008E79D1" w14:paraId="2A31D4B0" w14:textId="77777777" w:rsidTr="00D14A02">
        <w:tc>
          <w:tcPr>
            <w:tcW w:w="1072" w:type="dxa"/>
            <w:vMerge w:val="restart"/>
            <w:tcBorders>
              <w:right w:val="single" w:sz="4" w:space="0" w:color="auto"/>
            </w:tcBorders>
            <w:shd w:val="clear" w:color="auto" w:fill="auto"/>
          </w:tcPr>
          <w:p w14:paraId="2B65DE16" w14:textId="77777777" w:rsidR="008E79D1" w:rsidRDefault="008E79D1" w:rsidP="00D14A02">
            <w:pPr>
              <w:pStyle w:val="Default"/>
            </w:pPr>
            <w:r>
              <w:rPr>
                <w:sz w:val="22"/>
                <w:szCs w:val="22"/>
              </w:rPr>
              <w:lastRenderedPageBreak/>
              <w:t>AFIP</w:t>
            </w:r>
          </w:p>
        </w:tc>
        <w:tc>
          <w:tcPr>
            <w:tcW w:w="1297" w:type="dxa"/>
            <w:tcBorders>
              <w:top w:val="single" w:sz="4" w:space="0" w:color="auto"/>
              <w:left w:val="single" w:sz="4" w:space="0" w:color="auto"/>
              <w:bottom w:val="nil"/>
              <w:right w:val="single" w:sz="4" w:space="0" w:color="auto"/>
            </w:tcBorders>
            <w:shd w:val="clear" w:color="auto" w:fill="auto"/>
          </w:tcPr>
          <w:p w14:paraId="7E05AB62" w14:textId="77777777" w:rsidR="008E79D1" w:rsidRDefault="008E79D1" w:rsidP="00D14A02">
            <w:pPr>
              <w:pStyle w:val="Default"/>
            </w:pPr>
            <w:r>
              <w:rPr>
                <w:sz w:val="22"/>
                <w:szCs w:val="22"/>
              </w:rPr>
              <w:t>Labai maža</w:t>
            </w:r>
          </w:p>
        </w:tc>
        <w:tc>
          <w:tcPr>
            <w:tcW w:w="1035" w:type="dxa"/>
            <w:tcBorders>
              <w:top w:val="single" w:sz="4" w:space="0" w:color="auto"/>
              <w:left w:val="single" w:sz="4" w:space="0" w:color="auto"/>
              <w:bottom w:val="nil"/>
              <w:right w:val="single" w:sz="4" w:space="0" w:color="auto"/>
            </w:tcBorders>
            <w:shd w:val="clear" w:color="auto" w:fill="auto"/>
          </w:tcPr>
          <w:p w14:paraId="3A8CD40D" w14:textId="77777777" w:rsidR="008E79D1" w:rsidRDefault="008E79D1" w:rsidP="00D14A02">
            <w:pPr>
              <w:pStyle w:val="Default"/>
              <w:jc w:val="center"/>
            </w:pPr>
            <w:r>
              <w:rPr>
                <w:sz w:val="22"/>
                <w:szCs w:val="22"/>
              </w:rPr>
              <w:t>20,7</w:t>
            </w:r>
          </w:p>
        </w:tc>
        <w:tc>
          <w:tcPr>
            <w:tcW w:w="1687" w:type="dxa"/>
            <w:tcBorders>
              <w:top w:val="single" w:sz="4" w:space="0" w:color="auto"/>
              <w:left w:val="single" w:sz="4" w:space="0" w:color="auto"/>
              <w:bottom w:val="nil"/>
              <w:right w:val="single" w:sz="4" w:space="0" w:color="auto"/>
            </w:tcBorders>
            <w:shd w:val="clear" w:color="auto" w:fill="auto"/>
          </w:tcPr>
          <w:p w14:paraId="47AFBD88" w14:textId="77777777" w:rsidR="008E79D1" w:rsidRDefault="008E79D1" w:rsidP="00D14A02">
            <w:pPr>
              <w:pStyle w:val="Default"/>
            </w:pPr>
            <w:r>
              <w:rPr>
                <w:sz w:val="22"/>
                <w:szCs w:val="22"/>
              </w:rPr>
              <w:t>0/52 ir 2/63</w:t>
            </w:r>
          </w:p>
        </w:tc>
        <w:tc>
          <w:tcPr>
            <w:tcW w:w="1538" w:type="dxa"/>
            <w:tcBorders>
              <w:top w:val="single" w:sz="4" w:space="0" w:color="auto"/>
              <w:left w:val="single" w:sz="4" w:space="0" w:color="auto"/>
              <w:bottom w:val="nil"/>
              <w:right w:val="single" w:sz="4" w:space="0" w:color="auto"/>
            </w:tcBorders>
            <w:shd w:val="clear" w:color="auto" w:fill="auto"/>
          </w:tcPr>
          <w:p w14:paraId="3C06D6D5" w14:textId="77777777" w:rsidR="008E79D1" w:rsidRDefault="008E79D1" w:rsidP="00D14A02">
            <w:pPr>
              <w:pStyle w:val="Default"/>
            </w:pPr>
            <w:r>
              <w:rPr>
                <w:sz w:val="22"/>
                <w:szCs w:val="22"/>
              </w:rPr>
              <w:t>N.R.</w:t>
            </w:r>
          </w:p>
        </w:tc>
        <w:tc>
          <w:tcPr>
            <w:tcW w:w="1360" w:type="dxa"/>
            <w:tcBorders>
              <w:top w:val="single" w:sz="4" w:space="0" w:color="auto"/>
              <w:left w:val="single" w:sz="4" w:space="0" w:color="auto"/>
              <w:bottom w:val="nil"/>
              <w:right w:val="single" w:sz="4" w:space="0" w:color="auto"/>
            </w:tcBorders>
            <w:shd w:val="clear" w:color="auto" w:fill="auto"/>
          </w:tcPr>
          <w:p w14:paraId="6D6C8DB5" w14:textId="77777777" w:rsidR="008E79D1" w:rsidRDefault="008E79D1" w:rsidP="00D14A02">
            <w:pPr>
              <w:pStyle w:val="Default"/>
            </w:pPr>
            <w:r>
              <w:rPr>
                <w:sz w:val="22"/>
                <w:szCs w:val="22"/>
              </w:rPr>
              <w:t>100 ir 98,1</w:t>
            </w:r>
          </w:p>
        </w:tc>
        <w:tc>
          <w:tcPr>
            <w:tcW w:w="1297" w:type="dxa"/>
            <w:tcBorders>
              <w:top w:val="single" w:sz="4" w:space="0" w:color="auto"/>
              <w:left w:val="single" w:sz="4" w:space="0" w:color="auto"/>
              <w:bottom w:val="nil"/>
              <w:right w:val="single" w:sz="4" w:space="0" w:color="auto"/>
            </w:tcBorders>
            <w:shd w:val="clear" w:color="auto" w:fill="auto"/>
          </w:tcPr>
          <w:p w14:paraId="78853AE8" w14:textId="77777777" w:rsidR="008E79D1" w:rsidRDefault="008E79D1" w:rsidP="00D14A02">
            <w:pPr>
              <w:pStyle w:val="Default"/>
            </w:pPr>
            <w:r>
              <w:rPr>
                <w:sz w:val="22"/>
                <w:szCs w:val="22"/>
              </w:rPr>
              <w:t>100 ir 93,0</w:t>
            </w:r>
          </w:p>
        </w:tc>
      </w:tr>
      <w:tr w:rsidR="008E79D1" w14:paraId="1BD16A30" w14:textId="77777777" w:rsidTr="00D14A02">
        <w:tc>
          <w:tcPr>
            <w:tcW w:w="1072" w:type="dxa"/>
            <w:vMerge/>
            <w:tcBorders>
              <w:right w:val="single" w:sz="4" w:space="0" w:color="auto"/>
            </w:tcBorders>
            <w:shd w:val="clear" w:color="auto" w:fill="auto"/>
          </w:tcPr>
          <w:p w14:paraId="54B927E6" w14:textId="77777777" w:rsidR="008E79D1" w:rsidRDefault="008E79D1" w:rsidP="00D14A02">
            <w:pPr>
              <w:spacing w:after="0" w:line="240" w:lineRule="auto"/>
              <w:rPr>
                <w:rFonts w:ascii="Times New Roman" w:eastAsia="Times New Roman" w:hAnsi="Times New Roman" w:cs="Times New Roman"/>
                <w:szCs w:val="24"/>
              </w:rPr>
            </w:pPr>
          </w:p>
        </w:tc>
        <w:tc>
          <w:tcPr>
            <w:tcW w:w="1297" w:type="dxa"/>
            <w:tcBorders>
              <w:top w:val="nil"/>
              <w:left w:val="single" w:sz="4" w:space="0" w:color="auto"/>
              <w:bottom w:val="nil"/>
              <w:right w:val="single" w:sz="4" w:space="0" w:color="auto"/>
            </w:tcBorders>
            <w:shd w:val="clear" w:color="auto" w:fill="auto"/>
          </w:tcPr>
          <w:p w14:paraId="5E3C72BA" w14:textId="77777777" w:rsidR="008E79D1" w:rsidRDefault="008E79D1" w:rsidP="00D14A02">
            <w:pPr>
              <w:pStyle w:val="Default"/>
            </w:pPr>
            <w:r>
              <w:rPr>
                <w:sz w:val="22"/>
                <w:szCs w:val="22"/>
              </w:rPr>
              <w:t>Maža</w:t>
            </w:r>
          </w:p>
        </w:tc>
        <w:tc>
          <w:tcPr>
            <w:tcW w:w="1035" w:type="dxa"/>
            <w:tcBorders>
              <w:top w:val="nil"/>
              <w:left w:val="single" w:sz="4" w:space="0" w:color="auto"/>
              <w:bottom w:val="nil"/>
              <w:right w:val="single" w:sz="4" w:space="0" w:color="auto"/>
            </w:tcBorders>
            <w:shd w:val="clear" w:color="auto" w:fill="auto"/>
          </w:tcPr>
          <w:p w14:paraId="500A310C" w14:textId="77777777" w:rsidR="008E79D1" w:rsidRDefault="008E79D1" w:rsidP="00D14A02">
            <w:pPr>
              <w:pStyle w:val="Default"/>
              <w:jc w:val="center"/>
            </w:pPr>
            <w:r>
              <w:rPr>
                <w:sz w:val="22"/>
                <w:szCs w:val="22"/>
              </w:rPr>
              <w:t>25,0</w:t>
            </w:r>
          </w:p>
        </w:tc>
        <w:tc>
          <w:tcPr>
            <w:tcW w:w="1687" w:type="dxa"/>
            <w:tcBorders>
              <w:top w:val="nil"/>
              <w:left w:val="single" w:sz="4" w:space="0" w:color="auto"/>
              <w:bottom w:val="nil"/>
              <w:right w:val="single" w:sz="4" w:space="0" w:color="auto"/>
            </w:tcBorders>
            <w:shd w:val="clear" w:color="auto" w:fill="auto"/>
          </w:tcPr>
          <w:p w14:paraId="32086D48" w14:textId="77777777" w:rsidR="008E79D1" w:rsidRDefault="008E79D1" w:rsidP="00D14A02">
            <w:pPr>
              <w:pStyle w:val="Default"/>
            </w:pPr>
            <w:r>
              <w:rPr>
                <w:sz w:val="22"/>
                <w:szCs w:val="22"/>
              </w:rPr>
              <w:t>2/70 ir 0/69</w:t>
            </w:r>
          </w:p>
        </w:tc>
        <w:tc>
          <w:tcPr>
            <w:tcW w:w="1538" w:type="dxa"/>
            <w:tcBorders>
              <w:top w:val="nil"/>
              <w:left w:val="single" w:sz="4" w:space="0" w:color="auto"/>
              <w:bottom w:val="nil"/>
              <w:right w:val="single" w:sz="4" w:space="0" w:color="auto"/>
            </w:tcBorders>
            <w:shd w:val="clear" w:color="auto" w:fill="auto"/>
          </w:tcPr>
          <w:p w14:paraId="0855276B" w14:textId="77777777" w:rsidR="008E79D1" w:rsidRDefault="008E79D1" w:rsidP="00D14A02">
            <w:pPr>
              <w:pStyle w:val="Default"/>
            </w:pPr>
            <w:r>
              <w:rPr>
                <w:sz w:val="22"/>
                <w:szCs w:val="22"/>
              </w:rPr>
              <w:t>N.R.</w:t>
            </w:r>
          </w:p>
        </w:tc>
        <w:tc>
          <w:tcPr>
            <w:tcW w:w="1360" w:type="dxa"/>
            <w:tcBorders>
              <w:top w:val="nil"/>
              <w:left w:val="single" w:sz="4" w:space="0" w:color="auto"/>
              <w:bottom w:val="nil"/>
              <w:right w:val="single" w:sz="4" w:space="0" w:color="auto"/>
            </w:tcBorders>
            <w:shd w:val="clear" w:color="auto" w:fill="auto"/>
          </w:tcPr>
          <w:p w14:paraId="45D5F98E" w14:textId="77777777" w:rsidR="008E79D1" w:rsidRDefault="008E79D1" w:rsidP="00D14A02">
            <w:pPr>
              <w:pStyle w:val="Default"/>
            </w:pPr>
            <w:r>
              <w:rPr>
                <w:sz w:val="22"/>
                <w:szCs w:val="22"/>
              </w:rPr>
              <w:t>100 ir 100</w:t>
            </w:r>
          </w:p>
        </w:tc>
        <w:tc>
          <w:tcPr>
            <w:tcW w:w="1297" w:type="dxa"/>
            <w:tcBorders>
              <w:top w:val="nil"/>
              <w:left w:val="single" w:sz="4" w:space="0" w:color="auto"/>
              <w:bottom w:val="nil"/>
              <w:right w:val="single" w:sz="4" w:space="0" w:color="auto"/>
            </w:tcBorders>
            <w:shd w:val="clear" w:color="auto" w:fill="auto"/>
          </w:tcPr>
          <w:p w14:paraId="3CD39394" w14:textId="77777777" w:rsidR="008E79D1" w:rsidRDefault="008E79D1" w:rsidP="00D14A02">
            <w:pPr>
              <w:pStyle w:val="Default"/>
            </w:pPr>
            <w:r>
              <w:rPr>
                <w:sz w:val="22"/>
                <w:szCs w:val="22"/>
              </w:rPr>
              <w:t>97,8 ir 100</w:t>
            </w:r>
          </w:p>
        </w:tc>
      </w:tr>
      <w:tr w:rsidR="008E79D1" w14:paraId="442EFD34" w14:textId="77777777" w:rsidTr="00D14A02">
        <w:tc>
          <w:tcPr>
            <w:tcW w:w="1072" w:type="dxa"/>
            <w:vMerge/>
            <w:tcBorders>
              <w:right w:val="single" w:sz="4" w:space="0" w:color="auto"/>
            </w:tcBorders>
            <w:shd w:val="clear" w:color="auto" w:fill="auto"/>
          </w:tcPr>
          <w:p w14:paraId="4BE3699C" w14:textId="77777777" w:rsidR="008E79D1" w:rsidRDefault="008E79D1" w:rsidP="00D14A02">
            <w:pPr>
              <w:spacing w:after="0" w:line="240" w:lineRule="auto"/>
              <w:rPr>
                <w:rFonts w:ascii="Times New Roman" w:eastAsia="Times New Roman" w:hAnsi="Times New Roman" w:cs="Times New Roman"/>
                <w:szCs w:val="24"/>
              </w:rPr>
            </w:pPr>
          </w:p>
        </w:tc>
        <w:tc>
          <w:tcPr>
            <w:tcW w:w="1297" w:type="dxa"/>
            <w:tcBorders>
              <w:top w:val="nil"/>
              <w:left w:val="single" w:sz="4" w:space="0" w:color="auto"/>
              <w:bottom w:val="nil"/>
              <w:right w:val="single" w:sz="4" w:space="0" w:color="auto"/>
            </w:tcBorders>
            <w:shd w:val="clear" w:color="auto" w:fill="auto"/>
          </w:tcPr>
          <w:p w14:paraId="6E576C05" w14:textId="77777777" w:rsidR="008E79D1" w:rsidRDefault="008E79D1" w:rsidP="00D14A02">
            <w:pPr>
              <w:pStyle w:val="Default"/>
            </w:pPr>
            <w:r>
              <w:rPr>
                <w:sz w:val="22"/>
                <w:szCs w:val="22"/>
              </w:rPr>
              <w:t>Vidutinė</w:t>
            </w:r>
          </w:p>
        </w:tc>
        <w:tc>
          <w:tcPr>
            <w:tcW w:w="1035" w:type="dxa"/>
            <w:tcBorders>
              <w:top w:val="nil"/>
              <w:left w:val="single" w:sz="4" w:space="0" w:color="auto"/>
              <w:bottom w:val="nil"/>
              <w:right w:val="single" w:sz="4" w:space="0" w:color="auto"/>
            </w:tcBorders>
            <w:shd w:val="clear" w:color="auto" w:fill="auto"/>
          </w:tcPr>
          <w:p w14:paraId="2AD800AA" w14:textId="77777777" w:rsidR="008E79D1" w:rsidRDefault="008E79D1" w:rsidP="00D14A02">
            <w:pPr>
              <w:pStyle w:val="Default"/>
              <w:jc w:val="center"/>
            </w:pPr>
            <w:r>
              <w:rPr>
                <w:sz w:val="22"/>
                <w:szCs w:val="22"/>
              </w:rPr>
              <w:t>24,6</w:t>
            </w:r>
          </w:p>
        </w:tc>
        <w:tc>
          <w:tcPr>
            <w:tcW w:w="1687" w:type="dxa"/>
            <w:tcBorders>
              <w:top w:val="nil"/>
              <w:left w:val="single" w:sz="4" w:space="0" w:color="auto"/>
              <w:bottom w:val="nil"/>
              <w:right w:val="single" w:sz="4" w:space="0" w:color="auto"/>
            </w:tcBorders>
            <w:shd w:val="clear" w:color="auto" w:fill="auto"/>
          </w:tcPr>
          <w:p w14:paraId="3B9E558C" w14:textId="77777777" w:rsidR="008E79D1" w:rsidRDefault="008E79D1" w:rsidP="00D14A02">
            <w:pPr>
              <w:pStyle w:val="Default"/>
            </w:pPr>
            <w:r>
              <w:rPr>
                <w:sz w:val="22"/>
                <w:szCs w:val="22"/>
              </w:rPr>
              <w:t>2/70 ir 11/67</w:t>
            </w:r>
          </w:p>
        </w:tc>
        <w:tc>
          <w:tcPr>
            <w:tcW w:w="1538" w:type="dxa"/>
            <w:tcBorders>
              <w:top w:val="nil"/>
              <w:left w:val="single" w:sz="4" w:space="0" w:color="auto"/>
              <w:bottom w:val="nil"/>
              <w:right w:val="single" w:sz="4" w:space="0" w:color="auto"/>
            </w:tcBorders>
            <w:shd w:val="clear" w:color="auto" w:fill="auto"/>
          </w:tcPr>
          <w:p w14:paraId="4444A2E4" w14:textId="77777777" w:rsidR="008E79D1" w:rsidRDefault="008E79D1" w:rsidP="00D14A02">
            <w:pPr>
              <w:pStyle w:val="Default"/>
            </w:pPr>
            <w:r>
              <w:rPr>
                <w:sz w:val="22"/>
                <w:szCs w:val="22"/>
              </w:rPr>
              <w:t>0,16 (0,03; 0,70)</w:t>
            </w:r>
          </w:p>
        </w:tc>
        <w:tc>
          <w:tcPr>
            <w:tcW w:w="1360" w:type="dxa"/>
            <w:tcBorders>
              <w:top w:val="nil"/>
              <w:left w:val="single" w:sz="4" w:space="0" w:color="auto"/>
              <w:bottom w:val="nil"/>
              <w:right w:val="single" w:sz="4" w:space="0" w:color="auto"/>
            </w:tcBorders>
            <w:shd w:val="clear" w:color="auto" w:fill="auto"/>
          </w:tcPr>
          <w:p w14:paraId="1829E62A" w14:textId="77777777" w:rsidR="008E79D1" w:rsidRDefault="008E79D1" w:rsidP="00D14A02">
            <w:pPr>
              <w:pStyle w:val="Default"/>
            </w:pPr>
            <w:r>
              <w:rPr>
                <w:sz w:val="22"/>
                <w:szCs w:val="22"/>
              </w:rPr>
              <w:t>97,9 ir 90,8</w:t>
            </w:r>
          </w:p>
        </w:tc>
        <w:tc>
          <w:tcPr>
            <w:tcW w:w="1297" w:type="dxa"/>
            <w:tcBorders>
              <w:top w:val="nil"/>
              <w:left w:val="single" w:sz="4" w:space="0" w:color="auto"/>
              <w:bottom w:val="nil"/>
              <w:right w:val="single" w:sz="4" w:space="0" w:color="auto"/>
            </w:tcBorders>
            <w:shd w:val="clear" w:color="auto" w:fill="auto"/>
          </w:tcPr>
          <w:p w14:paraId="1A6F8ADD" w14:textId="77777777" w:rsidR="008E79D1" w:rsidRDefault="008E79D1" w:rsidP="00D14A02">
            <w:pPr>
              <w:pStyle w:val="Default"/>
            </w:pPr>
            <w:r>
              <w:rPr>
                <w:sz w:val="22"/>
                <w:szCs w:val="22"/>
              </w:rPr>
              <w:t>97,9 ir 73,3</w:t>
            </w:r>
          </w:p>
        </w:tc>
      </w:tr>
      <w:tr w:rsidR="008E79D1" w14:paraId="54046353" w14:textId="77777777" w:rsidTr="00D14A02">
        <w:tc>
          <w:tcPr>
            <w:tcW w:w="1072" w:type="dxa"/>
            <w:vMerge/>
            <w:tcBorders>
              <w:right w:val="single" w:sz="4" w:space="0" w:color="auto"/>
            </w:tcBorders>
            <w:shd w:val="clear" w:color="auto" w:fill="auto"/>
          </w:tcPr>
          <w:p w14:paraId="59B48137" w14:textId="77777777" w:rsidR="008E79D1" w:rsidRDefault="008E79D1" w:rsidP="00D14A02">
            <w:pPr>
              <w:spacing w:after="0" w:line="240" w:lineRule="auto"/>
              <w:rPr>
                <w:rFonts w:ascii="Times New Roman" w:eastAsia="Times New Roman" w:hAnsi="Times New Roman" w:cs="Times New Roman"/>
                <w:szCs w:val="24"/>
              </w:rPr>
            </w:pPr>
          </w:p>
        </w:tc>
        <w:tc>
          <w:tcPr>
            <w:tcW w:w="1297" w:type="dxa"/>
            <w:tcBorders>
              <w:top w:val="nil"/>
              <w:left w:val="single" w:sz="4" w:space="0" w:color="auto"/>
              <w:bottom w:val="single" w:sz="4" w:space="0" w:color="auto"/>
              <w:right w:val="single" w:sz="4" w:space="0" w:color="auto"/>
            </w:tcBorders>
            <w:shd w:val="clear" w:color="auto" w:fill="auto"/>
          </w:tcPr>
          <w:p w14:paraId="7CCE0633" w14:textId="77777777" w:rsidR="008E79D1" w:rsidRDefault="008E79D1" w:rsidP="00D14A02">
            <w:pPr>
              <w:pStyle w:val="Default"/>
            </w:pPr>
            <w:r>
              <w:rPr>
                <w:sz w:val="22"/>
                <w:szCs w:val="22"/>
              </w:rPr>
              <w:t>Didelė</w:t>
            </w:r>
          </w:p>
        </w:tc>
        <w:tc>
          <w:tcPr>
            <w:tcW w:w="1035" w:type="dxa"/>
            <w:tcBorders>
              <w:top w:val="nil"/>
              <w:left w:val="single" w:sz="4" w:space="0" w:color="auto"/>
              <w:bottom w:val="single" w:sz="4" w:space="0" w:color="auto"/>
              <w:right w:val="single" w:sz="4" w:space="0" w:color="auto"/>
            </w:tcBorders>
            <w:shd w:val="clear" w:color="auto" w:fill="auto"/>
          </w:tcPr>
          <w:p w14:paraId="06D0CFF6" w14:textId="77777777" w:rsidR="008E79D1" w:rsidRDefault="008E79D1" w:rsidP="00D14A02">
            <w:pPr>
              <w:pStyle w:val="Default"/>
              <w:jc w:val="center"/>
            </w:pPr>
            <w:r>
              <w:rPr>
                <w:sz w:val="22"/>
                <w:szCs w:val="22"/>
              </w:rPr>
              <w:t>29,7</w:t>
            </w:r>
          </w:p>
        </w:tc>
        <w:tc>
          <w:tcPr>
            <w:tcW w:w="1687" w:type="dxa"/>
            <w:tcBorders>
              <w:top w:val="nil"/>
              <w:left w:val="single" w:sz="4" w:space="0" w:color="auto"/>
              <w:bottom w:val="single" w:sz="4" w:space="0" w:color="auto"/>
              <w:right w:val="single" w:sz="4" w:space="0" w:color="auto"/>
            </w:tcBorders>
            <w:shd w:val="clear" w:color="auto" w:fill="auto"/>
          </w:tcPr>
          <w:p w14:paraId="13C6C68B" w14:textId="77777777" w:rsidR="008E79D1" w:rsidRDefault="008E79D1" w:rsidP="00D14A02">
            <w:pPr>
              <w:pStyle w:val="Default"/>
            </w:pPr>
            <w:r>
              <w:rPr>
                <w:sz w:val="22"/>
                <w:szCs w:val="22"/>
              </w:rPr>
              <w:t>16/84 ir 39/81</w:t>
            </w:r>
          </w:p>
        </w:tc>
        <w:tc>
          <w:tcPr>
            <w:tcW w:w="1538" w:type="dxa"/>
            <w:tcBorders>
              <w:top w:val="nil"/>
              <w:left w:val="single" w:sz="4" w:space="0" w:color="auto"/>
              <w:bottom w:val="single" w:sz="4" w:space="0" w:color="auto"/>
              <w:right w:val="single" w:sz="4" w:space="0" w:color="auto"/>
            </w:tcBorders>
            <w:shd w:val="clear" w:color="auto" w:fill="auto"/>
          </w:tcPr>
          <w:p w14:paraId="4BBB827C" w14:textId="77777777" w:rsidR="008E79D1" w:rsidRDefault="008E79D1" w:rsidP="00D14A02">
            <w:pPr>
              <w:pStyle w:val="Default"/>
            </w:pPr>
            <w:r>
              <w:rPr>
                <w:sz w:val="22"/>
                <w:szCs w:val="22"/>
              </w:rPr>
              <w:t>0,27 (0,15; 0,48)</w:t>
            </w:r>
          </w:p>
        </w:tc>
        <w:tc>
          <w:tcPr>
            <w:tcW w:w="1360" w:type="dxa"/>
            <w:tcBorders>
              <w:top w:val="nil"/>
              <w:left w:val="single" w:sz="4" w:space="0" w:color="auto"/>
              <w:bottom w:val="single" w:sz="4" w:space="0" w:color="auto"/>
              <w:right w:val="single" w:sz="4" w:space="0" w:color="auto"/>
            </w:tcBorders>
            <w:shd w:val="clear" w:color="auto" w:fill="auto"/>
          </w:tcPr>
          <w:p w14:paraId="7389AD87" w14:textId="77777777" w:rsidR="008E79D1" w:rsidRDefault="008E79D1" w:rsidP="00D14A02">
            <w:pPr>
              <w:pStyle w:val="Default"/>
            </w:pPr>
            <w:r>
              <w:rPr>
                <w:sz w:val="22"/>
                <w:szCs w:val="22"/>
              </w:rPr>
              <w:t>98,7 ir 56,1</w:t>
            </w:r>
          </w:p>
        </w:tc>
        <w:tc>
          <w:tcPr>
            <w:tcW w:w="1297" w:type="dxa"/>
            <w:tcBorders>
              <w:top w:val="nil"/>
              <w:left w:val="single" w:sz="4" w:space="0" w:color="auto"/>
              <w:bottom w:val="single" w:sz="4" w:space="0" w:color="auto"/>
              <w:right w:val="single" w:sz="4" w:space="0" w:color="auto"/>
            </w:tcBorders>
            <w:shd w:val="clear" w:color="auto" w:fill="auto"/>
          </w:tcPr>
          <w:p w14:paraId="03D3161F" w14:textId="77777777" w:rsidR="008E79D1" w:rsidRDefault="008E79D1" w:rsidP="00D14A02">
            <w:pPr>
              <w:pStyle w:val="Default"/>
            </w:pPr>
            <w:r>
              <w:rPr>
                <w:sz w:val="22"/>
                <w:szCs w:val="22"/>
              </w:rPr>
              <w:t>79,9 ir 41,5</w:t>
            </w:r>
          </w:p>
        </w:tc>
      </w:tr>
    </w:tbl>
    <w:p w14:paraId="47634C9B" w14:textId="77777777" w:rsidR="008E79D1" w:rsidRPr="00847F10" w:rsidRDefault="008E79D1" w:rsidP="008E79D1">
      <w:pPr>
        <w:spacing w:after="0" w:line="240" w:lineRule="auto"/>
        <w:rPr>
          <w:rFonts w:ascii="Times New Roman" w:eastAsia="Times New Roman" w:hAnsi="Times New Roman" w:cs="Times New Roman"/>
          <w:szCs w:val="24"/>
        </w:rPr>
      </w:pPr>
      <w:r w:rsidRPr="00847F10">
        <w:rPr>
          <w:rFonts w:ascii="Times New Roman" w:hAnsi="Times New Roman" w:cs="Times New Roman"/>
        </w:rPr>
        <w:t>*Visas stebėjimo laikotarpis; NR – Nenustatytas</w:t>
      </w:r>
    </w:p>
    <w:p w14:paraId="477EADE6" w14:textId="77777777" w:rsidR="008E79D1" w:rsidRDefault="008E79D1" w:rsidP="008E79D1">
      <w:pPr>
        <w:spacing w:after="0" w:line="240" w:lineRule="auto"/>
        <w:rPr>
          <w:rFonts w:ascii="Times New Roman" w:eastAsia="Times New Roman" w:hAnsi="Times New Roman" w:cs="Times New Roman"/>
          <w:szCs w:val="24"/>
        </w:rPr>
      </w:pPr>
    </w:p>
    <w:p w14:paraId="61E2375B"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847F10">
        <w:rPr>
          <w:rFonts w:ascii="Times New Roman" w:hAnsi="Times New Roman" w:cs="Times New Roman"/>
          <w:color w:val="000000"/>
          <w:lang w:eastAsia="lt-LT"/>
        </w:rPr>
        <w:t>Atlikto antrojo daugiacentrio atvirojo III</w:t>
      </w:r>
      <w:r>
        <w:rPr>
          <w:rFonts w:ascii="Times New Roman" w:hAnsi="Times New Roman" w:cs="Times New Roman"/>
          <w:color w:val="000000"/>
          <w:lang w:eastAsia="lt-LT"/>
        </w:rPr>
        <w:t> </w:t>
      </w:r>
      <w:r w:rsidRPr="00847F10">
        <w:rPr>
          <w:rFonts w:ascii="Times New Roman" w:hAnsi="Times New Roman" w:cs="Times New Roman"/>
          <w:color w:val="000000"/>
          <w:lang w:eastAsia="lt-LT"/>
        </w:rPr>
        <w:t>fazės tyrimo (SSG XVIII/AIO) metu buvo lyginamas VTSN sergančių pacientų po chirurginės naviko rezekcijos 12</w:t>
      </w:r>
      <w:r>
        <w:rPr>
          <w:rFonts w:ascii="Times New Roman" w:hAnsi="Times New Roman" w:cs="Times New Roman"/>
          <w:color w:val="000000"/>
          <w:lang w:eastAsia="lt-LT"/>
        </w:rPr>
        <w:t> </w:t>
      </w:r>
      <w:r w:rsidRPr="00847F10">
        <w:rPr>
          <w:rFonts w:ascii="Times New Roman" w:hAnsi="Times New Roman" w:cs="Times New Roman"/>
          <w:color w:val="000000"/>
          <w:lang w:eastAsia="lt-LT"/>
        </w:rPr>
        <w:t>mėnesių trukmės gydymas su 36</w:t>
      </w:r>
      <w:r>
        <w:rPr>
          <w:rFonts w:ascii="Times New Roman" w:hAnsi="Times New Roman" w:cs="Times New Roman"/>
          <w:color w:val="000000"/>
          <w:lang w:eastAsia="lt-LT"/>
        </w:rPr>
        <w:t> </w:t>
      </w:r>
      <w:r w:rsidRPr="00847F10">
        <w:rPr>
          <w:rFonts w:ascii="Times New Roman" w:hAnsi="Times New Roman" w:cs="Times New Roman"/>
          <w:color w:val="000000"/>
          <w:lang w:eastAsia="lt-LT"/>
        </w:rPr>
        <w:t>mėnesių trukmės gydymu 400</w:t>
      </w:r>
      <w:r>
        <w:rPr>
          <w:rFonts w:ascii="Times New Roman" w:hAnsi="Times New Roman" w:cs="Times New Roman"/>
          <w:color w:val="000000"/>
          <w:lang w:eastAsia="lt-LT"/>
        </w:rPr>
        <w:t> </w:t>
      </w:r>
      <w:r w:rsidRPr="00847F10">
        <w:rPr>
          <w:rFonts w:ascii="Times New Roman" w:hAnsi="Times New Roman" w:cs="Times New Roman"/>
          <w:color w:val="000000"/>
          <w:lang w:eastAsia="lt-LT"/>
        </w:rPr>
        <w:t xml:space="preserve">mg </w:t>
      </w:r>
      <w:r>
        <w:rPr>
          <w:rFonts w:ascii="Times New Roman" w:hAnsi="Times New Roman" w:cs="Times New Roman"/>
          <w:color w:val="000000"/>
          <w:lang w:eastAsia="lt-LT"/>
        </w:rPr>
        <w:t>imatinibo</w:t>
      </w:r>
      <w:r w:rsidRPr="00847F10">
        <w:rPr>
          <w:rFonts w:ascii="Times New Roman" w:hAnsi="Times New Roman" w:cs="Times New Roman"/>
          <w:color w:val="000000"/>
          <w:lang w:eastAsia="lt-LT"/>
        </w:rPr>
        <w:t xml:space="preserve"> paros doze, kai buvo viena iš toliau nurodytų sąlygų: naviko skersmuo &gt;</w:t>
      </w:r>
      <w:r>
        <w:rPr>
          <w:rFonts w:ascii="Times New Roman" w:hAnsi="Times New Roman" w:cs="Times New Roman"/>
          <w:color w:val="000000"/>
          <w:lang w:eastAsia="lt-LT"/>
        </w:rPr>
        <w:t> </w:t>
      </w:r>
      <w:r w:rsidRPr="00847F10">
        <w:rPr>
          <w:rFonts w:ascii="Times New Roman" w:hAnsi="Times New Roman" w:cs="Times New Roman"/>
          <w:color w:val="000000"/>
          <w:lang w:eastAsia="lt-LT"/>
        </w:rPr>
        <w:t>5</w:t>
      </w:r>
      <w:r>
        <w:rPr>
          <w:rFonts w:ascii="Times New Roman" w:hAnsi="Times New Roman" w:cs="Times New Roman"/>
          <w:color w:val="000000"/>
          <w:lang w:eastAsia="lt-LT"/>
        </w:rPr>
        <w:t> </w:t>
      </w:r>
      <w:r w:rsidRPr="00847F10">
        <w:rPr>
          <w:rFonts w:ascii="Times New Roman" w:hAnsi="Times New Roman" w:cs="Times New Roman"/>
          <w:color w:val="000000"/>
          <w:lang w:eastAsia="lt-LT"/>
        </w:rPr>
        <w:t>cm ir mitozių skaičius &gt;</w:t>
      </w:r>
      <w:r>
        <w:rPr>
          <w:rFonts w:ascii="Times New Roman" w:hAnsi="Times New Roman" w:cs="Times New Roman"/>
          <w:color w:val="000000"/>
          <w:lang w:eastAsia="lt-LT"/>
        </w:rPr>
        <w:t> </w:t>
      </w:r>
      <w:r w:rsidRPr="00847F10">
        <w:rPr>
          <w:rFonts w:ascii="Times New Roman" w:hAnsi="Times New Roman" w:cs="Times New Roman"/>
          <w:color w:val="000000"/>
          <w:lang w:eastAsia="lt-LT"/>
        </w:rPr>
        <w:t>5/50 didelės didinamosios galios laukų (DDGL); arba naviko skersmuo &gt;</w:t>
      </w:r>
      <w:r>
        <w:rPr>
          <w:rFonts w:ascii="Times New Roman" w:hAnsi="Times New Roman" w:cs="Times New Roman"/>
          <w:color w:val="000000"/>
          <w:lang w:eastAsia="lt-LT"/>
        </w:rPr>
        <w:t> </w:t>
      </w:r>
      <w:r w:rsidRPr="00847F10">
        <w:rPr>
          <w:rFonts w:ascii="Times New Roman" w:hAnsi="Times New Roman" w:cs="Times New Roman"/>
          <w:color w:val="000000"/>
          <w:lang w:eastAsia="lt-LT"/>
        </w:rPr>
        <w:t>10</w:t>
      </w:r>
      <w:r>
        <w:rPr>
          <w:rFonts w:ascii="Times New Roman" w:hAnsi="Times New Roman" w:cs="Times New Roman"/>
          <w:color w:val="000000"/>
          <w:lang w:eastAsia="lt-LT"/>
        </w:rPr>
        <w:t> </w:t>
      </w:r>
      <w:r w:rsidRPr="00847F10">
        <w:rPr>
          <w:rFonts w:ascii="Times New Roman" w:hAnsi="Times New Roman" w:cs="Times New Roman"/>
          <w:color w:val="000000"/>
          <w:lang w:eastAsia="lt-LT"/>
        </w:rPr>
        <w:t>cm ir bet koks mitozių skaičius; arba bet kokio skersmens navikas ir mitozių skaičius &gt;</w:t>
      </w:r>
      <w:r>
        <w:rPr>
          <w:rFonts w:ascii="Times New Roman" w:hAnsi="Times New Roman" w:cs="Times New Roman"/>
          <w:color w:val="000000"/>
          <w:lang w:eastAsia="lt-LT"/>
        </w:rPr>
        <w:t> </w:t>
      </w:r>
      <w:r w:rsidRPr="00847F10">
        <w:rPr>
          <w:rFonts w:ascii="Times New Roman" w:hAnsi="Times New Roman" w:cs="Times New Roman"/>
          <w:color w:val="000000"/>
          <w:lang w:eastAsia="lt-LT"/>
        </w:rPr>
        <w:t>10/50 DDGL; arba navikas plyšęs į pilvaplėvės ertmę. Tyrime sutiko dalyvauti ir buvo atrinkti iš viso 397</w:t>
      </w:r>
      <w:r>
        <w:rPr>
          <w:rFonts w:ascii="Times New Roman" w:hAnsi="Times New Roman" w:cs="Times New Roman"/>
          <w:color w:val="000000"/>
          <w:lang w:eastAsia="lt-LT"/>
        </w:rPr>
        <w:t> </w:t>
      </w:r>
      <w:r w:rsidRPr="00847F10">
        <w:rPr>
          <w:rFonts w:ascii="Times New Roman" w:hAnsi="Times New Roman" w:cs="Times New Roman"/>
          <w:color w:val="000000"/>
          <w:lang w:eastAsia="lt-LT"/>
        </w:rPr>
        <w:t>pacientai (199</w:t>
      </w:r>
      <w:r>
        <w:rPr>
          <w:rFonts w:ascii="Times New Roman" w:hAnsi="Times New Roman" w:cs="Times New Roman"/>
          <w:color w:val="000000"/>
          <w:lang w:eastAsia="lt-LT"/>
        </w:rPr>
        <w:t> </w:t>
      </w:r>
      <w:r w:rsidRPr="00847F10">
        <w:rPr>
          <w:rFonts w:ascii="Times New Roman" w:hAnsi="Times New Roman" w:cs="Times New Roman"/>
          <w:color w:val="000000"/>
          <w:lang w:eastAsia="lt-LT"/>
        </w:rPr>
        <w:t>pacientams skirtas 12</w:t>
      </w:r>
      <w:r>
        <w:rPr>
          <w:rFonts w:ascii="Times New Roman" w:hAnsi="Times New Roman" w:cs="Times New Roman"/>
          <w:color w:val="000000"/>
          <w:lang w:eastAsia="lt-LT"/>
        </w:rPr>
        <w:t> </w:t>
      </w:r>
      <w:r w:rsidRPr="00847F10">
        <w:rPr>
          <w:rFonts w:ascii="Times New Roman" w:hAnsi="Times New Roman" w:cs="Times New Roman"/>
          <w:color w:val="000000"/>
          <w:lang w:eastAsia="lt-LT"/>
        </w:rPr>
        <w:t>mėnesių trukmės gydymas, o 198</w:t>
      </w:r>
      <w:r>
        <w:rPr>
          <w:rFonts w:ascii="Times New Roman" w:hAnsi="Times New Roman" w:cs="Times New Roman"/>
          <w:color w:val="000000"/>
          <w:lang w:eastAsia="lt-LT"/>
        </w:rPr>
        <w:t> </w:t>
      </w:r>
      <w:r w:rsidRPr="00847F10">
        <w:rPr>
          <w:rFonts w:ascii="Times New Roman" w:hAnsi="Times New Roman" w:cs="Times New Roman"/>
          <w:color w:val="000000"/>
          <w:lang w:eastAsia="lt-LT"/>
        </w:rPr>
        <w:t>pacientams skirtas 36</w:t>
      </w:r>
      <w:r>
        <w:rPr>
          <w:rFonts w:ascii="Times New Roman" w:hAnsi="Times New Roman" w:cs="Times New Roman"/>
          <w:color w:val="000000"/>
          <w:lang w:eastAsia="lt-LT"/>
        </w:rPr>
        <w:t> </w:t>
      </w:r>
      <w:r w:rsidRPr="00847F10">
        <w:rPr>
          <w:rFonts w:ascii="Times New Roman" w:hAnsi="Times New Roman" w:cs="Times New Roman"/>
          <w:color w:val="000000"/>
          <w:lang w:eastAsia="lt-LT"/>
        </w:rPr>
        <w:t>mėnesių trukmės gydymas), jų amžiaus mediana buvo 61</w:t>
      </w:r>
      <w:r>
        <w:rPr>
          <w:rFonts w:ascii="Times New Roman" w:hAnsi="Times New Roman" w:cs="Times New Roman"/>
          <w:color w:val="000000"/>
          <w:lang w:eastAsia="lt-LT"/>
        </w:rPr>
        <w:t> </w:t>
      </w:r>
      <w:r w:rsidRPr="00847F10">
        <w:rPr>
          <w:rFonts w:ascii="Times New Roman" w:hAnsi="Times New Roman" w:cs="Times New Roman"/>
          <w:color w:val="000000"/>
          <w:lang w:eastAsia="lt-LT"/>
        </w:rPr>
        <w:t>metai (svyravo nuo 22 iki 84</w:t>
      </w:r>
      <w:r>
        <w:rPr>
          <w:rFonts w:ascii="Times New Roman" w:hAnsi="Times New Roman" w:cs="Times New Roman"/>
          <w:color w:val="000000"/>
          <w:lang w:eastAsia="lt-LT"/>
        </w:rPr>
        <w:t> </w:t>
      </w:r>
      <w:r w:rsidRPr="00847F10">
        <w:rPr>
          <w:rFonts w:ascii="Times New Roman" w:hAnsi="Times New Roman" w:cs="Times New Roman"/>
          <w:color w:val="000000"/>
          <w:lang w:eastAsia="lt-LT"/>
        </w:rPr>
        <w:t>metų). Vidutinė stebėjimo laikotarpio mediana buvo 54</w:t>
      </w:r>
      <w:r>
        <w:rPr>
          <w:rFonts w:ascii="Times New Roman" w:hAnsi="Times New Roman" w:cs="Times New Roman"/>
          <w:color w:val="000000"/>
          <w:lang w:eastAsia="lt-LT"/>
        </w:rPr>
        <w:t> </w:t>
      </w:r>
      <w:r w:rsidRPr="00847F10">
        <w:rPr>
          <w:rFonts w:ascii="Times New Roman" w:hAnsi="Times New Roman" w:cs="Times New Roman"/>
          <w:color w:val="000000"/>
          <w:lang w:eastAsia="lt-LT"/>
        </w:rPr>
        <w:t>mėnesiai (nuo randomizacijos dienos iki tyrimo pabaigos), nuo pirmojo paciento atrankos iki tyrimo pabaigos dienos praėjo iš viso 83</w:t>
      </w:r>
      <w:r>
        <w:rPr>
          <w:rFonts w:ascii="Times New Roman" w:hAnsi="Times New Roman" w:cs="Times New Roman"/>
          <w:color w:val="000000"/>
          <w:lang w:eastAsia="lt-LT"/>
        </w:rPr>
        <w:t> </w:t>
      </w:r>
      <w:r w:rsidRPr="00847F10">
        <w:rPr>
          <w:rFonts w:ascii="Times New Roman" w:hAnsi="Times New Roman" w:cs="Times New Roman"/>
          <w:color w:val="000000"/>
          <w:lang w:eastAsia="lt-LT"/>
        </w:rPr>
        <w:t>mėnesiai.</w:t>
      </w:r>
    </w:p>
    <w:p w14:paraId="3E727FFE" w14:textId="77777777" w:rsidR="008E79D1" w:rsidRPr="00847F10"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49A4F642"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847F10">
        <w:rPr>
          <w:rFonts w:ascii="Times New Roman" w:hAnsi="Times New Roman" w:cs="Times New Roman"/>
          <w:color w:val="000000"/>
          <w:lang w:eastAsia="lt-LT"/>
        </w:rPr>
        <w:t xml:space="preserve">Pirminė tyrimo vertinamoji baigtis buvo išgyvenamumas be ligos recidyvo (angl. </w:t>
      </w:r>
      <w:r w:rsidRPr="00847F10">
        <w:rPr>
          <w:rFonts w:ascii="Times New Roman" w:hAnsi="Times New Roman" w:cs="Times New Roman"/>
          <w:i/>
          <w:iCs/>
          <w:color w:val="000000"/>
          <w:lang w:eastAsia="lt-LT"/>
        </w:rPr>
        <w:t>recurrence-free survival</w:t>
      </w:r>
      <w:r>
        <w:rPr>
          <w:rFonts w:ascii="Times New Roman" w:hAnsi="Times New Roman" w:cs="Times New Roman"/>
          <w:i/>
          <w:iCs/>
          <w:color w:val="000000"/>
          <w:lang w:eastAsia="lt-LT"/>
        </w:rPr>
        <w:t>,</w:t>
      </w:r>
      <w:r w:rsidRPr="00847F10">
        <w:rPr>
          <w:rFonts w:ascii="Times New Roman" w:hAnsi="Times New Roman" w:cs="Times New Roman"/>
          <w:i/>
          <w:iCs/>
          <w:color w:val="000000"/>
          <w:lang w:eastAsia="lt-LT"/>
        </w:rPr>
        <w:t xml:space="preserve"> RFS</w:t>
      </w:r>
      <w:r w:rsidRPr="00847F10">
        <w:rPr>
          <w:rFonts w:ascii="Times New Roman" w:hAnsi="Times New Roman" w:cs="Times New Roman"/>
          <w:color w:val="000000"/>
          <w:lang w:eastAsia="lt-LT"/>
        </w:rPr>
        <w:t>), nustatomas kaip laikas nuo randomizacijos dienos iki recidyvo pasireiškimo dienos arba mirties dėl bet kokios priežasties.</w:t>
      </w:r>
    </w:p>
    <w:p w14:paraId="58882AA6" w14:textId="77777777" w:rsidR="008E79D1" w:rsidRPr="00847F10"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7AD918FD"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847F10">
        <w:rPr>
          <w:rFonts w:ascii="Times New Roman" w:hAnsi="Times New Roman" w:cs="Times New Roman"/>
          <w:color w:val="000000"/>
          <w:lang w:eastAsia="lt-LT"/>
        </w:rPr>
        <w:t xml:space="preserve">Trisdešimt šešių (36) mėnesių trukmės gydymas </w:t>
      </w:r>
      <w:r>
        <w:rPr>
          <w:rFonts w:ascii="Times New Roman" w:hAnsi="Times New Roman" w:cs="Times New Roman"/>
          <w:color w:val="000000"/>
          <w:lang w:eastAsia="lt-LT"/>
        </w:rPr>
        <w:t>imatinibu</w:t>
      </w:r>
      <w:r w:rsidRPr="00847F10">
        <w:rPr>
          <w:rFonts w:ascii="Times New Roman" w:hAnsi="Times New Roman" w:cs="Times New Roman"/>
          <w:color w:val="000000"/>
          <w:lang w:eastAsia="lt-LT"/>
        </w:rPr>
        <w:t xml:space="preserve"> reikšmingai pailgino RFS rodiklį, lyginant su 12</w:t>
      </w:r>
      <w:r>
        <w:rPr>
          <w:rFonts w:ascii="Times New Roman" w:hAnsi="Times New Roman" w:cs="Times New Roman"/>
          <w:color w:val="000000"/>
          <w:lang w:eastAsia="lt-LT"/>
        </w:rPr>
        <w:t> </w:t>
      </w:r>
      <w:r w:rsidRPr="00847F10">
        <w:rPr>
          <w:rFonts w:ascii="Times New Roman" w:hAnsi="Times New Roman" w:cs="Times New Roman"/>
          <w:color w:val="000000"/>
          <w:lang w:eastAsia="lt-LT"/>
        </w:rPr>
        <w:t xml:space="preserve">mėnesių trukmės gydymu </w:t>
      </w:r>
      <w:r>
        <w:rPr>
          <w:rFonts w:ascii="Times New Roman" w:hAnsi="Times New Roman" w:cs="Times New Roman"/>
          <w:color w:val="000000"/>
          <w:lang w:eastAsia="lt-LT"/>
        </w:rPr>
        <w:t>imatinibu</w:t>
      </w:r>
      <w:r w:rsidRPr="00847F10">
        <w:rPr>
          <w:rFonts w:ascii="Times New Roman" w:hAnsi="Times New Roman" w:cs="Times New Roman"/>
          <w:color w:val="000000"/>
          <w:lang w:eastAsia="lt-LT"/>
        </w:rPr>
        <w:t xml:space="preserve"> (bendrasis rizikos santykis (RS) lygus 0,46 [0,32, 0,65], p</w:t>
      </w:r>
      <w:r>
        <w:rPr>
          <w:rFonts w:ascii="Times New Roman" w:hAnsi="Times New Roman" w:cs="Times New Roman"/>
          <w:color w:val="000000"/>
          <w:lang w:eastAsia="lt-LT"/>
        </w:rPr>
        <w:t> </w:t>
      </w:r>
      <w:r w:rsidRPr="00847F10">
        <w:rPr>
          <w:rFonts w:ascii="Times New Roman" w:hAnsi="Times New Roman" w:cs="Times New Roman"/>
          <w:color w:val="000000"/>
          <w:lang w:eastAsia="lt-LT"/>
        </w:rPr>
        <w:t>&lt;</w:t>
      </w:r>
      <w:r>
        <w:rPr>
          <w:rFonts w:ascii="Times New Roman" w:hAnsi="Times New Roman" w:cs="Times New Roman"/>
          <w:color w:val="000000"/>
          <w:lang w:eastAsia="lt-LT"/>
        </w:rPr>
        <w:t> </w:t>
      </w:r>
      <w:r w:rsidRPr="00847F10">
        <w:rPr>
          <w:rFonts w:ascii="Times New Roman" w:hAnsi="Times New Roman" w:cs="Times New Roman"/>
          <w:color w:val="000000"/>
          <w:lang w:eastAsia="lt-LT"/>
        </w:rPr>
        <w:t>0,0001) (žr. 8</w:t>
      </w:r>
      <w:r>
        <w:rPr>
          <w:rFonts w:ascii="Times New Roman" w:hAnsi="Times New Roman" w:cs="Times New Roman"/>
          <w:color w:val="000000"/>
          <w:lang w:eastAsia="lt-LT"/>
        </w:rPr>
        <w:t> </w:t>
      </w:r>
      <w:r w:rsidRPr="00847F10">
        <w:rPr>
          <w:rFonts w:ascii="Times New Roman" w:hAnsi="Times New Roman" w:cs="Times New Roman"/>
          <w:color w:val="000000"/>
          <w:lang w:eastAsia="lt-LT"/>
        </w:rPr>
        <w:t>lentelę, 1</w:t>
      </w:r>
      <w:r>
        <w:rPr>
          <w:rFonts w:ascii="Times New Roman" w:hAnsi="Times New Roman" w:cs="Times New Roman"/>
          <w:color w:val="000000"/>
          <w:lang w:eastAsia="lt-LT"/>
        </w:rPr>
        <w:t> </w:t>
      </w:r>
      <w:r w:rsidRPr="00847F10">
        <w:rPr>
          <w:rFonts w:ascii="Times New Roman" w:hAnsi="Times New Roman" w:cs="Times New Roman"/>
          <w:color w:val="000000"/>
          <w:lang w:eastAsia="lt-LT"/>
        </w:rPr>
        <w:t>pav.).</w:t>
      </w:r>
    </w:p>
    <w:p w14:paraId="75A09752" w14:textId="77777777" w:rsidR="008E79D1" w:rsidRPr="00847F10"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2CDA16E8" w14:textId="77777777" w:rsidR="008E79D1" w:rsidRDefault="008E79D1" w:rsidP="008E79D1">
      <w:pPr>
        <w:spacing w:after="0" w:line="240" w:lineRule="auto"/>
        <w:rPr>
          <w:rFonts w:ascii="Times New Roman" w:hAnsi="Times New Roman" w:cs="Times New Roman"/>
          <w:color w:val="000000"/>
          <w:lang w:eastAsia="lt-LT"/>
        </w:rPr>
      </w:pPr>
      <w:r w:rsidRPr="00847F10">
        <w:rPr>
          <w:rFonts w:ascii="Times New Roman" w:hAnsi="Times New Roman" w:cs="Times New Roman"/>
          <w:color w:val="000000"/>
          <w:lang w:eastAsia="lt-LT"/>
        </w:rPr>
        <w:t xml:space="preserve">Be to, trisdešimt šešių (36) mėnesių trukmės gydymas </w:t>
      </w:r>
      <w:r>
        <w:rPr>
          <w:rFonts w:ascii="Times New Roman" w:hAnsi="Times New Roman" w:cs="Times New Roman"/>
          <w:color w:val="000000"/>
          <w:lang w:eastAsia="lt-LT"/>
        </w:rPr>
        <w:t>imatinibu</w:t>
      </w:r>
      <w:r w:rsidRPr="00847F10">
        <w:rPr>
          <w:rFonts w:ascii="Times New Roman" w:hAnsi="Times New Roman" w:cs="Times New Roman"/>
          <w:color w:val="000000"/>
          <w:lang w:eastAsia="lt-LT"/>
        </w:rPr>
        <w:t xml:space="preserve"> reikšmingai pailgino bendrojo išgyvenamumo rodiklį, lyginant su 12</w:t>
      </w:r>
      <w:r>
        <w:rPr>
          <w:rFonts w:ascii="Times New Roman" w:hAnsi="Times New Roman" w:cs="Times New Roman"/>
          <w:color w:val="000000"/>
          <w:lang w:eastAsia="lt-LT"/>
        </w:rPr>
        <w:t> </w:t>
      </w:r>
      <w:r w:rsidRPr="00847F10">
        <w:rPr>
          <w:rFonts w:ascii="Times New Roman" w:hAnsi="Times New Roman" w:cs="Times New Roman"/>
          <w:color w:val="000000"/>
          <w:lang w:eastAsia="lt-LT"/>
        </w:rPr>
        <w:t xml:space="preserve">mėnesių trukmės gydymu </w:t>
      </w:r>
      <w:r>
        <w:rPr>
          <w:rFonts w:ascii="Times New Roman" w:hAnsi="Times New Roman" w:cs="Times New Roman"/>
          <w:color w:val="000000"/>
          <w:lang w:eastAsia="lt-LT"/>
        </w:rPr>
        <w:t>imatinibu</w:t>
      </w:r>
      <w:r w:rsidRPr="00847F10">
        <w:rPr>
          <w:rFonts w:ascii="Times New Roman" w:hAnsi="Times New Roman" w:cs="Times New Roman"/>
          <w:color w:val="000000"/>
          <w:lang w:eastAsia="lt-LT"/>
        </w:rPr>
        <w:t xml:space="preserve"> (RS = 0,45 [0,22, 0,89], p = 0,0187) (žr. 8</w:t>
      </w:r>
      <w:r>
        <w:rPr>
          <w:rFonts w:ascii="Times New Roman" w:hAnsi="Times New Roman" w:cs="Times New Roman"/>
          <w:color w:val="000000"/>
          <w:lang w:eastAsia="lt-LT"/>
        </w:rPr>
        <w:t> </w:t>
      </w:r>
      <w:r w:rsidRPr="00847F10">
        <w:rPr>
          <w:rFonts w:ascii="Times New Roman" w:hAnsi="Times New Roman" w:cs="Times New Roman"/>
          <w:color w:val="000000"/>
          <w:lang w:eastAsia="lt-LT"/>
        </w:rPr>
        <w:t>lentelę, 2</w:t>
      </w:r>
      <w:r>
        <w:rPr>
          <w:rFonts w:ascii="Times New Roman" w:hAnsi="Times New Roman" w:cs="Times New Roman"/>
          <w:color w:val="000000"/>
          <w:lang w:eastAsia="lt-LT"/>
        </w:rPr>
        <w:t> </w:t>
      </w:r>
      <w:r w:rsidRPr="00847F10">
        <w:rPr>
          <w:rFonts w:ascii="Times New Roman" w:hAnsi="Times New Roman" w:cs="Times New Roman"/>
          <w:color w:val="000000"/>
          <w:lang w:eastAsia="lt-LT"/>
        </w:rPr>
        <w:t>pav.).</w:t>
      </w:r>
    </w:p>
    <w:p w14:paraId="45AD8E55" w14:textId="77777777" w:rsidR="008E79D1" w:rsidRDefault="008E79D1" w:rsidP="008E79D1">
      <w:pPr>
        <w:spacing w:after="0" w:line="240" w:lineRule="auto"/>
        <w:rPr>
          <w:rFonts w:ascii="Times New Roman" w:hAnsi="Times New Roman" w:cs="Times New Roman"/>
          <w:color w:val="000000"/>
          <w:lang w:eastAsia="lt-LT"/>
        </w:rPr>
      </w:pPr>
    </w:p>
    <w:p w14:paraId="2E3A3ABB" w14:textId="77777777" w:rsidR="008E79D1" w:rsidRDefault="008E79D1" w:rsidP="008E79D1">
      <w:pPr>
        <w:autoSpaceDE w:val="0"/>
        <w:autoSpaceDN w:val="0"/>
        <w:adjustRightInd w:val="0"/>
        <w:spacing w:after="0" w:line="240" w:lineRule="auto"/>
        <w:rPr>
          <w:rFonts w:ascii="Times New Roman" w:hAnsi="Times New Roman" w:cs="Times New Roman"/>
          <w:color w:val="000000"/>
          <w:lang w:eastAsia="lt-LT"/>
        </w:rPr>
      </w:pPr>
      <w:r w:rsidRPr="00AE6250">
        <w:rPr>
          <w:rFonts w:ascii="Times New Roman" w:hAnsi="Times New Roman" w:cs="Times New Roman"/>
          <w:color w:val="000000"/>
          <w:lang w:eastAsia="lt-LT"/>
        </w:rPr>
        <w:t>Ilgesnė gydymo trukmė (&gt;</w:t>
      </w:r>
      <w:r>
        <w:rPr>
          <w:rFonts w:ascii="Times New Roman" w:hAnsi="Times New Roman" w:cs="Times New Roman"/>
          <w:color w:val="000000"/>
          <w:lang w:eastAsia="lt-LT"/>
        </w:rPr>
        <w:t> </w:t>
      </w:r>
      <w:r w:rsidRPr="00AE6250">
        <w:rPr>
          <w:rFonts w:ascii="Times New Roman" w:hAnsi="Times New Roman" w:cs="Times New Roman"/>
          <w:color w:val="000000"/>
          <w:lang w:eastAsia="lt-LT"/>
        </w:rPr>
        <w:t>36</w:t>
      </w:r>
      <w:r>
        <w:rPr>
          <w:rFonts w:ascii="Times New Roman" w:hAnsi="Times New Roman" w:cs="Times New Roman"/>
          <w:color w:val="000000"/>
          <w:lang w:eastAsia="lt-LT"/>
        </w:rPr>
        <w:t> </w:t>
      </w:r>
      <w:r w:rsidRPr="00AE6250">
        <w:rPr>
          <w:rFonts w:ascii="Times New Roman" w:hAnsi="Times New Roman" w:cs="Times New Roman"/>
          <w:color w:val="000000"/>
          <w:lang w:eastAsia="lt-LT"/>
        </w:rPr>
        <w:t>mėnesių) gali atitolinti kitų recidyvų pasireiškimo pradžią; tačiau šių duomenų reikšmė bendrajam išgyvenamumui iki šiol nežinoma.</w:t>
      </w:r>
    </w:p>
    <w:p w14:paraId="0AEBE856" w14:textId="77777777" w:rsidR="008E79D1" w:rsidRPr="00AE6250" w:rsidRDefault="008E79D1" w:rsidP="008E79D1">
      <w:pPr>
        <w:autoSpaceDE w:val="0"/>
        <w:autoSpaceDN w:val="0"/>
        <w:adjustRightInd w:val="0"/>
        <w:spacing w:after="0" w:line="240" w:lineRule="auto"/>
        <w:rPr>
          <w:rFonts w:ascii="Times New Roman" w:hAnsi="Times New Roman" w:cs="Times New Roman"/>
          <w:color w:val="000000"/>
          <w:lang w:eastAsia="lt-LT"/>
        </w:rPr>
      </w:pPr>
    </w:p>
    <w:p w14:paraId="173CDAE6" w14:textId="77777777" w:rsidR="008E79D1" w:rsidRDefault="008E79D1" w:rsidP="008E79D1">
      <w:pPr>
        <w:spacing w:after="0" w:line="240" w:lineRule="auto"/>
        <w:rPr>
          <w:rFonts w:ascii="Times New Roman" w:eastAsia="Times New Roman" w:hAnsi="Times New Roman" w:cs="Times New Roman"/>
          <w:szCs w:val="24"/>
        </w:rPr>
      </w:pPr>
      <w:r w:rsidRPr="00AE6250">
        <w:rPr>
          <w:rFonts w:ascii="Times New Roman" w:hAnsi="Times New Roman" w:cs="Times New Roman"/>
          <w:color w:val="000000"/>
          <w:lang w:eastAsia="lt-LT"/>
        </w:rPr>
        <w:t>12</w:t>
      </w:r>
      <w:r>
        <w:rPr>
          <w:rFonts w:ascii="Times New Roman" w:hAnsi="Times New Roman" w:cs="Times New Roman"/>
          <w:color w:val="000000"/>
          <w:lang w:eastAsia="lt-LT"/>
        </w:rPr>
        <w:t> </w:t>
      </w:r>
      <w:r w:rsidRPr="00AE6250">
        <w:rPr>
          <w:rFonts w:ascii="Times New Roman" w:hAnsi="Times New Roman" w:cs="Times New Roman"/>
          <w:color w:val="000000"/>
          <w:lang w:eastAsia="lt-LT"/>
        </w:rPr>
        <w:t>mėnesių trukmės ir 36</w:t>
      </w:r>
      <w:r>
        <w:rPr>
          <w:rFonts w:ascii="Times New Roman" w:hAnsi="Times New Roman" w:cs="Times New Roman"/>
          <w:color w:val="000000"/>
          <w:lang w:eastAsia="lt-LT"/>
        </w:rPr>
        <w:t> </w:t>
      </w:r>
      <w:r w:rsidRPr="00AE6250">
        <w:rPr>
          <w:rFonts w:ascii="Times New Roman" w:hAnsi="Times New Roman" w:cs="Times New Roman"/>
          <w:color w:val="000000"/>
          <w:lang w:eastAsia="lt-LT"/>
        </w:rPr>
        <w:t>mėnesių trukmės gydymo grupėse bendrasis mirčių atvejų skaičius buvo, atitinkamai, 25 ir 12.</w:t>
      </w:r>
    </w:p>
    <w:p w14:paraId="14A6711D" w14:textId="77777777" w:rsidR="008E79D1" w:rsidRDefault="008E79D1" w:rsidP="008E79D1">
      <w:pPr>
        <w:spacing w:after="0" w:line="240" w:lineRule="auto"/>
        <w:rPr>
          <w:rFonts w:ascii="Times New Roman" w:eastAsia="Times New Roman" w:hAnsi="Times New Roman" w:cs="Times New Roman"/>
          <w:szCs w:val="24"/>
        </w:rPr>
      </w:pPr>
    </w:p>
    <w:p w14:paraId="504E2AEB" w14:textId="77777777" w:rsidR="008E79D1" w:rsidRPr="00AE6250" w:rsidRDefault="008E79D1" w:rsidP="008E79D1">
      <w:pPr>
        <w:spacing w:after="0" w:line="240" w:lineRule="auto"/>
        <w:rPr>
          <w:rFonts w:ascii="Times New Roman" w:eastAsia="Times New Roman" w:hAnsi="Times New Roman" w:cs="Times New Roman"/>
          <w:szCs w:val="24"/>
        </w:rPr>
      </w:pPr>
      <w:r w:rsidRPr="00AE6250">
        <w:rPr>
          <w:rFonts w:ascii="Times New Roman" w:hAnsi="Times New Roman" w:cs="Times New Roman"/>
        </w:rPr>
        <w:t>Atlikus gydymui atrinktos populiacijos analizę (t. y., įtraukiant visos tyrimo populiacijos duomenis) nustatyta, kad 36</w:t>
      </w:r>
      <w:r>
        <w:rPr>
          <w:rFonts w:ascii="Times New Roman" w:hAnsi="Times New Roman" w:cs="Times New Roman"/>
        </w:rPr>
        <w:t> </w:t>
      </w:r>
      <w:r w:rsidRPr="00AE6250">
        <w:rPr>
          <w:rFonts w:ascii="Times New Roman" w:hAnsi="Times New Roman" w:cs="Times New Roman"/>
        </w:rPr>
        <w:t>mėnesių trukmės gydymas imatinibu buvo veiksmingesnis nei 12</w:t>
      </w:r>
      <w:r>
        <w:rPr>
          <w:rFonts w:ascii="Times New Roman" w:hAnsi="Times New Roman" w:cs="Times New Roman"/>
        </w:rPr>
        <w:t> </w:t>
      </w:r>
      <w:r w:rsidRPr="00AE6250">
        <w:rPr>
          <w:rFonts w:ascii="Times New Roman" w:hAnsi="Times New Roman" w:cs="Times New Roman"/>
        </w:rPr>
        <w:t>mėnesių trukmės gydymas. Atlikus planuotą pogrupių analizę pagal mutacijos tipą nustatyta, kad 36</w:t>
      </w:r>
      <w:r>
        <w:rPr>
          <w:rFonts w:ascii="Times New Roman" w:hAnsi="Times New Roman" w:cs="Times New Roman"/>
        </w:rPr>
        <w:t> </w:t>
      </w:r>
      <w:r w:rsidRPr="00AE6250">
        <w:rPr>
          <w:rFonts w:ascii="Times New Roman" w:hAnsi="Times New Roman" w:cs="Times New Roman"/>
        </w:rPr>
        <w:t>mėnesius gydant pacientus, kuriems nustatytos 11 egzono mutacijos, RFS rodiklio rizikos santykis buvo 0,35 [95</w:t>
      </w:r>
      <w:r>
        <w:rPr>
          <w:rFonts w:ascii="Times New Roman" w:hAnsi="Times New Roman" w:cs="Times New Roman"/>
        </w:rPr>
        <w:t> </w:t>
      </w:r>
      <w:r w:rsidRPr="00AE6250">
        <w:rPr>
          <w:rFonts w:ascii="Times New Roman" w:hAnsi="Times New Roman" w:cs="Times New Roman"/>
        </w:rPr>
        <w:t>% PI: 0,22, 0,56]. Kadangi pasireiškusių recidyvų skaičius buvo nedidelis, negalima pateikti jokių išvadų apie vaistinio preparato poveikį pacientų, kuriems nustatytos kitos retesnės mutacijos, pogrupiams.</w:t>
      </w:r>
    </w:p>
    <w:p w14:paraId="61D15ADA" w14:textId="77777777" w:rsidR="008E79D1" w:rsidRDefault="008E79D1" w:rsidP="008E79D1">
      <w:pPr>
        <w:spacing w:after="0" w:line="240" w:lineRule="auto"/>
        <w:rPr>
          <w:rFonts w:ascii="Times New Roman" w:eastAsia="Times New Roman" w:hAnsi="Times New Roman" w:cs="Times New Roman"/>
          <w:szCs w:val="24"/>
        </w:rPr>
      </w:pPr>
    </w:p>
    <w:p w14:paraId="37974319" w14:textId="77777777" w:rsidR="008E79D1" w:rsidRPr="00AE6250" w:rsidRDefault="008E79D1" w:rsidP="008E79D1">
      <w:pPr>
        <w:spacing w:after="0" w:line="240" w:lineRule="auto"/>
        <w:rPr>
          <w:rFonts w:ascii="Times New Roman" w:eastAsia="Times New Roman" w:hAnsi="Times New Roman" w:cs="Times New Roman"/>
          <w:szCs w:val="24"/>
        </w:rPr>
      </w:pPr>
      <w:r w:rsidRPr="00AE6250">
        <w:rPr>
          <w:rFonts w:ascii="Times New Roman" w:hAnsi="Times New Roman" w:cs="Times New Roman"/>
          <w:b/>
          <w:bCs/>
        </w:rPr>
        <w:t>8 lentelė</w:t>
      </w:r>
      <w:r>
        <w:rPr>
          <w:rFonts w:ascii="Times New Roman" w:hAnsi="Times New Roman" w:cs="Times New Roman"/>
          <w:b/>
          <w:bCs/>
        </w:rPr>
        <w:t>.</w:t>
      </w:r>
      <w:r w:rsidRPr="00AE6250">
        <w:rPr>
          <w:rFonts w:ascii="Times New Roman" w:hAnsi="Times New Roman" w:cs="Times New Roman"/>
          <w:b/>
          <w:bCs/>
        </w:rPr>
        <w:t xml:space="preserve"> 12 mėnesių ir 36 mėnesių trukmės gydymas </w:t>
      </w:r>
      <w:r>
        <w:rPr>
          <w:rFonts w:ascii="Times New Roman" w:hAnsi="Times New Roman" w:cs="Times New Roman"/>
          <w:b/>
          <w:bCs/>
        </w:rPr>
        <w:t>imatinibu</w:t>
      </w:r>
      <w:r w:rsidRPr="00AE6250">
        <w:rPr>
          <w:rFonts w:ascii="Times New Roman" w:hAnsi="Times New Roman" w:cs="Times New Roman"/>
          <w:b/>
          <w:bCs/>
        </w:rPr>
        <w:t xml:space="preserve"> (SSGXVIII/AIO klinikinis tyrimas)</w:t>
      </w:r>
    </w:p>
    <w:p w14:paraId="40F5F11F" w14:textId="77777777" w:rsidR="008E79D1" w:rsidRDefault="008E79D1" w:rsidP="008E79D1">
      <w:pPr>
        <w:spacing w:after="0" w:line="240" w:lineRule="auto"/>
        <w:rPr>
          <w:rFonts w:ascii="Times New Roman" w:eastAsia="Times New Roman" w:hAnsi="Times New Roman" w:cs="Times New Roman"/>
          <w:szCs w:val="24"/>
        </w:rPr>
      </w:pPr>
    </w:p>
    <w:tbl>
      <w:tblPr>
        <w:tblW w:w="0" w:type="auto"/>
        <w:tblLook w:val="04A0" w:firstRow="1" w:lastRow="0" w:firstColumn="1" w:lastColumn="0" w:noHBand="0" w:noVBand="1"/>
      </w:tblPr>
      <w:tblGrid>
        <w:gridCol w:w="3037"/>
        <w:gridCol w:w="3016"/>
        <w:gridCol w:w="3017"/>
      </w:tblGrid>
      <w:tr w:rsidR="008E79D1" w14:paraId="1A329847" w14:textId="77777777" w:rsidTr="00D14A02">
        <w:tc>
          <w:tcPr>
            <w:tcW w:w="3095" w:type="dxa"/>
            <w:tcBorders>
              <w:top w:val="single" w:sz="4" w:space="0" w:color="auto"/>
            </w:tcBorders>
            <w:shd w:val="clear" w:color="auto" w:fill="auto"/>
          </w:tcPr>
          <w:p w14:paraId="36300057" w14:textId="77777777" w:rsidR="008E79D1" w:rsidRDefault="008E79D1" w:rsidP="00D14A02">
            <w:pPr>
              <w:spacing w:after="0" w:line="240" w:lineRule="auto"/>
              <w:rPr>
                <w:rFonts w:ascii="Times New Roman" w:eastAsia="Times New Roman" w:hAnsi="Times New Roman" w:cs="Times New Roman"/>
                <w:szCs w:val="24"/>
              </w:rPr>
            </w:pPr>
          </w:p>
        </w:tc>
        <w:tc>
          <w:tcPr>
            <w:tcW w:w="3095" w:type="dxa"/>
            <w:tcBorders>
              <w:top w:val="single" w:sz="4" w:space="0" w:color="auto"/>
            </w:tcBorders>
            <w:shd w:val="clear" w:color="auto" w:fill="auto"/>
          </w:tcPr>
          <w:p w14:paraId="6A89C76B" w14:textId="77777777" w:rsidR="008E79D1" w:rsidRDefault="008E79D1" w:rsidP="00D14A02">
            <w:pPr>
              <w:pStyle w:val="Default"/>
            </w:pPr>
            <w:r>
              <w:rPr>
                <w:b/>
                <w:bCs/>
                <w:sz w:val="22"/>
                <w:szCs w:val="22"/>
              </w:rPr>
              <w:t>12 mėnesių trukmės gydymo grupė</w:t>
            </w:r>
          </w:p>
        </w:tc>
        <w:tc>
          <w:tcPr>
            <w:tcW w:w="3096" w:type="dxa"/>
            <w:tcBorders>
              <w:top w:val="single" w:sz="4" w:space="0" w:color="auto"/>
            </w:tcBorders>
            <w:shd w:val="clear" w:color="auto" w:fill="auto"/>
          </w:tcPr>
          <w:p w14:paraId="42B44E74" w14:textId="77777777" w:rsidR="008E79D1" w:rsidRDefault="008E79D1" w:rsidP="00D14A02">
            <w:pPr>
              <w:pStyle w:val="Default"/>
            </w:pPr>
            <w:r>
              <w:rPr>
                <w:b/>
                <w:bCs/>
                <w:sz w:val="22"/>
                <w:szCs w:val="22"/>
              </w:rPr>
              <w:t>36 mėnesių trukmės gydymo grupė</w:t>
            </w:r>
          </w:p>
        </w:tc>
      </w:tr>
      <w:tr w:rsidR="008E79D1" w14:paraId="4E00249C" w14:textId="77777777" w:rsidTr="00D14A02">
        <w:tc>
          <w:tcPr>
            <w:tcW w:w="3095" w:type="dxa"/>
            <w:shd w:val="clear" w:color="auto" w:fill="auto"/>
          </w:tcPr>
          <w:p w14:paraId="220890FF" w14:textId="77777777" w:rsidR="008E79D1" w:rsidRDefault="008E79D1" w:rsidP="00D14A02">
            <w:pPr>
              <w:pStyle w:val="Default"/>
            </w:pPr>
            <w:r>
              <w:rPr>
                <w:b/>
                <w:bCs/>
                <w:sz w:val="22"/>
                <w:szCs w:val="22"/>
              </w:rPr>
              <w:t>RFS rodiklis</w:t>
            </w:r>
          </w:p>
        </w:tc>
        <w:tc>
          <w:tcPr>
            <w:tcW w:w="3095" w:type="dxa"/>
            <w:shd w:val="clear" w:color="auto" w:fill="auto"/>
          </w:tcPr>
          <w:p w14:paraId="3DAF38C4" w14:textId="77777777" w:rsidR="008E79D1" w:rsidRDefault="008E79D1" w:rsidP="00D14A02">
            <w:pPr>
              <w:pStyle w:val="Default"/>
            </w:pPr>
            <w:r>
              <w:rPr>
                <w:b/>
                <w:bCs/>
                <w:sz w:val="22"/>
                <w:szCs w:val="22"/>
              </w:rPr>
              <w:t>%(PI)</w:t>
            </w:r>
          </w:p>
        </w:tc>
        <w:tc>
          <w:tcPr>
            <w:tcW w:w="3096" w:type="dxa"/>
            <w:shd w:val="clear" w:color="auto" w:fill="auto"/>
          </w:tcPr>
          <w:p w14:paraId="06217E8A" w14:textId="77777777" w:rsidR="008E79D1" w:rsidRDefault="008E79D1" w:rsidP="00D14A02">
            <w:pPr>
              <w:pStyle w:val="Default"/>
            </w:pPr>
            <w:r>
              <w:rPr>
                <w:b/>
                <w:bCs/>
                <w:sz w:val="22"/>
                <w:szCs w:val="22"/>
              </w:rPr>
              <w:t>%(PI)</w:t>
            </w:r>
          </w:p>
        </w:tc>
      </w:tr>
      <w:tr w:rsidR="008E79D1" w14:paraId="36C5A22B" w14:textId="77777777" w:rsidTr="00D14A02">
        <w:tc>
          <w:tcPr>
            <w:tcW w:w="3095" w:type="dxa"/>
            <w:shd w:val="clear" w:color="auto" w:fill="auto"/>
          </w:tcPr>
          <w:p w14:paraId="76896284" w14:textId="77777777" w:rsidR="008E79D1" w:rsidRDefault="008E79D1" w:rsidP="00D14A02">
            <w:pPr>
              <w:pStyle w:val="Default"/>
              <w:jc w:val="center"/>
            </w:pPr>
            <w:r>
              <w:rPr>
                <w:sz w:val="22"/>
                <w:szCs w:val="22"/>
              </w:rPr>
              <w:t>12 mėnesių</w:t>
            </w:r>
          </w:p>
        </w:tc>
        <w:tc>
          <w:tcPr>
            <w:tcW w:w="3095" w:type="dxa"/>
            <w:shd w:val="clear" w:color="auto" w:fill="auto"/>
          </w:tcPr>
          <w:p w14:paraId="0F9546BC" w14:textId="77777777" w:rsidR="008E79D1" w:rsidRDefault="008E79D1" w:rsidP="00D14A02">
            <w:pPr>
              <w:pStyle w:val="Default"/>
            </w:pPr>
            <w:r>
              <w:rPr>
                <w:sz w:val="22"/>
                <w:szCs w:val="22"/>
              </w:rPr>
              <w:t>93,7 (89,2–96,4)</w:t>
            </w:r>
          </w:p>
        </w:tc>
        <w:tc>
          <w:tcPr>
            <w:tcW w:w="3096" w:type="dxa"/>
            <w:shd w:val="clear" w:color="auto" w:fill="auto"/>
          </w:tcPr>
          <w:p w14:paraId="6CC7599C" w14:textId="77777777" w:rsidR="008E79D1" w:rsidRDefault="008E79D1" w:rsidP="00D14A02">
            <w:pPr>
              <w:pStyle w:val="Default"/>
            </w:pPr>
            <w:r>
              <w:rPr>
                <w:sz w:val="22"/>
                <w:szCs w:val="22"/>
              </w:rPr>
              <w:t>95,9 (91,9–97,9)</w:t>
            </w:r>
          </w:p>
        </w:tc>
      </w:tr>
      <w:tr w:rsidR="008E79D1" w14:paraId="40ADA887" w14:textId="77777777" w:rsidTr="00D14A02">
        <w:tc>
          <w:tcPr>
            <w:tcW w:w="3095" w:type="dxa"/>
            <w:shd w:val="clear" w:color="auto" w:fill="auto"/>
          </w:tcPr>
          <w:p w14:paraId="56EB260F" w14:textId="77777777" w:rsidR="008E79D1" w:rsidRDefault="008E79D1" w:rsidP="00D14A02">
            <w:pPr>
              <w:pStyle w:val="Default"/>
              <w:jc w:val="center"/>
            </w:pPr>
            <w:r>
              <w:rPr>
                <w:sz w:val="22"/>
                <w:szCs w:val="22"/>
              </w:rPr>
              <w:t>24 mėnesiai</w:t>
            </w:r>
          </w:p>
        </w:tc>
        <w:tc>
          <w:tcPr>
            <w:tcW w:w="3095" w:type="dxa"/>
            <w:shd w:val="clear" w:color="auto" w:fill="auto"/>
          </w:tcPr>
          <w:p w14:paraId="161FF082" w14:textId="77777777" w:rsidR="008E79D1" w:rsidRDefault="008E79D1" w:rsidP="00D14A02">
            <w:pPr>
              <w:pStyle w:val="Default"/>
            </w:pPr>
            <w:r>
              <w:rPr>
                <w:sz w:val="22"/>
                <w:szCs w:val="22"/>
              </w:rPr>
              <w:t>75,4 (68,6–81,0)</w:t>
            </w:r>
          </w:p>
        </w:tc>
        <w:tc>
          <w:tcPr>
            <w:tcW w:w="3096" w:type="dxa"/>
            <w:shd w:val="clear" w:color="auto" w:fill="auto"/>
          </w:tcPr>
          <w:p w14:paraId="625A63A5" w14:textId="77777777" w:rsidR="008E79D1" w:rsidRDefault="008E79D1" w:rsidP="00D14A02">
            <w:pPr>
              <w:pStyle w:val="Default"/>
            </w:pPr>
            <w:r>
              <w:rPr>
                <w:sz w:val="22"/>
                <w:szCs w:val="22"/>
              </w:rPr>
              <w:t>90,7 (85,6–94,0)</w:t>
            </w:r>
          </w:p>
        </w:tc>
      </w:tr>
      <w:tr w:rsidR="008E79D1" w14:paraId="05471179" w14:textId="77777777" w:rsidTr="00D14A02">
        <w:tc>
          <w:tcPr>
            <w:tcW w:w="3095" w:type="dxa"/>
            <w:shd w:val="clear" w:color="auto" w:fill="auto"/>
          </w:tcPr>
          <w:p w14:paraId="612718FC" w14:textId="77777777" w:rsidR="008E79D1" w:rsidRDefault="008E79D1" w:rsidP="00D14A02">
            <w:pPr>
              <w:pStyle w:val="Default"/>
              <w:jc w:val="center"/>
            </w:pPr>
            <w:r>
              <w:rPr>
                <w:sz w:val="22"/>
                <w:szCs w:val="22"/>
              </w:rPr>
              <w:t>36 mėnesiai</w:t>
            </w:r>
          </w:p>
        </w:tc>
        <w:tc>
          <w:tcPr>
            <w:tcW w:w="3095" w:type="dxa"/>
            <w:shd w:val="clear" w:color="auto" w:fill="auto"/>
          </w:tcPr>
          <w:p w14:paraId="33F66280" w14:textId="77777777" w:rsidR="008E79D1" w:rsidRDefault="008E79D1" w:rsidP="00D14A02">
            <w:pPr>
              <w:pStyle w:val="Default"/>
            </w:pPr>
            <w:r>
              <w:rPr>
                <w:sz w:val="22"/>
                <w:szCs w:val="22"/>
              </w:rPr>
              <w:t>60,1 (52,5–66,9)</w:t>
            </w:r>
          </w:p>
        </w:tc>
        <w:tc>
          <w:tcPr>
            <w:tcW w:w="3096" w:type="dxa"/>
            <w:shd w:val="clear" w:color="auto" w:fill="auto"/>
          </w:tcPr>
          <w:p w14:paraId="0E2D9202" w14:textId="77777777" w:rsidR="008E79D1" w:rsidRDefault="008E79D1" w:rsidP="00D14A02">
            <w:pPr>
              <w:pStyle w:val="Default"/>
            </w:pPr>
            <w:r>
              <w:rPr>
                <w:sz w:val="22"/>
                <w:szCs w:val="22"/>
              </w:rPr>
              <w:t>86,6 (80,8–90,8)</w:t>
            </w:r>
          </w:p>
        </w:tc>
      </w:tr>
      <w:tr w:rsidR="008E79D1" w14:paraId="47E029F2" w14:textId="77777777" w:rsidTr="00D14A02">
        <w:tc>
          <w:tcPr>
            <w:tcW w:w="3095" w:type="dxa"/>
            <w:shd w:val="clear" w:color="auto" w:fill="auto"/>
          </w:tcPr>
          <w:p w14:paraId="12761205" w14:textId="77777777" w:rsidR="008E79D1" w:rsidRDefault="008E79D1" w:rsidP="00D14A02">
            <w:pPr>
              <w:pStyle w:val="Default"/>
              <w:jc w:val="center"/>
            </w:pPr>
            <w:r>
              <w:rPr>
                <w:sz w:val="22"/>
                <w:szCs w:val="22"/>
              </w:rPr>
              <w:t>48 mėnesiai</w:t>
            </w:r>
          </w:p>
        </w:tc>
        <w:tc>
          <w:tcPr>
            <w:tcW w:w="3095" w:type="dxa"/>
            <w:shd w:val="clear" w:color="auto" w:fill="auto"/>
          </w:tcPr>
          <w:p w14:paraId="569E1318" w14:textId="77777777" w:rsidR="008E79D1" w:rsidRDefault="008E79D1" w:rsidP="00D14A02">
            <w:pPr>
              <w:pStyle w:val="Default"/>
            </w:pPr>
            <w:r>
              <w:rPr>
                <w:sz w:val="22"/>
                <w:szCs w:val="22"/>
              </w:rPr>
              <w:t>52,3 (44,0–59,8)</w:t>
            </w:r>
          </w:p>
        </w:tc>
        <w:tc>
          <w:tcPr>
            <w:tcW w:w="3096" w:type="dxa"/>
            <w:shd w:val="clear" w:color="auto" w:fill="auto"/>
          </w:tcPr>
          <w:p w14:paraId="094F724A" w14:textId="77777777" w:rsidR="008E79D1" w:rsidRDefault="008E79D1" w:rsidP="00D14A02">
            <w:pPr>
              <w:pStyle w:val="Default"/>
            </w:pPr>
            <w:r>
              <w:rPr>
                <w:sz w:val="22"/>
                <w:szCs w:val="22"/>
              </w:rPr>
              <w:t>78,3 (70,8–84,1)</w:t>
            </w:r>
          </w:p>
        </w:tc>
      </w:tr>
      <w:tr w:rsidR="008E79D1" w14:paraId="43A0E142" w14:textId="77777777" w:rsidTr="00D14A02">
        <w:tc>
          <w:tcPr>
            <w:tcW w:w="3095" w:type="dxa"/>
            <w:shd w:val="clear" w:color="auto" w:fill="auto"/>
          </w:tcPr>
          <w:p w14:paraId="7DB5F111" w14:textId="77777777" w:rsidR="008E79D1" w:rsidRDefault="008E79D1" w:rsidP="00D14A02">
            <w:pPr>
              <w:pStyle w:val="Default"/>
              <w:jc w:val="center"/>
            </w:pPr>
            <w:r>
              <w:rPr>
                <w:sz w:val="22"/>
                <w:szCs w:val="22"/>
              </w:rPr>
              <w:t>60 mėnesių</w:t>
            </w:r>
          </w:p>
        </w:tc>
        <w:tc>
          <w:tcPr>
            <w:tcW w:w="3095" w:type="dxa"/>
            <w:shd w:val="clear" w:color="auto" w:fill="auto"/>
          </w:tcPr>
          <w:p w14:paraId="47EE164E" w14:textId="77777777" w:rsidR="008E79D1" w:rsidRDefault="008E79D1" w:rsidP="00D14A02">
            <w:pPr>
              <w:pStyle w:val="Default"/>
            </w:pPr>
            <w:r>
              <w:rPr>
                <w:sz w:val="22"/>
                <w:szCs w:val="22"/>
              </w:rPr>
              <w:t>47,9 (39,0–56,3)</w:t>
            </w:r>
          </w:p>
        </w:tc>
        <w:tc>
          <w:tcPr>
            <w:tcW w:w="3096" w:type="dxa"/>
            <w:shd w:val="clear" w:color="auto" w:fill="auto"/>
          </w:tcPr>
          <w:p w14:paraId="13DA955E" w14:textId="77777777" w:rsidR="008E79D1" w:rsidRDefault="008E79D1" w:rsidP="00D14A02">
            <w:pPr>
              <w:pStyle w:val="Default"/>
            </w:pPr>
            <w:r>
              <w:rPr>
                <w:sz w:val="22"/>
                <w:szCs w:val="22"/>
              </w:rPr>
              <w:t>65,6 (56,1–73,4)</w:t>
            </w:r>
          </w:p>
        </w:tc>
      </w:tr>
      <w:tr w:rsidR="008E79D1" w14:paraId="7C911232" w14:textId="77777777" w:rsidTr="00D14A02">
        <w:tc>
          <w:tcPr>
            <w:tcW w:w="3095" w:type="dxa"/>
            <w:shd w:val="clear" w:color="auto" w:fill="auto"/>
          </w:tcPr>
          <w:p w14:paraId="0DEE7DF7" w14:textId="77777777" w:rsidR="008E79D1" w:rsidRDefault="008E79D1" w:rsidP="00D14A02">
            <w:pPr>
              <w:pStyle w:val="Default"/>
            </w:pPr>
            <w:r>
              <w:rPr>
                <w:b/>
                <w:bCs/>
                <w:sz w:val="22"/>
                <w:szCs w:val="22"/>
              </w:rPr>
              <w:t>Išgyvenamumas</w:t>
            </w:r>
          </w:p>
        </w:tc>
        <w:tc>
          <w:tcPr>
            <w:tcW w:w="3095" w:type="dxa"/>
            <w:shd w:val="clear" w:color="auto" w:fill="auto"/>
          </w:tcPr>
          <w:p w14:paraId="1163302B" w14:textId="77777777" w:rsidR="008E79D1" w:rsidRDefault="008E79D1" w:rsidP="00D14A02">
            <w:pPr>
              <w:spacing w:after="0" w:line="240" w:lineRule="auto"/>
              <w:rPr>
                <w:rFonts w:ascii="Times New Roman" w:eastAsia="Times New Roman" w:hAnsi="Times New Roman" w:cs="Times New Roman"/>
                <w:szCs w:val="24"/>
              </w:rPr>
            </w:pPr>
          </w:p>
        </w:tc>
        <w:tc>
          <w:tcPr>
            <w:tcW w:w="3096" w:type="dxa"/>
            <w:shd w:val="clear" w:color="auto" w:fill="auto"/>
          </w:tcPr>
          <w:p w14:paraId="253BA762" w14:textId="77777777" w:rsidR="008E79D1" w:rsidRDefault="008E79D1" w:rsidP="00D14A02">
            <w:pPr>
              <w:spacing w:after="0" w:line="240" w:lineRule="auto"/>
              <w:rPr>
                <w:rFonts w:ascii="Times New Roman" w:eastAsia="Times New Roman" w:hAnsi="Times New Roman" w:cs="Times New Roman"/>
                <w:szCs w:val="24"/>
              </w:rPr>
            </w:pPr>
          </w:p>
        </w:tc>
      </w:tr>
      <w:tr w:rsidR="008E79D1" w14:paraId="36BF8836" w14:textId="77777777" w:rsidTr="00D14A02">
        <w:tc>
          <w:tcPr>
            <w:tcW w:w="3095" w:type="dxa"/>
            <w:shd w:val="clear" w:color="auto" w:fill="auto"/>
          </w:tcPr>
          <w:p w14:paraId="6473FFD3" w14:textId="77777777" w:rsidR="008E79D1" w:rsidRDefault="008E79D1" w:rsidP="00D14A02">
            <w:pPr>
              <w:pStyle w:val="Default"/>
              <w:jc w:val="center"/>
            </w:pPr>
            <w:r>
              <w:rPr>
                <w:sz w:val="22"/>
                <w:szCs w:val="22"/>
              </w:rPr>
              <w:t>36 mėnesiai</w:t>
            </w:r>
          </w:p>
        </w:tc>
        <w:tc>
          <w:tcPr>
            <w:tcW w:w="3095" w:type="dxa"/>
            <w:shd w:val="clear" w:color="auto" w:fill="auto"/>
          </w:tcPr>
          <w:p w14:paraId="512A1EA3" w14:textId="77777777" w:rsidR="008E79D1" w:rsidRDefault="008E79D1" w:rsidP="00D14A02">
            <w:pPr>
              <w:pStyle w:val="Default"/>
            </w:pPr>
            <w:r>
              <w:rPr>
                <w:sz w:val="22"/>
                <w:szCs w:val="22"/>
              </w:rPr>
              <w:t>94,0 (89,5–96,7)</w:t>
            </w:r>
          </w:p>
        </w:tc>
        <w:tc>
          <w:tcPr>
            <w:tcW w:w="3096" w:type="dxa"/>
            <w:shd w:val="clear" w:color="auto" w:fill="auto"/>
          </w:tcPr>
          <w:p w14:paraId="57E63D03" w14:textId="77777777" w:rsidR="008E79D1" w:rsidRDefault="008E79D1" w:rsidP="00D14A02">
            <w:pPr>
              <w:pStyle w:val="Default"/>
            </w:pPr>
            <w:r>
              <w:rPr>
                <w:sz w:val="22"/>
                <w:szCs w:val="22"/>
              </w:rPr>
              <w:t>96,3 (92,4–98,2)</w:t>
            </w:r>
          </w:p>
        </w:tc>
      </w:tr>
      <w:tr w:rsidR="008E79D1" w14:paraId="31267DE9" w14:textId="77777777" w:rsidTr="00D14A02">
        <w:tc>
          <w:tcPr>
            <w:tcW w:w="3095" w:type="dxa"/>
            <w:shd w:val="clear" w:color="auto" w:fill="auto"/>
          </w:tcPr>
          <w:p w14:paraId="6CD95D93" w14:textId="77777777" w:rsidR="008E79D1" w:rsidRDefault="008E79D1" w:rsidP="00D14A02">
            <w:pPr>
              <w:pStyle w:val="Default"/>
              <w:jc w:val="center"/>
            </w:pPr>
            <w:r>
              <w:rPr>
                <w:sz w:val="22"/>
                <w:szCs w:val="22"/>
              </w:rPr>
              <w:lastRenderedPageBreak/>
              <w:t>48 mėnesiai</w:t>
            </w:r>
          </w:p>
        </w:tc>
        <w:tc>
          <w:tcPr>
            <w:tcW w:w="3095" w:type="dxa"/>
            <w:shd w:val="clear" w:color="auto" w:fill="auto"/>
          </w:tcPr>
          <w:p w14:paraId="69E7C810" w14:textId="77777777" w:rsidR="008E79D1" w:rsidRDefault="008E79D1" w:rsidP="00D14A02">
            <w:pPr>
              <w:pStyle w:val="Default"/>
            </w:pPr>
            <w:r>
              <w:rPr>
                <w:sz w:val="22"/>
                <w:szCs w:val="22"/>
              </w:rPr>
              <w:t>87,9 (81,1–92,3)</w:t>
            </w:r>
          </w:p>
        </w:tc>
        <w:tc>
          <w:tcPr>
            <w:tcW w:w="3096" w:type="dxa"/>
            <w:shd w:val="clear" w:color="auto" w:fill="auto"/>
          </w:tcPr>
          <w:p w14:paraId="7BF2EACC" w14:textId="77777777" w:rsidR="008E79D1" w:rsidRDefault="008E79D1" w:rsidP="00D14A02">
            <w:pPr>
              <w:pStyle w:val="Default"/>
            </w:pPr>
            <w:r>
              <w:rPr>
                <w:sz w:val="22"/>
                <w:szCs w:val="22"/>
              </w:rPr>
              <w:t>95,6 (91,2–97,8)</w:t>
            </w:r>
          </w:p>
        </w:tc>
      </w:tr>
      <w:tr w:rsidR="008E79D1" w14:paraId="3AA408AE" w14:textId="77777777" w:rsidTr="00D14A02">
        <w:tc>
          <w:tcPr>
            <w:tcW w:w="3095" w:type="dxa"/>
            <w:tcBorders>
              <w:bottom w:val="single" w:sz="4" w:space="0" w:color="auto"/>
            </w:tcBorders>
            <w:shd w:val="clear" w:color="auto" w:fill="auto"/>
          </w:tcPr>
          <w:p w14:paraId="2CB91967" w14:textId="77777777" w:rsidR="008E79D1" w:rsidRDefault="008E79D1" w:rsidP="00D14A02">
            <w:pPr>
              <w:pStyle w:val="Default"/>
              <w:jc w:val="center"/>
            </w:pPr>
            <w:r>
              <w:rPr>
                <w:sz w:val="22"/>
                <w:szCs w:val="22"/>
              </w:rPr>
              <w:t>60 mėnesių</w:t>
            </w:r>
          </w:p>
        </w:tc>
        <w:tc>
          <w:tcPr>
            <w:tcW w:w="3095" w:type="dxa"/>
            <w:tcBorders>
              <w:bottom w:val="single" w:sz="4" w:space="0" w:color="auto"/>
            </w:tcBorders>
            <w:shd w:val="clear" w:color="auto" w:fill="auto"/>
          </w:tcPr>
          <w:p w14:paraId="54106261" w14:textId="77777777" w:rsidR="008E79D1" w:rsidRDefault="008E79D1" w:rsidP="00D14A02">
            <w:pPr>
              <w:pStyle w:val="Default"/>
            </w:pPr>
            <w:r>
              <w:rPr>
                <w:sz w:val="22"/>
                <w:szCs w:val="22"/>
              </w:rPr>
              <w:t>81,7 (73,0–87,8)</w:t>
            </w:r>
          </w:p>
        </w:tc>
        <w:tc>
          <w:tcPr>
            <w:tcW w:w="3096" w:type="dxa"/>
            <w:tcBorders>
              <w:bottom w:val="single" w:sz="4" w:space="0" w:color="auto"/>
            </w:tcBorders>
            <w:shd w:val="clear" w:color="auto" w:fill="auto"/>
          </w:tcPr>
          <w:p w14:paraId="139AF48A" w14:textId="77777777" w:rsidR="008E79D1" w:rsidRDefault="008E79D1" w:rsidP="00D14A02">
            <w:pPr>
              <w:pStyle w:val="Default"/>
            </w:pPr>
            <w:r>
              <w:rPr>
                <w:sz w:val="22"/>
                <w:szCs w:val="22"/>
              </w:rPr>
              <w:t>92,0 (85,3–95,7)</w:t>
            </w:r>
          </w:p>
        </w:tc>
      </w:tr>
    </w:tbl>
    <w:p w14:paraId="41EDDE0B" w14:textId="77777777" w:rsidR="008E79D1" w:rsidRDefault="008E79D1" w:rsidP="008E79D1">
      <w:pPr>
        <w:spacing w:after="0" w:line="240" w:lineRule="auto"/>
        <w:rPr>
          <w:rFonts w:ascii="Times New Roman" w:eastAsia="Times New Roman" w:hAnsi="Times New Roman" w:cs="Times New Roman"/>
          <w:szCs w:val="24"/>
        </w:rPr>
      </w:pPr>
    </w:p>
    <w:p w14:paraId="5D6C15E0" w14:textId="77777777" w:rsidR="008E79D1" w:rsidRPr="00E27623" w:rsidRDefault="008E79D1" w:rsidP="00534F79">
      <w:pPr>
        <w:keepNext/>
        <w:keepLines/>
        <w:spacing w:after="0" w:line="240" w:lineRule="auto"/>
        <w:rPr>
          <w:rFonts w:ascii="Times New Roman" w:eastAsia="Times New Roman" w:hAnsi="Times New Roman" w:cs="Times New Roman"/>
          <w:szCs w:val="24"/>
        </w:rPr>
      </w:pPr>
      <w:r w:rsidRPr="008D3472">
        <w:rPr>
          <w:rFonts w:ascii="Times New Roman" w:hAnsi="Times New Roman" w:cs="Times New Roman"/>
          <w:b/>
          <w:bCs/>
        </w:rPr>
        <w:t>1</w:t>
      </w:r>
      <w:r>
        <w:rPr>
          <w:rFonts w:ascii="Times New Roman" w:hAnsi="Times New Roman" w:cs="Times New Roman"/>
          <w:b/>
          <w:bCs/>
        </w:rPr>
        <w:t> </w:t>
      </w:r>
      <w:r w:rsidRPr="008D3472">
        <w:rPr>
          <w:rFonts w:ascii="Times New Roman" w:hAnsi="Times New Roman" w:cs="Times New Roman"/>
          <w:b/>
          <w:bCs/>
        </w:rPr>
        <w:t>pav. Pirminės vertinamosios baigties išgyvenamumo be ligos recidyvo duomenys, Kaplan-Meier kreivė (ITT populiacija)</w:t>
      </w:r>
    </w:p>
    <w:p w14:paraId="16900FF7" w14:textId="77777777" w:rsidR="008E79D1" w:rsidRDefault="008E79D1" w:rsidP="00534F79">
      <w:pPr>
        <w:keepNext/>
        <w:keepLines/>
        <w:spacing w:after="0" w:line="240" w:lineRule="auto"/>
        <w:rPr>
          <w:rFonts w:ascii="Times New Roman" w:eastAsia="Times New Roman" w:hAnsi="Times New Roman" w:cs="Times New Roman"/>
          <w:szCs w:val="24"/>
        </w:rPr>
      </w:pPr>
    </w:p>
    <w:p w14:paraId="2FC12530" w14:textId="77777777" w:rsidR="008E79D1" w:rsidRDefault="0080189F" w:rsidP="00534F79">
      <w:pPr>
        <w:keepNext/>
        <w:keepLines/>
        <w:spacing w:after="0" w:line="240" w:lineRule="auto"/>
        <w:rPr>
          <w:rFonts w:ascii="Times New Roman" w:eastAsia="Times New Roman" w:hAnsi="Times New Roman" w:cs="Times New Roman"/>
          <w:szCs w:val="24"/>
        </w:rPr>
      </w:pPr>
      <w:r w:rsidRPr="00020A14">
        <w:rPr>
          <w:noProof/>
          <w:lang w:eastAsia="lt-LT"/>
        </w:rPr>
        <w:drawing>
          <wp:inline distT="0" distB="0" distL="0" distR="0" wp14:anchorId="56C9EA56" wp14:editId="1B2FCDFF">
            <wp:extent cx="5753100" cy="2933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933700"/>
                    </a:xfrm>
                    <a:prstGeom prst="rect">
                      <a:avLst/>
                    </a:prstGeom>
                    <a:noFill/>
                    <a:ln>
                      <a:noFill/>
                    </a:ln>
                  </pic:spPr>
                </pic:pic>
              </a:graphicData>
            </a:graphic>
          </wp:inline>
        </w:drawing>
      </w:r>
    </w:p>
    <w:p w14:paraId="1FBC6D98" w14:textId="77777777" w:rsidR="008E79D1" w:rsidRDefault="008E79D1" w:rsidP="00534F79">
      <w:pPr>
        <w:keepNext/>
        <w:keepLines/>
        <w:spacing w:after="0" w:line="240" w:lineRule="auto"/>
        <w:rPr>
          <w:rFonts w:ascii="Times New Roman" w:eastAsia="Times New Roman" w:hAnsi="Times New Roman" w:cs="Times New Roman"/>
          <w:szCs w:val="24"/>
        </w:rPr>
      </w:pPr>
    </w:p>
    <w:p w14:paraId="1AC51AD1" w14:textId="77777777" w:rsidR="008E79D1" w:rsidRPr="00D647B5" w:rsidRDefault="008E79D1" w:rsidP="008E79D1">
      <w:pPr>
        <w:keepNext/>
        <w:keepLines/>
        <w:spacing w:after="0" w:line="240" w:lineRule="auto"/>
        <w:rPr>
          <w:rFonts w:ascii="Times New Roman" w:eastAsia="Times New Roman" w:hAnsi="Times New Roman" w:cs="Times New Roman"/>
          <w:szCs w:val="24"/>
        </w:rPr>
      </w:pPr>
      <w:r w:rsidRPr="008D3472">
        <w:rPr>
          <w:rFonts w:ascii="Times New Roman" w:hAnsi="Times New Roman" w:cs="Times New Roman"/>
          <w:b/>
          <w:bCs/>
        </w:rPr>
        <w:t>2</w:t>
      </w:r>
      <w:r>
        <w:rPr>
          <w:rFonts w:ascii="Times New Roman" w:hAnsi="Times New Roman" w:cs="Times New Roman"/>
          <w:b/>
          <w:bCs/>
        </w:rPr>
        <w:t> </w:t>
      </w:r>
      <w:r w:rsidRPr="008D3472">
        <w:rPr>
          <w:rFonts w:ascii="Times New Roman" w:hAnsi="Times New Roman" w:cs="Times New Roman"/>
          <w:b/>
          <w:bCs/>
        </w:rPr>
        <w:t>pav. Bendrojo išgyvenamumo duomenys, Kaplan-Meier kreivė (ITT populiacija)</w:t>
      </w:r>
    </w:p>
    <w:p w14:paraId="16A2790E" w14:textId="77777777" w:rsidR="008E79D1" w:rsidRDefault="008E79D1" w:rsidP="008E79D1">
      <w:pPr>
        <w:keepNext/>
        <w:keepLines/>
        <w:spacing w:after="0" w:line="240" w:lineRule="auto"/>
        <w:rPr>
          <w:rFonts w:ascii="Times New Roman" w:eastAsia="Times New Roman" w:hAnsi="Times New Roman" w:cs="Times New Roman"/>
          <w:szCs w:val="24"/>
        </w:rPr>
      </w:pPr>
    </w:p>
    <w:p w14:paraId="720AB93E" w14:textId="77777777" w:rsidR="008E79D1" w:rsidRDefault="0080189F" w:rsidP="008E79D1">
      <w:pPr>
        <w:spacing w:after="0" w:line="240" w:lineRule="auto"/>
        <w:rPr>
          <w:rFonts w:ascii="Times New Roman" w:eastAsia="Times New Roman" w:hAnsi="Times New Roman" w:cs="Times New Roman"/>
          <w:szCs w:val="24"/>
        </w:rPr>
      </w:pPr>
      <w:r w:rsidRPr="00020A14">
        <w:rPr>
          <w:noProof/>
          <w:lang w:eastAsia="lt-LT"/>
        </w:rPr>
        <w:drawing>
          <wp:inline distT="0" distB="0" distL="0" distR="0" wp14:anchorId="13FE6091" wp14:editId="20CB659B">
            <wp:extent cx="5762625" cy="3019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t="8382"/>
                    <a:stretch>
                      <a:fillRect/>
                    </a:stretch>
                  </pic:blipFill>
                  <pic:spPr bwMode="auto">
                    <a:xfrm>
                      <a:off x="0" y="0"/>
                      <a:ext cx="5762625" cy="3019425"/>
                    </a:xfrm>
                    <a:prstGeom prst="rect">
                      <a:avLst/>
                    </a:prstGeom>
                    <a:noFill/>
                    <a:ln>
                      <a:noFill/>
                    </a:ln>
                  </pic:spPr>
                </pic:pic>
              </a:graphicData>
            </a:graphic>
          </wp:inline>
        </w:drawing>
      </w:r>
    </w:p>
    <w:p w14:paraId="20717157" w14:textId="77777777" w:rsidR="008E79D1" w:rsidRDefault="008E79D1" w:rsidP="008E79D1">
      <w:pPr>
        <w:spacing w:after="0" w:line="240" w:lineRule="auto"/>
        <w:rPr>
          <w:rFonts w:ascii="Times New Roman" w:eastAsia="Times New Roman" w:hAnsi="Times New Roman" w:cs="Times New Roman"/>
          <w:szCs w:val="24"/>
        </w:rPr>
      </w:pPr>
    </w:p>
    <w:p w14:paraId="3B15ED26" w14:textId="77777777" w:rsidR="008E79D1" w:rsidRDefault="008E79D1" w:rsidP="008E79D1">
      <w:pPr>
        <w:spacing w:after="0" w:line="240" w:lineRule="auto"/>
        <w:rPr>
          <w:rFonts w:ascii="Times New Roman" w:eastAsia="Times New Roman" w:hAnsi="Times New Roman" w:cs="Times New Roman"/>
          <w:szCs w:val="24"/>
        </w:rPr>
      </w:pPr>
      <w:r w:rsidRPr="008D3472">
        <w:rPr>
          <w:rFonts w:ascii="Times New Roman" w:hAnsi="Times New Roman" w:cs="Times New Roman"/>
        </w:rPr>
        <w:t>Kontroliuojamųjų klinikinių tyrimų su c-Kit teigiamais VTSN sergančiais vaikais neatlikta. 7 literatūros šaltiniuose aprašyta 17</w:t>
      </w:r>
      <w:r>
        <w:rPr>
          <w:rFonts w:ascii="Times New Roman" w:hAnsi="Times New Roman" w:cs="Times New Roman"/>
        </w:rPr>
        <w:t> </w:t>
      </w:r>
      <w:r w:rsidRPr="008D3472">
        <w:rPr>
          <w:rFonts w:ascii="Times New Roman" w:hAnsi="Times New Roman" w:cs="Times New Roman"/>
        </w:rPr>
        <w:t>pacientų, sirgusių VTSN (su nustatytomis Kit ir PDGFR genų mutacijomis arba be jų). Šių pacientų amžius svyravo nuo 8</w:t>
      </w:r>
      <w:r>
        <w:rPr>
          <w:rFonts w:ascii="Times New Roman" w:hAnsi="Times New Roman" w:cs="Times New Roman"/>
        </w:rPr>
        <w:t> </w:t>
      </w:r>
      <w:r w:rsidRPr="008D3472">
        <w:rPr>
          <w:rFonts w:ascii="Times New Roman" w:hAnsi="Times New Roman" w:cs="Times New Roman"/>
        </w:rPr>
        <w:t>metų iki 18</w:t>
      </w:r>
      <w:r>
        <w:rPr>
          <w:rFonts w:ascii="Times New Roman" w:hAnsi="Times New Roman" w:cs="Times New Roman"/>
        </w:rPr>
        <w:t> </w:t>
      </w:r>
      <w:r w:rsidRPr="008D3472">
        <w:rPr>
          <w:rFonts w:ascii="Times New Roman" w:hAnsi="Times New Roman" w:cs="Times New Roman"/>
        </w:rPr>
        <w:t>metų, jiems buvo skiriamos imatinibo (kaip adjuvanto arba metastazinės ligos gydymo sudėtinė dalis) dozės nuo 300</w:t>
      </w:r>
      <w:r>
        <w:rPr>
          <w:rFonts w:ascii="Times New Roman" w:hAnsi="Times New Roman" w:cs="Times New Roman"/>
        </w:rPr>
        <w:t> </w:t>
      </w:r>
      <w:r w:rsidRPr="008D3472">
        <w:rPr>
          <w:rFonts w:ascii="Times New Roman" w:hAnsi="Times New Roman" w:cs="Times New Roman"/>
        </w:rPr>
        <w:t>mg iki 800</w:t>
      </w:r>
      <w:r>
        <w:rPr>
          <w:rFonts w:ascii="Times New Roman" w:hAnsi="Times New Roman" w:cs="Times New Roman"/>
        </w:rPr>
        <w:t> </w:t>
      </w:r>
      <w:r w:rsidRPr="008D3472">
        <w:rPr>
          <w:rFonts w:ascii="Times New Roman" w:hAnsi="Times New Roman" w:cs="Times New Roman"/>
        </w:rPr>
        <w:t>mg per parą. Daugeliui vaikų, kurie buvo gydomi nuo VTSN, trūko duomenų apie nustatytas c-Kit arba PDGFR genų mutacijas, todėl tai galėjo lemti nevienalytes klinikines išeitis.</w:t>
      </w:r>
    </w:p>
    <w:p w14:paraId="53379CC7" w14:textId="77777777" w:rsidR="00DE2956" w:rsidRPr="007B75DC" w:rsidRDefault="00DE2956" w:rsidP="00DE2956">
      <w:pPr>
        <w:spacing w:after="0" w:line="240" w:lineRule="auto"/>
        <w:rPr>
          <w:rFonts w:ascii="Times New Roman" w:eastAsia="Times New Roman" w:hAnsi="Times New Roman" w:cs="Times New Roman"/>
          <w:szCs w:val="24"/>
        </w:rPr>
      </w:pPr>
    </w:p>
    <w:p w14:paraId="17864D32"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DFSP klinikiniai tyrimai</w:t>
      </w:r>
    </w:p>
    <w:p w14:paraId="164C34E8" w14:textId="79B8849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Viename II fazės, atvirame, daugiacentriniame, klinikiniame tyrime (tyrimas B2225) dalyvavo 12 DFSP sergančių pacientų, vartojusių 800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imatinibo per parą. DFSP sirgusių pacientų amžius buvo </w:t>
      </w:r>
      <w:r w:rsidRPr="007B75DC">
        <w:rPr>
          <w:rFonts w:ascii="Times New Roman" w:eastAsia="Times New Roman" w:hAnsi="Times New Roman" w:cs="Times New Roman"/>
          <w:szCs w:val="24"/>
        </w:rPr>
        <w:lastRenderedPageBreak/>
        <w:t xml:space="preserve">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w:t>
      </w:r>
      <w:r w:rsidR="005A521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dalinis. Trims pacientams iš tų, kuriems buvo gautas dalinis atsakas, navikas pašalintas operacijos metu. Gydymo trukmės mediana B2225 tyrimo metu buvo 6,2</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mėnesio, o didžiausia trukmė </w:t>
      </w:r>
      <w:r w:rsidR="005A521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24,3</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mėnesio. Dar 6 DFSP sirgusių ir imatinibu gydytų pacientų ligos istorijos nagrinėtos 5 paskelbtuose klinikinių atvejų aprašymuose, jų amžius svyravo nuo 18</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mėnesių iki 49</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Literatūroje aprašyti suaugę pacientai vartojo arba 400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atvejai), arba 800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atvejis) imatinibo per parą. Penkiems (5) pacientams buvo gautas atsakas, 3 – pilnas, o 2 </w:t>
      </w:r>
      <w:r w:rsidR="005A521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dalinis. Literatūroje skelbtų atvejų gydymo trukmės mediana buvo nuo 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savaičių iki daugiau kaip 20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mėnesių. Translokacija t(17:22)[(q22:q13)] arba jos genų produktas buvo beveik visuose atsakuose į </w:t>
      </w:r>
      <w:r w:rsidR="005A5218">
        <w:rPr>
          <w:rFonts w:ascii="Times New Roman" w:eastAsia="Times New Roman" w:hAnsi="Times New Roman" w:cs="Times New Roman"/>
          <w:szCs w:val="24"/>
        </w:rPr>
        <w:t>gydymą imatinibu</w:t>
      </w:r>
      <w:r w:rsidRPr="007B75DC">
        <w:rPr>
          <w:rFonts w:ascii="Times New Roman" w:eastAsia="Times New Roman" w:hAnsi="Times New Roman" w:cs="Times New Roman"/>
          <w:szCs w:val="24"/>
        </w:rPr>
        <w:t>.</w:t>
      </w:r>
    </w:p>
    <w:p w14:paraId="04967589" w14:textId="77777777" w:rsidR="00DE2956" w:rsidRPr="007B75DC" w:rsidRDefault="00DE2956" w:rsidP="00DE2956">
      <w:pPr>
        <w:spacing w:after="0" w:line="240" w:lineRule="auto"/>
        <w:rPr>
          <w:rFonts w:ascii="Times New Roman" w:eastAsia="Times New Roman" w:hAnsi="Times New Roman" w:cs="Times New Roman"/>
          <w:szCs w:val="24"/>
        </w:rPr>
      </w:pPr>
    </w:p>
    <w:p w14:paraId="1B27C6AA" w14:textId="6E5599D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Kontroliuojamųjų klinikinių tyrimų su DFSP sergančiais vaikais neatlikta. 3 literatūros šaltiniuose aprašyti 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pacientai, kurie sirgo DFSP ir kuriems buvo nustatyta PDGFR genų pakitimų. Šių pacientų amžius svyravo nuo naujagimio iki 14</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metų, jiems buvo skiriama 50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imatinibo dozė arba nuo 400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iki 520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kūno paviršiaus ploto per parą dozė. Visiems pacientams pasiektas dalinis ir (arba) visiškas atsakas.</w:t>
      </w:r>
      <w:r w:rsidRPr="007B75DC">
        <w:rPr>
          <w:rFonts w:ascii="Times New Roman" w:eastAsia="Times New Roman" w:hAnsi="Times New Roman" w:cs="Times New Roman"/>
          <w:szCs w:val="24"/>
        </w:rPr>
        <w:cr/>
      </w:r>
    </w:p>
    <w:p w14:paraId="5FFD1C95" w14:textId="77777777" w:rsidR="00DE2956" w:rsidRPr="007B75DC" w:rsidRDefault="00DE2956" w:rsidP="00146B23">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5.2</w:t>
      </w:r>
      <w:r w:rsidRPr="007B75DC">
        <w:rPr>
          <w:rFonts w:ascii="Times New Roman" w:eastAsia="Times New Roman" w:hAnsi="Times New Roman" w:cs="Times New Roman"/>
          <w:b/>
          <w:szCs w:val="24"/>
        </w:rPr>
        <w:tab/>
        <w:t xml:space="preserve">Farmakokinetinės savybės </w:t>
      </w:r>
    </w:p>
    <w:p w14:paraId="0C3E5C25"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4F61AD04"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Imatinibo farmakokinetika</w:t>
      </w:r>
    </w:p>
    <w:p w14:paraId="7137476B" w14:textId="2100B4E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Imatinibo farmakokinetika tirta vartojant nuo 25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iki 1</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000</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mg dozes. Kraujo plazmos farmakokinetikos pobūdis buvo tiriamas 1-ąją dieną ir 7-ąją arba 28-ąją dieną, kai koncentracija kraujo plazmoje pasidaro pastovi.</w:t>
      </w:r>
    </w:p>
    <w:p w14:paraId="70BBD352" w14:textId="77777777" w:rsidR="00DE2956" w:rsidRPr="007B75DC" w:rsidRDefault="00DE2956" w:rsidP="00DE2956">
      <w:pPr>
        <w:spacing w:after="0" w:line="240" w:lineRule="auto"/>
        <w:rPr>
          <w:rFonts w:ascii="Times New Roman" w:eastAsia="Times New Roman" w:hAnsi="Times New Roman" w:cs="Times New Roman"/>
          <w:szCs w:val="24"/>
        </w:rPr>
      </w:pPr>
    </w:p>
    <w:p w14:paraId="70A6EFF1"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Absorbcija</w:t>
      </w:r>
    </w:p>
    <w:p w14:paraId="4F4FD3D5" w14:textId="3328E25A"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Vidutinis absoliutus imatinibo biologinis prieinamumas yra 98</w:t>
      </w:r>
      <w:r w:rsidR="0024146B">
        <w:rPr>
          <w:rFonts w:ascii="Times New Roman" w:eastAsia="Times New Roman" w:hAnsi="Times New Roman" w:cs="Times New Roman"/>
          <w:szCs w:val="24"/>
        </w:rPr>
        <w:t> </w:t>
      </w:r>
      <w:r w:rsidRPr="007B75DC">
        <w:rPr>
          <w:rFonts w:ascii="Times New Roman" w:eastAsia="Times New Roman" w:hAnsi="Times New Roman" w:cs="Times New Roman"/>
          <w:szCs w:val="24"/>
        </w:rPr>
        <w:t>%. Nustatyta didelis skirtingų pacientų kraujo plazmos imatinibo AUC reikšmės svyravimas po išgertos dozės. Vartojamo su riebiu maistu imatinibo absorbcijos greitis labai nedaug sumažėja (C</w:t>
      </w:r>
      <w:r w:rsidRPr="007B75DC">
        <w:rPr>
          <w:rFonts w:ascii="Times New Roman" w:eastAsia="Times New Roman" w:hAnsi="Times New Roman" w:cs="Times New Roman"/>
          <w:szCs w:val="24"/>
          <w:vertAlign w:val="subscript"/>
        </w:rPr>
        <w:t>max</w:t>
      </w:r>
      <w:r w:rsidRPr="007B75DC">
        <w:rPr>
          <w:rFonts w:ascii="Times New Roman" w:eastAsia="Times New Roman" w:hAnsi="Times New Roman" w:cs="Times New Roman"/>
          <w:szCs w:val="24"/>
        </w:rPr>
        <w:t xml:space="preserve"> sumažėja 11</w:t>
      </w:r>
      <w:r w:rsidR="0024146B">
        <w:rPr>
          <w:rFonts w:ascii="Times New Roman" w:eastAsia="Times New Roman" w:hAnsi="Times New Roman" w:cs="Times New Roman"/>
          <w:szCs w:val="24"/>
        </w:rPr>
        <w:t> </w:t>
      </w:r>
      <w:r w:rsidRPr="007B75DC">
        <w:rPr>
          <w:rFonts w:ascii="Times New Roman" w:eastAsia="Times New Roman" w:hAnsi="Times New Roman" w:cs="Times New Roman"/>
          <w:szCs w:val="24"/>
        </w:rPr>
        <w:t>% ir t</w:t>
      </w:r>
      <w:r w:rsidRPr="007B75DC">
        <w:rPr>
          <w:rFonts w:ascii="Times New Roman" w:eastAsia="Times New Roman" w:hAnsi="Times New Roman" w:cs="Times New Roman"/>
          <w:szCs w:val="24"/>
          <w:vertAlign w:val="subscript"/>
        </w:rPr>
        <w:t>max</w:t>
      </w:r>
      <w:r w:rsidRPr="007B75DC">
        <w:rPr>
          <w:rFonts w:ascii="Times New Roman" w:eastAsia="Times New Roman" w:hAnsi="Times New Roman" w:cs="Times New Roman"/>
          <w:szCs w:val="24"/>
        </w:rPr>
        <w:t xml:space="preserve"> pailgėja 1,5</w:t>
      </w:r>
      <w:r w:rsidR="00603DB8">
        <w:rPr>
          <w:rFonts w:ascii="Times New Roman" w:eastAsia="Times New Roman" w:hAnsi="Times New Roman" w:cs="Times New Roman"/>
          <w:szCs w:val="24"/>
        </w:rPr>
        <w:t> </w:t>
      </w:r>
      <w:r w:rsidRPr="007B75DC">
        <w:rPr>
          <w:rFonts w:ascii="Times New Roman" w:eastAsia="Times New Roman" w:hAnsi="Times New Roman" w:cs="Times New Roman"/>
          <w:szCs w:val="24"/>
        </w:rPr>
        <w:t>val.), taip pat šiek tiek sumažėja AUC (7,4</w:t>
      </w:r>
      <w:r w:rsidR="0024146B">
        <w:rPr>
          <w:rFonts w:ascii="Times New Roman" w:eastAsia="Times New Roman" w:hAnsi="Times New Roman" w:cs="Times New Roman"/>
          <w:szCs w:val="24"/>
        </w:rPr>
        <w:t> </w:t>
      </w:r>
      <w:r w:rsidRPr="007B75DC">
        <w:rPr>
          <w:rFonts w:ascii="Times New Roman" w:eastAsia="Times New Roman" w:hAnsi="Times New Roman" w:cs="Times New Roman"/>
          <w:szCs w:val="24"/>
        </w:rPr>
        <w:t>%) lyginant su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vartojimu nevalgius. Anksčiau atliktos virškinimo trakto operacijos įtaka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absorbcijai netirta.</w:t>
      </w:r>
    </w:p>
    <w:p w14:paraId="447E5FC8" w14:textId="77777777" w:rsidR="00DE2956" w:rsidRPr="007B75DC" w:rsidRDefault="00DE2956" w:rsidP="00DE2956">
      <w:pPr>
        <w:spacing w:after="0" w:line="240" w:lineRule="auto"/>
        <w:rPr>
          <w:rFonts w:ascii="Times New Roman" w:eastAsia="Times New Roman" w:hAnsi="Times New Roman" w:cs="Times New Roman"/>
          <w:szCs w:val="24"/>
        </w:rPr>
      </w:pPr>
    </w:p>
    <w:p w14:paraId="3F2D477C"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Pasiskirstymas</w:t>
      </w:r>
    </w:p>
    <w:p w14:paraId="471C32FE"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Kai susidaro kliniškai reikšminga imatinibo koncentracija, apie 95</w:t>
      </w:r>
      <w:r w:rsidR="0024146B">
        <w:rPr>
          <w:rFonts w:ascii="Times New Roman" w:eastAsia="Times New Roman" w:hAnsi="Times New Roman" w:cs="Times New Roman"/>
          <w:szCs w:val="24"/>
        </w:rPr>
        <w:t> </w:t>
      </w:r>
      <w:r w:rsidRPr="007B75DC">
        <w:rPr>
          <w:rFonts w:ascii="Times New Roman" w:eastAsia="Times New Roman" w:hAnsi="Times New Roman" w:cs="Times New Roman"/>
          <w:szCs w:val="24"/>
        </w:rPr>
        <w:t>%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 xml:space="preserve">o jungiasi su kraujo plazmos baltymais (pagal eksperimentus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daugiausia su albuminu ir alfa rūgščiuoju glikoproteinu ir labai mažai su lipoproteinu.</w:t>
      </w:r>
    </w:p>
    <w:p w14:paraId="1FDD1709" w14:textId="77777777" w:rsidR="00DE2956" w:rsidRPr="007B75DC" w:rsidRDefault="00DE2956" w:rsidP="00DE2956">
      <w:pPr>
        <w:spacing w:after="0" w:line="240" w:lineRule="auto"/>
        <w:rPr>
          <w:rFonts w:ascii="Times New Roman" w:eastAsia="Times New Roman" w:hAnsi="Times New Roman" w:cs="Times New Roman"/>
          <w:szCs w:val="24"/>
        </w:rPr>
      </w:pPr>
    </w:p>
    <w:p w14:paraId="7FC98929"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Biotransformacija</w:t>
      </w:r>
    </w:p>
    <w:p w14:paraId="719FE260"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Pagrindinis cirkuliuojantis metabolitas žmogaus organizme yra N-demetilintas piperazino derivatas, kuris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veikia taip pat stipriai kaip ir jo pirmtakas. Šio metabolito kraujo plazmos AUC sudaro tik 16</w:t>
      </w:r>
      <w:r w:rsidR="0024146B">
        <w:rPr>
          <w:rFonts w:ascii="Times New Roman" w:eastAsia="Times New Roman" w:hAnsi="Times New Roman" w:cs="Times New Roman"/>
          <w:szCs w:val="24"/>
        </w:rPr>
        <w:t> </w:t>
      </w:r>
      <w:r w:rsidRPr="007B75DC">
        <w:rPr>
          <w:rFonts w:ascii="Times New Roman" w:eastAsia="Times New Roman" w:hAnsi="Times New Roman" w:cs="Times New Roman"/>
          <w:szCs w:val="24"/>
        </w:rPr>
        <w:t>% imatinibo AUC. N-demetilintas metabolitas jungiasi su kraujo plazmos baltymais panašiai kaip pagrindinis junginys.</w:t>
      </w:r>
    </w:p>
    <w:p w14:paraId="1DBC8014" w14:textId="77777777" w:rsidR="00DE2956" w:rsidRPr="007B75DC" w:rsidRDefault="00DE2956" w:rsidP="00DE2956">
      <w:pPr>
        <w:spacing w:after="0" w:line="240" w:lineRule="auto"/>
        <w:rPr>
          <w:rFonts w:ascii="Times New Roman" w:eastAsia="Times New Roman" w:hAnsi="Times New Roman" w:cs="Times New Roman"/>
          <w:szCs w:val="24"/>
        </w:rPr>
      </w:pPr>
    </w:p>
    <w:p w14:paraId="638A34D6"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Imatinibas ir N-demetilmetabolitas kartu sudaro 65</w:t>
      </w:r>
      <w:r w:rsidR="0024146B">
        <w:rPr>
          <w:rFonts w:ascii="Times New Roman" w:eastAsia="Times New Roman" w:hAnsi="Times New Roman" w:cs="Times New Roman"/>
          <w:szCs w:val="24"/>
        </w:rPr>
        <w:t> </w:t>
      </w:r>
      <w:r w:rsidRPr="007B75DC">
        <w:rPr>
          <w:rFonts w:ascii="Times New Roman" w:eastAsia="Times New Roman" w:hAnsi="Times New Roman" w:cs="Times New Roman"/>
          <w:szCs w:val="24"/>
        </w:rPr>
        <w:t>% cirkuliuojančio radioaktyvumo (AUC</w:t>
      </w:r>
      <w:r w:rsidRPr="007B75DC">
        <w:rPr>
          <w:rFonts w:ascii="Times New Roman" w:eastAsia="Times New Roman" w:hAnsi="Times New Roman" w:cs="Times New Roman"/>
          <w:szCs w:val="24"/>
          <w:vertAlign w:val="subscript"/>
        </w:rPr>
        <w:t>0-48h</w:t>
      </w:r>
      <w:r w:rsidRPr="007B75DC">
        <w:rPr>
          <w:rFonts w:ascii="Times New Roman" w:eastAsia="Times New Roman" w:hAnsi="Times New Roman" w:cs="Times New Roman"/>
          <w:szCs w:val="24"/>
        </w:rPr>
        <w:t>). Kitas cirkuliuojantis radioaktyvumas priklauso nuo kelių mažesnių metabolitų.</w:t>
      </w:r>
    </w:p>
    <w:p w14:paraId="4819F113" w14:textId="77777777" w:rsidR="00DE2956" w:rsidRPr="007B75DC" w:rsidRDefault="00DE2956" w:rsidP="00DE2956">
      <w:pPr>
        <w:spacing w:after="0" w:line="240" w:lineRule="auto"/>
        <w:rPr>
          <w:rFonts w:ascii="Times New Roman" w:eastAsia="Times New Roman" w:hAnsi="Times New Roman" w:cs="Times New Roman"/>
          <w:szCs w:val="24"/>
        </w:rPr>
      </w:pPr>
    </w:p>
    <w:p w14:paraId="26423EFE" w14:textId="5319B892"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Tyrimai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parodė, kad CYP3A4 yra pagrindinis žmogaus P450 fermentas, katalizuojantis imatinibo biotransformaciją. Iš daugelio kartu vartotų vaist</w:t>
      </w:r>
      <w:r w:rsidR="008E79D1">
        <w:rPr>
          <w:rFonts w:ascii="Times New Roman" w:eastAsia="Times New Roman" w:hAnsi="Times New Roman" w:cs="Times New Roman"/>
          <w:szCs w:val="24"/>
        </w:rPr>
        <w:t>inių preparat</w:t>
      </w:r>
      <w:r w:rsidRPr="007B75DC">
        <w:rPr>
          <w:rFonts w:ascii="Times New Roman" w:eastAsia="Times New Roman" w:hAnsi="Times New Roman" w:cs="Times New Roman"/>
          <w:szCs w:val="24"/>
        </w:rPr>
        <w:t>ų (acetaminofeno, acikloviro, alopurinolio, amfotericino, citarabino, eritromicino, flukonazolio, hidroksišlapalo, norfloksacino, penicilino V) tik eritromicino (IC</w:t>
      </w:r>
      <w:r w:rsidRPr="007B75DC">
        <w:rPr>
          <w:rFonts w:ascii="Times New Roman" w:eastAsia="Times New Roman" w:hAnsi="Times New Roman" w:cs="Times New Roman"/>
          <w:szCs w:val="24"/>
          <w:vertAlign w:val="subscript"/>
        </w:rPr>
        <w:t>50</w:t>
      </w:r>
      <w:r w:rsidRPr="007B75DC">
        <w:rPr>
          <w:rFonts w:ascii="Times New Roman" w:eastAsia="Times New Roman" w:hAnsi="Times New Roman" w:cs="Times New Roman"/>
          <w:szCs w:val="24"/>
        </w:rPr>
        <w:t xml:space="preserve"> 50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µM) ir flukonazolio (IC</w:t>
      </w:r>
      <w:r w:rsidRPr="007B75DC">
        <w:rPr>
          <w:rFonts w:ascii="Times New Roman" w:eastAsia="Times New Roman" w:hAnsi="Times New Roman" w:cs="Times New Roman"/>
          <w:szCs w:val="24"/>
          <w:vertAlign w:val="subscript"/>
        </w:rPr>
        <w:t>50</w:t>
      </w:r>
      <w:r w:rsidRPr="007B75DC">
        <w:rPr>
          <w:rFonts w:ascii="Times New Roman" w:eastAsia="Times New Roman" w:hAnsi="Times New Roman" w:cs="Times New Roman"/>
          <w:szCs w:val="24"/>
        </w:rPr>
        <w:t xml:space="preserve"> 118</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µM) slopinamas imatinibo metabolizmas gali būti kliniškai reikšmingas.</w:t>
      </w:r>
    </w:p>
    <w:p w14:paraId="56776EFD"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3EE9BC26" w14:textId="3E94DF60"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nustatyta, kad imatinibas yra konkurencinis CYP2C9, CYP2D6 ir CYP3A4/5 substratų inhibitorius. Žmogaus kepenų mikrosomų K</w:t>
      </w:r>
      <w:r w:rsidRPr="007B75DC">
        <w:rPr>
          <w:rFonts w:ascii="Times New Roman" w:eastAsia="Times New Roman" w:hAnsi="Times New Roman" w:cs="Times New Roman"/>
          <w:szCs w:val="24"/>
          <w:vertAlign w:val="subscript"/>
        </w:rPr>
        <w:t>i</w:t>
      </w:r>
      <w:r w:rsidRPr="007B75DC">
        <w:rPr>
          <w:rFonts w:ascii="Times New Roman" w:eastAsia="Times New Roman" w:hAnsi="Times New Roman" w:cs="Times New Roman"/>
          <w:szCs w:val="24"/>
        </w:rPr>
        <w:t xml:space="preserve"> rodmuo buvo atitinkamai 27, 7,5 ir 7,9</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µmol/l. Didžiausia pacientų imatinibo koncentracija kraujo plazmoje yra 2–4</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µmol/l, taigi galimas CYP2D6 ir (ar) CYP3A4/5 medijuojamo kartu vartojamų vaist</w:t>
      </w:r>
      <w:r w:rsidR="008E79D1">
        <w:rPr>
          <w:rFonts w:ascii="Times New Roman" w:eastAsia="Times New Roman" w:hAnsi="Times New Roman" w:cs="Times New Roman"/>
          <w:szCs w:val="24"/>
        </w:rPr>
        <w:t>inių preparat</w:t>
      </w:r>
      <w:r w:rsidRPr="007B75DC">
        <w:rPr>
          <w:rFonts w:ascii="Times New Roman" w:eastAsia="Times New Roman" w:hAnsi="Times New Roman" w:cs="Times New Roman"/>
          <w:szCs w:val="24"/>
        </w:rPr>
        <w:t xml:space="preserve">ų metabolizmo slopinimas. Imatinibas </w:t>
      </w:r>
      <w:r w:rsidRPr="007B75DC">
        <w:rPr>
          <w:rFonts w:ascii="Times New Roman" w:eastAsia="Times New Roman" w:hAnsi="Times New Roman" w:cs="Times New Roman"/>
          <w:szCs w:val="24"/>
        </w:rPr>
        <w:lastRenderedPageBreak/>
        <w:t>neturi įtakos 5-fluoruracilio biotransformacijai, tačiau slopina paklitakselio metabolizmą dėl konkurencinio CYP2C8 slopinimo (K</w:t>
      </w:r>
      <w:r w:rsidRPr="007B75DC">
        <w:rPr>
          <w:rFonts w:ascii="Times New Roman" w:eastAsia="Times New Roman" w:hAnsi="Times New Roman" w:cs="Times New Roman"/>
          <w:szCs w:val="24"/>
          <w:vertAlign w:val="subscript"/>
        </w:rPr>
        <w:t>i</w:t>
      </w:r>
      <w:r w:rsidRPr="007B75DC">
        <w:rPr>
          <w:rFonts w:ascii="Times New Roman" w:eastAsia="Times New Roman" w:hAnsi="Times New Roman" w:cs="Times New Roman"/>
          <w:szCs w:val="24"/>
        </w:rPr>
        <w:t xml:space="preserve"> = 34,7</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µM). Šis Ki rodmuo yra daug didesnis negu tikėtina imatinibo koncentracija pacientų kraujo plazmoje, todėl, imatinibą vartojant kartu su 5-fluoruraciliu ar paklitakseliu, sąveikos neturėtų būti.</w:t>
      </w:r>
    </w:p>
    <w:p w14:paraId="27E3C849" w14:textId="77777777" w:rsidR="00DE2956" w:rsidRPr="007B75DC" w:rsidRDefault="00DE2956" w:rsidP="00DE2956">
      <w:pPr>
        <w:spacing w:after="0" w:line="240" w:lineRule="auto"/>
        <w:rPr>
          <w:rFonts w:ascii="Times New Roman" w:eastAsia="Times New Roman" w:hAnsi="Times New Roman" w:cs="Times New Roman"/>
          <w:szCs w:val="24"/>
        </w:rPr>
      </w:pPr>
    </w:p>
    <w:p w14:paraId="6887611F" w14:textId="77777777" w:rsidR="00DE2956" w:rsidRPr="007B75DC" w:rsidRDefault="00DE2956" w:rsidP="00534F79">
      <w:pPr>
        <w:keepNext/>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Eliminacija</w:t>
      </w:r>
    </w:p>
    <w:p w14:paraId="2CA5E2D7" w14:textId="704A2BC8" w:rsidR="00DE2956" w:rsidRPr="007B75DC" w:rsidRDefault="00DE2956" w:rsidP="00534F79">
      <w:pPr>
        <w:keepNext/>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Pagal junginio išsiskyrimą po išgertos 14C-žymėtojo imatinibo dozės, maždaug 81</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dozės per 7</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dienas išsiskiria su išmatomis (68</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dozės) ir šlapimu (13</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dozės). Nepakitęs imatinibas sudaro 25</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dozės (5</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šlapime, 20</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išmatose), kita dalis yra metabolitų pavidalu.</w:t>
      </w:r>
    </w:p>
    <w:p w14:paraId="72FC2041" w14:textId="77777777" w:rsidR="00DE2956" w:rsidRPr="007B75DC" w:rsidRDefault="00DE2956" w:rsidP="00DE2956">
      <w:pPr>
        <w:spacing w:after="0" w:line="240" w:lineRule="auto"/>
        <w:rPr>
          <w:rFonts w:ascii="Times New Roman" w:eastAsia="Times New Roman" w:hAnsi="Times New Roman" w:cs="Times New Roman"/>
          <w:szCs w:val="24"/>
        </w:rPr>
      </w:pPr>
    </w:p>
    <w:p w14:paraId="4D6E48C3"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Kraujo plazmos farmakokinetika</w:t>
      </w:r>
    </w:p>
    <w:p w14:paraId="1AEA3117" w14:textId="43D52BF3"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Sveikų savanorių išgerto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t</w:t>
      </w:r>
      <w:r w:rsidRPr="007B75DC">
        <w:rPr>
          <w:rFonts w:ascii="Times New Roman" w:eastAsia="Times New Roman" w:hAnsi="Times New Roman" w:cs="Times New Roman"/>
          <w:szCs w:val="24"/>
          <w:vertAlign w:val="subscript"/>
        </w:rPr>
        <w:t>½</w:t>
      </w:r>
      <w:r w:rsidRPr="007B75DC">
        <w:rPr>
          <w:rFonts w:ascii="Times New Roman" w:eastAsia="Times New Roman" w:hAnsi="Times New Roman" w:cs="Times New Roman"/>
          <w:szCs w:val="24"/>
        </w:rPr>
        <w:t xml:space="preserve"> buvo maždaug 18</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val., tai rodo, kad vaist</w:t>
      </w:r>
      <w:r w:rsidR="008E79D1">
        <w:rPr>
          <w:rFonts w:ascii="Times New Roman" w:eastAsia="Times New Roman" w:hAnsi="Times New Roman" w:cs="Times New Roman"/>
          <w:szCs w:val="24"/>
        </w:rPr>
        <w:t>inį preparat</w:t>
      </w:r>
      <w:r w:rsidRPr="007B75DC">
        <w:rPr>
          <w:rFonts w:ascii="Times New Roman" w:eastAsia="Times New Roman" w:hAnsi="Times New Roman" w:cs="Times New Roman"/>
          <w:szCs w:val="24"/>
        </w:rPr>
        <w:t>ą galima vartoti vieną kartą per parą. Geriant 25–1</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000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imatinibo, vidutinio AUC didėjimas, didėjant dozei, buvo linijinis ir proporcingas dozei. Kartotinai vartojamo imatinibo kinetika nepakito, o akumuliacija buvo 1,5–2,5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karto didesnė, kai, vaist</w:t>
      </w:r>
      <w:r w:rsidR="008E79D1">
        <w:rPr>
          <w:rFonts w:ascii="Times New Roman" w:eastAsia="Times New Roman" w:hAnsi="Times New Roman" w:cs="Times New Roman"/>
          <w:szCs w:val="24"/>
        </w:rPr>
        <w:t>inį preparat</w:t>
      </w:r>
      <w:r w:rsidRPr="007B75DC">
        <w:rPr>
          <w:rFonts w:ascii="Times New Roman" w:eastAsia="Times New Roman" w:hAnsi="Times New Roman" w:cs="Times New Roman"/>
          <w:szCs w:val="24"/>
        </w:rPr>
        <w:t>ą vartojant vieną kartą per parą, buvo pasiekta pastovi koncentracija.</w:t>
      </w:r>
    </w:p>
    <w:p w14:paraId="256A0770" w14:textId="77777777" w:rsidR="008E79D1" w:rsidRDefault="008E79D1" w:rsidP="008E79D1">
      <w:pPr>
        <w:spacing w:after="0" w:line="240" w:lineRule="auto"/>
        <w:rPr>
          <w:rFonts w:ascii="Times New Roman" w:eastAsia="Times New Roman" w:hAnsi="Times New Roman" w:cs="Times New Roman"/>
          <w:szCs w:val="24"/>
        </w:rPr>
      </w:pPr>
    </w:p>
    <w:p w14:paraId="6FAC237C" w14:textId="77777777" w:rsidR="008E79D1" w:rsidRPr="008D3472" w:rsidRDefault="008E79D1" w:rsidP="008E79D1">
      <w:pPr>
        <w:autoSpaceDE w:val="0"/>
        <w:autoSpaceDN w:val="0"/>
        <w:adjustRightInd w:val="0"/>
        <w:spacing w:after="0" w:line="240" w:lineRule="auto"/>
        <w:rPr>
          <w:rFonts w:ascii="Times New Roman" w:hAnsi="Times New Roman" w:cs="Times New Roman"/>
          <w:color w:val="000000"/>
          <w:u w:val="single"/>
          <w:lang w:eastAsia="lt-LT"/>
        </w:rPr>
      </w:pPr>
      <w:r w:rsidRPr="008D3472">
        <w:rPr>
          <w:rFonts w:ascii="Times New Roman" w:hAnsi="Times New Roman" w:cs="Times New Roman"/>
          <w:color w:val="000000"/>
          <w:u w:val="single"/>
          <w:lang w:eastAsia="lt-LT"/>
        </w:rPr>
        <w:t xml:space="preserve">VTSN pacientų farmakokinetika </w:t>
      </w:r>
    </w:p>
    <w:p w14:paraId="39DA370C" w14:textId="77777777" w:rsidR="008E79D1" w:rsidRDefault="008E79D1" w:rsidP="008E79D1">
      <w:pPr>
        <w:spacing w:after="0" w:line="240" w:lineRule="auto"/>
        <w:rPr>
          <w:rFonts w:ascii="Times New Roman" w:eastAsia="Times New Roman" w:hAnsi="Times New Roman" w:cs="Times New Roman"/>
          <w:szCs w:val="24"/>
        </w:rPr>
      </w:pPr>
      <w:r w:rsidRPr="000C338A">
        <w:rPr>
          <w:rFonts w:ascii="Times New Roman" w:hAnsi="Times New Roman" w:cs="Times New Roman"/>
          <w:color w:val="000000"/>
          <w:lang w:eastAsia="lt-LT"/>
        </w:rPr>
        <w:t>VTSN sergančių pacientų ekspozicija, kai koncentracija pastovi, buvo 1,5</w:t>
      </w:r>
      <w:r>
        <w:rPr>
          <w:rFonts w:ascii="Times New Roman" w:hAnsi="Times New Roman" w:cs="Times New Roman"/>
          <w:color w:val="000000"/>
          <w:lang w:eastAsia="lt-LT"/>
        </w:rPr>
        <w:t> </w:t>
      </w:r>
      <w:r w:rsidRPr="000C338A">
        <w:rPr>
          <w:rFonts w:ascii="Times New Roman" w:hAnsi="Times New Roman" w:cs="Times New Roman"/>
          <w:color w:val="000000"/>
          <w:lang w:eastAsia="lt-LT"/>
        </w:rPr>
        <w:t>karto didesnė negu LML sergančių pacientų, vartojančių tą pačią dozę (400</w:t>
      </w:r>
      <w:r>
        <w:rPr>
          <w:rFonts w:ascii="Times New Roman" w:hAnsi="Times New Roman" w:cs="Times New Roman"/>
          <w:color w:val="000000"/>
          <w:lang w:eastAsia="lt-LT"/>
        </w:rPr>
        <w:t> </w:t>
      </w:r>
      <w:r w:rsidRPr="000C338A">
        <w:rPr>
          <w:rFonts w:ascii="Times New Roman" w:hAnsi="Times New Roman" w:cs="Times New Roman"/>
          <w:color w:val="000000"/>
          <w:lang w:eastAsia="lt-LT"/>
        </w:rPr>
        <w:t>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14:paraId="037E8986" w14:textId="77777777" w:rsidR="00DE2956" w:rsidRPr="007B75DC" w:rsidRDefault="00DE2956" w:rsidP="00DE2956">
      <w:pPr>
        <w:spacing w:after="0" w:line="240" w:lineRule="auto"/>
        <w:rPr>
          <w:rFonts w:ascii="Times New Roman" w:eastAsia="Times New Roman" w:hAnsi="Times New Roman" w:cs="Times New Roman"/>
          <w:szCs w:val="24"/>
        </w:rPr>
      </w:pPr>
    </w:p>
    <w:p w14:paraId="286E9C11"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Populiacijos farmakokinetika</w:t>
      </w:r>
    </w:p>
    <w:p w14:paraId="36660F78" w14:textId="1AEEAE14"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LML pacientų populiacijos farmakokinetikos analizė rodo, kad amžius turi mažą įtaką pasiskirstymo tūriui (12</w:t>
      </w:r>
      <w:r w:rsidR="00C6629E">
        <w:rPr>
          <w:rFonts w:ascii="Times New Roman" w:eastAsia="Times New Roman" w:hAnsi="Times New Roman" w:cs="Times New Roman"/>
          <w:szCs w:val="24"/>
        </w:rPr>
        <w:t> </w:t>
      </w:r>
      <w:r w:rsidRPr="007B75DC">
        <w:rPr>
          <w:rFonts w:ascii="Times New Roman" w:eastAsia="Times New Roman" w:hAnsi="Times New Roman" w:cs="Times New Roman"/>
          <w:szCs w:val="24"/>
        </w:rPr>
        <w:t>% padidėja vyresniems kaip 65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metų asmenims). Manoma, kad šis pokytis yra kliniškai nereikšmingas. Nustatyta kūno svorio įtaka imatinibo klirensui: pacientų, sveriančių 50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kg, vidutinis klirensas gali būti 8,5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l/h, o, sveriančių 100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kg – padidėja iki 11,8</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l/h. Tačiau dėl šių pokyčių dozės pagal kūno svorį koreguoti nereikia. Imatinibo kinetikai lytis reikšmės neturi.</w:t>
      </w:r>
    </w:p>
    <w:p w14:paraId="046C3987" w14:textId="77777777" w:rsidR="00DE2956" w:rsidRPr="007B75DC" w:rsidRDefault="00DE2956" w:rsidP="00DE2956">
      <w:pPr>
        <w:spacing w:after="0" w:line="240" w:lineRule="auto"/>
        <w:rPr>
          <w:rFonts w:ascii="Times New Roman" w:eastAsia="Times New Roman" w:hAnsi="Times New Roman" w:cs="Times New Roman"/>
          <w:szCs w:val="24"/>
          <w:u w:val="single"/>
        </w:rPr>
      </w:pPr>
    </w:p>
    <w:p w14:paraId="46E795BB"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Vaikų farmakokinetika</w:t>
      </w:r>
    </w:p>
    <w:p w14:paraId="3D680EC9" w14:textId="0FE84A11"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Abiejų I ir II</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fazės tyrimų metu nustatyta, kad vaikų, kaip ir suaugusiųjų, organizme išgertas imatinibas greitai absorbuojamas. Skiriant vaikams po 260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ir po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gauta tokia pat ekspozicija kaip ir suaugusiesiems skiriant atitinkamai po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ir 600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Lyginant AUC</w:t>
      </w:r>
      <w:r w:rsidRPr="007B75DC">
        <w:rPr>
          <w:rFonts w:ascii="Times New Roman" w:eastAsia="Times New Roman" w:hAnsi="Times New Roman" w:cs="Times New Roman"/>
          <w:szCs w:val="24"/>
          <w:vertAlign w:val="subscript"/>
        </w:rPr>
        <w:t>(0-24)</w:t>
      </w:r>
      <w:r w:rsidRPr="007B75DC">
        <w:rPr>
          <w:rFonts w:ascii="Times New Roman" w:eastAsia="Times New Roman" w:hAnsi="Times New Roman" w:cs="Times New Roman"/>
          <w:szCs w:val="24"/>
        </w:rPr>
        <w:t xml:space="preserve"> 8-ąją ir 1-ąją dienomis, nustatyta, kad vartojant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per parą dozę būna 1,7</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karto didesnė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akumuliacija po kartotinio vieną kartą per parą dozavimo.</w:t>
      </w:r>
    </w:p>
    <w:p w14:paraId="5C0C056B" w14:textId="77777777" w:rsidR="00DE2956" w:rsidRPr="007B75DC" w:rsidRDefault="00DE2956" w:rsidP="00DE2956">
      <w:pPr>
        <w:spacing w:after="0" w:line="240" w:lineRule="auto"/>
        <w:rPr>
          <w:rFonts w:ascii="Times New Roman" w:eastAsia="Times New Roman" w:hAnsi="Times New Roman" w:cs="Times New Roman"/>
          <w:szCs w:val="24"/>
        </w:rPr>
      </w:pPr>
    </w:p>
    <w:p w14:paraId="5438AFE3" w14:textId="783928D9"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dozę kartą per parą (neviršijant 400</w:t>
      </w:r>
      <w:r w:rsidR="00F11306">
        <w:rPr>
          <w:rFonts w:ascii="Times New Roman" w:eastAsia="Times New Roman" w:hAnsi="Times New Roman" w:cs="Times New Roman"/>
          <w:szCs w:val="24"/>
        </w:rPr>
        <w:t> </w:t>
      </w:r>
      <w:r w:rsidRPr="007B75DC">
        <w:rPr>
          <w:rFonts w:ascii="Times New Roman" w:eastAsia="Times New Roman" w:hAnsi="Times New Roman" w:cs="Times New Roman"/>
          <w:szCs w:val="24"/>
        </w:rPr>
        <w:t>mg kartą per parą) arba po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dozę kartą per parą (neviršijant 600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kartą per parą), buvo panaši kaip ekspozicija suaugusiųjų organizmuose, kai suaugusiesiems buvo skiriama po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arba 600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imatinibo dozę kartą per parą.</w:t>
      </w:r>
    </w:p>
    <w:p w14:paraId="1DC08563" w14:textId="77777777" w:rsidR="00DE2956" w:rsidRPr="007B75DC" w:rsidRDefault="00DE2956" w:rsidP="00DE2956">
      <w:pPr>
        <w:spacing w:after="0" w:line="240" w:lineRule="auto"/>
        <w:rPr>
          <w:rFonts w:ascii="Times New Roman" w:eastAsia="Times New Roman" w:hAnsi="Times New Roman" w:cs="Times New Roman"/>
          <w:szCs w:val="24"/>
        </w:rPr>
      </w:pPr>
    </w:p>
    <w:p w14:paraId="7DC9EC58"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Organų funkcijos nepakankamumas</w:t>
      </w:r>
    </w:p>
    <w:p w14:paraId="467CF3D0" w14:textId="247FEB2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Pro inkstus išsiskiria nedaug imatinibo ir jo metabolitų. Atrodo, kad pacientams, kuriems yra lengvas ir vidutinio sunkumo inkstų funkcijos sutrikimas, būdinga apytikriai 1,5</w:t>
      </w:r>
      <w:r w:rsidR="000C355D">
        <w:rPr>
          <w:rFonts w:ascii="Times New Roman" w:eastAsia="Times New Roman" w:hAnsi="Times New Roman" w:cs="Times New Roman"/>
          <w:szCs w:val="24"/>
        </w:rPr>
        <w:t>–</w:t>
      </w:r>
      <w:r w:rsidRPr="007B75DC">
        <w:rPr>
          <w:rFonts w:ascii="Times New Roman" w:eastAsia="Times New Roman" w:hAnsi="Times New Roman" w:cs="Times New Roman"/>
          <w:szCs w:val="24"/>
        </w:rPr>
        <w:t>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kartus didesnė ekspozicija kraujo plazmoje nei pacientams, kurių inkstų funkcija normali. Toks padidėjimas gretintinas su 1,5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karto didesniu stipriai imatinibą surišančio AGP kiekiu kraujo plazmoje. Tikriausiai laisvo imatinibo klirensas yra panašus ir vaist</w:t>
      </w:r>
      <w:r w:rsidR="008E79D1">
        <w:rPr>
          <w:rFonts w:ascii="Times New Roman" w:eastAsia="Times New Roman" w:hAnsi="Times New Roman" w:cs="Times New Roman"/>
          <w:szCs w:val="24"/>
        </w:rPr>
        <w:t>inį preparat</w:t>
      </w:r>
      <w:r w:rsidRPr="007B75DC">
        <w:rPr>
          <w:rFonts w:ascii="Times New Roman" w:eastAsia="Times New Roman" w:hAnsi="Times New Roman" w:cs="Times New Roman"/>
          <w:szCs w:val="24"/>
        </w:rPr>
        <w:t xml:space="preserve">ą vartojant pacientams, kurių inkstų funkcija </w:t>
      </w:r>
      <w:r w:rsidRPr="007B75DC">
        <w:rPr>
          <w:rFonts w:ascii="Times New Roman" w:eastAsia="Times New Roman" w:hAnsi="Times New Roman" w:cs="Times New Roman"/>
          <w:szCs w:val="24"/>
        </w:rPr>
        <w:lastRenderedPageBreak/>
        <w:t>susilpnėjusi, ir tiems, kurių inkstų funkcija normali, nes pro inkstus išsiskiria tik nedidelė imatinibo dalis (žr. 4.2 ir 4.4</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skyrius).</w:t>
      </w:r>
    </w:p>
    <w:p w14:paraId="42A2588A" w14:textId="77777777" w:rsidR="00DE2956" w:rsidRPr="007B75DC" w:rsidRDefault="00DE2956" w:rsidP="00DE2956">
      <w:pPr>
        <w:spacing w:after="0" w:line="240" w:lineRule="auto"/>
        <w:rPr>
          <w:rFonts w:ascii="Times New Roman" w:eastAsia="Times New Roman" w:hAnsi="Times New Roman" w:cs="Times New Roman"/>
          <w:szCs w:val="24"/>
        </w:rPr>
      </w:pPr>
    </w:p>
    <w:p w14:paraId="692B8823" w14:textId="5A6D35F2"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Nors farmakokinetinės analizės duomenys parodė, kad galimi ryškūs svyravimai tarp asmenų, imatinibo ekspozicija nedidėja pacientams, kuriems yra įvairaus laipsnio kepenų nepakankamumas, lyginant su pacientais, kurių kepenų funkcija normali (žr. 4.2, 4.4 ir 4.8</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skyrius).</w:t>
      </w:r>
      <w:r w:rsidRPr="007B75DC">
        <w:rPr>
          <w:rFonts w:ascii="Times New Roman" w:eastAsia="Times New Roman" w:hAnsi="Times New Roman" w:cs="Times New Roman"/>
          <w:szCs w:val="24"/>
        </w:rPr>
        <w:cr/>
      </w:r>
    </w:p>
    <w:p w14:paraId="46129708" w14:textId="77777777" w:rsidR="00DE2956" w:rsidRPr="007B75DC" w:rsidRDefault="00DE2956" w:rsidP="0056572F">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5.3</w:t>
      </w:r>
      <w:r w:rsidRPr="007B75DC">
        <w:rPr>
          <w:rFonts w:ascii="Times New Roman" w:eastAsia="Times New Roman" w:hAnsi="Times New Roman" w:cs="Times New Roman"/>
          <w:b/>
          <w:szCs w:val="24"/>
        </w:rPr>
        <w:tab/>
        <w:t>Ikiklinikinių saugumo tyrimų duomenys</w:t>
      </w:r>
    </w:p>
    <w:p w14:paraId="5238F276" w14:textId="77777777" w:rsidR="00DE2956" w:rsidRPr="007B75DC" w:rsidRDefault="00DE2956" w:rsidP="00DE2956">
      <w:pPr>
        <w:spacing w:after="0" w:line="240" w:lineRule="auto"/>
        <w:rPr>
          <w:rFonts w:ascii="Times New Roman" w:eastAsia="Times New Roman" w:hAnsi="Times New Roman" w:cs="Times New Roman"/>
          <w:szCs w:val="24"/>
        </w:rPr>
      </w:pPr>
    </w:p>
    <w:p w14:paraId="6DBA6990" w14:textId="77777777" w:rsidR="001B2762"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Ikiklinikinis imatinibo saugumo pobūdis įvertintas žiurkėms, šunims, beždžionėms ir triušiams.</w:t>
      </w:r>
    </w:p>
    <w:p w14:paraId="2370AB3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Kartotinių dozių toksiškumo tyrimai atskleidė nesunkių ar vidutinio sunkumo hematologinių pokyčių žiurkėms, šunims ir beždžionėms bei kaulų čiulpų pokyčių žiurkėms ir šunims.</w:t>
      </w:r>
    </w:p>
    <w:p w14:paraId="3464C754" w14:textId="77777777" w:rsidR="00DE2956" w:rsidRPr="007B75DC" w:rsidRDefault="00DE2956" w:rsidP="00DE2956">
      <w:pPr>
        <w:spacing w:after="0" w:line="240" w:lineRule="auto"/>
        <w:rPr>
          <w:rFonts w:ascii="Times New Roman" w:eastAsia="Times New Roman" w:hAnsi="Times New Roman" w:cs="Times New Roman"/>
          <w:szCs w:val="24"/>
        </w:rPr>
      </w:pPr>
    </w:p>
    <w:p w14:paraId="193FA867" w14:textId="2ABB6BA4"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savaites, stebėtas sunkus kepenų toksiškumas, pasireiškęs padidėjusia kepenų fermentų koncentracija, kepenų ląstelių ir tulžies latakų nekroze bei tulžies latakų hiperplazija.</w:t>
      </w:r>
    </w:p>
    <w:p w14:paraId="3A2C2473" w14:textId="77777777" w:rsidR="00DE2956" w:rsidRPr="007B75DC" w:rsidRDefault="00DE2956" w:rsidP="00DE2956">
      <w:pPr>
        <w:spacing w:after="0" w:line="240" w:lineRule="auto"/>
        <w:rPr>
          <w:rFonts w:ascii="Times New Roman" w:eastAsia="Times New Roman" w:hAnsi="Times New Roman" w:cs="Times New Roman"/>
          <w:szCs w:val="24"/>
        </w:rPr>
      </w:pPr>
    </w:p>
    <w:p w14:paraId="4A7F2FFC" w14:textId="4634949A"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Beždžionėms, gydytoms 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savaites, stebėtas inkstų toksiškumas su židinine mineralizacija ir inkstų kanalėlių dilatacija bei tubuline nefroze. Kelioms beždžionėms nustatyta padidėjusi šlapalo azoto ir kreatinino koncentracija kraujyje. 13</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savaičių tyrimų metu, žiurkėms, gavusioms ≥ 6 mg/kg dozę, stebėta inkstų spenelių ir šlapimo pūslės pereinamojo epitelio hiperplazija be serumo ar šlapimo rodiklių pokyčių. Ilgai gydomiems imatinibu gyvūnams stebėtas padidėjęs oportunistinių infekcijų dažnis.</w:t>
      </w:r>
    </w:p>
    <w:p w14:paraId="0C60B915" w14:textId="77777777" w:rsidR="00DE2956" w:rsidRPr="007B75DC" w:rsidRDefault="00DE2956" w:rsidP="00DE2956">
      <w:pPr>
        <w:spacing w:after="0" w:line="240" w:lineRule="auto"/>
        <w:rPr>
          <w:rFonts w:ascii="Times New Roman" w:eastAsia="Times New Roman" w:hAnsi="Times New Roman" w:cs="Times New Roman"/>
          <w:szCs w:val="24"/>
        </w:rPr>
      </w:pPr>
    </w:p>
    <w:p w14:paraId="75A908A2" w14:textId="0191C77C"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39</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savaičių tyrimo metu beždžionėms, gavusioms mažiausią 15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dozę, vidutiniškai trečdalį didžiausios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žmogaus dozės pagal kūno paviršiaus plotą, jokio NNPL (nepastebimo nepageidaujamo poveikio lygmens) nenustatyta. Gydymas pablogino šių gyvūnų normaliai slopinamą maliarijos infekciją.</w:t>
      </w:r>
    </w:p>
    <w:p w14:paraId="70BD1CEB" w14:textId="77777777" w:rsidR="00DE2956" w:rsidRPr="007B75DC" w:rsidRDefault="00DE2956" w:rsidP="00DE2956">
      <w:pPr>
        <w:spacing w:after="0" w:line="240" w:lineRule="auto"/>
        <w:rPr>
          <w:rFonts w:ascii="Times New Roman" w:eastAsia="Times New Roman" w:hAnsi="Times New Roman" w:cs="Times New Roman"/>
          <w:szCs w:val="24"/>
        </w:rPr>
      </w:pPr>
    </w:p>
    <w:p w14:paraId="220B5D22"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Imatinibas nebuvo genotoksiškas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atliekant bakterijų ląstelių testus (</w:t>
      </w:r>
      <w:r w:rsidRPr="007B75DC">
        <w:rPr>
          <w:rFonts w:ascii="Times New Roman" w:eastAsia="Times New Roman" w:hAnsi="Times New Roman" w:cs="Times New Roman"/>
          <w:i/>
          <w:szCs w:val="24"/>
        </w:rPr>
        <w:t>Ames</w:t>
      </w:r>
      <w:r w:rsidRPr="007B75DC">
        <w:rPr>
          <w:rFonts w:ascii="Times New Roman" w:eastAsia="Times New Roman" w:hAnsi="Times New Roman" w:cs="Times New Roman"/>
          <w:szCs w:val="24"/>
        </w:rPr>
        <w:t xml:space="preserve"> testus),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žinduolių ląstelių tyrimus (pelių limfomos) ir </w:t>
      </w:r>
      <w:r w:rsidRPr="007B75DC">
        <w:rPr>
          <w:rFonts w:ascii="Times New Roman" w:eastAsia="Times New Roman" w:hAnsi="Times New Roman" w:cs="Times New Roman"/>
          <w:i/>
          <w:szCs w:val="24"/>
        </w:rPr>
        <w:t>in vivo</w:t>
      </w:r>
      <w:r w:rsidRPr="007B75DC">
        <w:rPr>
          <w:rFonts w:ascii="Times New Roman" w:eastAsia="Times New Roman" w:hAnsi="Times New Roman" w:cs="Times New Roman"/>
          <w:szCs w:val="24"/>
        </w:rPr>
        <w:t xml:space="preserve"> žiurkių mikrobranduolių testus. Teigiamas imatinibo genotoksinis poveikis stebėtas atliekant </w:t>
      </w:r>
      <w:r w:rsidRPr="007B75DC">
        <w:rPr>
          <w:rFonts w:ascii="Times New Roman" w:eastAsia="Times New Roman" w:hAnsi="Times New Roman" w:cs="Times New Roman"/>
          <w:i/>
          <w:szCs w:val="24"/>
        </w:rPr>
        <w:t>in vitro</w:t>
      </w:r>
      <w:r w:rsidRPr="007B75DC">
        <w:rPr>
          <w:rFonts w:ascii="Times New Roman" w:eastAsia="Times New Roman" w:hAnsi="Times New Roman" w:cs="Times New Roman"/>
          <w:szCs w:val="24"/>
        </w:rPr>
        <w:t xml:space="preserve"> žinduolių ląstelių (kinietiškųjų žiurkėnų kiaušidžių) tyrimus klastogeniškumui (chromosomų aberacijoms) nustatyti, kai buvo metabolinis aktyvinimas. Du gamybos proceso tarpiniai produktai, kurių yra ir galutiniame produkte, taip pat veikė mutageniškai </w:t>
      </w:r>
      <w:r w:rsidRPr="007B75DC">
        <w:rPr>
          <w:rFonts w:ascii="Times New Roman" w:eastAsia="Times New Roman" w:hAnsi="Times New Roman" w:cs="Times New Roman"/>
          <w:i/>
          <w:szCs w:val="24"/>
        </w:rPr>
        <w:t>Ames</w:t>
      </w:r>
      <w:r w:rsidRPr="007B75DC">
        <w:rPr>
          <w:rFonts w:ascii="Times New Roman" w:eastAsia="Times New Roman" w:hAnsi="Times New Roman" w:cs="Times New Roman"/>
          <w:szCs w:val="24"/>
        </w:rPr>
        <w:t xml:space="preserve"> testų metu. Vienas šių tarpinių produktų buvo teigiamas pelių limfomos tyrimų metu.</w:t>
      </w:r>
    </w:p>
    <w:p w14:paraId="29009B46" w14:textId="77777777" w:rsidR="00DE2956" w:rsidRPr="007B75DC" w:rsidRDefault="00DE2956" w:rsidP="00DE2956">
      <w:pPr>
        <w:spacing w:after="0" w:line="240" w:lineRule="auto"/>
        <w:rPr>
          <w:rFonts w:ascii="Times New Roman" w:eastAsia="Times New Roman" w:hAnsi="Times New Roman" w:cs="Times New Roman"/>
          <w:szCs w:val="24"/>
        </w:rPr>
      </w:pPr>
    </w:p>
    <w:p w14:paraId="17518F91" w14:textId="29AF9505"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Tiriant vaisingumą nustatyta, kad žiurkių patinų, prieš poravimąsi 70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dienų gavusių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sėklidžių ir sėklidžių prielipo svoris bei judrių spermijų procentas sumažėjo po 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dozės, kuri atitinka didžiausią klinikinę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dozę, apskaičiuotą pagal kūno paviršiaus plotą. Šito nestebėta vartojant ≤</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20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dozę. Neryškiai ir vidutiniškai sumažėjusi spermatogenezė taip pat nustatyta šunims, gavusiems ≥</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geriamąją dozę. 14</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dienų prieš poravimąsi ir iki 6-osios nėštumo dienos žiurkių patelėms duodant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poveikio poravimuisi ir nėščių patelių skaičiui nenustatyta, o duodant 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dozę, ryškiai padaugėjo poimplantacinių vaisių netekimų ir sumažėjo gyvų vaisių skaičius. Šių reiškinių nestebėta skiriant ≤</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20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dozę.</w:t>
      </w:r>
    </w:p>
    <w:p w14:paraId="2EFD7DED" w14:textId="77777777" w:rsidR="00DE2956" w:rsidRPr="007B75DC" w:rsidRDefault="00DE2956" w:rsidP="00DE2956">
      <w:pPr>
        <w:spacing w:after="0" w:line="240" w:lineRule="auto"/>
        <w:rPr>
          <w:rFonts w:ascii="Times New Roman" w:eastAsia="Times New Roman" w:hAnsi="Times New Roman" w:cs="Times New Roman"/>
          <w:szCs w:val="24"/>
        </w:rPr>
      </w:pPr>
    </w:p>
    <w:p w14:paraId="4DD4B52E" w14:textId="5271B45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Geriamojo vaist</w:t>
      </w:r>
      <w:r w:rsidR="008E79D1">
        <w:rPr>
          <w:rFonts w:ascii="Times New Roman" w:eastAsia="Times New Roman" w:hAnsi="Times New Roman" w:cs="Times New Roman"/>
          <w:szCs w:val="24"/>
        </w:rPr>
        <w:t>inio preparat</w:t>
      </w:r>
      <w:r w:rsidRPr="007B75DC">
        <w:rPr>
          <w:rFonts w:ascii="Times New Roman" w:eastAsia="Times New Roman" w:hAnsi="Times New Roman" w:cs="Times New Roman"/>
          <w:szCs w:val="24"/>
        </w:rPr>
        <w:t>o prenatalinės ir ponatalinės raidos tyrimų metu žiurkėms, gaunančioms 45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14-ąją ar 15-ąją nėštumo dieną stebėta raudonų išskyrų iš makšties. Duodant tą pačią dozę, nustatyta, kad padidėja negyvagimių ir 0–4</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dienomis žuvusių palikuonių skaičius. F</w:t>
      </w:r>
      <w:r w:rsidRPr="007B75DC">
        <w:rPr>
          <w:rFonts w:ascii="Times New Roman" w:eastAsia="Times New Roman" w:hAnsi="Times New Roman" w:cs="Times New Roman"/>
          <w:szCs w:val="24"/>
          <w:vertAlign w:val="subscript"/>
        </w:rPr>
        <w:t>1</w:t>
      </w:r>
      <w:r w:rsidRPr="007B75DC">
        <w:rPr>
          <w:rFonts w:ascii="Times New Roman" w:eastAsia="Times New Roman" w:hAnsi="Times New Roman" w:cs="Times New Roman"/>
          <w:szCs w:val="24"/>
        </w:rPr>
        <w:t xml:space="preserve"> palikuonims, duodant tą pačią dozę, vidutinis kūno svoris buvo mažesnis nuo gimimo iki galutinio gyvavimo laiko ir šiek tiek mažesnis buvo jauniklių, pasiekusių apyvarpės atsiskyrimo kriterijus, skaičius. Kai buvo duodama 45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dozė, F</w:t>
      </w:r>
      <w:r w:rsidRPr="007B75DC">
        <w:rPr>
          <w:rFonts w:ascii="Times New Roman" w:eastAsia="Times New Roman" w:hAnsi="Times New Roman" w:cs="Times New Roman"/>
          <w:szCs w:val="24"/>
          <w:vertAlign w:val="subscript"/>
        </w:rPr>
        <w:t>1</w:t>
      </w:r>
      <w:r w:rsidRPr="007B75DC">
        <w:rPr>
          <w:rFonts w:ascii="Times New Roman" w:eastAsia="Times New Roman" w:hAnsi="Times New Roman" w:cs="Times New Roman"/>
          <w:szCs w:val="24"/>
        </w:rPr>
        <w:t xml:space="preserve"> vaisingumas buvo nepakitęs, o rezorbcijų skaičius padidėjo bei gyvybingų vaisių skaičius sumažėjo. Nepastebimo poveikio lygmens (NPL) </w:t>
      </w:r>
      <w:r w:rsidRPr="007B75DC">
        <w:rPr>
          <w:rFonts w:ascii="Times New Roman" w:eastAsia="Times New Roman" w:hAnsi="Times New Roman" w:cs="Times New Roman"/>
          <w:szCs w:val="24"/>
        </w:rPr>
        <w:lastRenderedPageBreak/>
        <w:t>dozė, gyvūnų tėvams ir F</w:t>
      </w:r>
      <w:r w:rsidRPr="007B75DC">
        <w:rPr>
          <w:rFonts w:ascii="Times New Roman" w:eastAsia="Times New Roman" w:hAnsi="Times New Roman" w:cs="Times New Roman"/>
          <w:szCs w:val="24"/>
          <w:vertAlign w:val="subscript"/>
        </w:rPr>
        <w:t>1</w:t>
      </w:r>
      <w:r w:rsidRPr="007B75DC">
        <w:rPr>
          <w:rFonts w:ascii="Times New Roman" w:eastAsia="Times New Roman" w:hAnsi="Times New Roman" w:cs="Times New Roman"/>
          <w:szCs w:val="24"/>
        </w:rPr>
        <w:t xml:space="preserve"> generacijai, buvo 15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(ketvirtis didžiausios žmogaus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dozės).</w:t>
      </w:r>
    </w:p>
    <w:p w14:paraId="74377582" w14:textId="77777777" w:rsidR="00DE2956" w:rsidRPr="007B75DC" w:rsidRDefault="00DE2956" w:rsidP="00DE2956">
      <w:pPr>
        <w:spacing w:after="0" w:line="240" w:lineRule="auto"/>
        <w:rPr>
          <w:rFonts w:ascii="Times New Roman" w:eastAsia="Times New Roman" w:hAnsi="Times New Roman" w:cs="Times New Roman"/>
          <w:szCs w:val="24"/>
        </w:rPr>
      </w:pPr>
    </w:p>
    <w:p w14:paraId="0EA3E73A" w14:textId="59DA7F00" w:rsidR="00DE2956"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Imatinibas, kurio organogenezės laikotarpiu buvo skiriama ≥</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100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(maždaug atitinka pagal kūno paviršiaus plotą apskaičiuotą didžiausią klinikinę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dozę), buvo teratogeniškas žiurkėms. Teratogeninis poveikis pasireiškė eksencefalija ar encefalocele, kaktikaulio nebuvimu ar sumažėjimu ir momenkaulio nebuvimu. Šių reiškinių nestebėta, kai dozė buvo ≤</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w:t>
      </w:r>
    </w:p>
    <w:p w14:paraId="40EA5E3B" w14:textId="77777777" w:rsidR="001B2762" w:rsidRPr="007B75DC" w:rsidRDefault="001B2762" w:rsidP="00DE2956">
      <w:pPr>
        <w:spacing w:after="0" w:line="240" w:lineRule="auto"/>
        <w:rPr>
          <w:rFonts w:ascii="Times New Roman" w:eastAsia="Times New Roman" w:hAnsi="Times New Roman" w:cs="Times New Roman"/>
          <w:szCs w:val="24"/>
        </w:rPr>
      </w:pPr>
    </w:p>
    <w:p w14:paraId="7A2DE62E" w14:textId="3273C4D3"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Toksinio poveikio vystimuisi tyrimo, atlikto su žiurkių jaunikliais, metu (preparato skiriant nuo 10-osios iki 70-osios dienos po atsivedimo) naujų organų taikinių nenustatyta, lyginant su žinomais organais taikiniais suaugusioms žiurkėms. Toksinio poveikio jauniklių vystimuisi tyrimo metu poveikis augimui, vėlesniam makšties angos atsidarymui ir apyvarpės atsiskyrimui pastebėtas esant tokiai preparato ekspozicijai, kuri maždaug 0,3</w:t>
      </w:r>
      <w:r w:rsidR="000C355D">
        <w:rPr>
          <w:rFonts w:ascii="Times New Roman" w:eastAsia="Times New Roman" w:hAnsi="Times New Roman" w:cs="Times New Roman"/>
          <w:szCs w:val="24"/>
        </w:rPr>
        <w:t>–</w:t>
      </w:r>
      <w:r w:rsidRPr="007B75DC">
        <w:rPr>
          <w:rFonts w:ascii="Times New Roman" w:eastAsia="Times New Roman" w:hAnsi="Times New Roman" w:cs="Times New Roman"/>
          <w:szCs w:val="24"/>
        </w:rPr>
        <w:t>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kartus viršija vidutinę ekspoziciją vaikų populiacijoje skiriant didžiausią rekomenduojamą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kūno paviršiaus dozę. Be to, pastebėta gyvūnų jauniklių kritimo atvejų (maždaug nujunkymo fazėje) esant tokiai preparato ekspozicijai, kuri maždaug 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kartus viršija vidutinę ekspoziciją vaikų populiacijoje skiriant didžiausią rekomenduojamą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w:t>
      </w:r>
      <w:r w:rsidRPr="007B75DC">
        <w:rPr>
          <w:rFonts w:ascii="Times New Roman" w:eastAsia="Times New Roman" w:hAnsi="Times New Roman" w:cs="Times New Roman"/>
          <w:szCs w:val="24"/>
          <w:vertAlign w:val="superscript"/>
        </w:rPr>
        <w:t>2</w:t>
      </w:r>
      <w:r w:rsidRPr="007B75DC">
        <w:rPr>
          <w:rFonts w:ascii="Times New Roman" w:eastAsia="Times New Roman" w:hAnsi="Times New Roman" w:cs="Times New Roman"/>
          <w:szCs w:val="24"/>
        </w:rPr>
        <w:t xml:space="preserve"> kūno paviršiaus dozę.</w:t>
      </w:r>
    </w:p>
    <w:p w14:paraId="4DE4705D" w14:textId="77777777" w:rsidR="00DE2956" w:rsidRPr="007B75DC" w:rsidRDefault="00DE2956" w:rsidP="00DE2956">
      <w:pPr>
        <w:spacing w:after="0" w:line="240" w:lineRule="auto"/>
        <w:rPr>
          <w:rFonts w:ascii="Times New Roman" w:eastAsia="Times New Roman" w:hAnsi="Times New Roman" w:cs="Times New Roman"/>
          <w:szCs w:val="24"/>
        </w:rPr>
      </w:pPr>
    </w:p>
    <w:p w14:paraId="4FB79127" w14:textId="57CDD65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Dviejų metų kancerogeniškumo tyrimų su žiurkėmis, gavusiomis 15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30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ir 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imatinibo dozę, metu statistiškai reikšmingai sumažėjo patinų, gavusių 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ir patelių, gavusių ≥</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30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50485830" w14:textId="77777777" w:rsidR="00DE2956" w:rsidRPr="007B75DC" w:rsidRDefault="00DE2956" w:rsidP="00DE2956">
      <w:pPr>
        <w:spacing w:after="0" w:line="240" w:lineRule="auto"/>
        <w:rPr>
          <w:rFonts w:ascii="Times New Roman" w:eastAsia="Times New Roman" w:hAnsi="Times New Roman" w:cs="Times New Roman"/>
          <w:szCs w:val="24"/>
        </w:rPr>
      </w:pPr>
    </w:p>
    <w:p w14:paraId="026C0D2C" w14:textId="6701E30D"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Apyvarpės ar varputės liaukų papilomos ar karcinomos stebėtos žiurkėms, kurios gavo nuo 30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dozę į priekį kas yra maždaug 0,5 arba 0,3</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kartus didesnė ekspozicija (pagal AUC) negu žmonėms vartojant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arba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atitinkamai ir 0,4</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karto didesnė ekspozicija vaikams (pagal AUC) vartojant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mg/m² per parą. Nepastebimo poveikio lygmens (NPL) dozė buvo 15</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Inkstų adenoma ar karcinoma, šlapimo pūslės ir šlaplės papiloma, plonojo žarnyno adenokarcinoma, prieskydinių liaukų adenoma, g</w:t>
      </w:r>
      <w:r w:rsidR="005C4E34">
        <w:rPr>
          <w:rFonts w:ascii="Times New Roman" w:eastAsia="Times New Roman" w:hAnsi="Times New Roman" w:cs="Times New Roman"/>
          <w:szCs w:val="24"/>
        </w:rPr>
        <w:t>e</w:t>
      </w:r>
      <w:r w:rsidRPr="007B75DC">
        <w:rPr>
          <w:rFonts w:ascii="Times New Roman" w:eastAsia="Times New Roman" w:hAnsi="Times New Roman" w:cs="Times New Roman"/>
          <w:szCs w:val="24"/>
        </w:rPr>
        <w:t>rybiniai ir piktybiniai antinksčių šerdinės dalies navikai bei ne liaukinės skrandžio dalies papiloma ar karcinoma stebėtos duodant 60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 dozę kas yra maždaug 1,7 arba 1</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kartus didesnė ekspozicija (pagal AUC) negu žmonėms vartojant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arba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atitinkamai ir 1,2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karto didesnė ekspozicija vaikams (pagal AUC) vartojant 340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mg/m² per parą. Nepastebimo poveikio lygmens (NPL) dozė buvo 30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mg/kg per parą.</w:t>
      </w:r>
    </w:p>
    <w:p w14:paraId="0641FB66" w14:textId="77777777" w:rsidR="00DE2956" w:rsidRPr="007B75DC" w:rsidRDefault="00DE2956" w:rsidP="00DE2956">
      <w:pPr>
        <w:spacing w:after="0" w:line="240" w:lineRule="auto"/>
        <w:rPr>
          <w:rFonts w:ascii="Times New Roman" w:eastAsia="Times New Roman" w:hAnsi="Times New Roman" w:cs="Times New Roman"/>
          <w:szCs w:val="24"/>
        </w:rPr>
      </w:pPr>
    </w:p>
    <w:p w14:paraId="2C562431"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Šių žiurkių kancerogeniškumo tyrimų radinių reikšmė ir mechanizmas žmonėms dar neaiškus.</w:t>
      </w:r>
    </w:p>
    <w:p w14:paraId="7FB735BE" w14:textId="77777777" w:rsidR="00DE2956" w:rsidRPr="007B75DC" w:rsidRDefault="00DE2956" w:rsidP="00DE2956">
      <w:pPr>
        <w:spacing w:after="0" w:line="240" w:lineRule="auto"/>
        <w:rPr>
          <w:rFonts w:ascii="Times New Roman" w:eastAsia="Times New Roman" w:hAnsi="Times New Roman" w:cs="Times New Roman"/>
          <w:szCs w:val="24"/>
        </w:rPr>
      </w:pPr>
    </w:p>
    <w:p w14:paraId="3295B5B2" w14:textId="77777777" w:rsidR="00DE2956"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Ankstesniuse tyrimuose nebuvo registruota kitų, ne neoplastinių širdies ir kraujagyslių sistemos, kasos, endokrininių liaukų ir dantų pažeidimų. Svarbiausi pakitimai buvo širdies hipertrofija ir išsiplėtimas, dėl ko kai kuriems gyvūnėliams pasireiškė širdies nepakankamumo simptomai.</w:t>
      </w:r>
    </w:p>
    <w:p w14:paraId="34682CAE" w14:textId="77777777" w:rsidR="005C4E34" w:rsidRPr="007B75DC" w:rsidRDefault="005C4E34" w:rsidP="00DE2956">
      <w:pPr>
        <w:spacing w:after="0" w:line="240" w:lineRule="auto"/>
        <w:rPr>
          <w:rFonts w:ascii="Times New Roman" w:eastAsia="Times New Roman" w:hAnsi="Times New Roman" w:cs="Times New Roman"/>
          <w:szCs w:val="24"/>
        </w:rPr>
      </w:pPr>
    </w:p>
    <w:p w14:paraId="1B86DFD6"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Nustatyta, kad veiklioji medžiaga imatinibas kelia pavojų nuosėdose aptinkamiems organizmams.</w:t>
      </w:r>
    </w:p>
    <w:p w14:paraId="2045D94E" w14:textId="77777777" w:rsidR="00DE2956" w:rsidRPr="007B75DC" w:rsidRDefault="00DE2956" w:rsidP="00DE2956">
      <w:pPr>
        <w:spacing w:after="0" w:line="240" w:lineRule="auto"/>
        <w:rPr>
          <w:rFonts w:ascii="Times New Roman" w:eastAsia="Times New Roman" w:hAnsi="Times New Roman" w:cs="Times New Roman"/>
          <w:szCs w:val="24"/>
        </w:rPr>
      </w:pPr>
    </w:p>
    <w:p w14:paraId="32AE4088" w14:textId="77777777" w:rsidR="00DE2956" w:rsidRPr="007B75DC" w:rsidRDefault="00DE2956" w:rsidP="00DE2956">
      <w:pPr>
        <w:spacing w:after="0" w:line="240" w:lineRule="auto"/>
        <w:rPr>
          <w:rFonts w:ascii="Times New Roman" w:eastAsia="Times New Roman" w:hAnsi="Times New Roman" w:cs="Times New Roman"/>
          <w:szCs w:val="24"/>
        </w:rPr>
      </w:pPr>
    </w:p>
    <w:p w14:paraId="61EE67E9" w14:textId="77777777" w:rsidR="00DE2956" w:rsidRPr="007B75DC" w:rsidRDefault="00DE2956" w:rsidP="00DE2956">
      <w:pPr>
        <w:spacing w:after="0" w:line="240" w:lineRule="auto"/>
        <w:ind w:left="567" w:hanging="567"/>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6.</w:t>
      </w:r>
      <w:r w:rsidRPr="007B75DC">
        <w:rPr>
          <w:rFonts w:ascii="Times New Roman" w:eastAsia="Times New Roman" w:hAnsi="Times New Roman" w:cs="Times New Roman"/>
          <w:b/>
          <w:caps/>
          <w:szCs w:val="24"/>
        </w:rPr>
        <w:tab/>
        <w:t>farmacinė informacija</w:t>
      </w:r>
    </w:p>
    <w:p w14:paraId="121552EE"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571B1C8C"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6.1</w:t>
      </w:r>
      <w:r w:rsidRPr="007B75DC">
        <w:rPr>
          <w:rFonts w:ascii="Times New Roman" w:eastAsia="Times New Roman" w:hAnsi="Times New Roman" w:cs="Times New Roman"/>
          <w:b/>
          <w:szCs w:val="24"/>
        </w:rPr>
        <w:tab/>
        <w:t>Pagalbinių medžiagų sąrašas</w:t>
      </w:r>
    </w:p>
    <w:p w14:paraId="46230784" w14:textId="77777777" w:rsidR="00DE2956" w:rsidRPr="007B75DC" w:rsidRDefault="00DE2956" w:rsidP="00DE2956">
      <w:pPr>
        <w:spacing w:after="0" w:line="240" w:lineRule="auto"/>
        <w:rPr>
          <w:rFonts w:ascii="Times New Roman" w:eastAsia="Times New Roman" w:hAnsi="Times New Roman" w:cs="Times New Roman"/>
          <w:szCs w:val="24"/>
        </w:rPr>
      </w:pPr>
    </w:p>
    <w:p w14:paraId="48E438EE"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Tabletės šerdis</w:t>
      </w:r>
    </w:p>
    <w:p w14:paraId="7668E47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Povidonas K30</w:t>
      </w:r>
    </w:p>
    <w:p w14:paraId="3111998D"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Magnio stearatas (E572)</w:t>
      </w:r>
    </w:p>
    <w:p w14:paraId="0B3C747E" w14:textId="77777777" w:rsidR="00DE2956" w:rsidRPr="007B75DC" w:rsidRDefault="00DE2956" w:rsidP="00DE2956">
      <w:pPr>
        <w:spacing w:after="0" w:line="240" w:lineRule="auto"/>
        <w:rPr>
          <w:rFonts w:ascii="Times New Roman" w:eastAsia="Times New Roman" w:hAnsi="Times New Roman" w:cs="Times New Roman"/>
          <w:szCs w:val="24"/>
        </w:rPr>
      </w:pPr>
    </w:p>
    <w:p w14:paraId="294DB714" w14:textId="77777777" w:rsidR="00DE2956" w:rsidRPr="007B75DC" w:rsidRDefault="00DE2956" w:rsidP="00DE2956">
      <w:pPr>
        <w:spacing w:after="0" w:line="240" w:lineRule="auto"/>
        <w:rPr>
          <w:rFonts w:ascii="Times New Roman" w:eastAsia="Times New Roman" w:hAnsi="Times New Roman" w:cs="Times New Roman"/>
          <w:szCs w:val="24"/>
          <w:u w:val="single"/>
        </w:rPr>
      </w:pPr>
      <w:r w:rsidRPr="007B75DC">
        <w:rPr>
          <w:rFonts w:ascii="Times New Roman" w:eastAsia="Times New Roman" w:hAnsi="Times New Roman" w:cs="Times New Roman"/>
          <w:szCs w:val="24"/>
          <w:u w:val="single"/>
        </w:rPr>
        <w:t>Tabletės dangalas</w:t>
      </w:r>
    </w:p>
    <w:p w14:paraId="257541AD"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Hipromeliozė (E464)</w:t>
      </w:r>
    </w:p>
    <w:p w14:paraId="1E65414C"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Makrogolis 3350</w:t>
      </w:r>
    </w:p>
    <w:p w14:paraId="2D86C3F9"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Talkas (E553)</w:t>
      </w:r>
    </w:p>
    <w:p w14:paraId="2618E640"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Titano dioksidas (E171)</w:t>
      </w:r>
    </w:p>
    <w:p w14:paraId="2445E0F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Raudonasis geležies oksidas (E172)</w:t>
      </w:r>
    </w:p>
    <w:p w14:paraId="27D45B0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Geltonasis geležies oksidas (E172)</w:t>
      </w:r>
    </w:p>
    <w:p w14:paraId="18B488E3"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60F43D89" w14:textId="77777777" w:rsidR="00DE2956" w:rsidRPr="007B75DC" w:rsidRDefault="00DE2956" w:rsidP="00534F79">
      <w:pPr>
        <w:keepNext/>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6.2</w:t>
      </w:r>
      <w:r w:rsidRPr="007B75DC">
        <w:rPr>
          <w:rFonts w:ascii="Times New Roman" w:eastAsia="Times New Roman" w:hAnsi="Times New Roman" w:cs="Times New Roman"/>
          <w:b/>
          <w:szCs w:val="24"/>
        </w:rPr>
        <w:tab/>
        <w:t>Nesuderinamumas</w:t>
      </w:r>
    </w:p>
    <w:p w14:paraId="14E99F24" w14:textId="77777777" w:rsidR="00DE2956" w:rsidRPr="007B75DC" w:rsidRDefault="00DE2956" w:rsidP="00534F79">
      <w:pPr>
        <w:keepNext/>
        <w:spacing w:after="0" w:line="240" w:lineRule="auto"/>
        <w:ind w:left="567" w:hanging="567"/>
        <w:rPr>
          <w:rFonts w:ascii="Times New Roman" w:eastAsia="Times New Roman" w:hAnsi="Times New Roman" w:cs="Times New Roman"/>
          <w:szCs w:val="24"/>
        </w:rPr>
      </w:pPr>
    </w:p>
    <w:p w14:paraId="618AF0E8" w14:textId="77777777" w:rsidR="00DE2956" w:rsidRPr="007B75DC" w:rsidRDefault="00DE2956" w:rsidP="00534F79">
      <w:pPr>
        <w:keepNext/>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Duomenys nebūtini.</w:t>
      </w:r>
    </w:p>
    <w:p w14:paraId="2A48E367"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948A834"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6.3</w:t>
      </w:r>
      <w:r w:rsidRPr="007B75DC">
        <w:rPr>
          <w:rFonts w:ascii="Times New Roman" w:eastAsia="Times New Roman" w:hAnsi="Times New Roman" w:cs="Times New Roman"/>
          <w:b/>
          <w:szCs w:val="24"/>
        </w:rPr>
        <w:tab/>
        <w:t>Tinkamumo laikas</w:t>
      </w:r>
    </w:p>
    <w:p w14:paraId="0369BF2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AD773C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3 metai</w:t>
      </w:r>
    </w:p>
    <w:p w14:paraId="0681FBCE"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3A5C522"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6.4</w:t>
      </w:r>
      <w:r w:rsidRPr="007B75DC">
        <w:rPr>
          <w:rFonts w:ascii="Times New Roman" w:eastAsia="Times New Roman" w:hAnsi="Times New Roman" w:cs="Times New Roman"/>
          <w:b/>
          <w:szCs w:val="24"/>
        </w:rPr>
        <w:tab/>
        <w:t>Specialios laikymo sąlygos</w:t>
      </w:r>
    </w:p>
    <w:p w14:paraId="49888523" w14:textId="77777777" w:rsidR="00DE2956" w:rsidRPr="007B75DC" w:rsidRDefault="00DE2956" w:rsidP="00DE2956">
      <w:pPr>
        <w:spacing w:after="0" w:line="240" w:lineRule="auto"/>
        <w:rPr>
          <w:rFonts w:ascii="Times New Roman" w:eastAsia="Times New Roman" w:hAnsi="Times New Roman" w:cs="Times New Roman"/>
          <w:iCs/>
          <w:szCs w:val="24"/>
        </w:rPr>
      </w:pPr>
    </w:p>
    <w:p w14:paraId="15687D1D"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iCs/>
          <w:szCs w:val="24"/>
        </w:rPr>
        <w:t>Šiam vaistiniam preparatui specialių laikymo sąlygų nereikia.</w:t>
      </w:r>
    </w:p>
    <w:p w14:paraId="64947C80"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2F7938D5"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6.5</w:t>
      </w:r>
      <w:r w:rsidRPr="007B75DC">
        <w:rPr>
          <w:rFonts w:ascii="Times New Roman" w:eastAsia="Times New Roman" w:hAnsi="Times New Roman" w:cs="Times New Roman"/>
          <w:b/>
          <w:szCs w:val="24"/>
        </w:rPr>
        <w:tab/>
        <w:t>Talpyklės pobūdis ir jos turinys</w:t>
      </w:r>
    </w:p>
    <w:p w14:paraId="5886004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27C630F0"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plėvele dengtos tabletės yra tiekiamos skaidrių PVC/PVdC/aliuminio folijos lizdinių plokštelių pakuotėse.</w:t>
      </w:r>
    </w:p>
    <w:p w14:paraId="79502C0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3B69F6E"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Pakuotės dydžiai:</w:t>
      </w:r>
    </w:p>
    <w:p w14:paraId="600EF522"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 xml:space="preserve">Imatinib </w:t>
      </w:r>
      <w:r w:rsidR="006F09BA" w:rsidRPr="007B75DC">
        <w:rPr>
          <w:rFonts w:ascii="Times New Roman" w:eastAsia="Times New Roman" w:hAnsi="Times New Roman" w:cs="Times New Roman"/>
          <w:i/>
          <w:szCs w:val="24"/>
        </w:rPr>
        <w:t>Inteli</w:t>
      </w:r>
      <w:r w:rsidRPr="007B75DC">
        <w:rPr>
          <w:rFonts w:ascii="Times New Roman" w:eastAsia="Times New Roman" w:hAnsi="Times New Roman" w:cs="Times New Roman"/>
          <w:i/>
          <w:szCs w:val="24"/>
        </w:rPr>
        <w:t xml:space="preserve"> 100 mg plėvele dengtos tabletės</w:t>
      </w:r>
    </w:p>
    <w:p w14:paraId="38DEFFB4"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rPr>
        <w:t>Lizdinės plokštelės: 20, 30, 60, 120 arba 180 plėvele dengtų tablečių.</w:t>
      </w:r>
    </w:p>
    <w:p w14:paraId="5E047AE0"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p>
    <w:p w14:paraId="6CEABF16"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highlight w:val="lightGray"/>
        </w:rPr>
        <w:t xml:space="preserve">Imatinib </w:t>
      </w:r>
      <w:r w:rsidR="006F09BA" w:rsidRPr="007B75DC">
        <w:rPr>
          <w:rFonts w:ascii="Times New Roman" w:eastAsia="Times New Roman" w:hAnsi="Times New Roman" w:cs="Times New Roman"/>
          <w:i/>
          <w:szCs w:val="24"/>
          <w:highlight w:val="lightGray"/>
        </w:rPr>
        <w:t>Inteli</w:t>
      </w:r>
      <w:r w:rsidRPr="007B75DC">
        <w:rPr>
          <w:rFonts w:ascii="Times New Roman" w:eastAsia="Times New Roman" w:hAnsi="Times New Roman" w:cs="Times New Roman"/>
          <w:i/>
          <w:szCs w:val="24"/>
          <w:highlight w:val="lightGray"/>
        </w:rPr>
        <w:t xml:space="preserve"> 400 mg plėvele dengtos tabletės</w:t>
      </w:r>
    </w:p>
    <w:p w14:paraId="04B1956C"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Lizdinės plokštelės: 10, 30 arba 90 plėvele dengtų tablečių.</w:t>
      </w:r>
    </w:p>
    <w:p w14:paraId="2BBE0F67"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5619A9D"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Gali būti tiekiamos ne visų dydžių pakuotės.</w:t>
      </w:r>
    </w:p>
    <w:p w14:paraId="7C755BB6"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D4C5DC9" w14:textId="77777777" w:rsidR="00DE2956" w:rsidRPr="007B75DC" w:rsidRDefault="00DE2956" w:rsidP="00DE2956">
      <w:pPr>
        <w:spacing w:after="0" w:line="240" w:lineRule="auto"/>
        <w:ind w:left="567" w:hanging="567"/>
        <w:outlineLvl w:val="0"/>
        <w:rPr>
          <w:rFonts w:ascii="Times New Roman" w:eastAsia="Times New Roman" w:hAnsi="Times New Roman" w:cs="Times New Roman"/>
        </w:rPr>
      </w:pPr>
      <w:r w:rsidRPr="007B75DC">
        <w:rPr>
          <w:rFonts w:ascii="Times New Roman" w:eastAsia="Times New Roman" w:hAnsi="Times New Roman" w:cs="Times New Roman"/>
          <w:b/>
        </w:rPr>
        <w:t>6.6</w:t>
      </w:r>
      <w:r w:rsidRPr="007B75DC">
        <w:rPr>
          <w:rFonts w:ascii="Times New Roman" w:eastAsia="Times New Roman" w:hAnsi="Times New Roman" w:cs="Times New Roman"/>
          <w:b/>
        </w:rPr>
        <w:tab/>
      </w:r>
      <w:r w:rsidRPr="007B75DC">
        <w:rPr>
          <w:rFonts w:ascii="Times New Roman" w:eastAsia="Times New Roman" w:hAnsi="Times New Roman" w:cs="Times New Roman"/>
          <w:b/>
          <w:bCs/>
          <w:color w:val="000000"/>
        </w:rPr>
        <w:t>Specialūs reikalavimai atliekoms tvarkyti</w:t>
      </w:r>
    </w:p>
    <w:p w14:paraId="35B6CDD9" w14:textId="77777777" w:rsidR="00DE2956" w:rsidRPr="007B75DC" w:rsidRDefault="00DE2956" w:rsidP="00DE2956">
      <w:pPr>
        <w:spacing w:after="0" w:line="240" w:lineRule="auto"/>
        <w:ind w:left="567" w:hanging="567"/>
        <w:rPr>
          <w:rFonts w:ascii="Times New Roman" w:eastAsia="Times New Roman" w:hAnsi="Times New Roman" w:cs="Times New Roman"/>
          <w:b/>
        </w:rPr>
      </w:pPr>
      <w:r w:rsidRPr="007B75DC">
        <w:rPr>
          <w:rFonts w:ascii="Times New Roman" w:eastAsia="Times New Roman" w:hAnsi="Times New Roman" w:cs="Times New Roman"/>
          <w:b/>
        </w:rPr>
        <w:t xml:space="preserve"> </w:t>
      </w:r>
    </w:p>
    <w:p w14:paraId="4103D1E7" w14:textId="77777777" w:rsidR="00DE2956" w:rsidRPr="007B75DC" w:rsidRDefault="00DE2956" w:rsidP="00DE2956">
      <w:pPr>
        <w:spacing w:after="0" w:line="240" w:lineRule="auto"/>
        <w:ind w:left="567" w:hanging="567"/>
        <w:rPr>
          <w:rFonts w:ascii="Times New Roman" w:eastAsia="Times New Roman" w:hAnsi="Times New Roman" w:cs="Times New Roman"/>
        </w:rPr>
      </w:pPr>
      <w:r w:rsidRPr="007B75DC">
        <w:rPr>
          <w:rFonts w:ascii="Times New Roman" w:eastAsia="Times New Roman" w:hAnsi="Times New Roman" w:cs="Times New Roman"/>
        </w:rPr>
        <w:t>Nesuvartotą vaistinį preparatą ar atliekas reikia tvarkyti laikantis vietinių reikalavimų.</w:t>
      </w:r>
    </w:p>
    <w:p w14:paraId="4A985D1D"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52390557"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708EB258" w14:textId="77777777" w:rsidR="00DE2956" w:rsidRPr="007B75DC" w:rsidRDefault="00DE2956" w:rsidP="00DE2956">
      <w:pPr>
        <w:spacing w:after="0" w:line="240" w:lineRule="auto"/>
        <w:ind w:left="567" w:hanging="567"/>
        <w:rPr>
          <w:rFonts w:ascii="Times New Roman" w:eastAsia="Times New Roman" w:hAnsi="Times New Roman" w:cs="Times New Roman"/>
          <w:b/>
          <w:caps/>
        </w:rPr>
      </w:pPr>
      <w:r w:rsidRPr="007B75DC">
        <w:rPr>
          <w:rFonts w:ascii="Times New Roman" w:eastAsia="Times New Roman" w:hAnsi="Times New Roman" w:cs="Times New Roman"/>
          <w:b/>
          <w:caps/>
        </w:rPr>
        <w:t>7.</w:t>
      </w:r>
      <w:r w:rsidRPr="007B75DC">
        <w:rPr>
          <w:rFonts w:ascii="Times New Roman" w:eastAsia="Times New Roman" w:hAnsi="Times New Roman" w:cs="Times New Roman"/>
          <w:b/>
          <w:caps/>
        </w:rPr>
        <w:tab/>
        <w:t>REGISTRUOTOJAS</w:t>
      </w:r>
    </w:p>
    <w:p w14:paraId="2D5CCEB5" w14:textId="77777777" w:rsidR="00DE2956" w:rsidRPr="007B75DC" w:rsidRDefault="00DE2956" w:rsidP="00DE2956">
      <w:pPr>
        <w:spacing w:after="0" w:line="240" w:lineRule="auto"/>
        <w:rPr>
          <w:rFonts w:ascii="Times New Roman" w:eastAsia="Times New Roman" w:hAnsi="Times New Roman" w:cs="Times New Roman"/>
        </w:rPr>
      </w:pPr>
    </w:p>
    <w:p w14:paraId="5C72CF97" w14:textId="77777777" w:rsidR="006F09BA" w:rsidRPr="007B75DC" w:rsidRDefault="006F09BA" w:rsidP="006F09BA">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 xml:space="preserve">UAB </w:t>
      </w:r>
      <w:r w:rsidR="008E79D1">
        <w:rPr>
          <w:rFonts w:ascii="Times New Roman" w:eastAsia="Times New Roman" w:hAnsi="Times New Roman" w:cs="Times New Roman"/>
        </w:rPr>
        <w:t>„</w:t>
      </w:r>
      <w:r w:rsidRPr="007B75DC">
        <w:rPr>
          <w:rFonts w:ascii="Times New Roman" w:eastAsia="Times New Roman" w:hAnsi="Times New Roman" w:cs="Times New Roman"/>
        </w:rPr>
        <w:t>INTELI GENERICS NORD</w:t>
      </w:r>
      <w:r w:rsidR="008E79D1">
        <w:rPr>
          <w:rFonts w:ascii="Times New Roman" w:eastAsia="Times New Roman" w:hAnsi="Times New Roman" w:cs="Times New Roman"/>
        </w:rPr>
        <w:t>“</w:t>
      </w:r>
    </w:p>
    <w:p w14:paraId="3B92CBE4" w14:textId="77777777" w:rsidR="006F09BA" w:rsidRPr="007B75DC" w:rsidRDefault="006F09BA" w:rsidP="006F09BA">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 xml:space="preserve">Šeimyniškių g. 3 </w:t>
      </w:r>
    </w:p>
    <w:p w14:paraId="09A4C339" w14:textId="77777777" w:rsidR="006F09BA" w:rsidRPr="007B75DC" w:rsidRDefault="006F09BA" w:rsidP="006F09BA">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 xml:space="preserve">Vilnius, LT-09312 </w:t>
      </w:r>
    </w:p>
    <w:p w14:paraId="10E20992" w14:textId="77777777" w:rsidR="006F09BA" w:rsidRPr="007B75DC" w:rsidRDefault="006F09BA" w:rsidP="006F09BA">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Lietuva</w:t>
      </w:r>
    </w:p>
    <w:p w14:paraId="4A95F1CB"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7569C4B8"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75ACCE16" w14:textId="77777777" w:rsidR="00DE2956" w:rsidRPr="007B75DC" w:rsidRDefault="00DE2956" w:rsidP="00DE2956">
      <w:pPr>
        <w:spacing w:after="0" w:line="240" w:lineRule="auto"/>
        <w:ind w:left="567" w:hanging="567"/>
        <w:rPr>
          <w:rFonts w:ascii="Times New Roman" w:eastAsia="Times New Roman" w:hAnsi="Times New Roman" w:cs="Times New Roman"/>
          <w:b/>
          <w:caps/>
        </w:rPr>
      </w:pPr>
      <w:r w:rsidRPr="007B75DC">
        <w:rPr>
          <w:rFonts w:ascii="Times New Roman" w:eastAsia="Times New Roman" w:hAnsi="Times New Roman" w:cs="Times New Roman"/>
          <w:b/>
          <w:caps/>
        </w:rPr>
        <w:t>8.</w:t>
      </w:r>
      <w:r w:rsidRPr="007B75DC">
        <w:rPr>
          <w:rFonts w:ascii="Times New Roman" w:eastAsia="Times New Roman" w:hAnsi="Times New Roman" w:cs="Times New Roman"/>
          <w:b/>
          <w:caps/>
        </w:rPr>
        <w:tab/>
        <w:t>REGISTRACIJOS PAŽYMĖJIMO numeris (-IAI)</w:t>
      </w:r>
    </w:p>
    <w:p w14:paraId="016B1CF4" w14:textId="77777777" w:rsidR="00DE2956" w:rsidRPr="007B75DC" w:rsidRDefault="00DE2956" w:rsidP="00DE2956">
      <w:pPr>
        <w:spacing w:after="0" w:line="240" w:lineRule="auto"/>
        <w:rPr>
          <w:rFonts w:ascii="Times New Roman" w:eastAsia="Times New Roman" w:hAnsi="Times New Roman" w:cs="Times New Roman"/>
          <w:i/>
        </w:rPr>
      </w:pPr>
    </w:p>
    <w:tbl>
      <w:tblPr>
        <w:tblW w:w="0" w:type="auto"/>
        <w:tblInd w:w="-5" w:type="dxa"/>
        <w:tblLook w:val="04A0" w:firstRow="1" w:lastRow="0" w:firstColumn="1" w:lastColumn="0" w:noHBand="0" w:noVBand="1"/>
      </w:tblPr>
      <w:tblGrid>
        <w:gridCol w:w="4395"/>
        <w:gridCol w:w="4670"/>
      </w:tblGrid>
      <w:tr w:rsidR="00DE2956" w:rsidRPr="007B75DC" w14:paraId="6461D904" w14:textId="77777777" w:rsidTr="00B80CB3">
        <w:tc>
          <w:tcPr>
            <w:tcW w:w="4395" w:type="dxa"/>
            <w:shd w:val="clear" w:color="auto" w:fill="auto"/>
          </w:tcPr>
          <w:p w14:paraId="054272F8" w14:textId="4E706547" w:rsidR="00DE2956" w:rsidRPr="007B75DC" w:rsidRDefault="00DE2956" w:rsidP="00B80CB3">
            <w:pPr>
              <w:spacing w:after="0" w:line="240" w:lineRule="auto"/>
              <w:ind w:left="567" w:hanging="567"/>
              <w:rPr>
                <w:rFonts w:ascii="Times New Roman" w:eastAsia="Times New Roman" w:hAnsi="Times New Roman" w:cs="Times New Roman"/>
                <w:u w:val="single"/>
                <w:lang w:eastAsia="lt-LT"/>
              </w:rPr>
            </w:pPr>
            <w:r w:rsidRPr="007B75DC">
              <w:rPr>
                <w:rFonts w:ascii="Times New Roman" w:eastAsia="Times New Roman" w:hAnsi="Times New Roman" w:cs="Times New Roman"/>
                <w:u w:val="single"/>
                <w:lang w:eastAsia="lt-LT"/>
              </w:rPr>
              <w:t>100</w:t>
            </w:r>
            <w:r w:rsidR="000C355D">
              <w:rPr>
                <w:rFonts w:ascii="Times New Roman" w:eastAsia="Times New Roman" w:hAnsi="Times New Roman" w:cs="Times New Roman"/>
                <w:u w:val="single"/>
                <w:lang w:eastAsia="lt-LT"/>
              </w:rPr>
              <w:t> </w:t>
            </w:r>
            <w:r w:rsidRPr="007B75DC">
              <w:rPr>
                <w:rFonts w:ascii="Times New Roman" w:eastAsia="Times New Roman" w:hAnsi="Times New Roman" w:cs="Times New Roman"/>
                <w:u w:val="single"/>
                <w:lang w:eastAsia="lt-LT"/>
              </w:rPr>
              <w:t>mg</w:t>
            </w:r>
          </w:p>
          <w:p w14:paraId="61413BA8" w14:textId="77777777" w:rsidR="00EC29C8"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LT/1/16/4005/001 – N20</w:t>
            </w:r>
          </w:p>
          <w:p w14:paraId="1E9A7DC6" w14:textId="77777777" w:rsidR="00EC29C8"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LT/1/16/4005/002 – N60</w:t>
            </w:r>
          </w:p>
          <w:p w14:paraId="27D7D213" w14:textId="77777777" w:rsidR="00EC29C8"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LT/1/16/4005/003 – N120</w:t>
            </w:r>
          </w:p>
          <w:p w14:paraId="1DA2DEC6" w14:textId="77777777" w:rsidR="00EC29C8"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LT/1/16/4005/004 – N180</w:t>
            </w:r>
          </w:p>
          <w:p w14:paraId="0C490A6E" w14:textId="77777777" w:rsidR="00DE2956"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LT/1/16/4005/008 – N30</w:t>
            </w:r>
          </w:p>
        </w:tc>
        <w:tc>
          <w:tcPr>
            <w:tcW w:w="4670" w:type="dxa"/>
            <w:shd w:val="clear" w:color="auto" w:fill="auto"/>
          </w:tcPr>
          <w:p w14:paraId="6921CFC9" w14:textId="48EA42CA" w:rsidR="00DE2956" w:rsidRPr="007B75DC" w:rsidRDefault="00DE2956" w:rsidP="00B80CB3">
            <w:pPr>
              <w:spacing w:after="0" w:line="240" w:lineRule="auto"/>
              <w:ind w:left="567" w:hanging="567"/>
              <w:rPr>
                <w:rFonts w:ascii="Times New Roman" w:eastAsia="Times New Roman" w:hAnsi="Times New Roman" w:cs="Times New Roman"/>
                <w:u w:val="single"/>
                <w:lang w:eastAsia="lt-LT"/>
              </w:rPr>
            </w:pPr>
            <w:r w:rsidRPr="007B75DC">
              <w:rPr>
                <w:rFonts w:ascii="Times New Roman" w:eastAsia="Times New Roman" w:hAnsi="Times New Roman" w:cs="Times New Roman"/>
                <w:u w:val="single"/>
                <w:lang w:eastAsia="lt-LT"/>
              </w:rPr>
              <w:t>400</w:t>
            </w:r>
            <w:r w:rsidR="000C355D">
              <w:rPr>
                <w:rFonts w:ascii="Times New Roman" w:eastAsia="Times New Roman" w:hAnsi="Times New Roman" w:cs="Times New Roman"/>
                <w:u w:val="single"/>
                <w:lang w:eastAsia="lt-LT"/>
              </w:rPr>
              <w:t> </w:t>
            </w:r>
            <w:r w:rsidRPr="007B75DC">
              <w:rPr>
                <w:rFonts w:ascii="Times New Roman" w:eastAsia="Times New Roman" w:hAnsi="Times New Roman" w:cs="Times New Roman"/>
                <w:u w:val="single"/>
                <w:lang w:eastAsia="lt-LT"/>
              </w:rPr>
              <w:t>mg</w:t>
            </w:r>
          </w:p>
          <w:p w14:paraId="512D4A34" w14:textId="77777777" w:rsidR="00EC29C8"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LT/1/16/4005/005 – N10</w:t>
            </w:r>
          </w:p>
          <w:p w14:paraId="51849437" w14:textId="77777777" w:rsidR="00EC29C8" w:rsidRPr="007B75DC" w:rsidRDefault="00EC29C8" w:rsidP="00B80CB3">
            <w:pPr>
              <w:spacing w:after="0" w:line="240" w:lineRule="auto"/>
              <w:ind w:left="567" w:hanging="567"/>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LT/1/16/4005/006 – N30</w:t>
            </w:r>
          </w:p>
          <w:p w14:paraId="6636EE53" w14:textId="77777777" w:rsidR="00DE2956" w:rsidRPr="007B75DC" w:rsidRDefault="00EC29C8" w:rsidP="00B80CB3">
            <w:pPr>
              <w:spacing w:after="0" w:line="240" w:lineRule="auto"/>
              <w:rPr>
                <w:rFonts w:ascii="Times New Roman" w:eastAsia="Times New Roman" w:hAnsi="Times New Roman" w:cs="Times New Roman"/>
                <w:lang w:eastAsia="lt-LT"/>
              </w:rPr>
            </w:pPr>
            <w:r w:rsidRPr="007B75DC">
              <w:rPr>
                <w:rFonts w:ascii="Times New Roman" w:eastAsia="Times New Roman" w:hAnsi="Times New Roman" w:cs="Times New Roman"/>
                <w:lang w:eastAsia="lt-LT"/>
              </w:rPr>
              <w:t>LT/1/16/4005/007 – N90</w:t>
            </w:r>
          </w:p>
        </w:tc>
      </w:tr>
    </w:tbl>
    <w:p w14:paraId="18CF59C1"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65B2F8C8"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1DFF0F4A" w14:textId="77777777" w:rsidR="00DE2956" w:rsidRPr="007B75DC" w:rsidRDefault="00DE2956" w:rsidP="00DE2956">
      <w:pPr>
        <w:spacing w:after="0" w:line="240" w:lineRule="auto"/>
        <w:ind w:left="567" w:hanging="567"/>
        <w:rPr>
          <w:rFonts w:ascii="Times New Roman" w:eastAsia="Times New Roman" w:hAnsi="Times New Roman" w:cs="Times New Roman"/>
          <w:b/>
          <w:caps/>
        </w:rPr>
      </w:pPr>
      <w:r w:rsidRPr="007B75DC">
        <w:rPr>
          <w:rFonts w:ascii="Times New Roman" w:eastAsia="Times New Roman" w:hAnsi="Times New Roman" w:cs="Times New Roman"/>
          <w:b/>
          <w:caps/>
        </w:rPr>
        <w:t>9.</w:t>
      </w:r>
      <w:r w:rsidRPr="007B75DC">
        <w:rPr>
          <w:rFonts w:ascii="Times New Roman" w:eastAsia="Times New Roman" w:hAnsi="Times New Roman" w:cs="Times New Roman"/>
          <w:b/>
          <w:caps/>
        </w:rPr>
        <w:tab/>
        <w:t>REGISTRAVIMO / PERREGISTRAVIMO data</w:t>
      </w:r>
    </w:p>
    <w:p w14:paraId="5CFA3C4F" w14:textId="77777777" w:rsidR="00DE2956" w:rsidRPr="007B75DC" w:rsidRDefault="00DE2956" w:rsidP="00DE2956">
      <w:pPr>
        <w:spacing w:after="0" w:line="240" w:lineRule="auto"/>
        <w:ind w:left="567" w:hanging="567"/>
        <w:rPr>
          <w:rFonts w:ascii="Times New Roman" w:eastAsia="Times New Roman" w:hAnsi="Times New Roman" w:cs="Times New Roman"/>
          <w:b/>
          <w:caps/>
        </w:rPr>
      </w:pPr>
    </w:p>
    <w:p w14:paraId="06E885E8" w14:textId="77777777" w:rsidR="00DE2956" w:rsidRPr="007B75DC" w:rsidRDefault="00DE2956" w:rsidP="00DE2956">
      <w:pPr>
        <w:spacing w:after="0" w:line="240" w:lineRule="auto"/>
        <w:rPr>
          <w:rFonts w:ascii="Times New Roman" w:eastAsia="Times New Roman" w:hAnsi="Times New Roman" w:cs="Times New Roman"/>
          <w:snapToGrid w:val="0"/>
        </w:rPr>
      </w:pPr>
      <w:r w:rsidRPr="007B75DC">
        <w:rPr>
          <w:rFonts w:ascii="Times New Roman" w:eastAsia="Times New Roman" w:hAnsi="Times New Roman" w:cs="Times New Roman"/>
          <w:snapToGrid w:val="0"/>
        </w:rPr>
        <w:t>Registravimo data 2016</w:t>
      </w:r>
      <w:r w:rsidR="008E79D1">
        <w:rPr>
          <w:rFonts w:ascii="Times New Roman" w:eastAsia="Times New Roman" w:hAnsi="Times New Roman" w:cs="Times New Roman"/>
          <w:snapToGrid w:val="0"/>
        </w:rPr>
        <w:t> </w:t>
      </w:r>
      <w:r w:rsidRPr="007B75DC">
        <w:rPr>
          <w:rFonts w:ascii="Times New Roman" w:eastAsia="Times New Roman" w:hAnsi="Times New Roman" w:cs="Times New Roman"/>
          <w:snapToGrid w:val="0"/>
        </w:rPr>
        <w:t>m. lapkričio 22</w:t>
      </w:r>
      <w:r w:rsidR="008E79D1">
        <w:rPr>
          <w:rFonts w:ascii="Times New Roman" w:eastAsia="Times New Roman" w:hAnsi="Times New Roman" w:cs="Times New Roman"/>
          <w:snapToGrid w:val="0"/>
        </w:rPr>
        <w:t> </w:t>
      </w:r>
      <w:r w:rsidRPr="007B75DC">
        <w:rPr>
          <w:rFonts w:ascii="Times New Roman" w:eastAsia="Times New Roman" w:hAnsi="Times New Roman" w:cs="Times New Roman"/>
          <w:snapToGrid w:val="0"/>
        </w:rPr>
        <w:t>d.</w:t>
      </w:r>
    </w:p>
    <w:p w14:paraId="2165DBA4" w14:textId="77777777" w:rsidR="002A726F" w:rsidRPr="007B75DC" w:rsidRDefault="002A726F" w:rsidP="00DE2956">
      <w:pPr>
        <w:spacing w:after="0" w:line="240" w:lineRule="auto"/>
        <w:rPr>
          <w:rFonts w:ascii="Times New Roman" w:eastAsia="Times New Roman" w:hAnsi="Times New Roman" w:cs="Times New Roman"/>
          <w:snapToGrid w:val="0"/>
        </w:rPr>
      </w:pPr>
      <w:r w:rsidRPr="007B75DC">
        <w:rPr>
          <w:rFonts w:ascii="Times New Roman" w:eastAsia="Times New Roman" w:hAnsi="Times New Roman" w:cs="Times New Roman"/>
          <w:snapToGrid w:val="0"/>
        </w:rPr>
        <w:lastRenderedPageBreak/>
        <w:t>Paskutinio perregistravimo data</w:t>
      </w:r>
      <w:r w:rsidR="00EC29C8" w:rsidRPr="007B75DC">
        <w:rPr>
          <w:rFonts w:ascii="Times New Roman" w:eastAsia="Times New Roman" w:hAnsi="Times New Roman" w:cs="Times New Roman"/>
          <w:snapToGrid w:val="0"/>
        </w:rPr>
        <w:t xml:space="preserve"> 2022</w:t>
      </w:r>
      <w:r w:rsidR="008E79D1">
        <w:rPr>
          <w:rFonts w:ascii="Times New Roman" w:eastAsia="Times New Roman" w:hAnsi="Times New Roman" w:cs="Times New Roman"/>
          <w:snapToGrid w:val="0"/>
        </w:rPr>
        <w:t> </w:t>
      </w:r>
      <w:r w:rsidR="00EC29C8" w:rsidRPr="007B75DC">
        <w:rPr>
          <w:rFonts w:ascii="Times New Roman" w:eastAsia="Times New Roman" w:hAnsi="Times New Roman" w:cs="Times New Roman"/>
          <w:snapToGrid w:val="0"/>
        </w:rPr>
        <w:t>m. rugpjūčio 1</w:t>
      </w:r>
      <w:r w:rsidR="008E79D1">
        <w:rPr>
          <w:rFonts w:ascii="Times New Roman" w:eastAsia="Times New Roman" w:hAnsi="Times New Roman" w:cs="Times New Roman"/>
          <w:snapToGrid w:val="0"/>
        </w:rPr>
        <w:t> </w:t>
      </w:r>
      <w:r w:rsidR="00EC29C8" w:rsidRPr="007B75DC">
        <w:rPr>
          <w:rFonts w:ascii="Times New Roman" w:eastAsia="Times New Roman" w:hAnsi="Times New Roman" w:cs="Times New Roman"/>
          <w:snapToGrid w:val="0"/>
        </w:rPr>
        <w:t>d.</w:t>
      </w:r>
    </w:p>
    <w:p w14:paraId="5BA7EB8F" w14:textId="77777777" w:rsidR="002A726F" w:rsidRPr="007B75DC" w:rsidRDefault="002A726F" w:rsidP="00DE2956">
      <w:pPr>
        <w:spacing w:after="0" w:line="240" w:lineRule="auto"/>
        <w:rPr>
          <w:rFonts w:ascii="Times New Roman" w:eastAsia="Times New Roman" w:hAnsi="Times New Roman" w:cs="Times New Roman"/>
          <w:snapToGrid w:val="0"/>
        </w:rPr>
      </w:pPr>
    </w:p>
    <w:p w14:paraId="5404A3A4" w14:textId="77777777" w:rsidR="00DE2956" w:rsidRPr="007B75DC" w:rsidRDefault="00DE2956" w:rsidP="00DE2956">
      <w:pPr>
        <w:spacing w:after="0" w:line="240" w:lineRule="auto"/>
        <w:ind w:left="567" w:hanging="567"/>
        <w:rPr>
          <w:rFonts w:ascii="Times New Roman" w:eastAsia="Times New Roman" w:hAnsi="Times New Roman" w:cs="Times New Roman"/>
        </w:rPr>
      </w:pPr>
    </w:p>
    <w:p w14:paraId="5106AA7C" w14:textId="77777777" w:rsidR="00DE2956" w:rsidRPr="007B75DC" w:rsidRDefault="00DE2956" w:rsidP="00DE2956">
      <w:pPr>
        <w:spacing w:after="0" w:line="240" w:lineRule="auto"/>
        <w:ind w:left="567" w:hanging="567"/>
        <w:rPr>
          <w:rFonts w:ascii="Times New Roman" w:eastAsia="Times New Roman" w:hAnsi="Times New Roman" w:cs="Times New Roman"/>
          <w:b/>
          <w:caps/>
        </w:rPr>
      </w:pPr>
      <w:r w:rsidRPr="007B75DC">
        <w:rPr>
          <w:rFonts w:ascii="Times New Roman" w:eastAsia="Times New Roman" w:hAnsi="Times New Roman" w:cs="Times New Roman"/>
          <w:b/>
          <w:caps/>
        </w:rPr>
        <w:t>10.</w:t>
      </w:r>
      <w:r w:rsidRPr="007B75DC">
        <w:rPr>
          <w:rFonts w:ascii="Times New Roman" w:eastAsia="Times New Roman" w:hAnsi="Times New Roman" w:cs="Times New Roman"/>
          <w:b/>
          <w:caps/>
        </w:rPr>
        <w:tab/>
        <w:t>teksto peržiūros data</w:t>
      </w:r>
    </w:p>
    <w:p w14:paraId="07C74412" w14:textId="77777777" w:rsidR="00DE2956" w:rsidRPr="007B75DC" w:rsidRDefault="00DE2956" w:rsidP="00DE2956">
      <w:pPr>
        <w:spacing w:after="0" w:line="240" w:lineRule="auto"/>
        <w:ind w:left="567" w:hanging="567"/>
        <w:rPr>
          <w:rFonts w:ascii="Times New Roman" w:eastAsia="Times New Roman" w:hAnsi="Times New Roman" w:cs="Times New Roman"/>
          <w:b/>
          <w:caps/>
        </w:rPr>
      </w:pPr>
    </w:p>
    <w:p w14:paraId="028B2509" w14:textId="680C9968" w:rsidR="00DE2956" w:rsidRPr="007B75DC" w:rsidRDefault="00F322A5" w:rsidP="00DE2956">
      <w:p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2024 m. lapkričio 13 d.</w:t>
      </w:r>
    </w:p>
    <w:p w14:paraId="2F186A1E" w14:textId="77777777" w:rsidR="00EC29C8" w:rsidRPr="007B75DC" w:rsidRDefault="00EC29C8" w:rsidP="00DE2956">
      <w:pPr>
        <w:spacing w:after="0" w:line="240" w:lineRule="auto"/>
        <w:ind w:left="567" w:hanging="567"/>
        <w:rPr>
          <w:rFonts w:ascii="Times New Roman" w:eastAsia="Times New Roman" w:hAnsi="Times New Roman" w:cs="Times New Roman"/>
        </w:rPr>
      </w:pPr>
    </w:p>
    <w:p w14:paraId="56ABBBF1" w14:textId="5E110BBC" w:rsidR="00DE2956" w:rsidRPr="007B75DC" w:rsidRDefault="00DE2956" w:rsidP="00DE2956">
      <w:pPr>
        <w:tabs>
          <w:tab w:val="left" w:pos="5954"/>
          <w:tab w:val="left" w:pos="6237"/>
          <w:tab w:val="left" w:pos="6663"/>
          <w:tab w:val="left" w:pos="6946"/>
        </w:tabs>
        <w:spacing w:after="0" w:line="240" w:lineRule="auto"/>
        <w:rPr>
          <w:rFonts w:ascii="Times New Roman" w:eastAsia="SimSun" w:hAnsi="Times New Roman" w:cs="Times New Roman"/>
        </w:rPr>
      </w:pPr>
      <w:r w:rsidRPr="007B75DC">
        <w:rPr>
          <w:rFonts w:ascii="Times New Roman" w:eastAsia="SimSun" w:hAnsi="Times New Roman" w:cs="Times New Roman"/>
        </w:rPr>
        <w:t>Išsami informacija apie šį vaistinį preparatą pateikiama Valstybinės vaistų kontrolės tarnybos prie Lietuvos Respublikos sveikatos apsaugos ministerijos tinklalapy</w:t>
      </w:r>
      <w:r w:rsidRPr="0097724E">
        <w:rPr>
          <w:rFonts w:ascii="Times New Roman" w:eastAsia="SimSun" w:hAnsi="Times New Roman" w:cs="Times New Roman"/>
        </w:rPr>
        <w:t>je</w:t>
      </w:r>
      <w:r w:rsidRPr="0097724E">
        <w:rPr>
          <w:rFonts w:ascii="Times New Roman" w:eastAsia="SimSun" w:hAnsi="Times New Roman" w:cs="Times New Roman"/>
          <w:i/>
        </w:rPr>
        <w:t xml:space="preserve"> </w:t>
      </w:r>
      <w:hyperlink r:id="rId14" w:history="1">
        <w:r w:rsidR="0097724E" w:rsidRPr="00E47A2C">
          <w:rPr>
            <w:rStyle w:val="Hipersaitas"/>
            <w:rFonts w:ascii="Times New Roman" w:hAnsi="Times New Roman" w:cs="Times New Roman"/>
            <w:lang w:eastAsia="lt-LT"/>
          </w:rPr>
          <w:t>https://vvkt.lrv.lt/lt/</w:t>
        </w:r>
      </w:hyperlink>
      <w:r w:rsidR="0097724E" w:rsidRPr="00E47A2C">
        <w:rPr>
          <w:rFonts w:ascii="Times New Roman" w:hAnsi="Times New Roman" w:cs="Times New Roman"/>
          <w:lang w:eastAsia="lt-LT"/>
        </w:rPr>
        <w:t>.</w:t>
      </w:r>
      <w:hyperlink w:history="1"/>
    </w:p>
    <w:p w14:paraId="1556027E" w14:textId="77777777" w:rsidR="00DE2956" w:rsidRPr="007B75DC" w:rsidRDefault="00DE2956" w:rsidP="00DE2956">
      <w:pPr>
        <w:spacing w:after="0" w:line="240" w:lineRule="auto"/>
        <w:rPr>
          <w:rFonts w:ascii="Times New Roman" w:eastAsia="Times New Roman" w:hAnsi="Times New Roman" w:cs="Times New Roman"/>
          <w:snapToGrid w:val="0"/>
          <w:szCs w:val="24"/>
        </w:rPr>
      </w:pPr>
      <w:r w:rsidRPr="007B75DC">
        <w:rPr>
          <w:rFonts w:ascii="Times New Roman" w:eastAsia="Times New Roman" w:hAnsi="Times New Roman" w:cs="Times New Roman"/>
          <w:szCs w:val="24"/>
        </w:rPr>
        <w:br w:type="page"/>
      </w:r>
    </w:p>
    <w:p w14:paraId="1FAA4B81"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631F6263"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460E5797"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2F431DB7"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3CD7B180"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39C141EF"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460B3DC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384DA780"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161FB9C9"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5A271727"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28B029C8"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093FA5BE"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69C61375"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6EE55A80"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6FCDC90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44A5D401"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28C308B3"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5D3188CD"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505A0F24"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2A03BCC9"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6C6E234A"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584CB788"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1229BABE"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65EDD8CC" w14:textId="77777777" w:rsidR="00DE2956" w:rsidRPr="007B75DC" w:rsidRDefault="00DE2956" w:rsidP="00DE2956">
      <w:pPr>
        <w:tabs>
          <w:tab w:val="left" w:pos="567"/>
        </w:tabs>
        <w:spacing w:after="0" w:line="260" w:lineRule="exact"/>
        <w:jc w:val="center"/>
        <w:rPr>
          <w:rFonts w:ascii="Times New Roman" w:eastAsia="Times New Roman" w:hAnsi="Times New Roman" w:cs="Times New Roman"/>
          <w:b/>
          <w:snapToGrid w:val="0"/>
          <w:szCs w:val="20"/>
        </w:rPr>
      </w:pPr>
      <w:r w:rsidRPr="007B75DC">
        <w:rPr>
          <w:rFonts w:ascii="Times New Roman" w:eastAsia="Times New Roman" w:hAnsi="Times New Roman" w:cs="Times New Roman"/>
          <w:b/>
          <w:snapToGrid w:val="0"/>
          <w:szCs w:val="20"/>
        </w:rPr>
        <w:t>II PRIEDAS</w:t>
      </w:r>
    </w:p>
    <w:p w14:paraId="70A2F8C7" w14:textId="77777777" w:rsidR="00DE2956" w:rsidRPr="007B75DC" w:rsidRDefault="00DE2956" w:rsidP="00DE2956">
      <w:pPr>
        <w:tabs>
          <w:tab w:val="left" w:pos="567"/>
        </w:tabs>
        <w:spacing w:after="0" w:line="260" w:lineRule="exact"/>
        <w:ind w:left="1701" w:right="1416" w:hanging="567"/>
        <w:rPr>
          <w:rFonts w:ascii="Times New Roman" w:eastAsia="Times New Roman" w:hAnsi="Times New Roman" w:cs="Times New Roman"/>
          <w:snapToGrid w:val="0"/>
          <w:szCs w:val="20"/>
        </w:rPr>
      </w:pPr>
    </w:p>
    <w:p w14:paraId="372ECEFF" w14:textId="77777777" w:rsidR="00DE2956" w:rsidRPr="007B75DC" w:rsidRDefault="00DE2956" w:rsidP="00DE2956">
      <w:pPr>
        <w:tabs>
          <w:tab w:val="left" w:pos="567"/>
        </w:tabs>
        <w:spacing w:after="0" w:line="260" w:lineRule="exact"/>
        <w:jc w:val="center"/>
        <w:rPr>
          <w:rFonts w:ascii="Times New Roman" w:eastAsia="Times New Roman" w:hAnsi="Times New Roman" w:cs="Times New Roman"/>
          <w:i/>
          <w:snapToGrid w:val="0"/>
          <w:szCs w:val="20"/>
        </w:rPr>
      </w:pPr>
      <w:r w:rsidRPr="007B75DC">
        <w:rPr>
          <w:rFonts w:ascii="Times New Roman" w:eastAsia="Times New Roman" w:hAnsi="Times New Roman" w:cs="Times New Roman"/>
          <w:b/>
          <w:snapToGrid w:val="0"/>
          <w:szCs w:val="20"/>
        </w:rPr>
        <w:t>REGISTRACIJOS SĄLYGOS</w:t>
      </w:r>
    </w:p>
    <w:p w14:paraId="19C7EB4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25999FB8" w14:textId="77777777" w:rsidR="00DE2956" w:rsidRPr="007B75DC" w:rsidRDefault="00DE2956" w:rsidP="00DE2956">
      <w:pPr>
        <w:tabs>
          <w:tab w:val="left" w:pos="1701"/>
        </w:tabs>
        <w:spacing w:after="0" w:line="260" w:lineRule="exact"/>
        <w:ind w:left="1701" w:right="567" w:hanging="567"/>
        <w:rPr>
          <w:rFonts w:ascii="Times New Roman" w:eastAsia="Times New Roman" w:hAnsi="Times New Roman" w:cs="Times New Roman"/>
          <w:b/>
          <w:snapToGrid w:val="0"/>
          <w:szCs w:val="24"/>
        </w:rPr>
      </w:pPr>
      <w:r w:rsidRPr="007B75DC">
        <w:rPr>
          <w:rFonts w:ascii="Times New Roman" w:eastAsia="Times New Roman" w:hAnsi="Times New Roman" w:cs="Times New Roman"/>
          <w:b/>
          <w:snapToGrid w:val="0"/>
          <w:szCs w:val="24"/>
        </w:rPr>
        <w:t>A.</w:t>
      </w:r>
      <w:r w:rsidRPr="007B75DC">
        <w:rPr>
          <w:rFonts w:ascii="Times New Roman" w:eastAsia="Times New Roman" w:hAnsi="Times New Roman" w:cs="Times New Roman"/>
          <w:b/>
          <w:snapToGrid w:val="0"/>
          <w:szCs w:val="24"/>
        </w:rPr>
        <w:tab/>
        <w:t>GAMINTOJAS (-AI), ATSAKINGAS (-I) UŽ SERIJŲ IŠLEIDIMĄ</w:t>
      </w:r>
    </w:p>
    <w:p w14:paraId="11910DAB" w14:textId="77777777" w:rsidR="00DE2956" w:rsidRPr="007B75DC" w:rsidRDefault="00DE2956" w:rsidP="00DE2956">
      <w:pPr>
        <w:tabs>
          <w:tab w:val="left" w:pos="1701"/>
        </w:tabs>
        <w:spacing w:after="0" w:line="260" w:lineRule="exact"/>
        <w:ind w:left="567" w:right="567" w:hanging="567"/>
        <w:rPr>
          <w:rFonts w:ascii="Times New Roman" w:eastAsia="Times New Roman" w:hAnsi="Times New Roman" w:cs="Times New Roman"/>
          <w:snapToGrid w:val="0"/>
          <w:szCs w:val="24"/>
        </w:rPr>
      </w:pPr>
    </w:p>
    <w:p w14:paraId="04C618F7" w14:textId="77777777" w:rsidR="00DE2956" w:rsidRPr="007B75DC" w:rsidRDefault="00DE2956" w:rsidP="00DE2956">
      <w:pPr>
        <w:tabs>
          <w:tab w:val="left" w:pos="1701"/>
        </w:tabs>
        <w:spacing w:after="0" w:line="260" w:lineRule="exact"/>
        <w:ind w:left="1701" w:right="567" w:hanging="567"/>
        <w:rPr>
          <w:rFonts w:ascii="Times New Roman" w:eastAsia="Times New Roman" w:hAnsi="Times New Roman" w:cs="Times New Roman"/>
          <w:b/>
          <w:snapToGrid w:val="0"/>
          <w:szCs w:val="20"/>
        </w:rPr>
      </w:pPr>
      <w:r w:rsidRPr="007B75DC">
        <w:rPr>
          <w:rFonts w:ascii="Times New Roman" w:eastAsia="Times New Roman" w:hAnsi="Times New Roman" w:cs="Times New Roman"/>
          <w:b/>
          <w:snapToGrid w:val="0"/>
          <w:szCs w:val="20"/>
        </w:rPr>
        <w:t>B.</w:t>
      </w:r>
      <w:r w:rsidRPr="007B75DC">
        <w:rPr>
          <w:rFonts w:ascii="Times New Roman" w:eastAsia="Times New Roman" w:hAnsi="Times New Roman" w:cs="Times New Roman"/>
          <w:b/>
          <w:snapToGrid w:val="0"/>
          <w:szCs w:val="20"/>
        </w:rPr>
        <w:tab/>
        <w:t>TIEKIMO IR VARTOJIMO SĄLYGOS AR APRIBOJIMAI</w:t>
      </w:r>
    </w:p>
    <w:p w14:paraId="3EB865EA" w14:textId="77777777" w:rsidR="00DE2956" w:rsidRPr="007B75DC" w:rsidRDefault="00DE2956" w:rsidP="00DE2956">
      <w:pPr>
        <w:tabs>
          <w:tab w:val="left" w:pos="1701"/>
        </w:tabs>
        <w:spacing w:after="0" w:line="260" w:lineRule="exact"/>
        <w:ind w:left="567" w:right="567" w:hanging="567"/>
        <w:rPr>
          <w:rFonts w:ascii="Times New Roman" w:eastAsia="Times New Roman" w:hAnsi="Times New Roman" w:cs="Times New Roman"/>
          <w:snapToGrid w:val="0"/>
          <w:szCs w:val="20"/>
        </w:rPr>
      </w:pPr>
    </w:p>
    <w:p w14:paraId="432AA5F6" w14:textId="77777777" w:rsidR="00DE2956" w:rsidRPr="007B75DC" w:rsidRDefault="00DE2956" w:rsidP="00DE2956">
      <w:pPr>
        <w:tabs>
          <w:tab w:val="left" w:pos="567"/>
        </w:tabs>
        <w:spacing w:after="0" w:line="260" w:lineRule="exact"/>
        <w:ind w:left="567" w:hanging="567"/>
        <w:rPr>
          <w:rFonts w:ascii="Times New Roman" w:eastAsia="Times New Roman" w:hAnsi="Times New Roman" w:cs="Times New Roman"/>
          <w:b/>
          <w:snapToGrid w:val="0"/>
          <w:szCs w:val="24"/>
        </w:rPr>
      </w:pPr>
      <w:r w:rsidRPr="007B75DC">
        <w:rPr>
          <w:rFonts w:ascii="Times New Roman" w:eastAsia="Times New Roman" w:hAnsi="Times New Roman" w:cs="Times New Roman"/>
          <w:snapToGrid w:val="0"/>
          <w:szCs w:val="20"/>
        </w:rPr>
        <w:br w:type="page"/>
      </w:r>
      <w:r w:rsidRPr="007B75DC">
        <w:rPr>
          <w:rFonts w:ascii="Times New Roman" w:eastAsia="Times New Roman" w:hAnsi="Times New Roman" w:cs="Times New Roman"/>
          <w:b/>
          <w:snapToGrid w:val="0"/>
          <w:szCs w:val="20"/>
        </w:rPr>
        <w:lastRenderedPageBreak/>
        <w:t>A.</w:t>
      </w:r>
      <w:r w:rsidRPr="007B75DC">
        <w:rPr>
          <w:rFonts w:ascii="Times New Roman" w:eastAsia="Times New Roman" w:hAnsi="Times New Roman" w:cs="Times New Roman"/>
          <w:b/>
          <w:snapToGrid w:val="0"/>
          <w:szCs w:val="24"/>
        </w:rPr>
        <w:tab/>
        <w:t>G</w:t>
      </w:r>
      <w:r w:rsidRPr="007B75DC">
        <w:rPr>
          <w:rFonts w:ascii="Times New Roman" w:eastAsia="Times New Roman" w:hAnsi="Times New Roman" w:cs="Times New Roman"/>
          <w:b/>
          <w:snapToGrid w:val="0"/>
          <w:szCs w:val="20"/>
        </w:rPr>
        <w:t>AMINTOJAS (-AI), ATSAKINGAS (-I) UŽ SERIJŲ IŠLEIDIMĄ</w:t>
      </w:r>
    </w:p>
    <w:p w14:paraId="562DB40B"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3260F67E" w14:textId="77777777" w:rsidR="00DE2956" w:rsidRPr="007B75DC" w:rsidRDefault="00DE2956" w:rsidP="00DE2956">
      <w:pPr>
        <w:tabs>
          <w:tab w:val="left" w:pos="567"/>
        </w:tabs>
        <w:spacing w:after="0" w:line="240" w:lineRule="auto"/>
        <w:jc w:val="both"/>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u w:val="single"/>
        </w:rPr>
        <w:t>Gamintojo (-ų), atsakingo (-ų) už serijų išleidimą, pavadinimas (-ai) ir adresas (-ai)</w:t>
      </w:r>
    </w:p>
    <w:p w14:paraId="4CDD1A3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59436CAC" w14:textId="77777777" w:rsidR="00A1146D" w:rsidRPr="007B75DC" w:rsidRDefault="00A1146D" w:rsidP="00A1146D">
      <w:pPr>
        <w:tabs>
          <w:tab w:val="left" w:pos="567"/>
        </w:tabs>
        <w:spacing w:after="0" w:line="260" w:lineRule="exact"/>
        <w:rPr>
          <w:rFonts w:ascii="Times New Roman" w:eastAsia="Times New Roman" w:hAnsi="Times New Roman" w:cs="Times New Roman"/>
        </w:rPr>
      </w:pPr>
      <w:r w:rsidRPr="007B75DC">
        <w:rPr>
          <w:rFonts w:ascii="Times New Roman" w:eastAsia="Times New Roman" w:hAnsi="Times New Roman" w:cs="Times New Roman"/>
        </w:rPr>
        <w:t>apis labor GmbH</w:t>
      </w:r>
    </w:p>
    <w:p w14:paraId="0AACE146" w14:textId="77777777" w:rsidR="00A1146D" w:rsidRPr="007B75DC" w:rsidRDefault="00A1146D" w:rsidP="00A1146D">
      <w:pPr>
        <w:tabs>
          <w:tab w:val="left" w:pos="567"/>
        </w:tabs>
        <w:spacing w:after="0" w:line="260" w:lineRule="exact"/>
        <w:rPr>
          <w:rFonts w:ascii="Times New Roman" w:eastAsia="Times New Roman" w:hAnsi="Times New Roman" w:cs="Times New Roman"/>
        </w:rPr>
      </w:pPr>
      <w:r w:rsidRPr="007B75DC">
        <w:rPr>
          <w:rFonts w:ascii="Times New Roman" w:eastAsia="Times New Roman" w:hAnsi="Times New Roman" w:cs="Times New Roman"/>
        </w:rPr>
        <w:t>Resslstraβe 9</w:t>
      </w:r>
    </w:p>
    <w:p w14:paraId="254AE54A" w14:textId="77777777" w:rsidR="00A1146D" w:rsidRPr="007B75DC" w:rsidRDefault="00A1146D" w:rsidP="00A1146D">
      <w:pPr>
        <w:tabs>
          <w:tab w:val="left" w:pos="567"/>
        </w:tabs>
        <w:spacing w:after="0" w:line="260" w:lineRule="exact"/>
        <w:rPr>
          <w:rFonts w:ascii="Times New Roman" w:eastAsia="Times New Roman" w:hAnsi="Times New Roman" w:cs="Times New Roman"/>
        </w:rPr>
      </w:pPr>
      <w:r w:rsidRPr="007B75DC">
        <w:rPr>
          <w:rFonts w:ascii="Times New Roman" w:eastAsia="Times New Roman" w:hAnsi="Times New Roman" w:cs="Times New Roman"/>
        </w:rPr>
        <w:t>9065 Ebenthal in Kärnten</w:t>
      </w:r>
    </w:p>
    <w:p w14:paraId="454B1DD3" w14:textId="77777777" w:rsidR="00960DED" w:rsidRPr="007B75DC" w:rsidRDefault="00960DED" w:rsidP="00960DED">
      <w:pPr>
        <w:tabs>
          <w:tab w:val="left" w:pos="567"/>
        </w:tabs>
        <w:spacing w:after="0" w:line="260" w:lineRule="exact"/>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rPr>
        <w:t>Austrija</w:t>
      </w:r>
    </w:p>
    <w:p w14:paraId="6DC40E9A" w14:textId="77777777" w:rsidR="00960DED" w:rsidRPr="007B75DC" w:rsidRDefault="00960DED" w:rsidP="00960DED">
      <w:pPr>
        <w:tabs>
          <w:tab w:val="left" w:pos="567"/>
        </w:tabs>
        <w:spacing w:after="0" w:line="260" w:lineRule="exact"/>
        <w:rPr>
          <w:rFonts w:ascii="Times New Roman" w:eastAsia="Times New Roman" w:hAnsi="Times New Roman" w:cs="Times New Roman"/>
          <w:snapToGrid w:val="0"/>
          <w:szCs w:val="24"/>
        </w:rPr>
      </w:pPr>
    </w:p>
    <w:p w14:paraId="157119D1" w14:textId="77777777" w:rsidR="00960DED" w:rsidRPr="007B75DC" w:rsidRDefault="00960DED" w:rsidP="00960DED">
      <w:pPr>
        <w:tabs>
          <w:tab w:val="left" w:pos="567"/>
        </w:tabs>
        <w:spacing w:after="0" w:line="260" w:lineRule="exact"/>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rPr>
        <w:t>arba</w:t>
      </w:r>
    </w:p>
    <w:p w14:paraId="2EF821BF" w14:textId="77777777" w:rsidR="00960DED" w:rsidRPr="007B75DC" w:rsidRDefault="00960DED" w:rsidP="00A1146D">
      <w:pPr>
        <w:tabs>
          <w:tab w:val="left" w:pos="567"/>
        </w:tabs>
        <w:spacing w:after="0" w:line="260" w:lineRule="exact"/>
        <w:rPr>
          <w:rFonts w:ascii="Times New Roman" w:eastAsia="Times New Roman" w:hAnsi="Times New Roman" w:cs="Times New Roman"/>
        </w:rPr>
      </w:pPr>
    </w:p>
    <w:p w14:paraId="0033666C" w14:textId="77777777" w:rsidR="00DE2956" w:rsidRPr="007B75DC" w:rsidRDefault="00DE2956" w:rsidP="00A1146D">
      <w:pPr>
        <w:spacing w:after="0" w:line="240" w:lineRule="auto"/>
        <w:rPr>
          <w:rFonts w:ascii="Times New Roman" w:hAnsi="Times New Roman"/>
        </w:rPr>
      </w:pPr>
      <w:r w:rsidRPr="007B75DC">
        <w:rPr>
          <w:rFonts w:ascii="Times New Roman" w:hAnsi="Times New Roman"/>
        </w:rPr>
        <w:t>Wave Pharma Limited</w:t>
      </w:r>
    </w:p>
    <w:p w14:paraId="4EECDC08" w14:textId="77777777" w:rsidR="00DE2956" w:rsidRPr="007B75DC" w:rsidRDefault="00DE2956" w:rsidP="00A1146D">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4th Floor Cavendish House, 369 Burnt Oak</w:t>
      </w:r>
    </w:p>
    <w:p w14:paraId="6FC1EB7B" w14:textId="77777777" w:rsidR="00DE2956" w:rsidRPr="007B75DC" w:rsidRDefault="00DE2956" w:rsidP="00A1146D">
      <w:pPr>
        <w:spacing w:after="0" w:line="240" w:lineRule="auto"/>
        <w:rPr>
          <w:rFonts w:ascii="Times New Roman" w:hAnsi="Times New Roman"/>
        </w:rPr>
      </w:pPr>
      <w:r w:rsidRPr="007B75DC">
        <w:rPr>
          <w:rFonts w:ascii="Times New Roman" w:hAnsi="Times New Roman"/>
        </w:rPr>
        <w:t>Broadway, Edgware</w:t>
      </w:r>
    </w:p>
    <w:p w14:paraId="7D73CE55" w14:textId="77777777" w:rsidR="00DE2956" w:rsidRPr="007B75DC" w:rsidRDefault="00DE2956" w:rsidP="00A1146D">
      <w:pPr>
        <w:spacing w:after="0" w:line="240" w:lineRule="auto"/>
        <w:rPr>
          <w:rFonts w:ascii="Times New Roman" w:hAnsi="Times New Roman"/>
        </w:rPr>
      </w:pPr>
      <w:r w:rsidRPr="007B75DC">
        <w:rPr>
          <w:rFonts w:ascii="Times New Roman" w:hAnsi="Times New Roman"/>
        </w:rPr>
        <w:t>HA8 5AW</w:t>
      </w:r>
    </w:p>
    <w:p w14:paraId="5EBF8E6F" w14:textId="77777777" w:rsidR="00DE2956" w:rsidRPr="007B75DC" w:rsidRDefault="00DE2956" w:rsidP="00A1146D">
      <w:pPr>
        <w:tabs>
          <w:tab w:val="left" w:pos="567"/>
        </w:tabs>
        <w:spacing w:after="0" w:line="260" w:lineRule="exact"/>
        <w:rPr>
          <w:rFonts w:ascii="Times New Roman" w:eastAsia="Times New Roman" w:hAnsi="Times New Roman" w:cs="Times New Roman"/>
          <w:snapToGrid w:val="0"/>
          <w:szCs w:val="24"/>
        </w:rPr>
      </w:pPr>
      <w:r w:rsidRPr="007B75DC">
        <w:rPr>
          <w:rFonts w:ascii="Times New Roman" w:hAnsi="Times New Roman"/>
        </w:rPr>
        <w:t>Jungtinė Karalystė</w:t>
      </w:r>
    </w:p>
    <w:p w14:paraId="75C82664"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1A75C404" w14:textId="77777777" w:rsidR="008E79D1" w:rsidRPr="001949AC" w:rsidRDefault="008E79D1" w:rsidP="008E79D1">
      <w:pPr>
        <w:tabs>
          <w:tab w:val="left" w:pos="567"/>
        </w:tabs>
        <w:spacing w:after="0" w:line="260" w:lineRule="exact"/>
        <w:rPr>
          <w:rFonts w:ascii="Times New Roman" w:hAnsi="Times New Roman" w:cs="Times New Roman"/>
        </w:rPr>
      </w:pPr>
      <w:r w:rsidRPr="001949AC">
        <w:rPr>
          <w:rFonts w:ascii="Times New Roman" w:hAnsi="Times New Roman" w:cs="Times New Roman"/>
        </w:rPr>
        <w:t>Su pakuote pateikiamame lapelyje nurodomas gamintojo, atsakingo už konkrečios serijos išleidimą, pavadinimas ir adresas.</w:t>
      </w:r>
    </w:p>
    <w:p w14:paraId="32ED8055" w14:textId="77777777" w:rsidR="00DE2956" w:rsidRDefault="00DE2956" w:rsidP="00DE2956">
      <w:pPr>
        <w:tabs>
          <w:tab w:val="left" w:pos="567"/>
        </w:tabs>
        <w:spacing w:after="0" w:line="260" w:lineRule="exact"/>
        <w:rPr>
          <w:rFonts w:ascii="Times New Roman" w:eastAsia="Times New Roman" w:hAnsi="Times New Roman" w:cs="Times New Roman"/>
          <w:snapToGrid w:val="0"/>
          <w:szCs w:val="24"/>
        </w:rPr>
      </w:pPr>
    </w:p>
    <w:p w14:paraId="5C60FD2A" w14:textId="77777777" w:rsidR="008E79D1" w:rsidRPr="007B75DC" w:rsidRDefault="008E79D1" w:rsidP="00DE2956">
      <w:pPr>
        <w:tabs>
          <w:tab w:val="left" w:pos="567"/>
        </w:tabs>
        <w:spacing w:after="0" w:line="260" w:lineRule="exact"/>
        <w:rPr>
          <w:rFonts w:ascii="Times New Roman" w:eastAsia="Times New Roman" w:hAnsi="Times New Roman" w:cs="Times New Roman"/>
          <w:snapToGrid w:val="0"/>
          <w:szCs w:val="24"/>
        </w:rPr>
      </w:pPr>
    </w:p>
    <w:p w14:paraId="0FDD2E9E" w14:textId="77777777" w:rsidR="00DE2956" w:rsidRPr="007B75DC" w:rsidRDefault="00DE2956" w:rsidP="00DE2956">
      <w:pPr>
        <w:tabs>
          <w:tab w:val="left" w:pos="567"/>
        </w:tabs>
        <w:spacing w:after="0" w:line="240" w:lineRule="auto"/>
        <w:ind w:left="567" w:hanging="567"/>
        <w:rPr>
          <w:rFonts w:ascii="Times New Roman" w:eastAsia="Times New Roman" w:hAnsi="Times New Roman" w:cs="Times New Roman"/>
          <w:snapToGrid w:val="0"/>
          <w:szCs w:val="24"/>
        </w:rPr>
      </w:pPr>
      <w:r w:rsidRPr="007B75DC">
        <w:rPr>
          <w:rFonts w:ascii="Times New Roman" w:eastAsia="Times New Roman" w:hAnsi="Times New Roman" w:cs="Times New Roman"/>
          <w:b/>
          <w:snapToGrid w:val="0"/>
          <w:szCs w:val="24"/>
        </w:rPr>
        <w:t>B.</w:t>
      </w:r>
      <w:r w:rsidRPr="007B75DC">
        <w:rPr>
          <w:rFonts w:ascii="Times New Roman" w:eastAsia="Times New Roman" w:hAnsi="Times New Roman" w:cs="Times New Roman"/>
          <w:b/>
          <w:snapToGrid w:val="0"/>
          <w:szCs w:val="24"/>
        </w:rPr>
        <w:tab/>
        <w:t>TIEKIMO IR VARTOJIMO SĄLYGOS AR APRIBOJIMAI</w:t>
      </w:r>
    </w:p>
    <w:p w14:paraId="33522EA1"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72D3980C"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r w:rsidRPr="007B75DC">
        <w:rPr>
          <w:rFonts w:ascii="Times New Roman" w:eastAsia="Times New Roman" w:hAnsi="Times New Roman" w:cs="Times New Roman"/>
          <w:snapToGrid w:val="0"/>
          <w:szCs w:val="20"/>
        </w:rPr>
        <w:t>Receptinis vaistinis preparatas.</w:t>
      </w:r>
    </w:p>
    <w:p w14:paraId="3A7D0217" w14:textId="77777777" w:rsidR="00DE2956" w:rsidRPr="007B75DC" w:rsidRDefault="00DE2956" w:rsidP="00DE2956">
      <w:pPr>
        <w:spacing w:after="0" w:line="240" w:lineRule="auto"/>
        <w:ind w:right="566"/>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0"/>
        </w:rPr>
        <w:br w:type="page"/>
      </w:r>
    </w:p>
    <w:p w14:paraId="68C5FE6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0EBD8B4A"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18954F81"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3317D57D"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3465FD25"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47AD3B0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5BBE3310"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2AB9DD82"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37737EE5"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64D7F9A5"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4C9122B5"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76ED4594"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07933814"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35DB0DBD"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2FAAE786"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4A80CDAE"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0"/>
        </w:rPr>
      </w:pPr>
    </w:p>
    <w:p w14:paraId="4A5F696C"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495C2C93"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7026E328"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1EE57AFB"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64ABB5FD"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2A719DB4"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63BBC05B" w14:textId="77777777" w:rsidR="00DE2956" w:rsidRPr="007B75DC" w:rsidRDefault="00DE2956" w:rsidP="00DE2956">
      <w:pPr>
        <w:tabs>
          <w:tab w:val="left" w:pos="567"/>
        </w:tabs>
        <w:spacing w:after="0" w:line="260" w:lineRule="exact"/>
        <w:outlineLvl w:val="0"/>
        <w:rPr>
          <w:rFonts w:ascii="Times New Roman" w:eastAsia="Times New Roman" w:hAnsi="Times New Roman" w:cs="Times New Roman"/>
          <w:b/>
          <w:snapToGrid w:val="0"/>
          <w:szCs w:val="20"/>
        </w:rPr>
      </w:pPr>
    </w:p>
    <w:p w14:paraId="34CF4537" w14:textId="77777777" w:rsidR="00DE2956" w:rsidRPr="007B75DC" w:rsidRDefault="00DE2956" w:rsidP="00DE2956">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7B75DC">
        <w:rPr>
          <w:rFonts w:ascii="Times New Roman" w:eastAsia="Times New Roman" w:hAnsi="Times New Roman" w:cs="Times New Roman"/>
          <w:b/>
          <w:bCs/>
          <w:iCs/>
          <w:snapToGrid w:val="0"/>
          <w:szCs w:val="28"/>
        </w:rPr>
        <w:t>III PRIEDAS</w:t>
      </w:r>
    </w:p>
    <w:p w14:paraId="0E9F26E0" w14:textId="77777777" w:rsidR="00DE2956" w:rsidRPr="007B75DC" w:rsidRDefault="00DE2956" w:rsidP="00DE2956">
      <w:pPr>
        <w:tabs>
          <w:tab w:val="left" w:pos="567"/>
        </w:tabs>
        <w:spacing w:after="0" w:line="260" w:lineRule="exact"/>
        <w:rPr>
          <w:rFonts w:ascii="Times New Roman" w:eastAsia="Times New Roman" w:hAnsi="Times New Roman" w:cs="Times New Roman"/>
          <w:snapToGrid w:val="0"/>
          <w:szCs w:val="24"/>
        </w:rPr>
      </w:pPr>
    </w:p>
    <w:p w14:paraId="0AA31554" w14:textId="77777777" w:rsidR="00DE2956" w:rsidRPr="007B75DC" w:rsidRDefault="00DE2956" w:rsidP="00DE2956">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7B75DC">
        <w:rPr>
          <w:rFonts w:ascii="Times New Roman" w:eastAsia="Times New Roman" w:hAnsi="Times New Roman" w:cs="Times New Roman"/>
          <w:b/>
          <w:bCs/>
          <w:iCs/>
          <w:snapToGrid w:val="0"/>
          <w:szCs w:val="28"/>
        </w:rPr>
        <w:t>ŽENKLINIMAS IR PAKUOTĖS LAPELIS</w:t>
      </w:r>
    </w:p>
    <w:p w14:paraId="2D75E29A" w14:textId="77777777" w:rsidR="00DE2956" w:rsidRPr="007B75DC" w:rsidRDefault="00DE2956" w:rsidP="00DE2956">
      <w:pPr>
        <w:tabs>
          <w:tab w:val="left" w:pos="567"/>
        </w:tabs>
        <w:spacing w:after="0" w:line="260" w:lineRule="exact"/>
        <w:rPr>
          <w:rFonts w:ascii="Times New Roman" w:eastAsia="Times New Roman" w:hAnsi="Times New Roman" w:cs="Times New Roman"/>
          <w:szCs w:val="24"/>
        </w:rPr>
      </w:pPr>
      <w:r w:rsidRPr="007B75DC">
        <w:rPr>
          <w:rFonts w:ascii="Times New Roman" w:eastAsia="Times New Roman" w:hAnsi="Times New Roman" w:cs="Times New Roman"/>
          <w:snapToGrid w:val="0"/>
          <w:szCs w:val="24"/>
        </w:rPr>
        <w:br w:type="page"/>
      </w:r>
    </w:p>
    <w:p w14:paraId="1E82F26F" w14:textId="77777777" w:rsidR="00DE2956" w:rsidRPr="007B75DC" w:rsidRDefault="00DE2956" w:rsidP="00DE2956">
      <w:pPr>
        <w:spacing w:after="0" w:line="240" w:lineRule="auto"/>
        <w:rPr>
          <w:rFonts w:ascii="Times New Roman" w:eastAsia="Times New Roman" w:hAnsi="Times New Roman" w:cs="Times New Roman"/>
          <w:szCs w:val="24"/>
        </w:rPr>
      </w:pPr>
    </w:p>
    <w:p w14:paraId="209B408D" w14:textId="77777777" w:rsidR="00DE2956" w:rsidRPr="007B75DC" w:rsidRDefault="00DE2956" w:rsidP="00DE2956">
      <w:pPr>
        <w:spacing w:after="0" w:line="240" w:lineRule="auto"/>
        <w:rPr>
          <w:rFonts w:ascii="Times New Roman" w:eastAsia="Times New Roman" w:hAnsi="Times New Roman" w:cs="Times New Roman"/>
          <w:szCs w:val="24"/>
        </w:rPr>
      </w:pPr>
    </w:p>
    <w:p w14:paraId="7F082BD9" w14:textId="77777777" w:rsidR="00DE2956" w:rsidRPr="007B75DC" w:rsidRDefault="00DE2956" w:rsidP="00DE2956">
      <w:pPr>
        <w:spacing w:after="0" w:line="240" w:lineRule="auto"/>
        <w:rPr>
          <w:rFonts w:ascii="Times New Roman" w:eastAsia="Times New Roman" w:hAnsi="Times New Roman" w:cs="Times New Roman"/>
          <w:szCs w:val="24"/>
        </w:rPr>
      </w:pPr>
    </w:p>
    <w:p w14:paraId="778720BC" w14:textId="77777777" w:rsidR="00DE2956" w:rsidRPr="007B75DC" w:rsidRDefault="00DE2956" w:rsidP="00DE2956">
      <w:pPr>
        <w:spacing w:after="0" w:line="240" w:lineRule="auto"/>
        <w:rPr>
          <w:rFonts w:ascii="Times New Roman" w:eastAsia="Times New Roman" w:hAnsi="Times New Roman" w:cs="Times New Roman"/>
          <w:szCs w:val="24"/>
        </w:rPr>
      </w:pPr>
    </w:p>
    <w:p w14:paraId="15FFC4B6" w14:textId="77777777" w:rsidR="00DE2956" w:rsidRPr="007B75DC" w:rsidRDefault="00DE2956" w:rsidP="00DE2956">
      <w:pPr>
        <w:spacing w:after="0" w:line="240" w:lineRule="auto"/>
        <w:rPr>
          <w:rFonts w:ascii="Times New Roman" w:eastAsia="Times New Roman" w:hAnsi="Times New Roman" w:cs="Times New Roman"/>
          <w:szCs w:val="24"/>
        </w:rPr>
      </w:pPr>
    </w:p>
    <w:p w14:paraId="102A29B3" w14:textId="77777777" w:rsidR="00DE2956" w:rsidRPr="007B75DC" w:rsidRDefault="00DE2956" w:rsidP="00DE2956">
      <w:pPr>
        <w:spacing w:after="0" w:line="240" w:lineRule="auto"/>
        <w:rPr>
          <w:rFonts w:ascii="Times New Roman" w:eastAsia="Times New Roman" w:hAnsi="Times New Roman" w:cs="Times New Roman"/>
          <w:szCs w:val="24"/>
        </w:rPr>
      </w:pPr>
    </w:p>
    <w:p w14:paraId="3C8E789E" w14:textId="77777777" w:rsidR="00DE2956" w:rsidRPr="007B75DC" w:rsidRDefault="00DE2956" w:rsidP="00DE2956">
      <w:pPr>
        <w:spacing w:after="0" w:line="240" w:lineRule="auto"/>
        <w:rPr>
          <w:rFonts w:ascii="Times New Roman" w:eastAsia="Times New Roman" w:hAnsi="Times New Roman" w:cs="Times New Roman"/>
          <w:szCs w:val="24"/>
        </w:rPr>
      </w:pPr>
    </w:p>
    <w:p w14:paraId="40B60EE7" w14:textId="77777777" w:rsidR="00DE2956" w:rsidRPr="007B75DC" w:rsidRDefault="00DE2956" w:rsidP="00DE2956">
      <w:pPr>
        <w:spacing w:after="0" w:line="240" w:lineRule="auto"/>
        <w:rPr>
          <w:rFonts w:ascii="Times New Roman" w:eastAsia="Times New Roman" w:hAnsi="Times New Roman" w:cs="Times New Roman"/>
          <w:szCs w:val="24"/>
        </w:rPr>
      </w:pPr>
    </w:p>
    <w:p w14:paraId="23669507" w14:textId="77777777" w:rsidR="00DE2956" w:rsidRPr="007B75DC" w:rsidRDefault="00DE2956" w:rsidP="00DE2956">
      <w:pPr>
        <w:spacing w:after="0" w:line="240" w:lineRule="auto"/>
        <w:rPr>
          <w:rFonts w:ascii="Times New Roman" w:eastAsia="Times New Roman" w:hAnsi="Times New Roman" w:cs="Times New Roman"/>
          <w:szCs w:val="24"/>
        </w:rPr>
      </w:pPr>
    </w:p>
    <w:p w14:paraId="316FF09B" w14:textId="77777777" w:rsidR="00DE2956" w:rsidRPr="007B75DC" w:rsidRDefault="00DE2956" w:rsidP="00DE2956">
      <w:pPr>
        <w:spacing w:after="0" w:line="240" w:lineRule="auto"/>
        <w:rPr>
          <w:rFonts w:ascii="Times New Roman" w:eastAsia="Times New Roman" w:hAnsi="Times New Roman" w:cs="Times New Roman"/>
          <w:szCs w:val="24"/>
        </w:rPr>
      </w:pPr>
    </w:p>
    <w:p w14:paraId="2E6E3397" w14:textId="77777777" w:rsidR="00DE2956" w:rsidRPr="007B75DC" w:rsidRDefault="00DE2956" w:rsidP="00DE2956">
      <w:pPr>
        <w:spacing w:after="0" w:line="240" w:lineRule="auto"/>
        <w:rPr>
          <w:rFonts w:ascii="Times New Roman" w:eastAsia="Times New Roman" w:hAnsi="Times New Roman" w:cs="Times New Roman"/>
          <w:szCs w:val="24"/>
        </w:rPr>
      </w:pPr>
    </w:p>
    <w:p w14:paraId="54BDF40E" w14:textId="77777777" w:rsidR="00DE2956" w:rsidRPr="007B75DC" w:rsidRDefault="00DE2956" w:rsidP="00DE2956">
      <w:pPr>
        <w:spacing w:after="0" w:line="240" w:lineRule="auto"/>
        <w:rPr>
          <w:rFonts w:ascii="Times New Roman" w:eastAsia="Times New Roman" w:hAnsi="Times New Roman" w:cs="Times New Roman"/>
          <w:szCs w:val="24"/>
        </w:rPr>
      </w:pPr>
    </w:p>
    <w:p w14:paraId="1648B2E0" w14:textId="77777777" w:rsidR="00DE2956" w:rsidRPr="007B75DC" w:rsidRDefault="00DE2956" w:rsidP="00DE2956">
      <w:pPr>
        <w:spacing w:after="0" w:line="240" w:lineRule="auto"/>
        <w:rPr>
          <w:rFonts w:ascii="Times New Roman" w:eastAsia="Times New Roman" w:hAnsi="Times New Roman" w:cs="Times New Roman"/>
          <w:szCs w:val="24"/>
        </w:rPr>
      </w:pPr>
    </w:p>
    <w:p w14:paraId="7E030387" w14:textId="77777777" w:rsidR="00DE2956" w:rsidRPr="007B75DC" w:rsidRDefault="00DE2956" w:rsidP="00DE2956">
      <w:pPr>
        <w:spacing w:after="0" w:line="240" w:lineRule="auto"/>
        <w:rPr>
          <w:rFonts w:ascii="Times New Roman" w:eastAsia="Times New Roman" w:hAnsi="Times New Roman" w:cs="Times New Roman"/>
          <w:szCs w:val="24"/>
        </w:rPr>
      </w:pPr>
    </w:p>
    <w:p w14:paraId="54AB4F2C" w14:textId="77777777" w:rsidR="00DE2956" w:rsidRPr="007B75DC" w:rsidRDefault="00DE2956" w:rsidP="00DE2956">
      <w:pPr>
        <w:spacing w:after="0" w:line="240" w:lineRule="auto"/>
        <w:rPr>
          <w:rFonts w:ascii="Times New Roman" w:eastAsia="Times New Roman" w:hAnsi="Times New Roman" w:cs="Times New Roman"/>
          <w:szCs w:val="24"/>
        </w:rPr>
      </w:pPr>
    </w:p>
    <w:p w14:paraId="4B093203" w14:textId="77777777" w:rsidR="00DE2956" w:rsidRPr="007B75DC" w:rsidRDefault="00DE2956" w:rsidP="00DE2956">
      <w:pPr>
        <w:spacing w:after="0" w:line="240" w:lineRule="auto"/>
        <w:rPr>
          <w:rFonts w:ascii="Times New Roman" w:eastAsia="Times New Roman" w:hAnsi="Times New Roman" w:cs="Times New Roman"/>
          <w:szCs w:val="24"/>
        </w:rPr>
      </w:pPr>
    </w:p>
    <w:p w14:paraId="3AD06D90" w14:textId="77777777" w:rsidR="00DE2956" w:rsidRPr="007B75DC" w:rsidRDefault="00DE2956" w:rsidP="00DE2956">
      <w:pPr>
        <w:spacing w:after="0" w:line="240" w:lineRule="auto"/>
        <w:rPr>
          <w:rFonts w:ascii="Times New Roman" w:eastAsia="Times New Roman" w:hAnsi="Times New Roman" w:cs="Times New Roman"/>
          <w:szCs w:val="24"/>
        </w:rPr>
      </w:pPr>
    </w:p>
    <w:p w14:paraId="69080A4C" w14:textId="77777777" w:rsidR="00DE2956" w:rsidRPr="007B75DC" w:rsidRDefault="00DE2956" w:rsidP="00DE2956">
      <w:pPr>
        <w:spacing w:after="0" w:line="240" w:lineRule="auto"/>
        <w:rPr>
          <w:rFonts w:ascii="Times New Roman" w:eastAsia="Times New Roman" w:hAnsi="Times New Roman" w:cs="Times New Roman"/>
          <w:szCs w:val="24"/>
        </w:rPr>
      </w:pPr>
    </w:p>
    <w:p w14:paraId="747FEF68" w14:textId="77777777" w:rsidR="00DE2956" w:rsidRPr="007B75DC" w:rsidRDefault="00DE2956" w:rsidP="00DE2956">
      <w:pPr>
        <w:spacing w:after="0" w:line="240" w:lineRule="auto"/>
        <w:rPr>
          <w:rFonts w:ascii="Times New Roman" w:eastAsia="Times New Roman" w:hAnsi="Times New Roman" w:cs="Times New Roman"/>
          <w:szCs w:val="24"/>
        </w:rPr>
      </w:pPr>
    </w:p>
    <w:p w14:paraId="6B1054E7" w14:textId="77777777" w:rsidR="00DE2956" w:rsidRPr="007B75DC" w:rsidRDefault="00DE2956" w:rsidP="00DE2956">
      <w:pPr>
        <w:spacing w:after="0" w:line="240" w:lineRule="auto"/>
        <w:rPr>
          <w:rFonts w:ascii="Times New Roman" w:eastAsia="Times New Roman" w:hAnsi="Times New Roman" w:cs="Times New Roman"/>
          <w:szCs w:val="24"/>
        </w:rPr>
      </w:pPr>
    </w:p>
    <w:p w14:paraId="6C95FFF3" w14:textId="77777777" w:rsidR="00DE2956" w:rsidRPr="007B75DC" w:rsidRDefault="00DE2956" w:rsidP="00DE2956">
      <w:pPr>
        <w:spacing w:after="0" w:line="240" w:lineRule="auto"/>
        <w:rPr>
          <w:rFonts w:ascii="Times New Roman" w:eastAsia="Times New Roman" w:hAnsi="Times New Roman" w:cs="Times New Roman"/>
          <w:szCs w:val="24"/>
        </w:rPr>
      </w:pPr>
    </w:p>
    <w:p w14:paraId="51890BFB" w14:textId="77777777" w:rsidR="00DE2956" w:rsidRPr="007B75DC" w:rsidRDefault="00DE2956" w:rsidP="00DE2956">
      <w:pPr>
        <w:spacing w:after="0" w:line="240" w:lineRule="auto"/>
        <w:rPr>
          <w:rFonts w:ascii="Times New Roman" w:eastAsia="Times New Roman" w:hAnsi="Times New Roman" w:cs="Times New Roman"/>
          <w:szCs w:val="24"/>
        </w:rPr>
      </w:pPr>
    </w:p>
    <w:p w14:paraId="119D7C05" w14:textId="77777777" w:rsidR="00DE2956" w:rsidRPr="007B75DC" w:rsidRDefault="00DE2956" w:rsidP="00DE2956">
      <w:pPr>
        <w:spacing w:after="0" w:line="240" w:lineRule="auto"/>
        <w:rPr>
          <w:rFonts w:ascii="Times New Roman" w:eastAsia="Times New Roman" w:hAnsi="Times New Roman" w:cs="Times New Roman"/>
          <w:szCs w:val="24"/>
        </w:rPr>
      </w:pPr>
    </w:p>
    <w:p w14:paraId="61AB8B81" w14:textId="77777777" w:rsidR="00DE2956" w:rsidRPr="007B75DC" w:rsidRDefault="00DE2956" w:rsidP="00DE2956">
      <w:pPr>
        <w:spacing w:after="0" w:line="240" w:lineRule="auto"/>
        <w:jc w:val="center"/>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A. ŽENKLINIMAS</w:t>
      </w:r>
    </w:p>
    <w:p w14:paraId="0D13BCD7" w14:textId="77777777" w:rsidR="00DE2956" w:rsidRPr="007B75DC" w:rsidRDefault="00DE2956" w:rsidP="00DE2956">
      <w:pPr>
        <w:shd w:val="clear" w:color="auto" w:fill="FFFFFF"/>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br w:type="page"/>
      </w:r>
    </w:p>
    <w:p w14:paraId="494049F0"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lastRenderedPageBreak/>
        <w:t>INFORMACIJA ANT IŠORINĖS PAKUOTĖS</w:t>
      </w:r>
    </w:p>
    <w:p w14:paraId="4261611E"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szCs w:val="24"/>
        </w:rPr>
      </w:pPr>
    </w:p>
    <w:p w14:paraId="2CD78913"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zCs w:val="24"/>
        </w:rPr>
      </w:pPr>
      <w:r w:rsidRPr="007B75DC">
        <w:rPr>
          <w:rFonts w:ascii="Times New Roman" w:eastAsia="Times New Roman" w:hAnsi="Times New Roman" w:cs="Times New Roman"/>
          <w:b/>
          <w:szCs w:val="24"/>
        </w:rPr>
        <w:t>KARTONINĖ DĖŽUTĖ</w:t>
      </w:r>
    </w:p>
    <w:p w14:paraId="63B27B30" w14:textId="77777777" w:rsidR="00DE2956" w:rsidRPr="007B75DC" w:rsidRDefault="00DE2956" w:rsidP="00DE2956">
      <w:pPr>
        <w:spacing w:after="0" w:line="240" w:lineRule="auto"/>
        <w:rPr>
          <w:rFonts w:ascii="Times New Roman" w:eastAsia="Times New Roman" w:hAnsi="Times New Roman" w:cs="Times New Roman"/>
          <w:szCs w:val="24"/>
        </w:rPr>
      </w:pPr>
    </w:p>
    <w:p w14:paraId="512CBFBF" w14:textId="77777777" w:rsidR="00DE2956" w:rsidRPr="007B75DC" w:rsidRDefault="00DE2956" w:rsidP="00DE2956">
      <w:pPr>
        <w:spacing w:after="0" w:line="240" w:lineRule="auto"/>
        <w:rPr>
          <w:rFonts w:ascii="Times New Roman" w:eastAsia="Times New Roman" w:hAnsi="Times New Roman" w:cs="Times New Roman"/>
          <w:szCs w:val="24"/>
        </w:rPr>
      </w:pPr>
    </w:p>
    <w:p w14:paraId="3CC4DE06"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1.</w:t>
      </w:r>
      <w:r w:rsidRPr="007B75DC">
        <w:rPr>
          <w:rFonts w:ascii="Times New Roman" w:eastAsia="Times New Roman" w:hAnsi="Times New Roman" w:cs="Times New Roman"/>
          <w:b/>
          <w:szCs w:val="24"/>
        </w:rPr>
        <w:tab/>
        <w:t>VAISTINIO PREPARATO PAVADINIMAS</w:t>
      </w:r>
    </w:p>
    <w:p w14:paraId="67866BA3" w14:textId="77777777" w:rsidR="00DE2956" w:rsidRPr="007B75DC" w:rsidRDefault="00DE2956" w:rsidP="00DE2956">
      <w:pPr>
        <w:spacing w:after="0" w:line="240" w:lineRule="auto"/>
        <w:rPr>
          <w:rFonts w:ascii="Times New Roman" w:eastAsia="Times New Roman" w:hAnsi="Times New Roman" w:cs="Times New Roman"/>
          <w:szCs w:val="24"/>
        </w:rPr>
      </w:pPr>
    </w:p>
    <w:p w14:paraId="2ADC35C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100 mg plėvele dengtos tabletės</w:t>
      </w:r>
    </w:p>
    <w:p w14:paraId="5D085D99"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 xml:space="preserve">Imatinib </w:t>
      </w:r>
      <w:r w:rsidR="006F09BA" w:rsidRPr="007B75DC">
        <w:rPr>
          <w:rFonts w:ascii="Times New Roman" w:eastAsia="Times New Roman" w:hAnsi="Times New Roman" w:cs="Times New Roman"/>
          <w:szCs w:val="24"/>
          <w:highlight w:val="lightGray"/>
        </w:rPr>
        <w:t>Inteli</w:t>
      </w:r>
      <w:r w:rsidRPr="007B75DC">
        <w:rPr>
          <w:rFonts w:ascii="Times New Roman" w:eastAsia="Times New Roman" w:hAnsi="Times New Roman" w:cs="Times New Roman"/>
          <w:szCs w:val="24"/>
          <w:highlight w:val="lightGray"/>
        </w:rPr>
        <w:t xml:space="preserve"> 400 mg plėvele dengtos tabletės</w:t>
      </w:r>
    </w:p>
    <w:p w14:paraId="24FBA0E8" w14:textId="77777777" w:rsidR="00DE2956" w:rsidRPr="007B75DC" w:rsidRDefault="00DE2956" w:rsidP="00DE2956">
      <w:pPr>
        <w:spacing w:after="0" w:line="240" w:lineRule="auto"/>
        <w:rPr>
          <w:rFonts w:ascii="Times New Roman" w:eastAsia="Times New Roman" w:hAnsi="Times New Roman" w:cs="Times New Roman"/>
          <w:szCs w:val="24"/>
        </w:rPr>
      </w:pPr>
    </w:p>
    <w:p w14:paraId="6458B474" w14:textId="77777777" w:rsidR="00DE2956" w:rsidRPr="00534F79" w:rsidRDefault="00434050" w:rsidP="00DE2956">
      <w:pPr>
        <w:spacing w:after="0" w:line="240" w:lineRule="auto"/>
        <w:rPr>
          <w:rFonts w:ascii="Times New Roman" w:eastAsia="Times New Roman" w:hAnsi="Times New Roman" w:cs="Times New Roman"/>
          <w:i/>
          <w:iCs/>
          <w:szCs w:val="24"/>
        </w:rPr>
      </w:pPr>
      <w:r w:rsidRPr="00534F79">
        <w:rPr>
          <w:rFonts w:ascii="Times New Roman" w:eastAsia="Times New Roman" w:hAnsi="Times New Roman" w:cs="Times New Roman"/>
          <w:i/>
          <w:iCs/>
          <w:szCs w:val="24"/>
        </w:rPr>
        <w:t>i</w:t>
      </w:r>
      <w:r w:rsidR="00DE2956" w:rsidRPr="00534F79">
        <w:rPr>
          <w:rFonts w:ascii="Times New Roman" w:eastAsia="Times New Roman" w:hAnsi="Times New Roman" w:cs="Times New Roman"/>
          <w:i/>
          <w:iCs/>
          <w:szCs w:val="24"/>
        </w:rPr>
        <w:t>matinib</w:t>
      </w:r>
      <w:r w:rsidR="00A64B5B" w:rsidRPr="00534F79">
        <w:rPr>
          <w:rFonts w:ascii="Times New Roman" w:eastAsia="Times New Roman" w:hAnsi="Times New Roman" w:cs="Times New Roman"/>
          <w:i/>
          <w:iCs/>
          <w:szCs w:val="24"/>
        </w:rPr>
        <w:t>um</w:t>
      </w:r>
    </w:p>
    <w:p w14:paraId="3A0FAD9E" w14:textId="77777777" w:rsidR="00DE2956" w:rsidRPr="007B75DC" w:rsidRDefault="00DE2956" w:rsidP="00DE2956">
      <w:pPr>
        <w:spacing w:after="0" w:line="240" w:lineRule="auto"/>
        <w:rPr>
          <w:rFonts w:ascii="Times New Roman" w:eastAsia="Times New Roman" w:hAnsi="Times New Roman" w:cs="Times New Roman"/>
          <w:szCs w:val="24"/>
        </w:rPr>
      </w:pPr>
    </w:p>
    <w:p w14:paraId="06845A52" w14:textId="77777777" w:rsidR="00DE2956" w:rsidRPr="007B75DC" w:rsidRDefault="00DE2956" w:rsidP="00DE2956">
      <w:pPr>
        <w:spacing w:after="0" w:line="240" w:lineRule="auto"/>
        <w:rPr>
          <w:rFonts w:ascii="Times New Roman" w:eastAsia="Times New Roman" w:hAnsi="Times New Roman" w:cs="Times New Roman"/>
          <w:szCs w:val="24"/>
        </w:rPr>
      </w:pPr>
    </w:p>
    <w:p w14:paraId="1E89C00D"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2.</w:t>
      </w:r>
      <w:r w:rsidRPr="007B75DC">
        <w:rPr>
          <w:rFonts w:ascii="Times New Roman" w:eastAsia="Times New Roman" w:hAnsi="Times New Roman" w:cs="Times New Roman"/>
          <w:b/>
          <w:szCs w:val="24"/>
        </w:rPr>
        <w:tab/>
        <w:t>VEIKLIOJI (-IOS) MEDŽIAGA (-OS) IR JOS (-Ų) KIEKIS (-IAI)</w:t>
      </w:r>
    </w:p>
    <w:p w14:paraId="25997868" w14:textId="77777777" w:rsidR="00DE2956" w:rsidRPr="007B75DC" w:rsidRDefault="00DE2956" w:rsidP="00DE2956">
      <w:pPr>
        <w:spacing w:after="0" w:line="240" w:lineRule="auto"/>
        <w:rPr>
          <w:rFonts w:ascii="Times New Roman" w:eastAsia="Times New Roman" w:hAnsi="Times New Roman" w:cs="Times New Roman"/>
          <w:szCs w:val="24"/>
        </w:rPr>
      </w:pPr>
    </w:p>
    <w:p w14:paraId="0BAD04C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Kiekvienoje plėvele dengtoje tabletėje yra 100 mg imatinibo (mesilato pavidalu). </w:t>
      </w:r>
    </w:p>
    <w:p w14:paraId="079CF55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Kiekvienoje plėvele dengtoje tabletėje yra 400 mg imatinibo (mesilato pavidalu).</w:t>
      </w:r>
    </w:p>
    <w:p w14:paraId="2B7D33DF" w14:textId="77777777" w:rsidR="00DE2956" w:rsidRPr="007B75DC" w:rsidRDefault="00DE2956" w:rsidP="00DE2956">
      <w:pPr>
        <w:spacing w:after="0" w:line="240" w:lineRule="auto"/>
        <w:rPr>
          <w:rFonts w:ascii="Times New Roman" w:eastAsia="Times New Roman" w:hAnsi="Times New Roman" w:cs="Times New Roman"/>
          <w:szCs w:val="24"/>
        </w:rPr>
      </w:pPr>
    </w:p>
    <w:p w14:paraId="7D3BB1FF" w14:textId="77777777" w:rsidR="00DE2956" w:rsidRPr="007B75DC" w:rsidRDefault="00DE2956" w:rsidP="00DE2956">
      <w:pPr>
        <w:spacing w:after="0" w:line="240" w:lineRule="auto"/>
        <w:rPr>
          <w:rFonts w:ascii="Times New Roman" w:eastAsia="Times New Roman" w:hAnsi="Times New Roman" w:cs="Times New Roman"/>
          <w:szCs w:val="24"/>
        </w:rPr>
      </w:pPr>
    </w:p>
    <w:p w14:paraId="7628887B"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rPr>
      </w:pPr>
      <w:r w:rsidRPr="007B75DC">
        <w:rPr>
          <w:rFonts w:ascii="Times New Roman" w:eastAsia="Times New Roman" w:hAnsi="Times New Roman" w:cs="Times New Roman"/>
          <w:b/>
          <w:szCs w:val="24"/>
        </w:rPr>
        <w:t>3.</w:t>
      </w:r>
      <w:r w:rsidRPr="007B75DC">
        <w:rPr>
          <w:rFonts w:ascii="Times New Roman" w:eastAsia="Times New Roman" w:hAnsi="Times New Roman" w:cs="Times New Roman"/>
          <w:b/>
          <w:szCs w:val="24"/>
        </w:rPr>
        <w:tab/>
        <w:t>PAGALBINIŲ MEDŽIAGŲ SĄRAŠAS</w:t>
      </w:r>
    </w:p>
    <w:p w14:paraId="0C08D8D6" w14:textId="77777777" w:rsidR="00DE2956" w:rsidRPr="007B75DC" w:rsidRDefault="00DE2956" w:rsidP="00DE2956">
      <w:pPr>
        <w:spacing w:after="0" w:line="240" w:lineRule="auto"/>
        <w:rPr>
          <w:rFonts w:ascii="Times New Roman" w:eastAsia="Times New Roman" w:hAnsi="Times New Roman" w:cs="Times New Roman"/>
          <w:szCs w:val="24"/>
        </w:rPr>
      </w:pPr>
    </w:p>
    <w:p w14:paraId="4A7350D9" w14:textId="77777777" w:rsidR="00DE2956" w:rsidRPr="007B75DC" w:rsidRDefault="00DE2956" w:rsidP="00DE2956">
      <w:pPr>
        <w:spacing w:after="0" w:line="240" w:lineRule="auto"/>
        <w:rPr>
          <w:rFonts w:ascii="Times New Roman" w:eastAsia="Times New Roman" w:hAnsi="Times New Roman" w:cs="Times New Roman"/>
          <w:szCs w:val="24"/>
        </w:rPr>
      </w:pPr>
    </w:p>
    <w:p w14:paraId="44F17D22"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4.</w:t>
      </w:r>
      <w:r w:rsidRPr="007B75DC">
        <w:rPr>
          <w:rFonts w:ascii="Times New Roman" w:eastAsia="Times New Roman" w:hAnsi="Times New Roman" w:cs="Times New Roman"/>
          <w:b/>
          <w:szCs w:val="24"/>
        </w:rPr>
        <w:tab/>
        <w:t>FARMACINĖ FORMA IR KIEKIS PAKUOTĖJE</w:t>
      </w:r>
    </w:p>
    <w:p w14:paraId="7F5A5531" w14:textId="77777777" w:rsidR="00DE2956" w:rsidRPr="007B75DC" w:rsidRDefault="00DE2956" w:rsidP="00DE2956">
      <w:pPr>
        <w:spacing w:after="0" w:line="240" w:lineRule="auto"/>
        <w:rPr>
          <w:rFonts w:ascii="Times New Roman" w:eastAsia="Times New Roman" w:hAnsi="Times New Roman" w:cs="Times New Roman"/>
          <w:szCs w:val="24"/>
        </w:rPr>
      </w:pPr>
    </w:p>
    <w:p w14:paraId="478342D2" w14:textId="77777777" w:rsidR="00DE2956" w:rsidRPr="007B75DC" w:rsidRDefault="00DE2956" w:rsidP="00DE2956">
      <w:pPr>
        <w:spacing w:after="0" w:line="240" w:lineRule="auto"/>
        <w:rPr>
          <w:rFonts w:ascii="Times New Roman" w:eastAsia="Times New Roman" w:hAnsi="Times New Roman" w:cs="Times New Roman"/>
          <w:szCs w:val="24"/>
        </w:rPr>
      </w:pPr>
      <w:r w:rsidRPr="00534F79">
        <w:rPr>
          <w:rFonts w:ascii="Times New Roman" w:eastAsia="Times New Roman" w:hAnsi="Times New Roman" w:cs="Times New Roman"/>
          <w:szCs w:val="24"/>
          <w:highlight w:val="lightGray"/>
        </w:rPr>
        <w:t>Plėvele dengta tabletė</w:t>
      </w:r>
    </w:p>
    <w:p w14:paraId="11A73C3F" w14:textId="77777777" w:rsidR="00DE2956" w:rsidRPr="007B75DC" w:rsidRDefault="00DE2956" w:rsidP="00DE2956">
      <w:pPr>
        <w:spacing w:after="0" w:line="240" w:lineRule="auto"/>
        <w:rPr>
          <w:rFonts w:ascii="Times New Roman" w:eastAsia="Times New Roman" w:hAnsi="Times New Roman" w:cs="Times New Roman"/>
          <w:szCs w:val="24"/>
        </w:rPr>
      </w:pPr>
    </w:p>
    <w:p w14:paraId="57BEFB13" w14:textId="77777777" w:rsidR="00DE2956" w:rsidRPr="007B75DC" w:rsidRDefault="00DE2956" w:rsidP="00DE2956">
      <w:pPr>
        <w:spacing w:after="0" w:line="240" w:lineRule="auto"/>
        <w:rPr>
          <w:rFonts w:ascii="Times New Roman" w:eastAsia="Times New Roman" w:hAnsi="Times New Roman" w:cs="Times New Roman"/>
          <w:szCs w:val="24"/>
        </w:rPr>
      </w:pPr>
      <w:r w:rsidRPr="00534F79">
        <w:rPr>
          <w:rFonts w:ascii="Times New Roman" w:eastAsia="Times New Roman" w:hAnsi="Times New Roman" w:cs="Times New Roman"/>
          <w:i/>
          <w:szCs w:val="24"/>
          <w:highlight w:val="lightGray"/>
          <w:u w:val="single"/>
        </w:rPr>
        <w:t>100 mg</w:t>
      </w:r>
    </w:p>
    <w:p w14:paraId="54B2FEF6"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20 plėvele dengtų tablečių</w:t>
      </w:r>
    </w:p>
    <w:p w14:paraId="71EC1541"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30 plėvele dengtų tablečių</w:t>
      </w:r>
    </w:p>
    <w:p w14:paraId="08F8626A"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60 plėvele dengtų tablečių</w:t>
      </w:r>
    </w:p>
    <w:p w14:paraId="3BE44377"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120 plėvele dengtų tablečių</w:t>
      </w:r>
    </w:p>
    <w:p w14:paraId="3EFD0698"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180 plėvele dengtų tablečių</w:t>
      </w:r>
    </w:p>
    <w:p w14:paraId="0BF2D14F" w14:textId="77777777" w:rsidR="00DE2956" w:rsidRPr="007B75DC" w:rsidRDefault="00DE2956" w:rsidP="00DE2956">
      <w:pPr>
        <w:spacing w:after="0" w:line="240" w:lineRule="auto"/>
        <w:rPr>
          <w:rFonts w:ascii="Times New Roman" w:eastAsia="Times New Roman" w:hAnsi="Times New Roman" w:cs="Times New Roman"/>
          <w:szCs w:val="24"/>
        </w:rPr>
      </w:pPr>
    </w:p>
    <w:p w14:paraId="7D54803D" w14:textId="77777777" w:rsidR="00DE2956" w:rsidRPr="007B75DC" w:rsidRDefault="00DE2956" w:rsidP="00DE2956">
      <w:pPr>
        <w:spacing w:after="0" w:line="240" w:lineRule="auto"/>
        <w:rPr>
          <w:rFonts w:ascii="Times New Roman" w:eastAsia="Times New Roman" w:hAnsi="Times New Roman" w:cs="Times New Roman"/>
          <w:szCs w:val="24"/>
        </w:rPr>
      </w:pPr>
      <w:r w:rsidRPr="00534F79">
        <w:rPr>
          <w:rFonts w:ascii="Times New Roman" w:eastAsia="Times New Roman" w:hAnsi="Times New Roman" w:cs="Times New Roman"/>
          <w:i/>
          <w:szCs w:val="24"/>
          <w:highlight w:val="lightGray"/>
          <w:u w:val="single"/>
        </w:rPr>
        <w:t>400 mg</w:t>
      </w:r>
    </w:p>
    <w:p w14:paraId="2DC89B5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10 plėvele dengtų tablečių</w:t>
      </w:r>
    </w:p>
    <w:p w14:paraId="03FD650E"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30 plėvele dengtų tablečių</w:t>
      </w:r>
    </w:p>
    <w:p w14:paraId="2B1A7FE3"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90 plėvele dengtų tablečių</w:t>
      </w:r>
    </w:p>
    <w:p w14:paraId="32A8EAFA" w14:textId="77777777" w:rsidR="00DE2956" w:rsidRPr="007B75DC" w:rsidRDefault="00DE2956" w:rsidP="00DE2956">
      <w:pPr>
        <w:spacing w:after="0" w:line="240" w:lineRule="auto"/>
        <w:rPr>
          <w:rFonts w:ascii="Times New Roman" w:eastAsia="Times New Roman" w:hAnsi="Times New Roman" w:cs="Times New Roman"/>
          <w:szCs w:val="24"/>
        </w:rPr>
      </w:pPr>
    </w:p>
    <w:p w14:paraId="154B458D" w14:textId="77777777" w:rsidR="00DE2956" w:rsidRPr="007B75DC" w:rsidRDefault="00DE2956" w:rsidP="00DE2956">
      <w:pPr>
        <w:spacing w:after="0" w:line="240" w:lineRule="auto"/>
        <w:rPr>
          <w:rFonts w:ascii="Times New Roman" w:eastAsia="Times New Roman" w:hAnsi="Times New Roman" w:cs="Times New Roman"/>
          <w:szCs w:val="24"/>
        </w:rPr>
      </w:pPr>
    </w:p>
    <w:p w14:paraId="03B7E5B4"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rPr>
      </w:pPr>
      <w:r w:rsidRPr="007B75DC">
        <w:rPr>
          <w:rFonts w:ascii="Times New Roman" w:eastAsia="Times New Roman" w:hAnsi="Times New Roman" w:cs="Times New Roman"/>
          <w:b/>
          <w:szCs w:val="24"/>
        </w:rPr>
        <w:t>5.</w:t>
      </w:r>
      <w:r w:rsidRPr="007B75DC">
        <w:rPr>
          <w:rFonts w:ascii="Times New Roman" w:eastAsia="Times New Roman" w:hAnsi="Times New Roman" w:cs="Times New Roman"/>
          <w:b/>
          <w:szCs w:val="24"/>
        </w:rPr>
        <w:tab/>
        <w:t>VARTOJIMO METODAS IR BŪDAS (-AI)</w:t>
      </w:r>
    </w:p>
    <w:p w14:paraId="40F3D5B3" w14:textId="77777777" w:rsidR="00DE2956" w:rsidRPr="007B75DC" w:rsidRDefault="00DE2956" w:rsidP="00DE2956">
      <w:pPr>
        <w:spacing w:after="0" w:line="240" w:lineRule="auto"/>
        <w:rPr>
          <w:rFonts w:ascii="Times New Roman" w:eastAsia="Times New Roman" w:hAnsi="Times New Roman" w:cs="Times New Roman"/>
          <w:szCs w:val="24"/>
        </w:rPr>
      </w:pPr>
    </w:p>
    <w:p w14:paraId="655A0D6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Vartoti per burną.</w:t>
      </w:r>
    </w:p>
    <w:p w14:paraId="4AC19019"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Prieš vartojimą perskaitykite pakuotės lapelį.</w:t>
      </w:r>
    </w:p>
    <w:p w14:paraId="7EC1DAD5" w14:textId="77777777" w:rsidR="00DE2956" w:rsidRPr="007B75DC" w:rsidRDefault="00DE2956" w:rsidP="00DE2956">
      <w:pPr>
        <w:spacing w:after="0" w:line="240" w:lineRule="auto"/>
        <w:rPr>
          <w:rFonts w:ascii="Times New Roman" w:eastAsia="Times New Roman" w:hAnsi="Times New Roman" w:cs="Times New Roman"/>
          <w:szCs w:val="24"/>
        </w:rPr>
      </w:pPr>
    </w:p>
    <w:p w14:paraId="6DF50FB8" w14:textId="77777777" w:rsidR="00DE2956" w:rsidRPr="007B75DC" w:rsidRDefault="00DE2956" w:rsidP="00DE2956">
      <w:pPr>
        <w:spacing w:after="0" w:line="240" w:lineRule="auto"/>
        <w:rPr>
          <w:rFonts w:ascii="Times New Roman" w:eastAsia="Times New Roman" w:hAnsi="Times New Roman" w:cs="Times New Roman"/>
          <w:szCs w:val="24"/>
        </w:rPr>
      </w:pPr>
    </w:p>
    <w:p w14:paraId="6D68E6E0" w14:textId="77777777" w:rsidR="00DE2956" w:rsidRPr="007B75DC" w:rsidRDefault="00DE2956" w:rsidP="00DE295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6.</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bCs/>
          <w:szCs w:val="24"/>
        </w:rPr>
        <w:t>SPECIALUS ĮSPĖJIMAS, KAD VAISTINĮ PREPARATĄ BŪTINA LAIKYTI VAIKAMS NEPASTEBIMOJE IR NEPASIEKIAMOJE VIETOJE</w:t>
      </w:r>
    </w:p>
    <w:p w14:paraId="6C6E01E7" w14:textId="77777777" w:rsidR="00DE2956" w:rsidRPr="007B75DC" w:rsidRDefault="00DE2956" w:rsidP="00DE2956">
      <w:pPr>
        <w:spacing w:after="0" w:line="240" w:lineRule="auto"/>
        <w:rPr>
          <w:rFonts w:ascii="Times New Roman" w:eastAsia="Times New Roman" w:hAnsi="Times New Roman" w:cs="Times New Roman"/>
          <w:szCs w:val="24"/>
        </w:rPr>
      </w:pPr>
    </w:p>
    <w:p w14:paraId="534BF5B9" w14:textId="77777777" w:rsidR="00DE2956" w:rsidRPr="007B75DC" w:rsidRDefault="00DE2956" w:rsidP="00DE2956">
      <w:pPr>
        <w:spacing w:after="0" w:line="240" w:lineRule="auto"/>
        <w:rPr>
          <w:rFonts w:ascii="Times New Roman" w:eastAsia="Times New Roman" w:hAnsi="Times New Roman" w:cs="Times New Roman"/>
          <w:iCs/>
          <w:szCs w:val="20"/>
        </w:rPr>
      </w:pPr>
      <w:r w:rsidRPr="007B75DC">
        <w:rPr>
          <w:rFonts w:ascii="Times New Roman" w:eastAsia="Times New Roman" w:hAnsi="Times New Roman" w:cs="Times New Roman"/>
          <w:iCs/>
          <w:szCs w:val="20"/>
        </w:rPr>
        <w:t>Laikyti vaikams nepastebimoje ir nepasiekiamoje vietoje.</w:t>
      </w:r>
    </w:p>
    <w:p w14:paraId="241EAF52" w14:textId="77777777" w:rsidR="00DE2956" w:rsidRPr="007B75DC" w:rsidRDefault="00DE2956" w:rsidP="00DE2956">
      <w:pPr>
        <w:spacing w:after="0" w:line="240" w:lineRule="auto"/>
        <w:rPr>
          <w:rFonts w:ascii="Times New Roman" w:eastAsia="Times New Roman" w:hAnsi="Times New Roman" w:cs="Times New Roman"/>
          <w:szCs w:val="24"/>
        </w:rPr>
      </w:pPr>
    </w:p>
    <w:p w14:paraId="4838B2F5" w14:textId="77777777" w:rsidR="00DE2956" w:rsidRPr="007B75DC" w:rsidRDefault="00DE2956" w:rsidP="00DE2956">
      <w:pPr>
        <w:spacing w:after="0" w:line="240" w:lineRule="auto"/>
        <w:rPr>
          <w:rFonts w:ascii="Times New Roman" w:eastAsia="Times New Roman" w:hAnsi="Times New Roman" w:cs="Times New Roman"/>
          <w:szCs w:val="24"/>
        </w:rPr>
      </w:pPr>
    </w:p>
    <w:p w14:paraId="4236367F"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rPr>
      </w:pPr>
      <w:r w:rsidRPr="007B75DC">
        <w:rPr>
          <w:rFonts w:ascii="Times New Roman" w:eastAsia="Times New Roman" w:hAnsi="Times New Roman" w:cs="Times New Roman"/>
          <w:b/>
          <w:szCs w:val="24"/>
        </w:rPr>
        <w:t>7.</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bCs/>
          <w:szCs w:val="24"/>
        </w:rPr>
        <w:t>KITAS (-I) SPECIALUS (-ŪS) ĮSPĖJIMAS (-AI) (JEI REIKIA)</w:t>
      </w:r>
    </w:p>
    <w:p w14:paraId="34D589A4" w14:textId="77777777" w:rsidR="00DE2956" w:rsidRPr="007B75DC" w:rsidRDefault="00DE2956" w:rsidP="00DE2956">
      <w:pPr>
        <w:spacing w:after="0" w:line="240" w:lineRule="auto"/>
        <w:rPr>
          <w:rFonts w:ascii="Times New Roman" w:eastAsia="Times New Roman" w:hAnsi="Times New Roman" w:cs="Times New Roman"/>
          <w:szCs w:val="24"/>
        </w:rPr>
      </w:pPr>
    </w:p>
    <w:p w14:paraId="7F0E3ACE"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CITOTOKSINIS VAISTAS</w:t>
      </w:r>
    </w:p>
    <w:p w14:paraId="5FF2F60F" w14:textId="77777777" w:rsidR="00DE2956" w:rsidRPr="007B75DC" w:rsidRDefault="00DE2956" w:rsidP="00DE2956">
      <w:pPr>
        <w:spacing w:after="0" w:line="240" w:lineRule="auto"/>
        <w:rPr>
          <w:rFonts w:ascii="Times New Roman" w:eastAsia="Times New Roman" w:hAnsi="Times New Roman" w:cs="Times New Roman"/>
          <w:szCs w:val="24"/>
        </w:rPr>
      </w:pPr>
    </w:p>
    <w:p w14:paraId="06D675CB" w14:textId="77777777" w:rsidR="00DE2956" w:rsidRPr="007B75DC" w:rsidRDefault="00DE2956" w:rsidP="00DE2956">
      <w:pPr>
        <w:spacing w:after="0" w:line="240" w:lineRule="auto"/>
        <w:rPr>
          <w:rFonts w:ascii="Times New Roman" w:eastAsia="Times New Roman" w:hAnsi="Times New Roman" w:cs="Times New Roman"/>
          <w:szCs w:val="24"/>
        </w:rPr>
      </w:pPr>
    </w:p>
    <w:p w14:paraId="6C71A624"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highlight w:val="lightGray"/>
        </w:rPr>
      </w:pPr>
      <w:r w:rsidRPr="007B75DC">
        <w:rPr>
          <w:rFonts w:ascii="Times New Roman" w:eastAsia="Times New Roman" w:hAnsi="Times New Roman" w:cs="Times New Roman"/>
          <w:b/>
          <w:szCs w:val="24"/>
        </w:rPr>
        <w:t>8.</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bCs/>
          <w:szCs w:val="24"/>
        </w:rPr>
        <w:t>TINKAMUMO LAIKAS</w:t>
      </w:r>
    </w:p>
    <w:p w14:paraId="5EFF9229" w14:textId="77777777" w:rsidR="00DE2956" w:rsidRPr="007B75DC" w:rsidRDefault="00DE2956" w:rsidP="00DE2956">
      <w:pPr>
        <w:spacing w:after="0" w:line="240" w:lineRule="auto"/>
        <w:rPr>
          <w:rFonts w:ascii="Times New Roman" w:eastAsia="Times New Roman" w:hAnsi="Times New Roman" w:cs="Times New Roman"/>
          <w:szCs w:val="24"/>
        </w:rPr>
      </w:pPr>
    </w:p>
    <w:p w14:paraId="0D971C12" w14:textId="77777777" w:rsidR="00DE2956" w:rsidRPr="007B75DC" w:rsidRDefault="00A80EAE"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EXP</w:t>
      </w:r>
      <w:r w:rsidR="0067268E">
        <w:rPr>
          <w:rFonts w:ascii="Times New Roman" w:eastAsia="Times New Roman" w:hAnsi="Times New Roman" w:cs="Times New Roman"/>
          <w:szCs w:val="24"/>
        </w:rPr>
        <w:t>:</w:t>
      </w:r>
      <w:r w:rsidR="00DE2956" w:rsidRPr="007B75DC">
        <w:rPr>
          <w:rFonts w:ascii="Times New Roman" w:eastAsia="Times New Roman" w:hAnsi="Times New Roman" w:cs="Times New Roman"/>
          <w:szCs w:val="24"/>
        </w:rPr>
        <w:t xml:space="preserve"> </w:t>
      </w:r>
      <w:r w:rsidR="00DE2956" w:rsidRPr="00534F79">
        <w:rPr>
          <w:rFonts w:ascii="Times New Roman" w:eastAsia="Times New Roman" w:hAnsi="Times New Roman" w:cs="Times New Roman"/>
          <w:highlight w:val="lightGray"/>
        </w:rPr>
        <w:t>[mm.MMMM]</w:t>
      </w:r>
    </w:p>
    <w:p w14:paraId="791C8499" w14:textId="77777777" w:rsidR="00DE2956" w:rsidRPr="007B75DC" w:rsidRDefault="00DE2956" w:rsidP="00DE2956">
      <w:pPr>
        <w:spacing w:after="0" w:line="240" w:lineRule="auto"/>
        <w:rPr>
          <w:rFonts w:ascii="Times New Roman" w:eastAsia="Times New Roman" w:hAnsi="Times New Roman" w:cs="Times New Roman"/>
          <w:szCs w:val="24"/>
        </w:rPr>
      </w:pPr>
    </w:p>
    <w:p w14:paraId="5617EC46" w14:textId="77777777" w:rsidR="00DE2956" w:rsidRPr="007B75DC" w:rsidRDefault="00DE2956" w:rsidP="00DE2956">
      <w:pPr>
        <w:spacing w:after="0" w:line="240" w:lineRule="auto"/>
        <w:rPr>
          <w:rFonts w:ascii="Times New Roman" w:eastAsia="Times New Roman" w:hAnsi="Times New Roman" w:cs="Times New Roman"/>
          <w:szCs w:val="24"/>
        </w:rPr>
      </w:pPr>
    </w:p>
    <w:p w14:paraId="6ED01BA8"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9.</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SPECIALIOS laikymo sąlygos</w:t>
      </w:r>
    </w:p>
    <w:p w14:paraId="40C20141" w14:textId="77777777" w:rsidR="00DE2956" w:rsidRPr="007B75DC" w:rsidRDefault="00DE2956" w:rsidP="00DE2956">
      <w:pPr>
        <w:spacing w:after="0" w:line="240" w:lineRule="auto"/>
        <w:rPr>
          <w:rFonts w:ascii="Times New Roman" w:eastAsia="Times New Roman" w:hAnsi="Times New Roman" w:cs="Times New Roman"/>
          <w:i/>
          <w:szCs w:val="24"/>
        </w:rPr>
      </w:pPr>
    </w:p>
    <w:p w14:paraId="6DB6F2F4"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E935A67"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10.</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specialios atsargumo priemonės DĖL NESUVARTOTO</w:t>
      </w:r>
      <w:r w:rsidRPr="007B75DC">
        <w:rPr>
          <w:rFonts w:ascii="Times New Roman" w:eastAsia="Times New Roman" w:hAnsi="Times New Roman" w:cs="Times New Roman"/>
          <w:b/>
          <w:bCs/>
          <w:szCs w:val="24"/>
        </w:rPr>
        <w:t xml:space="preserve"> </w:t>
      </w:r>
      <w:r w:rsidRPr="007B75DC">
        <w:rPr>
          <w:rFonts w:ascii="Times New Roman" w:eastAsia="Times New Roman" w:hAnsi="Times New Roman" w:cs="Times New Roman"/>
          <w:b/>
          <w:bCs/>
          <w:caps/>
          <w:szCs w:val="24"/>
        </w:rPr>
        <w:t>VAISTINIO PREPARATO AR JO ATLIEKU</w:t>
      </w:r>
      <w:r w:rsidRPr="007B75DC">
        <w:rPr>
          <w:rFonts w:ascii="Times New Roman" w:eastAsia="Times New Roman" w:hAnsi="Times New Roman" w:cs="Times New Roman"/>
          <w:caps/>
          <w:szCs w:val="24"/>
        </w:rPr>
        <w:t xml:space="preserve"> </w:t>
      </w:r>
      <w:r w:rsidRPr="007B75DC">
        <w:rPr>
          <w:rFonts w:ascii="Times New Roman" w:eastAsia="Times New Roman" w:hAnsi="Times New Roman" w:cs="Times New Roman"/>
          <w:b/>
          <w:bCs/>
          <w:caps/>
          <w:szCs w:val="24"/>
        </w:rPr>
        <w:t>TVARKYMO</w:t>
      </w:r>
      <w:r w:rsidRPr="007B75DC">
        <w:rPr>
          <w:rFonts w:ascii="Times New Roman" w:eastAsia="Times New Roman" w:hAnsi="Times New Roman" w:cs="Times New Roman"/>
          <w:b/>
          <w:caps/>
          <w:szCs w:val="24"/>
        </w:rPr>
        <w:t xml:space="preserve"> (jei reikia)</w:t>
      </w:r>
    </w:p>
    <w:p w14:paraId="15FFDA4B" w14:textId="77777777" w:rsidR="00DE2956" w:rsidRPr="007B75DC" w:rsidRDefault="00DE2956" w:rsidP="00DE2956">
      <w:pPr>
        <w:spacing w:after="0" w:line="240" w:lineRule="auto"/>
        <w:rPr>
          <w:rFonts w:ascii="Times New Roman" w:eastAsia="Times New Roman" w:hAnsi="Times New Roman" w:cs="Times New Roman"/>
          <w:szCs w:val="24"/>
        </w:rPr>
      </w:pPr>
    </w:p>
    <w:p w14:paraId="13661D8E"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Nesuvartotą vaistą ar atliekas reikia tvarkyti laikantis vietinių reikalavimų.</w:t>
      </w:r>
    </w:p>
    <w:p w14:paraId="4F888DCD" w14:textId="77777777" w:rsidR="00DE2956" w:rsidRPr="007B75DC" w:rsidRDefault="00DE2956" w:rsidP="00DE2956">
      <w:pPr>
        <w:spacing w:after="0" w:line="240" w:lineRule="auto"/>
        <w:rPr>
          <w:rFonts w:ascii="Times New Roman" w:eastAsia="Times New Roman" w:hAnsi="Times New Roman" w:cs="Times New Roman"/>
          <w:szCs w:val="24"/>
        </w:rPr>
      </w:pPr>
    </w:p>
    <w:p w14:paraId="44B4DAAC" w14:textId="77777777" w:rsidR="00DE2956" w:rsidRPr="007B75DC" w:rsidRDefault="00DE2956" w:rsidP="00DE2956">
      <w:pPr>
        <w:spacing w:after="0" w:line="240" w:lineRule="auto"/>
        <w:rPr>
          <w:rFonts w:ascii="Times New Roman" w:eastAsia="Times New Roman" w:hAnsi="Times New Roman" w:cs="Times New Roman"/>
          <w:szCs w:val="24"/>
        </w:rPr>
      </w:pPr>
    </w:p>
    <w:p w14:paraId="6935D338" w14:textId="77777777" w:rsidR="00DE2956" w:rsidRPr="007B75DC" w:rsidRDefault="00DE2956" w:rsidP="00534F7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11.</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napToGrid w:val="0"/>
          <w:szCs w:val="24"/>
        </w:rPr>
        <w:t xml:space="preserve">REGISTRUOTOJO </w:t>
      </w:r>
      <w:r w:rsidRPr="007B75DC">
        <w:rPr>
          <w:rFonts w:ascii="Times New Roman" w:eastAsia="Times New Roman" w:hAnsi="Times New Roman" w:cs="Times New Roman"/>
          <w:b/>
          <w:caps/>
          <w:szCs w:val="24"/>
        </w:rPr>
        <w:t>pavadinimas ir adresas</w:t>
      </w:r>
    </w:p>
    <w:p w14:paraId="50F50A46" w14:textId="77777777" w:rsidR="00DE2956" w:rsidRPr="007B75DC" w:rsidRDefault="00DE2956" w:rsidP="00DE2956">
      <w:pPr>
        <w:spacing w:after="0" w:line="240" w:lineRule="auto"/>
        <w:rPr>
          <w:rFonts w:ascii="Times New Roman" w:eastAsia="Times New Roman" w:hAnsi="Times New Roman" w:cs="Times New Roman"/>
          <w:szCs w:val="24"/>
        </w:rPr>
      </w:pPr>
    </w:p>
    <w:p w14:paraId="6397EDBA"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UAB </w:t>
      </w:r>
      <w:r w:rsidR="0067268E">
        <w:rPr>
          <w:rFonts w:ascii="Times New Roman" w:eastAsia="Times New Roman" w:hAnsi="Times New Roman" w:cs="Times New Roman"/>
          <w:szCs w:val="24"/>
        </w:rPr>
        <w:t>„</w:t>
      </w:r>
      <w:r w:rsidRPr="007B75DC">
        <w:rPr>
          <w:rFonts w:ascii="Times New Roman" w:eastAsia="Times New Roman" w:hAnsi="Times New Roman" w:cs="Times New Roman"/>
          <w:szCs w:val="24"/>
        </w:rPr>
        <w:t>INTELI GENERICS NORD</w:t>
      </w:r>
      <w:r w:rsidR="0067268E">
        <w:rPr>
          <w:rFonts w:ascii="Times New Roman" w:eastAsia="Times New Roman" w:hAnsi="Times New Roman" w:cs="Times New Roman"/>
          <w:szCs w:val="24"/>
        </w:rPr>
        <w:t>“</w:t>
      </w:r>
    </w:p>
    <w:p w14:paraId="5687F1A7"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Šeimyniškių g. 3 </w:t>
      </w:r>
    </w:p>
    <w:p w14:paraId="384E81E3"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Vilnius, LT-09312 </w:t>
      </w:r>
    </w:p>
    <w:p w14:paraId="36D9C2B9"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Lietuva</w:t>
      </w:r>
    </w:p>
    <w:p w14:paraId="5B100434" w14:textId="77777777" w:rsidR="00DE2956" w:rsidRPr="007B75DC" w:rsidRDefault="00DE2956" w:rsidP="00DE2956">
      <w:pPr>
        <w:spacing w:after="0" w:line="240" w:lineRule="auto"/>
        <w:rPr>
          <w:rFonts w:ascii="Times New Roman" w:eastAsia="Times New Roman" w:hAnsi="Times New Roman" w:cs="Times New Roman"/>
          <w:szCs w:val="24"/>
        </w:rPr>
      </w:pPr>
    </w:p>
    <w:p w14:paraId="107E264B" w14:textId="77777777" w:rsidR="00DE2956" w:rsidRPr="007B75DC" w:rsidRDefault="00DE2956" w:rsidP="00DE2956">
      <w:pPr>
        <w:spacing w:after="0" w:line="240" w:lineRule="auto"/>
        <w:rPr>
          <w:rFonts w:ascii="Times New Roman" w:eastAsia="Times New Roman" w:hAnsi="Times New Roman" w:cs="Times New Roman"/>
          <w:szCs w:val="24"/>
        </w:rPr>
      </w:pPr>
    </w:p>
    <w:p w14:paraId="528FD832" w14:textId="77777777" w:rsidR="00DE2956" w:rsidRPr="007B75DC" w:rsidRDefault="00DE2956" w:rsidP="00534F7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12.</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snapToGrid w:val="0"/>
          <w:szCs w:val="24"/>
        </w:rPr>
        <w:t xml:space="preserve">REGISTRACIJOS PAŽYMĖJIMO </w:t>
      </w:r>
      <w:r w:rsidRPr="007B75DC">
        <w:rPr>
          <w:rFonts w:ascii="Times New Roman" w:eastAsia="Times New Roman" w:hAnsi="Times New Roman" w:cs="Times New Roman"/>
          <w:b/>
          <w:caps/>
          <w:szCs w:val="24"/>
        </w:rPr>
        <w:t>numeris</w:t>
      </w:r>
      <w:r w:rsidRPr="007B75DC">
        <w:rPr>
          <w:rFonts w:ascii="Times New Roman" w:eastAsia="Times New Roman" w:hAnsi="Times New Roman" w:cs="Times New Roman"/>
          <w:b/>
          <w:szCs w:val="24"/>
        </w:rPr>
        <w:t xml:space="preserve"> (-IAI)</w:t>
      </w:r>
    </w:p>
    <w:p w14:paraId="7365E4E8" w14:textId="77777777" w:rsidR="00DE2956" w:rsidRPr="007B75DC" w:rsidRDefault="00DE2956" w:rsidP="00DE2956">
      <w:pPr>
        <w:spacing w:after="0" w:line="240" w:lineRule="auto"/>
        <w:rPr>
          <w:rFonts w:ascii="Times New Roman" w:eastAsia="Times New Roman" w:hAnsi="Times New Roman" w:cs="Times New Roman"/>
          <w:szCs w:val="24"/>
        </w:rPr>
      </w:pPr>
    </w:p>
    <w:p w14:paraId="270B83F4" w14:textId="77777777" w:rsidR="00EC29C8" w:rsidRPr="007B75DC" w:rsidRDefault="00EC29C8" w:rsidP="00EC29C8">
      <w:pPr>
        <w:spacing w:after="0" w:line="240" w:lineRule="auto"/>
        <w:rPr>
          <w:rFonts w:ascii="Times New Roman" w:eastAsia="Times New Roman" w:hAnsi="Times New Roman" w:cs="Times New Roman"/>
          <w:szCs w:val="24"/>
          <w:u w:val="single"/>
          <w:shd w:val="clear" w:color="auto" w:fill="D9D9D9"/>
        </w:rPr>
      </w:pPr>
      <w:r w:rsidRPr="007B75DC">
        <w:rPr>
          <w:rFonts w:ascii="Times New Roman" w:eastAsia="Times New Roman" w:hAnsi="Times New Roman" w:cs="Times New Roman"/>
          <w:szCs w:val="24"/>
          <w:u w:val="single"/>
          <w:shd w:val="clear" w:color="auto" w:fill="D9D9D9"/>
        </w:rPr>
        <w:t>100 mg</w:t>
      </w:r>
    </w:p>
    <w:p w14:paraId="7FD2023A"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rPr>
        <w:t xml:space="preserve">LT/1/16/4005/001 </w:t>
      </w:r>
      <w:r w:rsidRPr="007B75DC">
        <w:rPr>
          <w:rFonts w:ascii="Times New Roman" w:eastAsia="Times New Roman" w:hAnsi="Times New Roman" w:cs="Times New Roman"/>
          <w:szCs w:val="24"/>
          <w:shd w:val="clear" w:color="auto" w:fill="D9D9D9"/>
        </w:rPr>
        <w:t>– N20</w:t>
      </w:r>
    </w:p>
    <w:p w14:paraId="36AC5C10"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shd w:val="clear" w:color="auto" w:fill="D9D9D9"/>
        </w:rPr>
        <w:t>LT/1/16/4005/008 – N30</w:t>
      </w:r>
    </w:p>
    <w:p w14:paraId="0D54A85C"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shd w:val="clear" w:color="auto" w:fill="D9D9D9"/>
        </w:rPr>
        <w:t>LT/1/16/4005/002 – N60</w:t>
      </w:r>
    </w:p>
    <w:p w14:paraId="03CB7D09"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shd w:val="clear" w:color="auto" w:fill="D9D9D9"/>
        </w:rPr>
        <w:t>LT/1/16/4005/003 – N120</w:t>
      </w:r>
    </w:p>
    <w:p w14:paraId="30886ACF"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shd w:val="clear" w:color="auto" w:fill="D9D9D9"/>
        </w:rPr>
        <w:t>LT/1/16/4005/004 – N180</w:t>
      </w:r>
    </w:p>
    <w:p w14:paraId="7C7644F0"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p>
    <w:p w14:paraId="603F9ECD"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u w:val="single"/>
          <w:shd w:val="clear" w:color="auto" w:fill="D9D9D9"/>
        </w:rPr>
        <w:t>400</w:t>
      </w:r>
      <w:r w:rsidRPr="007B75DC">
        <w:rPr>
          <w:rFonts w:ascii="Times New Roman" w:eastAsia="Times New Roman" w:hAnsi="Times New Roman" w:cs="Times New Roman"/>
          <w:szCs w:val="24"/>
          <w:shd w:val="clear" w:color="auto" w:fill="D9D9D9"/>
        </w:rPr>
        <w:t xml:space="preserve"> </w:t>
      </w:r>
      <w:r w:rsidRPr="007B75DC">
        <w:rPr>
          <w:rFonts w:ascii="Times New Roman" w:eastAsia="Times New Roman" w:hAnsi="Times New Roman" w:cs="Times New Roman"/>
          <w:szCs w:val="24"/>
          <w:u w:val="single"/>
          <w:shd w:val="clear" w:color="auto" w:fill="D9D9D9"/>
        </w:rPr>
        <w:t>mg</w:t>
      </w:r>
    </w:p>
    <w:p w14:paraId="03BC02CE"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rPr>
        <w:t xml:space="preserve">LT/1/16/4005/005 </w:t>
      </w:r>
      <w:r w:rsidRPr="007B75DC">
        <w:rPr>
          <w:rFonts w:ascii="Times New Roman" w:eastAsia="Times New Roman" w:hAnsi="Times New Roman" w:cs="Times New Roman"/>
          <w:szCs w:val="24"/>
          <w:shd w:val="clear" w:color="auto" w:fill="D9D9D9"/>
        </w:rPr>
        <w:t>– N10</w:t>
      </w:r>
    </w:p>
    <w:p w14:paraId="5EC454A1" w14:textId="77777777" w:rsidR="00EC29C8"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shd w:val="clear" w:color="auto" w:fill="D9D9D9"/>
        </w:rPr>
        <w:t>LT/1/16/4005/006 – N30</w:t>
      </w:r>
    </w:p>
    <w:p w14:paraId="2CEF7C61" w14:textId="77777777" w:rsidR="00DE2956" w:rsidRPr="007B75DC" w:rsidRDefault="00EC29C8" w:rsidP="00EC29C8">
      <w:pPr>
        <w:spacing w:after="0" w:line="240" w:lineRule="auto"/>
        <w:rPr>
          <w:rFonts w:ascii="Times New Roman" w:eastAsia="Times New Roman" w:hAnsi="Times New Roman" w:cs="Times New Roman"/>
          <w:szCs w:val="24"/>
          <w:shd w:val="clear" w:color="auto" w:fill="D9D9D9"/>
        </w:rPr>
      </w:pPr>
      <w:r w:rsidRPr="007B75DC">
        <w:rPr>
          <w:rFonts w:ascii="Times New Roman" w:eastAsia="Times New Roman" w:hAnsi="Times New Roman" w:cs="Times New Roman"/>
          <w:szCs w:val="24"/>
          <w:shd w:val="clear" w:color="auto" w:fill="D9D9D9"/>
        </w:rPr>
        <w:t>LT/1/16/4005/007 – N90</w:t>
      </w:r>
    </w:p>
    <w:p w14:paraId="7A83718C" w14:textId="77777777" w:rsidR="00EC29C8" w:rsidRPr="007B75DC" w:rsidRDefault="00EC29C8" w:rsidP="00EC29C8">
      <w:pPr>
        <w:spacing w:after="0" w:line="240" w:lineRule="auto"/>
        <w:rPr>
          <w:rFonts w:ascii="Times New Roman" w:eastAsia="Times New Roman" w:hAnsi="Times New Roman" w:cs="Times New Roman"/>
          <w:szCs w:val="24"/>
        </w:rPr>
      </w:pPr>
    </w:p>
    <w:p w14:paraId="1FA7FFAC" w14:textId="77777777" w:rsidR="00DE2956" w:rsidRPr="007B75DC" w:rsidRDefault="00DE2956" w:rsidP="00DE2956">
      <w:pPr>
        <w:spacing w:after="0" w:line="240" w:lineRule="auto"/>
        <w:rPr>
          <w:rFonts w:ascii="Times New Roman" w:eastAsia="Times New Roman" w:hAnsi="Times New Roman" w:cs="Times New Roman"/>
          <w:szCs w:val="24"/>
        </w:rPr>
      </w:pPr>
    </w:p>
    <w:p w14:paraId="0B082E0C" w14:textId="77777777" w:rsidR="00DE2956" w:rsidRPr="007B75DC" w:rsidRDefault="00DE2956" w:rsidP="00534F7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13.</w:t>
      </w:r>
      <w:r w:rsidRPr="007B75DC">
        <w:rPr>
          <w:rFonts w:ascii="Times New Roman" w:eastAsia="Times New Roman" w:hAnsi="Times New Roman" w:cs="Times New Roman"/>
          <w:b/>
          <w:szCs w:val="24"/>
        </w:rPr>
        <w:tab/>
        <w:t>SERIJOS NUMERIS</w:t>
      </w:r>
    </w:p>
    <w:p w14:paraId="53DB3D8D" w14:textId="77777777" w:rsidR="00DE2956" w:rsidRPr="007B75DC" w:rsidRDefault="00DE2956" w:rsidP="00DE2956">
      <w:pPr>
        <w:spacing w:after="0" w:line="240" w:lineRule="auto"/>
        <w:rPr>
          <w:rFonts w:ascii="Times New Roman" w:eastAsia="Times New Roman" w:hAnsi="Times New Roman" w:cs="Times New Roman"/>
          <w:szCs w:val="24"/>
        </w:rPr>
      </w:pPr>
    </w:p>
    <w:p w14:paraId="1CD53719" w14:textId="77777777" w:rsidR="00DE2956" w:rsidRPr="007B75DC" w:rsidRDefault="00DD0CC2"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Lot</w:t>
      </w:r>
      <w:r w:rsidR="0067268E">
        <w:rPr>
          <w:rFonts w:ascii="Times New Roman" w:eastAsia="Times New Roman" w:hAnsi="Times New Roman" w:cs="Times New Roman"/>
          <w:szCs w:val="24"/>
        </w:rPr>
        <w:t>:</w:t>
      </w:r>
    </w:p>
    <w:p w14:paraId="3AAF6AA3" w14:textId="77777777" w:rsidR="00DE2956" w:rsidRPr="007B75DC" w:rsidRDefault="00DE2956" w:rsidP="00DE2956">
      <w:pPr>
        <w:spacing w:after="0" w:line="240" w:lineRule="auto"/>
        <w:rPr>
          <w:rFonts w:ascii="Times New Roman" w:eastAsia="Times New Roman" w:hAnsi="Times New Roman" w:cs="Times New Roman"/>
          <w:szCs w:val="24"/>
        </w:rPr>
      </w:pPr>
    </w:p>
    <w:p w14:paraId="769ABDA9" w14:textId="77777777" w:rsidR="00DE2956" w:rsidRPr="007B75DC" w:rsidRDefault="00DE2956" w:rsidP="00DE2956">
      <w:pPr>
        <w:spacing w:after="0" w:line="240" w:lineRule="auto"/>
        <w:rPr>
          <w:rFonts w:ascii="Times New Roman" w:eastAsia="Times New Roman" w:hAnsi="Times New Roman" w:cs="Times New Roman"/>
          <w:szCs w:val="24"/>
        </w:rPr>
      </w:pPr>
    </w:p>
    <w:p w14:paraId="296B036B" w14:textId="77777777" w:rsidR="00DE2956" w:rsidRPr="007B75DC" w:rsidRDefault="00DE2956" w:rsidP="00534F7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14.</w:t>
      </w:r>
      <w:r w:rsidRPr="007B75DC">
        <w:rPr>
          <w:rFonts w:ascii="Times New Roman" w:eastAsia="Times New Roman" w:hAnsi="Times New Roman" w:cs="Times New Roman"/>
          <w:b/>
          <w:szCs w:val="24"/>
        </w:rPr>
        <w:tab/>
        <w:t>PARDAVIMO (IŠDAVIMO)</w:t>
      </w:r>
      <w:r w:rsidRPr="007B75DC">
        <w:rPr>
          <w:rFonts w:ascii="Times New Roman" w:eastAsia="Times New Roman" w:hAnsi="Times New Roman" w:cs="Times New Roman"/>
          <w:b/>
          <w:caps/>
          <w:szCs w:val="24"/>
        </w:rPr>
        <w:t xml:space="preserve"> tvarka</w:t>
      </w:r>
    </w:p>
    <w:p w14:paraId="096EDFA4" w14:textId="77777777" w:rsidR="00DE2956" w:rsidRPr="007B75DC" w:rsidRDefault="00DE2956" w:rsidP="00DE2956">
      <w:pPr>
        <w:spacing w:after="0" w:line="240" w:lineRule="auto"/>
        <w:rPr>
          <w:rFonts w:ascii="Times New Roman" w:eastAsia="Times New Roman" w:hAnsi="Times New Roman" w:cs="Times New Roman"/>
          <w:szCs w:val="24"/>
        </w:rPr>
      </w:pPr>
    </w:p>
    <w:p w14:paraId="7D8639CA"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Receptinis vaistas.</w:t>
      </w:r>
    </w:p>
    <w:p w14:paraId="216408D3" w14:textId="77777777" w:rsidR="00DE2956" w:rsidRPr="007B75DC" w:rsidRDefault="00DE2956" w:rsidP="00DE2956">
      <w:pPr>
        <w:spacing w:after="0" w:line="240" w:lineRule="auto"/>
        <w:rPr>
          <w:rFonts w:ascii="Times New Roman" w:eastAsia="Times New Roman" w:hAnsi="Times New Roman" w:cs="Times New Roman"/>
          <w:szCs w:val="24"/>
        </w:rPr>
      </w:pPr>
    </w:p>
    <w:p w14:paraId="15B345AC" w14:textId="77777777" w:rsidR="00DE2956" w:rsidRPr="007B75DC" w:rsidRDefault="00DE2956" w:rsidP="00DE2956">
      <w:pPr>
        <w:spacing w:after="0" w:line="240" w:lineRule="auto"/>
        <w:rPr>
          <w:rFonts w:ascii="Times New Roman" w:eastAsia="Times New Roman" w:hAnsi="Times New Roman" w:cs="Times New Roman"/>
          <w:szCs w:val="24"/>
        </w:rPr>
      </w:pPr>
    </w:p>
    <w:p w14:paraId="198481BF" w14:textId="77777777" w:rsidR="00DE2956" w:rsidRPr="007B75DC" w:rsidRDefault="00DE2956" w:rsidP="00534F7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15.</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vartojimo instrukcijA</w:t>
      </w:r>
    </w:p>
    <w:p w14:paraId="0B7240F3" w14:textId="77777777" w:rsidR="00DE2956" w:rsidRPr="007B75DC" w:rsidRDefault="00DE2956" w:rsidP="00DE2956">
      <w:pPr>
        <w:spacing w:after="0" w:line="240" w:lineRule="auto"/>
        <w:rPr>
          <w:rFonts w:ascii="Times New Roman" w:eastAsia="Times New Roman" w:hAnsi="Times New Roman" w:cs="Times New Roman"/>
          <w:szCs w:val="24"/>
        </w:rPr>
      </w:pPr>
    </w:p>
    <w:p w14:paraId="39326579" w14:textId="77777777" w:rsidR="00DE2956" w:rsidRPr="007B75DC" w:rsidRDefault="00DE2956" w:rsidP="00DE2956">
      <w:pPr>
        <w:spacing w:after="0" w:line="240" w:lineRule="auto"/>
        <w:rPr>
          <w:rFonts w:ascii="Times New Roman" w:eastAsia="Times New Roman" w:hAnsi="Times New Roman" w:cs="Times New Roman"/>
          <w:szCs w:val="24"/>
        </w:rPr>
      </w:pPr>
    </w:p>
    <w:p w14:paraId="5D6B9977" w14:textId="77777777" w:rsidR="00DE2956" w:rsidRPr="007B75DC" w:rsidRDefault="00DE2956" w:rsidP="00534F7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lastRenderedPageBreak/>
        <w:t>16.</w:t>
      </w:r>
      <w:r w:rsidRPr="007B75DC">
        <w:rPr>
          <w:rFonts w:ascii="Times New Roman" w:eastAsia="Times New Roman" w:hAnsi="Times New Roman" w:cs="Times New Roman"/>
          <w:b/>
          <w:szCs w:val="24"/>
        </w:rPr>
        <w:tab/>
        <w:t>INFORMACIJA BRAILIO RAŠTU</w:t>
      </w:r>
    </w:p>
    <w:p w14:paraId="03EB4127" w14:textId="77777777" w:rsidR="00DE2956" w:rsidRPr="007B75DC" w:rsidRDefault="00DE2956" w:rsidP="00534F79">
      <w:pPr>
        <w:keepNext/>
        <w:keepLines/>
        <w:spacing w:after="0" w:line="240" w:lineRule="auto"/>
        <w:rPr>
          <w:rFonts w:ascii="Times New Roman" w:eastAsia="Times New Roman" w:hAnsi="Times New Roman" w:cs="Times New Roman"/>
          <w:szCs w:val="24"/>
        </w:rPr>
      </w:pPr>
    </w:p>
    <w:p w14:paraId="732F1D40" w14:textId="77777777" w:rsidR="00DE2956" w:rsidRPr="007B75DC" w:rsidRDefault="006F09BA" w:rsidP="00534F79">
      <w:pPr>
        <w:keepNext/>
        <w:keepLines/>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i</w:t>
      </w:r>
      <w:r w:rsidR="00DE2956" w:rsidRPr="007B75DC">
        <w:rPr>
          <w:rFonts w:ascii="Times New Roman" w:eastAsia="Times New Roman" w:hAnsi="Times New Roman" w:cs="Times New Roman"/>
          <w:szCs w:val="24"/>
        </w:rPr>
        <w:t xml:space="preserve">matinib </w:t>
      </w:r>
      <w:r w:rsidRPr="007B75DC">
        <w:rPr>
          <w:rFonts w:ascii="Times New Roman" w:eastAsia="Times New Roman" w:hAnsi="Times New Roman" w:cs="Times New Roman"/>
          <w:szCs w:val="24"/>
        </w:rPr>
        <w:t>inteli</w:t>
      </w:r>
      <w:r w:rsidR="00DE2956" w:rsidRPr="007B75DC">
        <w:rPr>
          <w:rFonts w:ascii="Times New Roman" w:eastAsia="Times New Roman" w:hAnsi="Times New Roman" w:cs="Times New Roman"/>
          <w:szCs w:val="24"/>
        </w:rPr>
        <w:t xml:space="preserve"> 100 mg </w:t>
      </w:r>
    </w:p>
    <w:p w14:paraId="71822745" w14:textId="77777777" w:rsidR="00DE2956" w:rsidRPr="007B75DC" w:rsidRDefault="006F09BA" w:rsidP="00534F79">
      <w:pPr>
        <w:keepNext/>
        <w:keepLines/>
        <w:spacing w:after="0" w:line="240" w:lineRule="auto"/>
        <w:rPr>
          <w:rFonts w:ascii="Times New Roman" w:eastAsia="Times New Roman" w:hAnsi="Times New Roman" w:cs="Times New Roman"/>
          <w:shd w:val="clear" w:color="auto" w:fill="CCCCCC"/>
        </w:rPr>
      </w:pPr>
      <w:r w:rsidRPr="007B75DC">
        <w:rPr>
          <w:rFonts w:ascii="Times New Roman" w:eastAsia="Times New Roman" w:hAnsi="Times New Roman" w:cs="Times New Roman"/>
          <w:szCs w:val="24"/>
          <w:highlight w:val="lightGray"/>
        </w:rPr>
        <w:t>i</w:t>
      </w:r>
      <w:r w:rsidR="00DE2956" w:rsidRPr="007B75DC">
        <w:rPr>
          <w:rFonts w:ascii="Times New Roman" w:eastAsia="Times New Roman" w:hAnsi="Times New Roman" w:cs="Times New Roman"/>
          <w:szCs w:val="24"/>
          <w:highlight w:val="lightGray"/>
        </w:rPr>
        <w:t xml:space="preserve">matinib </w:t>
      </w:r>
      <w:r w:rsidRPr="007B75DC">
        <w:rPr>
          <w:rFonts w:ascii="Times New Roman" w:eastAsia="Times New Roman" w:hAnsi="Times New Roman" w:cs="Times New Roman"/>
          <w:szCs w:val="24"/>
          <w:highlight w:val="lightGray"/>
        </w:rPr>
        <w:t>inteli</w:t>
      </w:r>
      <w:r w:rsidR="00DE2956" w:rsidRPr="007B75DC">
        <w:rPr>
          <w:rFonts w:ascii="Times New Roman" w:eastAsia="Times New Roman" w:hAnsi="Times New Roman" w:cs="Times New Roman"/>
          <w:szCs w:val="24"/>
          <w:highlight w:val="lightGray"/>
        </w:rPr>
        <w:t xml:space="preserve"> 400 mg </w:t>
      </w:r>
    </w:p>
    <w:p w14:paraId="29296832" w14:textId="77777777" w:rsidR="00DE2956" w:rsidRPr="007B75DC" w:rsidRDefault="00DE2956" w:rsidP="00DE2956">
      <w:pPr>
        <w:spacing w:after="0" w:line="240" w:lineRule="auto"/>
        <w:rPr>
          <w:rFonts w:ascii="Times New Roman" w:eastAsia="Times New Roman" w:hAnsi="Times New Roman" w:cs="Times New Roman"/>
        </w:rPr>
      </w:pPr>
    </w:p>
    <w:p w14:paraId="348F0FD2" w14:textId="77777777" w:rsidR="00DE2956" w:rsidRPr="007B75DC" w:rsidRDefault="00DE2956" w:rsidP="00DE2956">
      <w:pPr>
        <w:spacing w:after="0" w:line="240" w:lineRule="auto"/>
        <w:rPr>
          <w:rFonts w:ascii="Times New Roman" w:eastAsia="Times New Roman" w:hAnsi="Times New Roman" w:cs="Times New Roman"/>
          <w:shd w:val="clear" w:color="auto" w:fill="CCCCCC"/>
        </w:rPr>
      </w:pPr>
    </w:p>
    <w:p w14:paraId="6F5EB3F8" w14:textId="77777777" w:rsidR="00DE2956" w:rsidRPr="007B75DC" w:rsidRDefault="00DE2956" w:rsidP="00534F79">
      <w:pPr>
        <w:keepNext/>
        <w:numPr>
          <w:ilvl w:val="1"/>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0"/>
        <w:rPr>
          <w:rFonts w:ascii="Times New Roman" w:eastAsia="Times New Roman" w:hAnsi="Times New Roman" w:cs="Times New Roman"/>
          <w:i/>
          <w:szCs w:val="20"/>
        </w:rPr>
      </w:pPr>
      <w:r w:rsidRPr="007B75DC">
        <w:rPr>
          <w:rFonts w:ascii="Times New Roman" w:eastAsia="Times New Roman" w:hAnsi="Times New Roman" w:cs="Times New Roman"/>
          <w:b/>
          <w:szCs w:val="24"/>
        </w:rPr>
        <w:t>UNIKALUS IDENTIFIKATORIUS – 2D BRŪKŠNINIS KODAS</w:t>
      </w:r>
    </w:p>
    <w:p w14:paraId="1F2B1247" w14:textId="77777777" w:rsidR="00DE2956" w:rsidRPr="007B75DC" w:rsidRDefault="00DE2956" w:rsidP="00DE2956">
      <w:pPr>
        <w:tabs>
          <w:tab w:val="left" w:pos="720"/>
        </w:tabs>
        <w:spacing w:after="0" w:line="240" w:lineRule="auto"/>
        <w:rPr>
          <w:rFonts w:ascii="Times New Roman" w:eastAsia="Times New Roman" w:hAnsi="Times New Roman" w:cs="Times New Roman"/>
          <w:szCs w:val="24"/>
        </w:rPr>
      </w:pPr>
    </w:p>
    <w:p w14:paraId="5268F7E5" w14:textId="77777777" w:rsidR="00DE2956" w:rsidRPr="007B75DC" w:rsidRDefault="00DE2956" w:rsidP="00DE2956">
      <w:pPr>
        <w:spacing w:after="0" w:line="240" w:lineRule="auto"/>
        <w:rPr>
          <w:rFonts w:ascii="Times New Roman" w:eastAsia="Times New Roman" w:hAnsi="Times New Roman" w:cs="Times New Roman"/>
          <w:shd w:val="clear" w:color="auto" w:fill="CCCCCC"/>
        </w:rPr>
      </w:pPr>
      <w:r w:rsidRPr="007B75DC">
        <w:rPr>
          <w:rFonts w:ascii="Times New Roman" w:eastAsia="Times New Roman" w:hAnsi="Times New Roman" w:cs="Times New Roman"/>
          <w:szCs w:val="24"/>
          <w:highlight w:val="lightGray"/>
        </w:rPr>
        <w:t>2D brūkšninis kodas su nurodytu unikaliu identifikatoriumi.</w:t>
      </w:r>
    </w:p>
    <w:p w14:paraId="1FFAFEAF" w14:textId="77777777" w:rsidR="00DE2956" w:rsidRPr="007B75DC" w:rsidRDefault="00DE2956" w:rsidP="00DE2956">
      <w:pPr>
        <w:spacing w:after="0" w:line="240" w:lineRule="auto"/>
        <w:rPr>
          <w:rFonts w:ascii="Times New Roman" w:eastAsia="Times New Roman" w:hAnsi="Times New Roman" w:cs="Times New Roman"/>
          <w:shd w:val="clear" w:color="auto" w:fill="CCCCCC"/>
        </w:rPr>
      </w:pPr>
    </w:p>
    <w:p w14:paraId="7B094807" w14:textId="77777777" w:rsidR="00DE2956" w:rsidRPr="007B75DC" w:rsidRDefault="00DE2956" w:rsidP="00DE2956">
      <w:pPr>
        <w:tabs>
          <w:tab w:val="left" w:pos="720"/>
        </w:tabs>
        <w:spacing w:after="0" w:line="240" w:lineRule="auto"/>
        <w:rPr>
          <w:rFonts w:ascii="Times New Roman" w:eastAsia="Times New Roman" w:hAnsi="Times New Roman" w:cs="Times New Roman"/>
          <w:szCs w:val="24"/>
        </w:rPr>
      </w:pPr>
    </w:p>
    <w:p w14:paraId="2E1D272F" w14:textId="77777777" w:rsidR="00DE2956" w:rsidRPr="007B75DC" w:rsidRDefault="00DE2956" w:rsidP="00DE2956">
      <w:pPr>
        <w:keepNext/>
        <w:numPr>
          <w:ilvl w:val="1"/>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szCs w:val="24"/>
        </w:rPr>
      </w:pPr>
      <w:r w:rsidRPr="007B75DC">
        <w:rPr>
          <w:rFonts w:ascii="Times New Roman" w:eastAsia="Times New Roman" w:hAnsi="Times New Roman" w:cs="Times New Roman"/>
          <w:b/>
          <w:szCs w:val="24"/>
        </w:rPr>
        <w:t>UNIKALUS IDENTIFIKATORIUS – ŽMONĖMS SUPRANTAMI DUOMENYS</w:t>
      </w:r>
    </w:p>
    <w:p w14:paraId="2F750C9E" w14:textId="77777777" w:rsidR="00DE2956" w:rsidRPr="007B75DC" w:rsidRDefault="00DE2956" w:rsidP="00DE2956">
      <w:pPr>
        <w:tabs>
          <w:tab w:val="left" w:pos="720"/>
        </w:tabs>
        <w:spacing w:after="0" w:line="240" w:lineRule="auto"/>
        <w:rPr>
          <w:rFonts w:ascii="Times New Roman" w:eastAsia="Times New Roman" w:hAnsi="Times New Roman" w:cs="Times New Roman"/>
          <w:szCs w:val="24"/>
        </w:rPr>
      </w:pPr>
    </w:p>
    <w:p w14:paraId="3871DB5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PC: </w:t>
      </w:r>
    </w:p>
    <w:p w14:paraId="02F99A6A" w14:textId="77777777" w:rsidR="00DE2956" w:rsidRPr="007B75DC" w:rsidRDefault="00DE2956" w:rsidP="00DE2956">
      <w:pPr>
        <w:spacing w:after="0" w:line="240" w:lineRule="auto"/>
        <w:rPr>
          <w:rFonts w:ascii="Times New Roman" w:eastAsia="Times New Roman" w:hAnsi="Times New Roman" w:cs="Times New Roman"/>
        </w:rPr>
      </w:pPr>
      <w:r w:rsidRPr="007B75DC">
        <w:rPr>
          <w:rFonts w:ascii="Times New Roman" w:eastAsia="Times New Roman" w:hAnsi="Times New Roman" w:cs="Times New Roman"/>
          <w:szCs w:val="24"/>
        </w:rPr>
        <w:t xml:space="preserve">SN: </w:t>
      </w:r>
    </w:p>
    <w:p w14:paraId="3CA59240" w14:textId="77777777" w:rsidR="00DE2956" w:rsidRPr="007B75DC" w:rsidRDefault="00DE2956" w:rsidP="00DE2956">
      <w:pPr>
        <w:spacing w:after="0" w:line="240" w:lineRule="auto"/>
        <w:rPr>
          <w:rFonts w:ascii="Times New Roman" w:eastAsia="Times New Roman" w:hAnsi="Times New Roman" w:cs="Times New Roman"/>
          <w:szCs w:val="24"/>
        </w:rPr>
      </w:pPr>
      <w:r w:rsidRPr="00534F79">
        <w:rPr>
          <w:rFonts w:ascii="Times New Roman" w:eastAsia="Times New Roman" w:hAnsi="Times New Roman" w:cs="Times New Roman"/>
          <w:szCs w:val="24"/>
          <w:highlight w:val="lightGray"/>
        </w:rPr>
        <w:t>NN:</w:t>
      </w:r>
      <w:r w:rsidRPr="007B75DC">
        <w:rPr>
          <w:rFonts w:ascii="Times New Roman" w:eastAsia="Times New Roman" w:hAnsi="Times New Roman" w:cs="Times New Roman"/>
          <w:szCs w:val="24"/>
        </w:rPr>
        <w:t xml:space="preserve"> </w:t>
      </w:r>
    </w:p>
    <w:p w14:paraId="36E86E81" w14:textId="77777777" w:rsidR="00DE2956" w:rsidRPr="007B75DC" w:rsidRDefault="00DE2956" w:rsidP="00DE2956">
      <w:pPr>
        <w:spacing w:after="0" w:line="240" w:lineRule="auto"/>
        <w:rPr>
          <w:rFonts w:ascii="Times New Roman" w:eastAsia="Times New Roman" w:hAnsi="Times New Roman" w:cs="Times New Roman"/>
          <w:b/>
          <w:szCs w:val="24"/>
        </w:rPr>
      </w:pPr>
    </w:p>
    <w:p w14:paraId="0DE41FC3"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color w:val="FF0000"/>
          <w:szCs w:val="24"/>
        </w:rPr>
        <w:br w:type="page"/>
      </w:r>
    </w:p>
    <w:p w14:paraId="03A3279A"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lastRenderedPageBreak/>
        <w:t xml:space="preserve">MINIMALI </w:t>
      </w:r>
      <w:r w:rsidRPr="007B75DC">
        <w:rPr>
          <w:rFonts w:ascii="Times New Roman" w:eastAsia="Times New Roman" w:hAnsi="Times New Roman" w:cs="Times New Roman"/>
          <w:b/>
          <w:caps/>
          <w:szCs w:val="24"/>
        </w:rPr>
        <w:t xml:space="preserve">informacija ant </w:t>
      </w:r>
      <w:r w:rsidRPr="007B75DC">
        <w:rPr>
          <w:rFonts w:ascii="Times New Roman" w:eastAsia="Times New Roman" w:hAnsi="Times New Roman" w:cs="Times New Roman"/>
          <w:b/>
          <w:szCs w:val="24"/>
        </w:rPr>
        <w:t>LIZDINIŲ PLOKŠTELIŲ ARBA DVISLUOKSNIŲ JUOSTELIŲ</w:t>
      </w:r>
    </w:p>
    <w:p w14:paraId="2532F56C"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rPr>
      </w:pPr>
    </w:p>
    <w:p w14:paraId="2EFDE5BC"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LIZDINĖS PLOKŠTELĖS </w:t>
      </w:r>
    </w:p>
    <w:p w14:paraId="5D632B4C" w14:textId="77777777" w:rsidR="00DE2956" w:rsidRPr="007B75DC" w:rsidRDefault="00DE2956" w:rsidP="00DE2956">
      <w:pPr>
        <w:spacing w:after="0" w:line="240" w:lineRule="auto"/>
        <w:rPr>
          <w:rFonts w:ascii="Times New Roman" w:eastAsia="Times New Roman" w:hAnsi="Times New Roman" w:cs="Times New Roman"/>
          <w:b/>
          <w:szCs w:val="24"/>
        </w:rPr>
      </w:pPr>
    </w:p>
    <w:p w14:paraId="4080DFD2" w14:textId="77777777" w:rsidR="00DE2956" w:rsidRPr="007B75DC" w:rsidRDefault="00DE2956" w:rsidP="00DE2956">
      <w:pPr>
        <w:spacing w:after="0" w:line="240" w:lineRule="auto"/>
        <w:rPr>
          <w:rFonts w:ascii="Times New Roman" w:eastAsia="Times New Roman" w:hAnsi="Times New Roman" w:cs="Times New Roman"/>
          <w:b/>
          <w:szCs w:val="24"/>
        </w:rPr>
      </w:pPr>
    </w:p>
    <w:p w14:paraId="2B1753A2"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1.</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Vaistinio preparato pavadinimas</w:t>
      </w:r>
    </w:p>
    <w:p w14:paraId="38F0273F" w14:textId="77777777" w:rsidR="00DE2956" w:rsidRPr="007B75DC" w:rsidRDefault="00DE2956" w:rsidP="00DE2956">
      <w:pPr>
        <w:spacing w:after="0" w:line="240" w:lineRule="auto"/>
        <w:rPr>
          <w:rFonts w:ascii="Times New Roman" w:eastAsia="Times New Roman" w:hAnsi="Times New Roman" w:cs="Times New Roman"/>
          <w:szCs w:val="24"/>
        </w:rPr>
      </w:pPr>
    </w:p>
    <w:p w14:paraId="701E7AF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100 mg plėvele dengtos tabletės</w:t>
      </w:r>
    </w:p>
    <w:p w14:paraId="5C606930"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highlight w:val="lightGray"/>
        </w:rPr>
        <w:t xml:space="preserve">Imatinib </w:t>
      </w:r>
      <w:r w:rsidR="006F09BA" w:rsidRPr="007B75DC">
        <w:rPr>
          <w:rFonts w:ascii="Times New Roman" w:eastAsia="Times New Roman" w:hAnsi="Times New Roman" w:cs="Times New Roman"/>
          <w:szCs w:val="24"/>
          <w:highlight w:val="lightGray"/>
        </w:rPr>
        <w:t>Inteli</w:t>
      </w:r>
      <w:r w:rsidRPr="007B75DC">
        <w:rPr>
          <w:rFonts w:ascii="Times New Roman" w:eastAsia="Times New Roman" w:hAnsi="Times New Roman" w:cs="Times New Roman"/>
          <w:szCs w:val="24"/>
          <w:highlight w:val="lightGray"/>
        </w:rPr>
        <w:t xml:space="preserve"> 400 mg plėvele dengtos tabletės</w:t>
      </w:r>
    </w:p>
    <w:p w14:paraId="79B04242" w14:textId="77777777" w:rsidR="00DE2956" w:rsidRPr="007B75DC" w:rsidRDefault="00DE2956" w:rsidP="00DE2956">
      <w:pPr>
        <w:spacing w:after="0" w:line="240" w:lineRule="auto"/>
        <w:rPr>
          <w:rFonts w:ascii="Times New Roman" w:eastAsia="Times New Roman" w:hAnsi="Times New Roman" w:cs="Times New Roman"/>
          <w:szCs w:val="24"/>
        </w:rPr>
      </w:pPr>
    </w:p>
    <w:p w14:paraId="79EAC66C" w14:textId="77777777" w:rsidR="00DE2956" w:rsidRPr="00534F79" w:rsidRDefault="00434050" w:rsidP="00DE2956">
      <w:pPr>
        <w:spacing w:after="0" w:line="240" w:lineRule="auto"/>
        <w:rPr>
          <w:rFonts w:ascii="Times New Roman" w:eastAsia="Times New Roman" w:hAnsi="Times New Roman" w:cs="Times New Roman"/>
          <w:i/>
          <w:iCs/>
          <w:szCs w:val="24"/>
        </w:rPr>
      </w:pPr>
      <w:r w:rsidRPr="00534F79">
        <w:rPr>
          <w:rFonts w:ascii="Times New Roman" w:eastAsia="Times New Roman" w:hAnsi="Times New Roman" w:cs="Times New Roman"/>
          <w:i/>
          <w:iCs/>
          <w:szCs w:val="24"/>
        </w:rPr>
        <w:t>i</w:t>
      </w:r>
      <w:r w:rsidR="00323EF3" w:rsidRPr="00534F79">
        <w:rPr>
          <w:rFonts w:ascii="Times New Roman" w:eastAsia="Times New Roman" w:hAnsi="Times New Roman" w:cs="Times New Roman"/>
          <w:i/>
          <w:iCs/>
          <w:szCs w:val="24"/>
        </w:rPr>
        <w:t>matinibum</w:t>
      </w:r>
    </w:p>
    <w:p w14:paraId="3ECB2588" w14:textId="77777777" w:rsidR="00DE2956" w:rsidRPr="007B75DC" w:rsidRDefault="00DE2956" w:rsidP="00DE2956">
      <w:pPr>
        <w:spacing w:after="0" w:line="240" w:lineRule="auto"/>
        <w:rPr>
          <w:rFonts w:ascii="Times New Roman" w:eastAsia="Times New Roman" w:hAnsi="Times New Roman" w:cs="Times New Roman"/>
          <w:b/>
          <w:szCs w:val="24"/>
        </w:rPr>
      </w:pPr>
    </w:p>
    <w:p w14:paraId="126B9578" w14:textId="77777777" w:rsidR="00DE2956" w:rsidRPr="007B75DC" w:rsidRDefault="00DE2956" w:rsidP="00DE2956">
      <w:pPr>
        <w:spacing w:after="0" w:line="240" w:lineRule="auto"/>
        <w:rPr>
          <w:rFonts w:ascii="Times New Roman" w:eastAsia="Times New Roman" w:hAnsi="Times New Roman" w:cs="Times New Roman"/>
          <w:b/>
          <w:szCs w:val="24"/>
        </w:rPr>
      </w:pPr>
    </w:p>
    <w:p w14:paraId="4451E5E0"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2.</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napToGrid w:val="0"/>
          <w:szCs w:val="24"/>
        </w:rPr>
        <w:t>REGISTRUOTOJO</w:t>
      </w:r>
      <w:r w:rsidRPr="007B75DC">
        <w:rPr>
          <w:rFonts w:ascii="Times New Roman" w:eastAsia="Times New Roman" w:hAnsi="Times New Roman" w:cs="Times New Roman"/>
          <w:b/>
          <w:caps/>
          <w:szCs w:val="24"/>
        </w:rPr>
        <w:t xml:space="preserve"> pavadinimas</w:t>
      </w:r>
    </w:p>
    <w:p w14:paraId="14EC8E94" w14:textId="77777777" w:rsidR="00DE2956" w:rsidRPr="007B75DC" w:rsidRDefault="00DE2956" w:rsidP="00DE2956">
      <w:pPr>
        <w:spacing w:after="0" w:line="240" w:lineRule="auto"/>
        <w:rPr>
          <w:rFonts w:ascii="Times New Roman" w:eastAsia="Times New Roman" w:hAnsi="Times New Roman" w:cs="Times New Roman"/>
          <w:b/>
          <w:szCs w:val="24"/>
        </w:rPr>
      </w:pPr>
    </w:p>
    <w:p w14:paraId="52269330"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UAB </w:t>
      </w:r>
      <w:r w:rsidR="00E619E4">
        <w:rPr>
          <w:rFonts w:ascii="Times New Roman" w:eastAsia="Times New Roman" w:hAnsi="Times New Roman" w:cs="Times New Roman"/>
          <w:szCs w:val="24"/>
        </w:rPr>
        <w:t>„</w:t>
      </w:r>
      <w:r w:rsidRPr="007B75DC">
        <w:rPr>
          <w:rFonts w:ascii="Times New Roman" w:eastAsia="Times New Roman" w:hAnsi="Times New Roman" w:cs="Times New Roman"/>
          <w:szCs w:val="24"/>
        </w:rPr>
        <w:t>INTELI GENERICS NORD</w:t>
      </w:r>
      <w:r w:rsidR="00E619E4">
        <w:rPr>
          <w:rFonts w:ascii="Times New Roman" w:eastAsia="Times New Roman" w:hAnsi="Times New Roman" w:cs="Times New Roman"/>
          <w:szCs w:val="24"/>
        </w:rPr>
        <w:t>“</w:t>
      </w:r>
    </w:p>
    <w:p w14:paraId="2CE986F5" w14:textId="77777777" w:rsidR="00DE2956" w:rsidRPr="007B75DC" w:rsidRDefault="00DE2956" w:rsidP="00DE2956">
      <w:pPr>
        <w:spacing w:after="0" w:line="240" w:lineRule="auto"/>
        <w:rPr>
          <w:rFonts w:ascii="Times New Roman" w:eastAsia="Times New Roman" w:hAnsi="Times New Roman" w:cs="Times New Roman"/>
          <w:b/>
          <w:szCs w:val="24"/>
        </w:rPr>
      </w:pPr>
    </w:p>
    <w:p w14:paraId="15EB3BC6" w14:textId="77777777" w:rsidR="00DE2956" w:rsidRPr="007B75DC" w:rsidRDefault="00DE2956" w:rsidP="00DE2956">
      <w:pPr>
        <w:spacing w:after="0" w:line="240" w:lineRule="auto"/>
        <w:rPr>
          <w:rFonts w:ascii="Times New Roman" w:eastAsia="Times New Roman" w:hAnsi="Times New Roman" w:cs="Times New Roman"/>
          <w:b/>
          <w:szCs w:val="24"/>
        </w:rPr>
      </w:pPr>
    </w:p>
    <w:p w14:paraId="7C60DB71"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3.</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tinkamumo laikas</w:t>
      </w:r>
    </w:p>
    <w:p w14:paraId="2ACF66F4" w14:textId="77777777" w:rsidR="00DE2956" w:rsidRPr="007B75DC" w:rsidRDefault="00DE2956" w:rsidP="00DE2956">
      <w:pPr>
        <w:spacing w:after="0" w:line="240" w:lineRule="auto"/>
        <w:rPr>
          <w:rFonts w:ascii="Times New Roman" w:eastAsia="Times New Roman" w:hAnsi="Times New Roman" w:cs="Times New Roman"/>
          <w:b/>
          <w:szCs w:val="24"/>
        </w:rPr>
      </w:pPr>
    </w:p>
    <w:p w14:paraId="71AD5D81"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EXP</w:t>
      </w:r>
      <w:r w:rsidR="00E619E4">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w:t>
      </w:r>
      <w:r w:rsidRPr="00534F79">
        <w:rPr>
          <w:rFonts w:ascii="Times New Roman" w:eastAsia="Times New Roman" w:hAnsi="Times New Roman" w:cs="Times New Roman"/>
          <w:highlight w:val="lightGray"/>
        </w:rPr>
        <w:t>[mm.MMMM]</w:t>
      </w:r>
    </w:p>
    <w:p w14:paraId="22E906EA" w14:textId="77777777" w:rsidR="00DE2956" w:rsidRPr="007B75DC" w:rsidRDefault="00DE2956" w:rsidP="00DE2956">
      <w:pPr>
        <w:spacing w:after="0" w:line="240" w:lineRule="auto"/>
        <w:rPr>
          <w:rFonts w:ascii="Times New Roman" w:eastAsia="Times New Roman" w:hAnsi="Times New Roman" w:cs="Times New Roman"/>
          <w:b/>
          <w:szCs w:val="24"/>
        </w:rPr>
      </w:pPr>
    </w:p>
    <w:p w14:paraId="60BB0BF5" w14:textId="77777777" w:rsidR="00DE2956" w:rsidRPr="007B75DC" w:rsidRDefault="00DE2956" w:rsidP="00DE2956">
      <w:pPr>
        <w:spacing w:after="0" w:line="240" w:lineRule="auto"/>
        <w:rPr>
          <w:rFonts w:ascii="Times New Roman" w:eastAsia="Times New Roman" w:hAnsi="Times New Roman" w:cs="Times New Roman"/>
          <w:szCs w:val="24"/>
        </w:rPr>
      </w:pPr>
    </w:p>
    <w:p w14:paraId="02C6A4C1"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4.</w:t>
      </w:r>
      <w:r w:rsidRPr="007B75DC">
        <w:rPr>
          <w:rFonts w:ascii="Times New Roman" w:eastAsia="Times New Roman" w:hAnsi="Times New Roman" w:cs="Times New Roman"/>
          <w:b/>
          <w:szCs w:val="24"/>
        </w:rPr>
        <w:tab/>
      </w:r>
      <w:r w:rsidRPr="007B75DC">
        <w:rPr>
          <w:rFonts w:ascii="Times New Roman" w:eastAsia="Times New Roman" w:hAnsi="Times New Roman" w:cs="Times New Roman"/>
          <w:b/>
          <w:caps/>
          <w:szCs w:val="24"/>
        </w:rPr>
        <w:t>serijos numeris</w:t>
      </w:r>
    </w:p>
    <w:p w14:paraId="19AB1F10" w14:textId="77777777" w:rsidR="00DE2956" w:rsidRPr="007B75DC" w:rsidRDefault="00DE2956" w:rsidP="00DE2956">
      <w:pPr>
        <w:spacing w:after="0" w:line="240" w:lineRule="auto"/>
        <w:ind w:right="113"/>
        <w:rPr>
          <w:rFonts w:ascii="Times New Roman" w:eastAsia="Times New Roman" w:hAnsi="Times New Roman" w:cs="Times New Roman"/>
          <w:szCs w:val="24"/>
          <w:highlight w:val="yellow"/>
        </w:rPr>
      </w:pPr>
    </w:p>
    <w:p w14:paraId="54D35CF7" w14:textId="77777777" w:rsidR="00DE2956" w:rsidRPr="007B75DC" w:rsidRDefault="00DE2956" w:rsidP="00DE2956">
      <w:pPr>
        <w:spacing w:after="0" w:line="240" w:lineRule="auto"/>
        <w:ind w:right="113"/>
        <w:rPr>
          <w:rFonts w:ascii="Times New Roman" w:eastAsia="Times New Roman" w:hAnsi="Times New Roman" w:cs="Times New Roman"/>
          <w:szCs w:val="24"/>
        </w:rPr>
      </w:pPr>
      <w:r w:rsidRPr="007B75DC">
        <w:rPr>
          <w:rFonts w:ascii="Times New Roman" w:eastAsia="Times New Roman" w:hAnsi="Times New Roman" w:cs="Times New Roman"/>
          <w:szCs w:val="24"/>
        </w:rPr>
        <w:t>Lot</w:t>
      </w:r>
      <w:r w:rsidR="00E619E4">
        <w:rPr>
          <w:rFonts w:ascii="Times New Roman" w:eastAsia="Times New Roman" w:hAnsi="Times New Roman" w:cs="Times New Roman"/>
          <w:szCs w:val="24"/>
        </w:rPr>
        <w:t>:</w:t>
      </w:r>
    </w:p>
    <w:p w14:paraId="4BA24A65" w14:textId="77777777" w:rsidR="00DE2956" w:rsidRPr="007B75DC" w:rsidRDefault="00DE2956" w:rsidP="00DE2956">
      <w:pPr>
        <w:spacing w:after="0" w:line="240" w:lineRule="auto"/>
        <w:ind w:right="113"/>
        <w:rPr>
          <w:rFonts w:ascii="Times New Roman" w:eastAsia="Times New Roman" w:hAnsi="Times New Roman" w:cs="Times New Roman"/>
          <w:szCs w:val="24"/>
          <w:highlight w:val="yellow"/>
        </w:rPr>
      </w:pPr>
    </w:p>
    <w:p w14:paraId="2C0CD64A" w14:textId="77777777" w:rsidR="00DE2956" w:rsidRPr="007B75DC" w:rsidRDefault="00DE2956" w:rsidP="00DE2956">
      <w:pPr>
        <w:spacing w:after="0" w:line="240" w:lineRule="auto"/>
        <w:ind w:right="113"/>
        <w:rPr>
          <w:rFonts w:ascii="Times New Roman" w:eastAsia="Times New Roman" w:hAnsi="Times New Roman" w:cs="Times New Roman"/>
          <w:szCs w:val="24"/>
        </w:rPr>
      </w:pPr>
    </w:p>
    <w:p w14:paraId="0385A74F" w14:textId="77777777" w:rsidR="00DE2956" w:rsidRPr="007B75DC" w:rsidRDefault="00DE2956" w:rsidP="00DE29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5.</w:t>
      </w:r>
      <w:r w:rsidRPr="007B75DC">
        <w:rPr>
          <w:rFonts w:ascii="Times New Roman" w:eastAsia="Times New Roman" w:hAnsi="Times New Roman" w:cs="Times New Roman"/>
          <w:b/>
          <w:szCs w:val="24"/>
        </w:rPr>
        <w:tab/>
        <w:t>KITA</w:t>
      </w:r>
    </w:p>
    <w:p w14:paraId="39702DAF" w14:textId="77777777" w:rsidR="00DE2956" w:rsidRPr="007B75DC" w:rsidRDefault="00DE2956" w:rsidP="00DE2956">
      <w:pPr>
        <w:spacing w:after="0" w:line="240" w:lineRule="auto"/>
        <w:ind w:right="113"/>
        <w:rPr>
          <w:rFonts w:ascii="Times New Roman" w:eastAsia="Times New Roman" w:hAnsi="Times New Roman" w:cs="Times New Roman"/>
          <w:szCs w:val="24"/>
        </w:rPr>
      </w:pPr>
    </w:p>
    <w:p w14:paraId="1F955DF4"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br w:type="page"/>
      </w:r>
    </w:p>
    <w:p w14:paraId="40422924" w14:textId="77777777" w:rsidR="00DE2956" w:rsidRPr="007B75DC" w:rsidRDefault="00DE2956" w:rsidP="00DE2956">
      <w:pPr>
        <w:spacing w:after="0" w:line="240" w:lineRule="auto"/>
        <w:rPr>
          <w:rFonts w:ascii="Times New Roman" w:eastAsia="Times New Roman" w:hAnsi="Times New Roman" w:cs="Times New Roman"/>
          <w:szCs w:val="24"/>
        </w:rPr>
      </w:pPr>
    </w:p>
    <w:p w14:paraId="45311934" w14:textId="77777777" w:rsidR="00DE2956" w:rsidRPr="007B75DC" w:rsidRDefault="00DE2956" w:rsidP="00DE2956">
      <w:pPr>
        <w:spacing w:after="0" w:line="240" w:lineRule="auto"/>
        <w:rPr>
          <w:rFonts w:ascii="Times New Roman" w:eastAsia="Times New Roman" w:hAnsi="Times New Roman" w:cs="Times New Roman"/>
          <w:szCs w:val="24"/>
        </w:rPr>
      </w:pPr>
    </w:p>
    <w:p w14:paraId="07A0B28A" w14:textId="77777777" w:rsidR="00DE2956" w:rsidRPr="007B75DC" w:rsidRDefault="00DE2956" w:rsidP="00DE2956">
      <w:pPr>
        <w:spacing w:after="0" w:line="240" w:lineRule="auto"/>
        <w:rPr>
          <w:rFonts w:ascii="Times New Roman" w:eastAsia="Times New Roman" w:hAnsi="Times New Roman" w:cs="Times New Roman"/>
          <w:szCs w:val="24"/>
        </w:rPr>
      </w:pPr>
    </w:p>
    <w:p w14:paraId="3AEE1905" w14:textId="77777777" w:rsidR="00DE2956" w:rsidRPr="007B75DC" w:rsidRDefault="00DE2956" w:rsidP="00DE2956">
      <w:pPr>
        <w:spacing w:after="0" w:line="240" w:lineRule="auto"/>
        <w:rPr>
          <w:rFonts w:ascii="Times New Roman" w:eastAsia="Times New Roman" w:hAnsi="Times New Roman" w:cs="Times New Roman"/>
          <w:szCs w:val="24"/>
        </w:rPr>
      </w:pPr>
    </w:p>
    <w:p w14:paraId="5B42BA31" w14:textId="77777777" w:rsidR="00DE2956" w:rsidRPr="007B75DC" w:rsidRDefault="00DE2956" w:rsidP="00DE2956">
      <w:pPr>
        <w:spacing w:after="0" w:line="240" w:lineRule="auto"/>
        <w:rPr>
          <w:rFonts w:ascii="Times New Roman" w:eastAsia="Times New Roman" w:hAnsi="Times New Roman" w:cs="Times New Roman"/>
          <w:szCs w:val="24"/>
        </w:rPr>
      </w:pPr>
    </w:p>
    <w:p w14:paraId="29EDE0CA" w14:textId="77777777" w:rsidR="00DE2956" w:rsidRPr="007B75DC" w:rsidRDefault="00DE2956" w:rsidP="00DE2956">
      <w:pPr>
        <w:spacing w:after="0" w:line="240" w:lineRule="auto"/>
        <w:rPr>
          <w:rFonts w:ascii="Times New Roman" w:eastAsia="Times New Roman" w:hAnsi="Times New Roman" w:cs="Times New Roman"/>
          <w:szCs w:val="24"/>
        </w:rPr>
      </w:pPr>
    </w:p>
    <w:p w14:paraId="25D569F2" w14:textId="77777777" w:rsidR="00DE2956" w:rsidRPr="007B75DC" w:rsidRDefault="00DE2956" w:rsidP="00DE2956">
      <w:pPr>
        <w:spacing w:after="0" w:line="240" w:lineRule="auto"/>
        <w:rPr>
          <w:rFonts w:ascii="Times New Roman" w:eastAsia="Times New Roman" w:hAnsi="Times New Roman" w:cs="Times New Roman"/>
          <w:szCs w:val="24"/>
        </w:rPr>
      </w:pPr>
    </w:p>
    <w:p w14:paraId="074E241C" w14:textId="77777777" w:rsidR="00DE2956" w:rsidRPr="007B75DC" w:rsidRDefault="00DE2956" w:rsidP="00DE2956">
      <w:pPr>
        <w:spacing w:after="0" w:line="240" w:lineRule="auto"/>
        <w:rPr>
          <w:rFonts w:ascii="Times New Roman" w:eastAsia="Times New Roman" w:hAnsi="Times New Roman" w:cs="Times New Roman"/>
          <w:szCs w:val="24"/>
        </w:rPr>
      </w:pPr>
    </w:p>
    <w:p w14:paraId="5BCC0CAE" w14:textId="77777777" w:rsidR="00DE2956" w:rsidRPr="007B75DC" w:rsidRDefault="00DE2956" w:rsidP="00DE2956">
      <w:pPr>
        <w:spacing w:after="0" w:line="240" w:lineRule="auto"/>
        <w:rPr>
          <w:rFonts w:ascii="Times New Roman" w:eastAsia="Times New Roman" w:hAnsi="Times New Roman" w:cs="Times New Roman"/>
          <w:szCs w:val="24"/>
        </w:rPr>
      </w:pPr>
    </w:p>
    <w:p w14:paraId="3E0F4621" w14:textId="77777777" w:rsidR="00DE2956" w:rsidRPr="007B75DC" w:rsidRDefault="00DE2956" w:rsidP="00DE2956">
      <w:pPr>
        <w:spacing w:after="0" w:line="240" w:lineRule="auto"/>
        <w:rPr>
          <w:rFonts w:ascii="Times New Roman" w:eastAsia="Times New Roman" w:hAnsi="Times New Roman" w:cs="Times New Roman"/>
          <w:szCs w:val="24"/>
        </w:rPr>
      </w:pPr>
    </w:p>
    <w:p w14:paraId="6B022E70" w14:textId="77777777" w:rsidR="00DE2956" w:rsidRPr="007B75DC" w:rsidRDefault="00DE2956" w:rsidP="00DE2956">
      <w:pPr>
        <w:spacing w:after="0" w:line="240" w:lineRule="auto"/>
        <w:rPr>
          <w:rFonts w:ascii="Times New Roman" w:eastAsia="Times New Roman" w:hAnsi="Times New Roman" w:cs="Times New Roman"/>
          <w:szCs w:val="24"/>
        </w:rPr>
      </w:pPr>
    </w:p>
    <w:p w14:paraId="4DBC5F58" w14:textId="77777777" w:rsidR="00DE2956" w:rsidRPr="007B75DC" w:rsidRDefault="00DE2956" w:rsidP="00DE2956">
      <w:pPr>
        <w:spacing w:after="0" w:line="240" w:lineRule="auto"/>
        <w:rPr>
          <w:rFonts w:ascii="Times New Roman" w:eastAsia="Times New Roman" w:hAnsi="Times New Roman" w:cs="Times New Roman"/>
          <w:szCs w:val="24"/>
        </w:rPr>
      </w:pPr>
    </w:p>
    <w:p w14:paraId="4EA29918" w14:textId="77777777" w:rsidR="00DE2956" w:rsidRPr="007B75DC" w:rsidRDefault="00DE2956" w:rsidP="00DE2956">
      <w:pPr>
        <w:spacing w:after="0" w:line="240" w:lineRule="auto"/>
        <w:rPr>
          <w:rFonts w:ascii="Times New Roman" w:eastAsia="Times New Roman" w:hAnsi="Times New Roman" w:cs="Times New Roman"/>
          <w:szCs w:val="24"/>
        </w:rPr>
      </w:pPr>
    </w:p>
    <w:p w14:paraId="4ED81DA9" w14:textId="77777777" w:rsidR="00DE2956" w:rsidRPr="007B75DC" w:rsidRDefault="00DE2956" w:rsidP="00DE2956">
      <w:pPr>
        <w:spacing w:after="0" w:line="240" w:lineRule="auto"/>
        <w:rPr>
          <w:rFonts w:ascii="Times New Roman" w:eastAsia="Times New Roman" w:hAnsi="Times New Roman" w:cs="Times New Roman"/>
          <w:szCs w:val="24"/>
        </w:rPr>
      </w:pPr>
    </w:p>
    <w:p w14:paraId="53F6C478" w14:textId="77777777" w:rsidR="00DE2956" w:rsidRPr="007B75DC" w:rsidRDefault="00DE2956" w:rsidP="00DE2956">
      <w:pPr>
        <w:spacing w:after="0" w:line="240" w:lineRule="auto"/>
        <w:rPr>
          <w:rFonts w:ascii="Times New Roman" w:eastAsia="Times New Roman" w:hAnsi="Times New Roman" w:cs="Times New Roman"/>
          <w:szCs w:val="24"/>
        </w:rPr>
      </w:pPr>
    </w:p>
    <w:p w14:paraId="3CDC14E6" w14:textId="77777777" w:rsidR="00DE2956" w:rsidRPr="007B75DC" w:rsidRDefault="00DE2956" w:rsidP="00DE2956">
      <w:pPr>
        <w:spacing w:after="0" w:line="240" w:lineRule="auto"/>
        <w:rPr>
          <w:rFonts w:ascii="Times New Roman" w:eastAsia="Times New Roman" w:hAnsi="Times New Roman" w:cs="Times New Roman"/>
          <w:szCs w:val="24"/>
        </w:rPr>
      </w:pPr>
    </w:p>
    <w:p w14:paraId="621A8535" w14:textId="77777777" w:rsidR="00DE2956" w:rsidRPr="007B75DC" w:rsidRDefault="00DE2956" w:rsidP="00DE2956">
      <w:pPr>
        <w:spacing w:after="0" w:line="240" w:lineRule="auto"/>
        <w:rPr>
          <w:rFonts w:ascii="Times New Roman" w:eastAsia="Times New Roman" w:hAnsi="Times New Roman" w:cs="Times New Roman"/>
          <w:szCs w:val="24"/>
        </w:rPr>
      </w:pPr>
    </w:p>
    <w:p w14:paraId="2E75314D" w14:textId="77777777" w:rsidR="00DE2956" w:rsidRPr="007B75DC" w:rsidRDefault="00DE2956" w:rsidP="00DE2956">
      <w:pPr>
        <w:spacing w:after="0" w:line="240" w:lineRule="auto"/>
        <w:rPr>
          <w:rFonts w:ascii="Times New Roman" w:eastAsia="Times New Roman" w:hAnsi="Times New Roman" w:cs="Times New Roman"/>
          <w:szCs w:val="24"/>
        </w:rPr>
      </w:pPr>
    </w:p>
    <w:p w14:paraId="60F111CA" w14:textId="77777777" w:rsidR="00DE2956" w:rsidRPr="007B75DC" w:rsidRDefault="00DE2956" w:rsidP="00DE2956">
      <w:pPr>
        <w:spacing w:after="0" w:line="240" w:lineRule="auto"/>
        <w:rPr>
          <w:rFonts w:ascii="Times New Roman" w:eastAsia="Times New Roman" w:hAnsi="Times New Roman" w:cs="Times New Roman"/>
          <w:szCs w:val="24"/>
        </w:rPr>
      </w:pPr>
    </w:p>
    <w:p w14:paraId="1B4462C7" w14:textId="77777777" w:rsidR="00DE2956" w:rsidRPr="007B75DC" w:rsidRDefault="00DE2956" w:rsidP="00DE2956">
      <w:pPr>
        <w:spacing w:after="0" w:line="240" w:lineRule="auto"/>
        <w:rPr>
          <w:rFonts w:ascii="Times New Roman" w:eastAsia="Times New Roman" w:hAnsi="Times New Roman" w:cs="Times New Roman"/>
          <w:szCs w:val="24"/>
        </w:rPr>
      </w:pPr>
    </w:p>
    <w:p w14:paraId="298E3174" w14:textId="77777777" w:rsidR="00DE2956" w:rsidRPr="007B75DC" w:rsidRDefault="00DE2956" w:rsidP="00DE2956">
      <w:pPr>
        <w:spacing w:after="0" w:line="240" w:lineRule="auto"/>
        <w:rPr>
          <w:rFonts w:ascii="Times New Roman" w:eastAsia="Times New Roman" w:hAnsi="Times New Roman" w:cs="Times New Roman"/>
          <w:szCs w:val="24"/>
        </w:rPr>
      </w:pPr>
    </w:p>
    <w:p w14:paraId="4F0BFBB7" w14:textId="77777777" w:rsidR="00DE2956" w:rsidRPr="007B75DC" w:rsidRDefault="00DE2956" w:rsidP="00DE2956">
      <w:pPr>
        <w:spacing w:after="0" w:line="240" w:lineRule="auto"/>
        <w:rPr>
          <w:rFonts w:ascii="Times New Roman" w:eastAsia="Times New Roman" w:hAnsi="Times New Roman" w:cs="Times New Roman"/>
          <w:szCs w:val="24"/>
        </w:rPr>
      </w:pPr>
    </w:p>
    <w:p w14:paraId="19C48DC0" w14:textId="77777777" w:rsidR="00DE2956" w:rsidRPr="007B75DC" w:rsidRDefault="00DE2956" w:rsidP="00DE2956">
      <w:pPr>
        <w:spacing w:after="0" w:line="240" w:lineRule="auto"/>
        <w:rPr>
          <w:rFonts w:ascii="Times New Roman" w:eastAsia="Times New Roman" w:hAnsi="Times New Roman" w:cs="Times New Roman"/>
          <w:szCs w:val="24"/>
        </w:rPr>
      </w:pPr>
    </w:p>
    <w:p w14:paraId="247EB24D" w14:textId="77777777" w:rsidR="00DE2956" w:rsidRPr="007B75DC" w:rsidRDefault="00DE2956" w:rsidP="00DE2956">
      <w:pPr>
        <w:spacing w:after="0" w:line="240" w:lineRule="auto"/>
        <w:jc w:val="center"/>
        <w:outlineLvl w:val="0"/>
        <w:rPr>
          <w:rFonts w:ascii="Times New Roman" w:eastAsia="Times New Roman" w:hAnsi="Times New Roman" w:cs="Times New Roman"/>
          <w:szCs w:val="24"/>
        </w:rPr>
      </w:pPr>
      <w:r w:rsidRPr="007B75DC">
        <w:rPr>
          <w:rFonts w:ascii="Times New Roman" w:eastAsia="Times New Roman" w:hAnsi="Times New Roman" w:cs="Times New Roman"/>
          <w:b/>
          <w:szCs w:val="24"/>
        </w:rPr>
        <w:t>B. PAKUOTĖS LAPELIS</w:t>
      </w:r>
    </w:p>
    <w:p w14:paraId="2B8B0C9D" w14:textId="77777777" w:rsidR="00DE2956" w:rsidRPr="007B75DC" w:rsidRDefault="00DE2956" w:rsidP="00DE2956">
      <w:pPr>
        <w:spacing w:after="0" w:line="240" w:lineRule="auto"/>
        <w:jc w:val="center"/>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br w:type="page"/>
      </w:r>
      <w:r w:rsidRPr="007B75DC">
        <w:rPr>
          <w:rFonts w:ascii="Times New Roman" w:eastAsia="Times New Roman" w:hAnsi="Times New Roman" w:cs="Times New Roman"/>
          <w:b/>
          <w:szCs w:val="24"/>
        </w:rPr>
        <w:lastRenderedPageBreak/>
        <w:t>Pakuotės lapelis: informacija vartotojui</w:t>
      </w:r>
    </w:p>
    <w:p w14:paraId="106FB84F" w14:textId="77777777" w:rsidR="00DE2956" w:rsidRPr="007B75DC" w:rsidRDefault="00DE2956" w:rsidP="00DE2956">
      <w:pPr>
        <w:spacing w:after="0" w:line="240" w:lineRule="auto"/>
        <w:jc w:val="center"/>
        <w:outlineLvl w:val="0"/>
        <w:rPr>
          <w:rFonts w:ascii="Times New Roman" w:eastAsia="Times New Roman" w:hAnsi="Times New Roman" w:cs="Times New Roman"/>
          <w:b/>
          <w:szCs w:val="24"/>
        </w:rPr>
      </w:pPr>
    </w:p>
    <w:p w14:paraId="28FE56F0" w14:textId="77777777" w:rsidR="00DE2956" w:rsidRPr="007B75DC" w:rsidRDefault="00DE2956" w:rsidP="00DE2956">
      <w:pPr>
        <w:spacing w:after="0" w:line="240" w:lineRule="auto"/>
        <w:jc w:val="center"/>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100 mg plėvele dengtos tabletės</w:t>
      </w:r>
    </w:p>
    <w:p w14:paraId="4059FD6B" w14:textId="77777777" w:rsidR="00DE2956" w:rsidRPr="007B75DC" w:rsidRDefault="00DE2956" w:rsidP="00DE2956">
      <w:pPr>
        <w:spacing w:after="0" w:line="240" w:lineRule="auto"/>
        <w:jc w:val="center"/>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highlight w:val="lightGray"/>
        </w:rPr>
        <w:t xml:space="preserve">Imatinib </w:t>
      </w:r>
      <w:r w:rsidR="006F09BA" w:rsidRPr="007B75DC">
        <w:rPr>
          <w:rFonts w:ascii="Times New Roman" w:eastAsia="Times New Roman" w:hAnsi="Times New Roman" w:cs="Times New Roman"/>
          <w:b/>
          <w:szCs w:val="24"/>
          <w:highlight w:val="lightGray"/>
        </w:rPr>
        <w:t>Inteli</w:t>
      </w:r>
      <w:r w:rsidRPr="007B75DC">
        <w:rPr>
          <w:rFonts w:ascii="Times New Roman" w:eastAsia="Times New Roman" w:hAnsi="Times New Roman" w:cs="Times New Roman"/>
          <w:b/>
          <w:szCs w:val="24"/>
          <w:highlight w:val="lightGray"/>
        </w:rPr>
        <w:t xml:space="preserve"> 400 mg plėvele dengtos tabletės</w:t>
      </w:r>
    </w:p>
    <w:p w14:paraId="575BCF9B" w14:textId="77777777" w:rsidR="00DE2956" w:rsidRPr="007B75DC" w:rsidRDefault="00434050" w:rsidP="00DE2956">
      <w:pPr>
        <w:spacing w:after="0" w:line="240" w:lineRule="auto"/>
        <w:jc w:val="center"/>
        <w:outlineLvl w:val="0"/>
        <w:rPr>
          <w:rFonts w:ascii="Times New Roman" w:eastAsia="Times New Roman" w:hAnsi="Times New Roman" w:cs="Times New Roman"/>
          <w:szCs w:val="24"/>
        </w:rPr>
      </w:pPr>
      <w:r>
        <w:rPr>
          <w:rFonts w:ascii="Times New Roman" w:eastAsia="Times New Roman" w:hAnsi="Times New Roman" w:cs="Times New Roman"/>
          <w:szCs w:val="24"/>
        </w:rPr>
        <w:t>i</w:t>
      </w:r>
      <w:r w:rsidR="00DE2956" w:rsidRPr="007B75DC">
        <w:rPr>
          <w:rFonts w:ascii="Times New Roman" w:eastAsia="Times New Roman" w:hAnsi="Times New Roman" w:cs="Times New Roman"/>
          <w:szCs w:val="24"/>
        </w:rPr>
        <w:t>matinibas</w:t>
      </w:r>
    </w:p>
    <w:p w14:paraId="78385010" w14:textId="77777777" w:rsidR="00DE2956" w:rsidRPr="007B75DC" w:rsidRDefault="00DE2956" w:rsidP="00DE2956">
      <w:pPr>
        <w:spacing w:after="0" w:line="240" w:lineRule="auto"/>
        <w:jc w:val="center"/>
        <w:rPr>
          <w:rFonts w:ascii="Times New Roman" w:eastAsia="Times New Roman" w:hAnsi="Times New Roman" w:cs="Times New Roman"/>
          <w:szCs w:val="24"/>
        </w:rPr>
      </w:pPr>
    </w:p>
    <w:p w14:paraId="23645F17" w14:textId="77777777" w:rsidR="00DE2956" w:rsidRPr="007B75DC" w:rsidRDefault="00DE2956" w:rsidP="00DE2956">
      <w:pPr>
        <w:suppressAutoHyphens/>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Atidžiai perskaitykite visą šį lapelį, prieš pradėdami vartoti vaistą, nes jame pateikiama Jums svarbi informacija.</w:t>
      </w:r>
    </w:p>
    <w:p w14:paraId="5CA0B0C6" w14:textId="77777777" w:rsidR="00DE2956" w:rsidRPr="007B75DC" w:rsidRDefault="00DE2956" w:rsidP="00A44F4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Neišmeskite šio lapelio, nes vėl gali prireikti jį perskaityti.</w:t>
      </w:r>
    </w:p>
    <w:p w14:paraId="1BAA7758" w14:textId="77777777" w:rsidR="00DE2956" w:rsidRPr="007B75DC" w:rsidRDefault="00DE2956" w:rsidP="00A44F4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kiltų daugiau klausimų, kreipkitės į gydytoją, vaistininką arba slaugytoją.</w:t>
      </w:r>
    </w:p>
    <w:p w14:paraId="75B13585" w14:textId="77777777" w:rsidR="00DE2956" w:rsidRPr="007B75DC" w:rsidRDefault="00DE2956" w:rsidP="00A44F4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Šis vaistas skirtas tik Jums, todėl kitiems žmonėms jo duoti negalima. Vaistas gali jiems pakenkti (net tiems, kurių ligos požymiai yra tokie patys kaip Jūsų).</w:t>
      </w:r>
    </w:p>
    <w:p w14:paraId="2A5F2541" w14:textId="4EFC08A8" w:rsidR="00DE2956" w:rsidRPr="007B75DC" w:rsidRDefault="00DE2956" w:rsidP="00A44F49">
      <w:pPr>
        <w:numPr>
          <w:ilvl w:val="0"/>
          <w:numId w:val="5"/>
        </w:numPr>
        <w:spacing w:after="0" w:line="240" w:lineRule="auto"/>
        <w:ind w:left="567" w:hanging="567"/>
        <w:rPr>
          <w:rFonts w:ascii="Times New Roman" w:eastAsia="Times New Roman" w:hAnsi="Times New Roman" w:cs="Times New Roman"/>
        </w:rPr>
      </w:pPr>
      <w:r w:rsidRPr="007B75DC">
        <w:rPr>
          <w:rFonts w:ascii="Times New Roman" w:eastAsia="Times New Roman" w:hAnsi="Times New Roman" w:cs="Times New Roman"/>
          <w:szCs w:val="24"/>
        </w:rPr>
        <w:t xml:space="preserve">Jeigu pasireiškė šalutinis poveikis </w:t>
      </w:r>
      <w:r w:rsidRPr="007B75DC">
        <w:rPr>
          <w:rFonts w:ascii="Times New Roman" w:eastAsia="Times New Roman" w:hAnsi="Times New Roman" w:cs="Times New Roman"/>
        </w:rPr>
        <w:t xml:space="preserve">(net jeigu jis šiame lapelyje nenurodytas), kreipkitės į gydytoją, vaistininką arba slaugytoją. </w:t>
      </w:r>
      <w:r w:rsidRPr="007B75DC">
        <w:rPr>
          <w:rFonts w:ascii="Times New Roman" w:eastAsia="Times New Roman" w:hAnsi="Times New Roman" w:cs="Times New Roman"/>
          <w:szCs w:val="24"/>
        </w:rPr>
        <w:t>Žr. 4</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skyrių.</w:t>
      </w:r>
    </w:p>
    <w:p w14:paraId="1F2504DC" w14:textId="77777777" w:rsidR="00DE2956" w:rsidRPr="007B75DC" w:rsidRDefault="00DE2956" w:rsidP="00DE2956">
      <w:pPr>
        <w:spacing w:after="0" w:line="240" w:lineRule="auto"/>
        <w:rPr>
          <w:rFonts w:ascii="Times New Roman" w:eastAsia="Times New Roman" w:hAnsi="Times New Roman" w:cs="Times New Roman"/>
          <w:szCs w:val="24"/>
        </w:rPr>
      </w:pPr>
    </w:p>
    <w:p w14:paraId="6A382205" w14:textId="77777777" w:rsidR="00DE2956" w:rsidRPr="007B75DC" w:rsidRDefault="00DE2956" w:rsidP="00DE2956">
      <w:pPr>
        <w:spacing w:after="0" w:line="240" w:lineRule="auto"/>
        <w:ind w:left="567" w:hanging="567"/>
        <w:rPr>
          <w:rFonts w:ascii="Times New Roman" w:eastAsia="Times New Roman" w:hAnsi="Times New Roman" w:cs="Times New Roman"/>
          <w:b/>
        </w:rPr>
      </w:pPr>
      <w:r w:rsidRPr="007B75DC">
        <w:rPr>
          <w:rFonts w:ascii="Times New Roman" w:eastAsia="Times New Roman" w:hAnsi="Times New Roman" w:cs="Times New Roman"/>
          <w:b/>
        </w:rPr>
        <w:t>Apie ką rašoma šiame lapelyje?</w:t>
      </w:r>
    </w:p>
    <w:p w14:paraId="067DF934" w14:textId="77777777" w:rsidR="00DE2956" w:rsidRPr="007B75DC" w:rsidRDefault="00DE2956" w:rsidP="00DE2956">
      <w:pPr>
        <w:spacing w:after="0" w:line="240" w:lineRule="auto"/>
        <w:rPr>
          <w:rFonts w:ascii="Times New Roman" w:eastAsia="Times New Roman" w:hAnsi="Times New Roman" w:cs="Times New Roman"/>
          <w:b/>
          <w:szCs w:val="24"/>
        </w:rPr>
      </w:pPr>
    </w:p>
    <w:p w14:paraId="29CDFC22" w14:textId="77777777" w:rsidR="00DE2956" w:rsidRPr="007B75DC" w:rsidRDefault="00DE2956" w:rsidP="00534F79">
      <w:pPr>
        <w:numPr>
          <w:ilvl w:val="0"/>
          <w:numId w:val="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Kas yra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ir kam jis vartojamas</w:t>
      </w:r>
    </w:p>
    <w:p w14:paraId="5E4E7FB0" w14:textId="77777777" w:rsidR="00DE2956" w:rsidRPr="007B75DC" w:rsidRDefault="00DE2956" w:rsidP="00534F79">
      <w:pPr>
        <w:numPr>
          <w:ilvl w:val="0"/>
          <w:numId w:val="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Kas žinotina prieš vartojant Imatinib </w:t>
      </w:r>
      <w:r w:rsidR="006F09BA" w:rsidRPr="007B75DC">
        <w:rPr>
          <w:rFonts w:ascii="Times New Roman" w:eastAsia="Times New Roman" w:hAnsi="Times New Roman" w:cs="Times New Roman"/>
          <w:szCs w:val="24"/>
        </w:rPr>
        <w:t>Inteli</w:t>
      </w:r>
    </w:p>
    <w:p w14:paraId="04856CE4" w14:textId="77777777" w:rsidR="00DE2956" w:rsidRPr="007B75DC" w:rsidRDefault="00DE2956" w:rsidP="00534F79">
      <w:pPr>
        <w:numPr>
          <w:ilvl w:val="0"/>
          <w:numId w:val="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Kaip vartoti Imatinib </w:t>
      </w:r>
      <w:r w:rsidR="006F09BA" w:rsidRPr="007B75DC">
        <w:rPr>
          <w:rFonts w:ascii="Times New Roman" w:eastAsia="Times New Roman" w:hAnsi="Times New Roman" w:cs="Times New Roman"/>
          <w:szCs w:val="24"/>
        </w:rPr>
        <w:t>Inteli</w:t>
      </w:r>
    </w:p>
    <w:p w14:paraId="0DAF142A" w14:textId="77777777" w:rsidR="00DE2956" w:rsidRPr="007B75DC" w:rsidRDefault="00DE2956" w:rsidP="00534F79">
      <w:pPr>
        <w:numPr>
          <w:ilvl w:val="0"/>
          <w:numId w:val="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Galimas šalutinis poveikis</w:t>
      </w:r>
    </w:p>
    <w:p w14:paraId="10A53E9E" w14:textId="77777777" w:rsidR="00DE2956" w:rsidRPr="007B75DC" w:rsidRDefault="00DE2956" w:rsidP="00534F79">
      <w:pPr>
        <w:numPr>
          <w:ilvl w:val="0"/>
          <w:numId w:val="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Kaip laikyti Imatinib </w:t>
      </w:r>
      <w:r w:rsidR="006F09BA" w:rsidRPr="007B75DC">
        <w:rPr>
          <w:rFonts w:ascii="Times New Roman" w:eastAsia="Times New Roman" w:hAnsi="Times New Roman" w:cs="Times New Roman"/>
          <w:szCs w:val="24"/>
        </w:rPr>
        <w:t>Inteli</w:t>
      </w:r>
    </w:p>
    <w:p w14:paraId="2E5FDF15" w14:textId="77777777" w:rsidR="00DE2956" w:rsidRPr="007B75DC" w:rsidRDefault="00DE2956" w:rsidP="00534F79">
      <w:pPr>
        <w:numPr>
          <w:ilvl w:val="0"/>
          <w:numId w:val="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Pakuotės turinys ir kita informacija</w:t>
      </w:r>
    </w:p>
    <w:p w14:paraId="2EFDFE80"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p>
    <w:p w14:paraId="61192E1E"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p>
    <w:p w14:paraId="1E0B28E4" w14:textId="77777777" w:rsidR="00DE2956" w:rsidRPr="007B75DC" w:rsidRDefault="00DE2956" w:rsidP="00434050">
      <w:pPr>
        <w:numPr>
          <w:ilvl w:val="12"/>
          <w:numId w:val="0"/>
        </w:numPr>
        <w:tabs>
          <w:tab w:val="left" w:pos="567"/>
        </w:tabs>
        <w:spacing w:after="0" w:line="240" w:lineRule="auto"/>
        <w:outlineLvl w:val="0"/>
        <w:rPr>
          <w:rFonts w:ascii="Times New Roman" w:eastAsia="Times New Roman" w:hAnsi="Times New Roman" w:cs="Times New Roman"/>
          <w:b/>
          <w:caps/>
          <w:szCs w:val="24"/>
        </w:rPr>
      </w:pPr>
      <w:r w:rsidRPr="007B75DC">
        <w:rPr>
          <w:rFonts w:ascii="Times New Roman" w:eastAsia="Times New Roman" w:hAnsi="Times New Roman" w:cs="Times New Roman"/>
          <w:b/>
          <w:szCs w:val="24"/>
        </w:rPr>
        <w:t>1.</w:t>
      </w:r>
      <w:r w:rsidRPr="007B75DC">
        <w:rPr>
          <w:rFonts w:ascii="Times New Roman" w:eastAsia="Times New Roman" w:hAnsi="Times New Roman" w:cs="Times New Roman"/>
          <w:b/>
          <w:szCs w:val="24"/>
        </w:rPr>
        <w:tab/>
        <w:t xml:space="preserve">Kas yra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ir kam jis vartojamas</w:t>
      </w:r>
    </w:p>
    <w:p w14:paraId="2D2C6D33" w14:textId="77777777" w:rsidR="00DE2956" w:rsidRPr="007B75DC" w:rsidRDefault="00DE2956" w:rsidP="00DE2956">
      <w:pPr>
        <w:spacing w:after="0" w:line="240" w:lineRule="auto"/>
        <w:rPr>
          <w:rFonts w:ascii="Times New Roman" w:eastAsia="Times New Roman" w:hAnsi="Times New Roman" w:cs="Times New Roman"/>
          <w:szCs w:val="24"/>
        </w:rPr>
      </w:pPr>
    </w:p>
    <w:p w14:paraId="1C66041D"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yra vaistas, kurio sudėtyje yra veikliosios medžiagos imatinibo. Šis vaistas veikia slopindamas nenormalių ląstelių augimą, sergant toliau išvardytomis ligomis. Jos apima ir kai kurių tipų vėžinius susirgimus.</w:t>
      </w:r>
    </w:p>
    <w:p w14:paraId="10B8840F" w14:textId="77777777" w:rsidR="00DE2956" w:rsidRPr="007B75DC" w:rsidRDefault="00DE2956" w:rsidP="00DE2956">
      <w:pPr>
        <w:spacing w:after="0" w:line="240" w:lineRule="auto"/>
        <w:rPr>
          <w:rFonts w:ascii="Times New Roman" w:eastAsia="Times New Roman" w:hAnsi="Times New Roman" w:cs="Times New Roman"/>
          <w:szCs w:val="24"/>
        </w:rPr>
      </w:pPr>
    </w:p>
    <w:p w14:paraId="11AEFDC8" w14:textId="77777777" w:rsidR="00DE2956"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vartojama gydyti</w:t>
      </w:r>
      <w:r w:rsidR="005C4E34">
        <w:rPr>
          <w:rFonts w:ascii="Times New Roman" w:eastAsia="Times New Roman" w:hAnsi="Times New Roman" w:cs="Times New Roman"/>
          <w:b/>
          <w:szCs w:val="24"/>
        </w:rPr>
        <w:t xml:space="preserve"> </w:t>
      </w:r>
      <w:r w:rsidR="005C4E34" w:rsidRPr="007B75DC">
        <w:rPr>
          <w:rFonts w:ascii="Times New Roman" w:eastAsia="Times New Roman" w:hAnsi="Times New Roman" w:cs="Times New Roman"/>
          <w:b/>
          <w:szCs w:val="24"/>
        </w:rPr>
        <w:t>suaugusiųjų ir vaikų</w:t>
      </w:r>
      <w:r w:rsidRPr="007B75DC">
        <w:rPr>
          <w:rFonts w:ascii="Times New Roman" w:eastAsia="Times New Roman" w:hAnsi="Times New Roman" w:cs="Times New Roman"/>
          <w:b/>
          <w:szCs w:val="24"/>
        </w:rPr>
        <w:t>:</w:t>
      </w:r>
    </w:p>
    <w:p w14:paraId="014A9C54" w14:textId="77777777" w:rsidR="005C4E34" w:rsidRPr="007B75DC" w:rsidRDefault="005C4E34" w:rsidP="00DE2956">
      <w:pPr>
        <w:spacing w:after="0" w:line="240" w:lineRule="auto"/>
        <w:rPr>
          <w:rFonts w:ascii="Times New Roman" w:eastAsia="Times New Roman" w:hAnsi="Times New Roman" w:cs="Times New Roman"/>
          <w:b/>
          <w:szCs w:val="24"/>
        </w:rPr>
      </w:pPr>
    </w:p>
    <w:p w14:paraId="265BFE9C"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Lėtinę </w:t>
      </w:r>
      <w:r w:rsidR="00EE1EB8" w:rsidRPr="00EE1EB8">
        <w:rPr>
          <w:rFonts w:ascii="Times New Roman" w:eastAsia="Times New Roman" w:hAnsi="Times New Roman" w:cs="Times New Roman"/>
          <w:b/>
          <w:szCs w:val="24"/>
        </w:rPr>
        <w:t>mieloleukemij</w:t>
      </w:r>
      <w:r w:rsidRPr="007B75DC">
        <w:rPr>
          <w:rFonts w:ascii="Times New Roman" w:eastAsia="Times New Roman" w:hAnsi="Times New Roman" w:cs="Times New Roman"/>
          <w:b/>
          <w:szCs w:val="24"/>
        </w:rPr>
        <w:t>ą (LML).</w:t>
      </w:r>
      <w:r w:rsidRPr="007B75DC">
        <w:rPr>
          <w:rFonts w:ascii="Times New Roman" w:eastAsia="Times New Roman" w:hAnsi="Times New Roman" w:cs="Times New Roman"/>
          <w:szCs w:val="24"/>
        </w:rPr>
        <w:t xml:space="preserve"> Leukemija – tai baltųjų kraujo kūnelių vėžys. Paprastai šios baltosios ląstelės padeda organizmui kovoti su infekcija. Lėtinė mieloleukemija yra tokia leukemijos forma, kai dažniausiai nenormalios ląstelės (vadinamos mieloidinėmis ląstelėmis) pradeda nekontroliuojamai augti.</w:t>
      </w:r>
    </w:p>
    <w:p w14:paraId="32437413"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i/>
          <w:szCs w:val="24"/>
        </w:rPr>
        <w:t>Philadelphia</w:t>
      </w:r>
      <w:r w:rsidRPr="007B75DC">
        <w:rPr>
          <w:rFonts w:ascii="Times New Roman" w:eastAsia="Times New Roman" w:hAnsi="Times New Roman" w:cs="Times New Roman"/>
          <w:b/>
          <w:szCs w:val="24"/>
        </w:rPr>
        <w:t xml:space="preserve"> chromosomai teigiamai ūminei limfoblastinei leukemijai (Ph teigiama ŪLL) gydyti.</w:t>
      </w:r>
      <w:r w:rsidRPr="007B75DC">
        <w:rPr>
          <w:rFonts w:ascii="Times New Roman" w:eastAsia="Times New Roman" w:hAnsi="Times New Roman" w:cs="Times New Roman"/>
          <w:szCs w:val="24"/>
        </w:rPr>
        <w:t xml:space="preserve"> Leukemija – tai baltųjų kraujo kūnelių vėžys. Paprastai šios baltosios ląstelės padeda organizmui kovoti su infekcija. Ūminė limfoblastinė leukemija yra tokia leukemijos forma, kai tam tikros nenormalios ląstelės (vadinamos limfoblastais) pradeda nekontroliuojamai augti.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slopina šių ląstelių augimą.</w:t>
      </w:r>
    </w:p>
    <w:p w14:paraId="60C8D43B" w14:textId="77777777" w:rsidR="00DE2956" w:rsidRPr="007B75DC" w:rsidRDefault="00DE2956" w:rsidP="00DE2956">
      <w:pPr>
        <w:spacing w:after="0" w:line="240" w:lineRule="auto"/>
        <w:rPr>
          <w:rFonts w:ascii="Times New Roman" w:eastAsia="Times New Roman" w:hAnsi="Times New Roman" w:cs="Times New Roman"/>
          <w:szCs w:val="24"/>
        </w:rPr>
      </w:pPr>
    </w:p>
    <w:p w14:paraId="1382BD08" w14:textId="77777777" w:rsidR="00DE2956"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taip pat vartojama gydyti suaugusiųjų:</w:t>
      </w:r>
    </w:p>
    <w:p w14:paraId="199A92C2" w14:textId="77777777" w:rsidR="005C4E34" w:rsidRPr="007B75DC" w:rsidRDefault="005C4E34" w:rsidP="00DE2956">
      <w:pPr>
        <w:spacing w:after="0" w:line="240" w:lineRule="auto"/>
        <w:rPr>
          <w:rFonts w:ascii="Times New Roman" w:eastAsia="Times New Roman" w:hAnsi="Times New Roman" w:cs="Times New Roman"/>
          <w:b/>
          <w:szCs w:val="24"/>
        </w:rPr>
      </w:pPr>
    </w:p>
    <w:p w14:paraId="59FCCE74"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t>Mielodisplaziniam sindromui ar mieloproliferacinėms ligoms (MDS/MPL) gydyti.</w:t>
      </w:r>
      <w:r w:rsidRPr="007B75DC">
        <w:rPr>
          <w:rFonts w:ascii="Times New Roman" w:eastAsia="Times New Roman" w:hAnsi="Times New Roman" w:cs="Times New Roman"/>
          <w:szCs w:val="24"/>
        </w:rPr>
        <w:t xml:space="preserve"> Tai kraujo ligos, kurių metu kai kurios kraujo ląstelės pradeda daugintis nekontroliuojamos.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slopina šių ląstelių augimą, sergant tam tikrais šių ligų potipiais.</w:t>
      </w:r>
    </w:p>
    <w:p w14:paraId="528917E6" w14:textId="77777777" w:rsidR="00DE2956" w:rsidRDefault="00DE2956" w:rsidP="00E619E4">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t>Hipereozinofilijos sindromui (HES) ir (arba) lėtinei eozinofilinei leukemijai (LEL) gydyti.</w:t>
      </w:r>
      <w:r w:rsidRPr="007B75DC">
        <w:rPr>
          <w:rFonts w:ascii="Times New Roman" w:eastAsia="Times New Roman" w:hAnsi="Times New Roman" w:cs="Times New Roman"/>
          <w:szCs w:val="24"/>
        </w:rPr>
        <w:t xml:space="preserve"> Tai yra kraujo ligos, kurių metu kai kurios kraujo ląstelės (vadinamos eozinofilais) pradeda daugintis nekontroliuojamos.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slopina šių ląstelių augimą, sergant tam tikrais šių ligų potipiais.</w:t>
      </w:r>
    </w:p>
    <w:p w14:paraId="7066B1A3" w14:textId="77777777" w:rsidR="00CE3B08" w:rsidRPr="00CE3B08" w:rsidRDefault="00CE3B08" w:rsidP="00534F79">
      <w:pPr>
        <w:numPr>
          <w:ilvl w:val="0"/>
          <w:numId w:val="5"/>
        </w:numPr>
        <w:spacing w:after="0" w:line="240" w:lineRule="auto"/>
        <w:ind w:left="567" w:hanging="567"/>
        <w:rPr>
          <w:rFonts w:ascii="Times New Roman" w:eastAsia="Times New Roman" w:hAnsi="Times New Roman" w:cs="Times New Roman"/>
          <w:szCs w:val="24"/>
        </w:rPr>
      </w:pPr>
      <w:r w:rsidRPr="00CE3B08">
        <w:rPr>
          <w:rFonts w:ascii="Times New Roman" w:eastAsia="Times New Roman" w:hAnsi="Times New Roman" w:cs="Times New Roman"/>
          <w:b/>
          <w:bCs/>
          <w:noProof/>
          <w:szCs w:val="24"/>
        </w:rPr>
        <w:t>Virškinimo trakto stromos navik</w:t>
      </w:r>
      <w:r w:rsidR="00EE1EB8">
        <w:rPr>
          <w:rFonts w:ascii="Times New Roman" w:eastAsia="Times New Roman" w:hAnsi="Times New Roman" w:cs="Times New Roman"/>
          <w:b/>
          <w:bCs/>
          <w:noProof/>
          <w:szCs w:val="24"/>
        </w:rPr>
        <w:t>ui</w:t>
      </w:r>
      <w:r w:rsidRPr="00CE3B08">
        <w:rPr>
          <w:rFonts w:ascii="Times New Roman" w:eastAsia="Times New Roman" w:hAnsi="Times New Roman" w:cs="Times New Roman"/>
          <w:b/>
          <w:bCs/>
          <w:noProof/>
          <w:szCs w:val="24"/>
        </w:rPr>
        <w:t xml:space="preserve"> (VTSN)</w:t>
      </w:r>
      <w:r w:rsidR="00EE1EB8">
        <w:rPr>
          <w:rFonts w:ascii="Times New Roman" w:eastAsia="Times New Roman" w:hAnsi="Times New Roman" w:cs="Times New Roman"/>
          <w:b/>
          <w:bCs/>
          <w:noProof/>
          <w:szCs w:val="24"/>
        </w:rPr>
        <w:t xml:space="preserve"> gydyti</w:t>
      </w:r>
      <w:r w:rsidRPr="00CE3B08">
        <w:rPr>
          <w:rFonts w:ascii="Times New Roman" w:eastAsia="Times New Roman" w:hAnsi="Times New Roman" w:cs="Times New Roman"/>
          <w:b/>
          <w:bCs/>
          <w:noProof/>
          <w:szCs w:val="24"/>
        </w:rPr>
        <w:t>.</w:t>
      </w:r>
      <w:r w:rsidRPr="00CE3B08">
        <w:rPr>
          <w:rFonts w:ascii="Times New Roman" w:eastAsia="Times New Roman" w:hAnsi="Times New Roman" w:cs="Times New Roman"/>
          <w:noProof/>
          <w:szCs w:val="24"/>
        </w:rPr>
        <w:t xml:space="preserve"> VTSN – tai skrandžio ir žarnyno vėžys. Jis atsiranda dėl nekontroliuojamo šių organų pagalbinio audinio ląstelių augimo.</w:t>
      </w:r>
    </w:p>
    <w:p w14:paraId="2EB9A750"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t>Iškiliajai dermatofibrosarkomai</w:t>
      </w:r>
      <w:r w:rsidRPr="007B75DC">
        <w:rPr>
          <w:rFonts w:ascii="Times New Roman" w:eastAsia="Times New Roman" w:hAnsi="Times New Roman" w:cs="Times New Roman"/>
          <w:szCs w:val="24"/>
        </w:rPr>
        <w:t xml:space="preserve"> (</w:t>
      </w:r>
      <w:r w:rsidR="00A45999">
        <w:rPr>
          <w:rFonts w:ascii="Times New Roman" w:eastAsia="Times New Roman" w:hAnsi="Times New Roman" w:cs="Times New Roman"/>
          <w:szCs w:val="24"/>
        </w:rPr>
        <w:t xml:space="preserve">angl. </w:t>
      </w:r>
      <w:r w:rsidRPr="00534F79">
        <w:rPr>
          <w:rFonts w:ascii="Times New Roman" w:eastAsia="Times New Roman" w:hAnsi="Times New Roman" w:cs="Times New Roman"/>
          <w:i/>
          <w:iCs/>
          <w:szCs w:val="24"/>
        </w:rPr>
        <w:t>dermatofibrosarcoma protuberans</w:t>
      </w:r>
      <w:r w:rsidR="00EE1EB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DFSP) gydyti. DFSP </w:t>
      </w:r>
      <w:r w:rsidR="00EE1EB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tai po oda esančio audinio vėžys, kurio metu kai kurios ląstelės pradeda nekontroliuojamai augti.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slopina šių ląstelių augimą.</w:t>
      </w:r>
    </w:p>
    <w:p w14:paraId="23546D86" w14:textId="77777777" w:rsidR="00DE2956" w:rsidRPr="007B75DC" w:rsidRDefault="00DE2956" w:rsidP="00DE2956">
      <w:pPr>
        <w:spacing w:after="0" w:line="240" w:lineRule="auto"/>
        <w:rPr>
          <w:rFonts w:ascii="Times New Roman" w:eastAsia="Times New Roman" w:hAnsi="Times New Roman" w:cs="Times New Roman"/>
          <w:szCs w:val="24"/>
        </w:rPr>
      </w:pPr>
    </w:p>
    <w:p w14:paraId="78FA6FC3"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Toliau šiame lapelyje apibūdinant minėtas ligas bus naudojamos nurodytos santrumpos.</w:t>
      </w:r>
      <w:r w:rsidRPr="007B75DC">
        <w:rPr>
          <w:rFonts w:ascii="Times New Roman" w:eastAsia="Times New Roman" w:hAnsi="Times New Roman" w:cs="Times New Roman"/>
          <w:szCs w:val="24"/>
        </w:rPr>
        <w:cr/>
      </w:r>
    </w:p>
    <w:p w14:paraId="3A9E93FC"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Jums kiltų kokių nors klausimų apie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veikimą arba kodėl Jums jį paskyrė, klauskite gydytojo</w:t>
      </w:r>
      <w:r w:rsidR="00EE1EB8">
        <w:rPr>
          <w:rFonts w:ascii="Times New Roman" w:eastAsia="Times New Roman" w:hAnsi="Times New Roman" w:cs="Times New Roman"/>
          <w:szCs w:val="24"/>
        </w:rPr>
        <w:t>.</w:t>
      </w:r>
    </w:p>
    <w:p w14:paraId="70A00608"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p>
    <w:p w14:paraId="461458CB"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p>
    <w:p w14:paraId="159F2F34" w14:textId="77777777" w:rsidR="00DE2956" w:rsidRPr="007B75DC" w:rsidRDefault="00DE2956" w:rsidP="00534F79">
      <w:pPr>
        <w:numPr>
          <w:ilvl w:val="12"/>
          <w:numId w:val="0"/>
        </w:numPr>
        <w:tabs>
          <w:tab w:val="left" w:pos="567"/>
        </w:tabs>
        <w:spacing w:after="0" w:line="240" w:lineRule="auto"/>
        <w:outlineLvl w:val="0"/>
        <w:rPr>
          <w:rFonts w:ascii="Times New Roman" w:eastAsia="Times New Roman" w:hAnsi="Times New Roman" w:cs="Times New Roman"/>
          <w:b/>
          <w:caps/>
          <w:szCs w:val="24"/>
        </w:rPr>
      </w:pPr>
      <w:r w:rsidRPr="007B75DC">
        <w:rPr>
          <w:rFonts w:ascii="Times New Roman" w:eastAsia="Times New Roman" w:hAnsi="Times New Roman" w:cs="Times New Roman"/>
          <w:b/>
          <w:szCs w:val="24"/>
        </w:rPr>
        <w:t>2.</w:t>
      </w:r>
      <w:r w:rsidRPr="007B75DC">
        <w:rPr>
          <w:rFonts w:ascii="Times New Roman" w:eastAsia="Times New Roman" w:hAnsi="Times New Roman" w:cs="Times New Roman"/>
          <w:b/>
          <w:szCs w:val="24"/>
        </w:rPr>
        <w:tab/>
        <w:t xml:space="preserve">Kas žinotina prieš vartojant Imatinib </w:t>
      </w:r>
      <w:r w:rsidR="006F09BA" w:rsidRPr="007B75DC">
        <w:rPr>
          <w:rFonts w:ascii="Times New Roman" w:eastAsia="Times New Roman" w:hAnsi="Times New Roman" w:cs="Times New Roman"/>
          <w:b/>
          <w:szCs w:val="24"/>
        </w:rPr>
        <w:t>Inteli</w:t>
      </w:r>
    </w:p>
    <w:p w14:paraId="16E28DFF" w14:textId="77777777" w:rsidR="00DE2956" w:rsidRPr="007B75DC" w:rsidRDefault="00DE2956" w:rsidP="00DE2956">
      <w:pPr>
        <w:spacing w:after="0" w:line="240" w:lineRule="auto"/>
        <w:rPr>
          <w:rFonts w:ascii="Times New Roman" w:eastAsia="Times New Roman" w:hAnsi="Times New Roman" w:cs="Times New Roman"/>
          <w:szCs w:val="24"/>
        </w:rPr>
      </w:pPr>
    </w:p>
    <w:p w14:paraId="0C6E3AA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Jums paskirs tik gydytojas, turintis kraujo vėžių arba solidinių navikų gydymo vaistais patirties.</w:t>
      </w:r>
    </w:p>
    <w:p w14:paraId="7BCC7898" w14:textId="77777777" w:rsidR="00DE2956" w:rsidRPr="007B75DC" w:rsidRDefault="00DE2956" w:rsidP="00DE2956">
      <w:pPr>
        <w:spacing w:after="0" w:line="240" w:lineRule="auto"/>
        <w:rPr>
          <w:rFonts w:ascii="Times New Roman" w:eastAsia="Times New Roman" w:hAnsi="Times New Roman" w:cs="Times New Roman"/>
          <w:szCs w:val="24"/>
        </w:rPr>
      </w:pPr>
    </w:p>
    <w:p w14:paraId="6E3B694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Tiksliai laikykitės visų gydytojo nurodymų, net jei jie skiriasi nuo bendrosios šiame lapelyje esančios informacijos.</w:t>
      </w:r>
      <w:r w:rsidRPr="007B75DC">
        <w:rPr>
          <w:rFonts w:ascii="Times New Roman" w:eastAsia="Times New Roman" w:hAnsi="Times New Roman" w:cs="Times New Roman"/>
          <w:szCs w:val="24"/>
        </w:rPr>
        <w:cr/>
      </w:r>
    </w:p>
    <w:p w14:paraId="7843F2E8" w14:textId="77777777" w:rsidR="00DE2956" w:rsidRPr="007B75DC" w:rsidRDefault="00DE2956" w:rsidP="00DE2956">
      <w:pPr>
        <w:spacing w:after="0" w:line="240" w:lineRule="auto"/>
        <w:ind w:left="567" w:hanging="567"/>
        <w:rPr>
          <w:rFonts w:ascii="Times New Roman" w:eastAsia="Times New Roman" w:hAnsi="Times New Roman" w:cs="Times New Roman"/>
          <w:b/>
          <w:caps/>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bCs/>
          <w:szCs w:val="24"/>
        </w:rPr>
        <w:t xml:space="preserve"> vartoti </w:t>
      </w:r>
      <w:r w:rsidR="00434050">
        <w:rPr>
          <w:rFonts w:ascii="Times New Roman" w:eastAsia="Times New Roman" w:hAnsi="Times New Roman" w:cs="Times New Roman"/>
          <w:b/>
          <w:bCs/>
          <w:szCs w:val="24"/>
        </w:rPr>
        <w:t>draudžiama</w:t>
      </w:r>
      <w:r w:rsidRPr="007B75DC">
        <w:rPr>
          <w:rFonts w:ascii="Times New Roman" w:eastAsia="Times New Roman" w:hAnsi="Times New Roman" w:cs="Times New Roman"/>
          <w:b/>
          <w:szCs w:val="24"/>
        </w:rPr>
        <w:t>:</w:t>
      </w:r>
    </w:p>
    <w:p w14:paraId="61CAAE2F"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yra alergija imatinibui arba bet kuriai pagalbinei šio vaisto medžiagai </w:t>
      </w:r>
      <w:r w:rsidRPr="007B75DC">
        <w:rPr>
          <w:rFonts w:ascii="Times New Roman" w:eastAsia="Times New Roman" w:hAnsi="Times New Roman" w:cs="Times New Roman"/>
        </w:rPr>
        <w:t>(jos išvardytos 6 skyriuje).</w:t>
      </w:r>
    </w:p>
    <w:p w14:paraId="37891D50" w14:textId="77777777" w:rsidR="00EE1EB8" w:rsidRDefault="00EE1EB8" w:rsidP="00DE2956">
      <w:pPr>
        <w:spacing w:after="0" w:line="240" w:lineRule="auto"/>
        <w:ind w:left="567" w:hanging="567"/>
        <w:rPr>
          <w:rFonts w:ascii="Times New Roman" w:eastAsia="Times New Roman" w:hAnsi="Times New Roman" w:cs="Times New Roman"/>
          <w:szCs w:val="24"/>
        </w:rPr>
      </w:pPr>
    </w:p>
    <w:p w14:paraId="2236508B"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 ši sąlyga Jums tinka, </w:t>
      </w:r>
      <w:r w:rsidRPr="007B75DC">
        <w:rPr>
          <w:rFonts w:ascii="Times New Roman" w:eastAsia="Times New Roman" w:hAnsi="Times New Roman" w:cs="Times New Roman"/>
          <w:b/>
          <w:szCs w:val="24"/>
        </w:rPr>
        <w:t xml:space="preserve">nevartokite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ir apie tai pasakykite gydytojui.</w:t>
      </w:r>
    </w:p>
    <w:p w14:paraId="18BCAD1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194998A9"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manote, kad galite būti alergiškas, bet nesate tikras, kreipkitės patarimo į gydytoją.</w:t>
      </w:r>
    </w:p>
    <w:p w14:paraId="3772598C"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8E214A5"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Įspėjimai ir atsargumo priemonės</w:t>
      </w:r>
    </w:p>
    <w:p w14:paraId="543ECE0A" w14:textId="77777777" w:rsidR="00DE2956" w:rsidRPr="007B75DC" w:rsidRDefault="00DE2956" w:rsidP="00DE2956">
      <w:pPr>
        <w:spacing w:after="0" w:line="240" w:lineRule="auto"/>
        <w:rPr>
          <w:rFonts w:ascii="Times New Roman" w:eastAsia="Times New Roman" w:hAnsi="Times New Roman" w:cs="Times New Roman"/>
        </w:rPr>
      </w:pPr>
      <w:r w:rsidRPr="007B75DC">
        <w:rPr>
          <w:rFonts w:ascii="Times New Roman" w:eastAsia="Times New Roman" w:hAnsi="Times New Roman" w:cs="Times New Roman"/>
        </w:rPr>
        <w:t xml:space="preserve">Pasitarkite su gydytoju arba vaistininku, prieš pradėdami vartoti </w:t>
      </w: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rPr>
        <w:t>.</w:t>
      </w:r>
    </w:p>
    <w:p w14:paraId="08733625"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Jums yra ar kada nors yra buvę kepenų, inkstų ar širdies sutrikimų,</w:t>
      </w:r>
    </w:p>
    <w:p w14:paraId="46F0DB1E"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jeigu dėl pašalintos skydliaukės vartojate vaisto levotiroksino,</w:t>
      </w:r>
    </w:p>
    <w:p w14:paraId="2112F826"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Jums kada nors buvo diagnozuota hepatito B infekcija arba šiuo metu galite būti užsikrėtę šiuo virusu. Tai būtina, nes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gali vėl suaktyvinti hepatito B virusą, o kai kuriais atvejais tai gali būti mirtina. Prieš pradedant gydymą, gydytojas atidžiai patikrins, ar pacientas neturi šios infekcijos požymių.</w:t>
      </w:r>
    </w:p>
    <w:p w14:paraId="6FC69302" w14:textId="77777777" w:rsidR="00DE2956" w:rsidRPr="007B75DC" w:rsidRDefault="00F11B04"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Jums vartojant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susidaro kraujosruvų, pasireiškia kraujavimas, karščiavimas, nuovargis ir sumišimas, kreipkitės į gydytoją. Tai gali būti kraujagyslių pažaidos, vadinamos trombine mikroangiopatija (TMA), požymis.</w:t>
      </w:r>
    </w:p>
    <w:p w14:paraId="30029F53" w14:textId="77777777" w:rsidR="00F11B04" w:rsidRPr="007B75DC" w:rsidRDefault="00F11B04" w:rsidP="00DE2956">
      <w:pPr>
        <w:numPr>
          <w:ilvl w:val="12"/>
          <w:numId w:val="0"/>
        </w:numPr>
        <w:spacing w:after="0" w:line="240" w:lineRule="auto"/>
        <w:rPr>
          <w:rFonts w:ascii="Times New Roman" w:eastAsia="Times New Roman" w:hAnsi="Times New Roman" w:cs="Times New Roman"/>
          <w:szCs w:val="24"/>
        </w:rPr>
      </w:pPr>
    </w:p>
    <w:p w14:paraId="6FA706B2" w14:textId="77777777" w:rsidR="00DE2956" w:rsidRPr="007B75DC" w:rsidRDefault="00DE2956" w:rsidP="00DE2956">
      <w:pPr>
        <w:numPr>
          <w:ilvl w:val="12"/>
          <w:numId w:val="0"/>
        </w:num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 bet kuri šių sąlygų Jums tinka, </w:t>
      </w:r>
      <w:r w:rsidRPr="007B75DC">
        <w:rPr>
          <w:rFonts w:ascii="Times New Roman" w:eastAsia="Times New Roman" w:hAnsi="Times New Roman" w:cs="Times New Roman"/>
          <w:b/>
          <w:szCs w:val="24"/>
        </w:rPr>
        <w:t xml:space="preserve">prieš pradėdami vartoti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pasakykite gydytojui.</w:t>
      </w:r>
      <w:r w:rsidRPr="007B75DC">
        <w:rPr>
          <w:rFonts w:ascii="Times New Roman" w:eastAsia="Times New Roman" w:hAnsi="Times New Roman" w:cs="Times New Roman"/>
          <w:b/>
          <w:szCs w:val="24"/>
        </w:rPr>
        <w:cr/>
      </w:r>
    </w:p>
    <w:p w14:paraId="75B8C8CE" w14:textId="77777777" w:rsidR="00F11B04" w:rsidRPr="007B75DC" w:rsidRDefault="00F11B04"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vartojimo metu galite tapti jautresnis saulės poveikiui. Svarbu apsaugoti atviras odos vietas nuo tiesioginių saulės spindulių ir naudoti vaistą nuo saulės nudegimo, kurio aukštas apsaugos faktorius (SPF). Šios atsargumo priemonės taip pat turi būti taikomos vaikams.</w:t>
      </w:r>
    </w:p>
    <w:p w14:paraId="4CFC87A3" w14:textId="77777777" w:rsidR="00F11B04" w:rsidRPr="007B75DC" w:rsidRDefault="00F11B04" w:rsidP="00DE2956">
      <w:pPr>
        <w:numPr>
          <w:ilvl w:val="12"/>
          <w:numId w:val="0"/>
        </w:numPr>
        <w:spacing w:after="0" w:line="240" w:lineRule="auto"/>
        <w:rPr>
          <w:rFonts w:ascii="Times New Roman" w:eastAsia="Times New Roman" w:hAnsi="Times New Roman" w:cs="Times New Roman"/>
          <w:b/>
          <w:szCs w:val="24"/>
        </w:rPr>
      </w:pPr>
    </w:p>
    <w:p w14:paraId="0EEC5B59"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vartojimo metu nedelsdami kreipkitės į gydytoją,</w:t>
      </w:r>
      <w:r w:rsidRPr="007B75DC">
        <w:rPr>
          <w:rFonts w:ascii="Times New Roman" w:eastAsia="Times New Roman" w:hAnsi="Times New Roman" w:cs="Times New Roman"/>
          <w:szCs w:val="24"/>
        </w:rPr>
        <w:t xml:space="preserve"> jeigu Jums labai greitai padidėjo kūno svoris. Dėl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poveikio Jūsų kūne gali kauptis skysčių (pasireikšti sunkus skysčių susilaikymas). </w:t>
      </w:r>
    </w:p>
    <w:p w14:paraId="1C7924B9"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p>
    <w:p w14:paraId="6E829A4E"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Jums vartojant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gydytojas reguliariai tikrins, ar vaistas veikia. Jums taip pat reguliariai tirs kraują ir kūno svorį.</w:t>
      </w:r>
      <w:r w:rsidRPr="007B75DC">
        <w:rPr>
          <w:rFonts w:ascii="Times New Roman" w:eastAsia="Times New Roman" w:hAnsi="Times New Roman" w:cs="Times New Roman"/>
          <w:szCs w:val="24"/>
        </w:rPr>
        <w:cr/>
      </w:r>
    </w:p>
    <w:p w14:paraId="23669F05" w14:textId="77777777" w:rsidR="00DE2956" w:rsidRPr="007B75DC" w:rsidRDefault="00DE2956" w:rsidP="00DE2956">
      <w:pPr>
        <w:numPr>
          <w:ilvl w:val="12"/>
          <w:numId w:val="0"/>
        </w:num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Vaikams ir paaugliams</w:t>
      </w:r>
    </w:p>
    <w:p w14:paraId="32EF3FE2" w14:textId="35E4FB4F"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taip pat gydomi vaikai, sergantys LML. Vartojimo patirties vaikams, jaunesniems kaip 2</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metų ir sergantiems LML, nėra. Vartojimo patirties vaikams, sergantiems Ph teigiama ŪLL, yra nedaug, o vartojimo patirties vaikams, sergantiems MDS/MPL, DFSP</w:t>
      </w:r>
      <w:r w:rsidR="00CE3B08">
        <w:rPr>
          <w:rFonts w:ascii="Times New Roman" w:eastAsia="Times New Roman" w:hAnsi="Times New Roman" w:cs="Times New Roman"/>
          <w:noProof/>
          <w:szCs w:val="24"/>
          <w:lang w:val="es-ES_tradnl"/>
        </w:rPr>
        <w:t>, VTSN</w:t>
      </w:r>
      <w:r w:rsidRPr="007B75DC">
        <w:rPr>
          <w:rFonts w:ascii="Times New Roman" w:eastAsia="Times New Roman" w:hAnsi="Times New Roman" w:cs="Times New Roman"/>
          <w:szCs w:val="24"/>
        </w:rPr>
        <w:t xml:space="preserve"> ir HES/LEL, yra labai nedaug.</w:t>
      </w:r>
    </w:p>
    <w:p w14:paraId="1F729C5E" w14:textId="77777777" w:rsidR="00DE2956" w:rsidRPr="007B75DC" w:rsidRDefault="00DE2956" w:rsidP="00DE2956">
      <w:pPr>
        <w:numPr>
          <w:ilvl w:val="12"/>
          <w:numId w:val="0"/>
        </w:numPr>
        <w:spacing w:after="0" w:line="240" w:lineRule="auto"/>
        <w:rPr>
          <w:rFonts w:ascii="Times New Roman" w:eastAsia="Times New Roman" w:hAnsi="Times New Roman" w:cs="Times New Roman"/>
          <w:b/>
          <w:szCs w:val="24"/>
        </w:rPr>
      </w:pPr>
    </w:p>
    <w:p w14:paraId="0AE57EC5"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Kai kurių vaikų ir paauglių, vartojančių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augimas gali būti lėtesnis nei įprasta. Todėl gydytojas tikrins augimą įprastų vizitų metu.</w:t>
      </w:r>
      <w:r w:rsidRPr="007B75DC">
        <w:rPr>
          <w:rFonts w:ascii="Times New Roman" w:eastAsia="Times New Roman" w:hAnsi="Times New Roman" w:cs="Times New Roman"/>
          <w:szCs w:val="24"/>
        </w:rPr>
        <w:cr/>
      </w:r>
    </w:p>
    <w:p w14:paraId="213CFD05"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b/>
          <w:szCs w:val="24"/>
        </w:rPr>
        <w:lastRenderedPageBreak/>
        <w:t xml:space="preserve">Kiti vaistai ir Imatinib </w:t>
      </w:r>
      <w:r w:rsidR="006F09BA" w:rsidRPr="007B75DC">
        <w:rPr>
          <w:rFonts w:ascii="Times New Roman" w:eastAsia="Times New Roman" w:hAnsi="Times New Roman" w:cs="Times New Roman"/>
          <w:b/>
          <w:szCs w:val="24"/>
        </w:rPr>
        <w:t>Inteli</w:t>
      </w:r>
    </w:p>
    <w:p w14:paraId="3BC37E29"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vartojate ar neseniai vartojote kitų vaistų </w:t>
      </w:r>
      <w:r w:rsidRPr="007B75DC">
        <w:rPr>
          <w:rFonts w:ascii="Times New Roman" w:eastAsia="Times New Roman" w:hAnsi="Times New Roman" w:cs="Times New Roman"/>
        </w:rPr>
        <w:t xml:space="preserve">arba dėl to nesate tikri, </w:t>
      </w:r>
      <w:r w:rsidRPr="007B75DC">
        <w:rPr>
          <w:rFonts w:ascii="Times New Roman" w:eastAsia="Times New Roman" w:hAnsi="Times New Roman" w:cs="Times New Roman"/>
          <w:szCs w:val="24"/>
        </w:rPr>
        <w:t xml:space="preserve">įskaitant įsigytus be recepto (tokių kaip paracetamolio) ir taip pat augalinių (tokių kaip jonažolės preparatų), apie tai pasakykite gydytojui arba vaistininkui. Kai kurie vaistai vartojami kartu gali sąveikauti su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Jie gali padidinti arba sumažinti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poveikį, arba padidindami nepageidaujamų reiškinių pasireiškimo dažnį, arba mažindami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veiksmingumą.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gali panašiai veikti kai kuriuos kitus vaistus.</w:t>
      </w:r>
    </w:p>
    <w:p w14:paraId="55CBC076"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p>
    <w:p w14:paraId="04A35958"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Pasakykite gydytojui, jei vartojate vaistų, kurie apsaugo nuo kraujo krešulių susidarymo.</w:t>
      </w:r>
      <w:r w:rsidRPr="007B75DC">
        <w:rPr>
          <w:rFonts w:ascii="Times New Roman" w:eastAsia="Times New Roman" w:hAnsi="Times New Roman" w:cs="Times New Roman"/>
          <w:szCs w:val="24"/>
        </w:rPr>
        <w:cr/>
      </w:r>
    </w:p>
    <w:p w14:paraId="09A73CB8"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Nėštumas, žindymo laikotarpis ir vaisingumas</w:t>
      </w:r>
    </w:p>
    <w:p w14:paraId="6FD117B6"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Jeigu esate nėščia, žindote kūdikį, manote, kad galbūt esate nėščia arba planuojate pastoti, tai prieš vartodama šį vaistą pasitarkite su gydytoju. </w:t>
      </w:r>
    </w:p>
    <w:p w14:paraId="43879C26"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nerekomenduojama vartoti nėščiosioms, nebent neišvengiama, nes tai gali pakenkti Jūsų kūdikiui. Gydytojas supažindins Jus su galima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vartojimo nėštumo laikotarpiu rizika.</w:t>
      </w:r>
    </w:p>
    <w:p w14:paraId="447E4189" w14:textId="2C89DD38"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Moterims, galinčioms pastoti, gydantis šiuo vaistu </w:t>
      </w:r>
      <w:r w:rsidR="00F11B04" w:rsidRPr="007B75DC">
        <w:rPr>
          <w:rFonts w:ascii="Times New Roman" w:eastAsia="Times New Roman" w:hAnsi="Times New Roman" w:cs="Times New Roman"/>
          <w:szCs w:val="24"/>
        </w:rPr>
        <w:t>ir 15</w:t>
      </w:r>
      <w:r w:rsidR="000C355D">
        <w:rPr>
          <w:rFonts w:ascii="Times New Roman" w:eastAsia="Times New Roman" w:hAnsi="Times New Roman" w:cs="Times New Roman"/>
          <w:szCs w:val="24"/>
        </w:rPr>
        <w:t> </w:t>
      </w:r>
      <w:r w:rsidR="00F11B04" w:rsidRPr="007B75DC">
        <w:rPr>
          <w:rFonts w:ascii="Times New Roman" w:eastAsia="Times New Roman" w:hAnsi="Times New Roman" w:cs="Times New Roman"/>
          <w:szCs w:val="24"/>
        </w:rPr>
        <w:t xml:space="preserve">dienų po gydymo pabaigos, </w:t>
      </w:r>
      <w:r w:rsidRPr="007B75DC">
        <w:rPr>
          <w:rFonts w:ascii="Times New Roman" w:eastAsia="Times New Roman" w:hAnsi="Times New Roman" w:cs="Times New Roman"/>
          <w:szCs w:val="24"/>
        </w:rPr>
        <w:t>rekomenduojama taikyti efektyvias kontracepcijos priemones.</w:t>
      </w:r>
    </w:p>
    <w:p w14:paraId="3AA4F58B" w14:textId="3FF866D0"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bookmarkStart w:id="0" w:name="_Hlk63259938"/>
      <w:r w:rsidRPr="007B75DC">
        <w:rPr>
          <w:rFonts w:ascii="Times New Roman" w:eastAsia="Times New Roman" w:hAnsi="Times New Roman" w:cs="Times New Roman"/>
          <w:szCs w:val="24"/>
        </w:rPr>
        <w:t xml:space="preserve">Vartodama Imatinib </w:t>
      </w:r>
      <w:r w:rsidR="006F09BA" w:rsidRPr="007B75DC">
        <w:rPr>
          <w:rFonts w:ascii="Times New Roman" w:eastAsia="Times New Roman" w:hAnsi="Times New Roman" w:cs="Times New Roman"/>
          <w:szCs w:val="24"/>
        </w:rPr>
        <w:t>Inteli</w:t>
      </w:r>
      <w:r w:rsidR="00F11B04" w:rsidRPr="007B75DC">
        <w:rPr>
          <w:rFonts w:ascii="Times New Roman" w:eastAsia="Times New Roman" w:hAnsi="Times New Roman" w:cs="Times New Roman"/>
          <w:szCs w:val="24"/>
        </w:rPr>
        <w:t xml:space="preserve"> ir 15</w:t>
      </w:r>
      <w:r w:rsidR="000C355D">
        <w:rPr>
          <w:rFonts w:ascii="Times New Roman" w:eastAsia="Times New Roman" w:hAnsi="Times New Roman" w:cs="Times New Roman"/>
          <w:szCs w:val="24"/>
        </w:rPr>
        <w:t> </w:t>
      </w:r>
      <w:r w:rsidR="00F11B04" w:rsidRPr="007B75DC">
        <w:rPr>
          <w:rFonts w:ascii="Times New Roman" w:eastAsia="Times New Roman" w:hAnsi="Times New Roman" w:cs="Times New Roman"/>
          <w:szCs w:val="24"/>
        </w:rPr>
        <w:t>dienų po gydymo pabaigos</w:t>
      </w:r>
      <w:r w:rsidRPr="007B75DC">
        <w:rPr>
          <w:rFonts w:ascii="Times New Roman" w:eastAsia="Times New Roman" w:hAnsi="Times New Roman" w:cs="Times New Roman"/>
          <w:szCs w:val="24"/>
        </w:rPr>
        <w:t xml:space="preserve"> nežindykite</w:t>
      </w:r>
      <w:r w:rsidR="00F11B04" w:rsidRPr="007B75DC">
        <w:rPr>
          <w:rFonts w:ascii="Times New Roman" w:eastAsia="Times New Roman" w:hAnsi="Times New Roman" w:cs="Times New Roman"/>
          <w:szCs w:val="24"/>
        </w:rPr>
        <w:t>, nes tai gali pakenkti Jūsų kūdikiui</w:t>
      </w:r>
      <w:r w:rsidRPr="007B75DC">
        <w:rPr>
          <w:rFonts w:ascii="Times New Roman" w:eastAsia="Times New Roman" w:hAnsi="Times New Roman" w:cs="Times New Roman"/>
          <w:szCs w:val="24"/>
        </w:rPr>
        <w:t>.</w:t>
      </w:r>
    </w:p>
    <w:bookmarkEnd w:id="0"/>
    <w:p w14:paraId="656CA7FD"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Pacientai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vartojimo laikotarpiu dėl savo vaisingumo turi konsultuotis su gydytoju.</w:t>
      </w:r>
      <w:r w:rsidRPr="007B75DC">
        <w:rPr>
          <w:rFonts w:ascii="Times New Roman" w:eastAsia="Times New Roman" w:hAnsi="Times New Roman" w:cs="Times New Roman"/>
          <w:szCs w:val="24"/>
        </w:rPr>
        <w:cr/>
      </w:r>
    </w:p>
    <w:p w14:paraId="14759497"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Vairavimas ir mechanizmų valdymas</w:t>
      </w:r>
    </w:p>
    <w:p w14:paraId="7DD22C1C" w14:textId="77777777" w:rsidR="00DE2956" w:rsidRPr="007B75DC" w:rsidRDefault="00DE2956" w:rsidP="00DE2956">
      <w:pPr>
        <w:numPr>
          <w:ilvl w:val="12"/>
          <w:numId w:val="0"/>
        </w:num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Vartodami šio vaisto galite jausti svaigulį ar mieguistumą arba Jums gali pasireikšti neryškus matymas. Jeigu taip atsitiktų, nevairuokite ir nevaldykite bet kokios rūšies mechanizmų, kol vėl nepasijusite gerai.</w:t>
      </w:r>
      <w:r w:rsidRPr="007B75DC">
        <w:rPr>
          <w:rFonts w:ascii="Times New Roman" w:eastAsia="Times New Roman" w:hAnsi="Times New Roman" w:cs="Times New Roman"/>
          <w:szCs w:val="24"/>
        </w:rPr>
        <w:cr/>
      </w:r>
    </w:p>
    <w:p w14:paraId="02F3246A"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44C89BE6" w14:textId="77777777" w:rsidR="00DE2956" w:rsidRPr="007B75DC" w:rsidRDefault="00DE2956" w:rsidP="00DE2956">
      <w:pPr>
        <w:numPr>
          <w:ilvl w:val="12"/>
          <w:numId w:val="0"/>
        </w:numPr>
        <w:spacing w:after="0" w:line="240" w:lineRule="auto"/>
        <w:ind w:left="567" w:hanging="567"/>
        <w:outlineLvl w:val="0"/>
        <w:rPr>
          <w:rFonts w:ascii="Times New Roman" w:eastAsia="Times New Roman" w:hAnsi="Times New Roman" w:cs="Times New Roman"/>
          <w:b/>
          <w:caps/>
          <w:szCs w:val="24"/>
        </w:rPr>
      </w:pPr>
      <w:r w:rsidRPr="007B75DC">
        <w:rPr>
          <w:rFonts w:ascii="Times New Roman" w:eastAsia="Times New Roman" w:hAnsi="Times New Roman" w:cs="Times New Roman"/>
          <w:b/>
          <w:szCs w:val="24"/>
        </w:rPr>
        <w:t>3.</w:t>
      </w:r>
      <w:r w:rsidRPr="007B75DC">
        <w:rPr>
          <w:rFonts w:ascii="Times New Roman" w:eastAsia="Times New Roman" w:hAnsi="Times New Roman" w:cs="Times New Roman"/>
          <w:b/>
          <w:szCs w:val="24"/>
        </w:rPr>
        <w:tab/>
        <w:t xml:space="preserve">Kaip vartoti Imatinib </w:t>
      </w:r>
      <w:r w:rsidR="006F09BA" w:rsidRPr="007B75DC">
        <w:rPr>
          <w:rFonts w:ascii="Times New Roman" w:eastAsia="Times New Roman" w:hAnsi="Times New Roman" w:cs="Times New Roman"/>
          <w:b/>
          <w:szCs w:val="24"/>
        </w:rPr>
        <w:t>Inteli</w:t>
      </w:r>
    </w:p>
    <w:p w14:paraId="5F119288"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402F634B"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Visada vartokite šį vaistą tiksliai, kaip nurodė gydytojas </w:t>
      </w:r>
      <w:r w:rsidRPr="007B75DC">
        <w:rPr>
          <w:rFonts w:ascii="Times New Roman" w:eastAsia="Times New Roman" w:hAnsi="Times New Roman" w:cs="Times New Roman"/>
        </w:rPr>
        <w:t>arba vaistininkas</w:t>
      </w:r>
      <w:r w:rsidRPr="007B75DC">
        <w:rPr>
          <w:rFonts w:ascii="Times New Roman" w:eastAsia="Times New Roman" w:hAnsi="Times New Roman" w:cs="Times New Roman"/>
          <w:szCs w:val="24"/>
        </w:rPr>
        <w:t>. Jeigu abejojate, kreipkitės į gydytoją arba vaistininką.</w:t>
      </w:r>
    </w:p>
    <w:p w14:paraId="7500FFB2" w14:textId="77777777" w:rsidR="00DE2956" w:rsidRPr="007B75DC" w:rsidRDefault="00DE2956" w:rsidP="00DE2956">
      <w:pPr>
        <w:spacing w:after="0" w:line="240" w:lineRule="auto"/>
        <w:rPr>
          <w:rFonts w:ascii="Times New Roman" w:eastAsia="Times New Roman" w:hAnsi="Times New Roman" w:cs="Times New Roman"/>
          <w:szCs w:val="24"/>
        </w:rPr>
      </w:pPr>
    </w:p>
    <w:p w14:paraId="425E4C7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Jūsų gydytojas Jums paskyrė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kadangi sergate sunkia liga.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gali Jums padėti kovojant su šia būkle.</w:t>
      </w:r>
    </w:p>
    <w:p w14:paraId="36A96F4A" w14:textId="77777777" w:rsidR="00DE2956" w:rsidRPr="007B75DC" w:rsidRDefault="00DE2956" w:rsidP="00DE2956">
      <w:pPr>
        <w:spacing w:after="0" w:line="240" w:lineRule="auto"/>
        <w:rPr>
          <w:rFonts w:ascii="Times New Roman" w:eastAsia="Times New Roman" w:hAnsi="Times New Roman" w:cs="Times New Roman"/>
          <w:szCs w:val="24"/>
        </w:rPr>
      </w:pPr>
    </w:p>
    <w:p w14:paraId="1D1F4AD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Tačiau visada vartokite šį vaistą tiksliai kaip nurodė gydytojas arba vaistininkas. Svarbu, kad vaisto vartotumėte tiek laiko, kiek nurodė Jūsų gydytojas arba vaistininkas. Jeigu abejojate, kreipkitės į gydytoją arba vaistininką.</w:t>
      </w:r>
    </w:p>
    <w:p w14:paraId="5486F598" w14:textId="77777777" w:rsidR="00DE2956" w:rsidRPr="007B75DC" w:rsidRDefault="00DE2956" w:rsidP="00DE2956">
      <w:pPr>
        <w:spacing w:after="0" w:line="240" w:lineRule="auto"/>
        <w:rPr>
          <w:rFonts w:ascii="Times New Roman" w:eastAsia="Times New Roman" w:hAnsi="Times New Roman" w:cs="Times New Roman"/>
          <w:szCs w:val="24"/>
        </w:rPr>
      </w:pPr>
    </w:p>
    <w:p w14:paraId="588899BD"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Nenustokite vartoti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nebent taip nurodytų Jūsų gydytojas. Nedelsdami kreipkitės į gydytoją, jeigu negalite vartoti vaisto taip, kaip paskyrė gydytojas, arba jaučiate, kad šio vaisto Jums daugiau nereikia. </w:t>
      </w:r>
    </w:p>
    <w:p w14:paraId="0B7ED97B" w14:textId="77777777" w:rsidR="00DE2956" w:rsidRPr="007B75DC" w:rsidRDefault="00DE2956" w:rsidP="00DE2956">
      <w:pPr>
        <w:spacing w:after="0" w:line="240" w:lineRule="auto"/>
        <w:rPr>
          <w:rFonts w:ascii="Times New Roman" w:eastAsia="Times New Roman" w:hAnsi="Times New Roman" w:cs="Times New Roman"/>
          <w:szCs w:val="24"/>
        </w:rPr>
      </w:pPr>
    </w:p>
    <w:p w14:paraId="1C69F3CA"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Kiek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vartoti</w:t>
      </w:r>
    </w:p>
    <w:p w14:paraId="27BA5763" w14:textId="77777777" w:rsidR="00DE2956" w:rsidRPr="007B75DC" w:rsidRDefault="00DE2956" w:rsidP="00DE2956">
      <w:pPr>
        <w:spacing w:after="0" w:line="240" w:lineRule="auto"/>
        <w:rPr>
          <w:rFonts w:ascii="Times New Roman" w:eastAsia="Times New Roman" w:hAnsi="Times New Roman" w:cs="Times New Roman"/>
          <w:b/>
          <w:szCs w:val="24"/>
        </w:rPr>
      </w:pPr>
    </w:p>
    <w:p w14:paraId="32B743FD"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Vartojimas suaugusiesiems</w:t>
      </w:r>
    </w:p>
    <w:p w14:paraId="3BB7FE47"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Gydytojas Jums tiksliai nurodys, kiek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tablečių gerti.</w:t>
      </w:r>
    </w:p>
    <w:p w14:paraId="1CA2BA91" w14:textId="77777777" w:rsidR="00DE2956" w:rsidRPr="007B75DC" w:rsidRDefault="00DE2956" w:rsidP="00DE2956">
      <w:pPr>
        <w:spacing w:after="0" w:line="240" w:lineRule="auto"/>
        <w:rPr>
          <w:rFonts w:ascii="Times New Roman" w:eastAsia="Times New Roman" w:hAnsi="Times New Roman" w:cs="Times New Roman"/>
          <w:szCs w:val="24"/>
        </w:rPr>
      </w:pPr>
    </w:p>
    <w:p w14:paraId="29DC1F2C"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 gydoma LML:</w:t>
      </w:r>
    </w:p>
    <w:p w14:paraId="7CA4B44C" w14:textId="0E9325AB" w:rsidR="00DE2956" w:rsidRDefault="00DE2956" w:rsidP="00AC0D3B">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Priklausomai nuo Jūsų būklės, įprasta pradinė dozė yra </w:t>
      </w:r>
      <w:r w:rsidR="002B151F" w:rsidRPr="00534F79">
        <w:rPr>
          <w:rFonts w:ascii="Times New Roman" w:eastAsia="Times New Roman" w:hAnsi="Times New Roman" w:cs="Times New Roman"/>
          <w:b/>
          <w:bCs/>
          <w:szCs w:val="24"/>
        </w:rPr>
        <w:t xml:space="preserve">400 mg </w:t>
      </w:r>
      <w:r w:rsidRPr="00534F79">
        <w:rPr>
          <w:rFonts w:ascii="Times New Roman" w:eastAsia="Times New Roman" w:hAnsi="Times New Roman" w:cs="Times New Roman"/>
          <w:b/>
          <w:bCs/>
          <w:szCs w:val="24"/>
        </w:rPr>
        <w:t>arba 600</w:t>
      </w:r>
      <w:r w:rsidR="000C355D">
        <w:rPr>
          <w:rFonts w:ascii="Times New Roman" w:eastAsia="Times New Roman" w:hAnsi="Times New Roman" w:cs="Times New Roman"/>
          <w:b/>
          <w:bCs/>
          <w:szCs w:val="24"/>
        </w:rPr>
        <w:t> </w:t>
      </w:r>
      <w:r w:rsidRPr="00534F79">
        <w:rPr>
          <w:rFonts w:ascii="Times New Roman" w:eastAsia="Times New Roman" w:hAnsi="Times New Roman" w:cs="Times New Roman"/>
          <w:b/>
          <w:bCs/>
          <w:szCs w:val="24"/>
        </w:rPr>
        <w:t>mg</w:t>
      </w:r>
      <w:r w:rsidR="002B151F" w:rsidRPr="00534F79">
        <w:rPr>
          <w:rFonts w:ascii="Times New Roman" w:eastAsia="Times New Roman" w:hAnsi="Times New Roman" w:cs="Times New Roman"/>
          <w:b/>
          <w:bCs/>
          <w:szCs w:val="24"/>
        </w:rPr>
        <w:t xml:space="preserve"> kartą</w:t>
      </w:r>
      <w:r w:rsidR="002B151F" w:rsidRPr="007B75DC">
        <w:rPr>
          <w:rFonts w:ascii="Times New Roman" w:eastAsia="Times New Roman" w:hAnsi="Times New Roman" w:cs="Times New Roman"/>
          <w:szCs w:val="24"/>
        </w:rPr>
        <w:t xml:space="preserve"> per parą.</w:t>
      </w:r>
    </w:p>
    <w:p w14:paraId="55A5B53A" w14:textId="77777777" w:rsidR="004A7DA3" w:rsidRPr="007B75DC" w:rsidRDefault="004A7DA3" w:rsidP="00534F79">
      <w:pPr>
        <w:spacing w:after="0" w:line="240" w:lineRule="auto"/>
        <w:ind w:left="567"/>
        <w:rPr>
          <w:rFonts w:ascii="Times New Roman" w:eastAsia="Times New Roman" w:hAnsi="Times New Roman" w:cs="Times New Roman"/>
          <w:szCs w:val="24"/>
        </w:rPr>
      </w:pPr>
    </w:p>
    <w:p w14:paraId="51266862" w14:textId="77777777" w:rsidR="00CE3B08" w:rsidRPr="008D3472" w:rsidRDefault="00CE3B08" w:rsidP="00534F79">
      <w:pPr>
        <w:keepNext/>
        <w:numPr>
          <w:ilvl w:val="0"/>
          <w:numId w:val="5"/>
        </w:numPr>
        <w:autoSpaceDE w:val="0"/>
        <w:autoSpaceDN w:val="0"/>
        <w:adjustRightInd w:val="0"/>
        <w:spacing w:after="0" w:line="240" w:lineRule="auto"/>
        <w:ind w:left="567" w:hanging="567"/>
        <w:rPr>
          <w:rFonts w:ascii="Times New Roman" w:hAnsi="Times New Roman" w:cs="Times New Roman"/>
          <w:b/>
          <w:bCs/>
          <w:color w:val="000000"/>
          <w:lang w:eastAsia="lt-LT"/>
        </w:rPr>
      </w:pPr>
      <w:r w:rsidRPr="008D3472">
        <w:rPr>
          <w:rFonts w:ascii="Times New Roman" w:hAnsi="Times New Roman" w:cs="Times New Roman"/>
          <w:b/>
          <w:bCs/>
          <w:color w:val="000000"/>
          <w:lang w:eastAsia="lt-LT"/>
        </w:rPr>
        <w:t>Jei gydoma VTSN:</w:t>
      </w:r>
    </w:p>
    <w:p w14:paraId="497F4A2C" w14:textId="77777777" w:rsidR="00CE3B08" w:rsidRDefault="00CE3B08" w:rsidP="00534F79">
      <w:pPr>
        <w:keepNext/>
        <w:spacing w:after="0" w:line="240" w:lineRule="auto"/>
        <w:ind w:left="567"/>
        <w:rPr>
          <w:rFonts w:ascii="Times New Roman" w:eastAsia="Times New Roman" w:hAnsi="Times New Roman" w:cs="Times New Roman"/>
          <w:noProof/>
          <w:szCs w:val="24"/>
        </w:rPr>
      </w:pPr>
      <w:r w:rsidRPr="008D3472">
        <w:rPr>
          <w:rFonts w:ascii="Times New Roman" w:hAnsi="Times New Roman" w:cs="Times New Roman"/>
        </w:rPr>
        <w:t xml:space="preserve">Pradinė dozė yra 400 mg, vartojant </w:t>
      </w:r>
      <w:r w:rsidRPr="00BE50D1">
        <w:rPr>
          <w:rFonts w:ascii="Times New Roman" w:hAnsi="Times New Roman" w:cs="Times New Roman"/>
        </w:rPr>
        <w:t xml:space="preserve">kartą </w:t>
      </w:r>
      <w:r w:rsidRPr="0041724D">
        <w:rPr>
          <w:rFonts w:ascii="Times New Roman" w:hAnsi="Times New Roman" w:cs="Times New Roman"/>
        </w:rPr>
        <w:t>p</w:t>
      </w:r>
      <w:r w:rsidRPr="008D3472">
        <w:rPr>
          <w:rFonts w:ascii="Times New Roman" w:hAnsi="Times New Roman" w:cs="Times New Roman"/>
        </w:rPr>
        <w:t>er parą.</w:t>
      </w:r>
    </w:p>
    <w:p w14:paraId="334D5A45" w14:textId="77777777" w:rsidR="00CE3B08" w:rsidRPr="00DE2956" w:rsidRDefault="00CE3B08" w:rsidP="00CE3B08">
      <w:pPr>
        <w:spacing w:after="0" w:line="240" w:lineRule="auto"/>
        <w:rPr>
          <w:rFonts w:ascii="Times New Roman" w:eastAsia="Times New Roman" w:hAnsi="Times New Roman" w:cs="Times New Roman"/>
          <w:noProof/>
          <w:szCs w:val="24"/>
        </w:rPr>
      </w:pPr>
    </w:p>
    <w:p w14:paraId="398CCC34" w14:textId="77777777" w:rsidR="00CE3B08" w:rsidRPr="00DE2956" w:rsidRDefault="00CE3B08" w:rsidP="00CE3B08">
      <w:pPr>
        <w:spacing w:after="0" w:line="240" w:lineRule="auto"/>
        <w:rPr>
          <w:rFonts w:ascii="Times New Roman" w:eastAsia="Times New Roman" w:hAnsi="Times New Roman" w:cs="Times New Roman"/>
          <w:noProof/>
          <w:szCs w:val="24"/>
        </w:rPr>
      </w:pPr>
      <w:r w:rsidRPr="001010EE">
        <w:rPr>
          <w:rFonts w:ascii="Times New Roman" w:hAnsi="Times New Roman" w:cs="Times New Roman"/>
        </w:rPr>
        <w:lastRenderedPageBreak/>
        <w:t>Jeigu sergate LML ar VTSN,</w:t>
      </w:r>
      <w:r>
        <w:rPr>
          <w:rFonts w:ascii="Times New Roman" w:hAnsi="Times New Roman" w:cs="Times New Roman"/>
        </w:rPr>
        <w:t xml:space="preserve"> </w:t>
      </w:r>
      <w:r w:rsidRPr="00DE2956">
        <w:rPr>
          <w:rFonts w:ascii="Times New Roman" w:eastAsia="Times New Roman" w:hAnsi="Times New Roman" w:cs="Times New Roman"/>
          <w:noProof/>
          <w:szCs w:val="24"/>
        </w:rPr>
        <w:t>Jūsų gydytojas gali paskirti vartoti didesnę arba mažesnę dozę, atsižvelgdamas į Jūsų atsaką į gydymą. Jeigu vartojate 800</w:t>
      </w:r>
      <w:r>
        <w:rPr>
          <w:rFonts w:ascii="Times New Roman" w:eastAsia="Times New Roman" w:hAnsi="Times New Roman" w:cs="Times New Roman"/>
          <w:noProof/>
          <w:szCs w:val="24"/>
        </w:rPr>
        <w:t> </w:t>
      </w:r>
      <w:r w:rsidRPr="00DE2956">
        <w:rPr>
          <w:rFonts w:ascii="Times New Roman" w:eastAsia="Times New Roman" w:hAnsi="Times New Roman" w:cs="Times New Roman"/>
          <w:noProof/>
          <w:szCs w:val="24"/>
        </w:rPr>
        <w:t>mg paros dozę, reikia gerti 4</w:t>
      </w:r>
      <w:r w:rsidR="00941F96">
        <w:rPr>
          <w:rFonts w:ascii="Times New Roman" w:eastAsia="Times New Roman" w:hAnsi="Times New Roman" w:cs="Times New Roman"/>
          <w:noProof/>
          <w:szCs w:val="24"/>
        </w:rPr>
        <w:t>00</w:t>
      </w:r>
      <w:r>
        <w:rPr>
          <w:rFonts w:ascii="Times New Roman" w:eastAsia="Times New Roman" w:hAnsi="Times New Roman" w:cs="Times New Roman"/>
          <w:noProof/>
          <w:szCs w:val="24"/>
        </w:rPr>
        <w:t> </w:t>
      </w:r>
      <w:r w:rsidR="00941F96">
        <w:rPr>
          <w:rFonts w:ascii="Times New Roman" w:eastAsia="Times New Roman" w:hAnsi="Times New Roman" w:cs="Times New Roman"/>
          <w:noProof/>
          <w:szCs w:val="24"/>
        </w:rPr>
        <w:t>mg</w:t>
      </w:r>
      <w:r w:rsidRPr="00DE2956">
        <w:rPr>
          <w:rFonts w:ascii="Times New Roman" w:eastAsia="Times New Roman" w:hAnsi="Times New Roman" w:cs="Times New Roman"/>
          <w:noProof/>
          <w:szCs w:val="24"/>
        </w:rPr>
        <w:t xml:space="preserve"> ryte </w:t>
      </w:r>
      <w:r>
        <w:rPr>
          <w:rFonts w:ascii="Times New Roman" w:eastAsia="Times New Roman" w:hAnsi="Times New Roman" w:cs="Times New Roman"/>
          <w:noProof/>
          <w:szCs w:val="24"/>
        </w:rPr>
        <w:t xml:space="preserve">ir </w:t>
      </w:r>
      <w:r w:rsidRPr="00DE2956">
        <w:rPr>
          <w:rFonts w:ascii="Times New Roman" w:eastAsia="Times New Roman" w:hAnsi="Times New Roman" w:cs="Times New Roman"/>
          <w:noProof/>
          <w:szCs w:val="24"/>
        </w:rPr>
        <w:t>4</w:t>
      </w:r>
      <w:r w:rsidR="00941F96">
        <w:rPr>
          <w:rFonts w:ascii="Times New Roman" w:eastAsia="Times New Roman" w:hAnsi="Times New Roman" w:cs="Times New Roman"/>
          <w:noProof/>
          <w:szCs w:val="24"/>
        </w:rPr>
        <w:t>00</w:t>
      </w:r>
      <w:r>
        <w:rPr>
          <w:rFonts w:ascii="Times New Roman" w:eastAsia="Times New Roman" w:hAnsi="Times New Roman" w:cs="Times New Roman"/>
          <w:noProof/>
          <w:szCs w:val="24"/>
        </w:rPr>
        <w:t> </w:t>
      </w:r>
      <w:r w:rsidR="00941F96">
        <w:rPr>
          <w:rFonts w:ascii="Times New Roman" w:eastAsia="Times New Roman" w:hAnsi="Times New Roman" w:cs="Times New Roman"/>
          <w:noProof/>
          <w:szCs w:val="24"/>
        </w:rPr>
        <w:t>mg</w:t>
      </w:r>
      <w:r w:rsidRPr="00DE2956">
        <w:rPr>
          <w:rFonts w:ascii="Times New Roman" w:eastAsia="Times New Roman" w:hAnsi="Times New Roman" w:cs="Times New Roman"/>
          <w:noProof/>
          <w:szCs w:val="24"/>
        </w:rPr>
        <w:t xml:space="preserve"> vakare.</w:t>
      </w:r>
    </w:p>
    <w:p w14:paraId="6982B723" w14:textId="77777777" w:rsidR="00DE2956" w:rsidRPr="007B75DC" w:rsidRDefault="00DE2956" w:rsidP="00DE2956">
      <w:pPr>
        <w:spacing w:after="0" w:line="240" w:lineRule="auto"/>
        <w:rPr>
          <w:rFonts w:ascii="Times New Roman" w:eastAsia="Times New Roman" w:hAnsi="Times New Roman" w:cs="Times New Roman"/>
          <w:szCs w:val="24"/>
        </w:rPr>
      </w:pPr>
    </w:p>
    <w:p w14:paraId="56B8A828"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Ph teigiama ŪLL:</w:t>
      </w:r>
    </w:p>
    <w:p w14:paraId="0517FCB2" w14:textId="3E18B7EF" w:rsidR="00DE2956" w:rsidRDefault="00DE2956" w:rsidP="00534F79">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Pradinė dozė yra 600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b/>
          <w:szCs w:val="24"/>
        </w:rPr>
        <w:t>kartą</w:t>
      </w:r>
      <w:r w:rsidRPr="007B75DC">
        <w:rPr>
          <w:rFonts w:ascii="Times New Roman" w:eastAsia="Times New Roman" w:hAnsi="Times New Roman" w:cs="Times New Roman"/>
          <w:szCs w:val="24"/>
        </w:rPr>
        <w:t xml:space="preserve"> per parą. </w:t>
      </w:r>
    </w:p>
    <w:p w14:paraId="0445FD4D" w14:textId="77777777" w:rsidR="004D2D6D" w:rsidRPr="007B75DC" w:rsidRDefault="004D2D6D" w:rsidP="00534F79">
      <w:pPr>
        <w:spacing w:after="0" w:line="240" w:lineRule="auto"/>
        <w:ind w:left="567" w:hanging="567"/>
        <w:rPr>
          <w:rFonts w:ascii="Times New Roman" w:eastAsia="Times New Roman" w:hAnsi="Times New Roman" w:cs="Times New Roman"/>
          <w:szCs w:val="24"/>
        </w:rPr>
      </w:pPr>
    </w:p>
    <w:p w14:paraId="0C133523"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MDS/MPL:</w:t>
      </w:r>
    </w:p>
    <w:p w14:paraId="57EA421A" w14:textId="5555291C" w:rsidR="00DE2956" w:rsidRDefault="00DE2956" w:rsidP="00534F79">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Pradinė dozė yra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b/>
          <w:szCs w:val="24"/>
        </w:rPr>
        <w:t>kartą</w:t>
      </w:r>
      <w:r w:rsidRPr="007B75DC">
        <w:rPr>
          <w:rFonts w:ascii="Times New Roman" w:eastAsia="Times New Roman" w:hAnsi="Times New Roman" w:cs="Times New Roman"/>
          <w:szCs w:val="24"/>
        </w:rPr>
        <w:t xml:space="preserve"> per parą. </w:t>
      </w:r>
    </w:p>
    <w:p w14:paraId="50F6B6BC" w14:textId="77777777" w:rsidR="004D2D6D" w:rsidRPr="007B75DC" w:rsidRDefault="004D2D6D" w:rsidP="00534F79">
      <w:pPr>
        <w:spacing w:after="0" w:line="240" w:lineRule="auto"/>
        <w:ind w:left="567" w:hanging="567"/>
        <w:rPr>
          <w:rFonts w:ascii="Times New Roman" w:eastAsia="Times New Roman" w:hAnsi="Times New Roman" w:cs="Times New Roman"/>
          <w:szCs w:val="24"/>
        </w:rPr>
      </w:pPr>
    </w:p>
    <w:p w14:paraId="23CD3B97"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HES/LEL:</w:t>
      </w:r>
    </w:p>
    <w:p w14:paraId="1373DBE9" w14:textId="6EFAA851" w:rsidR="00DE2956" w:rsidRDefault="00DE2956" w:rsidP="00534F79">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Pradinė dozė yra 100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534F79">
        <w:rPr>
          <w:rFonts w:ascii="Times New Roman" w:eastAsia="Times New Roman" w:hAnsi="Times New Roman" w:cs="Times New Roman"/>
          <w:b/>
          <w:bCs/>
          <w:szCs w:val="24"/>
        </w:rPr>
        <w:t>kartą</w:t>
      </w:r>
      <w:r w:rsidRPr="007B75DC">
        <w:rPr>
          <w:rFonts w:ascii="Times New Roman" w:eastAsia="Times New Roman" w:hAnsi="Times New Roman" w:cs="Times New Roman"/>
          <w:szCs w:val="24"/>
        </w:rPr>
        <w:t xml:space="preserve"> per parą. Priklausomai nuo Jūsų atsako į gydymą, Jūsų gydytojas gali nuspręsti padidinti dozę iki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w:t>
      </w:r>
      <w:r w:rsidRPr="007B75DC">
        <w:rPr>
          <w:rFonts w:ascii="Times New Roman" w:eastAsia="Times New Roman" w:hAnsi="Times New Roman" w:cs="Times New Roman"/>
          <w:b/>
          <w:szCs w:val="24"/>
        </w:rPr>
        <w:t>kartą</w:t>
      </w:r>
      <w:r w:rsidRPr="007B75DC">
        <w:rPr>
          <w:rFonts w:ascii="Times New Roman" w:eastAsia="Times New Roman" w:hAnsi="Times New Roman" w:cs="Times New Roman"/>
          <w:szCs w:val="24"/>
        </w:rPr>
        <w:t xml:space="preserve"> per parą. </w:t>
      </w:r>
    </w:p>
    <w:p w14:paraId="5EC83B21" w14:textId="77777777" w:rsidR="004D2D6D" w:rsidRPr="007B75DC" w:rsidRDefault="004D2D6D" w:rsidP="00534F79">
      <w:pPr>
        <w:spacing w:after="0" w:line="240" w:lineRule="auto"/>
        <w:ind w:left="567" w:hanging="567"/>
        <w:rPr>
          <w:rFonts w:ascii="Times New Roman" w:eastAsia="Times New Roman" w:hAnsi="Times New Roman" w:cs="Times New Roman"/>
          <w:szCs w:val="24"/>
        </w:rPr>
      </w:pPr>
    </w:p>
    <w:p w14:paraId="429157C0" w14:textId="77777777" w:rsidR="00DE2956" w:rsidRPr="007B75DC" w:rsidRDefault="00DE2956" w:rsidP="00534F79">
      <w:pPr>
        <w:numPr>
          <w:ilvl w:val="0"/>
          <w:numId w:val="5"/>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Jeigu gydoma DFSP:</w:t>
      </w:r>
    </w:p>
    <w:p w14:paraId="5CE036C4" w14:textId="2ACA70D4" w:rsidR="00DE2956" w:rsidRPr="007B75DC" w:rsidRDefault="00DE2956" w:rsidP="00534F79">
      <w:pPr>
        <w:spacing w:after="0" w:line="240" w:lineRule="auto"/>
        <w:ind w:left="567"/>
        <w:rPr>
          <w:rFonts w:ascii="Times New Roman" w:eastAsia="Times New Roman" w:hAnsi="Times New Roman" w:cs="Times New Roman"/>
          <w:szCs w:val="24"/>
        </w:rPr>
      </w:pPr>
      <w:r w:rsidRPr="007B75DC">
        <w:rPr>
          <w:rFonts w:ascii="Times New Roman" w:eastAsia="Times New Roman" w:hAnsi="Times New Roman" w:cs="Times New Roman"/>
          <w:szCs w:val="24"/>
        </w:rPr>
        <w:t>Dozė yra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per parą (vartojant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ryte ir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 xml:space="preserve">mg vakare). </w:t>
      </w:r>
    </w:p>
    <w:p w14:paraId="20A1EB20" w14:textId="77777777" w:rsidR="00DE2956" w:rsidRPr="007B75DC" w:rsidRDefault="00DE2956" w:rsidP="00DE2956">
      <w:pPr>
        <w:spacing w:after="0" w:line="240" w:lineRule="auto"/>
        <w:rPr>
          <w:rFonts w:ascii="Times New Roman" w:eastAsia="Times New Roman" w:hAnsi="Times New Roman" w:cs="Times New Roman"/>
          <w:szCs w:val="24"/>
        </w:rPr>
      </w:pPr>
    </w:p>
    <w:p w14:paraId="7EC5F001" w14:textId="77777777" w:rsidR="002C63A7" w:rsidRPr="007B75DC" w:rsidRDefault="002C63A7" w:rsidP="002C63A7">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400 mg dozę galima vartoti </w:t>
      </w:r>
      <w:r w:rsidR="001C1CE3">
        <w:rPr>
          <w:rFonts w:ascii="Times New Roman" w:eastAsia="Times New Roman" w:hAnsi="Times New Roman" w:cs="Times New Roman"/>
          <w:szCs w:val="24"/>
        </w:rPr>
        <w:t>kaip</w:t>
      </w:r>
      <w:r w:rsidRPr="007B75DC">
        <w:rPr>
          <w:rFonts w:ascii="Times New Roman" w:eastAsia="Times New Roman" w:hAnsi="Times New Roman" w:cs="Times New Roman"/>
          <w:szCs w:val="24"/>
        </w:rPr>
        <w:t xml:space="preserve"> </w:t>
      </w:r>
      <w:r w:rsidR="004D2D6D">
        <w:rPr>
          <w:rFonts w:ascii="Times New Roman" w:eastAsia="Times New Roman" w:hAnsi="Times New Roman" w:cs="Times New Roman"/>
          <w:szCs w:val="24"/>
        </w:rPr>
        <w:t xml:space="preserve">vieną </w:t>
      </w:r>
      <w:r w:rsidRPr="007B75DC">
        <w:rPr>
          <w:rFonts w:ascii="Times New Roman" w:eastAsia="Times New Roman" w:hAnsi="Times New Roman" w:cs="Times New Roman"/>
          <w:szCs w:val="24"/>
        </w:rPr>
        <w:t xml:space="preserve">400 mg tabletę arba </w:t>
      </w:r>
      <w:r w:rsidR="004660BB">
        <w:rPr>
          <w:rFonts w:ascii="Times New Roman" w:eastAsia="Times New Roman" w:hAnsi="Times New Roman" w:cs="Times New Roman"/>
          <w:szCs w:val="24"/>
        </w:rPr>
        <w:t>4 tabletes po</w:t>
      </w:r>
      <w:r w:rsidRPr="007B75DC">
        <w:rPr>
          <w:rFonts w:ascii="Times New Roman" w:eastAsia="Times New Roman" w:hAnsi="Times New Roman" w:cs="Times New Roman"/>
          <w:szCs w:val="24"/>
        </w:rPr>
        <w:t xml:space="preserve"> 100 mg.</w:t>
      </w:r>
    </w:p>
    <w:p w14:paraId="0A955E36" w14:textId="3B39DB63" w:rsidR="002C63A7" w:rsidRDefault="002C63A7" w:rsidP="002C63A7">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600 mg </w:t>
      </w:r>
      <w:r w:rsidR="004660BB" w:rsidRPr="004B33DB">
        <w:rPr>
          <w:rFonts w:ascii="Times New Roman" w:eastAsia="Times New Roman" w:hAnsi="Times New Roman" w:cs="Times New Roman"/>
          <w:noProof/>
          <w:szCs w:val="24"/>
        </w:rPr>
        <w:t>doz</w:t>
      </w:r>
      <w:r w:rsidR="001C1CE3">
        <w:rPr>
          <w:rFonts w:ascii="Times New Roman" w:eastAsia="Times New Roman" w:hAnsi="Times New Roman" w:cs="Times New Roman"/>
          <w:noProof/>
          <w:szCs w:val="24"/>
        </w:rPr>
        <w:t>ę galima vartoti</w:t>
      </w:r>
      <w:r w:rsidR="004660BB" w:rsidRPr="004B33DB">
        <w:rPr>
          <w:rFonts w:ascii="Times New Roman" w:eastAsia="Times New Roman" w:hAnsi="Times New Roman" w:cs="Times New Roman"/>
          <w:noProof/>
          <w:szCs w:val="24"/>
        </w:rPr>
        <w:t xml:space="preserve"> </w:t>
      </w:r>
      <w:r w:rsidR="001C1CE3">
        <w:rPr>
          <w:rFonts w:ascii="Times New Roman" w:eastAsia="Times New Roman" w:hAnsi="Times New Roman" w:cs="Times New Roman"/>
          <w:noProof/>
          <w:szCs w:val="24"/>
        </w:rPr>
        <w:t>kaip</w:t>
      </w:r>
      <w:r w:rsidR="004660BB" w:rsidRPr="004B33DB">
        <w:rPr>
          <w:rFonts w:ascii="Times New Roman" w:eastAsia="Times New Roman" w:hAnsi="Times New Roman" w:cs="Times New Roman"/>
          <w:noProof/>
          <w:szCs w:val="24"/>
        </w:rPr>
        <w:t xml:space="preserve"> </w:t>
      </w:r>
      <w:r w:rsidR="004660BB">
        <w:rPr>
          <w:rFonts w:ascii="Times New Roman" w:eastAsia="Times New Roman" w:hAnsi="Times New Roman" w:cs="Times New Roman"/>
          <w:noProof/>
          <w:szCs w:val="24"/>
        </w:rPr>
        <w:t>vieną</w:t>
      </w:r>
      <w:r w:rsidR="004660BB" w:rsidRPr="004B33DB">
        <w:rPr>
          <w:rFonts w:ascii="Times New Roman" w:eastAsia="Times New Roman" w:hAnsi="Times New Roman" w:cs="Times New Roman"/>
          <w:noProof/>
          <w:szCs w:val="24"/>
        </w:rPr>
        <w:t xml:space="preserve"> 400</w:t>
      </w:r>
      <w:r w:rsidR="004660BB">
        <w:rPr>
          <w:rFonts w:ascii="Times New Roman" w:eastAsia="Times New Roman" w:hAnsi="Times New Roman" w:cs="Times New Roman"/>
          <w:noProof/>
          <w:szCs w:val="24"/>
        </w:rPr>
        <w:t> </w:t>
      </w:r>
      <w:r w:rsidR="004660BB" w:rsidRPr="004B33DB">
        <w:rPr>
          <w:rFonts w:ascii="Times New Roman" w:eastAsia="Times New Roman" w:hAnsi="Times New Roman" w:cs="Times New Roman"/>
          <w:noProof/>
          <w:szCs w:val="24"/>
        </w:rPr>
        <w:t xml:space="preserve">mg </w:t>
      </w:r>
      <w:r w:rsidR="004660BB">
        <w:rPr>
          <w:rFonts w:ascii="Times New Roman" w:eastAsia="Times New Roman" w:hAnsi="Times New Roman" w:cs="Times New Roman"/>
          <w:noProof/>
          <w:szCs w:val="24"/>
        </w:rPr>
        <w:t xml:space="preserve">tabletę </w:t>
      </w:r>
      <w:r w:rsidR="004660BB" w:rsidRPr="004B33DB">
        <w:rPr>
          <w:rFonts w:ascii="Times New Roman" w:eastAsia="Times New Roman" w:hAnsi="Times New Roman" w:cs="Times New Roman"/>
          <w:noProof/>
          <w:szCs w:val="24"/>
        </w:rPr>
        <w:t xml:space="preserve">ir </w:t>
      </w:r>
      <w:r w:rsidR="004660BB">
        <w:rPr>
          <w:rFonts w:ascii="Times New Roman" w:eastAsia="Times New Roman" w:hAnsi="Times New Roman" w:cs="Times New Roman"/>
          <w:noProof/>
          <w:szCs w:val="24"/>
        </w:rPr>
        <w:t xml:space="preserve">dar </w:t>
      </w:r>
      <w:r w:rsidR="004660BB" w:rsidRPr="004B33DB">
        <w:rPr>
          <w:rFonts w:ascii="Times New Roman" w:eastAsia="Times New Roman" w:hAnsi="Times New Roman" w:cs="Times New Roman"/>
          <w:noProof/>
          <w:szCs w:val="24"/>
        </w:rPr>
        <w:t>2</w:t>
      </w:r>
      <w:r w:rsidR="004660BB">
        <w:rPr>
          <w:rFonts w:ascii="Times New Roman" w:eastAsia="Times New Roman" w:hAnsi="Times New Roman" w:cs="Times New Roman"/>
          <w:noProof/>
          <w:szCs w:val="24"/>
        </w:rPr>
        <w:t> </w:t>
      </w:r>
      <w:r w:rsidR="004660BB" w:rsidRPr="004B33DB">
        <w:rPr>
          <w:rFonts w:ascii="Times New Roman" w:eastAsia="Times New Roman" w:hAnsi="Times New Roman" w:cs="Times New Roman"/>
          <w:noProof/>
          <w:szCs w:val="24"/>
        </w:rPr>
        <w:t>tablet</w:t>
      </w:r>
      <w:r w:rsidR="004660BB">
        <w:rPr>
          <w:rFonts w:ascii="Times New Roman" w:eastAsia="Times New Roman" w:hAnsi="Times New Roman" w:cs="Times New Roman"/>
          <w:noProof/>
          <w:szCs w:val="24"/>
        </w:rPr>
        <w:t>e</w:t>
      </w:r>
      <w:r w:rsidR="004660BB" w:rsidRPr="004B33DB">
        <w:rPr>
          <w:rFonts w:ascii="Times New Roman" w:eastAsia="Times New Roman" w:hAnsi="Times New Roman" w:cs="Times New Roman"/>
          <w:noProof/>
          <w:szCs w:val="24"/>
        </w:rPr>
        <w:t>s po 100</w:t>
      </w:r>
      <w:r w:rsidR="004660BB">
        <w:rPr>
          <w:rFonts w:ascii="Times New Roman" w:eastAsia="Times New Roman" w:hAnsi="Times New Roman" w:cs="Times New Roman"/>
          <w:noProof/>
          <w:szCs w:val="24"/>
        </w:rPr>
        <w:t> </w:t>
      </w:r>
      <w:r w:rsidR="004660BB" w:rsidRPr="004B33DB">
        <w:rPr>
          <w:rFonts w:ascii="Times New Roman" w:eastAsia="Times New Roman" w:hAnsi="Times New Roman" w:cs="Times New Roman"/>
          <w:noProof/>
          <w:szCs w:val="24"/>
        </w:rPr>
        <w:t>mg</w:t>
      </w:r>
      <w:r w:rsidR="00EE4DCF" w:rsidRPr="004B33DB">
        <w:rPr>
          <w:rFonts w:ascii="Times New Roman" w:eastAsia="Times New Roman" w:hAnsi="Times New Roman" w:cs="Times New Roman"/>
          <w:noProof/>
          <w:szCs w:val="24"/>
        </w:rPr>
        <w:t xml:space="preserve"> </w:t>
      </w:r>
      <w:r w:rsidR="00EE4DCF">
        <w:rPr>
          <w:rFonts w:ascii="Times New Roman" w:eastAsia="Times New Roman" w:hAnsi="Times New Roman" w:cs="Times New Roman"/>
          <w:noProof/>
          <w:szCs w:val="24"/>
        </w:rPr>
        <w:t>arba kaip</w:t>
      </w:r>
      <w:r w:rsidR="00EE4DCF" w:rsidRPr="004B33DB">
        <w:rPr>
          <w:rFonts w:ascii="Times New Roman" w:eastAsia="Times New Roman" w:hAnsi="Times New Roman" w:cs="Times New Roman"/>
          <w:noProof/>
          <w:szCs w:val="24"/>
        </w:rPr>
        <w:t xml:space="preserve"> </w:t>
      </w:r>
      <w:r w:rsidR="00EE4DCF">
        <w:rPr>
          <w:rFonts w:ascii="Times New Roman" w:eastAsia="Times New Roman" w:hAnsi="Times New Roman" w:cs="Times New Roman"/>
          <w:noProof/>
          <w:szCs w:val="24"/>
        </w:rPr>
        <w:t>vieną</w:t>
      </w:r>
      <w:r w:rsidR="00EE4DCF" w:rsidRPr="004B33DB">
        <w:rPr>
          <w:rFonts w:ascii="Times New Roman" w:eastAsia="Times New Roman" w:hAnsi="Times New Roman" w:cs="Times New Roman"/>
          <w:noProof/>
          <w:szCs w:val="24"/>
        </w:rPr>
        <w:t xml:space="preserve"> 400</w:t>
      </w:r>
      <w:r w:rsidR="00EE4DCF">
        <w:rPr>
          <w:rFonts w:ascii="Times New Roman" w:eastAsia="Times New Roman" w:hAnsi="Times New Roman" w:cs="Times New Roman"/>
          <w:noProof/>
          <w:szCs w:val="24"/>
        </w:rPr>
        <w:t> </w:t>
      </w:r>
      <w:r w:rsidR="00EE4DCF" w:rsidRPr="004B33DB">
        <w:rPr>
          <w:rFonts w:ascii="Times New Roman" w:eastAsia="Times New Roman" w:hAnsi="Times New Roman" w:cs="Times New Roman"/>
          <w:noProof/>
          <w:szCs w:val="24"/>
        </w:rPr>
        <w:t xml:space="preserve">mg </w:t>
      </w:r>
      <w:r w:rsidR="00EE4DCF">
        <w:rPr>
          <w:rFonts w:ascii="Times New Roman" w:eastAsia="Times New Roman" w:hAnsi="Times New Roman" w:cs="Times New Roman"/>
          <w:noProof/>
          <w:szCs w:val="24"/>
        </w:rPr>
        <w:t>tabletę</w:t>
      </w:r>
      <w:r w:rsidR="00EE4DCF" w:rsidRPr="00EE4DCF">
        <w:rPr>
          <w:rFonts w:ascii="Times New Roman" w:eastAsia="Times New Roman" w:hAnsi="Times New Roman" w:cs="Times New Roman"/>
          <w:szCs w:val="24"/>
        </w:rPr>
        <w:t xml:space="preserve"> </w:t>
      </w:r>
      <w:r w:rsidR="00EE4DCF">
        <w:rPr>
          <w:rFonts w:ascii="Times New Roman" w:eastAsia="Times New Roman" w:hAnsi="Times New Roman" w:cs="Times New Roman"/>
          <w:szCs w:val="24"/>
        </w:rPr>
        <w:t>ir pusę vienos 400 mg tabletės</w:t>
      </w:r>
      <w:r w:rsidRPr="007B75DC">
        <w:rPr>
          <w:rFonts w:ascii="Times New Roman" w:eastAsia="Times New Roman" w:hAnsi="Times New Roman" w:cs="Times New Roman"/>
          <w:szCs w:val="24"/>
        </w:rPr>
        <w:t>.</w:t>
      </w:r>
    </w:p>
    <w:p w14:paraId="29CC537A" w14:textId="77777777" w:rsidR="00EE4DCF" w:rsidRDefault="00EE4DCF" w:rsidP="002C63A7">
      <w:pPr>
        <w:spacing w:after="0" w:line="240" w:lineRule="auto"/>
        <w:rPr>
          <w:rFonts w:ascii="Times New Roman" w:eastAsia="Times New Roman" w:hAnsi="Times New Roman" w:cs="Times New Roman"/>
          <w:szCs w:val="24"/>
        </w:rPr>
      </w:pPr>
    </w:p>
    <w:p w14:paraId="60F3D50C" w14:textId="5B02FB05" w:rsidR="00EE4DCF" w:rsidRPr="007B75DC" w:rsidRDefault="00EE4DCF" w:rsidP="002C63A7">
      <w:pPr>
        <w:spacing w:after="0" w:line="240" w:lineRule="auto"/>
        <w:rPr>
          <w:rFonts w:ascii="Times New Roman" w:eastAsia="Times New Roman" w:hAnsi="Times New Roman" w:cs="Times New Roman"/>
          <w:szCs w:val="24"/>
        </w:rPr>
      </w:pPr>
      <w:r w:rsidRPr="00EE4DCF">
        <w:rPr>
          <w:rFonts w:ascii="Times New Roman" w:eastAsia="Times New Roman" w:hAnsi="Times New Roman" w:cs="Times New Roman"/>
          <w:szCs w:val="24"/>
        </w:rPr>
        <w:t>Tabletes galima padalyti per pusę perlaužiant išilgai</w:t>
      </w:r>
      <w:r>
        <w:rPr>
          <w:rFonts w:ascii="Times New Roman" w:eastAsia="Times New Roman" w:hAnsi="Times New Roman" w:cs="Times New Roman"/>
          <w:szCs w:val="24"/>
        </w:rPr>
        <w:t xml:space="preserve"> vagelės.</w:t>
      </w:r>
    </w:p>
    <w:p w14:paraId="1F4BFD3C" w14:textId="77777777" w:rsidR="002C63A7" w:rsidRPr="007B75DC" w:rsidRDefault="002C63A7" w:rsidP="00DE2956">
      <w:pPr>
        <w:spacing w:after="0" w:line="240" w:lineRule="auto"/>
        <w:rPr>
          <w:rFonts w:ascii="Times New Roman" w:eastAsia="Times New Roman" w:hAnsi="Times New Roman" w:cs="Times New Roman"/>
          <w:b/>
        </w:rPr>
      </w:pPr>
    </w:p>
    <w:p w14:paraId="413EA271"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rPr>
        <w:t xml:space="preserve">Vartojimas vaikams </w:t>
      </w:r>
      <w:r w:rsidRPr="007B75DC">
        <w:rPr>
          <w:rFonts w:ascii="Times New Roman" w:eastAsia="Times New Roman" w:hAnsi="Times New Roman" w:cs="Times New Roman"/>
          <w:b/>
          <w:szCs w:val="24"/>
        </w:rPr>
        <w:t>ir paaugliams</w:t>
      </w:r>
    </w:p>
    <w:p w14:paraId="1AEA9302" w14:textId="32F56D38"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Gydytojas nurodys, kiek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tablečių reikia duoti gerti vaikui.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dozė priklausys nuo vaiko būklės, kūno masės ir ūgio. Bendroji vaikų, serg</w:t>
      </w:r>
      <w:r w:rsidR="001C1CE3">
        <w:rPr>
          <w:rFonts w:ascii="Times New Roman" w:eastAsia="Times New Roman" w:hAnsi="Times New Roman" w:cs="Times New Roman"/>
          <w:szCs w:val="24"/>
        </w:rPr>
        <w:t>a</w:t>
      </w:r>
      <w:r w:rsidRPr="007B75DC">
        <w:rPr>
          <w:rFonts w:ascii="Times New Roman" w:eastAsia="Times New Roman" w:hAnsi="Times New Roman" w:cs="Times New Roman"/>
          <w:szCs w:val="24"/>
        </w:rPr>
        <w:t>nčių LML</w:t>
      </w:r>
      <w:r w:rsidR="001C1CE3">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paros dozė neturi būti didesnė kaip 800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w:t>
      </w:r>
      <w:r w:rsidR="001C1CE3">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ir 600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sergančių Ph+ ŪLL. Vaistą galima vartoti vieną kartą per parą arba paros dozę padalyti į dvi dalis (pusę dozės vartoti ryte ir kitą pusę – vakare).</w:t>
      </w:r>
    </w:p>
    <w:p w14:paraId="341671EB"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5C1D1511"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Kada ir kaip vartoti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w:t>
      </w:r>
    </w:p>
    <w:p w14:paraId="62BE1F11" w14:textId="77777777" w:rsidR="00DE2956" w:rsidRPr="007B75DC" w:rsidRDefault="00DE2956" w:rsidP="00534F79">
      <w:pPr>
        <w:numPr>
          <w:ilvl w:val="0"/>
          <w:numId w:val="27"/>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gerkite valgio metu.</w:t>
      </w:r>
      <w:r w:rsidRPr="007B75DC">
        <w:rPr>
          <w:rFonts w:ascii="Times New Roman" w:eastAsia="Times New Roman" w:hAnsi="Times New Roman" w:cs="Times New Roman"/>
          <w:szCs w:val="24"/>
        </w:rPr>
        <w:t xml:space="preserve"> Tai padės išvengti skrandžio sutrikimų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vartojimo metu.</w:t>
      </w:r>
    </w:p>
    <w:p w14:paraId="32BAAC9D" w14:textId="77777777" w:rsidR="00DE2956" w:rsidRPr="007B75DC" w:rsidRDefault="00DE2956" w:rsidP="00534F79">
      <w:pPr>
        <w:numPr>
          <w:ilvl w:val="0"/>
          <w:numId w:val="27"/>
        </w:num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Nurykite visą tabletę užgerdami didele stikline vandens.</w:t>
      </w:r>
    </w:p>
    <w:p w14:paraId="3E7CC9EB"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545B0FC4" w14:textId="77777777" w:rsidR="00DE2956" w:rsidRPr="00534F79" w:rsidRDefault="00DE2956" w:rsidP="00DE2956">
      <w:pPr>
        <w:spacing w:after="0" w:line="240" w:lineRule="auto"/>
        <w:ind w:left="567" w:hanging="567"/>
        <w:rPr>
          <w:rFonts w:ascii="Times New Roman" w:eastAsia="Times New Roman" w:hAnsi="Times New Roman" w:cs="Times New Roman"/>
          <w:bCs/>
          <w:szCs w:val="24"/>
        </w:rPr>
      </w:pPr>
      <w:r w:rsidRPr="00534F79">
        <w:rPr>
          <w:rFonts w:ascii="Times New Roman" w:eastAsia="Times New Roman" w:hAnsi="Times New Roman" w:cs="Times New Roman"/>
          <w:bCs/>
          <w:szCs w:val="24"/>
        </w:rPr>
        <w:t>Jeigu negalite nuryti tabletės, ištirpinkite ją stiklinėje negazuoto vandens ar obuolių sulčių:</w:t>
      </w:r>
    </w:p>
    <w:p w14:paraId="4478B269" w14:textId="065DB95E" w:rsidR="00DE2956" w:rsidRPr="007B75DC" w:rsidRDefault="00DE2956" w:rsidP="00534F79">
      <w:pPr>
        <w:numPr>
          <w:ilvl w:val="0"/>
          <w:numId w:val="10"/>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Kiekvienai 100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tabletei naudokite maždaug 50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ml skysčio, arba 200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ml – kiekvienai 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tabletei</w:t>
      </w:r>
      <w:r w:rsidR="00BB0C88">
        <w:rPr>
          <w:rFonts w:ascii="Times New Roman" w:eastAsia="Times New Roman" w:hAnsi="Times New Roman" w:cs="Times New Roman"/>
          <w:szCs w:val="24"/>
        </w:rPr>
        <w:t>.</w:t>
      </w:r>
    </w:p>
    <w:p w14:paraId="656148AC" w14:textId="77777777" w:rsidR="00DE2956" w:rsidRPr="007B75DC" w:rsidRDefault="00DE2956" w:rsidP="00534F79">
      <w:pPr>
        <w:numPr>
          <w:ilvl w:val="0"/>
          <w:numId w:val="10"/>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Pamaišykite šaukštu, kol tabletė visiškai ištirps.</w:t>
      </w:r>
    </w:p>
    <w:p w14:paraId="602DE937" w14:textId="77777777" w:rsidR="00DE2956" w:rsidRPr="007B75DC" w:rsidRDefault="00DE2956" w:rsidP="00534F79">
      <w:pPr>
        <w:numPr>
          <w:ilvl w:val="0"/>
          <w:numId w:val="10"/>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Kai tabletė ištirps, nedelsdami išgerkite visą stiklinės turinį. Ištirpusios tabletės liekanų gali likti stiklinėje.</w:t>
      </w:r>
    </w:p>
    <w:p w14:paraId="5C58D10C"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5658B30B" w14:textId="77777777" w:rsidR="00DE2956" w:rsidRPr="007B75DC" w:rsidRDefault="00DE2956" w:rsidP="00DE2956">
      <w:pPr>
        <w:spacing w:after="0" w:line="240" w:lineRule="auto"/>
        <w:rPr>
          <w:rFonts w:ascii="Times New Roman" w:eastAsia="Times New Roman" w:hAnsi="Times New Roman" w:cs="Times New Roman"/>
        </w:rPr>
      </w:pPr>
      <w:r w:rsidRPr="007B75DC">
        <w:rPr>
          <w:rFonts w:ascii="Times New Roman" w:eastAsia="Times New Roman" w:hAnsi="Times New Roman" w:cs="Times New Roman"/>
          <w:szCs w:val="24"/>
        </w:rPr>
        <w:t>Tabletę galima padalyti į lygias dozes.</w:t>
      </w:r>
    </w:p>
    <w:p w14:paraId="23D9863D"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6AFF9272"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Kaip ilgai vartoti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w:t>
      </w:r>
    </w:p>
    <w:p w14:paraId="69A219C5"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b/>
          <w:szCs w:val="24"/>
        </w:rPr>
        <w:t xml:space="preserve"> </w:t>
      </w:r>
      <w:r w:rsidRPr="007B75DC">
        <w:rPr>
          <w:rFonts w:ascii="Times New Roman" w:eastAsia="Times New Roman" w:hAnsi="Times New Roman" w:cs="Times New Roman"/>
          <w:szCs w:val="24"/>
        </w:rPr>
        <w:t>vartokite kasdien, tiek laiko, kiek nurodė Jūsų gydytojas.</w:t>
      </w:r>
      <w:r w:rsidRPr="007B75DC">
        <w:rPr>
          <w:rFonts w:ascii="Times New Roman" w:eastAsia="Times New Roman" w:hAnsi="Times New Roman" w:cs="Times New Roman"/>
          <w:szCs w:val="24"/>
        </w:rPr>
        <w:cr/>
      </w:r>
    </w:p>
    <w:p w14:paraId="0AC38C3C"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Ką daryti pavartojus per didelę 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szCs w:val="24"/>
        </w:rPr>
        <w:t xml:space="preserve"> dozę</w:t>
      </w:r>
    </w:p>
    <w:p w14:paraId="0AE7A255"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atsitiktinai išgėrėte per daug tablečių, </w:t>
      </w:r>
      <w:r w:rsidRPr="00534F79">
        <w:rPr>
          <w:rFonts w:ascii="Times New Roman" w:eastAsia="Times New Roman" w:hAnsi="Times New Roman" w:cs="Times New Roman"/>
          <w:b/>
          <w:bCs/>
          <w:szCs w:val="24"/>
        </w:rPr>
        <w:t>iš karto</w:t>
      </w:r>
      <w:r w:rsidRPr="007B75DC">
        <w:rPr>
          <w:rFonts w:ascii="Times New Roman" w:eastAsia="Times New Roman" w:hAnsi="Times New Roman" w:cs="Times New Roman"/>
          <w:szCs w:val="24"/>
        </w:rPr>
        <w:t xml:space="preserve"> kreipkitės į gydytoją. Jums gali prireikti medicininės pagalbos. Pasiimkite su savimi vaisto pakuotę.</w:t>
      </w:r>
    </w:p>
    <w:p w14:paraId="734B43C2" w14:textId="77777777" w:rsidR="00DE2956" w:rsidRPr="007B75DC" w:rsidRDefault="00DE2956" w:rsidP="00DE2956">
      <w:pPr>
        <w:spacing w:after="0" w:line="240" w:lineRule="auto"/>
        <w:ind w:left="567" w:hanging="567"/>
        <w:rPr>
          <w:rFonts w:ascii="Times New Roman" w:eastAsia="Times New Roman" w:hAnsi="Times New Roman" w:cs="Times New Roman"/>
          <w:b/>
          <w:szCs w:val="24"/>
        </w:rPr>
      </w:pPr>
    </w:p>
    <w:p w14:paraId="2973621D" w14:textId="77777777" w:rsidR="00DE2956" w:rsidRPr="007B75DC" w:rsidRDefault="00DE2956" w:rsidP="00534F79">
      <w:pPr>
        <w:keepNext/>
        <w:keepLines/>
        <w:spacing w:after="0" w:line="240" w:lineRule="auto"/>
        <w:ind w:left="567" w:hanging="567"/>
        <w:rPr>
          <w:rFonts w:ascii="Times New Roman" w:eastAsia="Times New Roman" w:hAnsi="Times New Roman" w:cs="Times New Roman"/>
          <w:b/>
          <w:szCs w:val="24"/>
        </w:rPr>
      </w:pPr>
      <w:r w:rsidRPr="007B75DC">
        <w:rPr>
          <w:rFonts w:ascii="Times New Roman" w:eastAsia="Times New Roman" w:hAnsi="Times New Roman" w:cs="Times New Roman"/>
          <w:b/>
          <w:szCs w:val="24"/>
        </w:rPr>
        <w:t xml:space="preserve">Pamiršus pavartoti Imatinib </w:t>
      </w:r>
      <w:r w:rsidR="006F09BA" w:rsidRPr="007B75DC">
        <w:rPr>
          <w:rFonts w:ascii="Times New Roman" w:eastAsia="Times New Roman" w:hAnsi="Times New Roman" w:cs="Times New Roman"/>
          <w:b/>
          <w:szCs w:val="24"/>
        </w:rPr>
        <w:t>Inteli</w:t>
      </w:r>
    </w:p>
    <w:p w14:paraId="4A87B718" w14:textId="77777777" w:rsidR="00DE2956" w:rsidRPr="007B75DC" w:rsidRDefault="00DE2956" w:rsidP="00534F79">
      <w:pPr>
        <w:keepNext/>
        <w:keepLines/>
        <w:numPr>
          <w:ilvl w:val="0"/>
          <w:numId w:val="2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Pamiršus pavartoti vaisto dozę, ją išgerkite</w:t>
      </w:r>
      <w:r w:rsidR="00BB0C88">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kai tik prisiminėte. Tačiau jei jau beveik laikas gerti kitą dozę, praleistos dozės nevartokite.</w:t>
      </w:r>
    </w:p>
    <w:p w14:paraId="5387F546" w14:textId="77777777" w:rsidR="00DE2956" w:rsidRPr="007B75DC" w:rsidRDefault="00DE2956" w:rsidP="00534F79">
      <w:pPr>
        <w:numPr>
          <w:ilvl w:val="0"/>
          <w:numId w:val="2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Vėliau tęskite vaisto vartojimą įprastu režimu.</w:t>
      </w:r>
    </w:p>
    <w:p w14:paraId="21D96B4D" w14:textId="77777777" w:rsidR="00DE2956" w:rsidRPr="007B75DC" w:rsidRDefault="00DE2956" w:rsidP="00534F79">
      <w:pPr>
        <w:numPr>
          <w:ilvl w:val="0"/>
          <w:numId w:val="28"/>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Negalima vartoti dvigubos dozės norint kompensuoti praleistą dozę.</w:t>
      </w:r>
      <w:r w:rsidRPr="007B75DC">
        <w:rPr>
          <w:rFonts w:ascii="Times New Roman" w:eastAsia="Times New Roman" w:hAnsi="Times New Roman" w:cs="Times New Roman"/>
          <w:szCs w:val="24"/>
        </w:rPr>
        <w:cr/>
      </w:r>
    </w:p>
    <w:p w14:paraId="2CF63FE4"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Jeigu kiltų daugiau klausimų dėl šio vaisto vartojimo, kreipkitės į gydytoją, vaistininką arba slaugytoją.</w:t>
      </w:r>
    </w:p>
    <w:p w14:paraId="7DFDDC46"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0EF87074"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6BFED1E7" w14:textId="77777777" w:rsidR="00DE2956" w:rsidRPr="007B75DC" w:rsidRDefault="00DE2956" w:rsidP="00DE2956">
      <w:pPr>
        <w:numPr>
          <w:ilvl w:val="12"/>
          <w:numId w:val="0"/>
        </w:numPr>
        <w:spacing w:after="0" w:line="240" w:lineRule="auto"/>
        <w:ind w:left="567" w:hanging="567"/>
        <w:outlineLvl w:val="0"/>
        <w:rPr>
          <w:rFonts w:ascii="Times New Roman" w:eastAsia="Times New Roman" w:hAnsi="Times New Roman" w:cs="Times New Roman"/>
          <w:b/>
          <w:caps/>
          <w:szCs w:val="24"/>
        </w:rPr>
      </w:pPr>
      <w:r w:rsidRPr="007B75DC">
        <w:rPr>
          <w:rFonts w:ascii="Times New Roman" w:eastAsia="Times New Roman" w:hAnsi="Times New Roman" w:cs="Times New Roman"/>
          <w:b/>
          <w:caps/>
          <w:szCs w:val="24"/>
        </w:rPr>
        <w:t>4.</w:t>
      </w:r>
      <w:r w:rsidRPr="007B75DC">
        <w:rPr>
          <w:rFonts w:ascii="Times New Roman" w:eastAsia="Times New Roman" w:hAnsi="Times New Roman" w:cs="Times New Roman"/>
          <w:b/>
          <w:caps/>
          <w:szCs w:val="24"/>
        </w:rPr>
        <w:tab/>
      </w:r>
      <w:r w:rsidRPr="007B75DC">
        <w:rPr>
          <w:rFonts w:ascii="Times New Roman" w:eastAsia="Times New Roman" w:hAnsi="Times New Roman" w:cs="Times New Roman"/>
          <w:b/>
          <w:szCs w:val="24"/>
        </w:rPr>
        <w:t>Galimas šalutinis poveikis</w:t>
      </w:r>
    </w:p>
    <w:p w14:paraId="29C77ADD"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64C13225" w14:textId="77777777" w:rsidR="00DE2956" w:rsidRPr="007B75DC" w:rsidRDefault="00DE2956" w:rsidP="00534F79">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Šis vaistas, kaip ir visi kiti, gali sukelti šalutinį poveikį, nors jis pasireiškia ne visiems žmonėms.</w:t>
      </w:r>
      <w:r w:rsidR="00BB0C88">
        <w:rPr>
          <w:rFonts w:ascii="Times New Roman" w:eastAsia="Times New Roman" w:hAnsi="Times New Roman" w:cs="Times New Roman"/>
          <w:szCs w:val="24"/>
        </w:rPr>
        <w:t xml:space="preserve"> </w:t>
      </w:r>
      <w:r w:rsidR="00726C86">
        <w:rPr>
          <w:rFonts w:ascii="Times New Roman" w:eastAsia="Times New Roman" w:hAnsi="Times New Roman" w:cs="Times New Roman"/>
          <w:szCs w:val="24"/>
        </w:rPr>
        <w:t>Paprastai</w:t>
      </w:r>
      <w:r w:rsidR="00726C86" w:rsidRPr="00726C86">
        <w:rPr>
          <w:rFonts w:ascii="Times New Roman" w:eastAsia="Times New Roman" w:hAnsi="Times New Roman" w:cs="Times New Roman"/>
          <w:szCs w:val="24"/>
        </w:rPr>
        <w:t xml:space="preserve"> šalutinis poveikis būna lengvas arba vidutinio sunkumo</w:t>
      </w:r>
      <w:r w:rsidR="00726C86">
        <w:rPr>
          <w:rFonts w:ascii="Times New Roman" w:eastAsia="Times New Roman" w:hAnsi="Times New Roman" w:cs="Times New Roman"/>
          <w:szCs w:val="24"/>
        </w:rPr>
        <w:t>.</w:t>
      </w:r>
    </w:p>
    <w:p w14:paraId="62ADA8AE"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B2D02FD"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Kai kurie šalutiniai reiškiniai gali būti sunkūs. Nedelsiant pasakykite gydytojui, jeigu Jums pasireikštų kuris nors iš toliau išvardytų reiškinių.</w:t>
      </w:r>
    </w:p>
    <w:p w14:paraId="48D86D57" w14:textId="77777777" w:rsidR="00DE2956" w:rsidRPr="007B75DC" w:rsidRDefault="00DE2956" w:rsidP="00DE2956">
      <w:pPr>
        <w:spacing w:after="0" w:line="240" w:lineRule="auto"/>
        <w:rPr>
          <w:rFonts w:ascii="Times New Roman" w:eastAsia="Times New Roman" w:hAnsi="Times New Roman" w:cs="Times New Roman"/>
          <w:szCs w:val="24"/>
        </w:rPr>
      </w:pPr>
    </w:p>
    <w:p w14:paraId="31E77CBF"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Labai dažni</w:t>
      </w:r>
      <w:r w:rsidR="003B4645" w:rsidRPr="003B4645">
        <w:t xml:space="preserve"> </w:t>
      </w:r>
      <w:r w:rsidR="003B4645" w:rsidRPr="003B4645">
        <w:rPr>
          <w:rFonts w:ascii="Times New Roman" w:eastAsia="Times New Roman" w:hAnsi="Times New Roman" w:cs="Times New Roman"/>
          <w:b/>
          <w:szCs w:val="24"/>
        </w:rPr>
        <w:t>šalutinio poveikio reiškiniai</w:t>
      </w:r>
      <w:r w:rsidRPr="007B75DC">
        <w:rPr>
          <w:rFonts w:ascii="Times New Roman" w:eastAsia="Times New Roman" w:hAnsi="Times New Roman" w:cs="Times New Roman"/>
          <w:szCs w:val="24"/>
        </w:rPr>
        <w:t xml:space="preserve"> (gali pasireikšti </w:t>
      </w:r>
      <w:r w:rsidR="003B4645">
        <w:rPr>
          <w:rFonts w:ascii="Times New Roman" w:eastAsia="Times New Roman" w:hAnsi="Times New Roman" w:cs="Times New Roman"/>
          <w:szCs w:val="24"/>
        </w:rPr>
        <w:t>ne rečiau</w:t>
      </w:r>
      <w:r w:rsidR="003B4645"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kaip 1 iš 10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b/>
          <w:szCs w:val="24"/>
        </w:rPr>
        <w:t>ir dažni</w:t>
      </w:r>
      <w:r w:rsidRPr="007B75DC">
        <w:rPr>
          <w:rFonts w:ascii="Times New Roman" w:eastAsia="Times New Roman" w:hAnsi="Times New Roman" w:cs="Times New Roman"/>
          <w:szCs w:val="24"/>
        </w:rPr>
        <w:t xml:space="preserve"> </w:t>
      </w:r>
      <w:r w:rsidR="003B4645" w:rsidRPr="00534F79">
        <w:rPr>
          <w:rFonts w:ascii="Times New Roman" w:eastAsia="Times New Roman" w:hAnsi="Times New Roman" w:cs="Times New Roman"/>
          <w:b/>
          <w:bCs/>
          <w:szCs w:val="24"/>
        </w:rPr>
        <w:t xml:space="preserve">šalutinio poveikio reiškiniai </w:t>
      </w:r>
      <w:r w:rsidRPr="007B75DC">
        <w:rPr>
          <w:rFonts w:ascii="Times New Roman" w:eastAsia="Times New Roman" w:hAnsi="Times New Roman" w:cs="Times New Roman"/>
          <w:szCs w:val="24"/>
        </w:rPr>
        <w:t>(gali pasireikšti rečiau kaip 1</w:t>
      </w:r>
      <w:r w:rsid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iš 10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14:paraId="18A97292"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Greitai padidėjęs kūno svoris. Vartojant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organizme gali pradėti kauptis skystis (pasireikšti sunkus skysčių susilaikymas).</w:t>
      </w:r>
    </w:p>
    <w:p w14:paraId="379D13F2"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Infekcijos požymiai – pavyzdžiui, karščiavimas, stiprus šaltkrėtis, gerklės skausmas ar burnos išopėjimas. 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gali sumažinti baltųjų kraujo kūnelių skaičių, todėl galite greičiau užsikrėsti infekcinėmis ligomis.</w:t>
      </w:r>
    </w:p>
    <w:p w14:paraId="2012FAA4"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Netikėtas kraujavimas ar kraujosruvų (mėlynių) susidarymas (be jokio sužalojimo).</w:t>
      </w:r>
    </w:p>
    <w:p w14:paraId="1326233F" w14:textId="77777777" w:rsidR="00DE2956" w:rsidRPr="007B75DC" w:rsidRDefault="00DE2956" w:rsidP="00DE2956">
      <w:pPr>
        <w:spacing w:after="0" w:line="240" w:lineRule="auto"/>
        <w:rPr>
          <w:rFonts w:ascii="Times New Roman" w:eastAsia="Times New Roman" w:hAnsi="Times New Roman" w:cs="Times New Roman"/>
          <w:szCs w:val="24"/>
        </w:rPr>
      </w:pPr>
    </w:p>
    <w:p w14:paraId="3922EE2C"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Neda</w:t>
      </w:r>
      <w:r w:rsidRPr="003B4645">
        <w:rPr>
          <w:rFonts w:ascii="Times New Roman" w:eastAsia="Times New Roman" w:hAnsi="Times New Roman" w:cs="Times New Roman"/>
          <w:b/>
          <w:szCs w:val="24"/>
        </w:rPr>
        <w:t>žni</w:t>
      </w:r>
      <w:r w:rsidRPr="00534F79">
        <w:rPr>
          <w:rFonts w:ascii="Times New Roman" w:eastAsia="Times New Roman" w:hAnsi="Times New Roman" w:cs="Times New Roman"/>
          <w:b/>
          <w:szCs w:val="24"/>
        </w:rPr>
        <w:t xml:space="preserve"> </w:t>
      </w:r>
      <w:r w:rsidR="003B4645" w:rsidRPr="00534F79">
        <w:rPr>
          <w:rFonts w:ascii="Times New Roman" w:eastAsia="Times New Roman" w:hAnsi="Times New Roman" w:cs="Times New Roman"/>
          <w:b/>
          <w:szCs w:val="24"/>
        </w:rPr>
        <w:t>šalutinio poveikio reiškiniai</w:t>
      </w:r>
      <w:r w:rsidR="003B4645"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(gali pasireikšti rečiau kaip 1 iš 100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b/>
          <w:szCs w:val="24"/>
        </w:rPr>
        <w:t>ir reti</w:t>
      </w:r>
      <w:r w:rsidR="003B4645" w:rsidRPr="003B4645">
        <w:t xml:space="preserve"> </w:t>
      </w:r>
      <w:r w:rsidR="003B4645" w:rsidRPr="003B4645">
        <w:rPr>
          <w:rFonts w:ascii="Times New Roman" w:eastAsia="Times New Roman" w:hAnsi="Times New Roman" w:cs="Times New Roman"/>
          <w:b/>
          <w:szCs w:val="24"/>
        </w:rPr>
        <w:t>šalutinio poveikio reiškiniai</w:t>
      </w:r>
      <w:r w:rsidRPr="007B75DC">
        <w:rPr>
          <w:rFonts w:ascii="Times New Roman" w:eastAsia="Times New Roman" w:hAnsi="Times New Roman" w:cs="Times New Roman"/>
          <w:szCs w:val="24"/>
        </w:rPr>
        <w:t xml:space="preserve"> (gali pasireikšti rečiau kaip 1 iš 1</w:t>
      </w:r>
      <w:r w:rsidR="003B4645">
        <w:rPr>
          <w:rFonts w:ascii="Times New Roman" w:eastAsia="Times New Roman" w:hAnsi="Times New Roman" w:cs="Times New Roman"/>
          <w:szCs w:val="24"/>
        </w:rPr>
        <w:t> </w:t>
      </w:r>
      <w:r w:rsidRPr="007B75DC">
        <w:rPr>
          <w:rFonts w:ascii="Times New Roman" w:eastAsia="Times New Roman" w:hAnsi="Times New Roman" w:cs="Times New Roman"/>
          <w:szCs w:val="24"/>
        </w:rPr>
        <w:t>000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14:paraId="0C17D000"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Skausmas krūtinėje, nereguliarus širdies ritmas (širdies sutrikimų požymiai).</w:t>
      </w:r>
    </w:p>
    <w:p w14:paraId="08934474"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Kosulys, pasunkėjęs kvėpavimas arba skausmingas kvėpavimas (plaučių sutrikimų požymiai).</w:t>
      </w:r>
    </w:p>
    <w:p w14:paraId="14B5CF50"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Apsvaigimas, svaigulys ar apalpimas (žemo kraujospūdžio požymiai).</w:t>
      </w:r>
    </w:p>
    <w:p w14:paraId="1DDEFA3E"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Šleikštulys (pykinimas), taip pat apetito trūkumas, tamsios spalvos šlapimas, pageltusi oda ar akių baltymai (kepenų sutrikimų požymiai).</w:t>
      </w:r>
    </w:p>
    <w:p w14:paraId="0E32EF9F"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Bėrimas, odos paraudimas, taip pat pūslių atsiradimas ant lūpų, akių, odos arba burnos gleivinės, odos pleiskanojimas, karščiavimas, pakilę raudoni arba purpuriniai odos lopai, niežulys, deginimo pojūtis, pūslinis bėrimas (odos sutrikimų požymiai).</w:t>
      </w:r>
    </w:p>
    <w:p w14:paraId="531F6B18"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Stiprus pilvo skausmas, vėmimas, tuštinimasis ar šlapinimasis su kraujo priemaiša, juodos spalvos išmatos (virškinimo trakto sutrikimų požymiai).</w:t>
      </w:r>
    </w:p>
    <w:p w14:paraId="775C6ABB"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Labai sumažėjęs šlapimo kiekis, troškulys (inkstų sutrikimų požymiai).</w:t>
      </w:r>
    </w:p>
    <w:p w14:paraId="2F77812B"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Šleikštulys (pykinimas) kartu su viduriavimu ir vėmimu, pilvo skausmas arba karščiavimas (žarnų sutrikimų požymiai).</w:t>
      </w:r>
    </w:p>
    <w:p w14:paraId="16A32491"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Stiprus galvos skausmas, silpnumas arba galūnių ar veido paralyžius, pasunkėjusi kalba, staigus sąmonės praradimas (nervų sistemos sutrikimų, pavyzdžiui, kraujavimo kaukolės ertmėje ar galvos smegenų patinimo, požymiai).</w:t>
      </w:r>
    </w:p>
    <w:p w14:paraId="0BBE8F44"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Išblyškusi oda, nuovargis ir dusulys, tamsus šlapimas (sumažėjusio raudonųjų kraujo ląstelių skaičiaus požymiai).</w:t>
      </w:r>
    </w:p>
    <w:p w14:paraId="288AED36"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Akies skausmas ar pablogėjusi rega, kraujavimas į akies vidų.</w:t>
      </w:r>
    </w:p>
    <w:p w14:paraId="74BAEB5C"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Skausmas </w:t>
      </w:r>
      <w:r w:rsidR="00946D20" w:rsidRPr="007B75DC">
        <w:rPr>
          <w:rFonts w:ascii="Times New Roman" w:eastAsia="Times New Roman" w:hAnsi="Times New Roman" w:cs="Times New Roman"/>
          <w:szCs w:val="24"/>
        </w:rPr>
        <w:t>kauluose ar sąnariuose (osteo</w:t>
      </w:r>
      <w:r w:rsidR="00473042">
        <w:rPr>
          <w:rFonts w:ascii="Times New Roman" w:eastAsia="Times New Roman" w:hAnsi="Times New Roman" w:cs="Times New Roman"/>
          <w:szCs w:val="24"/>
        </w:rPr>
        <w:t>nek</w:t>
      </w:r>
      <w:r w:rsidR="00946D20" w:rsidRPr="007B75DC">
        <w:rPr>
          <w:rFonts w:ascii="Times New Roman" w:eastAsia="Times New Roman" w:hAnsi="Times New Roman" w:cs="Times New Roman"/>
          <w:szCs w:val="24"/>
        </w:rPr>
        <w:t>rozės požymiai)</w:t>
      </w:r>
      <w:r w:rsidRPr="007B75DC">
        <w:rPr>
          <w:rFonts w:ascii="Times New Roman" w:eastAsia="Times New Roman" w:hAnsi="Times New Roman" w:cs="Times New Roman"/>
          <w:szCs w:val="24"/>
        </w:rPr>
        <w:t>.</w:t>
      </w:r>
    </w:p>
    <w:p w14:paraId="41E411D9" w14:textId="77777777" w:rsidR="00946D20" w:rsidRPr="007B75DC" w:rsidRDefault="00946D20"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Pūslės odoje ar gleivinėje (pūslinės požymiai).</w:t>
      </w:r>
    </w:p>
    <w:p w14:paraId="658D7B2F"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Kojų ir rankų pirštų nutirpimas ar šalimas (Reino (</w:t>
      </w:r>
      <w:r w:rsidRPr="007B75DC">
        <w:rPr>
          <w:rFonts w:ascii="Times New Roman" w:eastAsia="Times New Roman" w:hAnsi="Times New Roman" w:cs="Times New Roman"/>
          <w:i/>
          <w:szCs w:val="24"/>
        </w:rPr>
        <w:t>Raynaud</w:t>
      </w:r>
      <w:r w:rsidRPr="007B75DC">
        <w:rPr>
          <w:rFonts w:ascii="Times New Roman" w:eastAsia="Times New Roman" w:hAnsi="Times New Roman" w:cs="Times New Roman"/>
          <w:szCs w:val="24"/>
        </w:rPr>
        <w:t>) sindromo požymiai).</w:t>
      </w:r>
    </w:p>
    <w:p w14:paraId="7FBBB39B"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Staigus odos patinimas ir paraudimas (odos infekcijos, vadinamos celiulitu, požymiai).</w:t>
      </w:r>
    </w:p>
    <w:p w14:paraId="5EE632F9"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Sutrikusi klausa.</w:t>
      </w:r>
    </w:p>
    <w:p w14:paraId="403E696D"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Raumenų silpnumas ir spazmas kartu su sutrikusiu širdies ritmu (požymiai, rodantys, kad pakito kalio kiekis Jūsų kraujyje).</w:t>
      </w:r>
    </w:p>
    <w:p w14:paraId="355F54D0"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Mėlynės.</w:t>
      </w:r>
    </w:p>
    <w:p w14:paraId="25457DB7"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Skrandžio skausmas kartu su šleikštuliu (pykinimu).</w:t>
      </w:r>
    </w:p>
    <w:p w14:paraId="75F49A43"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Raumenų spazmai ir kartu pasireiškiantis karščiavimas, raudonai rudos spalvos šlapimas, raumenų skausmas ar silpnumas (raumenų sutrikimų požymiai).</w:t>
      </w:r>
    </w:p>
    <w:p w14:paraId="43CEF2CD"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Dubens srities skausmas, kartais kartu su pykinimu ir vėmimu, kartu su netikėtu kraujavimu iš makšties, svaiguliu ar apalpimu dėl sumažėjusio kraujospūdžio (kiaušidžių ar gimdos sutrikimų požymiai).</w:t>
      </w:r>
    </w:p>
    <w:p w14:paraId="7545830D"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Pykinimas, oro trūkumas, nereguliarus širdies ritmas, drumstas šlapimas, nuovargis ir</w:t>
      </w:r>
      <w:r w:rsidR="00244DC9">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arba</w:t>
      </w:r>
      <w:r w:rsidR="00244DC9">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sąnarių diskomfortas</w:t>
      </w:r>
      <w:r w:rsidR="00244DC9">
        <w:rPr>
          <w:rFonts w:ascii="Times New Roman" w:eastAsia="Times New Roman" w:hAnsi="Times New Roman" w:cs="Times New Roman"/>
          <w:szCs w:val="24"/>
        </w:rPr>
        <w:t>,</w:t>
      </w:r>
      <w:r w:rsidRPr="007B75DC">
        <w:rPr>
          <w:rFonts w:ascii="Times New Roman" w:eastAsia="Times New Roman" w:hAnsi="Times New Roman" w:cs="Times New Roman"/>
          <w:szCs w:val="24"/>
        </w:rPr>
        <w:t xml:space="preserve"> susijęs su </w:t>
      </w:r>
      <w:r w:rsidR="00244DC9">
        <w:rPr>
          <w:rFonts w:ascii="Times New Roman" w:eastAsia="Times New Roman" w:hAnsi="Times New Roman" w:cs="Times New Roman"/>
          <w:szCs w:val="24"/>
        </w:rPr>
        <w:t>nenor</w:t>
      </w:r>
      <w:r w:rsidRPr="007B75DC">
        <w:rPr>
          <w:rFonts w:ascii="Times New Roman" w:eastAsia="Times New Roman" w:hAnsi="Times New Roman" w:cs="Times New Roman"/>
          <w:szCs w:val="24"/>
        </w:rPr>
        <w:t>maliais laboratorinių tyrimų rezultatais (pvz., didelis kalio, šlapimo rūgšties ir kalcio kiekis, ir mažas fosforo kiekis kraujyje).</w:t>
      </w:r>
    </w:p>
    <w:p w14:paraId="06C18F19" w14:textId="77777777" w:rsidR="00DE2956" w:rsidRPr="007B75DC" w:rsidRDefault="00F11B04"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Kraujo krešulių susidarymas smulkiose kraujagyslėse (trombinė mikroangiopatija).</w:t>
      </w:r>
    </w:p>
    <w:p w14:paraId="4A9B71D8" w14:textId="77777777" w:rsidR="00F11B04" w:rsidRPr="007B75DC" w:rsidRDefault="00F11B04" w:rsidP="00DE2956">
      <w:pPr>
        <w:spacing w:after="0" w:line="240" w:lineRule="auto"/>
        <w:ind w:left="567" w:hanging="567"/>
        <w:rPr>
          <w:rFonts w:ascii="Times New Roman" w:eastAsia="Times New Roman" w:hAnsi="Times New Roman" w:cs="Times New Roman"/>
          <w:szCs w:val="24"/>
        </w:rPr>
      </w:pPr>
    </w:p>
    <w:p w14:paraId="486B5B69"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Dažnis nežinomas</w:t>
      </w:r>
      <w:r w:rsidRPr="007B75DC">
        <w:rPr>
          <w:rFonts w:ascii="Times New Roman" w:eastAsia="Times New Roman" w:hAnsi="Times New Roman" w:cs="Times New Roman"/>
          <w:szCs w:val="24"/>
        </w:rPr>
        <w:t xml:space="preserve"> (negali būti </w:t>
      </w:r>
      <w:r w:rsidR="003B4645" w:rsidRPr="003B4645">
        <w:rPr>
          <w:rFonts w:ascii="Times New Roman" w:eastAsia="Times New Roman" w:hAnsi="Times New Roman" w:cs="Times New Roman"/>
          <w:szCs w:val="24"/>
        </w:rPr>
        <w:t>apskaičiuotas</w:t>
      </w:r>
      <w:r w:rsidR="003B4645" w:rsidRPr="003B4645" w:rsidDel="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pagal turimus duomenis)</w:t>
      </w:r>
    </w:p>
    <w:p w14:paraId="599EB338"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Plačiai išplitęs stiprus odos bėrimas kartu su pykinimu, karščiavimu, kai kurių baltųjų kraujo kūnelių skaičiaus padidėjimu arba odos ar akių pageltimu (geltos požymiai), lyd</w:t>
      </w:r>
      <w:r w:rsidR="00244DC9">
        <w:rPr>
          <w:rFonts w:ascii="Times New Roman" w:eastAsia="Times New Roman" w:hAnsi="Times New Roman" w:cs="Times New Roman"/>
          <w:szCs w:val="24"/>
        </w:rPr>
        <w:t>i</w:t>
      </w:r>
      <w:r w:rsidRPr="007B75DC">
        <w:rPr>
          <w:rFonts w:ascii="Times New Roman" w:eastAsia="Times New Roman" w:hAnsi="Times New Roman" w:cs="Times New Roman"/>
          <w:szCs w:val="24"/>
        </w:rPr>
        <w:t>mas dusulio, krūtinės skausmo</w:t>
      </w:r>
      <w:r w:rsidR="00244DC9">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w:t>
      </w:r>
      <w:r w:rsidR="00244DC9">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diskomforto, labai sumažėjusio šlapimo išsiskyrimo bei troškulio ir t.</w:t>
      </w:r>
      <w:r w:rsidR="00244DC9">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t. (alerginės reakcijos požymiai susiję su gydymu).</w:t>
      </w:r>
    </w:p>
    <w:p w14:paraId="384E50A6"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Lėtinis inkstų nepakankamumas.</w:t>
      </w:r>
    </w:p>
    <w:p w14:paraId="2F78B9F6"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Hepatito B infekcijos atsinaujinimas (reaktyvacija), jeigu praeityje Jums buvo diagnozuotas hepatitas B (kepenų infekcija).</w:t>
      </w:r>
      <w:r w:rsidRPr="007B75DC">
        <w:rPr>
          <w:rFonts w:ascii="Times New Roman" w:eastAsia="Times New Roman" w:hAnsi="Times New Roman" w:cs="Times New Roman"/>
          <w:szCs w:val="24"/>
        </w:rPr>
        <w:cr/>
      </w:r>
    </w:p>
    <w:p w14:paraId="4582DB0C"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Jeigu Jums pasireikštų bet kuris iš anksčiau nurodytų reiškinių, </w:t>
      </w:r>
      <w:r w:rsidRPr="007B75DC">
        <w:rPr>
          <w:rFonts w:ascii="Times New Roman" w:eastAsia="Times New Roman" w:hAnsi="Times New Roman" w:cs="Times New Roman"/>
          <w:b/>
          <w:szCs w:val="24"/>
        </w:rPr>
        <w:t>nedelsiant pasakykite gydytojui.</w:t>
      </w:r>
    </w:p>
    <w:p w14:paraId="481A3C8B" w14:textId="77777777" w:rsidR="00DE2956" w:rsidRPr="007B75DC" w:rsidRDefault="00DE2956" w:rsidP="00DE2956">
      <w:pPr>
        <w:spacing w:after="0" w:line="240" w:lineRule="auto"/>
        <w:rPr>
          <w:rFonts w:ascii="Times New Roman" w:eastAsia="Times New Roman" w:hAnsi="Times New Roman" w:cs="Times New Roman"/>
          <w:szCs w:val="24"/>
        </w:rPr>
      </w:pPr>
    </w:p>
    <w:p w14:paraId="31916A87"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b/>
          <w:szCs w:val="24"/>
        </w:rPr>
        <w:t>Taip pat gali pasireikšti kiti šalutini</w:t>
      </w:r>
      <w:r w:rsidR="00244DC9">
        <w:rPr>
          <w:rFonts w:ascii="Times New Roman" w:eastAsia="Times New Roman" w:hAnsi="Times New Roman" w:cs="Times New Roman"/>
          <w:b/>
          <w:szCs w:val="24"/>
        </w:rPr>
        <w:t xml:space="preserve">o poveikio </w:t>
      </w:r>
      <w:r w:rsidRPr="007B75DC">
        <w:rPr>
          <w:rFonts w:ascii="Times New Roman" w:eastAsia="Times New Roman" w:hAnsi="Times New Roman" w:cs="Times New Roman"/>
          <w:b/>
          <w:szCs w:val="24"/>
        </w:rPr>
        <w:t>reiškiniai:</w:t>
      </w:r>
    </w:p>
    <w:p w14:paraId="32B08234" w14:textId="77777777" w:rsidR="00DE2956" w:rsidRPr="007B75DC" w:rsidRDefault="00DE2956" w:rsidP="00DE2956">
      <w:pPr>
        <w:spacing w:after="0" w:line="240" w:lineRule="auto"/>
        <w:rPr>
          <w:rFonts w:ascii="Times New Roman" w:eastAsia="Times New Roman" w:hAnsi="Times New Roman" w:cs="Times New Roman"/>
          <w:b/>
          <w:szCs w:val="24"/>
        </w:rPr>
      </w:pPr>
    </w:p>
    <w:p w14:paraId="387FD178"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Labai dažni</w:t>
      </w:r>
      <w:r w:rsidRPr="007B75DC">
        <w:rPr>
          <w:rFonts w:ascii="Times New Roman" w:eastAsia="Times New Roman" w:hAnsi="Times New Roman" w:cs="Times New Roman"/>
          <w:szCs w:val="24"/>
        </w:rPr>
        <w:t xml:space="preserve"> </w:t>
      </w:r>
      <w:r w:rsidR="003B4645" w:rsidRPr="00534F79">
        <w:rPr>
          <w:rFonts w:ascii="Times New Roman" w:eastAsia="Times New Roman" w:hAnsi="Times New Roman" w:cs="Times New Roman"/>
          <w:b/>
          <w:bCs/>
          <w:szCs w:val="24"/>
        </w:rPr>
        <w:t>šalutinio poveikio reiškiniai</w:t>
      </w:r>
      <w:r w:rsidR="003B4645"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 xml:space="preserve">(gali pasireikšti </w:t>
      </w:r>
      <w:r w:rsidR="003B4645">
        <w:rPr>
          <w:rFonts w:ascii="Times New Roman" w:eastAsia="Times New Roman" w:hAnsi="Times New Roman" w:cs="Times New Roman"/>
          <w:szCs w:val="24"/>
        </w:rPr>
        <w:t>ne rečiau</w:t>
      </w:r>
      <w:r w:rsidR="003B4645"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kaip 1 iš 10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14:paraId="1A93B480"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Galvos skausmas ar nuovargis.</w:t>
      </w:r>
    </w:p>
    <w:p w14:paraId="2F80460D"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Šleikštulys (pykinimas), vėmimas, viduriavimas ar nevirškinimas.</w:t>
      </w:r>
    </w:p>
    <w:p w14:paraId="670C395C"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Bėrimas.</w:t>
      </w:r>
    </w:p>
    <w:p w14:paraId="5B017A0D"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Raumenų mėšlungis arba sąnarių, raumenų ir kaulų skausmas</w:t>
      </w:r>
      <w:r w:rsidR="00F11B04" w:rsidRPr="007B75DC">
        <w:rPr>
          <w:rFonts w:ascii="Times New Roman" w:eastAsia="Times New Roman" w:hAnsi="Times New Roman" w:cs="Times New Roman"/>
          <w:szCs w:val="24"/>
        </w:rPr>
        <w:t xml:space="preserve"> Imatinib </w:t>
      </w:r>
      <w:r w:rsidR="006F09BA" w:rsidRPr="007B75DC">
        <w:rPr>
          <w:rFonts w:ascii="Times New Roman" w:eastAsia="Times New Roman" w:hAnsi="Times New Roman" w:cs="Times New Roman"/>
          <w:szCs w:val="24"/>
        </w:rPr>
        <w:t>Inteli</w:t>
      </w:r>
      <w:r w:rsidR="00F11B04" w:rsidRPr="007B75DC">
        <w:rPr>
          <w:rFonts w:ascii="Times New Roman" w:eastAsia="Times New Roman" w:hAnsi="Times New Roman" w:cs="Times New Roman"/>
          <w:szCs w:val="24"/>
        </w:rPr>
        <w:t xml:space="preserve"> vartojimo metu arba nutraukus Imatinib </w:t>
      </w:r>
      <w:r w:rsidR="006F09BA" w:rsidRPr="007B75DC">
        <w:rPr>
          <w:rFonts w:ascii="Times New Roman" w:eastAsia="Times New Roman" w:hAnsi="Times New Roman" w:cs="Times New Roman"/>
          <w:szCs w:val="24"/>
        </w:rPr>
        <w:t>Inteli</w:t>
      </w:r>
      <w:r w:rsidR="00F11B04" w:rsidRPr="007B75DC">
        <w:rPr>
          <w:rFonts w:ascii="Times New Roman" w:eastAsia="Times New Roman" w:hAnsi="Times New Roman" w:cs="Times New Roman"/>
          <w:szCs w:val="24"/>
        </w:rPr>
        <w:t xml:space="preserve"> vartojimą</w:t>
      </w:r>
      <w:r w:rsidRPr="007B75DC">
        <w:rPr>
          <w:rFonts w:ascii="Times New Roman" w:eastAsia="Times New Roman" w:hAnsi="Times New Roman" w:cs="Times New Roman"/>
          <w:szCs w:val="24"/>
        </w:rPr>
        <w:t>.</w:t>
      </w:r>
    </w:p>
    <w:p w14:paraId="62B439AF"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Tinimas, pavyzdžiui, patinusios kulkšnys ar paburkę akių vokai.</w:t>
      </w:r>
    </w:p>
    <w:p w14:paraId="3715DD2B"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Padidėjęs kūno svoris.</w:t>
      </w:r>
    </w:p>
    <w:p w14:paraId="5CD2985B" w14:textId="77777777" w:rsidR="00DE2956" w:rsidRPr="007B75DC" w:rsidRDefault="00DE2956" w:rsidP="00DE2956">
      <w:pPr>
        <w:spacing w:after="0" w:line="240" w:lineRule="auto"/>
        <w:rPr>
          <w:rFonts w:ascii="Times New Roman" w:eastAsia="Times New Roman" w:hAnsi="Times New Roman" w:cs="Times New Roman"/>
          <w:szCs w:val="24"/>
        </w:rPr>
      </w:pPr>
    </w:p>
    <w:p w14:paraId="162BBDD1" w14:textId="77777777" w:rsidR="00DE2956" w:rsidRPr="007B75DC" w:rsidRDefault="00DE2956" w:rsidP="00DE2956">
      <w:pPr>
        <w:spacing w:after="0" w:line="240" w:lineRule="auto"/>
        <w:rPr>
          <w:rFonts w:ascii="Times New Roman" w:eastAsia="Times New Roman" w:hAnsi="Times New Roman" w:cs="Times New Roman"/>
          <w:b/>
          <w:szCs w:val="24"/>
        </w:rPr>
      </w:pPr>
      <w:r w:rsidRPr="007B75DC">
        <w:rPr>
          <w:rFonts w:ascii="Times New Roman" w:eastAsia="Times New Roman" w:hAnsi="Times New Roman" w:cs="Times New Roman"/>
          <w:szCs w:val="24"/>
        </w:rPr>
        <w:t xml:space="preserve">Jei bet kuris iš šių reiškinių tampa sunkiu, </w:t>
      </w:r>
      <w:r w:rsidRPr="007B75DC">
        <w:rPr>
          <w:rFonts w:ascii="Times New Roman" w:eastAsia="Times New Roman" w:hAnsi="Times New Roman" w:cs="Times New Roman"/>
          <w:b/>
          <w:szCs w:val="24"/>
        </w:rPr>
        <w:t>pasakykite gydytojui.</w:t>
      </w:r>
    </w:p>
    <w:p w14:paraId="271DBDD7" w14:textId="77777777" w:rsidR="00DE2956" w:rsidRPr="007B75DC" w:rsidRDefault="00DE2956" w:rsidP="00DE2956">
      <w:pPr>
        <w:spacing w:after="0" w:line="240" w:lineRule="auto"/>
        <w:rPr>
          <w:rFonts w:ascii="Times New Roman" w:eastAsia="Times New Roman" w:hAnsi="Times New Roman" w:cs="Times New Roman"/>
          <w:szCs w:val="24"/>
        </w:rPr>
      </w:pPr>
    </w:p>
    <w:p w14:paraId="3B089C73"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Dažni</w:t>
      </w:r>
      <w:r w:rsidRPr="007B75DC">
        <w:rPr>
          <w:rFonts w:ascii="Times New Roman" w:eastAsia="Times New Roman" w:hAnsi="Times New Roman" w:cs="Times New Roman"/>
          <w:szCs w:val="24"/>
        </w:rPr>
        <w:t xml:space="preserve"> </w:t>
      </w:r>
      <w:r w:rsidR="003B4645" w:rsidRPr="00534F79">
        <w:rPr>
          <w:rFonts w:ascii="Times New Roman" w:eastAsia="Times New Roman" w:hAnsi="Times New Roman" w:cs="Times New Roman"/>
          <w:b/>
          <w:bCs/>
          <w:szCs w:val="24"/>
        </w:rPr>
        <w:t>šalutinio poveikio reiškiniai</w:t>
      </w:r>
      <w:r w:rsidR="003B4645"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(gali pasireikšti rečiau kaip 1 iš 10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14:paraId="5466BC38"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Anoreksija, sumažėjęs kūno svoris, sutrikęs skonio jutimas.</w:t>
      </w:r>
    </w:p>
    <w:p w14:paraId="044FA563"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Svaigulys, silpnumas.</w:t>
      </w:r>
    </w:p>
    <w:p w14:paraId="7E886FCC"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Sunkumas užmigti (nemiga).</w:t>
      </w:r>
    </w:p>
    <w:p w14:paraId="5335E516"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Išskyros iš akies kartu su niežuliu, paraudimu ir patinimu (konjunktyvitas), ašarojimas, neryškus matymas.</w:t>
      </w:r>
    </w:p>
    <w:p w14:paraId="55A2601F"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Kraujavimas iš nosies.</w:t>
      </w:r>
    </w:p>
    <w:p w14:paraId="514E6B03"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Pilvo skausmas ar patinimas, vidurių pūtimas, rėmuo, vidurių užkietėjimas.</w:t>
      </w:r>
    </w:p>
    <w:p w14:paraId="486C458E"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Niežulys.</w:t>
      </w:r>
    </w:p>
    <w:p w14:paraId="7CB52EE6"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Neįprastas plaukų slinkimas ar plonėjimas.</w:t>
      </w:r>
    </w:p>
    <w:p w14:paraId="4DD53759"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Plaštakų ar pėdų tirpimas.</w:t>
      </w:r>
    </w:p>
    <w:p w14:paraId="07B92CAC"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Burnos išopėjimas.</w:t>
      </w:r>
    </w:p>
    <w:p w14:paraId="65F38611"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Sąnarių skausmas ir patinimas.</w:t>
      </w:r>
    </w:p>
    <w:p w14:paraId="4A6B343C"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Burnos, odos ar akių džiūvimas.</w:t>
      </w:r>
    </w:p>
    <w:p w14:paraId="0DBFB785"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Sumažėjęs arba padidėjęs odos jautrumas.</w:t>
      </w:r>
    </w:p>
    <w:p w14:paraId="0EF01501"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Karščio pylimai, drebulys</w:t>
      </w:r>
      <w:r w:rsidR="004A5600">
        <w:rPr>
          <w:rFonts w:ascii="Times New Roman" w:eastAsia="Times New Roman" w:hAnsi="Times New Roman" w:cs="Times New Roman"/>
          <w:szCs w:val="24"/>
        </w:rPr>
        <w:t xml:space="preserve"> ar</w:t>
      </w:r>
      <w:r w:rsidRPr="007B75DC">
        <w:rPr>
          <w:rFonts w:ascii="Times New Roman" w:eastAsia="Times New Roman" w:hAnsi="Times New Roman" w:cs="Times New Roman"/>
          <w:szCs w:val="24"/>
        </w:rPr>
        <w:t xml:space="preserve"> naktinis prakaitavimas.</w:t>
      </w:r>
    </w:p>
    <w:p w14:paraId="2B6276DF" w14:textId="77777777" w:rsidR="00DE2956" w:rsidRPr="007B75DC" w:rsidRDefault="00DE2956" w:rsidP="00DE2956">
      <w:pPr>
        <w:spacing w:after="0" w:line="240" w:lineRule="auto"/>
        <w:rPr>
          <w:rFonts w:ascii="Times New Roman" w:eastAsia="Times New Roman" w:hAnsi="Times New Roman" w:cs="Times New Roman"/>
          <w:szCs w:val="24"/>
        </w:rPr>
      </w:pPr>
    </w:p>
    <w:p w14:paraId="7B7702A1"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bet kuris iš šių reiškinių tampa sunkiu, </w:t>
      </w:r>
      <w:r w:rsidRPr="007B75DC">
        <w:rPr>
          <w:rFonts w:ascii="Times New Roman" w:eastAsia="Times New Roman" w:hAnsi="Times New Roman" w:cs="Times New Roman"/>
          <w:b/>
          <w:szCs w:val="24"/>
        </w:rPr>
        <w:t>pasakykite gydytojui.</w:t>
      </w:r>
    </w:p>
    <w:p w14:paraId="1FACCE7B" w14:textId="77777777" w:rsidR="00DE2956" w:rsidRPr="007B75DC" w:rsidRDefault="00DE2956" w:rsidP="00DE2956">
      <w:pPr>
        <w:spacing w:after="0" w:line="240" w:lineRule="auto"/>
        <w:rPr>
          <w:rFonts w:ascii="Times New Roman" w:eastAsia="Times New Roman" w:hAnsi="Times New Roman" w:cs="Times New Roman"/>
          <w:szCs w:val="24"/>
        </w:rPr>
      </w:pPr>
    </w:p>
    <w:p w14:paraId="4379FF0E" w14:textId="77777777" w:rsidR="00AB720D" w:rsidRPr="007B75DC" w:rsidRDefault="00AB720D" w:rsidP="00AB720D">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Nedažni</w:t>
      </w:r>
      <w:r w:rsidR="003B4645">
        <w:rPr>
          <w:rFonts w:ascii="Times New Roman" w:eastAsia="Times New Roman" w:hAnsi="Times New Roman" w:cs="Times New Roman"/>
          <w:b/>
          <w:szCs w:val="24"/>
        </w:rPr>
        <w:t xml:space="preserve"> </w:t>
      </w:r>
      <w:r w:rsidR="003B4645" w:rsidRPr="003B4645">
        <w:rPr>
          <w:rFonts w:ascii="Times New Roman" w:eastAsia="Times New Roman" w:hAnsi="Times New Roman" w:cs="Times New Roman"/>
          <w:b/>
          <w:szCs w:val="24"/>
        </w:rPr>
        <w:t>šalutinio poveikio reiškiniai</w:t>
      </w:r>
      <w:r w:rsidRPr="007B75DC">
        <w:rPr>
          <w:rFonts w:ascii="Times New Roman" w:eastAsia="Times New Roman" w:hAnsi="Times New Roman" w:cs="Times New Roman"/>
          <w:szCs w:val="24"/>
        </w:rPr>
        <w:t xml:space="preserve"> (gali pasireikšti rečiau kaip 1 iš 100</w:t>
      </w:r>
      <w:r w:rsidR="004D2D6D">
        <w:rPr>
          <w:rFonts w:ascii="Times New Roman" w:eastAsia="Times New Roman" w:hAnsi="Times New Roman" w:cs="Times New Roman"/>
          <w:szCs w:val="24"/>
        </w:rPr>
        <w:t> </w:t>
      </w:r>
      <w:r w:rsidR="003B4645">
        <w:rPr>
          <w:rFonts w:ascii="Times New Roman" w:eastAsia="Times New Roman" w:hAnsi="Times New Roman" w:cs="Times New Roman"/>
          <w:szCs w:val="24"/>
        </w:rPr>
        <w:t>asmenų</w:t>
      </w:r>
      <w:r w:rsidRPr="007B75DC">
        <w:rPr>
          <w:rFonts w:ascii="Times New Roman" w:eastAsia="Times New Roman" w:hAnsi="Times New Roman" w:cs="Times New Roman"/>
          <w:szCs w:val="24"/>
        </w:rPr>
        <w:t>)</w:t>
      </w:r>
    </w:p>
    <w:p w14:paraId="3A3A82AB" w14:textId="77777777" w:rsidR="00AB720D" w:rsidRPr="007B75DC" w:rsidRDefault="00DB351A"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Skausmingi raudoni odos gumbai, odos skausmas, odos paraudimas </w:t>
      </w:r>
      <w:r w:rsidR="00AB720D" w:rsidRPr="007B75DC">
        <w:rPr>
          <w:rFonts w:ascii="Times New Roman" w:eastAsia="Times New Roman" w:hAnsi="Times New Roman" w:cs="Times New Roman"/>
          <w:szCs w:val="24"/>
        </w:rPr>
        <w:t>(</w:t>
      </w:r>
      <w:r w:rsidRPr="007B75DC">
        <w:rPr>
          <w:rFonts w:ascii="Times New Roman" w:eastAsia="Times New Roman" w:hAnsi="Times New Roman" w:cs="Times New Roman"/>
          <w:szCs w:val="24"/>
        </w:rPr>
        <w:t>poodinio riebalinio audinio uždegimas</w:t>
      </w:r>
      <w:r w:rsidR="00AB720D" w:rsidRPr="007B75DC">
        <w:rPr>
          <w:rFonts w:ascii="Times New Roman" w:eastAsia="Times New Roman" w:hAnsi="Times New Roman" w:cs="Times New Roman"/>
          <w:szCs w:val="24"/>
        </w:rPr>
        <w:t>).</w:t>
      </w:r>
    </w:p>
    <w:p w14:paraId="71B3B801" w14:textId="77777777" w:rsidR="00AB720D" w:rsidRPr="007B75DC" w:rsidRDefault="00DC0BB5"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Kosulys, nosies bėgimas ar užsikimšimas, sunkumo, skausmo ar spaudimo pojūtis virš akių arba vienoje nosies pusėje, nosies užgulimas</w:t>
      </w:r>
      <w:r w:rsidR="00AB720D"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čiaudulys</w:t>
      </w:r>
      <w:r w:rsidR="00AB720D"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gerklės skausmas su galvos skausmu arba be jo</w:t>
      </w:r>
      <w:r w:rsidR="00AB720D"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viršutinės kvėpavimo takų infekcijos požymiai</w:t>
      </w:r>
      <w:r w:rsidR="00AB720D" w:rsidRPr="007B75DC">
        <w:rPr>
          <w:rFonts w:ascii="Times New Roman" w:eastAsia="Times New Roman" w:hAnsi="Times New Roman" w:cs="Times New Roman"/>
          <w:szCs w:val="24"/>
        </w:rPr>
        <w:t>).</w:t>
      </w:r>
    </w:p>
    <w:p w14:paraId="16A6EF0F" w14:textId="77777777" w:rsidR="00AB720D" w:rsidRPr="007B75DC" w:rsidRDefault="00DC0BB5"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Stiprus galvos skausmas, jaučiamas kaip tvinkčiojantis skausmas arba pulsavimo pojūtis, paprastai vienoje galvos pusėje ir kartu pasireiškiant pykinimui, vėmimui bei jautrumui šviesai ar garsui </w:t>
      </w:r>
      <w:r w:rsidR="00AB720D" w:rsidRPr="007B75DC">
        <w:rPr>
          <w:rFonts w:ascii="Times New Roman" w:eastAsia="Times New Roman" w:hAnsi="Times New Roman" w:cs="Times New Roman"/>
          <w:szCs w:val="24"/>
        </w:rPr>
        <w:t>(</w:t>
      </w:r>
      <w:r w:rsidRPr="007B75DC">
        <w:rPr>
          <w:rFonts w:ascii="Times New Roman" w:eastAsia="Times New Roman" w:hAnsi="Times New Roman" w:cs="Times New Roman"/>
          <w:szCs w:val="24"/>
        </w:rPr>
        <w:t>mi</w:t>
      </w:r>
      <w:r w:rsidR="007B75DC">
        <w:rPr>
          <w:rFonts w:ascii="Times New Roman" w:eastAsia="Times New Roman" w:hAnsi="Times New Roman" w:cs="Times New Roman"/>
          <w:szCs w:val="24"/>
        </w:rPr>
        <w:t>g</w:t>
      </w:r>
      <w:r w:rsidRPr="007B75DC">
        <w:rPr>
          <w:rFonts w:ascii="Times New Roman" w:eastAsia="Times New Roman" w:hAnsi="Times New Roman" w:cs="Times New Roman"/>
          <w:szCs w:val="24"/>
        </w:rPr>
        <w:t>renos požymiai</w:t>
      </w:r>
      <w:r w:rsidR="00AB720D" w:rsidRPr="007B75DC">
        <w:rPr>
          <w:rFonts w:ascii="Times New Roman" w:eastAsia="Times New Roman" w:hAnsi="Times New Roman" w:cs="Times New Roman"/>
          <w:szCs w:val="24"/>
        </w:rPr>
        <w:t>).</w:t>
      </w:r>
    </w:p>
    <w:p w14:paraId="1D2DCD1F" w14:textId="77777777" w:rsidR="00AB720D" w:rsidRPr="007B75DC" w:rsidRDefault="00DC0BB5"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lastRenderedPageBreak/>
        <w:t>Į gripą panašūs simptomai</w:t>
      </w:r>
      <w:r w:rsidR="00AB720D"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gripas</w:t>
      </w:r>
      <w:r w:rsidR="00AB720D" w:rsidRPr="007B75DC">
        <w:rPr>
          <w:rFonts w:ascii="Times New Roman" w:eastAsia="Times New Roman" w:hAnsi="Times New Roman" w:cs="Times New Roman"/>
          <w:szCs w:val="24"/>
        </w:rPr>
        <w:t>).</w:t>
      </w:r>
    </w:p>
    <w:p w14:paraId="0122DA5C" w14:textId="77777777" w:rsidR="00AB720D" w:rsidRPr="007B75DC" w:rsidRDefault="00CB7F07"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Skausmas ar deginimo pojūtis šlapinantis, padidėjusi kūno temperatūra, skausmas kirkšnyje ar dubens srityje</w:t>
      </w:r>
      <w:r w:rsidR="00AB720D"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 xml:space="preserve">raudonos ar rudos spalvos arba drumstas šlapimas </w:t>
      </w:r>
      <w:r w:rsidR="00AB720D" w:rsidRPr="007B75DC">
        <w:rPr>
          <w:rFonts w:ascii="Times New Roman" w:eastAsia="Times New Roman" w:hAnsi="Times New Roman" w:cs="Times New Roman"/>
          <w:szCs w:val="24"/>
        </w:rPr>
        <w:t>(</w:t>
      </w:r>
      <w:r w:rsidRPr="007B75DC">
        <w:rPr>
          <w:rFonts w:ascii="Times New Roman" w:eastAsia="Times New Roman" w:hAnsi="Times New Roman" w:cs="Times New Roman"/>
          <w:szCs w:val="24"/>
        </w:rPr>
        <w:t>šlapimo takų infekcijos požymiai</w:t>
      </w:r>
      <w:r w:rsidR="00AB720D" w:rsidRPr="007B75DC">
        <w:rPr>
          <w:rFonts w:ascii="Times New Roman" w:eastAsia="Times New Roman" w:hAnsi="Times New Roman" w:cs="Times New Roman"/>
          <w:szCs w:val="24"/>
        </w:rPr>
        <w:t>).</w:t>
      </w:r>
    </w:p>
    <w:p w14:paraId="311FA276" w14:textId="77777777" w:rsidR="00AB720D" w:rsidRPr="007B75DC" w:rsidRDefault="00DC0BB5"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Sąnarių skausmas ir patinimas</w:t>
      </w:r>
      <w:r w:rsidR="00AB720D"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artralgijos požymiai</w:t>
      </w:r>
      <w:r w:rsidR="00AB720D" w:rsidRPr="007B75DC">
        <w:rPr>
          <w:rFonts w:ascii="Times New Roman" w:eastAsia="Times New Roman" w:hAnsi="Times New Roman" w:cs="Times New Roman"/>
          <w:szCs w:val="24"/>
        </w:rPr>
        <w:t>).</w:t>
      </w:r>
    </w:p>
    <w:p w14:paraId="25A854B3" w14:textId="77777777" w:rsidR="00AB720D" w:rsidRPr="007B75DC" w:rsidRDefault="00CB7F07"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Nuolatinis liūdesio pojūtis ir susidomėjimo praradimas, dėl kurių negalite užsiimti įprasta veikla </w:t>
      </w:r>
      <w:r w:rsidR="00AB720D" w:rsidRPr="007B75DC">
        <w:rPr>
          <w:rFonts w:ascii="Times New Roman" w:eastAsia="Times New Roman" w:hAnsi="Times New Roman" w:cs="Times New Roman"/>
          <w:szCs w:val="24"/>
        </w:rPr>
        <w:t>(</w:t>
      </w:r>
      <w:r w:rsidRPr="007B75DC">
        <w:rPr>
          <w:rFonts w:ascii="Times New Roman" w:eastAsia="Times New Roman" w:hAnsi="Times New Roman" w:cs="Times New Roman"/>
          <w:szCs w:val="24"/>
        </w:rPr>
        <w:t>depresijos požymiai</w:t>
      </w:r>
      <w:r w:rsidR="00AB720D" w:rsidRPr="007B75DC">
        <w:rPr>
          <w:rFonts w:ascii="Times New Roman" w:eastAsia="Times New Roman" w:hAnsi="Times New Roman" w:cs="Times New Roman"/>
          <w:szCs w:val="24"/>
        </w:rPr>
        <w:t>).</w:t>
      </w:r>
    </w:p>
    <w:p w14:paraId="45C60F1C" w14:textId="77777777" w:rsidR="00CB7F07" w:rsidRPr="007B75DC" w:rsidRDefault="007B75DC"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Nuogąstavimo</w:t>
      </w:r>
      <w:r w:rsidR="00CB7F07" w:rsidRPr="007B75DC">
        <w:rPr>
          <w:rFonts w:ascii="Times New Roman" w:eastAsia="Times New Roman" w:hAnsi="Times New Roman" w:cs="Times New Roman"/>
          <w:szCs w:val="24"/>
        </w:rPr>
        <w:t xml:space="preserve"> ir nerimo pojūtis kartu su fiziniais simptomais, tokiais kaip širdies plakimas, prakaitavimas, drebulys, burnos džiūvimas (nerimo požymiai).</w:t>
      </w:r>
    </w:p>
    <w:p w14:paraId="5A3E9095" w14:textId="77777777" w:rsidR="00AB720D" w:rsidRPr="007B75DC" w:rsidRDefault="00CB7F07"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Mieguistumas / apsnūdimas / pernelyg ilgas miegas</w:t>
      </w:r>
      <w:r w:rsidR="00AB720D" w:rsidRPr="007B75DC">
        <w:rPr>
          <w:rFonts w:ascii="Times New Roman" w:eastAsia="Times New Roman" w:hAnsi="Times New Roman" w:cs="Times New Roman"/>
          <w:szCs w:val="24"/>
        </w:rPr>
        <w:t>.</w:t>
      </w:r>
    </w:p>
    <w:p w14:paraId="2D3D7966" w14:textId="77777777" w:rsidR="00AB720D" w:rsidRPr="007B75DC"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Drebantys ar virpantys judesiai (tremora</w:t>
      </w:r>
      <w:r>
        <w:rPr>
          <w:rFonts w:ascii="Times New Roman" w:eastAsia="Times New Roman" w:hAnsi="Times New Roman" w:cs="Times New Roman"/>
          <w:szCs w:val="24"/>
        </w:rPr>
        <w:t>s</w:t>
      </w:r>
      <w:r w:rsidR="00AB720D" w:rsidRPr="007B75DC">
        <w:rPr>
          <w:rFonts w:ascii="Times New Roman" w:eastAsia="Times New Roman" w:hAnsi="Times New Roman" w:cs="Times New Roman"/>
          <w:szCs w:val="24"/>
        </w:rPr>
        <w:t>).</w:t>
      </w:r>
    </w:p>
    <w:p w14:paraId="2A670CA8" w14:textId="77777777" w:rsidR="00AB720D" w:rsidRPr="007B75DC" w:rsidRDefault="00293D75"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Atminties pablogėjimas</w:t>
      </w:r>
      <w:r w:rsidR="00AB720D" w:rsidRPr="007B75DC">
        <w:rPr>
          <w:rFonts w:ascii="Times New Roman" w:eastAsia="Times New Roman" w:hAnsi="Times New Roman" w:cs="Times New Roman"/>
          <w:szCs w:val="24"/>
        </w:rPr>
        <w:t>.</w:t>
      </w:r>
    </w:p>
    <w:p w14:paraId="4E5D5143"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Nenugalimas noras judinti kojas (neramių kojų sindromas).</w:t>
      </w:r>
    </w:p>
    <w:p w14:paraId="6D035513"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Išorinio šaltinio neturinčių garsų (pvz., skambėjimo, ūžesio) girdėjimas ausyse (spengimas ausyse).</w:t>
      </w:r>
    </w:p>
    <w:p w14:paraId="33E39CA9"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Didelis kraujospūdis (hipertenzija).</w:t>
      </w:r>
    </w:p>
    <w:p w14:paraId="3DFDC275"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Atsirūgimas / raugulys</w:t>
      </w:r>
      <w:r w:rsidRPr="00293D75">
        <w:rPr>
          <w:rFonts w:ascii="Times New Roman" w:eastAsia="Times New Roman" w:hAnsi="Times New Roman" w:cs="Times New Roman"/>
          <w:szCs w:val="24"/>
        </w:rPr>
        <w:t>.</w:t>
      </w:r>
    </w:p>
    <w:p w14:paraId="4B19CBC9"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Lūpų uždegimas.</w:t>
      </w:r>
    </w:p>
    <w:p w14:paraId="37ABAA39"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Pasunkėjęs rijimas.</w:t>
      </w:r>
    </w:p>
    <w:p w14:paraId="4FAE1C21"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Padidėjęs prakaitavimas.</w:t>
      </w:r>
    </w:p>
    <w:p w14:paraId="657A0C81" w14:textId="77777777" w:rsidR="00293D75" w:rsidRP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Odos spalvos pokytis.</w:t>
      </w:r>
    </w:p>
    <w:p w14:paraId="163EADFF" w14:textId="77777777" w:rsidR="00293D75"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Trapūs nagai.</w:t>
      </w:r>
    </w:p>
    <w:p w14:paraId="7DA5D026" w14:textId="77777777" w:rsidR="00AB720D" w:rsidRPr="007B75DC"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Raudoni gumbai arba spuogai balt</w:t>
      </w:r>
      <w:r>
        <w:rPr>
          <w:rFonts w:ascii="Times New Roman" w:eastAsia="Times New Roman" w:hAnsi="Times New Roman" w:cs="Times New Roman"/>
          <w:szCs w:val="24"/>
        </w:rPr>
        <w:t>omis</w:t>
      </w:r>
      <w:r w:rsidRPr="00293D75">
        <w:rPr>
          <w:rFonts w:ascii="Times New Roman" w:eastAsia="Times New Roman" w:hAnsi="Times New Roman" w:cs="Times New Roman"/>
          <w:szCs w:val="24"/>
        </w:rPr>
        <w:t xml:space="preserve"> </w:t>
      </w:r>
      <w:r>
        <w:rPr>
          <w:rFonts w:ascii="Times New Roman" w:eastAsia="Times New Roman" w:hAnsi="Times New Roman" w:cs="Times New Roman"/>
          <w:szCs w:val="24"/>
        </w:rPr>
        <w:t>viršūnėmis</w:t>
      </w:r>
      <w:r w:rsidRPr="00293D75">
        <w:rPr>
          <w:rFonts w:ascii="Times New Roman" w:eastAsia="Times New Roman" w:hAnsi="Times New Roman" w:cs="Times New Roman"/>
          <w:szCs w:val="24"/>
        </w:rPr>
        <w:t xml:space="preserve"> aplink plaukų šaknis, galimai su skausmu, niežuliu ar deginimo pojūčiu (plaukų folikulų uždegimo, dar vadinamo folikulitu, požymiai</w:t>
      </w:r>
      <w:r w:rsidR="00AB720D" w:rsidRPr="007B75DC">
        <w:rPr>
          <w:rFonts w:ascii="Times New Roman" w:eastAsia="Times New Roman" w:hAnsi="Times New Roman" w:cs="Times New Roman"/>
          <w:szCs w:val="24"/>
        </w:rPr>
        <w:t>).</w:t>
      </w:r>
    </w:p>
    <w:p w14:paraId="5D2F2AB4" w14:textId="77777777" w:rsidR="00AB720D" w:rsidRPr="007B75DC"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Odos išbėrimas su pleiskanojimu ar lupimusi (eksfoliacinis dermatitas</w:t>
      </w:r>
      <w:r w:rsidR="00AB720D" w:rsidRPr="007B75DC">
        <w:rPr>
          <w:rFonts w:ascii="Times New Roman" w:eastAsia="Times New Roman" w:hAnsi="Times New Roman" w:cs="Times New Roman"/>
          <w:szCs w:val="24"/>
        </w:rPr>
        <w:t>).</w:t>
      </w:r>
    </w:p>
    <w:p w14:paraId="7586209E" w14:textId="77777777" w:rsidR="00AB720D" w:rsidRPr="007B75DC" w:rsidRDefault="00293D75" w:rsidP="00534F79">
      <w:pPr>
        <w:numPr>
          <w:ilvl w:val="0"/>
          <w:numId w:val="12"/>
        </w:numPr>
        <w:spacing w:after="0" w:line="240" w:lineRule="auto"/>
        <w:ind w:left="567" w:hanging="567"/>
        <w:rPr>
          <w:rFonts w:ascii="Times New Roman" w:eastAsia="Times New Roman" w:hAnsi="Times New Roman" w:cs="Times New Roman"/>
          <w:szCs w:val="24"/>
        </w:rPr>
      </w:pPr>
      <w:r w:rsidRPr="00293D75">
        <w:rPr>
          <w:rFonts w:ascii="Times New Roman" w:eastAsia="Times New Roman" w:hAnsi="Times New Roman" w:cs="Times New Roman"/>
          <w:szCs w:val="24"/>
        </w:rPr>
        <w:t>Krūtų padidėjimas (gali pasireikšti vyrams arba moterims</w:t>
      </w:r>
      <w:r w:rsidR="00AB720D" w:rsidRPr="007B75DC">
        <w:rPr>
          <w:rFonts w:ascii="Times New Roman" w:eastAsia="Times New Roman" w:hAnsi="Times New Roman" w:cs="Times New Roman"/>
          <w:szCs w:val="24"/>
        </w:rPr>
        <w:t>).</w:t>
      </w:r>
    </w:p>
    <w:p w14:paraId="359E3673" w14:textId="77777777" w:rsidR="00AB720D" w:rsidRPr="007B75DC" w:rsidRDefault="00CD4A35"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Bukas</w:t>
      </w:r>
      <w:r w:rsidRPr="00CD4A35">
        <w:rPr>
          <w:rFonts w:ascii="Times New Roman" w:eastAsia="Times New Roman" w:hAnsi="Times New Roman" w:cs="Times New Roman"/>
          <w:szCs w:val="24"/>
        </w:rPr>
        <w:t xml:space="preserve"> skausmas ir (arba) sunkumo pojūtis sėklidėse arba apatinėje pilvo dalyje, skausmas šlapinantis, lytiškai santykiaujant arba ejakuliacijos metu, kraujas šlapime (sėklidžių edemos požymiai).</w:t>
      </w:r>
    </w:p>
    <w:p w14:paraId="119BA6BB"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Negalėjimas pasiekti ar išlaikyti erekcijos (erekcijos sutrikimas).</w:t>
      </w:r>
    </w:p>
    <w:p w14:paraId="1B581C51"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Gausios arba nereguliarios mėnesinės.</w:t>
      </w:r>
    </w:p>
    <w:p w14:paraId="1E4314BD"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Sunkumai pasiekti ir (arba) išlaikyti lytinį susijaudinimą.</w:t>
      </w:r>
    </w:p>
    <w:p w14:paraId="0E7F4AD0"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Sumažėjęs lytinis potraukis.</w:t>
      </w:r>
    </w:p>
    <w:p w14:paraId="4465D139" w14:textId="77777777" w:rsid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Spenelių skausmas.</w:t>
      </w:r>
    </w:p>
    <w:p w14:paraId="11185260"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Bendra bloga savijauta (negalavimas).</w:t>
      </w:r>
    </w:p>
    <w:p w14:paraId="6D1CD81B"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Virusinė infekcija, pavyzdžiui, peršalimas.</w:t>
      </w:r>
    </w:p>
    <w:p w14:paraId="069B7C99"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Apatinės nugaros dalies skausmas dėl inkstų sutrikimo.</w:t>
      </w:r>
    </w:p>
    <w:p w14:paraId="1607A591"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Padidėjęs šlapinimosi dažnis.</w:t>
      </w:r>
    </w:p>
    <w:p w14:paraId="3E67770E" w14:textId="77777777" w:rsid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Padidėjęs apetitas.</w:t>
      </w:r>
    </w:p>
    <w:p w14:paraId="224F2396"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w:t>
      </w:r>
      <w:r w:rsidRPr="00CD4A35">
        <w:rPr>
          <w:rFonts w:ascii="Times New Roman" w:eastAsia="Times New Roman" w:hAnsi="Times New Roman" w:cs="Times New Roman"/>
          <w:szCs w:val="24"/>
        </w:rPr>
        <w:t>kausmas arba deginimo pojūtis viršutinėje pilvo dalyje ir (arba) krūtinėje (rėmuo), pykinimas, vėmimas, rūgšties refliuksas, pilnumo pojūtis ir pilvo pūtimas, juodos spalvos išmatos (skrandžio opos požymiai).</w:t>
      </w:r>
    </w:p>
    <w:p w14:paraId="5115009E" w14:textId="77777777" w:rsidR="00CD4A35"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Sąnarių ir raumenų sustingimas.</w:t>
      </w:r>
    </w:p>
    <w:p w14:paraId="2DC5800C" w14:textId="77777777" w:rsidR="00AB720D" w:rsidRPr="00CD4A35" w:rsidRDefault="00CD4A35" w:rsidP="00534F79">
      <w:pPr>
        <w:numPr>
          <w:ilvl w:val="0"/>
          <w:numId w:val="12"/>
        </w:numPr>
        <w:spacing w:after="0" w:line="240" w:lineRule="auto"/>
        <w:ind w:left="567" w:hanging="567"/>
        <w:rPr>
          <w:rFonts w:ascii="Times New Roman" w:eastAsia="Times New Roman" w:hAnsi="Times New Roman" w:cs="Times New Roman"/>
          <w:szCs w:val="24"/>
        </w:rPr>
      </w:pPr>
      <w:r w:rsidRPr="00CD4A35">
        <w:rPr>
          <w:rFonts w:ascii="Times New Roman" w:eastAsia="Times New Roman" w:hAnsi="Times New Roman" w:cs="Times New Roman"/>
          <w:szCs w:val="24"/>
        </w:rPr>
        <w:t>Nenormalūs laboratorinių tyrimų rezultatai.</w:t>
      </w:r>
    </w:p>
    <w:p w14:paraId="0CCE0D40" w14:textId="77777777" w:rsidR="00AB720D" w:rsidRPr="007B75DC" w:rsidRDefault="00AB720D" w:rsidP="00DE2956">
      <w:pPr>
        <w:spacing w:after="0" w:line="240" w:lineRule="auto"/>
        <w:rPr>
          <w:rFonts w:ascii="Times New Roman" w:eastAsia="Times New Roman" w:hAnsi="Times New Roman" w:cs="Times New Roman"/>
          <w:szCs w:val="24"/>
        </w:rPr>
      </w:pPr>
    </w:p>
    <w:p w14:paraId="57DF0F43" w14:textId="77777777" w:rsidR="009856A3" w:rsidRPr="009856A3" w:rsidRDefault="009856A3" w:rsidP="009856A3">
      <w:pPr>
        <w:spacing w:after="0" w:line="240" w:lineRule="auto"/>
        <w:rPr>
          <w:rFonts w:ascii="Times New Roman" w:eastAsia="Times New Roman" w:hAnsi="Times New Roman" w:cs="Times New Roman"/>
          <w:bCs/>
          <w:szCs w:val="24"/>
        </w:rPr>
      </w:pPr>
      <w:r w:rsidRPr="007B75DC">
        <w:rPr>
          <w:rFonts w:ascii="Times New Roman" w:eastAsia="Times New Roman" w:hAnsi="Times New Roman" w:cs="Times New Roman"/>
          <w:szCs w:val="24"/>
        </w:rPr>
        <w:t xml:space="preserve">Jei bet kuris iš šių reiškinių tampa sunkiu, </w:t>
      </w:r>
      <w:r w:rsidRPr="009856A3">
        <w:rPr>
          <w:rFonts w:ascii="Times New Roman" w:eastAsia="Times New Roman" w:hAnsi="Times New Roman" w:cs="Times New Roman"/>
          <w:bCs/>
          <w:szCs w:val="24"/>
        </w:rPr>
        <w:t>pasakykite gydytojui.</w:t>
      </w:r>
    </w:p>
    <w:p w14:paraId="23597454" w14:textId="77777777" w:rsidR="009856A3" w:rsidRPr="007B75DC" w:rsidRDefault="009856A3" w:rsidP="009856A3">
      <w:pPr>
        <w:spacing w:after="0" w:line="240" w:lineRule="auto"/>
        <w:rPr>
          <w:rFonts w:ascii="Times New Roman" w:eastAsia="Times New Roman" w:hAnsi="Times New Roman" w:cs="Times New Roman"/>
          <w:szCs w:val="24"/>
        </w:rPr>
      </w:pPr>
    </w:p>
    <w:p w14:paraId="39D07F13" w14:textId="77777777" w:rsidR="009856A3" w:rsidRPr="007B75DC" w:rsidRDefault="009856A3" w:rsidP="009856A3">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Reti</w:t>
      </w:r>
      <w:r w:rsidRPr="007B75DC">
        <w:rPr>
          <w:rFonts w:ascii="Times New Roman" w:eastAsia="Times New Roman" w:hAnsi="Times New Roman" w:cs="Times New Roman"/>
          <w:szCs w:val="24"/>
        </w:rPr>
        <w:t xml:space="preserve"> </w:t>
      </w:r>
      <w:r w:rsidR="003B4645" w:rsidRPr="00534F79">
        <w:rPr>
          <w:rFonts w:ascii="Times New Roman" w:eastAsia="Times New Roman" w:hAnsi="Times New Roman" w:cs="Times New Roman"/>
          <w:b/>
          <w:bCs/>
          <w:szCs w:val="24"/>
        </w:rPr>
        <w:t>šalutinio poveikio reiškiniai</w:t>
      </w:r>
      <w:r w:rsidR="003B4645" w:rsidRPr="003B4645">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(gali pasireikšti rečiau kaip 1 iš 1</w:t>
      </w:r>
      <w:r w:rsidR="003B4645">
        <w:rPr>
          <w:rFonts w:ascii="Times New Roman" w:eastAsia="Times New Roman" w:hAnsi="Times New Roman" w:cs="Times New Roman"/>
          <w:szCs w:val="24"/>
        </w:rPr>
        <w:t> </w:t>
      </w:r>
      <w:r w:rsidRPr="007B75DC">
        <w:rPr>
          <w:rFonts w:ascii="Times New Roman" w:eastAsia="Times New Roman" w:hAnsi="Times New Roman" w:cs="Times New Roman"/>
          <w:szCs w:val="24"/>
        </w:rPr>
        <w:t>00</w:t>
      </w:r>
      <w:r>
        <w:rPr>
          <w:rFonts w:ascii="Times New Roman" w:eastAsia="Times New Roman" w:hAnsi="Times New Roman" w:cs="Times New Roman"/>
          <w:szCs w:val="24"/>
        </w:rPr>
        <w:t>0</w:t>
      </w:r>
      <w:r w:rsidR="003B4645">
        <w:rPr>
          <w:rFonts w:ascii="Times New Roman" w:eastAsia="Times New Roman" w:hAnsi="Times New Roman" w:cs="Times New Roman"/>
          <w:szCs w:val="24"/>
        </w:rPr>
        <w:t> asmenų</w:t>
      </w:r>
      <w:r w:rsidRPr="007B75DC">
        <w:rPr>
          <w:rFonts w:ascii="Times New Roman" w:eastAsia="Times New Roman" w:hAnsi="Times New Roman" w:cs="Times New Roman"/>
          <w:szCs w:val="24"/>
        </w:rPr>
        <w:t>)</w:t>
      </w:r>
    </w:p>
    <w:p w14:paraId="0EA7DD76" w14:textId="77777777" w:rsidR="009856A3" w:rsidRPr="007B75DC" w:rsidRDefault="009856A3"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Minčių susipainiojimas</w:t>
      </w:r>
      <w:r w:rsidRPr="007B75DC">
        <w:rPr>
          <w:rFonts w:ascii="Times New Roman" w:eastAsia="Times New Roman" w:hAnsi="Times New Roman" w:cs="Times New Roman"/>
          <w:szCs w:val="24"/>
        </w:rPr>
        <w:t>.</w:t>
      </w:r>
    </w:p>
    <w:p w14:paraId="7CB03E5F" w14:textId="77777777" w:rsidR="00E85B62" w:rsidRDefault="00E85B62"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Spazmo (-ų) ir sąmonės prislopimo epizodas (traukuliai).</w:t>
      </w:r>
    </w:p>
    <w:p w14:paraId="58E7BE60" w14:textId="6DC32745" w:rsidR="009856A3" w:rsidRPr="007B75DC" w:rsidRDefault="009856A3" w:rsidP="00534F79">
      <w:pPr>
        <w:numPr>
          <w:ilvl w:val="0"/>
          <w:numId w:val="12"/>
        </w:numPr>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Nagų spalvos pokytis</w:t>
      </w:r>
      <w:r w:rsidRPr="007B75DC">
        <w:rPr>
          <w:rFonts w:ascii="Times New Roman" w:eastAsia="Times New Roman" w:hAnsi="Times New Roman" w:cs="Times New Roman"/>
          <w:szCs w:val="24"/>
        </w:rPr>
        <w:t>.</w:t>
      </w:r>
    </w:p>
    <w:p w14:paraId="4D7F3FCB" w14:textId="77777777" w:rsidR="009856A3" w:rsidRDefault="009856A3" w:rsidP="00DE2956">
      <w:pPr>
        <w:spacing w:after="0" w:line="240" w:lineRule="auto"/>
        <w:rPr>
          <w:rFonts w:ascii="Times New Roman" w:eastAsia="Times New Roman" w:hAnsi="Times New Roman" w:cs="Times New Roman"/>
          <w:b/>
          <w:szCs w:val="24"/>
        </w:rPr>
      </w:pPr>
    </w:p>
    <w:p w14:paraId="25BF1D33"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Dažnis nežinomas</w:t>
      </w:r>
      <w:r w:rsidRPr="007B75DC">
        <w:rPr>
          <w:rFonts w:ascii="Times New Roman" w:eastAsia="Times New Roman" w:hAnsi="Times New Roman" w:cs="Times New Roman"/>
          <w:szCs w:val="24"/>
        </w:rPr>
        <w:t xml:space="preserve"> (negali būti </w:t>
      </w:r>
      <w:r w:rsidR="003B4645">
        <w:rPr>
          <w:rFonts w:ascii="Times New Roman" w:eastAsia="Times New Roman" w:hAnsi="Times New Roman" w:cs="Times New Roman"/>
          <w:szCs w:val="24"/>
        </w:rPr>
        <w:t>apskaičiuotas</w:t>
      </w:r>
      <w:r w:rsidR="003B4645" w:rsidRPr="007B75DC">
        <w:rPr>
          <w:rFonts w:ascii="Times New Roman" w:eastAsia="Times New Roman" w:hAnsi="Times New Roman" w:cs="Times New Roman"/>
          <w:szCs w:val="24"/>
        </w:rPr>
        <w:t xml:space="preserve"> </w:t>
      </w:r>
      <w:r w:rsidRPr="007B75DC">
        <w:rPr>
          <w:rFonts w:ascii="Times New Roman" w:eastAsia="Times New Roman" w:hAnsi="Times New Roman" w:cs="Times New Roman"/>
          <w:szCs w:val="24"/>
        </w:rPr>
        <w:t>pagal turimus duomenis)</w:t>
      </w:r>
    </w:p>
    <w:p w14:paraId="2FCFE7D3"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Delnų ir padų paraudimas ir (arba) patinimas, kurie gali pasireikšti kartu su dilgčiojimo pojūčiu ir deginančiu skausmu.</w:t>
      </w:r>
    </w:p>
    <w:p w14:paraId="55FD4944" w14:textId="77777777" w:rsidR="00F11B04" w:rsidRPr="007B75DC" w:rsidRDefault="00F11B04"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Skausmingi ir (arba) pūsliniai odos pažeidimai</w:t>
      </w:r>
      <w:r w:rsidR="004A5600">
        <w:rPr>
          <w:rFonts w:ascii="Times New Roman" w:eastAsia="Times New Roman" w:hAnsi="Times New Roman" w:cs="Times New Roman"/>
          <w:szCs w:val="24"/>
        </w:rPr>
        <w:t>.</w:t>
      </w:r>
    </w:p>
    <w:p w14:paraId="70F097B5" w14:textId="77777777" w:rsidR="00DE2956" w:rsidRPr="007B75DC" w:rsidRDefault="00DE2956" w:rsidP="00534F79">
      <w:pPr>
        <w:numPr>
          <w:ilvl w:val="0"/>
          <w:numId w:val="12"/>
        </w:num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Sulėtėjęs vaikų ir paauglių augimas.</w:t>
      </w:r>
    </w:p>
    <w:p w14:paraId="58F8EB12" w14:textId="77777777" w:rsidR="00DE2956" w:rsidRPr="007B75DC" w:rsidRDefault="00DE2956" w:rsidP="00DE2956">
      <w:pPr>
        <w:spacing w:after="0" w:line="240" w:lineRule="auto"/>
        <w:rPr>
          <w:rFonts w:ascii="Times New Roman" w:eastAsia="Times New Roman" w:hAnsi="Times New Roman" w:cs="Times New Roman"/>
          <w:szCs w:val="24"/>
        </w:rPr>
      </w:pPr>
    </w:p>
    <w:p w14:paraId="605EF62B"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Jei bet kuris iš šių reiškinių tampa sunkiu, </w:t>
      </w:r>
      <w:r w:rsidRPr="007B75DC">
        <w:rPr>
          <w:rFonts w:ascii="Times New Roman" w:eastAsia="Times New Roman" w:hAnsi="Times New Roman" w:cs="Times New Roman"/>
          <w:b/>
          <w:szCs w:val="24"/>
        </w:rPr>
        <w:t>pasakykite gydytojui.</w:t>
      </w:r>
    </w:p>
    <w:p w14:paraId="3616A74A" w14:textId="77777777" w:rsidR="00DE2956" w:rsidRPr="007B75DC" w:rsidRDefault="00DE2956" w:rsidP="00DE2956">
      <w:pPr>
        <w:spacing w:after="0" w:line="240" w:lineRule="auto"/>
        <w:rPr>
          <w:rFonts w:ascii="Times New Roman" w:eastAsia="Times New Roman" w:hAnsi="Times New Roman" w:cs="Times New Roman"/>
          <w:szCs w:val="24"/>
        </w:rPr>
      </w:pPr>
    </w:p>
    <w:p w14:paraId="1E1C894B"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b/>
          <w:szCs w:val="24"/>
        </w:rPr>
        <w:t>Pranešimas apie šalutinį poveikį</w:t>
      </w:r>
    </w:p>
    <w:p w14:paraId="3A507660" w14:textId="2E38DE63" w:rsidR="0036300B" w:rsidRPr="00E47A2C" w:rsidRDefault="0036300B" w:rsidP="00845AA7">
      <w:pPr>
        <w:tabs>
          <w:tab w:val="left" w:pos="567"/>
        </w:tabs>
        <w:spacing w:after="0" w:line="240" w:lineRule="auto"/>
        <w:ind w:right="-29"/>
        <w:rPr>
          <w:rFonts w:ascii="Times New Roman" w:hAnsi="Times New Roman" w:cs="Times New Roman"/>
          <w:noProof/>
          <w:snapToGrid w:val="0"/>
        </w:rPr>
      </w:pPr>
      <w:bookmarkStart w:id="1" w:name="_Hlk171521894"/>
      <w:r w:rsidRPr="00E47A2C">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47A2C">
        <w:rPr>
          <w:rFonts w:ascii="Times New Roman" w:hAnsi="Times New Roman" w:cs="Times New Roman"/>
          <w:color w:val="0000EE"/>
          <w:u w:val="single"/>
          <w:lang w:eastAsia="lt-LT"/>
        </w:rPr>
        <w:t>https://vvkt.lrv.lt/lt/</w:t>
      </w:r>
      <w:r w:rsidRPr="00E47A2C">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bookmarkEnd w:id="1"/>
    <w:p w14:paraId="6D9FA506" w14:textId="77777777" w:rsidR="00DE2956" w:rsidRPr="007B75DC" w:rsidRDefault="00DE2956" w:rsidP="000C355D">
      <w:pPr>
        <w:numPr>
          <w:ilvl w:val="12"/>
          <w:numId w:val="0"/>
        </w:numPr>
        <w:spacing w:after="0" w:line="240" w:lineRule="auto"/>
        <w:ind w:right="-2"/>
        <w:rPr>
          <w:rFonts w:ascii="Times New Roman" w:eastAsia="Times New Roman" w:hAnsi="Times New Roman" w:cs="Times New Roman"/>
          <w:szCs w:val="24"/>
        </w:rPr>
      </w:pPr>
    </w:p>
    <w:p w14:paraId="208ABC56" w14:textId="77777777" w:rsidR="00DE2956" w:rsidRPr="007B75DC" w:rsidRDefault="00DE2956" w:rsidP="000C355D">
      <w:pPr>
        <w:numPr>
          <w:ilvl w:val="12"/>
          <w:numId w:val="0"/>
        </w:numPr>
        <w:spacing w:after="0" w:line="240" w:lineRule="auto"/>
        <w:ind w:right="-2"/>
        <w:rPr>
          <w:rFonts w:ascii="Times New Roman" w:eastAsia="Times New Roman" w:hAnsi="Times New Roman" w:cs="Times New Roman"/>
          <w:szCs w:val="24"/>
        </w:rPr>
      </w:pPr>
    </w:p>
    <w:p w14:paraId="0567EB1D" w14:textId="77777777" w:rsidR="00DE2956" w:rsidRPr="007B75DC" w:rsidRDefault="00DE2956" w:rsidP="00534F79">
      <w:pPr>
        <w:numPr>
          <w:ilvl w:val="12"/>
          <w:numId w:val="0"/>
        </w:numPr>
        <w:tabs>
          <w:tab w:val="left" w:pos="567"/>
        </w:tabs>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b/>
          <w:szCs w:val="24"/>
        </w:rPr>
        <w:t>5.</w:t>
      </w:r>
      <w:r w:rsidRPr="007B75DC">
        <w:rPr>
          <w:rFonts w:ascii="Times New Roman" w:eastAsia="Times New Roman" w:hAnsi="Times New Roman" w:cs="Times New Roman"/>
          <w:b/>
          <w:szCs w:val="24"/>
        </w:rPr>
        <w:tab/>
        <w:t xml:space="preserve">Kaip laikyti Imatinib </w:t>
      </w:r>
      <w:r w:rsidR="006F09BA" w:rsidRPr="007B75DC">
        <w:rPr>
          <w:rFonts w:ascii="Times New Roman" w:eastAsia="Times New Roman" w:hAnsi="Times New Roman" w:cs="Times New Roman"/>
          <w:b/>
          <w:szCs w:val="24"/>
        </w:rPr>
        <w:t>Inteli</w:t>
      </w:r>
    </w:p>
    <w:p w14:paraId="7EB37007" w14:textId="77777777" w:rsidR="00DE2956" w:rsidRPr="007B75DC" w:rsidRDefault="00DE2956" w:rsidP="00DE2956">
      <w:pPr>
        <w:spacing w:after="0" w:line="240" w:lineRule="auto"/>
        <w:rPr>
          <w:rFonts w:ascii="Times New Roman" w:eastAsia="Times New Roman" w:hAnsi="Times New Roman" w:cs="Times New Roman"/>
          <w:szCs w:val="24"/>
        </w:rPr>
      </w:pPr>
    </w:p>
    <w:p w14:paraId="44DDBB19"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Šiam vaistui specialių laikymo sąlygų nereikia.</w:t>
      </w:r>
    </w:p>
    <w:p w14:paraId="095F7FFB"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szCs w:val="24"/>
        </w:rPr>
        <w:t>Šį vaistą laikykite vaikams nepastebimoje ir nepasiekiamoje vietoje.</w:t>
      </w:r>
    </w:p>
    <w:p w14:paraId="2FBD881E"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151BA8C3" w14:textId="77777777" w:rsidR="00DE2956" w:rsidRPr="007B75DC" w:rsidRDefault="00DE2956" w:rsidP="00DE2956">
      <w:pPr>
        <w:spacing w:after="0" w:line="240" w:lineRule="auto"/>
        <w:rPr>
          <w:rFonts w:ascii="Times New Roman" w:eastAsia="Times New Roman" w:hAnsi="Times New Roman" w:cs="Times New Roman"/>
          <w:iCs/>
          <w:szCs w:val="20"/>
        </w:rPr>
      </w:pPr>
      <w:r w:rsidRPr="007B75DC">
        <w:rPr>
          <w:rFonts w:ascii="Times New Roman" w:eastAsia="Times New Roman" w:hAnsi="Times New Roman" w:cs="Times New Roman"/>
          <w:iCs/>
          <w:szCs w:val="20"/>
        </w:rPr>
        <w:t>Ant lizdinės plokštelės ir dėžutės po„EXP“ nurodytam tinkamumo laikui pasibaigus, šio vaisto vartoti negalima. Vaistas tinkamas vartoti iki paskutinės nurodyto mėnesio dienos.</w:t>
      </w:r>
    </w:p>
    <w:p w14:paraId="61260DB7"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0BE90D42"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szCs w:val="24"/>
        </w:rPr>
        <w:t>Vaistų negalima išmesti į kanalizaciją arba su buitinėmis</w:t>
      </w:r>
      <w:r w:rsidRPr="007B75DC">
        <w:rPr>
          <w:rFonts w:ascii="Times New Roman" w:eastAsia="Times New Roman" w:hAnsi="Times New Roman" w:cs="Times New Roman"/>
          <w:color w:val="993366"/>
          <w:szCs w:val="24"/>
        </w:rPr>
        <w:t xml:space="preserve"> </w:t>
      </w:r>
      <w:r w:rsidRPr="007B75DC">
        <w:rPr>
          <w:rFonts w:ascii="Times New Roman" w:eastAsia="Times New Roman" w:hAnsi="Times New Roman" w:cs="Times New Roman"/>
          <w:szCs w:val="24"/>
        </w:rPr>
        <w:t>atliekomis. Kaip išmesti nereikalingus vaistus, klauskite vaistininko. Šios priemonės padės apsaugoti aplinką.</w:t>
      </w:r>
    </w:p>
    <w:p w14:paraId="06AE6669"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6B9B7DEB"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473A8DEB" w14:textId="77777777" w:rsidR="00DE2956" w:rsidRPr="007B75DC" w:rsidRDefault="00DE2956" w:rsidP="00534F79">
      <w:pPr>
        <w:numPr>
          <w:ilvl w:val="12"/>
          <w:numId w:val="0"/>
        </w:numPr>
        <w:tabs>
          <w:tab w:val="left" w:pos="567"/>
        </w:tabs>
        <w:spacing w:after="0" w:line="240" w:lineRule="auto"/>
        <w:ind w:right="-2"/>
        <w:rPr>
          <w:rFonts w:ascii="Times New Roman" w:eastAsia="Times New Roman" w:hAnsi="Times New Roman" w:cs="Times New Roman"/>
          <w:b/>
          <w:szCs w:val="24"/>
        </w:rPr>
      </w:pPr>
      <w:r w:rsidRPr="007B75DC">
        <w:rPr>
          <w:rFonts w:ascii="Times New Roman" w:eastAsia="Times New Roman" w:hAnsi="Times New Roman" w:cs="Times New Roman"/>
          <w:b/>
          <w:szCs w:val="24"/>
        </w:rPr>
        <w:t>6.</w:t>
      </w:r>
      <w:r w:rsidRPr="007B75DC">
        <w:rPr>
          <w:rFonts w:ascii="Times New Roman" w:eastAsia="Times New Roman" w:hAnsi="Times New Roman" w:cs="Times New Roman"/>
          <w:b/>
          <w:szCs w:val="24"/>
        </w:rPr>
        <w:tab/>
        <w:t>Pakuotės turinys ir kita informacija</w:t>
      </w:r>
    </w:p>
    <w:p w14:paraId="2C63396D"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759EE841"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u w:val="single"/>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bCs/>
          <w:szCs w:val="24"/>
        </w:rPr>
        <w:t xml:space="preserve"> sudėtis</w:t>
      </w:r>
    </w:p>
    <w:p w14:paraId="6C4107C3" w14:textId="77777777" w:rsidR="00DE2956" w:rsidRPr="007B75DC" w:rsidRDefault="00DE2956" w:rsidP="00534F79">
      <w:pPr>
        <w:numPr>
          <w:ilvl w:val="0"/>
          <w:numId w:val="18"/>
        </w:numPr>
        <w:spacing w:after="0" w:line="240" w:lineRule="auto"/>
        <w:ind w:left="567" w:right="-2" w:hanging="567"/>
        <w:rPr>
          <w:rFonts w:ascii="Times New Roman" w:eastAsia="Times New Roman" w:hAnsi="Times New Roman" w:cs="Times New Roman"/>
          <w:szCs w:val="24"/>
        </w:rPr>
      </w:pPr>
      <w:r w:rsidRPr="007B75DC">
        <w:rPr>
          <w:rFonts w:ascii="Times New Roman" w:eastAsia="Times New Roman" w:hAnsi="Times New Roman" w:cs="Times New Roman"/>
          <w:szCs w:val="24"/>
        </w:rPr>
        <w:t>Veiklioji medžiaga yra imatinibas (mesilato pavidalu). Kiekvienoje plėvele dengtoje</w:t>
      </w:r>
      <w:r w:rsidRPr="007B75DC">
        <w:rPr>
          <w:rFonts w:ascii="Times New Roman" w:eastAsia="Times New Roman" w:hAnsi="Times New Roman" w:cs="Times New Roman"/>
          <w:i/>
          <w:szCs w:val="24"/>
        </w:rPr>
        <w:t xml:space="preserve"> </w:t>
      </w:r>
      <w:r w:rsidRPr="007B75DC">
        <w:rPr>
          <w:rFonts w:ascii="Times New Roman" w:eastAsia="Times New Roman" w:hAnsi="Times New Roman" w:cs="Times New Roman"/>
          <w:szCs w:val="24"/>
        </w:rPr>
        <w:t>tabletėje yra 100 mg arba 400 mg imatinibo (mesilato pavidalu).</w:t>
      </w:r>
    </w:p>
    <w:p w14:paraId="15D3B150" w14:textId="77777777" w:rsidR="00DE2956" w:rsidRPr="007B75DC" w:rsidRDefault="00DE2956" w:rsidP="00534F79">
      <w:pPr>
        <w:numPr>
          <w:ilvl w:val="0"/>
          <w:numId w:val="18"/>
        </w:numPr>
        <w:spacing w:after="0" w:line="240" w:lineRule="auto"/>
        <w:ind w:left="567" w:right="-2" w:hanging="567"/>
        <w:rPr>
          <w:rFonts w:ascii="Times New Roman" w:eastAsia="Times New Roman" w:hAnsi="Times New Roman" w:cs="Times New Roman"/>
          <w:szCs w:val="24"/>
        </w:rPr>
      </w:pPr>
      <w:r w:rsidRPr="007B75DC">
        <w:rPr>
          <w:rFonts w:ascii="Times New Roman" w:eastAsia="Times New Roman" w:hAnsi="Times New Roman" w:cs="Times New Roman"/>
          <w:szCs w:val="24"/>
        </w:rPr>
        <w:t>Pagalbinės medžiagos yra</w:t>
      </w:r>
      <w:r w:rsidRPr="00534F79">
        <w:rPr>
          <w:rFonts w:ascii="Times New Roman" w:eastAsia="Times New Roman" w:hAnsi="Times New Roman" w:cs="Times New Roman"/>
          <w:iCs/>
          <w:szCs w:val="24"/>
        </w:rPr>
        <w:t>:</w:t>
      </w:r>
    </w:p>
    <w:p w14:paraId="75460C12" w14:textId="77777777" w:rsidR="00DE2956" w:rsidRPr="007B75DC" w:rsidRDefault="00DE2956" w:rsidP="00534F79">
      <w:pPr>
        <w:spacing w:after="0" w:line="240" w:lineRule="auto"/>
        <w:ind w:left="567" w:right="-2"/>
        <w:rPr>
          <w:rFonts w:ascii="Times New Roman" w:eastAsia="Times New Roman" w:hAnsi="Times New Roman" w:cs="Times New Roman"/>
          <w:szCs w:val="24"/>
        </w:rPr>
      </w:pPr>
      <w:r w:rsidRPr="007B75DC">
        <w:rPr>
          <w:rFonts w:ascii="Times New Roman" w:eastAsia="Times New Roman" w:hAnsi="Times New Roman" w:cs="Times New Roman"/>
          <w:i/>
          <w:szCs w:val="24"/>
        </w:rPr>
        <w:t>Tabletės šerdis:</w:t>
      </w:r>
      <w:r w:rsidRPr="007B75DC">
        <w:rPr>
          <w:rFonts w:ascii="Times New Roman" w:eastAsia="Times New Roman" w:hAnsi="Times New Roman" w:cs="Times New Roman"/>
          <w:szCs w:val="24"/>
        </w:rPr>
        <w:t xml:space="preserve"> povidonas K30 ir magnio stearatas (E572);</w:t>
      </w:r>
    </w:p>
    <w:p w14:paraId="1B4A0FB8" w14:textId="77777777" w:rsidR="00DE2956" w:rsidRPr="007B75DC" w:rsidRDefault="00DE2956" w:rsidP="00534F79">
      <w:pPr>
        <w:spacing w:after="0" w:line="240" w:lineRule="auto"/>
        <w:ind w:left="567" w:right="-2"/>
        <w:rPr>
          <w:rFonts w:ascii="Times New Roman" w:eastAsia="Times New Roman" w:hAnsi="Times New Roman" w:cs="Times New Roman"/>
          <w:szCs w:val="24"/>
        </w:rPr>
      </w:pPr>
      <w:r w:rsidRPr="007B75DC">
        <w:rPr>
          <w:rFonts w:ascii="Times New Roman" w:eastAsia="Times New Roman" w:hAnsi="Times New Roman" w:cs="Times New Roman"/>
          <w:i/>
          <w:szCs w:val="24"/>
        </w:rPr>
        <w:t>Tabletės dangalas:</w:t>
      </w:r>
      <w:r w:rsidRPr="007B75DC">
        <w:rPr>
          <w:rFonts w:ascii="Times New Roman" w:eastAsia="Times New Roman" w:hAnsi="Times New Roman" w:cs="Times New Roman"/>
          <w:szCs w:val="24"/>
        </w:rPr>
        <w:t xml:space="preserve"> hipromeliozė (E464), makrogolis 3350, talkas (E553), titano dioksidas (E171), raudonasis geležies oksidas (E172) ir geltonasis geležies oksidas (E172).</w:t>
      </w:r>
    </w:p>
    <w:p w14:paraId="0349BF05" w14:textId="77777777" w:rsidR="00DE2956" w:rsidRPr="007B75DC" w:rsidRDefault="00DE2956" w:rsidP="00DE2956">
      <w:pPr>
        <w:spacing w:after="0" w:line="240" w:lineRule="auto"/>
        <w:ind w:right="-2"/>
        <w:rPr>
          <w:rFonts w:ascii="Times New Roman" w:eastAsia="Times New Roman" w:hAnsi="Times New Roman" w:cs="Times New Roman"/>
          <w:szCs w:val="24"/>
        </w:rPr>
      </w:pPr>
    </w:p>
    <w:p w14:paraId="3F31C6A2"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b/>
          <w:bCs/>
          <w:szCs w:val="24"/>
        </w:rPr>
      </w:pPr>
      <w:r w:rsidRPr="007B75DC">
        <w:rPr>
          <w:rFonts w:ascii="Times New Roman" w:eastAsia="Times New Roman" w:hAnsi="Times New Roman" w:cs="Times New Roman"/>
          <w:b/>
          <w:szCs w:val="24"/>
        </w:rPr>
        <w:t xml:space="preserve">Imatinib </w:t>
      </w:r>
      <w:r w:rsidR="006F09BA" w:rsidRPr="007B75DC">
        <w:rPr>
          <w:rFonts w:ascii="Times New Roman" w:eastAsia="Times New Roman" w:hAnsi="Times New Roman" w:cs="Times New Roman"/>
          <w:b/>
          <w:szCs w:val="24"/>
        </w:rPr>
        <w:t>Inteli</w:t>
      </w:r>
      <w:r w:rsidRPr="007B75DC">
        <w:rPr>
          <w:rFonts w:ascii="Times New Roman" w:eastAsia="Times New Roman" w:hAnsi="Times New Roman" w:cs="Times New Roman"/>
          <w:b/>
          <w:bCs/>
          <w:szCs w:val="24"/>
        </w:rPr>
        <w:t xml:space="preserve"> išvaizda ir kiekis pakuotėje </w:t>
      </w:r>
    </w:p>
    <w:p w14:paraId="739E07F2" w14:textId="77777777" w:rsidR="00DE2956" w:rsidRPr="007B75DC" w:rsidRDefault="00DE2956" w:rsidP="00DE2956">
      <w:pPr>
        <w:spacing w:after="0" w:line="240" w:lineRule="auto"/>
        <w:rPr>
          <w:rFonts w:ascii="Times New Roman" w:eastAsia="Times New Roman" w:hAnsi="Times New Roman" w:cs="Times New Roman"/>
          <w:i/>
          <w:szCs w:val="24"/>
        </w:rPr>
      </w:pPr>
    </w:p>
    <w:p w14:paraId="10A3D09E"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 xml:space="preserve">Imatinib </w:t>
      </w:r>
      <w:r w:rsidR="006F09BA" w:rsidRPr="007B75DC">
        <w:rPr>
          <w:rFonts w:ascii="Times New Roman" w:eastAsia="Times New Roman" w:hAnsi="Times New Roman" w:cs="Times New Roman"/>
          <w:i/>
          <w:szCs w:val="24"/>
        </w:rPr>
        <w:t>Inteli</w:t>
      </w:r>
      <w:r w:rsidRPr="007B75DC">
        <w:rPr>
          <w:rFonts w:ascii="Times New Roman" w:eastAsia="Times New Roman" w:hAnsi="Times New Roman" w:cs="Times New Roman"/>
          <w:i/>
          <w:szCs w:val="24"/>
        </w:rPr>
        <w:t xml:space="preserve"> 100 mg plėvele dengtos tabletės</w:t>
      </w:r>
    </w:p>
    <w:p w14:paraId="7787010E"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rPr>
        <w:t>Tamsiai geltonos ar rusvai oranžinės, plėvele dengtos tabletės, apvalios (7,00 mm), abipus išgaubtos su nuožulniais kraštais, jų vienoje pusėje abipus vagelės įspausta „S“ ir „1“, o kita tablečių pusė yra lygi. Tabletę galima padalyti į lygias dozes.</w:t>
      </w:r>
    </w:p>
    <w:p w14:paraId="1140771E"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p>
    <w:p w14:paraId="71266547"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highlight w:val="lightGray"/>
        </w:rPr>
        <w:t xml:space="preserve">Imatinib </w:t>
      </w:r>
      <w:r w:rsidR="006F09BA" w:rsidRPr="007B75DC">
        <w:rPr>
          <w:rFonts w:ascii="Times New Roman" w:eastAsia="Times New Roman" w:hAnsi="Times New Roman" w:cs="Times New Roman"/>
          <w:i/>
          <w:szCs w:val="24"/>
          <w:highlight w:val="lightGray"/>
        </w:rPr>
        <w:t>Inteli</w:t>
      </w:r>
      <w:r w:rsidRPr="007B75DC">
        <w:rPr>
          <w:rFonts w:ascii="Times New Roman" w:eastAsia="Times New Roman" w:hAnsi="Times New Roman" w:cs="Times New Roman"/>
          <w:i/>
          <w:szCs w:val="24"/>
          <w:highlight w:val="lightGray"/>
        </w:rPr>
        <w:t xml:space="preserve"> 400 mg plėvele dengtos tabletės</w:t>
      </w:r>
    </w:p>
    <w:p w14:paraId="69085B83"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Tamsiai geltonos ar rusvai oranžinės, plėvele dengtos tabletės, kapsulės formos (8,5 mm x 16,00 mm), abipus išgaubtos su nuožulniais kraštais, jų vienoje pusėje abipus vagelės įspausta „S“ ir „2“, o kita tablečių pusė yra lygi. Tabletę galima padalyti į lygias dozes.</w:t>
      </w:r>
    </w:p>
    <w:p w14:paraId="00ABA136"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u w:val="single"/>
        </w:rPr>
      </w:pPr>
    </w:p>
    <w:p w14:paraId="53544851"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Imatinib </w:t>
      </w:r>
      <w:r w:rsidR="006F09BA" w:rsidRPr="007B75DC">
        <w:rPr>
          <w:rFonts w:ascii="Times New Roman" w:eastAsia="Times New Roman" w:hAnsi="Times New Roman" w:cs="Times New Roman"/>
          <w:szCs w:val="24"/>
        </w:rPr>
        <w:t>Inteli</w:t>
      </w:r>
      <w:r w:rsidRPr="007B75DC">
        <w:rPr>
          <w:rFonts w:ascii="Times New Roman" w:eastAsia="Times New Roman" w:hAnsi="Times New Roman" w:cs="Times New Roman"/>
          <w:szCs w:val="24"/>
        </w:rPr>
        <w:t xml:space="preserve"> plėvele dengtos tabletės yra tiekiamos skaidrių PVC/PVdC/aliuminio folijos lizdinių plokštelių pakuotėje.</w:t>
      </w:r>
    </w:p>
    <w:p w14:paraId="63673200"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08F628DB" w14:textId="77777777" w:rsidR="00DE2956" w:rsidRPr="007B75DC" w:rsidRDefault="00DE2956" w:rsidP="00DE2956">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Pakuotės dydžiai:</w:t>
      </w:r>
    </w:p>
    <w:p w14:paraId="668A20E3"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 xml:space="preserve">Imatinib </w:t>
      </w:r>
      <w:r w:rsidR="006F09BA" w:rsidRPr="007B75DC">
        <w:rPr>
          <w:rFonts w:ascii="Times New Roman" w:eastAsia="Times New Roman" w:hAnsi="Times New Roman" w:cs="Times New Roman"/>
          <w:i/>
          <w:szCs w:val="24"/>
        </w:rPr>
        <w:t>Inteli</w:t>
      </w:r>
      <w:r w:rsidRPr="007B75DC">
        <w:rPr>
          <w:rFonts w:ascii="Times New Roman" w:eastAsia="Times New Roman" w:hAnsi="Times New Roman" w:cs="Times New Roman"/>
          <w:i/>
          <w:szCs w:val="24"/>
        </w:rPr>
        <w:t xml:space="preserve"> 100 mg plėvele dengtos tabletės</w:t>
      </w:r>
    </w:p>
    <w:p w14:paraId="5C1CA1AB"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r w:rsidRPr="007B75DC">
        <w:rPr>
          <w:rFonts w:ascii="Times New Roman" w:eastAsia="Times New Roman" w:hAnsi="Times New Roman" w:cs="Times New Roman"/>
          <w:szCs w:val="24"/>
        </w:rPr>
        <w:t>Lizdinės plokštelės: 20, 30, 60, 120 arba 180 plėvele dengtų tablečių.</w:t>
      </w:r>
    </w:p>
    <w:p w14:paraId="51730AF7" w14:textId="77777777" w:rsidR="00DE2956" w:rsidRPr="007B75DC" w:rsidRDefault="00DE2956" w:rsidP="00DE2956">
      <w:pPr>
        <w:spacing w:after="0" w:line="240" w:lineRule="auto"/>
        <w:rPr>
          <w:rFonts w:ascii="Times New Roman" w:eastAsia="Times New Roman" w:hAnsi="Times New Roman" w:cs="Times New Roman"/>
          <w:szCs w:val="24"/>
          <w:highlight w:val="lightGray"/>
        </w:rPr>
      </w:pPr>
    </w:p>
    <w:p w14:paraId="45788A82"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highlight w:val="lightGray"/>
        </w:rPr>
        <w:t xml:space="preserve">Imatinib </w:t>
      </w:r>
      <w:r w:rsidR="006F09BA" w:rsidRPr="007B75DC">
        <w:rPr>
          <w:rFonts w:ascii="Times New Roman" w:eastAsia="Times New Roman" w:hAnsi="Times New Roman" w:cs="Times New Roman"/>
          <w:i/>
          <w:szCs w:val="24"/>
          <w:highlight w:val="lightGray"/>
        </w:rPr>
        <w:t>Inteli</w:t>
      </w:r>
      <w:r w:rsidRPr="007B75DC">
        <w:rPr>
          <w:rFonts w:ascii="Times New Roman" w:eastAsia="Times New Roman" w:hAnsi="Times New Roman" w:cs="Times New Roman"/>
          <w:i/>
          <w:szCs w:val="24"/>
          <w:highlight w:val="lightGray"/>
        </w:rPr>
        <w:t xml:space="preserve"> 400 mg plėvele dengtos tabletės</w:t>
      </w:r>
    </w:p>
    <w:p w14:paraId="3C6682D4"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highlight w:val="lightGray"/>
        </w:rPr>
        <w:t>Lizdinės plokštelės: 10, 30 arba 90 plėvele dengtų tablečių.</w:t>
      </w:r>
    </w:p>
    <w:p w14:paraId="43B5E48B"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p>
    <w:p w14:paraId="340D870F" w14:textId="77777777" w:rsidR="00DE2956" w:rsidRPr="007B75DC" w:rsidRDefault="00DE2956" w:rsidP="00DE2956">
      <w:pPr>
        <w:spacing w:after="0" w:line="240" w:lineRule="auto"/>
        <w:ind w:left="567" w:hanging="567"/>
        <w:rPr>
          <w:rFonts w:ascii="Times New Roman" w:eastAsia="Times New Roman" w:hAnsi="Times New Roman" w:cs="Times New Roman"/>
          <w:szCs w:val="24"/>
        </w:rPr>
      </w:pPr>
      <w:r w:rsidRPr="007B75DC">
        <w:rPr>
          <w:rFonts w:ascii="Times New Roman" w:eastAsia="Times New Roman" w:hAnsi="Times New Roman" w:cs="Times New Roman"/>
          <w:szCs w:val="24"/>
        </w:rPr>
        <w:t>Gali būti tiekiamos ne visų dydžių pakuotės.</w:t>
      </w:r>
    </w:p>
    <w:p w14:paraId="060306C5"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u w:val="single"/>
        </w:rPr>
      </w:pPr>
    </w:p>
    <w:p w14:paraId="3D276F82"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b/>
          <w:bCs/>
          <w:szCs w:val="24"/>
        </w:rPr>
      </w:pPr>
      <w:r w:rsidRPr="007B75DC">
        <w:rPr>
          <w:rFonts w:ascii="Times New Roman" w:eastAsia="Times New Roman" w:hAnsi="Times New Roman" w:cs="Times New Roman"/>
          <w:b/>
          <w:bCs/>
          <w:szCs w:val="24"/>
        </w:rPr>
        <w:lastRenderedPageBreak/>
        <w:t>Registruotojas ir gamintojas</w:t>
      </w:r>
    </w:p>
    <w:p w14:paraId="2CEDB40E" w14:textId="77777777" w:rsidR="00DE2956" w:rsidRPr="007B75DC" w:rsidRDefault="00DE2956" w:rsidP="00DE2956">
      <w:pPr>
        <w:spacing w:after="0" w:line="240" w:lineRule="auto"/>
        <w:rPr>
          <w:rFonts w:ascii="Times New Roman" w:eastAsia="Times New Roman" w:hAnsi="Times New Roman" w:cs="Times New Roman"/>
          <w:szCs w:val="24"/>
        </w:rPr>
      </w:pPr>
    </w:p>
    <w:p w14:paraId="36215128" w14:textId="77777777" w:rsidR="00DE2956" w:rsidRPr="007B75DC" w:rsidRDefault="00DE2956" w:rsidP="00DE2956">
      <w:pPr>
        <w:spacing w:after="0" w:line="240" w:lineRule="auto"/>
        <w:rPr>
          <w:rFonts w:ascii="Times New Roman" w:eastAsia="Times New Roman" w:hAnsi="Times New Roman" w:cs="Times New Roman"/>
          <w:i/>
          <w:szCs w:val="24"/>
        </w:rPr>
      </w:pPr>
      <w:r w:rsidRPr="007B75DC">
        <w:rPr>
          <w:rFonts w:ascii="Times New Roman" w:eastAsia="Times New Roman" w:hAnsi="Times New Roman" w:cs="Times New Roman"/>
          <w:i/>
          <w:szCs w:val="24"/>
        </w:rPr>
        <w:t>Registruotojas</w:t>
      </w:r>
    </w:p>
    <w:p w14:paraId="37333DBA"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UAB </w:t>
      </w:r>
      <w:r w:rsidR="004660BB">
        <w:rPr>
          <w:rFonts w:ascii="Times New Roman" w:eastAsia="Times New Roman" w:hAnsi="Times New Roman" w:cs="Times New Roman"/>
          <w:szCs w:val="24"/>
        </w:rPr>
        <w:t>„</w:t>
      </w:r>
      <w:r w:rsidRPr="007B75DC">
        <w:rPr>
          <w:rFonts w:ascii="Times New Roman" w:eastAsia="Times New Roman" w:hAnsi="Times New Roman" w:cs="Times New Roman"/>
          <w:szCs w:val="24"/>
        </w:rPr>
        <w:t>INTELI GENERICS NORD</w:t>
      </w:r>
      <w:r w:rsidR="004660BB">
        <w:rPr>
          <w:rFonts w:ascii="Times New Roman" w:eastAsia="Times New Roman" w:hAnsi="Times New Roman" w:cs="Times New Roman"/>
          <w:szCs w:val="24"/>
        </w:rPr>
        <w:t>“</w:t>
      </w:r>
    </w:p>
    <w:p w14:paraId="43D3EC60"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Šeimyniškių g. 3 </w:t>
      </w:r>
    </w:p>
    <w:p w14:paraId="341FF69E" w14:textId="77777777" w:rsidR="006F09BA" w:rsidRPr="007B75DC" w:rsidRDefault="006F09BA" w:rsidP="006F09BA">
      <w:pPr>
        <w:spacing w:after="0" w:line="240" w:lineRule="auto"/>
        <w:rPr>
          <w:rFonts w:ascii="Times New Roman" w:eastAsia="Times New Roman" w:hAnsi="Times New Roman" w:cs="Times New Roman"/>
          <w:szCs w:val="24"/>
        </w:rPr>
      </w:pPr>
      <w:r w:rsidRPr="007B75DC">
        <w:rPr>
          <w:rFonts w:ascii="Times New Roman" w:eastAsia="Times New Roman" w:hAnsi="Times New Roman" w:cs="Times New Roman"/>
          <w:szCs w:val="24"/>
        </w:rPr>
        <w:t xml:space="preserve">Vilnius, LT-09312 </w:t>
      </w:r>
    </w:p>
    <w:p w14:paraId="4944D9C6" w14:textId="77777777" w:rsidR="006F09BA" w:rsidRPr="007B75DC" w:rsidRDefault="004660BB" w:rsidP="006F09B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w:t>
      </w:r>
      <w:r w:rsidR="006F09BA" w:rsidRPr="007B75DC">
        <w:rPr>
          <w:rFonts w:ascii="Times New Roman" w:eastAsia="Times New Roman" w:hAnsi="Times New Roman" w:cs="Times New Roman"/>
          <w:szCs w:val="24"/>
        </w:rPr>
        <w:t>ietuva</w:t>
      </w:r>
    </w:p>
    <w:p w14:paraId="71635A9E"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0B984980" w14:textId="77777777" w:rsidR="00DE2956" w:rsidRPr="007B75DC" w:rsidRDefault="00DE2956" w:rsidP="00DE2956">
      <w:pPr>
        <w:spacing w:after="0" w:line="240" w:lineRule="auto"/>
        <w:rPr>
          <w:rFonts w:ascii="Times New Roman" w:eastAsia="Times New Roman" w:hAnsi="Times New Roman" w:cs="Times New Roman"/>
          <w:i/>
        </w:rPr>
      </w:pPr>
      <w:r w:rsidRPr="007B75DC">
        <w:rPr>
          <w:rFonts w:ascii="Times New Roman" w:eastAsia="Times New Roman" w:hAnsi="Times New Roman" w:cs="Times New Roman"/>
          <w:i/>
        </w:rPr>
        <w:t>Gamintojas</w:t>
      </w:r>
    </w:p>
    <w:p w14:paraId="6C486EC4" w14:textId="77777777" w:rsidR="00A1146D" w:rsidRPr="007B75DC" w:rsidRDefault="00A1146D" w:rsidP="00A1146D">
      <w:pPr>
        <w:tabs>
          <w:tab w:val="left" w:pos="567"/>
        </w:tabs>
        <w:spacing w:after="0" w:line="260" w:lineRule="exact"/>
        <w:rPr>
          <w:rFonts w:ascii="Times New Roman" w:eastAsia="Times New Roman" w:hAnsi="Times New Roman" w:cs="Times New Roman"/>
        </w:rPr>
      </w:pPr>
      <w:bookmarkStart w:id="2" w:name="_Hlk118818099"/>
      <w:r w:rsidRPr="007B75DC">
        <w:rPr>
          <w:rFonts w:ascii="Times New Roman" w:eastAsia="Times New Roman" w:hAnsi="Times New Roman" w:cs="Times New Roman"/>
        </w:rPr>
        <w:t>apis labor GmbH</w:t>
      </w:r>
    </w:p>
    <w:p w14:paraId="31CE490B" w14:textId="77777777" w:rsidR="00A1146D" w:rsidRPr="007B75DC" w:rsidRDefault="00A1146D" w:rsidP="00A1146D">
      <w:pPr>
        <w:tabs>
          <w:tab w:val="left" w:pos="567"/>
        </w:tabs>
        <w:spacing w:after="0" w:line="260" w:lineRule="exact"/>
        <w:rPr>
          <w:rFonts w:ascii="Times New Roman" w:eastAsia="Times New Roman" w:hAnsi="Times New Roman" w:cs="Times New Roman"/>
        </w:rPr>
      </w:pPr>
      <w:r w:rsidRPr="007B75DC">
        <w:rPr>
          <w:rFonts w:ascii="Times New Roman" w:eastAsia="Times New Roman" w:hAnsi="Times New Roman" w:cs="Times New Roman"/>
        </w:rPr>
        <w:t>Resslstraβe 9</w:t>
      </w:r>
    </w:p>
    <w:p w14:paraId="51D4FDF1" w14:textId="77777777" w:rsidR="00A1146D" w:rsidRPr="007B75DC" w:rsidRDefault="00A1146D" w:rsidP="00A1146D">
      <w:pPr>
        <w:tabs>
          <w:tab w:val="left" w:pos="567"/>
        </w:tabs>
        <w:spacing w:after="0" w:line="260" w:lineRule="exact"/>
        <w:rPr>
          <w:rFonts w:ascii="Times New Roman" w:eastAsia="Times New Roman" w:hAnsi="Times New Roman" w:cs="Times New Roman"/>
        </w:rPr>
      </w:pPr>
      <w:r w:rsidRPr="007B75DC">
        <w:rPr>
          <w:rFonts w:ascii="Times New Roman" w:eastAsia="Times New Roman" w:hAnsi="Times New Roman" w:cs="Times New Roman"/>
        </w:rPr>
        <w:t>9065 Ebenthal in Kärnten</w:t>
      </w:r>
    </w:p>
    <w:p w14:paraId="731EE34F" w14:textId="77777777" w:rsidR="00960DED" w:rsidRPr="007B75DC" w:rsidRDefault="00960DED" w:rsidP="00960DED">
      <w:pPr>
        <w:tabs>
          <w:tab w:val="left" w:pos="567"/>
        </w:tabs>
        <w:spacing w:after="0" w:line="260" w:lineRule="exact"/>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rPr>
        <w:t>Austrija</w:t>
      </w:r>
    </w:p>
    <w:p w14:paraId="030348F6" w14:textId="77777777" w:rsidR="00960DED" w:rsidRPr="007B75DC" w:rsidRDefault="00960DED" w:rsidP="007F1B00">
      <w:pPr>
        <w:tabs>
          <w:tab w:val="left" w:pos="567"/>
        </w:tabs>
        <w:spacing w:after="0" w:line="260" w:lineRule="exact"/>
        <w:rPr>
          <w:rFonts w:ascii="Times New Roman" w:hAnsi="Times New Roman"/>
        </w:rPr>
      </w:pPr>
    </w:p>
    <w:p w14:paraId="3012B134" w14:textId="77777777" w:rsidR="00960DED" w:rsidRPr="007B75DC" w:rsidRDefault="00960DED" w:rsidP="00960DED">
      <w:pPr>
        <w:tabs>
          <w:tab w:val="left" w:pos="567"/>
        </w:tabs>
        <w:spacing w:after="0" w:line="260" w:lineRule="exact"/>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4"/>
        </w:rPr>
        <w:t>arba</w:t>
      </w:r>
    </w:p>
    <w:p w14:paraId="5824D555" w14:textId="77777777" w:rsidR="00960DED" w:rsidRPr="007B75DC" w:rsidRDefault="00960DED" w:rsidP="00A1146D">
      <w:pPr>
        <w:tabs>
          <w:tab w:val="left" w:pos="567"/>
        </w:tabs>
        <w:spacing w:after="0" w:line="260" w:lineRule="exact"/>
        <w:rPr>
          <w:rFonts w:ascii="Times New Roman" w:eastAsia="Times New Roman" w:hAnsi="Times New Roman" w:cs="Times New Roman"/>
        </w:rPr>
      </w:pPr>
    </w:p>
    <w:bookmarkEnd w:id="2"/>
    <w:p w14:paraId="18190CA0" w14:textId="77777777" w:rsidR="00DE2956" w:rsidRPr="007B75DC" w:rsidRDefault="00DE2956" w:rsidP="00DE2956">
      <w:pPr>
        <w:spacing w:after="0" w:line="240" w:lineRule="auto"/>
        <w:rPr>
          <w:rFonts w:ascii="Times New Roman" w:hAnsi="Times New Roman"/>
        </w:rPr>
      </w:pPr>
      <w:r w:rsidRPr="007B75DC">
        <w:rPr>
          <w:rFonts w:ascii="Times New Roman" w:hAnsi="Times New Roman"/>
        </w:rPr>
        <w:t>Wave Pharma Limited</w:t>
      </w:r>
    </w:p>
    <w:p w14:paraId="14061B70" w14:textId="77777777" w:rsidR="00DE2956" w:rsidRPr="007B75DC" w:rsidRDefault="00DE2956" w:rsidP="00DE2956">
      <w:pPr>
        <w:spacing w:after="0" w:line="240" w:lineRule="auto"/>
        <w:rPr>
          <w:rFonts w:ascii="Times New Roman" w:hAnsi="Times New Roman"/>
        </w:rPr>
      </w:pPr>
      <w:r w:rsidRPr="007B75DC">
        <w:rPr>
          <w:rFonts w:ascii="Times New Roman" w:hAnsi="Times New Roman"/>
        </w:rPr>
        <w:t>4th Floor Cavendish House, 369 Burnt Oak</w:t>
      </w:r>
    </w:p>
    <w:p w14:paraId="49574BD6" w14:textId="77777777" w:rsidR="00DE2956" w:rsidRPr="007B75DC" w:rsidRDefault="00DE2956" w:rsidP="00DE2956">
      <w:pPr>
        <w:spacing w:after="0" w:line="240" w:lineRule="auto"/>
        <w:rPr>
          <w:rFonts w:ascii="Times New Roman" w:hAnsi="Times New Roman"/>
        </w:rPr>
      </w:pPr>
      <w:r w:rsidRPr="007B75DC">
        <w:rPr>
          <w:rFonts w:ascii="Times New Roman" w:hAnsi="Times New Roman"/>
        </w:rPr>
        <w:t>Broadway, Edgware</w:t>
      </w:r>
    </w:p>
    <w:p w14:paraId="35053AC4" w14:textId="77777777" w:rsidR="00DE2956" w:rsidRPr="007B75DC" w:rsidRDefault="00DE2956" w:rsidP="00DE2956">
      <w:pPr>
        <w:spacing w:after="0" w:line="240" w:lineRule="auto"/>
        <w:rPr>
          <w:rFonts w:ascii="Times New Roman" w:hAnsi="Times New Roman"/>
        </w:rPr>
      </w:pPr>
      <w:r w:rsidRPr="007B75DC">
        <w:rPr>
          <w:rFonts w:ascii="Times New Roman" w:hAnsi="Times New Roman"/>
        </w:rPr>
        <w:t>HA8 5AW</w:t>
      </w:r>
    </w:p>
    <w:p w14:paraId="24AC4BDE" w14:textId="77777777" w:rsidR="00DE2956" w:rsidRPr="007B75DC" w:rsidRDefault="00DE2956" w:rsidP="00DE2956">
      <w:pPr>
        <w:tabs>
          <w:tab w:val="left" w:pos="567"/>
        </w:tabs>
        <w:spacing w:after="0" w:line="260" w:lineRule="exact"/>
        <w:rPr>
          <w:rFonts w:ascii="Times New Roman" w:hAnsi="Times New Roman"/>
        </w:rPr>
      </w:pPr>
      <w:r w:rsidRPr="007B75DC">
        <w:rPr>
          <w:rFonts w:ascii="Times New Roman" w:hAnsi="Times New Roman"/>
        </w:rPr>
        <w:t>Jungtinė Karalystė</w:t>
      </w:r>
    </w:p>
    <w:p w14:paraId="00E75540" w14:textId="77777777" w:rsidR="00DE2956" w:rsidRPr="007B75DC" w:rsidRDefault="00DE2956" w:rsidP="007F1B00">
      <w:pPr>
        <w:numPr>
          <w:ilvl w:val="12"/>
          <w:numId w:val="0"/>
        </w:numPr>
        <w:spacing w:after="0" w:line="240" w:lineRule="auto"/>
        <w:ind w:right="-2"/>
        <w:rPr>
          <w:rFonts w:ascii="Times New Roman" w:hAnsi="Times New Roman"/>
          <w:b/>
        </w:rPr>
      </w:pPr>
    </w:p>
    <w:p w14:paraId="45BE244F" w14:textId="77777777" w:rsidR="00DE2956" w:rsidRPr="00951B01" w:rsidRDefault="00DE2956" w:rsidP="00DE2956">
      <w:pPr>
        <w:numPr>
          <w:ilvl w:val="12"/>
          <w:numId w:val="0"/>
        </w:numPr>
        <w:spacing w:after="0" w:line="240" w:lineRule="auto"/>
        <w:ind w:right="-2"/>
        <w:rPr>
          <w:rFonts w:ascii="Times New Roman" w:eastAsia="Times New Roman" w:hAnsi="Times New Roman" w:cs="Times New Roman"/>
          <w:szCs w:val="24"/>
        </w:rPr>
      </w:pPr>
      <w:r w:rsidRPr="007B75DC">
        <w:rPr>
          <w:rFonts w:ascii="Times New Roman" w:eastAsia="Times New Roman" w:hAnsi="Times New Roman" w:cs="Times New Roman"/>
          <w:b/>
          <w:szCs w:val="24"/>
        </w:rPr>
        <w:t xml:space="preserve">Šis vaistas </w:t>
      </w:r>
      <w:r w:rsidR="00951B01" w:rsidRPr="00775A13">
        <w:rPr>
          <w:rFonts w:ascii="Times New Roman" w:eastAsia="Times New Roman" w:hAnsi="Times New Roman" w:cs="Times New Roman"/>
          <w:b/>
          <w:szCs w:val="24"/>
        </w:rPr>
        <w:t>Europos ekonominės erdvės</w:t>
      </w:r>
      <w:r w:rsidRPr="00951B01">
        <w:rPr>
          <w:rFonts w:ascii="Times New Roman" w:eastAsia="Times New Roman" w:hAnsi="Times New Roman" w:cs="Times New Roman"/>
          <w:b/>
          <w:szCs w:val="24"/>
        </w:rPr>
        <w:t xml:space="preserve"> valstybėse narėse </w:t>
      </w:r>
      <w:r w:rsidR="00951B01" w:rsidRPr="00775A13">
        <w:rPr>
          <w:rFonts w:ascii="Times New Roman" w:eastAsia="Times New Roman" w:hAnsi="Times New Roman" w:cs="Times New Roman"/>
          <w:b/>
          <w:szCs w:val="24"/>
        </w:rPr>
        <w:t>ir Jungtinėje Karalystėje (Šiaurės Airijoje)</w:t>
      </w:r>
      <w:r w:rsidR="00951B01">
        <w:rPr>
          <w:rFonts w:ascii="Times New Roman" w:eastAsia="Times New Roman" w:hAnsi="Times New Roman" w:cs="Times New Roman"/>
          <w:b/>
          <w:szCs w:val="24"/>
        </w:rPr>
        <w:t xml:space="preserve"> </w:t>
      </w:r>
      <w:r w:rsidRPr="00951B01">
        <w:rPr>
          <w:rFonts w:ascii="Times New Roman" w:eastAsia="Times New Roman" w:hAnsi="Times New Roman" w:cs="Times New Roman"/>
          <w:b/>
          <w:szCs w:val="24"/>
        </w:rPr>
        <w:t>registruotas tokiais pavadinimais:</w:t>
      </w:r>
    </w:p>
    <w:p w14:paraId="2A83BD0C" w14:textId="77777777" w:rsidR="00DE2956" w:rsidRPr="00951B01" w:rsidRDefault="00DE2956" w:rsidP="00DE2956">
      <w:pPr>
        <w:spacing w:after="0" w:line="240" w:lineRule="auto"/>
        <w:rPr>
          <w:rFonts w:ascii="Times New Roman" w:eastAsia="Times New Roman" w:hAnsi="Times New Roman" w:cs="Times New Roman"/>
        </w:rPr>
      </w:pPr>
    </w:p>
    <w:p w14:paraId="1AF84C34" w14:textId="2351AF49" w:rsidR="00DE2956" w:rsidRPr="00951B01" w:rsidRDefault="00DE2956" w:rsidP="00DE2956">
      <w:pPr>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 xml:space="preserve">Jungtinė Karalystė </w:t>
      </w:r>
      <w:r w:rsidR="00951B01" w:rsidRPr="00775A13">
        <w:rPr>
          <w:rFonts w:ascii="Times New Roman" w:eastAsia="Times New Roman" w:hAnsi="Times New Roman" w:cs="Times New Roman"/>
        </w:rPr>
        <w:t>(Šiaurės Airija)</w:t>
      </w:r>
      <w:r w:rsidRPr="00951B01">
        <w:rPr>
          <w:rFonts w:ascii="Times New Roman" w:eastAsia="Times New Roman" w:hAnsi="Times New Roman" w:cs="Times New Roman"/>
        </w:rPr>
        <w:tab/>
        <w:t>Imatinib 100</w:t>
      </w:r>
      <w:r w:rsidR="000C355D">
        <w:rPr>
          <w:rFonts w:ascii="Times New Roman" w:eastAsia="Times New Roman" w:hAnsi="Times New Roman" w:cs="Times New Roman"/>
        </w:rPr>
        <w:t> </w:t>
      </w:r>
      <w:r w:rsidRPr="00951B01">
        <w:rPr>
          <w:rFonts w:ascii="Times New Roman" w:eastAsia="Times New Roman" w:hAnsi="Times New Roman" w:cs="Times New Roman"/>
        </w:rPr>
        <w:t>mg/400</w:t>
      </w:r>
      <w:r w:rsidR="000C355D">
        <w:rPr>
          <w:rFonts w:ascii="Times New Roman" w:eastAsia="Times New Roman" w:hAnsi="Times New Roman" w:cs="Times New Roman"/>
        </w:rPr>
        <w:t> </w:t>
      </w:r>
      <w:r w:rsidRPr="00951B01">
        <w:rPr>
          <w:rFonts w:ascii="Times New Roman" w:eastAsia="Times New Roman" w:hAnsi="Times New Roman" w:cs="Times New Roman"/>
        </w:rPr>
        <w:t>mg film-coated tablets</w:t>
      </w:r>
    </w:p>
    <w:p w14:paraId="42902E5F" w14:textId="1213C67F" w:rsidR="00DE2956" w:rsidRPr="00951B01" w:rsidRDefault="00DE2956" w:rsidP="00DE2956">
      <w:pPr>
        <w:tabs>
          <w:tab w:val="center" w:pos="2089"/>
        </w:tabs>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Latvija</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00951B01" w:rsidRPr="00951B01">
        <w:rPr>
          <w:rFonts w:ascii="Times New Roman" w:eastAsia="Times New Roman" w:hAnsi="Times New Roman" w:cs="Times New Roman"/>
        </w:rPr>
        <w:tab/>
      </w:r>
      <w:r w:rsidRPr="00951B01">
        <w:rPr>
          <w:rFonts w:ascii="Times New Roman" w:eastAsia="Times New Roman" w:hAnsi="Times New Roman" w:cs="Times New Roman"/>
        </w:rPr>
        <w:t xml:space="preserve">Imatinib </w:t>
      </w:r>
      <w:r w:rsidR="006F09BA" w:rsidRPr="00951B01">
        <w:rPr>
          <w:rFonts w:ascii="Times New Roman" w:eastAsia="Times New Roman" w:hAnsi="Times New Roman" w:cs="Times New Roman"/>
        </w:rPr>
        <w:t xml:space="preserve">Inteli </w:t>
      </w:r>
      <w:r w:rsidRPr="00951B01">
        <w:rPr>
          <w:rFonts w:ascii="Times New Roman" w:eastAsia="Times New Roman" w:hAnsi="Times New Roman" w:cs="Times New Roman"/>
        </w:rPr>
        <w:t>100</w:t>
      </w:r>
      <w:r w:rsidR="000C355D">
        <w:rPr>
          <w:rFonts w:ascii="Times New Roman" w:eastAsia="Times New Roman" w:hAnsi="Times New Roman" w:cs="Times New Roman"/>
        </w:rPr>
        <w:t> </w:t>
      </w:r>
      <w:r w:rsidRPr="00951B01">
        <w:rPr>
          <w:rFonts w:ascii="Times New Roman" w:eastAsia="Times New Roman" w:hAnsi="Times New Roman" w:cs="Times New Roman"/>
        </w:rPr>
        <w:t>mg/400</w:t>
      </w:r>
      <w:r w:rsidR="000C355D">
        <w:rPr>
          <w:rFonts w:ascii="Times New Roman" w:eastAsia="Times New Roman" w:hAnsi="Times New Roman" w:cs="Times New Roman"/>
        </w:rPr>
        <w:t> </w:t>
      </w:r>
      <w:r w:rsidRPr="00951B01">
        <w:rPr>
          <w:rFonts w:ascii="Times New Roman" w:eastAsia="Times New Roman" w:hAnsi="Times New Roman" w:cs="Times New Roman"/>
        </w:rPr>
        <w:t>mg apvalkotās tabletes</w:t>
      </w:r>
    </w:p>
    <w:p w14:paraId="304FD74B" w14:textId="335D9876" w:rsidR="00DE2956" w:rsidRPr="00951B01" w:rsidRDefault="00DE2956" w:rsidP="00DE2956">
      <w:pPr>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Lietuva</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00951B01" w:rsidRPr="00951B01">
        <w:rPr>
          <w:rFonts w:ascii="Times New Roman" w:eastAsia="Times New Roman" w:hAnsi="Times New Roman" w:cs="Times New Roman"/>
        </w:rPr>
        <w:tab/>
      </w:r>
      <w:r w:rsidRPr="00951B01">
        <w:rPr>
          <w:rFonts w:ascii="Times New Roman" w:eastAsia="Times New Roman" w:hAnsi="Times New Roman" w:cs="Times New Roman"/>
        </w:rPr>
        <w:t xml:space="preserve">Imatinib </w:t>
      </w:r>
      <w:r w:rsidR="006F09BA" w:rsidRPr="00951B01">
        <w:rPr>
          <w:rFonts w:ascii="Times New Roman" w:eastAsia="Times New Roman" w:hAnsi="Times New Roman" w:cs="Times New Roman"/>
        </w:rPr>
        <w:t>Inteli</w:t>
      </w:r>
      <w:r w:rsidRPr="00951B01">
        <w:rPr>
          <w:rFonts w:ascii="Times New Roman" w:eastAsia="Times New Roman" w:hAnsi="Times New Roman" w:cs="Times New Roman"/>
        </w:rPr>
        <w:t xml:space="preserve"> 100</w:t>
      </w:r>
      <w:r w:rsidR="000C355D">
        <w:rPr>
          <w:rFonts w:ascii="Times New Roman" w:eastAsia="Times New Roman" w:hAnsi="Times New Roman" w:cs="Times New Roman"/>
        </w:rPr>
        <w:t> </w:t>
      </w:r>
      <w:r w:rsidRPr="00951B01">
        <w:rPr>
          <w:rFonts w:ascii="Times New Roman" w:eastAsia="Times New Roman" w:hAnsi="Times New Roman" w:cs="Times New Roman"/>
        </w:rPr>
        <w:t>mg/400</w:t>
      </w:r>
      <w:r w:rsidR="000C355D">
        <w:rPr>
          <w:rFonts w:ascii="Times New Roman" w:eastAsia="Times New Roman" w:hAnsi="Times New Roman" w:cs="Times New Roman"/>
        </w:rPr>
        <w:t> </w:t>
      </w:r>
      <w:r w:rsidRPr="00951B01">
        <w:rPr>
          <w:rFonts w:ascii="Times New Roman" w:eastAsia="Times New Roman" w:hAnsi="Times New Roman" w:cs="Times New Roman"/>
        </w:rPr>
        <w:t>mg plėvele dengtos tabletės</w:t>
      </w:r>
    </w:p>
    <w:p w14:paraId="0203177D" w14:textId="536E6E10" w:rsidR="00DE2956" w:rsidRPr="00951B01" w:rsidRDefault="00DE2956" w:rsidP="00DE2956">
      <w:pPr>
        <w:autoSpaceDE w:val="0"/>
        <w:autoSpaceDN w:val="0"/>
        <w:adjustRightInd w:val="0"/>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 xml:space="preserve">Nyderlandai </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00951B01" w:rsidRPr="00951B01">
        <w:rPr>
          <w:rFonts w:ascii="Times New Roman" w:eastAsia="Times New Roman" w:hAnsi="Times New Roman" w:cs="Times New Roman"/>
        </w:rPr>
        <w:tab/>
      </w:r>
      <w:r w:rsidRPr="00951B01">
        <w:rPr>
          <w:rFonts w:ascii="Times New Roman" w:eastAsia="Times New Roman" w:hAnsi="Times New Roman" w:cs="Times New Roman"/>
        </w:rPr>
        <w:t>Imatinib Koanaa 100</w:t>
      </w:r>
      <w:r w:rsidR="000C355D">
        <w:rPr>
          <w:rFonts w:ascii="Times New Roman" w:eastAsia="Times New Roman" w:hAnsi="Times New Roman" w:cs="Times New Roman"/>
        </w:rPr>
        <w:t> </w:t>
      </w:r>
      <w:r w:rsidRPr="00951B01">
        <w:rPr>
          <w:rFonts w:ascii="Times New Roman" w:eastAsia="Times New Roman" w:hAnsi="Times New Roman" w:cs="Times New Roman"/>
        </w:rPr>
        <w:t>mg/400</w:t>
      </w:r>
      <w:r w:rsidR="000C355D">
        <w:rPr>
          <w:rFonts w:ascii="Times New Roman" w:eastAsia="Times New Roman" w:hAnsi="Times New Roman" w:cs="Times New Roman"/>
        </w:rPr>
        <w:t> </w:t>
      </w:r>
      <w:r w:rsidRPr="00951B01">
        <w:rPr>
          <w:rFonts w:ascii="Times New Roman" w:eastAsia="Times New Roman" w:hAnsi="Times New Roman" w:cs="Times New Roman"/>
        </w:rPr>
        <w:t>mg, filmomhulde tabletten</w:t>
      </w:r>
    </w:p>
    <w:p w14:paraId="4BA8D593" w14:textId="4F138C68" w:rsidR="00DE2956" w:rsidRPr="007B75DC" w:rsidRDefault="00DE2956" w:rsidP="00DE2956">
      <w:pPr>
        <w:tabs>
          <w:tab w:val="center" w:pos="2089"/>
        </w:tabs>
        <w:spacing w:after="0" w:line="240" w:lineRule="auto"/>
        <w:rPr>
          <w:rFonts w:ascii="Times New Roman" w:eastAsia="Times New Roman" w:hAnsi="Times New Roman" w:cs="Times New Roman"/>
        </w:rPr>
      </w:pPr>
      <w:r w:rsidRPr="00951B01">
        <w:rPr>
          <w:rFonts w:ascii="Times New Roman" w:eastAsia="Times New Roman" w:hAnsi="Times New Roman" w:cs="Times New Roman"/>
        </w:rPr>
        <w:t>Švedija</w:t>
      </w:r>
      <w:r w:rsidRPr="00951B01">
        <w:rPr>
          <w:rFonts w:ascii="Times New Roman" w:eastAsia="Times New Roman" w:hAnsi="Times New Roman" w:cs="Times New Roman"/>
        </w:rPr>
        <w:tab/>
      </w:r>
      <w:r w:rsidRPr="00951B01">
        <w:rPr>
          <w:rFonts w:ascii="Times New Roman" w:eastAsia="Times New Roman" w:hAnsi="Times New Roman" w:cs="Times New Roman"/>
        </w:rPr>
        <w:tab/>
      </w:r>
      <w:r w:rsidR="00951B01" w:rsidRPr="00951B01">
        <w:rPr>
          <w:rFonts w:ascii="Times New Roman" w:eastAsia="Times New Roman" w:hAnsi="Times New Roman" w:cs="Times New Roman"/>
        </w:rPr>
        <w:tab/>
      </w:r>
      <w:r w:rsidRPr="00951B01">
        <w:rPr>
          <w:rFonts w:ascii="Times New Roman" w:eastAsia="Times New Roman" w:hAnsi="Times New Roman" w:cs="Times New Roman"/>
        </w:rPr>
        <w:t xml:space="preserve">Imatinib </w:t>
      </w:r>
      <w:r w:rsidR="005549A2" w:rsidRPr="00951B01">
        <w:rPr>
          <w:rFonts w:ascii="Times New Roman" w:eastAsia="Times New Roman" w:hAnsi="Times New Roman" w:cs="Times New Roman"/>
        </w:rPr>
        <w:t>Zentiv</w:t>
      </w:r>
      <w:r w:rsidR="005549A2" w:rsidRPr="007B75DC">
        <w:rPr>
          <w:rFonts w:ascii="Times New Roman" w:eastAsia="Times New Roman" w:hAnsi="Times New Roman" w:cs="Times New Roman"/>
        </w:rPr>
        <w:t>a</w:t>
      </w:r>
      <w:r w:rsidRPr="007B75DC">
        <w:rPr>
          <w:rFonts w:ascii="Times New Roman" w:eastAsia="Times New Roman" w:hAnsi="Times New Roman" w:cs="Times New Roman"/>
          <w:szCs w:val="24"/>
        </w:rPr>
        <w:t>100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mg/400</w:t>
      </w:r>
      <w:r w:rsidR="000C355D">
        <w:rPr>
          <w:rFonts w:ascii="Times New Roman" w:eastAsia="Times New Roman" w:hAnsi="Times New Roman" w:cs="Times New Roman"/>
          <w:szCs w:val="24"/>
        </w:rPr>
        <w:t> </w:t>
      </w:r>
      <w:r w:rsidRPr="007B75DC">
        <w:rPr>
          <w:rFonts w:ascii="Times New Roman" w:eastAsia="Times New Roman" w:hAnsi="Times New Roman" w:cs="Times New Roman"/>
          <w:szCs w:val="24"/>
        </w:rPr>
        <w:t>mg, filmdragerade tabletter</w:t>
      </w:r>
    </w:p>
    <w:p w14:paraId="271646F7"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1CAD450E" w14:textId="77777777" w:rsidR="00DE2956" w:rsidRPr="007B75DC" w:rsidRDefault="00DE2956" w:rsidP="00DE2956">
      <w:pPr>
        <w:numPr>
          <w:ilvl w:val="12"/>
          <w:numId w:val="0"/>
        </w:numPr>
        <w:spacing w:after="0" w:line="240" w:lineRule="auto"/>
        <w:ind w:right="-2"/>
        <w:rPr>
          <w:rFonts w:ascii="Times New Roman" w:eastAsia="Times New Roman" w:hAnsi="Times New Roman" w:cs="Times New Roman"/>
          <w:szCs w:val="24"/>
        </w:rPr>
      </w:pPr>
    </w:p>
    <w:p w14:paraId="3E3EDCF6" w14:textId="7DB28CB0" w:rsidR="00DE2956" w:rsidRPr="007B75DC" w:rsidRDefault="00DE2956" w:rsidP="00DE2956">
      <w:pPr>
        <w:numPr>
          <w:ilvl w:val="12"/>
          <w:numId w:val="0"/>
        </w:numPr>
        <w:spacing w:after="0" w:line="240" w:lineRule="auto"/>
        <w:ind w:right="-2"/>
        <w:outlineLvl w:val="0"/>
        <w:rPr>
          <w:rFonts w:ascii="Times New Roman" w:eastAsia="Times New Roman" w:hAnsi="Times New Roman" w:cs="Times New Roman"/>
          <w:b/>
          <w:szCs w:val="24"/>
        </w:rPr>
      </w:pPr>
      <w:r w:rsidRPr="007B75DC">
        <w:rPr>
          <w:rFonts w:ascii="Times New Roman" w:eastAsia="Times New Roman" w:hAnsi="Times New Roman" w:cs="Times New Roman"/>
          <w:b/>
          <w:szCs w:val="24"/>
        </w:rPr>
        <w:t>Šis pakuotės lapelis paskutinį kartą peržiūrėtas</w:t>
      </w:r>
      <w:r w:rsidR="00F322A5">
        <w:rPr>
          <w:rFonts w:ascii="Times New Roman" w:eastAsia="Times New Roman" w:hAnsi="Times New Roman" w:cs="Times New Roman"/>
          <w:b/>
          <w:szCs w:val="24"/>
        </w:rPr>
        <w:t xml:space="preserve"> 2024-11-13</w:t>
      </w:r>
      <w:r w:rsidR="00EC29C8" w:rsidRPr="007B75DC">
        <w:rPr>
          <w:rFonts w:ascii="Times New Roman" w:eastAsia="Times New Roman" w:hAnsi="Times New Roman" w:cs="Times New Roman"/>
          <w:b/>
          <w:szCs w:val="24"/>
        </w:rPr>
        <w:t>.</w:t>
      </w:r>
    </w:p>
    <w:p w14:paraId="0CAFB006" w14:textId="77777777" w:rsidR="00DE2956" w:rsidRPr="007B75DC" w:rsidRDefault="00DE2956" w:rsidP="00DE2956">
      <w:pPr>
        <w:numPr>
          <w:ilvl w:val="12"/>
          <w:numId w:val="0"/>
        </w:numPr>
        <w:spacing w:after="0" w:line="240" w:lineRule="auto"/>
        <w:ind w:right="-2"/>
        <w:outlineLvl w:val="0"/>
        <w:rPr>
          <w:rFonts w:ascii="Times New Roman" w:eastAsia="Times New Roman" w:hAnsi="Times New Roman" w:cs="Times New Roman"/>
          <w:b/>
          <w:szCs w:val="24"/>
        </w:rPr>
      </w:pPr>
    </w:p>
    <w:p w14:paraId="4B0083D0" w14:textId="47909E60" w:rsidR="00DE2956" w:rsidRPr="007B75DC" w:rsidRDefault="00DE2956" w:rsidP="00DE295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7B75DC">
        <w:rPr>
          <w:rFonts w:ascii="Times New Roman" w:eastAsia="Times New Roman" w:hAnsi="Times New Roman" w:cs="Times New Roman"/>
          <w:snapToGrid w:val="0"/>
          <w:szCs w:val="20"/>
        </w:rPr>
        <w:t xml:space="preserve">Išsami informacija apie šį </w:t>
      </w:r>
      <w:r w:rsidRPr="007B75DC">
        <w:rPr>
          <w:rFonts w:ascii="Times New Roman" w:eastAsia="Times New Roman" w:hAnsi="Times New Roman" w:cs="Times New Roman"/>
          <w:snapToGrid w:val="0"/>
          <w:szCs w:val="24"/>
        </w:rPr>
        <w:t>vaistą</w:t>
      </w:r>
      <w:r w:rsidRPr="007B75DC">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AF48AB">
        <w:rPr>
          <w:rFonts w:ascii="Times New Roman" w:eastAsia="Times New Roman" w:hAnsi="Times New Roman" w:cs="Times New Roman"/>
          <w:snapToGrid w:val="0"/>
          <w:szCs w:val="20"/>
        </w:rPr>
        <w:t>tinklalapyje</w:t>
      </w:r>
      <w:r w:rsidR="00AF48AB" w:rsidRPr="00AF48AB">
        <w:rPr>
          <w:rFonts w:ascii="Times New Roman" w:eastAsia="Times New Roman" w:hAnsi="Times New Roman" w:cs="Times New Roman"/>
          <w:snapToGrid w:val="0"/>
          <w:szCs w:val="20"/>
        </w:rPr>
        <w:t xml:space="preserve"> </w:t>
      </w:r>
      <w:r w:rsidR="00AF48AB" w:rsidRPr="00E47A2C">
        <w:rPr>
          <w:rFonts w:ascii="Times New Roman" w:hAnsi="Times New Roman" w:cs="Times New Roman"/>
          <w:color w:val="0000EE"/>
          <w:u w:val="single"/>
          <w:lang w:eastAsia="lt-LT"/>
        </w:rPr>
        <w:t>https://vvkt.lrv.lt/lt/</w:t>
      </w:r>
      <w:r w:rsidR="00AF48AB" w:rsidRPr="00E47A2C">
        <w:rPr>
          <w:rFonts w:ascii="Times New Roman" w:hAnsi="Times New Roman" w:cs="Times New Roman"/>
          <w:lang w:eastAsia="lt-LT"/>
        </w:rPr>
        <w:t>.</w:t>
      </w:r>
      <w:r w:rsidRPr="007B75DC">
        <w:rPr>
          <w:rFonts w:ascii="Times New Roman" w:eastAsia="Times New Roman" w:hAnsi="Times New Roman" w:cs="Times New Roman"/>
          <w:i/>
          <w:snapToGrid w:val="0"/>
          <w:szCs w:val="24"/>
        </w:rPr>
        <w:t xml:space="preserve"> </w:t>
      </w:r>
    </w:p>
    <w:p w14:paraId="6DCD8DCA" w14:textId="77777777" w:rsidR="00DE2956" w:rsidRPr="007B75DC" w:rsidRDefault="00DE2956" w:rsidP="00DE2956">
      <w:pPr>
        <w:numPr>
          <w:ilvl w:val="12"/>
          <w:numId w:val="0"/>
        </w:numPr>
        <w:spacing w:after="0" w:line="240" w:lineRule="auto"/>
        <w:ind w:right="-2"/>
        <w:outlineLvl w:val="0"/>
        <w:rPr>
          <w:rFonts w:ascii="Times New Roman" w:eastAsia="Times New Roman" w:hAnsi="Times New Roman" w:cs="Times New Roman"/>
          <w:szCs w:val="24"/>
        </w:rPr>
      </w:pPr>
    </w:p>
    <w:p w14:paraId="01C56650" w14:textId="77777777" w:rsidR="00DE2956" w:rsidRPr="007B75DC" w:rsidRDefault="00DE2956" w:rsidP="00DE2956">
      <w:bookmarkStart w:id="3" w:name="_GoBack"/>
      <w:bookmarkEnd w:id="3"/>
    </w:p>
    <w:p w14:paraId="0CF2BC25" w14:textId="77777777" w:rsidR="00DE2956" w:rsidRPr="007B75DC" w:rsidRDefault="00DE2956" w:rsidP="00DE2956"/>
    <w:p w14:paraId="572889F2" w14:textId="77777777" w:rsidR="00DE2956" w:rsidRPr="007B75DC" w:rsidRDefault="00DE2956" w:rsidP="00DE2956"/>
    <w:p w14:paraId="4940E3B8" w14:textId="77777777" w:rsidR="003D36A1" w:rsidRPr="007B75DC" w:rsidRDefault="003D36A1"/>
    <w:sectPr w:rsidR="003D36A1" w:rsidRPr="007B75DC" w:rsidSect="003F4907">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F30B7" w14:textId="77777777" w:rsidR="00845AA7" w:rsidRDefault="00845AA7">
      <w:pPr>
        <w:spacing w:after="0" w:line="240" w:lineRule="auto"/>
      </w:pPr>
      <w:r>
        <w:separator/>
      </w:r>
    </w:p>
  </w:endnote>
  <w:endnote w:type="continuationSeparator" w:id="0">
    <w:p w14:paraId="5C298A29" w14:textId="77777777" w:rsidR="00845AA7" w:rsidRDefault="00845AA7">
      <w:pPr>
        <w:spacing w:after="0" w:line="240" w:lineRule="auto"/>
      </w:pPr>
      <w:r>
        <w:continuationSeparator/>
      </w:r>
    </w:p>
  </w:endnote>
  <w:endnote w:type="continuationNotice" w:id="1">
    <w:p w14:paraId="40651C6B" w14:textId="77777777" w:rsidR="00845AA7" w:rsidRDefault="00845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Uighur">
    <w:altName w:val="Times New Roman"/>
    <w:panose1 w:val="02000000000000000000"/>
    <w:charset w:val="00"/>
    <w:family w:val="auto"/>
    <w:pitch w:val="variable"/>
    <w:sig w:usb0="00000000" w:usb1="80000002" w:usb2="00000008" w:usb3="00000000" w:csb0="0000004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750D" w14:textId="77777777" w:rsidR="00EA1FD4" w:rsidRDefault="00EA1FD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1A56DA2" w14:textId="77777777" w:rsidR="00EA1FD4" w:rsidRDefault="00EA1FD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AC02" w14:textId="57B98713" w:rsidR="00EA1FD4" w:rsidRPr="00564C0A" w:rsidRDefault="00EA1FD4">
    <w:pPr>
      <w:pStyle w:val="Porat"/>
      <w:ind w:right="360"/>
      <w:jc w:val="center"/>
      <w:rPr>
        <w:rStyle w:val="Puslapionumeris"/>
        <w:rFonts w:ascii="Times New Roman" w:hAnsi="Times New Roman"/>
        <w:sz w:val="22"/>
        <w:szCs w:val="22"/>
        <w:lang w:val="lt-LT"/>
      </w:rPr>
    </w:pPr>
    <w:r w:rsidRPr="00564C0A">
      <w:rPr>
        <w:rStyle w:val="Puslapionumeris"/>
        <w:rFonts w:ascii="Times New Roman" w:hAnsi="Times New Roman"/>
        <w:sz w:val="22"/>
        <w:szCs w:val="22"/>
        <w:lang w:val="lt-LT"/>
      </w:rPr>
      <w:fldChar w:fldCharType="begin"/>
    </w:r>
    <w:r w:rsidRPr="00564C0A">
      <w:rPr>
        <w:rStyle w:val="Puslapionumeris"/>
        <w:rFonts w:ascii="Times New Roman" w:hAnsi="Times New Roman"/>
        <w:sz w:val="22"/>
        <w:szCs w:val="22"/>
        <w:lang w:val="lt-LT"/>
      </w:rPr>
      <w:instrText xml:space="preserve"> PAGE </w:instrText>
    </w:r>
    <w:r w:rsidRPr="00564C0A">
      <w:rPr>
        <w:rStyle w:val="Puslapionumeris"/>
        <w:rFonts w:ascii="Times New Roman" w:hAnsi="Times New Roman"/>
        <w:sz w:val="22"/>
        <w:szCs w:val="22"/>
        <w:lang w:val="lt-LT"/>
      </w:rPr>
      <w:fldChar w:fldCharType="separate"/>
    </w:r>
    <w:r w:rsidR="00FB480B">
      <w:rPr>
        <w:rStyle w:val="Puslapionumeris"/>
        <w:rFonts w:ascii="Times New Roman" w:hAnsi="Times New Roman"/>
        <w:noProof/>
        <w:sz w:val="22"/>
        <w:szCs w:val="22"/>
        <w:lang w:val="lt-LT"/>
      </w:rPr>
      <w:t>45</w:t>
    </w:r>
    <w:r w:rsidRPr="00564C0A">
      <w:rPr>
        <w:rStyle w:val="Puslapionumeris"/>
        <w:rFonts w:ascii="Times New Roman" w:hAnsi="Times New Roman"/>
        <w:sz w:val="22"/>
        <w:szCs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745F" w14:textId="77777777" w:rsidR="00845AA7" w:rsidRDefault="00845AA7">
      <w:pPr>
        <w:spacing w:after="0" w:line="240" w:lineRule="auto"/>
      </w:pPr>
      <w:r>
        <w:separator/>
      </w:r>
    </w:p>
  </w:footnote>
  <w:footnote w:type="continuationSeparator" w:id="0">
    <w:p w14:paraId="4F262EA6" w14:textId="77777777" w:rsidR="00845AA7" w:rsidRDefault="00845AA7">
      <w:pPr>
        <w:spacing w:after="0" w:line="240" w:lineRule="auto"/>
      </w:pPr>
      <w:r>
        <w:continuationSeparator/>
      </w:r>
    </w:p>
  </w:footnote>
  <w:footnote w:type="continuationNotice" w:id="1">
    <w:p w14:paraId="39E57B02" w14:textId="77777777" w:rsidR="00845AA7" w:rsidRDefault="00845A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6189" w14:textId="77777777" w:rsidR="00EA1FD4" w:rsidRDefault="00EA1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8412C"/>
    <w:multiLevelType w:val="hybridMultilevel"/>
    <w:tmpl w:val="04A0A7E4"/>
    <w:lvl w:ilvl="0" w:tplc="C526D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5386"/>
    <w:multiLevelType w:val="hybridMultilevel"/>
    <w:tmpl w:val="816449B0"/>
    <w:lvl w:ilvl="0" w:tplc="70AE41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2EF"/>
    <w:multiLevelType w:val="hybridMultilevel"/>
    <w:tmpl w:val="93268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D6BE8"/>
    <w:multiLevelType w:val="hybridMultilevel"/>
    <w:tmpl w:val="62E41E9E"/>
    <w:lvl w:ilvl="0" w:tplc="E85483AC">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725"/>
    <w:multiLevelType w:val="hybridMultilevel"/>
    <w:tmpl w:val="E01AE79A"/>
    <w:lvl w:ilvl="0" w:tplc="87EE30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0715"/>
    <w:multiLevelType w:val="hybridMultilevel"/>
    <w:tmpl w:val="A09ABC54"/>
    <w:lvl w:ilvl="0" w:tplc="C526D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41BFC"/>
    <w:multiLevelType w:val="hybridMultilevel"/>
    <w:tmpl w:val="B0AE98C8"/>
    <w:lvl w:ilvl="0" w:tplc="70AE41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CE4589A"/>
    <w:multiLevelType w:val="hybridMultilevel"/>
    <w:tmpl w:val="61E4E1CE"/>
    <w:lvl w:ilvl="0" w:tplc="F00220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D3495"/>
    <w:multiLevelType w:val="hybridMultilevel"/>
    <w:tmpl w:val="45484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636A3"/>
    <w:multiLevelType w:val="hybridMultilevel"/>
    <w:tmpl w:val="71FE7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A1BEE"/>
    <w:multiLevelType w:val="hybridMultilevel"/>
    <w:tmpl w:val="1B0E3F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9C3E6B"/>
    <w:multiLevelType w:val="hybridMultilevel"/>
    <w:tmpl w:val="435A5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E54B69"/>
    <w:multiLevelType w:val="hybridMultilevel"/>
    <w:tmpl w:val="E3D4D0F2"/>
    <w:lvl w:ilvl="0" w:tplc="5D946F1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A2D20"/>
    <w:multiLevelType w:val="hybridMultilevel"/>
    <w:tmpl w:val="BBCE611C"/>
    <w:lvl w:ilvl="0" w:tplc="87EE30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62BF2"/>
    <w:multiLevelType w:val="hybridMultilevel"/>
    <w:tmpl w:val="19985640"/>
    <w:lvl w:ilvl="0" w:tplc="C526D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B56DC"/>
    <w:multiLevelType w:val="hybridMultilevel"/>
    <w:tmpl w:val="C6BA4AEC"/>
    <w:lvl w:ilvl="0" w:tplc="C526D5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209F3"/>
    <w:multiLevelType w:val="hybridMultilevel"/>
    <w:tmpl w:val="CEE23164"/>
    <w:lvl w:ilvl="0" w:tplc="70AE41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A5A64"/>
    <w:multiLevelType w:val="hybridMultilevel"/>
    <w:tmpl w:val="F78E84A0"/>
    <w:lvl w:ilvl="0" w:tplc="87EE30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D5229"/>
    <w:multiLevelType w:val="hybridMultilevel"/>
    <w:tmpl w:val="5114DA8A"/>
    <w:lvl w:ilvl="0" w:tplc="87EE3008">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04F4E94"/>
    <w:multiLevelType w:val="hybridMultilevel"/>
    <w:tmpl w:val="EE70E1B4"/>
    <w:lvl w:ilvl="0" w:tplc="87EE300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97481"/>
    <w:multiLevelType w:val="hybridMultilevel"/>
    <w:tmpl w:val="B5FE626A"/>
    <w:lvl w:ilvl="0" w:tplc="87EE300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FDD1403"/>
    <w:multiLevelType w:val="hybridMultilevel"/>
    <w:tmpl w:val="0DDACED2"/>
    <w:lvl w:ilvl="0" w:tplc="87EE3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0"/>
    <w:lvlOverride w:ilvl="0">
      <w:lvl w:ilvl="0">
        <w:start w:val="1"/>
        <w:numFmt w:val="bullet"/>
        <w:lvlText w:val="-"/>
        <w:lvlJc w:val="left"/>
        <w:pPr>
          <w:ind w:left="360" w:hanging="360"/>
        </w:pPr>
      </w:lvl>
    </w:lvlOverride>
  </w:num>
  <w:num w:numId="4">
    <w:abstractNumId w:val="23"/>
  </w:num>
  <w:num w:numId="5">
    <w:abstractNumId w:val="21"/>
  </w:num>
  <w:num w:numId="6">
    <w:abstractNumId w:val="24"/>
  </w:num>
  <w:num w:numId="7">
    <w:abstractNumId w:val="11"/>
  </w:num>
  <w:num w:numId="8">
    <w:abstractNumId w:val="10"/>
  </w:num>
  <w:num w:numId="9">
    <w:abstractNumId w:val="5"/>
  </w:num>
  <w:num w:numId="10">
    <w:abstractNumId w:val="2"/>
  </w:num>
  <w:num w:numId="11">
    <w:abstractNumId w:val="14"/>
  </w:num>
  <w:num w:numId="12">
    <w:abstractNumId w:val="17"/>
  </w:num>
  <w:num w:numId="13">
    <w:abstractNumId w:val="18"/>
  </w:num>
  <w:num w:numId="14">
    <w:abstractNumId w:val="6"/>
  </w:num>
  <w:num w:numId="15">
    <w:abstractNumId w:val="1"/>
  </w:num>
  <w:num w:numId="16">
    <w:abstractNumId w:val="16"/>
  </w:num>
  <w:num w:numId="17">
    <w:abstractNumId w:val="22"/>
  </w:num>
  <w:num w:numId="18">
    <w:abstractNumId w:val="15"/>
  </w:num>
  <w:num w:numId="19">
    <w:abstractNumId w:val="19"/>
  </w:num>
  <w:num w:numId="20">
    <w:abstractNumId w:val="9"/>
  </w:num>
  <w:num w:numId="21">
    <w:abstractNumId w:val="7"/>
  </w:num>
  <w:num w:numId="22">
    <w:abstractNumId w:val="3"/>
  </w:num>
  <w:num w:numId="23">
    <w:abstractNumId w:val="4"/>
  </w:num>
  <w:num w:numId="24">
    <w:abstractNumId w:val="2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20"/>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F9"/>
    <w:rsid w:val="00011123"/>
    <w:rsid w:val="00015A30"/>
    <w:rsid w:val="0002327C"/>
    <w:rsid w:val="00025B65"/>
    <w:rsid w:val="000321A6"/>
    <w:rsid w:val="00052A4C"/>
    <w:rsid w:val="00094D7F"/>
    <w:rsid w:val="000959B4"/>
    <w:rsid w:val="000A11F9"/>
    <w:rsid w:val="000C355D"/>
    <w:rsid w:val="000D70B0"/>
    <w:rsid w:val="000E3A19"/>
    <w:rsid w:val="00110234"/>
    <w:rsid w:val="0012684B"/>
    <w:rsid w:val="0013691C"/>
    <w:rsid w:val="00146B23"/>
    <w:rsid w:val="001838AC"/>
    <w:rsid w:val="00190EE7"/>
    <w:rsid w:val="001959C8"/>
    <w:rsid w:val="001A75C3"/>
    <w:rsid w:val="001B2762"/>
    <w:rsid w:val="001C11B4"/>
    <w:rsid w:val="001C1CE3"/>
    <w:rsid w:val="001D7B68"/>
    <w:rsid w:val="001F38D3"/>
    <w:rsid w:val="0022050E"/>
    <w:rsid w:val="002218D5"/>
    <w:rsid w:val="00222835"/>
    <w:rsid w:val="00232827"/>
    <w:rsid w:val="002348C1"/>
    <w:rsid w:val="0024146B"/>
    <w:rsid w:val="00244DC9"/>
    <w:rsid w:val="0028083B"/>
    <w:rsid w:val="00287648"/>
    <w:rsid w:val="00293D75"/>
    <w:rsid w:val="0029460D"/>
    <w:rsid w:val="002A6A60"/>
    <w:rsid w:val="002A726F"/>
    <w:rsid w:val="002B151F"/>
    <w:rsid w:val="002C44E8"/>
    <w:rsid w:val="002C63A7"/>
    <w:rsid w:val="002E25F1"/>
    <w:rsid w:val="002F4353"/>
    <w:rsid w:val="00302382"/>
    <w:rsid w:val="00323EF3"/>
    <w:rsid w:val="00327211"/>
    <w:rsid w:val="00345C1F"/>
    <w:rsid w:val="00355E7B"/>
    <w:rsid w:val="0036300B"/>
    <w:rsid w:val="00372919"/>
    <w:rsid w:val="00397CD3"/>
    <w:rsid w:val="003A4942"/>
    <w:rsid w:val="003B15B3"/>
    <w:rsid w:val="003B4645"/>
    <w:rsid w:val="003B5CB8"/>
    <w:rsid w:val="003C08CF"/>
    <w:rsid w:val="003C7503"/>
    <w:rsid w:val="003D15E3"/>
    <w:rsid w:val="003D184D"/>
    <w:rsid w:val="003D36A1"/>
    <w:rsid w:val="003E2F46"/>
    <w:rsid w:val="003E336C"/>
    <w:rsid w:val="003F4907"/>
    <w:rsid w:val="003F6781"/>
    <w:rsid w:val="00434050"/>
    <w:rsid w:val="00437A20"/>
    <w:rsid w:val="004660BB"/>
    <w:rsid w:val="00473042"/>
    <w:rsid w:val="004817BA"/>
    <w:rsid w:val="00491469"/>
    <w:rsid w:val="004A5600"/>
    <w:rsid w:val="004A7DA3"/>
    <w:rsid w:val="004A7E92"/>
    <w:rsid w:val="004D00F0"/>
    <w:rsid w:val="004D2D6D"/>
    <w:rsid w:val="004E0CF3"/>
    <w:rsid w:val="004F0987"/>
    <w:rsid w:val="00500088"/>
    <w:rsid w:val="00506BEE"/>
    <w:rsid w:val="00510948"/>
    <w:rsid w:val="00513580"/>
    <w:rsid w:val="00534F79"/>
    <w:rsid w:val="00553DC3"/>
    <w:rsid w:val="005549A2"/>
    <w:rsid w:val="0056572F"/>
    <w:rsid w:val="00567067"/>
    <w:rsid w:val="005A5218"/>
    <w:rsid w:val="005C4E34"/>
    <w:rsid w:val="005D3515"/>
    <w:rsid w:val="005E1A72"/>
    <w:rsid w:val="005F6B99"/>
    <w:rsid w:val="00603DB8"/>
    <w:rsid w:val="00613EFF"/>
    <w:rsid w:val="00671406"/>
    <w:rsid w:val="0067268E"/>
    <w:rsid w:val="00685AE5"/>
    <w:rsid w:val="006865A0"/>
    <w:rsid w:val="00690177"/>
    <w:rsid w:val="006B1C6F"/>
    <w:rsid w:val="006F09BA"/>
    <w:rsid w:val="00701F5A"/>
    <w:rsid w:val="00702381"/>
    <w:rsid w:val="007161DE"/>
    <w:rsid w:val="0071743D"/>
    <w:rsid w:val="00726C86"/>
    <w:rsid w:val="007335CF"/>
    <w:rsid w:val="007740E5"/>
    <w:rsid w:val="00775A13"/>
    <w:rsid w:val="00777334"/>
    <w:rsid w:val="007A0691"/>
    <w:rsid w:val="007A2D46"/>
    <w:rsid w:val="007B75DC"/>
    <w:rsid w:val="007C3B36"/>
    <w:rsid w:val="007F1B00"/>
    <w:rsid w:val="0080189F"/>
    <w:rsid w:val="00807E4C"/>
    <w:rsid w:val="00811E9E"/>
    <w:rsid w:val="00815256"/>
    <w:rsid w:val="00815DC6"/>
    <w:rsid w:val="00816331"/>
    <w:rsid w:val="00824829"/>
    <w:rsid w:val="00825720"/>
    <w:rsid w:val="00826D91"/>
    <w:rsid w:val="008303C1"/>
    <w:rsid w:val="00845AA7"/>
    <w:rsid w:val="00852BE9"/>
    <w:rsid w:val="008670D4"/>
    <w:rsid w:val="008A6BFD"/>
    <w:rsid w:val="008E79D1"/>
    <w:rsid w:val="008F7D32"/>
    <w:rsid w:val="00941F96"/>
    <w:rsid w:val="00946D20"/>
    <w:rsid w:val="0095026F"/>
    <w:rsid w:val="00951B01"/>
    <w:rsid w:val="00954258"/>
    <w:rsid w:val="00960DED"/>
    <w:rsid w:val="00962FA2"/>
    <w:rsid w:val="009646A7"/>
    <w:rsid w:val="0097724E"/>
    <w:rsid w:val="009856A3"/>
    <w:rsid w:val="009B1F28"/>
    <w:rsid w:val="009E177C"/>
    <w:rsid w:val="009E1B6B"/>
    <w:rsid w:val="00A01434"/>
    <w:rsid w:val="00A1146D"/>
    <w:rsid w:val="00A216B5"/>
    <w:rsid w:val="00A32CA4"/>
    <w:rsid w:val="00A44F49"/>
    <w:rsid w:val="00A45999"/>
    <w:rsid w:val="00A53442"/>
    <w:rsid w:val="00A54185"/>
    <w:rsid w:val="00A62B25"/>
    <w:rsid w:val="00A64B5B"/>
    <w:rsid w:val="00A80EAE"/>
    <w:rsid w:val="00A834F4"/>
    <w:rsid w:val="00A91534"/>
    <w:rsid w:val="00A95E32"/>
    <w:rsid w:val="00A968F3"/>
    <w:rsid w:val="00AB3487"/>
    <w:rsid w:val="00AB6371"/>
    <w:rsid w:val="00AB720D"/>
    <w:rsid w:val="00AC0D3B"/>
    <w:rsid w:val="00AF48AB"/>
    <w:rsid w:val="00AF7515"/>
    <w:rsid w:val="00B0785A"/>
    <w:rsid w:val="00B21044"/>
    <w:rsid w:val="00B76B77"/>
    <w:rsid w:val="00B80CB3"/>
    <w:rsid w:val="00B93B58"/>
    <w:rsid w:val="00B93EC2"/>
    <w:rsid w:val="00BB0C88"/>
    <w:rsid w:val="00BC0259"/>
    <w:rsid w:val="00BC3D78"/>
    <w:rsid w:val="00C04DC9"/>
    <w:rsid w:val="00C15893"/>
    <w:rsid w:val="00C600DA"/>
    <w:rsid w:val="00C646A2"/>
    <w:rsid w:val="00C6629E"/>
    <w:rsid w:val="00CB7F07"/>
    <w:rsid w:val="00CD03FB"/>
    <w:rsid w:val="00CD4A35"/>
    <w:rsid w:val="00CE3B08"/>
    <w:rsid w:val="00CF70DE"/>
    <w:rsid w:val="00CF7112"/>
    <w:rsid w:val="00D04CF4"/>
    <w:rsid w:val="00D14A02"/>
    <w:rsid w:val="00D24E78"/>
    <w:rsid w:val="00D4702F"/>
    <w:rsid w:val="00D75C1E"/>
    <w:rsid w:val="00D832CD"/>
    <w:rsid w:val="00D92933"/>
    <w:rsid w:val="00D92C47"/>
    <w:rsid w:val="00D9621C"/>
    <w:rsid w:val="00DA1966"/>
    <w:rsid w:val="00DB351A"/>
    <w:rsid w:val="00DB44B5"/>
    <w:rsid w:val="00DC0BB5"/>
    <w:rsid w:val="00DD0CC2"/>
    <w:rsid w:val="00DD667E"/>
    <w:rsid w:val="00DE129F"/>
    <w:rsid w:val="00DE2956"/>
    <w:rsid w:val="00E3199D"/>
    <w:rsid w:val="00E407B8"/>
    <w:rsid w:val="00E42F3E"/>
    <w:rsid w:val="00E46902"/>
    <w:rsid w:val="00E47A2C"/>
    <w:rsid w:val="00E619E4"/>
    <w:rsid w:val="00E85B62"/>
    <w:rsid w:val="00E97CD4"/>
    <w:rsid w:val="00EA1FD4"/>
    <w:rsid w:val="00EA7AC1"/>
    <w:rsid w:val="00EB532F"/>
    <w:rsid w:val="00EC29C8"/>
    <w:rsid w:val="00EE1EB8"/>
    <w:rsid w:val="00EE2CF7"/>
    <w:rsid w:val="00EE4DCF"/>
    <w:rsid w:val="00F03386"/>
    <w:rsid w:val="00F11306"/>
    <w:rsid w:val="00F11B04"/>
    <w:rsid w:val="00F322A5"/>
    <w:rsid w:val="00F37427"/>
    <w:rsid w:val="00F501AC"/>
    <w:rsid w:val="00F61716"/>
    <w:rsid w:val="00F624A3"/>
    <w:rsid w:val="00F72616"/>
    <w:rsid w:val="00F72F9C"/>
    <w:rsid w:val="00F756FF"/>
    <w:rsid w:val="00F856BB"/>
    <w:rsid w:val="00FA304B"/>
    <w:rsid w:val="00FA514C"/>
    <w:rsid w:val="00FA7795"/>
    <w:rsid w:val="00FB480B"/>
    <w:rsid w:val="00FC6931"/>
    <w:rsid w:val="00FE2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2052"/>
  <w15:docId w15:val="{C3EF79F8-B123-4C83-BDA6-8EE107F1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icrosoft Uighur"/>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DE2956"/>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DE2956"/>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qFormat/>
    <w:rsid w:val="00DE2956"/>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qFormat/>
    <w:rsid w:val="00DE2956"/>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qFormat/>
    <w:rsid w:val="00DE2956"/>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qFormat/>
    <w:rsid w:val="00DE2956"/>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qFormat/>
    <w:rsid w:val="00DE2956"/>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rsid w:val="00DE2956"/>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qFormat/>
    <w:rsid w:val="00DE2956"/>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E2956"/>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DE2956"/>
    <w:rPr>
      <w:rFonts w:ascii="Helvetica" w:eastAsia="Times New Roman" w:hAnsi="Helvetica" w:cs="Times New Roman"/>
      <w:b/>
      <w:i/>
      <w:szCs w:val="20"/>
      <w:lang w:val="cs-CZ"/>
    </w:rPr>
  </w:style>
  <w:style w:type="character" w:customStyle="1" w:styleId="Antrat3Diagrama">
    <w:name w:val="Antraštė 3 Diagrama"/>
    <w:link w:val="Antrat3"/>
    <w:rsid w:val="00DE2956"/>
    <w:rPr>
      <w:rFonts w:ascii="Times New Roman" w:eastAsia="Times New Roman" w:hAnsi="Times New Roman" w:cs="Times New Roman"/>
      <w:b/>
      <w:kern w:val="28"/>
      <w:szCs w:val="20"/>
      <w:lang w:val="en-US"/>
    </w:rPr>
  </w:style>
  <w:style w:type="character" w:customStyle="1" w:styleId="Antrat4Diagrama">
    <w:name w:val="Antraštė 4 Diagrama"/>
    <w:link w:val="Antrat4"/>
    <w:rsid w:val="00DE2956"/>
    <w:rPr>
      <w:rFonts w:ascii="Times New Roman" w:eastAsia="Times New Roman" w:hAnsi="Times New Roman" w:cs="Times New Roman"/>
      <w:b/>
      <w:noProof/>
      <w:szCs w:val="20"/>
      <w:lang w:val="cs-CZ"/>
    </w:rPr>
  </w:style>
  <w:style w:type="character" w:customStyle="1" w:styleId="Antrat5Diagrama">
    <w:name w:val="Antraštė 5 Diagrama"/>
    <w:link w:val="Antrat5"/>
    <w:rsid w:val="00DE2956"/>
    <w:rPr>
      <w:rFonts w:ascii="Times New Roman" w:eastAsia="Times New Roman" w:hAnsi="Times New Roman" w:cs="Times New Roman"/>
      <w:noProof/>
      <w:szCs w:val="20"/>
      <w:lang w:val="cs-CZ"/>
    </w:rPr>
  </w:style>
  <w:style w:type="character" w:customStyle="1" w:styleId="Antrat6Diagrama">
    <w:name w:val="Antraštė 6 Diagrama"/>
    <w:link w:val="Antrat6"/>
    <w:rsid w:val="00DE2956"/>
    <w:rPr>
      <w:rFonts w:ascii="Times New Roman" w:eastAsia="Times New Roman" w:hAnsi="Times New Roman" w:cs="Times New Roman"/>
      <w:i/>
      <w:szCs w:val="20"/>
      <w:lang w:val="cs-CZ"/>
    </w:rPr>
  </w:style>
  <w:style w:type="character" w:customStyle="1" w:styleId="Antrat7Diagrama">
    <w:name w:val="Antraštė 7 Diagrama"/>
    <w:link w:val="Antrat7"/>
    <w:rsid w:val="00DE2956"/>
    <w:rPr>
      <w:rFonts w:ascii="Times New Roman" w:eastAsia="Times New Roman" w:hAnsi="Times New Roman" w:cs="Times New Roman"/>
      <w:i/>
      <w:szCs w:val="20"/>
      <w:lang w:val="cs-CZ"/>
    </w:rPr>
  </w:style>
  <w:style w:type="character" w:customStyle="1" w:styleId="Antrat8Diagrama">
    <w:name w:val="Antraštė 8 Diagrama"/>
    <w:link w:val="Antrat8"/>
    <w:rsid w:val="00DE2956"/>
    <w:rPr>
      <w:rFonts w:ascii="Times New Roman" w:eastAsia="Times New Roman" w:hAnsi="Times New Roman" w:cs="Times New Roman"/>
      <w:b/>
      <w:i/>
      <w:szCs w:val="20"/>
      <w:lang w:val="cs-CZ"/>
    </w:rPr>
  </w:style>
  <w:style w:type="character" w:customStyle="1" w:styleId="Antrat9Diagrama">
    <w:name w:val="Antraštė 9 Diagrama"/>
    <w:link w:val="Antrat9"/>
    <w:rsid w:val="00DE2956"/>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DE2956"/>
  </w:style>
  <w:style w:type="paragraph" w:styleId="Porat">
    <w:name w:val="footer"/>
    <w:basedOn w:val="prastasis"/>
    <w:link w:val="PoratDiagrama"/>
    <w:rsid w:val="00DE2956"/>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link w:val="Porat"/>
    <w:rsid w:val="00DE2956"/>
    <w:rPr>
      <w:rFonts w:ascii="Helvetica" w:eastAsia="Times New Roman" w:hAnsi="Helvetica" w:cs="Times New Roman"/>
      <w:sz w:val="16"/>
      <w:szCs w:val="20"/>
      <w:lang w:val="cs-CZ"/>
    </w:rPr>
  </w:style>
  <w:style w:type="character" w:styleId="Puslapionumeris">
    <w:name w:val="page number"/>
    <w:basedOn w:val="Numatytasispastraiposriftas"/>
    <w:rsid w:val="00DE2956"/>
  </w:style>
  <w:style w:type="paragraph" w:styleId="Antrats">
    <w:name w:val="header"/>
    <w:basedOn w:val="prastasis"/>
    <w:link w:val="AntratsDiagrama"/>
    <w:rsid w:val="00DE2956"/>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link w:val="Antrats"/>
    <w:rsid w:val="00DE2956"/>
    <w:rPr>
      <w:rFonts w:ascii="Helvetica" w:eastAsia="Times New Roman" w:hAnsi="Helvetica" w:cs="Times New Roman"/>
      <w:sz w:val="20"/>
      <w:szCs w:val="20"/>
      <w:lang w:val="cs-CZ"/>
    </w:rPr>
  </w:style>
  <w:style w:type="paragraph" w:customStyle="1" w:styleId="EMEAEnBodyText">
    <w:name w:val="EMEA En Body Text"/>
    <w:basedOn w:val="prastasis"/>
    <w:rsid w:val="00DE2956"/>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DE2956"/>
    <w:pPr>
      <w:numPr>
        <w:numId w:val="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DE2956"/>
    <w:pPr>
      <w:numPr>
        <w:ilvl w:val="1"/>
      </w:numPr>
      <w:tabs>
        <w:tab w:val="clear" w:pos="709"/>
        <w:tab w:val="num" w:pos="360"/>
      </w:tabs>
      <w:ind w:left="360" w:hanging="360"/>
    </w:pPr>
    <w:rPr>
      <w:sz w:val="22"/>
    </w:rPr>
  </w:style>
  <w:style w:type="paragraph" w:customStyle="1" w:styleId="AHeader3">
    <w:name w:val="AHeader 3"/>
    <w:basedOn w:val="AHeader2"/>
    <w:rsid w:val="00DE2956"/>
    <w:pPr>
      <w:numPr>
        <w:ilvl w:val="2"/>
      </w:numPr>
      <w:tabs>
        <w:tab w:val="clear" w:pos="1276"/>
        <w:tab w:val="num" w:pos="360"/>
      </w:tabs>
      <w:ind w:left="360" w:hanging="360"/>
    </w:pPr>
  </w:style>
  <w:style w:type="paragraph" w:customStyle="1" w:styleId="AHeader2abc">
    <w:name w:val="AHeader 2 abc"/>
    <w:basedOn w:val="AHeader3"/>
    <w:rsid w:val="00DE295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DE2956"/>
    <w:pPr>
      <w:numPr>
        <w:ilvl w:val="4"/>
      </w:numPr>
      <w:tabs>
        <w:tab w:val="clear" w:pos="1701"/>
        <w:tab w:val="num" w:pos="360"/>
      </w:tabs>
      <w:ind w:left="360" w:hanging="360"/>
    </w:pPr>
  </w:style>
  <w:style w:type="paragraph" w:styleId="Pagrindinistekstas2">
    <w:name w:val="Body Text 2"/>
    <w:basedOn w:val="prastasis"/>
    <w:link w:val="Pagrindinistekstas2Diagrama"/>
    <w:rsid w:val="00DE2956"/>
    <w:pPr>
      <w:numPr>
        <w:ilvl w:val="12"/>
      </w:numPr>
      <w:spacing w:after="0" w:line="240" w:lineRule="auto"/>
      <w:ind w:right="-2"/>
    </w:pPr>
    <w:rPr>
      <w:rFonts w:ascii="Times New Roman" w:eastAsia="Times New Roman" w:hAnsi="Times New Roman" w:cs="Times New Roman"/>
      <w:b/>
      <w:bCs/>
      <w:szCs w:val="20"/>
    </w:rPr>
  </w:style>
  <w:style w:type="character" w:customStyle="1" w:styleId="Pagrindinistekstas2Diagrama">
    <w:name w:val="Pagrindinis tekstas 2 Diagrama"/>
    <w:link w:val="Pagrindinistekstas2"/>
    <w:rsid w:val="00DE2956"/>
    <w:rPr>
      <w:rFonts w:ascii="Times New Roman" w:eastAsia="Times New Roman" w:hAnsi="Times New Roman" w:cs="Times New Roman"/>
      <w:b/>
      <w:bCs/>
      <w:szCs w:val="20"/>
    </w:rPr>
  </w:style>
  <w:style w:type="paragraph" w:styleId="Pagrindinistekstas">
    <w:name w:val="Body Text"/>
    <w:basedOn w:val="prastasis"/>
    <w:link w:val="PagrindinistekstasDiagrama"/>
    <w:rsid w:val="00DE2956"/>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link w:val="Pagrindinistekstas"/>
    <w:rsid w:val="00DE2956"/>
    <w:rPr>
      <w:rFonts w:ascii="Times New Roman" w:eastAsia="Times New Roman" w:hAnsi="Times New Roman" w:cs="Times New Roman"/>
      <w:i/>
      <w:color w:val="008000"/>
      <w:szCs w:val="20"/>
      <w:lang w:val="en-GB"/>
    </w:rPr>
  </w:style>
  <w:style w:type="character" w:styleId="Hipersaitas">
    <w:name w:val="Hyperlink"/>
    <w:uiPriority w:val="99"/>
    <w:rsid w:val="00DE2956"/>
    <w:rPr>
      <w:color w:val="0000FF"/>
      <w:u w:val="single"/>
    </w:rPr>
  </w:style>
  <w:style w:type="character" w:styleId="Grietas">
    <w:name w:val="Strong"/>
    <w:qFormat/>
    <w:rsid w:val="00DE2956"/>
    <w:rPr>
      <w:b/>
      <w:bCs/>
    </w:rPr>
  </w:style>
  <w:style w:type="paragraph" w:styleId="Debesliotekstas">
    <w:name w:val="Balloon Text"/>
    <w:basedOn w:val="prastasis"/>
    <w:link w:val="DebesliotekstasDiagrama"/>
    <w:semiHidden/>
    <w:rsid w:val="00DE2956"/>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DE2956"/>
    <w:rPr>
      <w:rFonts w:ascii="Tahoma" w:eastAsia="Times New Roman" w:hAnsi="Tahoma" w:cs="Tahoma"/>
      <w:sz w:val="16"/>
      <w:szCs w:val="16"/>
    </w:rPr>
  </w:style>
  <w:style w:type="character" w:styleId="Perirtashipersaitas">
    <w:name w:val="FollowedHyperlink"/>
    <w:rsid w:val="00DE2956"/>
    <w:rPr>
      <w:color w:val="800080"/>
      <w:u w:val="single"/>
    </w:rPr>
  </w:style>
  <w:style w:type="table" w:styleId="Lentelstinklelis">
    <w:name w:val="Table Grid"/>
    <w:basedOn w:val="prastojilentel"/>
    <w:rsid w:val="00DE295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956"/>
    <w:pPr>
      <w:widowControl w:val="0"/>
      <w:autoSpaceDE w:val="0"/>
      <w:autoSpaceDN w:val="0"/>
      <w:adjustRightInd w:val="0"/>
    </w:pPr>
    <w:rPr>
      <w:rFonts w:ascii="Times New Roman" w:eastAsia="Times New Roman" w:hAnsi="Times New Roman" w:cs="Times New Roman"/>
      <w:color w:val="000000"/>
      <w:sz w:val="24"/>
      <w:szCs w:val="24"/>
      <w:lang w:val="en-IN" w:eastAsia="en-IN"/>
    </w:rPr>
  </w:style>
  <w:style w:type="character" w:styleId="Komentaronuoroda">
    <w:name w:val="annotation reference"/>
    <w:rsid w:val="00DE2956"/>
    <w:rPr>
      <w:sz w:val="16"/>
      <w:szCs w:val="16"/>
    </w:rPr>
  </w:style>
  <w:style w:type="paragraph" w:styleId="Komentarotekstas">
    <w:name w:val="annotation text"/>
    <w:basedOn w:val="prastasis"/>
    <w:link w:val="KomentarotekstasDiagrama"/>
    <w:rsid w:val="00DE295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link w:val="Komentarotekstas"/>
    <w:rsid w:val="00DE295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DE2956"/>
    <w:rPr>
      <w:b/>
      <w:bCs/>
    </w:rPr>
  </w:style>
  <w:style w:type="character" w:customStyle="1" w:styleId="KomentarotemaDiagrama">
    <w:name w:val="Komentaro tema Diagrama"/>
    <w:link w:val="Komentarotema"/>
    <w:rsid w:val="00DE2956"/>
    <w:rPr>
      <w:rFonts w:ascii="Times New Roman" w:eastAsia="Times New Roman" w:hAnsi="Times New Roman" w:cs="Times New Roman"/>
      <w:b/>
      <w:bCs/>
      <w:sz w:val="20"/>
      <w:szCs w:val="20"/>
    </w:rPr>
  </w:style>
  <w:style w:type="paragraph" w:styleId="Pataisymai">
    <w:name w:val="Revision"/>
    <w:hidden/>
    <w:uiPriority w:val="99"/>
    <w:semiHidden/>
    <w:rsid w:val="00DE2956"/>
    <w:rPr>
      <w:rFonts w:ascii="Times New Roman" w:eastAsia="Times New Roman" w:hAnsi="Times New Roman" w:cs="Times New Roman"/>
      <w:sz w:val="22"/>
      <w:szCs w:val="24"/>
      <w:lang w:eastAsia="en-US"/>
    </w:rPr>
  </w:style>
  <w:style w:type="paragraph" w:styleId="Sraopastraipa">
    <w:name w:val="List Paragraph"/>
    <w:basedOn w:val="prastasis"/>
    <w:uiPriority w:val="34"/>
    <w:qFormat/>
    <w:rsid w:val="00F72F9C"/>
    <w:pPr>
      <w:ind w:left="720"/>
      <w:contextualSpacing/>
    </w:pPr>
  </w:style>
  <w:style w:type="character" w:customStyle="1" w:styleId="UnresolvedMention1">
    <w:name w:val="Unresolved Mention1"/>
    <w:uiPriority w:val="99"/>
    <w:semiHidden/>
    <w:unhideWhenUsed/>
    <w:rsid w:val="00434050"/>
    <w:rPr>
      <w:color w:val="605E5C"/>
      <w:shd w:val="clear" w:color="auto" w:fill="E1DFDD"/>
    </w:rPr>
  </w:style>
  <w:style w:type="character" w:customStyle="1" w:styleId="UnresolvedMention">
    <w:name w:val="Unresolved Mention"/>
    <w:basedOn w:val="Numatytasispastraiposriftas"/>
    <w:uiPriority w:val="99"/>
    <w:semiHidden/>
    <w:unhideWhenUsed/>
    <w:rsid w:val="00977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5540">
      <w:bodyDiv w:val="1"/>
      <w:marLeft w:val="0"/>
      <w:marRight w:val="0"/>
      <w:marTop w:val="0"/>
      <w:marBottom w:val="0"/>
      <w:divBdr>
        <w:top w:val="none" w:sz="0" w:space="0" w:color="auto"/>
        <w:left w:val="none" w:sz="0" w:space="0" w:color="auto"/>
        <w:bottom w:val="none" w:sz="0" w:space="0" w:color="auto"/>
        <w:right w:val="none" w:sz="0" w:space="0" w:color="auto"/>
      </w:divBdr>
    </w:div>
    <w:div w:id="355271518">
      <w:bodyDiv w:val="1"/>
      <w:marLeft w:val="0"/>
      <w:marRight w:val="0"/>
      <w:marTop w:val="0"/>
      <w:marBottom w:val="0"/>
      <w:divBdr>
        <w:top w:val="none" w:sz="0" w:space="0" w:color="auto"/>
        <w:left w:val="none" w:sz="0" w:space="0" w:color="auto"/>
        <w:bottom w:val="none" w:sz="0" w:space="0" w:color="auto"/>
        <w:right w:val="none" w:sz="0" w:space="0" w:color="auto"/>
      </w:divBdr>
    </w:div>
    <w:div w:id="457533243">
      <w:bodyDiv w:val="1"/>
      <w:marLeft w:val="0"/>
      <w:marRight w:val="0"/>
      <w:marTop w:val="0"/>
      <w:marBottom w:val="0"/>
      <w:divBdr>
        <w:top w:val="none" w:sz="0" w:space="0" w:color="auto"/>
        <w:left w:val="none" w:sz="0" w:space="0" w:color="auto"/>
        <w:bottom w:val="none" w:sz="0" w:space="0" w:color="auto"/>
        <w:right w:val="none" w:sz="0" w:space="0" w:color="auto"/>
      </w:divBdr>
    </w:div>
    <w:div w:id="498740382">
      <w:bodyDiv w:val="1"/>
      <w:marLeft w:val="0"/>
      <w:marRight w:val="0"/>
      <w:marTop w:val="0"/>
      <w:marBottom w:val="0"/>
      <w:divBdr>
        <w:top w:val="none" w:sz="0" w:space="0" w:color="auto"/>
        <w:left w:val="none" w:sz="0" w:space="0" w:color="auto"/>
        <w:bottom w:val="none" w:sz="0" w:space="0" w:color="auto"/>
        <w:right w:val="none" w:sz="0" w:space="0" w:color="auto"/>
      </w:divBdr>
    </w:div>
    <w:div w:id="792945808">
      <w:bodyDiv w:val="1"/>
      <w:marLeft w:val="0"/>
      <w:marRight w:val="0"/>
      <w:marTop w:val="0"/>
      <w:marBottom w:val="0"/>
      <w:divBdr>
        <w:top w:val="none" w:sz="0" w:space="0" w:color="auto"/>
        <w:left w:val="none" w:sz="0" w:space="0" w:color="auto"/>
        <w:bottom w:val="none" w:sz="0" w:space="0" w:color="auto"/>
        <w:right w:val="none" w:sz="0" w:space="0" w:color="auto"/>
      </w:divBdr>
    </w:div>
    <w:div w:id="1011570873">
      <w:bodyDiv w:val="1"/>
      <w:marLeft w:val="0"/>
      <w:marRight w:val="0"/>
      <w:marTop w:val="0"/>
      <w:marBottom w:val="0"/>
      <w:divBdr>
        <w:top w:val="none" w:sz="0" w:space="0" w:color="auto"/>
        <w:left w:val="none" w:sz="0" w:space="0" w:color="auto"/>
        <w:bottom w:val="none" w:sz="0" w:space="0" w:color="auto"/>
        <w:right w:val="none" w:sz="0" w:space="0" w:color="auto"/>
      </w:divBdr>
    </w:div>
    <w:div w:id="1068267262">
      <w:bodyDiv w:val="1"/>
      <w:marLeft w:val="0"/>
      <w:marRight w:val="0"/>
      <w:marTop w:val="0"/>
      <w:marBottom w:val="0"/>
      <w:divBdr>
        <w:top w:val="none" w:sz="0" w:space="0" w:color="auto"/>
        <w:left w:val="none" w:sz="0" w:space="0" w:color="auto"/>
        <w:bottom w:val="none" w:sz="0" w:space="0" w:color="auto"/>
        <w:right w:val="none" w:sz="0" w:space="0" w:color="auto"/>
      </w:divBdr>
    </w:div>
    <w:div w:id="1107197183">
      <w:bodyDiv w:val="1"/>
      <w:marLeft w:val="0"/>
      <w:marRight w:val="0"/>
      <w:marTop w:val="0"/>
      <w:marBottom w:val="0"/>
      <w:divBdr>
        <w:top w:val="none" w:sz="0" w:space="0" w:color="auto"/>
        <w:left w:val="none" w:sz="0" w:space="0" w:color="auto"/>
        <w:bottom w:val="none" w:sz="0" w:space="0" w:color="auto"/>
        <w:right w:val="none" w:sz="0" w:space="0" w:color="auto"/>
      </w:divBdr>
    </w:div>
    <w:div w:id="1228881976">
      <w:bodyDiv w:val="1"/>
      <w:marLeft w:val="0"/>
      <w:marRight w:val="0"/>
      <w:marTop w:val="0"/>
      <w:marBottom w:val="0"/>
      <w:divBdr>
        <w:top w:val="none" w:sz="0" w:space="0" w:color="auto"/>
        <w:left w:val="none" w:sz="0" w:space="0" w:color="auto"/>
        <w:bottom w:val="none" w:sz="0" w:space="0" w:color="auto"/>
        <w:right w:val="none" w:sz="0" w:space="0" w:color="auto"/>
      </w:divBdr>
    </w:div>
    <w:div w:id="1284191543">
      <w:bodyDiv w:val="1"/>
      <w:marLeft w:val="0"/>
      <w:marRight w:val="0"/>
      <w:marTop w:val="0"/>
      <w:marBottom w:val="0"/>
      <w:divBdr>
        <w:top w:val="none" w:sz="0" w:space="0" w:color="auto"/>
        <w:left w:val="none" w:sz="0" w:space="0" w:color="auto"/>
        <w:bottom w:val="none" w:sz="0" w:space="0" w:color="auto"/>
        <w:right w:val="none" w:sz="0" w:space="0" w:color="auto"/>
      </w:divBdr>
    </w:div>
    <w:div w:id="1367608641">
      <w:bodyDiv w:val="1"/>
      <w:marLeft w:val="0"/>
      <w:marRight w:val="0"/>
      <w:marTop w:val="0"/>
      <w:marBottom w:val="0"/>
      <w:divBdr>
        <w:top w:val="none" w:sz="0" w:space="0" w:color="auto"/>
        <w:left w:val="none" w:sz="0" w:space="0" w:color="auto"/>
        <w:bottom w:val="none" w:sz="0" w:space="0" w:color="auto"/>
        <w:right w:val="none" w:sz="0" w:space="0" w:color="auto"/>
      </w:divBdr>
    </w:div>
    <w:div w:id="1679503790">
      <w:bodyDiv w:val="1"/>
      <w:marLeft w:val="0"/>
      <w:marRight w:val="0"/>
      <w:marTop w:val="0"/>
      <w:marBottom w:val="0"/>
      <w:divBdr>
        <w:top w:val="none" w:sz="0" w:space="0" w:color="auto"/>
        <w:left w:val="none" w:sz="0" w:space="0" w:color="auto"/>
        <w:bottom w:val="none" w:sz="0" w:space="0" w:color="auto"/>
        <w:right w:val="none" w:sz="0" w:space="0" w:color="auto"/>
      </w:divBdr>
    </w:div>
    <w:div w:id="1830905755">
      <w:bodyDiv w:val="1"/>
      <w:marLeft w:val="0"/>
      <w:marRight w:val="0"/>
      <w:marTop w:val="0"/>
      <w:marBottom w:val="0"/>
      <w:divBdr>
        <w:top w:val="none" w:sz="0" w:space="0" w:color="auto"/>
        <w:left w:val="none" w:sz="0" w:space="0" w:color="auto"/>
        <w:bottom w:val="none" w:sz="0" w:space="0" w:color="auto"/>
        <w:right w:val="none" w:sz="0" w:space="0" w:color="auto"/>
      </w:divBdr>
    </w:div>
    <w:div w:id="1836915277">
      <w:bodyDiv w:val="1"/>
      <w:marLeft w:val="0"/>
      <w:marRight w:val="0"/>
      <w:marTop w:val="0"/>
      <w:marBottom w:val="0"/>
      <w:divBdr>
        <w:top w:val="none" w:sz="0" w:space="0" w:color="auto"/>
        <w:left w:val="none" w:sz="0" w:space="0" w:color="auto"/>
        <w:bottom w:val="none" w:sz="0" w:space="0" w:color="auto"/>
        <w:right w:val="none" w:sz="0" w:space="0" w:color="auto"/>
      </w:divBdr>
    </w:div>
    <w:div w:id="2083328785">
      <w:bodyDiv w:val="1"/>
      <w:marLeft w:val="0"/>
      <w:marRight w:val="0"/>
      <w:marTop w:val="0"/>
      <w:marBottom w:val="0"/>
      <w:divBdr>
        <w:top w:val="none" w:sz="0" w:space="0" w:color="auto"/>
        <w:left w:val="none" w:sz="0" w:space="0" w:color="auto"/>
        <w:bottom w:val="none" w:sz="0" w:space="0" w:color="auto"/>
        <w:right w:val="none" w:sz="0" w:space="0" w:color="auto"/>
      </w:divBdr>
    </w:div>
    <w:div w:id="2113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4F34-6669-4536-B9E3-77DB6C2E7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E7C05-6A03-417C-A4A0-1B191F5E3898}">
  <ds:schemaRefs>
    <ds:schemaRef ds:uri="http://schemas.microsoft.com/sharepoint/v3/contenttype/forms"/>
  </ds:schemaRefs>
</ds:datastoreItem>
</file>

<file path=customXml/itemProps3.xml><?xml version="1.0" encoding="utf-8"?>
<ds:datastoreItem xmlns:ds="http://schemas.openxmlformats.org/officeDocument/2006/customXml" ds:itemID="{CBD6D79E-1F9F-4803-AB77-53CD31ACE66D}">
  <ds:schemaRefs>
    <ds:schemaRef ds:uri="http://www.w3.org/XML/1998/namespace"/>
    <ds:schemaRef ds:uri="http://schemas.microsoft.com/office/2006/documentManagement/types"/>
    <ds:schemaRef ds:uri="ff5f4417-2d5d-42dc-b3a8-e2d9082e304c"/>
    <ds:schemaRef ds:uri="13d98277-b568-4321-acd1-cf8d9ed1705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A0C3CAC-EAF5-4C3F-BCFC-D10399F4DEEB}">
  <ds:schemaRefs>
    <ds:schemaRef ds:uri="http://schemas.microsoft.com/sharepoint/v3/contenttype/forms"/>
  </ds:schemaRefs>
</ds:datastoreItem>
</file>

<file path=customXml/itemProps5.xml><?xml version="1.0" encoding="utf-8"?>
<ds:datastoreItem xmlns:ds="http://schemas.openxmlformats.org/officeDocument/2006/customXml" ds:itemID="{8C383A57-BE59-4524-9B18-EB0DF224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89213</Words>
  <Characters>50852</Characters>
  <Application>Microsoft Office Word</Application>
  <DocSecurity>4</DocSecurity>
  <Lines>423</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139786</CharactersWithSpaces>
  <SharedDoc>false</SharedDoc>
  <HLinks>
    <vt:vector size="18" baseType="variant">
      <vt:variant>
        <vt:i4>3407977</vt:i4>
      </vt:variant>
      <vt:variant>
        <vt:i4>6</vt:i4>
      </vt:variant>
      <vt:variant>
        <vt:i4>0</vt:i4>
      </vt:variant>
      <vt:variant>
        <vt:i4>5</vt:i4>
      </vt:variant>
      <vt:variant>
        <vt:lpwstr>https://vapris.vvkt.lt/vvkt-web/public/medications</vt:lpwstr>
      </vt:variant>
      <vt:variant>
        <vt:lpwstr/>
      </vt:variant>
      <vt:variant>
        <vt:i4>3407977</vt:i4>
      </vt:variant>
      <vt:variant>
        <vt:i4>3</vt:i4>
      </vt:variant>
      <vt:variant>
        <vt:i4>0</vt:i4>
      </vt:variant>
      <vt:variant>
        <vt:i4>5</vt:i4>
      </vt:variant>
      <vt:variant>
        <vt:lpwstr>https://vapris.vvkt.lt/vvkt-web/public/medications</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cp:lastPrinted>2021-02-03T10:38:00Z</cp:lastPrinted>
  <dcterms:created xsi:type="dcterms:W3CDTF">2025-01-03T13:27:00Z</dcterms:created>
  <dcterms:modified xsi:type="dcterms:W3CDTF">2025-01-03T13:27:00Z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ies>
</file>