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A5FB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E67158">
        <w:rPr>
          <w:rFonts w:ascii="Times New Roman" w:eastAsia="SimSun" w:hAnsi="Times New Roman" w:cs="Times New Roman"/>
          <w:b/>
          <w:iCs/>
        </w:rPr>
        <w:t>Pakuotės lapelis: informacija vartotojui</w:t>
      </w:r>
    </w:p>
    <w:p w14:paraId="74F27129" w14:textId="77777777" w:rsidR="00A90AD3" w:rsidRPr="00E67158" w:rsidRDefault="00A90AD3" w:rsidP="00A90AD3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Cs w:val="20"/>
          <w:lang w:eastAsia="zh-CN"/>
        </w:rPr>
      </w:pPr>
    </w:p>
    <w:p w14:paraId="13EC3014" w14:textId="77777777" w:rsidR="00A90AD3" w:rsidRPr="00E67158" w:rsidRDefault="00A90AD3" w:rsidP="00A90AD3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 xml:space="preserve"> 1,5</w:t>
      </w:r>
      <w:r>
        <w:rPr>
          <w:rFonts w:ascii="Times New Roman" w:eastAsia="SimSun" w:hAnsi="Times New Roman" w:cs="Times New Roman"/>
          <w:b/>
          <w:bCs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>mg/ml nosies purškalas (tirpalas)</w:t>
      </w:r>
    </w:p>
    <w:p w14:paraId="66FD1E3E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>
        <w:rPr>
          <w:rFonts w:ascii="Times New Roman" w:eastAsia="SimSun" w:hAnsi="Times New Roman" w:cs="Times New Roman"/>
          <w:szCs w:val="24"/>
          <w:lang w:eastAsia="zh-CN"/>
        </w:rPr>
        <w:t>a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zelastino</w:t>
      </w:r>
      <w:proofErr w:type="spellEnd"/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hidrochloridas</w:t>
      </w:r>
    </w:p>
    <w:p w14:paraId="177E2C75" w14:textId="77777777" w:rsidR="00A90AD3" w:rsidRPr="00E67158" w:rsidRDefault="00A90AD3" w:rsidP="00A90AD3">
      <w:pPr>
        <w:spacing w:after="0" w:line="240" w:lineRule="auto"/>
        <w:rPr>
          <w:rFonts w:ascii="Times New Roman" w:eastAsia="SimSun" w:hAnsi="Times New Roman" w:cs="Times New Roman"/>
          <w:color w:val="008000"/>
          <w:szCs w:val="20"/>
          <w:lang w:eastAsia="zh-CN"/>
        </w:rPr>
      </w:pPr>
    </w:p>
    <w:p w14:paraId="5E7C489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b/>
          <w:szCs w:val="24"/>
          <w:lang w:eastAsia="zh-CN"/>
        </w:rPr>
        <w:t>Atidžiai perskaitykite visą šį lapelį, prieš pradėdami vartoti vaistą, nes jame pateikiama Jums svarbi informacija.</w:t>
      </w:r>
    </w:p>
    <w:p w14:paraId="60FA8D25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Visada vartokite šį vaistą tiksliai kaip aprašyta šiame lapelyje arba kaip nurodė gydytojas arba vaistininkas.</w:t>
      </w:r>
    </w:p>
    <w:p w14:paraId="0705A3AE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Neišmeskite šio lapelio, nes vėl gali prireikti jį perskaityti. </w:t>
      </w:r>
    </w:p>
    <w:p w14:paraId="7E64F883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Jeigu norite sužinoti daugiau arba pasitarti, kreipkitės į vaistininką.</w:t>
      </w:r>
    </w:p>
    <w:p w14:paraId="029EC389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Jeigu pasireiškė šalutinis poveikis </w:t>
      </w:r>
      <w:r w:rsidRPr="00E67158">
        <w:rPr>
          <w:rFonts w:ascii="Times New Roman" w:eastAsia="SimSun" w:hAnsi="Times New Roman" w:cs="Times New Roman"/>
          <w:lang w:eastAsia="zh-CN"/>
        </w:rPr>
        <w:t>(net jeigu jis šiame lapelyje nenurodytas), kreipkitės į gydytoją arba vaistininką.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Žr. 4</w:t>
      </w:r>
      <w:r>
        <w:rPr>
          <w:rFonts w:ascii="Times New Roman" w:eastAsia="SimSun" w:hAnsi="Times New Roman" w:cs="Times New Roman"/>
          <w:szCs w:val="24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skyrių.</w:t>
      </w:r>
    </w:p>
    <w:p w14:paraId="1FC021AF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Jeigu per 4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savaites Jūsų savijauta nepagerėjo arba net pablogėjo, kreipkitės į gydytoją.</w:t>
      </w:r>
    </w:p>
    <w:p w14:paraId="28D8F1EC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5C5AFD2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BF6D0E6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>Apie ką rašoma šiame lapelyje?</w:t>
      </w:r>
    </w:p>
    <w:p w14:paraId="36B8D79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6C33224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1.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ab/>
        <w:t xml:space="preserve">Kas yra </w:t>
      </w:r>
      <w:proofErr w:type="spellStart"/>
      <w:r w:rsidRPr="00E67158">
        <w:rPr>
          <w:rFonts w:ascii="Times New Roman" w:eastAsia="SimSun" w:hAnsi="Times New Roman" w:cs="Times New Roman"/>
          <w:szCs w:val="24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ir kam jis vartojamas </w:t>
      </w:r>
    </w:p>
    <w:p w14:paraId="00B7E68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2.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ab/>
        <w:t xml:space="preserve">Kas žinotina prieš vartojant </w:t>
      </w:r>
      <w:proofErr w:type="spellStart"/>
      <w:r w:rsidRPr="00E67158">
        <w:rPr>
          <w:rFonts w:ascii="Times New Roman" w:eastAsia="SimSun" w:hAnsi="Times New Roman" w:cs="Times New Roman"/>
          <w:szCs w:val="24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</w:p>
    <w:p w14:paraId="2A128029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3.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ab/>
        <w:t xml:space="preserve">Kaip vartoti </w:t>
      </w:r>
      <w:proofErr w:type="spellStart"/>
      <w:r w:rsidRPr="00E67158">
        <w:rPr>
          <w:rFonts w:ascii="Times New Roman" w:eastAsia="SimSun" w:hAnsi="Times New Roman" w:cs="Times New Roman"/>
          <w:szCs w:val="24"/>
          <w:lang w:eastAsia="zh-CN"/>
        </w:rPr>
        <w:t>Allergodil</w:t>
      </w:r>
      <w:proofErr w:type="spellEnd"/>
    </w:p>
    <w:p w14:paraId="22CB7F9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4.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ab/>
        <w:t xml:space="preserve">Galimas šalutinis poveikis </w:t>
      </w:r>
    </w:p>
    <w:p w14:paraId="73E96E0B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5.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ab/>
        <w:t xml:space="preserve">Kaip laikyti </w:t>
      </w:r>
      <w:proofErr w:type="spellStart"/>
      <w:r w:rsidRPr="00E67158">
        <w:rPr>
          <w:rFonts w:ascii="Times New Roman" w:eastAsia="SimSun" w:hAnsi="Times New Roman" w:cs="Times New Roman"/>
          <w:szCs w:val="24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</w:p>
    <w:p w14:paraId="5D2FA36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6.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ab/>
        <w:t>Pakuotės turinys ir kita informacija</w:t>
      </w:r>
    </w:p>
    <w:p w14:paraId="079D85C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4121324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3193911C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>1.</w:t>
      </w:r>
      <w:r w:rsidRPr="00E67158">
        <w:rPr>
          <w:rFonts w:ascii="Times New Roman" w:eastAsia="SimSun" w:hAnsi="Times New Roman" w:cs="Times New Roman"/>
          <w:b/>
          <w:szCs w:val="20"/>
        </w:rPr>
        <w:tab/>
        <w:t xml:space="preserve">Kas yra </w:t>
      </w:r>
      <w:proofErr w:type="spellStart"/>
      <w:r w:rsidRPr="00E67158">
        <w:rPr>
          <w:rFonts w:ascii="Times New Roman" w:eastAsia="SimSun" w:hAnsi="Times New Roman" w:cs="Times New Roman"/>
          <w:b/>
          <w:szCs w:val="24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ir kam jis vartojamas</w:t>
      </w:r>
    </w:p>
    <w:p w14:paraId="0532B08C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04ABA861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yra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azelastino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hidrochlorido, kuris priklauso vaistų, vadinamų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antihistamininiais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, grupei.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Antihistamininiai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vaistai veikia apsaugodami nuo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histamino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, kurį organizmas išskiria vykstant alerginei reakcijai, poveikio. </w:t>
      </w:r>
    </w:p>
    <w:p w14:paraId="48674996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3D7EC9BF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Simptominis alerginio rinito gydymas.</w:t>
      </w:r>
    </w:p>
    <w:p w14:paraId="440E7E73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7B15E85A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1,5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mg/ml nosies purškalas (tirpalas) skirtas suaugusiesiems, paaugliams ir 6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metų bei vyresniems vaikams.</w:t>
      </w:r>
    </w:p>
    <w:p w14:paraId="127FB81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Alerginiu rinitu vadinama alerginė reakcija į tokias medžiagas, kaip, pavyzdžiui, žiedadulkės, namų dulkių erkės ar gyvūnų plaukai.</w:t>
      </w:r>
    </w:p>
    <w:p w14:paraId="48C5F35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6D15382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Paprastai ši alerginė reakcija sukelia slogą, čiaudulį, niežėjimą ar nosies užsikimšimą.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padeda šiuos simptomus kontroliuoti.</w:t>
      </w:r>
    </w:p>
    <w:p w14:paraId="6218316B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552CBC72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Jeigu per 4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savaites Jūsų savijauta nepagerėjo arba net pablogėjo, kreipkitės į gydytoją.</w:t>
      </w:r>
    </w:p>
    <w:p w14:paraId="304654CE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1530323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75021C9F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>2.</w:t>
      </w:r>
      <w:r w:rsidRPr="00E67158">
        <w:rPr>
          <w:rFonts w:ascii="Times New Roman" w:eastAsia="SimSun" w:hAnsi="Times New Roman" w:cs="Times New Roman"/>
          <w:b/>
          <w:szCs w:val="20"/>
        </w:rPr>
        <w:tab/>
        <w:t xml:space="preserve">Kas žinotina prieš vartojant </w:t>
      </w: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</w:t>
      </w:r>
    </w:p>
    <w:p w14:paraId="6D11010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4060B6AB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vartoti </w:t>
      </w:r>
      <w:r>
        <w:rPr>
          <w:rFonts w:ascii="Times New Roman" w:eastAsia="SimSun" w:hAnsi="Times New Roman" w:cs="Times New Roman"/>
          <w:b/>
          <w:szCs w:val="20"/>
        </w:rPr>
        <w:t>draudžiama:</w:t>
      </w:r>
    </w:p>
    <w:p w14:paraId="594C8B39" w14:textId="77777777" w:rsidR="00A90AD3" w:rsidRPr="00E67158" w:rsidRDefault="00A90AD3" w:rsidP="00A90AD3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-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ab/>
      </w:r>
      <w:r w:rsidRPr="00E67158">
        <w:rPr>
          <w:rFonts w:ascii="Times New Roman" w:eastAsia="SimSun" w:hAnsi="Times New Roman" w:cs="Times New Roman"/>
          <w:lang w:eastAsia="zh-CN"/>
        </w:rPr>
        <w:t xml:space="preserve">jeigu yra alergija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azelastino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 hidrochloridui arba bet kuriai pagalbinei šio vaisto medžiagai (jos išvardytos 6 skyriuje).</w:t>
      </w:r>
    </w:p>
    <w:p w14:paraId="6885E006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72F0299B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 xml:space="preserve">Įspėjimai ir atsargumo priemonės </w:t>
      </w:r>
    </w:p>
    <w:p w14:paraId="027920F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Pasitarkite su gydytoju arba vaistininku, prieš pradėdami vartoti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>.</w:t>
      </w:r>
    </w:p>
    <w:p w14:paraId="7BF153F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742E9D65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 xml:space="preserve">Vaikams </w:t>
      </w:r>
    </w:p>
    <w:p w14:paraId="3B590FDF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nosies purškalo nerekomenduojama vartoti jaunesniems kaip 6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metų vaikams.</w:t>
      </w:r>
    </w:p>
    <w:p w14:paraId="62C2B24E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b/>
          <w:szCs w:val="24"/>
          <w:lang w:eastAsia="zh-CN"/>
        </w:rPr>
      </w:pPr>
    </w:p>
    <w:p w14:paraId="623F416F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lastRenderedPageBreak/>
        <w:t xml:space="preserve">Kiti vaistai ir </w:t>
      </w: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</w:t>
      </w:r>
    </w:p>
    <w:p w14:paraId="2FBE3D21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Jeigu vartojate arba neseniai vartojote kitų vaistų, </w:t>
      </w:r>
      <w:r w:rsidRPr="00E67158">
        <w:rPr>
          <w:rFonts w:ascii="Times New Roman" w:eastAsia="SimSun" w:hAnsi="Times New Roman" w:cs="Times New Roman"/>
          <w:lang w:eastAsia="zh-CN"/>
        </w:rPr>
        <w:t>arba dėl to nesate tikri, apie tai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pasakykite gydytojui arba vaistininkui.</w:t>
      </w:r>
    </w:p>
    <w:p w14:paraId="303BF3DB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0706DC5F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 xml:space="preserve">Nėštumas ir žindymo laikotarpis </w:t>
      </w:r>
    </w:p>
    <w:p w14:paraId="2D40EAC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Jeigu esate nėščia, žindote kūdikį, manote, kad galbūt esate nėščia, arba planuojate pastoti, prieš vartodama šį vaistą pasitarkite su gydytoju arba vaistininku. </w:t>
      </w:r>
    </w:p>
    <w:p w14:paraId="2E7A911B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nosies purškalą nėštumo metu reikėtų vartoti atsargiai.</w:t>
      </w:r>
    </w:p>
    <w:p w14:paraId="2F1D8BFB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Duomenų apie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poveikį negimusiam ar žindomam kūdikiui yra labai nedaug. Todėl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nosies purškalą nėštumo ir žindymo metu reikėtų vartoti atsargiai.</w:t>
      </w:r>
    </w:p>
    <w:p w14:paraId="1B8FE77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7AB06EF0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>Vairavimas ir mechanizmų valdymas</w:t>
      </w:r>
    </w:p>
    <w:p w14:paraId="5D9CE6CB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4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nosies purškalas gebėjimą vairuoti ir valdyti mechanizmus veikia nereikšmingai.</w:t>
      </w:r>
    </w:p>
    <w:p w14:paraId="674EF27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Retais atvejais Jūs galite jausti nuovargį, išsekimą, silpnumą ar </w:t>
      </w:r>
      <w:r>
        <w:rPr>
          <w:rFonts w:ascii="Times New Roman" w:eastAsia="SimSun" w:hAnsi="Times New Roman" w:cs="Times New Roman"/>
          <w:szCs w:val="24"/>
          <w:lang w:eastAsia="zh-CN"/>
        </w:rPr>
        <w:t>svaigulį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dėl pačios ligos arba dėl </w:t>
      </w:r>
      <w:proofErr w:type="spellStart"/>
      <w:r w:rsidRPr="00E67158">
        <w:rPr>
          <w:rFonts w:ascii="Times New Roman" w:eastAsia="SimSun" w:hAnsi="Times New Roman" w:cs="Times New Roman"/>
          <w:szCs w:val="24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poveikio. Šiais atvejais nevairuokite ir nevaldykite mechanizmų. Žinokite, kad šį poveikį gali sustiprinti alkoholio vartojimas.</w:t>
      </w:r>
    </w:p>
    <w:p w14:paraId="5AB83DE1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692AD699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2B77A112" w14:textId="77777777" w:rsidR="00A90AD3" w:rsidRPr="00E67158" w:rsidRDefault="00A90AD3" w:rsidP="00A90AD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Cs w:val="20"/>
        </w:rPr>
      </w:pPr>
      <w:r w:rsidRPr="00E67158">
        <w:rPr>
          <w:rFonts w:ascii="Times New Roman" w:eastAsia="SimSun" w:hAnsi="Times New Roman" w:cs="Times New Roman"/>
          <w:b/>
          <w:kern w:val="28"/>
          <w:szCs w:val="20"/>
        </w:rPr>
        <w:t>3.</w:t>
      </w:r>
      <w:r w:rsidRPr="00E67158">
        <w:rPr>
          <w:rFonts w:ascii="Times New Roman" w:eastAsia="SimSun" w:hAnsi="Times New Roman" w:cs="Times New Roman"/>
          <w:b/>
          <w:kern w:val="28"/>
          <w:szCs w:val="20"/>
        </w:rPr>
        <w:tab/>
        <w:t xml:space="preserve">Kaip vartoti </w:t>
      </w:r>
      <w:proofErr w:type="spellStart"/>
      <w:r w:rsidRPr="00E67158">
        <w:rPr>
          <w:rFonts w:ascii="Times New Roman" w:eastAsia="SimSun" w:hAnsi="Times New Roman" w:cs="Times New Roman"/>
          <w:b/>
          <w:kern w:val="28"/>
          <w:szCs w:val="20"/>
        </w:rPr>
        <w:t>Allergodil</w:t>
      </w:r>
      <w:proofErr w:type="spellEnd"/>
    </w:p>
    <w:p w14:paraId="276B023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4F3FAC5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Visada vartokite šį vaistą tiksliai taip, kaip aprašyta šiame lapelyje arba </w:t>
      </w:r>
      <w:r w:rsidRPr="00E67158">
        <w:rPr>
          <w:rFonts w:ascii="Times New Roman" w:eastAsia="SimSun" w:hAnsi="Times New Roman" w:cs="Times New Roman"/>
          <w:lang w:eastAsia="zh-CN"/>
        </w:rPr>
        <w:t>kaip nurodė gydytojas arba vaistininkas.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skirtas vartoti į nosį.</w:t>
      </w:r>
    </w:p>
    <w:p w14:paraId="58C2D18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44ED1F0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>Svarbu:</w:t>
      </w:r>
    </w:p>
    <w:p w14:paraId="57CC3A7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b/>
          <w:bCs/>
          <w:szCs w:val="24"/>
          <w:lang w:eastAsia="zh-CN"/>
        </w:rPr>
        <w:t>Jeigu abejojate dėl tikslios dozės arba kaip vartoti šį vaistą, kreipkitės į gydytoją arba vaistininką.</w:t>
      </w:r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 xml:space="preserve"> </w:t>
      </w:r>
    </w:p>
    <w:p w14:paraId="50EBC8C9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0082B3E5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Cs/>
          <w:lang w:eastAsia="zh-CN"/>
        </w:rPr>
      </w:pPr>
      <w:r w:rsidRPr="00E67158">
        <w:rPr>
          <w:rFonts w:ascii="Times New Roman" w:eastAsia="SimSun" w:hAnsi="Times New Roman" w:cs="Times New Roman"/>
          <w:bCs/>
          <w:lang w:eastAsia="zh-CN"/>
        </w:rPr>
        <w:t>Suaugusiesiems ir paaugliams nuo 12</w:t>
      </w:r>
      <w:r>
        <w:rPr>
          <w:rFonts w:ascii="Times New Roman" w:eastAsia="SimSun" w:hAnsi="Times New Roman" w:cs="Times New Roman"/>
          <w:bCs/>
          <w:lang w:eastAsia="zh-CN"/>
        </w:rPr>
        <w:t> </w:t>
      </w:r>
      <w:r w:rsidRPr="00E67158">
        <w:rPr>
          <w:rFonts w:ascii="Times New Roman" w:eastAsia="SimSun" w:hAnsi="Times New Roman" w:cs="Times New Roman"/>
          <w:bCs/>
          <w:lang w:eastAsia="zh-CN"/>
        </w:rPr>
        <w:t>metų</w:t>
      </w:r>
    </w:p>
    <w:p w14:paraId="313C08BF" w14:textId="77777777" w:rsidR="00A90AD3" w:rsidRPr="00E67158" w:rsidRDefault="00A90AD3" w:rsidP="00A90AD3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Rekomenduojama dozė yra p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o 2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išpurškimus į kiekvieną šnervę vieną arba du kartus per parą, atsižvelgiant į simptomų sunkumą.</w:t>
      </w:r>
    </w:p>
    <w:p w14:paraId="672855D6" w14:textId="77777777" w:rsidR="00A90AD3" w:rsidRPr="00E67158" w:rsidRDefault="00A90AD3" w:rsidP="00A90AD3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Maksimali paros dozė yra po 2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išpurškimus į kiekvieną šnervę du kartus per parą.</w:t>
      </w:r>
    </w:p>
    <w:p w14:paraId="1171DEE8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5881122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lang w:eastAsia="zh-CN"/>
        </w:rPr>
      </w:pPr>
      <w:r w:rsidRPr="00E67158">
        <w:rPr>
          <w:rFonts w:ascii="Times New Roman" w:eastAsia="SimSun" w:hAnsi="Times New Roman" w:cs="Times New Roman"/>
          <w:b/>
          <w:lang w:eastAsia="zh-CN"/>
        </w:rPr>
        <w:t>Vartojimas vaikams</w:t>
      </w:r>
    </w:p>
    <w:p w14:paraId="6AA1E131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bCs/>
          <w:lang w:eastAsia="zh-CN"/>
        </w:rPr>
        <w:t>Vaikams nuo 6</w:t>
      </w:r>
      <w:r>
        <w:rPr>
          <w:rFonts w:ascii="Times New Roman" w:eastAsia="SimSun" w:hAnsi="Times New Roman" w:cs="Times New Roman"/>
          <w:bCs/>
          <w:lang w:eastAsia="zh-CN"/>
        </w:rPr>
        <w:t> </w:t>
      </w:r>
      <w:r w:rsidRPr="00E67158">
        <w:rPr>
          <w:rFonts w:ascii="Times New Roman" w:eastAsia="SimSun" w:hAnsi="Times New Roman" w:cs="Times New Roman"/>
          <w:bCs/>
          <w:lang w:eastAsia="zh-CN"/>
        </w:rPr>
        <w:t>iki 11</w:t>
      </w:r>
      <w:r>
        <w:rPr>
          <w:rFonts w:ascii="Times New Roman" w:eastAsia="SimSun" w:hAnsi="Times New Roman" w:cs="Times New Roman"/>
          <w:bCs/>
          <w:lang w:eastAsia="zh-CN"/>
        </w:rPr>
        <w:t> </w:t>
      </w:r>
      <w:r w:rsidRPr="00E67158">
        <w:rPr>
          <w:rFonts w:ascii="Times New Roman" w:eastAsia="SimSun" w:hAnsi="Times New Roman" w:cs="Times New Roman"/>
          <w:bCs/>
          <w:lang w:eastAsia="zh-CN"/>
        </w:rPr>
        <w:t xml:space="preserve">metų 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rekomenduojama dozė yra po vieną išpurškimą į kiekvieną šnervę du kartus per parą.</w:t>
      </w:r>
    </w:p>
    <w:p w14:paraId="5F490724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0FA3D0F7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Kadangi nepakanka klinikinių duomenų, vaikams nuo 6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iki 11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metų vartoti ilgiau kaip 4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savaites nerekomenduojama.</w:t>
      </w:r>
    </w:p>
    <w:p w14:paraId="1A9441E4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44B0771C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Iki keturių savaičių gydymo trukmės klinikinis tyrimas parodė gerą gydymo veiksmingumą ir saugumą vaikams.</w:t>
      </w:r>
    </w:p>
    <w:p w14:paraId="40D63840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Ilgesnio gydymo vaikams patirties nėra, tačiau iki vienerių metų trukmės klinikiniai tyrimai, vartojant dvigubai didesnę paros dozę, parodė gerus saugumo rezultatus suaugusiesiems ir paaugliams.</w:t>
      </w:r>
    </w:p>
    <w:p w14:paraId="7538C93C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1E8D08C5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i/>
          <w:szCs w:val="20"/>
          <w:lang w:eastAsia="zh-CN"/>
        </w:rPr>
        <w:t xml:space="preserve">Jaunesniems </w:t>
      </w:r>
      <w:r>
        <w:rPr>
          <w:rFonts w:ascii="Times New Roman" w:eastAsia="SimSun" w:hAnsi="Times New Roman" w:cs="Times New Roman"/>
          <w:i/>
          <w:szCs w:val="20"/>
          <w:lang w:eastAsia="zh-CN"/>
        </w:rPr>
        <w:t>kaip</w:t>
      </w:r>
      <w:r w:rsidRPr="00E67158">
        <w:rPr>
          <w:rFonts w:ascii="Times New Roman" w:eastAsia="SimSun" w:hAnsi="Times New Roman" w:cs="Times New Roman"/>
          <w:i/>
          <w:szCs w:val="20"/>
          <w:lang w:eastAsia="zh-CN"/>
        </w:rPr>
        <w:t xml:space="preserve"> 6</w:t>
      </w:r>
      <w:r>
        <w:rPr>
          <w:rFonts w:ascii="Times New Roman" w:eastAsia="SimSun" w:hAnsi="Times New Roman" w:cs="Times New Roman"/>
          <w:i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i/>
          <w:szCs w:val="20"/>
          <w:lang w:eastAsia="zh-CN"/>
        </w:rPr>
        <w:t>metų vaikams</w:t>
      </w:r>
    </w:p>
    <w:p w14:paraId="23963EB7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nosies purškalas nerekomenduojamas jaunesniems kaip 6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metų vaikams, nes saugumas ir veiksmingumas dar neištirti.</w:t>
      </w:r>
    </w:p>
    <w:p w14:paraId="55F0C174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103A6A37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Jeigu įmanoma, turėtumėte vartoti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reguliariai tol, kol išnyks simptomai. Jeigu nutraukiate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vartojimą, simptomai gali atsinaujinti.</w:t>
      </w:r>
    </w:p>
    <w:p w14:paraId="2C09891D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04DDDBCE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galima vartoti ilgai.</w:t>
      </w:r>
    </w:p>
    <w:p w14:paraId="4E461F23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73256F7B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u w:val="single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u w:val="single"/>
          <w:lang w:eastAsia="zh-CN"/>
        </w:rPr>
        <w:t>Vartojimo metodas</w:t>
      </w:r>
    </w:p>
    <w:p w14:paraId="7E32C5DB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Vartoti į nosį.</w:t>
      </w:r>
    </w:p>
    <w:p w14:paraId="7CDD4C47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zCs w:val="20"/>
          <w:lang w:eastAsia="zh-CN"/>
        </w:rPr>
      </w:pPr>
    </w:p>
    <w:p w14:paraId="50C44B62" w14:textId="77777777" w:rsidR="00A90AD3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bCs/>
          <w:szCs w:val="20"/>
          <w:lang w:eastAsia="zh-CN"/>
        </w:rPr>
      </w:pPr>
    </w:p>
    <w:p w14:paraId="158CD7BB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bCs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lastRenderedPageBreak/>
        <w:t>Kaip vartoti purškalą</w:t>
      </w:r>
    </w:p>
    <w:p w14:paraId="573CCE57" w14:textId="77777777" w:rsidR="00A90AD3" w:rsidRPr="00E67158" w:rsidRDefault="00A90AD3" w:rsidP="00A90AD3">
      <w:pPr>
        <w:numPr>
          <w:ilvl w:val="0"/>
          <w:numId w:val="4"/>
        </w:numPr>
        <w:tabs>
          <w:tab w:val="clear" w:pos="720"/>
          <w:tab w:val="left" w:pos="567"/>
        </w:tabs>
        <w:spacing w:after="0" w:line="240" w:lineRule="auto"/>
        <w:ind w:left="540" w:hanging="45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Pirmiausia išsišnypškite nosį.</w:t>
      </w:r>
    </w:p>
    <w:p w14:paraId="52C4BC4A" w14:textId="77777777" w:rsidR="00A90AD3" w:rsidRPr="00E67158" w:rsidRDefault="00A90AD3" w:rsidP="00A90AD3">
      <w:pPr>
        <w:numPr>
          <w:ilvl w:val="0"/>
          <w:numId w:val="4"/>
        </w:numPr>
        <w:tabs>
          <w:tab w:val="clear" w:pos="720"/>
          <w:tab w:val="left" w:pos="567"/>
        </w:tabs>
        <w:spacing w:after="0" w:line="240" w:lineRule="auto"/>
        <w:ind w:left="540" w:hanging="45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Nuimkite apsauginį dangtelį (1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pav.).</w:t>
      </w:r>
    </w:p>
    <w:p w14:paraId="6078572B" w14:textId="77777777" w:rsidR="00A90AD3" w:rsidRPr="00E67158" w:rsidRDefault="00A90AD3" w:rsidP="00A90AD3">
      <w:pPr>
        <w:numPr>
          <w:ilvl w:val="0"/>
          <w:numId w:val="4"/>
        </w:numPr>
        <w:tabs>
          <w:tab w:val="clear" w:pos="720"/>
          <w:tab w:val="left" w:pos="567"/>
        </w:tabs>
        <w:spacing w:after="0" w:line="240" w:lineRule="auto"/>
        <w:ind w:left="540" w:hanging="45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Prieš pirmąjį pavartojimą paspauskite pompą šešis kartus, kol pamatysite ją tolygiai purškiant tirpalą (2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pav.). Jeigu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nevartojote tris ar daugiau dienų, pompą spauskite tiek kartų, kiek reikės, kad purškiant būtų matoma švelni migla.</w:t>
      </w:r>
    </w:p>
    <w:p w14:paraId="03B5093B" w14:textId="77777777" w:rsidR="00A90AD3" w:rsidRPr="00E67158" w:rsidRDefault="00A90AD3" w:rsidP="00A90AD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45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Išpurkškite vaisto po du išpurškimus į abi šnerves, laikydami galvą vertikaliai. Ne</w:t>
      </w:r>
      <w:r>
        <w:rPr>
          <w:rFonts w:ascii="Times New Roman" w:eastAsia="SimSun" w:hAnsi="Times New Roman" w:cs="Times New Roman"/>
          <w:szCs w:val="20"/>
          <w:lang w:eastAsia="zh-CN"/>
        </w:rPr>
        <w:t>atloškite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galvos atgal (3 pav.).</w:t>
      </w:r>
    </w:p>
    <w:p w14:paraId="532FD288" w14:textId="77777777" w:rsidR="00A90AD3" w:rsidRPr="00E67158" w:rsidRDefault="00A90AD3" w:rsidP="00A90AD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45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Nuvalykite</w:t>
      </w:r>
      <w:r>
        <w:rPr>
          <w:rFonts w:ascii="Times New Roman" w:eastAsia="SimSun" w:hAnsi="Times New Roman" w:cs="Times New Roman"/>
          <w:szCs w:val="20"/>
          <w:lang w:eastAsia="zh-CN"/>
        </w:rPr>
        <w:t xml:space="preserve"> purškiklį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ir uždėkite apsauginį dangtelį.</w:t>
      </w:r>
    </w:p>
    <w:p w14:paraId="6CAC8ACA" w14:textId="77777777" w:rsidR="00A90AD3" w:rsidRPr="00E67158" w:rsidRDefault="00A90AD3" w:rsidP="00A90AD3">
      <w:pPr>
        <w:widowControl w:val="0"/>
        <w:tabs>
          <w:tab w:val="left" w:pos="567"/>
          <w:tab w:val="left" w:pos="2940"/>
          <w:tab w:val="left" w:pos="5760"/>
        </w:tabs>
        <w:autoSpaceDE w:val="0"/>
        <w:autoSpaceDN w:val="0"/>
        <w:adjustRightInd w:val="0"/>
        <w:spacing w:before="32" w:after="0" w:line="240" w:lineRule="auto"/>
        <w:ind w:left="115" w:right="-2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EF2612" wp14:editId="1EFCB9DA">
            <wp:extent cx="874395" cy="1399540"/>
            <wp:effectExtent l="0" t="0" r="0" b="0"/>
            <wp:docPr id="1" name="Paveikslėlis 1" descr="Paveikslėlis, kuriame yra eskizas, piešimas, iliustracija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                       </w:t>
      </w:r>
      <w:r w:rsidRPr="00E67158">
        <w:rPr>
          <w:rFonts w:ascii="Times New Roman" w:eastAsia="SimSu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7DD9299" wp14:editId="60729205">
            <wp:extent cx="1065530" cy="1391285"/>
            <wp:effectExtent l="0" t="0" r="0" b="0"/>
            <wp:docPr id="2" name="Paveikslėlis 2" descr="Paveikslėlis, kuriame yra eskizas, piešimas, Linijinis piešimas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eskizas, piešimas, Linijinis piešimas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                       </w:t>
      </w:r>
      <w:r w:rsidRPr="00E67158">
        <w:rPr>
          <w:rFonts w:ascii="Times New Roman" w:eastAsia="SimSu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A83FE93" wp14:editId="53F5FD21">
            <wp:extent cx="1105535" cy="1367790"/>
            <wp:effectExtent l="0" t="0" r="0" b="0"/>
            <wp:docPr id="3" name="Paveikslėlis 3" descr="Paveikslėlis, kuriame yra eskizas, piešimas, Linijinis piešimas, juodas ir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 descr="Paveikslėlis, kuriame yra eskizas, piešimas, Linijinis piešimas, juodas ir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  </w:t>
      </w:r>
    </w:p>
    <w:p w14:paraId="325549FD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      1 paveikslas                          2 paveikslas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ab/>
        <w:t xml:space="preserve">            3 paveikslas                   </w:t>
      </w:r>
    </w:p>
    <w:p w14:paraId="0D044A40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78A13CD5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 xml:space="preserve">Ką daryti pavartojus per didelę </w:t>
      </w: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dozę?</w:t>
      </w:r>
    </w:p>
    <w:p w14:paraId="5CA7B170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Jeigu įpurškėte per daug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į nosį, mažai tikėtina, kad Jums atsirastų kokių nors sutrikimų. Jeigu nerimaujate, kreipkitės į gydytoją.</w:t>
      </w:r>
    </w:p>
    <w:p w14:paraId="284EEB7B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76ACA6B2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Jeigu bet kas, ypač vaikas, atsitiktinai išgertų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>, nedelsdami kreipkitės į gydytoją arba artimiausios ligoninės priėmimo skyrių.</w:t>
      </w:r>
    </w:p>
    <w:p w14:paraId="5883F2C6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5905765C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 xml:space="preserve">Pamiršus pavartoti </w:t>
      </w: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</w:p>
    <w:p w14:paraId="419A9EDC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Pavartokite purškalo iškart, kai apie tai prisiminsite, o kitą dozę vartokite įprastu laiku. Negalima vartoti dvigubos dozės norint kompensuoti praleistą dozę.</w:t>
      </w:r>
    </w:p>
    <w:p w14:paraId="63CD25E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5034E44A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Jeigu kiltų daugiau klausimų dėl šio vaisto vartojimo, kreipkitės į gydytoją arba vaistininką.</w:t>
      </w:r>
    </w:p>
    <w:p w14:paraId="1826DA01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25861A27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24A61014" w14:textId="77777777" w:rsidR="00A90AD3" w:rsidRPr="00E67158" w:rsidRDefault="00A90AD3" w:rsidP="00A90AD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Cs w:val="20"/>
        </w:rPr>
      </w:pPr>
      <w:r w:rsidRPr="00E67158">
        <w:rPr>
          <w:rFonts w:ascii="Times New Roman" w:eastAsia="SimSun" w:hAnsi="Times New Roman" w:cs="Times New Roman"/>
          <w:b/>
          <w:kern w:val="28"/>
          <w:szCs w:val="20"/>
        </w:rPr>
        <w:t>4.</w:t>
      </w:r>
      <w:r w:rsidRPr="00E67158">
        <w:rPr>
          <w:rFonts w:ascii="Times New Roman" w:eastAsia="SimSun" w:hAnsi="Times New Roman" w:cs="Times New Roman"/>
          <w:b/>
          <w:kern w:val="28"/>
          <w:szCs w:val="20"/>
        </w:rPr>
        <w:tab/>
        <w:t>Galimas šalutinis poveikis</w:t>
      </w:r>
    </w:p>
    <w:p w14:paraId="11C394C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17304588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Šis vaistas, kaip ir visi kiti, gali sukelti šalutinį poveikį, nors jis pasireiškia ne visiems žmonėms.</w:t>
      </w:r>
    </w:p>
    <w:p w14:paraId="31E829B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szCs w:val="24"/>
          <w:lang w:eastAsia="zh-CN"/>
        </w:rPr>
      </w:pPr>
    </w:p>
    <w:p w14:paraId="3294BA2E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D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ažn</w:t>
      </w:r>
      <w:r>
        <w:rPr>
          <w:rFonts w:ascii="Times New Roman" w:eastAsia="SimSun" w:hAnsi="Times New Roman" w:cs="Times New Roman"/>
          <w:szCs w:val="24"/>
          <w:lang w:eastAsia="zh-CN"/>
        </w:rPr>
        <w:t>i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šalutinio poveikio reiškiniai 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(gali pasireikšti </w:t>
      </w:r>
      <w:r>
        <w:rPr>
          <w:rFonts w:ascii="Times New Roman" w:eastAsia="SimSun" w:hAnsi="Times New Roman" w:cs="Times New Roman"/>
          <w:szCs w:val="24"/>
          <w:lang w:eastAsia="zh-CN"/>
        </w:rPr>
        <w:t>rečiau kaip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1 iš 10 </w:t>
      </w:r>
      <w:r>
        <w:rPr>
          <w:rFonts w:ascii="Times New Roman" w:eastAsia="SimSun" w:hAnsi="Times New Roman" w:cs="Times New Roman"/>
          <w:szCs w:val="24"/>
          <w:lang w:eastAsia="zh-CN"/>
        </w:rPr>
        <w:t>asmenų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):</w:t>
      </w:r>
    </w:p>
    <w:p w14:paraId="0EB73DBF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nemalonus skonis burnoje (ypač jeigu purkšdami vaistą</w:t>
      </w:r>
      <w:r w:rsidRPr="00E67158" w:rsidDel="006E62DC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4"/>
          <w:lang w:eastAsia="zh-CN"/>
        </w:rPr>
        <w:t>atlošiate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galvą).</w:t>
      </w:r>
    </w:p>
    <w:p w14:paraId="26C8835B" w14:textId="77777777" w:rsidR="00A90AD3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</w:p>
    <w:p w14:paraId="75641205" w14:textId="77777777" w:rsidR="00A90AD3" w:rsidRPr="00E67158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Nedažn</w:t>
      </w:r>
      <w:r>
        <w:rPr>
          <w:rFonts w:ascii="Times New Roman" w:eastAsia="SimSun" w:hAnsi="Times New Roman" w:cs="Times New Roman"/>
          <w:szCs w:val="24"/>
          <w:lang w:eastAsia="zh-CN"/>
        </w:rPr>
        <w:t>i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šalutinio poveikio reiškiniai 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(gali pasireikšti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 rečiau kaip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1 iš 100 </w:t>
      </w:r>
      <w:r>
        <w:rPr>
          <w:rFonts w:ascii="Times New Roman" w:eastAsia="SimSun" w:hAnsi="Times New Roman" w:cs="Times New Roman"/>
          <w:szCs w:val="24"/>
          <w:lang w:eastAsia="zh-CN"/>
        </w:rPr>
        <w:t>asmenų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):</w:t>
      </w:r>
    </w:p>
    <w:p w14:paraId="1B145376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sudirginimas</w:t>
      </w:r>
      <w:r>
        <w:rPr>
          <w:rFonts w:ascii="Times New Roman" w:eastAsia="SimSun" w:hAnsi="Times New Roman" w:cs="Times New Roman"/>
          <w:szCs w:val="24"/>
          <w:lang w:eastAsia="zh-CN"/>
        </w:rPr>
        <w:t>,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nosies vidaus (dilgčiojimas, niežėjimas), čiaudėjimas ir kraujavimas iš nosies.</w:t>
      </w:r>
    </w:p>
    <w:p w14:paraId="75D2A344" w14:textId="77777777" w:rsidR="00A90AD3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</w:p>
    <w:p w14:paraId="2CCE59E5" w14:textId="77777777" w:rsidR="00A90AD3" w:rsidRPr="00E67158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Ret</w:t>
      </w:r>
      <w:r>
        <w:rPr>
          <w:rFonts w:ascii="Times New Roman" w:eastAsia="SimSun" w:hAnsi="Times New Roman" w:cs="Times New Roman"/>
          <w:szCs w:val="24"/>
          <w:lang w:eastAsia="zh-CN"/>
        </w:rPr>
        <w:t>i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šalutinio poveikio reiškiniai 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(gali pasireikšti </w:t>
      </w:r>
      <w:r>
        <w:rPr>
          <w:rFonts w:ascii="Times New Roman" w:eastAsia="SimSun" w:hAnsi="Times New Roman" w:cs="Times New Roman"/>
          <w:szCs w:val="24"/>
          <w:lang w:eastAsia="zh-CN"/>
        </w:rPr>
        <w:t>rečiau kaip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1 iš 1 000 </w:t>
      </w:r>
      <w:r>
        <w:rPr>
          <w:rFonts w:ascii="Times New Roman" w:eastAsia="SimSun" w:hAnsi="Times New Roman" w:cs="Times New Roman"/>
          <w:szCs w:val="24"/>
          <w:lang w:eastAsia="zh-CN"/>
        </w:rPr>
        <w:t>asmenų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):</w:t>
      </w:r>
    </w:p>
    <w:p w14:paraId="035B7924" w14:textId="77777777" w:rsidR="00A90AD3" w:rsidRPr="00E67158" w:rsidRDefault="00A90AD3" w:rsidP="00A90AD3">
      <w:pPr>
        <w:numPr>
          <w:ilvl w:val="0"/>
          <w:numId w:val="1"/>
        </w:num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pykinimas. Galite jausti nuovargį (išsekimą), </w:t>
      </w:r>
      <w:r>
        <w:rPr>
          <w:rFonts w:ascii="Times New Roman" w:eastAsia="SimSun" w:hAnsi="Times New Roman" w:cs="Times New Roman"/>
          <w:szCs w:val="24"/>
          <w:lang w:eastAsia="zh-CN"/>
        </w:rPr>
        <w:t>svaigulį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, silpnumą arba mieguistumą, kuriuos gali sukelti ir pati liga.</w:t>
      </w:r>
    </w:p>
    <w:p w14:paraId="67431079" w14:textId="77777777" w:rsidR="00A90AD3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</w:p>
    <w:p w14:paraId="12DBED38" w14:textId="77777777" w:rsidR="00A90AD3" w:rsidRPr="00E67158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Labai ret</w:t>
      </w:r>
      <w:r>
        <w:rPr>
          <w:rFonts w:ascii="Times New Roman" w:eastAsia="SimSun" w:hAnsi="Times New Roman" w:cs="Times New Roman"/>
          <w:szCs w:val="24"/>
          <w:lang w:eastAsia="zh-CN"/>
        </w:rPr>
        <w:t>i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4"/>
          <w:lang w:eastAsia="zh-CN"/>
        </w:rPr>
        <w:t>šalutinio poveikio reiškiniai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(gali pasireikšti </w:t>
      </w:r>
      <w:r>
        <w:rPr>
          <w:rFonts w:ascii="Times New Roman" w:eastAsia="SimSun" w:hAnsi="Times New Roman" w:cs="Times New Roman"/>
          <w:szCs w:val="24"/>
          <w:lang w:eastAsia="zh-CN"/>
        </w:rPr>
        <w:t>rečiau kaip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 xml:space="preserve"> 1 iš 10000 </w:t>
      </w:r>
      <w:r>
        <w:rPr>
          <w:rFonts w:ascii="Times New Roman" w:eastAsia="SimSun" w:hAnsi="Times New Roman" w:cs="Times New Roman"/>
          <w:szCs w:val="24"/>
          <w:lang w:eastAsia="zh-CN"/>
        </w:rPr>
        <w:t>asmenų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):</w:t>
      </w:r>
    </w:p>
    <w:p w14:paraId="1A28291B" w14:textId="77777777" w:rsidR="00A90AD3" w:rsidRPr="00E67158" w:rsidRDefault="00A90AD3" w:rsidP="00A90AD3">
      <w:pPr>
        <w:spacing w:after="0" w:line="240" w:lineRule="auto"/>
        <w:ind w:left="540" w:right="-29" w:hanging="54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-</w:t>
      </w:r>
      <w:r>
        <w:rPr>
          <w:rFonts w:ascii="Times New Roman" w:eastAsia="SimSun" w:hAnsi="Times New Roman" w:cs="Times New Roman"/>
          <w:szCs w:val="24"/>
          <w:lang w:eastAsia="zh-CN"/>
        </w:rPr>
        <w:tab/>
        <w:t>a</w:t>
      </w:r>
      <w:r w:rsidRPr="00E67158">
        <w:rPr>
          <w:rFonts w:ascii="Times New Roman" w:eastAsia="SimSun" w:hAnsi="Times New Roman" w:cs="Times New Roman"/>
          <w:szCs w:val="24"/>
          <w:lang w:eastAsia="zh-CN"/>
        </w:rPr>
        <w:t>lerginė reakcija, išbėrimas, niežėjimas arba dilgėlinė.</w:t>
      </w:r>
    </w:p>
    <w:p w14:paraId="11BDA749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szCs w:val="24"/>
          <w:lang w:eastAsia="zh-CN"/>
        </w:rPr>
      </w:pPr>
    </w:p>
    <w:p w14:paraId="33C75105" w14:textId="77777777" w:rsidR="00A90AD3" w:rsidRPr="00E67158" w:rsidRDefault="00A90AD3" w:rsidP="00A90A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67158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007BFAD2" w14:textId="77777777" w:rsidR="00A90AD3" w:rsidRPr="00E67158" w:rsidRDefault="00A90AD3" w:rsidP="00A90AD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E67158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r w:rsidRPr="000D6E06"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0D6E06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0D6E06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0D6E06">
        <w:rPr>
          <w:rFonts w:ascii="Times New Roman" w:eastAsia="Times New Roman" w:hAnsi="Times New Roman" w:cs="Times New Roman"/>
          <w:szCs w:val="20"/>
        </w:rPr>
        <w:t>.</w:t>
      </w:r>
    </w:p>
    <w:p w14:paraId="2F52012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szCs w:val="20"/>
          <w:lang w:eastAsia="zh-CN"/>
        </w:rPr>
      </w:pPr>
    </w:p>
    <w:p w14:paraId="7802740E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szCs w:val="20"/>
          <w:lang w:eastAsia="zh-CN"/>
        </w:rPr>
      </w:pPr>
    </w:p>
    <w:p w14:paraId="112B2859" w14:textId="77777777" w:rsidR="00A90AD3" w:rsidRPr="00E67158" w:rsidRDefault="00A90AD3" w:rsidP="00A90AD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Cs w:val="20"/>
        </w:rPr>
      </w:pPr>
      <w:r w:rsidRPr="00E67158">
        <w:rPr>
          <w:rFonts w:ascii="Times New Roman" w:eastAsia="SimSun" w:hAnsi="Times New Roman" w:cs="Times New Roman"/>
          <w:b/>
          <w:kern w:val="28"/>
          <w:szCs w:val="20"/>
        </w:rPr>
        <w:t>5.</w:t>
      </w:r>
      <w:r w:rsidRPr="00E67158">
        <w:rPr>
          <w:rFonts w:ascii="Times New Roman" w:eastAsia="SimSun" w:hAnsi="Times New Roman" w:cs="Times New Roman"/>
          <w:b/>
          <w:kern w:val="28"/>
          <w:szCs w:val="20"/>
        </w:rPr>
        <w:tab/>
        <w:t xml:space="preserve">Kaip laikyti </w:t>
      </w:r>
      <w:proofErr w:type="spellStart"/>
      <w:r w:rsidRPr="00E67158">
        <w:rPr>
          <w:rFonts w:ascii="Times New Roman" w:eastAsia="SimSun" w:hAnsi="Times New Roman" w:cs="Times New Roman"/>
          <w:b/>
          <w:kern w:val="28"/>
          <w:szCs w:val="20"/>
        </w:rPr>
        <w:t>Allergodil</w:t>
      </w:r>
      <w:proofErr w:type="spellEnd"/>
    </w:p>
    <w:p w14:paraId="3FB7A5BD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035E2179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4"/>
          <w:lang w:eastAsia="zh-CN"/>
        </w:rPr>
        <w:t>Šį vaistą laikykite vaikams nepastebimoje ir nepasiekiamoje vietoje.</w:t>
      </w:r>
    </w:p>
    <w:p w14:paraId="4D36E251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Ant buteliuko etiketės ir dėžutės po „Tinka iki“ nurodytam tinkamumo laikui pasibaigus, šio vaisto vartoti negalima. Vaistas tinkamas vartoti iki paskutinės nurodyto mėnesio dienos.</w:t>
      </w:r>
    </w:p>
    <w:p w14:paraId="4D95229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Išmeskite visą nepanaudotą vaistą praėjus 6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mėnesiams po pirmojo pavartojimo.</w:t>
      </w:r>
    </w:p>
    <w:p w14:paraId="6D5C69D8" w14:textId="77777777" w:rsidR="00A90AD3" w:rsidRPr="00E67158" w:rsidRDefault="00A90AD3" w:rsidP="00A90AD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D0D0D"/>
        </w:rPr>
      </w:pPr>
      <w:r w:rsidRPr="00E67158">
        <w:rPr>
          <w:rFonts w:ascii="Times New Roman" w:eastAsia="Times New Roman" w:hAnsi="Times New Roman" w:cs="Times New Roman"/>
          <w:snapToGrid w:val="0"/>
        </w:rPr>
        <w:t xml:space="preserve">Šiam vaistui specialių laikymo sąlygų nereikia. </w:t>
      </w:r>
    </w:p>
    <w:p w14:paraId="0D557AC2" w14:textId="77777777" w:rsidR="00A90AD3" w:rsidRPr="00E67158" w:rsidRDefault="00A90AD3" w:rsidP="00A90AD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Negalima šaldyti ar užšaldyti.</w:t>
      </w:r>
    </w:p>
    <w:p w14:paraId="23531E8C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Vaistų negalima išmesti į kanalizaciją arba su buitinėmis atliekomis. Kaip išmesti nereikalingus vaistus, klauskite vaistininko. Šios priemonės padės apsaugoti aplinką.</w:t>
      </w:r>
    </w:p>
    <w:p w14:paraId="46C7B1EF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7601E5D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41DAE536" w14:textId="77777777" w:rsidR="00A90AD3" w:rsidRPr="00E67158" w:rsidRDefault="00A90AD3" w:rsidP="00A90AD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Cs w:val="20"/>
        </w:rPr>
      </w:pPr>
      <w:r w:rsidRPr="00E67158">
        <w:rPr>
          <w:rFonts w:ascii="Times New Roman" w:eastAsia="SimSun" w:hAnsi="Times New Roman" w:cs="Times New Roman"/>
          <w:b/>
          <w:kern w:val="28"/>
          <w:szCs w:val="20"/>
        </w:rPr>
        <w:t>6.</w:t>
      </w:r>
      <w:r w:rsidRPr="00E67158">
        <w:rPr>
          <w:rFonts w:ascii="Times New Roman" w:eastAsia="SimSun" w:hAnsi="Times New Roman" w:cs="Times New Roman"/>
          <w:b/>
          <w:kern w:val="28"/>
          <w:szCs w:val="20"/>
        </w:rPr>
        <w:tab/>
        <w:t>Pakuotės turinys ir kita informacija</w:t>
      </w:r>
    </w:p>
    <w:p w14:paraId="0598116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35DF51AA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sudėtis </w:t>
      </w:r>
    </w:p>
    <w:p w14:paraId="534CACAA" w14:textId="77777777" w:rsidR="00A90AD3" w:rsidRPr="00E67158" w:rsidRDefault="00A90AD3" w:rsidP="00A90AD3">
      <w:pPr>
        <w:numPr>
          <w:ilvl w:val="0"/>
          <w:numId w:val="2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 xml:space="preserve">Veiklioji medžiaga yra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azelastino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 hidrochloridas.</w:t>
      </w:r>
    </w:p>
    <w:p w14:paraId="3F88E1A8" w14:textId="77777777" w:rsidR="00A90AD3" w:rsidRPr="00E67158" w:rsidRDefault="00A90AD3" w:rsidP="00A90AD3">
      <w:pPr>
        <w:spacing w:after="0" w:line="240" w:lineRule="auto"/>
        <w:ind w:left="54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1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ml nosies purškalo yra 1,5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mg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azelastino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hidrochlorido. Viename išpurškime (0,14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>ml) yra 0,21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mg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azelastino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hidrochlorido. Ši dozė atitinka 0,19</w:t>
      </w:r>
      <w:r>
        <w:rPr>
          <w:rFonts w:ascii="Times New Roman" w:eastAsia="SimSun" w:hAnsi="Times New Roman" w:cs="Times New Roman"/>
          <w:szCs w:val="20"/>
          <w:lang w:eastAsia="zh-CN"/>
        </w:rPr>
        <w:t> </w:t>
      </w: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mg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azelastino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>.</w:t>
      </w:r>
    </w:p>
    <w:p w14:paraId="0145B317" w14:textId="77777777" w:rsidR="00A90AD3" w:rsidRPr="00E67158" w:rsidRDefault="00A90AD3" w:rsidP="00A90AD3">
      <w:pPr>
        <w:numPr>
          <w:ilvl w:val="0"/>
          <w:numId w:val="2"/>
        </w:numPr>
        <w:spacing w:after="0" w:line="240" w:lineRule="auto"/>
        <w:ind w:left="540" w:hanging="540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 xml:space="preserve">Pagalbinės medžiagos yra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hipromeliozė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sukralozė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 (E955), skystas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sorbitolis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 (galintis kristalizuotis),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dinatrio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E67158">
        <w:rPr>
          <w:rFonts w:ascii="Times New Roman" w:eastAsia="SimSun" w:hAnsi="Times New Roman" w:cs="Times New Roman"/>
          <w:lang w:eastAsia="zh-CN"/>
        </w:rPr>
        <w:t>edetatas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>, natrio citratas, išgrynintas vanduo.</w:t>
      </w:r>
      <w:r w:rsidRPr="00E67158">
        <w:rPr>
          <w:rFonts w:ascii="Times New Roman" w:eastAsia="SimSun" w:hAnsi="Times New Roman" w:cs="Times New Roman"/>
          <w:i/>
          <w:color w:val="008000"/>
          <w:lang w:eastAsia="zh-CN"/>
        </w:rPr>
        <w:t xml:space="preserve"> </w:t>
      </w:r>
    </w:p>
    <w:p w14:paraId="69F430A6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57FB5275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proofErr w:type="spellStart"/>
      <w:r w:rsidRPr="00E67158">
        <w:rPr>
          <w:rFonts w:ascii="Times New Roman" w:eastAsia="SimSun" w:hAnsi="Times New Roman" w:cs="Times New Roman"/>
          <w:b/>
          <w:szCs w:val="20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b/>
          <w:szCs w:val="20"/>
        </w:rPr>
        <w:t xml:space="preserve"> išvaizda ir kiekis pakuotėje</w:t>
      </w:r>
    </w:p>
    <w:p w14:paraId="5F972500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lang w:eastAsia="zh-CN"/>
        </w:rPr>
        <w:t>Allergodil</w:t>
      </w:r>
      <w:proofErr w:type="spellEnd"/>
      <w:r w:rsidRPr="00E67158">
        <w:rPr>
          <w:rFonts w:ascii="Times New Roman" w:eastAsia="SimSun" w:hAnsi="Times New Roman" w:cs="Times New Roman"/>
          <w:lang w:eastAsia="zh-CN"/>
        </w:rPr>
        <w:t xml:space="preserve"> nosies purškalas yra skaidrus, bespalvis tirpalas.</w:t>
      </w:r>
    </w:p>
    <w:p w14:paraId="44734A51" w14:textId="77777777" w:rsidR="00A90AD3" w:rsidRPr="00E67158" w:rsidRDefault="00A90AD3" w:rsidP="00A90AD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Jis tiekiamas rudo stiklo buteliuke su pritaikyta purškalo pompa. 10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ml buteliuke yra 5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arba 10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ml nosies purškalo. 20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ml buteliuke yra 17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ml, 20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>ml arba 22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E67158">
        <w:rPr>
          <w:rFonts w:ascii="Times New Roman" w:eastAsia="SimSun" w:hAnsi="Times New Roman" w:cs="Times New Roman"/>
          <w:lang w:eastAsia="zh-CN"/>
        </w:rPr>
        <w:t xml:space="preserve">ml nosies purškalo. </w:t>
      </w:r>
    </w:p>
    <w:p w14:paraId="15F6CCAF" w14:textId="77777777" w:rsidR="00A90AD3" w:rsidRPr="00E67158" w:rsidRDefault="00A90AD3" w:rsidP="00A90AD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E67158">
        <w:rPr>
          <w:rFonts w:ascii="Times New Roman" w:eastAsia="SimSun" w:hAnsi="Times New Roman" w:cs="Times New Roman"/>
          <w:lang w:eastAsia="zh-CN"/>
        </w:rPr>
        <w:t>Gali būti tiekiamos ne visų dydžių pakuotės.</w:t>
      </w:r>
    </w:p>
    <w:p w14:paraId="3817257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14:paraId="6B047861" w14:textId="77777777" w:rsidR="00A90AD3" w:rsidRPr="00E6715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Cs w:val="20"/>
        </w:rPr>
      </w:pPr>
      <w:r w:rsidRPr="00E67158">
        <w:rPr>
          <w:rFonts w:ascii="Times New Roman" w:eastAsia="SimSun" w:hAnsi="Times New Roman" w:cs="Times New Roman"/>
          <w:b/>
          <w:szCs w:val="20"/>
        </w:rPr>
        <w:t>Registruotojas</w:t>
      </w:r>
    </w:p>
    <w:p w14:paraId="258B05A5" w14:textId="77777777" w:rsidR="00A90AD3" w:rsidRPr="00113B0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lang w:eastAsia="lt-LT"/>
        </w:rPr>
      </w:pPr>
      <w:proofErr w:type="spellStart"/>
      <w:r w:rsidRPr="00113B08">
        <w:rPr>
          <w:rFonts w:ascii="Times New Roman" w:hAnsi="Times New Roman"/>
          <w:lang w:eastAsia="lt-LT"/>
        </w:rPr>
        <w:t>Cooper</w:t>
      </w:r>
      <w:proofErr w:type="spellEnd"/>
      <w:r w:rsidRPr="00113B08">
        <w:rPr>
          <w:rFonts w:ascii="Times New Roman" w:hAnsi="Times New Roman"/>
          <w:lang w:eastAsia="lt-LT"/>
        </w:rPr>
        <w:t xml:space="preserve"> </w:t>
      </w:r>
      <w:proofErr w:type="spellStart"/>
      <w:r w:rsidRPr="00113B08">
        <w:rPr>
          <w:rFonts w:ascii="Times New Roman" w:hAnsi="Times New Roman"/>
          <w:lang w:eastAsia="lt-LT"/>
        </w:rPr>
        <w:t>Consumer</w:t>
      </w:r>
      <w:proofErr w:type="spellEnd"/>
      <w:r w:rsidRPr="00113B08">
        <w:rPr>
          <w:rFonts w:ascii="Times New Roman" w:hAnsi="Times New Roman"/>
          <w:lang w:eastAsia="lt-LT"/>
        </w:rPr>
        <w:t xml:space="preserve"> </w:t>
      </w:r>
      <w:proofErr w:type="spellStart"/>
      <w:r w:rsidRPr="00113B08">
        <w:rPr>
          <w:rFonts w:ascii="Times New Roman" w:hAnsi="Times New Roman"/>
          <w:lang w:eastAsia="lt-LT"/>
        </w:rPr>
        <w:t>Health</w:t>
      </w:r>
      <w:proofErr w:type="spellEnd"/>
      <w:r w:rsidRPr="00113B08">
        <w:rPr>
          <w:rFonts w:ascii="Times New Roman" w:hAnsi="Times New Roman"/>
          <w:lang w:eastAsia="lt-LT"/>
        </w:rPr>
        <w:t xml:space="preserve"> B.V.</w:t>
      </w:r>
    </w:p>
    <w:p w14:paraId="61644DB3" w14:textId="77777777" w:rsidR="00A90AD3" w:rsidRPr="00113B0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lang w:eastAsia="lt-LT"/>
        </w:rPr>
      </w:pPr>
      <w:proofErr w:type="spellStart"/>
      <w:r w:rsidRPr="00113B08">
        <w:rPr>
          <w:rFonts w:ascii="Times New Roman" w:hAnsi="Times New Roman"/>
          <w:lang w:eastAsia="lt-LT"/>
        </w:rPr>
        <w:t>Verrijn</w:t>
      </w:r>
      <w:proofErr w:type="spellEnd"/>
      <w:r w:rsidRPr="00113B08">
        <w:rPr>
          <w:rFonts w:ascii="Times New Roman" w:hAnsi="Times New Roman"/>
          <w:lang w:eastAsia="lt-LT"/>
        </w:rPr>
        <w:t xml:space="preserve"> </w:t>
      </w:r>
      <w:proofErr w:type="spellStart"/>
      <w:r w:rsidRPr="00113B08">
        <w:rPr>
          <w:rFonts w:ascii="Times New Roman" w:hAnsi="Times New Roman"/>
          <w:lang w:eastAsia="lt-LT"/>
        </w:rPr>
        <w:t>Stuartweg</w:t>
      </w:r>
      <w:proofErr w:type="spellEnd"/>
      <w:r w:rsidRPr="00113B08">
        <w:rPr>
          <w:rFonts w:ascii="Times New Roman" w:hAnsi="Times New Roman"/>
          <w:lang w:eastAsia="lt-LT"/>
        </w:rPr>
        <w:t xml:space="preserve"> 60 </w:t>
      </w:r>
    </w:p>
    <w:p w14:paraId="6005C629" w14:textId="77777777" w:rsidR="00A90AD3" w:rsidRPr="00113B08" w:rsidRDefault="00A90AD3" w:rsidP="00A90AD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lang w:eastAsia="lt-LT"/>
        </w:rPr>
      </w:pPr>
      <w:r w:rsidRPr="00113B08">
        <w:rPr>
          <w:rFonts w:ascii="Times New Roman" w:hAnsi="Times New Roman"/>
          <w:lang w:eastAsia="lt-LT"/>
        </w:rPr>
        <w:t xml:space="preserve">1112 AX </w:t>
      </w:r>
      <w:proofErr w:type="spellStart"/>
      <w:r w:rsidRPr="00113B08">
        <w:rPr>
          <w:rFonts w:ascii="Times New Roman" w:hAnsi="Times New Roman"/>
          <w:lang w:eastAsia="lt-LT"/>
        </w:rPr>
        <w:t>Diemen</w:t>
      </w:r>
      <w:proofErr w:type="spellEnd"/>
    </w:p>
    <w:p w14:paraId="588FEF94" w14:textId="77777777" w:rsidR="00A90AD3" w:rsidRPr="00E67158" w:rsidRDefault="00A90AD3" w:rsidP="00A90AD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113B08">
        <w:rPr>
          <w:rFonts w:ascii="Times New Roman" w:hAnsi="Times New Roman"/>
          <w:lang w:eastAsia="lt-LT"/>
        </w:rPr>
        <w:t>Nyderlandai</w:t>
      </w:r>
    </w:p>
    <w:p w14:paraId="24E6F50E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4"/>
          <w:lang w:eastAsia="zh-CN"/>
        </w:rPr>
      </w:pPr>
    </w:p>
    <w:p w14:paraId="4B53F05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>Gamintojas</w:t>
      </w:r>
    </w:p>
    <w:p w14:paraId="6E37A2FA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MEDA Pharma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GmbH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&amp;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Co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>. KG</w:t>
      </w:r>
    </w:p>
    <w:p w14:paraId="67743034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Benzstrasse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1</w:t>
      </w:r>
    </w:p>
    <w:p w14:paraId="6F6A1D92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61352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Bad</w:t>
      </w:r>
      <w:proofErr w:type="spellEnd"/>
      <w:r w:rsidRPr="00E67158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proofErr w:type="spellStart"/>
      <w:r w:rsidRPr="00E67158">
        <w:rPr>
          <w:rFonts w:ascii="Times New Roman" w:eastAsia="SimSun" w:hAnsi="Times New Roman" w:cs="Times New Roman"/>
          <w:szCs w:val="20"/>
          <w:lang w:eastAsia="zh-CN"/>
        </w:rPr>
        <w:t>Homburg</w:t>
      </w:r>
      <w:proofErr w:type="spellEnd"/>
    </w:p>
    <w:p w14:paraId="54FD4C58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Vokietija</w:t>
      </w:r>
    </w:p>
    <w:p w14:paraId="1466B1CD" w14:textId="77777777" w:rsidR="00A90AD3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42BFB32E" w14:textId="77777777" w:rsidR="00A90AD3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>
        <w:rPr>
          <w:rFonts w:ascii="Times New Roman" w:eastAsia="SimSun" w:hAnsi="Times New Roman" w:cs="Times New Roman"/>
          <w:szCs w:val="20"/>
          <w:lang w:eastAsia="zh-CN"/>
        </w:rPr>
        <w:t xml:space="preserve">arba </w:t>
      </w:r>
    </w:p>
    <w:p w14:paraId="4F49BDE8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5B075116" w14:textId="77777777" w:rsidR="00A90AD3" w:rsidRPr="008A08AB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8A08AB">
        <w:rPr>
          <w:rFonts w:ascii="Times New Roman" w:eastAsia="SimSun" w:hAnsi="Times New Roman" w:cs="Times New Roman"/>
          <w:szCs w:val="20"/>
          <w:lang w:eastAsia="zh-CN"/>
        </w:rPr>
        <w:t>Madaus</w:t>
      </w:r>
      <w:proofErr w:type="spellEnd"/>
      <w:r w:rsidRPr="008A08AB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proofErr w:type="spellStart"/>
      <w:r w:rsidRPr="008A08AB">
        <w:rPr>
          <w:rFonts w:ascii="Times New Roman" w:eastAsia="SimSun" w:hAnsi="Times New Roman" w:cs="Times New Roman"/>
          <w:szCs w:val="20"/>
          <w:lang w:eastAsia="zh-CN"/>
        </w:rPr>
        <w:t>GmbH</w:t>
      </w:r>
      <w:proofErr w:type="spellEnd"/>
    </w:p>
    <w:p w14:paraId="42BE90BC" w14:textId="77777777" w:rsidR="00A90AD3" w:rsidRPr="008A08AB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8A08AB">
        <w:rPr>
          <w:rFonts w:ascii="Times New Roman" w:eastAsia="SimSun" w:hAnsi="Times New Roman" w:cs="Times New Roman"/>
          <w:szCs w:val="20"/>
          <w:lang w:eastAsia="zh-CN"/>
        </w:rPr>
        <w:t>Lütticher</w:t>
      </w:r>
      <w:proofErr w:type="spellEnd"/>
      <w:r w:rsidRPr="008A08AB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proofErr w:type="spellStart"/>
      <w:r w:rsidRPr="008A08AB">
        <w:rPr>
          <w:rFonts w:ascii="Times New Roman" w:eastAsia="SimSun" w:hAnsi="Times New Roman" w:cs="Times New Roman"/>
          <w:szCs w:val="20"/>
          <w:lang w:eastAsia="zh-CN"/>
        </w:rPr>
        <w:t>Straße</w:t>
      </w:r>
      <w:proofErr w:type="spellEnd"/>
      <w:r w:rsidRPr="008A08AB">
        <w:rPr>
          <w:rFonts w:ascii="Times New Roman" w:eastAsia="SimSun" w:hAnsi="Times New Roman" w:cs="Times New Roman"/>
          <w:szCs w:val="20"/>
          <w:lang w:eastAsia="zh-CN"/>
        </w:rPr>
        <w:t xml:space="preserve"> 5</w:t>
      </w:r>
    </w:p>
    <w:p w14:paraId="23C34AAD" w14:textId="77777777" w:rsidR="00A90AD3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8A08AB">
        <w:rPr>
          <w:rFonts w:ascii="Times New Roman" w:eastAsia="SimSun" w:hAnsi="Times New Roman" w:cs="Times New Roman"/>
          <w:szCs w:val="20"/>
          <w:lang w:eastAsia="zh-CN"/>
        </w:rPr>
        <w:t xml:space="preserve">53842 </w:t>
      </w:r>
      <w:proofErr w:type="spellStart"/>
      <w:r w:rsidRPr="008A08AB">
        <w:rPr>
          <w:rFonts w:ascii="Times New Roman" w:eastAsia="SimSun" w:hAnsi="Times New Roman" w:cs="Times New Roman"/>
          <w:szCs w:val="20"/>
          <w:lang w:eastAsia="zh-CN"/>
        </w:rPr>
        <w:t>Troisdorf</w:t>
      </w:r>
      <w:proofErr w:type="spellEnd"/>
    </w:p>
    <w:p w14:paraId="1614822D" w14:textId="77777777" w:rsidR="00A90AD3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>
        <w:rPr>
          <w:rFonts w:ascii="Times New Roman" w:eastAsia="SimSun" w:hAnsi="Times New Roman" w:cs="Times New Roman"/>
          <w:szCs w:val="20"/>
          <w:lang w:eastAsia="zh-CN"/>
        </w:rPr>
        <w:t>Vokietija</w:t>
      </w:r>
    </w:p>
    <w:p w14:paraId="2BD2BC16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4E865343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szCs w:val="20"/>
          <w:lang w:eastAsia="zh-CN"/>
        </w:rPr>
        <w:t>Jeigu apie šį vaistą norite sužinoti daugiau, kreipkitės į vietinį registruotojo atstovą.</w:t>
      </w:r>
    </w:p>
    <w:p w14:paraId="1234FED2" w14:textId="77777777" w:rsidR="00A90AD3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16206AB9" w14:textId="77777777" w:rsidR="00A90AD3" w:rsidRPr="00113B0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  <w:proofErr w:type="spellStart"/>
      <w:r w:rsidRPr="00113B08">
        <w:rPr>
          <w:rFonts w:ascii="Times New Roman" w:eastAsia="SimSun" w:hAnsi="Times New Roman" w:cs="Times New Roman"/>
          <w:szCs w:val="20"/>
          <w:lang w:eastAsia="zh-CN"/>
        </w:rPr>
        <w:t>Sirowa</w:t>
      </w:r>
      <w:proofErr w:type="spellEnd"/>
      <w:r w:rsidRPr="00113B08">
        <w:rPr>
          <w:rFonts w:ascii="Times New Roman" w:eastAsia="SimSun" w:hAnsi="Times New Roman" w:cs="Times New Roman"/>
          <w:szCs w:val="20"/>
          <w:lang w:eastAsia="zh-CN"/>
        </w:rPr>
        <w:t xml:space="preserve"> Vilnius, UAB </w:t>
      </w:r>
    </w:p>
    <w:p w14:paraId="74AB0A07" w14:textId="77777777" w:rsidR="00A90AD3" w:rsidRPr="009935C5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113B08">
        <w:rPr>
          <w:rFonts w:ascii="Times New Roman" w:eastAsia="SimSun" w:hAnsi="Times New Roman" w:cs="Times New Roman"/>
          <w:szCs w:val="20"/>
          <w:lang w:eastAsia="zh-CN"/>
        </w:rPr>
        <w:t>Tel. + 370 5 2394150</w:t>
      </w:r>
    </w:p>
    <w:p w14:paraId="60ACB20A" w14:textId="77777777" w:rsidR="00A90AD3" w:rsidRPr="00E67158" w:rsidRDefault="00A90AD3" w:rsidP="00A90A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5C372171" w14:textId="77777777" w:rsidR="00A90AD3" w:rsidRPr="00E67158" w:rsidRDefault="00A90AD3" w:rsidP="00A90AD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SimSun" w:hAnsi="Times New Roman" w:cs="Times New Roman"/>
          <w:szCs w:val="20"/>
          <w:lang w:eastAsia="zh-CN"/>
        </w:rPr>
      </w:pPr>
      <w:r w:rsidRPr="00E67158">
        <w:rPr>
          <w:rFonts w:ascii="Times New Roman" w:eastAsia="SimSun" w:hAnsi="Times New Roman" w:cs="Times New Roman"/>
          <w:b/>
          <w:bCs/>
          <w:szCs w:val="20"/>
          <w:lang w:eastAsia="zh-CN"/>
        </w:rPr>
        <w:t xml:space="preserve">Šis pakuotės </w:t>
      </w:r>
      <w:r w:rsidRPr="00E67158">
        <w:rPr>
          <w:rFonts w:ascii="Times New Roman" w:eastAsia="SimSun" w:hAnsi="Times New Roman" w:cs="Times New Roman"/>
          <w:b/>
          <w:szCs w:val="20"/>
          <w:lang w:eastAsia="zh-CN"/>
        </w:rPr>
        <w:t>lapelis paskutinį kartą peržiūrėtas</w:t>
      </w:r>
      <w:r>
        <w:rPr>
          <w:rFonts w:ascii="Times New Roman" w:eastAsia="SimSun" w:hAnsi="Times New Roman" w:cs="Times New Roman"/>
          <w:b/>
          <w:szCs w:val="20"/>
          <w:lang w:eastAsia="zh-CN"/>
        </w:rPr>
        <w:t xml:space="preserve"> 2025-08-02.</w:t>
      </w:r>
    </w:p>
    <w:p w14:paraId="4A0AD6E6" w14:textId="77777777" w:rsidR="00A90AD3" w:rsidRPr="00E67158" w:rsidRDefault="00A90AD3" w:rsidP="00A90AD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eastAsia="zh-CN"/>
        </w:rPr>
      </w:pPr>
    </w:p>
    <w:p w14:paraId="17E7476E" w14:textId="2658C201" w:rsidR="00222FED" w:rsidRDefault="00A90AD3" w:rsidP="00A90AD3">
      <w:pPr>
        <w:spacing w:after="0" w:line="240" w:lineRule="auto"/>
      </w:pPr>
      <w:r w:rsidRPr="000D6E06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4C2EEA">
          <w:rPr>
            <w:rStyle w:val="Hipersaitas"/>
            <w:rFonts w:ascii="Times New Roman" w:eastAsia="Times New Roman" w:hAnsi="Times New Roman" w:cs="Times New Roman"/>
            <w:lang w:eastAsia="lt-LT"/>
          </w:rPr>
          <w:t>https://vvkt.lrv.lt/lt/</w:t>
        </w:r>
      </w:hyperlink>
      <w:r w:rsidRPr="000D6E06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       </w:t>
      </w:r>
    </w:p>
    <w:sectPr w:rsidR="00222FED" w:rsidSect="00A90AD3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5CED" w14:textId="77777777" w:rsidR="00A90AD3" w:rsidRPr="00B3739D" w:rsidRDefault="00A90AD3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B3739D">
      <w:rPr>
        <w:rStyle w:val="Puslapionumeris"/>
        <w:rFonts w:ascii="Times New Roman" w:hAnsi="Times New Roman"/>
        <w:sz w:val="22"/>
        <w:szCs w:val="22"/>
      </w:rPr>
      <w:fldChar w:fldCharType="begin"/>
    </w:r>
    <w:r w:rsidRPr="00B3739D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B3739D">
      <w:rPr>
        <w:rStyle w:val="Puslapionumeris"/>
        <w:rFonts w:ascii="Times New Roman" w:hAnsi="Times New Roman"/>
        <w:sz w:val="22"/>
        <w:szCs w:val="22"/>
      </w:rPr>
      <w:fldChar w:fldCharType="separate"/>
    </w:r>
    <w:r>
      <w:rPr>
        <w:rStyle w:val="Puslapionumeris"/>
        <w:rFonts w:ascii="Times New Roman" w:hAnsi="Times New Roman"/>
        <w:sz w:val="22"/>
        <w:szCs w:val="22"/>
      </w:rPr>
      <w:t>20</w:t>
    </w:r>
    <w:r w:rsidRPr="00B3739D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CDBF" w14:textId="77777777" w:rsidR="00A90AD3" w:rsidRPr="00B3739D" w:rsidRDefault="00A90AD3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B3739D">
      <w:rPr>
        <w:rStyle w:val="Puslapionumeris"/>
        <w:rFonts w:ascii="Times New Roman" w:hAnsi="Times New Roman"/>
        <w:sz w:val="22"/>
        <w:szCs w:val="22"/>
      </w:rPr>
      <w:fldChar w:fldCharType="begin"/>
    </w:r>
    <w:r w:rsidRPr="00B3739D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B3739D">
      <w:rPr>
        <w:rStyle w:val="Puslapionumeris"/>
        <w:rFonts w:ascii="Times New Roman" w:hAnsi="Times New Roman"/>
        <w:sz w:val="22"/>
        <w:szCs w:val="22"/>
      </w:rPr>
      <w:fldChar w:fldCharType="separate"/>
    </w:r>
    <w:r>
      <w:rPr>
        <w:rStyle w:val="Puslapionumeris"/>
        <w:rFonts w:ascii="Times New Roman" w:hAnsi="Times New Roman"/>
        <w:sz w:val="22"/>
        <w:szCs w:val="22"/>
      </w:rPr>
      <w:t>1</w:t>
    </w:r>
    <w:r w:rsidRPr="00B3739D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F245FB1"/>
    <w:multiLevelType w:val="hybridMultilevel"/>
    <w:tmpl w:val="DAE048DA"/>
    <w:lvl w:ilvl="0" w:tplc="7F601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749383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78820916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351228905">
    <w:abstractNumId w:val="2"/>
  </w:num>
  <w:num w:numId="4" w16cid:durableId="2017730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D3"/>
    <w:rsid w:val="00222FED"/>
    <w:rsid w:val="00537B41"/>
    <w:rsid w:val="005F173E"/>
    <w:rsid w:val="008B3AD4"/>
    <w:rsid w:val="00A90AD3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C9E4"/>
  <w15:chartTrackingRefBased/>
  <w15:docId w15:val="{D3DB090B-4323-415E-AE60-B30BAFCC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AD3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0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0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0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0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0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0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0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0A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0A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0A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0A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0A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0A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0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0A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0A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0A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0A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0AD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semiHidden/>
    <w:rsid w:val="00A90AD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SimSun" w:hAnsi="Arial" w:cs="Times New Roman"/>
      <w:noProof/>
      <w:sz w:val="16"/>
      <w:szCs w:val="20"/>
      <w:lang w:val="en-US" w:eastAsia="zh-CN"/>
    </w:rPr>
  </w:style>
  <w:style w:type="character" w:customStyle="1" w:styleId="PoratDiagrama">
    <w:name w:val="Poraštė Diagrama"/>
    <w:basedOn w:val="Numatytasispastraiposriftas"/>
    <w:link w:val="Porat"/>
    <w:semiHidden/>
    <w:rsid w:val="00A90AD3"/>
    <w:rPr>
      <w:rFonts w:ascii="Arial" w:eastAsia="SimSun" w:hAnsi="Arial" w:cs="Times New Roman"/>
      <w:noProof/>
      <w:kern w:val="0"/>
      <w:sz w:val="16"/>
      <w:szCs w:val="20"/>
      <w:lang w:val="en-US" w:eastAsia="zh-CN"/>
      <w14:ligatures w14:val="none"/>
    </w:rPr>
  </w:style>
  <w:style w:type="character" w:styleId="Puslapionumeris">
    <w:name w:val="page number"/>
    <w:semiHidden/>
    <w:rsid w:val="00A90AD3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A90A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5885</Words>
  <Characters>3355</Characters>
  <Application>Microsoft Office Word</Application>
  <DocSecurity>0</DocSecurity>
  <Lines>27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2025-08-01T06:10:00Z</dcterms:created>
  <dcterms:modified xsi:type="dcterms:W3CDTF">2025-08-01T06:11:00Z</dcterms:modified>
</cp:coreProperties>
</file>